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3E89D0E0" w:rsidR="00C20562" w:rsidRPr="00C20562" w:rsidRDefault="00C20562" w:rsidP="005E44BD">
            <w:pPr>
              <w:tabs>
                <w:tab w:val="left" w:pos="3348"/>
                <w:tab w:val="center" w:pos="4380"/>
              </w:tabs>
            </w:pPr>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EC972BD" w:rsidR="00595C8C" w:rsidRPr="00595C8C" w:rsidRDefault="00595C8C" w:rsidP="00595C8C">
            <w:pPr>
              <w:pStyle w:val="InnerCoverTitle"/>
              <w:rPr>
                <w:sz w:val="36"/>
                <w:szCs w:val="36"/>
              </w:rPr>
            </w:pPr>
            <w:r w:rsidRPr="00595C8C">
              <w:rPr>
                <w:sz w:val="36"/>
                <w:szCs w:val="36"/>
              </w:rPr>
              <w:t xml:space="preserve">ONR </w:t>
            </w:r>
            <w:r w:rsidR="00F03AA6">
              <w:rPr>
                <w:sz w:val="36"/>
                <w:szCs w:val="36"/>
              </w:rPr>
              <w:t>P</w:t>
            </w:r>
            <w:r w:rsidR="009C5A1D">
              <w:rPr>
                <w:sz w:val="36"/>
                <w:szCs w:val="36"/>
              </w:rPr>
              <w:t>roject assessment report</w:t>
            </w:r>
          </w:p>
          <w:p w14:paraId="7C4EA414" w14:textId="5FA94D3C" w:rsidR="00D0226A" w:rsidRPr="001E03E1" w:rsidRDefault="001D5481" w:rsidP="001E03E1">
            <w:pPr>
              <w:pStyle w:val="CoverTitle"/>
              <w:rPr>
                <w:szCs w:val="90"/>
              </w:rPr>
            </w:pPr>
            <w:r>
              <w:rPr>
                <w:sz w:val="36"/>
                <w:szCs w:val="36"/>
              </w:rPr>
              <w:t>PR-</w:t>
            </w:r>
            <w:r w:rsidR="00E44EB3">
              <w:rPr>
                <w:sz w:val="36"/>
                <w:szCs w:val="36"/>
              </w:rPr>
              <w:t>0</w:t>
            </w:r>
            <w:r w:rsidR="00036F72">
              <w:rPr>
                <w:sz w:val="36"/>
                <w:szCs w:val="36"/>
              </w:rPr>
              <w:t>1613</w:t>
            </w:r>
            <w:r w:rsidR="00132BC1" w:rsidRPr="00F15CD9">
              <w:rPr>
                <w:sz w:val="36"/>
                <w:szCs w:val="36"/>
              </w:rPr>
              <w:t xml:space="preserve"> – </w:t>
            </w:r>
            <w:sdt>
              <w:sdtPr>
                <w:rPr>
                  <w:sz w:val="36"/>
                  <w:szCs w:val="36"/>
                </w:rPr>
                <w:id w:val="1228188510"/>
                <w:placeholder>
                  <w:docPart w:val="59BE9E8AFC58429AB92DA3DEA7B3DE9E"/>
                </w:placeholder>
              </w:sdtPr>
              <w:sdtEndPr>
                <w:rPr>
                  <w:sz w:val="44"/>
                  <w:szCs w:val="44"/>
                </w:rPr>
              </w:sdtEndPr>
              <w:sdtContent>
                <w:sdt>
                  <w:sdtPr>
                    <w:rPr>
                      <w:sz w:val="36"/>
                      <w:szCs w:val="36"/>
                    </w:rPr>
                    <w:alias w:val="Document Title"/>
                    <w:tag w:val=""/>
                    <w:id w:val="-1089070423"/>
                    <w:lock w:val="sdtLocked"/>
                    <w:placeholder>
                      <w:docPart w:val="32FCF1F019724DC3B0D01B54D222C9BF"/>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BB6632">
                      <w:rPr>
                        <w:sz w:val="36"/>
                        <w:szCs w:val="36"/>
                      </w:rPr>
                      <w:t>Approval of GB/4125/H(M) package design used to transport uranium hexafluoride in Type 48Y cylinders</w:t>
                    </w:r>
                  </w:sdtContent>
                </w:sdt>
              </w:sdtContent>
            </w:sdt>
          </w:p>
        </w:tc>
      </w:tr>
    </w:tbl>
    <w:p w14:paraId="56A09D10" w14:textId="2103B449" w:rsidR="00D0226A" w:rsidRDefault="009E4CAF">
      <w:pPr>
        <w:spacing w:after="0"/>
      </w:pPr>
      <w:r>
        <w:rPr>
          <w:noProof/>
        </w:rPr>
        <w:drawing>
          <wp:anchor distT="0" distB="0" distL="114300" distR="114300" simplePos="0" relativeHeight="251658240" behindDoc="1" locked="0" layoutInCell="1" allowOverlap="1" wp14:anchorId="10B0A4AA" wp14:editId="03E534BF">
            <wp:simplePos x="0" y="0"/>
            <wp:positionH relativeFrom="page">
              <wp:posOffset>0</wp:posOffset>
            </wp:positionH>
            <wp:positionV relativeFrom="page">
              <wp:posOffset>508000</wp:posOffset>
            </wp:positionV>
            <wp:extent cx="7567930" cy="967549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4751" b="4751"/>
                    <a:stretch/>
                  </pic:blipFill>
                  <pic:spPr bwMode="auto">
                    <a:xfrm>
                      <a:off x="0" y="0"/>
                      <a:ext cx="7567930" cy="967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B413E66" w:rsidR="00D0226A" w:rsidRDefault="00D0226A">
      <w:pPr>
        <w:spacing w:after="0"/>
      </w:pPr>
    </w:p>
    <w:p w14:paraId="6D1C8B33" w14:textId="77777777" w:rsidR="00267815" w:rsidRDefault="00267815">
      <w:pPr>
        <w:spacing w:after="0"/>
      </w:pPr>
      <w:r>
        <w:br w:type="page"/>
      </w:r>
    </w:p>
    <w:p w14:paraId="433A6C09" w14:textId="428AE45D" w:rsidR="009E4CAF" w:rsidRPr="00595C8C" w:rsidRDefault="009E4CAF" w:rsidP="009E4CAF">
      <w:pPr>
        <w:pStyle w:val="InnerCoverTitle"/>
        <w:rPr>
          <w:sz w:val="36"/>
          <w:szCs w:val="36"/>
        </w:rPr>
      </w:pPr>
      <w:r w:rsidRPr="00595C8C">
        <w:rPr>
          <w:sz w:val="36"/>
          <w:szCs w:val="36"/>
        </w:rPr>
        <w:lastRenderedPageBreak/>
        <w:t xml:space="preserve">ONR </w:t>
      </w:r>
      <w:r>
        <w:rPr>
          <w:sz w:val="36"/>
          <w:szCs w:val="36"/>
        </w:rPr>
        <w:t xml:space="preserve">Project </w:t>
      </w:r>
      <w:r w:rsidR="009C5A1D">
        <w:rPr>
          <w:sz w:val="36"/>
          <w:szCs w:val="36"/>
        </w:rPr>
        <w:t>assessment report</w:t>
      </w:r>
    </w:p>
    <w:p w14:paraId="3E340E1B" w14:textId="4DCB0C63" w:rsidR="008E5D60" w:rsidRPr="009E4CAF" w:rsidRDefault="008E5D60" w:rsidP="008E5D60">
      <w:pPr>
        <w:rPr>
          <w:sz w:val="18"/>
          <w:szCs w:val="16"/>
        </w:rPr>
      </w:pPr>
      <w:r w:rsidRPr="009E4CAF">
        <w:rPr>
          <w:rStyle w:val="Style2"/>
          <w:b/>
          <w:bCs/>
          <w:sz w:val="36"/>
          <w:szCs w:val="16"/>
        </w:rPr>
        <w:t xml:space="preserve">Project </w:t>
      </w:r>
      <w:r w:rsidR="009C5A1D">
        <w:rPr>
          <w:rStyle w:val="Style2"/>
          <w:b/>
          <w:bCs/>
          <w:sz w:val="36"/>
          <w:szCs w:val="16"/>
        </w:rPr>
        <w:t>n</w:t>
      </w:r>
      <w:r w:rsidR="009C5A1D" w:rsidRPr="009E4CAF">
        <w:rPr>
          <w:rStyle w:val="Style2"/>
          <w:b/>
          <w:bCs/>
          <w:sz w:val="36"/>
          <w:szCs w:val="16"/>
        </w:rPr>
        <w:t>ame</w:t>
      </w:r>
      <w:r w:rsidRPr="009E4CAF">
        <w:rPr>
          <w:rStyle w:val="Style2"/>
          <w:sz w:val="36"/>
          <w:szCs w:val="16"/>
        </w:rPr>
        <w:t xml:space="preserve">: </w:t>
      </w:r>
      <w:r w:rsidR="001D5481">
        <w:rPr>
          <w:rStyle w:val="Style2"/>
          <w:sz w:val="36"/>
          <w:szCs w:val="16"/>
        </w:rPr>
        <w:t>PR-</w:t>
      </w:r>
      <w:r w:rsidR="00AE1DCB">
        <w:rPr>
          <w:rStyle w:val="Style2"/>
          <w:sz w:val="36"/>
          <w:szCs w:val="16"/>
        </w:rPr>
        <w:t>01613</w:t>
      </w:r>
    </w:p>
    <w:p w14:paraId="297D790E" w14:textId="17B00464" w:rsidR="00004C16" w:rsidRPr="009E4CAF" w:rsidRDefault="008E5D60" w:rsidP="008E5D60">
      <w:pPr>
        <w:rPr>
          <w:sz w:val="18"/>
          <w:szCs w:val="16"/>
        </w:rPr>
      </w:pPr>
      <w:r w:rsidRPr="009E4CAF">
        <w:rPr>
          <w:rStyle w:val="Style2"/>
          <w:b/>
          <w:bCs/>
          <w:sz w:val="36"/>
          <w:szCs w:val="16"/>
        </w:rPr>
        <w:t xml:space="preserve">Report </w:t>
      </w:r>
      <w:r w:rsidR="009C5A1D">
        <w:rPr>
          <w:rStyle w:val="Style2"/>
          <w:b/>
          <w:bCs/>
          <w:sz w:val="36"/>
          <w:szCs w:val="16"/>
        </w:rPr>
        <w:t>t</w:t>
      </w:r>
      <w:r w:rsidR="009C5A1D" w:rsidRPr="009E4CAF">
        <w:rPr>
          <w:rStyle w:val="Style2"/>
          <w:b/>
          <w:bCs/>
          <w:sz w:val="36"/>
          <w:szCs w:val="16"/>
        </w:rPr>
        <w:t>itle</w:t>
      </w:r>
      <w:r w:rsidRPr="009E4CAF">
        <w:rPr>
          <w:rStyle w:val="Style2"/>
          <w:sz w:val="36"/>
          <w:szCs w:val="16"/>
        </w:rPr>
        <w:t xml:space="preserve">: </w:t>
      </w:r>
      <w:sdt>
        <w:sdtPr>
          <w:rPr>
            <w:rStyle w:val="Style2"/>
            <w:sz w:val="36"/>
            <w:szCs w:val="16"/>
          </w:rPr>
          <w:alias w:val="Title"/>
          <w:tag w:val=""/>
          <w:id w:val="1635287648"/>
          <w:lock w:val="sdtLocked"/>
          <w:placeholder>
            <w:docPart w:val="E253AEE68B0B467D884E4E878D90E44A"/>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rPr>
        </w:sdtEndPr>
        <w:sdtContent>
          <w:r w:rsidR="00BB6632">
            <w:rPr>
              <w:rStyle w:val="Style2"/>
              <w:sz w:val="36"/>
              <w:szCs w:val="16"/>
            </w:rPr>
            <w:t>Approval of GB/4125/H(M) package design used to transport uranium hexafluoride in Type 48Y cylinders</w:t>
          </w:r>
        </w:sdtContent>
      </w:sdt>
    </w:p>
    <w:p w14:paraId="61A25C0F" w14:textId="39EC7DBA" w:rsidR="00004C16" w:rsidRDefault="00004C16" w:rsidP="00004C16">
      <w:pPr>
        <w:rPr>
          <w:sz w:val="28"/>
          <w:szCs w:val="28"/>
        </w:rPr>
      </w:pPr>
    </w:p>
    <w:p w14:paraId="4D99E381" w14:textId="6A6C3690" w:rsidR="00004C16" w:rsidRPr="0099220B" w:rsidRDefault="00F15409" w:rsidP="00004C16">
      <w:pPr>
        <w:rPr>
          <w:szCs w:val="24"/>
        </w:rPr>
      </w:pPr>
      <w:r w:rsidRPr="0099220B">
        <w:rPr>
          <w:b/>
          <w:bCs/>
          <w:szCs w:val="24"/>
        </w:rPr>
        <w:t>Dutyholder/Applicant</w:t>
      </w:r>
      <w:r w:rsidR="003A7E1C" w:rsidRPr="0099220B">
        <w:rPr>
          <w:szCs w:val="24"/>
        </w:rPr>
        <w:t>:</w:t>
      </w:r>
      <w:r w:rsidR="00004C16" w:rsidRPr="0099220B">
        <w:rPr>
          <w:szCs w:val="24"/>
        </w:rPr>
        <w:t xml:space="preserve"> </w:t>
      </w:r>
      <w:r w:rsidR="00CE64F9">
        <w:rPr>
          <w:szCs w:val="24"/>
        </w:rPr>
        <w:t>Urenco UK Ltd</w:t>
      </w:r>
    </w:p>
    <w:p w14:paraId="23B9A867" w14:textId="49E8C50C" w:rsidR="00004C16" w:rsidRPr="0099220B" w:rsidRDefault="005663B3" w:rsidP="00BF4806">
      <w:r w:rsidRPr="1AB1962D">
        <w:rPr>
          <w:b/>
          <w:bCs/>
        </w:rPr>
        <w:t>Authored</w:t>
      </w:r>
      <w:r w:rsidR="00004C16" w:rsidRPr="1AB1962D">
        <w:rPr>
          <w:b/>
          <w:bCs/>
        </w:rPr>
        <w:t xml:space="preserve"> by</w:t>
      </w:r>
      <w:r w:rsidR="003A7E1C">
        <w:t>:</w:t>
      </w:r>
      <w:r w:rsidR="00004C16">
        <w:t xml:space="preserve"> </w:t>
      </w:r>
    </w:p>
    <w:p w14:paraId="247E3769" w14:textId="11B25802" w:rsidR="00004C16" w:rsidRPr="0099220B" w:rsidRDefault="00D5528D" w:rsidP="00004C16">
      <w:pPr>
        <w:rPr>
          <w:szCs w:val="24"/>
        </w:rPr>
      </w:pPr>
      <w:r w:rsidRPr="0099220B">
        <w:rPr>
          <w:b/>
          <w:bCs/>
          <w:szCs w:val="24"/>
        </w:rPr>
        <w:t xml:space="preserve">Report </w:t>
      </w:r>
      <w:r w:rsidR="009C5A1D">
        <w:rPr>
          <w:b/>
          <w:bCs/>
          <w:szCs w:val="24"/>
        </w:rPr>
        <w:t>i</w:t>
      </w:r>
      <w:r w:rsidR="009C5A1D" w:rsidRPr="0099220B">
        <w:rPr>
          <w:b/>
          <w:bCs/>
          <w:szCs w:val="24"/>
        </w:rPr>
        <w:t xml:space="preserve">ssue </w:t>
      </w:r>
      <w:r w:rsidR="009C5A1D">
        <w:rPr>
          <w:b/>
          <w:bCs/>
          <w:szCs w:val="24"/>
        </w:rPr>
        <w:t>n</w:t>
      </w:r>
      <w:r w:rsidR="009C5A1D" w:rsidRPr="0099220B">
        <w:rPr>
          <w:b/>
          <w:bCs/>
          <w:szCs w:val="24"/>
        </w:rPr>
        <w:t>o</w:t>
      </w:r>
      <w:r w:rsidR="00004C16" w:rsidRPr="0099220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224FBB">
            <w:rPr>
              <w:szCs w:val="24"/>
            </w:rPr>
            <w:t>1</w:t>
          </w:r>
        </w:sdtContent>
      </w:sdt>
    </w:p>
    <w:p w14:paraId="19206F45" w14:textId="6C1518E8" w:rsidR="00004C16" w:rsidRPr="006631F4" w:rsidRDefault="00004C16" w:rsidP="00004C16">
      <w:pPr>
        <w:rPr>
          <w:szCs w:val="24"/>
        </w:rPr>
      </w:pPr>
      <w:r w:rsidRPr="006631F4">
        <w:rPr>
          <w:b/>
          <w:bCs/>
          <w:szCs w:val="24"/>
        </w:rPr>
        <w:t xml:space="preserve">Publication </w:t>
      </w:r>
      <w:r w:rsidR="009C5A1D" w:rsidRPr="006631F4">
        <w:rPr>
          <w:b/>
          <w:bCs/>
          <w:szCs w:val="24"/>
        </w:rPr>
        <w:t>d</w:t>
      </w:r>
      <w:r w:rsidRPr="006631F4">
        <w:rPr>
          <w:b/>
          <w:bCs/>
          <w:szCs w:val="24"/>
        </w:rPr>
        <w:t>ate</w:t>
      </w:r>
      <w:r w:rsidRPr="006631F4">
        <w:rPr>
          <w:szCs w:val="24"/>
        </w:rPr>
        <w:t xml:space="preserve">: </w:t>
      </w:r>
      <w:r w:rsidR="002421C1">
        <w:rPr>
          <w:szCs w:val="24"/>
        </w:rPr>
        <w:t>September</w:t>
      </w:r>
      <w:r w:rsidR="009A630C">
        <w:rPr>
          <w:szCs w:val="24"/>
        </w:rPr>
        <w:t xml:space="preserve"> </w:t>
      </w:r>
      <w:r w:rsidR="00224FBB" w:rsidRPr="00303CAF">
        <w:rPr>
          <w:szCs w:val="24"/>
        </w:rPr>
        <w:t>202</w:t>
      </w:r>
      <w:r w:rsidR="00E80E35">
        <w:rPr>
          <w:szCs w:val="24"/>
        </w:rPr>
        <w:t>6</w:t>
      </w:r>
    </w:p>
    <w:p w14:paraId="461D902C" w14:textId="55EA2D40" w:rsidR="0099220B" w:rsidRPr="00DA6069" w:rsidRDefault="0099220B">
      <w:pPr>
        <w:rPr>
          <w:szCs w:val="24"/>
          <w:lang w:val="fr-FR"/>
        </w:rPr>
      </w:pPr>
      <w:r w:rsidRPr="00DA6069">
        <w:rPr>
          <w:b/>
          <w:bCs/>
          <w:szCs w:val="24"/>
          <w:lang w:val="fr-FR"/>
        </w:rPr>
        <w:t>Document ID</w:t>
      </w:r>
      <w:r w:rsidRPr="00DA6069">
        <w:rPr>
          <w:szCs w:val="24"/>
          <w:lang w:val="fr-FR"/>
        </w:rPr>
        <w:t xml:space="preserve">: </w:t>
      </w:r>
      <w:r w:rsidR="00DA6069" w:rsidRPr="00DA6069">
        <w:rPr>
          <w:szCs w:val="24"/>
          <w:lang w:val="fr-FR"/>
        </w:rPr>
        <w:t>ONRW-2019369590-</w:t>
      </w:r>
      <w:r w:rsidR="00B518B2">
        <w:rPr>
          <w:szCs w:val="24"/>
          <w:lang w:val="fr-FR"/>
        </w:rPr>
        <w:t>30397</w:t>
      </w:r>
    </w:p>
    <w:p w14:paraId="39BC0EA4" w14:textId="77777777" w:rsidR="00420A11" w:rsidRPr="00224FBB" w:rsidRDefault="00420A11" w:rsidP="00323E71">
      <w:pPr>
        <w:rPr>
          <w:lang w:val="fr-FR"/>
        </w:rPr>
      </w:pPr>
    </w:p>
    <w:p w14:paraId="5DDBE954" w14:textId="27BD4D93" w:rsidR="004D16D7" w:rsidRDefault="00BB054F" w:rsidP="004D16D7">
      <w:pPr>
        <w:pStyle w:val="Caption"/>
        <w:keepNext/>
      </w:pPr>
      <w:r>
        <w:t>Circulation</w:t>
      </w:r>
      <w:r w:rsidR="00E72E4A">
        <w:t xml:space="preserve"> list</w:t>
      </w:r>
      <w:r>
        <w:t xml:space="preserve"> (latest issue)</w:t>
      </w:r>
    </w:p>
    <w:tbl>
      <w:tblPr>
        <w:tblStyle w:val="ONRTable1"/>
        <w:tblW w:w="929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5103"/>
        <w:gridCol w:w="1933"/>
      </w:tblGrid>
      <w:tr w:rsidR="00E9054F" w:rsidRPr="004D16D7" w14:paraId="116B87DF" w14:textId="36A12630" w:rsidTr="00D67C5E">
        <w:trPr>
          <w:cnfStyle w:val="100000000000" w:firstRow="1" w:lastRow="0" w:firstColumn="0" w:lastColumn="0" w:oddVBand="0" w:evenVBand="0" w:oddHBand="0" w:evenHBand="0" w:firstRowFirstColumn="0" w:firstRowLastColumn="0" w:lastRowFirstColumn="0" w:lastRowLastColumn="0"/>
        </w:trPr>
        <w:tc>
          <w:tcPr>
            <w:tcW w:w="2258" w:type="dxa"/>
            <w:tcBorders>
              <w:top w:val="single" w:sz="4" w:space="0" w:color="auto"/>
              <w:left w:val="single" w:sz="4" w:space="0" w:color="auto"/>
              <w:bottom w:val="single" w:sz="4" w:space="0" w:color="auto"/>
            </w:tcBorders>
          </w:tcPr>
          <w:p w14:paraId="72366D01" w14:textId="79211401" w:rsidR="00E9054F" w:rsidRPr="004D16D7" w:rsidRDefault="00E9054F" w:rsidP="00595C8C">
            <w:pPr>
              <w:spacing w:before="60" w:after="60"/>
              <w:rPr>
                <w:b w:val="0"/>
                <w:bCs/>
              </w:rPr>
            </w:pPr>
            <w:r>
              <w:rPr>
                <w:b w:val="0"/>
                <w:bCs/>
              </w:rPr>
              <w:t xml:space="preserve">Organisation </w:t>
            </w:r>
          </w:p>
        </w:tc>
        <w:tc>
          <w:tcPr>
            <w:tcW w:w="5103" w:type="dxa"/>
            <w:tcBorders>
              <w:top w:val="single" w:sz="4" w:space="0" w:color="auto"/>
              <w:bottom w:val="single" w:sz="4" w:space="0" w:color="auto"/>
            </w:tcBorders>
          </w:tcPr>
          <w:p w14:paraId="2D00C3FD" w14:textId="444AF842" w:rsidR="00E9054F" w:rsidRPr="004D16D7" w:rsidRDefault="00E9054F" w:rsidP="00595C8C">
            <w:pPr>
              <w:spacing w:before="60" w:after="60"/>
              <w:rPr>
                <w:b w:val="0"/>
                <w:bCs/>
              </w:rPr>
            </w:pPr>
            <w:r>
              <w:rPr>
                <w:b w:val="0"/>
                <w:bCs/>
              </w:rPr>
              <w:t>Recipient</w:t>
            </w:r>
          </w:p>
        </w:tc>
        <w:tc>
          <w:tcPr>
            <w:tcW w:w="1933" w:type="dxa"/>
            <w:tcBorders>
              <w:top w:val="single" w:sz="4" w:space="0" w:color="auto"/>
              <w:bottom w:val="single" w:sz="4" w:space="0" w:color="auto"/>
              <w:right w:val="single" w:sz="4" w:space="0" w:color="auto"/>
            </w:tcBorders>
          </w:tcPr>
          <w:p w14:paraId="5F42E2CA" w14:textId="08E29FA8" w:rsidR="00E9054F" w:rsidRDefault="00E9054F" w:rsidP="00595C8C">
            <w:pPr>
              <w:spacing w:before="60" w:after="60"/>
              <w:rPr>
                <w:b w:val="0"/>
                <w:bCs/>
              </w:rPr>
            </w:pPr>
            <w:r>
              <w:rPr>
                <w:b w:val="0"/>
                <w:bCs/>
              </w:rPr>
              <w:t xml:space="preserve">Date </w:t>
            </w:r>
            <w:r w:rsidR="00F02AFB">
              <w:rPr>
                <w:b w:val="0"/>
                <w:bCs/>
              </w:rPr>
              <w:t>report sent</w:t>
            </w:r>
          </w:p>
        </w:tc>
      </w:tr>
      <w:tr w:rsidR="00E9054F" w14:paraId="0B4E4E42" w14:textId="789BBBBC" w:rsidTr="00D67C5E">
        <w:tc>
          <w:tcPr>
            <w:tcW w:w="2258" w:type="dxa"/>
            <w:tcBorders>
              <w:top w:val="single" w:sz="4" w:space="0" w:color="auto"/>
            </w:tcBorders>
          </w:tcPr>
          <w:p w14:paraId="65482A03" w14:textId="2269282D" w:rsidR="00E9054F" w:rsidRDefault="00E9054F" w:rsidP="00595C8C">
            <w:pPr>
              <w:spacing w:before="60" w:after="60"/>
            </w:pPr>
          </w:p>
        </w:tc>
        <w:tc>
          <w:tcPr>
            <w:tcW w:w="5103" w:type="dxa"/>
            <w:tcBorders>
              <w:top w:val="single" w:sz="4" w:space="0" w:color="auto"/>
            </w:tcBorders>
          </w:tcPr>
          <w:p w14:paraId="1C80912E" w14:textId="01DC3567" w:rsidR="00E9054F" w:rsidRDefault="00E9054F" w:rsidP="00595C8C">
            <w:pPr>
              <w:spacing w:before="60" w:after="60"/>
            </w:pPr>
          </w:p>
        </w:tc>
        <w:tc>
          <w:tcPr>
            <w:tcW w:w="1933" w:type="dxa"/>
            <w:tcBorders>
              <w:top w:val="single" w:sz="4" w:space="0" w:color="auto"/>
            </w:tcBorders>
          </w:tcPr>
          <w:p w14:paraId="097E1A87" w14:textId="639013F8" w:rsidR="00E9054F" w:rsidRPr="00115B35" w:rsidRDefault="00E9054F" w:rsidP="00595C8C">
            <w:pPr>
              <w:spacing w:before="60" w:after="60"/>
            </w:pPr>
          </w:p>
        </w:tc>
      </w:tr>
      <w:tr w:rsidR="00E9054F" w14:paraId="2F7C7EC2" w14:textId="77777777" w:rsidTr="00252220">
        <w:tc>
          <w:tcPr>
            <w:tcW w:w="2258" w:type="dxa"/>
          </w:tcPr>
          <w:p w14:paraId="4F564E04" w14:textId="37370B95" w:rsidR="00E9054F" w:rsidRDefault="00E9054F" w:rsidP="00595C8C">
            <w:pPr>
              <w:spacing w:before="60" w:after="60"/>
            </w:pPr>
          </w:p>
        </w:tc>
        <w:tc>
          <w:tcPr>
            <w:tcW w:w="5103" w:type="dxa"/>
          </w:tcPr>
          <w:p w14:paraId="3CFBC47F" w14:textId="7E7BB9BB" w:rsidR="00E9054F" w:rsidRDefault="005A0245" w:rsidP="00595C8C">
            <w:pPr>
              <w:spacing w:before="60" w:after="60"/>
            </w:pPr>
            <w:r>
              <w:t xml:space="preserve"> </w:t>
            </w:r>
          </w:p>
        </w:tc>
        <w:tc>
          <w:tcPr>
            <w:tcW w:w="1933" w:type="dxa"/>
          </w:tcPr>
          <w:p w14:paraId="21AE1C32" w14:textId="295AFB58" w:rsidR="00E9054F" w:rsidRPr="00115B35" w:rsidRDefault="00E9054F" w:rsidP="00595C8C">
            <w:pPr>
              <w:spacing w:before="60" w:after="60"/>
            </w:pPr>
          </w:p>
        </w:tc>
      </w:tr>
    </w:tbl>
    <w:p w14:paraId="295B4ACF" w14:textId="77777777" w:rsidR="00DB4A58" w:rsidRDefault="00DB4A58" w:rsidP="00DB4A58">
      <w:pPr>
        <w:pStyle w:val="Footer"/>
        <w:jc w:val="left"/>
        <w:rPr>
          <w:color w:val="auto"/>
        </w:rPr>
      </w:pPr>
    </w:p>
    <w:p w14:paraId="0C0F2BDE" w14:textId="77777777" w:rsidR="00DB4A58" w:rsidRDefault="00DB4A58" w:rsidP="00DB4A58">
      <w:pPr>
        <w:pStyle w:val="Footer"/>
        <w:jc w:val="left"/>
        <w:rPr>
          <w:color w:val="auto"/>
        </w:rPr>
      </w:pPr>
    </w:p>
    <w:p w14:paraId="0DEEB048" w14:textId="77777777" w:rsidR="00DB4A58" w:rsidRDefault="00DB4A58" w:rsidP="00DB4A58">
      <w:pPr>
        <w:pStyle w:val="Footer"/>
        <w:jc w:val="left"/>
        <w:rPr>
          <w:color w:val="auto"/>
        </w:rPr>
      </w:pPr>
    </w:p>
    <w:p w14:paraId="69769BCB" w14:textId="77777777" w:rsidR="00DB4A58" w:rsidRDefault="00DB4A58" w:rsidP="00DB4A58">
      <w:pPr>
        <w:pStyle w:val="Footer"/>
        <w:jc w:val="left"/>
        <w:rPr>
          <w:color w:val="auto"/>
        </w:rPr>
      </w:pPr>
    </w:p>
    <w:p w14:paraId="05EE623E" w14:textId="77777777" w:rsidR="009A630C" w:rsidRDefault="009A630C" w:rsidP="00DB4A58">
      <w:pPr>
        <w:pStyle w:val="Footer"/>
        <w:jc w:val="left"/>
        <w:rPr>
          <w:color w:val="auto"/>
        </w:rPr>
      </w:pPr>
    </w:p>
    <w:p w14:paraId="78ECD1CE" w14:textId="1D6D45D9" w:rsidR="00DB4A58" w:rsidRPr="0099220B" w:rsidRDefault="00DB4A58" w:rsidP="00DB4A58">
      <w:pPr>
        <w:pStyle w:val="Footer"/>
        <w:jc w:val="left"/>
        <w:rPr>
          <w:color w:val="auto"/>
        </w:rPr>
      </w:pPr>
      <w:r w:rsidRPr="0099220B">
        <w:rPr>
          <w:color w:val="auto"/>
        </w:rPr>
        <w:t xml:space="preserve">© Office for Nuclear Regulation, </w:t>
      </w:r>
      <w:r w:rsidR="003E7237">
        <w:rPr>
          <w:color w:val="auto"/>
        </w:rPr>
        <w:t>202</w:t>
      </w:r>
      <w:r w:rsidR="00EA2455">
        <w:rPr>
          <w:color w:val="auto"/>
        </w:rPr>
        <w:t>6</w:t>
      </w:r>
    </w:p>
    <w:p w14:paraId="3039B8B5" w14:textId="2D434DE2" w:rsidR="00DB4A58" w:rsidRPr="0099220B" w:rsidRDefault="00DB4A58" w:rsidP="00DB4A58">
      <w:pPr>
        <w:pStyle w:val="Footer"/>
        <w:jc w:val="left"/>
        <w:rPr>
          <w:color w:val="auto"/>
        </w:rPr>
      </w:pPr>
      <w:r w:rsidRPr="0099220B">
        <w:rPr>
          <w:color w:val="auto"/>
        </w:rPr>
        <w:t xml:space="preserve">For published documents, the electronic copy on the ONR website remains the most current publicly available version and copying or printing renders this document uncontrolled. If you wish to reuse this information visit </w:t>
      </w:r>
      <w:hyperlink r:id="rId14" w:history="1">
        <w:r w:rsidR="00795F5F" w:rsidRPr="00873B3F">
          <w:rPr>
            <w:rStyle w:val="Hyperlink"/>
          </w:rPr>
          <w:t>www.onr.org.uk/copyright</w:t>
        </w:r>
      </w:hyperlink>
      <w:r w:rsidR="00795F5F">
        <w:rPr>
          <w:color w:val="auto"/>
        </w:rPr>
        <w:t xml:space="preserve"> </w:t>
      </w:r>
      <w:r w:rsidRPr="0099220B">
        <w:rPr>
          <w:color w:val="auto"/>
        </w:rPr>
        <w:t xml:space="preserve">for details. </w:t>
      </w:r>
    </w:p>
    <w:p w14:paraId="5F16EB3D" w14:textId="77777777" w:rsidR="0099220B" w:rsidRDefault="0099220B" w:rsidP="004E6E34">
      <w:pPr>
        <w:sectPr w:rsidR="0099220B" w:rsidSect="00E72E4A">
          <w:headerReference w:type="default" r:id="rId15"/>
          <w:footerReference w:type="default" r:id="rId16"/>
          <w:headerReference w:type="first" r:id="rId17"/>
          <w:pgSz w:w="11906" w:h="16838" w:code="9"/>
          <w:pgMar w:top="1440" w:right="1440" w:bottom="1440" w:left="1440" w:header="397" w:footer="397" w:gutter="0"/>
          <w:cols w:space="312"/>
          <w:titlePg/>
          <w:docGrid w:linePitch="360"/>
        </w:sectPr>
      </w:pPr>
    </w:p>
    <w:p w14:paraId="27EE63D0" w14:textId="0D32EDC6" w:rsidR="00202152" w:rsidRPr="00410423" w:rsidRDefault="00202152" w:rsidP="00410423">
      <w:pPr>
        <w:pStyle w:val="Heading1"/>
        <w:numPr>
          <w:ilvl w:val="0"/>
          <w:numId w:val="0"/>
        </w:numPr>
        <w:ind w:left="851" w:hanging="851"/>
      </w:pPr>
      <w:bookmarkStart w:id="1" w:name="_Toc118892109"/>
      <w:bookmarkStart w:id="2" w:name="_Toc241647274"/>
      <w:bookmarkStart w:id="3" w:name="_Toc109727646"/>
      <w:bookmarkEnd w:id="0"/>
      <w:r w:rsidRPr="00410423">
        <w:lastRenderedPageBreak/>
        <w:t xml:space="preserve">Executive </w:t>
      </w:r>
      <w:bookmarkEnd w:id="1"/>
      <w:r w:rsidR="00DE35B0">
        <w:t>s</w:t>
      </w:r>
      <w:r w:rsidR="00DE35B0" w:rsidRPr="00410423">
        <w:t>ummary</w:t>
      </w:r>
      <w:bookmarkEnd w:id="2"/>
    </w:p>
    <w:p w14:paraId="41C0429B" w14:textId="4785CADA" w:rsidR="00A142E0" w:rsidRDefault="00A142E0" w:rsidP="00890294">
      <w:pPr>
        <w:pStyle w:val="NumList1"/>
        <w:numPr>
          <w:ilvl w:val="0"/>
          <w:numId w:val="0"/>
        </w:numPr>
        <w:tabs>
          <w:tab w:val="left" w:pos="851"/>
        </w:tabs>
        <w:ind w:right="-188"/>
      </w:pPr>
      <w:r>
        <w:t>Urenco UK Ltd applied to the Office for Nuclear Regulation</w:t>
      </w:r>
      <w:r w:rsidR="00FF5D69">
        <w:t xml:space="preserve"> (ONR)</w:t>
      </w:r>
      <w:r>
        <w:t xml:space="preserve">, acting as the Great Britain </w:t>
      </w:r>
      <w:r w:rsidR="00FD45F0">
        <w:t xml:space="preserve">(GB) </w:t>
      </w:r>
      <w:r>
        <w:t>Competent Authority, for approval of package design GB/412</w:t>
      </w:r>
      <w:r w:rsidR="00076D2C">
        <w:t>5</w:t>
      </w:r>
      <w:r>
        <w:t>/H(M) for the transport of uranium hexafluoride (UF</w:t>
      </w:r>
      <w:r>
        <w:rPr>
          <w:rFonts w:ascii="Cambria Math" w:hAnsi="Cambria Math" w:cs="Cambria Math"/>
        </w:rPr>
        <w:t>₆</w:t>
      </w:r>
      <w:r>
        <w:t xml:space="preserve">) by road, rail and sea. The application seeks approval under </w:t>
      </w:r>
      <w:r w:rsidR="00611A53">
        <w:t xml:space="preserve">the </w:t>
      </w:r>
      <w:r w:rsidR="00611A53" w:rsidRPr="003E6440">
        <w:rPr>
          <w:lang w:eastAsia="en-GB"/>
        </w:rPr>
        <w:t>I</w:t>
      </w:r>
      <w:r w:rsidR="00611A53">
        <w:rPr>
          <w:lang w:eastAsia="en-GB"/>
        </w:rPr>
        <w:t>nternational Atomic Energy Agency (I</w:t>
      </w:r>
      <w:r w:rsidR="00611A53" w:rsidRPr="003E6440">
        <w:rPr>
          <w:lang w:eastAsia="en-GB"/>
        </w:rPr>
        <w:t>AEA</w:t>
      </w:r>
      <w:r w:rsidR="00611A53">
        <w:rPr>
          <w:lang w:eastAsia="en-GB"/>
        </w:rPr>
        <w:t>)</w:t>
      </w:r>
      <w:r w:rsidR="00611A53" w:rsidRPr="003E6440">
        <w:rPr>
          <w:lang w:eastAsia="en-GB"/>
        </w:rPr>
        <w:t xml:space="preserve"> Regulations for the Safe Transport of Radioactive Material</w:t>
      </w:r>
      <w:r w:rsidR="00611A53">
        <w:rPr>
          <w:lang w:eastAsia="en-GB"/>
        </w:rPr>
        <w:t xml:space="preserve">, </w:t>
      </w:r>
      <w:r w:rsidR="00611A53" w:rsidRPr="003E6440">
        <w:rPr>
          <w:lang w:eastAsia="en-GB"/>
        </w:rPr>
        <w:t>SSR-6 2018 Edition</w:t>
      </w:r>
      <w:r w:rsidR="00611A53">
        <w:rPr>
          <w:lang w:eastAsia="en-GB"/>
        </w:rPr>
        <w:t xml:space="preserve"> </w:t>
      </w:r>
      <w:r>
        <w:t>paragraph 634(c) to transport UF</w:t>
      </w:r>
      <w:r>
        <w:rPr>
          <w:rFonts w:ascii="Cambria Math" w:hAnsi="Cambria Math" w:cs="Cambria Math"/>
        </w:rPr>
        <w:t>₆</w:t>
      </w:r>
      <w:r>
        <w:t xml:space="preserve"> in a bare cylinder without thermal protection, subject to </w:t>
      </w:r>
      <w:r w:rsidR="00FF5D69">
        <w:t>multilateral</w:t>
      </w:r>
      <w:r w:rsidR="009D5A4D">
        <w:t xml:space="preserve"> approval requirements</w:t>
      </w:r>
      <w:r w:rsidR="001F6581">
        <w:t xml:space="preserve"> applicable to</w:t>
      </w:r>
      <w:r w:rsidR="00FF5D69">
        <w:t xml:space="preserve"> H(M</w:t>
      </w:r>
      <w:r w:rsidR="001F6581">
        <w:t>) packages.</w:t>
      </w:r>
    </w:p>
    <w:p w14:paraId="24A7D757" w14:textId="3D45B6B7" w:rsidR="00A142E0" w:rsidRDefault="00A142E0" w:rsidP="00890294">
      <w:pPr>
        <w:pStyle w:val="NumList1"/>
        <w:numPr>
          <w:ilvl w:val="0"/>
          <w:numId w:val="0"/>
        </w:numPr>
        <w:tabs>
          <w:tab w:val="left" w:pos="851"/>
        </w:tabs>
        <w:ind w:right="-188"/>
      </w:pPr>
      <w:r>
        <w:t xml:space="preserve">Type </w:t>
      </w:r>
      <w:r w:rsidR="00290642">
        <w:t xml:space="preserve">48X and </w:t>
      </w:r>
      <w:r>
        <w:t>48Y cylinder</w:t>
      </w:r>
      <w:r w:rsidR="00290642">
        <w:t xml:space="preserve">s are </w:t>
      </w:r>
      <w:r>
        <w:t>established design</w:t>
      </w:r>
      <w:r w:rsidR="00290642">
        <w:t>s</w:t>
      </w:r>
      <w:r>
        <w:t xml:space="preserve"> manufactured in accordance with recognised international</w:t>
      </w:r>
      <w:r w:rsidR="00290642">
        <w:t xml:space="preserve"> </w:t>
      </w:r>
      <w:r>
        <w:t>standards</w:t>
      </w:r>
      <w:r w:rsidR="00E74664">
        <w:t xml:space="preserve"> </w:t>
      </w:r>
      <w:r>
        <w:t>and form part of a family of cylinders that have been approved and used internationally for many years. Existing GB Certificates of Approval already permit the transport of UF</w:t>
      </w:r>
      <w:r w:rsidRPr="00A142E0">
        <w:rPr>
          <w:rFonts w:ascii="Cambria Math" w:hAnsi="Cambria Math" w:cs="Cambria Math"/>
        </w:rPr>
        <w:t>₆</w:t>
      </w:r>
      <w:r>
        <w:t xml:space="preserve"> in </w:t>
      </w:r>
      <w:r w:rsidR="00FC68EB">
        <w:t xml:space="preserve">48X and 48Y cylinders </w:t>
      </w:r>
      <w:r>
        <w:t>with thermal protection</w:t>
      </w:r>
      <w:r w:rsidR="00AA670E">
        <w:t>,</w:t>
      </w:r>
      <w:r>
        <w:t xml:space="preserve"> and the transport of residual quantities without thermal protection.</w:t>
      </w:r>
    </w:p>
    <w:p w14:paraId="5AAD3149" w14:textId="464490C3" w:rsidR="00FA3050" w:rsidRDefault="00437267" w:rsidP="00890294">
      <w:pPr>
        <w:pStyle w:val="NumList1"/>
        <w:numPr>
          <w:ilvl w:val="0"/>
          <w:numId w:val="0"/>
        </w:numPr>
        <w:tabs>
          <w:tab w:val="left" w:pos="851"/>
        </w:tabs>
        <w:ind w:right="-188"/>
      </w:pPr>
      <w:r w:rsidRPr="00D75DD0">
        <w:t>ONR undertook a proportionate assessment focused on the principal change introduced by the application: the removal of thermal protection for cylinders containing a minimum UF</w:t>
      </w:r>
      <w:r w:rsidRPr="00D75DD0">
        <w:rPr>
          <w:rFonts w:ascii="Cambria Math" w:hAnsi="Cambria Math" w:cs="Cambria Math"/>
        </w:rPr>
        <w:t>₆</w:t>
      </w:r>
      <w:r w:rsidRPr="00D75DD0">
        <w:t xml:space="preserve"> mass of 11,875 kg. The assessment considered the applicant's Safety Analysis Report, supporting technical justification, and Periodic Design Safety Review, together with input from ONR transport inspectors and technical specialists.</w:t>
      </w:r>
      <w:r w:rsidR="00FB2943">
        <w:t xml:space="preserve"> </w:t>
      </w:r>
      <w:r w:rsidR="001924DF" w:rsidRPr="00D75DD0">
        <w:t>The applicant's safety case is based on the increased thermal inertia associated with the higher UF</w:t>
      </w:r>
      <w:r w:rsidR="001924DF" w:rsidRPr="00D75DD0">
        <w:rPr>
          <w:rFonts w:ascii="Cambria Math" w:hAnsi="Cambria Math" w:cs="Cambria Math"/>
        </w:rPr>
        <w:t>₆</w:t>
      </w:r>
      <w:r w:rsidR="001924DF" w:rsidRPr="00D75DD0">
        <w:t xml:space="preserve"> mass, which acts as a significant heat sink during the regulatory fire scenario and thereby reduces the likelihood of cylinder failure. ONR found this justification to be technically credible and adequately supported by experimental evidence, analytical studies, and established heat transfer principles.</w:t>
      </w:r>
      <w:r w:rsidR="00FB2943">
        <w:t xml:space="preserve"> </w:t>
      </w:r>
      <w:r w:rsidR="00FB2943" w:rsidRPr="00D75DD0">
        <w:t>The assessment concluded that cylinders containing at least 11,875 kg of UF</w:t>
      </w:r>
      <w:r w:rsidR="00FB2943" w:rsidRPr="00D75DD0">
        <w:rPr>
          <w:rFonts w:ascii="Cambria Math" w:hAnsi="Cambria Math" w:cs="Cambria Math"/>
        </w:rPr>
        <w:t>₆</w:t>
      </w:r>
      <w:r w:rsidR="00FB2943" w:rsidRPr="00D75DD0">
        <w:t xml:space="preserve"> are likely to exhibit greater resilience during the regulatory thermal test than the 9,000 kg benchmark considered in earlier IAEA studies. As the 48Y package design requires a minimum UF</w:t>
      </w:r>
      <w:r w:rsidR="00FB2943" w:rsidRPr="00D75DD0">
        <w:rPr>
          <w:rFonts w:ascii="Cambria Math" w:hAnsi="Cambria Math" w:cs="Cambria Math"/>
        </w:rPr>
        <w:t>₆</w:t>
      </w:r>
      <w:r w:rsidR="00FB2943" w:rsidRPr="00D75DD0">
        <w:t xml:space="preserve"> mass of 11,875 kg, the applicant subsequently withdrew the request for approval of the 48X package design, on the basis that demonstrating compliance with the applicable thermal performance requirements would be more challenging</w:t>
      </w:r>
      <w:r w:rsidR="00EF6A2F">
        <w:t xml:space="preserve"> due to the</w:t>
      </w:r>
      <w:r w:rsidR="00C3443C">
        <w:t xml:space="preserve"> cylinders typically </w:t>
      </w:r>
      <w:r w:rsidR="00A41161">
        <w:t xml:space="preserve">carrying </w:t>
      </w:r>
      <w:r w:rsidR="00F1367B">
        <w:t>lower quantities</w:t>
      </w:r>
      <w:r w:rsidR="00A41161">
        <w:t xml:space="preserve"> of </w:t>
      </w:r>
      <w:r w:rsidR="00747357" w:rsidRPr="00D75DD0">
        <w:t>UF</w:t>
      </w:r>
      <w:r w:rsidR="00747357" w:rsidRPr="00D75DD0">
        <w:rPr>
          <w:rFonts w:ascii="Cambria Math" w:hAnsi="Cambria Math" w:cs="Cambria Math"/>
        </w:rPr>
        <w:t>₆</w:t>
      </w:r>
      <w:r w:rsidR="00FB2943" w:rsidRPr="00D75DD0">
        <w:t>.</w:t>
      </w:r>
    </w:p>
    <w:p w14:paraId="0101D8CF" w14:textId="51825755" w:rsidR="00A142E0" w:rsidRDefault="00A142E0" w:rsidP="00890294">
      <w:pPr>
        <w:pStyle w:val="NumList1"/>
        <w:numPr>
          <w:ilvl w:val="0"/>
          <w:numId w:val="0"/>
        </w:numPr>
        <w:tabs>
          <w:tab w:val="left" w:pos="851"/>
        </w:tabs>
        <w:ind w:right="-188"/>
      </w:pPr>
      <w:r>
        <w:t>A key outcome of ONR's assessment is that approval of this application should not be interpreted as establishing a generic policy position regarding the future application of SSR-6 paragraph 634(c). ONR considers that future H(M) applications for UF</w:t>
      </w:r>
      <w:r w:rsidRPr="00A142E0">
        <w:rPr>
          <w:rFonts w:ascii="Cambria Math" w:hAnsi="Cambria Math" w:cs="Cambria Math"/>
        </w:rPr>
        <w:t>₆</w:t>
      </w:r>
      <w:r>
        <w:t xml:space="preserve"> packages without thermal protection should continue to be assessed on a case-by-case basis. </w:t>
      </w:r>
    </w:p>
    <w:p w14:paraId="0D3ADF5D" w14:textId="5A8B5ACB" w:rsidR="00A142E0" w:rsidRDefault="00A142E0" w:rsidP="00890294">
      <w:pPr>
        <w:pStyle w:val="NumList1"/>
        <w:numPr>
          <w:ilvl w:val="0"/>
          <w:numId w:val="0"/>
        </w:numPr>
        <w:tabs>
          <w:tab w:val="left" w:pos="851"/>
        </w:tabs>
        <w:ind w:right="-188"/>
      </w:pPr>
      <w:r w:rsidRPr="00A142E0">
        <w:t xml:space="preserve">Subject to the applicant incorporating the technical justification into its </w:t>
      </w:r>
      <w:r w:rsidR="00AC4833">
        <w:t xml:space="preserve">Safety Analysis Report </w:t>
      </w:r>
      <w:r w:rsidRPr="00A142E0">
        <w:t>and the Certificate of Approval explicitly limiting transport to cylinders containing a minimum of 11,875 kg UF</w:t>
      </w:r>
      <w:r w:rsidRPr="00A142E0">
        <w:rPr>
          <w:rFonts w:ascii="Cambria Math" w:hAnsi="Cambria Math" w:cs="Cambria Math"/>
        </w:rPr>
        <w:t>₆</w:t>
      </w:r>
      <w:r w:rsidRPr="00A142E0">
        <w:t>, ONR's assessment concludes that the package design meets the relevant regulatory requirements. Accordingly, the assessment supports the granting of Competent Authority approval for package design GB/412</w:t>
      </w:r>
      <w:r w:rsidR="00076D2C">
        <w:t>5</w:t>
      </w:r>
      <w:r w:rsidRPr="00A142E0">
        <w:t>/H(M).</w:t>
      </w:r>
    </w:p>
    <w:p w14:paraId="3A316426" w14:textId="6D38D3F3" w:rsidR="00E64FE5" w:rsidRPr="00C66A84" w:rsidRDefault="00E64FE5" w:rsidP="000A0771">
      <w:pPr>
        <w:pStyle w:val="Bulletlist1"/>
        <w:numPr>
          <w:ilvl w:val="0"/>
          <w:numId w:val="0"/>
        </w:numPr>
        <w:sectPr w:rsidR="00E64FE5" w:rsidRPr="00C66A84" w:rsidSect="00F1367B">
          <w:headerReference w:type="even" r:id="rId18"/>
          <w:headerReference w:type="default" r:id="rId19"/>
          <w:footerReference w:type="even" r:id="rId20"/>
          <w:footerReference w:type="default" r:id="rId21"/>
          <w:pgSz w:w="11906" w:h="16838" w:code="9"/>
          <w:pgMar w:top="1440" w:right="1416" w:bottom="1440" w:left="1440" w:header="397" w:footer="397" w:gutter="0"/>
          <w:cols w:space="312"/>
          <w:docGrid w:linePitch="360"/>
        </w:sectPr>
      </w:pPr>
    </w:p>
    <w:p w14:paraId="73857138" w14:textId="7D1818D1" w:rsidR="00E72E4A" w:rsidRPr="00FB0CE0" w:rsidRDefault="00E72E4A" w:rsidP="00E72E4A">
      <w:pPr>
        <w:pStyle w:val="Caption"/>
        <w:keepNext/>
      </w:pPr>
      <w:r>
        <w:lastRenderedPageBreak/>
        <w:t xml:space="preserve">Table </w:t>
      </w:r>
      <w:r>
        <w:fldChar w:fldCharType="begin"/>
      </w:r>
      <w:r>
        <w:instrText>SEQ Table \* ARABIC</w:instrText>
      </w:r>
      <w:r>
        <w:fldChar w:fldCharType="separate"/>
      </w:r>
      <w:r w:rsidR="00F45C09">
        <w:rPr>
          <w:noProof/>
        </w:rPr>
        <w:t>1</w:t>
      </w:r>
      <w:r>
        <w:fldChar w:fldCharType="end"/>
      </w:r>
      <w:r>
        <w:t>: List of abbreviations.</w:t>
      </w:r>
    </w:p>
    <w:tbl>
      <w:tblPr>
        <w:tblStyle w:val="Box2"/>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37"/>
        <w:gridCol w:w="6679"/>
      </w:tblGrid>
      <w:tr w:rsidR="00FB0CE0" w:rsidRPr="00FB0CE0" w14:paraId="4E32C20A" w14:textId="77777777" w:rsidTr="00F60DCC">
        <w:trPr>
          <w:cnfStyle w:val="100000000000" w:firstRow="1" w:lastRow="0" w:firstColumn="0" w:lastColumn="0" w:oddVBand="0" w:evenVBand="0" w:oddHBand="0" w:evenHBand="0" w:firstRowFirstColumn="0" w:firstRowLastColumn="0" w:lastRowFirstColumn="0" w:lastRowLastColumn="0"/>
        </w:trPr>
        <w:tc>
          <w:tcPr>
            <w:tcW w:w="2337" w:type="dxa"/>
            <w:tcBorders>
              <w:top w:val="single" w:sz="4" w:space="0" w:color="auto"/>
              <w:bottom w:val="single" w:sz="4" w:space="0" w:color="auto"/>
            </w:tcBorders>
          </w:tcPr>
          <w:p w14:paraId="6430A6B3" w14:textId="67593FD4" w:rsidR="00FB0CE0" w:rsidRPr="00FB0CE0" w:rsidRDefault="00FB0CE0" w:rsidP="00FB0CE0">
            <w:pPr>
              <w:spacing w:before="60" w:after="60"/>
              <w:rPr>
                <w:b w:val="0"/>
                <w:bCs/>
              </w:rPr>
            </w:pPr>
            <w:r w:rsidRPr="00FB0CE0">
              <w:rPr>
                <w:b w:val="0"/>
                <w:bCs/>
              </w:rPr>
              <w:t>Term/Acro</w:t>
            </w:r>
            <w:r w:rsidR="000368AE">
              <w:rPr>
                <w:b w:val="0"/>
                <w:bCs/>
              </w:rPr>
              <w:t>nym</w:t>
            </w:r>
          </w:p>
        </w:tc>
        <w:tc>
          <w:tcPr>
            <w:tcW w:w="6679" w:type="dxa"/>
            <w:tcBorders>
              <w:top w:val="single" w:sz="4" w:space="0" w:color="auto"/>
              <w:bottom w:val="single" w:sz="4" w:space="0" w:color="auto"/>
            </w:tcBorders>
          </w:tcPr>
          <w:p w14:paraId="3978110C" w14:textId="2EC7A7B6" w:rsidR="00FB0CE0" w:rsidRPr="00FB0CE0" w:rsidRDefault="00FB0CE0" w:rsidP="00FB0CE0">
            <w:pPr>
              <w:spacing w:before="60" w:after="60"/>
              <w:rPr>
                <w:b w:val="0"/>
                <w:bCs/>
              </w:rPr>
            </w:pPr>
            <w:r w:rsidRPr="00FB0CE0">
              <w:rPr>
                <w:b w:val="0"/>
                <w:bCs/>
              </w:rPr>
              <w:t>Description</w:t>
            </w:r>
          </w:p>
        </w:tc>
      </w:tr>
      <w:tr w:rsidR="00B53317" w14:paraId="08B4646C" w14:textId="77777777" w:rsidTr="00F60DCC">
        <w:tc>
          <w:tcPr>
            <w:tcW w:w="2337" w:type="dxa"/>
            <w:tcBorders>
              <w:top w:val="single" w:sz="4" w:space="0" w:color="auto"/>
            </w:tcBorders>
            <w:shd w:val="clear" w:color="auto" w:fill="auto"/>
          </w:tcPr>
          <w:p w14:paraId="4CACC636" w14:textId="64B50129" w:rsidR="00B53317" w:rsidRDefault="00F6180D" w:rsidP="00FB0CE0">
            <w:pPr>
              <w:spacing w:before="60" w:after="60"/>
            </w:pPr>
            <w:r>
              <w:t>ADR</w:t>
            </w:r>
          </w:p>
        </w:tc>
        <w:tc>
          <w:tcPr>
            <w:tcW w:w="6679" w:type="dxa"/>
            <w:tcBorders>
              <w:top w:val="single" w:sz="4" w:space="0" w:color="auto"/>
            </w:tcBorders>
            <w:shd w:val="clear" w:color="auto" w:fill="auto"/>
          </w:tcPr>
          <w:p w14:paraId="1B3CDB43" w14:textId="28A650A6" w:rsidR="00B53317" w:rsidRDefault="00F6180D" w:rsidP="00FB0CE0">
            <w:pPr>
              <w:spacing w:before="60" w:after="60"/>
            </w:pPr>
            <w:r w:rsidRPr="007427D9">
              <w:t>Agreement concerning the International Carriage of Dangerous Goods by Road</w:t>
            </w:r>
          </w:p>
        </w:tc>
      </w:tr>
      <w:tr w:rsidR="00F1367B" w14:paraId="6AD0198F" w14:textId="77777777" w:rsidTr="00F60DCC">
        <w:tc>
          <w:tcPr>
            <w:tcW w:w="2337" w:type="dxa"/>
            <w:shd w:val="clear" w:color="auto" w:fill="auto"/>
          </w:tcPr>
          <w:p w14:paraId="21227C1B" w14:textId="2A12BF4A" w:rsidR="00F1367B" w:rsidRDefault="008B2776" w:rsidP="00FB0CE0">
            <w:pPr>
              <w:spacing w:before="60" w:after="60"/>
            </w:pPr>
            <w:r>
              <w:t>ANSI</w:t>
            </w:r>
          </w:p>
        </w:tc>
        <w:tc>
          <w:tcPr>
            <w:tcW w:w="6679" w:type="dxa"/>
            <w:shd w:val="clear" w:color="auto" w:fill="auto"/>
          </w:tcPr>
          <w:p w14:paraId="42FFCFB5" w14:textId="7E43ED58" w:rsidR="00F1367B" w:rsidRDefault="00F1367B" w:rsidP="00FB0CE0">
            <w:pPr>
              <w:spacing w:before="60" w:after="60"/>
            </w:pPr>
            <w:r w:rsidRPr="000B6553">
              <w:t>American National Standards Institute</w:t>
            </w:r>
          </w:p>
        </w:tc>
      </w:tr>
      <w:tr w:rsidR="00B53317" w14:paraId="08DFB38F" w14:textId="77777777" w:rsidTr="00F60DCC">
        <w:tc>
          <w:tcPr>
            <w:tcW w:w="2337" w:type="dxa"/>
            <w:shd w:val="clear" w:color="auto" w:fill="auto"/>
          </w:tcPr>
          <w:p w14:paraId="0B7D36DD" w14:textId="6E77BC08" w:rsidR="00B53317" w:rsidRDefault="003C1161" w:rsidP="00FB0CE0">
            <w:pPr>
              <w:spacing w:before="60" w:after="60"/>
            </w:pPr>
            <w:r>
              <w:t>CA</w:t>
            </w:r>
          </w:p>
        </w:tc>
        <w:tc>
          <w:tcPr>
            <w:tcW w:w="6679" w:type="dxa"/>
            <w:shd w:val="clear" w:color="auto" w:fill="auto"/>
          </w:tcPr>
          <w:p w14:paraId="5DAE7587" w14:textId="6815A22C" w:rsidR="00B53317" w:rsidRDefault="003C1161" w:rsidP="00FB0CE0">
            <w:pPr>
              <w:spacing w:before="60" w:after="60"/>
            </w:pPr>
            <w:r>
              <w:t>Competent Authority</w:t>
            </w:r>
          </w:p>
        </w:tc>
      </w:tr>
      <w:tr w:rsidR="00093263" w14:paraId="56E7E7E5" w14:textId="77777777" w:rsidTr="00F60DCC">
        <w:tc>
          <w:tcPr>
            <w:tcW w:w="2337" w:type="dxa"/>
            <w:shd w:val="clear" w:color="auto" w:fill="auto"/>
          </w:tcPr>
          <w:p w14:paraId="73F3B92C" w14:textId="2E3BE23C" w:rsidR="00093263" w:rsidRDefault="00055735" w:rsidP="00FB0CE0">
            <w:pPr>
              <w:spacing w:before="60" w:after="60"/>
            </w:pPr>
            <w:r>
              <w:t>CDG09</w:t>
            </w:r>
          </w:p>
        </w:tc>
        <w:tc>
          <w:tcPr>
            <w:tcW w:w="6679" w:type="dxa"/>
            <w:shd w:val="clear" w:color="auto" w:fill="auto"/>
          </w:tcPr>
          <w:p w14:paraId="6813B3DC" w14:textId="414D6932" w:rsidR="00093263" w:rsidRPr="00522C30" w:rsidRDefault="00055735" w:rsidP="00FB0CE0">
            <w:pPr>
              <w:spacing w:before="60" w:after="60"/>
              <w:rPr>
                <w:lang w:bidi="ar-SA"/>
              </w:rPr>
            </w:pPr>
            <w:r>
              <w:rPr>
                <w:lang w:bidi="ar-SA"/>
              </w:rPr>
              <w:t xml:space="preserve">The Carriage of Dangerous Goods and </w:t>
            </w:r>
            <w:r w:rsidR="00E11126">
              <w:rPr>
                <w:lang w:bidi="ar-SA"/>
              </w:rPr>
              <w:t xml:space="preserve">Use of </w:t>
            </w:r>
            <w:r>
              <w:rPr>
                <w:lang w:bidi="ar-SA"/>
              </w:rPr>
              <w:t xml:space="preserve">Transportable Pressure </w:t>
            </w:r>
            <w:r w:rsidR="00B33E7E">
              <w:rPr>
                <w:lang w:bidi="ar-SA"/>
              </w:rPr>
              <w:t>Equipment</w:t>
            </w:r>
            <w:r>
              <w:rPr>
                <w:lang w:bidi="ar-SA"/>
              </w:rPr>
              <w:t xml:space="preserve"> Regulations 2009</w:t>
            </w:r>
          </w:p>
        </w:tc>
      </w:tr>
      <w:tr w:rsidR="00F60DCC" w14:paraId="4682E971" w14:textId="77777777" w:rsidTr="00F60DCC">
        <w:tc>
          <w:tcPr>
            <w:tcW w:w="2337" w:type="dxa"/>
            <w:shd w:val="clear" w:color="auto" w:fill="auto"/>
          </w:tcPr>
          <w:p w14:paraId="4D961CA9" w14:textId="2B0B4653" w:rsidR="00F60DCC" w:rsidRDefault="00F60DCC" w:rsidP="00FB0CE0">
            <w:pPr>
              <w:spacing w:before="60" w:after="60"/>
            </w:pPr>
            <w:r>
              <w:t>CoA</w:t>
            </w:r>
          </w:p>
        </w:tc>
        <w:tc>
          <w:tcPr>
            <w:tcW w:w="6679" w:type="dxa"/>
            <w:shd w:val="clear" w:color="auto" w:fill="auto"/>
          </w:tcPr>
          <w:p w14:paraId="12D668E6" w14:textId="6F742A09" w:rsidR="00F60DCC" w:rsidRDefault="00F60DCC" w:rsidP="00FB0CE0">
            <w:pPr>
              <w:spacing w:before="60" w:after="60"/>
              <w:rPr>
                <w:lang w:bidi="ar-SA"/>
              </w:rPr>
            </w:pPr>
            <w:r>
              <w:rPr>
                <w:lang w:bidi="ar-SA"/>
              </w:rPr>
              <w:t>Certificate of Approval</w:t>
            </w:r>
          </w:p>
        </w:tc>
      </w:tr>
      <w:tr w:rsidR="005363A6" w14:paraId="7757A1DC" w14:textId="77777777" w:rsidTr="00F60DCC">
        <w:tc>
          <w:tcPr>
            <w:tcW w:w="2337" w:type="dxa"/>
            <w:shd w:val="clear" w:color="auto" w:fill="auto"/>
          </w:tcPr>
          <w:p w14:paraId="2AF23D03" w14:textId="37864B27" w:rsidR="005363A6" w:rsidRDefault="005363A6" w:rsidP="00FB0CE0">
            <w:pPr>
              <w:spacing w:before="60" w:after="60"/>
            </w:pPr>
            <w:r>
              <w:t>DMG</w:t>
            </w:r>
          </w:p>
        </w:tc>
        <w:tc>
          <w:tcPr>
            <w:tcW w:w="6679" w:type="dxa"/>
            <w:shd w:val="clear" w:color="auto" w:fill="auto"/>
          </w:tcPr>
          <w:p w14:paraId="2A1B60A7" w14:textId="5C87ACED" w:rsidR="005363A6" w:rsidRDefault="00783154" w:rsidP="00FB0CE0">
            <w:pPr>
              <w:spacing w:before="60" w:after="60"/>
            </w:pPr>
            <w:r>
              <w:t>Delivery Management</w:t>
            </w:r>
            <w:r w:rsidR="005363A6">
              <w:t xml:space="preserve"> Group</w:t>
            </w:r>
          </w:p>
        </w:tc>
      </w:tr>
      <w:tr w:rsidR="00B53317" w14:paraId="0DF6686E" w14:textId="77777777" w:rsidTr="00F60DCC">
        <w:tc>
          <w:tcPr>
            <w:tcW w:w="2337" w:type="dxa"/>
            <w:shd w:val="clear" w:color="auto" w:fill="auto"/>
          </w:tcPr>
          <w:p w14:paraId="7238C053" w14:textId="31118599" w:rsidR="00B53317" w:rsidRDefault="005B5423" w:rsidP="00FB0CE0">
            <w:pPr>
              <w:spacing w:before="60" w:after="60"/>
            </w:pPr>
            <w:r>
              <w:t>GB</w:t>
            </w:r>
          </w:p>
        </w:tc>
        <w:tc>
          <w:tcPr>
            <w:tcW w:w="6679" w:type="dxa"/>
            <w:shd w:val="clear" w:color="auto" w:fill="auto"/>
          </w:tcPr>
          <w:p w14:paraId="06372E43" w14:textId="4AD0D07F" w:rsidR="00B53317" w:rsidRDefault="005B5423" w:rsidP="00FB0CE0">
            <w:pPr>
              <w:spacing w:before="60" w:after="60"/>
            </w:pPr>
            <w:r>
              <w:t>Great Britain</w:t>
            </w:r>
          </w:p>
        </w:tc>
      </w:tr>
      <w:tr w:rsidR="00706FFC" w14:paraId="1E504FED" w14:textId="77777777" w:rsidTr="00F60DCC">
        <w:tc>
          <w:tcPr>
            <w:tcW w:w="2337" w:type="dxa"/>
            <w:shd w:val="clear" w:color="auto" w:fill="auto"/>
          </w:tcPr>
          <w:p w14:paraId="42CC8774" w14:textId="32686C5B" w:rsidR="00706FFC" w:rsidRDefault="00706FFC" w:rsidP="00FB0CE0">
            <w:pPr>
              <w:spacing w:before="60" w:after="60"/>
            </w:pPr>
            <w:r>
              <w:t>HF</w:t>
            </w:r>
          </w:p>
        </w:tc>
        <w:tc>
          <w:tcPr>
            <w:tcW w:w="6679" w:type="dxa"/>
            <w:shd w:val="clear" w:color="auto" w:fill="auto"/>
          </w:tcPr>
          <w:p w14:paraId="3B754E79" w14:textId="6D575814" w:rsidR="00706FFC" w:rsidRDefault="00706FFC" w:rsidP="00FB0CE0">
            <w:pPr>
              <w:spacing w:before="60" w:after="60"/>
            </w:pPr>
            <w:r>
              <w:t>Human Factors</w:t>
            </w:r>
          </w:p>
        </w:tc>
      </w:tr>
      <w:tr w:rsidR="003C1161" w14:paraId="6A43F00C" w14:textId="77777777" w:rsidTr="00F60DCC">
        <w:tc>
          <w:tcPr>
            <w:tcW w:w="2337" w:type="dxa"/>
            <w:shd w:val="clear" w:color="auto" w:fill="auto"/>
          </w:tcPr>
          <w:p w14:paraId="3A42133D" w14:textId="63600A6F" w:rsidR="003C1161" w:rsidRDefault="003C1161" w:rsidP="003C1161">
            <w:pPr>
              <w:spacing w:before="60" w:after="60"/>
            </w:pPr>
            <w:r w:rsidRPr="00603563">
              <w:t>IAEA</w:t>
            </w:r>
          </w:p>
        </w:tc>
        <w:tc>
          <w:tcPr>
            <w:tcW w:w="6679" w:type="dxa"/>
            <w:shd w:val="clear" w:color="auto" w:fill="auto"/>
          </w:tcPr>
          <w:p w14:paraId="13E8EFCB" w14:textId="1BFFCC16" w:rsidR="003C1161" w:rsidRDefault="003C1161" w:rsidP="003C1161">
            <w:pPr>
              <w:spacing w:before="60" w:after="60"/>
            </w:pPr>
            <w:r w:rsidRPr="00603563">
              <w:t>International Atomic Energy Agency</w:t>
            </w:r>
          </w:p>
        </w:tc>
      </w:tr>
      <w:tr w:rsidR="00952EE4" w14:paraId="4905006C" w14:textId="77777777" w:rsidTr="00F60DCC">
        <w:tc>
          <w:tcPr>
            <w:tcW w:w="2337" w:type="dxa"/>
            <w:shd w:val="clear" w:color="auto" w:fill="auto"/>
          </w:tcPr>
          <w:p w14:paraId="45073AA2" w14:textId="0FAB01C0" w:rsidR="00952EE4" w:rsidRDefault="00952EE4" w:rsidP="003C1161">
            <w:pPr>
              <w:spacing w:before="60" w:after="60"/>
            </w:pPr>
            <w:r>
              <w:t>IMDG</w:t>
            </w:r>
          </w:p>
        </w:tc>
        <w:tc>
          <w:tcPr>
            <w:tcW w:w="6679" w:type="dxa"/>
            <w:shd w:val="clear" w:color="auto" w:fill="auto"/>
          </w:tcPr>
          <w:p w14:paraId="41613397" w14:textId="55E91601" w:rsidR="00952EE4" w:rsidRDefault="00952EE4" w:rsidP="003C1161">
            <w:pPr>
              <w:spacing w:before="60" w:after="60"/>
            </w:pPr>
            <w:r>
              <w:t>International Maritime Dangerous Goods</w:t>
            </w:r>
          </w:p>
        </w:tc>
      </w:tr>
      <w:tr w:rsidR="00166FF7" w14:paraId="1412ECEF" w14:textId="77777777" w:rsidTr="00F60DCC">
        <w:tc>
          <w:tcPr>
            <w:tcW w:w="2337" w:type="dxa"/>
            <w:shd w:val="clear" w:color="auto" w:fill="auto"/>
          </w:tcPr>
          <w:p w14:paraId="300FF3DC" w14:textId="48CF904E" w:rsidR="00166FF7" w:rsidRDefault="00166FF7" w:rsidP="003C1161">
            <w:pPr>
              <w:spacing w:before="60" w:after="60"/>
            </w:pPr>
            <w:r>
              <w:t>ISO</w:t>
            </w:r>
          </w:p>
        </w:tc>
        <w:tc>
          <w:tcPr>
            <w:tcW w:w="6679" w:type="dxa"/>
            <w:shd w:val="clear" w:color="auto" w:fill="auto"/>
          </w:tcPr>
          <w:p w14:paraId="6F0B002F" w14:textId="51FAC354" w:rsidR="00166FF7" w:rsidRDefault="00166FF7" w:rsidP="003C1161">
            <w:pPr>
              <w:spacing w:before="60" w:after="60"/>
            </w:pPr>
            <w:r w:rsidRPr="00AF7B54">
              <w:t>International Organization for Standardization</w:t>
            </w:r>
            <w:r>
              <w:t xml:space="preserve"> </w:t>
            </w:r>
          </w:p>
        </w:tc>
      </w:tr>
      <w:tr w:rsidR="003C1161" w14:paraId="2F8C163A" w14:textId="77777777" w:rsidTr="00F60DCC">
        <w:tc>
          <w:tcPr>
            <w:tcW w:w="2337" w:type="dxa"/>
            <w:shd w:val="clear" w:color="auto" w:fill="auto"/>
          </w:tcPr>
          <w:p w14:paraId="5DAE071A" w14:textId="7C8BF799" w:rsidR="003C1161" w:rsidRPr="00603563" w:rsidRDefault="003C1161" w:rsidP="003C1161">
            <w:pPr>
              <w:spacing w:before="60" w:after="60"/>
            </w:pPr>
            <w:r w:rsidRPr="00FA074B">
              <w:t>ONR</w:t>
            </w:r>
          </w:p>
        </w:tc>
        <w:tc>
          <w:tcPr>
            <w:tcW w:w="6679" w:type="dxa"/>
            <w:shd w:val="clear" w:color="auto" w:fill="auto"/>
          </w:tcPr>
          <w:p w14:paraId="78535260" w14:textId="20A69CB9" w:rsidR="003C1161" w:rsidRPr="00603563" w:rsidRDefault="003C1161" w:rsidP="003C1161">
            <w:pPr>
              <w:spacing w:before="60" w:after="60"/>
            </w:pPr>
            <w:r w:rsidRPr="00FA074B">
              <w:t xml:space="preserve">Office for Nuclear Regulation </w:t>
            </w:r>
          </w:p>
        </w:tc>
      </w:tr>
      <w:tr w:rsidR="003C1161" w14:paraId="564058CB" w14:textId="77777777" w:rsidTr="00F60DCC">
        <w:tc>
          <w:tcPr>
            <w:tcW w:w="2337" w:type="dxa"/>
            <w:shd w:val="clear" w:color="auto" w:fill="auto"/>
          </w:tcPr>
          <w:p w14:paraId="4D3F02EE" w14:textId="4357D66E" w:rsidR="003C1161" w:rsidRPr="00603563" w:rsidRDefault="00350036" w:rsidP="003C1161">
            <w:pPr>
              <w:spacing w:before="60" w:after="60"/>
            </w:pPr>
            <w:r>
              <w:t>PAR</w:t>
            </w:r>
          </w:p>
        </w:tc>
        <w:tc>
          <w:tcPr>
            <w:tcW w:w="6679" w:type="dxa"/>
            <w:shd w:val="clear" w:color="auto" w:fill="auto"/>
          </w:tcPr>
          <w:p w14:paraId="056030E4" w14:textId="246974DA" w:rsidR="003C1161" w:rsidRPr="00603563" w:rsidRDefault="00350036" w:rsidP="003C1161">
            <w:pPr>
              <w:spacing w:before="60" w:after="60"/>
            </w:pPr>
            <w:r>
              <w:t xml:space="preserve">Project Assessment </w:t>
            </w:r>
            <w:r w:rsidR="006328EE">
              <w:t>R</w:t>
            </w:r>
            <w:r>
              <w:t>eport</w:t>
            </w:r>
          </w:p>
        </w:tc>
      </w:tr>
      <w:tr w:rsidR="00E17CA6" w14:paraId="00BEDA86" w14:textId="77777777" w:rsidTr="00F60DCC">
        <w:tc>
          <w:tcPr>
            <w:tcW w:w="2337" w:type="dxa"/>
            <w:shd w:val="clear" w:color="auto" w:fill="auto"/>
          </w:tcPr>
          <w:p w14:paraId="7C5C63C5" w14:textId="75856937" w:rsidR="00E17CA6" w:rsidRDefault="00E17CA6" w:rsidP="00350036">
            <w:pPr>
              <w:spacing w:before="60" w:after="60"/>
            </w:pPr>
            <w:r>
              <w:t>RID</w:t>
            </w:r>
          </w:p>
        </w:tc>
        <w:tc>
          <w:tcPr>
            <w:tcW w:w="6679" w:type="dxa"/>
            <w:shd w:val="clear" w:color="auto" w:fill="auto"/>
          </w:tcPr>
          <w:p w14:paraId="7F6C81DC" w14:textId="17450F4D" w:rsidR="00086ED3" w:rsidRDefault="00086ED3" w:rsidP="005363A6">
            <w:pPr>
              <w:spacing w:before="60" w:after="60"/>
            </w:pPr>
            <w:r w:rsidRPr="00D71AE0">
              <w:t>Regulations concerning the International Carriage of Dangerous Goods by Rail</w:t>
            </w:r>
          </w:p>
        </w:tc>
      </w:tr>
      <w:tr w:rsidR="00DC1F11" w14:paraId="75A03DBD" w14:textId="77777777" w:rsidTr="00F60DCC">
        <w:tc>
          <w:tcPr>
            <w:tcW w:w="2337" w:type="dxa"/>
            <w:shd w:val="clear" w:color="auto" w:fill="auto"/>
          </w:tcPr>
          <w:p w14:paraId="21098983" w14:textId="45EAE265" w:rsidR="00DC1F11" w:rsidRDefault="00DC1F11" w:rsidP="00350036">
            <w:pPr>
              <w:spacing w:before="60" w:after="60"/>
            </w:pPr>
            <w:r>
              <w:t>RQ</w:t>
            </w:r>
          </w:p>
        </w:tc>
        <w:tc>
          <w:tcPr>
            <w:tcW w:w="6679" w:type="dxa"/>
            <w:shd w:val="clear" w:color="auto" w:fill="auto"/>
          </w:tcPr>
          <w:p w14:paraId="05ED248F" w14:textId="046C6C7E" w:rsidR="00DC1F11" w:rsidRDefault="00DC1F11" w:rsidP="00350036">
            <w:pPr>
              <w:spacing w:before="60" w:after="60"/>
            </w:pPr>
            <w:r>
              <w:t>Regulatory Query</w:t>
            </w:r>
          </w:p>
        </w:tc>
      </w:tr>
      <w:tr w:rsidR="009A449C" w14:paraId="246A76C7" w14:textId="77777777" w:rsidTr="00F60DCC">
        <w:tc>
          <w:tcPr>
            <w:tcW w:w="2337" w:type="dxa"/>
            <w:shd w:val="clear" w:color="auto" w:fill="auto"/>
          </w:tcPr>
          <w:p w14:paraId="7DBA9376" w14:textId="5C20379D" w:rsidR="009A449C" w:rsidRDefault="009A449C" w:rsidP="00350036">
            <w:pPr>
              <w:spacing w:before="60" w:after="60"/>
            </w:pPr>
            <w:r>
              <w:t>SAR</w:t>
            </w:r>
          </w:p>
        </w:tc>
        <w:tc>
          <w:tcPr>
            <w:tcW w:w="6679" w:type="dxa"/>
            <w:shd w:val="clear" w:color="auto" w:fill="auto"/>
          </w:tcPr>
          <w:p w14:paraId="79B80A27" w14:textId="63FDAA22" w:rsidR="009A449C" w:rsidRDefault="009A449C" w:rsidP="00350036">
            <w:pPr>
              <w:spacing w:before="60" w:after="60"/>
            </w:pPr>
            <w:r>
              <w:t>Safety Analysis Report</w:t>
            </w:r>
          </w:p>
        </w:tc>
      </w:tr>
      <w:tr w:rsidR="00350036" w14:paraId="54B0D850" w14:textId="77777777" w:rsidTr="00F60DCC">
        <w:tc>
          <w:tcPr>
            <w:tcW w:w="2337" w:type="dxa"/>
            <w:shd w:val="clear" w:color="auto" w:fill="auto"/>
          </w:tcPr>
          <w:p w14:paraId="15738349" w14:textId="668C3A05" w:rsidR="00350036" w:rsidRPr="00603563" w:rsidRDefault="00350036" w:rsidP="00350036">
            <w:pPr>
              <w:spacing w:before="60" w:after="60"/>
            </w:pPr>
            <w:r>
              <w:t>SSR-6</w:t>
            </w:r>
          </w:p>
        </w:tc>
        <w:tc>
          <w:tcPr>
            <w:tcW w:w="6679" w:type="dxa"/>
            <w:shd w:val="clear" w:color="auto" w:fill="auto"/>
          </w:tcPr>
          <w:p w14:paraId="0B805105" w14:textId="4475E827" w:rsidR="00350036" w:rsidRPr="00603563" w:rsidRDefault="0081029D" w:rsidP="00350036">
            <w:pPr>
              <w:spacing w:before="60" w:after="60"/>
            </w:pPr>
            <w:r>
              <w:t xml:space="preserve">IAEA </w:t>
            </w:r>
            <w:r w:rsidR="00350036" w:rsidRPr="00FA32A8">
              <w:t>Regulations for the Safe Transport of Radioactive Material 2018 Edition</w:t>
            </w:r>
          </w:p>
        </w:tc>
      </w:tr>
      <w:tr w:rsidR="00BC092D" w14:paraId="2004A3AF" w14:textId="77777777" w:rsidTr="00F60DCC">
        <w:tc>
          <w:tcPr>
            <w:tcW w:w="2337" w:type="dxa"/>
            <w:shd w:val="clear" w:color="auto" w:fill="auto"/>
          </w:tcPr>
          <w:p w14:paraId="6BC90ABE" w14:textId="20723CE8" w:rsidR="00BC092D" w:rsidRDefault="00BC092D" w:rsidP="00BC092D">
            <w:pPr>
              <w:spacing w:before="60" w:after="60"/>
            </w:pPr>
            <w:r>
              <w:t>UK</w:t>
            </w:r>
          </w:p>
        </w:tc>
        <w:tc>
          <w:tcPr>
            <w:tcW w:w="6679" w:type="dxa"/>
            <w:shd w:val="clear" w:color="auto" w:fill="auto"/>
          </w:tcPr>
          <w:p w14:paraId="1AADFE62" w14:textId="5997561D" w:rsidR="00BC092D" w:rsidRDefault="00BC092D" w:rsidP="00BC092D">
            <w:pPr>
              <w:spacing w:before="60" w:after="60"/>
            </w:pPr>
            <w:r>
              <w:t>United Kingdom</w:t>
            </w:r>
          </w:p>
        </w:tc>
      </w:tr>
      <w:tr w:rsidR="007B3A2B" w14:paraId="6C775779" w14:textId="77777777" w:rsidTr="00F60DCC">
        <w:tc>
          <w:tcPr>
            <w:tcW w:w="2337" w:type="dxa"/>
            <w:shd w:val="clear" w:color="auto" w:fill="auto"/>
          </w:tcPr>
          <w:p w14:paraId="414D109B" w14:textId="6FA2036C" w:rsidR="007B3A2B" w:rsidRDefault="007B3A2B" w:rsidP="00BC092D">
            <w:pPr>
              <w:spacing w:before="60" w:after="60"/>
            </w:pPr>
            <w:r>
              <w:t>UF</w:t>
            </w:r>
            <w:r>
              <w:rPr>
                <w:rFonts w:ascii="Cambria Math" w:hAnsi="Cambria Math" w:cs="Cambria Math"/>
              </w:rPr>
              <w:t>₆</w:t>
            </w:r>
          </w:p>
        </w:tc>
        <w:tc>
          <w:tcPr>
            <w:tcW w:w="6679" w:type="dxa"/>
            <w:shd w:val="clear" w:color="auto" w:fill="auto"/>
          </w:tcPr>
          <w:p w14:paraId="4482E426" w14:textId="79910704" w:rsidR="007B3A2B" w:rsidRDefault="007B3A2B" w:rsidP="00BC092D">
            <w:pPr>
              <w:spacing w:before="60" w:after="60"/>
            </w:pPr>
            <w:r>
              <w:t>Uranium Hexafluoride</w:t>
            </w:r>
          </w:p>
        </w:tc>
      </w:tr>
      <w:tr w:rsidR="00C80643" w14:paraId="5E7A4698" w14:textId="77777777" w:rsidTr="00F60DCC">
        <w:tc>
          <w:tcPr>
            <w:tcW w:w="2337" w:type="dxa"/>
            <w:shd w:val="clear" w:color="auto" w:fill="auto"/>
          </w:tcPr>
          <w:p w14:paraId="27C71E98" w14:textId="0812760F" w:rsidR="00C80643" w:rsidRDefault="00C80643" w:rsidP="00BC092D">
            <w:pPr>
              <w:spacing w:before="60" w:after="60"/>
            </w:pPr>
            <w:r>
              <w:t>UUK</w:t>
            </w:r>
          </w:p>
        </w:tc>
        <w:tc>
          <w:tcPr>
            <w:tcW w:w="6679" w:type="dxa"/>
            <w:shd w:val="clear" w:color="auto" w:fill="auto"/>
          </w:tcPr>
          <w:p w14:paraId="1CED80FE" w14:textId="204C6668" w:rsidR="00C80643" w:rsidRDefault="005363A6" w:rsidP="00BC092D">
            <w:pPr>
              <w:spacing w:before="60" w:after="60"/>
            </w:pPr>
            <w:r>
              <w:t>Urenco UK Ltd</w:t>
            </w:r>
          </w:p>
        </w:tc>
      </w:tr>
      <w:tr w:rsidR="008B2776" w14:paraId="1ADE8A85" w14:textId="77777777" w:rsidTr="00F60DCC">
        <w:tc>
          <w:tcPr>
            <w:tcW w:w="2337" w:type="dxa"/>
            <w:shd w:val="clear" w:color="auto" w:fill="auto"/>
          </w:tcPr>
          <w:p w14:paraId="117AAB6B" w14:textId="4877984B" w:rsidR="008B2776" w:rsidRDefault="008B2776" w:rsidP="00BC092D">
            <w:pPr>
              <w:spacing w:before="60" w:after="60"/>
            </w:pPr>
            <w:r>
              <w:t>VPA</w:t>
            </w:r>
          </w:p>
        </w:tc>
        <w:tc>
          <w:tcPr>
            <w:tcW w:w="6679" w:type="dxa"/>
            <w:shd w:val="clear" w:color="auto" w:fill="auto"/>
          </w:tcPr>
          <w:p w14:paraId="2A0EF520" w14:textId="2D5114E1" w:rsidR="008B2776" w:rsidRDefault="008B2776" w:rsidP="00BC092D">
            <w:pPr>
              <w:spacing w:before="60" w:after="60"/>
            </w:pPr>
            <w:r>
              <w:t xml:space="preserve">Valve Protector Alternate </w:t>
            </w:r>
          </w:p>
        </w:tc>
      </w:tr>
    </w:tbl>
    <w:p w14:paraId="55BFC9BA" w14:textId="77777777" w:rsidR="00B53317" w:rsidRDefault="00B53317" w:rsidP="00B53317"/>
    <w:p w14:paraId="3C974B61" w14:textId="77777777" w:rsidR="00F8500A" w:rsidRDefault="00F8500A" w:rsidP="00410423">
      <w:pPr>
        <w:pStyle w:val="Heading1"/>
        <w:sectPr w:rsidR="00F8500A" w:rsidSect="00E72E4A">
          <w:headerReference w:type="even" r:id="rId22"/>
          <w:headerReference w:type="default" r:id="rId23"/>
          <w:footerReference w:type="even" r:id="rId24"/>
          <w:footerReference w:type="default" r:id="rId25"/>
          <w:pgSz w:w="11906" w:h="16838" w:code="9"/>
          <w:pgMar w:top="1440" w:right="1440" w:bottom="1440" w:left="1440" w:header="397" w:footer="397" w:gutter="0"/>
          <w:cols w:space="312"/>
          <w:docGrid w:linePitch="360"/>
        </w:sectPr>
      </w:pPr>
    </w:p>
    <w:bookmarkEnd w:id="3" w:displacedByCustomXml="next"/>
    <w:sdt>
      <w:sdtPr>
        <w:rPr>
          <w:rFonts w:ascii="Arial" w:eastAsia="Calibri" w:hAnsi="Arial" w:cs="Arial"/>
          <w:color w:val="auto"/>
          <w:sz w:val="24"/>
          <w:szCs w:val="22"/>
          <w:lang w:val="en-GB" w:bidi="he-IL"/>
        </w:rPr>
        <w:id w:val="-989707961"/>
        <w:docPartObj>
          <w:docPartGallery w:val="Table of Contents"/>
          <w:docPartUnique/>
        </w:docPartObj>
      </w:sdtPr>
      <w:sdtEndPr>
        <w:rPr>
          <w:b/>
          <w:bCs/>
          <w:noProof/>
          <w:szCs w:val="24"/>
        </w:rPr>
      </w:sdtEndPr>
      <w:sdtContent>
        <w:p w14:paraId="7F366CE6" w14:textId="3594DF95" w:rsidR="00F8500A" w:rsidRPr="00410423" w:rsidRDefault="00F8500A" w:rsidP="00410423">
          <w:pPr>
            <w:pStyle w:val="TOCHeading"/>
            <w:rPr>
              <w:color w:val="auto"/>
              <w:sz w:val="48"/>
              <w:szCs w:val="48"/>
            </w:rPr>
          </w:pPr>
          <w:r w:rsidRPr="00410423">
            <w:rPr>
              <w:color w:val="auto"/>
              <w:sz w:val="48"/>
              <w:szCs w:val="48"/>
            </w:rPr>
            <w:t xml:space="preserve">Table of </w:t>
          </w:r>
          <w:r w:rsidR="002B0713">
            <w:rPr>
              <w:color w:val="auto"/>
              <w:sz w:val="48"/>
              <w:szCs w:val="48"/>
            </w:rPr>
            <w:t>c</w:t>
          </w:r>
          <w:r w:rsidR="002B0713" w:rsidRPr="00410423">
            <w:rPr>
              <w:color w:val="auto"/>
              <w:sz w:val="48"/>
              <w:szCs w:val="48"/>
            </w:rPr>
            <w:t>ontents</w:t>
          </w:r>
        </w:p>
        <w:p w14:paraId="508A342A" w14:textId="44B43EDE" w:rsidR="00A95C2F" w:rsidRDefault="00F8500A">
          <w:pPr>
            <w:pStyle w:val="TOC1"/>
            <w:rPr>
              <w:rFonts w:asciiTheme="minorHAnsi" w:eastAsiaTheme="minorEastAsia" w:hAnsiTheme="minorHAnsi" w:cstheme="minorBidi"/>
              <w:kern w:val="2"/>
              <w:szCs w:val="24"/>
              <w:lang w:eastAsia="en-GB" w:bidi="ar-SA"/>
              <w14:ligatures w14:val="standardContextual"/>
            </w:rPr>
          </w:pPr>
          <w:r>
            <w:fldChar w:fldCharType="begin"/>
          </w:r>
          <w:r>
            <w:instrText xml:space="preserve"> TOC \o "1-3" \h \z \u </w:instrText>
          </w:r>
          <w:r>
            <w:fldChar w:fldCharType="separate"/>
          </w:r>
          <w:hyperlink w:anchor="_Toc241647274" w:history="1">
            <w:r w:rsidR="00A95C2F" w:rsidRPr="00F42660">
              <w:rPr>
                <w:rStyle w:val="Hyperlink"/>
              </w:rPr>
              <w:t>Executive summary</w:t>
            </w:r>
            <w:r w:rsidR="00A95C2F">
              <w:rPr>
                <w:webHidden/>
              </w:rPr>
              <w:tab/>
            </w:r>
            <w:r w:rsidR="00A95C2F">
              <w:rPr>
                <w:webHidden/>
              </w:rPr>
              <w:fldChar w:fldCharType="begin"/>
            </w:r>
            <w:r w:rsidR="00A95C2F">
              <w:rPr>
                <w:webHidden/>
              </w:rPr>
              <w:instrText xml:space="preserve"> PAGEREF _Toc241647274 \h </w:instrText>
            </w:r>
            <w:r w:rsidR="00A95C2F">
              <w:rPr>
                <w:webHidden/>
              </w:rPr>
            </w:r>
            <w:r w:rsidR="00A95C2F">
              <w:rPr>
                <w:webHidden/>
              </w:rPr>
              <w:fldChar w:fldCharType="separate"/>
            </w:r>
            <w:r w:rsidR="00A95C2F">
              <w:rPr>
                <w:webHidden/>
              </w:rPr>
              <w:t>3</w:t>
            </w:r>
            <w:r w:rsidR="00A95C2F">
              <w:rPr>
                <w:webHidden/>
              </w:rPr>
              <w:fldChar w:fldCharType="end"/>
            </w:r>
          </w:hyperlink>
        </w:p>
        <w:p w14:paraId="61000D4B" w14:textId="167A19C9" w:rsidR="00A95C2F" w:rsidRDefault="00A95C2F">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1647275" w:history="1">
            <w:r w:rsidRPr="00F42660">
              <w:rPr>
                <w:rStyle w:val="Hyperlink"/>
              </w:rPr>
              <w:t>1.</w:t>
            </w:r>
            <w:r>
              <w:rPr>
                <w:rFonts w:asciiTheme="minorHAnsi" w:eastAsiaTheme="minorEastAsia" w:hAnsiTheme="minorHAnsi" w:cstheme="minorBidi"/>
                <w:kern w:val="2"/>
                <w:szCs w:val="24"/>
                <w:lang w:eastAsia="en-GB" w:bidi="ar-SA"/>
                <w14:ligatures w14:val="standardContextual"/>
              </w:rPr>
              <w:tab/>
            </w:r>
            <w:r w:rsidRPr="00F42660">
              <w:rPr>
                <w:rStyle w:val="Hyperlink"/>
              </w:rPr>
              <w:t>Permission requested</w:t>
            </w:r>
            <w:r>
              <w:rPr>
                <w:webHidden/>
              </w:rPr>
              <w:tab/>
            </w:r>
            <w:r>
              <w:rPr>
                <w:webHidden/>
              </w:rPr>
              <w:fldChar w:fldCharType="begin"/>
            </w:r>
            <w:r>
              <w:rPr>
                <w:webHidden/>
              </w:rPr>
              <w:instrText xml:space="preserve"> PAGEREF _Toc241647275 \h </w:instrText>
            </w:r>
            <w:r>
              <w:rPr>
                <w:webHidden/>
              </w:rPr>
            </w:r>
            <w:r>
              <w:rPr>
                <w:webHidden/>
              </w:rPr>
              <w:fldChar w:fldCharType="separate"/>
            </w:r>
            <w:r>
              <w:rPr>
                <w:webHidden/>
              </w:rPr>
              <w:t>6</w:t>
            </w:r>
            <w:r>
              <w:rPr>
                <w:webHidden/>
              </w:rPr>
              <w:fldChar w:fldCharType="end"/>
            </w:r>
          </w:hyperlink>
        </w:p>
        <w:p w14:paraId="5A0ACE83" w14:textId="49154350" w:rsidR="00A95C2F" w:rsidRDefault="00A95C2F">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1647276" w:history="1">
            <w:r w:rsidRPr="00F42660">
              <w:rPr>
                <w:rStyle w:val="Hyperlink"/>
              </w:rPr>
              <w:t>2.</w:t>
            </w:r>
            <w:r>
              <w:rPr>
                <w:rFonts w:asciiTheme="minorHAnsi" w:eastAsiaTheme="minorEastAsia" w:hAnsiTheme="minorHAnsi" w:cstheme="minorBidi"/>
                <w:kern w:val="2"/>
                <w:szCs w:val="24"/>
                <w:lang w:eastAsia="en-GB" w:bidi="ar-SA"/>
                <w14:ligatures w14:val="standardContextual"/>
              </w:rPr>
              <w:tab/>
            </w:r>
            <w:r w:rsidRPr="00F42660">
              <w:rPr>
                <w:rStyle w:val="Hyperlink"/>
              </w:rPr>
              <w:t>Background</w:t>
            </w:r>
            <w:r>
              <w:rPr>
                <w:webHidden/>
              </w:rPr>
              <w:tab/>
            </w:r>
            <w:r>
              <w:rPr>
                <w:webHidden/>
              </w:rPr>
              <w:fldChar w:fldCharType="begin"/>
            </w:r>
            <w:r>
              <w:rPr>
                <w:webHidden/>
              </w:rPr>
              <w:instrText xml:space="preserve"> PAGEREF _Toc241647276 \h </w:instrText>
            </w:r>
            <w:r>
              <w:rPr>
                <w:webHidden/>
              </w:rPr>
            </w:r>
            <w:r>
              <w:rPr>
                <w:webHidden/>
              </w:rPr>
              <w:fldChar w:fldCharType="separate"/>
            </w:r>
            <w:r>
              <w:rPr>
                <w:webHidden/>
              </w:rPr>
              <w:t>6</w:t>
            </w:r>
            <w:r>
              <w:rPr>
                <w:webHidden/>
              </w:rPr>
              <w:fldChar w:fldCharType="end"/>
            </w:r>
          </w:hyperlink>
        </w:p>
        <w:p w14:paraId="6BA15061" w14:textId="35161D99" w:rsidR="00A95C2F" w:rsidRDefault="00A95C2F">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1647277" w:history="1">
            <w:r w:rsidRPr="00F42660">
              <w:rPr>
                <w:rStyle w:val="Hyperlink"/>
              </w:rPr>
              <w:t>2.1.</w:t>
            </w:r>
            <w:r>
              <w:rPr>
                <w:rFonts w:asciiTheme="minorHAnsi" w:eastAsiaTheme="minorEastAsia" w:hAnsiTheme="minorHAnsi" w:cstheme="minorBidi"/>
                <w:kern w:val="2"/>
                <w:szCs w:val="24"/>
                <w:lang w:eastAsia="en-GB" w:bidi="ar-SA"/>
                <w14:ligatures w14:val="standardContextual"/>
              </w:rPr>
              <w:tab/>
            </w:r>
            <w:r w:rsidRPr="00F42660">
              <w:rPr>
                <w:rStyle w:val="Hyperlink"/>
              </w:rPr>
              <w:t>Package design and history</w:t>
            </w:r>
            <w:r>
              <w:rPr>
                <w:webHidden/>
              </w:rPr>
              <w:tab/>
            </w:r>
            <w:r>
              <w:rPr>
                <w:webHidden/>
              </w:rPr>
              <w:fldChar w:fldCharType="begin"/>
            </w:r>
            <w:r>
              <w:rPr>
                <w:webHidden/>
              </w:rPr>
              <w:instrText xml:space="preserve"> PAGEREF _Toc241647277 \h </w:instrText>
            </w:r>
            <w:r>
              <w:rPr>
                <w:webHidden/>
              </w:rPr>
            </w:r>
            <w:r>
              <w:rPr>
                <w:webHidden/>
              </w:rPr>
              <w:fldChar w:fldCharType="separate"/>
            </w:r>
            <w:r>
              <w:rPr>
                <w:webHidden/>
              </w:rPr>
              <w:t>6</w:t>
            </w:r>
            <w:r>
              <w:rPr>
                <w:webHidden/>
              </w:rPr>
              <w:fldChar w:fldCharType="end"/>
            </w:r>
          </w:hyperlink>
        </w:p>
        <w:p w14:paraId="26957C72" w14:textId="6A9A3A58" w:rsidR="00A95C2F" w:rsidRDefault="00A95C2F">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1647278" w:history="1">
            <w:r w:rsidRPr="00F42660">
              <w:rPr>
                <w:rStyle w:val="Hyperlink"/>
              </w:rPr>
              <w:t>3.</w:t>
            </w:r>
            <w:r>
              <w:rPr>
                <w:rFonts w:asciiTheme="minorHAnsi" w:eastAsiaTheme="minorEastAsia" w:hAnsiTheme="minorHAnsi" w:cstheme="minorBidi"/>
                <w:kern w:val="2"/>
                <w:szCs w:val="24"/>
                <w:lang w:eastAsia="en-GB" w:bidi="ar-SA"/>
                <w14:ligatures w14:val="standardContextual"/>
              </w:rPr>
              <w:tab/>
            </w:r>
            <w:r w:rsidRPr="00F42660">
              <w:rPr>
                <w:rStyle w:val="Hyperlink"/>
              </w:rPr>
              <w:t>Assessment and inspection work carried out by ONR in consideration of this request</w:t>
            </w:r>
            <w:r>
              <w:rPr>
                <w:webHidden/>
              </w:rPr>
              <w:tab/>
            </w:r>
            <w:r>
              <w:rPr>
                <w:webHidden/>
              </w:rPr>
              <w:fldChar w:fldCharType="begin"/>
            </w:r>
            <w:r>
              <w:rPr>
                <w:webHidden/>
              </w:rPr>
              <w:instrText xml:space="preserve"> PAGEREF _Toc241647278 \h </w:instrText>
            </w:r>
            <w:r>
              <w:rPr>
                <w:webHidden/>
              </w:rPr>
            </w:r>
            <w:r>
              <w:rPr>
                <w:webHidden/>
              </w:rPr>
              <w:fldChar w:fldCharType="separate"/>
            </w:r>
            <w:r>
              <w:rPr>
                <w:webHidden/>
              </w:rPr>
              <w:t>8</w:t>
            </w:r>
            <w:r>
              <w:rPr>
                <w:webHidden/>
              </w:rPr>
              <w:fldChar w:fldCharType="end"/>
            </w:r>
          </w:hyperlink>
        </w:p>
        <w:p w14:paraId="4FD3E7C5" w14:textId="2BA64EE9" w:rsidR="00A95C2F" w:rsidRDefault="00A95C2F">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1647279" w:history="1">
            <w:r w:rsidRPr="00F42660">
              <w:rPr>
                <w:rStyle w:val="Hyperlink"/>
              </w:rPr>
              <w:t>3.1.</w:t>
            </w:r>
            <w:r>
              <w:rPr>
                <w:rFonts w:asciiTheme="minorHAnsi" w:eastAsiaTheme="minorEastAsia" w:hAnsiTheme="minorHAnsi" w:cstheme="minorBidi"/>
                <w:kern w:val="2"/>
                <w:szCs w:val="24"/>
                <w:lang w:eastAsia="en-GB" w:bidi="ar-SA"/>
                <w14:ligatures w14:val="standardContextual"/>
              </w:rPr>
              <w:tab/>
            </w:r>
            <w:r w:rsidRPr="00F42660">
              <w:rPr>
                <w:rStyle w:val="Hyperlink"/>
              </w:rPr>
              <w:t>Engineering (Ref. [3])</w:t>
            </w:r>
            <w:r>
              <w:rPr>
                <w:webHidden/>
              </w:rPr>
              <w:tab/>
            </w:r>
            <w:r>
              <w:rPr>
                <w:webHidden/>
              </w:rPr>
              <w:fldChar w:fldCharType="begin"/>
            </w:r>
            <w:r>
              <w:rPr>
                <w:webHidden/>
              </w:rPr>
              <w:instrText xml:space="preserve"> PAGEREF _Toc241647279 \h </w:instrText>
            </w:r>
            <w:r>
              <w:rPr>
                <w:webHidden/>
              </w:rPr>
            </w:r>
            <w:r>
              <w:rPr>
                <w:webHidden/>
              </w:rPr>
              <w:fldChar w:fldCharType="separate"/>
            </w:r>
            <w:r>
              <w:rPr>
                <w:webHidden/>
              </w:rPr>
              <w:t>8</w:t>
            </w:r>
            <w:r>
              <w:rPr>
                <w:webHidden/>
              </w:rPr>
              <w:fldChar w:fldCharType="end"/>
            </w:r>
          </w:hyperlink>
        </w:p>
        <w:p w14:paraId="0F6F5FEA" w14:textId="4DE6A4D1" w:rsidR="00A95C2F" w:rsidRDefault="00A95C2F">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1647280" w:history="1">
            <w:r w:rsidRPr="00F42660">
              <w:rPr>
                <w:rStyle w:val="Hyperlink"/>
              </w:rPr>
              <w:t>3.2.</w:t>
            </w:r>
            <w:r>
              <w:rPr>
                <w:rFonts w:asciiTheme="minorHAnsi" w:eastAsiaTheme="minorEastAsia" w:hAnsiTheme="minorHAnsi" w:cstheme="minorBidi"/>
                <w:kern w:val="2"/>
                <w:szCs w:val="24"/>
                <w:lang w:eastAsia="en-GB" w:bidi="ar-SA"/>
                <w14:ligatures w14:val="standardContextual"/>
              </w:rPr>
              <w:tab/>
            </w:r>
            <w:r w:rsidRPr="00F42660">
              <w:rPr>
                <w:rStyle w:val="Hyperlink"/>
              </w:rPr>
              <w:t>Radiation Shielding (Ref. [5])</w:t>
            </w:r>
            <w:r>
              <w:rPr>
                <w:webHidden/>
              </w:rPr>
              <w:tab/>
            </w:r>
            <w:r>
              <w:rPr>
                <w:webHidden/>
              </w:rPr>
              <w:fldChar w:fldCharType="begin"/>
            </w:r>
            <w:r>
              <w:rPr>
                <w:webHidden/>
              </w:rPr>
              <w:instrText xml:space="preserve"> PAGEREF _Toc241647280 \h </w:instrText>
            </w:r>
            <w:r>
              <w:rPr>
                <w:webHidden/>
              </w:rPr>
            </w:r>
            <w:r>
              <w:rPr>
                <w:webHidden/>
              </w:rPr>
              <w:fldChar w:fldCharType="separate"/>
            </w:r>
            <w:r>
              <w:rPr>
                <w:webHidden/>
              </w:rPr>
              <w:t>10</w:t>
            </w:r>
            <w:r>
              <w:rPr>
                <w:webHidden/>
              </w:rPr>
              <w:fldChar w:fldCharType="end"/>
            </w:r>
          </w:hyperlink>
        </w:p>
        <w:p w14:paraId="3EBF4456" w14:textId="5951CAE1" w:rsidR="00A95C2F" w:rsidRDefault="00A95C2F">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1647281" w:history="1">
            <w:r w:rsidRPr="00F42660">
              <w:rPr>
                <w:rStyle w:val="Hyperlink"/>
              </w:rPr>
              <w:t>3.3.</w:t>
            </w:r>
            <w:r>
              <w:rPr>
                <w:rFonts w:asciiTheme="minorHAnsi" w:eastAsiaTheme="minorEastAsia" w:hAnsiTheme="minorHAnsi" w:cstheme="minorBidi"/>
                <w:kern w:val="2"/>
                <w:szCs w:val="24"/>
                <w:lang w:eastAsia="en-GB" w:bidi="ar-SA"/>
                <w14:ligatures w14:val="standardContextual"/>
              </w:rPr>
              <w:tab/>
            </w:r>
            <w:r w:rsidRPr="00F42660">
              <w:rPr>
                <w:rStyle w:val="Hyperlink"/>
              </w:rPr>
              <w:t>Human Factors</w:t>
            </w:r>
            <w:r>
              <w:rPr>
                <w:webHidden/>
              </w:rPr>
              <w:tab/>
            </w:r>
            <w:r>
              <w:rPr>
                <w:webHidden/>
              </w:rPr>
              <w:fldChar w:fldCharType="begin"/>
            </w:r>
            <w:r>
              <w:rPr>
                <w:webHidden/>
              </w:rPr>
              <w:instrText xml:space="preserve"> PAGEREF _Toc241647281 \h </w:instrText>
            </w:r>
            <w:r>
              <w:rPr>
                <w:webHidden/>
              </w:rPr>
            </w:r>
            <w:r>
              <w:rPr>
                <w:webHidden/>
              </w:rPr>
              <w:fldChar w:fldCharType="separate"/>
            </w:r>
            <w:r>
              <w:rPr>
                <w:webHidden/>
              </w:rPr>
              <w:t>11</w:t>
            </w:r>
            <w:r>
              <w:rPr>
                <w:webHidden/>
              </w:rPr>
              <w:fldChar w:fldCharType="end"/>
            </w:r>
          </w:hyperlink>
        </w:p>
        <w:p w14:paraId="4AAD7726" w14:textId="1D8E6AB5" w:rsidR="00A95C2F" w:rsidRDefault="00A95C2F">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1647282" w:history="1">
            <w:r w:rsidRPr="00F42660">
              <w:rPr>
                <w:rStyle w:val="Hyperlink"/>
              </w:rPr>
              <w:t>3.4.</w:t>
            </w:r>
            <w:r>
              <w:rPr>
                <w:rFonts w:asciiTheme="minorHAnsi" w:eastAsiaTheme="minorEastAsia" w:hAnsiTheme="minorHAnsi" w:cstheme="minorBidi"/>
                <w:kern w:val="2"/>
                <w:szCs w:val="24"/>
                <w:lang w:eastAsia="en-GB" w:bidi="ar-SA"/>
                <w14:ligatures w14:val="standardContextual"/>
              </w:rPr>
              <w:tab/>
            </w:r>
            <w:r w:rsidRPr="00F42660">
              <w:rPr>
                <w:rStyle w:val="Hyperlink"/>
              </w:rPr>
              <w:t>Criticality</w:t>
            </w:r>
            <w:r>
              <w:rPr>
                <w:webHidden/>
              </w:rPr>
              <w:tab/>
            </w:r>
            <w:r>
              <w:rPr>
                <w:webHidden/>
              </w:rPr>
              <w:fldChar w:fldCharType="begin"/>
            </w:r>
            <w:r>
              <w:rPr>
                <w:webHidden/>
              </w:rPr>
              <w:instrText xml:space="preserve"> PAGEREF _Toc241647282 \h </w:instrText>
            </w:r>
            <w:r>
              <w:rPr>
                <w:webHidden/>
              </w:rPr>
            </w:r>
            <w:r>
              <w:rPr>
                <w:webHidden/>
              </w:rPr>
              <w:fldChar w:fldCharType="separate"/>
            </w:r>
            <w:r>
              <w:rPr>
                <w:webHidden/>
              </w:rPr>
              <w:t>12</w:t>
            </w:r>
            <w:r>
              <w:rPr>
                <w:webHidden/>
              </w:rPr>
              <w:fldChar w:fldCharType="end"/>
            </w:r>
          </w:hyperlink>
        </w:p>
        <w:p w14:paraId="7BC0D9D2" w14:textId="540346CC" w:rsidR="00A95C2F" w:rsidRDefault="00A95C2F">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1647283" w:history="1">
            <w:r w:rsidRPr="00F42660">
              <w:rPr>
                <w:rStyle w:val="Hyperlink"/>
                <w:lang w:eastAsia="en-GB"/>
              </w:rPr>
              <w:t>3.5.</w:t>
            </w:r>
            <w:r>
              <w:rPr>
                <w:rFonts w:asciiTheme="minorHAnsi" w:eastAsiaTheme="minorEastAsia" w:hAnsiTheme="minorHAnsi" w:cstheme="minorBidi"/>
                <w:kern w:val="2"/>
                <w:szCs w:val="24"/>
                <w:lang w:eastAsia="en-GB" w:bidi="ar-SA"/>
                <w14:ligatures w14:val="standardContextual"/>
              </w:rPr>
              <w:tab/>
            </w:r>
            <w:r w:rsidRPr="00F42660">
              <w:rPr>
                <w:rStyle w:val="Hyperlink"/>
              </w:rPr>
              <w:t>Inspection</w:t>
            </w:r>
            <w:r>
              <w:rPr>
                <w:webHidden/>
              </w:rPr>
              <w:tab/>
            </w:r>
            <w:r>
              <w:rPr>
                <w:webHidden/>
              </w:rPr>
              <w:fldChar w:fldCharType="begin"/>
            </w:r>
            <w:r>
              <w:rPr>
                <w:webHidden/>
              </w:rPr>
              <w:instrText xml:space="preserve"> PAGEREF _Toc241647283 \h </w:instrText>
            </w:r>
            <w:r>
              <w:rPr>
                <w:webHidden/>
              </w:rPr>
            </w:r>
            <w:r>
              <w:rPr>
                <w:webHidden/>
              </w:rPr>
              <w:fldChar w:fldCharType="separate"/>
            </w:r>
            <w:r>
              <w:rPr>
                <w:webHidden/>
              </w:rPr>
              <w:t>12</w:t>
            </w:r>
            <w:r>
              <w:rPr>
                <w:webHidden/>
              </w:rPr>
              <w:fldChar w:fldCharType="end"/>
            </w:r>
          </w:hyperlink>
        </w:p>
        <w:p w14:paraId="30715882" w14:textId="0AEA64FB" w:rsidR="00A95C2F" w:rsidRDefault="00A95C2F">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1647284" w:history="1">
            <w:r w:rsidRPr="00F42660">
              <w:rPr>
                <w:rStyle w:val="Hyperlink"/>
              </w:rPr>
              <w:t>4.</w:t>
            </w:r>
            <w:r>
              <w:rPr>
                <w:rFonts w:asciiTheme="minorHAnsi" w:eastAsiaTheme="minorEastAsia" w:hAnsiTheme="minorHAnsi" w:cstheme="minorBidi"/>
                <w:kern w:val="2"/>
                <w:szCs w:val="24"/>
                <w:lang w:eastAsia="en-GB" w:bidi="ar-SA"/>
                <w14:ligatures w14:val="standardContextual"/>
              </w:rPr>
              <w:tab/>
            </w:r>
            <w:r w:rsidRPr="00F42660">
              <w:rPr>
                <w:rStyle w:val="Hyperlink"/>
              </w:rPr>
              <w:t>Matters arising from ONR’s work</w:t>
            </w:r>
            <w:r>
              <w:rPr>
                <w:webHidden/>
              </w:rPr>
              <w:tab/>
            </w:r>
            <w:r>
              <w:rPr>
                <w:webHidden/>
              </w:rPr>
              <w:fldChar w:fldCharType="begin"/>
            </w:r>
            <w:r>
              <w:rPr>
                <w:webHidden/>
              </w:rPr>
              <w:instrText xml:space="preserve"> PAGEREF _Toc241647284 \h </w:instrText>
            </w:r>
            <w:r>
              <w:rPr>
                <w:webHidden/>
              </w:rPr>
            </w:r>
            <w:r>
              <w:rPr>
                <w:webHidden/>
              </w:rPr>
              <w:fldChar w:fldCharType="separate"/>
            </w:r>
            <w:r>
              <w:rPr>
                <w:webHidden/>
              </w:rPr>
              <w:t>12</w:t>
            </w:r>
            <w:r>
              <w:rPr>
                <w:webHidden/>
              </w:rPr>
              <w:fldChar w:fldCharType="end"/>
            </w:r>
          </w:hyperlink>
        </w:p>
        <w:p w14:paraId="075D3997" w14:textId="30D5DA4A" w:rsidR="00A95C2F" w:rsidRDefault="00A95C2F">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1647285" w:history="1">
            <w:r w:rsidRPr="00F42660">
              <w:rPr>
                <w:rStyle w:val="Hyperlink"/>
              </w:rPr>
              <w:t>5.</w:t>
            </w:r>
            <w:r>
              <w:rPr>
                <w:rFonts w:asciiTheme="minorHAnsi" w:eastAsiaTheme="minorEastAsia" w:hAnsiTheme="minorHAnsi" w:cstheme="minorBidi"/>
                <w:kern w:val="2"/>
                <w:szCs w:val="24"/>
                <w:lang w:eastAsia="en-GB" w:bidi="ar-SA"/>
                <w14:ligatures w14:val="standardContextual"/>
              </w:rPr>
              <w:tab/>
            </w:r>
            <w:r w:rsidRPr="00F42660">
              <w:rPr>
                <w:rStyle w:val="Hyperlink"/>
              </w:rPr>
              <w:t>Conclusions</w:t>
            </w:r>
            <w:r>
              <w:rPr>
                <w:webHidden/>
              </w:rPr>
              <w:tab/>
            </w:r>
            <w:r>
              <w:rPr>
                <w:webHidden/>
              </w:rPr>
              <w:fldChar w:fldCharType="begin"/>
            </w:r>
            <w:r>
              <w:rPr>
                <w:webHidden/>
              </w:rPr>
              <w:instrText xml:space="preserve"> PAGEREF _Toc241647285 \h </w:instrText>
            </w:r>
            <w:r>
              <w:rPr>
                <w:webHidden/>
              </w:rPr>
            </w:r>
            <w:r>
              <w:rPr>
                <w:webHidden/>
              </w:rPr>
              <w:fldChar w:fldCharType="separate"/>
            </w:r>
            <w:r>
              <w:rPr>
                <w:webHidden/>
              </w:rPr>
              <w:t>13</w:t>
            </w:r>
            <w:r>
              <w:rPr>
                <w:webHidden/>
              </w:rPr>
              <w:fldChar w:fldCharType="end"/>
            </w:r>
          </w:hyperlink>
        </w:p>
        <w:p w14:paraId="1E76F87A" w14:textId="5D020B28" w:rsidR="00A95C2F" w:rsidRDefault="00A95C2F">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1647286" w:history="1">
            <w:r w:rsidRPr="00F42660">
              <w:rPr>
                <w:rStyle w:val="Hyperlink"/>
              </w:rPr>
              <w:t>6.</w:t>
            </w:r>
            <w:r>
              <w:rPr>
                <w:rFonts w:asciiTheme="minorHAnsi" w:eastAsiaTheme="minorEastAsia" w:hAnsiTheme="minorHAnsi" w:cstheme="minorBidi"/>
                <w:kern w:val="2"/>
                <w:szCs w:val="24"/>
                <w:lang w:eastAsia="en-GB" w:bidi="ar-SA"/>
                <w14:ligatures w14:val="standardContextual"/>
              </w:rPr>
              <w:tab/>
            </w:r>
            <w:r w:rsidRPr="00F42660">
              <w:rPr>
                <w:rStyle w:val="Hyperlink"/>
              </w:rPr>
              <w:t>Recommendations</w:t>
            </w:r>
            <w:r>
              <w:rPr>
                <w:webHidden/>
              </w:rPr>
              <w:tab/>
            </w:r>
            <w:r>
              <w:rPr>
                <w:webHidden/>
              </w:rPr>
              <w:fldChar w:fldCharType="begin"/>
            </w:r>
            <w:r>
              <w:rPr>
                <w:webHidden/>
              </w:rPr>
              <w:instrText xml:space="preserve"> PAGEREF _Toc241647286 \h </w:instrText>
            </w:r>
            <w:r>
              <w:rPr>
                <w:webHidden/>
              </w:rPr>
            </w:r>
            <w:r>
              <w:rPr>
                <w:webHidden/>
              </w:rPr>
              <w:fldChar w:fldCharType="separate"/>
            </w:r>
            <w:r>
              <w:rPr>
                <w:webHidden/>
              </w:rPr>
              <w:t>13</w:t>
            </w:r>
            <w:r>
              <w:rPr>
                <w:webHidden/>
              </w:rPr>
              <w:fldChar w:fldCharType="end"/>
            </w:r>
          </w:hyperlink>
        </w:p>
        <w:p w14:paraId="552710A6" w14:textId="7F40B531" w:rsidR="00A95C2F" w:rsidRDefault="00A95C2F">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1647287" w:history="1">
            <w:r w:rsidRPr="00F42660">
              <w:rPr>
                <w:rStyle w:val="Hyperlink"/>
              </w:rPr>
              <w:t>7.</w:t>
            </w:r>
            <w:r>
              <w:rPr>
                <w:rFonts w:asciiTheme="minorHAnsi" w:eastAsiaTheme="minorEastAsia" w:hAnsiTheme="minorHAnsi" w:cstheme="minorBidi"/>
                <w:kern w:val="2"/>
                <w:szCs w:val="24"/>
                <w:lang w:eastAsia="en-GB" w:bidi="ar-SA"/>
                <w14:ligatures w14:val="standardContextual"/>
              </w:rPr>
              <w:tab/>
            </w:r>
            <w:r w:rsidRPr="00F42660">
              <w:rPr>
                <w:rStyle w:val="Hyperlink"/>
              </w:rPr>
              <w:t>References</w:t>
            </w:r>
            <w:r>
              <w:rPr>
                <w:webHidden/>
              </w:rPr>
              <w:tab/>
            </w:r>
            <w:r>
              <w:rPr>
                <w:webHidden/>
              </w:rPr>
              <w:fldChar w:fldCharType="begin"/>
            </w:r>
            <w:r>
              <w:rPr>
                <w:webHidden/>
              </w:rPr>
              <w:instrText xml:space="preserve"> PAGEREF _Toc241647287 \h </w:instrText>
            </w:r>
            <w:r>
              <w:rPr>
                <w:webHidden/>
              </w:rPr>
            </w:r>
            <w:r>
              <w:rPr>
                <w:webHidden/>
              </w:rPr>
              <w:fldChar w:fldCharType="separate"/>
            </w:r>
            <w:r>
              <w:rPr>
                <w:webHidden/>
              </w:rPr>
              <w:t>14</w:t>
            </w:r>
            <w:r>
              <w:rPr>
                <w:webHidden/>
              </w:rPr>
              <w:fldChar w:fldCharType="end"/>
            </w:r>
          </w:hyperlink>
        </w:p>
        <w:p w14:paraId="56B69036" w14:textId="2FD09A0B" w:rsidR="00A95C2F" w:rsidRDefault="00A95C2F">
          <w:pPr>
            <w:pStyle w:val="TOC1"/>
            <w:rPr>
              <w:rFonts w:asciiTheme="minorHAnsi" w:eastAsiaTheme="minorEastAsia" w:hAnsiTheme="minorHAnsi" w:cstheme="minorBidi"/>
              <w:kern w:val="2"/>
              <w:szCs w:val="24"/>
              <w:lang w:eastAsia="en-GB" w:bidi="ar-SA"/>
              <w14:ligatures w14:val="standardContextual"/>
            </w:rPr>
          </w:pPr>
          <w:hyperlink w:anchor="_Toc241647288" w:history="1">
            <w:r w:rsidRPr="00F42660">
              <w:rPr>
                <w:rStyle w:val="Hyperlink"/>
              </w:rPr>
              <w:t>Appendix 1 – 48Y UF</w:t>
            </w:r>
            <w:r w:rsidRPr="00F42660">
              <w:rPr>
                <w:rStyle w:val="Hyperlink"/>
                <w:vertAlign w:val="subscript"/>
              </w:rPr>
              <w:t>6</w:t>
            </w:r>
            <w:r w:rsidRPr="00F42660">
              <w:rPr>
                <w:rStyle w:val="Hyperlink"/>
              </w:rPr>
              <w:t xml:space="preserve"> Cylinder (all dimensions are approximate)</w:t>
            </w:r>
            <w:r>
              <w:rPr>
                <w:webHidden/>
              </w:rPr>
              <w:tab/>
            </w:r>
            <w:r>
              <w:rPr>
                <w:webHidden/>
              </w:rPr>
              <w:fldChar w:fldCharType="begin"/>
            </w:r>
            <w:r>
              <w:rPr>
                <w:webHidden/>
              </w:rPr>
              <w:instrText xml:space="preserve"> PAGEREF _Toc241647288 \h </w:instrText>
            </w:r>
            <w:r>
              <w:rPr>
                <w:webHidden/>
              </w:rPr>
            </w:r>
            <w:r>
              <w:rPr>
                <w:webHidden/>
              </w:rPr>
              <w:fldChar w:fldCharType="separate"/>
            </w:r>
            <w:r>
              <w:rPr>
                <w:webHidden/>
              </w:rPr>
              <w:t>15</w:t>
            </w:r>
            <w:r>
              <w:rPr>
                <w:webHidden/>
              </w:rPr>
              <w:fldChar w:fldCharType="end"/>
            </w:r>
          </w:hyperlink>
        </w:p>
        <w:p w14:paraId="65FCBC12" w14:textId="34C754A4" w:rsidR="00F8500A" w:rsidRDefault="00F8500A">
          <w:r>
            <w:rPr>
              <w:b/>
              <w:bCs/>
              <w:noProof/>
            </w:rPr>
            <w:fldChar w:fldCharType="end"/>
          </w:r>
        </w:p>
      </w:sdtContent>
    </w:sdt>
    <w:p w14:paraId="0CAD6143" w14:textId="00239272" w:rsidR="00AC2E98" w:rsidRDefault="00AC2E98" w:rsidP="00B52C16">
      <w:pPr>
        <w:pStyle w:val="Bulletlist1"/>
        <w:numPr>
          <w:ilvl w:val="0"/>
          <w:numId w:val="0"/>
        </w:numPr>
        <w:ind w:left="1276"/>
        <w:sectPr w:rsidR="00AC2E98" w:rsidSect="00E72E4A">
          <w:pgSz w:w="11906" w:h="16838" w:code="9"/>
          <w:pgMar w:top="1440" w:right="1440" w:bottom="1440" w:left="1440" w:header="397" w:footer="397" w:gutter="0"/>
          <w:cols w:space="312"/>
          <w:docGrid w:linePitch="360"/>
        </w:sectPr>
      </w:pPr>
    </w:p>
    <w:p w14:paraId="4A9F4FE3" w14:textId="312575BC" w:rsidR="0038766B" w:rsidRPr="00410423" w:rsidRDefault="0038766B" w:rsidP="00410423">
      <w:pPr>
        <w:pStyle w:val="Heading1"/>
      </w:pPr>
      <w:bookmarkStart w:id="4" w:name="_Toc241647275"/>
      <w:bookmarkStart w:id="5" w:name="_Toc109727647"/>
      <w:r w:rsidRPr="00410423">
        <w:lastRenderedPageBreak/>
        <w:t xml:space="preserve">Permission </w:t>
      </w:r>
      <w:r w:rsidR="00385E75">
        <w:t>r</w:t>
      </w:r>
      <w:r w:rsidR="00385E75" w:rsidRPr="00410423">
        <w:t>equested</w:t>
      </w:r>
      <w:bookmarkEnd w:id="4"/>
    </w:p>
    <w:p w14:paraId="3DA91F95" w14:textId="1662FD5D" w:rsidR="00435CC3" w:rsidRDefault="00252220" w:rsidP="00D75E05">
      <w:pPr>
        <w:pStyle w:val="NumList1"/>
        <w:tabs>
          <w:tab w:val="left" w:pos="851"/>
        </w:tabs>
        <w:ind w:left="851" w:hanging="851"/>
      </w:pPr>
      <w:r>
        <w:t>Urenco UK Ltd</w:t>
      </w:r>
      <w:r w:rsidR="00C564AC">
        <w:t xml:space="preserve"> </w:t>
      </w:r>
      <w:r>
        <w:t>(UUK</w:t>
      </w:r>
      <w:r w:rsidR="00B749F5">
        <w:t xml:space="preserve"> – the applicant</w:t>
      </w:r>
      <w:r w:rsidR="00C564AC">
        <w:t>)</w:t>
      </w:r>
      <w:r w:rsidR="00B749F5">
        <w:t>,</w:t>
      </w:r>
      <w:r w:rsidR="00284BE4">
        <w:t xml:space="preserve"> </w:t>
      </w:r>
      <w:r w:rsidR="00284BE4" w:rsidRPr="0043702C">
        <w:t xml:space="preserve">has applied for </w:t>
      </w:r>
      <w:r w:rsidR="00284BE4">
        <w:t>Great Britain (GB)</w:t>
      </w:r>
      <w:r w:rsidR="00284BE4" w:rsidRPr="0043702C">
        <w:t xml:space="preserve"> </w:t>
      </w:r>
      <w:r w:rsidR="00E57D3B">
        <w:t>C</w:t>
      </w:r>
      <w:r w:rsidR="00284BE4" w:rsidRPr="0043702C">
        <w:t xml:space="preserve">ompetent </w:t>
      </w:r>
      <w:r w:rsidR="00E57D3B">
        <w:t>A</w:t>
      </w:r>
      <w:r w:rsidR="00284BE4" w:rsidRPr="0043702C">
        <w:t xml:space="preserve">uthority (CA) approval </w:t>
      </w:r>
      <w:r w:rsidR="008F588A">
        <w:t>of</w:t>
      </w:r>
      <w:r w:rsidR="00284BE4" w:rsidRPr="0043702C">
        <w:t xml:space="preserve"> the</w:t>
      </w:r>
      <w:r w:rsidR="005749CA">
        <w:t xml:space="preserve"> GB/412</w:t>
      </w:r>
      <w:r>
        <w:t>5</w:t>
      </w:r>
      <w:r w:rsidR="005749CA">
        <w:t>/</w:t>
      </w:r>
      <w:r>
        <w:t>H</w:t>
      </w:r>
      <w:r w:rsidR="005749CA">
        <w:t>(M)</w:t>
      </w:r>
      <w:r w:rsidR="00284BE4" w:rsidRPr="0043702C">
        <w:t xml:space="preserve"> package design</w:t>
      </w:r>
      <w:r w:rsidR="00E657B4">
        <w:t xml:space="preserve"> for transport by road</w:t>
      </w:r>
      <w:r w:rsidR="00BF32D1">
        <w:t>, rail</w:t>
      </w:r>
      <w:r w:rsidR="00E657B4">
        <w:t xml:space="preserve"> and sea</w:t>
      </w:r>
      <w:r w:rsidR="00284BE4">
        <w:t xml:space="preserve"> </w:t>
      </w:r>
      <w:r w:rsidR="00EB7748">
        <w:t>(</w:t>
      </w:r>
      <w:r w:rsidR="00076D2C">
        <w:t xml:space="preserve">Ref </w:t>
      </w:r>
      <w:sdt>
        <w:sdtPr>
          <w:id w:val="-1455949741"/>
          <w:citation/>
        </w:sdtPr>
        <w:sdtEndPr/>
        <w:sdtContent>
          <w:r w:rsidR="00076D2C">
            <w:fldChar w:fldCharType="begin"/>
          </w:r>
          <w:r w:rsidR="002A68AC">
            <w:instrText xml:space="preserve">CITATION PDSR1 \l 2057 </w:instrText>
          </w:r>
          <w:r w:rsidR="00076D2C">
            <w:fldChar w:fldCharType="separate"/>
          </w:r>
          <w:r w:rsidR="00BA2A5D" w:rsidRPr="00BA2A5D">
            <w:rPr>
              <w:noProof/>
            </w:rPr>
            <w:t>[1]</w:t>
          </w:r>
          <w:r w:rsidR="00076D2C">
            <w:fldChar w:fldCharType="end"/>
          </w:r>
        </w:sdtContent>
      </w:sdt>
      <w:r w:rsidR="00076D2C">
        <w:t>).</w:t>
      </w:r>
    </w:p>
    <w:p w14:paraId="4BC4B5BB" w14:textId="37B28A5C" w:rsidR="00102B50" w:rsidRPr="00102B50" w:rsidRDefault="00102B50" w:rsidP="00D75E05">
      <w:pPr>
        <w:pStyle w:val="NumList1"/>
        <w:tabs>
          <w:tab w:val="left" w:pos="851"/>
        </w:tabs>
        <w:ind w:left="851" w:hanging="851"/>
        <w:rPr>
          <w:lang w:eastAsia="en-GB"/>
        </w:rPr>
      </w:pPr>
      <w:r w:rsidRPr="00102B50">
        <w:t>This application for package design approval has been submitted in accordance with</w:t>
      </w:r>
      <w:r w:rsidRPr="00102B50">
        <w:rPr>
          <w:lang w:eastAsia="en-GB"/>
        </w:rPr>
        <w:t xml:space="preserve"> the relevant legal requirements governing the transport of Class 7 dangerous goods by roa</w:t>
      </w:r>
      <w:r w:rsidR="004B1E19">
        <w:rPr>
          <w:lang w:eastAsia="en-GB"/>
        </w:rPr>
        <w:t>d, rail</w:t>
      </w:r>
      <w:r w:rsidR="00472751">
        <w:rPr>
          <w:lang w:eastAsia="en-GB"/>
        </w:rPr>
        <w:t xml:space="preserve"> and sea</w:t>
      </w:r>
      <w:r w:rsidRPr="00102B50">
        <w:rPr>
          <w:lang w:eastAsia="en-GB"/>
        </w:rPr>
        <w:t>. In particular, these include:</w:t>
      </w:r>
    </w:p>
    <w:p w14:paraId="1192C045" w14:textId="5F60FC96" w:rsidR="00521EC2" w:rsidRDefault="00410CF7" w:rsidP="00412EAB">
      <w:pPr>
        <w:pStyle w:val="Bulletlist1"/>
        <w:ind w:left="1276" w:hanging="425"/>
      </w:pPr>
      <w:r>
        <w:t>The Carriage of Dangerou</w:t>
      </w:r>
      <w:r w:rsidR="00A93B80">
        <w:t xml:space="preserve">s Goods and </w:t>
      </w:r>
      <w:r w:rsidR="00E11126">
        <w:t xml:space="preserve">Use of </w:t>
      </w:r>
      <w:r w:rsidR="00A93B80">
        <w:t xml:space="preserve">Transportable Pressure </w:t>
      </w:r>
      <w:r w:rsidR="004A20B9">
        <w:t>Equipment</w:t>
      </w:r>
      <w:r w:rsidR="00A93B80">
        <w:t xml:space="preserve"> Regulations 2009 (CDG09);</w:t>
      </w:r>
    </w:p>
    <w:p w14:paraId="3499E6F2" w14:textId="3A81418C" w:rsidR="007427D9" w:rsidRDefault="007427D9" w:rsidP="00412EAB">
      <w:pPr>
        <w:pStyle w:val="Bulletlist1"/>
        <w:ind w:left="1276" w:hanging="425"/>
      </w:pPr>
      <w:r w:rsidRPr="007427D9">
        <w:t>Agreement concerning the International Carriage of Dangerous Goods by Road (ADR) 2025 Edition</w:t>
      </w:r>
      <w:r w:rsidR="00412EAB">
        <w:t>;</w:t>
      </w:r>
    </w:p>
    <w:p w14:paraId="1BF97F66" w14:textId="7EF72AA2" w:rsidR="00E8775F" w:rsidRDefault="00D71AE0" w:rsidP="00D71AE0">
      <w:pPr>
        <w:pStyle w:val="Bulletlist1"/>
        <w:ind w:left="1276" w:hanging="425"/>
      </w:pPr>
      <w:r w:rsidRPr="00D71AE0">
        <w:t>Regulations concerning the International Carriage of Dangerous Goods by Rail</w:t>
      </w:r>
      <w:r>
        <w:t xml:space="preserve"> (RID) </w:t>
      </w:r>
      <w:r w:rsidRPr="007427D9">
        <w:t>2025 Edition</w:t>
      </w:r>
      <w:r>
        <w:t>;</w:t>
      </w:r>
    </w:p>
    <w:p w14:paraId="551E0BD2" w14:textId="532C84E5" w:rsidR="00412EAB" w:rsidRPr="00421D6A" w:rsidRDefault="00412EAB" w:rsidP="00412EAB">
      <w:pPr>
        <w:pStyle w:val="Bulletlist1"/>
        <w:ind w:left="1276" w:hanging="425"/>
      </w:pPr>
      <w:r>
        <w:t>The Merchant Shipping (Carriage of Dangerous Goods and Harmful Substances) (</w:t>
      </w:r>
      <w:r w:rsidRPr="00421D6A">
        <w:t>Amendment) Regulations 2024; and</w:t>
      </w:r>
    </w:p>
    <w:p w14:paraId="25810A7B" w14:textId="3D7B068B" w:rsidR="00412EAB" w:rsidRPr="00421D6A" w:rsidRDefault="00412EAB" w:rsidP="00412EAB">
      <w:pPr>
        <w:pStyle w:val="Bulletlist1"/>
        <w:ind w:left="1276" w:hanging="425"/>
      </w:pPr>
      <w:r w:rsidRPr="00421D6A">
        <w:t>International Maritime Dangerous Goods (IMDG) Code 2024 Edition incorporating Amendment 42-24.</w:t>
      </w:r>
    </w:p>
    <w:p w14:paraId="4EC93533" w14:textId="1E468594" w:rsidR="00CD022D" w:rsidRPr="003E6440" w:rsidRDefault="00CD022D" w:rsidP="00D75E05">
      <w:pPr>
        <w:pStyle w:val="NumList1"/>
        <w:tabs>
          <w:tab w:val="left" w:pos="851"/>
        </w:tabs>
        <w:ind w:left="851" w:hanging="851"/>
        <w:rPr>
          <w:lang w:eastAsia="en-GB"/>
        </w:rPr>
      </w:pPr>
      <w:r w:rsidRPr="003E6440">
        <w:rPr>
          <w:lang w:eastAsia="en-GB"/>
        </w:rPr>
        <w:t>The I</w:t>
      </w:r>
      <w:r w:rsidR="00E57D3B">
        <w:rPr>
          <w:lang w:eastAsia="en-GB"/>
        </w:rPr>
        <w:t>nternational Atomic Energy Agency (I</w:t>
      </w:r>
      <w:r w:rsidRPr="003E6440">
        <w:rPr>
          <w:lang w:eastAsia="en-GB"/>
        </w:rPr>
        <w:t>AEA</w:t>
      </w:r>
      <w:r w:rsidR="00E57D3B">
        <w:rPr>
          <w:lang w:eastAsia="en-GB"/>
        </w:rPr>
        <w:t>)</w:t>
      </w:r>
      <w:r w:rsidRPr="003E6440">
        <w:rPr>
          <w:lang w:eastAsia="en-GB"/>
        </w:rPr>
        <w:t xml:space="preserve"> Regulations for the Safe Transport of Radioactive Material</w:t>
      </w:r>
      <w:r w:rsidR="00DA7B86">
        <w:rPr>
          <w:lang w:eastAsia="en-GB"/>
        </w:rPr>
        <w:t xml:space="preserve">, </w:t>
      </w:r>
      <w:r w:rsidRPr="003E6440">
        <w:rPr>
          <w:lang w:eastAsia="en-GB"/>
        </w:rPr>
        <w:t>SSR-6 2018 Edition</w:t>
      </w:r>
      <w:r w:rsidR="004B1E19">
        <w:rPr>
          <w:lang w:eastAsia="en-GB"/>
        </w:rPr>
        <w:t xml:space="preserve"> </w:t>
      </w:r>
      <w:r w:rsidRPr="003E6440">
        <w:rPr>
          <w:lang w:eastAsia="en-GB"/>
        </w:rPr>
        <w:t>establish the international standards for radioactive material transport package design. These standards are transposed into GB</w:t>
      </w:r>
      <w:r w:rsidR="00707FBD">
        <w:rPr>
          <w:lang w:eastAsia="en-GB"/>
        </w:rPr>
        <w:t xml:space="preserve"> / UK</w:t>
      </w:r>
      <w:r w:rsidRPr="003E6440">
        <w:rPr>
          <w:lang w:eastAsia="en-GB"/>
        </w:rPr>
        <w:t xml:space="preserve"> legislation through the regulations cited above. For clarity and consistency within this Project Assessment Report (PAR) and the CoA, references are therefore made to the applicable design requirements set out in SSR-6.</w:t>
      </w:r>
    </w:p>
    <w:p w14:paraId="5F9D68B9" w14:textId="3BBB5779" w:rsidR="00DF3035" w:rsidRPr="0038766B" w:rsidRDefault="00E33774" w:rsidP="000A7B65">
      <w:pPr>
        <w:pStyle w:val="NumList1"/>
        <w:tabs>
          <w:tab w:val="left" w:pos="851"/>
        </w:tabs>
        <w:ind w:left="851" w:hanging="851"/>
        <w:rPr>
          <w:lang w:eastAsia="en-GB"/>
        </w:rPr>
      </w:pPr>
      <w:r w:rsidRPr="003E6440">
        <w:rPr>
          <w:lang w:eastAsia="en-GB"/>
        </w:rPr>
        <w:t xml:space="preserve">This PAR </w:t>
      </w:r>
      <w:r w:rsidR="00B51F96" w:rsidRPr="00B51F96">
        <w:rPr>
          <w:lang w:eastAsia="en-GB"/>
        </w:rPr>
        <w:t>sets out</w:t>
      </w:r>
      <w:r w:rsidRPr="003E6440">
        <w:rPr>
          <w:lang w:eastAsia="en-GB"/>
        </w:rPr>
        <w:t xml:space="preserve"> the basis for </w:t>
      </w:r>
      <w:r w:rsidR="00B51F96" w:rsidRPr="00B51F96">
        <w:rPr>
          <w:lang w:eastAsia="en-GB"/>
        </w:rPr>
        <w:t>ONR's</w:t>
      </w:r>
      <w:r w:rsidRPr="003E6440">
        <w:rPr>
          <w:lang w:eastAsia="en-GB"/>
        </w:rPr>
        <w:t xml:space="preserve"> decision </w:t>
      </w:r>
      <w:r w:rsidR="00B51F96" w:rsidRPr="00B51F96">
        <w:rPr>
          <w:lang w:eastAsia="en-GB"/>
        </w:rPr>
        <w:t xml:space="preserve">to grant the requested approval. In making this decision, </w:t>
      </w:r>
      <w:r w:rsidRPr="003E6440">
        <w:rPr>
          <w:lang w:eastAsia="en-GB"/>
        </w:rPr>
        <w:t>ONR</w:t>
      </w:r>
      <w:r w:rsidR="00B51F96" w:rsidRPr="00B51F96">
        <w:rPr>
          <w:lang w:eastAsia="en-GB"/>
        </w:rPr>
        <w:t xml:space="preserve"> acts</w:t>
      </w:r>
      <w:r w:rsidRPr="003E6440">
        <w:rPr>
          <w:lang w:eastAsia="en-GB"/>
        </w:rPr>
        <w:t xml:space="preserve"> as the GB CA </w:t>
      </w:r>
      <w:r w:rsidR="00B51F96" w:rsidRPr="00B51F96">
        <w:rPr>
          <w:lang w:eastAsia="en-GB"/>
        </w:rPr>
        <w:t xml:space="preserve">for the transport of Class 7 dangerous goods by road and rail, </w:t>
      </w:r>
      <w:r w:rsidR="0028237F">
        <w:rPr>
          <w:lang w:eastAsia="en-GB"/>
        </w:rPr>
        <w:t xml:space="preserve">and on behalf of the Secretary of State </w:t>
      </w:r>
      <w:r w:rsidRPr="003E6440">
        <w:rPr>
          <w:lang w:eastAsia="en-GB"/>
        </w:rPr>
        <w:t xml:space="preserve">for </w:t>
      </w:r>
      <w:r w:rsidR="00B51F96" w:rsidRPr="00B51F96">
        <w:rPr>
          <w:lang w:eastAsia="en-GB"/>
        </w:rPr>
        <w:t xml:space="preserve">Transport in relation to </w:t>
      </w:r>
      <w:r w:rsidRPr="003E6440">
        <w:rPr>
          <w:lang w:eastAsia="en-GB"/>
        </w:rPr>
        <w:t xml:space="preserve">the transport of Class 7 </w:t>
      </w:r>
      <w:r w:rsidR="00B51F96" w:rsidRPr="00B51F96">
        <w:rPr>
          <w:lang w:eastAsia="en-GB"/>
        </w:rPr>
        <w:t xml:space="preserve">dangerous goods by </w:t>
      </w:r>
      <w:r w:rsidR="0028237F">
        <w:rPr>
          <w:lang w:eastAsia="en-GB"/>
        </w:rPr>
        <w:t>sea</w:t>
      </w:r>
      <w:r w:rsidR="00B51F96" w:rsidRPr="00B51F96">
        <w:rPr>
          <w:lang w:eastAsia="en-GB"/>
        </w:rPr>
        <w:t>.</w:t>
      </w:r>
    </w:p>
    <w:p w14:paraId="13C362CC" w14:textId="780BE3CD" w:rsidR="0038766B" w:rsidRPr="0038766B" w:rsidRDefault="00590C5D" w:rsidP="00410423">
      <w:pPr>
        <w:pStyle w:val="Heading1"/>
      </w:pPr>
      <w:bookmarkStart w:id="6" w:name="_Toc241647276"/>
      <w:r>
        <w:t>Background</w:t>
      </w:r>
      <w:bookmarkEnd w:id="6"/>
    </w:p>
    <w:p w14:paraId="022F3204" w14:textId="197FBC06" w:rsidR="00C03BEB" w:rsidRDefault="00A403CA" w:rsidP="00A72ADC">
      <w:pPr>
        <w:pStyle w:val="Heading2"/>
      </w:pPr>
      <w:bookmarkStart w:id="7" w:name="_Toc241647277"/>
      <w:r>
        <w:t>Package design and history</w:t>
      </w:r>
      <w:bookmarkEnd w:id="7"/>
    </w:p>
    <w:p w14:paraId="19CAE20F" w14:textId="0E350AF8" w:rsidR="00F56686" w:rsidRDefault="00F56686" w:rsidP="00F56686">
      <w:pPr>
        <w:pStyle w:val="NumList1"/>
        <w:tabs>
          <w:tab w:val="left" w:pos="851"/>
        </w:tabs>
        <w:ind w:left="851" w:hanging="851"/>
        <w:rPr>
          <w:lang w:eastAsia="en-GB"/>
        </w:rPr>
      </w:pPr>
      <w:r>
        <w:rPr>
          <w:lang w:eastAsia="en-GB"/>
        </w:rPr>
        <w:t xml:space="preserve">The </w:t>
      </w:r>
      <w:r w:rsidR="00C205E7">
        <w:rPr>
          <w:lang w:eastAsia="en-GB"/>
        </w:rPr>
        <w:t xml:space="preserve">application for approval </w:t>
      </w:r>
      <w:r w:rsidR="00B51F96">
        <w:rPr>
          <w:lang w:eastAsia="en-GB"/>
        </w:rPr>
        <w:t>covers</w:t>
      </w:r>
      <w:r>
        <w:rPr>
          <w:lang w:eastAsia="en-GB"/>
        </w:rPr>
        <w:t xml:space="preserve"> either a Model 48X or Model 48Y cylinder</w:t>
      </w:r>
      <w:r w:rsidR="65DA9C3A" w:rsidRPr="6A1FAE2E">
        <w:rPr>
          <w:lang w:eastAsia="en-GB"/>
        </w:rPr>
        <w:t>, both</w:t>
      </w:r>
      <w:r w:rsidR="00014755">
        <w:rPr>
          <w:lang w:eastAsia="en-GB"/>
        </w:rPr>
        <w:t xml:space="preserve"> with valve protection and radioactive content. </w:t>
      </w:r>
      <w:r>
        <w:rPr>
          <w:lang w:eastAsia="en-GB"/>
        </w:rPr>
        <w:t xml:space="preserve">The design and manufacturing requirements for these cylinders are specified in </w:t>
      </w:r>
      <w:r w:rsidRPr="00AF7B54">
        <w:t xml:space="preserve">International </w:t>
      </w:r>
      <w:r w:rsidRPr="00AF7B54">
        <w:lastRenderedPageBreak/>
        <w:t xml:space="preserve">Organization for Standardization </w:t>
      </w:r>
      <w:r>
        <w:t xml:space="preserve">(ISO) 7195:2020 and in </w:t>
      </w:r>
      <w:r w:rsidRPr="000B6553">
        <w:t>American National Standards Institute, Inc.</w:t>
      </w:r>
      <w:r>
        <w:t xml:space="preserve"> (ANSI) N14.1:2023</w:t>
      </w:r>
      <w:r>
        <w:rPr>
          <w:lang w:eastAsia="en-GB"/>
        </w:rPr>
        <w:t>, which define the construction, materials and performance requirements for uranium hexafluoride (UF</w:t>
      </w:r>
      <w:r>
        <w:rPr>
          <w:rFonts w:ascii="Cambria Math" w:hAnsi="Cambria Math" w:cs="Cambria Math"/>
          <w:lang w:eastAsia="en-GB"/>
        </w:rPr>
        <w:t>₆</w:t>
      </w:r>
      <w:r>
        <w:rPr>
          <w:lang w:eastAsia="en-GB"/>
        </w:rPr>
        <w:t>) cylinders.</w:t>
      </w:r>
    </w:p>
    <w:p w14:paraId="4E6D94BE" w14:textId="77777777" w:rsidR="00F56686" w:rsidRDefault="00F56686" w:rsidP="00F56686">
      <w:pPr>
        <w:pStyle w:val="NumList1"/>
        <w:tabs>
          <w:tab w:val="left" w:pos="851"/>
        </w:tabs>
        <w:ind w:left="851" w:hanging="851"/>
        <w:rPr>
          <w:lang w:eastAsia="en-GB"/>
        </w:rPr>
      </w:pPr>
      <w:r>
        <w:rPr>
          <w:lang w:eastAsia="en-GB"/>
        </w:rPr>
        <w:t>The cylinders are fitted with a valve protection system to prevent damage during handling and transport. Two approved designs are available: the standard Valve Protector and the Valve Protector Alternate (VPA), both of which are specified in ISO 7195:2020 and ANSI N14.1:2023.</w:t>
      </w:r>
    </w:p>
    <w:p w14:paraId="57BB5634" w14:textId="152FF891" w:rsidR="00D25BE6" w:rsidRDefault="00F56686" w:rsidP="00D25BE6">
      <w:pPr>
        <w:pStyle w:val="NumList1"/>
        <w:tabs>
          <w:tab w:val="left" w:pos="851"/>
        </w:tabs>
        <w:ind w:left="851" w:hanging="851"/>
        <w:rPr>
          <w:lang w:eastAsia="en-GB"/>
        </w:rPr>
      </w:pPr>
      <w:r>
        <w:rPr>
          <w:lang w:eastAsia="en-GB"/>
        </w:rPr>
        <w:t>The cylinders are used for the transport of solid depleted</w:t>
      </w:r>
      <w:r w:rsidR="003C60C0">
        <w:rPr>
          <w:lang w:eastAsia="en-GB"/>
        </w:rPr>
        <w:t xml:space="preserve"> or </w:t>
      </w:r>
      <w:r>
        <w:rPr>
          <w:lang w:eastAsia="en-GB"/>
        </w:rPr>
        <w:t>natural</w:t>
      </w:r>
      <w:r w:rsidR="003E5AAD">
        <w:rPr>
          <w:lang w:eastAsia="en-GB"/>
        </w:rPr>
        <w:t xml:space="preserve"> </w:t>
      </w:r>
      <w:r>
        <w:rPr>
          <w:lang w:eastAsia="en-GB"/>
        </w:rPr>
        <w:t>uranium including non-fissile and fissile-excepted material.</w:t>
      </w:r>
    </w:p>
    <w:p w14:paraId="751441B6" w14:textId="77777777" w:rsidR="00B378F4" w:rsidRDefault="00D25BE6" w:rsidP="00B378F4">
      <w:pPr>
        <w:pStyle w:val="NumList1"/>
        <w:tabs>
          <w:tab w:val="left" w:pos="851"/>
        </w:tabs>
        <w:ind w:left="851" w:hanging="851"/>
        <w:rPr>
          <w:lang w:eastAsia="en-GB"/>
        </w:rPr>
      </w:pPr>
      <w:r w:rsidRPr="00D25BE6">
        <w:rPr>
          <w:lang w:eastAsia="en-GB"/>
        </w:rPr>
        <w:t>UF</w:t>
      </w:r>
      <w:r w:rsidRPr="00D25BE6">
        <w:rPr>
          <w:rFonts w:ascii="Cambria Math" w:hAnsi="Cambria Math" w:cs="Cambria Math"/>
          <w:lang w:eastAsia="en-GB"/>
        </w:rPr>
        <w:t>₆</w:t>
      </w:r>
      <w:r w:rsidRPr="00D25BE6">
        <w:rPr>
          <w:lang w:eastAsia="en-GB"/>
        </w:rPr>
        <w:t xml:space="preserve"> has been transported internationally for several decades, predominantly in standardised 48-inch cylinders, with an overall strong safety record and no significant transport accidents resulting in serious radiological or chemical consequences. However, incidents during the 1980s, together with increased understanding of the potential chemical hazards associated with UF</w:t>
      </w:r>
      <w:r w:rsidRPr="00D25BE6">
        <w:rPr>
          <w:rFonts w:ascii="Cambria Math" w:hAnsi="Cambria Math" w:cs="Cambria Math"/>
          <w:lang w:eastAsia="en-GB"/>
        </w:rPr>
        <w:t>₆</w:t>
      </w:r>
      <w:r w:rsidRPr="00D25BE6">
        <w:rPr>
          <w:lang w:eastAsia="en-GB"/>
        </w:rPr>
        <w:t xml:space="preserve"> and its hydrolysis products, led to greater regulatory scrutiny of UF</w:t>
      </w:r>
      <w:r w:rsidRPr="00D25BE6">
        <w:rPr>
          <w:rFonts w:ascii="Cambria Math" w:hAnsi="Cambria Math" w:cs="Cambria Math"/>
          <w:lang w:eastAsia="en-GB"/>
        </w:rPr>
        <w:t>₆</w:t>
      </w:r>
      <w:r w:rsidRPr="00D25BE6">
        <w:rPr>
          <w:lang w:eastAsia="en-GB"/>
        </w:rPr>
        <w:t xml:space="preserve"> transport activities.</w:t>
      </w:r>
    </w:p>
    <w:p w14:paraId="75D4E591" w14:textId="46BEF34E" w:rsidR="001B0128" w:rsidRDefault="00B378F4" w:rsidP="001B0128">
      <w:pPr>
        <w:pStyle w:val="NumList1"/>
        <w:tabs>
          <w:tab w:val="left" w:pos="851"/>
        </w:tabs>
        <w:ind w:left="851" w:hanging="851"/>
        <w:rPr>
          <w:lang w:eastAsia="en-GB"/>
        </w:rPr>
      </w:pPr>
      <w:r w:rsidRPr="00B378F4">
        <w:rPr>
          <w:lang w:eastAsia="en-GB"/>
        </w:rPr>
        <w:t>In response, the 1996</w:t>
      </w:r>
      <w:r w:rsidR="0074338D">
        <w:rPr>
          <w:lang w:eastAsia="en-GB"/>
        </w:rPr>
        <w:t xml:space="preserve"> Edition of the</w:t>
      </w:r>
      <w:r w:rsidRPr="00B378F4">
        <w:rPr>
          <w:lang w:eastAsia="en-GB"/>
        </w:rPr>
        <w:t xml:space="preserve"> IAEA Transport Regulations introduced specific performance requirements for UF</w:t>
      </w:r>
      <w:r w:rsidRPr="00B378F4">
        <w:rPr>
          <w:rFonts w:ascii="Cambria Math" w:hAnsi="Cambria Math" w:cs="Cambria Math"/>
          <w:lang w:eastAsia="en-GB"/>
        </w:rPr>
        <w:t>₆</w:t>
      </w:r>
      <w:r w:rsidRPr="00B378F4">
        <w:rPr>
          <w:lang w:eastAsia="en-GB"/>
        </w:rPr>
        <w:t xml:space="preserve"> packages, including hydraulic, drop and thermal testing. Compliance with the </w:t>
      </w:r>
      <w:r w:rsidR="00806011">
        <w:rPr>
          <w:lang w:eastAsia="en-GB"/>
        </w:rPr>
        <w:t xml:space="preserve">performance criteria following </w:t>
      </w:r>
      <w:r w:rsidR="002646E9">
        <w:rPr>
          <w:lang w:eastAsia="en-GB"/>
        </w:rPr>
        <w:t xml:space="preserve">the </w:t>
      </w:r>
      <w:r w:rsidRPr="00B378F4">
        <w:rPr>
          <w:lang w:eastAsia="en-GB"/>
        </w:rPr>
        <w:t>regulatory thermal test (800</w:t>
      </w:r>
      <w:r w:rsidRPr="00B378F4">
        <w:rPr>
          <w:rFonts w:ascii="Arial" w:hAnsi="Arial" w:cs="Arial"/>
          <w:lang w:eastAsia="en-GB"/>
        </w:rPr>
        <w:t>°</w:t>
      </w:r>
      <w:r w:rsidRPr="00B378F4">
        <w:rPr>
          <w:lang w:eastAsia="en-GB"/>
        </w:rPr>
        <w:t>C for 30 minutes) required the use of thermal protection for some UF</w:t>
      </w:r>
      <w:r w:rsidRPr="00B378F4">
        <w:rPr>
          <w:rFonts w:ascii="Cambria Math" w:hAnsi="Cambria Math" w:cs="Cambria Math"/>
          <w:lang w:eastAsia="en-GB"/>
        </w:rPr>
        <w:t>₆</w:t>
      </w:r>
      <w:r w:rsidRPr="00B378F4">
        <w:rPr>
          <w:lang w:eastAsia="en-GB"/>
        </w:rPr>
        <w:t xml:space="preserve"> package designs. For large 48-inch cylinders containing 9,000 kg or more of UF</w:t>
      </w:r>
      <w:r w:rsidRPr="00B378F4">
        <w:rPr>
          <w:rFonts w:ascii="Cambria Math" w:hAnsi="Cambria Math" w:cs="Cambria Math"/>
          <w:lang w:eastAsia="en-GB"/>
        </w:rPr>
        <w:t>₆</w:t>
      </w:r>
      <w:r w:rsidRPr="00B378F4">
        <w:rPr>
          <w:lang w:eastAsia="en-GB"/>
        </w:rPr>
        <w:t>, uncertainty remained as to whether the cylinders could withstand the thermal test without such protection. This uncertainty arose from the complex thermal behaviour of UF</w:t>
      </w:r>
      <w:r w:rsidRPr="00B378F4">
        <w:rPr>
          <w:rFonts w:ascii="Cambria Math" w:hAnsi="Cambria Math" w:cs="Cambria Math"/>
          <w:lang w:eastAsia="en-GB"/>
        </w:rPr>
        <w:t>₆</w:t>
      </w:r>
      <w:r w:rsidRPr="00B378F4">
        <w:rPr>
          <w:lang w:eastAsia="en-GB"/>
        </w:rPr>
        <w:t xml:space="preserve"> and the limited experimental and analytical evidence available regarding cylinder performance under severe fire conditions.</w:t>
      </w:r>
    </w:p>
    <w:p w14:paraId="258F0A4B" w14:textId="0512C5BB" w:rsidR="00855706" w:rsidRDefault="001B0128" w:rsidP="00855706">
      <w:pPr>
        <w:pStyle w:val="NumList1"/>
        <w:tabs>
          <w:tab w:val="left" w:pos="851"/>
        </w:tabs>
        <w:ind w:left="851" w:hanging="851"/>
        <w:rPr>
          <w:lang w:eastAsia="en-GB"/>
        </w:rPr>
      </w:pPr>
      <w:r w:rsidRPr="001B0128">
        <w:rPr>
          <w:lang w:eastAsia="en-GB"/>
        </w:rPr>
        <w:t>As a result</w:t>
      </w:r>
      <w:r w:rsidR="0BF0B0DC" w:rsidRPr="6A1FAE2E">
        <w:rPr>
          <w:lang w:eastAsia="en-GB"/>
        </w:rPr>
        <w:t xml:space="preserve"> of the uncertainty described above</w:t>
      </w:r>
      <w:r w:rsidRPr="001B0128">
        <w:rPr>
          <w:lang w:eastAsia="en-GB"/>
        </w:rPr>
        <w:t>, paragraph 634(c) of IAEA SSR-6 introduced an H(M) multilateral approval provision, which permits competent authorities to approve</w:t>
      </w:r>
      <w:r w:rsidR="00A00CF5">
        <w:rPr>
          <w:lang w:eastAsia="en-GB"/>
        </w:rPr>
        <w:t xml:space="preserve"> </w:t>
      </w:r>
      <w:r w:rsidRPr="001B0128">
        <w:rPr>
          <w:lang w:eastAsia="en-GB"/>
        </w:rPr>
        <w:t>the transport of UF</w:t>
      </w:r>
      <w:r w:rsidRPr="001B0128">
        <w:rPr>
          <w:rFonts w:ascii="Cambria Math" w:hAnsi="Cambria Math" w:cs="Cambria Math"/>
          <w:lang w:eastAsia="en-GB"/>
        </w:rPr>
        <w:t>₆</w:t>
      </w:r>
      <w:r w:rsidRPr="001B0128">
        <w:rPr>
          <w:lang w:eastAsia="en-GB"/>
        </w:rPr>
        <w:t xml:space="preserve"> packages containing 9,000 kg or more of UF</w:t>
      </w:r>
      <w:r w:rsidRPr="001B0128">
        <w:rPr>
          <w:rFonts w:ascii="Cambria Math" w:hAnsi="Cambria Math" w:cs="Cambria Math"/>
          <w:lang w:eastAsia="en-GB"/>
        </w:rPr>
        <w:t>₆</w:t>
      </w:r>
      <w:r w:rsidRPr="001B0128">
        <w:rPr>
          <w:lang w:eastAsia="en-GB"/>
        </w:rPr>
        <w:t>.</w:t>
      </w:r>
    </w:p>
    <w:p w14:paraId="43E48FB2" w14:textId="77777777" w:rsidR="008C383F" w:rsidRDefault="00855706" w:rsidP="008C383F">
      <w:pPr>
        <w:pStyle w:val="NumList1"/>
        <w:tabs>
          <w:tab w:val="left" w:pos="851"/>
        </w:tabs>
        <w:ind w:left="851" w:hanging="851"/>
        <w:rPr>
          <w:lang w:eastAsia="en-GB"/>
        </w:rPr>
      </w:pPr>
      <w:r w:rsidRPr="00855706">
        <w:t>Subsequent international research programmes and modelling studies did not establish a consensus on the performance of bare 48-inch cylinders in regulatory fire conditions. Predicted cylinder rupture times ranged from approximately 25 to 35 minutes, with some analyses indicating potential failure before completion of the 30-minute thermal test. In light of this uncertainty, and the potentially significant chemical consequences of a release, European competent authorities agreed to discontinue H(M) approvals for bare 48-inch UF</w:t>
      </w:r>
      <w:r w:rsidRPr="00855706">
        <w:rPr>
          <w:rFonts w:ascii="Cambria Math" w:hAnsi="Cambria Math" w:cs="Cambria Math"/>
        </w:rPr>
        <w:t>₆</w:t>
      </w:r>
      <w:r w:rsidRPr="00855706">
        <w:t xml:space="preserve"> cylinders at the end of 2004. Since that time, international transport within Europe has generally relied upon H(U) approvals incorporating thermal protection systems.</w:t>
      </w:r>
    </w:p>
    <w:p w14:paraId="444A9EE6" w14:textId="395F3BA1" w:rsidR="005D213D" w:rsidRDefault="008C383F" w:rsidP="005D213D">
      <w:pPr>
        <w:pStyle w:val="NumList1"/>
        <w:tabs>
          <w:tab w:val="left" w:pos="851"/>
        </w:tabs>
        <w:ind w:left="851" w:hanging="851"/>
        <w:rPr>
          <w:lang w:eastAsia="en-GB"/>
        </w:rPr>
      </w:pPr>
      <w:r w:rsidRPr="008C383F">
        <w:rPr>
          <w:lang w:eastAsia="en-GB"/>
        </w:rPr>
        <w:lastRenderedPageBreak/>
        <w:t xml:space="preserve">The Type 48X and 48Y cylinders are currently approved for transport in Great Britain under three CoAs. </w:t>
      </w:r>
      <w:r w:rsidR="005E2B04">
        <w:rPr>
          <w:lang w:eastAsia="en-GB"/>
        </w:rPr>
        <w:t>CoAs</w:t>
      </w:r>
      <w:r w:rsidRPr="008C383F">
        <w:rPr>
          <w:lang w:eastAsia="en-GB"/>
        </w:rPr>
        <w:t xml:space="preserve"> GB/3570/H(U) (Rev.7) and GB/3571/H(U) (Rev.8) permit the transport of UF</w:t>
      </w:r>
      <w:r w:rsidRPr="008C383F">
        <w:rPr>
          <w:rFonts w:ascii="Cambria Math" w:hAnsi="Cambria Math" w:cs="Cambria Math"/>
          <w:lang w:eastAsia="en-GB"/>
        </w:rPr>
        <w:t>₆</w:t>
      </w:r>
      <w:r w:rsidRPr="008C383F">
        <w:rPr>
          <w:lang w:eastAsia="en-GB"/>
        </w:rPr>
        <w:t xml:space="preserve"> in cylinders fitted with blanket or composite thermal protection systems to demonstrate compliance with the regulatory thermal test requirements. </w:t>
      </w:r>
      <w:r w:rsidR="00F23206">
        <w:rPr>
          <w:lang w:eastAsia="en-GB"/>
        </w:rPr>
        <w:t>CoA</w:t>
      </w:r>
      <w:r w:rsidRPr="008C383F">
        <w:rPr>
          <w:lang w:eastAsia="en-GB"/>
        </w:rPr>
        <w:t xml:space="preserve"> GB/3572/H(U) (Rev.8) permits the transport of residual quantities of UF</w:t>
      </w:r>
      <w:r w:rsidRPr="008C383F">
        <w:rPr>
          <w:rFonts w:ascii="Cambria Math" w:hAnsi="Cambria Math" w:cs="Cambria Math"/>
          <w:lang w:eastAsia="en-GB"/>
        </w:rPr>
        <w:t>₆</w:t>
      </w:r>
      <w:r w:rsidRPr="008C383F">
        <w:rPr>
          <w:lang w:eastAsia="en-GB"/>
        </w:rPr>
        <w:t xml:space="preserve"> in cylinders without thermal protection.</w:t>
      </w:r>
    </w:p>
    <w:p w14:paraId="595D7CE5" w14:textId="77777777" w:rsidR="00D91673" w:rsidRDefault="005D213D" w:rsidP="00D91673">
      <w:pPr>
        <w:pStyle w:val="NumList1"/>
        <w:tabs>
          <w:tab w:val="left" w:pos="851"/>
        </w:tabs>
        <w:ind w:left="851" w:hanging="851"/>
        <w:rPr>
          <w:lang w:eastAsia="en-GB"/>
        </w:rPr>
      </w:pPr>
      <w:r w:rsidRPr="005D213D">
        <w:rPr>
          <w:lang w:eastAsia="en-GB"/>
        </w:rPr>
        <w:t>Although the regulatory approach has increasingly favoured the use of thermal protection for large UF</w:t>
      </w:r>
      <w:r w:rsidRPr="005D213D">
        <w:rPr>
          <w:rFonts w:ascii="Cambria Math" w:hAnsi="Cambria Math" w:cs="Cambria Math"/>
          <w:lang w:eastAsia="en-GB"/>
        </w:rPr>
        <w:t>₆</w:t>
      </w:r>
      <w:r w:rsidRPr="005D213D">
        <w:rPr>
          <w:lang w:eastAsia="en-GB"/>
        </w:rPr>
        <w:t xml:space="preserve"> cylinders, paragraph 634(c) remains within SSR-6 and continues to allow competent authorities discretion to grant H(M) approval where an applicant can demonstrate an adequate level of safety.</w:t>
      </w:r>
    </w:p>
    <w:p w14:paraId="187576DE" w14:textId="00978DBA" w:rsidR="00092AFC" w:rsidRDefault="007B024D" w:rsidP="00B37CDB">
      <w:pPr>
        <w:pStyle w:val="NumList1"/>
        <w:tabs>
          <w:tab w:val="left" w:pos="851"/>
        </w:tabs>
        <w:ind w:left="851" w:hanging="851"/>
        <w:rPr>
          <w:lang w:eastAsia="en-GB"/>
        </w:rPr>
      </w:pPr>
      <w:r>
        <w:t>Urenco UK Ltd (</w:t>
      </w:r>
      <w:r w:rsidR="00D91673" w:rsidRPr="00D91673">
        <w:rPr>
          <w:lang w:eastAsia="en-GB"/>
        </w:rPr>
        <w:t>UUK</w:t>
      </w:r>
      <w:r>
        <w:rPr>
          <w:lang w:eastAsia="en-GB"/>
        </w:rPr>
        <w:t>)</w:t>
      </w:r>
      <w:r w:rsidR="00624E4E">
        <w:rPr>
          <w:lang w:eastAsia="en-GB"/>
        </w:rPr>
        <w:t xml:space="preserve"> </w:t>
      </w:r>
      <w:r w:rsidR="00D91673" w:rsidRPr="00D91673">
        <w:rPr>
          <w:lang w:eastAsia="en-GB"/>
        </w:rPr>
        <w:t xml:space="preserve">has applied to ONR for approval under paragraph 634(c) to transport bare </w:t>
      </w:r>
      <w:r w:rsidR="00D91673" w:rsidRPr="00C81CE4">
        <w:rPr>
          <w:lang w:eastAsia="en-GB"/>
        </w:rPr>
        <w:t>48</w:t>
      </w:r>
      <w:r w:rsidR="00C81CE4" w:rsidRPr="00C81CE4">
        <w:rPr>
          <w:lang w:eastAsia="en-GB"/>
        </w:rPr>
        <w:t>X</w:t>
      </w:r>
      <w:r w:rsidR="00D91673" w:rsidRPr="00C81CE4">
        <w:rPr>
          <w:lang w:eastAsia="en-GB"/>
        </w:rPr>
        <w:t xml:space="preserve"> </w:t>
      </w:r>
      <w:r w:rsidR="00C81CE4" w:rsidRPr="00C81CE4">
        <w:rPr>
          <w:lang w:eastAsia="en-GB"/>
        </w:rPr>
        <w:t xml:space="preserve">and 48Y </w:t>
      </w:r>
      <w:r w:rsidR="00D91673" w:rsidRPr="00C81CE4">
        <w:rPr>
          <w:lang w:eastAsia="en-GB"/>
        </w:rPr>
        <w:t>cylinders containing a minimum</w:t>
      </w:r>
      <w:r w:rsidR="00D91673" w:rsidRPr="00D91673">
        <w:rPr>
          <w:lang w:eastAsia="en-GB"/>
        </w:rPr>
        <w:t xml:space="preserve"> UF</w:t>
      </w:r>
      <w:r w:rsidR="00D91673" w:rsidRPr="00D91673">
        <w:rPr>
          <w:rFonts w:ascii="Cambria Math" w:hAnsi="Cambria Math" w:cs="Cambria Math"/>
          <w:lang w:eastAsia="en-GB"/>
        </w:rPr>
        <w:t>₆</w:t>
      </w:r>
      <w:r w:rsidR="00D91673" w:rsidRPr="00D91673">
        <w:rPr>
          <w:lang w:eastAsia="en-GB"/>
        </w:rPr>
        <w:t xml:space="preserve"> mass of 9,000 kg, thereby removing the need for thermal protection during transport. The purpose of this assessment is to determine whether the supporting safety case provides sufficient justification for the granting of such an approval.</w:t>
      </w:r>
      <w:r w:rsidR="00EF6AAA" w:rsidRPr="00EF6AAA">
        <w:t xml:space="preserve"> </w:t>
      </w:r>
    </w:p>
    <w:p w14:paraId="4A4B131A" w14:textId="7C60D921" w:rsidR="0038766B" w:rsidRPr="0038766B" w:rsidRDefault="00385E75" w:rsidP="00410423">
      <w:pPr>
        <w:pStyle w:val="Heading1"/>
      </w:pPr>
      <w:bookmarkStart w:id="8" w:name="_Toc241647278"/>
      <w:r>
        <w:t>Assessment and inspection work carried out by ONR in consideration of this request</w:t>
      </w:r>
      <w:bookmarkEnd w:id="8"/>
    </w:p>
    <w:p w14:paraId="64BF96E0" w14:textId="708EFB25" w:rsidR="007F0B4F" w:rsidRDefault="007F0B4F" w:rsidP="007F0B4F">
      <w:pPr>
        <w:pStyle w:val="NumList1"/>
        <w:ind w:left="851" w:hanging="851"/>
      </w:pPr>
      <w:r w:rsidRPr="007F0B4F">
        <w:t xml:space="preserve">In accordance with the agreed regulatory permissioning strategy, ONR has undertaken a proportionate assessment focused on the </w:t>
      </w:r>
      <w:r w:rsidR="00754921">
        <w:t xml:space="preserve">design </w:t>
      </w:r>
      <w:r w:rsidRPr="007F0B4F">
        <w:t xml:space="preserve">differences between the existing approved </w:t>
      </w:r>
      <w:r w:rsidR="00624E4E">
        <w:t xml:space="preserve">H(U) </w:t>
      </w:r>
      <w:r w:rsidRPr="007F0B4F">
        <w:t>package design</w:t>
      </w:r>
      <w:r w:rsidR="00DB51E3">
        <w:t>s (the 3570 series)</w:t>
      </w:r>
      <w:r w:rsidRPr="007F0B4F">
        <w:t xml:space="preserve"> and the proposed GB/412</w:t>
      </w:r>
      <w:r w:rsidR="00076D2C">
        <w:t>5</w:t>
      </w:r>
      <w:r w:rsidRPr="007F0B4F">
        <w:t xml:space="preserve">/H(M) design. The principal change is the </w:t>
      </w:r>
      <w:r w:rsidR="006E53D8">
        <w:t xml:space="preserve">removal of thermal protection systems when transporting significant quantities of </w:t>
      </w:r>
      <w:r w:rsidR="006E53D8">
        <w:rPr>
          <w:lang w:eastAsia="en-GB"/>
        </w:rPr>
        <w:t>UF</w:t>
      </w:r>
      <w:r w:rsidR="006E53D8">
        <w:rPr>
          <w:rFonts w:ascii="Cambria Math" w:hAnsi="Cambria Math" w:cs="Cambria Math"/>
          <w:lang w:eastAsia="en-GB"/>
        </w:rPr>
        <w:t>₆</w:t>
      </w:r>
      <w:r w:rsidR="006E53D8">
        <w:t xml:space="preserve">, </w:t>
      </w:r>
      <w:r w:rsidRPr="007F0B4F">
        <w:t xml:space="preserve">relying on the provisions of SSR-6 (2018), paragraph 634(c). The assessment therefore focused on whether the evidence submitted by UUK provides an adequate safety justification for granting H(M) approval </w:t>
      </w:r>
      <w:r w:rsidR="00EE2AB2">
        <w:t>to</w:t>
      </w:r>
      <w:r w:rsidRPr="007F0B4F">
        <w:t xml:space="preserve"> transport </w:t>
      </w:r>
      <w:r w:rsidR="00EE2AB2">
        <w:t xml:space="preserve">a minimum </w:t>
      </w:r>
      <w:r w:rsidRPr="007F0B4F">
        <w:t xml:space="preserve">of </w:t>
      </w:r>
      <w:r w:rsidR="009444A2">
        <w:t xml:space="preserve">9,000 kg </w:t>
      </w:r>
      <w:r w:rsidRPr="007F0B4F">
        <w:t>UF</w:t>
      </w:r>
      <w:r w:rsidRPr="007F0B4F">
        <w:rPr>
          <w:rFonts w:ascii="Cambria Math" w:hAnsi="Cambria Math" w:cs="Cambria Math"/>
        </w:rPr>
        <w:t>₆</w:t>
      </w:r>
      <w:r w:rsidRPr="007F0B4F">
        <w:t xml:space="preserve"> in a</w:t>
      </w:r>
      <w:r w:rsidR="005916BB">
        <w:t xml:space="preserve"> 48X or</w:t>
      </w:r>
      <w:r w:rsidRPr="007F0B4F">
        <w:t xml:space="preserve"> </w:t>
      </w:r>
      <w:r w:rsidR="009444A2">
        <w:t>4</w:t>
      </w:r>
      <w:r w:rsidRPr="007F0B4F">
        <w:t>8Y cylinder</w:t>
      </w:r>
      <w:r w:rsidR="009444A2">
        <w:t xml:space="preserve"> without thermal protection</w:t>
      </w:r>
      <w:r w:rsidRPr="007F0B4F">
        <w:t>.</w:t>
      </w:r>
    </w:p>
    <w:p w14:paraId="0D56012F" w14:textId="22CD88D6" w:rsidR="000148F0" w:rsidRDefault="007F0B4F" w:rsidP="007F0B4F">
      <w:pPr>
        <w:pStyle w:val="NumList1"/>
        <w:ind w:left="851" w:hanging="851"/>
      </w:pPr>
      <w:r w:rsidRPr="007F0B4F">
        <w:t>This permissioning activity was undertaken in accordance with ONR</w:t>
      </w:r>
      <w:r w:rsidR="002B14AC">
        <w:t xml:space="preserve"> Transport Permissioning</w:t>
      </w:r>
      <w:r w:rsidRPr="007F0B4F">
        <w:t xml:space="preserve"> Instruction ONR-TCA-IN-001</w:t>
      </w:r>
      <w:r w:rsidR="002510B2">
        <w:t xml:space="preserve"> Issue 1</w:t>
      </w:r>
      <w:r w:rsidRPr="007F0B4F">
        <w:t xml:space="preserve"> and Guidance ONR-TCA-GD-001</w:t>
      </w:r>
      <w:r w:rsidR="00BA69F7">
        <w:t xml:space="preserve"> Issue 1</w:t>
      </w:r>
      <w:r w:rsidRPr="007F0B4F">
        <w:t xml:space="preserve">, which </w:t>
      </w:r>
      <w:r w:rsidR="00656B80">
        <w:t>provided</w:t>
      </w:r>
      <w:r w:rsidRPr="007F0B4F">
        <w:t xml:space="preserve"> the framework for the </w:t>
      </w:r>
      <w:r w:rsidR="00656B80">
        <w:t>approval</w:t>
      </w:r>
      <w:r w:rsidRPr="007F0B4F">
        <w:t>.</w:t>
      </w:r>
    </w:p>
    <w:p w14:paraId="090ED3B3" w14:textId="03196105" w:rsidR="001057A8" w:rsidRDefault="001057A8" w:rsidP="001057A8">
      <w:pPr>
        <w:pStyle w:val="Heading2"/>
      </w:pPr>
      <w:bookmarkStart w:id="9" w:name="_Toc241647279"/>
      <w:r>
        <w:t>Engineering</w:t>
      </w:r>
      <w:r w:rsidR="002B14AC">
        <w:t xml:space="preserve"> (Ref. </w:t>
      </w:r>
      <w:sdt>
        <w:sdtPr>
          <w:id w:val="-1424494762"/>
          <w:citation/>
        </w:sdtPr>
        <w:sdtEndPr/>
        <w:sdtContent>
          <w:r w:rsidR="00E43EC5">
            <w:fldChar w:fldCharType="begin"/>
          </w:r>
          <w:r w:rsidR="004E3F3D">
            <w:instrText xml:space="preserve">CITATION ENG \l 2057 </w:instrText>
          </w:r>
          <w:r w:rsidR="00E43EC5">
            <w:fldChar w:fldCharType="separate"/>
          </w:r>
          <w:r w:rsidR="004E3F3D" w:rsidRPr="004E3F3D">
            <w:rPr>
              <w:noProof/>
            </w:rPr>
            <w:t>[3]</w:t>
          </w:r>
          <w:r w:rsidR="00E43EC5">
            <w:fldChar w:fldCharType="end"/>
          </w:r>
        </w:sdtContent>
      </w:sdt>
      <w:r w:rsidR="00E43EC5">
        <w:t>)</w:t>
      </w:r>
      <w:bookmarkEnd w:id="9"/>
    </w:p>
    <w:p w14:paraId="33F7E61A" w14:textId="2D745F5F" w:rsidR="00A56C7B" w:rsidRDefault="00724AF9" w:rsidP="00A56C7B">
      <w:pPr>
        <w:pStyle w:val="NumList1"/>
        <w:tabs>
          <w:tab w:val="left" w:pos="851"/>
        </w:tabs>
        <w:ind w:left="851" w:hanging="851"/>
        <w:rPr>
          <w:lang w:eastAsia="en-GB"/>
        </w:rPr>
      </w:pPr>
      <w:r>
        <w:rPr>
          <w:lang w:eastAsia="en-GB"/>
        </w:rPr>
        <w:t>Our</w:t>
      </w:r>
      <w:r w:rsidR="00A56C7B">
        <w:rPr>
          <w:lang w:eastAsia="en-GB"/>
        </w:rPr>
        <w:t xml:space="preserve"> assessment adopted a proportionate approach, focusing on the safety implications arising from the removal of thermal protection and the increase in UF</w:t>
      </w:r>
      <w:r w:rsidR="00A56C7B">
        <w:rPr>
          <w:rFonts w:ascii="Cambria Math" w:hAnsi="Cambria Math" w:cs="Cambria Math"/>
          <w:lang w:eastAsia="en-GB"/>
        </w:rPr>
        <w:t>₆</w:t>
      </w:r>
      <w:r w:rsidR="00A56C7B">
        <w:rPr>
          <w:lang w:eastAsia="en-GB"/>
        </w:rPr>
        <w:t xml:space="preserve"> content compared with previously approved configurations. The </w:t>
      </w:r>
      <w:r w:rsidR="00A56C7B">
        <w:rPr>
          <w:lang w:eastAsia="en-GB"/>
        </w:rPr>
        <w:lastRenderedPageBreak/>
        <w:t>assessment considered the applicant's PDSR, supporting technical justification, periodic design review, and application documentation. In parallel, ONR undertook a series of internal technical discussions involving transport inspectors and structural integrity specialists to establish a regulatory position on the application and the use of SSR-6 paragraph 634(c).</w:t>
      </w:r>
    </w:p>
    <w:p w14:paraId="7C02F3D2" w14:textId="77777777" w:rsidR="003554FD" w:rsidRPr="00EE2AB2" w:rsidRDefault="00AA63CC" w:rsidP="00AA63CC">
      <w:pPr>
        <w:pStyle w:val="NumList1"/>
        <w:ind w:left="851" w:hanging="851"/>
        <w:rPr>
          <w:lang w:eastAsia="en-GB"/>
        </w:rPr>
      </w:pPr>
      <w:r w:rsidRPr="00EE2AB2">
        <w:rPr>
          <w:lang w:eastAsia="en-GB"/>
        </w:rPr>
        <w:t xml:space="preserve">The assessment confirmed that the Type 48X and 48Y cylinder designs are established, internationally recognised, and manufactured in accordance with ISO 7195 and ANSI N14.1 standards. </w:t>
      </w:r>
    </w:p>
    <w:p w14:paraId="6CE6157C" w14:textId="3845A2D1" w:rsidR="003554FD" w:rsidRPr="00EE2AB2" w:rsidRDefault="00AA63CC" w:rsidP="00AA63CC">
      <w:pPr>
        <w:pStyle w:val="NumList1"/>
        <w:ind w:left="851" w:hanging="851"/>
        <w:rPr>
          <w:lang w:eastAsia="en-GB"/>
        </w:rPr>
      </w:pPr>
      <w:r w:rsidRPr="00EE2AB2">
        <w:rPr>
          <w:lang w:eastAsia="en-GB"/>
        </w:rPr>
        <w:t xml:space="preserve">As the basic cylinder design is already widely used and has previously been assessed by ONR, the principal regulatory issue was whether a cylinder containing a </w:t>
      </w:r>
      <w:r w:rsidR="003374FD" w:rsidRPr="00EE2AB2">
        <w:rPr>
          <w:lang w:eastAsia="en-GB"/>
        </w:rPr>
        <w:t>minimum UF</w:t>
      </w:r>
      <w:r w:rsidR="003374FD" w:rsidRPr="00EE2AB2">
        <w:rPr>
          <w:rFonts w:ascii="Cambria Math" w:hAnsi="Cambria Math" w:cs="Cambria Math"/>
          <w:lang w:eastAsia="en-GB"/>
        </w:rPr>
        <w:t xml:space="preserve">₆ </w:t>
      </w:r>
      <w:r w:rsidR="003374FD" w:rsidRPr="00EE2AB2">
        <w:rPr>
          <w:lang w:eastAsia="en-GB"/>
        </w:rPr>
        <w:t>mass of 9,000 kg</w:t>
      </w:r>
      <w:r w:rsidRPr="00EE2AB2">
        <w:rPr>
          <w:lang w:eastAsia="en-GB"/>
        </w:rPr>
        <w:t xml:space="preserve"> could be transported safely without thermal protection</w:t>
      </w:r>
      <w:r w:rsidR="00EE2AB2">
        <w:rPr>
          <w:lang w:eastAsia="en-GB"/>
        </w:rPr>
        <w:t>,</w:t>
      </w:r>
      <w:r w:rsidRPr="00EE2AB2">
        <w:rPr>
          <w:lang w:eastAsia="en-GB"/>
        </w:rPr>
        <w:t xml:space="preserve"> under the applicable regulatory thermal conditions.</w:t>
      </w:r>
    </w:p>
    <w:p w14:paraId="3AA21522" w14:textId="31053BAB" w:rsidR="00EE2AB2" w:rsidRPr="00EE2AB2" w:rsidRDefault="003374FD" w:rsidP="00EE2AB2">
      <w:pPr>
        <w:pStyle w:val="NumList1"/>
        <w:ind w:left="851" w:hanging="851"/>
        <w:rPr>
          <w:lang w:eastAsia="en-GB"/>
        </w:rPr>
      </w:pPr>
      <w:r>
        <w:rPr>
          <w:lang w:eastAsia="en-GB"/>
        </w:rPr>
        <w:t>The applicant's justification is based principally on the increased thermal inertia associated with transporting a minimum of 9,000 kg of UF</w:t>
      </w:r>
      <w:r w:rsidRPr="009851F0">
        <w:rPr>
          <w:rFonts w:ascii="Cambria Math" w:hAnsi="Cambria Math" w:cs="Cambria Math"/>
          <w:lang w:eastAsia="en-GB"/>
        </w:rPr>
        <w:t>₆</w:t>
      </w:r>
      <w:r>
        <w:rPr>
          <w:lang w:eastAsia="en-GB"/>
        </w:rPr>
        <w:t xml:space="preserve">. </w:t>
      </w:r>
      <w:r w:rsidR="00EE2AB2" w:rsidRPr="00EE2AB2">
        <w:rPr>
          <w:lang w:eastAsia="en-GB"/>
        </w:rPr>
        <w:t>The submitted evidence argues that</w:t>
      </w:r>
      <w:r w:rsidR="00EE2AB2">
        <w:rPr>
          <w:lang w:eastAsia="en-GB"/>
        </w:rPr>
        <w:t xml:space="preserve"> </w:t>
      </w:r>
      <w:r w:rsidR="00012D3B">
        <w:rPr>
          <w:lang w:eastAsia="en-GB"/>
        </w:rPr>
        <w:t>the</w:t>
      </w:r>
      <w:r w:rsidR="00EE2AB2">
        <w:rPr>
          <w:lang w:eastAsia="en-GB"/>
        </w:rPr>
        <w:t xml:space="preserve"> UF</w:t>
      </w:r>
      <w:r w:rsidR="00EE2AB2" w:rsidRPr="009851F0">
        <w:rPr>
          <w:rFonts w:ascii="Cambria Math" w:hAnsi="Cambria Math" w:cs="Cambria Math"/>
          <w:lang w:eastAsia="en-GB"/>
        </w:rPr>
        <w:t>₆</w:t>
      </w:r>
      <w:r w:rsidR="00EE2AB2">
        <w:rPr>
          <w:lang w:eastAsia="en-GB"/>
        </w:rPr>
        <w:t xml:space="preserve"> </w:t>
      </w:r>
      <w:r w:rsidR="00EE2AB2" w:rsidRPr="00EE2AB2">
        <w:rPr>
          <w:lang w:eastAsia="en-GB"/>
        </w:rPr>
        <w:t>inventory increases the thermal inertia of the package during fire exposure. As a result, heat is absorbed by the UF</w:t>
      </w:r>
      <w:r w:rsidR="00EE2AB2" w:rsidRPr="00EE2AB2">
        <w:rPr>
          <w:rFonts w:ascii="Cambria Math" w:hAnsi="Cambria Math" w:cs="Cambria Math"/>
          <w:lang w:eastAsia="en-GB"/>
        </w:rPr>
        <w:t>₆</w:t>
      </w:r>
      <w:r w:rsidR="00EE2AB2" w:rsidRPr="00EE2AB2">
        <w:rPr>
          <w:lang w:eastAsia="en-GB"/>
        </w:rPr>
        <w:t>, slowing the rate at which the cylinder contents increase in temperature and delaying vapour generation and pressure rise within the cylinder.</w:t>
      </w:r>
    </w:p>
    <w:p w14:paraId="61E0D8CF" w14:textId="163993DC" w:rsidR="003374FD" w:rsidRDefault="003374FD" w:rsidP="00EE2AB2">
      <w:pPr>
        <w:pStyle w:val="NumList1"/>
        <w:ind w:left="851" w:hanging="851"/>
        <w:rPr>
          <w:lang w:eastAsia="en-GB"/>
        </w:rPr>
      </w:pPr>
      <w:r w:rsidRPr="00EE2AB2">
        <w:rPr>
          <w:lang w:eastAsia="en-GB"/>
        </w:rPr>
        <w:t>Although the applicant sought approval for cylinders containing a minimum of 9,000 kg UF</w:t>
      </w:r>
      <w:r w:rsidRPr="00EE2AB2">
        <w:rPr>
          <w:rFonts w:ascii="Cambria Math" w:hAnsi="Cambria Math" w:cs="Cambria Math"/>
          <w:lang w:eastAsia="en-GB"/>
        </w:rPr>
        <w:t>₆</w:t>
      </w:r>
      <w:r w:rsidRPr="00EE2AB2">
        <w:rPr>
          <w:lang w:eastAsia="en-GB"/>
        </w:rPr>
        <w:t xml:space="preserve">, </w:t>
      </w:r>
      <w:r w:rsidR="00012D3B">
        <w:rPr>
          <w:lang w:eastAsia="en-GB"/>
        </w:rPr>
        <w:t>our</w:t>
      </w:r>
      <w:r w:rsidRPr="00EE2AB2">
        <w:rPr>
          <w:lang w:eastAsia="en-GB"/>
        </w:rPr>
        <w:t xml:space="preserve"> assessment concluded that </w:t>
      </w:r>
      <w:r w:rsidR="00012D3B">
        <w:rPr>
          <w:lang w:eastAsia="en-GB"/>
        </w:rPr>
        <w:t>the approval should be limited to</w:t>
      </w:r>
      <w:r w:rsidRPr="00EE2AB2">
        <w:rPr>
          <w:lang w:eastAsia="en-GB"/>
        </w:rPr>
        <w:t xml:space="preserve"> cylinders containing at least 11,875 kg UF</w:t>
      </w:r>
      <w:r w:rsidRPr="00EE2AB2">
        <w:rPr>
          <w:rFonts w:ascii="Cambria Math" w:hAnsi="Cambria Math" w:cs="Cambria Math"/>
          <w:lang w:eastAsia="en-GB"/>
        </w:rPr>
        <w:t>₆</w:t>
      </w:r>
      <w:r w:rsidRPr="00EE2AB2">
        <w:rPr>
          <w:lang w:eastAsia="en-GB"/>
        </w:rPr>
        <w:t>. This restriction reflects the minimum UF</w:t>
      </w:r>
      <w:r w:rsidRPr="00EE2AB2">
        <w:rPr>
          <w:rFonts w:ascii="Cambria Math" w:hAnsi="Cambria Math" w:cs="Cambria Math"/>
          <w:lang w:eastAsia="en-GB"/>
        </w:rPr>
        <w:t>₆</w:t>
      </w:r>
      <w:r w:rsidRPr="00EE2AB2">
        <w:rPr>
          <w:lang w:eastAsia="en-GB"/>
        </w:rPr>
        <w:t xml:space="preserve"> mass typically transported in a 48Y cylinder and provides </w:t>
      </w:r>
      <w:r w:rsidR="00012D3B">
        <w:rPr>
          <w:lang w:eastAsia="en-GB"/>
        </w:rPr>
        <w:t>an increased</w:t>
      </w:r>
      <w:r w:rsidRPr="00EE2AB2">
        <w:rPr>
          <w:lang w:eastAsia="en-GB"/>
        </w:rPr>
        <w:t xml:space="preserve"> safety margin relative to the applicant's proposed lower limit.</w:t>
      </w:r>
    </w:p>
    <w:p w14:paraId="26D52D4A" w14:textId="342337BD" w:rsidR="007A23F4" w:rsidRDefault="007A23F4" w:rsidP="007A23F4">
      <w:pPr>
        <w:pStyle w:val="NumList1"/>
        <w:tabs>
          <w:tab w:val="left" w:pos="851"/>
        </w:tabs>
        <w:ind w:left="851" w:hanging="851"/>
        <w:rPr>
          <w:lang w:eastAsia="en-GB"/>
        </w:rPr>
      </w:pPr>
      <w:r>
        <w:rPr>
          <w:lang w:eastAsia="en-GB"/>
        </w:rPr>
        <w:t>Concerns regarding creep rupture identified in earlier studies are considered less significant for cylinders containing substantially greater UF</w:t>
      </w:r>
      <w:r w:rsidRPr="007A23F4">
        <w:rPr>
          <w:rFonts w:ascii="Cambria Math" w:hAnsi="Cambria Math" w:cs="Cambria Math"/>
          <w:lang w:eastAsia="en-GB"/>
        </w:rPr>
        <w:t>₆</w:t>
      </w:r>
      <w:r>
        <w:rPr>
          <w:lang w:eastAsia="en-GB"/>
        </w:rPr>
        <w:t xml:space="preserve"> masses because the increased thermal inertia limits pressure generation during fire exposure. Furthermore, the rapid cooling of the cylinder wall following removal of the heat source is predicted to restore material strength before pressure conditions capable of challenging containment are reached.</w:t>
      </w:r>
    </w:p>
    <w:p w14:paraId="2A4EF7F3" w14:textId="4000D8D0" w:rsidR="00012D3B" w:rsidRPr="00EE2AB2" w:rsidRDefault="00012D3B" w:rsidP="00012D3B">
      <w:pPr>
        <w:pStyle w:val="NumList1"/>
        <w:ind w:left="851" w:hanging="851"/>
        <w:rPr>
          <w:lang w:eastAsia="en-GB"/>
        </w:rPr>
      </w:pPr>
      <w:r w:rsidRPr="00012D3B">
        <w:rPr>
          <w:lang w:eastAsia="en-GB"/>
        </w:rPr>
        <w:t xml:space="preserve">During </w:t>
      </w:r>
      <w:r>
        <w:rPr>
          <w:lang w:eastAsia="en-GB"/>
        </w:rPr>
        <w:t>our</w:t>
      </w:r>
      <w:r w:rsidRPr="00012D3B">
        <w:rPr>
          <w:lang w:eastAsia="en-GB"/>
        </w:rPr>
        <w:t xml:space="preserve"> assessment, it became apparent that the thermal safety case was stronger for the 48Y cylinder because 48Y cylinders are typically transported with a minimum UF</w:t>
      </w:r>
      <w:r w:rsidRPr="00012D3B">
        <w:rPr>
          <w:rFonts w:ascii="Cambria Math" w:hAnsi="Cambria Math" w:cs="Cambria Math"/>
          <w:lang w:eastAsia="en-GB"/>
        </w:rPr>
        <w:t>₆</w:t>
      </w:r>
      <w:r w:rsidRPr="00012D3B">
        <w:rPr>
          <w:lang w:eastAsia="en-GB"/>
        </w:rPr>
        <w:t xml:space="preserve"> mass of 11,875 kg. By contrast, 48X cylinders are generally transported with lower UF</w:t>
      </w:r>
      <w:r w:rsidRPr="00012D3B">
        <w:rPr>
          <w:rFonts w:ascii="Cambria Math" w:hAnsi="Cambria Math" w:cs="Cambria Math"/>
          <w:lang w:eastAsia="en-GB"/>
        </w:rPr>
        <w:t>₆</w:t>
      </w:r>
      <w:r w:rsidRPr="00012D3B">
        <w:rPr>
          <w:lang w:eastAsia="en-GB"/>
        </w:rPr>
        <w:t xml:space="preserve"> inventories, often closer to the applicant's proposed minimum limit of 9,000 kg. Given that the safety justification relies on the increased thermal inertia provided by higher UF</w:t>
      </w:r>
      <w:r w:rsidRPr="00012D3B">
        <w:rPr>
          <w:rFonts w:ascii="Cambria Math" w:hAnsi="Cambria Math" w:cs="Cambria Math"/>
          <w:lang w:eastAsia="en-GB"/>
        </w:rPr>
        <w:t>₆</w:t>
      </w:r>
      <w:r w:rsidRPr="00012D3B">
        <w:rPr>
          <w:lang w:eastAsia="en-GB"/>
        </w:rPr>
        <w:t xml:space="preserve"> mass loading, the applicant agreed to withdraw the request for approval of the 48X cylinder. Consequently, the approval has been limited to 48Y cylinders containing a minimum of 11,875 kg UF</w:t>
      </w:r>
      <w:r w:rsidRPr="00012D3B">
        <w:rPr>
          <w:rFonts w:ascii="Cambria Math" w:hAnsi="Cambria Math" w:cs="Cambria Math"/>
          <w:lang w:eastAsia="en-GB"/>
        </w:rPr>
        <w:t>₆</w:t>
      </w:r>
      <w:r w:rsidRPr="00012D3B">
        <w:rPr>
          <w:lang w:eastAsia="en-GB"/>
        </w:rPr>
        <w:t>.</w:t>
      </w:r>
      <w:r>
        <w:rPr>
          <w:lang w:eastAsia="en-GB"/>
        </w:rPr>
        <w:t xml:space="preserve"> I</w:t>
      </w:r>
      <w:r w:rsidRPr="00012D3B">
        <w:rPr>
          <w:lang w:eastAsia="en-GB"/>
        </w:rPr>
        <w:t xml:space="preserve"> consider this restriction </w:t>
      </w:r>
      <w:r>
        <w:rPr>
          <w:lang w:eastAsia="en-GB"/>
        </w:rPr>
        <w:t xml:space="preserve">to be </w:t>
      </w:r>
      <w:r w:rsidRPr="00012D3B">
        <w:rPr>
          <w:lang w:eastAsia="en-GB"/>
        </w:rPr>
        <w:t>proportionate</w:t>
      </w:r>
      <w:r>
        <w:rPr>
          <w:lang w:eastAsia="en-GB"/>
        </w:rPr>
        <w:t xml:space="preserve"> -</w:t>
      </w:r>
      <w:r w:rsidRPr="00012D3B">
        <w:rPr>
          <w:lang w:eastAsia="en-GB"/>
        </w:rPr>
        <w:t xml:space="preserve"> it aligns with normal operational practice for 48Y </w:t>
      </w:r>
      <w:r w:rsidRPr="00012D3B">
        <w:rPr>
          <w:lang w:eastAsia="en-GB"/>
        </w:rPr>
        <w:lastRenderedPageBreak/>
        <w:t>cylinders and therefore does not place a significant constraint on transport operations.</w:t>
      </w:r>
    </w:p>
    <w:p w14:paraId="3718D640" w14:textId="0AB17333" w:rsidR="007A23F4" w:rsidRDefault="007A23F4" w:rsidP="007A23F4">
      <w:pPr>
        <w:pStyle w:val="NumList1"/>
        <w:tabs>
          <w:tab w:val="left" w:pos="851"/>
        </w:tabs>
        <w:ind w:left="851" w:hanging="851"/>
        <w:rPr>
          <w:lang w:eastAsia="en-GB"/>
        </w:rPr>
      </w:pPr>
      <w:r>
        <w:rPr>
          <w:lang w:eastAsia="en-GB"/>
        </w:rPr>
        <w:t xml:space="preserve">Our engineering assessment found the applicant's arguments to be technically credible and consistent with the available experimental evidence, analytical studies and established heat transfer principles. </w:t>
      </w:r>
      <w:r w:rsidRPr="007A23F4">
        <w:rPr>
          <w:lang w:eastAsia="en-GB"/>
        </w:rPr>
        <w:t>The assessment concluded that the additional UF</w:t>
      </w:r>
      <w:r w:rsidRPr="007A23F4">
        <w:rPr>
          <w:rFonts w:ascii="Cambria Math" w:hAnsi="Cambria Math" w:cs="Cambria Math"/>
          <w:lang w:eastAsia="en-GB"/>
        </w:rPr>
        <w:t>₆</w:t>
      </w:r>
      <w:r w:rsidRPr="007A23F4">
        <w:rPr>
          <w:lang w:eastAsia="en-GB"/>
        </w:rPr>
        <w:t xml:space="preserve"> mass beyond the regulatory requirement of 9,000 kg provides additional margin and, consequently, sufficient confidence</w:t>
      </w:r>
      <w:r>
        <w:rPr>
          <w:lang w:eastAsia="en-GB"/>
        </w:rPr>
        <w:t xml:space="preserve"> that</w:t>
      </w:r>
      <w:r w:rsidRPr="007A23F4">
        <w:rPr>
          <w:lang w:eastAsia="en-GB"/>
        </w:rPr>
        <w:t xml:space="preserve"> that the package will perform as assumed in the safety case during the regulatory thermal test.</w:t>
      </w:r>
      <w:r>
        <w:rPr>
          <w:lang w:eastAsia="en-GB"/>
        </w:rPr>
        <w:t xml:space="preserve"> </w:t>
      </w:r>
    </w:p>
    <w:p w14:paraId="304F8195" w14:textId="6FB3E279" w:rsidR="006A018A" w:rsidRDefault="00A56C7B" w:rsidP="006A018A">
      <w:pPr>
        <w:pStyle w:val="NumList1"/>
        <w:tabs>
          <w:tab w:val="left" w:pos="851"/>
        </w:tabs>
        <w:ind w:left="851" w:hanging="851"/>
        <w:rPr>
          <w:lang w:eastAsia="en-GB"/>
        </w:rPr>
      </w:pPr>
      <w:r>
        <w:rPr>
          <w:lang w:eastAsia="en-GB"/>
        </w:rPr>
        <w:t xml:space="preserve">Overall, </w:t>
      </w:r>
      <w:r w:rsidR="00A9305A">
        <w:rPr>
          <w:lang w:eastAsia="en-GB"/>
        </w:rPr>
        <w:t>our assessor</w:t>
      </w:r>
      <w:r>
        <w:rPr>
          <w:lang w:eastAsia="en-GB"/>
        </w:rPr>
        <w:t xml:space="preserve"> conclude</w:t>
      </w:r>
      <w:r w:rsidR="00A9305A">
        <w:rPr>
          <w:lang w:eastAsia="en-GB"/>
        </w:rPr>
        <w:t>d</w:t>
      </w:r>
      <w:r>
        <w:rPr>
          <w:lang w:eastAsia="en-GB"/>
        </w:rPr>
        <w:t xml:space="preserve"> that the combination of increased UF</w:t>
      </w:r>
      <w:r>
        <w:rPr>
          <w:rFonts w:ascii="Cambria Math" w:hAnsi="Cambria Math" w:cs="Cambria Math"/>
          <w:lang w:eastAsia="en-GB"/>
        </w:rPr>
        <w:t>₆</w:t>
      </w:r>
      <w:r>
        <w:rPr>
          <w:lang w:eastAsia="en-GB"/>
        </w:rPr>
        <w:t xml:space="preserve"> mass, associated thermal inertia, reduced pressure generation during fire exposure, and post-fire cooling behaviour provides sufficient technical justification to support transport of UF</w:t>
      </w:r>
      <w:r>
        <w:rPr>
          <w:rFonts w:ascii="Cambria Math" w:hAnsi="Cambria Math" w:cs="Cambria Math"/>
          <w:lang w:eastAsia="en-GB"/>
        </w:rPr>
        <w:t>₆</w:t>
      </w:r>
      <w:r>
        <w:rPr>
          <w:lang w:eastAsia="en-GB"/>
        </w:rPr>
        <w:t xml:space="preserve"> in a bare 48Y cylinder containing at least 11,875 kg UF</w:t>
      </w:r>
      <w:r>
        <w:rPr>
          <w:rFonts w:ascii="Cambria Math" w:hAnsi="Cambria Math" w:cs="Cambria Math"/>
          <w:lang w:eastAsia="en-GB"/>
        </w:rPr>
        <w:t>₆</w:t>
      </w:r>
      <w:r>
        <w:rPr>
          <w:lang w:eastAsia="en-GB"/>
        </w:rPr>
        <w:t xml:space="preserve"> under an H(M) approval</w:t>
      </w:r>
      <w:r w:rsidR="00B02F96">
        <w:rPr>
          <w:lang w:eastAsia="en-GB"/>
        </w:rPr>
        <w:t xml:space="preserve"> and recommended approval. </w:t>
      </w:r>
    </w:p>
    <w:p w14:paraId="2C9124F6" w14:textId="1828D731" w:rsidR="00A9305A" w:rsidRDefault="00A9305A" w:rsidP="006A018A">
      <w:pPr>
        <w:pStyle w:val="NumList1"/>
        <w:tabs>
          <w:tab w:val="left" w:pos="851"/>
        </w:tabs>
        <w:ind w:left="851" w:hanging="851"/>
        <w:rPr>
          <w:lang w:eastAsia="en-GB"/>
        </w:rPr>
      </w:pPr>
      <w:r>
        <w:rPr>
          <w:lang w:eastAsia="en-GB"/>
        </w:rPr>
        <w:t>Three</w:t>
      </w:r>
      <w:r w:rsidR="00B02F96">
        <w:rPr>
          <w:lang w:eastAsia="en-GB"/>
        </w:rPr>
        <w:t xml:space="preserve"> further</w:t>
      </w:r>
      <w:r>
        <w:rPr>
          <w:lang w:eastAsia="en-GB"/>
        </w:rPr>
        <w:t xml:space="preserve"> recommendations were made:</w:t>
      </w:r>
    </w:p>
    <w:p w14:paraId="0B034CFE" w14:textId="39DB65E3" w:rsidR="006A1FEC" w:rsidRDefault="006A1FEC" w:rsidP="005A7845">
      <w:pPr>
        <w:pStyle w:val="NumList1"/>
        <w:numPr>
          <w:ilvl w:val="0"/>
          <w:numId w:val="15"/>
        </w:numPr>
        <w:tabs>
          <w:tab w:val="clear" w:pos="720"/>
          <w:tab w:val="left" w:pos="851"/>
          <w:tab w:val="num" w:pos="1418"/>
          <w:tab w:val="left" w:pos="1560"/>
        </w:tabs>
        <w:ind w:left="1418" w:hanging="284"/>
        <w:rPr>
          <w:lang w:eastAsia="en-GB"/>
        </w:rPr>
      </w:pPr>
      <w:r w:rsidRPr="006A1FEC">
        <w:rPr>
          <w:lang w:eastAsia="en-GB"/>
        </w:rPr>
        <w:t>The</w:t>
      </w:r>
      <w:r w:rsidR="00342A3E">
        <w:rPr>
          <w:lang w:eastAsia="en-GB"/>
        </w:rPr>
        <w:t xml:space="preserve"> Project Inspector</w:t>
      </w:r>
      <w:r w:rsidRPr="006A1FEC">
        <w:rPr>
          <w:lang w:eastAsia="en-GB"/>
        </w:rPr>
        <w:t xml:space="preserve"> should ensure that the thermal safety justification is incorporated into the applicant's SAR. </w:t>
      </w:r>
    </w:p>
    <w:p w14:paraId="2C86012E" w14:textId="3B3ED4CC" w:rsidR="00724AF9" w:rsidRPr="00724AF9" w:rsidRDefault="00A9305A" w:rsidP="005A7845">
      <w:pPr>
        <w:pStyle w:val="NumList1"/>
        <w:numPr>
          <w:ilvl w:val="0"/>
          <w:numId w:val="15"/>
        </w:numPr>
        <w:tabs>
          <w:tab w:val="clear" w:pos="720"/>
          <w:tab w:val="left" w:pos="851"/>
          <w:tab w:val="num" w:pos="1418"/>
          <w:tab w:val="left" w:pos="1560"/>
        </w:tabs>
        <w:ind w:left="1418" w:hanging="284"/>
        <w:rPr>
          <w:lang w:eastAsia="en-GB"/>
        </w:rPr>
      </w:pPr>
      <w:r w:rsidRPr="00CF30DD">
        <w:rPr>
          <w:lang w:eastAsia="en-GB"/>
        </w:rPr>
        <w:t>The technical rationale relies on a larger minimum quantity of UF</w:t>
      </w:r>
      <w:r w:rsidRPr="00FC528B">
        <w:rPr>
          <w:vertAlign w:val="subscript"/>
          <w:lang w:eastAsia="en-GB"/>
        </w:rPr>
        <w:t>6</w:t>
      </w:r>
      <w:r w:rsidRPr="00CF30DD">
        <w:rPr>
          <w:lang w:eastAsia="en-GB"/>
        </w:rPr>
        <w:t> than specified in the regulations, specifically 11,875 kg</w:t>
      </w:r>
      <w:r w:rsidR="005F17D6">
        <w:rPr>
          <w:lang w:eastAsia="en-GB"/>
        </w:rPr>
        <w:t xml:space="preserve">. This mass </w:t>
      </w:r>
      <w:r w:rsidR="001A2D89">
        <w:rPr>
          <w:lang w:eastAsia="en-GB"/>
        </w:rPr>
        <w:t>has been</w:t>
      </w:r>
      <w:r w:rsidR="005F17D6">
        <w:rPr>
          <w:lang w:eastAsia="en-GB"/>
        </w:rPr>
        <w:t xml:space="preserve"> stipulated </w:t>
      </w:r>
      <w:r w:rsidR="001A2D89">
        <w:rPr>
          <w:lang w:eastAsia="en-GB"/>
        </w:rPr>
        <w:t>on</w:t>
      </w:r>
      <w:r w:rsidR="005F17D6">
        <w:rPr>
          <w:lang w:eastAsia="en-GB"/>
        </w:rPr>
        <w:t xml:space="preserve"> the CoA.</w:t>
      </w:r>
    </w:p>
    <w:p w14:paraId="0057D7A8" w14:textId="1FC34BD2" w:rsidR="00E71738" w:rsidRDefault="00A9305A" w:rsidP="005F17D6">
      <w:pPr>
        <w:pStyle w:val="NumList1"/>
        <w:numPr>
          <w:ilvl w:val="0"/>
          <w:numId w:val="15"/>
        </w:numPr>
        <w:tabs>
          <w:tab w:val="clear" w:pos="720"/>
          <w:tab w:val="left" w:pos="851"/>
          <w:tab w:val="num" w:pos="1418"/>
          <w:tab w:val="left" w:pos="1560"/>
        </w:tabs>
        <w:ind w:left="1418" w:hanging="284"/>
        <w:rPr>
          <w:lang w:eastAsia="en-GB"/>
        </w:rPr>
      </w:pPr>
      <w:r>
        <w:rPr>
          <w:lang w:eastAsia="en-GB"/>
        </w:rPr>
        <w:t xml:space="preserve">Internal </w:t>
      </w:r>
      <w:r w:rsidR="00491F80" w:rsidRPr="00491F80">
        <w:rPr>
          <w:lang w:eastAsia="en-GB"/>
        </w:rPr>
        <w:t>ONR discussions concluded that exceeding the 9,000 kg UF</w:t>
      </w:r>
      <w:r w:rsidR="00491F80" w:rsidRPr="00491F80">
        <w:rPr>
          <w:rFonts w:ascii="Cambria Math" w:hAnsi="Cambria Math" w:cs="Cambria Math"/>
          <w:lang w:eastAsia="en-GB"/>
        </w:rPr>
        <w:t>₆</w:t>
      </w:r>
      <w:r w:rsidR="00491F80" w:rsidRPr="00491F80">
        <w:rPr>
          <w:lang w:eastAsia="en-GB"/>
        </w:rPr>
        <w:t xml:space="preserve"> mass referenced in paragraph 634(c), even where all other applicable requirements are met, should not in itself be regarded as sufficient justification for </w:t>
      </w:r>
      <w:r w:rsidR="00491F80">
        <w:rPr>
          <w:lang w:eastAsia="en-GB"/>
        </w:rPr>
        <w:t xml:space="preserve">future </w:t>
      </w:r>
      <w:r w:rsidR="00491F80" w:rsidRPr="00491F80">
        <w:rPr>
          <w:lang w:eastAsia="en-GB"/>
        </w:rPr>
        <w:t>approval</w:t>
      </w:r>
      <w:r w:rsidR="00491F80">
        <w:rPr>
          <w:lang w:eastAsia="en-GB"/>
        </w:rPr>
        <w:t>s</w:t>
      </w:r>
      <w:r w:rsidR="00491F80" w:rsidRPr="00491F80">
        <w:rPr>
          <w:lang w:eastAsia="en-GB"/>
        </w:rPr>
        <w:t>. Given the uncertainties in the safety basis underpinning the 9,000 kg threshold</w:t>
      </w:r>
      <w:r>
        <w:rPr>
          <w:lang w:eastAsia="en-GB"/>
        </w:rPr>
        <w:t xml:space="preserve">, applications should continue to be assessed </w:t>
      </w:r>
      <w:r w:rsidR="00491F80">
        <w:rPr>
          <w:lang w:eastAsia="en-GB"/>
        </w:rPr>
        <w:t xml:space="preserve">by ONR </w:t>
      </w:r>
      <w:r>
        <w:rPr>
          <w:lang w:eastAsia="en-GB"/>
        </w:rPr>
        <w:t xml:space="preserve">on a case-by-case basis against the </w:t>
      </w:r>
      <w:r w:rsidR="00491F80" w:rsidRPr="00491F80">
        <w:rPr>
          <w:lang w:eastAsia="en-GB"/>
        </w:rPr>
        <w:t xml:space="preserve">specific safety arguments and </w:t>
      </w:r>
      <w:r>
        <w:rPr>
          <w:lang w:eastAsia="en-GB"/>
        </w:rPr>
        <w:t xml:space="preserve">supporting technical </w:t>
      </w:r>
      <w:r w:rsidR="00491F80" w:rsidRPr="00491F80">
        <w:rPr>
          <w:lang w:eastAsia="en-GB"/>
        </w:rPr>
        <w:t>evidence. Assessments should be undertaken</w:t>
      </w:r>
      <w:r>
        <w:rPr>
          <w:lang w:eastAsia="en-GB"/>
        </w:rPr>
        <w:t xml:space="preserve"> in line with the guidance provided in IAEA SSG-26.</w:t>
      </w:r>
    </w:p>
    <w:p w14:paraId="313CDCA4" w14:textId="6FA795D6" w:rsidR="00290699" w:rsidRDefault="00290699" w:rsidP="00290699">
      <w:pPr>
        <w:pStyle w:val="NumList1"/>
        <w:tabs>
          <w:tab w:val="num" w:pos="1418"/>
        </w:tabs>
        <w:ind w:left="851" w:hanging="851"/>
        <w:rPr>
          <w:lang w:eastAsia="en-GB"/>
        </w:rPr>
      </w:pPr>
      <w:r w:rsidRPr="006A1FEC">
        <w:rPr>
          <w:lang w:eastAsia="en-GB"/>
        </w:rPr>
        <w:t xml:space="preserve">Whilst </w:t>
      </w:r>
      <w:r w:rsidR="001A2D89">
        <w:rPr>
          <w:lang w:eastAsia="en-GB"/>
        </w:rPr>
        <w:t>the thermal justification</w:t>
      </w:r>
      <w:r w:rsidRPr="006A1FEC">
        <w:rPr>
          <w:lang w:eastAsia="en-GB"/>
        </w:rPr>
        <w:t xml:space="preserve"> has not been </w:t>
      </w:r>
      <w:r w:rsidR="001A2D89">
        <w:rPr>
          <w:lang w:eastAsia="en-GB"/>
        </w:rPr>
        <w:t>integrated into the</w:t>
      </w:r>
      <w:r w:rsidRPr="006A1FEC">
        <w:rPr>
          <w:lang w:eastAsia="en-GB"/>
        </w:rPr>
        <w:t xml:space="preserve"> current </w:t>
      </w:r>
      <w:r w:rsidR="001A2D89">
        <w:rPr>
          <w:lang w:eastAsia="en-GB"/>
        </w:rPr>
        <w:t>SAR</w:t>
      </w:r>
      <w:r w:rsidRPr="006A1FEC">
        <w:rPr>
          <w:lang w:eastAsia="en-GB"/>
        </w:rPr>
        <w:t xml:space="preserve">, the applicant has been advised </w:t>
      </w:r>
      <w:sdt>
        <w:sdtPr>
          <w:rPr>
            <w:lang w:eastAsia="en-GB"/>
          </w:rPr>
          <w:id w:val="-1573960051"/>
          <w:citation/>
        </w:sdtPr>
        <w:sdtEndPr/>
        <w:sdtContent>
          <w:r w:rsidR="00D95EE4">
            <w:rPr>
              <w:lang w:eastAsia="en-GB"/>
            </w:rPr>
            <w:fldChar w:fldCharType="begin"/>
          </w:r>
          <w:r w:rsidR="00D95EE4">
            <w:rPr>
              <w:lang w:eastAsia="en-GB"/>
            </w:rPr>
            <w:instrText xml:space="preserve"> CITATION thermalemail \l 2057 </w:instrText>
          </w:r>
          <w:r w:rsidR="00D95EE4">
            <w:rPr>
              <w:lang w:eastAsia="en-GB"/>
            </w:rPr>
            <w:fldChar w:fldCharType="separate"/>
          </w:r>
          <w:r w:rsidR="00BA2A5D" w:rsidRPr="00BA2A5D">
            <w:rPr>
              <w:noProof/>
              <w:lang w:eastAsia="en-GB"/>
            </w:rPr>
            <w:t>[4]</w:t>
          </w:r>
          <w:r w:rsidR="00D95EE4">
            <w:rPr>
              <w:lang w:eastAsia="en-GB"/>
            </w:rPr>
            <w:fldChar w:fldCharType="end"/>
          </w:r>
        </w:sdtContent>
      </w:sdt>
      <w:r w:rsidR="00D95EE4">
        <w:rPr>
          <w:lang w:eastAsia="en-GB"/>
        </w:rPr>
        <w:t xml:space="preserve"> </w:t>
      </w:r>
      <w:r w:rsidRPr="006A1FEC">
        <w:rPr>
          <w:lang w:eastAsia="en-GB"/>
        </w:rPr>
        <w:t>that integration of the thermal assessment is expected before any future approval application is submitted.</w:t>
      </w:r>
    </w:p>
    <w:p w14:paraId="4778A931" w14:textId="2E315988" w:rsidR="001357BD" w:rsidRDefault="003B6FA6" w:rsidP="003F572B">
      <w:pPr>
        <w:pStyle w:val="Heading2"/>
      </w:pPr>
      <w:bookmarkStart w:id="10" w:name="_Toc241647280"/>
      <w:r>
        <w:t xml:space="preserve">Radiation </w:t>
      </w:r>
      <w:r w:rsidR="001357BD">
        <w:t>Shielding</w:t>
      </w:r>
      <w:r w:rsidR="006D697B">
        <w:t xml:space="preserve"> </w:t>
      </w:r>
      <w:r w:rsidR="00B42807">
        <w:t xml:space="preserve">(Ref. </w:t>
      </w:r>
      <w:sdt>
        <w:sdtPr>
          <w:id w:val="-717821544"/>
          <w:citation/>
        </w:sdtPr>
        <w:sdtEndPr/>
        <w:sdtContent>
          <w:r w:rsidR="00B42807">
            <w:fldChar w:fldCharType="begin"/>
          </w:r>
          <w:r w:rsidR="00B42807">
            <w:instrText xml:space="preserve"> CITATION Shield \l 2057 </w:instrText>
          </w:r>
          <w:r w:rsidR="00B42807">
            <w:fldChar w:fldCharType="separate"/>
          </w:r>
          <w:r w:rsidR="00BA2A5D" w:rsidRPr="00BA2A5D">
            <w:rPr>
              <w:noProof/>
            </w:rPr>
            <w:t>[5]</w:t>
          </w:r>
          <w:r w:rsidR="00B42807">
            <w:fldChar w:fldCharType="end"/>
          </w:r>
        </w:sdtContent>
      </w:sdt>
      <w:r w:rsidR="00B42807">
        <w:t>)</w:t>
      </w:r>
      <w:bookmarkEnd w:id="10"/>
    </w:p>
    <w:p w14:paraId="21B6998F" w14:textId="12C99403" w:rsidR="00901D10" w:rsidRDefault="00901D10" w:rsidP="00901D10">
      <w:pPr>
        <w:pStyle w:val="NumList1"/>
        <w:ind w:left="851" w:hanging="851"/>
        <w:rPr>
          <w:lang w:eastAsia="en-GB"/>
        </w:rPr>
      </w:pPr>
      <w:r w:rsidRPr="00901D10">
        <w:rPr>
          <w:lang w:eastAsia="en-GB"/>
        </w:rPr>
        <w:t>The current GB/4125/H(M) package is essentially the same design as the GB/3570</w:t>
      </w:r>
      <w:r w:rsidR="008825CD">
        <w:rPr>
          <w:lang w:eastAsia="en-GB"/>
        </w:rPr>
        <w:t>/H(U) and GB/3571</w:t>
      </w:r>
      <w:r w:rsidR="004438D0">
        <w:rPr>
          <w:lang w:eastAsia="en-GB"/>
        </w:rPr>
        <w:t>/H(U)</w:t>
      </w:r>
      <w:r w:rsidRPr="00901D10">
        <w:rPr>
          <w:lang w:eastAsia="en-GB"/>
        </w:rPr>
        <w:t xml:space="preserve"> </w:t>
      </w:r>
      <w:r w:rsidR="004438D0">
        <w:rPr>
          <w:lang w:eastAsia="en-GB"/>
        </w:rPr>
        <w:t>designs</w:t>
      </w:r>
      <w:r w:rsidRPr="00901D10">
        <w:rPr>
          <w:lang w:eastAsia="en-GB"/>
        </w:rPr>
        <w:t>, with the principal difference being the removal of the thermal protection system</w:t>
      </w:r>
      <w:r w:rsidR="00E57790">
        <w:rPr>
          <w:lang w:eastAsia="en-GB"/>
        </w:rPr>
        <w:t>s</w:t>
      </w:r>
      <w:r w:rsidRPr="00901D10">
        <w:rPr>
          <w:lang w:eastAsia="en-GB"/>
        </w:rPr>
        <w:t>. Previous shielding assessments</w:t>
      </w:r>
      <w:r w:rsidR="004438D0">
        <w:rPr>
          <w:lang w:eastAsia="en-GB"/>
        </w:rPr>
        <w:t xml:space="preserve"> submitted to support the 3570 design series applications </w:t>
      </w:r>
      <w:r w:rsidRPr="00901D10">
        <w:rPr>
          <w:lang w:eastAsia="en-GB"/>
        </w:rPr>
        <w:t xml:space="preserve">demonstrated compliance with the SSR-6 package surface dose rate limit of </w:t>
      </w:r>
      <w:r w:rsidRPr="00901D10">
        <w:rPr>
          <w:lang w:eastAsia="en-GB"/>
        </w:rPr>
        <w:lastRenderedPageBreak/>
        <w:t>2 mSv/h for a range of UF</w:t>
      </w:r>
      <w:r w:rsidRPr="00901D10">
        <w:rPr>
          <w:rFonts w:ascii="Cambria Math" w:hAnsi="Cambria Math" w:cs="Cambria Math"/>
          <w:lang w:eastAsia="en-GB"/>
        </w:rPr>
        <w:t>₆</w:t>
      </w:r>
      <w:r w:rsidRPr="00901D10">
        <w:rPr>
          <w:lang w:eastAsia="en-GB"/>
        </w:rPr>
        <w:t xml:space="preserve"> inventories and fill states, including full, heel and tail configurations.</w:t>
      </w:r>
    </w:p>
    <w:p w14:paraId="752DC9C1" w14:textId="77777777" w:rsidR="00901D10" w:rsidRDefault="00901D10" w:rsidP="00901D10">
      <w:pPr>
        <w:pStyle w:val="NumList1"/>
        <w:ind w:left="851" w:hanging="851"/>
        <w:rPr>
          <w:lang w:eastAsia="en-GB"/>
        </w:rPr>
      </w:pPr>
      <w:r w:rsidRPr="00901D10">
        <w:rPr>
          <w:lang w:eastAsia="en-GB"/>
        </w:rPr>
        <w:t>The additional assessment undertaken in 2015 identified potentially elevated dose rates for certain reprocessed UF</w:t>
      </w:r>
      <w:r w:rsidRPr="00901D10">
        <w:rPr>
          <w:rFonts w:ascii="Cambria Math" w:hAnsi="Cambria Math" w:cs="Cambria Math"/>
          <w:lang w:eastAsia="en-GB"/>
        </w:rPr>
        <w:t>₆</w:t>
      </w:r>
      <w:r w:rsidRPr="00901D10">
        <w:rPr>
          <w:lang w:eastAsia="en-GB"/>
        </w:rPr>
        <w:t xml:space="preserve"> heel configurations containing U-232 daughter products. However, these scenarios were limited to low-mass heel inventories where self-shielding is minimal and are not applicable to the current application. The present approval is restricted to natural UF</w:t>
      </w:r>
      <w:r w:rsidRPr="00901D10">
        <w:rPr>
          <w:rFonts w:ascii="Cambria Math" w:hAnsi="Cambria Math" w:cs="Cambria Math"/>
          <w:lang w:eastAsia="en-GB"/>
        </w:rPr>
        <w:t>₆</w:t>
      </w:r>
      <w:r w:rsidRPr="00901D10">
        <w:rPr>
          <w:lang w:eastAsia="en-GB"/>
        </w:rPr>
        <w:t xml:space="preserve"> classified as LSA-I material and therefore excludes reprocessed uranium and the associated dose rate considerations arising from U-232 daughter products.</w:t>
      </w:r>
    </w:p>
    <w:p w14:paraId="78A1E3E6" w14:textId="77777777" w:rsidR="00F80215" w:rsidRDefault="00901D10" w:rsidP="00F80215">
      <w:pPr>
        <w:pStyle w:val="NumList1"/>
        <w:ind w:left="851" w:hanging="851"/>
        <w:rPr>
          <w:lang w:eastAsia="en-GB"/>
        </w:rPr>
      </w:pPr>
      <w:r w:rsidRPr="006E0FC0">
        <w:rPr>
          <w:lang w:eastAsia="en-GB"/>
        </w:rPr>
        <w:t>For the large UF</w:t>
      </w:r>
      <w:r w:rsidRPr="006E0FC0">
        <w:rPr>
          <w:rFonts w:ascii="Cambria Math" w:hAnsi="Cambria Math" w:cs="Cambria Math"/>
          <w:lang w:eastAsia="en-GB"/>
        </w:rPr>
        <w:t>₆</w:t>
      </w:r>
      <w:r w:rsidRPr="006E0FC0">
        <w:rPr>
          <w:lang w:eastAsia="en-GB"/>
        </w:rPr>
        <w:t xml:space="preserve"> inventories proposed in this application, significant self-shielding within the UF</w:t>
      </w:r>
      <w:r w:rsidRPr="006E0FC0">
        <w:rPr>
          <w:rFonts w:ascii="Cambria Math" w:hAnsi="Cambria Math" w:cs="Cambria Math"/>
          <w:lang w:eastAsia="en-GB"/>
        </w:rPr>
        <w:t>₆</w:t>
      </w:r>
      <w:r w:rsidRPr="006E0FC0">
        <w:rPr>
          <w:lang w:eastAsia="en-GB"/>
        </w:rPr>
        <w:t xml:space="preserve"> mass is expected to reduce external dose rates substantially. The applicant's assessment reports a dose rate of approximately 10 </w:t>
      </w:r>
      <w:r w:rsidRPr="006E0FC0">
        <w:rPr>
          <w:rFonts w:ascii="Arial" w:hAnsi="Arial" w:cs="Arial"/>
          <w:lang w:eastAsia="en-GB"/>
        </w:rPr>
        <w:t>µ</w:t>
      </w:r>
      <w:r w:rsidRPr="006E0FC0">
        <w:rPr>
          <w:lang w:eastAsia="en-GB"/>
        </w:rPr>
        <w:t>Sv/h at 10 cm from a fully loaded 48Y cylinder containing around 12,500 kg of natural UF</w:t>
      </w:r>
      <w:r w:rsidRPr="006E0FC0">
        <w:rPr>
          <w:rFonts w:ascii="Cambria Math" w:hAnsi="Cambria Math" w:cs="Cambria Math"/>
          <w:lang w:eastAsia="en-GB"/>
        </w:rPr>
        <w:t>₆</w:t>
      </w:r>
      <w:r w:rsidRPr="006E0FC0">
        <w:rPr>
          <w:lang w:eastAsia="en-GB"/>
        </w:rPr>
        <w:t>, which is representative of the proposed contents. Whilst removal of the thermal protection system may result in a modest increase in external dose rates due to the reduced distance between the source and package surface, the predicted dose rates remain approximately two orders of magnitude below the applicable SSR-6 limit of 2 mSv/h.</w:t>
      </w:r>
    </w:p>
    <w:p w14:paraId="20AD74F9" w14:textId="27095507" w:rsidR="00744172" w:rsidRDefault="00901D10" w:rsidP="0070170A">
      <w:pPr>
        <w:pStyle w:val="NumList1"/>
        <w:ind w:left="851" w:hanging="851"/>
        <w:rPr>
          <w:lang w:eastAsia="en-GB"/>
        </w:rPr>
      </w:pPr>
      <w:r w:rsidRPr="00F80215">
        <w:rPr>
          <w:lang w:eastAsia="en-GB"/>
        </w:rPr>
        <w:t>On the basis of the previous approved assessments, the restriction to natural UF</w:t>
      </w:r>
      <w:r w:rsidRPr="00F80215">
        <w:rPr>
          <w:rFonts w:ascii="Cambria Math" w:hAnsi="Cambria Math" w:cs="Cambria Math"/>
          <w:lang w:eastAsia="en-GB"/>
        </w:rPr>
        <w:t>₆</w:t>
      </w:r>
      <w:r w:rsidRPr="00F80215">
        <w:rPr>
          <w:lang w:eastAsia="en-GB"/>
        </w:rPr>
        <w:t xml:space="preserve"> contents, and the substantial margin to the regulatory dose rate criterion, I am satisfied that the GB/4125/H(M) package provides adequate shielding. I therefore consider the package acceptable from an external dose rate and radiation shielding perspective and recommend approval</w:t>
      </w:r>
      <w:r w:rsidR="0070170A">
        <w:rPr>
          <w:lang w:eastAsia="en-GB"/>
        </w:rPr>
        <w:t xml:space="preserve">. </w:t>
      </w:r>
    </w:p>
    <w:p w14:paraId="60BDEAB8" w14:textId="41995E46" w:rsidR="003F572B" w:rsidRDefault="00B451E7" w:rsidP="00D838D1">
      <w:pPr>
        <w:pStyle w:val="Heading2"/>
      </w:pPr>
      <w:bookmarkStart w:id="11" w:name="_Toc241647281"/>
      <w:r>
        <w:t>Human Factors</w:t>
      </w:r>
      <w:bookmarkEnd w:id="11"/>
    </w:p>
    <w:p w14:paraId="2B92BDB6" w14:textId="0525DC65" w:rsidR="00202ED9" w:rsidRDefault="00202ED9" w:rsidP="004C64DC">
      <w:pPr>
        <w:pStyle w:val="NumList1"/>
        <w:tabs>
          <w:tab w:val="left" w:pos="851"/>
        </w:tabs>
        <w:ind w:left="851" w:hanging="851"/>
        <w:rPr>
          <w:lang w:eastAsia="en-GB"/>
        </w:rPr>
      </w:pPr>
      <w:r w:rsidRPr="00202ED9">
        <w:rPr>
          <w:lang w:eastAsia="en-GB"/>
        </w:rPr>
        <w:t xml:space="preserve">UUK is currently implementing a programme of improvements under Regulatory Issue RI-12518 to enhance the operating instructions for </w:t>
      </w:r>
      <w:r w:rsidR="00BA7807">
        <w:rPr>
          <w:lang w:eastAsia="en-GB"/>
        </w:rPr>
        <w:t xml:space="preserve">H(U) </w:t>
      </w:r>
      <w:r w:rsidRPr="00202ED9">
        <w:rPr>
          <w:lang w:eastAsia="en-GB"/>
        </w:rPr>
        <w:t>48X and 48Y cylinders, with particular emphasis on the incorporation of human factors considerations</w:t>
      </w:r>
      <w:r w:rsidR="006D196A">
        <w:rPr>
          <w:lang w:eastAsia="en-GB"/>
        </w:rPr>
        <w:t xml:space="preserve"> in </w:t>
      </w:r>
      <w:r w:rsidR="00D95242">
        <w:rPr>
          <w:lang w:eastAsia="en-GB"/>
        </w:rPr>
        <w:t>accordance</w:t>
      </w:r>
      <w:r w:rsidR="006D196A">
        <w:rPr>
          <w:lang w:eastAsia="en-GB"/>
        </w:rPr>
        <w:t xml:space="preserve"> with ONR </w:t>
      </w:r>
      <w:r w:rsidR="007B08A3">
        <w:rPr>
          <w:lang w:eastAsia="en-GB"/>
        </w:rPr>
        <w:t>guidance</w:t>
      </w:r>
      <w:r w:rsidRPr="00202ED9">
        <w:rPr>
          <w:lang w:eastAsia="en-GB"/>
        </w:rPr>
        <w:t xml:space="preserve">. As part of this programme, UUK is also required to strengthen its management arrangements to ensure that human factors are appropriately considered in future package design submissions. Existing </w:t>
      </w:r>
      <w:r>
        <w:rPr>
          <w:lang w:eastAsia="en-GB"/>
        </w:rPr>
        <w:t>CoAs</w:t>
      </w:r>
      <w:r w:rsidRPr="00202ED9">
        <w:rPr>
          <w:lang w:eastAsia="en-GB"/>
        </w:rPr>
        <w:t xml:space="preserve"> for the 48X and 48Y cylinder designs were issued with the regulatory issue remaining open, reflecting the relatively simple nature of the package design and operational arrangements.</w:t>
      </w:r>
    </w:p>
    <w:p w14:paraId="2102D9F4" w14:textId="5498892F" w:rsidR="00BA7807" w:rsidRDefault="00BA7807" w:rsidP="004C64DC">
      <w:pPr>
        <w:pStyle w:val="NumList1"/>
        <w:tabs>
          <w:tab w:val="left" w:pos="851"/>
        </w:tabs>
        <w:ind w:left="851" w:hanging="851"/>
        <w:rPr>
          <w:lang w:eastAsia="en-GB"/>
        </w:rPr>
      </w:pPr>
      <w:r w:rsidRPr="00BA7807">
        <w:rPr>
          <w:lang w:eastAsia="en-GB"/>
        </w:rPr>
        <w:t xml:space="preserve">The proposed H(M) approval utilises the same operating and maintenance arrangements as the existing </w:t>
      </w:r>
      <w:r>
        <w:rPr>
          <w:lang w:eastAsia="en-GB"/>
        </w:rPr>
        <w:t xml:space="preserve">H(U) </w:t>
      </w:r>
      <w:r w:rsidRPr="00BA7807">
        <w:rPr>
          <w:lang w:eastAsia="en-GB"/>
        </w:rPr>
        <w:t xml:space="preserve">approved package designs, specifically </w:t>
      </w:r>
      <w:r>
        <w:rPr>
          <w:lang w:eastAsia="en-GB"/>
        </w:rPr>
        <w:t>‘</w:t>
      </w:r>
      <w:r w:rsidRPr="00BA7807">
        <w:rPr>
          <w:lang w:eastAsia="en-GB"/>
        </w:rPr>
        <w:t>Operating and Maintenance Instruction for 48Y and 48X Cylinders</w:t>
      </w:r>
      <w:r>
        <w:rPr>
          <w:lang w:eastAsia="en-GB"/>
        </w:rPr>
        <w:t>’</w:t>
      </w:r>
      <w:r w:rsidRPr="00BA7807">
        <w:rPr>
          <w:lang w:eastAsia="en-GB"/>
        </w:rPr>
        <w:t>, Revision 1</w:t>
      </w:r>
      <w:r>
        <w:rPr>
          <w:lang w:eastAsia="en-GB"/>
        </w:rPr>
        <w:t xml:space="preserve">, dated </w:t>
      </w:r>
      <w:r w:rsidRPr="00BA7807">
        <w:rPr>
          <w:lang w:eastAsia="en-GB"/>
        </w:rPr>
        <w:t xml:space="preserve">July 2015. The operating instruction already recognises the </w:t>
      </w:r>
      <w:r w:rsidRPr="00BA7807">
        <w:rPr>
          <w:lang w:eastAsia="en-GB"/>
        </w:rPr>
        <w:lastRenderedPageBreak/>
        <w:t>potential transport of full cylinders without thermal protection, stating that such transport may be undertaken where authorised under an H(M)</w:t>
      </w:r>
      <w:r>
        <w:rPr>
          <w:lang w:eastAsia="en-GB"/>
        </w:rPr>
        <w:t xml:space="preserve"> CoA</w:t>
      </w:r>
      <w:r w:rsidRPr="00BA7807">
        <w:rPr>
          <w:lang w:eastAsia="en-GB"/>
        </w:rPr>
        <w:t>.</w:t>
      </w:r>
    </w:p>
    <w:p w14:paraId="0C23F4AA" w14:textId="317EAF9C" w:rsidR="00E06D90" w:rsidRDefault="00E06D90" w:rsidP="004C64DC">
      <w:pPr>
        <w:pStyle w:val="NumList1"/>
        <w:tabs>
          <w:tab w:val="left" w:pos="851"/>
        </w:tabs>
        <w:ind w:left="851" w:hanging="851"/>
        <w:rPr>
          <w:lang w:eastAsia="en-GB"/>
        </w:rPr>
      </w:pPr>
      <w:r w:rsidRPr="00E06D90">
        <w:rPr>
          <w:lang w:eastAsia="en-GB"/>
        </w:rPr>
        <w:t>The principal additional operational requirement associated with this application is the restriction that cylinders transported without thermal protection must contain a minimum UF</w:t>
      </w:r>
      <w:r w:rsidRPr="00E06D90">
        <w:rPr>
          <w:rFonts w:ascii="Cambria Math" w:hAnsi="Cambria Math" w:cs="Cambria Math"/>
          <w:lang w:eastAsia="en-GB"/>
        </w:rPr>
        <w:t>₆</w:t>
      </w:r>
      <w:r w:rsidRPr="00E06D90">
        <w:rPr>
          <w:lang w:eastAsia="en-GB"/>
        </w:rPr>
        <w:t xml:space="preserve"> mass of 11,875 kg. Although this specific mass limit is not currently stated within the operating instruction, the instruction provides for operation under an H(M) </w:t>
      </w:r>
      <w:r w:rsidR="00B74F76" w:rsidRPr="00E06D90">
        <w:rPr>
          <w:lang w:eastAsia="en-GB"/>
        </w:rPr>
        <w:t>approval,</w:t>
      </w:r>
      <w:r w:rsidRPr="00E06D90">
        <w:rPr>
          <w:lang w:eastAsia="en-GB"/>
        </w:rPr>
        <w:t xml:space="preserve"> and the proposed </w:t>
      </w:r>
      <w:r w:rsidR="005428FC">
        <w:rPr>
          <w:lang w:eastAsia="en-GB"/>
        </w:rPr>
        <w:t>CoA</w:t>
      </w:r>
      <w:r w:rsidRPr="00E06D90">
        <w:rPr>
          <w:lang w:eastAsia="en-GB"/>
        </w:rPr>
        <w:t xml:space="preserve"> will explicitly specify this minimum mass requirement as an operating limit and condition of approval.</w:t>
      </w:r>
    </w:p>
    <w:p w14:paraId="0DE58217" w14:textId="08DD7F08" w:rsidR="00C70615" w:rsidRDefault="0031268F" w:rsidP="000A2A07">
      <w:pPr>
        <w:pStyle w:val="NumList1"/>
        <w:tabs>
          <w:tab w:val="left" w:pos="851"/>
        </w:tabs>
        <w:ind w:left="851" w:hanging="851"/>
        <w:rPr>
          <w:lang w:eastAsia="en-GB"/>
        </w:rPr>
      </w:pPr>
      <w:r w:rsidRPr="0031268F">
        <w:rPr>
          <w:lang w:eastAsia="en-GB"/>
        </w:rPr>
        <w:t>Given that the application does not introduce any significant changes to package operation, maintenance activities or operational processes beyond the additional minimum fill requirement and noting that human factors improvements are already being managed through RI-12518, no further operational assessment was considered necessary. This approach is consistent with the agreed permissioning strategy and proportionate to the limited nature of the change being proposed.</w:t>
      </w:r>
      <w:r w:rsidR="0099691F">
        <w:rPr>
          <w:lang w:eastAsia="en-GB"/>
        </w:rPr>
        <w:t xml:space="preserve"> </w:t>
      </w:r>
    </w:p>
    <w:p w14:paraId="73850A26" w14:textId="39CB6145" w:rsidR="00B451E7" w:rsidRDefault="00B451E7" w:rsidP="00B451E7">
      <w:pPr>
        <w:pStyle w:val="Heading2"/>
      </w:pPr>
      <w:bookmarkStart w:id="12" w:name="_Toc241647282"/>
      <w:r>
        <w:t>Criticality</w:t>
      </w:r>
      <w:bookmarkEnd w:id="12"/>
    </w:p>
    <w:p w14:paraId="78EB3CB6" w14:textId="2D93F509" w:rsidR="00B451E7" w:rsidRDefault="00821209" w:rsidP="00D75E05">
      <w:pPr>
        <w:pStyle w:val="NumList1"/>
        <w:tabs>
          <w:tab w:val="left" w:pos="851"/>
        </w:tabs>
        <w:ind w:left="851" w:hanging="851"/>
        <w:rPr>
          <w:lang w:eastAsia="en-GB"/>
        </w:rPr>
      </w:pPr>
      <w:r>
        <w:rPr>
          <w:lang w:eastAsia="en-GB"/>
        </w:rPr>
        <w:t>T</w:t>
      </w:r>
      <w:r w:rsidRPr="00821209">
        <w:rPr>
          <w:lang w:eastAsia="en-GB"/>
        </w:rPr>
        <w:t xml:space="preserve">he proposed contents are classified as non-fissile or fissile-excepted material in accordance with SSR-6 and therefore </w:t>
      </w:r>
      <w:r w:rsidR="008302E4">
        <w:rPr>
          <w:lang w:eastAsia="en-GB"/>
        </w:rPr>
        <w:t>the application does</w:t>
      </w:r>
      <w:r w:rsidRPr="00821209">
        <w:rPr>
          <w:lang w:eastAsia="en-GB"/>
        </w:rPr>
        <w:t xml:space="preserve"> not require approval as a fissile package. During the pre-job briefing, </w:t>
      </w:r>
      <w:r w:rsidR="005D6080">
        <w:rPr>
          <w:lang w:eastAsia="en-GB"/>
        </w:rPr>
        <w:t>our</w:t>
      </w:r>
      <w:r w:rsidRPr="00821209">
        <w:rPr>
          <w:lang w:eastAsia="en-GB"/>
        </w:rPr>
        <w:t xml:space="preserve"> criticality assessor confirmed that the proposed contents meet the applicable non-fissile and fissile-excepted criteria. On this basis, no further criticality assessment was considered necessary.</w:t>
      </w:r>
    </w:p>
    <w:p w14:paraId="3CDFE275" w14:textId="34F42C55" w:rsidR="000777F4" w:rsidRDefault="00D020E9" w:rsidP="00291841">
      <w:pPr>
        <w:pStyle w:val="Heading2"/>
        <w:rPr>
          <w:lang w:eastAsia="en-GB"/>
        </w:rPr>
      </w:pPr>
      <w:bookmarkStart w:id="13" w:name="_Toc241647283"/>
      <w:r>
        <w:t>Inspection</w:t>
      </w:r>
      <w:bookmarkEnd w:id="13"/>
    </w:p>
    <w:p w14:paraId="710746AB" w14:textId="496076D5" w:rsidR="00291841" w:rsidRDefault="00BF4887" w:rsidP="00291841">
      <w:pPr>
        <w:pStyle w:val="NumList1"/>
        <w:tabs>
          <w:tab w:val="left" w:pos="851"/>
        </w:tabs>
        <w:ind w:left="851" w:hanging="851"/>
        <w:rPr>
          <w:lang w:eastAsia="en-GB"/>
        </w:rPr>
      </w:pPr>
      <w:r w:rsidRPr="00BF4887">
        <w:rPr>
          <w:lang w:eastAsia="en-GB"/>
        </w:rPr>
        <w:t xml:space="preserve">An inspection of UUK's management system was undertaken in 2025 under </w:t>
      </w:r>
      <w:r w:rsidR="00D85F8B">
        <w:rPr>
          <w:lang w:eastAsia="en-GB"/>
        </w:rPr>
        <w:t>IR</w:t>
      </w:r>
      <w:r w:rsidRPr="00BF4887">
        <w:rPr>
          <w:lang w:eastAsia="en-GB"/>
        </w:rPr>
        <w:t>-54033. The inspection concluded that the arrangements were adequate for the activities being undertaken and resulted in an overall Green rating.</w:t>
      </w:r>
      <w:r w:rsidR="00291841">
        <w:rPr>
          <w:lang w:eastAsia="en-GB"/>
        </w:rPr>
        <w:t xml:space="preserve"> </w:t>
      </w:r>
    </w:p>
    <w:p w14:paraId="02830747" w14:textId="6E475673" w:rsidR="00291841" w:rsidRPr="00FE760C" w:rsidRDefault="00291841" w:rsidP="00291841">
      <w:pPr>
        <w:pStyle w:val="NumList1"/>
        <w:tabs>
          <w:tab w:val="left" w:pos="851"/>
        </w:tabs>
        <w:ind w:left="851" w:hanging="851"/>
        <w:rPr>
          <w:lang w:eastAsia="en-GB"/>
        </w:rPr>
      </w:pPr>
      <w:r w:rsidRPr="00291841">
        <w:t>As no significant management system concerns were identified, and no findings were raised that would adversely affect the current application, the inspection provides sufficient confidence in UUK's organisational arrangements to support this permissioning activity. Accordingly, no further inspection work is considered necessary as part of the assessment of this application.</w:t>
      </w:r>
    </w:p>
    <w:p w14:paraId="59A5C587" w14:textId="342B06FA" w:rsidR="0038766B" w:rsidRPr="0038766B" w:rsidRDefault="000F617C" w:rsidP="00410423">
      <w:pPr>
        <w:pStyle w:val="Heading1"/>
      </w:pPr>
      <w:bookmarkStart w:id="14" w:name="_Toc241647284"/>
      <w:r>
        <w:t xml:space="preserve">Matters </w:t>
      </w:r>
      <w:r w:rsidR="00385E75">
        <w:t xml:space="preserve">arising </w:t>
      </w:r>
      <w:r>
        <w:t>from ONR</w:t>
      </w:r>
      <w:r w:rsidR="00385E75">
        <w:t>’</w:t>
      </w:r>
      <w:r>
        <w:t xml:space="preserve">s </w:t>
      </w:r>
      <w:r w:rsidR="00385E75">
        <w:t>work</w:t>
      </w:r>
      <w:bookmarkEnd w:id="14"/>
    </w:p>
    <w:p w14:paraId="108EE8F2" w14:textId="14AEB22E" w:rsidR="0030188D" w:rsidRDefault="0030188D" w:rsidP="00FA61EA">
      <w:pPr>
        <w:pStyle w:val="NumList1"/>
        <w:ind w:left="851" w:hanging="851"/>
      </w:pPr>
      <w:r w:rsidRPr="0030188D">
        <w:t>During the assessment of this application, ONR undertook a series of internal discussions</w:t>
      </w:r>
      <w:r w:rsidR="00425B9F">
        <w:t xml:space="preserve"> (</w:t>
      </w:r>
      <w:r w:rsidR="00DF74BB">
        <w:t>see</w:t>
      </w:r>
      <w:r w:rsidR="00FF3151">
        <w:t xml:space="preserve"> Ref. </w:t>
      </w:r>
      <w:sdt>
        <w:sdtPr>
          <w:id w:val="1029294471"/>
          <w:citation/>
        </w:sdtPr>
        <w:sdtEndPr/>
        <w:sdtContent>
          <w:r w:rsidR="00FF3151">
            <w:fldChar w:fldCharType="begin"/>
          </w:r>
          <w:r w:rsidR="004E3F3D">
            <w:instrText xml:space="preserve">CITATION ENG \l 2057 </w:instrText>
          </w:r>
          <w:r w:rsidR="00FF3151">
            <w:fldChar w:fldCharType="separate"/>
          </w:r>
          <w:r w:rsidR="004E3F3D" w:rsidRPr="004E3F3D">
            <w:rPr>
              <w:noProof/>
            </w:rPr>
            <w:t>[3]</w:t>
          </w:r>
          <w:r w:rsidR="00FF3151">
            <w:fldChar w:fldCharType="end"/>
          </w:r>
        </w:sdtContent>
      </w:sdt>
      <w:r w:rsidR="00FF3151">
        <w:t xml:space="preserve">) </w:t>
      </w:r>
      <w:r w:rsidRPr="0030188D">
        <w:t>to consider the acceptability of granting approval under SSR-6 (2018) paragraph 634(c) for the transport of</w:t>
      </w:r>
      <w:r w:rsidR="00922621">
        <w:t xml:space="preserve"> great</w:t>
      </w:r>
      <w:r w:rsidR="00054A1C">
        <w:t>er</w:t>
      </w:r>
      <w:r w:rsidR="00922621">
        <w:t xml:space="preserve"> </w:t>
      </w:r>
      <w:r w:rsidR="00922621">
        <w:lastRenderedPageBreak/>
        <w:t>than 9</w:t>
      </w:r>
      <w:r w:rsidR="00054A1C">
        <w:t xml:space="preserve">,000 kg </w:t>
      </w:r>
      <w:r w:rsidR="00922621">
        <w:t>of</w:t>
      </w:r>
      <w:r w:rsidRPr="0030188D">
        <w:t xml:space="preserve"> UF</w:t>
      </w:r>
      <w:r w:rsidRPr="0030188D">
        <w:rPr>
          <w:rFonts w:ascii="Cambria Math" w:hAnsi="Cambria Math" w:cs="Cambria Math"/>
        </w:rPr>
        <w:t>₆</w:t>
      </w:r>
      <w:r w:rsidRPr="0030188D">
        <w:t xml:space="preserve"> in a bare 48Y cylinder. These discussions considered the historical basis for the provision, previous ONR assessments, the available international research, and the applicant's technical justification relating to the increased UF</w:t>
      </w:r>
      <w:r w:rsidRPr="0030188D">
        <w:rPr>
          <w:rFonts w:ascii="Cambria Math" w:hAnsi="Cambria Math" w:cs="Cambria Math"/>
        </w:rPr>
        <w:t>₆</w:t>
      </w:r>
      <w:r w:rsidRPr="0030188D">
        <w:t xml:space="preserve"> mass proposed in this application.</w:t>
      </w:r>
    </w:p>
    <w:p w14:paraId="558B36EC" w14:textId="55AB96D3" w:rsidR="0030188D" w:rsidRDefault="0030188D" w:rsidP="00FA61EA">
      <w:pPr>
        <w:pStyle w:val="NumList1"/>
        <w:ind w:left="851" w:hanging="851"/>
      </w:pPr>
      <w:r w:rsidRPr="00FA61EA">
        <w:t>A key outcome of these discussions was that ONR has not established a generic policy position regarding the future application of paragraph 634(c) or the approval of H(M) packages containing UF</w:t>
      </w:r>
      <w:r w:rsidRPr="00FA61EA">
        <w:rPr>
          <w:rFonts w:ascii="Cambria Math" w:hAnsi="Cambria Math" w:cs="Cambria Math"/>
        </w:rPr>
        <w:t>₆</w:t>
      </w:r>
      <w:r w:rsidRPr="00FA61EA">
        <w:t xml:space="preserve"> without thermal protection. While this assessment has concluded that the current application is acceptable based on its specific technical case, the evidence reviewed does not support a blanket determination that all future applications meeting the minimum regulatory threshold of 9,000 kg UF</w:t>
      </w:r>
      <w:r w:rsidRPr="00FA61EA">
        <w:rPr>
          <w:rFonts w:ascii="Cambria Math" w:hAnsi="Cambria Math" w:cs="Cambria Math"/>
        </w:rPr>
        <w:t>₆</w:t>
      </w:r>
      <w:r w:rsidRPr="00FA61EA">
        <w:t xml:space="preserve"> should be approved without further scrutiny. Consistent with the principles set out in IAEA SSG-26, applications should continue to be considered on a case-by-case basis, taking account of the packag</w:t>
      </w:r>
      <w:r w:rsidR="00086248">
        <w:t>ing</w:t>
      </w:r>
      <w:r w:rsidRPr="00FA61EA">
        <w:t xml:space="preserve"> design, UF</w:t>
      </w:r>
      <w:r w:rsidRPr="00FA61EA">
        <w:rPr>
          <w:rFonts w:ascii="Cambria Math" w:hAnsi="Cambria Math" w:cs="Cambria Math"/>
        </w:rPr>
        <w:t>₆</w:t>
      </w:r>
      <w:r w:rsidRPr="00FA61EA">
        <w:t xml:space="preserve"> mass, supporting evidence, safety justification and any relevant operational considerations.</w:t>
      </w:r>
    </w:p>
    <w:p w14:paraId="2A6C1EFE" w14:textId="06C078D8" w:rsidR="00DA7B86" w:rsidRDefault="0030188D" w:rsidP="00FA61EA">
      <w:pPr>
        <w:pStyle w:val="NumList1"/>
        <w:ind w:left="851" w:hanging="851"/>
      </w:pPr>
      <w:r w:rsidRPr="00FA61EA">
        <w:t xml:space="preserve">Given the wider regulatory implications of this matter and the potential for future applications seeking approval under paragraph 634(c), it is recommended that ONR's approach is discussed further at the Transport Permissioning </w:t>
      </w:r>
      <w:r w:rsidR="00651907">
        <w:t>Delivery Management</w:t>
      </w:r>
      <w:r w:rsidRPr="00FA61EA">
        <w:t xml:space="preserve"> Group (DMG) to ensure a shared understanding of the basis on which future H(M) applications should be assessed.</w:t>
      </w:r>
    </w:p>
    <w:p w14:paraId="669047B6" w14:textId="77777777" w:rsidR="00777BCE" w:rsidRDefault="00777BCE" w:rsidP="00410423">
      <w:pPr>
        <w:pStyle w:val="Heading1"/>
      </w:pPr>
      <w:bookmarkStart w:id="15" w:name="_Toc241647285"/>
      <w:r>
        <w:t>Conclusions</w:t>
      </w:r>
      <w:bookmarkEnd w:id="15"/>
    </w:p>
    <w:p w14:paraId="054B2A42" w14:textId="1C11962C" w:rsidR="00777BCE" w:rsidRPr="0038766B" w:rsidRDefault="00133BF1" w:rsidP="00D75E05">
      <w:pPr>
        <w:pStyle w:val="NumList1"/>
        <w:tabs>
          <w:tab w:val="left" w:pos="851"/>
        </w:tabs>
        <w:ind w:left="851" w:hanging="851"/>
        <w:rPr>
          <w:lang w:eastAsia="en-GB"/>
        </w:rPr>
      </w:pPr>
      <w:r w:rsidRPr="1AB1962D">
        <w:rPr>
          <w:lang w:eastAsia="en-GB"/>
        </w:rPr>
        <w:t xml:space="preserve">Based on the assessment activities we have undertaken, I am satisfied that the applicant has demonstrated that the </w:t>
      </w:r>
      <w:r w:rsidR="00EC441C" w:rsidRPr="1AB1962D">
        <w:rPr>
          <w:lang w:eastAsia="en-GB"/>
        </w:rPr>
        <w:t>GB/412</w:t>
      </w:r>
      <w:r w:rsidR="00C369CA">
        <w:rPr>
          <w:lang w:eastAsia="en-GB"/>
        </w:rPr>
        <w:t>5</w:t>
      </w:r>
      <w:r w:rsidR="00EC441C" w:rsidRPr="1AB1962D">
        <w:rPr>
          <w:lang w:eastAsia="en-GB"/>
        </w:rPr>
        <w:t>/</w:t>
      </w:r>
      <w:r w:rsidR="006E0480">
        <w:rPr>
          <w:lang w:eastAsia="en-GB"/>
        </w:rPr>
        <w:t>H</w:t>
      </w:r>
      <w:r w:rsidR="00EC441C" w:rsidRPr="1AB1962D">
        <w:rPr>
          <w:lang w:eastAsia="en-GB"/>
        </w:rPr>
        <w:t xml:space="preserve">(M) </w:t>
      </w:r>
      <w:r w:rsidR="00FD3A99" w:rsidRPr="1AB1962D">
        <w:rPr>
          <w:lang w:eastAsia="en-GB"/>
        </w:rPr>
        <w:t>package design</w:t>
      </w:r>
      <w:r w:rsidR="00D66547">
        <w:rPr>
          <w:lang w:eastAsia="en-GB"/>
        </w:rPr>
        <w:t>,</w:t>
      </w:r>
      <w:r w:rsidR="00FD3A99" w:rsidRPr="1AB1962D">
        <w:rPr>
          <w:lang w:eastAsia="en-GB"/>
        </w:rPr>
        <w:t xml:space="preserve"> used to transport </w:t>
      </w:r>
      <w:r w:rsidR="00770B3F" w:rsidRPr="00E06D90">
        <w:rPr>
          <w:lang w:eastAsia="en-GB"/>
        </w:rPr>
        <w:t>a</w:t>
      </w:r>
      <w:r w:rsidR="00770B3F">
        <w:rPr>
          <w:lang w:eastAsia="en-GB"/>
        </w:rPr>
        <w:t>t least</w:t>
      </w:r>
      <w:r w:rsidR="00770B3F" w:rsidRPr="00E06D90">
        <w:rPr>
          <w:lang w:eastAsia="en-GB"/>
        </w:rPr>
        <w:t xml:space="preserve"> 11,875 kg</w:t>
      </w:r>
      <w:r w:rsidR="00770B3F" w:rsidRPr="1AB1962D">
        <w:rPr>
          <w:lang w:eastAsia="en-GB"/>
        </w:rPr>
        <w:t xml:space="preserve"> </w:t>
      </w:r>
      <w:r w:rsidR="00770B3F">
        <w:rPr>
          <w:lang w:eastAsia="en-GB"/>
        </w:rPr>
        <w:t xml:space="preserve">of </w:t>
      </w:r>
      <w:r w:rsidR="00770B3F" w:rsidRPr="00E06D90">
        <w:rPr>
          <w:lang w:eastAsia="en-GB"/>
        </w:rPr>
        <w:t>UF</w:t>
      </w:r>
      <w:r w:rsidR="00770B3F" w:rsidRPr="00E06D90">
        <w:rPr>
          <w:rFonts w:ascii="Cambria Math" w:hAnsi="Cambria Math" w:cs="Cambria Math"/>
          <w:lang w:eastAsia="en-GB"/>
        </w:rPr>
        <w:t>₆</w:t>
      </w:r>
      <w:r w:rsidR="00D66547">
        <w:rPr>
          <w:rFonts w:ascii="Cambria Math" w:hAnsi="Cambria Math" w:cs="Cambria Math"/>
          <w:lang w:eastAsia="en-GB"/>
        </w:rPr>
        <w:t>,</w:t>
      </w:r>
      <w:r w:rsidR="00770B3F" w:rsidRPr="00E06D90">
        <w:rPr>
          <w:lang w:eastAsia="en-GB"/>
        </w:rPr>
        <w:t xml:space="preserve"> </w:t>
      </w:r>
      <w:r w:rsidR="00BF3372" w:rsidRPr="1AB1962D">
        <w:rPr>
          <w:lang w:eastAsia="en-GB"/>
        </w:rPr>
        <w:t>is</w:t>
      </w:r>
      <w:r w:rsidRPr="1AB1962D">
        <w:rPr>
          <w:lang w:eastAsia="en-GB"/>
        </w:rPr>
        <w:t xml:space="preserve"> compliant with the relevant legal requirements.</w:t>
      </w:r>
    </w:p>
    <w:p w14:paraId="3AD06306" w14:textId="16D2DEFB" w:rsidR="0038766B" w:rsidRPr="0038766B" w:rsidRDefault="00777BCE" w:rsidP="00410423">
      <w:pPr>
        <w:pStyle w:val="Heading1"/>
      </w:pPr>
      <w:bookmarkStart w:id="16" w:name="_Toc241647286"/>
      <w:r>
        <w:t>Recommendations</w:t>
      </w:r>
      <w:bookmarkEnd w:id="16"/>
    </w:p>
    <w:p w14:paraId="2F12ED2C" w14:textId="26362FD2" w:rsidR="004942E4" w:rsidRDefault="004942E4" w:rsidP="00BC092D">
      <w:pPr>
        <w:pStyle w:val="NumList1"/>
        <w:ind w:left="851" w:hanging="851"/>
      </w:pPr>
      <w:bookmarkStart w:id="17" w:name="_Ref237523797"/>
      <w:bookmarkStart w:id="18" w:name="_Ref231915006"/>
      <w:bookmarkEnd w:id="5"/>
      <w:r>
        <w:t>I recommend that ONR's Head of Regulation, acting as the GB Transport CA:</w:t>
      </w:r>
      <w:bookmarkEnd w:id="17"/>
    </w:p>
    <w:p w14:paraId="04216DFB" w14:textId="087673A1" w:rsidR="004942E4" w:rsidRDefault="004942E4" w:rsidP="00BC092D">
      <w:pPr>
        <w:pStyle w:val="NumList1"/>
        <w:numPr>
          <w:ilvl w:val="1"/>
          <w:numId w:val="14"/>
        </w:numPr>
      </w:pPr>
      <w:r>
        <w:t>accepts this PAR as providing an adequate technical and regulatory basis for approval of the GB/412</w:t>
      </w:r>
      <w:r w:rsidR="00076D2C">
        <w:t>5</w:t>
      </w:r>
      <w:r>
        <w:t>/H(M) package design; and</w:t>
      </w:r>
    </w:p>
    <w:p w14:paraId="7A972664" w14:textId="03677236" w:rsidR="0059276A" w:rsidRDefault="004942E4" w:rsidP="00BC092D">
      <w:pPr>
        <w:pStyle w:val="NumList1"/>
        <w:numPr>
          <w:ilvl w:val="1"/>
          <w:numId w:val="14"/>
        </w:numPr>
        <w:sectPr w:rsidR="0059276A" w:rsidSect="00E72E4A">
          <w:pgSz w:w="11906" w:h="16838" w:code="9"/>
          <w:pgMar w:top="1440" w:right="1440" w:bottom="1440" w:left="1440" w:header="397" w:footer="397" w:gutter="0"/>
          <w:cols w:space="312"/>
          <w:docGrid w:linePitch="360"/>
        </w:sectPr>
      </w:pPr>
      <w:r>
        <w:t>grants Competent Authority approval for the package design by signing Certificate of Approval GB/412</w:t>
      </w:r>
      <w:r w:rsidR="00076D2C">
        <w:t>5</w:t>
      </w:r>
      <w:r>
        <w:t>/H(M)</w:t>
      </w:r>
      <w:bookmarkStart w:id="19" w:name="_Hlk202182035"/>
      <w:r w:rsidR="00FB6D3B">
        <w:t xml:space="preserve"> (Ref. </w:t>
      </w:r>
      <w:sdt>
        <w:sdtPr>
          <w:id w:val="-1659535928"/>
          <w:citation/>
        </w:sdtPr>
        <w:sdtEndPr/>
        <w:sdtContent>
          <w:r w:rsidR="00FB6D3B">
            <w:fldChar w:fldCharType="begin"/>
          </w:r>
          <w:r w:rsidR="00FB6D3B">
            <w:instrText xml:space="preserve"> CITATION CoA1 \l 2057 </w:instrText>
          </w:r>
          <w:r w:rsidR="00FB6D3B">
            <w:fldChar w:fldCharType="separate"/>
          </w:r>
          <w:r w:rsidR="00BA2A5D" w:rsidRPr="00BA2A5D">
            <w:rPr>
              <w:noProof/>
            </w:rPr>
            <w:t>[2]</w:t>
          </w:r>
          <w:r w:rsidR="00FB6D3B">
            <w:fldChar w:fldCharType="end"/>
          </w:r>
        </w:sdtContent>
      </w:sdt>
      <w:r w:rsidR="00FB6D3B">
        <w:t>)</w:t>
      </w:r>
      <w:r>
        <w:t>.</w:t>
      </w:r>
      <w:bookmarkEnd w:id="18"/>
      <w:bookmarkEnd w:id="19"/>
    </w:p>
    <w:bookmarkStart w:id="20" w:name="_Toc241647287" w:displacedByCustomXml="next"/>
    <w:sdt>
      <w:sdtPr>
        <w:rPr>
          <w:sz w:val="24"/>
          <w:szCs w:val="24"/>
        </w:rPr>
        <w:id w:val="1733423181"/>
        <w:docPartObj>
          <w:docPartGallery w:val="Bibliographies"/>
          <w:docPartUnique/>
        </w:docPartObj>
      </w:sdtPr>
      <w:sdtEndPr/>
      <w:sdtContent>
        <w:p w14:paraId="11938C50" w14:textId="16B833D4" w:rsidR="00CF095C" w:rsidRDefault="00CF095C">
          <w:pPr>
            <w:pStyle w:val="Heading1"/>
          </w:pPr>
          <w:r>
            <w:t>References</w:t>
          </w:r>
          <w:bookmarkEnd w:id="20"/>
        </w:p>
        <w:sdt>
          <w:sdtPr>
            <w:id w:val="-573587230"/>
            <w:bibliography/>
          </w:sdtPr>
          <w:sdtEndPr/>
          <w:sdtContent>
            <w:p w14:paraId="6F4C3B52" w14:textId="77777777" w:rsidR="004E3F3D" w:rsidRDefault="00CF095C">
              <w:pPr>
                <w:rPr>
                  <w:rFonts w:ascii="Calibri" w:hAnsi="Calibri"/>
                  <w:noProof/>
                  <w:sz w:val="20"/>
                  <w:szCs w:val="20"/>
                  <w:lang w:eastAsia="en-GB" w:bidi="ar-SA"/>
                </w:rPr>
              </w:pPr>
              <w:r>
                <w:fldChar w:fldCharType="begin"/>
              </w:r>
              <w:r>
                <w:instrText>BIBLIOGRAPHY</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8684"/>
              </w:tblGrid>
              <w:tr w:rsidR="004E3F3D" w14:paraId="5D5D4DA1" w14:textId="77777777">
                <w:trPr>
                  <w:divId w:val="1780904205"/>
                  <w:tblCellSpacing w:w="15" w:type="dxa"/>
                </w:trPr>
                <w:tc>
                  <w:tcPr>
                    <w:tcW w:w="50" w:type="pct"/>
                    <w:hideMark/>
                  </w:tcPr>
                  <w:p w14:paraId="32FC0920" w14:textId="0008DE7E" w:rsidR="004E3F3D" w:rsidRDefault="004E3F3D">
                    <w:pPr>
                      <w:pStyle w:val="Bibliography"/>
                      <w:rPr>
                        <w:noProof/>
                        <w:szCs w:val="24"/>
                      </w:rPr>
                    </w:pPr>
                    <w:r>
                      <w:rPr>
                        <w:noProof/>
                      </w:rPr>
                      <w:t xml:space="preserve">[1] </w:t>
                    </w:r>
                  </w:p>
                </w:tc>
                <w:tc>
                  <w:tcPr>
                    <w:tcW w:w="0" w:type="auto"/>
                    <w:hideMark/>
                  </w:tcPr>
                  <w:p w14:paraId="09F6D530" w14:textId="77777777" w:rsidR="004E3F3D" w:rsidRDefault="004E3F3D">
                    <w:pPr>
                      <w:pStyle w:val="Bibliography"/>
                      <w:rPr>
                        <w:noProof/>
                      </w:rPr>
                    </w:pPr>
                    <w:r>
                      <w:rPr>
                        <w:noProof/>
                      </w:rPr>
                      <w:t xml:space="preserve">Safety Analysis Report In Support of Competent Authority Approval for Model 48Y and 48X Cylinder Package Design to Transport Uranium Hexafluoride as H(M), Issue 1, June 2023. </w:t>
                    </w:r>
                  </w:p>
                </w:tc>
              </w:tr>
              <w:tr w:rsidR="004E3F3D" w14:paraId="7330AE0D" w14:textId="77777777">
                <w:trPr>
                  <w:divId w:val="1780904205"/>
                  <w:tblCellSpacing w:w="15" w:type="dxa"/>
                </w:trPr>
                <w:tc>
                  <w:tcPr>
                    <w:tcW w:w="50" w:type="pct"/>
                    <w:hideMark/>
                  </w:tcPr>
                  <w:p w14:paraId="5F78065C" w14:textId="77777777" w:rsidR="004E3F3D" w:rsidRDefault="004E3F3D">
                    <w:pPr>
                      <w:pStyle w:val="Bibliography"/>
                      <w:rPr>
                        <w:noProof/>
                      </w:rPr>
                    </w:pPr>
                    <w:r>
                      <w:rPr>
                        <w:noProof/>
                      </w:rPr>
                      <w:t xml:space="preserve">[2] </w:t>
                    </w:r>
                  </w:p>
                </w:tc>
                <w:tc>
                  <w:tcPr>
                    <w:tcW w:w="0" w:type="auto"/>
                    <w:hideMark/>
                  </w:tcPr>
                  <w:p w14:paraId="1A98CE57" w14:textId="77777777" w:rsidR="004E3F3D" w:rsidRDefault="004E3F3D">
                    <w:pPr>
                      <w:pStyle w:val="Bibliography"/>
                      <w:rPr>
                        <w:noProof/>
                      </w:rPr>
                    </w:pPr>
                    <w:r>
                      <w:rPr>
                        <w:noProof/>
                      </w:rPr>
                      <w:t xml:space="preserve">GB/4125/H(M) Certificate of Approval, ONRW-2019369590-30137. </w:t>
                    </w:r>
                  </w:p>
                </w:tc>
              </w:tr>
              <w:tr w:rsidR="004E3F3D" w14:paraId="62AE0BBF" w14:textId="77777777">
                <w:trPr>
                  <w:divId w:val="1780904205"/>
                  <w:tblCellSpacing w:w="15" w:type="dxa"/>
                </w:trPr>
                <w:tc>
                  <w:tcPr>
                    <w:tcW w:w="50" w:type="pct"/>
                    <w:hideMark/>
                  </w:tcPr>
                  <w:p w14:paraId="2D922FBF" w14:textId="77777777" w:rsidR="004E3F3D" w:rsidRDefault="004E3F3D">
                    <w:pPr>
                      <w:pStyle w:val="Bibliography"/>
                      <w:rPr>
                        <w:noProof/>
                      </w:rPr>
                    </w:pPr>
                    <w:r>
                      <w:rPr>
                        <w:noProof/>
                      </w:rPr>
                      <w:t xml:space="preserve">[3] </w:t>
                    </w:r>
                  </w:p>
                </w:tc>
                <w:tc>
                  <w:tcPr>
                    <w:tcW w:w="0" w:type="auto"/>
                    <w:hideMark/>
                  </w:tcPr>
                  <w:p w14:paraId="5C3E7226" w14:textId="0B31F024" w:rsidR="004E3F3D" w:rsidRDefault="004E3F3D">
                    <w:pPr>
                      <w:pStyle w:val="Bibliography"/>
                      <w:rPr>
                        <w:noProof/>
                      </w:rPr>
                    </w:pPr>
                    <w:r>
                      <w:rPr>
                        <w:noProof/>
                      </w:rPr>
                      <w:t>AR-01488, Approval of GB/4125/H(M) package design used to transport uranium hexafl</w:t>
                    </w:r>
                    <w:r w:rsidR="003215FE">
                      <w:rPr>
                        <w:noProof/>
                      </w:rPr>
                      <w:t>uo</w:t>
                    </w:r>
                    <w:r>
                      <w:rPr>
                        <w:noProof/>
                      </w:rPr>
                      <w:t xml:space="preserve">ride in Type 48Y cylinders, ONRW-2126615823-12128. </w:t>
                    </w:r>
                  </w:p>
                </w:tc>
              </w:tr>
              <w:tr w:rsidR="004E3F3D" w14:paraId="2B6B5BA4" w14:textId="77777777">
                <w:trPr>
                  <w:divId w:val="1780904205"/>
                  <w:tblCellSpacing w:w="15" w:type="dxa"/>
                </w:trPr>
                <w:tc>
                  <w:tcPr>
                    <w:tcW w:w="50" w:type="pct"/>
                    <w:hideMark/>
                  </w:tcPr>
                  <w:p w14:paraId="4A058676" w14:textId="77777777" w:rsidR="004E3F3D" w:rsidRDefault="004E3F3D">
                    <w:pPr>
                      <w:pStyle w:val="Bibliography"/>
                      <w:rPr>
                        <w:noProof/>
                      </w:rPr>
                    </w:pPr>
                    <w:r>
                      <w:rPr>
                        <w:noProof/>
                      </w:rPr>
                      <w:t xml:space="preserve">[4] </w:t>
                    </w:r>
                  </w:p>
                </w:tc>
                <w:tc>
                  <w:tcPr>
                    <w:tcW w:w="0" w:type="auto"/>
                    <w:hideMark/>
                  </w:tcPr>
                  <w:p w14:paraId="5104422B" w14:textId="77777777" w:rsidR="004E3F3D" w:rsidRDefault="004E3F3D">
                    <w:pPr>
                      <w:pStyle w:val="Bibliography"/>
                      <w:rPr>
                        <w:noProof/>
                      </w:rPr>
                    </w:pPr>
                    <w:r>
                      <w:rPr>
                        <w:noProof/>
                      </w:rPr>
                      <w:t xml:space="preserve">Email, Thermal safety substantiation requirement for future H(M) applications, ONRW-2019369590-30528. </w:t>
                    </w:r>
                  </w:p>
                </w:tc>
              </w:tr>
              <w:tr w:rsidR="004E3F3D" w14:paraId="160882ED" w14:textId="77777777">
                <w:trPr>
                  <w:divId w:val="1780904205"/>
                  <w:tblCellSpacing w:w="15" w:type="dxa"/>
                </w:trPr>
                <w:tc>
                  <w:tcPr>
                    <w:tcW w:w="50" w:type="pct"/>
                    <w:hideMark/>
                  </w:tcPr>
                  <w:p w14:paraId="50A76B42" w14:textId="77777777" w:rsidR="004E3F3D" w:rsidRDefault="004E3F3D">
                    <w:pPr>
                      <w:pStyle w:val="Bibliography"/>
                      <w:rPr>
                        <w:noProof/>
                      </w:rPr>
                    </w:pPr>
                    <w:r>
                      <w:rPr>
                        <w:noProof/>
                      </w:rPr>
                      <w:t xml:space="preserve">[5] </w:t>
                    </w:r>
                  </w:p>
                </w:tc>
                <w:tc>
                  <w:tcPr>
                    <w:tcW w:w="0" w:type="auto"/>
                    <w:hideMark/>
                  </w:tcPr>
                  <w:p w14:paraId="41CAA429" w14:textId="77777777" w:rsidR="004E3F3D" w:rsidRDefault="004E3F3D">
                    <w:pPr>
                      <w:pStyle w:val="Bibliography"/>
                      <w:rPr>
                        <w:noProof/>
                      </w:rPr>
                    </w:pPr>
                    <w:r>
                      <w:rPr>
                        <w:noProof/>
                      </w:rPr>
                      <w:t xml:space="preserve">AR-01493, Radiation Protection – Shielding / Dose Rate Assessment, ONRW-2126615823-13428. </w:t>
                    </w:r>
                  </w:p>
                </w:tc>
              </w:tr>
            </w:tbl>
            <w:p w14:paraId="5F938341" w14:textId="77777777" w:rsidR="004E3F3D" w:rsidRDefault="004E3F3D">
              <w:pPr>
                <w:divId w:val="1780904205"/>
                <w:rPr>
                  <w:rFonts w:eastAsia="Times New Roman"/>
                  <w:noProof/>
                </w:rPr>
              </w:pPr>
            </w:p>
            <w:p w14:paraId="647A9740" w14:textId="1BA4A770" w:rsidR="00CF095C" w:rsidRDefault="00CF095C">
              <w:r>
                <w:rPr>
                  <w:b/>
                  <w:bCs/>
                </w:rPr>
                <w:fldChar w:fldCharType="end"/>
              </w:r>
            </w:p>
          </w:sdtContent>
        </w:sdt>
      </w:sdtContent>
    </w:sdt>
    <w:p w14:paraId="5D5DBF04" w14:textId="2D834B1A" w:rsidR="008D2E29" w:rsidRDefault="008D2E29" w:rsidP="00762C5D">
      <w:pPr>
        <w:pStyle w:val="Heading1"/>
        <w:numPr>
          <w:ilvl w:val="0"/>
          <w:numId w:val="0"/>
        </w:numPr>
      </w:pPr>
      <w:bookmarkStart w:id="21" w:name="_Toc241647288"/>
      <w:r w:rsidRPr="008D2E29">
        <w:lastRenderedPageBreak/>
        <w:t>Appendix 1 – 48Y UF</w:t>
      </w:r>
      <w:r w:rsidRPr="00115B35">
        <w:rPr>
          <w:vertAlign w:val="subscript"/>
        </w:rPr>
        <w:t>6</w:t>
      </w:r>
      <w:r w:rsidRPr="008D2E29">
        <w:t xml:space="preserve"> Cylinder (all dimensions are approximate)</w:t>
      </w:r>
      <w:bookmarkEnd w:id="21"/>
      <w:r w:rsidRPr="008D2E29">
        <w:t xml:space="preserve"> </w:t>
      </w:r>
    </w:p>
    <w:p w14:paraId="4EADA6DF" w14:textId="17BB9017" w:rsidR="00AC2E98" w:rsidRDefault="00AC2E98" w:rsidP="00CF095C">
      <w:pPr>
        <w:pStyle w:val="Heading1"/>
        <w:numPr>
          <w:ilvl w:val="0"/>
          <w:numId w:val="0"/>
        </w:numPr>
        <w:spacing w:after="0"/>
      </w:pPr>
    </w:p>
    <w:p w14:paraId="0E58B861" w14:textId="3A6A2CEF" w:rsidR="00AA598B" w:rsidRPr="00AA598B" w:rsidRDefault="00AA598B" w:rsidP="00AA598B">
      <w:pPr>
        <w:pStyle w:val="NumList1"/>
        <w:numPr>
          <w:ilvl w:val="0"/>
          <w:numId w:val="0"/>
        </w:numPr>
        <w:rPr>
          <w:b/>
          <w:bCs/>
        </w:rPr>
      </w:pPr>
      <w:r w:rsidRPr="00AA598B">
        <w:rPr>
          <w:noProof/>
        </w:rPr>
        <w:drawing>
          <wp:inline distT="0" distB="0" distL="0" distR="0" wp14:anchorId="2097431E" wp14:editId="2F7AE1F8">
            <wp:extent cx="5731510" cy="4741545"/>
            <wp:effectExtent l="0" t="0" r="2540" b="1905"/>
            <wp:docPr id="5921165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4741545"/>
                    </a:xfrm>
                    <a:prstGeom prst="rect">
                      <a:avLst/>
                    </a:prstGeom>
                    <a:noFill/>
                    <a:ln>
                      <a:noFill/>
                    </a:ln>
                  </pic:spPr>
                </pic:pic>
              </a:graphicData>
            </a:graphic>
          </wp:inline>
        </w:drawing>
      </w:r>
    </w:p>
    <w:p w14:paraId="7CA62C03" w14:textId="67FF93C7" w:rsidR="00AA598B" w:rsidRPr="00AA598B" w:rsidRDefault="00AA598B" w:rsidP="00AA598B">
      <w:pPr>
        <w:pStyle w:val="NumList1"/>
        <w:numPr>
          <w:ilvl w:val="0"/>
          <w:numId w:val="0"/>
        </w:numPr>
      </w:pPr>
      <w:r w:rsidRPr="00AA598B">
        <w:t> </w:t>
      </w:r>
    </w:p>
    <w:p w14:paraId="6239C3AC" w14:textId="7F2C5E9C" w:rsidR="009E0E52" w:rsidRDefault="009E0E52" w:rsidP="00AC2E98">
      <w:pPr>
        <w:pStyle w:val="NumList1"/>
        <w:numPr>
          <w:ilvl w:val="0"/>
          <w:numId w:val="0"/>
        </w:numPr>
      </w:pPr>
    </w:p>
    <w:sectPr w:rsidR="009E0E52" w:rsidSect="00E72E4A">
      <w:pgSz w:w="11906" w:h="16838" w:code="9"/>
      <w:pgMar w:top="1440" w:right="1440" w:bottom="1440" w:left="1440" w:header="397" w:footer="397" w:gutter="0"/>
      <w:cols w:space="31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FEE47" w14:textId="77777777" w:rsidR="00497A94" w:rsidRDefault="00497A94" w:rsidP="007D199A">
      <w:pPr>
        <w:spacing w:after="0"/>
      </w:pPr>
      <w:r>
        <w:separator/>
      </w:r>
    </w:p>
    <w:p w14:paraId="5754FCFF" w14:textId="77777777" w:rsidR="00497A94" w:rsidRDefault="00497A94"/>
  </w:endnote>
  <w:endnote w:type="continuationSeparator" w:id="0">
    <w:p w14:paraId="67A62566" w14:textId="77777777" w:rsidR="00497A94" w:rsidRDefault="00497A94" w:rsidP="007D199A">
      <w:pPr>
        <w:spacing w:after="0"/>
      </w:pPr>
      <w:r>
        <w:continuationSeparator/>
      </w:r>
    </w:p>
    <w:p w14:paraId="6BF5B742" w14:textId="77777777" w:rsidR="00497A94" w:rsidRDefault="00497A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4992" w14:textId="1682F10F" w:rsidR="00F15CD9" w:rsidRPr="001D5481" w:rsidRDefault="00B137F7" w:rsidP="00B137F7">
    <w:pPr>
      <w:pStyle w:val="Footer"/>
      <w:jc w:val="left"/>
      <w:rPr>
        <w:lang w:val="pt-PT"/>
      </w:rPr>
    </w:pPr>
    <w:r w:rsidRPr="001D5481">
      <w:rPr>
        <w:b/>
        <w:bCs/>
        <w:color w:val="auto"/>
        <w:sz w:val="20"/>
        <w:szCs w:val="18"/>
        <w:lang w:val="pt-PT"/>
      </w:rPr>
      <w:t xml:space="preserve">Template </w:t>
    </w:r>
    <w:r w:rsidR="00FB2CF2" w:rsidRPr="001D5481">
      <w:rPr>
        <w:b/>
        <w:bCs/>
        <w:color w:val="auto"/>
        <w:sz w:val="20"/>
        <w:szCs w:val="18"/>
        <w:lang w:val="pt-PT"/>
      </w:rPr>
      <w:t>ref</w:t>
    </w:r>
    <w:r w:rsidRPr="001D5481">
      <w:rPr>
        <w:b/>
        <w:bCs/>
        <w:color w:val="auto"/>
        <w:sz w:val="20"/>
        <w:szCs w:val="18"/>
        <w:lang w:val="pt-PT"/>
      </w:rPr>
      <w:t>.</w:t>
    </w:r>
    <w:r w:rsidRPr="001D5481">
      <w:rPr>
        <w:color w:val="auto"/>
        <w:sz w:val="20"/>
        <w:szCs w:val="18"/>
        <w:lang w:val="pt-PT"/>
      </w:rPr>
      <w:t xml:space="preserve">: ONR-DOC-TEMP-005 (Issue No. </w:t>
    </w:r>
    <w:sdt>
      <w:sdtPr>
        <w:rPr>
          <w:color w:val="auto"/>
          <w:sz w:val="20"/>
          <w:szCs w:val="18"/>
          <w:lang w:val="pt-PT"/>
        </w:rPr>
        <w:alias w:val="Publication Issue No."/>
        <w:tag w:val="PublicationIssueNo_x002e_"/>
        <w:id w:val="-32968777"/>
        <w:placeholder>
          <w:docPart w:val="0D0421AB1B8C47CEA5263279462BA361"/>
        </w:placeholder>
        <w:dataBinding w:prefixMappings="xmlns:ns0='http://schemas.microsoft.com/office/2006/metadata/properties' xmlns:ns1='http://www.w3.org/2001/XMLSchema-instance' xmlns:ns2='http://schemas.microsoft.com/office/infopath/2007/PartnerControls' xmlns:ns3='9dee837a-cdcb-4bba-aae7-bb24e77c3138' xmlns:ns4='a9473a71-71b0-40dd-a19c-722165706126' " w:xpath="/ns0:properties[1]/documentManagement[1]/ns4:PublicationIssueNo_x002e_[1]" w:storeItemID="{FDB5378A-093F-4E56-91DA-7C9E4C828866}"/>
        <w:text/>
      </w:sdtPr>
      <w:sdtEndPr/>
      <w:sdtContent>
        <w:r w:rsidRPr="001D5481">
          <w:rPr>
            <w:color w:val="auto"/>
            <w:sz w:val="20"/>
            <w:szCs w:val="18"/>
            <w:lang w:val="pt-PT"/>
          </w:rPr>
          <w:t>5</w:t>
        </w:r>
        <w:r w:rsidR="00E72E4A" w:rsidRPr="001D5481">
          <w:rPr>
            <w:color w:val="auto"/>
            <w:sz w:val="20"/>
            <w:szCs w:val="18"/>
            <w:lang w:val="pt-PT"/>
          </w:rPr>
          <w:t>.1</w:t>
        </w:r>
      </w:sdtContent>
    </w:sdt>
    <w:r w:rsidRPr="001D5481">
      <w:rPr>
        <w:color w:val="auto"/>
        <w:sz w:val="20"/>
        <w:szCs w:val="18"/>
        <w:lang w:val="pt-PT"/>
      </w:rPr>
      <w:t>)</w:t>
    </w:r>
    <w:r w:rsidRPr="001D5481">
      <w:rPr>
        <w:color w:val="auto"/>
        <w:sz w:val="20"/>
        <w:szCs w:val="18"/>
        <w:lang w:val="pt-PT"/>
      </w:rPr>
      <w:tab/>
    </w:r>
    <w:r w:rsidR="00795F5F" w:rsidRPr="001D5481">
      <w:rPr>
        <w:lang w:val="pt-PT"/>
      </w:rPr>
      <w:t xml:space="preserve">Page | </w:t>
    </w:r>
    <w:r w:rsidR="00795F5F" w:rsidRPr="00E72E4A">
      <w:fldChar w:fldCharType="begin"/>
    </w:r>
    <w:r w:rsidR="00795F5F" w:rsidRPr="001D5481">
      <w:rPr>
        <w:lang w:val="pt-PT"/>
      </w:rPr>
      <w:instrText xml:space="preserve"> PAGE   \* MERGEFORMAT </w:instrText>
    </w:r>
    <w:r w:rsidR="00795F5F" w:rsidRPr="00E72E4A">
      <w:fldChar w:fldCharType="separate"/>
    </w:r>
    <w:r w:rsidR="00795F5F" w:rsidRPr="001D5481">
      <w:rPr>
        <w:lang w:val="pt-PT"/>
      </w:rPr>
      <w:t>1</w:t>
    </w:r>
    <w:r w:rsidR="00795F5F" w:rsidRPr="00E72E4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0620" w14:textId="77777777" w:rsidR="00502D3C" w:rsidRPr="008C50C3" w:rsidRDefault="00502D3C"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9E560" w14:textId="77777777" w:rsidR="00502D3C" w:rsidRPr="004D16D7" w:rsidRDefault="00502D3C"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7A6C54B0" w:rsidR="004D16D7" w:rsidRPr="004D16D7" w:rsidRDefault="009E4CAF"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655F2" w14:textId="77777777" w:rsidR="00497A94" w:rsidRPr="005E0344" w:rsidRDefault="00497A94" w:rsidP="005E0344">
      <w:pPr>
        <w:spacing w:after="120"/>
        <w:rPr>
          <w:color w:val="000000" w:themeColor="text2"/>
        </w:rPr>
      </w:pPr>
      <w:r w:rsidRPr="005E0344">
        <w:rPr>
          <w:color w:val="000000" w:themeColor="text2"/>
        </w:rPr>
        <w:separator/>
      </w:r>
    </w:p>
  </w:footnote>
  <w:footnote w:type="continuationSeparator" w:id="0">
    <w:p w14:paraId="77CB823B" w14:textId="77777777" w:rsidR="00497A94" w:rsidRPr="005E0344" w:rsidRDefault="00497A94" w:rsidP="0090581D">
      <w:pPr>
        <w:spacing w:after="120"/>
        <w:rPr>
          <w:color w:val="000000" w:themeColor="text2"/>
        </w:rPr>
      </w:pPr>
      <w:r w:rsidRPr="005E0344">
        <w:rPr>
          <w:color w:val="000000" w:themeColor="text2"/>
        </w:rPr>
        <w:continuationSeparator/>
      </w:r>
    </w:p>
    <w:p w14:paraId="5550063F" w14:textId="77777777" w:rsidR="00497A94" w:rsidRDefault="00497A94"/>
  </w:footnote>
  <w:footnote w:type="continuationNotice" w:id="1">
    <w:p w14:paraId="4C88BD58" w14:textId="77777777" w:rsidR="00497A94" w:rsidRDefault="00497A94">
      <w:pPr>
        <w:spacing w:after="0"/>
      </w:pPr>
    </w:p>
    <w:p w14:paraId="34D4B701" w14:textId="77777777" w:rsidR="00497A94" w:rsidRDefault="00497A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C886" w14:textId="77777777" w:rsidR="0089010B" w:rsidRDefault="0089010B" w:rsidP="009E4CA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D861" w14:textId="77777777" w:rsidR="00502D3C" w:rsidRPr="008C50C3" w:rsidRDefault="00502D3C"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E2060" w14:textId="77777777" w:rsidR="00502D3C" w:rsidRDefault="00502D3C" w:rsidP="009E0E52">
    <w:pPr>
      <w:pStyle w:val="Header"/>
      <w:rPr>
        <w:sz w:val="20"/>
        <w:szCs w:val="24"/>
      </w:rPr>
    </w:pPr>
  </w:p>
  <w:p w14:paraId="238CEB67" w14:textId="7D04E65D" w:rsidR="00502D3C" w:rsidRPr="003A7E1C" w:rsidRDefault="00502D3C" w:rsidP="009E0E52">
    <w:pPr>
      <w:pStyle w:val="Header"/>
      <w:rPr>
        <w:sz w:val="20"/>
        <w:szCs w:val="24"/>
      </w:rPr>
    </w:pPr>
    <w:r>
      <w:rPr>
        <w:sz w:val="20"/>
        <w:szCs w:val="24"/>
      </w:rPr>
      <w:t xml:space="preserve">Report title: </w:t>
    </w:r>
    <w:sdt>
      <w:sdtPr>
        <w:rPr>
          <w:sz w:val="20"/>
          <w:szCs w:val="24"/>
        </w:rPr>
        <w:alias w:val="Title"/>
        <w:tag w:val=""/>
        <w:id w:val="469869195"/>
        <w:placeholder>
          <w:docPart w:val="B5F2C3B16C4D4298907E23D38151EE36"/>
        </w:placeholder>
        <w:dataBinding w:prefixMappings="xmlns:ns0='http://purl.org/dc/elements/1.1/' xmlns:ns1='http://schemas.openxmlformats.org/package/2006/metadata/core-properties' " w:xpath="/ns1:coreProperties[1]/ns0:title[1]" w:storeItemID="{6C3C8BC8-F283-45AE-878A-BAB7291924A1}"/>
        <w:text/>
      </w:sdtPr>
      <w:sdtEndPr/>
      <w:sdtContent>
        <w:r w:rsidR="00BB6632">
          <w:rPr>
            <w:sz w:val="20"/>
            <w:szCs w:val="24"/>
          </w:rPr>
          <w:t>Approval of GB/4125/H(M) package design used to transport uranium hexafluoride in Type 48Y cylinders</w:t>
        </w:r>
      </w:sdtContent>
    </w:sdt>
    <w:r w:rsidRPr="003A7E1C">
      <w:rPr>
        <w:sz w:val="20"/>
        <w:szCs w:val="24"/>
      </w:rPr>
      <w:t xml:space="preserve"> | Issue </w:t>
    </w:r>
    <w:r>
      <w:rPr>
        <w:sz w:val="20"/>
        <w:szCs w:val="24"/>
      </w:rPr>
      <w:t>n</w:t>
    </w:r>
    <w:r w:rsidRPr="003A7E1C">
      <w:rPr>
        <w:sz w:val="20"/>
        <w:szCs w:val="24"/>
      </w:rPr>
      <w:t xml:space="preserve">o.: </w:t>
    </w:r>
    <w:sdt>
      <w:sdtPr>
        <w:rPr>
          <w:sz w:val="20"/>
          <w:szCs w:val="24"/>
        </w:rPr>
        <w:alias w:val="Status"/>
        <w:tag w:val=""/>
        <w:id w:val="335503643"/>
        <w:placeholder>
          <w:docPart w:val="57450AE9AF264FA3A2FE80955E13683A"/>
        </w:placeholder>
        <w:dataBinding w:prefixMappings="xmlns:ns0='http://purl.org/dc/elements/1.1/' xmlns:ns1='http://schemas.openxmlformats.org/package/2006/metadata/core-properties' " w:xpath="/ns1:coreProperties[1]/ns1:contentStatus[1]" w:storeItemID="{6C3C8BC8-F283-45AE-878A-BAB7291924A1}"/>
        <w:text/>
      </w:sdtPr>
      <w:sdtEndPr/>
      <w:sdtContent>
        <w:r>
          <w:rPr>
            <w:sz w:val="20"/>
            <w:szCs w:val="24"/>
          </w:rPr>
          <w:t>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DB94" w14:textId="77777777" w:rsidR="009E4CAF" w:rsidRDefault="009E4CAF" w:rsidP="009E0E52">
    <w:pPr>
      <w:pStyle w:val="Header"/>
      <w:rPr>
        <w:sz w:val="20"/>
        <w:szCs w:val="24"/>
      </w:rPr>
    </w:pPr>
  </w:p>
  <w:p w14:paraId="47FFC75F" w14:textId="40066962" w:rsidR="00177666" w:rsidRPr="003A7E1C" w:rsidRDefault="0099220B" w:rsidP="009E0E52">
    <w:pPr>
      <w:pStyle w:val="Header"/>
      <w:rPr>
        <w:sz w:val="20"/>
        <w:szCs w:val="24"/>
      </w:rPr>
    </w:pPr>
    <w:r>
      <w:rPr>
        <w:sz w:val="20"/>
        <w:szCs w:val="24"/>
      </w:rPr>
      <w:t xml:space="preserve">Report </w:t>
    </w:r>
    <w:r w:rsidR="00385E75">
      <w:rPr>
        <w:sz w:val="20"/>
        <w:szCs w:val="24"/>
      </w:rPr>
      <w:t>title</w:t>
    </w:r>
    <w:r>
      <w:rPr>
        <w:sz w:val="20"/>
        <w:szCs w:val="24"/>
      </w:rPr>
      <w:t xml:space="preserve">: </w:t>
    </w:r>
    <w:sdt>
      <w:sdtPr>
        <w:rPr>
          <w:sz w:val="20"/>
          <w:szCs w:val="24"/>
        </w:rPr>
        <w:alias w:val="Title"/>
        <w:tag w:val=""/>
        <w:id w:val="-545993998"/>
        <w:placeholder>
          <w:docPart w:val="6BE98838AD6A4C3E9CEAE0E873703043"/>
        </w:placeholder>
        <w:dataBinding w:prefixMappings="xmlns:ns0='http://purl.org/dc/elements/1.1/' xmlns:ns1='http://schemas.openxmlformats.org/package/2006/metadata/core-properties' " w:xpath="/ns1:coreProperties[1]/ns0:title[1]" w:storeItemID="{6C3C8BC8-F283-45AE-878A-BAB7291924A1}"/>
        <w:text/>
      </w:sdtPr>
      <w:sdtEndPr/>
      <w:sdtContent>
        <w:r w:rsidR="00BB6632">
          <w:rPr>
            <w:sz w:val="20"/>
            <w:szCs w:val="24"/>
          </w:rPr>
          <w:t>Approval of GB/4125/H(M) package design used to transport uranium hexafluoride in Type 48Y cylinders</w:t>
        </w:r>
      </w:sdtContent>
    </w:sdt>
    <w:r w:rsidR="004E3932" w:rsidRPr="003A7E1C">
      <w:rPr>
        <w:sz w:val="20"/>
        <w:szCs w:val="24"/>
      </w:rPr>
      <w:t xml:space="preserve"> | Issue </w:t>
    </w:r>
    <w:r w:rsidR="00FB2CF2">
      <w:rPr>
        <w:sz w:val="20"/>
        <w:szCs w:val="24"/>
      </w:rPr>
      <w:t>n</w:t>
    </w:r>
    <w:r w:rsidR="00FB2CF2" w:rsidRPr="003A7E1C">
      <w:rPr>
        <w:sz w:val="20"/>
        <w:szCs w:val="24"/>
      </w:rPr>
      <w:t>o</w:t>
    </w:r>
    <w:r w:rsidR="004E3932" w:rsidRPr="003A7E1C">
      <w:rPr>
        <w:sz w:val="20"/>
        <w:szCs w:val="24"/>
      </w:rPr>
      <w:t xml:space="preserve">.: </w:t>
    </w:r>
    <w:sdt>
      <w:sdtPr>
        <w:rPr>
          <w:sz w:val="20"/>
          <w:szCs w:val="24"/>
        </w:rPr>
        <w:alias w:val="Status"/>
        <w:tag w:val=""/>
        <w:id w:val="-1486926938"/>
        <w:placeholder>
          <w:docPart w:val="11280C7E901642F2A5D6FC85DFE11B65"/>
        </w:placeholder>
        <w:dataBinding w:prefixMappings="xmlns:ns0='http://purl.org/dc/elements/1.1/' xmlns:ns1='http://schemas.openxmlformats.org/package/2006/metadata/core-properties' " w:xpath="/ns1:coreProperties[1]/ns1:contentStatus[1]" w:storeItemID="{6C3C8BC8-F283-45AE-878A-BAB7291924A1}"/>
        <w:text/>
      </w:sdtPr>
      <w:sdtEndPr/>
      <w:sdtContent>
        <w:r w:rsidR="00224FBB">
          <w:rPr>
            <w:sz w:val="20"/>
            <w:szCs w:val="24"/>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28121E"/>
    <w:multiLevelType w:val="multilevel"/>
    <w:tmpl w:val="914466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9C7B13"/>
    <w:multiLevelType w:val="hybridMultilevel"/>
    <w:tmpl w:val="02D03A60"/>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C4502E"/>
    <w:multiLevelType w:val="hybridMultilevel"/>
    <w:tmpl w:val="1ACC7D92"/>
    <w:lvl w:ilvl="0" w:tplc="DAE4EC46">
      <w:start w:val="1"/>
      <w:numFmt w:val="decimal"/>
      <w:pStyle w:val="Numberedparagraph"/>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7169C"/>
    <w:multiLevelType w:val="hybridMultilevel"/>
    <w:tmpl w:val="458CA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EB4B25"/>
    <w:multiLevelType w:val="hybridMultilevel"/>
    <w:tmpl w:val="0E38FA44"/>
    <w:lvl w:ilvl="0" w:tplc="8D206D74">
      <w:start w:val="1"/>
      <w:numFmt w:val="decimal"/>
      <w:lvlText w:val="%1."/>
      <w:lvlJc w:val="left"/>
      <w:pPr>
        <w:ind w:left="1440" w:hanging="360"/>
      </w:pPr>
    </w:lvl>
    <w:lvl w:ilvl="1" w:tplc="6EF649AA">
      <w:start w:val="1"/>
      <w:numFmt w:val="decimal"/>
      <w:lvlText w:val="%2."/>
      <w:lvlJc w:val="left"/>
      <w:pPr>
        <w:ind w:left="1440" w:hanging="360"/>
      </w:pPr>
    </w:lvl>
    <w:lvl w:ilvl="2" w:tplc="7C425FDA">
      <w:start w:val="1"/>
      <w:numFmt w:val="decimal"/>
      <w:lvlText w:val="%3."/>
      <w:lvlJc w:val="left"/>
      <w:pPr>
        <w:ind w:left="1440" w:hanging="360"/>
      </w:pPr>
    </w:lvl>
    <w:lvl w:ilvl="3" w:tplc="C9520002">
      <w:start w:val="1"/>
      <w:numFmt w:val="decimal"/>
      <w:lvlText w:val="%4."/>
      <w:lvlJc w:val="left"/>
      <w:pPr>
        <w:ind w:left="1440" w:hanging="360"/>
      </w:pPr>
    </w:lvl>
    <w:lvl w:ilvl="4" w:tplc="B29A59EA">
      <w:start w:val="1"/>
      <w:numFmt w:val="decimal"/>
      <w:lvlText w:val="%5."/>
      <w:lvlJc w:val="left"/>
      <w:pPr>
        <w:ind w:left="1440" w:hanging="360"/>
      </w:pPr>
    </w:lvl>
    <w:lvl w:ilvl="5" w:tplc="FAD6A2A2">
      <w:start w:val="1"/>
      <w:numFmt w:val="decimal"/>
      <w:lvlText w:val="%6."/>
      <w:lvlJc w:val="left"/>
      <w:pPr>
        <w:ind w:left="1440" w:hanging="360"/>
      </w:pPr>
    </w:lvl>
    <w:lvl w:ilvl="6" w:tplc="9794A518">
      <w:start w:val="1"/>
      <w:numFmt w:val="decimal"/>
      <w:lvlText w:val="%7."/>
      <w:lvlJc w:val="left"/>
      <w:pPr>
        <w:ind w:left="1440" w:hanging="360"/>
      </w:pPr>
    </w:lvl>
    <w:lvl w:ilvl="7" w:tplc="29AE649C">
      <w:start w:val="1"/>
      <w:numFmt w:val="decimal"/>
      <w:lvlText w:val="%8."/>
      <w:lvlJc w:val="left"/>
      <w:pPr>
        <w:ind w:left="1440" w:hanging="360"/>
      </w:pPr>
    </w:lvl>
    <w:lvl w:ilvl="8" w:tplc="09D6962C">
      <w:start w:val="1"/>
      <w:numFmt w:val="decimal"/>
      <w:lvlText w:val="%9."/>
      <w:lvlJc w:val="left"/>
      <w:pPr>
        <w:ind w:left="1440" w:hanging="360"/>
      </w:pPr>
    </w:lvl>
  </w:abstractNum>
  <w:abstractNum w:abstractNumId="7" w15:restartNumberingAfterBreak="0">
    <w:nsid w:val="306D14A2"/>
    <w:multiLevelType w:val="multilevel"/>
    <w:tmpl w:val="63E00296"/>
    <w:lvl w:ilvl="0">
      <w:start w:val="1"/>
      <w:numFmt w:val="decimal"/>
      <w:pStyle w:val="Heading1"/>
      <w:lvlText w:val="%1."/>
      <w:lvlJc w:val="left"/>
      <w:pPr>
        <w:ind w:left="5606"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7FA3F6B"/>
    <w:multiLevelType w:val="multilevel"/>
    <w:tmpl w:val="614056F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472B48"/>
    <w:multiLevelType w:val="multilevel"/>
    <w:tmpl w:val="334A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557911"/>
    <w:multiLevelType w:val="multilevel"/>
    <w:tmpl w:val="61405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705D44"/>
    <w:multiLevelType w:val="multilevel"/>
    <w:tmpl w:val="986C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A07A0D"/>
    <w:multiLevelType w:val="multilevel"/>
    <w:tmpl w:val="2600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BA6280"/>
    <w:multiLevelType w:val="multilevel"/>
    <w:tmpl w:val="37448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E95632"/>
    <w:multiLevelType w:val="multilevel"/>
    <w:tmpl w:val="E220A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B64CAD"/>
    <w:multiLevelType w:val="multilevel"/>
    <w:tmpl w:val="614056F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8A0F99"/>
    <w:multiLevelType w:val="multilevel"/>
    <w:tmpl w:val="353E0B8E"/>
    <w:lvl w:ilvl="0">
      <w:start w:val="1"/>
      <w:numFmt w:val="decimal"/>
      <w:pStyle w:val="NumList1"/>
      <w:lvlText w:val="%1."/>
      <w:lvlJc w:val="left"/>
      <w:pPr>
        <w:ind w:left="7587" w:hanging="357"/>
      </w:pPr>
      <w:rPr>
        <w:rFonts w:asciiTheme="minorHAnsi" w:hAnsiTheme="minorHAnsi" w:cstheme="minorHAnsi"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5F46359"/>
    <w:multiLevelType w:val="hybridMultilevel"/>
    <w:tmpl w:val="93FCC364"/>
    <w:lvl w:ilvl="0" w:tplc="C088D240">
      <w:start w:val="1"/>
      <w:numFmt w:val="bullet"/>
      <w:pStyle w:val="Bulletlist1"/>
      <w:lvlText w:val=""/>
      <w:lvlJc w:val="left"/>
      <w:pPr>
        <w:ind w:left="360" w:hanging="360"/>
      </w:pPr>
      <w:rPr>
        <w:rFonts w:ascii="Symbol" w:hAnsi="Symbol" w:hint="default"/>
        <w:strike w:val="0"/>
        <w:dstrike w:val="0"/>
        <w:color w:val="07716C" w:themeColor="accent1"/>
        <w:sz w:val="24"/>
      </w:rPr>
    </w:lvl>
    <w:lvl w:ilvl="1" w:tplc="573869C8">
      <w:start w:val="1"/>
      <w:numFmt w:val="bullet"/>
      <w:pStyle w:val="Bulletlist2"/>
      <w:lvlText w:val="o"/>
      <w:lvlJc w:val="left"/>
      <w:pPr>
        <w:ind w:left="1440" w:hanging="360"/>
      </w:pPr>
      <w:rPr>
        <w:rFonts w:ascii="Courier New" w:hAnsi="Courier New" w:cs="Courier New" w:hint="default"/>
      </w:rPr>
    </w:lvl>
    <w:lvl w:ilvl="2" w:tplc="441A0458">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09480E"/>
    <w:multiLevelType w:val="multilevel"/>
    <w:tmpl w:val="614056F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2984322">
    <w:abstractNumId w:val="17"/>
  </w:num>
  <w:num w:numId="2" w16cid:durableId="1370185039">
    <w:abstractNumId w:val="16"/>
  </w:num>
  <w:num w:numId="3" w16cid:durableId="2030327350">
    <w:abstractNumId w:val="7"/>
  </w:num>
  <w:num w:numId="4" w16cid:durableId="126319480">
    <w:abstractNumId w:val="4"/>
  </w:num>
  <w:num w:numId="5" w16cid:durableId="728186491">
    <w:abstractNumId w:val="1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6718475">
    <w:abstractNumId w:val="1"/>
  </w:num>
  <w:num w:numId="7" w16cid:durableId="1352029668">
    <w:abstractNumId w:val="0"/>
  </w:num>
  <w:num w:numId="8" w16cid:durableId="1576360987">
    <w:abstractNumId w:val="15"/>
  </w:num>
  <w:num w:numId="9" w16cid:durableId="1037121552">
    <w:abstractNumId w:val="8"/>
  </w:num>
  <w:num w:numId="10" w16cid:durableId="378820442">
    <w:abstractNumId w:val="18"/>
  </w:num>
  <w:num w:numId="11" w16cid:durableId="2111316479">
    <w:abstractNumId w:val="12"/>
  </w:num>
  <w:num w:numId="12" w16cid:durableId="1874999117">
    <w:abstractNumId w:val="13"/>
  </w:num>
  <w:num w:numId="13" w16cid:durableId="423066456">
    <w:abstractNumId w:val="9"/>
  </w:num>
  <w:num w:numId="14" w16cid:durableId="1291939996">
    <w:abstractNumId w:val="2"/>
  </w:num>
  <w:num w:numId="15" w16cid:durableId="1348557455">
    <w:abstractNumId w:val="14"/>
  </w:num>
  <w:num w:numId="16" w16cid:durableId="1334526070">
    <w:abstractNumId w:val="11"/>
  </w:num>
  <w:num w:numId="17" w16cid:durableId="1269462259">
    <w:abstractNumId w:val="10"/>
  </w:num>
  <w:num w:numId="18" w16cid:durableId="1045183122">
    <w:abstractNumId w:val="5"/>
  </w:num>
  <w:num w:numId="19" w16cid:durableId="1408191172">
    <w:abstractNumId w:val="3"/>
  </w:num>
  <w:num w:numId="20" w16cid:durableId="118243057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3C"/>
    <w:rsid w:val="00002389"/>
    <w:rsid w:val="00002F03"/>
    <w:rsid w:val="00004C16"/>
    <w:rsid w:val="00004F3B"/>
    <w:rsid w:val="00005C3B"/>
    <w:rsid w:val="000064F3"/>
    <w:rsid w:val="00006606"/>
    <w:rsid w:val="00011177"/>
    <w:rsid w:val="00011D0D"/>
    <w:rsid w:val="0001249E"/>
    <w:rsid w:val="00012A33"/>
    <w:rsid w:val="00012D3B"/>
    <w:rsid w:val="00012FC0"/>
    <w:rsid w:val="0001300D"/>
    <w:rsid w:val="00014755"/>
    <w:rsid w:val="00014814"/>
    <w:rsid w:val="000148F0"/>
    <w:rsid w:val="00014AAD"/>
    <w:rsid w:val="00015963"/>
    <w:rsid w:val="00016202"/>
    <w:rsid w:val="00016346"/>
    <w:rsid w:val="00020989"/>
    <w:rsid w:val="00020DF2"/>
    <w:rsid w:val="00022698"/>
    <w:rsid w:val="00024522"/>
    <w:rsid w:val="0002468C"/>
    <w:rsid w:val="00024B2E"/>
    <w:rsid w:val="000252E1"/>
    <w:rsid w:val="00026DA8"/>
    <w:rsid w:val="00027F4F"/>
    <w:rsid w:val="00030430"/>
    <w:rsid w:val="0003078E"/>
    <w:rsid w:val="000319C5"/>
    <w:rsid w:val="00031B89"/>
    <w:rsid w:val="00031E77"/>
    <w:rsid w:val="0003296D"/>
    <w:rsid w:val="00033673"/>
    <w:rsid w:val="00033921"/>
    <w:rsid w:val="000368AE"/>
    <w:rsid w:val="0003693D"/>
    <w:rsid w:val="00036F72"/>
    <w:rsid w:val="00037484"/>
    <w:rsid w:val="00040992"/>
    <w:rsid w:val="00042827"/>
    <w:rsid w:val="00043BF2"/>
    <w:rsid w:val="00044064"/>
    <w:rsid w:val="00044123"/>
    <w:rsid w:val="00044197"/>
    <w:rsid w:val="0004440F"/>
    <w:rsid w:val="00044C39"/>
    <w:rsid w:val="00045282"/>
    <w:rsid w:val="00050697"/>
    <w:rsid w:val="00050B55"/>
    <w:rsid w:val="000510D2"/>
    <w:rsid w:val="00052C8A"/>
    <w:rsid w:val="0005333B"/>
    <w:rsid w:val="0005350D"/>
    <w:rsid w:val="00053C16"/>
    <w:rsid w:val="000548C8"/>
    <w:rsid w:val="00054A1C"/>
    <w:rsid w:val="00055735"/>
    <w:rsid w:val="00061D76"/>
    <w:rsid w:val="0006304F"/>
    <w:rsid w:val="00065677"/>
    <w:rsid w:val="00070890"/>
    <w:rsid w:val="00072AFB"/>
    <w:rsid w:val="0007387A"/>
    <w:rsid w:val="000738BF"/>
    <w:rsid w:val="00074053"/>
    <w:rsid w:val="0007424C"/>
    <w:rsid w:val="000742E4"/>
    <w:rsid w:val="00074A4C"/>
    <w:rsid w:val="00075014"/>
    <w:rsid w:val="00075239"/>
    <w:rsid w:val="00075605"/>
    <w:rsid w:val="00075C66"/>
    <w:rsid w:val="00076D2C"/>
    <w:rsid w:val="00076DBA"/>
    <w:rsid w:val="000777F4"/>
    <w:rsid w:val="00077E8A"/>
    <w:rsid w:val="00080C6D"/>
    <w:rsid w:val="00080DAC"/>
    <w:rsid w:val="000817D4"/>
    <w:rsid w:val="00081B94"/>
    <w:rsid w:val="00082879"/>
    <w:rsid w:val="00082D79"/>
    <w:rsid w:val="00082E01"/>
    <w:rsid w:val="00085020"/>
    <w:rsid w:val="000855F1"/>
    <w:rsid w:val="00086248"/>
    <w:rsid w:val="00086ED3"/>
    <w:rsid w:val="00087F62"/>
    <w:rsid w:val="00091512"/>
    <w:rsid w:val="0009161D"/>
    <w:rsid w:val="00091E21"/>
    <w:rsid w:val="00091EEA"/>
    <w:rsid w:val="0009282F"/>
    <w:rsid w:val="00092AFC"/>
    <w:rsid w:val="00092EC9"/>
    <w:rsid w:val="00093263"/>
    <w:rsid w:val="00093BB0"/>
    <w:rsid w:val="00095890"/>
    <w:rsid w:val="000A0771"/>
    <w:rsid w:val="000A105C"/>
    <w:rsid w:val="000A1954"/>
    <w:rsid w:val="000A2A07"/>
    <w:rsid w:val="000A356F"/>
    <w:rsid w:val="000A4FB6"/>
    <w:rsid w:val="000A5915"/>
    <w:rsid w:val="000A7B65"/>
    <w:rsid w:val="000B4533"/>
    <w:rsid w:val="000B45AB"/>
    <w:rsid w:val="000B4719"/>
    <w:rsid w:val="000B58CC"/>
    <w:rsid w:val="000B5AE0"/>
    <w:rsid w:val="000C0107"/>
    <w:rsid w:val="000C0682"/>
    <w:rsid w:val="000C2DDC"/>
    <w:rsid w:val="000C3115"/>
    <w:rsid w:val="000C7C9D"/>
    <w:rsid w:val="000D06A5"/>
    <w:rsid w:val="000D2004"/>
    <w:rsid w:val="000D2FD4"/>
    <w:rsid w:val="000D413B"/>
    <w:rsid w:val="000D6560"/>
    <w:rsid w:val="000D745C"/>
    <w:rsid w:val="000E1690"/>
    <w:rsid w:val="000E6848"/>
    <w:rsid w:val="000F00F0"/>
    <w:rsid w:val="000F1B7B"/>
    <w:rsid w:val="000F23F4"/>
    <w:rsid w:val="000F2ED4"/>
    <w:rsid w:val="000F617C"/>
    <w:rsid w:val="000F6A90"/>
    <w:rsid w:val="000F72F2"/>
    <w:rsid w:val="001000C6"/>
    <w:rsid w:val="0010121B"/>
    <w:rsid w:val="00101D71"/>
    <w:rsid w:val="001027A9"/>
    <w:rsid w:val="001028E8"/>
    <w:rsid w:val="00102B50"/>
    <w:rsid w:val="00103E6C"/>
    <w:rsid w:val="001042E4"/>
    <w:rsid w:val="001057A8"/>
    <w:rsid w:val="0011057A"/>
    <w:rsid w:val="00110BC8"/>
    <w:rsid w:val="00112CBD"/>
    <w:rsid w:val="001147C3"/>
    <w:rsid w:val="00115678"/>
    <w:rsid w:val="001156B7"/>
    <w:rsid w:val="00115B35"/>
    <w:rsid w:val="00120096"/>
    <w:rsid w:val="00122021"/>
    <w:rsid w:val="00122884"/>
    <w:rsid w:val="00122DB4"/>
    <w:rsid w:val="00122FCC"/>
    <w:rsid w:val="0012481F"/>
    <w:rsid w:val="00124C2B"/>
    <w:rsid w:val="00125749"/>
    <w:rsid w:val="00126752"/>
    <w:rsid w:val="00126886"/>
    <w:rsid w:val="00127084"/>
    <w:rsid w:val="00127A1A"/>
    <w:rsid w:val="00130B30"/>
    <w:rsid w:val="00131A13"/>
    <w:rsid w:val="00132A91"/>
    <w:rsid w:val="00132BC1"/>
    <w:rsid w:val="00133BF1"/>
    <w:rsid w:val="00134D41"/>
    <w:rsid w:val="001353D4"/>
    <w:rsid w:val="001357BD"/>
    <w:rsid w:val="00136F7E"/>
    <w:rsid w:val="00137804"/>
    <w:rsid w:val="00140E1C"/>
    <w:rsid w:val="001414D1"/>
    <w:rsid w:val="00141B4B"/>
    <w:rsid w:val="00143B14"/>
    <w:rsid w:val="00145BA2"/>
    <w:rsid w:val="00145E20"/>
    <w:rsid w:val="00147AE4"/>
    <w:rsid w:val="00154AEE"/>
    <w:rsid w:val="00156A7D"/>
    <w:rsid w:val="001571E5"/>
    <w:rsid w:val="001617B2"/>
    <w:rsid w:val="001650EF"/>
    <w:rsid w:val="00165606"/>
    <w:rsid w:val="00166FF7"/>
    <w:rsid w:val="00170B71"/>
    <w:rsid w:val="00171842"/>
    <w:rsid w:val="001746AF"/>
    <w:rsid w:val="00174F8F"/>
    <w:rsid w:val="0017561E"/>
    <w:rsid w:val="001769B7"/>
    <w:rsid w:val="00177666"/>
    <w:rsid w:val="00177E1C"/>
    <w:rsid w:val="00181ED8"/>
    <w:rsid w:val="001849CA"/>
    <w:rsid w:val="00185410"/>
    <w:rsid w:val="00187FB4"/>
    <w:rsid w:val="0019205A"/>
    <w:rsid w:val="00192352"/>
    <w:rsid w:val="001924DF"/>
    <w:rsid w:val="00192CEE"/>
    <w:rsid w:val="00193530"/>
    <w:rsid w:val="001935DC"/>
    <w:rsid w:val="00195E04"/>
    <w:rsid w:val="001972AD"/>
    <w:rsid w:val="00197544"/>
    <w:rsid w:val="001A04FA"/>
    <w:rsid w:val="001A1EF5"/>
    <w:rsid w:val="001A22B2"/>
    <w:rsid w:val="001A2D89"/>
    <w:rsid w:val="001A3B09"/>
    <w:rsid w:val="001A3BEA"/>
    <w:rsid w:val="001A403E"/>
    <w:rsid w:val="001A6126"/>
    <w:rsid w:val="001A6481"/>
    <w:rsid w:val="001A7646"/>
    <w:rsid w:val="001B0128"/>
    <w:rsid w:val="001B53B2"/>
    <w:rsid w:val="001B58E4"/>
    <w:rsid w:val="001B7BE4"/>
    <w:rsid w:val="001C2663"/>
    <w:rsid w:val="001C4CE2"/>
    <w:rsid w:val="001C4D63"/>
    <w:rsid w:val="001C62A0"/>
    <w:rsid w:val="001C7349"/>
    <w:rsid w:val="001D072C"/>
    <w:rsid w:val="001D0DE0"/>
    <w:rsid w:val="001D12AD"/>
    <w:rsid w:val="001D197C"/>
    <w:rsid w:val="001D4BC6"/>
    <w:rsid w:val="001D5481"/>
    <w:rsid w:val="001D5AFF"/>
    <w:rsid w:val="001D6003"/>
    <w:rsid w:val="001D6149"/>
    <w:rsid w:val="001D74B4"/>
    <w:rsid w:val="001D764A"/>
    <w:rsid w:val="001E03E1"/>
    <w:rsid w:val="001E0D38"/>
    <w:rsid w:val="001E1256"/>
    <w:rsid w:val="001E34D5"/>
    <w:rsid w:val="001E410B"/>
    <w:rsid w:val="001E4762"/>
    <w:rsid w:val="001E5756"/>
    <w:rsid w:val="001E7AAC"/>
    <w:rsid w:val="001F032A"/>
    <w:rsid w:val="001F059F"/>
    <w:rsid w:val="001F14D5"/>
    <w:rsid w:val="001F1A95"/>
    <w:rsid w:val="001F6581"/>
    <w:rsid w:val="001F6BE2"/>
    <w:rsid w:val="001F6CA0"/>
    <w:rsid w:val="00200811"/>
    <w:rsid w:val="00200CA1"/>
    <w:rsid w:val="00201E17"/>
    <w:rsid w:val="00202152"/>
    <w:rsid w:val="00202815"/>
    <w:rsid w:val="00202951"/>
    <w:rsid w:val="00202ED9"/>
    <w:rsid w:val="0020415D"/>
    <w:rsid w:val="00205279"/>
    <w:rsid w:val="0020640D"/>
    <w:rsid w:val="0020678E"/>
    <w:rsid w:val="002118D6"/>
    <w:rsid w:val="0021338D"/>
    <w:rsid w:val="00214AA6"/>
    <w:rsid w:val="00214D43"/>
    <w:rsid w:val="00214D8D"/>
    <w:rsid w:val="00214EF7"/>
    <w:rsid w:val="002152B7"/>
    <w:rsid w:val="002165A5"/>
    <w:rsid w:val="0021677B"/>
    <w:rsid w:val="0021696C"/>
    <w:rsid w:val="00220DAA"/>
    <w:rsid w:val="002217DA"/>
    <w:rsid w:val="00222A45"/>
    <w:rsid w:val="00222CBB"/>
    <w:rsid w:val="00223090"/>
    <w:rsid w:val="002238B4"/>
    <w:rsid w:val="00223A9D"/>
    <w:rsid w:val="00223D10"/>
    <w:rsid w:val="00224FBB"/>
    <w:rsid w:val="00225D17"/>
    <w:rsid w:val="00226BB2"/>
    <w:rsid w:val="00226FB3"/>
    <w:rsid w:val="002279B0"/>
    <w:rsid w:val="00227A05"/>
    <w:rsid w:val="00231342"/>
    <w:rsid w:val="00231840"/>
    <w:rsid w:val="002319AB"/>
    <w:rsid w:val="002319AC"/>
    <w:rsid w:val="00234342"/>
    <w:rsid w:val="00235AC4"/>
    <w:rsid w:val="002376EA"/>
    <w:rsid w:val="0024040D"/>
    <w:rsid w:val="00240DB7"/>
    <w:rsid w:val="002421C1"/>
    <w:rsid w:val="002459C9"/>
    <w:rsid w:val="00245D7D"/>
    <w:rsid w:val="00245EC0"/>
    <w:rsid w:val="00246738"/>
    <w:rsid w:val="00246CA0"/>
    <w:rsid w:val="002473CF"/>
    <w:rsid w:val="0025093A"/>
    <w:rsid w:val="00250D5F"/>
    <w:rsid w:val="00250FB7"/>
    <w:rsid w:val="002510B2"/>
    <w:rsid w:val="002510FF"/>
    <w:rsid w:val="00251CD7"/>
    <w:rsid w:val="00252220"/>
    <w:rsid w:val="002536AD"/>
    <w:rsid w:val="00255FA3"/>
    <w:rsid w:val="00256532"/>
    <w:rsid w:val="00257288"/>
    <w:rsid w:val="002600FE"/>
    <w:rsid w:val="00261FB6"/>
    <w:rsid w:val="002629F8"/>
    <w:rsid w:val="00263396"/>
    <w:rsid w:val="002646E9"/>
    <w:rsid w:val="002659FA"/>
    <w:rsid w:val="0026638D"/>
    <w:rsid w:val="002675FE"/>
    <w:rsid w:val="00267815"/>
    <w:rsid w:val="002679E8"/>
    <w:rsid w:val="00267D1B"/>
    <w:rsid w:val="00270489"/>
    <w:rsid w:val="00270FD8"/>
    <w:rsid w:val="00271F8D"/>
    <w:rsid w:val="00273FFE"/>
    <w:rsid w:val="0027525C"/>
    <w:rsid w:val="00275AA5"/>
    <w:rsid w:val="0028037B"/>
    <w:rsid w:val="00280DDF"/>
    <w:rsid w:val="00281CCE"/>
    <w:rsid w:val="0028237F"/>
    <w:rsid w:val="002839D9"/>
    <w:rsid w:val="00283B63"/>
    <w:rsid w:val="0028413E"/>
    <w:rsid w:val="002845CB"/>
    <w:rsid w:val="00284BE4"/>
    <w:rsid w:val="002855D6"/>
    <w:rsid w:val="00286CBE"/>
    <w:rsid w:val="00286FF5"/>
    <w:rsid w:val="00287F4A"/>
    <w:rsid w:val="00290642"/>
    <w:rsid w:val="00290699"/>
    <w:rsid w:val="002917FF"/>
    <w:rsid w:val="00291841"/>
    <w:rsid w:val="002921C9"/>
    <w:rsid w:val="00292ADF"/>
    <w:rsid w:val="002934BA"/>
    <w:rsid w:val="00294058"/>
    <w:rsid w:val="00295485"/>
    <w:rsid w:val="002A0DEC"/>
    <w:rsid w:val="002A2C50"/>
    <w:rsid w:val="002A5379"/>
    <w:rsid w:val="002A68AC"/>
    <w:rsid w:val="002A6AA5"/>
    <w:rsid w:val="002A6D04"/>
    <w:rsid w:val="002B0713"/>
    <w:rsid w:val="002B081F"/>
    <w:rsid w:val="002B14AC"/>
    <w:rsid w:val="002B1C53"/>
    <w:rsid w:val="002B51FF"/>
    <w:rsid w:val="002B52BA"/>
    <w:rsid w:val="002B5FFB"/>
    <w:rsid w:val="002B6EFE"/>
    <w:rsid w:val="002B7324"/>
    <w:rsid w:val="002B7AE2"/>
    <w:rsid w:val="002C369F"/>
    <w:rsid w:val="002C4B28"/>
    <w:rsid w:val="002C5837"/>
    <w:rsid w:val="002C5A04"/>
    <w:rsid w:val="002C6269"/>
    <w:rsid w:val="002D0CF7"/>
    <w:rsid w:val="002D1729"/>
    <w:rsid w:val="002D23D5"/>
    <w:rsid w:val="002D2BFF"/>
    <w:rsid w:val="002D3502"/>
    <w:rsid w:val="002D480C"/>
    <w:rsid w:val="002D4E5F"/>
    <w:rsid w:val="002E045E"/>
    <w:rsid w:val="002E064B"/>
    <w:rsid w:val="002E072A"/>
    <w:rsid w:val="002E0BE4"/>
    <w:rsid w:val="002E3778"/>
    <w:rsid w:val="002E3B58"/>
    <w:rsid w:val="002E3B64"/>
    <w:rsid w:val="002E3D4A"/>
    <w:rsid w:val="002E3E8A"/>
    <w:rsid w:val="002E3F0A"/>
    <w:rsid w:val="002E49D5"/>
    <w:rsid w:val="002E4A01"/>
    <w:rsid w:val="002E6A6A"/>
    <w:rsid w:val="002E6AE8"/>
    <w:rsid w:val="002E74FF"/>
    <w:rsid w:val="002F19C8"/>
    <w:rsid w:val="002F1C97"/>
    <w:rsid w:val="002F1D6E"/>
    <w:rsid w:val="002F2F0A"/>
    <w:rsid w:val="002F3397"/>
    <w:rsid w:val="002F4C6D"/>
    <w:rsid w:val="002F50D4"/>
    <w:rsid w:val="002F50E6"/>
    <w:rsid w:val="002F6B6C"/>
    <w:rsid w:val="0030188D"/>
    <w:rsid w:val="0030380D"/>
    <w:rsid w:val="00303CAF"/>
    <w:rsid w:val="00304711"/>
    <w:rsid w:val="003105C2"/>
    <w:rsid w:val="00311793"/>
    <w:rsid w:val="00312411"/>
    <w:rsid w:val="0031268F"/>
    <w:rsid w:val="00313711"/>
    <w:rsid w:val="00315B0C"/>
    <w:rsid w:val="00316CA5"/>
    <w:rsid w:val="00320D46"/>
    <w:rsid w:val="003215FE"/>
    <w:rsid w:val="00322118"/>
    <w:rsid w:val="0032226E"/>
    <w:rsid w:val="003237BD"/>
    <w:rsid w:val="00323E71"/>
    <w:rsid w:val="00323F00"/>
    <w:rsid w:val="00323F30"/>
    <w:rsid w:val="00326F77"/>
    <w:rsid w:val="00327361"/>
    <w:rsid w:val="00331AB8"/>
    <w:rsid w:val="00332B95"/>
    <w:rsid w:val="00332EEE"/>
    <w:rsid w:val="0033320D"/>
    <w:rsid w:val="00333CE7"/>
    <w:rsid w:val="00335C6C"/>
    <w:rsid w:val="00336F37"/>
    <w:rsid w:val="003374FD"/>
    <w:rsid w:val="003401B0"/>
    <w:rsid w:val="00341818"/>
    <w:rsid w:val="00342A3E"/>
    <w:rsid w:val="00342B4C"/>
    <w:rsid w:val="00344BB8"/>
    <w:rsid w:val="00345A46"/>
    <w:rsid w:val="003465B7"/>
    <w:rsid w:val="003468FF"/>
    <w:rsid w:val="00346C8E"/>
    <w:rsid w:val="00347F88"/>
    <w:rsid w:val="00350036"/>
    <w:rsid w:val="00351673"/>
    <w:rsid w:val="00352D44"/>
    <w:rsid w:val="00353DEB"/>
    <w:rsid w:val="003554FD"/>
    <w:rsid w:val="00356EE7"/>
    <w:rsid w:val="003601F6"/>
    <w:rsid w:val="003614FA"/>
    <w:rsid w:val="003661BE"/>
    <w:rsid w:val="003666CC"/>
    <w:rsid w:val="003676E1"/>
    <w:rsid w:val="003677FA"/>
    <w:rsid w:val="00367BD5"/>
    <w:rsid w:val="00371817"/>
    <w:rsid w:val="00374131"/>
    <w:rsid w:val="00374506"/>
    <w:rsid w:val="00374F99"/>
    <w:rsid w:val="0037548F"/>
    <w:rsid w:val="003755FD"/>
    <w:rsid w:val="00375A6C"/>
    <w:rsid w:val="00375B19"/>
    <w:rsid w:val="003763D8"/>
    <w:rsid w:val="00381F25"/>
    <w:rsid w:val="0038361B"/>
    <w:rsid w:val="00383771"/>
    <w:rsid w:val="00383C2C"/>
    <w:rsid w:val="0038496C"/>
    <w:rsid w:val="00385291"/>
    <w:rsid w:val="00385E75"/>
    <w:rsid w:val="0038741B"/>
    <w:rsid w:val="0038766B"/>
    <w:rsid w:val="00390007"/>
    <w:rsid w:val="00390327"/>
    <w:rsid w:val="00390A4E"/>
    <w:rsid w:val="00391679"/>
    <w:rsid w:val="00392608"/>
    <w:rsid w:val="00393066"/>
    <w:rsid w:val="00393B78"/>
    <w:rsid w:val="00396869"/>
    <w:rsid w:val="00397A8F"/>
    <w:rsid w:val="00397FE5"/>
    <w:rsid w:val="003A01E9"/>
    <w:rsid w:val="003A1563"/>
    <w:rsid w:val="003A3FE0"/>
    <w:rsid w:val="003A41CA"/>
    <w:rsid w:val="003A45C0"/>
    <w:rsid w:val="003A6544"/>
    <w:rsid w:val="003A6845"/>
    <w:rsid w:val="003A7E1C"/>
    <w:rsid w:val="003B0039"/>
    <w:rsid w:val="003B477A"/>
    <w:rsid w:val="003B4C10"/>
    <w:rsid w:val="003B6196"/>
    <w:rsid w:val="003B6FA6"/>
    <w:rsid w:val="003C01A8"/>
    <w:rsid w:val="003C0306"/>
    <w:rsid w:val="003C114C"/>
    <w:rsid w:val="003C1161"/>
    <w:rsid w:val="003C2C5D"/>
    <w:rsid w:val="003C465D"/>
    <w:rsid w:val="003C50BD"/>
    <w:rsid w:val="003C60C0"/>
    <w:rsid w:val="003C6380"/>
    <w:rsid w:val="003C7AE6"/>
    <w:rsid w:val="003D0E00"/>
    <w:rsid w:val="003D1E68"/>
    <w:rsid w:val="003D2467"/>
    <w:rsid w:val="003D3245"/>
    <w:rsid w:val="003D3401"/>
    <w:rsid w:val="003D4257"/>
    <w:rsid w:val="003D495D"/>
    <w:rsid w:val="003D7F22"/>
    <w:rsid w:val="003E008E"/>
    <w:rsid w:val="003E098E"/>
    <w:rsid w:val="003E145E"/>
    <w:rsid w:val="003E2F82"/>
    <w:rsid w:val="003E2FAE"/>
    <w:rsid w:val="003E3730"/>
    <w:rsid w:val="003E3EA7"/>
    <w:rsid w:val="003E52CA"/>
    <w:rsid w:val="003E5AAD"/>
    <w:rsid w:val="003E6440"/>
    <w:rsid w:val="003E7237"/>
    <w:rsid w:val="003E7DAE"/>
    <w:rsid w:val="003F1997"/>
    <w:rsid w:val="003F3A7A"/>
    <w:rsid w:val="003F572B"/>
    <w:rsid w:val="003F5DFA"/>
    <w:rsid w:val="003F5EFE"/>
    <w:rsid w:val="00400191"/>
    <w:rsid w:val="00400851"/>
    <w:rsid w:val="00401944"/>
    <w:rsid w:val="0040322E"/>
    <w:rsid w:val="004046E4"/>
    <w:rsid w:val="00406EDD"/>
    <w:rsid w:val="00407CF7"/>
    <w:rsid w:val="00410423"/>
    <w:rsid w:val="00410CF7"/>
    <w:rsid w:val="0041212A"/>
    <w:rsid w:val="004123C0"/>
    <w:rsid w:val="00412EAB"/>
    <w:rsid w:val="0041492B"/>
    <w:rsid w:val="00414DCB"/>
    <w:rsid w:val="00414FA1"/>
    <w:rsid w:val="00415EB8"/>
    <w:rsid w:val="00415ED6"/>
    <w:rsid w:val="00416DBB"/>
    <w:rsid w:val="00417CAF"/>
    <w:rsid w:val="00420A11"/>
    <w:rsid w:val="00421580"/>
    <w:rsid w:val="00421D6A"/>
    <w:rsid w:val="00422265"/>
    <w:rsid w:val="00422468"/>
    <w:rsid w:val="00423ED1"/>
    <w:rsid w:val="00425B30"/>
    <w:rsid w:val="00425B9F"/>
    <w:rsid w:val="00426A76"/>
    <w:rsid w:val="00427E46"/>
    <w:rsid w:val="00433296"/>
    <w:rsid w:val="00435871"/>
    <w:rsid w:val="00435CC3"/>
    <w:rsid w:val="0043702C"/>
    <w:rsid w:val="00437267"/>
    <w:rsid w:val="004372F0"/>
    <w:rsid w:val="004373A7"/>
    <w:rsid w:val="00437D94"/>
    <w:rsid w:val="0044030C"/>
    <w:rsid w:val="00440D93"/>
    <w:rsid w:val="0044277E"/>
    <w:rsid w:val="004438D0"/>
    <w:rsid w:val="00443A67"/>
    <w:rsid w:val="00445E0A"/>
    <w:rsid w:val="00445F65"/>
    <w:rsid w:val="004479A8"/>
    <w:rsid w:val="0045140D"/>
    <w:rsid w:val="004516E2"/>
    <w:rsid w:val="004554FC"/>
    <w:rsid w:val="00455655"/>
    <w:rsid w:val="0046173B"/>
    <w:rsid w:val="00461C87"/>
    <w:rsid w:val="004639C8"/>
    <w:rsid w:val="004648A4"/>
    <w:rsid w:val="00465006"/>
    <w:rsid w:val="00465CBE"/>
    <w:rsid w:val="00467E62"/>
    <w:rsid w:val="0047046D"/>
    <w:rsid w:val="00470D32"/>
    <w:rsid w:val="00471380"/>
    <w:rsid w:val="004723D4"/>
    <w:rsid w:val="00472751"/>
    <w:rsid w:val="0047629D"/>
    <w:rsid w:val="004762A7"/>
    <w:rsid w:val="00476CCE"/>
    <w:rsid w:val="0048079A"/>
    <w:rsid w:val="0048093C"/>
    <w:rsid w:val="00481CB1"/>
    <w:rsid w:val="004831AA"/>
    <w:rsid w:val="00485053"/>
    <w:rsid w:val="004852E8"/>
    <w:rsid w:val="00485CF3"/>
    <w:rsid w:val="0049159D"/>
    <w:rsid w:val="00491F80"/>
    <w:rsid w:val="00492022"/>
    <w:rsid w:val="00492AD7"/>
    <w:rsid w:val="004942E4"/>
    <w:rsid w:val="00494F0D"/>
    <w:rsid w:val="00495842"/>
    <w:rsid w:val="00496BFD"/>
    <w:rsid w:val="00497A94"/>
    <w:rsid w:val="004A0493"/>
    <w:rsid w:val="004A04C6"/>
    <w:rsid w:val="004A0EBF"/>
    <w:rsid w:val="004A20B9"/>
    <w:rsid w:val="004A3DF2"/>
    <w:rsid w:val="004A612D"/>
    <w:rsid w:val="004A72D4"/>
    <w:rsid w:val="004B0AC3"/>
    <w:rsid w:val="004B0CE3"/>
    <w:rsid w:val="004B1E19"/>
    <w:rsid w:val="004B27FA"/>
    <w:rsid w:val="004B3261"/>
    <w:rsid w:val="004B3DE0"/>
    <w:rsid w:val="004B60D4"/>
    <w:rsid w:val="004B7CAB"/>
    <w:rsid w:val="004C18CD"/>
    <w:rsid w:val="004C25E9"/>
    <w:rsid w:val="004C263A"/>
    <w:rsid w:val="004C28D1"/>
    <w:rsid w:val="004C361D"/>
    <w:rsid w:val="004C4891"/>
    <w:rsid w:val="004C64DC"/>
    <w:rsid w:val="004C661C"/>
    <w:rsid w:val="004C74BD"/>
    <w:rsid w:val="004C76E4"/>
    <w:rsid w:val="004D16D7"/>
    <w:rsid w:val="004D2C89"/>
    <w:rsid w:val="004D36ED"/>
    <w:rsid w:val="004D396E"/>
    <w:rsid w:val="004D3EDA"/>
    <w:rsid w:val="004D40E2"/>
    <w:rsid w:val="004D5DA1"/>
    <w:rsid w:val="004E3932"/>
    <w:rsid w:val="004E3F3D"/>
    <w:rsid w:val="004E4150"/>
    <w:rsid w:val="004E49DE"/>
    <w:rsid w:val="004E697E"/>
    <w:rsid w:val="004E6E34"/>
    <w:rsid w:val="004E7776"/>
    <w:rsid w:val="004F0EA9"/>
    <w:rsid w:val="004F1705"/>
    <w:rsid w:val="004F18BE"/>
    <w:rsid w:val="004F1E79"/>
    <w:rsid w:val="004F1FF6"/>
    <w:rsid w:val="004F22C5"/>
    <w:rsid w:val="004F2C11"/>
    <w:rsid w:val="004F3E49"/>
    <w:rsid w:val="004F5510"/>
    <w:rsid w:val="004F589E"/>
    <w:rsid w:val="004F5F33"/>
    <w:rsid w:val="004F71C1"/>
    <w:rsid w:val="004F7A07"/>
    <w:rsid w:val="005009FE"/>
    <w:rsid w:val="00500B23"/>
    <w:rsid w:val="0050103A"/>
    <w:rsid w:val="005028AA"/>
    <w:rsid w:val="00502D3C"/>
    <w:rsid w:val="005030FB"/>
    <w:rsid w:val="005040D8"/>
    <w:rsid w:val="005053D3"/>
    <w:rsid w:val="00505CC6"/>
    <w:rsid w:val="005067C1"/>
    <w:rsid w:val="00511B0F"/>
    <w:rsid w:val="00513445"/>
    <w:rsid w:val="005152A3"/>
    <w:rsid w:val="00516B3F"/>
    <w:rsid w:val="00517B2D"/>
    <w:rsid w:val="00521538"/>
    <w:rsid w:val="00521EC2"/>
    <w:rsid w:val="00522A60"/>
    <w:rsid w:val="00522C30"/>
    <w:rsid w:val="00524C2A"/>
    <w:rsid w:val="005263E3"/>
    <w:rsid w:val="0052672D"/>
    <w:rsid w:val="00527ABD"/>
    <w:rsid w:val="00532876"/>
    <w:rsid w:val="00533559"/>
    <w:rsid w:val="0053386E"/>
    <w:rsid w:val="00533FC6"/>
    <w:rsid w:val="00534410"/>
    <w:rsid w:val="005350C3"/>
    <w:rsid w:val="005363A6"/>
    <w:rsid w:val="0053671B"/>
    <w:rsid w:val="00537893"/>
    <w:rsid w:val="00537894"/>
    <w:rsid w:val="0054010D"/>
    <w:rsid w:val="005406FF"/>
    <w:rsid w:val="005428FC"/>
    <w:rsid w:val="00542F21"/>
    <w:rsid w:val="005450B1"/>
    <w:rsid w:val="005457A8"/>
    <w:rsid w:val="00546A0B"/>
    <w:rsid w:val="0054743F"/>
    <w:rsid w:val="00547D02"/>
    <w:rsid w:val="005510B8"/>
    <w:rsid w:val="00551EAA"/>
    <w:rsid w:val="00552B24"/>
    <w:rsid w:val="0055366C"/>
    <w:rsid w:val="0055388E"/>
    <w:rsid w:val="00553AD2"/>
    <w:rsid w:val="005548B6"/>
    <w:rsid w:val="005615E1"/>
    <w:rsid w:val="00561600"/>
    <w:rsid w:val="00561CF8"/>
    <w:rsid w:val="00563017"/>
    <w:rsid w:val="005663B3"/>
    <w:rsid w:val="00566A59"/>
    <w:rsid w:val="0056777F"/>
    <w:rsid w:val="0057112A"/>
    <w:rsid w:val="00573744"/>
    <w:rsid w:val="005749CA"/>
    <w:rsid w:val="005754AE"/>
    <w:rsid w:val="005771AB"/>
    <w:rsid w:val="00577EBB"/>
    <w:rsid w:val="00577FB5"/>
    <w:rsid w:val="005808FF"/>
    <w:rsid w:val="0058106B"/>
    <w:rsid w:val="005852D1"/>
    <w:rsid w:val="00587A22"/>
    <w:rsid w:val="00590C5D"/>
    <w:rsid w:val="005916BB"/>
    <w:rsid w:val="0059276A"/>
    <w:rsid w:val="0059299D"/>
    <w:rsid w:val="00593F54"/>
    <w:rsid w:val="00595C8C"/>
    <w:rsid w:val="0059656D"/>
    <w:rsid w:val="00597747"/>
    <w:rsid w:val="005A00B0"/>
    <w:rsid w:val="005A0245"/>
    <w:rsid w:val="005A074C"/>
    <w:rsid w:val="005A1560"/>
    <w:rsid w:val="005A1AC4"/>
    <w:rsid w:val="005A242F"/>
    <w:rsid w:val="005A4CDD"/>
    <w:rsid w:val="005A4FD4"/>
    <w:rsid w:val="005A67AF"/>
    <w:rsid w:val="005A67DE"/>
    <w:rsid w:val="005A76CA"/>
    <w:rsid w:val="005A7845"/>
    <w:rsid w:val="005B05BE"/>
    <w:rsid w:val="005B4B16"/>
    <w:rsid w:val="005B5423"/>
    <w:rsid w:val="005B57E4"/>
    <w:rsid w:val="005B5ABD"/>
    <w:rsid w:val="005B5B67"/>
    <w:rsid w:val="005B5DEC"/>
    <w:rsid w:val="005B7075"/>
    <w:rsid w:val="005B7AFB"/>
    <w:rsid w:val="005B7FF1"/>
    <w:rsid w:val="005C140A"/>
    <w:rsid w:val="005C1E52"/>
    <w:rsid w:val="005C3466"/>
    <w:rsid w:val="005C6763"/>
    <w:rsid w:val="005D0AA8"/>
    <w:rsid w:val="005D213D"/>
    <w:rsid w:val="005D2B3E"/>
    <w:rsid w:val="005D2E49"/>
    <w:rsid w:val="005D3164"/>
    <w:rsid w:val="005D3DE2"/>
    <w:rsid w:val="005D4DB0"/>
    <w:rsid w:val="005D6080"/>
    <w:rsid w:val="005D71B1"/>
    <w:rsid w:val="005D74D9"/>
    <w:rsid w:val="005E0344"/>
    <w:rsid w:val="005E1D2A"/>
    <w:rsid w:val="005E232F"/>
    <w:rsid w:val="005E2B04"/>
    <w:rsid w:val="005E3AD2"/>
    <w:rsid w:val="005E4339"/>
    <w:rsid w:val="005E440B"/>
    <w:rsid w:val="005E44BD"/>
    <w:rsid w:val="005E71F5"/>
    <w:rsid w:val="005E7A9F"/>
    <w:rsid w:val="005F078D"/>
    <w:rsid w:val="005F0C23"/>
    <w:rsid w:val="005F17D6"/>
    <w:rsid w:val="005F2C85"/>
    <w:rsid w:val="005F6933"/>
    <w:rsid w:val="005F6DBA"/>
    <w:rsid w:val="005F74C4"/>
    <w:rsid w:val="00600767"/>
    <w:rsid w:val="00605ADB"/>
    <w:rsid w:val="00606F18"/>
    <w:rsid w:val="00607785"/>
    <w:rsid w:val="00610006"/>
    <w:rsid w:val="0061014A"/>
    <w:rsid w:val="00611040"/>
    <w:rsid w:val="0061168C"/>
    <w:rsid w:val="00611A53"/>
    <w:rsid w:val="00611C9F"/>
    <w:rsid w:val="006122F9"/>
    <w:rsid w:val="006123AA"/>
    <w:rsid w:val="00613966"/>
    <w:rsid w:val="00613F58"/>
    <w:rsid w:val="0061557A"/>
    <w:rsid w:val="00615C61"/>
    <w:rsid w:val="00616588"/>
    <w:rsid w:val="00621574"/>
    <w:rsid w:val="0062261A"/>
    <w:rsid w:val="006231C1"/>
    <w:rsid w:val="006248DE"/>
    <w:rsid w:val="00624E4E"/>
    <w:rsid w:val="006263E2"/>
    <w:rsid w:val="00627106"/>
    <w:rsid w:val="00627555"/>
    <w:rsid w:val="00631EB5"/>
    <w:rsid w:val="006322A0"/>
    <w:rsid w:val="006328EE"/>
    <w:rsid w:val="00633755"/>
    <w:rsid w:val="006338A0"/>
    <w:rsid w:val="00634621"/>
    <w:rsid w:val="006361FD"/>
    <w:rsid w:val="006363B7"/>
    <w:rsid w:val="0063673D"/>
    <w:rsid w:val="00637F02"/>
    <w:rsid w:val="0064226F"/>
    <w:rsid w:val="00642DDB"/>
    <w:rsid w:val="00651907"/>
    <w:rsid w:val="00653298"/>
    <w:rsid w:val="00653407"/>
    <w:rsid w:val="00655DDD"/>
    <w:rsid w:val="00656B80"/>
    <w:rsid w:val="006613FC"/>
    <w:rsid w:val="006631F4"/>
    <w:rsid w:val="00663A7C"/>
    <w:rsid w:val="00665063"/>
    <w:rsid w:val="0066567F"/>
    <w:rsid w:val="00667DF2"/>
    <w:rsid w:val="00670DF1"/>
    <w:rsid w:val="00671345"/>
    <w:rsid w:val="0067228E"/>
    <w:rsid w:val="00672A9B"/>
    <w:rsid w:val="00673F48"/>
    <w:rsid w:val="0067420C"/>
    <w:rsid w:val="00675884"/>
    <w:rsid w:val="006765FE"/>
    <w:rsid w:val="00677507"/>
    <w:rsid w:val="00680696"/>
    <w:rsid w:val="006818CB"/>
    <w:rsid w:val="00681BDA"/>
    <w:rsid w:val="00683317"/>
    <w:rsid w:val="00684F53"/>
    <w:rsid w:val="0068611B"/>
    <w:rsid w:val="006863B8"/>
    <w:rsid w:val="006908C9"/>
    <w:rsid w:val="00690D55"/>
    <w:rsid w:val="00691252"/>
    <w:rsid w:val="00692754"/>
    <w:rsid w:val="006928C3"/>
    <w:rsid w:val="00692EA4"/>
    <w:rsid w:val="006939E8"/>
    <w:rsid w:val="006965C6"/>
    <w:rsid w:val="00696EE0"/>
    <w:rsid w:val="00697980"/>
    <w:rsid w:val="006A018A"/>
    <w:rsid w:val="006A0CE2"/>
    <w:rsid w:val="006A19EF"/>
    <w:rsid w:val="006A1FEC"/>
    <w:rsid w:val="006A3057"/>
    <w:rsid w:val="006A3E12"/>
    <w:rsid w:val="006A42F3"/>
    <w:rsid w:val="006A43D5"/>
    <w:rsid w:val="006A525B"/>
    <w:rsid w:val="006A5ECE"/>
    <w:rsid w:val="006A61AC"/>
    <w:rsid w:val="006A61DD"/>
    <w:rsid w:val="006A6CFE"/>
    <w:rsid w:val="006A76D7"/>
    <w:rsid w:val="006B1CE1"/>
    <w:rsid w:val="006B2414"/>
    <w:rsid w:val="006B3500"/>
    <w:rsid w:val="006B6CC6"/>
    <w:rsid w:val="006C045F"/>
    <w:rsid w:val="006C4196"/>
    <w:rsid w:val="006C53D7"/>
    <w:rsid w:val="006C6320"/>
    <w:rsid w:val="006C63B0"/>
    <w:rsid w:val="006C63D3"/>
    <w:rsid w:val="006C76A2"/>
    <w:rsid w:val="006C792E"/>
    <w:rsid w:val="006C7EE0"/>
    <w:rsid w:val="006D0681"/>
    <w:rsid w:val="006D116C"/>
    <w:rsid w:val="006D196A"/>
    <w:rsid w:val="006D28E8"/>
    <w:rsid w:val="006D3052"/>
    <w:rsid w:val="006D40B8"/>
    <w:rsid w:val="006D42A8"/>
    <w:rsid w:val="006D4980"/>
    <w:rsid w:val="006D53A7"/>
    <w:rsid w:val="006D59CB"/>
    <w:rsid w:val="006D60D3"/>
    <w:rsid w:val="006D697B"/>
    <w:rsid w:val="006D69D2"/>
    <w:rsid w:val="006E0480"/>
    <w:rsid w:val="006E052A"/>
    <w:rsid w:val="006E0FC0"/>
    <w:rsid w:val="006E16B3"/>
    <w:rsid w:val="006E217C"/>
    <w:rsid w:val="006E53D8"/>
    <w:rsid w:val="006E5EBD"/>
    <w:rsid w:val="006E63DC"/>
    <w:rsid w:val="006E7C42"/>
    <w:rsid w:val="006F0F90"/>
    <w:rsid w:val="006F168A"/>
    <w:rsid w:val="006F1B6A"/>
    <w:rsid w:val="006F2BA5"/>
    <w:rsid w:val="006F338A"/>
    <w:rsid w:val="006F36D9"/>
    <w:rsid w:val="006F3BC7"/>
    <w:rsid w:val="006F5076"/>
    <w:rsid w:val="006F6009"/>
    <w:rsid w:val="006F71A3"/>
    <w:rsid w:val="006F78B9"/>
    <w:rsid w:val="00700938"/>
    <w:rsid w:val="00700C66"/>
    <w:rsid w:val="0070170A"/>
    <w:rsid w:val="00702349"/>
    <w:rsid w:val="0070321D"/>
    <w:rsid w:val="00704347"/>
    <w:rsid w:val="007068BA"/>
    <w:rsid w:val="00706FFC"/>
    <w:rsid w:val="00707FBD"/>
    <w:rsid w:val="00714541"/>
    <w:rsid w:val="00714E67"/>
    <w:rsid w:val="007154C5"/>
    <w:rsid w:val="00716AB1"/>
    <w:rsid w:val="00721D63"/>
    <w:rsid w:val="00722647"/>
    <w:rsid w:val="00722C6A"/>
    <w:rsid w:val="00724AF9"/>
    <w:rsid w:val="00726177"/>
    <w:rsid w:val="0072678E"/>
    <w:rsid w:val="0073017A"/>
    <w:rsid w:val="00730BAA"/>
    <w:rsid w:val="007310B1"/>
    <w:rsid w:val="00731211"/>
    <w:rsid w:val="00732C7B"/>
    <w:rsid w:val="00734D2B"/>
    <w:rsid w:val="00735F4B"/>
    <w:rsid w:val="00736843"/>
    <w:rsid w:val="00737010"/>
    <w:rsid w:val="00737705"/>
    <w:rsid w:val="007408D4"/>
    <w:rsid w:val="00740B32"/>
    <w:rsid w:val="007420AC"/>
    <w:rsid w:val="00742617"/>
    <w:rsid w:val="0074263E"/>
    <w:rsid w:val="007427D9"/>
    <w:rsid w:val="00742A3D"/>
    <w:rsid w:val="0074338D"/>
    <w:rsid w:val="00744172"/>
    <w:rsid w:val="007457B4"/>
    <w:rsid w:val="007461C2"/>
    <w:rsid w:val="00747357"/>
    <w:rsid w:val="00750BCE"/>
    <w:rsid w:val="00754921"/>
    <w:rsid w:val="00761BF8"/>
    <w:rsid w:val="00762C5D"/>
    <w:rsid w:val="0076379F"/>
    <w:rsid w:val="00763EA0"/>
    <w:rsid w:val="00765087"/>
    <w:rsid w:val="007662AF"/>
    <w:rsid w:val="0076692A"/>
    <w:rsid w:val="00766DA9"/>
    <w:rsid w:val="0076750A"/>
    <w:rsid w:val="007678C3"/>
    <w:rsid w:val="00770B3F"/>
    <w:rsid w:val="00771374"/>
    <w:rsid w:val="00772FE7"/>
    <w:rsid w:val="00773369"/>
    <w:rsid w:val="00774B6F"/>
    <w:rsid w:val="007755CE"/>
    <w:rsid w:val="00775FD9"/>
    <w:rsid w:val="007765F8"/>
    <w:rsid w:val="007769C9"/>
    <w:rsid w:val="00777359"/>
    <w:rsid w:val="00777BCE"/>
    <w:rsid w:val="00780EF1"/>
    <w:rsid w:val="00783154"/>
    <w:rsid w:val="00783AFA"/>
    <w:rsid w:val="00783C9C"/>
    <w:rsid w:val="007847D9"/>
    <w:rsid w:val="00784EF0"/>
    <w:rsid w:val="00785427"/>
    <w:rsid w:val="00787E37"/>
    <w:rsid w:val="00790540"/>
    <w:rsid w:val="0079195E"/>
    <w:rsid w:val="00791DE6"/>
    <w:rsid w:val="007929D6"/>
    <w:rsid w:val="00793717"/>
    <w:rsid w:val="007958B2"/>
    <w:rsid w:val="00795F5F"/>
    <w:rsid w:val="007968CA"/>
    <w:rsid w:val="007A0061"/>
    <w:rsid w:val="007A0358"/>
    <w:rsid w:val="007A1847"/>
    <w:rsid w:val="007A23F4"/>
    <w:rsid w:val="007A2B8A"/>
    <w:rsid w:val="007A2D11"/>
    <w:rsid w:val="007A3CE3"/>
    <w:rsid w:val="007A3F3D"/>
    <w:rsid w:val="007A43FF"/>
    <w:rsid w:val="007A4D08"/>
    <w:rsid w:val="007A57F5"/>
    <w:rsid w:val="007A6FB7"/>
    <w:rsid w:val="007B024D"/>
    <w:rsid w:val="007B08A3"/>
    <w:rsid w:val="007B25B8"/>
    <w:rsid w:val="007B3918"/>
    <w:rsid w:val="007B3A09"/>
    <w:rsid w:val="007B3A2B"/>
    <w:rsid w:val="007B444E"/>
    <w:rsid w:val="007B76AC"/>
    <w:rsid w:val="007C1F11"/>
    <w:rsid w:val="007C2EE3"/>
    <w:rsid w:val="007C2F0D"/>
    <w:rsid w:val="007C3C1D"/>
    <w:rsid w:val="007C7725"/>
    <w:rsid w:val="007D199A"/>
    <w:rsid w:val="007D2EBE"/>
    <w:rsid w:val="007D33C4"/>
    <w:rsid w:val="007D43BC"/>
    <w:rsid w:val="007D46EA"/>
    <w:rsid w:val="007D72DA"/>
    <w:rsid w:val="007E02E7"/>
    <w:rsid w:val="007E0861"/>
    <w:rsid w:val="007E1C07"/>
    <w:rsid w:val="007E23CA"/>
    <w:rsid w:val="007E24AF"/>
    <w:rsid w:val="007E35D0"/>
    <w:rsid w:val="007E4E5A"/>
    <w:rsid w:val="007E5351"/>
    <w:rsid w:val="007E71F7"/>
    <w:rsid w:val="007E7235"/>
    <w:rsid w:val="007F0B4F"/>
    <w:rsid w:val="007F24B6"/>
    <w:rsid w:val="007F28B3"/>
    <w:rsid w:val="007F5BD2"/>
    <w:rsid w:val="007F631A"/>
    <w:rsid w:val="007F6F17"/>
    <w:rsid w:val="00800459"/>
    <w:rsid w:val="008005BA"/>
    <w:rsid w:val="00801304"/>
    <w:rsid w:val="00803537"/>
    <w:rsid w:val="00803D94"/>
    <w:rsid w:val="008049F0"/>
    <w:rsid w:val="00805300"/>
    <w:rsid w:val="00805D57"/>
    <w:rsid w:val="00806011"/>
    <w:rsid w:val="008060F2"/>
    <w:rsid w:val="0081029D"/>
    <w:rsid w:val="00814EC4"/>
    <w:rsid w:val="0081504A"/>
    <w:rsid w:val="008154E6"/>
    <w:rsid w:val="008159F9"/>
    <w:rsid w:val="00815D4B"/>
    <w:rsid w:val="00816197"/>
    <w:rsid w:val="00816D17"/>
    <w:rsid w:val="00817C1B"/>
    <w:rsid w:val="00817E6A"/>
    <w:rsid w:val="008204A2"/>
    <w:rsid w:val="00821209"/>
    <w:rsid w:val="008229BA"/>
    <w:rsid w:val="00822B36"/>
    <w:rsid w:val="00822D93"/>
    <w:rsid w:val="00823FC4"/>
    <w:rsid w:val="00824151"/>
    <w:rsid w:val="00824B21"/>
    <w:rsid w:val="00824DE3"/>
    <w:rsid w:val="00827690"/>
    <w:rsid w:val="008302E4"/>
    <w:rsid w:val="0083210A"/>
    <w:rsid w:val="0083334F"/>
    <w:rsid w:val="00834569"/>
    <w:rsid w:val="008350B2"/>
    <w:rsid w:val="00835415"/>
    <w:rsid w:val="008356BF"/>
    <w:rsid w:val="00835DF6"/>
    <w:rsid w:val="00836247"/>
    <w:rsid w:val="00837084"/>
    <w:rsid w:val="00837972"/>
    <w:rsid w:val="00840202"/>
    <w:rsid w:val="00844BCB"/>
    <w:rsid w:val="00845390"/>
    <w:rsid w:val="0084601B"/>
    <w:rsid w:val="008472E3"/>
    <w:rsid w:val="00851D75"/>
    <w:rsid w:val="00852845"/>
    <w:rsid w:val="00852B36"/>
    <w:rsid w:val="00852D1A"/>
    <w:rsid w:val="00853259"/>
    <w:rsid w:val="0085379C"/>
    <w:rsid w:val="00853F67"/>
    <w:rsid w:val="008554FB"/>
    <w:rsid w:val="00855706"/>
    <w:rsid w:val="00855F1E"/>
    <w:rsid w:val="00856E32"/>
    <w:rsid w:val="00860624"/>
    <w:rsid w:val="008606F0"/>
    <w:rsid w:val="00861B8A"/>
    <w:rsid w:val="00862D98"/>
    <w:rsid w:val="00863957"/>
    <w:rsid w:val="00864194"/>
    <w:rsid w:val="00864F64"/>
    <w:rsid w:val="008652FD"/>
    <w:rsid w:val="00865489"/>
    <w:rsid w:val="0086553D"/>
    <w:rsid w:val="00865D95"/>
    <w:rsid w:val="00866AD4"/>
    <w:rsid w:val="008701D4"/>
    <w:rsid w:val="00871218"/>
    <w:rsid w:val="0087125B"/>
    <w:rsid w:val="00871329"/>
    <w:rsid w:val="008720D9"/>
    <w:rsid w:val="0087230F"/>
    <w:rsid w:val="00874A94"/>
    <w:rsid w:val="00874FBF"/>
    <w:rsid w:val="00874FEB"/>
    <w:rsid w:val="00875083"/>
    <w:rsid w:val="008804E4"/>
    <w:rsid w:val="00881B6F"/>
    <w:rsid w:val="008825CD"/>
    <w:rsid w:val="008829AD"/>
    <w:rsid w:val="00882AA4"/>
    <w:rsid w:val="00883E22"/>
    <w:rsid w:val="008840AE"/>
    <w:rsid w:val="00884E43"/>
    <w:rsid w:val="00886210"/>
    <w:rsid w:val="00886682"/>
    <w:rsid w:val="00887EC6"/>
    <w:rsid w:val="0089010B"/>
    <w:rsid w:val="00890294"/>
    <w:rsid w:val="00890644"/>
    <w:rsid w:val="0089084C"/>
    <w:rsid w:val="00893270"/>
    <w:rsid w:val="00893409"/>
    <w:rsid w:val="00893D9F"/>
    <w:rsid w:val="008952F8"/>
    <w:rsid w:val="00895A4D"/>
    <w:rsid w:val="00895E8E"/>
    <w:rsid w:val="0089728E"/>
    <w:rsid w:val="00897936"/>
    <w:rsid w:val="008A175A"/>
    <w:rsid w:val="008A223F"/>
    <w:rsid w:val="008A2379"/>
    <w:rsid w:val="008A2F0A"/>
    <w:rsid w:val="008A4329"/>
    <w:rsid w:val="008A51CE"/>
    <w:rsid w:val="008A578E"/>
    <w:rsid w:val="008A5E24"/>
    <w:rsid w:val="008A745B"/>
    <w:rsid w:val="008A7966"/>
    <w:rsid w:val="008A7985"/>
    <w:rsid w:val="008B1368"/>
    <w:rsid w:val="008B1519"/>
    <w:rsid w:val="008B2008"/>
    <w:rsid w:val="008B2309"/>
    <w:rsid w:val="008B25DD"/>
    <w:rsid w:val="008B2776"/>
    <w:rsid w:val="008B358F"/>
    <w:rsid w:val="008B3E87"/>
    <w:rsid w:val="008B4A94"/>
    <w:rsid w:val="008B6676"/>
    <w:rsid w:val="008B7BCC"/>
    <w:rsid w:val="008C09CB"/>
    <w:rsid w:val="008C0FD0"/>
    <w:rsid w:val="008C1E5C"/>
    <w:rsid w:val="008C3743"/>
    <w:rsid w:val="008C383F"/>
    <w:rsid w:val="008C40BF"/>
    <w:rsid w:val="008C50C3"/>
    <w:rsid w:val="008C6D7C"/>
    <w:rsid w:val="008C6E63"/>
    <w:rsid w:val="008C7094"/>
    <w:rsid w:val="008D10A6"/>
    <w:rsid w:val="008D1E89"/>
    <w:rsid w:val="008D2B97"/>
    <w:rsid w:val="008D2E29"/>
    <w:rsid w:val="008D3D78"/>
    <w:rsid w:val="008D49A5"/>
    <w:rsid w:val="008D6C81"/>
    <w:rsid w:val="008E0B6E"/>
    <w:rsid w:val="008E2CFE"/>
    <w:rsid w:val="008E3A7A"/>
    <w:rsid w:val="008E5D60"/>
    <w:rsid w:val="008E6CF0"/>
    <w:rsid w:val="008F06B4"/>
    <w:rsid w:val="008F1439"/>
    <w:rsid w:val="008F22FC"/>
    <w:rsid w:val="008F2C48"/>
    <w:rsid w:val="008F2DE7"/>
    <w:rsid w:val="008F34C2"/>
    <w:rsid w:val="008F588A"/>
    <w:rsid w:val="008F7051"/>
    <w:rsid w:val="008F7B2E"/>
    <w:rsid w:val="00901D10"/>
    <w:rsid w:val="00902CAF"/>
    <w:rsid w:val="009033A9"/>
    <w:rsid w:val="0090343B"/>
    <w:rsid w:val="0090574B"/>
    <w:rsid w:val="0090581D"/>
    <w:rsid w:val="00907D10"/>
    <w:rsid w:val="00912111"/>
    <w:rsid w:val="00912D39"/>
    <w:rsid w:val="0091307B"/>
    <w:rsid w:val="009132CA"/>
    <w:rsid w:val="00913500"/>
    <w:rsid w:val="0091439C"/>
    <w:rsid w:val="00917446"/>
    <w:rsid w:val="00917CDD"/>
    <w:rsid w:val="00920572"/>
    <w:rsid w:val="00920BF2"/>
    <w:rsid w:val="00921C8A"/>
    <w:rsid w:val="009225E8"/>
    <w:rsid w:val="00922621"/>
    <w:rsid w:val="009240BE"/>
    <w:rsid w:val="009244E6"/>
    <w:rsid w:val="0092508D"/>
    <w:rsid w:val="00931014"/>
    <w:rsid w:val="00931525"/>
    <w:rsid w:val="009327E4"/>
    <w:rsid w:val="00933977"/>
    <w:rsid w:val="00934341"/>
    <w:rsid w:val="009349A9"/>
    <w:rsid w:val="00936BD8"/>
    <w:rsid w:val="00936C52"/>
    <w:rsid w:val="00936D4E"/>
    <w:rsid w:val="0094125C"/>
    <w:rsid w:val="00942596"/>
    <w:rsid w:val="009429B3"/>
    <w:rsid w:val="009444A2"/>
    <w:rsid w:val="009467CB"/>
    <w:rsid w:val="00946CC8"/>
    <w:rsid w:val="009478B7"/>
    <w:rsid w:val="00950669"/>
    <w:rsid w:val="0095150F"/>
    <w:rsid w:val="00951E33"/>
    <w:rsid w:val="00952EE4"/>
    <w:rsid w:val="009535FC"/>
    <w:rsid w:val="00953B7C"/>
    <w:rsid w:val="0095489B"/>
    <w:rsid w:val="00955217"/>
    <w:rsid w:val="0095549A"/>
    <w:rsid w:val="0095667B"/>
    <w:rsid w:val="00956A02"/>
    <w:rsid w:val="00956E7A"/>
    <w:rsid w:val="0096035E"/>
    <w:rsid w:val="00960D95"/>
    <w:rsid w:val="00962A4A"/>
    <w:rsid w:val="00965A48"/>
    <w:rsid w:val="00966FB9"/>
    <w:rsid w:val="009671CD"/>
    <w:rsid w:val="00970DC3"/>
    <w:rsid w:val="00972F49"/>
    <w:rsid w:val="00973325"/>
    <w:rsid w:val="00974E00"/>
    <w:rsid w:val="0097519A"/>
    <w:rsid w:val="009751A9"/>
    <w:rsid w:val="00977DC2"/>
    <w:rsid w:val="00980F9C"/>
    <w:rsid w:val="009812C6"/>
    <w:rsid w:val="00981389"/>
    <w:rsid w:val="00982016"/>
    <w:rsid w:val="009848DD"/>
    <w:rsid w:val="009851F0"/>
    <w:rsid w:val="00985B78"/>
    <w:rsid w:val="00986159"/>
    <w:rsid w:val="0098632B"/>
    <w:rsid w:val="00986371"/>
    <w:rsid w:val="00986472"/>
    <w:rsid w:val="00986A45"/>
    <w:rsid w:val="0099002C"/>
    <w:rsid w:val="0099220B"/>
    <w:rsid w:val="00992C42"/>
    <w:rsid w:val="0099372F"/>
    <w:rsid w:val="009944B6"/>
    <w:rsid w:val="00995E13"/>
    <w:rsid w:val="009964A3"/>
    <w:rsid w:val="0099691F"/>
    <w:rsid w:val="00997002"/>
    <w:rsid w:val="00997BFB"/>
    <w:rsid w:val="009A18E4"/>
    <w:rsid w:val="009A2658"/>
    <w:rsid w:val="009A3B66"/>
    <w:rsid w:val="009A449C"/>
    <w:rsid w:val="009A630C"/>
    <w:rsid w:val="009A6FDA"/>
    <w:rsid w:val="009A7348"/>
    <w:rsid w:val="009B0507"/>
    <w:rsid w:val="009B068E"/>
    <w:rsid w:val="009B1BEC"/>
    <w:rsid w:val="009B1E52"/>
    <w:rsid w:val="009B462C"/>
    <w:rsid w:val="009B56E8"/>
    <w:rsid w:val="009B5A8D"/>
    <w:rsid w:val="009B6844"/>
    <w:rsid w:val="009C15F3"/>
    <w:rsid w:val="009C33FE"/>
    <w:rsid w:val="009C3689"/>
    <w:rsid w:val="009C3C0B"/>
    <w:rsid w:val="009C41F4"/>
    <w:rsid w:val="009C5A1D"/>
    <w:rsid w:val="009C6337"/>
    <w:rsid w:val="009C6A5E"/>
    <w:rsid w:val="009C6C1C"/>
    <w:rsid w:val="009C7143"/>
    <w:rsid w:val="009C7423"/>
    <w:rsid w:val="009D0A4B"/>
    <w:rsid w:val="009D1684"/>
    <w:rsid w:val="009D1F70"/>
    <w:rsid w:val="009D25D7"/>
    <w:rsid w:val="009D2C75"/>
    <w:rsid w:val="009D41B4"/>
    <w:rsid w:val="009D43EF"/>
    <w:rsid w:val="009D5A4D"/>
    <w:rsid w:val="009D75B2"/>
    <w:rsid w:val="009E07C2"/>
    <w:rsid w:val="009E0E52"/>
    <w:rsid w:val="009E0E73"/>
    <w:rsid w:val="009E1BBB"/>
    <w:rsid w:val="009E4205"/>
    <w:rsid w:val="009E4CAF"/>
    <w:rsid w:val="009E58A6"/>
    <w:rsid w:val="009F0A1F"/>
    <w:rsid w:val="009F0F23"/>
    <w:rsid w:val="009F16DA"/>
    <w:rsid w:val="009F519E"/>
    <w:rsid w:val="009F72F9"/>
    <w:rsid w:val="00A00205"/>
    <w:rsid w:val="00A00AF0"/>
    <w:rsid w:val="00A00CF5"/>
    <w:rsid w:val="00A04722"/>
    <w:rsid w:val="00A05A8B"/>
    <w:rsid w:val="00A05B77"/>
    <w:rsid w:val="00A101D7"/>
    <w:rsid w:val="00A10967"/>
    <w:rsid w:val="00A1266A"/>
    <w:rsid w:val="00A127A6"/>
    <w:rsid w:val="00A13D2D"/>
    <w:rsid w:val="00A142E0"/>
    <w:rsid w:val="00A14B5A"/>
    <w:rsid w:val="00A20543"/>
    <w:rsid w:val="00A21CE1"/>
    <w:rsid w:val="00A2327C"/>
    <w:rsid w:val="00A24C2D"/>
    <w:rsid w:val="00A2500A"/>
    <w:rsid w:val="00A25F1F"/>
    <w:rsid w:val="00A277A1"/>
    <w:rsid w:val="00A3268C"/>
    <w:rsid w:val="00A32E21"/>
    <w:rsid w:val="00A33454"/>
    <w:rsid w:val="00A34339"/>
    <w:rsid w:val="00A348EB"/>
    <w:rsid w:val="00A355B2"/>
    <w:rsid w:val="00A3567F"/>
    <w:rsid w:val="00A368B8"/>
    <w:rsid w:val="00A37698"/>
    <w:rsid w:val="00A40004"/>
    <w:rsid w:val="00A4025A"/>
    <w:rsid w:val="00A403CA"/>
    <w:rsid w:val="00A4042C"/>
    <w:rsid w:val="00A41161"/>
    <w:rsid w:val="00A41ED3"/>
    <w:rsid w:val="00A44915"/>
    <w:rsid w:val="00A44925"/>
    <w:rsid w:val="00A507CE"/>
    <w:rsid w:val="00A5183A"/>
    <w:rsid w:val="00A525CE"/>
    <w:rsid w:val="00A5368E"/>
    <w:rsid w:val="00A56C7B"/>
    <w:rsid w:val="00A61499"/>
    <w:rsid w:val="00A61565"/>
    <w:rsid w:val="00A62EEC"/>
    <w:rsid w:val="00A63865"/>
    <w:rsid w:val="00A63D2F"/>
    <w:rsid w:val="00A64040"/>
    <w:rsid w:val="00A707C1"/>
    <w:rsid w:val="00A71A43"/>
    <w:rsid w:val="00A71B1E"/>
    <w:rsid w:val="00A71FE9"/>
    <w:rsid w:val="00A72ADC"/>
    <w:rsid w:val="00A732D0"/>
    <w:rsid w:val="00A7387B"/>
    <w:rsid w:val="00A756F6"/>
    <w:rsid w:val="00A7582B"/>
    <w:rsid w:val="00A75AF9"/>
    <w:rsid w:val="00A772D1"/>
    <w:rsid w:val="00A776A0"/>
    <w:rsid w:val="00A80EBF"/>
    <w:rsid w:val="00A81357"/>
    <w:rsid w:val="00A81837"/>
    <w:rsid w:val="00A81D82"/>
    <w:rsid w:val="00A81EDA"/>
    <w:rsid w:val="00A8394B"/>
    <w:rsid w:val="00A8464E"/>
    <w:rsid w:val="00A84E95"/>
    <w:rsid w:val="00A855F0"/>
    <w:rsid w:val="00A87896"/>
    <w:rsid w:val="00A900C2"/>
    <w:rsid w:val="00A90BFB"/>
    <w:rsid w:val="00A90C94"/>
    <w:rsid w:val="00A9118F"/>
    <w:rsid w:val="00A9305A"/>
    <w:rsid w:val="00A938B9"/>
    <w:rsid w:val="00A93B80"/>
    <w:rsid w:val="00A93E33"/>
    <w:rsid w:val="00A9425A"/>
    <w:rsid w:val="00A953C0"/>
    <w:rsid w:val="00A954AA"/>
    <w:rsid w:val="00A95C2F"/>
    <w:rsid w:val="00A960FF"/>
    <w:rsid w:val="00A96FF1"/>
    <w:rsid w:val="00A97029"/>
    <w:rsid w:val="00A97490"/>
    <w:rsid w:val="00AA1BA4"/>
    <w:rsid w:val="00AA268E"/>
    <w:rsid w:val="00AA28A7"/>
    <w:rsid w:val="00AA291F"/>
    <w:rsid w:val="00AA598B"/>
    <w:rsid w:val="00AA63CC"/>
    <w:rsid w:val="00AA670E"/>
    <w:rsid w:val="00AA7F18"/>
    <w:rsid w:val="00AB0CCF"/>
    <w:rsid w:val="00AB0DA9"/>
    <w:rsid w:val="00AB131B"/>
    <w:rsid w:val="00AB39DB"/>
    <w:rsid w:val="00AB6970"/>
    <w:rsid w:val="00AB6B96"/>
    <w:rsid w:val="00AC0626"/>
    <w:rsid w:val="00AC1939"/>
    <w:rsid w:val="00AC198F"/>
    <w:rsid w:val="00AC25B3"/>
    <w:rsid w:val="00AC2E98"/>
    <w:rsid w:val="00AC409D"/>
    <w:rsid w:val="00AC4833"/>
    <w:rsid w:val="00AC5C07"/>
    <w:rsid w:val="00AC7C05"/>
    <w:rsid w:val="00AD0405"/>
    <w:rsid w:val="00AD1617"/>
    <w:rsid w:val="00AD167C"/>
    <w:rsid w:val="00AD17C7"/>
    <w:rsid w:val="00AD1BA2"/>
    <w:rsid w:val="00AD32B4"/>
    <w:rsid w:val="00AD38E2"/>
    <w:rsid w:val="00AD4041"/>
    <w:rsid w:val="00AD5C42"/>
    <w:rsid w:val="00AD7A25"/>
    <w:rsid w:val="00AD7CD0"/>
    <w:rsid w:val="00AD7F25"/>
    <w:rsid w:val="00AE171A"/>
    <w:rsid w:val="00AE1B65"/>
    <w:rsid w:val="00AE1DCB"/>
    <w:rsid w:val="00AE302B"/>
    <w:rsid w:val="00AE45BF"/>
    <w:rsid w:val="00AE4748"/>
    <w:rsid w:val="00AE75C5"/>
    <w:rsid w:val="00AE7696"/>
    <w:rsid w:val="00AF079A"/>
    <w:rsid w:val="00AF2D07"/>
    <w:rsid w:val="00AF3E94"/>
    <w:rsid w:val="00AF432F"/>
    <w:rsid w:val="00AF5CBF"/>
    <w:rsid w:val="00AF7005"/>
    <w:rsid w:val="00B00A0F"/>
    <w:rsid w:val="00B00CC5"/>
    <w:rsid w:val="00B02F96"/>
    <w:rsid w:val="00B03AEF"/>
    <w:rsid w:val="00B03F93"/>
    <w:rsid w:val="00B041E0"/>
    <w:rsid w:val="00B04281"/>
    <w:rsid w:val="00B048F2"/>
    <w:rsid w:val="00B07FC8"/>
    <w:rsid w:val="00B10912"/>
    <w:rsid w:val="00B10A14"/>
    <w:rsid w:val="00B10DBA"/>
    <w:rsid w:val="00B110C1"/>
    <w:rsid w:val="00B12117"/>
    <w:rsid w:val="00B12AC7"/>
    <w:rsid w:val="00B12D65"/>
    <w:rsid w:val="00B137F7"/>
    <w:rsid w:val="00B13B1B"/>
    <w:rsid w:val="00B1674D"/>
    <w:rsid w:val="00B16BE5"/>
    <w:rsid w:val="00B16CF9"/>
    <w:rsid w:val="00B177D0"/>
    <w:rsid w:val="00B2533F"/>
    <w:rsid w:val="00B259DF"/>
    <w:rsid w:val="00B26338"/>
    <w:rsid w:val="00B33E7E"/>
    <w:rsid w:val="00B34676"/>
    <w:rsid w:val="00B34BAC"/>
    <w:rsid w:val="00B358C8"/>
    <w:rsid w:val="00B3621D"/>
    <w:rsid w:val="00B378F4"/>
    <w:rsid w:val="00B37C33"/>
    <w:rsid w:val="00B37CDB"/>
    <w:rsid w:val="00B40C39"/>
    <w:rsid w:val="00B41B6A"/>
    <w:rsid w:val="00B41C69"/>
    <w:rsid w:val="00B421FE"/>
    <w:rsid w:val="00B42807"/>
    <w:rsid w:val="00B42922"/>
    <w:rsid w:val="00B4300C"/>
    <w:rsid w:val="00B433A6"/>
    <w:rsid w:val="00B44B1F"/>
    <w:rsid w:val="00B451E7"/>
    <w:rsid w:val="00B45F07"/>
    <w:rsid w:val="00B46599"/>
    <w:rsid w:val="00B4745E"/>
    <w:rsid w:val="00B50516"/>
    <w:rsid w:val="00B50BED"/>
    <w:rsid w:val="00B518B2"/>
    <w:rsid w:val="00B51F96"/>
    <w:rsid w:val="00B52B19"/>
    <w:rsid w:val="00B52C16"/>
    <w:rsid w:val="00B53317"/>
    <w:rsid w:val="00B53ECB"/>
    <w:rsid w:val="00B57952"/>
    <w:rsid w:val="00B62C8C"/>
    <w:rsid w:val="00B6300F"/>
    <w:rsid w:val="00B64141"/>
    <w:rsid w:val="00B645CA"/>
    <w:rsid w:val="00B64A68"/>
    <w:rsid w:val="00B64E72"/>
    <w:rsid w:val="00B66717"/>
    <w:rsid w:val="00B676B2"/>
    <w:rsid w:val="00B67FF4"/>
    <w:rsid w:val="00B70522"/>
    <w:rsid w:val="00B71C32"/>
    <w:rsid w:val="00B73A39"/>
    <w:rsid w:val="00B749F5"/>
    <w:rsid w:val="00B74C3F"/>
    <w:rsid w:val="00B74F76"/>
    <w:rsid w:val="00B77913"/>
    <w:rsid w:val="00B77DB3"/>
    <w:rsid w:val="00B77E53"/>
    <w:rsid w:val="00B801EF"/>
    <w:rsid w:val="00B80905"/>
    <w:rsid w:val="00B824FB"/>
    <w:rsid w:val="00B82646"/>
    <w:rsid w:val="00B82693"/>
    <w:rsid w:val="00B82C95"/>
    <w:rsid w:val="00B8484F"/>
    <w:rsid w:val="00B84D9E"/>
    <w:rsid w:val="00B84E26"/>
    <w:rsid w:val="00B86EFB"/>
    <w:rsid w:val="00B917AE"/>
    <w:rsid w:val="00B91F7A"/>
    <w:rsid w:val="00B92255"/>
    <w:rsid w:val="00B94C4D"/>
    <w:rsid w:val="00B96A4E"/>
    <w:rsid w:val="00B97359"/>
    <w:rsid w:val="00B97A8F"/>
    <w:rsid w:val="00BA23A6"/>
    <w:rsid w:val="00BA2A5D"/>
    <w:rsid w:val="00BA49B7"/>
    <w:rsid w:val="00BA4E58"/>
    <w:rsid w:val="00BA5CF4"/>
    <w:rsid w:val="00BA69F7"/>
    <w:rsid w:val="00BA6AF3"/>
    <w:rsid w:val="00BA7074"/>
    <w:rsid w:val="00BA7807"/>
    <w:rsid w:val="00BA7868"/>
    <w:rsid w:val="00BB054F"/>
    <w:rsid w:val="00BB16E6"/>
    <w:rsid w:val="00BB234B"/>
    <w:rsid w:val="00BB432D"/>
    <w:rsid w:val="00BB5EBA"/>
    <w:rsid w:val="00BB6632"/>
    <w:rsid w:val="00BB6E6E"/>
    <w:rsid w:val="00BB70F0"/>
    <w:rsid w:val="00BB7829"/>
    <w:rsid w:val="00BC092D"/>
    <w:rsid w:val="00BC26A9"/>
    <w:rsid w:val="00BC307F"/>
    <w:rsid w:val="00BC5FEE"/>
    <w:rsid w:val="00BC6325"/>
    <w:rsid w:val="00BC672C"/>
    <w:rsid w:val="00BC7FE9"/>
    <w:rsid w:val="00BD1457"/>
    <w:rsid w:val="00BD399F"/>
    <w:rsid w:val="00BD77B3"/>
    <w:rsid w:val="00BE049A"/>
    <w:rsid w:val="00BE098C"/>
    <w:rsid w:val="00BE14E3"/>
    <w:rsid w:val="00BE17A8"/>
    <w:rsid w:val="00BE2AD9"/>
    <w:rsid w:val="00BE308A"/>
    <w:rsid w:val="00BE385B"/>
    <w:rsid w:val="00BE3FEF"/>
    <w:rsid w:val="00BE4EC2"/>
    <w:rsid w:val="00BE5ED5"/>
    <w:rsid w:val="00BF02B7"/>
    <w:rsid w:val="00BF1C96"/>
    <w:rsid w:val="00BF27FE"/>
    <w:rsid w:val="00BF32D1"/>
    <w:rsid w:val="00BF3372"/>
    <w:rsid w:val="00BF4806"/>
    <w:rsid w:val="00BF4887"/>
    <w:rsid w:val="00BF5CA4"/>
    <w:rsid w:val="00C01F9D"/>
    <w:rsid w:val="00C0254A"/>
    <w:rsid w:val="00C03BA9"/>
    <w:rsid w:val="00C03BEB"/>
    <w:rsid w:val="00C043B3"/>
    <w:rsid w:val="00C048C3"/>
    <w:rsid w:val="00C0620E"/>
    <w:rsid w:val="00C079AB"/>
    <w:rsid w:val="00C103FB"/>
    <w:rsid w:val="00C10B16"/>
    <w:rsid w:val="00C10E61"/>
    <w:rsid w:val="00C11BC5"/>
    <w:rsid w:val="00C12912"/>
    <w:rsid w:val="00C132AB"/>
    <w:rsid w:val="00C13478"/>
    <w:rsid w:val="00C13793"/>
    <w:rsid w:val="00C14787"/>
    <w:rsid w:val="00C14BEF"/>
    <w:rsid w:val="00C158A5"/>
    <w:rsid w:val="00C1596D"/>
    <w:rsid w:val="00C15B8D"/>
    <w:rsid w:val="00C17010"/>
    <w:rsid w:val="00C2027B"/>
    <w:rsid w:val="00C20562"/>
    <w:rsid w:val="00C205E7"/>
    <w:rsid w:val="00C210D2"/>
    <w:rsid w:val="00C210D6"/>
    <w:rsid w:val="00C210F9"/>
    <w:rsid w:val="00C215C3"/>
    <w:rsid w:val="00C23A96"/>
    <w:rsid w:val="00C249C6"/>
    <w:rsid w:val="00C254F4"/>
    <w:rsid w:val="00C26079"/>
    <w:rsid w:val="00C26ED5"/>
    <w:rsid w:val="00C309E3"/>
    <w:rsid w:val="00C30A33"/>
    <w:rsid w:val="00C31156"/>
    <w:rsid w:val="00C32CC1"/>
    <w:rsid w:val="00C3443C"/>
    <w:rsid w:val="00C34508"/>
    <w:rsid w:val="00C36478"/>
    <w:rsid w:val="00C36690"/>
    <w:rsid w:val="00C369CA"/>
    <w:rsid w:val="00C3739F"/>
    <w:rsid w:val="00C4002C"/>
    <w:rsid w:val="00C40412"/>
    <w:rsid w:val="00C41A9C"/>
    <w:rsid w:val="00C426EC"/>
    <w:rsid w:val="00C42948"/>
    <w:rsid w:val="00C430FA"/>
    <w:rsid w:val="00C44388"/>
    <w:rsid w:val="00C507CA"/>
    <w:rsid w:val="00C52F2F"/>
    <w:rsid w:val="00C532FF"/>
    <w:rsid w:val="00C53572"/>
    <w:rsid w:val="00C5573E"/>
    <w:rsid w:val="00C564AC"/>
    <w:rsid w:val="00C56B8E"/>
    <w:rsid w:val="00C56D0A"/>
    <w:rsid w:val="00C576EC"/>
    <w:rsid w:val="00C606D2"/>
    <w:rsid w:val="00C619DF"/>
    <w:rsid w:val="00C62B63"/>
    <w:rsid w:val="00C6483C"/>
    <w:rsid w:val="00C64AE9"/>
    <w:rsid w:val="00C6547D"/>
    <w:rsid w:val="00C669F5"/>
    <w:rsid w:val="00C67C93"/>
    <w:rsid w:val="00C70615"/>
    <w:rsid w:val="00C70CFF"/>
    <w:rsid w:val="00C7115A"/>
    <w:rsid w:val="00C71558"/>
    <w:rsid w:val="00C718FE"/>
    <w:rsid w:val="00C73FD3"/>
    <w:rsid w:val="00C7435F"/>
    <w:rsid w:val="00C752DF"/>
    <w:rsid w:val="00C76110"/>
    <w:rsid w:val="00C80643"/>
    <w:rsid w:val="00C8098E"/>
    <w:rsid w:val="00C81782"/>
    <w:rsid w:val="00C81CE4"/>
    <w:rsid w:val="00C8205B"/>
    <w:rsid w:val="00C84575"/>
    <w:rsid w:val="00C8485A"/>
    <w:rsid w:val="00C86CEC"/>
    <w:rsid w:val="00C8773D"/>
    <w:rsid w:val="00C8783C"/>
    <w:rsid w:val="00C87ABB"/>
    <w:rsid w:val="00C90062"/>
    <w:rsid w:val="00C917C8"/>
    <w:rsid w:val="00C91831"/>
    <w:rsid w:val="00C93486"/>
    <w:rsid w:val="00C93670"/>
    <w:rsid w:val="00C941CB"/>
    <w:rsid w:val="00C942EB"/>
    <w:rsid w:val="00C953DF"/>
    <w:rsid w:val="00C9657E"/>
    <w:rsid w:val="00C9673A"/>
    <w:rsid w:val="00CA1AB9"/>
    <w:rsid w:val="00CA3D63"/>
    <w:rsid w:val="00CA47E8"/>
    <w:rsid w:val="00CA527B"/>
    <w:rsid w:val="00CA529C"/>
    <w:rsid w:val="00CB05FF"/>
    <w:rsid w:val="00CB3381"/>
    <w:rsid w:val="00CB5F55"/>
    <w:rsid w:val="00CB64D0"/>
    <w:rsid w:val="00CB6D42"/>
    <w:rsid w:val="00CC0769"/>
    <w:rsid w:val="00CC1276"/>
    <w:rsid w:val="00CC32A8"/>
    <w:rsid w:val="00CC351D"/>
    <w:rsid w:val="00CC43AF"/>
    <w:rsid w:val="00CC5ADC"/>
    <w:rsid w:val="00CC76C4"/>
    <w:rsid w:val="00CD022D"/>
    <w:rsid w:val="00CD221D"/>
    <w:rsid w:val="00CD2D85"/>
    <w:rsid w:val="00CD489A"/>
    <w:rsid w:val="00CD49E1"/>
    <w:rsid w:val="00CD5401"/>
    <w:rsid w:val="00CD57FE"/>
    <w:rsid w:val="00CD5C21"/>
    <w:rsid w:val="00CD64C6"/>
    <w:rsid w:val="00CD7718"/>
    <w:rsid w:val="00CE25B6"/>
    <w:rsid w:val="00CE2709"/>
    <w:rsid w:val="00CE2D64"/>
    <w:rsid w:val="00CE3FBC"/>
    <w:rsid w:val="00CE45E8"/>
    <w:rsid w:val="00CE4A99"/>
    <w:rsid w:val="00CE6198"/>
    <w:rsid w:val="00CE61A2"/>
    <w:rsid w:val="00CE64F9"/>
    <w:rsid w:val="00CE7F2D"/>
    <w:rsid w:val="00CF025B"/>
    <w:rsid w:val="00CF095C"/>
    <w:rsid w:val="00CF30DD"/>
    <w:rsid w:val="00CF3919"/>
    <w:rsid w:val="00CF3FCE"/>
    <w:rsid w:val="00CF54A6"/>
    <w:rsid w:val="00CF6230"/>
    <w:rsid w:val="00CF7507"/>
    <w:rsid w:val="00D0168D"/>
    <w:rsid w:val="00D017FC"/>
    <w:rsid w:val="00D01A04"/>
    <w:rsid w:val="00D020E9"/>
    <w:rsid w:val="00D0226A"/>
    <w:rsid w:val="00D027DA"/>
    <w:rsid w:val="00D027F2"/>
    <w:rsid w:val="00D13147"/>
    <w:rsid w:val="00D13D23"/>
    <w:rsid w:val="00D1473A"/>
    <w:rsid w:val="00D16BE8"/>
    <w:rsid w:val="00D17AF9"/>
    <w:rsid w:val="00D22827"/>
    <w:rsid w:val="00D22BEE"/>
    <w:rsid w:val="00D241DE"/>
    <w:rsid w:val="00D242F2"/>
    <w:rsid w:val="00D25542"/>
    <w:rsid w:val="00D25BE6"/>
    <w:rsid w:val="00D26444"/>
    <w:rsid w:val="00D2760A"/>
    <w:rsid w:val="00D27DC0"/>
    <w:rsid w:val="00D3306C"/>
    <w:rsid w:val="00D3498F"/>
    <w:rsid w:val="00D34E90"/>
    <w:rsid w:val="00D34F0E"/>
    <w:rsid w:val="00D43708"/>
    <w:rsid w:val="00D459E0"/>
    <w:rsid w:val="00D463FF"/>
    <w:rsid w:val="00D46BB3"/>
    <w:rsid w:val="00D513E2"/>
    <w:rsid w:val="00D52337"/>
    <w:rsid w:val="00D52351"/>
    <w:rsid w:val="00D5528D"/>
    <w:rsid w:val="00D5554E"/>
    <w:rsid w:val="00D556C8"/>
    <w:rsid w:val="00D5715A"/>
    <w:rsid w:val="00D626D3"/>
    <w:rsid w:val="00D65039"/>
    <w:rsid w:val="00D65B6F"/>
    <w:rsid w:val="00D66547"/>
    <w:rsid w:val="00D67C5E"/>
    <w:rsid w:val="00D70472"/>
    <w:rsid w:val="00D7088E"/>
    <w:rsid w:val="00D71687"/>
    <w:rsid w:val="00D71AE0"/>
    <w:rsid w:val="00D72668"/>
    <w:rsid w:val="00D72CA6"/>
    <w:rsid w:val="00D73428"/>
    <w:rsid w:val="00D74813"/>
    <w:rsid w:val="00D75B12"/>
    <w:rsid w:val="00D75DD0"/>
    <w:rsid w:val="00D75E05"/>
    <w:rsid w:val="00D767B5"/>
    <w:rsid w:val="00D77AD6"/>
    <w:rsid w:val="00D8066B"/>
    <w:rsid w:val="00D823A6"/>
    <w:rsid w:val="00D82A5A"/>
    <w:rsid w:val="00D838D1"/>
    <w:rsid w:val="00D84A7B"/>
    <w:rsid w:val="00D84B2A"/>
    <w:rsid w:val="00D85F8B"/>
    <w:rsid w:val="00D87125"/>
    <w:rsid w:val="00D91251"/>
    <w:rsid w:val="00D91673"/>
    <w:rsid w:val="00D92C55"/>
    <w:rsid w:val="00D934C3"/>
    <w:rsid w:val="00D948D2"/>
    <w:rsid w:val="00D95242"/>
    <w:rsid w:val="00D95344"/>
    <w:rsid w:val="00D95EE4"/>
    <w:rsid w:val="00D96063"/>
    <w:rsid w:val="00D973C6"/>
    <w:rsid w:val="00D97DFC"/>
    <w:rsid w:val="00DA0F47"/>
    <w:rsid w:val="00DA11A7"/>
    <w:rsid w:val="00DA2D32"/>
    <w:rsid w:val="00DA2DB5"/>
    <w:rsid w:val="00DA30BC"/>
    <w:rsid w:val="00DA3114"/>
    <w:rsid w:val="00DA4D9C"/>
    <w:rsid w:val="00DA5BCC"/>
    <w:rsid w:val="00DA6069"/>
    <w:rsid w:val="00DA69C2"/>
    <w:rsid w:val="00DA6D70"/>
    <w:rsid w:val="00DA6EBF"/>
    <w:rsid w:val="00DA7B86"/>
    <w:rsid w:val="00DA7BA9"/>
    <w:rsid w:val="00DB22DA"/>
    <w:rsid w:val="00DB41FF"/>
    <w:rsid w:val="00DB481E"/>
    <w:rsid w:val="00DB4836"/>
    <w:rsid w:val="00DB4A58"/>
    <w:rsid w:val="00DB51E3"/>
    <w:rsid w:val="00DB6050"/>
    <w:rsid w:val="00DB64EA"/>
    <w:rsid w:val="00DB71AD"/>
    <w:rsid w:val="00DB7B56"/>
    <w:rsid w:val="00DC1530"/>
    <w:rsid w:val="00DC1E84"/>
    <w:rsid w:val="00DC1F11"/>
    <w:rsid w:val="00DC25E8"/>
    <w:rsid w:val="00DC2C34"/>
    <w:rsid w:val="00DC5033"/>
    <w:rsid w:val="00DC5410"/>
    <w:rsid w:val="00DC5D6D"/>
    <w:rsid w:val="00DC6293"/>
    <w:rsid w:val="00DC746D"/>
    <w:rsid w:val="00DC7D44"/>
    <w:rsid w:val="00DD05C5"/>
    <w:rsid w:val="00DD0669"/>
    <w:rsid w:val="00DD5795"/>
    <w:rsid w:val="00DD7DDB"/>
    <w:rsid w:val="00DE036D"/>
    <w:rsid w:val="00DE0E37"/>
    <w:rsid w:val="00DE149D"/>
    <w:rsid w:val="00DE2669"/>
    <w:rsid w:val="00DE2C87"/>
    <w:rsid w:val="00DE2F24"/>
    <w:rsid w:val="00DE35B0"/>
    <w:rsid w:val="00DE459A"/>
    <w:rsid w:val="00DE4E93"/>
    <w:rsid w:val="00DE507A"/>
    <w:rsid w:val="00DE6190"/>
    <w:rsid w:val="00DE686B"/>
    <w:rsid w:val="00DE7AE9"/>
    <w:rsid w:val="00DF01D6"/>
    <w:rsid w:val="00DF07B6"/>
    <w:rsid w:val="00DF1293"/>
    <w:rsid w:val="00DF27DA"/>
    <w:rsid w:val="00DF3035"/>
    <w:rsid w:val="00DF4DBE"/>
    <w:rsid w:val="00DF6590"/>
    <w:rsid w:val="00DF65C0"/>
    <w:rsid w:val="00DF7153"/>
    <w:rsid w:val="00DF74BB"/>
    <w:rsid w:val="00E00C73"/>
    <w:rsid w:val="00E00FA9"/>
    <w:rsid w:val="00E033C8"/>
    <w:rsid w:val="00E03F0B"/>
    <w:rsid w:val="00E04054"/>
    <w:rsid w:val="00E040CE"/>
    <w:rsid w:val="00E06D90"/>
    <w:rsid w:val="00E06F62"/>
    <w:rsid w:val="00E07B1F"/>
    <w:rsid w:val="00E11126"/>
    <w:rsid w:val="00E11614"/>
    <w:rsid w:val="00E159A9"/>
    <w:rsid w:val="00E17164"/>
    <w:rsid w:val="00E175ED"/>
    <w:rsid w:val="00E17CA6"/>
    <w:rsid w:val="00E17D38"/>
    <w:rsid w:val="00E21F88"/>
    <w:rsid w:val="00E2243C"/>
    <w:rsid w:val="00E22BEB"/>
    <w:rsid w:val="00E230D4"/>
    <w:rsid w:val="00E230E4"/>
    <w:rsid w:val="00E23DBF"/>
    <w:rsid w:val="00E23E9F"/>
    <w:rsid w:val="00E24D45"/>
    <w:rsid w:val="00E25193"/>
    <w:rsid w:val="00E264C4"/>
    <w:rsid w:val="00E30026"/>
    <w:rsid w:val="00E3092B"/>
    <w:rsid w:val="00E30E04"/>
    <w:rsid w:val="00E32065"/>
    <w:rsid w:val="00E33774"/>
    <w:rsid w:val="00E344C4"/>
    <w:rsid w:val="00E40819"/>
    <w:rsid w:val="00E40820"/>
    <w:rsid w:val="00E40A66"/>
    <w:rsid w:val="00E42108"/>
    <w:rsid w:val="00E43EC5"/>
    <w:rsid w:val="00E44663"/>
    <w:rsid w:val="00E44995"/>
    <w:rsid w:val="00E44EB3"/>
    <w:rsid w:val="00E4500B"/>
    <w:rsid w:val="00E4581B"/>
    <w:rsid w:val="00E4658F"/>
    <w:rsid w:val="00E50A84"/>
    <w:rsid w:val="00E54476"/>
    <w:rsid w:val="00E54A67"/>
    <w:rsid w:val="00E56866"/>
    <w:rsid w:val="00E56C10"/>
    <w:rsid w:val="00E56F80"/>
    <w:rsid w:val="00E57790"/>
    <w:rsid w:val="00E57D3B"/>
    <w:rsid w:val="00E61C0D"/>
    <w:rsid w:val="00E630FF"/>
    <w:rsid w:val="00E6331A"/>
    <w:rsid w:val="00E63EB4"/>
    <w:rsid w:val="00E64FE5"/>
    <w:rsid w:val="00E657B4"/>
    <w:rsid w:val="00E65EA2"/>
    <w:rsid w:val="00E66160"/>
    <w:rsid w:val="00E66DEF"/>
    <w:rsid w:val="00E67EA0"/>
    <w:rsid w:val="00E704E5"/>
    <w:rsid w:val="00E7059D"/>
    <w:rsid w:val="00E708E8"/>
    <w:rsid w:val="00E70C0B"/>
    <w:rsid w:val="00E71329"/>
    <w:rsid w:val="00E71738"/>
    <w:rsid w:val="00E71905"/>
    <w:rsid w:val="00E7223A"/>
    <w:rsid w:val="00E72B17"/>
    <w:rsid w:val="00E72E4A"/>
    <w:rsid w:val="00E731C8"/>
    <w:rsid w:val="00E73B2B"/>
    <w:rsid w:val="00E744E9"/>
    <w:rsid w:val="00E74664"/>
    <w:rsid w:val="00E80197"/>
    <w:rsid w:val="00E80E35"/>
    <w:rsid w:val="00E83076"/>
    <w:rsid w:val="00E8363B"/>
    <w:rsid w:val="00E84440"/>
    <w:rsid w:val="00E84966"/>
    <w:rsid w:val="00E85C69"/>
    <w:rsid w:val="00E874D6"/>
    <w:rsid w:val="00E8775F"/>
    <w:rsid w:val="00E9054F"/>
    <w:rsid w:val="00E9066D"/>
    <w:rsid w:val="00E911FD"/>
    <w:rsid w:val="00E92383"/>
    <w:rsid w:val="00E93193"/>
    <w:rsid w:val="00E934EC"/>
    <w:rsid w:val="00E939C9"/>
    <w:rsid w:val="00E943F7"/>
    <w:rsid w:val="00E947B9"/>
    <w:rsid w:val="00E94EE6"/>
    <w:rsid w:val="00E961D9"/>
    <w:rsid w:val="00EA13CA"/>
    <w:rsid w:val="00EA19AD"/>
    <w:rsid w:val="00EA1B3A"/>
    <w:rsid w:val="00EA1F61"/>
    <w:rsid w:val="00EA2109"/>
    <w:rsid w:val="00EA2455"/>
    <w:rsid w:val="00EA57F4"/>
    <w:rsid w:val="00EA6199"/>
    <w:rsid w:val="00EB05D2"/>
    <w:rsid w:val="00EB19AA"/>
    <w:rsid w:val="00EB3188"/>
    <w:rsid w:val="00EB4FE8"/>
    <w:rsid w:val="00EB54F6"/>
    <w:rsid w:val="00EB5AD5"/>
    <w:rsid w:val="00EB6886"/>
    <w:rsid w:val="00EB7748"/>
    <w:rsid w:val="00EC10D1"/>
    <w:rsid w:val="00EC1DBA"/>
    <w:rsid w:val="00EC254E"/>
    <w:rsid w:val="00EC441C"/>
    <w:rsid w:val="00EC782E"/>
    <w:rsid w:val="00EC7E20"/>
    <w:rsid w:val="00ED19D1"/>
    <w:rsid w:val="00ED3FFC"/>
    <w:rsid w:val="00ED4456"/>
    <w:rsid w:val="00ED45C7"/>
    <w:rsid w:val="00ED4A42"/>
    <w:rsid w:val="00ED4D4E"/>
    <w:rsid w:val="00ED7C40"/>
    <w:rsid w:val="00EE0B01"/>
    <w:rsid w:val="00EE0C77"/>
    <w:rsid w:val="00EE0EE3"/>
    <w:rsid w:val="00EE208B"/>
    <w:rsid w:val="00EE2AB2"/>
    <w:rsid w:val="00EE3BBD"/>
    <w:rsid w:val="00EE4E54"/>
    <w:rsid w:val="00EE710D"/>
    <w:rsid w:val="00EF0016"/>
    <w:rsid w:val="00EF4334"/>
    <w:rsid w:val="00EF4D38"/>
    <w:rsid w:val="00EF5240"/>
    <w:rsid w:val="00EF5D5B"/>
    <w:rsid w:val="00EF63A0"/>
    <w:rsid w:val="00EF6A2F"/>
    <w:rsid w:val="00EF6A91"/>
    <w:rsid w:val="00EF6AAA"/>
    <w:rsid w:val="00EF7898"/>
    <w:rsid w:val="00EF7BC9"/>
    <w:rsid w:val="00F00102"/>
    <w:rsid w:val="00F0243A"/>
    <w:rsid w:val="00F028A3"/>
    <w:rsid w:val="00F029E5"/>
    <w:rsid w:val="00F02AFB"/>
    <w:rsid w:val="00F02C24"/>
    <w:rsid w:val="00F03AA6"/>
    <w:rsid w:val="00F043FB"/>
    <w:rsid w:val="00F04635"/>
    <w:rsid w:val="00F058F3"/>
    <w:rsid w:val="00F068CB"/>
    <w:rsid w:val="00F101B8"/>
    <w:rsid w:val="00F11009"/>
    <w:rsid w:val="00F112CC"/>
    <w:rsid w:val="00F11E69"/>
    <w:rsid w:val="00F12458"/>
    <w:rsid w:val="00F1367B"/>
    <w:rsid w:val="00F13AC3"/>
    <w:rsid w:val="00F13B7A"/>
    <w:rsid w:val="00F13F5D"/>
    <w:rsid w:val="00F14D33"/>
    <w:rsid w:val="00F15409"/>
    <w:rsid w:val="00F15CD9"/>
    <w:rsid w:val="00F1687A"/>
    <w:rsid w:val="00F172DC"/>
    <w:rsid w:val="00F172FD"/>
    <w:rsid w:val="00F22BB8"/>
    <w:rsid w:val="00F23206"/>
    <w:rsid w:val="00F23CCC"/>
    <w:rsid w:val="00F25197"/>
    <w:rsid w:val="00F261FC"/>
    <w:rsid w:val="00F26A33"/>
    <w:rsid w:val="00F26FEE"/>
    <w:rsid w:val="00F30DC3"/>
    <w:rsid w:val="00F30EC4"/>
    <w:rsid w:val="00F3216C"/>
    <w:rsid w:val="00F321BD"/>
    <w:rsid w:val="00F33F08"/>
    <w:rsid w:val="00F35A60"/>
    <w:rsid w:val="00F370B1"/>
    <w:rsid w:val="00F40257"/>
    <w:rsid w:val="00F42C88"/>
    <w:rsid w:val="00F430A1"/>
    <w:rsid w:val="00F436BB"/>
    <w:rsid w:val="00F45C09"/>
    <w:rsid w:val="00F45CA6"/>
    <w:rsid w:val="00F46606"/>
    <w:rsid w:val="00F46FE1"/>
    <w:rsid w:val="00F47145"/>
    <w:rsid w:val="00F47FBB"/>
    <w:rsid w:val="00F500AE"/>
    <w:rsid w:val="00F50761"/>
    <w:rsid w:val="00F537EC"/>
    <w:rsid w:val="00F545BF"/>
    <w:rsid w:val="00F56686"/>
    <w:rsid w:val="00F57B3D"/>
    <w:rsid w:val="00F609E4"/>
    <w:rsid w:val="00F60DCC"/>
    <w:rsid w:val="00F6180D"/>
    <w:rsid w:val="00F62337"/>
    <w:rsid w:val="00F6270D"/>
    <w:rsid w:val="00F63C7F"/>
    <w:rsid w:val="00F67FAD"/>
    <w:rsid w:val="00F71B56"/>
    <w:rsid w:val="00F729E9"/>
    <w:rsid w:val="00F73186"/>
    <w:rsid w:val="00F732F9"/>
    <w:rsid w:val="00F73690"/>
    <w:rsid w:val="00F7412E"/>
    <w:rsid w:val="00F74498"/>
    <w:rsid w:val="00F76207"/>
    <w:rsid w:val="00F76389"/>
    <w:rsid w:val="00F7674B"/>
    <w:rsid w:val="00F770FF"/>
    <w:rsid w:val="00F779E8"/>
    <w:rsid w:val="00F77AFB"/>
    <w:rsid w:val="00F80215"/>
    <w:rsid w:val="00F81D47"/>
    <w:rsid w:val="00F82686"/>
    <w:rsid w:val="00F832C8"/>
    <w:rsid w:val="00F8500A"/>
    <w:rsid w:val="00F86908"/>
    <w:rsid w:val="00F87086"/>
    <w:rsid w:val="00F873B3"/>
    <w:rsid w:val="00F96FFA"/>
    <w:rsid w:val="00F97F2F"/>
    <w:rsid w:val="00FA070C"/>
    <w:rsid w:val="00FA0989"/>
    <w:rsid w:val="00FA3050"/>
    <w:rsid w:val="00FA32A8"/>
    <w:rsid w:val="00FA33FE"/>
    <w:rsid w:val="00FA401F"/>
    <w:rsid w:val="00FA41FE"/>
    <w:rsid w:val="00FA42B9"/>
    <w:rsid w:val="00FA47E4"/>
    <w:rsid w:val="00FA4E8A"/>
    <w:rsid w:val="00FA61EA"/>
    <w:rsid w:val="00FA6468"/>
    <w:rsid w:val="00FA6AFA"/>
    <w:rsid w:val="00FA755A"/>
    <w:rsid w:val="00FB0CE0"/>
    <w:rsid w:val="00FB2182"/>
    <w:rsid w:val="00FB2943"/>
    <w:rsid w:val="00FB2B0F"/>
    <w:rsid w:val="00FB2CF2"/>
    <w:rsid w:val="00FB4F6B"/>
    <w:rsid w:val="00FB5FE1"/>
    <w:rsid w:val="00FB5FF5"/>
    <w:rsid w:val="00FB6D3B"/>
    <w:rsid w:val="00FC0E8D"/>
    <w:rsid w:val="00FC148D"/>
    <w:rsid w:val="00FC46EF"/>
    <w:rsid w:val="00FC4DAB"/>
    <w:rsid w:val="00FC528B"/>
    <w:rsid w:val="00FC68EB"/>
    <w:rsid w:val="00FD2819"/>
    <w:rsid w:val="00FD31B3"/>
    <w:rsid w:val="00FD3A99"/>
    <w:rsid w:val="00FD4204"/>
    <w:rsid w:val="00FD45F0"/>
    <w:rsid w:val="00FD65D6"/>
    <w:rsid w:val="00FD6749"/>
    <w:rsid w:val="00FE1BBF"/>
    <w:rsid w:val="00FE218B"/>
    <w:rsid w:val="00FE287B"/>
    <w:rsid w:val="00FE35BF"/>
    <w:rsid w:val="00FE431C"/>
    <w:rsid w:val="00FE66BE"/>
    <w:rsid w:val="00FE6D20"/>
    <w:rsid w:val="00FE7A91"/>
    <w:rsid w:val="00FF22AE"/>
    <w:rsid w:val="00FF2E55"/>
    <w:rsid w:val="00FF3151"/>
    <w:rsid w:val="00FF3CCB"/>
    <w:rsid w:val="00FF46B0"/>
    <w:rsid w:val="00FF4CF4"/>
    <w:rsid w:val="00FF57B5"/>
    <w:rsid w:val="00FF5D69"/>
    <w:rsid w:val="00FF7B2F"/>
    <w:rsid w:val="025B8001"/>
    <w:rsid w:val="03107E29"/>
    <w:rsid w:val="0377414E"/>
    <w:rsid w:val="0676B082"/>
    <w:rsid w:val="08B73A6B"/>
    <w:rsid w:val="09D845F4"/>
    <w:rsid w:val="0A05B719"/>
    <w:rsid w:val="0B172115"/>
    <w:rsid w:val="0BF0B0DC"/>
    <w:rsid w:val="0CBDC09C"/>
    <w:rsid w:val="0D5208A4"/>
    <w:rsid w:val="1022AD34"/>
    <w:rsid w:val="10F6C18C"/>
    <w:rsid w:val="1273AD3A"/>
    <w:rsid w:val="18692D96"/>
    <w:rsid w:val="1916307C"/>
    <w:rsid w:val="1AB1962D"/>
    <w:rsid w:val="1B0FF328"/>
    <w:rsid w:val="1BFEDB3A"/>
    <w:rsid w:val="1E72EA3E"/>
    <w:rsid w:val="1F27D447"/>
    <w:rsid w:val="20424430"/>
    <w:rsid w:val="209DD0D3"/>
    <w:rsid w:val="216AD1BD"/>
    <w:rsid w:val="2413C469"/>
    <w:rsid w:val="24FE6BFE"/>
    <w:rsid w:val="253D9C17"/>
    <w:rsid w:val="26817D8F"/>
    <w:rsid w:val="26FB7BD1"/>
    <w:rsid w:val="2E0830E4"/>
    <w:rsid w:val="2EAEEC0F"/>
    <w:rsid w:val="31ADB855"/>
    <w:rsid w:val="32A60A40"/>
    <w:rsid w:val="35B86B2C"/>
    <w:rsid w:val="3817BEE5"/>
    <w:rsid w:val="383ED2BE"/>
    <w:rsid w:val="3894C0E8"/>
    <w:rsid w:val="38BFEE2F"/>
    <w:rsid w:val="3BC8B576"/>
    <w:rsid w:val="3DF59858"/>
    <w:rsid w:val="3E6A696B"/>
    <w:rsid w:val="3EE92F18"/>
    <w:rsid w:val="41FD949F"/>
    <w:rsid w:val="44218F10"/>
    <w:rsid w:val="4847ABB0"/>
    <w:rsid w:val="4995521A"/>
    <w:rsid w:val="4AAC38A9"/>
    <w:rsid w:val="4D1D1AD0"/>
    <w:rsid w:val="5003D111"/>
    <w:rsid w:val="539DAC7B"/>
    <w:rsid w:val="594D115B"/>
    <w:rsid w:val="5BB5683B"/>
    <w:rsid w:val="5D7A6284"/>
    <w:rsid w:val="604D8AA8"/>
    <w:rsid w:val="648DAEC2"/>
    <w:rsid w:val="64D8915C"/>
    <w:rsid w:val="65DA9C3A"/>
    <w:rsid w:val="6A1FAE2E"/>
    <w:rsid w:val="6BE0DBF7"/>
    <w:rsid w:val="72054767"/>
    <w:rsid w:val="7267FDAF"/>
    <w:rsid w:val="7F6A94ED"/>
    <w:rsid w:val="7F91FEC0"/>
    <w:rsid w:val="7FFD875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C047B5FE-DEDB-4EC4-BE65-07F6E609F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410423"/>
    <w:pPr>
      <w:keepNext/>
      <w:numPr>
        <w:numId w:val="3"/>
      </w:numPr>
      <w:spacing w:before="240"/>
      <w:ind w:left="851" w:hanging="851"/>
      <w:outlineLvl w:val="0"/>
    </w:pPr>
    <w:rPr>
      <w:sz w:val="48"/>
    </w:rPr>
  </w:style>
  <w:style w:type="paragraph" w:styleId="Heading2">
    <w:name w:val="heading 2"/>
    <w:basedOn w:val="Normal"/>
    <w:next w:val="Normal"/>
    <w:link w:val="Heading2Char"/>
    <w:qFormat/>
    <w:rsid w:val="00FA33FE"/>
    <w:pPr>
      <w:keepNext/>
      <w:numPr>
        <w:ilvl w:val="1"/>
        <w:numId w:val="3"/>
      </w:numPr>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FA33FE"/>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410423"/>
    <w:rPr>
      <w:rFonts w:ascii="Arial" w:hAnsi="Arial"/>
      <w:sz w:val="48"/>
      <w:szCs w:val="22"/>
      <w:lang w:eastAsia="en-US" w:bidi="he-IL"/>
    </w:rPr>
  </w:style>
  <w:style w:type="table" w:styleId="TableGrid">
    <w:name w:val="Table Grid"/>
    <w:basedOn w:val="TableNormal"/>
    <w:uiPriority w:val="39"/>
    <w:rsid w:val="00BB7829"/>
    <w:tblPr/>
  </w:style>
  <w:style w:type="paragraph" w:customStyle="1" w:styleId="Bulletlist1">
    <w:name w:val="Bullet list 1"/>
    <w:basedOn w:val="Normal"/>
    <w:uiPriority w:val="1"/>
    <w:qFormat/>
    <w:rsid w:val="00332B95"/>
    <w:pPr>
      <w:numPr>
        <w:numId w:val="1"/>
      </w:numPr>
    </w:pPr>
  </w:style>
  <w:style w:type="paragraph" w:customStyle="1" w:styleId="Bulletlist2">
    <w:name w:val="Bullet list 2"/>
    <w:basedOn w:val="Bulletlist1"/>
    <w:uiPriority w:val="1"/>
    <w:qFormat/>
    <w:rsid w:val="00777BCE"/>
    <w:pPr>
      <w:numPr>
        <w:ilvl w:val="1"/>
      </w:numPr>
      <w:ind w:left="1843"/>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semiHidden/>
    <w:rsid w:val="00C32CC1"/>
    <w:rPr>
      <w:lang w:eastAsia="en-US" w:bidi="he-IL"/>
    </w:rPr>
  </w:style>
  <w:style w:type="character" w:styleId="FootnoteReference">
    <w:name w:val="footnote reference"/>
    <w:basedOn w:val="DefaultParagraphFont"/>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type="firstRow">
      <w:rPr>
        <w:b/>
        <w:color w:val="auto"/>
      </w:r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332B95"/>
    <w:pPr>
      <w:numPr>
        <w:numId w:val="5"/>
      </w:numPr>
    </w:pPr>
    <w:rPr>
      <w:rFonts w:asciiTheme="minorHAnsi" w:eastAsiaTheme="minorHAnsi" w:hAnsiTheme="minorHAnsi" w:cstheme="minorBidi"/>
      <w:lang w:bidi="ar-SA"/>
    </w:rPr>
  </w:style>
  <w:style w:type="paragraph" w:customStyle="1" w:styleId="NumList2">
    <w:name w:val="Num List 2"/>
    <w:basedOn w:val="Normal"/>
    <w:uiPriority w:val="1"/>
    <w:qFormat/>
    <w:rsid w:val="00FD31B3"/>
    <w:pPr>
      <w:numPr>
        <w:ilvl w:val="1"/>
        <w:numId w:val="5"/>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777BCE"/>
    <w:pPr>
      <w:numPr>
        <w:ilvl w:val="2"/>
      </w:numPr>
      <w:ind w:left="2410"/>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semiHidden/>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styleId="TOCHeading">
    <w:name w:val="TOC Heading"/>
    <w:basedOn w:val="Heading1"/>
    <w:next w:val="Normal"/>
    <w:uiPriority w:val="39"/>
    <w:unhideWhenUsed/>
    <w:qFormat/>
    <w:rsid w:val="00F8500A"/>
    <w:pPr>
      <w:keepLines/>
      <w:numPr>
        <w:numId w:val="0"/>
      </w:numPr>
      <w:spacing w:after="0" w:line="259" w:lineRule="auto"/>
      <w:outlineLvl w:val="9"/>
    </w:pPr>
    <w:rPr>
      <w:rFonts w:asciiTheme="majorHAnsi" w:eastAsiaTheme="majorEastAsia" w:hAnsiTheme="majorHAnsi" w:cstheme="majorBidi"/>
      <w:color w:val="055450" w:themeColor="accent1" w:themeShade="BF"/>
      <w:sz w:val="32"/>
      <w:szCs w:val="32"/>
      <w:lang w:val="en-US" w:bidi="ar-SA"/>
    </w:rPr>
  </w:style>
  <w:style w:type="paragraph" w:styleId="Revision">
    <w:name w:val="Revision"/>
    <w:hidden/>
    <w:uiPriority w:val="99"/>
    <w:semiHidden/>
    <w:rsid w:val="00DE35B0"/>
    <w:rPr>
      <w:rFonts w:ascii="Arial" w:hAnsi="Arial"/>
      <w:sz w:val="24"/>
      <w:szCs w:val="22"/>
      <w:lang w:eastAsia="en-US" w:bidi="he-IL"/>
    </w:rPr>
  </w:style>
  <w:style w:type="character" w:styleId="FollowedHyperlink">
    <w:name w:val="FollowedHyperlink"/>
    <w:basedOn w:val="DefaultParagraphFont"/>
    <w:uiPriority w:val="99"/>
    <w:semiHidden/>
    <w:unhideWhenUsed/>
    <w:rsid w:val="009C5A1D"/>
    <w:rPr>
      <w:color w:val="AA1C76" w:themeColor="followedHyperlink"/>
      <w:u w:val="single"/>
    </w:rPr>
  </w:style>
  <w:style w:type="paragraph" w:styleId="CommentSubject">
    <w:name w:val="annotation subject"/>
    <w:basedOn w:val="CommentText"/>
    <w:next w:val="CommentText"/>
    <w:link w:val="CommentSubjectChar"/>
    <w:uiPriority w:val="99"/>
    <w:semiHidden/>
    <w:unhideWhenUsed/>
    <w:rsid w:val="009C5A1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9C5A1D"/>
    <w:rPr>
      <w:rFonts w:ascii="Arial" w:eastAsiaTheme="minorHAnsi" w:hAnsi="Arial" w:cstheme="minorBidi"/>
      <w:b/>
      <w:bCs/>
      <w:lang w:eastAsia="en-US" w:bidi="he-IL"/>
    </w:rPr>
  </w:style>
  <w:style w:type="paragraph" w:styleId="NormalWeb">
    <w:name w:val="Normal (Web)"/>
    <w:basedOn w:val="Normal"/>
    <w:uiPriority w:val="99"/>
    <w:semiHidden/>
    <w:unhideWhenUsed/>
    <w:rsid w:val="007427D9"/>
    <w:rPr>
      <w:rFonts w:ascii="Times New Roman" w:hAnsi="Times New Roman" w:cs="Times New Roman"/>
      <w:szCs w:val="24"/>
    </w:rPr>
  </w:style>
  <w:style w:type="paragraph" w:customStyle="1" w:styleId="Default">
    <w:name w:val="Default"/>
    <w:rsid w:val="00F11009"/>
    <w:pPr>
      <w:autoSpaceDE w:val="0"/>
      <w:autoSpaceDN w:val="0"/>
      <w:adjustRightInd w:val="0"/>
    </w:pPr>
    <w:rPr>
      <w:rFonts w:ascii="Times New Roman" w:eastAsia="Times New Roman" w:hAnsi="Times New Roman" w:cs="Times New Roman"/>
      <w:color w:val="000000"/>
      <w:sz w:val="24"/>
      <w:szCs w:val="24"/>
    </w:rPr>
  </w:style>
  <w:style w:type="character" w:customStyle="1" w:styleId="ListParagraphChar">
    <w:name w:val="List Paragraph Char"/>
    <w:basedOn w:val="DefaultParagraphFont"/>
    <w:link w:val="ListParagraph"/>
    <w:uiPriority w:val="34"/>
    <w:semiHidden/>
    <w:rsid w:val="00DC25E8"/>
    <w:rPr>
      <w:rFonts w:ascii="Arial" w:hAnsi="Arial"/>
      <w:sz w:val="24"/>
      <w:szCs w:val="22"/>
      <w:lang w:eastAsia="en-US" w:bidi="he-IL"/>
    </w:rPr>
  </w:style>
  <w:style w:type="paragraph" w:customStyle="1" w:styleId="Numberedparagraph">
    <w:name w:val="Numbered paragraph"/>
    <w:basedOn w:val="ListParagraph"/>
    <w:link w:val="NumberedparagraphChar"/>
    <w:qFormat/>
    <w:rsid w:val="006123AA"/>
    <w:pPr>
      <w:numPr>
        <w:numId w:val="4"/>
      </w:numPr>
      <w:ind w:left="851" w:hanging="851"/>
      <w:contextualSpacing w:val="0"/>
    </w:pPr>
  </w:style>
  <w:style w:type="character" w:customStyle="1" w:styleId="NumberedparagraphChar">
    <w:name w:val="Numbered paragraph Char"/>
    <w:basedOn w:val="ListParagraphChar"/>
    <w:link w:val="Numberedparagraph"/>
    <w:rsid w:val="006123AA"/>
    <w:rPr>
      <w:rFonts w:ascii="Arial" w:hAnsi="Arial"/>
      <w:sz w:val="24"/>
      <w:szCs w:val="22"/>
      <w:lang w:eastAsia="en-US" w:bidi="he-IL"/>
    </w:rPr>
  </w:style>
  <w:style w:type="character" w:styleId="Strong">
    <w:name w:val="Strong"/>
    <w:basedOn w:val="DefaultParagraphFont"/>
    <w:uiPriority w:val="22"/>
    <w:qFormat/>
    <w:rsid w:val="00CD5C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4470">
      <w:bodyDiv w:val="1"/>
      <w:marLeft w:val="0"/>
      <w:marRight w:val="0"/>
      <w:marTop w:val="0"/>
      <w:marBottom w:val="0"/>
      <w:divBdr>
        <w:top w:val="none" w:sz="0" w:space="0" w:color="auto"/>
        <w:left w:val="none" w:sz="0" w:space="0" w:color="auto"/>
        <w:bottom w:val="none" w:sz="0" w:space="0" w:color="auto"/>
        <w:right w:val="none" w:sz="0" w:space="0" w:color="auto"/>
      </w:divBdr>
    </w:div>
    <w:div w:id="11957972">
      <w:bodyDiv w:val="1"/>
      <w:marLeft w:val="0"/>
      <w:marRight w:val="0"/>
      <w:marTop w:val="0"/>
      <w:marBottom w:val="0"/>
      <w:divBdr>
        <w:top w:val="none" w:sz="0" w:space="0" w:color="auto"/>
        <w:left w:val="none" w:sz="0" w:space="0" w:color="auto"/>
        <w:bottom w:val="none" w:sz="0" w:space="0" w:color="auto"/>
        <w:right w:val="none" w:sz="0" w:space="0" w:color="auto"/>
      </w:divBdr>
    </w:div>
    <w:div w:id="35204375">
      <w:bodyDiv w:val="1"/>
      <w:marLeft w:val="0"/>
      <w:marRight w:val="0"/>
      <w:marTop w:val="0"/>
      <w:marBottom w:val="0"/>
      <w:divBdr>
        <w:top w:val="none" w:sz="0" w:space="0" w:color="auto"/>
        <w:left w:val="none" w:sz="0" w:space="0" w:color="auto"/>
        <w:bottom w:val="none" w:sz="0" w:space="0" w:color="auto"/>
        <w:right w:val="none" w:sz="0" w:space="0" w:color="auto"/>
      </w:divBdr>
    </w:div>
    <w:div w:id="48041009">
      <w:bodyDiv w:val="1"/>
      <w:marLeft w:val="0"/>
      <w:marRight w:val="0"/>
      <w:marTop w:val="0"/>
      <w:marBottom w:val="0"/>
      <w:divBdr>
        <w:top w:val="none" w:sz="0" w:space="0" w:color="auto"/>
        <w:left w:val="none" w:sz="0" w:space="0" w:color="auto"/>
        <w:bottom w:val="none" w:sz="0" w:space="0" w:color="auto"/>
        <w:right w:val="none" w:sz="0" w:space="0" w:color="auto"/>
      </w:divBdr>
    </w:div>
    <w:div w:id="55205482">
      <w:bodyDiv w:val="1"/>
      <w:marLeft w:val="0"/>
      <w:marRight w:val="0"/>
      <w:marTop w:val="0"/>
      <w:marBottom w:val="0"/>
      <w:divBdr>
        <w:top w:val="none" w:sz="0" w:space="0" w:color="auto"/>
        <w:left w:val="none" w:sz="0" w:space="0" w:color="auto"/>
        <w:bottom w:val="none" w:sz="0" w:space="0" w:color="auto"/>
        <w:right w:val="none" w:sz="0" w:space="0" w:color="auto"/>
      </w:divBdr>
    </w:div>
    <w:div w:id="61105140">
      <w:bodyDiv w:val="1"/>
      <w:marLeft w:val="0"/>
      <w:marRight w:val="0"/>
      <w:marTop w:val="0"/>
      <w:marBottom w:val="0"/>
      <w:divBdr>
        <w:top w:val="none" w:sz="0" w:space="0" w:color="auto"/>
        <w:left w:val="none" w:sz="0" w:space="0" w:color="auto"/>
        <w:bottom w:val="none" w:sz="0" w:space="0" w:color="auto"/>
        <w:right w:val="none" w:sz="0" w:space="0" w:color="auto"/>
      </w:divBdr>
    </w:div>
    <w:div w:id="63988484">
      <w:bodyDiv w:val="1"/>
      <w:marLeft w:val="0"/>
      <w:marRight w:val="0"/>
      <w:marTop w:val="0"/>
      <w:marBottom w:val="0"/>
      <w:divBdr>
        <w:top w:val="none" w:sz="0" w:space="0" w:color="auto"/>
        <w:left w:val="none" w:sz="0" w:space="0" w:color="auto"/>
        <w:bottom w:val="none" w:sz="0" w:space="0" w:color="auto"/>
        <w:right w:val="none" w:sz="0" w:space="0" w:color="auto"/>
      </w:divBdr>
    </w:div>
    <w:div w:id="71974631">
      <w:bodyDiv w:val="1"/>
      <w:marLeft w:val="0"/>
      <w:marRight w:val="0"/>
      <w:marTop w:val="0"/>
      <w:marBottom w:val="0"/>
      <w:divBdr>
        <w:top w:val="none" w:sz="0" w:space="0" w:color="auto"/>
        <w:left w:val="none" w:sz="0" w:space="0" w:color="auto"/>
        <w:bottom w:val="none" w:sz="0" w:space="0" w:color="auto"/>
        <w:right w:val="none" w:sz="0" w:space="0" w:color="auto"/>
      </w:divBdr>
    </w:div>
    <w:div w:id="85732484">
      <w:bodyDiv w:val="1"/>
      <w:marLeft w:val="0"/>
      <w:marRight w:val="0"/>
      <w:marTop w:val="0"/>
      <w:marBottom w:val="0"/>
      <w:divBdr>
        <w:top w:val="none" w:sz="0" w:space="0" w:color="auto"/>
        <w:left w:val="none" w:sz="0" w:space="0" w:color="auto"/>
        <w:bottom w:val="none" w:sz="0" w:space="0" w:color="auto"/>
        <w:right w:val="none" w:sz="0" w:space="0" w:color="auto"/>
      </w:divBdr>
    </w:div>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96681588">
      <w:bodyDiv w:val="1"/>
      <w:marLeft w:val="0"/>
      <w:marRight w:val="0"/>
      <w:marTop w:val="0"/>
      <w:marBottom w:val="0"/>
      <w:divBdr>
        <w:top w:val="none" w:sz="0" w:space="0" w:color="auto"/>
        <w:left w:val="none" w:sz="0" w:space="0" w:color="auto"/>
        <w:bottom w:val="none" w:sz="0" w:space="0" w:color="auto"/>
        <w:right w:val="none" w:sz="0" w:space="0" w:color="auto"/>
      </w:divBdr>
    </w:div>
    <w:div w:id="108940595">
      <w:bodyDiv w:val="1"/>
      <w:marLeft w:val="0"/>
      <w:marRight w:val="0"/>
      <w:marTop w:val="0"/>
      <w:marBottom w:val="0"/>
      <w:divBdr>
        <w:top w:val="none" w:sz="0" w:space="0" w:color="auto"/>
        <w:left w:val="none" w:sz="0" w:space="0" w:color="auto"/>
        <w:bottom w:val="none" w:sz="0" w:space="0" w:color="auto"/>
        <w:right w:val="none" w:sz="0" w:space="0" w:color="auto"/>
      </w:divBdr>
    </w:div>
    <w:div w:id="127666784">
      <w:bodyDiv w:val="1"/>
      <w:marLeft w:val="0"/>
      <w:marRight w:val="0"/>
      <w:marTop w:val="0"/>
      <w:marBottom w:val="0"/>
      <w:divBdr>
        <w:top w:val="none" w:sz="0" w:space="0" w:color="auto"/>
        <w:left w:val="none" w:sz="0" w:space="0" w:color="auto"/>
        <w:bottom w:val="none" w:sz="0" w:space="0" w:color="auto"/>
        <w:right w:val="none" w:sz="0" w:space="0" w:color="auto"/>
      </w:divBdr>
    </w:div>
    <w:div w:id="142475822">
      <w:bodyDiv w:val="1"/>
      <w:marLeft w:val="0"/>
      <w:marRight w:val="0"/>
      <w:marTop w:val="0"/>
      <w:marBottom w:val="0"/>
      <w:divBdr>
        <w:top w:val="none" w:sz="0" w:space="0" w:color="auto"/>
        <w:left w:val="none" w:sz="0" w:space="0" w:color="auto"/>
        <w:bottom w:val="none" w:sz="0" w:space="0" w:color="auto"/>
        <w:right w:val="none" w:sz="0" w:space="0" w:color="auto"/>
      </w:divBdr>
    </w:div>
    <w:div w:id="157309995">
      <w:bodyDiv w:val="1"/>
      <w:marLeft w:val="0"/>
      <w:marRight w:val="0"/>
      <w:marTop w:val="0"/>
      <w:marBottom w:val="0"/>
      <w:divBdr>
        <w:top w:val="none" w:sz="0" w:space="0" w:color="auto"/>
        <w:left w:val="none" w:sz="0" w:space="0" w:color="auto"/>
        <w:bottom w:val="none" w:sz="0" w:space="0" w:color="auto"/>
        <w:right w:val="none" w:sz="0" w:space="0" w:color="auto"/>
      </w:divBdr>
    </w:div>
    <w:div w:id="176502030">
      <w:bodyDiv w:val="1"/>
      <w:marLeft w:val="0"/>
      <w:marRight w:val="0"/>
      <w:marTop w:val="0"/>
      <w:marBottom w:val="0"/>
      <w:divBdr>
        <w:top w:val="none" w:sz="0" w:space="0" w:color="auto"/>
        <w:left w:val="none" w:sz="0" w:space="0" w:color="auto"/>
        <w:bottom w:val="none" w:sz="0" w:space="0" w:color="auto"/>
        <w:right w:val="none" w:sz="0" w:space="0" w:color="auto"/>
      </w:divBdr>
    </w:div>
    <w:div w:id="182137076">
      <w:bodyDiv w:val="1"/>
      <w:marLeft w:val="0"/>
      <w:marRight w:val="0"/>
      <w:marTop w:val="0"/>
      <w:marBottom w:val="0"/>
      <w:divBdr>
        <w:top w:val="none" w:sz="0" w:space="0" w:color="auto"/>
        <w:left w:val="none" w:sz="0" w:space="0" w:color="auto"/>
        <w:bottom w:val="none" w:sz="0" w:space="0" w:color="auto"/>
        <w:right w:val="none" w:sz="0" w:space="0" w:color="auto"/>
      </w:divBdr>
    </w:div>
    <w:div w:id="193275593">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06071915">
      <w:bodyDiv w:val="1"/>
      <w:marLeft w:val="0"/>
      <w:marRight w:val="0"/>
      <w:marTop w:val="0"/>
      <w:marBottom w:val="0"/>
      <w:divBdr>
        <w:top w:val="none" w:sz="0" w:space="0" w:color="auto"/>
        <w:left w:val="none" w:sz="0" w:space="0" w:color="auto"/>
        <w:bottom w:val="none" w:sz="0" w:space="0" w:color="auto"/>
        <w:right w:val="none" w:sz="0" w:space="0" w:color="auto"/>
      </w:divBdr>
    </w:div>
    <w:div w:id="221910001">
      <w:bodyDiv w:val="1"/>
      <w:marLeft w:val="0"/>
      <w:marRight w:val="0"/>
      <w:marTop w:val="0"/>
      <w:marBottom w:val="0"/>
      <w:divBdr>
        <w:top w:val="none" w:sz="0" w:space="0" w:color="auto"/>
        <w:left w:val="none" w:sz="0" w:space="0" w:color="auto"/>
        <w:bottom w:val="none" w:sz="0" w:space="0" w:color="auto"/>
        <w:right w:val="none" w:sz="0" w:space="0" w:color="auto"/>
      </w:divBdr>
    </w:div>
    <w:div w:id="223493712">
      <w:bodyDiv w:val="1"/>
      <w:marLeft w:val="0"/>
      <w:marRight w:val="0"/>
      <w:marTop w:val="0"/>
      <w:marBottom w:val="0"/>
      <w:divBdr>
        <w:top w:val="none" w:sz="0" w:space="0" w:color="auto"/>
        <w:left w:val="none" w:sz="0" w:space="0" w:color="auto"/>
        <w:bottom w:val="none" w:sz="0" w:space="0" w:color="auto"/>
        <w:right w:val="none" w:sz="0" w:space="0" w:color="auto"/>
      </w:divBdr>
    </w:div>
    <w:div w:id="241567138">
      <w:bodyDiv w:val="1"/>
      <w:marLeft w:val="0"/>
      <w:marRight w:val="0"/>
      <w:marTop w:val="0"/>
      <w:marBottom w:val="0"/>
      <w:divBdr>
        <w:top w:val="none" w:sz="0" w:space="0" w:color="auto"/>
        <w:left w:val="none" w:sz="0" w:space="0" w:color="auto"/>
        <w:bottom w:val="none" w:sz="0" w:space="0" w:color="auto"/>
        <w:right w:val="none" w:sz="0" w:space="0" w:color="auto"/>
      </w:divBdr>
    </w:div>
    <w:div w:id="242683029">
      <w:bodyDiv w:val="1"/>
      <w:marLeft w:val="0"/>
      <w:marRight w:val="0"/>
      <w:marTop w:val="0"/>
      <w:marBottom w:val="0"/>
      <w:divBdr>
        <w:top w:val="none" w:sz="0" w:space="0" w:color="auto"/>
        <w:left w:val="none" w:sz="0" w:space="0" w:color="auto"/>
        <w:bottom w:val="none" w:sz="0" w:space="0" w:color="auto"/>
        <w:right w:val="none" w:sz="0" w:space="0" w:color="auto"/>
      </w:divBdr>
    </w:div>
    <w:div w:id="248083546">
      <w:bodyDiv w:val="1"/>
      <w:marLeft w:val="0"/>
      <w:marRight w:val="0"/>
      <w:marTop w:val="0"/>
      <w:marBottom w:val="0"/>
      <w:divBdr>
        <w:top w:val="none" w:sz="0" w:space="0" w:color="auto"/>
        <w:left w:val="none" w:sz="0" w:space="0" w:color="auto"/>
        <w:bottom w:val="none" w:sz="0" w:space="0" w:color="auto"/>
        <w:right w:val="none" w:sz="0" w:space="0" w:color="auto"/>
      </w:divBdr>
    </w:div>
    <w:div w:id="274219421">
      <w:bodyDiv w:val="1"/>
      <w:marLeft w:val="0"/>
      <w:marRight w:val="0"/>
      <w:marTop w:val="0"/>
      <w:marBottom w:val="0"/>
      <w:divBdr>
        <w:top w:val="none" w:sz="0" w:space="0" w:color="auto"/>
        <w:left w:val="none" w:sz="0" w:space="0" w:color="auto"/>
        <w:bottom w:val="none" w:sz="0" w:space="0" w:color="auto"/>
        <w:right w:val="none" w:sz="0" w:space="0" w:color="auto"/>
      </w:divBdr>
    </w:div>
    <w:div w:id="275524486">
      <w:bodyDiv w:val="1"/>
      <w:marLeft w:val="0"/>
      <w:marRight w:val="0"/>
      <w:marTop w:val="0"/>
      <w:marBottom w:val="0"/>
      <w:divBdr>
        <w:top w:val="none" w:sz="0" w:space="0" w:color="auto"/>
        <w:left w:val="none" w:sz="0" w:space="0" w:color="auto"/>
        <w:bottom w:val="none" w:sz="0" w:space="0" w:color="auto"/>
        <w:right w:val="none" w:sz="0" w:space="0" w:color="auto"/>
      </w:divBdr>
    </w:div>
    <w:div w:id="29946024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34919810">
      <w:bodyDiv w:val="1"/>
      <w:marLeft w:val="0"/>
      <w:marRight w:val="0"/>
      <w:marTop w:val="0"/>
      <w:marBottom w:val="0"/>
      <w:divBdr>
        <w:top w:val="none" w:sz="0" w:space="0" w:color="auto"/>
        <w:left w:val="none" w:sz="0" w:space="0" w:color="auto"/>
        <w:bottom w:val="none" w:sz="0" w:space="0" w:color="auto"/>
        <w:right w:val="none" w:sz="0" w:space="0" w:color="auto"/>
      </w:divBdr>
    </w:div>
    <w:div w:id="338193320">
      <w:bodyDiv w:val="1"/>
      <w:marLeft w:val="0"/>
      <w:marRight w:val="0"/>
      <w:marTop w:val="0"/>
      <w:marBottom w:val="0"/>
      <w:divBdr>
        <w:top w:val="none" w:sz="0" w:space="0" w:color="auto"/>
        <w:left w:val="none" w:sz="0" w:space="0" w:color="auto"/>
        <w:bottom w:val="none" w:sz="0" w:space="0" w:color="auto"/>
        <w:right w:val="none" w:sz="0" w:space="0" w:color="auto"/>
      </w:divBdr>
    </w:div>
    <w:div w:id="343439232">
      <w:bodyDiv w:val="1"/>
      <w:marLeft w:val="0"/>
      <w:marRight w:val="0"/>
      <w:marTop w:val="0"/>
      <w:marBottom w:val="0"/>
      <w:divBdr>
        <w:top w:val="none" w:sz="0" w:space="0" w:color="auto"/>
        <w:left w:val="none" w:sz="0" w:space="0" w:color="auto"/>
        <w:bottom w:val="none" w:sz="0" w:space="0" w:color="auto"/>
        <w:right w:val="none" w:sz="0" w:space="0" w:color="auto"/>
      </w:divBdr>
    </w:div>
    <w:div w:id="346640646">
      <w:bodyDiv w:val="1"/>
      <w:marLeft w:val="0"/>
      <w:marRight w:val="0"/>
      <w:marTop w:val="0"/>
      <w:marBottom w:val="0"/>
      <w:divBdr>
        <w:top w:val="none" w:sz="0" w:space="0" w:color="auto"/>
        <w:left w:val="none" w:sz="0" w:space="0" w:color="auto"/>
        <w:bottom w:val="none" w:sz="0" w:space="0" w:color="auto"/>
        <w:right w:val="none" w:sz="0" w:space="0" w:color="auto"/>
      </w:divBdr>
    </w:div>
    <w:div w:id="357197935">
      <w:bodyDiv w:val="1"/>
      <w:marLeft w:val="0"/>
      <w:marRight w:val="0"/>
      <w:marTop w:val="0"/>
      <w:marBottom w:val="0"/>
      <w:divBdr>
        <w:top w:val="none" w:sz="0" w:space="0" w:color="auto"/>
        <w:left w:val="none" w:sz="0" w:space="0" w:color="auto"/>
        <w:bottom w:val="none" w:sz="0" w:space="0" w:color="auto"/>
        <w:right w:val="none" w:sz="0" w:space="0" w:color="auto"/>
      </w:divBdr>
    </w:div>
    <w:div w:id="376323380">
      <w:bodyDiv w:val="1"/>
      <w:marLeft w:val="0"/>
      <w:marRight w:val="0"/>
      <w:marTop w:val="0"/>
      <w:marBottom w:val="0"/>
      <w:divBdr>
        <w:top w:val="none" w:sz="0" w:space="0" w:color="auto"/>
        <w:left w:val="none" w:sz="0" w:space="0" w:color="auto"/>
        <w:bottom w:val="none" w:sz="0" w:space="0" w:color="auto"/>
        <w:right w:val="none" w:sz="0" w:space="0" w:color="auto"/>
      </w:divBdr>
    </w:div>
    <w:div w:id="391537557">
      <w:bodyDiv w:val="1"/>
      <w:marLeft w:val="0"/>
      <w:marRight w:val="0"/>
      <w:marTop w:val="0"/>
      <w:marBottom w:val="0"/>
      <w:divBdr>
        <w:top w:val="none" w:sz="0" w:space="0" w:color="auto"/>
        <w:left w:val="none" w:sz="0" w:space="0" w:color="auto"/>
        <w:bottom w:val="none" w:sz="0" w:space="0" w:color="auto"/>
        <w:right w:val="none" w:sz="0" w:space="0" w:color="auto"/>
      </w:divBdr>
    </w:div>
    <w:div w:id="396365808">
      <w:bodyDiv w:val="1"/>
      <w:marLeft w:val="0"/>
      <w:marRight w:val="0"/>
      <w:marTop w:val="0"/>
      <w:marBottom w:val="0"/>
      <w:divBdr>
        <w:top w:val="none" w:sz="0" w:space="0" w:color="auto"/>
        <w:left w:val="none" w:sz="0" w:space="0" w:color="auto"/>
        <w:bottom w:val="none" w:sz="0" w:space="0" w:color="auto"/>
        <w:right w:val="none" w:sz="0" w:space="0" w:color="auto"/>
      </w:divBdr>
    </w:div>
    <w:div w:id="399333837">
      <w:bodyDiv w:val="1"/>
      <w:marLeft w:val="0"/>
      <w:marRight w:val="0"/>
      <w:marTop w:val="0"/>
      <w:marBottom w:val="0"/>
      <w:divBdr>
        <w:top w:val="none" w:sz="0" w:space="0" w:color="auto"/>
        <w:left w:val="none" w:sz="0" w:space="0" w:color="auto"/>
        <w:bottom w:val="none" w:sz="0" w:space="0" w:color="auto"/>
        <w:right w:val="none" w:sz="0" w:space="0" w:color="auto"/>
      </w:divBdr>
    </w:div>
    <w:div w:id="404955986">
      <w:bodyDiv w:val="1"/>
      <w:marLeft w:val="0"/>
      <w:marRight w:val="0"/>
      <w:marTop w:val="0"/>
      <w:marBottom w:val="0"/>
      <w:divBdr>
        <w:top w:val="none" w:sz="0" w:space="0" w:color="auto"/>
        <w:left w:val="none" w:sz="0" w:space="0" w:color="auto"/>
        <w:bottom w:val="none" w:sz="0" w:space="0" w:color="auto"/>
        <w:right w:val="none" w:sz="0" w:space="0" w:color="auto"/>
      </w:divBdr>
    </w:div>
    <w:div w:id="407846577">
      <w:bodyDiv w:val="1"/>
      <w:marLeft w:val="0"/>
      <w:marRight w:val="0"/>
      <w:marTop w:val="0"/>
      <w:marBottom w:val="0"/>
      <w:divBdr>
        <w:top w:val="none" w:sz="0" w:space="0" w:color="auto"/>
        <w:left w:val="none" w:sz="0" w:space="0" w:color="auto"/>
        <w:bottom w:val="none" w:sz="0" w:space="0" w:color="auto"/>
        <w:right w:val="none" w:sz="0" w:space="0" w:color="auto"/>
      </w:divBdr>
    </w:div>
    <w:div w:id="408696098">
      <w:bodyDiv w:val="1"/>
      <w:marLeft w:val="0"/>
      <w:marRight w:val="0"/>
      <w:marTop w:val="0"/>
      <w:marBottom w:val="0"/>
      <w:divBdr>
        <w:top w:val="none" w:sz="0" w:space="0" w:color="auto"/>
        <w:left w:val="none" w:sz="0" w:space="0" w:color="auto"/>
        <w:bottom w:val="none" w:sz="0" w:space="0" w:color="auto"/>
        <w:right w:val="none" w:sz="0" w:space="0" w:color="auto"/>
      </w:divBdr>
    </w:div>
    <w:div w:id="415514260">
      <w:bodyDiv w:val="1"/>
      <w:marLeft w:val="0"/>
      <w:marRight w:val="0"/>
      <w:marTop w:val="0"/>
      <w:marBottom w:val="0"/>
      <w:divBdr>
        <w:top w:val="none" w:sz="0" w:space="0" w:color="auto"/>
        <w:left w:val="none" w:sz="0" w:space="0" w:color="auto"/>
        <w:bottom w:val="none" w:sz="0" w:space="0" w:color="auto"/>
        <w:right w:val="none" w:sz="0" w:space="0" w:color="auto"/>
      </w:divBdr>
      <w:divsChild>
        <w:div w:id="986785972">
          <w:marLeft w:val="0"/>
          <w:marRight w:val="0"/>
          <w:marTop w:val="0"/>
          <w:marBottom w:val="0"/>
          <w:divBdr>
            <w:top w:val="none" w:sz="0" w:space="0" w:color="auto"/>
            <w:left w:val="none" w:sz="0" w:space="0" w:color="auto"/>
            <w:bottom w:val="none" w:sz="0" w:space="0" w:color="auto"/>
            <w:right w:val="none" w:sz="0" w:space="0" w:color="auto"/>
          </w:divBdr>
        </w:div>
      </w:divsChild>
    </w:div>
    <w:div w:id="421268053">
      <w:bodyDiv w:val="1"/>
      <w:marLeft w:val="0"/>
      <w:marRight w:val="0"/>
      <w:marTop w:val="0"/>
      <w:marBottom w:val="0"/>
      <w:divBdr>
        <w:top w:val="none" w:sz="0" w:space="0" w:color="auto"/>
        <w:left w:val="none" w:sz="0" w:space="0" w:color="auto"/>
        <w:bottom w:val="none" w:sz="0" w:space="0" w:color="auto"/>
        <w:right w:val="none" w:sz="0" w:space="0" w:color="auto"/>
      </w:divBdr>
    </w:div>
    <w:div w:id="441727490">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470169662">
      <w:bodyDiv w:val="1"/>
      <w:marLeft w:val="0"/>
      <w:marRight w:val="0"/>
      <w:marTop w:val="0"/>
      <w:marBottom w:val="0"/>
      <w:divBdr>
        <w:top w:val="none" w:sz="0" w:space="0" w:color="auto"/>
        <w:left w:val="none" w:sz="0" w:space="0" w:color="auto"/>
        <w:bottom w:val="none" w:sz="0" w:space="0" w:color="auto"/>
        <w:right w:val="none" w:sz="0" w:space="0" w:color="auto"/>
      </w:divBdr>
    </w:div>
    <w:div w:id="487404559">
      <w:bodyDiv w:val="1"/>
      <w:marLeft w:val="0"/>
      <w:marRight w:val="0"/>
      <w:marTop w:val="0"/>
      <w:marBottom w:val="0"/>
      <w:divBdr>
        <w:top w:val="none" w:sz="0" w:space="0" w:color="auto"/>
        <w:left w:val="none" w:sz="0" w:space="0" w:color="auto"/>
        <w:bottom w:val="none" w:sz="0" w:space="0" w:color="auto"/>
        <w:right w:val="none" w:sz="0" w:space="0" w:color="auto"/>
      </w:divBdr>
    </w:div>
    <w:div w:id="491142885">
      <w:bodyDiv w:val="1"/>
      <w:marLeft w:val="0"/>
      <w:marRight w:val="0"/>
      <w:marTop w:val="0"/>
      <w:marBottom w:val="0"/>
      <w:divBdr>
        <w:top w:val="none" w:sz="0" w:space="0" w:color="auto"/>
        <w:left w:val="none" w:sz="0" w:space="0" w:color="auto"/>
        <w:bottom w:val="none" w:sz="0" w:space="0" w:color="auto"/>
        <w:right w:val="none" w:sz="0" w:space="0" w:color="auto"/>
      </w:divBdr>
    </w:div>
    <w:div w:id="494880662">
      <w:bodyDiv w:val="1"/>
      <w:marLeft w:val="0"/>
      <w:marRight w:val="0"/>
      <w:marTop w:val="0"/>
      <w:marBottom w:val="0"/>
      <w:divBdr>
        <w:top w:val="none" w:sz="0" w:space="0" w:color="auto"/>
        <w:left w:val="none" w:sz="0" w:space="0" w:color="auto"/>
        <w:bottom w:val="none" w:sz="0" w:space="0" w:color="auto"/>
        <w:right w:val="none" w:sz="0" w:space="0" w:color="auto"/>
      </w:divBdr>
    </w:div>
    <w:div w:id="508106881">
      <w:bodyDiv w:val="1"/>
      <w:marLeft w:val="0"/>
      <w:marRight w:val="0"/>
      <w:marTop w:val="0"/>
      <w:marBottom w:val="0"/>
      <w:divBdr>
        <w:top w:val="none" w:sz="0" w:space="0" w:color="auto"/>
        <w:left w:val="none" w:sz="0" w:space="0" w:color="auto"/>
        <w:bottom w:val="none" w:sz="0" w:space="0" w:color="auto"/>
        <w:right w:val="none" w:sz="0" w:space="0" w:color="auto"/>
      </w:divBdr>
    </w:div>
    <w:div w:id="512113753">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534196778">
      <w:bodyDiv w:val="1"/>
      <w:marLeft w:val="0"/>
      <w:marRight w:val="0"/>
      <w:marTop w:val="0"/>
      <w:marBottom w:val="0"/>
      <w:divBdr>
        <w:top w:val="none" w:sz="0" w:space="0" w:color="auto"/>
        <w:left w:val="none" w:sz="0" w:space="0" w:color="auto"/>
        <w:bottom w:val="none" w:sz="0" w:space="0" w:color="auto"/>
        <w:right w:val="none" w:sz="0" w:space="0" w:color="auto"/>
      </w:divBdr>
    </w:div>
    <w:div w:id="535119414">
      <w:bodyDiv w:val="1"/>
      <w:marLeft w:val="0"/>
      <w:marRight w:val="0"/>
      <w:marTop w:val="0"/>
      <w:marBottom w:val="0"/>
      <w:divBdr>
        <w:top w:val="none" w:sz="0" w:space="0" w:color="auto"/>
        <w:left w:val="none" w:sz="0" w:space="0" w:color="auto"/>
        <w:bottom w:val="none" w:sz="0" w:space="0" w:color="auto"/>
        <w:right w:val="none" w:sz="0" w:space="0" w:color="auto"/>
      </w:divBdr>
    </w:div>
    <w:div w:id="547375645">
      <w:bodyDiv w:val="1"/>
      <w:marLeft w:val="0"/>
      <w:marRight w:val="0"/>
      <w:marTop w:val="0"/>
      <w:marBottom w:val="0"/>
      <w:divBdr>
        <w:top w:val="none" w:sz="0" w:space="0" w:color="auto"/>
        <w:left w:val="none" w:sz="0" w:space="0" w:color="auto"/>
        <w:bottom w:val="none" w:sz="0" w:space="0" w:color="auto"/>
        <w:right w:val="none" w:sz="0" w:space="0" w:color="auto"/>
      </w:divBdr>
    </w:div>
    <w:div w:id="579023148">
      <w:bodyDiv w:val="1"/>
      <w:marLeft w:val="0"/>
      <w:marRight w:val="0"/>
      <w:marTop w:val="0"/>
      <w:marBottom w:val="0"/>
      <w:divBdr>
        <w:top w:val="none" w:sz="0" w:space="0" w:color="auto"/>
        <w:left w:val="none" w:sz="0" w:space="0" w:color="auto"/>
        <w:bottom w:val="none" w:sz="0" w:space="0" w:color="auto"/>
        <w:right w:val="none" w:sz="0" w:space="0" w:color="auto"/>
      </w:divBdr>
    </w:div>
    <w:div w:id="637028686">
      <w:bodyDiv w:val="1"/>
      <w:marLeft w:val="0"/>
      <w:marRight w:val="0"/>
      <w:marTop w:val="0"/>
      <w:marBottom w:val="0"/>
      <w:divBdr>
        <w:top w:val="none" w:sz="0" w:space="0" w:color="auto"/>
        <w:left w:val="none" w:sz="0" w:space="0" w:color="auto"/>
        <w:bottom w:val="none" w:sz="0" w:space="0" w:color="auto"/>
        <w:right w:val="none" w:sz="0" w:space="0" w:color="auto"/>
      </w:divBdr>
    </w:div>
    <w:div w:id="692340233">
      <w:bodyDiv w:val="1"/>
      <w:marLeft w:val="0"/>
      <w:marRight w:val="0"/>
      <w:marTop w:val="0"/>
      <w:marBottom w:val="0"/>
      <w:divBdr>
        <w:top w:val="none" w:sz="0" w:space="0" w:color="auto"/>
        <w:left w:val="none" w:sz="0" w:space="0" w:color="auto"/>
        <w:bottom w:val="none" w:sz="0" w:space="0" w:color="auto"/>
        <w:right w:val="none" w:sz="0" w:space="0" w:color="auto"/>
      </w:divBdr>
    </w:div>
    <w:div w:id="693464391">
      <w:bodyDiv w:val="1"/>
      <w:marLeft w:val="0"/>
      <w:marRight w:val="0"/>
      <w:marTop w:val="0"/>
      <w:marBottom w:val="0"/>
      <w:divBdr>
        <w:top w:val="none" w:sz="0" w:space="0" w:color="auto"/>
        <w:left w:val="none" w:sz="0" w:space="0" w:color="auto"/>
        <w:bottom w:val="none" w:sz="0" w:space="0" w:color="auto"/>
        <w:right w:val="none" w:sz="0" w:space="0" w:color="auto"/>
      </w:divBdr>
    </w:div>
    <w:div w:id="699015665">
      <w:bodyDiv w:val="1"/>
      <w:marLeft w:val="0"/>
      <w:marRight w:val="0"/>
      <w:marTop w:val="0"/>
      <w:marBottom w:val="0"/>
      <w:divBdr>
        <w:top w:val="none" w:sz="0" w:space="0" w:color="auto"/>
        <w:left w:val="none" w:sz="0" w:space="0" w:color="auto"/>
        <w:bottom w:val="none" w:sz="0" w:space="0" w:color="auto"/>
        <w:right w:val="none" w:sz="0" w:space="0" w:color="auto"/>
      </w:divBdr>
    </w:div>
    <w:div w:id="708603967">
      <w:bodyDiv w:val="1"/>
      <w:marLeft w:val="0"/>
      <w:marRight w:val="0"/>
      <w:marTop w:val="0"/>
      <w:marBottom w:val="0"/>
      <w:divBdr>
        <w:top w:val="none" w:sz="0" w:space="0" w:color="auto"/>
        <w:left w:val="none" w:sz="0" w:space="0" w:color="auto"/>
        <w:bottom w:val="none" w:sz="0" w:space="0" w:color="auto"/>
        <w:right w:val="none" w:sz="0" w:space="0" w:color="auto"/>
      </w:divBdr>
    </w:div>
    <w:div w:id="711881157">
      <w:bodyDiv w:val="1"/>
      <w:marLeft w:val="0"/>
      <w:marRight w:val="0"/>
      <w:marTop w:val="0"/>
      <w:marBottom w:val="0"/>
      <w:divBdr>
        <w:top w:val="none" w:sz="0" w:space="0" w:color="auto"/>
        <w:left w:val="none" w:sz="0" w:space="0" w:color="auto"/>
        <w:bottom w:val="none" w:sz="0" w:space="0" w:color="auto"/>
        <w:right w:val="none" w:sz="0" w:space="0" w:color="auto"/>
      </w:divBdr>
    </w:div>
    <w:div w:id="715161031">
      <w:bodyDiv w:val="1"/>
      <w:marLeft w:val="0"/>
      <w:marRight w:val="0"/>
      <w:marTop w:val="0"/>
      <w:marBottom w:val="0"/>
      <w:divBdr>
        <w:top w:val="none" w:sz="0" w:space="0" w:color="auto"/>
        <w:left w:val="none" w:sz="0" w:space="0" w:color="auto"/>
        <w:bottom w:val="none" w:sz="0" w:space="0" w:color="auto"/>
        <w:right w:val="none" w:sz="0" w:space="0" w:color="auto"/>
      </w:divBdr>
    </w:div>
    <w:div w:id="717361412">
      <w:bodyDiv w:val="1"/>
      <w:marLeft w:val="0"/>
      <w:marRight w:val="0"/>
      <w:marTop w:val="0"/>
      <w:marBottom w:val="0"/>
      <w:divBdr>
        <w:top w:val="none" w:sz="0" w:space="0" w:color="auto"/>
        <w:left w:val="none" w:sz="0" w:space="0" w:color="auto"/>
        <w:bottom w:val="none" w:sz="0" w:space="0" w:color="auto"/>
        <w:right w:val="none" w:sz="0" w:space="0" w:color="auto"/>
      </w:divBdr>
    </w:div>
    <w:div w:id="725882841">
      <w:bodyDiv w:val="1"/>
      <w:marLeft w:val="0"/>
      <w:marRight w:val="0"/>
      <w:marTop w:val="0"/>
      <w:marBottom w:val="0"/>
      <w:divBdr>
        <w:top w:val="none" w:sz="0" w:space="0" w:color="auto"/>
        <w:left w:val="none" w:sz="0" w:space="0" w:color="auto"/>
        <w:bottom w:val="none" w:sz="0" w:space="0" w:color="auto"/>
        <w:right w:val="none" w:sz="0" w:space="0" w:color="auto"/>
      </w:divBdr>
    </w:div>
    <w:div w:id="728774034">
      <w:bodyDiv w:val="1"/>
      <w:marLeft w:val="0"/>
      <w:marRight w:val="0"/>
      <w:marTop w:val="0"/>
      <w:marBottom w:val="0"/>
      <w:divBdr>
        <w:top w:val="none" w:sz="0" w:space="0" w:color="auto"/>
        <w:left w:val="none" w:sz="0" w:space="0" w:color="auto"/>
        <w:bottom w:val="none" w:sz="0" w:space="0" w:color="auto"/>
        <w:right w:val="none" w:sz="0" w:space="0" w:color="auto"/>
      </w:divBdr>
    </w:div>
    <w:div w:id="741878742">
      <w:bodyDiv w:val="1"/>
      <w:marLeft w:val="0"/>
      <w:marRight w:val="0"/>
      <w:marTop w:val="0"/>
      <w:marBottom w:val="0"/>
      <w:divBdr>
        <w:top w:val="none" w:sz="0" w:space="0" w:color="auto"/>
        <w:left w:val="none" w:sz="0" w:space="0" w:color="auto"/>
        <w:bottom w:val="none" w:sz="0" w:space="0" w:color="auto"/>
        <w:right w:val="none" w:sz="0" w:space="0" w:color="auto"/>
      </w:divBdr>
    </w:div>
    <w:div w:id="756243622">
      <w:bodyDiv w:val="1"/>
      <w:marLeft w:val="0"/>
      <w:marRight w:val="0"/>
      <w:marTop w:val="0"/>
      <w:marBottom w:val="0"/>
      <w:divBdr>
        <w:top w:val="none" w:sz="0" w:space="0" w:color="auto"/>
        <w:left w:val="none" w:sz="0" w:space="0" w:color="auto"/>
        <w:bottom w:val="none" w:sz="0" w:space="0" w:color="auto"/>
        <w:right w:val="none" w:sz="0" w:space="0" w:color="auto"/>
      </w:divBdr>
    </w:div>
    <w:div w:id="758984604">
      <w:bodyDiv w:val="1"/>
      <w:marLeft w:val="0"/>
      <w:marRight w:val="0"/>
      <w:marTop w:val="0"/>
      <w:marBottom w:val="0"/>
      <w:divBdr>
        <w:top w:val="none" w:sz="0" w:space="0" w:color="auto"/>
        <w:left w:val="none" w:sz="0" w:space="0" w:color="auto"/>
        <w:bottom w:val="none" w:sz="0" w:space="0" w:color="auto"/>
        <w:right w:val="none" w:sz="0" w:space="0" w:color="auto"/>
      </w:divBdr>
    </w:div>
    <w:div w:id="761029461">
      <w:bodyDiv w:val="1"/>
      <w:marLeft w:val="0"/>
      <w:marRight w:val="0"/>
      <w:marTop w:val="0"/>
      <w:marBottom w:val="0"/>
      <w:divBdr>
        <w:top w:val="none" w:sz="0" w:space="0" w:color="auto"/>
        <w:left w:val="none" w:sz="0" w:space="0" w:color="auto"/>
        <w:bottom w:val="none" w:sz="0" w:space="0" w:color="auto"/>
        <w:right w:val="none" w:sz="0" w:space="0" w:color="auto"/>
      </w:divBdr>
    </w:div>
    <w:div w:id="762412894">
      <w:bodyDiv w:val="1"/>
      <w:marLeft w:val="0"/>
      <w:marRight w:val="0"/>
      <w:marTop w:val="0"/>
      <w:marBottom w:val="0"/>
      <w:divBdr>
        <w:top w:val="none" w:sz="0" w:space="0" w:color="auto"/>
        <w:left w:val="none" w:sz="0" w:space="0" w:color="auto"/>
        <w:bottom w:val="none" w:sz="0" w:space="0" w:color="auto"/>
        <w:right w:val="none" w:sz="0" w:space="0" w:color="auto"/>
      </w:divBdr>
    </w:div>
    <w:div w:id="775100656">
      <w:bodyDiv w:val="1"/>
      <w:marLeft w:val="0"/>
      <w:marRight w:val="0"/>
      <w:marTop w:val="0"/>
      <w:marBottom w:val="0"/>
      <w:divBdr>
        <w:top w:val="none" w:sz="0" w:space="0" w:color="auto"/>
        <w:left w:val="none" w:sz="0" w:space="0" w:color="auto"/>
        <w:bottom w:val="none" w:sz="0" w:space="0" w:color="auto"/>
        <w:right w:val="none" w:sz="0" w:space="0" w:color="auto"/>
      </w:divBdr>
    </w:div>
    <w:div w:id="794911788">
      <w:bodyDiv w:val="1"/>
      <w:marLeft w:val="0"/>
      <w:marRight w:val="0"/>
      <w:marTop w:val="0"/>
      <w:marBottom w:val="0"/>
      <w:divBdr>
        <w:top w:val="none" w:sz="0" w:space="0" w:color="auto"/>
        <w:left w:val="none" w:sz="0" w:space="0" w:color="auto"/>
        <w:bottom w:val="none" w:sz="0" w:space="0" w:color="auto"/>
        <w:right w:val="none" w:sz="0" w:space="0" w:color="auto"/>
      </w:divBdr>
    </w:div>
    <w:div w:id="796337730">
      <w:bodyDiv w:val="1"/>
      <w:marLeft w:val="0"/>
      <w:marRight w:val="0"/>
      <w:marTop w:val="0"/>
      <w:marBottom w:val="0"/>
      <w:divBdr>
        <w:top w:val="none" w:sz="0" w:space="0" w:color="auto"/>
        <w:left w:val="none" w:sz="0" w:space="0" w:color="auto"/>
        <w:bottom w:val="none" w:sz="0" w:space="0" w:color="auto"/>
        <w:right w:val="none" w:sz="0" w:space="0" w:color="auto"/>
      </w:divBdr>
    </w:div>
    <w:div w:id="802043602">
      <w:bodyDiv w:val="1"/>
      <w:marLeft w:val="0"/>
      <w:marRight w:val="0"/>
      <w:marTop w:val="0"/>
      <w:marBottom w:val="0"/>
      <w:divBdr>
        <w:top w:val="none" w:sz="0" w:space="0" w:color="auto"/>
        <w:left w:val="none" w:sz="0" w:space="0" w:color="auto"/>
        <w:bottom w:val="none" w:sz="0" w:space="0" w:color="auto"/>
        <w:right w:val="none" w:sz="0" w:space="0" w:color="auto"/>
      </w:divBdr>
    </w:div>
    <w:div w:id="814764134">
      <w:bodyDiv w:val="1"/>
      <w:marLeft w:val="0"/>
      <w:marRight w:val="0"/>
      <w:marTop w:val="0"/>
      <w:marBottom w:val="0"/>
      <w:divBdr>
        <w:top w:val="none" w:sz="0" w:space="0" w:color="auto"/>
        <w:left w:val="none" w:sz="0" w:space="0" w:color="auto"/>
        <w:bottom w:val="none" w:sz="0" w:space="0" w:color="auto"/>
        <w:right w:val="none" w:sz="0" w:space="0" w:color="auto"/>
      </w:divBdr>
    </w:div>
    <w:div w:id="823426437">
      <w:bodyDiv w:val="1"/>
      <w:marLeft w:val="0"/>
      <w:marRight w:val="0"/>
      <w:marTop w:val="0"/>
      <w:marBottom w:val="0"/>
      <w:divBdr>
        <w:top w:val="none" w:sz="0" w:space="0" w:color="auto"/>
        <w:left w:val="none" w:sz="0" w:space="0" w:color="auto"/>
        <w:bottom w:val="none" w:sz="0" w:space="0" w:color="auto"/>
        <w:right w:val="none" w:sz="0" w:space="0" w:color="auto"/>
      </w:divBdr>
    </w:div>
    <w:div w:id="823622463">
      <w:bodyDiv w:val="1"/>
      <w:marLeft w:val="0"/>
      <w:marRight w:val="0"/>
      <w:marTop w:val="0"/>
      <w:marBottom w:val="0"/>
      <w:divBdr>
        <w:top w:val="none" w:sz="0" w:space="0" w:color="auto"/>
        <w:left w:val="none" w:sz="0" w:space="0" w:color="auto"/>
        <w:bottom w:val="none" w:sz="0" w:space="0" w:color="auto"/>
        <w:right w:val="none" w:sz="0" w:space="0" w:color="auto"/>
      </w:divBdr>
    </w:div>
    <w:div w:id="859008102">
      <w:bodyDiv w:val="1"/>
      <w:marLeft w:val="0"/>
      <w:marRight w:val="0"/>
      <w:marTop w:val="0"/>
      <w:marBottom w:val="0"/>
      <w:divBdr>
        <w:top w:val="none" w:sz="0" w:space="0" w:color="auto"/>
        <w:left w:val="none" w:sz="0" w:space="0" w:color="auto"/>
        <w:bottom w:val="none" w:sz="0" w:space="0" w:color="auto"/>
        <w:right w:val="none" w:sz="0" w:space="0" w:color="auto"/>
      </w:divBdr>
    </w:div>
    <w:div w:id="886768484">
      <w:bodyDiv w:val="1"/>
      <w:marLeft w:val="0"/>
      <w:marRight w:val="0"/>
      <w:marTop w:val="0"/>
      <w:marBottom w:val="0"/>
      <w:divBdr>
        <w:top w:val="none" w:sz="0" w:space="0" w:color="auto"/>
        <w:left w:val="none" w:sz="0" w:space="0" w:color="auto"/>
        <w:bottom w:val="none" w:sz="0" w:space="0" w:color="auto"/>
        <w:right w:val="none" w:sz="0" w:space="0" w:color="auto"/>
      </w:divBdr>
    </w:div>
    <w:div w:id="887958219">
      <w:bodyDiv w:val="1"/>
      <w:marLeft w:val="0"/>
      <w:marRight w:val="0"/>
      <w:marTop w:val="0"/>
      <w:marBottom w:val="0"/>
      <w:divBdr>
        <w:top w:val="none" w:sz="0" w:space="0" w:color="auto"/>
        <w:left w:val="none" w:sz="0" w:space="0" w:color="auto"/>
        <w:bottom w:val="none" w:sz="0" w:space="0" w:color="auto"/>
        <w:right w:val="none" w:sz="0" w:space="0" w:color="auto"/>
      </w:divBdr>
    </w:div>
    <w:div w:id="888882880">
      <w:bodyDiv w:val="1"/>
      <w:marLeft w:val="0"/>
      <w:marRight w:val="0"/>
      <w:marTop w:val="0"/>
      <w:marBottom w:val="0"/>
      <w:divBdr>
        <w:top w:val="none" w:sz="0" w:space="0" w:color="auto"/>
        <w:left w:val="none" w:sz="0" w:space="0" w:color="auto"/>
        <w:bottom w:val="none" w:sz="0" w:space="0" w:color="auto"/>
        <w:right w:val="none" w:sz="0" w:space="0" w:color="auto"/>
      </w:divBdr>
    </w:div>
    <w:div w:id="889732912">
      <w:bodyDiv w:val="1"/>
      <w:marLeft w:val="0"/>
      <w:marRight w:val="0"/>
      <w:marTop w:val="0"/>
      <w:marBottom w:val="0"/>
      <w:divBdr>
        <w:top w:val="none" w:sz="0" w:space="0" w:color="auto"/>
        <w:left w:val="none" w:sz="0" w:space="0" w:color="auto"/>
        <w:bottom w:val="none" w:sz="0" w:space="0" w:color="auto"/>
        <w:right w:val="none" w:sz="0" w:space="0" w:color="auto"/>
      </w:divBdr>
    </w:div>
    <w:div w:id="892932973">
      <w:bodyDiv w:val="1"/>
      <w:marLeft w:val="0"/>
      <w:marRight w:val="0"/>
      <w:marTop w:val="0"/>
      <w:marBottom w:val="0"/>
      <w:divBdr>
        <w:top w:val="none" w:sz="0" w:space="0" w:color="auto"/>
        <w:left w:val="none" w:sz="0" w:space="0" w:color="auto"/>
        <w:bottom w:val="none" w:sz="0" w:space="0" w:color="auto"/>
        <w:right w:val="none" w:sz="0" w:space="0" w:color="auto"/>
      </w:divBdr>
    </w:div>
    <w:div w:id="906111211">
      <w:bodyDiv w:val="1"/>
      <w:marLeft w:val="0"/>
      <w:marRight w:val="0"/>
      <w:marTop w:val="0"/>
      <w:marBottom w:val="0"/>
      <w:divBdr>
        <w:top w:val="none" w:sz="0" w:space="0" w:color="auto"/>
        <w:left w:val="none" w:sz="0" w:space="0" w:color="auto"/>
        <w:bottom w:val="none" w:sz="0" w:space="0" w:color="auto"/>
        <w:right w:val="none" w:sz="0" w:space="0" w:color="auto"/>
      </w:divBdr>
    </w:div>
    <w:div w:id="907694800">
      <w:bodyDiv w:val="1"/>
      <w:marLeft w:val="0"/>
      <w:marRight w:val="0"/>
      <w:marTop w:val="0"/>
      <w:marBottom w:val="0"/>
      <w:divBdr>
        <w:top w:val="none" w:sz="0" w:space="0" w:color="auto"/>
        <w:left w:val="none" w:sz="0" w:space="0" w:color="auto"/>
        <w:bottom w:val="none" w:sz="0" w:space="0" w:color="auto"/>
        <w:right w:val="none" w:sz="0" w:space="0" w:color="auto"/>
      </w:divBdr>
    </w:div>
    <w:div w:id="914783038">
      <w:bodyDiv w:val="1"/>
      <w:marLeft w:val="0"/>
      <w:marRight w:val="0"/>
      <w:marTop w:val="0"/>
      <w:marBottom w:val="0"/>
      <w:divBdr>
        <w:top w:val="none" w:sz="0" w:space="0" w:color="auto"/>
        <w:left w:val="none" w:sz="0" w:space="0" w:color="auto"/>
        <w:bottom w:val="none" w:sz="0" w:space="0" w:color="auto"/>
        <w:right w:val="none" w:sz="0" w:space="0" w:color="auto"/>
      </w:divBdr>
    </w:div>
    <w:div w:id="923804544">
      <w:bodyDiv w:val="1"/>
      <w:marLeft w:val="0"/>
      <w:marRight w:val="0"/>
      <w:marTop w:val="0"/>
      <w:marBottom w:val="0"/>
      <w:divBdr>
        <w:top w:val="none" w:sz="0" w:space="0" w:color="auto"/>
        <w:left w:val="none" w:sz="0" w:space="0" w:color="auto"/>
        <w:bottom w:val="none" w:sz="0" w:space="0" w:color="auto"/>
        <w:right w:val="none" w:sz="0" w:space="0" w:color="auto"/>
      </w:divBdr>
    </w:div>
    <w:div w:id="924415571">
      <w:bodyDiv w:val="1"/>
      <w:marLeft w:val="0"/>
      <w:marRight w:val="0"/>
      <w:marTop w:val="0"/>
      <w:marBottom w:val="0"/>
      <w:divBdr>
        <w:top w:val="none" w:sz="0" w:space="0" w:color="auto"/>
        <w:left w:val="none" w:sz="0" w:space="0" w:color="auto"/>
        <w:bottom w:val="none" w:sz="0" w:space="0" w:color="auto"/>
        <w:right w:val="none" w:sz="0" w:space="0" w:color="auto"/>
      </w:divBdr>
    </w:div>
    <w:div w:id="962886613">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003582164">
      <w:bodyDiv w:val="1"/>
      <w:marLeft w:val="0"/>
      <w:marRight w:val="0"/>
      <w:marTop w:val="0"/>
      <w:marBottom w:val="0"/>
      <w:divBdr>
        <w:top w:val="none" w:sz="0" w:space="0" w:color="auto"/>
        <w:left w:val="none" w:sz="0" w:space="0" w:color="auto"/>
        <w:bottom w:val="none" w:sz="0" w:space="0" w:color="auto"/>
        <w:right w:val="none" w:sz="0" w:space="0" w:color="auto"/>
      </w:divBdr>
    </w:div>
    <w:div w:id="1008680480">
      <w:bodyDiv w:val="1"/>
      <w:marLeft w:val="0"/>
      <w:marRight w:val="0"/>
      <w:marTop w:val="0"/>
      <w:marBottom w:val="0"/>
      <w:divBdr>
        <w:top w:val="none" w:sz="0" w:space="0" w:color="auto"/>
        <w:left w:val="none" w:sz="0" w:space="0" w:color="auto"/>
        <w:bottom w:val="none" w:sz="0" w:space="0" w:color="auto"/>
        <w:right w:val="none" w:sz="0" w:space="0" w:color="auto"/>
      </w:divBdr>
    </w:div>
    <w:div w:id="1020468880">
      <w:bodyDiv w:val="1"/>
      <w:marLeft w:val="0"/>
      <w:marRight w:val="0"/>
      <w:marTop w:val="0"/>
      <w:marBottom w:val="0"/>
      <w:divBdr>
        <w:top w:val="none" w:sz="0" w:space="0" w:color="auto"/>
        <w:left w:val="none" w:sz="0" w:space="0" w:color="auto"/>
        <w:bottom w:val="none" w:sz="0" w:space="0" w:color="auto"/>
        <w:right w:val="none" w:sz="0" w:space="0" w:color="auto"/>
      </w:divBdr>
    </w:div>
    <w:div w:id="1046100530">
      <w:bodyDiv w:val="1"/>
      <w:marLeft w:val="0"/>
      <w:marRight w:val="0"/>
      <w:marTop w:val="0"/>
      <w:marBottom w:val="0"/>
      <w:divBdr>
        <w:top w:val="none" w:sz="0" w:space="0" w:color="auto"/>
        <w:left w:val="none" w:sz="0" w:space="0" w:color="auto"/>
        <w:bottom w:val="none" w:sz="0" w:space="0" w:color="auto"/>
        <w:right w:val="none" w:sz="0" w:space="0" w:color="auto"/>
      </w:divBdr>
    </w:div>
    <w:div w:id="1059596757">
      <w:bodyDiv w:val="1"/>
      <w:marLeft w:val="0"/>
      <w:marRight w:val="0"/>
      <w:marTop w:val="0"/>
      <w:marBottom w:val="0"/>
      <w:divBdr>
        <w:top w:val="none" w:sz="0" w:space="0" w:color="auto"/>
        <w:left w:val="none" w:sz="0" w:space="0" w:color="auto"/>
        <w:bottom w:val="none" w:sz="0" w:space="0" w:color="auto"/>
        <w:right w:val="none" w:sz="0" w:space="0" w:color="auto"/>
      </w:divBdr>
    </w:div>
    <w:div w:id="1060978734">
      <w:bodyDiv w:val="1"/>
      <w:marLeft w:val="0"/>
      <w:marRight w:val="0"/>
      <w:marTop w:val="0"/>
      <w:marBottom w:val="0"/>
      <w:divBdr>
        <w:top w:val="none" w:sz="0" w:space="0" w:color="auto"/>
        <w:left w:val="none" w:sz="0" w:space="0" w:color="auto"/>
        <w:bottom w:val="none" w:sz="0" w:space="0" w:color="auto"/>
        <w:right w:val="none" w:sz="0" w:space="0" w:color="auto"/>
      </w:divBdr>
    </w:div>
    <w:div w:id="1061370079">
      <w:bodyDiv w:val="1"/>
      <w:marLeft w:val="0"/>
      <w:marRight w:val="0"/>
      <w:marTop w:val="0"/>
      <w:marBottom w:val="0"/>
      <w:divBdr>
        <w:top w:val="none" w:sz="0" w:space="0" w:color="auto"/>
        <w:left w:val="none" w:sz="0" w:space="0" w:color="auto"/>
        <w:bottom w:val="none" w:sz="0" w:space="0" w:color="auto"/>
        <w:right w:val="none" w:sz="0" w:space="0" w:color="auto"/>
      </w:divBdr>
    </w:div>
    <w:div w:id="1071930531">
      <w:bodyDiv w:val="1"/>
      <w:marLeft w:val="0"/>
      <w:marRight w:val="0"/>
      <w:marTop w:val="0"/>
      <w:marBottom w:val="0"/>
      <w:divBdr>
        <w:top w:val="none" w:sz="0" w:space="0" w:color="auto"/>
        <w:left w:val="none" w:sz="0" w:space="0" w:color="auto"/>
        <w:bottom w:val="none" w:sz="0" w:space="0" w:color="auto"/>
        <w:right w:val="none" w:sz="0" w:space="0" w:color="auto"/>
      </w:divBdr>
    </w:div>
    <w:div w:id="1092700985">
      <w:bodyDiv w:val="1"/>
      <w:marLeft w:val="0"/>
      <w:marRight w:val="0"/>
      <w:marTop w:val="0"/>
      <w:marBottom w:val="0"/>
      <w:divBdr>
        <w:top w:val="none" w:sz="0" w:space="0" w:color="auto"/>
        <w:left w:val="none" w:sz="0" w:space="0" w:color="auto"/>
        <w:bottom w:val="none" w:sz="0" w:space="0" w:color="auto"/>
        <w:right w:val="none" w:sz="0" w:space="0" w:color="auto"/>
      </w:divBdr>
    </w:div>
    <w:div w:id="1100759965">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40998532">
      <w:bodyDiv w:val="1"/>
      <w:marLeft w:val="0"/>
      <w:marRight w:val="0"/>
      <w:marTop w:val="0"/>
      <w:marBottom w:val="0"/>
      <w:divBdr>
        <w:top w:val="none" w:sz="0" w:space="0" w:color="auto"/>
        <w:left w:val="none" w:sz="0" w:space="0" w:color="auto"/>
        <w:bottom w:val="none" w:sz="0" w:space="0" w:color="auto"/>
        <w:right w:val="none" w:sz="0" w:space="0" w:color="auto"/>
      </w:divBdr>
    </w:div>
    <w:div w:id="1145125962">
      <w:bodyDiv w:val="1"/>
      <w:marLeft w:val="0"/>
      <w:marRight w:val="0"/>
      <w:marTop w:val="0"/>
      <w:marBottom w:val="0"/>
      <w:divBdr>
        <w:top w:val="none" w:sz="0" w:space="0" w:color="auto"/>
        <w:left w:val="none" w:sz="0" w:space="0" w:color="auto"/>
        <w:bottom w:val="none" w:sz="0" w:space="0" w:color="auto"/>
        <w:right w:val="none" w:sz="0" w:space="0" w:color="auto"/>
      </w:divBdr>
    </w:div>
    <w:div w:id="1147623152">
      <w:bodyDiv w:val="1"/>
      <w:marLeft w:val="0"/>
      <w:marRight w:val="0"/>
      <w:marTop w:val="0"/>
      <w:marBottom w:val="0"/>
      <w:divBdr>
        <w:top w:val="none" w:sz="0" w:space="0" w:color="auto"/>
        <w:left w:val="none" w:sz="0" w:space="0" w:color="auto"/>
        <w:bottom w:val="none" w:sz="0" w:space="0" w:color="auto"/>
        <w:right w:val="none" w:sz="0" w:space="0" w:color="auto"/>
      </w:divBdr>
    </w:div>
    <w:div w:id="1174800074">
      <w:bodyDiv w:val="1"/>
      <w:marLeft w:val="0"/>
      <w:marRight w:val="0"/>
      <w:marTop w:val="0"/>
      <w:marBottom w:val="0"/>
      <w:divBdr>
        <w:top w:val="none" w:sz="0" w:space="0" w:color="auto"/>
        <w:left w:val="none" w:sz="0" w:space="0" w:color="auto"/>
        <w:bottom w:val="none" w:sz="0" w:space="0" w:color="auto"/>
        <w:right w:val="none" w:sz="0" w:space="0" w:color="auto"/>
      </w:divBdr>
    </w:div>
    <w:div w:id="1183662948">
      <w:bodyDiv w:val="1"/>
      <w:marLeft w:val="0"/>
      <w:marRight w:val="0"/>
      <w:marTop w:val="0"/>
      <w:marBottom w:val="0"/>
      <w:divBdr>
        <w:top w:val="none" w:sz="0" w:space="0" w:color="auto"/>
        <w:left w:val="none" w:sz="0" w:space="0" w:color="auto"/>
        <w:bottom w:val="none" w:sz="0" w:space="0" w:color="auto"/>
        <w:right w:val="none" w:sz="0" w:space="0" w:color="auto"/>
      </w:divBdr>
    </w:div>
    <w:div w:id="1184708831">
      <w:bodyDiv w:val="1"/>
      <w:marLeft w:val="0"/>
      <w:marRight w:val="0"/>
      <w:marTop w:val="0"/>
      <w:marBottom w:val="0"/>
      <w:divBdr>
        <w:top w:val="none" w:sz="0" w:space="0" w:color="auto"/>
        <w:left w:val="none" w:sz="0" w:space="0" w:color="auto"/>
        <w:bottom w:val="none" w:sz="0" w:space="0" w:color="auto"/>
        <w:right w:val="none" w:sz="0" w:space="0" w:color="auto"/>
      </w:divBdr>
    </w:div>
    <w:div w:id="1197351691">
      <w:bodyDiv w:val="1"/>
      <w:marLeft w:val="0"/>
      <w:marRight w:val="0"/>
      <w:marTop w:val="0"/>
      <w:marBottom w:val="0"/>
      <w:divBdr>
        <w:top w:val="none" w:sz="0" w:space="0" w:color="auto"/>
        <w:left w:val="none" w:sz="0" w:space="0" w:color="auto"/>
        <w:bottom w:val="none" w:sz="0" w:space="0" w:color="auto"/>
        <w:right w:val="none" w:sz="0" w:space="0" w:color="auto"/>
      </w:divBdr>
    </w:div>
    <w:div w:id="1212762978">
      <w:bodyDiv w:val="1"/>
      <w:marLeft w:val="0"/>
      <w:marRight w:val="0"/>
      <w:marTop w:val="0"/>
      <w:marBottom w:val="0"/>
      <w:divBdr>
        <w:top w:val="none" w:sz="0" w:space="0" w:color="auto"/>
        <w:left w:val="none" w:sz="0" w:space="0" w:color="auto"/>
        <w:bottom w:val="none" w:sz="0" w:space="0" w:color="auto"/>
        <w:right w:val="none" w:sz="0" w:space="0" w:color="auto"/>
      </w:divBdr>
    </w:div>
    <w:div w:id="1216042548">
      <w:bodyDiv w:val="1"/>
      <w:marLeft w:val="0"/>
      <w:marRight w:val="0"/>
      <w:marTop w:val="0"/>
      <w:marBottom w:val="0"/>
      <w:divBdr>
        <w:top w:val="none" w:sz="0" w:space="0" w:color="auto"/>
        <w:left w:val="none" w:sz="0" w:space="0" w:color="auto"/>
        <w:bottom w:val="none" w:sz="0" w:space="0" w:color="auto"/>
        <w:right w:val="none" w:sz="0" w:space="0" w:color="auto"/>
      </w:divBdr>
    </w:div>
    <w:div w:id="1216895990">
      <w:bodyDiv w:val="1"/>
      <w:marLeft w:val="0"/>
      <w:marRight w:val="0"/>
      <w:marTop w:val="0"/>
      <w:marBottom w:val="0"/>
      <w:divBdr>
        <w:top w:val="none" w:sz="0" w:space="0" w:color="auto"/>
        <w:left w:val="none" w:sz="0" w:space="0" w:color="auto"/>
        <w:bottom w:val="none" w:sz="0" w:space="0" w:color="auto"/>
        <w:right w:val="none" w:sz="0" w:space="0" w:color="auto"/>
      </w:divBdr>
    </w:div>
    <w:div w:id="1217352597">
      <w:bodyDiv w:val="1"/>
      <w:marLeft w:val="0"/>
      <w:marRight w:val="0"/>
      <w:marTop w:val="0"/>
      <w:marBottom w:val="0"/>
      <w:divBdr>
        <w:top w:val="none" w:sz="0" w:space="0" w:color="auto"/>
        <w:left w:val="none" w:sz="0" w:space="0" w:color="auto"/>
        <w:bottom w:val="none" w:sz="0" w:space="0" w:color="auto"/>
        <w:right w:val="none" w:sz="0" w:space="0" w:color="auto"/>
      </w:divBdr>
    </w:div>
    <w:div w:id="1228373157">
      <w:bodyDiv w:val="1"/>
      <w:marLeft w:val="0"/>
      <w:marRight w:val="0"/>
      <w:marTop w:val="0"/>
      <w:marBottom w:val="0"/>
      <w:divBdr>
        <w:top w:val="none" w:sz="0" w:space="0" w:color="auto"/>
        <w:left w:val="none" w:sz="0" w:space="0" w:color="auto"/>
        <w:bottom w:val="none" w:sz="0" w:space="0" w:color="auto"/>
        <w:right w:val="none" w:sz="0" w:space="0" w:color="auto"/>
      </w:divBdr>
    </w:div>
    <w:div w:id="1228494242">
      <w:bodyDiv w:val="1"/>
      <w:marLeft w:val="0"/>
      <w:marRight w:val="0"/>
      <w:marTop w:val="0"/>
      <w:marBottom w:val="0"/>
      <w:divBdr>
        <w:top w:val="none" w:sz="0" w:space="0" w:color="auto"/>
        <w:left w:val="none" w:sz="0" w:space="0" w:color="auto"/>
        <w:bottom w:val="none" w:sz="0" w:space="0" w:color="auto"/>
        <w:right w:val="none" w:sz="0" w:space="0" w:color="auto"/>
      </w:divBdr>
    </w:div>
    <w:div w:id="1259097801">
      <w:bodyDiv w:val="1"/>
      <w:marLeft w:val="0"/>
      <w:marRight w:val="0"/>
      <w:marTop w:val="0"/>
      <w:marBottom w:val="0"/>
      <w:divBdr>
        <w:top w:val="none" w:sz="0" w:space="0" w:color="auto"/>
        <w:left w:val="none" w:sz="0" w:space="0" w:color="auto"/>
        <w:bottom w:val="none" w:sz="0" w:space="0" w:color="auto"/>
        <w:right w:val="none" w:sz="0" w:space="0" w:color="auto"/>
      </w:divBdr>
    </w:div>
    <w:div w:id="1265187264">
      <w:bodyDiv w:val="1"/>
      <w:marLeft w:val="0"/>
      <w:marRight w:val="0"/>
      <w:marTop w:val="0"/>
      <w:marBottom w:val="0"/>
      <w:divBdr>
        <w:top w:val="none" w:sz="0" w:space="0" w:color="auto"/>
        <w:left w:val="none" w:sz="0" w:space="0" w:color="auto"/>
        <w:bottom w:val="none" w:sz="0" w:space="0" w:color="auto"/>
        <w:right w:val="none" w:sz="0" w:space="0" w:color="auto"/>
      </w:divBdr>
    </w:div>
    <w:div w:id="1286809301">
      <w:bodyDiv w:val="1"/>
      <w:marLeft w:val="0"/>
      <w:marRight w:val="0"/>
      <w:marTop w:val="0"/>
      <w:marBottom w:val="0"/>
      <w:divBdr>
        <w:top w:val="none" w:sz="0" w:space="0" w:color="auto"/>
        <w:left w:val="none" w:sz="0" w:space="0" w:color="auto"/>
        <w:bottom w:val="none" w:sz="0" w:space="0" w:color="auto"/>
        <w:right w:val="none" w:sz="0" w:space="0" w:color="auto"/>
      </w:divBdr>
    </w:div>
    <w:div w:id="1293172904">
      <w:bodyDiv w:val="1"/>
      <w:marLeft w:val="0"/>
      <w:marRight w:val="0"/>
      <w:marTop w:val="0"/>
      <w:marBottom w:val="0"/>
      <w:divBdr>
        <w:top w:val="none" w:sz="0" w:space="0" w:color="auto"/>
        <w:left w:val="none" w:sz="0" w:space="0" w:color="auto"/>
        <w:bottom w:val="none" w:sz="0" w:space="0" w:color="auto"/>
        <w:right w:val="none" w:sz="0" w:space="0" w:color="auto"/>
      </w:divBdr>
    </w:div>
    <w:div w:id="1299797561">
      <w:bodyDiv w:val="1"/>
      <w:marLeft w:val="0"/>
      <w:marRight w:val="0"/>
      <w:marTop w:val="0"/>
      <w:marBottom w:val="0"/>
      <w:divBdr>
        <w:top w:val="none" w:sz="0" w:space="0" w:color="auto"/>
        <w:left w:val="none" w:sz="0" w:space="0" w:color="auto"/>
        <w:bottom w:val="none" w:sz="0" w:space="0" w:color="auto"/>
        <w:right w:val="none" w:sz="0" w:space="0" w:color="auto"/>
      </w:divBdr>
    </w:div>
    <w:div w:id="1319186752">
      <w:bodyDiv w:val="1"/>
      <w:marLeft w:val="0"/>
      <w:marRight w:val="0"/>
      <w:marTop w:val="0"/>
      <w:marBottom w:val="0"/>
      <w:divBdr>
        <w:top w:val="none" w:sz="0" w:space="0" w:color="auto"/>
        <w:left w:val="none" w:sz="0" w:space="0" w:color="auto"/>
        <w:bottom w:val="none" w:sz="0" w:space="0" w:color="auto"/>
        <w:right w:val="none" w:sz="0" w:space="0" w:color="auto"/>
      </w:divBdr>
    </w:div>
    <w:div w:id="1319654582">
      <w:bodyDiv w:val="1"/>
      <w:marLeft w:val="0"/>
      <w:marRight w:val="0"/>
      <w:marTop w:val="0"/>
      <w:marBottom w:val="0"/>
      <w:divBdr>
        <w:top w:val="none" w:sz="0" w:space="0" w:color="auto"/>
        <w:left w:val="none" w:sz="0" w:space="0" w:color="auto"/>
        <w:bottom w:val="none" w:sz="0" w:space="0" w:color="auto"/>
        <w:right w:val="none" w:sz="0" w:space="0" w:color="auto"/>
      </w:divBdr>
    </w:div>
    <w:div w:id="1323896238">
      <w:bodyDiv w:val="1"/>
      <w:marLeft w:val="0"/>
      <w:marRight w:val="0"/>
      <w:marTop w:val="0"/>
      <w:marBottom w:val="0"/>
      <w:divBdr>
        <w:top w:val="none" w:sz="0" w:space="0" w:color="auto"/>
        <w:left w:val="none" w:sz="0" w:space="0" w:color="auto"/>
        <w:bottom w:val="none" w:sz="0" w:space="0" w:color="auto"/>
        <w:right w:val="none" w:sz="0" w:space="0" w:color="auto"/>
      </w:divBdr>
    </w:div>
    <w:div w:id="1347098099">
      <w:bodyDiv w:val="1"/>
      <w:marLeft w:val="0"/>
      <w:marRight w:val="0"/>
      <w:marTop w:val="0"/>
      <w:marBottom w:val="0"/>
      <w:divBdr>
        <w:top w:val="none" w:sz="0" w:space="0" w:color="auto"/>
        <w:left w:val="none" w:sz="0" w:space="0" w:color="auto"/>
        <w:bottom w:val="none" w:sz="0" w:space="0" w:color="auto"/>
        <w:right w:val="none" w:sz="0" w:space="0" w:color="auto"/>
      </w:divBdr>
      <w:divsChild>
        <w:div w:id="2125073911">
          <w:marLeft w:val="0"/>
          <w:marRight w:val="0"/>
          <w:marTop w:val="0"/>
          <w:marBottom w:val="0"/>
          <w:divBdr>
            <w:top w:val="none" w:sz="0" w:space="0" w:color="auto"/>
            <w:left w:val="none" w:sz="0" w:space="0" w:color="auto"/>
            <w:bottom w:val="none" w:sz="0" w:space="0" w:color="auto"/>
            <w:right w:val="none" w:sz="0" w:space="0" w:color="auto"/>
          </w:divBdr>
        </w:div>
      </w:divsChild>
    </w:div>
    <w:div w:id="1350067252">
      <w:bodyDiv w:val="1"/>
      <w:marLeft w:val="0"/>
      <w:marRight w:val="0"/>
      <w:marTop w:val="0"/>
      <w:marBottom w:val="0"/>
      <w:divBdr>
        <w:top w:val="none" w:sz="0" w:space="0" w:color="auto"/>
        <w:left w:val="none" w:sz="0" w:space="0" w:color="auto"/>
        <w:bottom w:val="none" w:sz="0" w:space="0" w:color="auto"/>
        <w:right w:val="none" w:sz="0" w:space="0" w:color="auto"/>
      </w:divBdr>
    </w:div>
    <w:div w:id="1351180614">
      <w:bodyDiv w:val="1"/>
      <w:marLeft w:val="0"/>
      <w:marRight w:val="0"/>
      <w:marTop w:val="0"/>
      <w:marBottom w:val="0"/>
      <w:divBdr>
        <w:top w:val="none" w:sz="0" w:space="0" w:color="auto"/>
        <w:left w:val="none" w:sz="0" w:space="0" w:color="auto"/>
        <w:bottom w:val="none" w:sz="0" w:space="0" w:color="auto"/>
        <w:right w:val="none" w:sz="0" w:space="0" w:color="auto"/>
      </w:divBdr>
    </w:div>
    <w:div w:id="1359314439">
      <w:bodyDiv w:val="1"/>
      <w:marLeft w:val="0"/>
      <w:marRight w:val="0"/>
      <w:marTop w:val="0"/>
      <w:marBottom w:val="0"/>
      <w:divBdr>
        <w:top w:val="none" w:sz="0" w:space="0" w:color="auto"/>
        <w:left w:val="none" w:sz="0" w:space="0" w:color="auto"/>
        <w:bottom w:val="none" w:sz="0" w:space="0" w:color="auto"/>
        <w:right w:val="none" w:sz="0" w:space="0" w:color="auto"/>
      </w:divBdr>
    </w:div>
    <w:div w:id="1365713230">
      <w:bodyDiv w:val="1"/>
      <w:marLeft w:val="0"/>
      <w:marRight w:val="0"/>
      <w:marTop w:val="0"/>
      <w:marBottom w:val="0"/>
      <w:divBdr>
        <w:top w:val="none" w:sz="0" w:space="0" w:color="auto"/>
        <w:left w:val="none" w:sz="0" w:space="0" w:color="auto"/>
        <w:bottom w:val="none" w:sz="0" w:space="0" w:color="auto"/>
        <w:right w:val="none" w:sz="0" w:space="0" w:color="auto"/>
      </w:divBdr>
    </w:div>
    <w:div w:id="1375622735">
      <w:bodyDiv w:val="1"/>
      <w:marLeft w:val="0"/>
      <w:marRight w:val="0"/>
      <w:marTop w:val="0"/>
      <w:marBottom w:val="0"/>
      <w:divBdr>
        <w:top w:val="none" w:sz="0" w:space="0" w:color="auto"/>
        <w:left w:val="none" w:sz="0" w:space="0" w:color="auto"/>
        <w:bottom w:val="none" w:sz="0" w:space="0" w:color="auto"/>
        <w:right w:val="none" w:sz="0" w:space="0" w:color="auto"/>
      </w:divBdr>
    </w:div>
    <w:div w:id="1401754187">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18554481">
      <w:bodyDiv w:val="1"/>
      <w:marLeft w:val="0"/>
      <w:marRight w:val="0"/>
      <w:marTop w:val="0"/>
      <w:marBottom w:val="0"/>
      <w:divBdr>
        <w:top w:val="none" w:sz="0" w:space="0" w:color="auto"/>
        <w:left w:val="none" w:sz="0" w:space="0" w:color="auto"/>
        <w:bottom w:val="none" w:sz="0" w:space="0" w:color="auto"/>
        <w:right w:val="none" w:sz="0" w:space="0" w:color="auto"/>
      </w:divBdr>
    </w:div>
    <w:div w:id="1440490475">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459225584">
      <w:bodyDiv w:val="1"/>
      <w:marLeft w:val="0"/>
      <w:marRight w:val="0"/>
      <w:marTop w:val="0"/>
      <w:marBottom w:val="0"/>
      <w:divBdr>
        <w:top w:val="none" w:sz="0" w:space="0" w:color="auto"/>
        <w:left w:val="none" w:sz="0" w:space="0" w:color="auto"/>
        <w:bottom w:val="none" w:sz="0" w:space="0" w:color="auto"/>
        <w:right w:val="none" w:sz="0" w:space="0" w:color="auto"/>
      </w:divBdr>
    </w:div>
    <w:div w:id="1476333290">
      <w:bodyDiv w:val="1"/>
      <w:marLeft w:val="0"/>
      <w:marRight w:val="0"/>
      <w:marTop w:val="0"/>
      <w:marBottom w:val="0"/>
      <w:divBdr>
        <w:top w:val="none" w:sz="0" w:space="0" w:color="auto"/>
        <w:left w:val="none" w:sz="0" w:space="0" w:color="auto"/>
        <w:bottom w:val="none" w:sz="0" w:space="0" w:color="auto"/>
        <w:right w:val="none" w:sz="0" w:space="0" w:color="auto"/>
      </w:divBdr>
    </w:div>
    <w:div w:id="1485701549">
      <w:bodyDiv w:val="1"/>
      <w:marLeft w:val="0"/>
      <w:marRight w:val="0"/>
      <w:marTop w:val="0"/>
      <w:marBottom w:val="0"/>
      <w:divBdr>
        <w:top w:val="none" w:sz="0" w:space="0" w:color="auto"/>
        <w:left w:val="none" w:sz="0" w:space="0" w:color="auto"/>
        <w:bottom w:val="none" w:sz="0" w:space="0" w:color="auto"/>
        <w:right w:val="none" w:sz="0" w:space="0" w:color="auto"/>
      </w:divBdr>
    </w:div>
    <w:div w:id="1486823078">
      <w:bodyDiv w:val="1"/>
      <w:marLeft w:val="0"/>
      <w:marRight w:val="0"/>
      <w:marTop w:val="0"/>
      <w:marBottom w:val="0"/>
      <w:divBdr>
        <w:top w:val="none" w:sz="0" w:space="0" w:color="auto"/>
        <w:left w:val="none" w:sz="0" w:space="0" w:color="auto"/>
        <w:bottom w:val="none" w:sz="0" w:space="0" w:color="auto"/>
        <w:right w:val="none" w:sz="0" w:space="0" w:color="auto"/>
      </w:divBdr>
    </w:div>
    <w:div w:id="1525631096">
      <w:bodyDiv w:val="1"/>
      <w:marLeft w:val="0"/>
      <w:marRight w:val="0"/>
      <w:marTop w:val="0"/>
      <w:marBottom w:val="0"/>
      <w:divBdr>
        <w:top w:val="none" w:sz="0" w:space="0" w:color="auto"/>
        <w:left w:val="none" w:sz="0" w:space="0" w:color="auto"/>
        <w:bottom w:val="none" w:sz="0" w:space="0" w:color="auto"/>
        <w:right w:val="none" w:sz="0" w:space="0" w:color="auto"/>
      </w:divBdr>
    </w:div>
    <w:div w:id="1535800507">
      <w:bodyDiv w:val="1"/>
      <w:marLeft w:val="0"/>
      <w:marRight w:val="0"/>
      <w:marTop w:val="0"/>
      <w:marBottom w:val="0"/>
      <w:divBdr>
        <w:top w:val="none" w:sz="0" w:space="0" w:color="auto"/>
        <w:left w:val="none" w:sz="0" w:space="0" w:color="auto"/>
        <w:bottom w:val="none" w:sz="0" w:space="0" w:color="auto"/>
        <w:right w:val="none" w:sz="0" w:space="0" w:color="auto"/>
      </w:divBdr>
    </w:div>
    <w:div w:id="1540973352">
      <w:bodyDiv w:val="1"/>
      <w:marLeft w:val="0"/>
      <w:marRight w:val="0"/>
      <w:marTop w:val="0"/>
      <w:marBottom w:val="0"/>
      <w:divBdr>
        <w:top w:val="none" w:sz="0" w:space="0" w:color="auto"/>
        <w:left w:val="none" w:sz="0" w:space="0" w:color="auto"/>
        <w:bottom w:val="none" w:sz="0" w:space="0" w:color="auto"/>
        <w:right w:val="none" w:sz="0" w:space="0" w:color="auto"/>
      </w:divBdr>
    </w:div>
    <w:div w:id="1557666544">
      <w:bodyDiv w:val="1"/>
      <w:marLeft w:val="0"/>
      <w:marRight w:val="0"/>
      <w:marTop w:val="0"/>
      <w:marBottom w:val="0"/>
      <w:divBdr>
        <w:top w:val="none" w:sz="0" w:space="0" w:color="auto"/>
        <w:left w:val="none" w:sz="0" w:space="0" w:color="auto"/>
        <w:bottom w:val="none" w:sz="0" w:space="0" w:color="auto"/>
        <w:right w:val="none" w:sz="0" w:space="0" w:color="auto"/>
      </w:divBdr>
    </w:div>
    <w:div w:id="1569611214">
      <w:bodyDiv w:val="1"/>
      <w:marLeft w:val="0"/>
      <w:marRight w:val="0"/>
      <w:marTop w:val="0"/>
      <w:marBottom w:val="0"/>
      <w:divBdr>
        <w:top w:val="none" w:sz="0" w:space="0" w:color="auto"/>
        <w:left w:val="none" w:sz="0" w:space="0" w:color="auto"/>
        <w:bottom w:val="none" w:sz="0" w:space="0" w:color="auto"/>
        <w:right w:val="none" w:sz="0" w:space="0" w:color="auto"/>
      </w:divBdr>
    </w:div>
    <w:div w:id="1571423640">
      <w:bodyDiv w:val="1"/>
      <w:marLeft w:val="0"/>
      <w:marRight w:val="0"/>
      <w:marTop w:val="0"/>
      <w:marBottom w:val="0"/>
      <w:divBdr>
        <w:top w:val="none" w:sz="0" w:space="0" w:color="auto"/>
        <w:left w:val="none" w:sz="0" w:space="0" w:color="auto"/>
        <w:bottom w:val="none" w:sz="0" w:space="0" w:color="auto"/>
        <w:right w:val="none" w:sz="0" w:space="0" w:color="auto"/>
      </w:divBdr>
    </w:div>
    <w:div w:id="1582834245">
      <w:bodyDiv w:val="1"/>
      <w:marLeft w:val="0"/>
      <w:marRight w:val="0"/>
      <w:marTop w:val="0"/>
      <w:marBottom w:val="0"/>
      <w:divBdr>
        <w:top w:val="none" w:sz="0" w:space="0" w:color="auto"/>
        <w:left w:val="none" w:sz="0" w:space="0" w:color="auto"/>
        <w:bottom w:val="none" w:sz="0" w:space="0" w:color="auto"/>
        <w:right w:val="none" w:sz="0" w:space="0" w:color="auto"/>
      </w:divBdr>
    </w:div>
    <w:div w:id="1595742606">
      <w:bodyDiv w:val="1"/>
      <w:marLeft w:val="0"/>
      <w:marRight w:val="0"/>
      <w:marTop w:val="0"/>
      <w:marBottom w:val="0"/>
      <w:divBdr>
        <w:top w:val="none" w:sz="0" w:space="0" w:color="auto"/>
        <w:left w:val="none" w:sz="0" w:space="0" w:color="auto"/>
        <w:bottom w:val="none" w:sz="0" w:space="0" w:color="auto"/>
        <w:right w:val="none" w:sz="0" w:space="0" w:color="auto"/>
      </w:divBdr>
    </w:div>
    <w:div w:id="1597904322">
      <w:bodyDiv w:val="1"/>
      <w:marLeft w:val="0"/>
      <w:marRight w:val="0"/>
      <w:marTop w:val="0"/>
      <w:marBottom w:val="0"/>
      <w:divBdr>
        <w:top w:val="none" w:sz="0" w:space="0" w:color="auto"/>
        <w:left w:val="none" w:sz="0" w:space="0" w:color="auto"/>
        <w:bottom w:val="none" w:sz="0" w:space="0" w:color="auto"/>
        <w:right w:val="none" w:sz="0" w:space="0" w:color="auto"/>
      </w:divBdr>
    </w:div>
    <w:div w:id="1614096666">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634291292">
      <w:bodyDiv w:val="1"/>
      <w:marLeft w:val="0"/>
      <w:marRight w:val="0"/>
      <w:marTop w:val="0"/>
      <w:marBottom w:val="0"/>
      <w:divBdr>
        <w:top w:val="none" w:sz="0" w:space="0" w:color="auto"/>
        <w:left w:val="none" w:sz="0" w:space="0" w:color="auto"/>
        <w:bottom w:val="none" w:sz="0" w:space="0" w:color="auto"/>
        <w:right w:val="none" w:sz="0" w:space="0" w:color="auto"/>
      </w:divBdr>
    </w:div>
    <w:div w:id="1682781299">
      <w:bodyDiv w:val="1"/>
      <w:marLeft w:val="0"/>
      <w:marRight w:val="0"/>
      <w:marTop w:val="0"/>
      <w:marBottom w:val="0"/>
      <w:divBdr>
        <w:top w:val="none" w:sz="0" w:space="0" w:color="auto"/>
        <w:left w:val="none" w:sz="0" w:space="0" w:color="auto"/>
        <w:bottom w:val="none" w:sz="0" w:space="0" w:color="auto"/>
        <w:right w:val="none" w:sz="0" w:space="0" w:color="auto"/>
      </w:divBdr>
    </w:div>
    <w:div w:id="1702902716">
      <w:bodyDiv w:val="1"/>
      <w:marLeft w:val="0"/>
      <w:marRight w:val="0"/>
      <w:marTop w:val="0"/>
      <w:marBottom w:val="0"/>
      <w:divBdr>
        <w:top w:val="none" w:sz="0" w:space="0" w:color="auto"/>
        <w:left w:val="none" w:sz="0" w:space="0" w:color="auto"/>
        <w:bottom w:val="none" w:sz="0" w:space="0" w:color="auto"/>
        <w:right w:val="none" w:sz="0" w:space="0" w:color="auto"/>
      </w:divBdr>
    </w:div>
    <w:div w:id="1706326695">
      <w:bodyDiv w:val="1"/>
      <w:marLeft w:val="0"/>
      <w:marRight w:val="0"/>
      <w:marTop w:val="0"/>
      <w:marBottom w:val="0"/>
      <w:divBdr>
        <w:top w:val="none" w:sz="0" w:space="0" w:color="auto"/>
        <w:left w:val="none" w:sz="0" w:space="0" w:color="auto"/>
        <w:bottom w:val="none" w:sz="0" w:space="0" w:color="auto"/>
        <w:right w:val="none" w:sz="0" w:space="0" w:color="auto"/>
      </w:divBdr>
    </w:div>
    <w:div w:id="1722904835">
      <w:bodyDiv w:val="1"/>
      <w:marLeft w:val="0"/>
      <w:marRight w:val="0"/>
      <w:marTop w:val="0"/>
      <w:marBottom w:val="0"/>
      <w:divBdr>
        <w:top w:val="none" w:sz="0" w:space="0" w:color="auto"/>
        <w:left w:val="none" w:sz="0" w:space="0" w:color="auto"/>
        <w:bottom w:val="none" w:sz="0" w:space="0" w:color="auto"/>
        <w:right w:val="none" w:sz="0" w:space="0" w:color="auto"/>
      </w:divBdr>
    </w:div>
    <w:div w:id="1737438946">
      <w:bodyDiv w:val="1"/>
      <w:marLeft w:val="0"/>
      <w:marRight w:val="0"/>
      <w:marTop w:val="0"/>
      <w:marBottom w:val="0"/>
      <w:divBdr>
        <w:top w:val="none" w:sz="0" w:space="0" w:color="auto"/>
        <w:left w:val="none" w:sz="0" w:space="0" w:color="auto"/>
        <w:bottom w:val="none" w:sz="0" w:space="0" w:color="auto"/>
        <w:right w:val="none" w:sz="0" w:space="0" w:color="auto"/>
      </w:divBdr>
    </w:div>
    <w:div w:id="1738361603">
      <w:bodyDiv w:val="1"/>
      <w:marLeft w:val="0"/>
      <w:marRight w:val="0"/>
      <w:marTop w:val="0"/>
      <w:marBottom w:val="0"/>
      <w:divBdr>
        <w:top w:val="none" w:sz="0" w:space="0" w:color="auto"/>
        <w:left w:val="none" w:sz="0" w:space="0" w:color="auto"/>
        <w:bottom w:val="none" w:sz="0" w:space="0" w:color="auto"/>
        <w:right w:val="none" w:sz="0" w:space="0" w:color="auto"/>
      </w:divBdr>
    </w:div>
    <w:div w:id="1739865430">
      <w:bodyDiv w:val="1"/>
      <w:marLeft w:val="0"/>
      <w:marRight w:val="0"/>
      <w:marTop w:val="0"/>
      <w:marBottom w:val="0"/>
      <w:divBdr>
        <w:top w:val="none" w:sz="0" w:space="0" w:color="auto"/>
        <w:left w:val="none" w:sz="0" w:space="0" w:color="auto"/>
        <w:bottom w:val="none" w:sz="0" w:space="0" w:color="auto"/>
        <w:right w:val="none" w:sz="0" w:space="0" w:color="auto"/>
      </w:divBdr>
    </w:div>
    <w:div w:id="1743064053">
      <w:bodyDiv w:val="1"/>
      <w:marLeft w:val="0"/>
      <w:marRight w:val="0"/>
      <w:marTop w:val="0"/>
      <w:marBottom w:val="0"/>
      <w:divBdr>
        <w:top w:val="none" w:sz="0" w:space="0" w:color="auto"/>
        <w:left w:val="none" w:sz="0" w:space="0" w:color="auto"/>
        <w:bottom w:val="none" w:sz="0" w:space="0" w:color="auto"/>
        <w:right w:val="none" w:sz="0" w:space="0" w:color="auto"/>
      </w:divBdr>
    </w:div>
    <w:div w:id="1758402277">
      <w:bodyDiv w:val="1"/>
      <w:marLeft w:val="0"/>
      <w:marRight w:val="0"/>
      <w:marTop w:val="0"/>
      <w:marBottom w:val="0"/>
      <w:divBdr>
        <w:top w:val="none" w:sz="0" w:space="0" w:color="auto"/>
        <w:left w:val="none" w:sz="0" w:space="0" w:color="auto"/>
        <w:bottom w:val="none" w:sz="0" w:space="0" w:color="auto"/>
        <w:right w:val="none" w:sz="0" w:space="0" w:color="auto"/>
      </w:divBdr>
    </w:div>
    <w:div w:id="1759520948">
      <w:bodyDiv w:val="1"/>
      <w:marLeft w:val="0"/>
      <w:marRight w:val="0"/>
      <w:marTop w:val="0"/>
      <w:marBottom w:val="0"/>
      <w:divBdr>
        <w:top w:val="none" w:sz="0" w:space="0" w:color="auto"/>
        <w:left w:val="none" w:sz="0" w:space="0" w:color="auto"/>
        <w:bottom w:val="none" w:sz="0" w:space="0" w:color="auto"/>
        <w:right w:val="none" w:sz="0" w:space="0" w:color="auto"/>
      </w:divBdr>
    </w:div>
    <w:div w:id="1769156192">
      <w:bodyDiv w:val="1"/>
      <w:marLeft w:val="0"/>
      <w:marRight w:val="0"/>
      <w:marTop w:val="0"/>
      <w:marBottom w:val="0"/>
      <w:divBdr>
        <w:top w:val="none" w:sz="0" w:space="0" w:color="auto"/>
        <w:left w:val="none" w:sz="0" w:space="0" w:color="auto"/>
        <w:bottom w:val="none" w:sz="0" w:space="0" w:color="auto"/>
        <w:right w:val="none" w:sz="0" w:space="0" w:color="auto"/>
      </w:divBdr>
    </w:div>
    <w:div w:id="1780904205">
      <w:bodyDiv w:val="1"/>
      <w:marLeft w:val="0"/>
      <w:marRight w:val="0"/>
      <w:marTop w:val="0"/>
      <w:marBottom w:val="0"/>
      <w:divBdr>
        <w:top w:val="none" w:sz="0" w:space="0" w:color="auto"/>
        <w:left w:val="none" w:sz="0" w:space="0" w:color="auto"/>
        <w:bottom w:val="none" w:sz="0" w:space="0" w:color="auto"/>
        <w:right w:val="none" w:sz="0" w:space="0" w:color="auto"/>
      </w:divBdr>
    </w:div>
    <w:div w:id="1782336454">
      <w:bodyDiv w:val="1"/>
      <w:marLeft w:val="0"/>
      <w:marRight w:val="0"/>
      <w:marTop w:val="0"/>
      <w:marBottom w:val="0"/>
      <w:divBdr>
        <w:top w:val="none" w:sz="0" w:space="0" w:color="auto"/>
        <w:left w:val="none" w:sz="0" w:space="0" w:color="auto"/>
        <w:bottom w:val="none" w:sz="0" w:space="0" w:color="auto"/>
        <w:right w:val="none" w:sz="0" w:space="0" w:color="auto"/>
      </w:divBdr>
    </w:div>
    <w:div w:id="1786270174">
      <w:bodyDiv w:val="1"/>
      <w:marLeft w:val="0"/>
      <w:marRight w:val="0"/>
      <w:marTop w:val="0"/>
      <w:marBottom w:val="0"/>
      <w:divBdr>
        <w:top w:val="none" w:sz="0" w:space="0" w:color="auto"/>
        <w:left w:val="none" w:sz="0" w:space="0" w:color="auto"/>
        <w:bottom w:val="none" w:sz="0" w:space="0" w:color="auto"/>
        <w:right w:val="none" w:sz="0" w:space="0" w:color="auto"/>
      </w:divBdr>
    </w:div>
    <w:div w:id="1787234555">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04495119">
      <w:bodyDiv w:val="1"/>
      <w:marLeft w:val="0"/>
      <w:marRight w:val="0"/>
      <w:marTop w:val="0"/>
      <w:marBottom w:val="0"/>
      <w:divBdr>
        <w:top w:val="none" w:sz="0" w:space="0" w:color="auto"/>
        <w:left w:val="none" w:sz="0" w:space="0" w:color="auto"/>
        <w:bottom w:val="none" w:sz="0" w:space="0" w:color="auto"/>
        <w:right w:val="none" w:sz="0" w:space="0" w:color="auto"/>
      </w:divBdr>
    </w:div>
    <w:div w:id="1817527126">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823694427">
      <w:bodyDiv w:val="1"/>
      <w:marLeft w:val="0"/>
      <w:marRight w:val="0"/>
      <w:marTop w:val="0"/>
      <w:marBottom w:val="0"/>
      <w:divBdr>
        <w:top w:val="none" w:sz="0" w:space="0" w:color="auto"/>
        <w:left w:val="none" w:sz="0" w:space="0" w:color="auto"/>
        <w:bottom w:val="none" w:sz="0" w:space="0" w:color="auto"/>
        <w:right w:val="none" w:sz="0" w:space="0" w:color="auto"/>
      </w:divBdr>
    </w:div>
    <w:div w:id="1826050093">
      <w:bodyDiv w:val="1"/>
      <w:marLeft w:val="0"/>
      <w:marRight w:val="0"/>
      <w:marTop w:val="0"/>
      <w:marBottom w:val="0"/>
      <w:divBdr>
        <w:top w:val="none" w:sz="0" w:space="0" w:color="auto"/>
        <w:left w:val="none" w:sz="0" w:space="0" w:color="auto"/>
        <w:bottom w:val="none" w:sz="0" w:space="0" w:color="auto"/>
        <w:right w:val="none" w:sz="0" w:space="0" w:color="auto"/>
      </w:divBdr>
    </w:div>
    <w:div w:id="1843933418">
      <w:bodyDiv w:val="1"/>
      <w:marLeft w:val="0"/>
      <w:marRight w:val="0"/>
      <w:marTop w:val="0"/>
      <w:marBottom w:val="0"/>
      <w:divBdr>
        <w:top w:val="none" w:sz="0" w:space="0" w:color="auto"/>
        <w:left w:val="none" w:sz="0" w:space="0" w:color="auto"/>
        <w:bottom w:val="none" w:sz="0" w:space="0" w:color="auto"/>
        <w:right w:val="none" w:sz="0" w:space="0" w:color="auto"/>
      </w:divBdr>
    </w:div>
    <w:div w:id="1864710756">
      <w:bodyDiv w:val="1"/>
      <w:marLeft w:val="0"/>
      <w:marRight w:val="0"/>
      <w:marTop w:val="0"/>
      <w:marBottom w:val="0"/>
      <w:divBdr>
        <w:top w:val="none" w:sz="0" w:space="0" w:color="auto"/>
        <w:left w:val="none" w:sz="0" w:space="0" w:color="auto"/>
        <w:bottom w:val="none" w:sz="0" w:space="0" w:color="auto"/>
        <w:right w:val="none" w:sz="0" w:space="0" w:color="auto"/>
      </w:divBdr>
    </w:div>
    <w:div w:id="1878468373">
      <w:bodyDiv w:val="1"/>
      <w:marLeft w:val="0"/>
      <w:marRight w:val="0"/>
      <w:marTop w:val="0"/>
      <w:marBottom w:val="0"/>
      <w:divBdr>
        <w:top w:val="none" w:sz="0" w:space="0" w:color="auto"/>
        <w:left w:val="none" w:sz="0" w:space="0" w:color="auto"/>
        <w:bottom w:val="none" w:sz="0" w:space="0" w:color="auto"/>
        <w:right w:val="none" w:sz="0" w:space="0" w:color="auto"/>
      </w:divBdr>
    </w:div>
    <w:div w:id="1886792199">
      <w:bodyDiv w:val="1"/>
      <w:marLeft w:val="0"/>
      <w:marRight w:val="0"/>
      <w:marTop w:val="0"/>
      <w:marBottom w:val="0"/>
      <w:divBdr>
        <w:top w:val="none" w:sz="0" w:space="0" w:color="auto"/>
        <w:left w:val="none" w:sz="0" w:space="0" w:color="auto"/>
        <w:bottom w:val="none" w:sz="0" w:space="0" w:color="auto"/>
        <w:right w:val="none" w:sz="0" w:space="0" w:color="auto"/>
      </w:divBdr>
    </w:div>
    <w:div w:id="1913814940">
      <w:bodyDiv w:val="1"/>
      <w:marLeft w:val="0"/>
      <w:marRight w:val="0"/>
      <w:marTop w:val="0"/>
      <w:marBottom w:val="0"/>
      <w:divBdr>
        <w:top w:val="none" w:sz="0" w:space="0" w:color="auto"/>
        <w:left w:val="none" w:sz="0" w:space="0" w:color="auto"/>
        <w:bottom w:val="none" w:sz="0" w:space="0" w:color="auto"/>
        <w:right w:val="none" w:sz="0" w:space="0" w:color="auto"/>
      </w:divBdr>
    </w:div>
    <w:div w:id="1921599047">
      <w:bodyDiv w:val="1"/>
      <w:marLeft w:val="0"/>
      <w:marRight w:val="0"/>
      <w:marTop w:val="0"/>
      <w:marBottom w:val="0"/>
      <w:divBdr>
        <w:top w:val="none" w:sz="0" w:space="0" w:color="auto"/>
        <w:left w:val="none" w:sz="0" w:space="0" w:color="auto"/>
        <w:bottom w:val="none" w:sz="0" w:space="0" w:color="auto"/>
        <w:right w:val="none" w:sz="0" w:space="0" w:color="auto"/>
      </w:divBdr>
    </w:div>
    <w:div w:id="1936748049">
      <w:bodyDiv w:val="1"/>
      <w:marLeft w:val="0"/>
      <w:marRight w:val="0"/>
      <w:marTop w:val="0"/>
      <w:marBottom w:val="0"/>
      <w:divBdr>
        <w:top w:val="none" w:sz="0" w:space="0" w:color="auto"/>
        <w:left w:val="none" w:sz="0" w:space="0" w:color="auto"/>
        <w:bottom w:val="none" w:sz="0" w:space="0" w:color="auto"/>
        <w:right w:val="none" w:sz="0" w:space="0" w:color="auto"/>
      </w:divBdr>
    </w:div>
    <w:div w:id="1939869156">
      <w:bodyDiv w:val="1"/>
      <w:marLeft w:val="0"/>
      <w:marRight w:val="0"/>
      <w:marTop w:val="0"/>
      <w:marBottom w:val="0"/>
      <w:divBdr>
        <w:top w:val="none" w:sz="0" w:space="0" w:color="auto"/>
        <w:left w:val="none" w:sz="0" w:space="0" w:color="auto"/>
        <w:bottom w:val="none" w:sz="0" w:space="0" w:color="auto"/>
        <w:right w:val="none" w:sz="0" w:space="0" w:color="auto"/>
      </w:divBdr>
    </w:div>
    <w:div w:id="1972320913">
      <w:bodyDiv w:val="1"/>
      <w:marLeft w:val="0"/>
      <w:marRight w:val="0"/>
      <w:marTop w:val="0"/>
      <w:marBottom w:val="0"/>
      <w:divBdr>
        <w:top w:val="none" w:sz="0" w:space="0" w:color="auto"/>
        <w:left w:val="none" w:sz="0" w:space="0" w:color="auto"/>
        <w:bottom w:val="none" w:sz="0" w:space="0" w:color="auto"/>
        <w:right w:val="none" w:sz="0" w:space="0" w:color="auto"/>
      </w:divBdr>
    </w:div>
    <w:div w:id="1974559627">
      <w:bodyDiv w:val="1"/>
      <w:marLeft w:val="0"/>
      <w:marRight w:val="0"/>
      <w:marTop w:val="0"/>
      <w:marBottom w:val="0"/>
      <w:divBdr>
        <w:top w:val="none" w:sz="0" w:space="0" w:color="auto"/>
        <w:left w:val="none" w:sz="0" w:space="0" w:color="auto"/>
        <w:bottom w:val="none" w:sz="0" w:space="0" w:color="auto"/>
        <w:right w:val="none" w:sz="0" w:space="0" w:color="auto"/>
      </w:divBdr>
    </w:div>
    <w:div w:id="1980915961">
      <w:bodyDiv w:val="1"/>
      <w:marLeft w:val="0"/>
      <w:marRight w:val="0"/>
      <w:marTop w:val="0"/>
      <w:marBottom w:val="0"/>
      <w:divBdr>
        <w:top w:val="none" w:sz="0" w:space="0" w:color="auto"/>
        <w:left w:val="none" w:sz="0" w:space="0" w:color="auto"/>
        <w:bottom w:val="none" w:sz="0" w:space="0" w:color="auto"/>
        <w:right w:val="none" w:sz="0" w:space="0" w:color="auto"/>
      </w:divBdr>
    </w:div>
    <w:div w:id="1983926991">
      <w:bodyDiv w:val="1"/>
      <w:marLeft w:val="0"/>
      <w:marRight w:val="0"/>
      <w:marTop w:val="0"/>
      <w:marBottom w:val="0"/>
      <w:divBdr>
        <w:top w:val="none" w:sz="0" w:space="0" w:color="auto"/>
        <w:left w:val="none" w:sz="0" w:space="0" w:color="auto"/>
        <w:bottom w:val="none" w:sz="0" w:space="0" w:color="auto"/>
        <w:right w:val="none" w:sz="0" w:space="0" w:color="auto"/>
      </w:divBdr>
    </w:div>
    <w:div w:id="1988242301">
      <w:bodyDiv w:val="1"/>
      <w:marLeft w:val="0"/>
      <w:marRight w:val="0"/>
      <w:marTop w:val="0"/>
      <w:marBottom w:val="0"/>
      <w:divBdr>
        <w:top w:val="none" w:sz="0" w:space="0" w:color="auto"/>
        <w:left w:val="none" w:sz="0" w:space="0" w:color="auto"/>
        <w:bottom w:val="none" w:sz="0" w:space="0" w:color="auto"/>
        <w:right w:val="none" w:sz="0" w:space="0" w:color="auto"/>
      </w:divBdr>
    </w:div>
    <w:div w:id="2007899714">
      <w:bodyDiv w:val="1"/>
      <w:marLeft w:val="0"/>
      <w:marRight w:val="0"/>
      <w:marTop w:val="0"/>
      <w:marBottom w:val="0"/>
      <w:divBdr>
        <w:top w:val="none" w:sz="0" w:space="0" w:color="auto"/>
        <w:left w:val="none" w:sz="0" w:space="0" w:color="auto"/>
        <w:bottom w:val="none" w:sz="0" w:space="0" w:color="auto"/>
        <w:right w:val="none" w:sz="0" w:space="0" w:color="auto"/>
      </w:divBdr>
    </w:div>
    <w:div w:id="2009556548">
      <w:bodyDiv w:val="1"/>
      <w:marLeft w:val="0"/>
      <w:marRight w:val="0"/>
      <w:marTop w:val="0"/>
      <w:marBottom w:val="0"/>
      <w:divBdr>
        <w:top w:val="none" w:sz="0" w:space="0" w:color="auto"/>
        <w:left w:val="none" w:sz="0" w:space="0" w:color="auto"/>
        <w:bottom w:val="none" w:sz="0" w:space="0" w:color="auto"/>
        <w:right w:val="none" w:sz="0" w:space="0" w:color="auto"/>
      </w:divBdr>
    </w:div>
    <w:div w:id="2010013343">
      <w:bodyDiv w:val="1"/>
      <w:marLeft w:val="0"/>
      <w:marRight w:val="0"/>
      <w:marTop w:val="0"/>
      <w:marBottom w:val="0"/>
      <w:divBdr>
        <w:top w:val="none" w:sz="0" w:space="0" w:color="auto"/>
        <w:left w:val="none" w:sz="0" w:space="0" w:color="auto"/>
        <w:bottom w:val="none" w:sz="0" w:space="0" w:color="auto"/>
        <w:right w:val="none" w:sz="0" w:space="0" w:color="auto"/>
      </w:divBdr>
    </w:div>
    <w:div w:id="2015959768">
      <w:bodyDiv w:val="1"/>
      <w:marLeft w:val="0"/>
      <w:marRight w:val="0"/>
      <w:marTop w:val="0"/>
      <w:marBottom w:val="0"/>
      <w:divBdr>
        <w:top w:val="none" w:sz="0" w:space="0" w:color="auto"/>
        <w:left w:val="none" w:sz="0" w:space="0" w:color="auto"/>
        <w:bottom w:val="none" w:sz="0" w:space="0" w:color="auto"/>
        <w:right w:val="none" w:sz="0" w:space="0" w:color="auto"/>
      </w:divBdr>
    </w:div>
    <w:div w:id="2027974623">
      <w:bodyDiv w:val="1"/>
      <w:marLeft w:val="0"/>
      <w:marRight w:val="0"/>
      <w:marTop w:val="0"/>
      <w:marBottom w:val="0"/>
      <w:divBdr>
        <w:top w:val="none" w:sz="0" w:space="0" w:color="auto"/>
        <w:left w:val="none" w:sz="0" w:space="0" w:color="auto"/>
        <w:bottom w:val="none" w:sz="0" w:space="0" w:color="auto"/>
        <w:right w:val="none" w:sz="0" w:space="0" w:color="auto"/>
      </w:divBdr>
    </w:div>
    <w:div w:id="2029519510">
      <w:bodyDiv w:val="1"/>
      <w:marLeft w:val="0"/>
      <w:marRight w:val="0"/>
      <w:marTop w:val="0"/>
      <w:marBottom w:val="0"/>
      <w:divBdr>
        <w:top w:val="none" w:sz="0" w:space="0" w:color="auto"/>
        <w:left w:val="none" w:sz="0" w:space="0" w:color="auto"/>
        <w:bottom w:val="none" w:sz="0" w:space="0" w:color="auto"/>
        <w:right w:val="none" w:sz="0" w:space="0" w:color="auto"/>
      </w:divBdr>
    </w:div>
    <w:div w:id="2029942043">
      <w:bodyDiv w:val="1"/>
      <w:marLeft w:val="0"/>
      <w:marRight w:val="0"/>
      <w:marTop w:val="0"/>
      <w:marBottom w:val="0"/>
      <w:divBdr>
        <w:top w:val="none" w:sz="0" w:space="0" w:color="auto"/>
        <w:left w:val="none" w:sz="0" w:space="0" w:color="auto"/>
        <w:bottom w:val="none" w:sz="0" w:space="0" w:color="auto"/>
        <w:right w:val="none" w:sz="0" w:space="0" w:color="auto"/>
      </w:divBdr>
    </w:div>
    <w:div w:id="2033454368">
      <w:bodyDiv w:val="1"/>
      <w:marLeft w:val="0"/>
      <w:marRight w:val="0"/>
      <w:marTop w:val="0"/>
      <w:marBottom w:val="0"/>
      <w:divBdr>
        <w:top w:val="none" w:sz="0" w:space="0" w:color="auto"/>
        <w:left w:val="none" w:sz="0" w:space="0" w:color="auto"/>
        <w:bottom w:val="none" w:sz="0" w:space="0" w:color="auto"/>
        <w:right w:val="none" w:sz="0" w:space="0" w:color="auto"/>
      </w:divBdr>
    </w:div>
    <w:div w:id="2036036102">
      <w:bodyDiv w:val="1"/>
      <w:marLeft w:val="0"/>
      <w:marRight w:val="0"/>
      <w:marTop w:val="0"/>
      <w:marBottom w:val="0"/>
      <w:divBdr>
        <w:top w:val="none" w:sz="0" w:space="0" w:color="auto"/>
        <w:left w:val="none" w:sz="0" w:space="0" w:color="auto"/>
        <w:bottom w:val="none" w:sz="0" w:space="0" w:color="auto"/>
        <w:right w:val="none" w:sz="0" w:space="0" w:color="auto"/>
      </w:divBdr>
    </w:div>
    <w:div w:id="2037846217">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090039283">
      <w:bodyDiv w:val="1"/>
      <w:marLeft w:val="0"/>
      <w:marRight w:val="0"/>
      <w:marTop w:val="0"/>
      <w:marBottom w:val="0"/>
      <w:divBdr>
        <w:top w:val="none" w:sz="0" w:space="0" w:color="auto"/>
        <w:left w:val="none" w:sz="0" w:space="0" w:color="auto"/>
        <w:bottom w:val="none" w:sz="0" w:space="0" w:color="auto"/>
        <w:right w:val="none" w:sz="0" w:space="0" w:color="auto"/>
      </w:divBdr>
    </w:div>
    <w:div w:id="2091075449">
      <w:bodyDiv w:val="1"/>
      <w:marLeft w:val="0"/>
      <w:marRight w:val="0"/>
      <w:marTop w:val="0"/>
      <w:marBottom w:val="0"/>
      <w:divBdr>
        <w:top w:val="none" w:sz="0" w:space="0" w:color="auto"/>
        <w:left w:val="none" w:sz="0" w:space="0" w:color="auto"/>
        <w:bottom w:val="none" w:sz="0" w:space="0" w:color="auto"/>
        <w:right w:val="none" w:sz="0" w:space="0" w:color="auto"/>
      </w:divBdr>
    </w:div>
    <w:div w:id="2091651860">
      <w:bodyDiv w:val="1"/>
      <w:marLeft w:val="0"/>
      <w:marRight w:val="0"/>
      <w:marTop w:val="0"/>
      <w:marBottom w:val="0"/>
      <w:divBdr>
        <w:top w:val="none" w:sz="0" w:space="0" w:color="auto"/>
        <w:left w:val="none" w:sz="0" w:space="0" w:color="auto"/>
        <w:bottom w:val="none" w:sz="0" w:space="0" w:color="auto"/>
        <w:right w:val="none" w:sz="0" w:space="0" w:color="auto"/>
      </w:divBdr>
    </w:div>
    <w:div w:id="2099472916">
      <w:bodyDiv w:val="1"/>
      <w:marLeft w:val="0"/>
      <w:marRight w:val="0"/>
      <w:marTop w:val="0"/>
      <w:marBottom w:val="0"/>
      <w:divBdr>
        <w:top w:val="none" w:sz="0" w:space="0" w:color="auto"/>
        <w:left w:val="none" w:sz="0" w:space="0" w:color="auto"/>
        <w:bottom w:val="none" w:sz="0" w:space="0" w:color="auto"/>
        <w:right w:val="none" w:sz="0" w:space="0" w:color="auto"/>
      </w:divBdr>
    </w:div>
    <w:div w:id="2106068347">
      <w:bodyDiv w:val="1"/>
      <w:marLeft w:val="0"/>
      <w:marRight w:val="0"/>
      <w:marTop w:val="0"/>
      <w:marBottom w:val="0"/>
      <w:divBdr>
        <w:top w:val="none" w:sz="0" w:space="0" w:color="auto"/>
        <w:left w:val="none" w:sz="0" w:space="0" w:color="auto"/>
        <w:bottom w:val="none" w:sz="0" w:space="0" w:color="auto"/>
        <w:right w:val="none" w:sz="0" w:space="0" w:color="auto"/>
      </w:divBdr>
    </w:div>
    <w:div w:id="2109807844">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 w:id="2142649492">
      <w:bodyDiv w:val="1"/>
      <w:marLeft w:val="0"/>
      <w:marRight w:val="0"/>
      <w:marTop w:val="0"/>
      <w:marBottom w:val="0"/>
      <w:divBdr>
        <w:top w:val="none" w:sz="0" w:space="0" w:color="auto"/>
        <w:left w:val="none" w:sz="0" w:space="0" w:color="auto"/>
        <w:bottom w:val="none" w:sz="0" w:space="0" w:color="auto"/>
        <w:right w:val="none" w:sz="0" w:space="0" w:color="auto"/>
      </w:divBdr>
    </w:div>
    <w:div w:id="214272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onr.org.uk/copyright" TargetMode="Externa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unning\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7154C5">
          <w:r w:rsidRPr="00812B14">
            <w:rPr>
              <w:rStyle w:val="PlaceholderText"/>
            </w:rPr>
            <w:t>[Status]</w:t>
          </w:r>
        </w:p>
      </w:docPartBody>
    </w:docPart>
    <w:docPart>
      <w:docPartPr>
        <w:name w:val="0D0421AB1B8C47CEA5263279462BA361"/>
        <w:category>
          <w:name w:val="General"/>
          <w:gallery w:val="placeholder"/>
        </w:category>
        <w:types>
          <w:type w:val="bbPlcHdr"/>
        </w:types>
        <w:behaviors>
          <w:behavior w:val="content"/>
        </w:behaviors>
        <w:guid w:val="{6CF3DC7B-F070-49E3-8C5C-E2F5C3B7DF32}"/>
      </w:docPartPr>
      <w:docPartBody>
        <w:p w:rsidR="007C6F8F" w:rsidRDefault="001935DC" w:rsidP="001935DC">
          <w:pPr>
            <w:pStyle w:val="0D0421AB1B8C47CEA5263279462BA361"/>
          </w:pPr>
          <w:r w:rsidRPr="00AA72DC">
            <w:rPr>
              <w:rStyle w:val="PlaceholderText"/>
            </w:rPr>
            <w:t>[Publication Issue No.]</w:t>
          </w:r>
        </w:p>
      </w:docPartBody>
    </w:docPart>
    <w:docPart>
      <w:docPartPr>
        <w:name w:val="32FCF1F019724DC3B0D01B54D222C9BF"/>
        <w:category>
          <w:name w:val="General"/>
          <w:gallery w:val="placeholder"/>
        </w:category>
        <w:types>
          <w:type w:val="bbPlcHdr"/>
        </w:types>
        <w:behaviors>
          <w:behavior w:val="content"/>
        </w:behaviors>
        <w:guid w:val="{5515706A-F917-4345-A67F-268EE8D3B45A}"/>
      </w:docPartPr>
      <w:docPartBody>
        <w:p w:rsidR="005E1640" w:rsidRDefault="007154C5">
          <w:pPr>
            <w:pStyle w:val="32FCF1F019724DC3B0D01B54D222C9BF"/>
          </w:pPr>
          <w:r w:rsidRPr="0069507A">
            <w:rPr>
              <w:rStyle w:val="PlaceholderText"/>
            </w:rPr>
            <w:t>[Title]</w:t>
          </w:r>
        </w:p>
      </w:docPartBody>
    </w:docPart>
    <w:docPart>
      <w:docPartPr>
        <w:name w:val="E253AEE68B0B467D884E4E878D90E44A"/>
        <w:category>
          <w:name w:val="General"/>
          <w:gallery w:val="placeholder"/>
        </w:category>
        <w:types>
          <w:type w:val="bbPlcHdr"/>
        </w:types>
        <w:behaviors>
          <w:behavior w:val="content"/>
        </w:behaviors>
        <w:guid w:val="{EA661574-AB13-4700-99AB-6D2F89A24807}"/>
      </w:docPartPr>
      <w:docPartBody>
        <w:p w:rsidR="005E1640" w:rsidRDefault="007154C5">
          <w:pPr>
            <w:pStyle w:val="E253AEE68B0B467D884E4E878D90E44A"/>
          </w:pPr>
          <w:r w:rsidRPr="00812B14">
            <w:rPr>
              <w:rStyle w:val="PlaceholderText"/>
            </w:rPr>
            <w:t>[Title]</w:t>
          </w:r>
        </w:p>
      </w:docPartBody>
    </w:docPart>
    <w:docPart>
      <w:docPartPr>
        <w:name w:val="59BE9E8AFC58429AB92DA3DEA7B3DE9E"/>
        <w:category>
          <w:name w:val="General"/>
          <w:gallery w:val="placeholder"/>
        </w:category>
        <w:types>
          <w:type w:val="bbPlcHdr"/>
        </w:types>
        <w:behaviors>
          <w:behavior w:val="content"/>
        </w:behaviors>
        <w:guid w:val="{C2671389-4BC8-470F-A0D6-2D3056EAEB56}"/>
      </w:docPartPr>
      <w:docPartBody>
        <w:p w:rsidR="005E1640" w:rsidRDefault="007154C5">
          <w:pPr>
            <w:pStyle w:val="59BE9E8AFC58429AB92DA3DEA7B3DE9E"/>
          </w:pPr>
          <w:r w:rsidRPr="00812B14">
            <w:rPr>
              <w:rStyle w:val="PlaceholderText"/>
            </w:rPr>
            <w:t>Click or tap here to enter text.</w:t>
          </w:r>
        </w:p>
      </w:docPartBody>
    </w:docPart>
    <w:docPart>
      <w:docPartPr>
        <w:name w:val="B5F2C3B16C4D4298907E23D38151EE36"/>
        <w:category>
          <w:name w:val="General"/>
          <w:gallery w:val="placeholder"/>
        </w:category>
        <w:types>
          <w:type w:val="bbPlcHdr"/>
        </w:types>
        <w:behaviors>
          <w:behavior w:val="content"/>
        </w:behaviors>
        <w:guid w:val="{B552ACBA-824D-4BBD-A1B4-AC8FDC3CCC2D}"/>
      </w:docPartPr>
      <w:docPartBody>
        <w:p w:rsidR="005E1640" w:rsidRDefault="007154C5">
          <w:pPr>
            <w:pStyle w:val="B5F2C3B16C4D4298907E23D38151EE36"/>
          </w:pPr>
          <w:r w:rsidRPr="00561874">
            <w:rPr>
              <w:rStyle w:val="PlaceholderText"/>
            </w:rPr>
            <w:t>[Title]</w:t>
          </w:r>
        </w:p>
      </w:docPartBody>
    </w:docPart>
    <w:docPart>
      <w:docPartPr>
        <w:name w:val="57450AE9AF264FA3A2FE80955E13683A"/>
        <w:category>
          <w:name w:val="General"/>
          <w:gallery w:val="placeholder"/>
        </w:category>
        <w:types>
          <w:type w:val="bbPlcHdr"/>
        </w:types>
        <w:behaviors>
          <w:behavior w:val="content"/>
        </w:behaviors>
        <w:guid w:val="{5BC68C39-3D89-47C0-94E9-F198BBBD5987}"/>
      </w:docPartPr>
      <w:docPartBody>
        <w:p w:rsidR="005E1640" w:rsidRDefault="007154C5">
          <w:pPr>
            <w:pStyle w:val="57450AE9AF264FA3A2FE80955E13683A"/>
          </w:pPr>
          <w:r w:rsidRPr="00D1240B">
            <w:rPr>
              <w:rStyle w:val="PlaceholderText"/>
            </w:rPr>
            <w:t>[Status]</w:t>
          </w:r>
        </w:p>
      </w:docPartBody>
    </w:docPart>
    <w:docPart>
      <w:docPartPr>
        <w:name w:val="6BE98838AD6A4C3E9CEAE0E873703043"/>
        <w:category>
          <w:name w:val="General"/>
          <w:gallery w:val="placeholder"/>
        </w:category>
        <w:types>
          <w:type w:val="bbPlcHdr"/>
        </w:types>
        <w:behaviors>
          <w:behavior w:val="content"/>
        </w:behaviors>
        <w:guid w:val="{676DE590-6424-4E83-920B-599F21FCEC3C}"/>
      </w:docPartPr>
      <w:docPartBody>
        <w:p w:rsidR="005E1640" w:rsidRDefault="007154C5">
          <w:pPr>
            <w:pStyle w:val="6BE98838AD6A4C3E9CEAE0E873703043"/>
          </w:pPr>
          <w:r w:rsidRPr="00561874">
            <w:rPr>
              <w:rStyle w:val="PlaceholderText"/>
            </w:rPr>
            <w:t>[Title]</w:t>
          </w:r>
        </w:p>
      </w:docPartBody>
    </w:docPart>
    <w:docPart>
      <w:docPartPr>
        <w:name w:val="11280C7E901642F2A5D6FC85DFE11B65"/>
        <w:category>
          <w:name w:val="General"/>
          <w:gallery w:val="placeholder"/>
        </w:category>
        <w:types>
          <w:type w:val="bbPlcHdr"/>
        </w:types>
        <w:behaviors>
          <w:behavior w:val="content"/>
        </w:behaviors>
        <w:guid w:val="{826BABD6-3AB6-46BE-BF2E-CF9D38F4F7EB}"/>
      </w:docPartPr>
      <w:docPartBody>
        <w:p w:rsidR="005E1640" w:rsidRDefault="007154C5">
          <w:pPr>
            <w:pStyle w:val="11280C7E901642F2A5D6FC85DFE11B65"/>
          </w:pPr>
          <w:r w:rsidRPr="00D1240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00462"/>
    <w:rsid w:val="0000474D"/>
    <w:rsid w:val="000A5887"/>
    <w:rsid w:val="00163978"/>
    <w:rsid w:val="00181140"/>
    <w:rsid w:val="00183F29"/>
    <w:rsid w:val="001935DC"/>
    <w:rsid w:val="001A3B09"/>
    <w:rsid w:val="001B6111"/>
    <w:rsid w:val="001D12AD"/>
    <w:rsid w:val="0020142D"/>
    <w:rsid w:val="00236D83"/>
    <w:rsid w:val="002550FD"/>
    <w:rsid w:val="00295485"/>
    <w:rsid w:val="002B0E26"/>
    <w:rsid w:val="002E4A01"/>
    <w:rsid w:val="00323F00"/>
    <w:rsid w:val="00325D8D"/>
    <w:rsid w:val="00333F8E"/>
    <w:rsid w:val="00350199"/>
    <w:rsid w:val="003763D8"/>
    <w:rsid w:val="00397E8F"/>
    <w:rsid w:val="003D2467"/>
    <w:rsid w:val="00410355"/>
    <w:rsid w:val="00414DCB"/>
    <w:rsid w:val="00460DCA"/>
    <w:rsid w:val="004B3261"/>
    <w:rsid w:val="004C6631"/>
    <w:rsid w:val="004E6034"/>
    <w:rsid w:val="004E7776"/>
    <w:rsid w:val="00507E7E"/>
    <w:rsid w:val="005208BB"/>
    <w:rsid w:val="00563017"/>
    <w:rsid w:val="00575053"/>
    <w:rsid w:val="005802C8"/>
    <w:rsid w:val="005947F5"/>
    <w:rsid w:val="005A00B0"/>
    <w:rsid w:val="005D2B3E"/>
    <w:rsid w:val="005D4DB0"/>
    <w:rsid w:val="005E1640"/>
    <w:rsid w:val="00606F18"/>
    <w:rsid w:val="00611F13"/>
    <w:rsid w:val="00642E05"/>
    <w:rsid w:val="006713EF"/>
    <w:rsid w:val="00692779"/>
    <w:rsid w:val="006939E8"/>
    <w:rsid w:val="006A1F0A"/>
    <w:rsid w:val="006A61AC"/>
    <w:rsid w:val="006B7F19"/>
    <w:rsid w:val="007121C9"/>
    <w:rsid w:val="007154C5"/>
    <w:rsid w:val="00726177"/>
    <w:rsid w:val="00735F4B"/>
    <w:rsid w:val="00735F8A"/>
    <w:rsid w:val="0075422A"/>
    <w:rsid w:val="007A4D08"/>
    <w:rsid w:val="007C4D7C"/>
    <w:rsid w:val="007C6F8F"/>
    <w:rsid w:val="007E5351"/>
    <w:rsid w:val="00835E07"/>
    <w:rsid w:val="00853259"/>
    <w:rsid w:val="00863744"/>
    <w:rsid w:val="008F40BF"/>
    <w:rsid w:val="00997002"/>
    <w:rsid w:val="009B1BEC"/>
    <w:rsid w:val="009E4838"/>
    <w:rsid w:val="00A61657"/>
    <w:rsid w:val="00A64040"/>
    <w:rsid w:val="00AD7CD0"/>
    <w:rsid w:val="00B13608"/>
    <w:rsid w:val="00B24590"/>
    <w:rsid w:val="00B26338"/>
    <w:rsid w:val="00B556B0"/>
    <w:rsid w:val="00BC3CD8"/>
    <w:rsid w:val="00BD7606"/>
    <w:rsid w:val="00BF49DC"/>
    <w:rsid w:val="00C41BCC"/>
    <w:rsid w:val="00C5669D"/>
    <w:rsid w:val="00CB30CC"/>
    <w:rsid w:val="00CD221D"/>
    <w:rsid w:val="00CF7507"/>
    <w:rsid w:val="00D03B66"/>
    <w:rsid w:val="00D23E46"/>
    <w:rsid w:val="00D5074A"/>
    <w:rsid w:val="00D57E7C"/>
    <w:rsid w:val="00D948D2"/>
    <w:rsid w:val="00DB3F34"/>
    <w:rsid w:val="00DC2398"/>
    <w:rsid w:val="00DD7BA4"/>
    <w:rsid w:val="00E318CE"/>
    <w:rsid w:val="00E464D1"/>
    <w:rsid w:val="00E646E1"/>
    <w:rsid w:val="00E67EA0"/>
    <w:rsid w:val="00E84440"/>
    <w:rsid w:val="00E94EE6"/>
    <w:rsid w:val="00F3147A"/>
    <w:rsid w:val="00F370B1"/>
    <w:rsid w:val="00F93872"/>
    <w:rsid w:val="00FE66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35DC"/>
    <w:rPr>
      <w:color w:val="808080"/>
    </w:rPr>
  </w:style>
  <w:style w:type="paragraph" w:customStyle="1" w:styleId="0D0421AB1B8C47CEA5263279462BA361">
    <w:name w:val="0D0421AB1B8C47CEA5263279462BA361"/>
    <w:rsid w:val="001935DC"/>
  </w:style>
  <w:style w:type="paragraph" w:customStyle="1" w:styleId="32FCF1F019724DC3B0D01B54D222C9BF">
    <w:name w:val="32FCF1F019724DC3B0D01B54D222C9BF"/>
    <w:pPr>
      <w:spacing w:line="278" w:lineRule="auto"/>
    </w:pPr>
    <w:rPr>
      <w:kern w:val="2"/>
      <w:sz w:val="24"/>
      <w:szCs w:val="24"/>
      <w14:ligatures w14:val="standardContextual"/>
    </w:rPr>
  </w:style>
  <w:style w:type="paragraph" w:customStyle="1" w:styleId="E253AEE68B0B467D884E4E878D90E44A">
    <w:name w:val="E253AEE68B0B467D884E4E878D90E44A"/>
    <w:pPr>
      <w:spacing w:line="278" w:lineRule="auto"/>
    </w:pPr>
    <w:rPr>
      <w:kern w:val="2"/>
      <w:sz w:val="24"/>
      <w:szCs w:val="24"/>
      <w14:ligatures w14:val="standardContextual"/>
    </w:rPr>
  </w:style>
  <w:style w:type="paragraph" w:customStyle="1" w:styleId="59BE9E8AFC58429AB92DA3DEA7B3DE9E">
    <w:name w:val="59BE9E8AFC58429AB92DA3DEA7B3DE9E"/>
    <w:pPr>
      <w:spacing w:line="278" w:lineRule="auto"/>
    </w:pPr>
    <w:rPr>
      <w:kern w:val="2"/>
      <w:sz w:val="24"/>
      <w:szCs w:val="24"/>
      <w14:ligatures w14:val="standardContextual"/>
    </w:rPr>
  </w:style>
  <w:style w:type="paragraph" w:customStyle="1" w:styleId="B5F2C3B16C4D4298907E23D38151EE36">
    <w:name w:val="B5F2C3B16C4D4298907E23D38151EE36"/>
    <w:pPr>
      <w:spacing w:line="278" w:lineRule="auto"/>
    </w:pPr>
    <w:rPr>
      <w:kern w:val="2"/>
      <w:sz w:val="24"/>
      <w:szCs w:val="24"/>
      <w14:ligatures w14:val="standardContextual"/>
    </w:rPr>
  </w:style>
  <w:style w:type="paragraph" w:customStyle="1" w:styleId="57450AE9AF264FA3A2FE80955E13683A">
    <w:name w:val="57450AE9AF264FA3A2FE80955E13683A"/>
    <w:pPr>
      <w:spacing w:line="278" w:lineRule="auto"/>
    </w:pPr>
    <w:rPr>
      <w:kern w:val="2"/>
      <w:sz w:val="24"/>
      <w:szCs w:val="24"/>
      <w14:ligatures w14:val="standardContextual"/>
    </w:rPr>
  </w:style>
  <w:style w:type="paragraph" w:customStyle="1" w:styleId="6BE98838AD6A4C3E9CEAE0E873703043">
    <w:name w:val="6BE98838AD6A4C3E9CEAE0E873703043"/>
    <w:pPr>
      <w:spacing w:line="278" w:lineRule="auto"/>
    </w:pPr>
    <w:rPr>
      <w:kern w:val="2"/>
      <w:sz w:val="24"/>
      <w:szCs w:val="24"/>
      <w14:ligatures w14:val="standardContextual"/>
    </w:rPr>
  </w:style>
  <w:style w:type="paragraph" w:customStyle="1" w:styleId="11280C7E901642F2A5D6FC85DFE11B65">
    <w:name w:val="11280C7E901642F2A5D6FC85DFE11B6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b:Source>
    <b:Tag>CoA1</b:Tag>
    <b:SourceType>Book</b:SourceType>
    <b:Guid>{CAA5911D-31E6-4A18-9B3D-6F8FF5A251A6}</b:Guid>
    <b:Title>GB/4125/H(M) Certificate of Approval, ONRW-2019369590-30137</b:Title>
    <b:RefOrder>2</b:RefOrder>
  </b:Source>
  <b:Source>
    <b:Tag>Shield</b:Tag>
    <b:SourceType>Book</b:SourceType>
    <b:Guid>{B8385D4B-2588-4743-8781-CC5BB5D45D0D}</b:Guid>
    <b:Title>AR-01493, Radiation Protection – Shielding / Dose Rate Assessment, ONRW-2126615823-13428</b:Title>
    <b:RefOrder>5</b:RefOrder>
  </b:Source>
  <b:Source>
    <b:Tag>PDSR1</b:Tag>
    <b:SourceType>Book</b:SourceType>
    <b:Guid>{4B293149-DD0D-4AA5-BB1B-2DD50915BF4F}</b:Guid>
    <b:Title>Safety Analysis Report In Support of Competent Authority Approval for Model 48Y and 48X Cylinder Package Design to Transport Uranium Hexafluoride as H(M), Issue 1, June 2023</b:Title>
    <b:RefOrder>1</b:RefOrder>
  </b:Source>
  <b:Source>
    <b:Tag>thermalemail</b:Tag>
    <b:SourceType>Book</b:SourceType>
    <b:Guid>{23C99AD9-3F36-47ED-90E8-D1A87999E919}</b:Guid>
    <b:Title>Email, Thermal safety substantiation requirement for future H(M) applications, ONRW-2019369590-30528</b:Title>
    <b:RefOrder>4</b:RefOrder>
  </b:Source>
  <b:Source>
    <b:Tag>ENG</b:Tag>
    <b:SourceType>Book</b:SourceType>
    <b:Guid>{ACB1CBC3-1AC5-4DEB-96DB-DB049ADD8188}</b:Guid>
    <b:Title>AR-01488, Approval of GB/4125/H(M) package design used to transport uranium hexaflouride in Type 48Y cylinders, ONRW-2126615823-12128</b:Title>
    <b:RefOrder>3</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_dlc_DocId xmlns="f6cfbbfa-3ea0-4d8e-acde-632e83cd9c55">ONRW-2019369590-31849</_dlc_DocId>
    <_dlc_DocIdUrl xmlns="f6cfbbfa-3ea0-4d8e-acde-632e83cd9c55">
      <Url>https://prodonrgov.sharepoint.com/sites/WIReD/_layouts/15/DocIdRedir.aspx?ID=ONRW-2019369590-31849</Url>
      <Description>ONRW-2019369590-31849</Description>
    </_dlc_DocIdUrl>
    <TaxCatchAll xmlns="f6cfbbfa-3ea0-4d8e-acde-632e83cd9c55" xsi:nil="true"/>
    <Document_x0020_Type xmlns="f6cfbbfa-3ea0-4d8e-acde-632e83cd9c55">Decision Justification Report</Document_x0020_Type>
    <External_x0020_Reference xmlns="f6cfbbfa-3ea0-4d8e-acde-632e83cd9c55">null</External_x0020_Reference>
    <Site xmlns="f6cfbbfa-3ea0-4d8e-acde-632e83cd9c55">Capenhurst Works (UUK)</Site>
    <GDA_x0020_Regulator_x0020_or_x0020_RP xmlns="f6cfbbfa-3ea0-4d8e-acde-632e83cd9c55">ONR</GDA_x0020_Regulator_x0020_or_x0020_RP>
    <NoRecords xmlns="2b92fa06-69b2-4527-a0e1-9e8803fc1e53" xsi:nil="true"/>
    <External_x0020_Revision xmlns="f6cfbbfa-3ea0-4d8e-acde-632e83cd9c55" xsi:nil="true"/>
    <GDA_x0020_Tier xmlns="f6cfbbfa-3ea0-4d8e-acde-632e83cd9c55" xsi:nil="true"/>
    <Uploadedby xmlns="2b92fa06-69b2-4527-a0e1-9e8803fc1e53">Thomas Row</Uploadedby>
    <Classification xmlns="2b92fa06-69b2-4527-a0e1-9e8803fc1e53" xsi:nil="true"/>
    <Record_x0020_Number xmlns="f6cfbbfa-3ea0-4d8e-acde-632e83cd9c55">PR-01613</Record_x0020_Number>
    <_dlc_DocIdPersistId xmlns="f6cfbbfa-3ea0-4d8e-acde-632e83cd9c55" xsi:nil="true"/>
    <lcf76f155ced4ddcb4097134ff3c332f xmlns="2b92fa06-69b2-4527-a0e1-9e8803fc1e53">
      <Terms xmlns="http://schemas.microsoft.com/office/infopath/2007/PartnerControls"/>
    </lcf76f155ced4ddcb4097134ff3c332f>
    <GDA_x0020_RP_x0020_Assigned_x0020_Export_x0020_Control xmlns="f6cfbbfa-3ea0-4d8e-acde-632e83cd9c55" xsi:nil="true"/>
    <GDA_x0020_Topics xmlns="f6cfbbfa-3ea0-4d8e-acde-632e83cd9c55" xsi:nil="true"/>
    <Division xmlns="f6cfbbfa-3ea0-4d8e-acde-632e83cd9c55">Sellafield &amp; Decommissioning, Fuel &amp; Waste</Division>
    <Document_x0020_Status xmlns="f6cfbbfa-3ea0-4d8e-acde-632e83cd9c55">Final</Document_x0020_Status>
    <Subdivision xmlns="f6cfbbfa-3ea0-4d8e-acde-632e83cd9c55">Transport Competent Authority</Subdivision>
    <GDA_x0020_Purpose xmlns="f6cfbbfa-3ea0-4d8e-acde-632e83cd9c55" xsi:nil="true"/>
    <Dutyholder xmlns="f6cfbbfa-3ea0-4d8e-acde-632e83cd9c55">Urenco UK</Dutyholder>
    <SharedWithUsers xmlns="f6cfbbfa-3ea0-4d8e-acde-632e83cd9c55">
      <UserInfo>
        <DisplayName>Liam Dunning</DisplayName>
        <AccountId>12</AccountId>
        <AccountType/>
      </UserInfo>
    </SharedWithUser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A13914FA0711CC4A961807421DD4EAE1" ma:contentTypeVersion="44" ma:contentTypeDescription="Create a new document." ma:contentTypeScope="" ma:versionID="fdf00023eca38ab0feba73afcf9cee6c">
  <xsd:schema xmlns:xsd="http://www.w3.org/2001/XMLSchema" xmlns:xs="http://www.w3.org/2001/XMLSchema" xmlns:p="http://schemas.microsoft.com/office/2006/metadata/properties" xmlns:ns2="f6cfbbfa-3ea0-4d8e-acde-632e83cd9c55" xmlns:ns3="2b92fa06-69b2-4527-a0e1-9e8803fc1e53" targetNamespace="http://schemas.microsoft.com/office/2006/metadata/properties" ma:root="true" ma:fieldsID="698d5c62ef2f436f0ca06aaad5fce4be" ns2:_="" ns3:_="">
    <xsd:import namespace="f6cfbbfa-3ea0-4d8e-acde-632e83cd9c55"/>
    <xsd:import namespace="2b92fa06-69b2-4527-a0e1-9e8803fc1e53"/>
    <xsd:element name="properties">
      <xsd:complexType>
        <xsd:sequence>
          <xsd:element name="documentManagement">
            <xsd:complexType>
              <xsd:all>
                <xsd:element ref="ns2:Document_x0020_Type" minOccurs="0"/>
                <xsd:element ref="ns2:Dutyholder" minOccurs="0"/>
                <xsd:element ref="ns2:External_x0020_Reference" minOccurs="0"/>
                <xsd:element ref="ns2:Site" minOccurs="0"/>
                <xsd:element ref="ns2:Record_x0020_Number" minOccurs="0"/>
                <xsd:element ref="ns2:_dlc_DocIdUrl" minOccurs="0"/>
                <xsd:element ref="ns3:NoRecords" minOccurs="0"/>
                <xsd:element ref="ns2:_dlc_DocId" minOccurs="0"/>
                <xsd:element ref="ns2:_dlc_DocIdPersistId" minOccurs="0"/>
                <xsd:element ref="ns3:MediaServiceMetadata" minOccurs="0"/>
                <xsd:element ref="ns2:SharedWithUsers" minOccurs="0"/>
                <xsd:element ref="ns2:SharedWithDetails"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ivision" minOccurs="0"/>
                <xsd:element ref="ns2:Subdivision" minOccurs="0"/>
                <xsd:element ref="ns2:External_x0020_Revision" minOccurs="0"/>
                <xsd:element ref="ns2:GDA_x0020_Purpose" minOccurs="0"/>
                <xsd:element ref="ns2:GDA_x0020_RP_x0020_Assigned_x0020_Export_x0020_Control" minOccurs="0"/>
                <xsd:element ref="ns2:GDA_x0020_Tier" minOccurs="0"/>
                <xsd:element ref="ns3:MediaServiceDateTaken" minOccurs="0"/>
                <xsd:element ref="ns3:MediaServiceObjectDetectorVersions" minOccurs="0"/>
                <xsd:element ref="ns3:MediaLengthInSeconds" minOccurs="0"/>
                <xsd:element ref="ns2:GDA_x0020_Regulator_x0020_or_x0020_RP" minOccurs="0"/>
                <xsd:element ref="ns3:MediaServiceSearchProperties" minOccurs="0"/>
                <xsd:element ref="ns2:GDA_x0020_Topics" minOccurs="0"/>
                <xsd:element ref="ns3:Uploadedby" minOccurs="0"/>
                <xsd:element ref="ns3:Classification" minOccurs="0"/>
                <xsd:element ref="ns2:Document_x0020_Statu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bbfa-3ea0-4d8e-acde-632e83cd9c55"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dexed="true" ma:internalName="Document_x0020_Type">
      <xsd:simpleType>
        <xsd:restriction base="dms:Choice">
          <xsd:enumeration value="Agenda"/>
          <xsd:enumeration value="Decision Justification Report"/>
          <xsd:enumeration value="CR Contact report"/>
          <xsd:enumeration value="Request"/>
          <xsd:enumeration value="Decision Communication"/>
          <xsd:enumeration value="Independent Checksheet"/>
          <xsd:enumeration value="Dutyholder Request Document"/>
          <xsd:enumeration value="Dutyholder Supporting Document"/>
          <xsd:enumeration value="Email"/>
          <xsd:enumeration value="Enforcement Template"/>
          <xsd:enumeration value="Letters in"/>
          <xsd:enumeration value="Letters out"/>
          <xsd:enumeration value="Minutes"/>
          <xsd:enumeration value="Presentation"/>
          <xsd:enumeration value="RNIP"/>
          <xsd:enumeration value="Other"/>
        </xsd:restriction>
      </xsd:simpleType>
    </xsd:element>
    <xsd:element name="Dutyholder" ma:index="3" nillable="true" ma:displayName="Dutyholder" ma:default="" ma:indexed="true" ma:internalName="Dutyholder">
      <xsd:simpleType>
        <xsd:restriction base="dms:Text">
          <xsd:maxLength value="255"/>
        </xsd:restriction>
      </xsd:simpleType>
    </xsd:element>
    <xsd:element name="External_x0020_Reference" ma:index="4" nillable="true" ma:displayName="External Reference" ma:description="SMR0005917" ma:format="Dropdown" ma:indexed="true" ma:internalName="External_x0020_Reference">
      <xsd:simpleType>
        <xsd:restriction base="dms:Text">
          <xsd:maxLength value="255"/>
        </xsd:restriction>
      </xsd:simpleType>
    </xsd:element>
    <xsd:element name="Site" ma:index="5" nillable="true" ma:displayName="Site" ma:default="" ma:internalName="Site" ma:readOnly="false">
      <xsd:simpleType>
        <xsd:restriction base="dms:Text">
          <xsd:maxLength value="255"/>
        </xsd:restriction>
      </xsd:simpleType>
    </xsd:element>
    <xsd:element name="Record_x0020_Number" ma:index="6" nillable="true" ma:displayName="Record Number" ma:default="" ma:internalName="Record_x0020_Number" ma:readOnly="false">
      <xsd:simpleType>
        <xsd:restriction base="dms:Text">
          <xsd:maxLength value="255"/>
        </xsd:restriction>
      </xsd:simpleType>
    </xsd:element>
    <xsd:element name="_dlc_DocIdUrl" ma:index="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5"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5a01dc95-145a-442e-a4dc-738a02de2e92}" ma:internalName="TaxCatchAll" ma:readOnly="false" ma:showField="CatchAllData" ma:web="f6cfbbfa-3ea0-4d8e-acde-632e83cd9c55">
      <xsd:complexType>
        <xsd:complexContent>
          <xsd:extension base="dms:MultiChoiceLookup">
            <xsd:sequence>
              <xsd:element name="Value" type="dms:Lookup" maxOccurs="unbounded" minOccurs="0" nillable="true"/>
            </xsd:sequence>
          </xsd:extension>
        </xsd:complexContent>
      </xsd:complexType>
    </xsd:element>
    <xsd:element name="Division" ma:index="28" nillable="true" ma:displayName="Division" ma:default="" ma:internalName="Division">
      <xsd:simpleType>
        <xsd:restriction base="dms:Text">
          <xsd:maxLength value="255"/>
        </xsd:restriction>
      </xsd:simpleType>
    </xsd:element>
    <xsd:element name="Subdivision" ma:index="29" nillable="true" ma:displayName="Subdivision" ma:default="" ma:internalName="Subdivision">
      <xsd:simpleType>
        <xsd:restriction base="dms:Text">
          <xsd:maxLength value="255"/>
        </xsd:restriction>
      </xsd:simpleType>
    </xsd:element>
    <xsd:element name="External_x0020_Revision" ma:index="30" nillable="true" ma:displayName="External Revision" ma:default="" ma:internalName="External_x0020_Revision">
      <xsd:simpleType>
        <xsd:restriction base="dms:Text">
          <xsd:maxLength value="255"/>
        </xsd:restriction>
      </xsd:simpleType>
    </xsd:element>
    <xsd:element name="GDA_x0020_Purpose" ma:index="31" nillable="true" ma:displayName="GDA Purpose" ma:format="Dropdown" ma:internalName="GDA_x0020_Purpose">
      <xsd:simpleType>
        <xsd:restriction base="dms:Choice">
          <xsd:enumeration value="Project"/>
          <xsd:enumeration value="Safety"/>
          <xsd:enumeration value="Security"/>
          <xsd:enumeration value="Safeguards"/>
          <xsd:enumeration value="Environment or General"/>
          <xsd:enumeration value="N/A"/>
        </xsd:restriction>
      </xsd:simpleType>
    </xsd:element>
    <xsd:element name="GDA_x0020_RP_x0020_Assigned_x0020_Export_x0020_Control" ma:index="32" nillable="true" ma:displayName="GDA RP Assigned Export Control" ma:default="" ma:internalName="GDA_x0020_RP_x0020_Assigned_x0020_Export_x0020_Control">
      <xsd:simpleType>
        <xsd:restriction base="dms:Text">
          <xsd:maxLength value="255"/>
        </xsd:restriction>
      </xsd:simpleType>
    </xsd:element>
    <xsd:element name="GDA_x0020_Tier" ma:index="33" nillable="true" ma:displayName="GDA Tier" ma:format="Dropdown" ma:internalName="GDA_x0020_Tier">
      <xsd:simpleType>
        <xsd:restriction base="dms:Choice">
          <xsd:enumeration value="1"/>
          <xsd:enumeration value="2"/>
          <xsd:enumeration value="3"/>
          <xsd:enumeration value="4"/>
          <xsd:enumeration value="N/A"/>
        </xsd:restriction>
      </xsd:simpleType>
    </xsd:element>
    <xsd:element name="GDA_x0020_Regulator_x0020_or_x0020_RP" ma:index="37" nillable="true" ma:displayName="GDA Regulator or RP" ma:default="ONR" ma:format="Dropdown" ma:internalName="GDA_x0020_Regulator_x0020_or_x0020_RP">
      <xsd:simpleType>
        <xsd:restriction base="dms:Choice">
          <xsd:enumeration value="ONR"/>
          <xsd:enumeration value="NRW"/>
          <xsd:enumeration value="EA"/>
          <xsd:enumeration value="Rolls-Royce SMR Ltd"/>
          <xsd:enumeration value="GE Hitachi Nuclear Energy International"/>
          <xsd:enumeration value="Holtec International"/>
        </xsd:restriction>
      </xsd:simpleType>
    </xsd:element>
    <xsd:element name="GDA_x0020_Topics" ma:index="39" nillable="true" ma:displayName="GDA Topics" ma:internalName="GDA_x0020_Topics">
      <xsd:complexType>
        <xsd:complexContent>
          <xsd:extension base="dms:MultiChoice">
            <xsd:sequence>
              <xsd:element name="Value" maxOccurs="unbounded" minOccurs="0" nillable="true">
                <xsd:simpleType>
                  <xsd:restriction base="dms:Choice">
                    <xsd:enumeration value="Fault Studies"/>
                    <xsd:enumeration value="Severe Accident Analysis (SAA)"/>
                    <xsd:enumeration value="Probabilistic Safety Analysis (PSA)"/>
                    <xsd:enumeration value="Fuel and Core"/>
                    <xsd:enumeration value="Internal Hazards"/>
                    <xsd:enumeration value="Human Factors"/>
                    <xsd:enumeration value="Electrical Engineering"/>
                    <xsd:enumeration value="Control and Instrumentation"/>
                    <xsd:enumeration value="External Hazards"/>
                    <xsd:enumeration value="Quality Assurance (MSQA)"/>
                    <xsd:enumeration value="Chemistry"/>
                    <xsd:enumeration value="Safeguards"/>
                    <xsd:enumeration value="Physical Security"/>
                    <xsd:enumeration value="Cyber Security &amp; Information Security"/>
                    <xsd:enumeration value="Sabotage and Target Analysis Review (STAR)"/>
                    <xsd:enumeration value="Fire Safety"/>
                    <xsd:enumeration value="Conventional Safety"/>
                    <xsd:enumeration value="Nuclear Liabilities"/>
                    <xsd:enumeration value="Radiological Consequences"/>
                    <xsd:enumeration value="Radiological Protection &amp; Criticality"/>
                    <xsd:enumeration value="Mechanical Engineering"/>
                    <xsd:enumeration value="Structural Engineering"/>
                    <xsd:enumeration value="Civil Engineering"/>
                    <xsd:enumeration value="Project"/>
                    <xsd:enumeration value="Environment"/>
                    <xsd:enumeration value="N/A"/>
                  </xsd:restriction>
                </xsd:simpleType>
              </xsd:element>
            </xsd:sequence>
          </xsd:extension>
        </xsd:complexContent>
      </xsd:complexType>
    </xsd:element>
    <xsd:element name="Document_x0020_Status" ma:index="42" nillable="true" ma:displayName="Document Status" ma:format="Dropdown" ma:internalName="Document_x0020_Status">
      <xsd:simpleType>
        <xsd:restriction base="dms:Choice">
          <xsd:enumeration value="N/A"/>
          <xsd:enumeration value="Draft"/>
          <xsd:enumeration value="In Review"/>
          <xsd:enumeration value="Pending Approval"/>
          <xsd:enumeration value="Approved"/>
          <xsd:enumeration value="Final"/>
          <xsd:enumeration value="Supersed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2b92fa06-69b2-4527-a0e1-9e8803fc1e53" elementFormDefault="qualified">
    <xsd:import namespace="http://schemas.microsoft.com/office/2006/documentManagement/types"/>
    <xsd:import namespace="http://schemas.microsoft.com/office/infopath/2007/PartnerControls"/>
    <xsd:element name="NoRecords" ma:index="10" nillable="true" ma:displayName="NoRecords" ma:decimals="0" ma:description="Number of records in folder" ma:format="Dropdown" ma:internalName="NoRecords" ma:readOnly="false" ma:percentage="FALSE">
      <xsd:simpleType>
        <xsd:restriction base="dms:Number"/>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693000-3e12-4b44-a742-9a2ba35b7d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Uploadedby" ma:index="40" nillable="true" ma:displayName="Uploaded by" ma:format="Dropdown" ma:internalName="Uploadedby">
      <xsd:simpleType>
        <xsd:restriction base="dms:Text">
          <xsd:maxLength value="255"/>
        </xsd:restriction>
      </xsd:simpleType>
    </xsd:element>
    <xsd:element name="Classification" ma:index="41" nillable="true" ma:displayName="Classification" ma:description="Classification set by Portal user when uploading document via the Portal" ma:format="Dropdown" ma:internalName="Classification">
      <xsd:simpleType>
        <xsd:restriction base="dms:Choice">
          <xsd:enumeration value="Externally-Marked"/>
          <xsd:enumeration value="Official"/>
          <xsd:enumeration value="Official-Sensitive"/>
          <xsd:enumeration value="Official-Sensitive: SNI"/>
          <xsd:enumeration value="Official-Sensitive: Commercial"/>
          <xsd:enumeration value="Official-Sensitive: Export-Controlled"/>
          <xsd:enumeration value="Official-Sensitive: Export Controlled - Commercial"/>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0509B9-FA67-491D-A532-74357DBA0842}">
  <ds:schemaRefs>
    <ds:schemaRef ds:uri="http://schemas.openxmlformats.org/officeDocument/2006/bibliography"/>
  </ds:schemaRefs>
</ds:datastoreItem>
</file>

<file path=customXml/itemProps3.xml><?xml version="1.0" encoding="utf-8"?>
<ds:datastoreItem xmlns:ds="http://schemas.openxmlformats.org/officeDocument/2006/customXml" ds:itemID="{FDB5378A-093F-4E56-91DA-7C9E4C828866}">
  <ds:schemaRefs>
    <ds:schemaRef ds:uri="http://schemas.microsoft.com/office/2006/metadata/properties"/>
    <ds:schemaRef ds:uri="http://schemas.microsoft.com/office/infopath/2007/PartnerControls"/>
    <ds:schemaRef ds:uri="f6cfbbfa-3ea0-4d8e-acde-632e83cd9c55"/>
    <ds:schemaRef ds:uri="2b92fa06-69b2-4527-a0e1-9e8803fc1e53"/>
  </ds:schemaRefs>
</ds:datastoreItem>
</file>

<file path=customXml/itemProps4.xml><?xml version="1.0" encoding="utf-8"?>
<ds:datastoreItem xmlns:ds="http://schemas.openxmlformats.org/officeDocument/2006/customXml" ds:itemID="{7FE9315A-FF5E-4661-BF53-683B218BF66F}">
  <ds:schemaRefs>
    <ds:schemaRef ds:uri="http://schemas.microsoft.com/sharepoint/events"/>
  </ds:schemaRefs>
</ds:datastoreItem>
</file>

<file path=customXml/itemProps5.xml><?xml version="1.0" encoding="utf-8"?>
<ds:datastoreItem xmlns:ds="http://schemas.openxmlformats.org/officeDocument/2006/customXml" ds:itemID="{6A1C0027-7832-440D-A8D5-DF84C1162D1C}">
  <ds:schemaRefs>
    <ds:schemaRef ds:uri="http://schemas.microsoft.com/sharepoint/v3/contenttype/forms"/>
  </ds:schemaRefs>
</ds:datastoreItem>
</file>

<file path=customXml/itemProps6.xml><?xml version="1.0" encoding="utf-8"?>
<ds:datastoreItem xmlns:ds="http://schemas.openxmlformats.org/officeDocument/2006/customXml" ds:itemID="{6BDBE516-4370-4EC3-8D50-956B8CC4E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bbfa-3ea0-4d8e-acde-632e83cd9c55"/>
    <ds:schemaRef ds:uri="2b92fa06-69b2-4527-a0e1-9e8803fc1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15</Pages>
  <Words>3975</Words>
  <Characters>22664</Characters>
  <Application>Microsoft Office Word</Application>
  <DocSecurity>0</DocSecurity>
  <Lines>188</Lines>
  <Paragraphs>53</Paragraphs>
  <ScaleCrop>false</ScaleCrop>
  <Manager>Office for Nuclear Regulation</Manager>
  <Company>Office for Nuclear Regulation</Company>
  <LinksUpToDate>false</LinksUpToDate>
  <CharactersWithSpaces>26586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Approval of GB/4125/H(M) package design used to transport uranium hexafluoride in Type 48Y cylinders</dc:title>
  <dc:subject>[Subtitle or description]</dc:subject>
  <cp:keywords>[Key words separated by commas]</cp:keywords>
  <dc:description/>
  <cp:revision>2</cp:revision>
  <cp:lastPrinted>2016-11-28T03:35:00Z</cp:lastPrinted>
  <dcterms:created xsi:type="dcterms:W3CDTF">2026-11-03T11:20:00Z</dcterms:created>
  <dcterms:modified xsi:type="dcterms:W3CDTF">2026-11-03T11:20:00Z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y fmtid="{D5CDD505-2E9C-101B-9397-08002B2CF9AE}" pid="9" name="TaxKeyword">
    <vt:lpwstr>4;#[Key words separated by commas]|f43e2310-82d5-44d8-a731-b695dd9d1339</vt:lpwstr>
  </property>
  <property fmtid="{D5CDD505-2E9C-101B-9397-08002B2CF9AE}" pid="10" name="_dlc_policyId">
    <vt:lpwstr>0x010100D26132866C27C8419274F4F56698250A</vt:lpwstr>
  </property>
  <property fmtid="{D5CDD505-2E9C-101B-9397-08002B2CF9AE}" pid="11" name="ContentTypeId">
    <vt:lpwstr>0x010100A13914FA0711CC4A961807421DD4EAE1</vt:lpwstr>
  </property>
  <property fmtid="{D5CDD505-2E9C-101B-9397-08002B2CF9AE}" pid="12" name="_dlc_DocIdItemGuid">
    <vt:lpwstr>23129765-a482-454f-85cb-cdc053479a6d</vt:lpwstr>
  </property>
  <property fmtid="{D5CDD505-2E9C-101B-9397-08002B2CF9AE}" pid="13" name="_NewReviewCycle">
    <vt:lpwstr/>
  </property>
  <property fmtid="{D5CDD505-2E9C-101B-9397-08002B2CF9AE}" pid="14" name="SharedWithUsers">
    <vt:lpwstr>12;#Liam Dunning</vt:lpwstr>
  </property>
  <property fmtid="{D5CDD505-2E9C-101B-9397-08002B2CF9AE}" pid="15" name="ItemRetentionFormula">
    <vt:lpwstr/>
  </property>
  <property fmtid="{D5CDD505-2E9C-101B-9397-08002B2CF9AE}" pid="16" name="MediaServiceImageTags">
    <vt:lpwstr/>
  </property>
  <property fmtid="{D5CDD505-2E9C-101B-9397-08002B2CF9AE}" pid="17" name="docLang">
    <vt:lpwstr>en</vt:lpwstr>
  </property>
</Properties>
</file>