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0536F77A" w:rsidR="00D0226A" w:rsidRPr="001E03E1" w:rsidRDefault="00E70D7F" w:rsidP="00F32735">
            <w:pPr>
              <w:rPr>
                <w:szCs w:val="90"/>
              </w:rPr>
            </w:pPr>
            <w:r w:rsidRPr="00E70D7F">
              <w:rPr>
                <w:b/>
                <w:bCs/>
                <w:sz w:val="36"/>
                <w:szCs w:val="36"/>
              </w:rPr>
              <w:fldChar w:fldCharType="begin"/>
            </w:r>
            <w:r w:rsidRPr="00E70D7F">
              <w:rPr>
                <w:b/>
                <w:bCs/>
                <w:sz w:val="36"/>
                <w:szCs w:val="36"/>
              </w:rPr>
              <w:instrText xml:space="preserve"> REF Project_Name \h </w:instrText>
            </w:r>
            <w:r>
              <w:rPr>
                <w:b/>
                <w:bCs/>
                <w:sz w:val="36"/>
                <w:szCs w:val="36"/>
              </w:rPr>
              <w:instrText xml:space="preserve"> \* MERGEFORMAT </w:instrText>
            </w:r>
            <w:r w:rsidRPr="00E70D7F">
              <w:rPr>
                <w:b/>
                <w:bCs/>
                <w:sz w:val="36"/>
                <w:szCs w:val="36"/>
              </w:rPr>
            </w:r>
            <w:r w:rsidRPr="00E70D7F">
              <w:rPr>
                <w:b/>
                <w:bCs/>
                <w:sz w:val="36"/>
                <w:szCs w:val="36"/>
              </w:rPr>
              <w:fldChar w:fldCharType="separate"/>
            </w:r>
            <w:r w:rsidR="00647497" w:rsidRPr="00647497">
              <w:t xml:space="preserve"> </w:t>
            </w:r>
            <w:r w:rsidR="00647497" w:rsidRPr="00647497">
              <w:rPr>
                <w:b/>
                <w:bCs/>
                <w:sz w:val="36"/>
                <w:szCs w:val="16"/>
              </w:rPr>
              <w:t>PR-02350</w:t>
            </w:r>
            <w:r w:rsidR="00F32735">
              <w:rPr>
                <w:rStyle w:val="Style2"/>
                <w:b/>
                <w:bCs/>
                <w:sz w:val="36"/>
                <w:szCs w:val="16"/>
              </w:rPr>
              <w:t xml:space="preserve"> </w:t>
            </w:r>
            <w:r w:rsidRPr="00E70D7F">
              <w:rPr>
                <w:b/>
                <w:bCs/>
                <w:sz w:val="36"/>
                <w:szCs w:val="36"/>
              </w:rPr>
              <w:fldChar w:fldCharType="end"/>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36CCE">
                      <w:rPr>
                        <w:sz w:val="36"/>
                        <w:szCs w:val="36"/>
                      </w:rPr>
                      <w:t>Approval of Sellafield L</w:t>
                    </w:r>
                    <w:r w:rsidR="00992405">
                      <w:rPr>
                        <w:sz w:val="36"/>
                        <w:szCs w:val="36"/>
                      </w:rPr>
                      <w:t>td’s</w:t>
                    </w:r>
                    <w:r w:rsidR="00C36CCE">
                      <w:rPr>
                        <w:sz w:val="36"/>
                        <w:szCs w:val="36"/>
                      </w:rPr>
                      <w:t xml:space="preserve"> arrangements for key decommissioning milestones under LC35(4)</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03EBA3CB"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Pr="009E4CAF">
        <w:rPr>
          <w:rStyle w:val="Style2"/>
          <w:sz w:val="36"/>
          <w:szCs w:val="16"/>
        </w:rPr>
        <w:t xml:space="preserve">: </w:t>
      </w:r>
      <w:bookmarkStart w:id="1" w:name="Project_Name"/>
      <w:r w:rsidR="00932DEF" w:rsidRPr="00932DEF">
        <w:rPr>
          <w:rStyle w:val="Style2"/>
          <w:sz w:val="36"/>
          <w:szCs w:val="16"/>
        </w:rPr>
        <w:t xml:space="preserve">Sellafield </w:t>
      </w:r>
      <w:r w:rsidR="00932DEF">
        <w:rPr>
          <w:rStyle w:val="Style2"/>
          <w:sz w:val="36"/>
          <w:szCs w:val="16"/>
        </w:rPr>
        <w:t>L</w:t>
      </w:r>
      <w:r w:rsidR="00E440E9">
        <w:rPr>
          <w:rStyle w:val="Style2"/>
          <w:sz w:val="36"/>
          <w:szCs w:val="16"/>
        </w:rPr>
        <w:t>td’s</w:t>
      </w:r>
      <w:r w:rsidR="00932DEF">
        <w:rPr>
          <w:rStyle w:val="Style2"/>
          <w:sz w:val="36"/>
          <w:szCs w:val="16"/>
        </w:rPr>
        <w:t xml:space="preserve"> </w:t>
      </w:r>
      <w:r w:rsidR="004030FA">
        <w:rPr>
          <w:rStyle w:val="Style2"/>
          <w:sz w:val="36"/>
          <w:szCs w:val="16"/>
        </w:rPr>
        <w:t>d</w:t>
      </w:r>
      <w:r w:rsidR="006E04D4">
        <w:rPr>
          <w:rStyle w:val="Style2"/>
          <w:sz w:val="36"/>
          <w:szCs w:val="16"/>
        </w:rPr>
        <w:t>ecommissioning ar</w:t>
      </w:r>
      <w:r w:rsidR="00932DEF" w:rsidRPr="00932DEF">
        <w:rPr>
          <w:rStyle w:val="Style2"/>
          <w:sz w:val="36"/>
          <w:szCs w:val="16"/>
        </w:rPr>
        <w:t>rangements</w:t>
      </w:r>
    </w:p>
    <w:bookmarkEnd w:id="1"/>
    <w:p w14:paraId="297D790E" w14:textId="6A49B08D"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992405">
            <w:rPr>
              <w:rStyle w:val="Style2"/>
              <w:sz w:val="36"/>
              <w:szCs w:val="16"/>
            </w:rPr>
            <w:t>Approval of Sellafield Ltd’s arrangements for key decommissioning milestones under LC35(4)</w:t>
          </w:r>
        </w:sdtContent>
      </w:sdt>
    </w:p>
    <w:p w14:paraId="61A25C0F" w14:textId="39EC7DBA" w:rsidR="00004C16" w:rsidRDefault="00004C16" w:rsidP="00004C16">
      <w:pPr>
        <w:rPr>
          <w:sz w:val="28"/>
          <w:szCs w:val="28"/>
        </w:rPr>
      </w:pPr>
    </w:p>
    <w:p w14:paraId="4D99E381" w14:textId="2D4E64BA"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76326A" w:rsidRPr="0076326A">
        <w:rPr>
          <w:szCs w:val="24"/>
        </w:rPr>
        <w:t>Sellafield L</w:t>
      </w:r>
      <w:r w:rsidR="00E440E9">
        <w:rPr>
          <w:szCs w:val="24"/>
        </w:rPr>
        <w:t>td</w:t>
      </w:r>
    </w:p>
    <w:p w14:paraId="247E3769" w14:textId="75469E26"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7412F">
            <w:rPr>
              <w:szCs w:val="24"/>
            </w:rPr>
            <w:t>1</w:t>
          </w:r>
        </w:sdtContent>
      </w:sdt>
    </w:p>
    <w:p w14:paraId="19206F45" w14:textId="5A4C9335"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EE391E">
        <w:rPr>
          <w:szCs w:val="24"/>
        </w:rPr>
        <w:t>May 2026</w:t>
      </w:r>
    </w:p>
    <w:p w14:paraId="461D902C" w14:textId="08CB953C" w:rsidR="0099220B" w:rsidRDefault="0099220B" w:rsidP="004B7A72">
      <w:r>
        <w:rPr>
          <w:b/>
          <w:bCs/>
        </w:rPr>
        <w:t>Document ID</w:t>
      </w:r>
      <w:r>
        <w:t xml:space="preserve">: </w:t>
      </w:r>
      <w:r w:rsidR="00DB4A58" w:rsidRPr="00DA2D32">
        <w:t>ONRW-</w:t>
      </w:r>
      <w:r w:rsidR="000C2BA3" w:rsidRPr="005720E6">
        <w:t>2019369590</w:t>
      </w:r>
      <w:r w:rsidR="0080050B" w:rsidRPr="005720E6">
        <w:t>-28189</w:t>
      </w:r>
    </w:p>
    <w:p w14:paraId="39BC0EA4" w14:textId="77777777" w:rsidR="00420A11" w:rsidRDefault="00420A11" w:rsidP="00323E71"/>
    <w:p w14:paraId="295B4ACF" w14:textId="77777777" w:rsidR="00DB4A58" w:rsidRDefault="00DB4A58" w:rsidP="00DB4A58">
      <w:pPr>
        <w:pStyle w:val="Footer"/>
        <w:jc w:val="left"/>
        <w:rPr>
          <w:color w:val="auto"/>
        </w:rPr>
      </w:pPr>
    </w:p>
    <w:p w14:paraId="052D1E69" w14:textId="77777777" w:rsidR="001941C9" w:rsidRDefault="001941C9" w:rsidP="00DB4A58">
      <w:pPr>
        <w:pStyle w:val="Footer"/>
        <w:jc w:val="left"/>
        <w:rPr>
          <w:color w:val="auto"/>
        </w:rPr>
      </w:pPr>
    </w:p>
    <w:p w14:paraId="6C54FFA6" w14:textId="77777777" w:rsidR="001941C9" w:rsidRDefault="001941C9" w:rsidP="00DB4A58">
      <w:pPr>
        <w:pStyle w:val="Footer"/>
        <w:jc w:val="left"/>
        <w:rPr>
          <w:color w:val="auto"/>
        </w:rPr>
      </w:pPr>
    </w:p>
    <w:p w14:paraId="26C30851" w14:textId="77777777" w:rsidR="001941C9" w:rsidRDefault="001941C9" w:rsidP="00DB4A58">
      <w:pPr>
        <w:pStyle w:val="Footer"/>
        <w:jc w:val="left"/>
        <w:rPr>
          <w:color w:val="auto"/>
        </w:rPr>
      </w:pPr>
    </w:p>
    <w:p w14:paraId="0C29DA3C" w14:textId="77777777" w:rsidR="001941C9" w:rsidRDefault="001941C9" w:rsidP="00DB4A58">
      <w:pPr>
        <w:pStyle w:val="Footer"/>
        <w:jc w:val="left"/>
        <w:rPr>
          <w:color w:val="auto"/>
        </w:rPr>
      </w:pPr>
    </w:p>
    <w:p w14:paraId="41383B2F" w14:textId="77777777" w:rsidR="001941C9" w:rsidRDefault="001941C9" w:rsidP="00DB4A58">
      <w:pPr>
        <w:pStyle w:val="Footer"/>
        <w:jc w:val="left"/>
        <w:rPr>
          <w:color w:val="auto"/>
        </w:rPr>
      </w:pPr>
    </w:p>
    <w:p w14:paraId="23A3B7E8" w14:textId="77777777" w:rsidR="004973A0" w:rsidRDefault="004973A0" w:rsidP="00DB4A58">
      <w:pPr>
        <w:pStyle w:val="Footer"/>
        <w:jc w:val="left"/>
        <w:rPr>
          <w:color w:val="auto"/>
        </w:rPr>
      </w:pPr>
    </w:p>
    <w:p w14:paraId="6C5B4FC1" w14:textId="77777777" w:rsidR="004973A0" w:rsidRDefault="004973A0" w:rsidP="00DB4A58">
      <w:pPr>
        <w:pStyle w:val="Footer"/>
        <w:jc w:val="left"/>
        <w:rPr>
          <w:color w:val="auto"/>
        </w:rPr>
      </w:pPr>
    </w:p>
    <w:p w14:paraId="78ECD1CE" w14:textId="0767EE5A" w:rsidR="00DB4A58" w:rsidRPr="0099220B" w:rsidRDefault="00DB4A58" w:rsidP="00DB4A58">
      <w:pPr>
        <w:pStyle w:val="Footer"/>
        <w:jc w:val="left"/>
        <w:rPr>
          <w:color w:val="auto"/>
        </w:rPr>
      </w:pPr>
      <w:r w:rsidRPr="0099220B">
        <w:rPr>
          <w:color w:val="auto"/>
        </w:rPr>
        <w:t>© Office for Nuclear Regulation, [</w:t>
      </w:r>
      <w:r w:rsidR="00E55BF7">
        <w:rPr>
          <w:color w:val="auto"/>
        </w:rPr>
        <w:t>2026</w:t>
      </w:r>
      <w:r w:rsidRPr="0099220B">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2" w:name="_Toc118892109"/>
      <w:bookmarkStart w:id="3" w:name="_Toc230086249"/>
      <w:bookmarkStart w:id="4" w:name="_Toc109727646"/>
      <w:bookmarkEnd w:id="0"/>
      <w:r w:rsidRPr="00410423">
        <w:lastRenderedPageBreak/>
        <w:t xml:space="preserve">Executive </w:t>
      </w:r>
      <w:bookmarkEnd w:id="2"/>
      <w:r w:rsidR="00DE35B0">
        <w:t>s</w:t>
      </w:r>
      <w:r w:rsidR="00DE35B0" w:rsidRPr="00410423">
        <w:t>ummary</w:t>
      </w:r>
      <w:bookmarkEnd w:id="3"/>
    </w:p>
    <w:p w14:paraId="101FC19B" w14:textId="4F0F3B2E" w:rsidR="000F43DF" w:rsidRDefault="00260450" w:rsidP="009F0B53">
      <w:r>
        <w:t>In accordance with Licence Condition (LC) 35</w:t>
      </w:r>
      <w:r w:rsidR="00B0602F">
        <w:t xml:space="preserve">: Decommissioning </w:t>
      </w:r>
      <w:r>
        <w:t>(4), Sellafield Ltd has written to the Office for Nuclear Regulation (ONR) requesting approval of an amendment to its arrangements made under LC 35(2).</w:t>
      </w:r>
    </w:p>
    <w:p w14:paraId="598BC60F" w14:textId="0B0A017A" w:rsidR="008E4364" w:rsidRDefault="00260450" w:rsidP="009F0B53">
      <w:r>
        <w:t xml:space="preserve">The amendment is </w:t>
      </w:r>
      <w:r w:rsidR="00414AF3">
        <w:t xml:space="preserve">to </w:t>
      </w:r>
      <w:r w:rsidR="006F0EE5">
        <w:t>transition</w:t>
      </w:r>
      <w:r w:rsidR="00414AF3">
        <w:t xml:space="preserve"> </w:t>
      </w:r>
      <w:r w:rsidR="0035589E">
        <w:t>its</w:t>
      </w:r>
      <w:r>
        <w:t xml:space="preserve"> extant arrangements, as detailed in the document </w:t>
      </w:r>
      <w:r w:rsidR="00E601D6">
        <w:t xml:space="preserve">titled </w:t>
      </w:r>
      <w:r w:rsidR="009F0B53">
        <w:t>‘How do I produce and maintain Key Decommissioning Milestones?’</w:t>
      </w:r>
      <w:r>
        <w:t xml:space="preserve"> (SLP 1.07.03 Issue </w:t>
      </w:r>
      <w:r w:rsidR="0035589E">
        <w:t>2</w:t>
      </w:r>
      <w:r>
        <w:t>, dated 0</w:t>
      </w:r>
      <w:r w:rsidR="00E349A1">
        <w:t>5</w:t>
      </w:r>
      <w:r>
        <w:t>/202</w:t>
      </w:r>
      <w:r w:rsidR="00E349A1">
        <w:t>4</w:t>
      </w:r>
      <w:r>
        <w:t xml:space="preserve">), </w:t>
      </w:r>
      <w:r w:rsidR="0000373B" w:rsidRPr="0000373B">
        <w:t>from the current Sellafield L</w:t>
      </w:r>
      <w:r w:rsidR="007B311C">
        <w:t xml:space="preserve">td </w:t>
      </w:r>
      <w:r w:rsidR="0070038E">
        <w:t>m</w:t>
      </w:r>
      <w:r w:rsidR="0000373B" w:rsidRPr="0000373B">
        <w:t xml:space="preserve">anagement </w:t>
      </w:r>
      <w:r w:rsidR="0070038E">
        <w:t>s</w:t>
      </w:r>
      <w:r w:rsidR="0000373B" w:rsidRPr="0000373B">
        <w:t>ystem into the new Sellafield L</w:t>
      </w:r>
      <w:r w:rsidR="007B311C">
        <w:t xml:space="preserve">td </w:t>
      </w:r>
      <w:r w:rsidR="0070038E">
        <w:t>e</w:t>
      </w:r>
      <w:r w:rsidR="0000373B" w:rsidRPr="0000373B">
        <w:t xml:space="preserve">nterprise </w:t>
      </w:r>
      <w:r w:rsidR="0070038E">
        <w:t>m</w:t>
      </w:r>
      <w:r w:rsidR="0000373B" w:rsidRPr="0000373B">
        <w:t xml:space="preserve">anagement </w:t>
      </w:r>
      <w:r w:rsidR="0070038E">
        <w:t>s</w:t>
      </w:r>
      <w:r w:rsidR="0000373B" w:rsidRPr="0000373B">
        <w:t>ystem</w:t>
      </w:r>
      <w:r w:rsidR="005956F4">
        <w:t xml:space="preserve">. As a result of this transition, SLP 1.07.03 will be renumbered </w:t>
      </w:r>
      <w:r w:rsidR="000F3316">
        <w:t xml:space="preserve">in accordance with the new structure </w:t>
      </w:r>
      <w:r w:rsidR="0000373B" w:rsidRPr="0000373B">
        <w:t>and issue</w:t>
      </w:r>
      <w:r w:rsidR="000F3316">
        <w:t>d</w:t>
      </w:r>
      <w:r w:rsidR="0000373B" w:rsidRPr="0000373B">
        <w:t xml:space="preserve"> </w:t>
      </w:r>
      <w:r w:rsidR="000F3316">
        <w:t>as</w:t>
      </w:r>
      <w:r w:rsidR="0000373B" w:rsidRPr="0000373B">
        <w:t xml:space="preserve"> SLP 2.9.1.3_01 (Issue 1)</w:t>
      </w:r>
      <w:r w:rsidR="00BB4359">
        <w:t>.</w:t>
      </w:r>
    </w:p>
    <w:p w14:paraId="3031EDB7" w14:textId="68472563" w:rsidR="002F2985" w:rsidRDefault="00BB4359" w:rsidP="0011645E">
      <w:r>
        <w:t xml:space="preserve">The changes made to </w:t>
      </w:r>
      <w:r w:rsidRPr="0000373B">
        <w:t>SLP 2.9.1.3_01 (Issue 1)</w:t>
      </w:r>
      <w:r>
        <w:t xml:space="preserve"> are </w:t>
      </w:r>
      <w:r w:rsidR="008F4C23">
        <w:t>predominately</w:t>
      </w:r>
      <w:r>
        <w:t xml:space="preserve"> administrative</w:t>
      </w:r>
      <w:r w:rsidR="00D84B8F">
        <w:t xml:space="preserve">, aligning references to </w:t>
      </w:r>
      <w:r w:rsidR="00966D19">
        <w:t>their respective designations under the new management system</w:t>
      </w:r>
      <w:r w:rsidR="007461D4">
        <w:t xml:space="preserve">. </w:t>
      </w:r>
    </w:p>
    <w:p w14:paraId="7143F613" w14:textId="6CA223D0" w:rsidR="00260450" w:rsidRDefault="00424F42" w:rsidP="0011645E">
      <w:r w:rsidRPr="0000373B">
        <w:t>SLP 2.9.1.3_01 (Issue 1)</w:t>
      </w:r>
      <w:r>
        <w:t xml:space="preserve"> includes</w:t>
      </w:r>
      <w:r w:rsidR="00F83C4E">
        <w:t xml:space="preserve"> two further </w:t>
      </w:r>
      <w:r>
        <w:t xml:space="preserve">notable </w:t>
      </w:r>
      <w:r w:rsidR="00F83C4E">
        <w:t xml:space="preserve">additions: </w:t>
      </w:r>
      <w:r>
        <w:t xml:space="preserve">explicit inclusion of a retention period </w:t>
      </w:r>
      <w:r w:rsidR="004B24A2" w:rsidRPr="004B24A2">
        <w:t xml:space="preserve"> for</w:t>
      </w:r>
      <w:r w:rsidR="00AA3B7C">
        <w:t xml:space="preserve"> retaining</w:t>
      </w:r>
      <w:r w:rsidR="004B24A2" w:rsidRPr="004B24A2">
        <w:t xml:space="preserve"> the completed </w:t>
      </w:r>
      <w:r w:rsidR="00CA18C5">
        <w:t>k</w:t>
      </w:r>
      <w:r w:rsidR="00545E9F">
        <w:t xml:space="preserve">ey </w:t>
      </w:r>
      <w:r w:rsidR="00CA18C5">
        <w:t>d</w:t>
      </w:r>
      <w:r w:rsidR="00545E9F">
        <w:t xml:space="preserve">ecommissioning </w:t>
      </w:r>
      <w:r w:rsidR="00CA18C5">
        <w:t>m</w:t>
      </w:r>
      <w:r w:rsidR="00A52A56">
        <w:t>ilestone (KDM)</w:t>
      </w:r>
      <w:r w:rsidR="004B24A2" w:rsidRPr="004B24A2">
        <w:t xml:space="preserve"> </w:t>
      </w:r>
      <w:r w:rsidR="00B95884">
        <w:t>k</w:t>
      </w:r>
      <w:r w:rsidR="004B24A2" w:rsidRPr="004B24A2">
        <w:t xml:space="preserve">ey </w:t>
      </w:r>
      <w:r w:rsidR="00B95884">
        <w:t>r</w:t>
      </w:r>
      <w:r w:rsidR="004B24A2" w:rsidRPr="004B24A2">
        <w:t xml:space="preserve">ecord </w:t>
      </w:r>
      <w:r w:rsidR="006A0449">
        <w:t>for</w:t>
      </w:r>
      <w:r w:rsidR="004B24A2" w:rsidRPr="004B24A2">
        <w:t xml:space="preserve"> 30 years after completion of decommissioning</w:t>
      </w:r>
      <w:r w:rsidR="006A0449">
        <w:t>,</w:t>
      </w:r>
      <w:r w:rsidR="004B24A2" w:rsidRPr="004B24A2">
        <w:t xml:space="preserve"> </w:t>
      </w:r>
      <w:r>
        <w:t xml:space="preserve">and </w:t>
      </w:r>
      <w:r w:rsidR="00655229">
        <w:t xml:space="preserve">an additional criterion </w:t>
      </w:r>
      <w:r w:rsidR="00B62B70">
        <w:t>for</w:t>
      </w:r>
      <w:r w:rsidR="00655229">
        <w:t xml:space="preserve"> classif</w:t>
      </w:r>
      <w:r w:rsidR="00451234">
        <w:t>ying</w:t>
      </w:r>
      <w:r w:rsidR="00655229">
        <w:t xml:space="preserve"> KDM changes to recognise the impact of a change on </w:t>
      </w:r>
      <w:r w:rsidR="00923564">
        <w:t xml:space="preserve">other projects and parts of the organisation. </w:t>
      </w:r>
      <w:r w:rsidR="00AA4264">
        <w:t>I judge both of these additions to be positive</w:t>
      </w:r>
      <w:r w:rsidR="00316912">
        <w:t xml:space="preserve"> and</w:t>
      </w:r>
      <w:r w:rsidR="00260450">
        <w:t xml:space="preserve"> am satisfied that the revised arrangements </w:t>
      </w:r>
      <w:r w:rsidR="00316912">
        <w:t xml:space="preserve">continue to </w:t>
      </w:r>
      <w:r w:rsidR="00260450">
        <w:t xml:space="preserve">meet </w:t>
      </w:r>
      <w:r w:rsidR="009D6068">
        <w:t xml:space="preserve">our regulatory </w:t>
      </w:r>
      <w:r w:rsidR="00260450">
        <w:t>expectations.</w:t>
      </w:r>
    </w:p>
    <w:p w14:paraId="4AD481C2" w14:textId="1B4071B9" w:rsidR="00501B58" w:rsidRDefault="00260450" w:rsidP="00260450">
      <w:r>
        <w:t>I recommend that ONR should issue LI 5</w:t>
      </w:r>
      <w:r w:rsidR="00316912">
        <w:t>55</w:t>
      </w:r>
      <w:r>
        <w:t xml:space="preserve"> under Condition 35(4) of Schedule 2 attached to Nuclear Site Licence No. 103 to approve the amendment to Sellafield Ltd’s approved arrangements for compliance with LC 35(2), specifically to approve the document titled ‘How do I produce and maintain Key Decommissioning Milestones?’ (SLP </w:t>
      </w:r>
      <w:r w:rsidR="001704A6" w:rsidRPr="0000373B">
        <w:t>2.9.1.3_01</w:t>
      </w:r>
      <w:r w:rsidR="001704A6">
        <w:t xml:space="preserve">, </w:t>
      </w:r>
      <w:r w:rsidR="001704A6" w:rsidRPr="0000373B">
        <w:t>Issue 1</w:t>
      </w:r>
      <w:r>
        <w:t>).</w:t>
      </w:r>
    </w:p>
    <w:p w14:paraId="516D16FD" w14:textId="0342D366" w:rsidR="00202152" w:rsidRDefault="00202152" w:rsidP="00260450"/>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6C2CE77E" w:rsidR="00E72E4A" w:rsidRPr="00FB0CE0" w:rsidRDefault="00E72E4A" w:rsidP="00E72E4A">
      <w:pPr>
        <w:pStyle w:val="Caption"/>
        <w:keepNext/>
      </w:pPr>
      <w:r>
        <w:lastRenderedPageBreak/>
        <w:t xml:space="preserve">Table </w:t>
      </w:r>
      <w:r>
        <w:fldChar w:fldCharType="begin"/>
      </w:r>
      <w:r>
        <w:instrText>SEQ Table \* ARABIC</w:instrText>
      </w:r>
      <w:r>
        <w:fldChar w:fldCharType="separate"/>
      </w:r>
      <w:r>
        <w:rPr>
          <w:noProof/>
        </w:rPr>
        <w:t>1</w:t>
      </w:r>
      <w:r>
        <w:fldChar w:fldCharType="end"/>
      </w:r>
      <w:r>
        <w:t>: List of abbreviations.</w:t>
      </w:r>
    </w:p>
    <w:tbl>
      <w:tblPr>
        <w:tblStyle w:val="Box2"/>
        <w:tblW w:w="0" w:type="auto"/>
        <w:tblInd w:w="0" w:type="dxa"/>
        <w:tblLook w:val="04A0" w:firstRow="1" w:lastRow="0" w:firstColumn="1" w:lastColumn="0" w:noHBand="0" w:noVBand="1"/>
      </w:tblPr>
      <w:tblGrid>
        <w:gridCol w:w="2330"/>
        <w:gridCol w:w="6686"/>
      </w:tblGrid>
      <w:tr w:rsidR="00FB0CE0" w:rsidRPr="00FB0CE0" w14:paraId="4E32C20A" w14:textId="77777777" w:rsidTr="00E7709F">
        <w:trPr>
          <w:cnfStyle w:val="100000000000" w:firstRow="1" w:lastRow="0" w:firstColumn="0" w:lastColumn="0" w:oddVBand="0" w:evenVBand="0" w:oddHBand="0" w:evenHBand="0" w:firstRowFirstColumn="0" w:firstRowLastColumn="0" w:lastRowFirstColumn="0" w:lastRowLastColumn="0"/>
        </w:trPr>
        <w:tc>
          <w:tcPr>
            <w:tcW w:w="2330" w:type="dxa"/>
          </w:tcPr>
          <w:p w14:paraId="6430A6B3" w14:textId="3474E5D7" w:rsidR="00FB0CE0" w:rsidRPr="00FB0CE0" w:rsidRDefault="00FB0CE0" w:rsidP="00FB0CE0">
            <w:pPr>
              <w:spacing w:before="60" w:after="60"/>
              <w:rPr>
                <w:b w:val="0"/>
                <w:bCs/>
              </w:rPr>
            </w:pPr>
            <w:r w:rsidRPr="00FB0CE0">
              <w:rPr>
                <w:b w:val="0"/>
                <w:bCs/>
              </w:rPr>
              <w:t>Term/Acronym</w:t>
            </w:r>
          </w:p>
        </w:tc>
        <w:tc>
          <w:tcPr>
            <w:tcW w:w="6686" w:type="dxa"/>
          </w:tcPr>
          <w:p w14:paraId="3978110C" w14:textId="2EC7A7B6" w:rsidR="00FB0CE0" w:rsidRPr="00FB0CE0" w:rsidRDefault="00FB0CE0" w:rsidP="00FB0CE0">
            <w:pPr>
              <w:spacing w:before="60" w:after="60"/>
              <w:rPr>
                <w:b w:val="0"/>
                <w:bCs/>
              </w:rPr>
            </w:pPr>
            <w:r w:rsidRPr="00FB0CE0">
              <w:rPr>
                <w:b w:val="0"/>
                <w:bCs/>
              </w:rPr>
              <w:t>Description</w:t>
            </w:r>
          </w:p>
        </w:tc>
      </w:tr>
      <w:tr w:rsidR="00FC144F" w:rsidRPr="00E7709F" w14:paraId="5ADF77D6" w14:textId="77777777" w:rsidTr="00E7709F">
        <w:tc>
          <w:tcPr>
            <w:tcW w:w="2330" w:type="dxa"/>
          </w:tcPr>
          <w:p w14:paraId="0AEA112B" w14:textId="70C9F663" w:rsidR="00FC144F" w:rsidRPr="00B94E98" w:rsidRDefault="00BB5521" w:rsidP="00FB0CE0">
            <w:pPr>
              <w:spacing w:before="60" w:after="60"/>
            </w:pPr>
            <w:r>
              <w:t>EA</w:t>
            </w:r>
          </w:p>
        </w:tc>
        <w:tc>
          <w:tcPr>
            <w:tcW w:w="6686" w:type="dxa"/>
          </w:tcPr>
          <w:p w14:paraId="50A16654" w14:textId="23D9D812" w:rsidR="00FC144F" w:rsidRPr="00B94E98" w:rsidRDefault="00BB5521" w:rsidP="00FB0CE0">
            <w:pPr>
              <w:spacing w:before="60" w:after="60"/>
            </w:pPr>
            <w:r>
              <w:t>Environment Agency</w:t>
            </w:r>
          </w:p>
        </w:tc>
      </w:tr>
      <w:tr w:rsidR="00B94E98" w:rsidRPr="00E7709F" w14:paraId="0CCE3E77" w14:textId="77777777" w:rsidTr="00E7709F">
        <w:tc>
          <w:tcPr>
            <w:tcW w:w="2330" w:type="dxa"/>
          </w:tcPr>
          <w:p w14:paraId="3E768CD1" w14:textId="743637B2" w:rsidR="00B94E98" w:rsidRPr="00E7709F" w:rsidRDefault="00B94E98" w:rsidP="00FB0CE0">
            <w:pPr>
              <w:spacing w:before="60" w:after="60"/>
            </w:pPr>
            <w:r w:rsidRPr="00B94E98">
              <w:t>KDM</w:t>
            </w:r>
          </w:p>
        </w:tc>
        <w:tc>
          <w:tcPr>
            <w:tcW w:w="6686" w:type="dxa"/>
          </w:tcPr>
          <w:p w14:paraId="65050644" w14:textId="66B82BDE" w:rsidR="00B94E98" w:rsidRPr="00E7709F" w:rsidRDefault="00B94E98" w:rsidP="00FB0CE0">
            <w:pPr>
              <w:spacing w:before="60" w:after="60"/>
            </w:pPr>
            <w:r w:rsidRPr="00B94E98">
              <w:t>Key Decommissioning Milestone</w:t>
            </w:r>
          </w:p>
        </w:tc>
      </w:tr>
      <w:tr w:rsidR="00E7709F" w:rsidRPr="00E7709F" w14:paraId="169DD0DC" w14:textId="77777777" w:rsidTr="00E7709F">
        <w:tc>
          <w:tcPr>
            <w:tcW w:w="2330" w:type="dxa"/>
          </w:tcPr>
          <w:p w14:paraId="01E79C6B" w14:textId="35D2B222" w:rsidR="00E7709F" w:rsidRPr="00E7709F" w:rsidRDefault="00E7709F" w:rsidP="00FB0CE0">
            <w:pPr>
              <w:spacing w:before="60" w:after="60"/>
            </w:pPr>
            <w:r w:rsidRPr="00E7709F">
              <w:t>LC</w:t>
            </w:r>
          </w:p>
        </w:tc>
        <w:tc>
          <w:tcPr>
            <w:tcW w:w="6686" w:type="dxa"/>
          </w:tcPr>
          <w:p w14:paraId="2D685551" w14:textId="7E5B3DF3" w:rsidR="00E7709F" w:rsidRPr="00E7709F" w:rsidRDefault="00E7709F" w:rsidP="00FB0CE0">
            <w:pPr>
              <w:spacing w:before="60" w:after="60"/>
            </w:pPr>
            <w:r w:rsidRPr="00E7709F">
              <w:t>Licence Condition</w:t>
            </w:r>
          </w:p>
        </w:tc>
      </w:tr>
      <w:tr w:rsidR="001F1FCA" w14:paraId="74DB9022" w14:textId="77777777" w:rsidTr="00E7709F">
        <w:tc>
          <w:tcPr>
            <w:tcW w:w="2330" w:type="dxa"/>
          </w:tcPr>
          <w:p w14:paraId="7C4AEEE4" w14:textId="64C562F2" w:rsidR="001F1FCA" w:rsidRPr="00FA074B" w:rsidRDefault="001F1FCA" w:rsidP="00FB0CE0">
            <w:pPr>
              <w:spacing w:before="60" w:after="60"/>
            </w:pPr>
            <w:r>
              <w:t>LI</w:t>
            </w:r>
          </w:p>
        </w:tc>
        <w:tc>
          <w:tcPr>
            <w:tcW w:w="6686" w:type="dxa"/>
          </w:tcPr>
          <w:p w14:paraId="61BB98A3" w14:textId="4E9F3957" w:rsidR="001F1FCA" w:rsidRPr="00FA074B" w:rsidRDefault="001F1FCA" w:rsidP="00FB0CE0">
            <w:pPr>
              <w:spacing w:before="60" w:after="60"/>
            </w:pPr>
            <w:r>
              <w:t>Licence Instrument</w:t>
            </w:r>
          </w:p>
        </w:tc>
      </w:tr>
      <w:tr w:rsidR="007E7235" w14:paraId="2F8C163A" w14:textId="77777777" w:rsidTr="00E7709F">
        <w:tc>
          <w:tcPr>
            <w:tcW w:w="2330" w:type="dxa"/>
          </w:tcPr>
          <w:p w14:paraId="5DAE071A" w14:textId="7C8BF799" w:rsidR="007E7235" w:rsidRPr="00603563" w:rsidRDefault="007E7235" w:rsidP="00FB0CE0">
            <w:pPr>
              <w:spacing w:before="60" w:after="60"/>
            </w:pPr>
            <w:r w:rsidRPr="00FA074B">
              <w:t>ONR</w:t>
            </w:r>
          </w:p>
        </w:tc>
        <w:tc>
          <w:tcPr>
            <w:tcW w:w="6686" w:type="dxa"/>
          </w:tcPr>
          <w:p w14:paraId="78535260" w14:textId="20A69CB9" w:rsidR="007E7235" w:rsidRPr="00603563" w:rsidRDefault="007E7235" w:rsidP="00FB0CE0">
            <w:pPr>
              <w:spacing w:before="60" w:after="60"/>
            </w:pPr>
            <w:r w:rsidRPr="00FA074B">
              <w:t xml:space="preserve">Office for Nuclear Regulation </w:t>
            </w:r>
          </w:p>
        </w:tc>
      </w:tr>
      <w:tr w:rsidR="001F1FCA" w:rsidRPr="004C2D26" w14:paraId="38D995E9" w14:textId="77777777" w:rsidTr="00E7709F">
        <w:tc>
          <w:tcPr>
            <w:tcW w:w="2330" w:type="dxa"/>
          </w:tcPr>
          <w:p w14:paraId="4DD90CE1" w14:textId="04EB4DC9" w:rsidR="001F1FCA" w:rsidRPr="004C2D26" w:rsidRDefault="001F1FCA" w:rsidP="00FB0CE0">
            <w:pPr>
              <w:spacing w:before="60" w:after="60"/>
            </w:pPr>
            <w:r>
              <w:t>PAR</w:t>
            </w:r>
          </w:p>
        </w:tc>
        <w:tc>
          <w:tcPr>
            <w:tcW w:w="6686" w:type="dxa"/>
          </w:tcPr>
          <w:p w14:paraId="1AD00196" w14:textId="12757444" w:rsidR="001F1FCA" w:rsidRPr="004C2D26" w:rsidRDefault="001F1FCA" w:rsidP="00FB0CE0">
            <w:pPr>
              <w:spacing w:before="60" w:after="60"/>
            </w:pPr>
            <w:r>
              <w:t>Project Assessment Report</w:t>
            </w:r>
          </w:p>
        </w:tc>
      </w:tr>
      <w:tr w:rsidR="003731CC" w:rsidRPr="004C2D26" w14:paraId="2FF4B4AB" w14:textId="77777777" w:rsidTr="00E7709F">
        <w:tc>
          <w:tcPr>
            <w:tcW w:w="2330" w:type="dxa"/>
          </w:tcPr>
          <w:p w14:paraId="790FE9D1" w14:textId="3ACFDF38" w:rsidR="003731CC" w:rsidRPr="004C2D26" w:rsidRDefault="003731CC" w:rsidP="00FB0CE0">
            <w:pPr>
              <w:spacing w:before="60" w:after="60"/>
            </w:pPr>
            <w:r>
              <w:t>PR</w:t>
            </w:r>
          </w:p>
        </w:tc>
        <w:tc>
          <w:tcPr>
            <w:tcW w:w="6686" w:type="dxa"/>
          </w:tcPr>
          <w:p w14:paraId="7289EA76" w14:textId="0C3277BD" w:rsidR="003731CC" w:rsidRPr="004C2D26" w:rsidRDefault="003731CC" w:rsidP="00FB0CE0">
            <w:pPr>
              <w:spacing w:before="60" w:after="60"/>
            </w:pPr>
            <w:r>
              <w:t>Permissioning Record</w:t>
            </w:r>
          </w:p>
        </w:tc>
      </w:tr>
      <w:tr w:rsidR="004F6FFE" w:rsidRPr="004C2D26" w14:paraId="22A375A4" w14:textId="77777777" w:rsidTr="00E7709F">
        <w:tc>
          <w:tcPr>
            <w:tcW w:w="2330" w:type="dxa"/>
          </w:tcPr>
          <w:p w14:paraId="42F16F08" w14:textId="24FEE71E" w:rsidR="004F6FFE" w:rsidRPr="004C2D26" w:rsidRDefault="006955A9" w:rsidP="00FB0CE0">
            <w:pPr>
              <w:spacing w:before="60" w:after="60"/>
            </w:pPr>
            <w:r w:rsidRPr="004C2D26">
              <w:t>SEMS</w:t>
            </w:r>
          </w:p>
        </w:tc>
        <w:tc>
          <w:tcPr>
            <w:tcW w:w="6686" w:type="dxa"/>
          </w:tcPr>
          <w:p w14:paraId="433D52EF" w14:textId="35F0F361" w:rsidR="004F6FFE" w:rsidRPr="004C2D26" w:rsidRDefault="006955A9" w:rsidP="00FB0CE0">
            <w:pPr>
              <w:spacing w:before="60" w:after="60"/>
            </w:pPr>
            <w:r w:rsidRPr="004C2D26">
              <w:t xml:space="preserve">Sellafield </w:t>
            </w:r>
            <w:r w:rsidR="0035522F" w:rsidRPr="004C2D26">
              <w:t xml:space="preserve">Limited </w:t>
            </w:r>
            <w:r w:rsidRPr="004C2D26">
              <w:t>Enterprise Management System</w:t>
            </w:r>
          </w:p>
        </w:tc>
      </w:tr>
      <w:tr w:rsidR="003F3668" w:rsidRPr="004C2D26" w14:paraId="1E7D65B5" w14:textId="77777777" w:rsidTr="00E7709F">
        <w:tc>
          <w:tcPr>
            <w:tcW w:w="2330" w:type="dxa"/>
          </w:tcPr>
          <w:p w14:paraId="2172717A" w14:textId="46C1B9C7" w:rsidR="003F3668" w:rsidRPr="004C2D26" w:rsidRDefault="003F3668" w:rsidP="00FB0CE0">
            <w:pPr>
              <w:spacing w:before="60" w:after="60"/>
            </w:pPr>
            <w:r w:rsidRPr="003F3668">
              <w:t>SLMS</w:t>
            </w:r>
          </w:p>
        </w:tc>
        <w:tc>
          <w:tcPr>
            <w:tcW w:w="6686" w:type="dxa"/>
          </w:tcPr>
          <w:p w14:paraId="3E780C51" w14:textId="676282B2" w:rsidR="003F3668" w:rsidRPr="004C2D26" w:rsidRDefault="003F3668" w:rsidP="00FB0CE0">
            <w:pPr>
              <w:spacing w:before="60" w:after="60"/>
            </w:pPr>
            <w:r w:rsidRPr="003F3668">
              <w:t>Sellafield Limited Management System</w:t>
            </w:r>
          </w:p>
        </w:tc>
      </w:tr>
      <w:tr w:rsidR="00FA21A5" w:rsidRPr="004C2D26" w14:paraId="37B6D3D8" w14:textId="77777777" w:rsidTr="00E7709F">
        <w:tc>
          <w:tcPr>
            <w:tcW w:w="2330" w:type="dxa"/>
          </w:tcPr>
          <w:p w14:paraId="5357B3A2" w14:textId="2B11F723" w:rsidR="00FA21A5" w:rsidRPr="004C2D26" w:rsidRDefault="008F5213" w:rsidP="00FB0CE0">
            <w:pPr>
              <w:spacing w:before="60" w:after="60"/>
            </w:pPr>
            <w:r>
              <w:t>SLNSC</w:t>
            </w:r>
          </w:p>
        </w:tc>
        <w:tc>
          <w:tcPr>
            <w:tcW w:w="6686" w:type="dxa"/>
          </w:tcPr>
          <w:p w14:paraId="66933075" w14:textId="66676284" w:rsidR="00FA21A5" w:rsidRPr="004C2D26" w:rsidRDefault="008F5213" w:rsidP="00FB0CE0">
            <w:pPr>
              <w:spacing w:before="60" w:after="60"/>
            </w:pPr>
            <w:r w:rsidRPr="00651665">
              <w:t>S</w:t>
            </w:r>
            <w:r>
              <w:t xml:space="preserve">ellafield </w:t>
            </w:r>
            <w:r w:rsidRPr="00651665">
              <w:t>L</w:t>
            </w:r>
            <w:r>
              <w:t xml:space="preserve">imited </w:t>
            </w:r>
            <w:r w:rsidRPr="00651665">
              <w:t>N</w:t>
            </w:r>
            <w:r>
              <w:t xml:space="preserve">uclear </w:t>
            </w:r>
            <w:r w:rsidRPr="00651665">
              <w:t>S</w:t>
            </w:r>
            <w:r>
              <w:t xml:space="preserve">afety </w:t>
            </w:r>
            <w:r w:rsidRPr="00651665">
              <w:t>C</w:t>
            </w:r>
            <w:r>
              <w:t>ommittee</w:t>
            </w:r>
          </w:p>
        </w:tc>
      </w:tr>
      <w:tr w:rsidR="00927855" w:rsidRPr="004C2D26" w14:paraId="044F13EC" w14:textId="77777777" w:rsidTr="00E7709F">
        <w:tc>
          <w:tcPr>
            <w:tcW w:w="2330" w:type="dxa"/>
          </w:tcPr>
          <w:p w14:paraId="4A9390A7" w14:textId="002D19B3" w:rsidR="00927855" w:rsidRDefault="00927855" w:rsidP="00FB0CE0">
            <w:pPr>
              <w:spacing w:before="60" w:after="60"/>
            </w:pPr>
            <w:r>
              <w:t>SLF</w:t>
            </w:r>
          </w:p>
        </w:tc>
        <w:tc>
          <w:tcPr>
            <w:tcW w:w="6686" w:type="dxa"/>
          </w:tcPr>
          <w:p w14:paraId="1A21232C" w14:textId="5DE8C413" w:rsidR="00927855" w:rsidRDefault="00927855" w:rsidP="00FB0CE0">
            <w:pPr>
              <w:spacing w:before="60" w:after="60"/>
            </w:pPr>
            <w:r>
              <w:t>Sellafield Limited Form</w:t>
            </w:r>
          </w:p>
        </w:tc>
      </w:tr>
      <w:tr w:rsidR="00B86349" w:rsidRPr="004C2D26" w14:paraId="7DD1F898" w14:textId="77777777" w:rsidTr="00E7709F">
        <w:tc>
          <w:tcPr>
            <w:tcW w:w="2330" w:type="dxa"/>
          </w:tcPr>
          <w:p w14:paraId="4D98BE1F" w14:textId="02A6EA35" w:rsidR="00B86349" w:rsidRDefault="00B86349" w:rsidP="00FB0CE0">
            <w:pPr>
              <w:spacing w:before="60" w:after="60"/>
            </w:pPr>
            <w:r>
              <w:t>SLP</w:t>
            </w:r>
          </w:p>
        </w:tc>
        <w:tc>
          <w:tcPr>
            <w:tcW w:w="6686" w:type="dxa"/>
          </w:tcPr>
          <w:p w14:paraId="77C28E17" w14:textId="65C64558" w:rsidR="00B86349" w:rsidRPr="00651665" w:rsidRDefault="00B86349" w:rsidP="00FB0CE0">
            <w:pPr>
              <w:spacing w:before="60" w:after="60"/>
            </w:pPr>
            <w:r>
              <w:t>Sellafield Limited Procedure</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4"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120EA56D" w14:textId="4E47F68A" w:rsidR="00FF26CD"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230086249" w:history="1">
            <w:r w:rsidR="00FF26CD" w:rsidRPr="00DE7D80">
              <w:rPr>
                <w:rStyle w:val="Hyperlink"/>
              </w:rPr>
              <w:t>Executive summary</w:t>
            </w:r>
            <w:r w:rsidR="00FF26CD">
              <w:rPr>
                <w:webHidden/>
              </w:rPr>
              <w:tab/>
            </w:r>
            <w:r w:rsidR="00FF26CD">
              <w:rPr>
                <w:webHidden/>
              </w:rPr>
              <w:fldChar w:fldCharType="begin"/>
            </w:r>
            <w:r w:rsidR="00FF26CD">
              <w:rPr>
                <w:webHidden/>
              </w:rPr>
              <w:instrText xml:space="preserve"> PAGEREF _Toc230086249 \h </w:instrText>
            </w:r>
            <w:r w:rsidR="00FF26CD">
              <w:rPr>
                <w:webHidden/>
              </w:rPr>
            </w:r>
            <w:r w:rsidR="00FF26CD">
              <w:rPr>
                <w:webHidden/>
              </w:rPr>
              <w:fldChar w:fldCharType="separate"/>
            </w:r>
            <w:r w:rsidR="00FF26CD">
              <w:rPr>
                <w:webHidden/>
              </w:rPr>
              <w:t>3</w:t>
            </w:r>
            <w:r w:rsidR="00FF26CD">
              <w:rPr>
                <w:webHidden/>
              </w:rPr>
              <w:fldChar w:fldCharType="end"/>
            </w:r>
          </w:hyperlink>
        </w:p>
        <w:p w14:paraId="56ED0C48" w14:textId="140F1609"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0" w:history="1">
            <w:r w:rsidRPr="00DE7D80">
              <w:rPr>
                <w:rStyle w:val="Hyperlink"/>
              </w:rPr>
              <w:t>1.</w:t>
            </w:r>
            <w:r>
              <w:rPr>
                <w:rFonts w:asciiTheme="minorHAnsi" w:eastAsiaTheme="minorEastAsia" w:hAnsiTheme="minorHAnsi" w:cstheme="minorBidi"/>
                <w:kern w:val="2"/>
                <w:szCs w:val="24"/>
                <w:lang w:eastAsia="en-GB" w:bidi="ar-SA"/>
                <w14:ligatures w14:val="standardContextual"/>
              </w:rPr>
              <w:tab/>
            </w:r>
            <w:r w:rsidRPr="00DE7D80">
              <w:rPr>
                <w:rStyle w:val="Hyperlink"/>
              </w:rPr>
              <w:t>Permission requested</w:t>
            </w:r>
            <w:r>
              <w:rPr>
                <w:webHidden/>
              </w:rPr>
              <w:tab/>
            </w:r>
            <w:r>
              <w:rPr>
                <w:webHidden/>
              </w:rPr>
              <w:fldChar w:fldCharType="begin"/>
            </w:r>
            <w:r>
              <w:rPr>
                <w:webHidden/>
              </w:rPr>
              <w:instrText xml:space="preserve"> PAGEREF _Toc230086250 \h </w:instrText>
            </w:r>
            <w:r>
              <w:rPr>
                <w:webHidden/>
              </w:rPr>
            </w:r>
            <w:r>
              <w:rPr>
                <w:webHidden/>
              </w:rPr>
              <w:fldChar w:fldCharType="separate"/>
            </w:r>
            <w:r>
              <w:rPr>
                <w:webHidden/>
              </w:rPr>
              <w:t>6</w:t>
            </w:r>
            <w:r>
              <w:rPr>
                <w:webHidden/>
              </w:rPr>
              <w:fldChar w:fldCharType="end"/>
            </w:r>
          </w:hyperlink>
        </w:p>
        <w:p w14:paraId="5EFCFD25" w14:textId="5116BF16"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1" w:history="1">
            <w:r w:rsidRPr="00DE7D80">
              <w:rPr>
                <w:rStyle w:val="Hyperlink"/>
              </w:rPr>
              <w:t>2.</w:t>
            </w:r>
            <w:r>
              <w:rPr>
                <w:rFonts w:asciiTheme="minorHAnsi" w:eastAsiaTheme="minorEastAsia" w:hAnsiTheme="minorHAnsi" w:cstheme="minorBidi"/>
                <w:kern w:val="2"/>
                <w:szCs w:val="24"/>
                <w:lang w:eastAsia="en-GB" w:bidi="ar-SA"/>
                <w14:ligatures w14:val="standardContextual"/>
              </w:rPr>
              <w:tab/>
            </w:r>
            <w:r w:rsidRPr="00DE7D80">
              <w:rPr>
                <w:rStyle w:val="Hyperlink"/>
              </w:rPr>
              <w:t>Background</w:t>
            </w:r>
            <w:r>
              <w:rPr>
                <w:webHidden/>
              </w:rPr>
              <w:tab/>
            </w:r>
            <w:r>
              <w:rPr>
                <w:webHidden/>
              </w:rPr>
              <w:fldChar w:fldCharType="begin"/>
            </w:r>
            <w:r>
              <w:rPr>
                <w:webHidden/>
              </w:rPr>
              <w:instrText xml:space="preserve"> PAGEREF _Toc230086251 \h </w:instrText>
            </w:r>
            <w:r>
              <w:rPr>
                <w:webHidden/>
              </w:rPr>
            </w:r>
            <w:r>
              <w:rPr>
                <w:webHidden/>
              </w:rPr>
              <w:fldChar w:fldCharType="separate"/>
            </w:r>
            <w:r>
              <w:rPr>
                <w:webHidden/>
              </w:rPr>
              <w:t>6</w:t>
            </w:r>
            <w:r>
              <w:rPr>
                <w:webHidden/>
              </w:rPr>
              <w:fldChar w:fldCharType="end"/>
            </w:r>
          </w:hyperlink>
        </w:p>
        <w:p w14:paraId="2A887039" w14:textId="4C478679"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2" w:history="1">
            <w:r w:rsidRPr="00DE7D80">
              <w:rPr>
                <w:rStyle w:val="Hyperlink"/>
              </w:rPr>
              <w:t>3.</w:t>
            </w:r>
            <w:r>
              <w:rPr>
                <w:rFonts w:asciiTheme="minorHAnsi" w:eastAsiaTheme="minorEastAsia" w:hAnsiTheme="minorHAnsi" w:cstheme="minorBidi"/>
                <w:kern w:val="2"/>
                <w:szCs w:val="24"/>
                <w:lang w:eastAsia="en-GB" w:bidi="ar-SA"/>
                <w14:ligatures w14:val="standardContextual"/>
              </w:rPr>
              <w:tab/>
            </w:r>
            <w:r w:rsidRPr="00DE7D80">
              <w:rPr>
                <w:rStyle w:val="Hyperlink"/>
              </w:rPr>
              <w:t>Assessment and inspection work carried out by ONR in consideration of this request</w:t>
            </w:r>
            <w:r>
              <w:rPr>
                <w:webHidden/>
              </w:rPr>
              <w:tab/>
            </w:r>
            <w:r>
              <w:rPr>
                <w:webHidden/>
              </w:rPr>
              <w:fldChar w:fldCharType="begin"/>
            </w:r>
            <w:r>
              <w:rPr>
                <w:webHidden/>
              </w:rPr>
              <w:instrText xml:space="preserve"> PAGEREF _Toc230086252 \h </w:instrText>
            </w:r>
            <w:r>
              <w:rPr>
                <w:webHidden/>
              </w:rPr>
            </w:r>
            <w:r>
              <w:rPr>
                <w:webHidden/>
              </w:rPr>
              <w:fldChar w:fldCharType="separate"/>
            </w:r>
            <w:r>
              <w:rPr>
                <w:webHidden/>
              </w:rPr>
              <w:t>7</w:t>
            </w:r>
            <w:r>
              <w:rPr>
                <w:webHidden/>
              </w:rPr>
              <w:fldChar w:fldCharType="end"/>
            </w:r>
          </w:hyperlink>
        </w:p>
        <w:p w14:paraId="4F46173E" w14:textId="3BC1BD67"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3" w:history="1">
            <w:r w:rsidRPr="00DE7D80">
              <w:rPr>
                <w:rStyle w:val="Hyperlink"/>
              </w:rPr>
              <w:t>4.</w:t>
            </w:r>
            <w:r>
              <w:rPr>
                <w:rFonts w:asciiTheme="minorHAnsi" w:eastAsiaTheme="minorEastAsia" w:hAnsiTheme="minorHAnsi" w:cstheme="minorBidi"/>
                <w:kern w:val="2"/>
                <w:szCs w:val="24"/>
                <w:lang w:eastAsia="en-GB" w:bidi="ar-SA"/>
                <w14:ligatures w14:val="standardContextual"/>
              </w:rPr>
              <w:tab/>
            </w:r>
            <w:r w:rsidRPr="00DE7D80">
              <w:rPr>
                <w:rStyle w:val="Hyperlink"/>
              </w:rPr>
              <w:t>Matters arising from ONR’s work</w:t>
            </w:r>
            <w:r>
              <w:rPr>
                <w:webHidden/>
              </w:rPr>
              <w:tab/>
            </w:r>
            <w:r>
              <w:rPr>
                <w:webHidden/>
              </w:rPr>
              <w:fldChar w:fldCharType="begin"/>
            </w:r>
            <w:r>
              <w:rPr>
                <w:webHidden/>
              </w:rPr>
              <w:instrText xml:space="preserve"> PAGEREF _Toc230086253 \h </w:instrText>
            </w:r>
            <w:r>
              <w:rPr>
                <w:webHidden/>
              </w:rPr>
            </w:r>
            <w:r>
              <w:rPr>
                <w:webHidden/>
              </w:rPr>
              <w:fldChar w:fldCharType="separate"/>
            </w:r>
            <w:r>
              <w:rPr>
                <w:webHidden/>
              </w:rPr>
              <w:t>8</w:t>
            </w:r>
            <w:r>
              <w:rPr>
                <w:webHidden/>
              </w:rPr>
              <w:fldChar w:fldCharType="end"/>
            </w:r>
          </w:hyperlink>
        </w:p>
        <w:p w14:paraId="4EF68BE0" w14:textId="1B333E2C"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4" w:history="1">
            <w:r w:rsidRPr="00DE7D80">
              <w:rPr>
                <w:rStyle w:val="Hyperlink"/>
              </w:rPr>
              <w:t>5.</w:t>
            </w:r>
            <w:r>
              <w:rPr>
                <w:rFonts w:asciiTheme="minorHAnsi" w:eastAsiaTheme="minorEastAsia" w:hAnsiTheme="minorHAnsi" w:cstheme="minorBidi"/>
                <w:kern w:val="2"/>
                <w:szCs w:val="24"/>
                <w:lang w:eastAsia="en-GB" w:bidi="ar-SA"/>
                <w14:ligatures w14:val="standardContextual"/>
              </w:rPr>
              <w:tab/>
            </w:r>
            <w:r w:rsidRPr="00DE7D80">
              <w:rPr>
                <w:rStyle w:val="Hyperlink"/>
              </w:rPr>
              <w:t>Conclusions</w:t>
            </w:r>
            <w:r>
              <w:rPr>
                <w:webHidden/>
              </w:rPr>
              <w:tab/>
            </w:r>
            <w:r>
              <w:rPr>
                <w:webHidden/>
              </w:rPr>
              <w:fldChar w:fldCharType="begin"/>
            </w:r>
            <w:r>
              <w:rPr>
                <w:webHidden/>
              </w:rPr>
              <w:instrText xml:space="preserve"> PAGEREF _Toc230086254 \h </w:instrText>
            </w:r>
            <w:r>
              <w:rPr>
                <w:webHidden/>
              </w:rPr>
            </w:r>
            <w:r>
              <w:rPr>
                <w:webHidden/>
              </w:rPr>
              <w:fldChar w:fldCharType="separate"/>
            </w:r>
            <w:r>
              <w:rPr>
                <w:webHidden/>
              </w:rPr>
              <w:t>8</w:t>
            </w:r>
            <w:r>
              <w:rPr>
                <w:webHidden/>
              </w:rPr>
              <w:fldChar w:fldCharType="end"/>
            </w:r>
          </w:hyperlink>
        </w:p>
        <w:p w14:paraId="6360EEDC" w14:textId="42389709" w:rsidR="00FF26CD" w:rsidRDefault="00FF26C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0086255" w:history="1">
            <w:r w:rsidRPr="00DE7D80">
              <w:rPr>
                <w:rStyle w:val="Hyperlink"/>
              </w:rPr>
              <w:t>6.</w:t>
            </w:r>
            <w:r>
              <w:rPr>
                <w:rFonts w:asciiTheme="minorHAnsi" w:eastAsiaTheme="minorEastAsia" w:hAnsiTheme="minorHAnsi" w:cstheme="minorBidi"/>
                <w:kern w:val="2"/>
                <w:szCs w:val="24"/>
                <w:lang w:eastAsia="en-GB" w:bidi="ar-SA"/>
                <w14:ligatures w14:val="standardContextual"/>
              </w:rPr>
              <w:tab/>
            </w:r>
            <w:r w:rsidRPr="00DE7D80">
              <w:rPr>
                <w:rStyle w:val="Hyperlink"/>
              </w:rPr>
              <w:t>Recommendations</w:t>
            </w:r>
            <w:r>
              <w:rPr>
                <w:webHidden/>
              </w:rPr>
              <w:tab/>
            </w:r>
            <w:r>
              <w:rPr>
                <w:webHidden/>
              </w:rPr>
              <w:fldChar w:fldCharType="begin"/>
            </w:r>
            <w:r>
              <w:rPr>
                <w:webHidden/>
              </w:rPr>
              <w:instrText xml:space="preserve"> PAGEREF _Toc230086255 \h </w:instrText>
            </w:r>
            <w:r>
              <w:rPr>
                <w:webHidden/>
              </w:rPr>
            </w:r>
            <w:r>
              <w:rPr>
                <w:webHidden/>
              </w:rPr>
              <w:fldChar w:fldCharType="separate"/>
            </w:r>
            <w:r>
              <w:rPr>
                <w:webHidden/>
              </w:rPr>
              <w:t>8</w:t>
            </w:r>
            <w:r>
              <w:rPr>
                <w:webHidden/>
              </w:rPr>
              <w:fldChar w:fldCharType="end"/>
            </w:r>
          </w:hyperlink>
        </w:p>
        <w:p w14:paraId="18B849A3" w14:textId="7B6A062F" w:rsidR="00FF26CD" w:rsidRDefault="00FF26CD">
          <w:pPr>
            <w:pStyle w:val="TOC1"/>
            <w:rPr>
              <w:rFonts w:asciiTheme="minorHAnsi" w:eastAsiaTheme="minorEastAsia" w:hAnsiTheme="minorHAnsi" w:cstheme="minorBidi"/>
              <w:kern w:val="2"/>
              <w:szCs w:val="24"/>
              <w:lang w:eastAsia="en-GB" w:bidi="ar-SA"/>
              <w14:ligatures w14:val="standardContextual"/>
            </w:rPr>
          </w:pPr>
          <w:hyperlink w:anchor="_Toc230086256" w:history="1">
            <w:r w:rsidRPr="00DE7D80">
              <w:rPr>
                <w:rStyle w:val="Hyperlink"/>
              </w:rPr>
              <w:t>References</w:t>
            </w:r>
            <w:r>
              <w:rPr>
                <w:webHidden/>
              </w:rPr>
              <w:tab/>
            </w:r>
            <w:r>
              <w:rPr>
                <w:webHidden/>
              </w:rPr>
              <w:fldChar w:fldCharType="begin"/>
            </w:r>
            <w:r>
              <w:rPr>
                <w:webHidden/>
              </w:rPr>
              <w:instrText xml:space="preserve"> PAGEREF _Toc230086256 \h </w:instrText>
            </w:r>
            <w:r>
              <w:rPr>
                <w:webHidden/>
              </w:rPr>
            </w:r>
            <w:r>
              <w:rPr>
                <w:webHidden/>
              </w:rPr>
              <w:fldChar w:fldCharType="separate"/>
            </w:r>
            <w:r>
              <w:rPr>
                <w:webHidden/>
              </w:rPr>
              <w:t>9</w:t>
            </w:r>
            <w:r>
              <w:rPr>
                <w:webHidden/>
              </w:rPr>
              <w:fldChar w:fldCharType="end"/>
            </w:r>
          </w:hyperlink>
        </w:p>
        <w:p w14:paraId="65FCBC12" w14:textId="48C9F757" w:rsidR="00F8500A" w:rsidRDefault="00F8500A">
          <w:r>
            <w:rPr>
              <w:b/>
              <w:bCs/>
              <w:noProof/>
            </w:rPr>
            <w:fldChar w:fldCharType="end"/>
          </w:r>
        </w:p>
      </w:sdtContent>
    </w:sdt>
    <w:p w14:paraId="0CAD6143" w14:textId="46AF3679" w:rsidR="00AC2E98" w:rsidRDefault="00AC2E98" w:rsidP="005768C5">
      <w:pPr>
        <w:sectPr w:rsidR="00AC2E98" w:rsidSect="00E72E4A">
          <w:pgSz w:w="11906" w:h="16838" w:code="9"/>
          <w:pgMar w:top="1440" w:right="1440" w:bottom="1440" w:left="1440" w:header="397" w:footer="397" w:gutter="0"/>
          <w:cols w:space="312"/>
          <w:docGrid w:linePitch="360"/>
        </w:sectPr>
      </w:pPr>
      <w:r>
        <w:t>.</w:t>
      </w:r>
    </w:p>
    <w:p w14:paraId="4A9F4FE3" w14:textId="312575BC" w:rsidR="0038766B" w:rsidRPr="00410423" w:rsidRDefault="0038766B" w:rsidP="00410423">
      <w:pPr>
        <w:pStyle w:val="Heading1"/>
      </w:pPr>
      <w:bookmarkStart w:id="5" w:name="_Toc230086250"/>
      <w:bookmarkStart w:id="6" w:name="_Toc109727647"/>
      <w:r w:rsidRPr="00410423">
        <w:lastRenderedPageBreak/>
        <w:t xml:space="preserve">Permission </w:t>
      </w:r>
      <w:r w:rsidR="00385E75">
        <w:t>r</w:t>
      </w:r>
      <w:r w:rsidR="00385E75" w:rsidRPr="00410423">
        <w:t>equested</w:t>
      </w:r>
      <w:bookmarkEnd w:id="5"/>
    </w:p>
    <w:p w14:paraId="10B419A3" w14:textId="5947AC61" w:rsidR="00FE7983" w:rsidRDefault="00BE6BA1" w:rsidP="0099220B">
      <w:pPr>
        <w:pStyle w:val="NumList1"/>
      </w:pPr>
      <w:r w:rsidRPr="00BE6BA1">
        <w:t>In accordance with Licence Condition (LC) 35(4)</w:t>
      </w:r>
      <w:r w:rsidR="00A71CDB">
        <w:rPr>
          <w:rStyle w:val="FootnoteReference"/>
        </w:rPr>
        <w:footnoteReference w:id="2"/>
      </w:r>
      <w:r w:rsidRPr="00BE6BA1">
        <w:t>, Sellafield L</w:t>
      </w:r>
      <w:r w:rsidR="008133DF">
        <w:t xml:space="preserve">td </w:t>
      </w:r>
      <w:r w:rsidR="00D02ED8">
        <w:t>(henceforth referred to as “the licensee”)</w:t>
      </w:r>
      <w:r w:rsidRPr="00BE6BA1">
        <w:t xml:space="preserve"> has written to the Office for Nuclear Regulation (</w:t>
      </w:r>
      <w:r w:rsidRPr="00A14184">
        <w:t xml:space="preserve">ONR) requesting approval </w:t>
      </w:r>
      <w:r w:rsidR="00FE7983" w:rsidRPr="00A14184">
        <w:t>to</w:t>
      </w:r>
      <w:r w:rsidRPr="00A14184">
        <w:t xml:space="preserve"> amend its arrangements made under LC 35(2)</w:t>
      </w:r>
      <w:r w:rsidR="00933FF7" w:rsidRPr="00A14184">
        <w:rPr>
          <w:rStyle w:val="FootnoteReference"/>
        </w:rPr>
        <w:footnoteReference w:id="3"/>
      </w:r>
      <w:sdt>
        <w:sdtPr>
          <w:id w:val="-686754342"/>
          <w:citation/>
        </w:sdtPr>
        <w:sdtEndPr/>
        <w:sdtContent>
          <w:r w:rsidR="00A14184" w:rsidRPr="00A14184">
            <w:fldChar w:fldCharType="begin"/>
          </w:r>
          <w:r w:rsidR="00F546D6">
            <w:instrText xml:space="preserve">CITATION Way26 \l 2057 </w:instrText>
          </w:r>
          <w:r w:rsidR="00A14184" w:rsidRPr="00A14184">
            <w:fldChar w:fldCharType="separate"/>
          </w:r>
          <w:r w:rsidR="00F546D6">
            <w:rPr>
              <w:noProof/>
            </w:rPr>
            <w:t xml:space="preserve"> </w:t>
          </w:r>
          <w:r w:rsidR="00F546D6" w:rsidRPr="00F546D6">
            <w:rPr>
              <w:noProof/>
            </w:rPr>
            <w:t>[1]</w:t>
          </w:r>
          <w:r w:rsidR="00A14184" w:rsidRPr="00A14184">
            <w:fldChar w:fldCharType="end"/>
          </w:r>
        </w:sdtContent>
      </w:sdt>
      <w:r w:rsidRPr="00A14184">
        <w:t>.</w:t>
      </w:r>
      <w:r w:rsidRPr="00BE6BA1">
        <w:t xml:space="preserve"> </w:t>
      </w:r>
    </w:p>
    <w:p w14:paraId="13C362CC" w14:textId="780BE3CD" w:rsidR="0038766B" w:rsidRPr="0038766B" w:rsidRDefault="00590C5D" w:rsidP="00410423">
      <w:pPr>
        <w:pStyle w:val="Heading1"/>
      </w:pPr>
      <w:bookmarkStart w:id="7" w:name="_Toc230086251"/>
      <w:r>
        <w:t>Background</w:t>
      </w:r>
      <w:bookmarkEnd w:id="7"/>
    </w:p>
    <w:p w14:paraId="798E5C93" w14:textId="7943FBE2" w:rsidR="00A34828" w:rsidRDefault="00C6766A" w:rsidP="0027029A">
      <w:pPr>
        <w:pStyle w:val="NumList1"/>
      </w:pPr>
      <w:r>
        <w:t>Through the use of</w:t>
      </w:r>
      <w:r w:rsidR="008A70BC">
        <w:t xml:space="preserve"> </w:t>
      </w:r>
      <w:r w:rsidR="00BD2BF4">
        <w:t>LC 35(3)</w:t>
      </w:r>
      <w:r w:rsidR="003F318F">
        <w:rPr>
          <w:rStyle w:val="FootnoteReference"/>
        </w:rPr>
        <w:footnoteReference w:id="4"/>
      </w:r>
      <w:r w:rsidR="00ED5964">
        <w:t xml:space="preserve"> in 2011</w:t>
      </w:r>
      <w:r>
        <w:t>, ONR</w:t>
      </w:r>
      <w:r w:rsidR="00C928DE">
        <w:t xml:space="preserve"> </w:t>
      </w:r>
      <w:r w:rsidR="00AC38E9">
        <w:t xml:space="preserve">did </w:t>
      </w:r>
      <w:r w:rsidR="002E223B">
        <w:t>S</w:t>
      </w:r>
      <w:r w:rsidR="003F318F">
        <w:t>pecif</w:t>
      </w:r>
      <w:r w:rsidR="00AC38E9">
        <w:t>y</w:t>
      </w:r>
      <w:r w:rsidR="003F318F">
        <w:t xml:space="preserve"> </w:t>
      </w:r>
      <w:sdt>
        <w:sdtPr>
          <w:id w:val="1585798826"/>
          <w:citation/>
        </w:sdtPr>
        <w:sdtEndPr/>
        <w:sdtContent>
          <w:r w:rsidR="00A93305">
            <w:fldChar w:fldCharType="begin"/>
          </w:r>
          <w:r w:rsidR="00A93305">
            <w:instrText xml:space="preserve"> CITATION 7Li \l 2057 </w:instrText>
          </w:r>
          <w:r w:rsidR="00A93305">
            <w:fldChar w:fldCharType="separate"/>
          </w:r>
          <w:r w:rsidR="00F546D6" w:rsidRPr="00F546D6">
            <w:rPr>
              <w:noProof/>
            </w:rPr>
            <w:t>[2]</w:t>
          </w:r>
          <w:r w:rsidR="00A93305">
            <w:fldChar w:fldCharType="end"/>
          </w:r>
        </w:sdtContent>
      </w:sdt>
      <w:r w:rsidR="00A93305">
        <w:t xml:space="preserve"> and </w:t>
      </w:r>
      <w:r w:rsidR="002E223B">
        <w:t>A</w:t>
      </w:r>
      <w:r w:rsidR="00A93305">
        <w:t xml:space="preserve">pprove </w:t>
      </w:r>
      <w:sdt>
        <w:sdtPr>
          <w:id w:val="-44533292"/>
          <w:citation/>
        </w:sdtPr>
        <w:sdtEndPr/>
        <w:sdtContent>
          <w:r w:rsidR="00A93305">
            <w:fldChar w:fldCharType="begin"/>
          </w:r>
          <w:r w:rsidR="00A93305">
            <w:instrText xml:space="preserve"> CITATION Off \l 2057 </w:instrText>
          </w:r>
          <w:r w:rsidR="00A93305">
            <w:fldChar w:fldCharType="separate"/>
          </w:r>
          <w:r w:rsidR="00F546D6" w:rsidRPr="00F546D6">
            <w:rPr>
              <w:noProof/>
            </w:rPr>
            <w:t>[3]</w:t>
          </w:r>
          <w:r w:rsidR="00A93305">
            <w:fldChar w:fldCharType="end"/>
          </w:r>
        </w:sdtContent>
      </w:sdt>
      <w:r w:rsidR="00473CFF">
        <w:t xml:space="preserve"> </w:t>
      </w:r>
      <w:r w:rsidR="009E0CFC">
        <w:t xml:space="preserve">the licensee’s </w:t>
      </w:r>
      <w:r w:rsidR="00473CFF">
        <w:t xml:space="preserve">arrangements for the identification and control of </w:t>
      </w:r>
      <w:r w:rsidR="000134DF">
        <w:t>k</w:t>
      </w:r>
      <w:r w:rsidR="00473CFF">
        <w:t xml:space="preserve">ey </w:t>
      </w:r>
      <w:r w:rsidR="000134DF">
        <w:t>d</w:t>
      </w:r>
      <w:r w:rsidR="00473CFF">
        <w:t xml:space="preserve">ecommissioning </w:t>
      </w:r>
      <w:r w:rsidR="000134DF">
        <w:t>m</w:t>
      </w:r>
      <w:r w:rsidR="00473CFF">
        <w:t>ilestones (KDMs)</w:t>
      </w:r>
      <w:r w:rsidR="00B94E98">
        <w:t>.</w:t>
      </w:r>
      <w:r w:rsidR="008A652F">
        <w:t xml:space="preserve"> </w:t>
      </w:r>
      <w:r w:rsidR="00DB7735">
        <w:t xml:space="preserve">This </w:t>
      </w:r>
      <w:r w:rsidR="008A652F">
        <w:t>provide</w:t>
      </w:r>
      <w:r w:rsidR="00DB7735">
        <w:t>s</w:t>
      </w:r>
      <w:r w:rsidR="008A652F">
        <w:t xml:space="preserve"> a legal means of </w:t>
      </w:r>
      <w:r w:rsidR="005219A0">
        <w:t xml:space="preserve">exerting regulatory </w:t>
      </w:r>
      <w:r w:rsidR="003E74D5">
        <w:t xml:space="preserve">control </w:t>
      </w:r>
      <w:r w:rsidR="005219A0">
        <w:t>ov</w:t>
      </w:r>
      <w:r w:rsidR="0058581D">
        <w:t xml:space="preserve">er </w:t>
      </w:r>
      <w:r w:rsidR="003E74D5">
        <w:t>the</w:t>
      </w:r>
      <w:r w:rsidR="0058581D">
        <w:t>se</w:t>
      </w:r>
      <w:r w:rsidR="003E74D5">
        <w:t xml:space="preserve"> arrangements </w:t>
      </w:r>
      <w:r w:rsidR="002A7B18">
        <w:t>and</w:t>
      </w:r>
      <w:r w:rsidR="008A652F">
        <w:t xml:space="preserve"> </w:t>
      </w:r>
      <w:r w:rsidR="002A7B18">
        <w:t xml:space="preserve">they </w:t>
      </w:r>
      <w:r w:rsidR="008A652F">
        <w:t xml:space="preserve">cannot </w:t>
      </w:r>
      <w:r w:rsidR="002A7B18">
        <w:t xml:space="preserve">be </w:t>
      </w:r>
      <w:r w:rsidR="003D2A75">
        <w:t>altered</w:t>
      </w:r>
      <w:r w:rsidR="002A7B18">
        <w:t xml:space="preserve"> </w:t>
      </w:r>
      <w:r w:rsidR="008A652F">
        <w:t>without approval</w:t>
      </w:r>
      <w:r w:rsidR="005C717E">
        <w:t xml:space="preserve"> from ONR.</w:t>
      </w:r>
    </w:p>
    <w:p w14:paraId="38735137" w14:textId="6F3C3394" w:rsidR="0006730E" w:rsidRDefault="0006730E" w:rsidP="0006730E">
      <w:pPr>
        <w:pStyle w:val="NumList1"/>
      </w:pPr>
      <w:r>
        <w:t>The licensee</w:t>
      </w:r>
      <w:r w:rsidRPr="00833872">
        <w:t xml:space="preserve"> has requested approval </w:t>
      </w:r>
      <w:r>
        <w:t>to transition</w:t>
      </w:r>
      <w:r w:rsidRPr="00833872">
        <w:t xml:space="preserve"> its arrangements in SLP 1.07.03 'How do I produce and maintain Key Decommissioning Milestones?' (issue 2, dated 05/24)</w:t>
      </w:r>
      <w:r>
        <w:t xml:space="preserve"> </w:t>
      </w:r>
      <w:sdt>
        <w:sdtPr>
          <w:id w:val="-1079827529"/>
          <w:citation/>
        </w:sdtPr>
        <w:sdtEndPr/>
        <w:sdtContent>
          <w:r>
            <w:fldChar w:fldCharType="begin"/>
          </w:r>
          <w:r w:rsidR="008C045E">
            <w:instrText xml:space="preserve">CITATION Sel241 \l 2057 </w:instrText>
          </w:r>
          <w:r>
            <w:fldChar w:fldCharType="separate"/>
          </w:r>
          <w:r w:rsidR="00F546D6" w:rsidRPr="00F546D6">
            <w:rPr>
              <w:noProof/>
            </w:rPr>
            <w:t>[4]</w:t>
          </w:r>
          <w:r>
            <w:fldChar w:fldCharType="end"/>
          </w:r>
        </w:sdtContent>
      </w:sdt>
      <w:r>
        <w:t xml:space="preserve"> </w:t>
      </w:r>
      <w:r w:rsidRPr="00833872">
        <w:t>from the current S</w:t>
      </w:r>
      <w:r>
        <w:t xml:space="preserve">ellafield </w:t>
      </w:r>
      <w:r w:rsidRPr="00833872">
        <w:t>L</w:t>
      </w:r>
      <w:r w:rsidR="001560BF">
        <w:t>td m</w:t>
      </w:r>
      <w:r w:rsidRPr="00833872">
        <w:t xml:space="preserve">anagement </w:t>
      </w:r>
      <w:r w:rsidR="001560BF">
        <w:t>s</w:t>
      </w:r>
      <w:r w:rsidRPr="00833872">
        <w:t>ystem (SLMS) into the new S</w:t>
      </w:r>
      <w:r>
        <w:t xml:space="preserve">ellafield </w:t>
      </w:r>
      <w:r w:rsidRPr="00833872">
        <w:t>L</w:t>
      </w:r>
      <w:r w:rsidR="001560BF">
        <w:t>td e</w:t>
      </w:r>
      <w:r w:rsidRPr="00833872">
        <w:t xml:space="preserve">nterprise </w:t>
      </w:r>
      <w:r w:rsidR="001560BF">
        <w:t>m</w:t>
      </w:r>
      <w:r w:rsidRPr="00833872">
        <w:t xml:space="preserve">anagement </w:t>
      </w:r>
      <w:r w:rsidR="001560BF">
        <w:t>s</w:t>
      </w:r>
      <w:r w:rsidRPr="00833872">
        <w:t>ystem (SEMS)</w:t>
      </w:r>
      <w:r>
        <w:t xml:space="preserve"> and issue it in the new structure as </w:t>
      </w:r>
      <w:r w:rsidRPr="00CC75EF">
        <w:t xml:space="preserve">SLP 2.9.1.3_01 </w:t>
      </w:r>
      <w:r>
        <w:t>(</w:t>
      </w:r>
      <w:r w:rsidRPr="00CC75EF">
        <w:t>Issue 1</w:t>
      </w:r>
      <w:r>
        <w:t xml:space="preserve">) </w:t>
      </w:r>
      <w:sdt>
        <w:sdtPr>
          <w:id w:val="1623272182"/>
          <w:citation/>
        </w:sdtPr>
        <w:sdtEndPr/>
        <w:sdtContent>
          <w:r>
            <w:fldChar w:fldCharType="begin"/>
          </w:r>
          <w:r w:rsidR="008C045E">
            <w:instrText xml:space="preserve">CITATION Sel26 \l 2057 </w:instrText>
          </w:r>
          <w:r>
            <w:fldChar w:fldCharType="separate"/>
          </w:r>
          <w:r w:rsidR="00F546D6" w:rsidRPr="00F546D6">
            <w:rPr>
              <w:noProof/>
            </w:rPr>
            <w:t>[5]</w:t>
          </w:r>
          <w:r>
            <w:fldChar w:fldCharType="end"/>
          </w:r>
        </w:sdtContent>
      </w:sdt>
      <w:r w:rsidRPr="00BE6BA1">
        <w:t>.</w:t>
      </w:r>
    </w:p>
    <w:p w14:paraId="2BD282DB" w14:textId="00E43457" w:rsidR="002D05AE" w:rsidRDefault="003759EB" w:rsidP="00F36072">
      <w:pPr>
        <w:pStyle w:val="NumList1"/>
      </w:pPr>
      <w:r>
        <w:t xml:space="preserve">The </w:t>
      </w:r>
      <w:r w:rsidR="00287158">
        <w:t>licence instrument</w:t>
      </w:r>
      <w:r w:rsidR="008842AF">
        <w:t xml:space="preserve"> used</w:t>
      </w:r>
      <w:r w:rsidR="00287158">
        <w:t xml:space="preserve"> </w:t>
      </w:r>
      <w:r w:rsidR="008842AF">
        <w:t>to</w:t>
      </w:r>
      <w:r w:rsidR="00287158">
        <w:t xml:space="preserve"> </w:t>
      </w:r>
      <w:r w:rsidR="005F52F4">
        <w:t>A</w:t>
      </w:r>
      <w:r w:rsidR="00FB4B74">
        <w:t>pprov</w:t>
      </w:r>
      <w:r w:rsidR="00983AD6">
        <w:t>e</w:t>
      </w:r>
      <w:r w:rsidR="00FB4B74">
        <w:t xml:space="preserve"> </w:t>
      </w:r>
      <w:r w:rsidR="00287158">
        <w:t>SLP 1.07.03, Issue 2</w:t>
      </w:r>
      <w:r w:rsidR="00D902EB">
        <w:t>,</w:t>
      </w:r>
      <w:r w:rsidR="00287158">
        <w:t xml:space="preserve"> </w:t>
      </w:r>
      <w:r w:rsidR="009C6CA9">
        <w:t xml:space="preserve">was issued in </w:t>
      </w:r>
      <w:r w:rsidR="00C860E7">
        <w:t xml:space="preserve">2024 as LI 549 </w:t>
      </w:r>
      <w:sdt>
        <w:sdtPr>
          <w:id w:val="-2044970346"/>
          <w:citation/>
        </w:sdtPr>
        <w:sdtEndPr/>
        <w:sdtContent>
          <w:r w:rsidR="00E2493B">
            <w:fldChar w:fldCharType="begin"/>
          </w:r>
          <w:r w:rsidR="00E2493B">
            <w:instrText xml:space="preserve"> CITATION Off24 \l 2057 </w:instrText>
          </w:r>
          <w:r w:rsidR="00E2493B">
            <w:fldChar w:fldCharType="separate"/>
          </w:r>
          <w:r w:rsidR="00F546D6" w:rsidRPr="00F546D6">
            <w:rPr>
              <w:noProof/>
            </w:rPr>
            <w:t>[6]</w:t>
          </w:r>
          <w:r w:rsidR="00E2493B">
            <w:fldChar w:fldCharType="end"/>
          </w:r>
        </w:sdtContent>
      </w:sdt>
      <w:r w:rsidR="00BD5C23">
        <w:t xml:space="preserve"> </w:t>
      </w:r>
      <w:r w:rsidR="00C860E7">
        <w:t>(for all of the relevant documents</w:t>
      </w:r>
      <w:r w:rsidR="00D902EB">
        <w:t xml:space="preserve"> associated with this</w:t>
      </w:r>
      <w:r w:rsidR="00C860E7">
        <w:t xml:space="preserve">, </w:t>
      </w:r>
      <w:r w:rsidR="00D831F6">
        <w:t xml:space="preserve">see WIReD reference </w:t>
      </w:r>
      <w:r w:rsidR="00410872" w:rsidRPr="00410872">
        <w:t>PR-01854</w:t>
      </w:r>
      <w:r w:rsidR="00410872">
        <w:t>).</w:t>
      </w:r>
      <w:r w:rsidR="00596DFA">
        <w:t xml:space="preserve"> </w:t>
      </w:r>
    </w:p>
    <w:p w14:paraId="004D98EE" w14:textId="14981CB6" w:rsidR="00790233" w:rsidRDefault="0093673F" w:rsidP="0093673F">
      <w:pPr>
        <w:pStyle w:val="NumList1"/>
      </w:pPr>
      <w:r>
        <w:t xml:space="preserve">The licensee </w:t>
      </w:r>
      <w:r w:rsidRPr="0093673F">
        <w:t xml:space="preserve">is </w:t>
      </w:r>
      <w:r>
        <w:t xml:space="preserve">now </w:t>
      </w:r>
      <w:r w:rsidRPr="0093673F">
        <w:t xml:space="preserve">transitioning from SLMS to </w:t>
      </w:r>
      <w:r w:rsidR="005B083E">
        <w:t>S</w:t>
      </w:r>
      <w:r w:rsidRPr="0093673F">
        <w:t>EMS</w:t>
      </w:r>
      <w:r w:rsidR="003D4317">
        <w:t xml:space="preserve"> and</w:t>
      </w:r>
      <w:r w:rsidR="00EE1955">
        <w:t xml:space="preserve"> has requested approval from ONR </w:t>
      </w:r>
      <w:r w:rsidR="00790233">
        <w:t xml:space="preserve">to move approved arrangements </w:t>
      </w:r>
      <w:r w:rsidR="00790233" w:rsidRPr="0093673F">
        <w:t>SLP 1.07.03</w:t>
      </w:r>
      <w:r w:rsidR="00790233">
        <w:t xml:space="preserve"> </w:t>
      </w:r>
      <w:r w:rsidR="00AD5D94">
        <w:t>into it</w:t>
      </w:r>
      <w:r w:rsidR="000746AF">
        <w:t xml:space="preserve">. </w:t>
      </w:r>
      <w:r w:rsidR="00BE1EE6">
        <w:t xml:space="preserve">There are no substantive changes to the </w:t>
      </w:r>
      <w:r w:rsidR="00165656">
        <w:t>arrangements</w:t>
      </w:r>
      <w:r w:rsidR="004732BE">
        <w:t>, which were</w:t>
      </w:r>
      <w:r w:rsidR="00165656">
        <w:t xml:space="preserve"> approved by ONR in 2024. </w:t>
      </w:r>
    </w:p>
    <w:p w14:paraId="4A4B131A" w14:textId="7C60D921" w:rsidR="0038766B" w:rsidRPr="0038766B" w:rsidRDefault="00385E75" w:rsidP="00410423">
      <w:pPr>
        <w:pStyle w:val="Heading1"/>
      </w:pPr>
      <w:bookmarkStart w:id="8" w:name="_Toc230086252"/>
      <w:r>
        <w:lastRenderedPageBreak/>
        <w:t>Assessment and inspection work carried out by ONR in consideration of this request</w:t>
      </w:r>
      <w:bookmarkEnd w:id="8"/>
    </w:p>
    <w:p w14:paraId="56A51124" w14:textId="4B79BAA4" w:rsidR="000F617C" w:rsidRDefault="006236C2" w:rsidP="00AC2E98">
      <w:pPr>
        <w:pStyle w:val="NumList1"/>
      </w:pPr>
      <w:r>
        <w:t>Prior to the licensee submitting this request for approval</w:t>
      </w:r>
      <w:r w:rsidR="006F5A6A">
        <w:t xml:space="preserve">, </w:t>
      </w:r>
      <w:r w:rsidR="005120F1">
        <w:t>we</w:t>
      </w:r>
      <w:r w:rsidR="006F5A6A">
        <w:t xml:space="preserve"> engaged with the licensee to establish that this </w:t>
      </w:r>
      <w:r w:rsidR="00EE4D0F">
        <w:t>request</w:t>
      </w:r>
      <w:r w:rsidR="008008F7">
        <w:t xml:space="preserve"> is essentially an administrative one with no sub</w:t>
      </w:r>
      <w:r w:rsidR="00250D1D">
        <w:t>stantive changes to the KDM arrangements that could affect safety.</w:t>
      </w:r>
    </w:p>
    <w:p w14:paraId="49C9DAB4" w14:textId="4C2EA7C8" w:rsidR="003F4A3B" w:rsidRDefault="00DF75F0" w:rsidP="00AC2E98">
      <w:pPr>
        <w:pStyle w:val="NumList1"/>
      </w:pPr>
      <w:r>
        <w:t xml:space="preserve">All existing KDMs are </w:t>
      </w:r>
      <w:r w:rsidR="002531D2">
        <w:t>recorded on form</w:t>
      </w:r>
      <w:r w:rsidR="00E941C5">
        <w:t xml:space="preserve"> </w:t>
      </w:r>
      <w:r w:rsidR="00C86D72">
        <w:t xml:space="preserve">SLF 1.07.03 (the KDM </w:t>
      </w:r>
      <w:r w:rsidR="00B95884">
        <w:t>k</w:t>
      </w:r>
      <w:r w:rsidR="00C86D72">
        <w:t xml:space="preserve">ey </w:t>
      </w:r>
      <w:r w:rsidR="00B95884">
        <w:t>r</w:t>
      </w:r>
      <w:r w:rsidR="00EE7552">
        <w:t>ecord</w:t>
      </w:r>
      <w:r w:rsidR="00D3556D">
        <w:t>, which is not an approved document</w:t>
      </w:r>
      <w:r w:rsidR="00C86D72">
        <w:t>).</w:t>
      </w:r>
      <w:r w:rsidR="002531D2">
        <w:t xml:space="preserve"> </w:t>
      </w:r>
      <w:r w:rsidR="003F4A3B">
        <w:t xml:space="preserve">The licensee sought </w:t>
      </w:r>
      <w:r w:rsidR="007669E4">
        <w:t xml:space="preserve">our </w:t>
      </w:r>
      <w:r w:rsidR="006B1D93">
        <w:t xml:space="preserve"> </w:t>
      </w:r>
      <w:r w:rsidR="003F4A3B">
        <w:t xml:space="preserve">advice on whether or not it </w:t>
      </w:r>
      <w:r w:rsidR="006B1D93">
        <w:t xml:space="preserve">would be necessary to transfer </w:t>
      </w:r>
      <w:r w:rsidR="00E3183C">
        <w:t xml:space="preserve">all existing KDMs onto the </w:t>
      </w:r>
      <w:r w:rsidR="00462190">
        <w:t xml:space="preserve">new management system form, </w:t>
      </w:r>
      <w:r w:rsidR="00EC2EC9" w:rsidRPr="00CC75EF">
        <w:t>SL</w:t>
      </w:r>
      <w:r w:rsidR="00EC2EC9">
        <w:t>F</w:t>
      </w:r>
      <w:r w:rsidR="00EC2EC9" w:rsidRPr="00CC75EF">
        <w:t xml:space="preserve"> 2.9.1.3_01</w:t>
      </w:r>
      <w:r w:rsidR="00EC2EC9">
        <w:t xml:space="preserve">, </w:t>
      </w:r>
      <w:r w:rsidR="00462190">
        <w:t>or if it would be acceptable</w:t>
      </w:r>
      <w:r w:rsidR="00101CC4">
        <w:t xml:space="preserve"> to </w:t>
      </w:r>
      <w:r w:rsidR="00D56A39">
        <w:t>leave existing KDMs documented on the existing form</w:t>
      </w:r>
      <w:r w:rsidR="00EC2EC9">
        <w:t xml:space="preserve">, </w:t>
      </w:r>
      <w:r w:rsidR="00EC2EC9" w:rsidRPr="0093673F">
        <w:t>SL</w:t>
      </w:r>
      <w:r w:rsidR="00EC2EC9">
        <w:t>F</w:t>
      </w:r>
      <w:r w:rsidR="00EC2EC9" w:rsidRPr="0093673F">
        <w:t xml:space="preserve"> 1.07.03</w:t>
      </w:r>
      <w:r w:rsidR="00EC2EC9">
        <w:t>,</w:t>
      </w:r>
      <w:r w:rsidR="00D56A39">
        <w:t xml:space="preserve"> and transition </w:t>
      </w:r>
      <w:r w:rsidR="00492B87">
        <w:t xml:space="preserve">forms </w:t>
      </w:r>
      <w:r w:rsidR="00D56A39">
        <w:t xml:space="preserve">only </w:t>
      </w:r>
      <w:r w:rsidR="005F76DC">
        <w:t xml:space="preserve">if the KDM is revised or closed. </w:t>
      </w:r>
      <w:r w:rsidR="008B0F46">
        <w:t>We</w:t>
      </w:r>
      <w:r w:rsidR="00CA41EC">
        <w:t xml:space="preserve"> </w:t>
      </w:r>
      <w:r w:rsidR="000A7B5D">
        <w:t xml:space="preserve">judged that </w:t>
      </w:r>
      <w:r w:rsidR="00560310">
        <w:t xml:space="preserve">leaving KDMs documented on the existing form until a change is </w:t>
      </w:r>
      <w:r w:rsidR="00107784">
        <w:t xml:space="preserve">made to be </w:t>
      </w:r>
      <w:r w:rsidR="000A7B5D">
        <w:t>a proportionate approach</w:t>
      </w:r>
      <w:r w:rsidR="00107784">
        <w:t>, which would</w:t>
      </w:r>
      <w:r w:rsidR="000A7B5D">
        <w:t xml:space="preserve"> reduce unnecessary administrative </w:t>
      </w:r>
      <w:r w:rsidR="007D7FD3">
        <w:t>burden on the licensee</w:t>
      </w:r>
      <w:r w:rsidR="00FB08CB">
        <w:t>.</w:t>
      </w:r>
    </w:p>
    <w:p w14:paraId="25EAE218" w14:textId="02623B70" w:rsidR="00B47DF8" w:rsidRDefault="00AF330B" w:rsidP="00F85524">
      <w:pPr>
        <w:pStyle w:val="NumList1"/>
      </w:pPr>
      <w:r>
        <w:t xml:space="preserve">Upon receiving the formal request for approval and in accordance with the </w:t>
      </w:r>
      <w:r w:rsidR="001A6010">
        <w:t xml:space="preserve">approved </w:t>
      </w:r>
      <w:r>
        <w:t>regulatory permissioning strategy (</w:t>
      </w:r>
      <w:r w:rsidR="00B509D4" w:rsidRPr="00B509D4">
        <w:t>PR-02350</w:t>
      </w:r>
      <w:r>
        <w:t xml:space="preserve">), I carried out a </w:t>
      </w:r>
      <w:r w:rsidR="00B37D82">
        <w:t xml:space="preserve">comparison of </w:t>
      </w:r>
      <w:r w:rsidR="00B37D82" w:rsidRPr="00CC75EF">
        <w:t>SLP 2.9.1.3_01</w:t>
      </w:r>
      <w:r w:rsidR="00B37D82">
        <w:t xml:space="preserve"> against </w:t>
      </w:r>
      <w:r w:rsidR="00B37D82" w:rsidRPr="0093673F">
        <w:t>SLP 1.07.03</w:t>
      </w:r>
      <w:r w:rsidR="00B37D82">
        <w:t xml:space="preserve">. </w:t>
      </w:r>
      <w:r w:rsidR="007733EB">
        <w:t>Most of the changes were presentational</w:t>
      </w:r>
      <w:r w:rsidR="0034389C">
        <w:t xml:space="preserve">: updating </w:t>
      </w:r>
      <w:r w:rsidR="00CB545A">
        <w:t xml:space="preserve">references to the new management system, </w:t>
      </w:r>
      <w:r w:rsidR="008E025F">
        <w:t>grammatical changes et</w:t>
      </w:r>
      <w:r w:rsidR="009F12BC">
        <w:t>c</w:t>
      </w:r>
      <w:r w:rsidR="004E46C8">
        <w:t xml:space="preserve">. However </w:t>
      </w:r>
      <w:r w:rsidR="006F26DB" w:rsidRPr="006F26DB">
        <w:t xml:space="preserve">my review did highlight some inconsistencies </w:t>
      </w:r>
      <w:r w:rsidR="005C6EC1">
        <w:t>in</w:t>
      </w:r>
      <w:r w:rsidR="006F26DB" w:rsidRPr="006F26DB">
        <w:t xml:space="preserve"> naming conventions which I highlighted to </w:t>
      </w:r>
      <w:r w:rsidR="005C6EC1">
        <w:t>the licensee</w:t>
      </w:r>
      <w:r w:rsidR="001B77CE">
        <w:t xml:space="preserve">; I did not pursue these </w:t>
      </w:r>
      <w:r w:rsidR="006F26DB" w:rsidRPr="006F26DB">
        <w:t xml:space="preserve">any further </w:t>
      </w:r>
      <w:r w:rsidR="001B77CE">
        <w:t xml:space="preserve">beyond confirming that they </w:t>
      </w:r>
      <w:r w:rsidR="005B600F">
        <w:t>did not correspond to a</w:t>
      </w:r>
      <w:r w:rsidR="00102713">
        <w:t xml:space="preserve"> </w:t>
      </w:r>
      <w:r w:rsidR="003B14FC">
        <w:t xml:space="preserve">material </w:t>
      </w:r>
      <w:r w:rsidR="00451D0B">
        <w:t xml:space="preserve">change </w:t>
      </w:r>
      <w:r w:rsidR="00102713">
        <w:t xml:space="preserve">in governance </w:t>
      </w:r>
      <w:sdt>
        <w:sdtPr>
          <w:id w:val="-1479613789"/>
          <w:citation/>
        </w:sdtPr>
        <w:sdtEndPr/>
        <w:sdtContent>
          <w:r w:rsidR="00200EDB">
            <w:fldChar w:fldCharType="begin"/>
          </w:r>
          <w:r w:rsidR="00AE41B8">
            <w:instrText xml:space="preserve">CITATION Joh26 \l 2057 </w:instrText>
          </w:r>
          <w:r w:rsidR="00200EDB">
            <w:fldChar w:fldCharType="separate"/>
          </w:r>
          <w:r w:rsidR="00F546D6" w:rsidRPr="00F546D6">
            <w:rPr>
              <w:noProof/>
            </w:rPr>
            <w:t>[7]</w:t>
          </w:r>
          <w:r w:rsidR="00200EDB">
            <w:fldChar w:fldCharType="end"/>
          </w:r>
        </w:sdtContent>
      </w:sdt>
      <w:r w:rsidR="006F26DB" w:rsidRPr="006F26DB">
        <w:t>.</w:t>
      </w:r>
    </w:p>
    <w:p w14:paraId="1783FC68" w14:textId="7D135C52" w:rsidR="003B3E0D" w:rsidRDefault="00E51C66" w:rsidP="00AF330B">
      <w:pPr>
        <w:pStyle w:val="NumList1"/>
      </w:pPr>
      <w:r>
        <w:t>Additionally the licensee has added</w:t>
      </w:r>
      <w:r w:rsidR="00B52C99">
        <w:t xml:space="preserve"> t</w:t>
      </w:r>
      <w:r w:rsidR="00FE2594">
        <w:t>he following to the revised document</w:t>
      </w:r>
      <w:r>
        <w:t>:</w:t>
      </w:r>
    </w:p>
    <w:p w14:paraId="1E174530" w14:textId="36C8A475" w:rsidR="00E51C66" w:rsidRDefault="00E51C66" w:rsidP="00470C95">
      <w:pPr>
        <w:pStyle w:val="Bulletlist1"/>
      </w:pPr>
      <w:r>
        <w:t xml:space="preserve">A retention period for </w:t>
      </w:r>
      <w:r w:rsidR="002737B0">
        <w:t xml:space="preserve">the </w:t>
      </w:r>
      <w:r>
        <w:t>completed</w:t>
      </w:r>
      <w:r w:rsidR="002737B0">
        <w:t xml:space="preserve"> KDM </w:t>
      </w:r>
      <w:r w:rsidR="00B95884">
        <w:t>k</w:t>
      </w:r>
      <w:r w:rsidR="002737B0">
        <w:t xml:space="preserve">ey </w:t>
      </w:r>
      <w:r w:rsidR="00B95884">
        <w:t>r</w:t>
      </w:r>
      <w:r w:rsidR="002737B0">
        <w:t>ecord</w:t>
      </w:r>
      <w:r>
        <w:t xml:space="preserve"> </w:t>
      </w:r>
      <w:r w:rsidR="00A64C67">
        <w:t xml:space="preserve">of </w:t>
      </w:r>
      <w:r>
        <w:t xml:space="preserve">30 years after completion of </w:t>
      </w:r>
      <w:r w:rsidR="00DA1F20">
        <w:t>d</w:t>
      </w:r>
      <w:r>
        <w:t>ecommissioning</w:t>
      </w:r>
      <w:r w:rsidR="00DA1F20">
        <w:t>;</w:t>
      </w:r>
      <w:r w:rsidR="00BC153D">
        <w:t xml:space="preserve"> and</w:t>
      </w:r>
    </w:p>
    <w:p w14:paraId="7E7DBB09" w14:textId="2DDA9DDA" w:rsidR="00DA1F20" w:rsidRDefault="00283B7D" w:rsidP="007727EF">
      <w:pPr>
        <w:pStyle w:val="Bulletlist1"/>
      </w:pPr>
      <w:r>
        <w:t>A</w:t>
      </w:r>
      <w:r w:rsidR="006237C3">
        <w:t xml:space="preserve">n </w:t>
      </w:r>
      <w:r w:rsidR="00E91A6E">
        <w:t>additional</w:t>
      </w:r>
      <w:r w:rsidR="006237C3">
        <w:t xml:space="preserve"> criterion </w:t>
      </w:r>
      <w:r w:rsidR="008F776F">
        <w:t xml:space="preserve">for </w:t>
      </w:r>
      <w:r w:rsidR="00C21B5A">
        <w:t>classifying the KDM change as Category 1 (the highest category</w:t>
      </w:r>
      <w:r w:rsidR="00AC0420">
        <w:t xml:space="preserve">, </w:t>
      </w:r>
      <w:r w:rsidR="00443168" w:rsidRPr="00443168">
        <w:t xml:space="preserve">which </w:t>
      </w:r>
      <w:r w:rsidR="00AC0420">
        <w:t xml:space="preserve">can only be </w:t>
      </w:r>
      <w:r w:rsidR="00443168" w:rsidRPr="00443168">
        <w:t>implement</w:t>
      </w:r>
      <w:r w:rsidR="00AC0420">
        <w:t>ed</w:t>
      </w:r>
      <w:r w:rsidR="00443168" w:rsidRPr="00443168">
        <w:t xml:space="preserve"> after ONR gives a written response</w:t>
      </w:r>
      <w:r w:rsidR="00C21B5A">
        <w:t xml:space="preserve">) </w:t>
      </w:r>
      <w:r w:rsidR="007854D6">
        <w:t xml:space="preserve">of where there is a </w:t>
      </w:r>
      <w:r w:rsidR="003676CA">
        <w:t>“</w:t>
      </w:r>
      <w:r w:rsidR="007854D6" w:rsidRPr="008D32A6">
        <w:rPr>
          <w:i/>
          <w:iCs/>
        </w:rPr>
        <w:t>significant impact on downstream and/or other Delivery Portfolio Milestones</w:t>
      </w:r>
      <w:r w:rsidR="003676CA">
        <w:t>”.</w:t>
      </w:r>
    </w:p>
    <w:p w14:paraId="52786FD0" w14:textId="71822BA0" w:rsidR="00D23BA6" w:rsidRDefault="00D23BA6" w:rsidP="00D23BA6">
      <w:pPr>
        <w:pStyle w:val="NumList1"/>
      </w:pPr>
      <w:r>
        <w:t xml:space="preserve">I judge both to be positive additions to </w:t>
      </w:r>
      <w:r w:rsidRPr="00CC75EF">
        <w:t>SLP 2.9.1.3_01</w:t>
      </w:r>
      <w:r w:rsidR="00214794">
        <w:t>. W</w:t>
      </w:r>
      <w:r w:rsidR="00E923AB">
        <w:t xml:space="preserve">hile the inclusion of the retention period brings clarity to </w:t>
      </w:r>
      <w:r w:rsidR="00FB3252">
        <w:t xml:space="preserve">the SLP, </w:t>
      </w:r>
      <w:r w:rsidR="00214794">
        <w:t xml:space="preserve">I do note however, that </w:t>
      </w:r>
      <w:r w:rsidR="00FB3252">
        <w:t xml:space="preserve">it </w:t>
      </w:r>
      <w:r w:rsidR="00DB4CC6">
        <w:t xml:space="preserve">might have been more </w:t>
      </w:r>
      <w:r w:rsidR="00544A0D">
        <w:t xml:space="preserve">prudent to link to </w:t>
      </w:r>
      <w:r w:rsidR="00C3220A">
        <w:t xml:space="preserve">the </w:t>
      </w:r>
      <w:r w:rsidR="0006438A">
        <w:t>e</w:t>
      </w:r>
      <w:r w:rsidR="00544A0D">
        <w:t xml:space="preserve">nterprise level </w:t>
      </w:r>
      <w:r w:rsidR="00E633DF">
        <w:t xml:space="preserve">retention policy rather than </w:t>
      </w:r>
      <w:r w:rsidR="00214794">
        <w:t xml:space="preserve">duplicating </w:t>
      </w:r>
      <w:r w:rsidR="009948E9">
        <w:t>data</w:t>
      </w:r>
      <w:r w:rsidR="007D32ED">
        <w:t xml:space="preserve">, which creates the potential for </w:t>
      </w:r>
      <w:r w:rsidR="00A7277A">
        <w:t>divergence if the retention policy is changed.</w:t>
      </w:r>
      <w:r w:rsidR="00FF1837">
        <w:t xml:space="preserve"> </w:t>
      </w:r>
      <w:r w:rsidR="006C6649">
        <w:t xml:space="preserve">I do not judge this to be </w:t>
      </w:r>
      <w:r w:rsidR="00FF06E5">
        <w:t xml:space="preserve">a </w:t>
      </w:r>
      <w:r w:rsidR="006C6649">
        <w:t xml:space="preserve">significant </w:t>
      </w:r>
      <w:r w:rsidR="003103E1">
        <w:t xml:space="preserve">issue </w:t>
      </w:r>
      <w:r w:rsidR="008D4460">
        <w:t>however.</w:t>
      </w:r>
    </w:p>
    <w:p w14:paraId="58E0528E" w14:textId="49F88AA8" w:rsidR="008D65E8" w:rsidRDefault="00A550F8" w:rsidP="00BE28CF">
      <w:pPr>
        <w:pStyle w:val="NumList1"/>
      </w:pPr>
      <w:r>
        <w:lastRenderedPageBreak/>
        <w:t xml:space="preserve">I </w:t>
      </w:r>
      <w:r w:rsidR="00FF20DE">
        <w:t xml:space="preserve">have confirmed </w:t>
      </w:r>
      <w:r w:rsidR="00874E70">
        <w:t>that S</w:t>
      </w:r>
      <w:r w:rsidR="00E24E57">
        <w:t xml:space="preserve">ellafield </w:t>
      </w:r>
      <w:r w:rsidR="00874E70">
        <w:t>L</w:t>
      </w:r>
      <w:r w:rsidR="00E24E57">
        <w:t>td</w:t>
      </w:r>
      <w:r w:rsidR="00874E70">
        <w:t xml:space="preserve"> ha</w:t>
      </w:r>
      <w:r w:rsidR="00E4667B">
        <w:t>s</w:t>
      </w:r>
      <w:r w:rsidR="00874E70">
        <w:t xml:space="preserve"> completed </w:t>
      </w:r>
      <w:r w:rsidR="00833C3C">
        <w:t xml:space="preserve">its </w:t>
      </w:r>
      <w:r w:rsidR="00874E70">
        <w:t>internal governance of this change by reviewing</w:t>
      </w:r>
      <w:r>
        <w:t xml:space="preserve"> the </w:t>
      </w:r>
      <w:r w:rsidR="00E24E57">
        <w:t>m</w:t>
      </w:r>
      <w:r>
        <w:t xml:space="preserve">inutes of the SLNSC </w:t>
      </w:r>
      <w:sdt>
        <w:sdtPr>
          <w:id w:val="-487022348"/>
          <w:citation/>
        </w:sdtPr>
        <w:sdtEndPr/>
        <w:sdtContent>
          <w:r>
            <w:fldChar w:fldCharType="begin"/>
          </w:r>
          <w:r>
            <w:instrText xml:space="preserve"> CITATION Sel261 \l 2057 </w:instrText>
          </w:r>
          <w:r>
            <w:fldChar w:fldCharType="separate"/>
          </w:r>
          <w:r w:rsidR="00F546D6" w:rsidRPr="00F546D6">
            <w:rPr>
              <w:noProof/>
            </w:rPr>
            <w:t>[8]</w:t>
          </w:r>
          <w:r>
            <w:fldChar w:fldCharType="end"/>
          </w:r>
        </w:sdtContent>
      </w:sdt>
      <w:r>
        <w:t xml:space="preserve"> </w:t>
      </w:r>
      <w:r w:rsidR="00674763">
        <w:t xml:space="preserve">and note </w:t>
      </w:r>
      <w:r w:rsidR="00EC0902">
        <w:t xml:space="preserve">that </w:t>
      </w:r>
      <w:r w:rsidR="00674763">
        <w:t>“</w:t>
      </w:r>
      <w:r w:rsidR="00EC0902" w:rsidRPr="00674763">
        <w:rPr>
          <w:i/>
          <w:iCs/>
        </w:rPr>
        <w:t>the Committee had no objections to the arrangement proceeding to the ONR for formal approval following incorporation of the editorial adjustments identified during</w:t>
      </w:r>
      <w:r w:rsidR="00674763" w:rsidRPr="00674763">
        <w:rPr>
          <w:i/>
          <w:iCs/>
        </w:rPr>
        <w:t xml:space="preserve"> </w:t>
      </w:r>
      <w:r w:rsidR="00EC0902" w:rsidRPr="00674763">
        <w:rPr>
          <w:i/>
          <w:iCs/>
        </w:rPr>
        <w:t>discussion</w:t>
      </w:r>
      <w:r w:rsidR="00674763">
        <w:t>”</w:t>
      </w:r>
      <w:r w:rsidR="00EC0902">
        <w:t>.</w:t>
      </w:r>
    </w:p>
    <w:p w14:paraId="113A204A" w14:textId="6F4704E9" w:rsidR="00402BBB" w:rsidRDefault="00402BBB" w:rsidP="00BE28CF">
      <w:pPr>
        <w:pStyle w:val="NumList1"/>
      </w:pPr>
      <w:r>
        <w:t>I reviewed the discussion and did not identify</w:t>
      </w:r>
      <w:r w:rsidR="009A3B35">
        <w:t xml:space="preserve"> anything that I consider might challenge  </w:t>
      </w:r>
      <w:r w:rsidR="002A1878">
        <w:t xml:space="preserve">our </w:t>
      </w:r>
      <w:r w:rsidR="009A3B35">
        <w:t xml:space="preserve">approval of these arrangements. </w:t>
      </w:r>
    </w:p>
    <w:p w14:paraId="5D8C3367" w14:textId="721BAA15" w:rsidR="000F617C" w:rsidRPr="0038766B" w:rsidRDefault="000F4AA7" w:rsidP="00743B8A">
      <w:pPr>
        <w:pStyle w:val="NumList1"/>
      </w:pPr>
      <w:r>
        <w:t xml:space="preserve">Finally I note the licensee’s intention to </w:t>
      </w:r>
      <w:r w:rsidR="00E24437">
        <w:t xml:space="preserve">develop guidance on </w:t>
      </w:r>
      <w:r w:rsidR="005804A9">
        <w:t xml:space="preserve">selecting and </w:t>
      </w:r>
      <w:r w:rsidR="00E24437">
        <w:t>establishing KDMs</w:t>
      </w:r>
      <w:r w:rsidR="00D53E1F">
        <w:t xml:space="preserve"> </w:t>
      </w:r>
      <w:r w:rsidR="00BE429C">
        <w:t xml:space="preserve">and other </w:t>
      </w:r>
      <w:r w:rsidR="00652045">
        <w:t xml:space="preserve">supporting </w:t>
      </w:r>
      <w:r w:rsidR="00BE429C">
        <w:t xml:space="preserve">metrics </w:t>
      </w:r>
      <w:r w:rsidR="00652045">
        <w:t>(</w:t>
      </w:r>
      <w:r w:rsidR="00BB2CF4">
        <w:t xml:space="preserve">i.e. </w:t>
      </w:r>
      <w:r w:rsidR="00652045">
        <w:t xml:space="preserve">Key Performance Milestones </w:t>
      </w:r>
      <w:r w:rsidR="00D53E1F">
        <w:t xml:space="preserve">and </w:t>
      </w:r>
      <w:r w:rsidR="00652045">
        <w:t>Key Per</w:t>
      </w:r>
      <w:r w:rsidR="002664A2">
        <w:t>f</w:t>
      </w:r>
      <w:r w:rsidR="00652045">
        <w:t xml:space="preserve">ormance </w:t>
      </w:r>
      <w:r w:rsidR="002664A2">
        <w:t>Indicators)</w:t>
      </w:r>
      <w:r w:rsidR="00E24437">
        <w:t xml:space="preserve">. This </w:t>
      </w:r>
      <w:r w:rsidR="00D53E1F">
        <w:t>has</w:t>
      </w:r>
      <w:r w:rsidR="00E24437">
        <w:t xml:space="preserve"> be</w:t>
      </w:r>
      <w:r w:rsidR="00D53E1F">
        <w:t>en</w:t>
      </w:r>
      <w:r w:rsidR="00E24437">
        <w:t xml:space="preserve"> referenced from the SLP</w:t>
      </w:r>
      <w:r w:rsidR="00D16229">
        <w:t xml:space="preserve"> and therefore the licensee has in effect committed to producing it.</w:t>
      </w:r>
      <w:r w:rsidR="00E24437">
        <w:t xml:space="preserve"> </w:t>
      </w:r>
      <w:r w:rsidR="00B775FB">
        <w:t>However</w:t>
      </w:r>
      <w:r w:rsidR="00E24437">
        <w:t xml:space="preserve"> </w:t>
      </w:r>
      <w:r w:rsidR="00D16229">
        <w:t>it is not an</w:t>
      </w:r>
      <w:r w:rsidR="00E24437">
        <w:t xml:space="preserve"> approved document, </w:t>
      </w:r>
      <w:r w:rsidR="00D16229">
        <w:t>and is not within the scope of this permission.</w:t>
      </w:r>
      <w:r w:rsidR="00FF0E93">
        <w:t xml:space="preserve"> We will </w:t>
      </w:r>
      <w:r w:rsidR="00124629">
        <w:t>continue to engage with SL through our routine regulation</w:t>
      </w:r>
      <w:r w:rsidR="00323011">
        <w:t>.</w:t>
      </w:r>
    </w:p>
    <w:p w14:paraId="59A5C587" w14:textId="342B06FA" w:rsidR="0038766B" w:rsidRPr="0038766B" w:rsidRDefault="000F617C" w:rsidP="00410423">
      <w:pPr>
        <w:pStyle w:val="Heading1"/>
      </w:pPr>
      <w:bookmarkStart w:id="9" w:name="_Toc230086253"/>
      <w:r>
        <w:t xml:space="preserve">Matters </w:t>
      </w:r>
      <w:r w:rsidR="00385E75">
        <w:t xml:space="preserve">arising </w:t>
      </w:r>
      <w:r>
        <w:t>from ONR</w:t>
      </w:r>
      <w:r w:rsidR="00385E75">
        <w:t>’</w:t>
      </w:r>
      <w:r>
        <w:t xml:space="preserve">s </w:t>
      </w:r>
      <w:r w:rsidR="00385E75">
        <w:t>work</w:t>
      </w:r>
      <w:bookmarkEnd w:id="9"/>
    </w:p>
    <w:p w14:paraId="3E93301E" w14:textId="1EDD7344" w:rsidR="000F617C" w:rsidRPr="000F617C" w:rsidRDefault="00D22CAE" w:rsidP="000E73CE">
      <w:pPr>
        <w:pStyle w:val="NumList1"/>
      </w:pPr>
      <w:r>
        <w:t>There are no matters</w:t>
      </w:r>
      <w:r w:rsidR="00777BCE">
        <w:t xml:space="preserve"> </w:t>
      </w:r>
      <w:r>
        <w:t xml:space="preserve">arising from my assessment. I support the licensee’s assertion that the changes </w:t>
      </w:r>
      <w:r w:rsidR="00867289">
        <w:t xml:space="preserve">are </w:t>
      </w:r>
      <w:r w:rsidR="00E13284">
        <w:t>predominately</w:t>
      </w:r>
      <w:r w:rsidR="00867289">
        <w:t xml:space="preserve"> administrative.</w:t>
      </w:r>
    </w:p>
    <w:p w14:paraId="47EB2A46" w14:textId="3CA06697" w:rsidR="00F80C68" w:rsidRPr="000F617C" w:rsidRDefault="00F80C68" w:rsidP="000E73CE">
      <w:pPr>
        <w:pStyle w:val="NumList1"/>
      </w:pPr>
      <w:r w:rsidRPr="00F80C68">
        <w:t xml:space="preserve">Our arrangements require us to notify other relevant regulatory authorities of our intention before issuing a licence instrument, to ensure there are no specific objections that may compromise other regulatory requirements. The </w:t>
      </w:r>
      <w:r w:rsidR="002F47E6">
        <w:t>E</w:t>
      </w:r>
      <w:r w:rsidRPr="00F80C68">
        <w:t xml:space="preserve">nvironment </w:t>
      </w:r>
      <w:r w:rsidR="002F47E6">
        <w:t>A</w:t>
      </w:r>
      <w:r w:rsidRPr="00F80C68">
        <w:t>gency ha</w:t>
      </w:r>
      <w:r w:rsidR="00543B22">
        <w:t>s</w:t>
      </w:r>
      <w:r w:rsidRPr="00F80C68">
        <w:t xml:space="preserve"> confirmed </w:t>
      </w:r>
      <w:sdt>
        <w:sdtPr>
          <w:id w:val="564690475"/>
          <w:citation/>
        </w:sdtPr>
        <w:sdtEndPr/>
        <w:sdtContent>
          <w:r w:rsidR="00722C9F">
            <w:fldChar w:fldCharType="begin"/>
          </w:r>
          <w:r w:rsidR="00722C9F">
            <w:instrText xml:space="preserve"> CITATION Atk08 \l 2057 </w:instrText>
          </w:r>
          <w:r w:rsidR="00722C9F">
            <w:fldChar w:fldCharType="separate"/>
          </w:r>
          <w:r w:rsidR="00F546D6" w:rsidRPr="00F546D6">
            <w:rPr>
              <w:noProof/>
            </w:rPr>
            <w:t>[9]</w:t>
          </w:r>
          <w:r w:rsidR="00722C9F">
            <w:fldChar w:fldCharType="end"/>
          </w:r>
        </w:sdtContent>
      </w:sdt>
      <w:r w:rsidRPr="00F80C68">
        <w:t xml:space="preserve"> that </w:t>
      </w:r>
      <w:r w:rsidR="00543B22">
        <w:t>it</w:t>
      </w:r>
      <w:r w:rsidRPr="00F80C68">
        <w:t xml:space="preserve"> ha</w:t>
      </w:r>
      <w:r w:rsidR="00543B22">
        <w:t>s</w:t>
      </w:r>
      <w:r w:rsidRPr="00F80C68">
        <w:t xml:space="preserve"> no objections to us approving this revision to the KDM arrangements.</w:t>
      </w:r>
    </w:p>
    <w:p w14:paraId="669047B6" w14:textId="2B06A51C" w:rsidR="00777BCE" w:rsidRDefault="00777BCE" w:rsidP="00410423">
      <w:pPr>
        <w:pStyle w:val="Heading1"/>
      </w:pPr>
      <w:bookmarkStart w:id="10" w:name="_Toc230086254"/>
      <w:r>
        <w:t>Conclusions</w:t>
      </w:r>
      <w:bookmarkEnd w:id="10"/>
    </w:p>
    <w:p w14:paraId="3280E383" w14:textId="0C4ED670" w:rsidR="00777BCE" w:rsidRDefault="0038766B" w:rsidP="005734F2">
      <w:pPr>
        <w:pStyle w:val="NumList1"/>
      </w:pPr>
      <w:r w:rsidRPr="0038766B">
        <w:t>Based on the work carried out by ONR, I am satisfied tha</w:t>
      </w:r>
      <w:r w:rsidR="009F5341">
        <w:t xml:space="preserve">t </w:t>
      </w:r>
      <w:r w:rsidR="00C47248" w:rsidRPr="00C47248">
        <w:t>SLP 2.9.1.3_01</w:t>
      </w:r>
      <w:r w:rsidR="00D07F30">
        <w:t xml:space="preserve"> continues to meet the requirements of LC35(2), as approved </w:t>
      </w:r>
      <w:r w:rsidR="00CD5BF2">
        <w:t xml:space="preserve">previously </w:t>
      </w:r>
      <w:r w:rsidR="005734F2">
        <w:t xml:space="preserve">by ONR through issue of Licence Instrument </w:t>
      </w:r>
      <w:r w:rsidR="005734F2" w:rsidRPr="005734F2">
        <w:t>549</w:t>
      </w:r>
      <w:r w:rsidR="00E87A05">
        <w:t xml:space="preserve"> in 2024.</w:t>
      </w:r>
    </w:p>
    <w:p w14:paraId="054B2A42" w14:textId="1C7AEAEE" w:rsidR="00777BCE" w:rsidRPr="0038766B" w:rsidRDefault="00933097" w:rsidP="00AC2E98">
      <w:pPr>
        <w:pStyle w:val="NumList1"/>
        <w:numPr>
          <w:ilvl w:val="0"/>
          <w:numId w:val="0"/>
        </w:numPr>
        <w:ind w:left="851"/>
      </w:pPr>
      <w:r>
        <w:t>A</w:t>
      </w:r>
      <w:r w:rsidRPr="00933097">
        <w:t>ccordingly</w:t>
      </w:r>
      <w:r>
        <w:t>,</w:t>
      </w:r>
      <w:r w:rsidRPr="00933097">
        <w:t xml:space="preserve"> I have prepared </w:t>
      </w:r>
      <w:r w:rsidR="00534873">
        <w:t xml:space="preserve">Licence Instrument </w:t>
      </w:r>
      <w:r w:rsidRPr="00933097">
        <w:t>LI 5</w:t>
      </w:r>
      <w:r w:rsidR="00534873">
        <w:t>55</w:t>
      </w:r>
      <w:r w:rsidRPr="00933097">
        <w:t xml:space="preserve"> </w:t>
      </w:r>
      <w:sdt>
        <w:sdtPr>
          <w:id w:val="1495449376"/>
          <w:citation/>
        </w:sdtPr>
        <w:sdtEndPr/>
        <w:sdtContent>
          <w:r w:rsidR="001D74AF">
            <w:fldChar w:fldCharType="begin"/>
          </w:r>
          <w:r w:rsidR="001D74AF">
            <w:instrText xml:space="preserve"> CITATION OffNR \l 2057 </w:instrText>
          </w:r>
          <w:r w:rsidR="001D74AF">
            <w:fldChar w:fldCharType="separate"/>
          </w:r>
          <w:r w:rsidR="00F546D6" w:rsidRPr="00F546D6">
            <w:rPr>
              <w:noProof/>
            </w:rPr>
            <w:t>[10]</w:t>
          </w:r>
          <w:r w:rsidR="001D74AF">
            <w:fldChar w:fldCharType="end"/>
          </w:r>
        </w:sdtContent>
      </w:sdt>
      <w:r w:rsidR="001D74AF">
        <w:t xml:space="preserve"> </w:t>
      </w:r>
      <w:r w:rsidRPr="00933097">
        <w:t>and covering letter (</w:t>
      </w:r>
      <w:r w:rsidR="00534873" w:rsidRPr="00534873">
        <w:t>SEL77925R</w:t>
      </w:r>
      <w:r w:rsidRPr="00933097">
        <w:t>)</w:t>
      </w:r>
      <w:r w:rsidR="00534873">
        <w:t xml:space="preserve"> </w:t>
      </w:r>
      <w:sdt>
        <w:sdtPr>
          <w:id w:val="-979069417"/>
          <w:citation/>
        </w:sdtPr>
        <w:sdtEndPr/>
        <w:sdtContent>
          <w:r w:rsidR="009F2165">
            <w:fldChar w:fldCharType="begin"/>
          </w:r>
          <w:r w:rsidR="009F2165">
            <w:instrText xml:space="preserve"> CITATION Off2ltr \l 2057 </w:instrText>
          </w:r>
          <w:r w:rsidR="009F2165">
            <w:fldChar w:fldCharType="separate"/>
          </w:r>
          <w:r w:rsidR="00F546D6" w:rsidRPr="00F546D6">
            <w:rPr>
              <w:noProof/>
            </w:rPr>
            <w:t>[11]</w:t>
          </w:r>
          <w:r w:rsidR="009F2165">
            <w:fldChar w:fldCharType="end"/>
          </w:r>
        </w:sdtContent>
      </w:sdt>
      <w:r w:rsidR="00E63E5F">
        <w:t xml:space="preserve"> </w:t>
      </w:r>
      <w:r w:rsidR="00933C3D">
        <w:t>and these are available through WIReD (</w:t>
      </w:r>
      <w:r w:rsidR="00B642C9" w:rsidRPr="00B642C9">
        <w:t>PR-02350</w:t>
      </w:r>
      <w:r w:rsidR="00B642C9">
        <w:t>).</w:t>
      </w:r>
    </w:p>
    <w:p w14:paraId="3AD06306" w14:textId="16D2DEFB" w:rsidR="0038766B" w:rsidRPr="0038766B" w:rsidRDefault="00777BCE" w:rsidP="00410423">
      <w:pPr>
        <w:pStyle w:val="Heading1"/>
      </w:pPr>
      <w:bookmarkStart w:id="11" w:name="_Toc230086255"/>
      <w:r>
        <w:t>Recommendations</w:t>
      </w:r>
      <w:bookmarkEnd w:id="11"/>
    </w:p>
    <w:bookmarkEnd w:id="6"/>
    <w:p w14:paraId="7EF374FD" w14:textId="125798A2" w:rsidR="00AC2E98" w:rsidRDefault="00802AD9" w:rsidP="004D16D7">
      <w:pPr>
        <w:pStyle w:val="NumList1"/>
      </w:pPr>
      <w:r w:rsidRPr="00802AD9">
        <w:t>I recommend  that ONR should issue LI 555 under Condition 35(4) of Schedule 2 attached to Nuclear Site Licence No. 103 to approve the amendment to Sellafield Ltd’s approved arrangements for compliance with LC 35(2), specifically to approve the document titled ‘How do I produce and maintain Key Decommissioning Milestones?’ (SLP 2.9.1.3_01, Issue 1).</w:t>
      </w:r>
      <w:r w:rsidR="00567987">
        <w:t xml:space="preserve"> </w:t>
      </w: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12" w:name="_Toc230086256" w:displacedByCustomXml="next"/>
    <w:sdt>
      <w:sdtPr>
        <w:rPr>
          <w:sz w:val="24"/>
          <w:szCs w:val="24"/>
        </w:rPr>
        <w:id w:val="1663974676"/>
        <w:docPartObj>
          <w:docPartGallery w:val="Bibliographies"/>
          <w:docPartUnique/>
        </w:docPartObj>
      </w:sdtPr>
      <w:sdtEndPr/>
      <w:sdtContent>
        <w:p w14:paraId="13A8D2DA" w14:textId="2766E623" w:rsidR="00AC2E98" w:rsidRDefault="00AC2E98" w:rsidP="00410423">
          <w:pPr>
            <w:pStyle w:val="Heading1"/>
            <w:numPr>
              <w:ilvl w:val="0"/>
              <w:numId w:val="0"/>
            </w:numPr>
          </w:pPr>
          <w:r>
            <w:t>References</w:t>
          </w:r>
          <w:bookmarkEnd w:id="12"/>
        </w:p>
        <w:sdt>
          <w:sdtPr>
            <w:id w:val="-573587230"/>
            <w:bibliography/>
          </w:sdtPr>
          <w:sdtEndPr/>
          <w:sdtContent>
            <w:p w14:paraId="176E0047" w14:textId="77777777" w:rsidR="00F546D6" w:rsidRDefault="00AC2E98">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F546D6" w14:paraId="7346D423" w14:textId="77777777">
                <w:trPr>
                  <w:divId w:val="27340786"/>
                  <w:tblCellSpacing w:w="15" w:type="dxa"/>
                </w:trPr>
                <w:tc>
                  <w:tcPr>
                    <w:tcW w:w="50" w:type="pct"/>
                    <w:hideMark/>
                  </w:tcPr>
                  <w:p w14:paraId="7EFB9D00" w14:textId="041E3F46" w:rsidR="00F546D6" w:rsidRDefault="00F546D6">
                    <w:pPr>
                      <w:pStyle w:val="Bibliography"/>
                      <w:rPr>
                        <w:noProof/>
                        <w:szCs w:val="24"/>
                      </w:rPr>
                    </w:pPr>
                    <w:r>
                      <w:rPr>
                        <w:noProof/>
                      </w:rPr>
                      <w:t xml:space="preserve">[1] </w:t>
                    </w:r>
                  </w:p>
                </w:tc>
                <w:tc>
                  <w:tcPr>
                    <w:tcW w:w="0" w:type="auto"/>
                    <w:hideMark/>
                  </w:tcPr>
                  <w:p w14:paraId="15C2F53D" w14:textId="0446E432" w:rsidR="00F546D6" w:rsidRDefault="00F546D6">
                    <w:pPr>
                      <w:pStyle w:val="Bibliography"/>
                      <w:rPr>
                        <w:noProof/>
                      </w:rPr>
                    </w:pPr>
                    <w:r>
                      <w:rPr>
                        <w:noProof/>
                      </w:rPr>
                      <w:t>Condition 35(4), Schedule 2 of the Nuclear Site Licence Number 103 (Sellafield Site). Application for approval of amendment to the arrangements made by Sellafield Limited under Licence Condition 35(2),” SL-2028-118, 2026 (ONR reference: ONRW-2019369590-28438).</w:t>
                    </w:r>
                  </w:p>
                </w:tc>
              </w:tr>
              <w:tr w:rsidR="00F546D6" w14:paraId="5C4AC26F" w14:textId="77777777">
                <w:trPr>
                  <w:divId w:val="27340786"/>
                  <w:tblCellSpacing w:w="15" w:type="dxa"/>
                </w:trPr>
                <w:tc>
                  <w:tcPr>
                    <w:tcW w:w="50" w:type="pct"/>
                    <w:hideMark/>
                  </w:tcPr>
                  <w:p w14:paraId="7F453EA5" w14:textId="77777777" w:rsidR="00F546D6" w:rsidRDefault="00F546D6">
                    <w:pPr>
                      <w:pStyle w:val="Bibliography"/>
                      <w:rPr>
                        <w:noProof/>
                      </w:rPr>
                    </w:pPr>
                    <w:r>
                      <w:rPr>
                        <w:noProof/>
                      </w:rPr>
                      <w:t xml:space="preserve">[2] </w:t>
                    </w:r>
                  </w:p>
                </w:tc>
                <w:tc>
                  <w:tcPr>
                    <w:tcW w:w="0" w:type="auto"/>
                    <w:hideMark/>
                  </w:tcPr>
                  <w:p w14:paraId="1E812A91" w14:textId="77777777" w:rsidR="00F546D6" w:rsidRDefault="00F546D6">
                    <w:pPr>
                      <w:pStyle w:val="Bibliography"/>
                      <w:rPr>
                        <w:noProof/>
                      </w:rPr>
                    </w:pPr>
                    <w:r>
                      <w:rPr>
                        <w:noProof/>
                      </w:rPr>
                      <w:t>Office for Nuclear Regulation, “Licence Instrument No. 790, Specification issued under LC35(3) of Schedule 2 attached to Nuclear Site Licence No: 31G, Sellafield (Windscale Works and Calder Works), 28 February 2011 (2011/132796)”.</w:t>
                    </w:r>
                  </w:p>
                </w:tc>
              </w:tr>
              <w:tr w:rsidR="00F546D6" w14:paraId="262295D7" w14:textId="77777777">
                <w:trPr>
                  <w:divId w:val="27340786"/>
                  <w:tblCellSpacing w:w="15" w:type="dxa"/>
                </w:trPr>
                <w:tc>
                  <w:tcPr>
                    <w:tcW w:w="50" w:type="pct"/>
                    <w:hideMark/>
                  </w:tcPr>
                  <w:p w14:paraId="3B11FA49" w14:textId="77777777" w:rsidR="00F546D6" w:rsidRDefault="00F546D6">
                    <w:pPr>
                      <w:pStyle w:val="Bibliography"/>
                      <w:rPr>
                        <w:noProof/>
                      </w:rPr>
                    </w:pPr>
                    <w:r>
                      <w:rPr>
                        <w:noProof/>
                      </w:rPr>
                      <w:t xml:space="preserve">[3] </w:t>
                    </w:r>
                  </w:p>
                </w:tc>
                <w:tc>
                  <w:tcPr>
                    <w:tcW w:w="0" w:type="auto"/>
                    <w:hideMark/>
                  </w:tcPr>
                  <w:p w14:paraId="3BBB93D1" w14:textId="77777777" w:rsidR="00F546D6" w:rsidRDefault="00F546D6">
                    <w:pPr>
                      <w:pStyle w:val="Bibliography"/>
                      <w:rPr>
                        <w:noProof/>
                      </w:rPr>
                    </w:pPr>
                    <w:r>
                      <w:rPr>
                        <w:noProof/>
                      </w:rPr>
                      <w:t>Office for Nuclear Regulation, “Licence Instrument No. 791, Approval granted under LC35(3) of Schedule 2 attached to Nuclear Site Licence No: 31G, Sellafield (Windscale Works and Calder Works), 27 May 2011 (2011/292696)”.</w:t>
                    </w:r>
                  </w:p>
                </w:tc>
              </w:tr>
              <w:tr w:rsidR="00F546D6" w14:paraId="464811BE" w14:textId="77777777">
                <w:trPr>
                  <w:divId w:val="27340786"/>
                  <w:tblCellSpacing w:w="15" w:type="dxa"/>
                </w:trPr>
                <w:tc>
                  <w:tcPr>
                    <w:tcW w:w="50" w:type="pct"/>
                    <w:hideMark/>
                  </w:tcPr>
                  <w:p w14:paraId="17DB1593" w14:textId="77777777" w:rsidR="00F546D6" w:rsidRDefault="00F546D6">
                    <w:pPr>
                      <w:pStyle w:val="Bibliography"/>
                      <w:rPr>
                        <w:noProof/>
                      </w:rPr>
                    </w:pPr>
                    <w:r>
                      <w:rPr>
                        <w:noProof/>
                      </w:rPr>
                      <w:t xml:space="preserve">[4] </w:t>
                    </w:r>
                  </w:p>
                </w:tc>
                <w:tc>
                  <w:tcPr>
                    <w:tcW w:w="0" w:type="auto"/>
                    <w:hideMark/>
                  </w:tcPr>
                  <w:p w14:paraId="4AD77248" w14:textId="77777777" w:rsidR="00F546D6" w:rsidRDefault="00F546D6">
                    <w:pPr>
                      <w:pStyle w:val="Bibliography"/>
                      <w:rPr>
                        <w:noProof/>
                      </w:rPr>
                    </w:pPr>
                    <w:r>
                      <w:rPr>
                        <w:noProof/>
                      </w:rPr>
                      <w:t>Sellafield Limited, “How do I produce and maintain Key Decommissioning Milestones?,” SLP 1.07.03, Issue 2, 2024 (ONR reference: ONRW-2019369590-28319).</w:t>
                    </w:r>
                  </w:p>
                </w:tc>
              </w:tr>
              <w:tr w:rsidR="00F546D6" w14:paraId="229963B9" w14:textId="77777777">
                <w:trPr>
                  <w:divId w:val="27340786"/>
                  <w:tblCellSpacing w:w="15" w:type="dxa"/>
                </w:trPr>
                <w:tc>
                  <w:tcPr>
                    <w:tcW w:w="50" w:type="pct"/>
                    <w:hideMark/>
                  </w:tcPr>
                  <w:p w14:paraId="55DD7AD7" w14:textId="77777777" w:rsidR="00F546D6" w:rsidRDefault="00F546D6">
                    <w:pPr>
                      <w:pStyle w:val="Bibliography"/>
                      <w:rPr>
                        <w:noProof/>
                      </w:rPr>
                    </w:pPr>
                    <w:r>
                      <w:rPr>
                        <w:noProof/>
                      </w:rPr>
                      <w:t xml:space="preserve">[5] </w:t>
                    </w:r>
                  </w:p>
                </w:tc>
                <w:tc>
                  <w:tcPr>
                    <w:tcW w:w="0" w:type="auto"/>
                    <w:hideMark/>
                  </w:tcPr>
                  <w:p w14:paraId="2CBE7BA0" w14:textId="77777777" w:rsidR="00F546D6" w:rsidRDefault="00F546D6">
                    <w:pPr>
                      <w:pStyle w:val="Bibliography"/>
                      <w:rPr>
                        <w:noProof/>
                      </w:rPr>
                    </w:pPr>
                    <w:r>
                      <w:rPr>
                        <w:noProof/>
                      </w:rPr>
                      <w:t>Sellafield Limited, “How do I produce and maintain Key Decommissioning Milestones?,” SLP 2.9.1.3_01, Issue 1, 2026 (ONR reference: ONRW-2019369590-28320).</w:t>
                    </w:r>
                  </w:p>
                </w:tc>
              </w:tr>
              <w:tr w:rsidR="00F546D6" w14:paraId="17C41DE0" w14:textId="77777777">
                <w:trPr>
                  <w:divId w:val="27340786"/>
                  <w:tblCellSpacing w:w="15" w:type="dxa"/>
                </w:trPr>
                <w:tc>
                  <w:tcPr>
                    <w:tcW w:w="50" w:type="pct"/>
                    <w:hideMark/>
                  </w:tcPr>
                  <w:p w14:paraId="71936554" w14:textId="77777777" w:rsidR="00F546D6" w:rsidRDefault="00F546D6">
                    <w:pPr>
                      <w:pStyle w:val="Bibliography"/>
                      <w:rPr>
                        <w:noProof/>
                      </w:rPr>
                    </w:pPr>
                    <w:r>
                      <w:rPr>
                        <w:noProof/>
                      </w:rPr>
                      <w:t xml:space="preserve">[6] </w:t>
                    </w:r>
                  </w:p>
                </w:tc>
                <w:tc>
                  <w:tcPr>
                    <w:tcW w:w="0" w:type="auto"/>
                    <w:hideMark/>
                  </w:tcPr>
                  <w:p w14:paraId="3EA33F67" w14:textId="77777777" w:rsidR="00F546D6" w:rsidRDefault="00F546D6">
                    <w:pPr>
                      <w:pStyle w:val="Bibliography"/>
                      <w:rPr>
                        <w:noProof/>
                      </w:rPr>
                    </w:pPr>
                    <w:r>
                      <w:rPr>
                        <w:noProof/>
                      </w:rPr>
                      <w:t>Office for Nuclear Regulation, “Licence Instrument No. 549, Approval granted under LC35(4) of Schedule 2 attached to Nuclear Site Licence No: 103, Sellafield Limited,” 2024 (ONR reference: 2019369590-13358).</w:t>
                    </w:r>
                  </w:p>
                </w:tc>
              </w:tr>
              <w:tr w:rsidR="00F546D6" w14:paraId="28BF81F6" w14:textId="77777777">
                <w:trPr>
                  <w:divId w:val="27340786"/>
                  <w:tblCellSpacing w:w="15" w:type="dxa"/>
                </w:trPr>
                <w:tc>
                  <w:tcPr>
                    <w:tcW w:w="50" w:type="pct"/>
                    <w:hideMark/>
                  </w:tcPr>
                  <w:p w14:paraId="59BACA7A" w14:textId="77777777" w:rsidR="00F546D6" w:rsidRDefault="00F546D6">
                    <w:pPr>
                      <w:pStyle w:val="Bibliography"/>
                      <w:rPr>
                        <w:noProof/>
                      </w:rPr>
                    </w:pPr>
                    <w:r>
                      <w:rPr>
                        <w:noProof/>
                      </w:rPr>
                      <w:t xml:space="preserve">[7] </w:t>
                    </w:r>
                  </w:p>
                </w:tc>
                <w:tc>
                  <w:tcPr>
                    <w:tcW w:w="0" w:type="auto"/>
                    <w:hideMark/>
                  </w:tcPr>
                  <w:p w14:paraId="6DF69BAF" w14:textId="45B47C1D" w:rsidR="00F546D6" w:rsidRDefault="00A85169">
                    <w:pPr>
                      <w:pStyle w:val="Bibliography"/>
                      <w:rPr>
                        <w:noProof/>
                      </w:rPr>
                    </w:pPr>
                    <w:r>
                      <w:rPr>
                        <w:noProof/>
                      </w:rPr>
                      <w:t>E</w:t>
                    </w:r>
                    <w:r w:rsidR="00F546D6">
                      <w:rPr>
                        <w:noProof/>
                      </w:rPr>
                      <w:t>mail: KDM SLP Licence Instrument,” 2026 (ONR reference: ONRW-2019369590-28378).</w:t>
                    </w:r>
                  </w:p>
                </w:tc>
              </w:tr>
              <w:tr w:rsidR="00F546D6" w14:paraId="28AADD09" w14:textId="77777777">
                <w:trPr>
                  <w:divId w:val="27340786"/>
                  <w:tblCellSpacing w:w="15" w:type="dxa"/>
                </w:trPr>
                <w:tc>
                  <w:tcPr>
                    <w:tcW w:w="50" w:type="pct"/>
                    <w:hideMark/>
                  </w:tcPr>
                  <w:p w14:paraId="55E977BC" w14:textId="77777777" w:rsidR="00F546D6" w:rsidRDefault="00F546D6">
                    <w:pPr>
                      <w:pStyle w:val="Bibliography"/>
                      <w:rPr>
                        <w:noProof/>
                      </w:rPr>
                    </w:pPr>
                    <w:r>
                      <w:rPr>
                        <w:noProof/>
                      </w:rPr>
                      <w:t xml:space="preserve">[8] </w:t>
                    </w:r>
                  </w:p>
                </w:tc>
                <w:tc>
                  <w:tcPr>
                    <w:tcW w:w="0" w:type="auto"/>
                    <w:hideMark/>
                  </w:tcPr>
                  <w:p w14:paraId="78A33811" w14:textId="77777777" w:rsidR="00F546D6" w:rsidRDefault="00F546D6">
                    <w:pPr>
                      <w:pStyle w:val="Bibliography"/>
                      <w:rPr>
                        <w:noProof/>
                      </w:rPr>
                    </w:pPr>
                    <w:r>
                      <w:rPr>
                        <w:noProof/>
                      </w:rPr>
                      <w:t>Sellafield Limited, “Sellafield Ltd Nuclear Safety Committee, Minutes of the 195th meeting held on Wednesday 11th March 2026,” Draft 2, 2026 (ONR reference: ONRW-2019369590-28188).</w:t>
                    </w:r>
                  </w:p>
                </w:tc>
              </w:tr>
              <w:tr w:rsidR="00F546D6" w14:paraId="16F22F84" w14:textId="77777777">
                <w:trPr>
                  <w:divId w:val="27340786"/>
                  <w:tblCellSpacing w:w="15" w:type="dxa"/>
                </w:trPr>
                <w:tc>
                  <w:tcPr>
                    <w:tcW w:w="50" w:type="pct"/>
                    <w:hideMark/>
                  </w:tcPr>
                  <w:p w14:paraId="3DEE7BA9" w14:textId="77777777" w:rsidR="00F546D6" w:rsidRDefault="00F546D6">
                    <w:pPr>
                      <w:pStyle w:val="Bibliography"/>
                      <w:rPr>
                        <w:noProof/>
                      </w:rPr>
                    </w:pPr>
                    <w:r>
                      <w:rPr>
                        <w:noProof/>
                      </w:rPr>
                      <w:t xml:space="preserve">[9] </w:t>
                    </w:r>
                  </w:p>
                </w:tc>
                <w:tc>
                  <w:tcPr>
                    <w:tcW w:w="0" w:type="auto"/>
                    <w:hideMark/>
                  </w:tcPr>
                  <w:p w14:paraId="010AD0A0" w14:textId="0B826146" w:rsidR="00F546D6" w:rsidRDefault="00F546D6">
                    <w:pPr>
                      <w:pStyle w:val="Bibliography"/>
                      <w:rPr>
                        <w:noProof/>
                      </w:rPr>
                    </w:pPr>
                    <w:r>
                      <w:rPr>
                        <w:noProof/>
                      </w:rPr>
                      <w:t>Email: Sellafield Limited's KDM arrangements,” 2026 (ONR reference: ONRW-2019369590-28608).</w:t>
                    </w:r>
                  </w:p>
                </w:tc>
              </w:tr>
              <w:tr w:rsidR="00F546D6" w14:paraId="1CA515AD" w14:textId="77777777">
                <w:trPr>
                  <w:divId w:val="27340786"/>
                  <w:tblCellSpacing w:w="15" w:type="dxa"/>
                </w:trPr>
                <w:tc>
                  <w:tcPr>
                    <w:tcW w:w="50" w:type="pct"/>
                    <w:hideMark/>
                  </w:tcPr>
                  <w:p w14:paraId="6415A6EE" w14:textId="77777777" w:rsidR="00F546D6" w:rsidRDefault="00F546D6">
                    <w:pPr>
                      <w:pStyle w:val="Bibliography"/>
                      <w:rPr>
                        <w:noProof/>
                      </w:rPr>
                    </w:pPr>
                    <w:r>
                      <w:rPr>
                        <w:noProof/>
                      </w:rPr>
                      <w:t xml:space="preserve">[10] </w:t>
                    </w:r>
                  </w:p>
                </w:tc>
                <w:tc>
                  <w:tcPr>
                    <w:tcW w:w="0" w:type="auto"/>
                    <w:hideMark/>
                  </w:tcPr>
                  <w:p w14:paraId="2DB1E4D9" w14:textId="77777777" w:rsidR="00F546D6" w:rsidRDefault="00F546D6">
                    <w:pPr>
                      <w:pStyle w:val="Bibliography"/>
                      <w:rPr>
                        <w:noProof/>
                      </w:rPr>
                    </w:pPr>
                    <w:r>
                      <w:rPr>
                        <w:noProof/>
                      </w:rPr>
                      <w:t>Office for Nuclear Regulation, “Licence Instrument No. 555, Approval granted under LC35(4) of Schedule 2 attached to Nuclear Site Licence No: 103, Sellafield Limited,” 2026 (ONR reference: 2019369590-28190).</w:t>
                    </w:r>
                  </w:p>
                </w:tc>
              </w:tr>
              <w:tr w:rsidR="00F546D6" w14:paraId="4C645A7D" w14:textId="77777777">
                <w:trPr>
                  <w:divId w:val="27340786"/>
                  <w:tblCellSpacing w:w="15" w:type="dxa"/>
                </w:trPr>
                <w:tc>
                  <w:tcPr>
                    <w:tcW w:w="50" w:type="pct"/>
                    <w:hideMark/>
                  </w:tcPr>
                  <w:p w14:paraId="043D5436" w14:textId="77777777" w:rsidR="00F546D6" w:rsidRDefault="00F546D6">
                    <w:pPr>
                      <w:pStyle w:val="Bibliography"/>
                      <w:rPr>
                        <w:noProof/>
                      </w:rPr>
                    </w:pPr>
                    <w:r>
                      <w:rPr>
                        <w:noProof/>
                      </w:rPr>
                      <w:lastRenderedPageBreak/>
                      <w:t xml:space="preserve">[11] </w:t>
                    </w:r>
                  </w:p>
                </w:tc>
                <w:tc>
                  <w:tcPr>
                    <w:tcW w:w="0" w:type="auto"/>
                    <w:hideMark/>
                  </w:tcPr>
                  <w:p w14:paraId="3FD43E3C" w14:textId="77777777" w:rsidR="00F546D6" w:rsidRDefault="00F546D6">
                    <w:pPr>
                      <w:pStyle w:val="Bibliography"/>
                      <w:rPr>
                        <w:noProof/>
                      </w:rPr>
                    </w:pPr>
                    <w:r>
                      <w:rPr>
                        <w:noProof/>
                      </w:rPr>
                      <w:t>Office for Nuclear Regulation, “Nuclear Installations Act 1965 (as amended), Sellafield, Licence Instrument: Approval No: 555 granted under Condition 35(4) of Schedule 2 attached to Nuclear Site Licence No: 103, SEL77925R,” 2026 (ONR reference: ONRW-2019369590-28191).</w:t>
                    </w:r>
                  </w:p>
                </w:tc>
              </w:tr>
            </w:tbl>
            <w:p w14:paraId="40F04D52" w14:textId="77777777" w:rsidR="00F546D6" w:rsidRDefault="00F546D6">
              <w:pPr>
                <w:divId w:val="27340786"/>
                <w:rPr>
                  <w:rFonts w:eastAsia="Times New Roman"/>
                  <w:noProof/>
                </w:rPr>
              </w:pPr>
            </w:p>
            <w:p w14:paraId="4EADA6DF" w14:textId="7E11B7BC" w:rsidR="00AC2E98" w:rsidRDefault="00AC2E98">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9731" w14:textId="77777777" w:rsidR="003B53C7" w:rsidRDefault="003B53C7" w:rsidP="007D199A">
      <w:pPr>
        <w:spacing w:after="0"/>
      </w:pPr>
      <w:r>
        <w:separator/>
      </w:r>
    </w:p>
    <w:p w14:paraId="4056304E" w14:textId="77777777" w:rsidR="003B53C7" w:rsidRDefault="003B53C7"/>
  </w:endnote>
  <w:endnote w:type="continuationSeparator" w:id="0">
    <w:p w14:paraId="0E055178" w14:textId="77777777" w:rsidR="003B53C7" w:rsidRDefault="003B53C7" w:rsidP="007D199A">
      <w:pPr>
        <w:spacing w:after="0"/>
      </w:pPr>
      <w:r>
        <w:continuationSeparator/>
      </w:r>
    </w:p>
    <w:p w14:paraId="7D132535" w14:textId="77777777" w:rsidR="003B53C7" w:rsidRDefault="003B53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15D3B40" w:rsidR="00F15CD9" w:rsidRPr="00E72E4A" w:rsidRDefault="00795F5F" w:rsidP="00830183">
    <w:pPr>
      <w:pStyle w:val="Footer"/>
    </w:pPr>
    <w:r w:rsidRPr="00E72E4A">
      <w:t xml:space="preserve">Page | </w:t>
    </w:r>
    <w:r w:rsidRPr="00E72E4A">
      <w:fldChar w:fldCharType="begin"/>
    </w:r>
    <w:r w:rsidRPr="00E72E4A">
      <w:instrText xml:space="preserve"> PAGE   \* MERGEFORMAT </w:instrText>
    </w:r>
    <w:r w:rsidRPr="00E72E4A">
      <w:fldChar w:fldCharType="separate"/>
    </w:r>
    <w:r w:rsidRPr="00E72E4A">
      <w:t>1</w:t>
    </w:r>
    <w:r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2890" w14:textId="77777777" w:rsidR="003B53C7" w:rsidRPr="005E0344" w:rsidRDefault="003B53C7" w:rsidP="005E0344">
      <w:pPr>
        <w:spacing w:after="120"/>
        <w:rPr>
          <w:color w:val="000000" w:themeColor="text2"/>
        </w:rPr>
      </w:pPr>
      <w:r w:rsidRPr="005E0344">
        <w:rPr>
          <w:color w:val="000000" w:themeColor="text2"/>
        </w:rPr>
        <w:separator/>
      </w:r>
    </w:p>
  </w:footnote>
  <w:footnote w:type="continuationSeparator" w:id="0">
    <w:p w14:paraId="49239B09" w14:textId="77777777" w:rsidR="003B53C7" w:rsidRPr="005E0344" w:rsidRDefault="003B53C7" w:rsidP="0090581D">
      <w:pPr>
        <w:spacing w:after="120"/>
        <w:rPr>
          <w:color w:val="000000" w:themeColor="text2"/>
        </w:rPr>
      </w:pPr>
      <w:r w:rsidRPr="005E0344">
        <w:rPr>
          <w:color w:val="000000" w:themeColor="text2"/>
        </w:rPr>
        <w:continuationSeparator/>
      </w:r>
    </w:p>
    <w:p w14:paraId="75FF8FAB" w14:textId="77777777" w:rsidR="003B53C7" w:rsidRDefault="003B53C7"/>
  </w:footnote>
  <w:footnote w:type="continuationNotice" w:id="1">
    <w:p w14:paraId="352D3F25" w14:textId="77777777" w:rsidR="003B53C7" w:rsidRDefault="003B53C7">
      <w:pPr>
        <w:spacing w:after="0"/>
      </w:pPr>
    </w:p>
    <w:p w14:paraId="23DC3AB8" w14:textId="77777777" w:rsidR="003B53C7" w:rsidRDefault="003B53C7"/>
  </w:footnote>
  <w:footnote w:id="2">
    <w:p w14:paraId="0ECA700D" w14:textId="465874E5" w:rsidR="00A71CDB" w:rsidRDefault="00A71CDB">
      <w:pPr>
        <w:pStyle w:val="FootnoteText"/>
      </w:pPr>
      <w:r>
        <w:rPr>
          <w:rStyle w:val="FootnoteReference"/>
        </w:rPr>
        <w:footnoteRef/>
      </w:r>
      <w:r>
        <w:t xml:space="preserve"> </w:t>
      </w:r>
      <w:r w:rsidR="00031F4D" w:rsidRPr="00031F4D">
        <w:t>The licensee shall ensure that once approved no alteration or amendment is made to the approved arrangements or programmes unless ONR has approved such alteration or amendment.</w:t>
      </w:r>
    </w:p>
  </w:footnote>
  <w:footnote w:id="3">
    <w:p w14:paraId="1FB81442" w14:textId="5A366A70" w:rsidR="00933FF7" w:rsidRDefault="00933FF7">
      <w:pPr>
        <w:pStyle w:val="FootnoteText"/>
      </w:pPr>
      <w:r>
        <w:rPr>
          <w:rStyle w:val="FootnoteReference"/>
        </w:rPr>
        <w:footnoteRef/>
      </w:r>
      <w:r>
        <w:t xml:space="preserve"> </w:t>
      </w:r>
      <w:r w:rsidRPr="00933FF7">
        <w:t>The licensee shall make arrangements for the production and implementation of decommissioning programmes for each plant.</w:t>
      </w:r>
    </w:p>
  </w:footnote>
  <w:footnote w:id="4">
    <w:p w14:paraId="64B45479" w14:textId="342C91CB" w:rsidR="003F318F" w:rsidRDefault="003F318F">
      <w:pPr>
        <w:pStyle w:val="FootnoteText"/>
      </w:pPr>
      <w:r>
        <w:rPr>
          <w:rStyle w:val="FootnoteReference"/>
        </w:rPr>
        <w:footnoteRef/>
      </w:r>
      <w:r>
        <w:t xml:space="preserve"> </w:t>
      </w:r>
      <w:r w:rsidR="006B6DF3" w:rsidRPr="006B6DF3">
        <w:t>The licensee shall submit to ONR for approval such part or parts of the aforesaid arrangements or programmes as ONR may specify.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28C0AE8E"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92405">
          <w:rPr>
            <w:sz w:val="20"/>
            <w:szCs w:val="24"/>
          </w:rPr>
          <w:t>Approval of Sellafield Ltd’s arrangements for key decommissioning milestones under LC35(4)</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7412F">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DD209E"/>
    <w:multiLevelType w:val="hybridMultilevel"/>
    <w:tmpl w:val="F57675C6"/>
    <w:lvl w:ilvl="0" w:tplc="CA3047DE">
      <w:start w:val="1"/>
      <w:numFmt w:val="decimal"/>
      <w:lvlText w:val="%1."/>
      <w:lvlJc w:val="left"/>
      <w:pPr>
        <w:ind w:left="1020" w:hanging="360"/>
      </w:pPr>
    </w:lvl>
    <w:lvl w:ilvl="1" w:tplc="90D6076C">
      <w:start w:val="1"/>
      <w:numFmt w:val="decimal"/>
      <w:lvlText w:val="%2."/>
      <w:lvlJc w:val="left"/>
      <w:pPr>
        <w:ind w:left="1020" w:hanging="360"/>
      </w:pPr>
    </w:lvl>
    <w:lvl w:ilvl="2" w:tplc="1B70FC0E">
      <w:start w:val="1"/>
      <w:numFmt w:val="decimal"/>
      <w:lvlText w:val="%3."/>
      <w:lvlJc w:val="left"/>
      <w:pPr>
        <w:ind w:left="1020" w:hanging="360"/>
      </w:pPr>
    </w:lvl>
    <w:lvl w:ilvl="3" w:tplc="285A806E">
      <w:start w:val="1"/>
      <w:numFmt w:val="decimal"/>
      <w:lvlText w:val="%4."/>
      <w:lvlJc w:val="left"/>
      <w:pPr>
        <w:ind w:left="1020" w:hanging="360"/>
      </w:pPr>
    </w:lvl>
    <w:lvl w:ilvl="4" w:tplc="76680C02">
      <w:start w:val="1"/>
      <w:numFmt w:val="decimal"/>
      <w:lvlText w:val="%5."/>
      <w:lvlJc w:val="left"/>
      <w:pPr>
        <w:ind w:left="1020" w:hanging="360"/>
      </w:pPr>
    </w:lvl>
    <w:lvl w:ilvl="5" w:tplc="2D56C662">
      <w:start w:val="1"/>
      <w:numFmt w:val="decimal"/>
      <w:lvlText w:val="%6."/>
      <w:lvlJc w:val="left"/>
      <w:pPr>
        <w:ind w:left="1020" w:hanging="360"/>
      </w:pPr>
    </w:lvl>
    <w:lvl w:ilvl="6" w:tplc="4C2CACEA">
      <w:start w:val="1"/>
      <w:numFmt w:val="decimal"/>
      <w:lvlText w:val="%7."/>
      <w:lvlJc w:val="left"/>
      <w:pPr>
        <w:ind w:left="1020" w:hanging="360"/>
      </w:pPr>
    </w:lvl>
    <w:lvl w:ilvl="7" w:tplc="2D7E8854">
      <w:start w:val="1"/>
      <w:numFmt w:val="decimal"/>
      <w:lvlText w:val="%8."/>
      <w:lvlJc w:val="left"/>
      <w:pPr>
        <w:ind w:left="1020" w:hanging="360"/>
      </w:pPr>
    </w:lvl>
    <w:lvl w:ilvl="8" w:tplc="879E52D2">
      <w:start w:val="1"/>
      <w:numFmt w:val="decimal"/>
      <w:lvlText w:val="%9."/>
      <w:lvlJc w:val="left"/>
      <w:pPr>
        <w:ind w:left="1020" w:hanging="360"/>
      </w:pPr>
    </w:lvl>
  </w:abstractNum>
  <w:abstractNum w:abstractNumId="17" w15:restartNumberingAfterBreak="0">
    <w:nsid w:val="5EDD1CBA"/>
    <w:multiLevelType w:val="hybridMultilevel"/>
    <w:tmpl w:val="9368660E"/>
    <w:lvl w:ilvl="0" w:tplc="9A622B78">
      <w:start w:val="1"/>
      <w:numFmt w:val="decimal"/>
      <w:lvlText w:val="%1."/>
      <w:lvlJc w:val="left"/>
      <w:pPr>
        <w:ind w:left="1020" w:hanging="360"/>
      </w:pPr>
    </w:lvl>
    <w:lvl w:ilvl="1" w:tplc="E46C8016">
      <w:start w:val="1"/>
      <w:numFmt w:val="decimal"/>
      <w:lvlText w:val="%2."/>
      <w:lvlJc w:val="left"/>
      <w:pPr>
        <w:ind w:left="1020" w:hanging="360"/>
      </w:pPr>
    </w:lvl>
    <w:lvl w:ilvl="2" w:tplc="45D6AD4C">
      <w:start w:val="1"/>
      <w:numFmt w:val="decimal"/>
      <w:lvlText w:val="%3."/>
      <w:lvlJc w:val="left"/>
      <w:pPr>
        <w:ind w:left="1020" w:hanging="360"/>
      </w:pPr>
    </w:lvl>
    <w:lvl w:ilvl="3" w:tplc="C7AED2FC">
      <w:start w:val="1"/>
      <w:numFmt w:val="decimal"/>
      <w:lvlText w:val="%4."/>
      <w:lvlJc w:val="left"/>
      <w:pPr>
        <w:ind w:left="1020" w:hanging="360"/>
      </w:pPr>
    </w:lvl>
    <w:lvl w:ilvl="4" w:tplc="B8DC4C58">
      <w:start w:val="1"/>
      <w:numFmt w:val="decimal"/>
      <w:lvlText w:val="%5."/>
      <w:lvlJc w:val="left"/>
      <w:pPr>
        <w:ind w:left="1020" w:hanging="360"/>
      </w:pPr>
    </w:lvl>
    <w:lvl w:ilvl="5" w:tplc="48E4D2A2">
      <w:start w:val="1"/>
      <w:numFmt w:val="decimal"/>
      <w:lvlText w:val="%6."/>
      <w:lvlJc w:val="left"/>
      <w:pPr>
        <w:ind w:left="1020" w:hanging="360"/>
      </w:pPr>
    </w:lvl>
    <w:lvl w:ilvl="6" w:tplc="3E6CFF50">
      <w:start w:val="1"/>
      <w:numFmt w:val="decimal"/>
      <w:lvlText w:val="%7."/>
      <w:lvlJc w:val="left"/>
      <w:pPr>
        <w:ind w:left="1020" w:hanging="360"/>
      </w:pPr>
    </w:lvl>
    <w:lvl w:ilvl="7" w:tplc="5BE23ECC">
      <w:start w:val="1"/>
      <w:numFmt w:val="decimal"/>
      <w:lvlText w:val="%8."/>
      <w:lvlJc w:val="left"/>
      <w:pPr>
        <w:ind w:left="1020" w:hanging="360"/>
      </w:pPr>
    </w:lvl>
    <w:lvl w:ilvl="8" w:tplc="A31864C8">
      <w:start w:val="1"/>
      <w:numFmt w:val="decimal"/>
      <w:lvlText w:val="%9."/>
      <w:lvlJc w:val="left"/>
      <w:pPr>
        <w:ind w:left="1020" w:hanging="360"/>
      </w:p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A671D"/>
    <w:multiLevelType w:val="hybridMultilevel"/>
    <w:tmpl w:val="FB7A2334"/>
    <w:lvl w:ilvl="0" w:tplc="D6B808B0">
      <w:start w:val="1"/>
      <w:numFmt w:val="decimal"/>
      <w:lvlText w:val="%1."/>
      <w:lvlJc w:val="left"/>
      <w:pPr>
        <w:ind w:left="1020" w:hanging="360"/>
      </w:pPr>
    </w:lvl>
    <w:lvl w:ilvl="1" w:tplc="993E640C">
      <w:start w:val="1"/>
      <w:numFmt w:val="decimal"/>
      <w:lvlText w:val="%2."/>
      <w:lvlJc w:val="left"/>
      <w:pPr>
        <w:ind w:left="1020" w:hanging="360"/>
      </w:pPr>
    </w:lvl>
    <w:lvl w:ilvl="2" w:tplc="77ACA6CC">
      <w:start w:val="1"/>
      <w:numFmt w:val="decimal"/>
      <w:lvlText w:val="%3."/>
      <w:lvlJc w:val="left"/>
      <w:pPr>
        <w:ind w:left="1020" w:hanging="360"/>
      </w:pPr>
    </w:lvl>
    <w:lvl w:ilvl="3" w:tplc="6ED0A0A4">
      <w:start w:val="1"/>
      <w:numFmt w:val="decimal"/>
      <w:lvlText w:val="%4."/>
      <w:lvlJc w:val="left"/>
      <w:pPr>
        <w:ind w:left="1020" w:hanging="360"/>
      </w:pPr>
    </w:lvl>
    <w:lvl w:ilvl="4" w:tplc="598CE1F0">
      <w:start w:val="1"/>
      <w:numFmt w:val="decimal"/>
      <w:lvlText w:val="%5."/>
      <w:lvlJc w:val="left"/>
      <w:pPr>
        <w:ind w:left="1020" w:hanging="360"/>
      </w:pPr>
    </w:lvl>
    <w:lvl w:ilvl="5" w:tplc="71D4452E">
      <w:start w:val="1"/>
      <w:numFmt w:val="decimal"/>
      <w:lvlText w:val="%6."/>
      <w:lvlJc w:val="left"/>
      <w:pPr>
        <w:ind w:left="1020" w:hanging="360"/>
      </w:pPr>
    </w:lvl>
    <w:lvl w:ilvl="6" w:tplc="4E16FB90">
      <w:start w:val="1"/>
      <w:numFmt w:val="decimal"/>
      <w:lvlText w:val="%7."/>
      <w:lvlJc w:val="left"/>
      <w:pPr>
        <w:ind w:left="1020" w:hanging="360"/>
      </w:pPr>
    </w:lvl>
    <w:lvl w:ilvl="7" w:tplc="6C5EC268">
      <w:start w:val="1"/>
      <w:numFmt w:val="decimal"/>
      <w:lvlText w:val="%8."/>
      <w:lvlJc w:val="left"/>
      <w:pPr>
        <w:ind w:left="1020" w:hanging="360"/>
      </w:pPr>
    </w:lvl>
    <w:lvl w:ilvl="8" w:tplc="B016DE9C">
      <w:start w:val="1"/>
      <w:numFmt w:val="decimal"/>
      <w:lvlText w:val="%9."/>
      <w:lvlJc w:val="left"/>
      <w:pPr>
        <w:ind w:left="1020" w:hanging="360"/>
      </w:pPr>
    </w:lvl>
  </w:abstractNum>
  <w:abstractNum w:abstractNumId="20"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0"/>
  </w:num>
  <w:num w:numId="12" w16cid:durableId="1242984322">
    <w:abstractNumId w:val="21"/>
  </w:num>
  <w:num w:numId="13" w16cid:durableId="936865008">
    <w:abstractNumId w:val="14"/>
  </w:num>
  <w:num w:numId="14" w16cid:durableId="839933716">
    <w:abstractNumId w:val="11"/>
  </w:num>
  <w:num w:numId="15" w16cid:durableId="1030760878">
    <w:abstractNumId w:val="21"/>
    <w:lvlOverride w:ilvl="0">
      <w:startOverride w:val="1"/>
    </w:lvlOverride>
  </w:num>
  <w:num w:numId="16" w16cid:durableId="458181072">
    <w:abstractNumId w:val="14"/>
    <w:lvlOverride w:ilvl="0">
      <w:startOverride w:val="1"/>
    </w:lvlOverride>
  </w:num>
  <w:num w:numId="17" w16cid:durableId="1609661496">
    <w:abstractNumId w:val="11"/>
    <w:lvlOverride w:ilvl="0">
      <w:startOverride w:val="1"/>
    </w:lvlOverride>
  </w:num>
  <w:num w:numId="18" w16cid:durableId="1370185039">
    <w:abstractNumId w:val="20"/>
  </w:num>
  <w:num w:numId="19" w16cid:durableId="689995263">
    <w:abstractNumId w:val="15"/>
  </w:num>
  <w:num w:numId="20" w16cid:durableId="2030327350">
    <w:abstractNumId w:val="13"/>
  </w:num>
  <w:num w:numId="21" w16cid:durableId="1577862602">
    <w:abstractNumId w:val="18"/>
  </w:num>
  <w:num w:numId="22" w16cid:durableId="551355490">
    <w:abstractNumId w:val="12"/>
  </w:num>
  <w:num w:numId="23" w16cid:durableId="618604412">
    <w:abstractNumId w:val="21"/>
  </w:num>
  <w:num w:numId="24" w16cid:durableId="547448315">
    <w:abstractNumId w:val="20"/>
  </w:num>
  <w:num w:numId="25" w16cid:durableId="349187102">
    <w:abstractNumId w:val="20"/>
  </w:num>
  <w:num w:numId="26" w16cid:durableId="689333637">
    <w:abstractNumId w:val="20"/>
  </w:num>
  <w:num w:numId="27" w16cid:durableId="1657801614">
    <w:abstractNumId w:val="16"/>
  </w:num>
  <w:num w:numId="28" w16cid:durableId="1228223064">
    <w:abstractNumId w:val="19"/>
  </w:num>
  <w:num w:numId="29" w16cid:durableId="16840870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73B"/>
    <w:rsid w:val="00004C16"/>
    <w:rsid w:val="00011177"/>
    <w:rsid w:val="00011621"/>
    <w:rsid w:val="000134DF"/>
    <w:rsid w:val="00014814"/>
    <w:rsid w:val="0001517F"/>
    <w:rsid w:val="00022A09"/>
    <w:rsid w:val="00024522"/>
    <w:rsid w:val="00024B2E"/>
    <w:rsid w:val="00027F4F"/>
    <w:rsid w:val="00030430"/>
    <w:rsid w:val="0003078E"/>
    <w:rsid w:val="00031B89"/>
    <w:rsid w:val="00031F4D"/>
    <w:rsid w:val="00033673"/>
    <w:rsid w:val="0003693D"/>
    <w:rsid w:val="000374C5"/>
    <w:rsid w:val="000401CC"/>
    <w:rsid w:val="00041A21"/>
    <w:rsid w:val="000432B5"/>
    <w:rsid w:val="0004440F"/>
    <w:rsid w:val="00045862"/>
    <w:rsid w:val="00046027"/>
    <w:rsid w:val="00052C8A"/>
    <w:rsid w:val="00053C16"/>
    <w:rsid w:val="000548C8"/>
    <w:rsid w:val="00054F29"/>
    <w:rsid w:val="0006438A"/>
    <w:rsid w:val="00065677"/>
    <w:rsid w:val="00066220"/>
    <w:rsid w:val="0006730E"/>
    <w:rsid w:val="0007161C"/>
    <w:rsid w:val="000746AF"/>
    <w:rsid w:val="00075605"/>
    <w:rsid w:val="00075C66"/>
    <w:rsid w:val="000775AD"/>
    <w:rsid w:val="000817D4"/>
    <w:rsid w:val="00081930"/>
    <w:rsid w:val="00082879"/>
    <w:rsid w:val="00091512"/>
    <w:rsid w:val="00091EEA"/>
    <w:rsid w:val="00092B89"/>
    <w:rsid w:val="000948F8"/>
    <w:rsid w:val="000964C0"/>
    <w:rsid w:val="000A105C"/>
    <w:rsid w:val="000A7B5D"/>
    <w:rsid w:val="000B0F9B"/>
    <w:rsid w:val="000B3D3B"/>
    <w:rsid w:val="000C2BA3"/>
    <w:rsid w:val="000C2DDC"/>
    <w:rsid w:val="000C3115"/>
    <w:rsid w:val="000C36A5"/>
    <w:rsid w:val="000C72BF"/>
    <w:rsid w:val="000D0329"/>
    <w:rsid w:val="000D2FD4"/>
    <w:rsid w:val="000D4E11"/>
    <w:rsid w:val="000E0902"/>
    <w:rsid w:val="000E2510"/>
    <w:rsid w:val="000E6380"/>
    <w:rsid w:val="000E73CE"/>
    <w:rsid w:val="000F1B7B"/>
    <w:rsid w:val="000F2ED4"/>
    <w:rsid w:val="000F3316"/>
    <w:rsid w:val="000F43DF"/>
    <w:rsid w:val="000F4AA7"/>
    <w:rsid w:val="000F617C"/>
    <w:rsid w:val="00101CC4"/>
    <w:rsid w:val="00102207"/>
    <w:rsid w:val="00102713"/>
    <w:rsid w:val="001028E8"/>
    <w:rsid w:val="001055DD"/>
    <w:rsid w:val="00105C99"/>
    <w:rsid w:val="00107784"/>
    <w:rsid w:val="0011645E"/>
    <w:rsid w:val="00122FCC"/>
    <w:rsid w:val="001243EE"/>
    <w:rsid w:val="00124629"/>
    <w:rsid w:val="00124C2B"/>
    <w:rsid w:val="00125749"/>
    <w:rsid w:val="00126752"/>
    <w:rsid w:val="00130B30"/>
    <w:rsid w:val="00132BC1"/>
    <w:rsid w:val="00134D41"/>
    <w:rsid w:val="001359A4"/>
    <w:rsid w:val="00137804"/>
    <w:rsid w:val="00140E1C"/>
    <w:rsid w:val="00144DD0"/>
    <w:rsid w:val="00147AE4"/>
    <w:rsid w:val="001508E7"/>
    <w:rsid w:val="001560BF"/>
    <w:rsid w:val="00156B8A"/>
    <w:rsid w:val="001571E5"/>
    <w:rsid w:val="00160D15"/>
    <w:rsid w:val="00163C05"/>
    <w:rsid w:val="00165656"/>
    <w:rsid w:val="001704A6"/>
    <w:rsid w:val="00177666"/>
    <w:rsid w:val="00182A49"/>
    <w:rsid w:val="0018359C"/>
    <w:rsid w:val="001849CA"/>
    <w:rsid w:val="00185410"/>
    <w:rsid w:val="00192352"/>
    <w:rsid w:val="001941C9"/>
    <w:rsid w:val="00194753"/>
    <w:rsid w:val="001955BD"/>
    <w:rsid w:val="001A06F3"/>
    <w:rsid w:val="001A5946"/>
    <w:rsid w:val="001A6010"/>
    <w:rsid w:val="001B0698"/>
    <w:rsid w:val="001B77CE"/>
    <w:rsid w:val="001C0A11"/>
    <w:rsid w:val="001C4D63"/>
    <w:rsid w:val="001C6318"/>
    <w:rsid w:val="001D06C5"/>
    <w:rsid w:val="001D0DE0"/>
    <w:rsid w:val="001D5AFF"/>
    <w:rsid w:val="001D6C78"/>
    <w:rsid w:val="001D74AF"/>
    <w:rsid w:val="001D74B4"/>
    <w:rsid w:val="001E03E1"/>
    <w:rsid w:val="001E4762"/>
    <w:rsid w:val="001F059F"/>
    <w:rsid w:val="001F1404"/>
    <w:rsid w:val="001F1FCA"/>
    <w:rsid w:val="001F3B7C"/>
    <w:rsid w:val="001F6CA0"/>
    <w:rsid w:val="00200811"/>
    <w:rsid w:val="00200891"/>
    <w:rsid w:val="00200CA1"/>
    <w:rsid w:val="00200EDB"/>
    <w:rsid w:val="00202152"/>
    <w:rsid w:val="00206456"/>
    <w:rsid w:val="00211307"/>
    <w:rsid w:val="00211A3A"/>
    <w:rsid w:val="00212604"/>
    <w:rsid w:val="0021338D"/>
    <w:rsid w:val="00214794"/>
    <w:rsid w:val="00214D43"/>
    <w:rsid w:val="00223090"/>
    <w:rsid w:val="002238B4"/>
    <w:rsid w:val="00226FF9"/>
    <w:rsid w:val="0023136F"/>
    <w:rsid w:val="002319AB"/>
    <w:rsid w:val="002319AC"/>
    <w:rsid w:val="00234342"/>
    <w:rsid w:val="0024040D"/>
    <w:rsid w:val="00242BA8"/>
    <w:rsid w:val="00243579"/>
    <w:rsid w:val="00250D1D"/>
    <w:rsid w:val="00250EAB"/>
    <w:rsid w:val="0025130C"/>
    <w:rsid w:val="00251CD7"/>
    <w:rsid w:val="002531D2"/>
    <w:rsid w:val="00255FA3"/>
    <w:rsid w:val="00257288"/>
    <w:rsid w:val="00257F96"/>
    <w:rsid w:val="00260450"/>
    <w:rsid w:val="0026130E"/>
    <w:rsid w:val="00261FB6"/>
    <w:rsid w:val="002622CC"/>
    <w:rsid w:val="002629F8"/>
    <w:rsid w:val="00263396"/>
    <w:rsid w:val="002659FA"/>
    <w:rsid w:val="002664A2"/>
    <w:rsid w:val="00267815"/>
    <w:rsid w:val="00267B2F"/>
    <w:rsid w:val="0027029A"/>
    <w:rsid w:val="002737B0"/>
    <w:rsid w:val="00273AAE"/>
    <w:rsid w:val="00275B24"/>
    <w:rsid w:val="002802A2"/>
    <w:rsid w:val="00280DDF"/>
    <w:rsid w:val="00283B7D"/>
    <w:rsid w:val="00287158"/>
    <w:rsid w:val="00290F86"/>
    <w:rsid w:val="002917FF"/>
    <w:rsid w:val="00292ADF"/>
    <w:rsid w:val="00294058"/>
    <w:rsid w:val="002A0DEC"/>
    <w:rsid w:val="002A1343"/>
    <w:rsid w:val="002A1878"/>
    <w:rsid w:val="002A7287"/>
    <w:rsid w:val="002A7B18"/>
    <w:rsid w:val="002B0713"/>
    <w:rsid w:val="002B1C53"/>
    <w:rsid w:val="002B3C1D"/>
    <w:rsid w:val="002C4660"/>
    <w:rsid w:val="002D05AE"/>
    <w:rsid w:val="002D53BB"/>
    <w:rsid w:val="002D544B"/>
    <w:rsid w:val="002D70E8"/>
    <w:rsid w:val="002E064B"/>
    <w:rsid w:val="002E0BE4"/>
    <w:rsid w:val="002E223B"/>
    <w:rsid w:val="002E3B58"/>
    <w:rsid w:val="002E3E8A"/>
    <w:rsid w:val="002E5FEF"/>
    <w:rsid w:val="002E6941"/>
    <w:rsid w:val="002E6A6A"/>
    <w:rsid w:val="002F112B"/>
    <w:rsid w:val="002F1152"/>
    <w:rsid w:val="002F19C8"/>
    <w:rsid w:val="002F1C4F"/>
    <w:rsid w:val="002F2985"/>
    <w:rsid w:val="002F3397"/>
    <w:rsid w:val="002F46F3"/>
    <w:rsid w:val="002F47E6"/>
    <w:rsid w:val="002F5146"/>
    <w:rsid w:val="002F6695"/>
    <w:rsid w:val="002F7DA9"/>
    <w:rsid w:val="0030380D"/>
    <w:rsid w:val="00305221"/>
    <w:rsid w:val="003103E1"/>
    <w:rsid w:val="00312411"/>
    <w:rsid w:val="00313632"/>
    <w:rsid w:val="00313A3D"/>
    <w:rsid w:val="00316912"/>
    <w:rsid w:val="00320C4C"/>
    <w:rsid w:val="00321092"/>
    <w:rsid w:val="0032221E"/>
    <w:rsid w:val="00323011"/>
    <w:rsid w:val="00323E71"/>
    <w:rsid w:val="00326F77"/>
    <w:rsid w:val="00327B2A"/>
    <w:rsid w:val="00331AB8"/>
    <w:rsid w:val="00332B95"/>
    <w:rsid w:val="00340079"/>
    <w:rsid w:val="003401B0"/>
    <w:rsid w:val="0034389C"/>
    <w:rsid w:val="00344CD1"/>
    <w:rsid w:val="0034666E"/>
    <w:rsid w:val="00346C8E"/>
    <w:rsid w:val="0035379B"/>
    <w:rsid w:val="0035522F"/>
    <w:rsid w:val="0035589E"/>
    <w:rsid w:val="003577A5"/>
    <w:rsid w:val="00365F75"/>
    <w:rsid w:val="003676CA"/>
    <w:rsid w:val="00367BD5"/>
    <w:rsid w:val="00370D23"/>
    <w:rsid w:val="003731CC"/>
    <w:rsid w:val="003759EB"/>
    <w:rsid w:val="00377498"/>
    <w:rsid w:val="00377C7E"/>
    <w:rsid w:val="00385874"/>
    <w:rsid w:val="00385E75"/>
    <w:rsid w:val="0038766B"/>
    <w:rsid w:val="00390327"/>
    <w:rsid w:val="0039076A"/>
    <w:rsid w:val="00393066"/>
    <w:rsid w:val="00393B78"/>
    <w:rsid w:val="00394890"/>
    <w:rsid w:val="00395CD8"/>
    <w:rsid w:val="003A01E9"/>
    <w:rsid w:val="003A3392"/>
    <w:rsid w:val="003A3AA8"/>
    <w:rsid w:val="003A766C"/>
    <w:rsid w:val="003A7E1C"/>
    <w:rsid w:val="003B14FC"/>
    <w:rsid w:val="003B3589"/>
    <w:rsid w:val="003B3E0D"/>
    <w:rsid w:val="003B53C7"/>
    <w:rsid w:val="003C0306"/>
    <w:rsid w:val="003C114C"/>
    <w:rsid w:val="003C2C5D"/>
    <w:rsid w:val="003C31F3"/>
    <w:rsid w:val="003C465D"/>
    <w:rsid w:val="003C789D"/>
    <w:rsid w:val="003D2A75"/>
    <w:rsid w:val="003D4317"/>
    <w:rsid w:val="003D495D"/>
    <w:rsid w:val="003D51F9"/>
    <w:rsid w:val="003E098E"/>
    <w:rsid w:val="003E13E8"/>
    <w:rsid w:val="003E2271"/>
    <w:rsid w:val="003E2FAE"/>
    <w:rsid w:val="003E74D5"/>
    <w:rsid w:val="003F318F"/>
    <w:rsid w:val="003F3668"/>
    <w:rsid w:val="003F4A3B"/>
    <w:rsid w:val="00402BBB"/>
    <w:rsid w:val="00402FCC"/>
    <w:rsid w:val="004030FA"/>
    <w:rsid w:val="00407CF7"/>
    <w:rsid w:val="00410423"/>
    <w:rsid w:val="00410872"/>
    <w:rsid w:val="00411EE1"/>
    <w:rsid w:val="00414AF3"/>
    <w:rsid w:val="00415ED6"/>
    <w:rsid w:val="00417CAF"/>
    <w:rsid w:val="00420A11"/>
    <w:rsid w:val="00422265"/>
    <w:rsid w:val="00422DFA"/>
    <w:rsid w:val="0042300C"/>
    <w:rsid w:val="00424F42"/>
    <w:rsid w:val="004317A7"/>
    <w:rsid w:val="004317DF"/>
    <w:rsid w:val="004370A9"/>
    <w:rsid w:val="004373A7"/>
    <w:rsid w:val="00437729"/>
    <w:rsid w:val="00437D94"/>
    <w:rsid w:val="0044030C"/>
    <w:rsid w:val="00443168"/>
    <w:rsid w:val="00445262"/>
    <w:rsid w:val="00451234"/>
    <w:rsid w:val="00451D0B"/>
    <w:rsid w:val="00455F4F"/>
    <w:rsid w:val="00456BFD"/>
    <w:rsid w:val="00460747"/>
    <w:rsid w:val="00462190"/>
    <w:rsid w:val="004648A4"/>
    <w:rsid w:val="00471380"/>
    <w:rsid w:val="004732BE"/>
    <w:rsid w:val="00473CFF"/>
    <w:rsid w:val="00492AD7"/>
    <w:rsid w:val="00492B87"/>
    <w:rsid w:val="00494F0D"/>
    <w:rsid w:val="00496BFD"/>
    <w:rsid w:val="004973A0"/>
    <w:rsid w:val="004A0D33"/>
    <w:rsid w:val="004A1D50"/>
    <w:rsid w:val="004A3DF2"/>
    <w:rsid w:val="004B24A2"/>
    <w:rsid w:val="004B2BBD"/>
    <w:rsid w:val="004C10C8"/>
    <w:rsid w:val="004C14AD"/>
    <w:rsid w:val="004C2D26"/>
    <w:rsid w:val="004C361D"/>
    <w:rsid w:val="004C3AA8"/>
    <w:rsid w:val="004C4180"/>
    <w:rsid w:val="004C4891"/>
    <w:rsid w:val="004D16D7"/>
    <w:rsid w:val="004D2C89"/>
    <w:rsid w:val="004D5FF8"/>
    <w:rsid w:val="004E3932"/>
    <w:rsid w:val="004E46C8"/>
    <w:rsid w:val="004E5C70"/>
    <w:rsid w:val="004E6E34"/>
    <w:rsid w:val="004F0040"/>
    <w:rsid w:val="004F1E79"/>
    <w:rsid w:val="004F363C"/>
    <w:rsid w:val="004F5F33"/>
    <w:rsid w:val="004F6FFE"/>
    <w:rsid w:val="005007AD"/>
    <w:rsid w:val="0050103A"/>
    <w:rsid w:val="00501B58"/>
    <w:rsid w:val="00504925"/>
    <w:rsid w:val="00505E40"/>
    <w:rsid w:val="00511B0F"/>
    <w:rsid w:val="005120F1"/>
    <w:rsid w:val="00512B96"/>
    <w:rsid w:val="005219A0"/>
    <w:rsid w:val="00522C66"/>
    <w:rsid w:val="00534873"/>
    <w:rsid w:val="005429D9"/>
    <w:rsid w:val="00543B22"/>
    <w:rsid w:val="00544A0D"/>
    <w:rsid w:val="00545E9F"/>
    <w:rsid w:val="0054677F"/>
    <w:rsid w:val="0055340B"/>
    <w:rsid w:val="0055388E"/>
    <w:rsid w:val="00560310"/>
    <w:rsid w:val="0056166F"/>
    <w:rsid w:val="005663B3"/>
    <w:rsid w:val="005673F1"/>
    <w:rsid w:val="00567987"/>
    <w:rsid w:val="005720E6"/>
    <w:rsid w:val="005734F2"/>
    <w:rsid w:val="005754AE"/>
    <w:rsid w:val="005768C5"/>
    <w:rsid w:val="00577FB5"/>
    <w:rsid w:val="005804A9"/>
    <w:rsid w:val="00580639"/>
    <w:rsid w:val="0058290A"/>
    <w:rsid w:val="00584C94"/>
    <w:rsid w:val="005852D1"/>
    <w:rsid w:val="0058577E"/>
    <w:rsid w:val="0058581D"/>
    <w:rsid w:val="00587A22"/>
    <w:rsid w:val="00590C5D"/>
    <w:rsid w:val="0059276A"/>
    <w:rsid w:val="0059299D"/>
    <w:rsid w:val="00593F7E"/>
    <w:rsid w:val="005956F4"/>
    <w:rsid w:val="00595C8C"/>
    <w:rsid w:val="00596727"/>
    <w:rsid w:val="00596DFA"/>
    <w:rsid w:val="00597747"/>
    <w:rsid w:val="005A2064"/>
    <w:rsid w:val="005A242F"/>
    <w:rsid w:val="005A2746"/>
    <w:rsid w:val="005A4CDD"/>
    <w:rsid w:val="005B083E"/>
    <w:rsid w:val="005B57E4"/>
    <w:rsid w:val="005B5ABD"/>
    <w:rsid w:val="005B600F"/>
    <w:rsid w:val="005B74B1"/>
    <w:rsid w:val="005C140A"/>
    <w:rsid w:val="005C1E52"/>
    <w:rsid w:val="005C3466"/>
    <w:rsid w:val="005C6763"/>
    <w:rsid w:val="005C6EC1"/>
    <w:rsid w:val="005C717E"/>
    <w:rsid w:val="005D3164"/>
    <w:rsid w:val="005E0344"/>
    <w:rsid w:val="005E440B"/>
    <w:rsid w:val="005E59CB"/>
    <w:rsid w:val="005E629F"/>
    <w:rsid w:val="005F2C85"/>
    <w:rsid w:val="005F52F4"/>
    <w:rsid w:val="005F7060"/>
    <w:rsid w:val="005F76DC"/>
    <w:rsid w:val="00605ADB"/>
    <w:rsid w:val="00606D25"/>
    <w:rsid w:val="00611C9F"/>
    <w:rsid w:val="00613BB8"/>
    <w:rsid w:val="00623581"/>
    <w:rsid w:val="006236C2"/>
    <w:rsid w:val="006237C3"/>
    <w:rsid w:val="00623CC5"/>
    <w:rsid w:val="006248DE"/>
    <w:rsid w:val="0062686E"/>
    <w:rsid w:val="00627555"/>
    <w:rsid w:val="006322A0"/>
    <w:rsid w:val="00634A14"/>
    <w:rsid w:val="006361FD"/>
    <w:rsid w:val="0064024B"/>
    <w:rsid w:val="0064060F"/>
    <w:rsid w:val="0064170A"/>
    <w:rsid w:val="0064226F"/>
    <w:rsid w:val="00642DDB"/>
    <w:rsid w:val="00647497"/>
    <w:rsid w:val="006478B9"/>
    <w:rsid w:val="00650637"/>
    <w:rsid w:val="00651665"/>
    <w:rsid w:val="00652045"/>
    <w:rsid w:val="006521FC"/>
    <w:rsid w:val="00653298"/>
    <w:rsid w:val="00655229"/>
    <w:rsid w:val="00660EA5"/>
    <w:rsid w:val="00663A7C"/>
    <w:rsid w:val="00665066"/>
    <w:rsid w:val="00667DF2"/>
    <w:rsid w:val="00670DF1"/>
    <w:rsid w:val="00671345"/>
    <w:rsid w:val="00672A8C"/>
    <w:rsid w:val="00672A9B"/>
    <w:rsid w:val="00674763"/>
    <w:rsid w:val="00675884"/>
    <w:rsid w:val="00677B30"/>
    <w:rsid w:val="00681A1A"/>
    <w:rsid w:val="00681D22"/>
    <w:rsid w:val="006824B6"/>
    <w:rsid w:val="006863B8"/>
    <w:rsid w:val="006954E0"/>
    <w:rsid w:val="006955A9"/>
    <w:rsid w:val="00696EE0"/>
    <w:rsid w:val="00697611"/>
    <w:rsid w:val="00697980"/>
    <w:rsid w:val="006A0449"/>
    <w:rsid w:val="006A19EF"/>
    <w:rsid w:val="006A2FA9"/>
    <w:rsid w:val="006A43D5"/>
    <w:rsid w:val="006A525B"/>
    <w:rsid w:val="006B1D93"/>
    <w:rsid w:val="006B653E"/>
    <w:rsid w:val="006B6DF3"/>
    <w:rsid w:val="006C045F"/>
    <w:rsid w:val="006C2B7B"/>
    <w:rsid w:val="006C4196"/>
    <w:rsid w:val="006C63B0"/>
    <w:rsid w:val="006C6649"/>
    <w:rsid w:val="006C76A2"/>
    <w:rsid w:val="006C7916"/>
    <w:rsid w:val="006C792E"/>
    <w:rsid w:val="006D116C"/>
    <w:rsid w:val="006D59CB"/>
    <w:rsid w:val="006E04D4"/>
    <w:rsid w:val="006E16B3"/>
    <w:rsid w:val="006E1971"/>
    <w:rsid w:val="006E4770"/>
    <w:rsid w:val="006E68DD"/>
    <w:rsid w:val="006E7C42"/>
    <w:rsid w:val="006F0EE5"/>
    <w:rsid w:val="006F13BD"/>
    <w:rsid w:val="006F168A"/>
    <w:rsid w:val="006F26DB"/>
    <w:rsid w:val="006F5076"/>
    <w:rsid w:val="006F5A6A"/>
    <w:rsid w:val="006F6009"/>
    <w:rsid w:val="006F677A"/>
    <w:rsid w:val="006F6C13"/>
    <w:rsid w:val="006F7AB7"/>
    <w:rsid w:val="0070038E"/>
    <w:rsid w:val="0070321D"/>
    <w:rsid w:val="007068BA"/>
    <w:rsid w:val="007123CB"/>
    <w:rsid w:val="007154C5"/>
    <w:rsid w:val="00715CD9"/>
    <w:rsid w:val="00716AB1"/>
    <w:rsid w:val="00721D63"/>
    <w:rsid w:val="00722C9F"/>
    <w:rsid w:val="00725BC6"/>
    <w:rsid w:val="00726420"/>
    <w:rsid w:val="00732C7B"/>
    <w:rsid w:val="00734D2B"/>
    <w:rsid w:val="00737705"/>
    <w:rsid w:val="00737CB1"/>
    <w:rsid w:val="007408D4"/>
    <w:rsid w:val="00740E8A"/>
    <w:rsid w:val="007420AC"/>
    <w:rsid w:val="00742617"/>
    <w:rsid w:val="00743B8A"/>
    <w:rsid w:val="007461D4"/>
    <w:rsid w:val="0076326A"/>
    <w:rsid w:val="007656A3"/>
    <w:rsid w:val="0076574D"/>
    <w:rsid w:val="007669E4"/>
    <w:rsid w:val="007678C3"/>
    <w:rsid w:val="00773388"/>
    <w:rsid w:val="007733EB"/>
    <w:rsid w:val="00777BCE"/>
    <w:rsid w:val="00783AFA"/>
    <w:rsid w:val="00784DF8"/>
    <w:rsid w:val="00785427"/>
    <w:rsid w:val="007854D6"/>
    <w:rsid w:val="0078661E"/>
    <w:rsid w:val="00790233"/>
    <w:rsid w:val="00790540"/>
    <w:rsid w:val="00791BEF"/>
    <w:rsid w:val="00795F5F"/>
    <w:rsid w:val="007968CA"/>
    <w:rsid w:val="00796D47"/>
    <w:rsid w:val="007A43FF"/>
    <w:rsid w:val="007A6E44"/>
    <w:rsid w:val="007B0714"/>
    <w:rsid w:val="007B0CF4"/>
    <w:rsid w:val="007B2E37"/>
    <w:rsid w:val="007B311C"/>
    <w:rsid w:val="007B3918"/>
    <w:rsid w:val="007C2F0D"/>
    <w:rsid w:val="007C3C1D"/>
    <w:rsid w:val="007D1772"/>
    <w:rsid w:val="007D199A"/>
    <w:rsid w:val="007D2EBE"/>
    <w:rsid w:val="007D32ED"/>
    <w:rsid w:val="007D7FD3"/>
    <w:rsid w:val="007E08FB"/>
    <w:rsid w:val="007E0DF8"/>
    <w:rsid w:val="007E1787"/>
    <w:rsid w:val="007E1C07"/>
    <w:rsid w:val="007E2AA5"/>
    <w:rsid w:val="007E2DC8"/>
    <w:rsid w:val="007E3E28"/>
    <w:rsid w:val="007E47CA"/>
    <w:rsid w:val="007E7235"/>
    <w:rsid w:val="007F1E1E"/>
    <w:rsid w:val="007F24B6"/>
    <w:rsid w:val="0080050B"/>
    <w:rsid w:val="008008F7"/>
    <w:rsid w:val="00802AD9"/>
    <w:rsid w:val="00803D94"/>
    <w:rsid w:val="008133DF"/>
    <w:rsid w:val="008137E0"/>
    <w:rsid w:val="008148A3"/>
    <w:rsid w:val="008218C7"/>
    <w:rsid w:val="008229BA"/>
    <w:rsid w:val="00823467"/>
    <w:rsid w:val="00824151"/>
    <w:rsid w:val="00824A08"/>
    <w:rsid w:val="00830183"/>
    <w:rsid w:val="008325FF"/>
    <w:rsid w:val="00833872"/>
    <w:rsid w:val="00833C3C"/>
    <w:rsid w:val="00836181"/>
    <w:rsid w:val="0084353A"/>
    <w:rsid w:val="008436E5"/>
    <w:rsid w:val="00845390"/>
    <w:rsid w:val="0084601B"/>
    <w:rsid w:val="00847E0C"/>
    <w:rsid w:val="00852348"/>
    <w:rsid w:val="00853F67"/>
    <w:rsid w:val="00853FC3"/>
    <w:rsid w:val="008606F0"/>
    <w:rsid w:val="008629A1"/>
    <w:rsid w:val="00863987"/>
    <w:rsid w:val="00865489"/>
    <w:rsid w:val="0086553D"/>
    <w:rsid w:val="0086650A"/>
    <w:rsid w:val="00867289"/>
    <w:rsid w:val="00867B11"/>
    <w:rsid w:val="008726B7"/>
    <w:rsid w:val="00873283"/>
    <w:rsid w:val="00874E70"/>
    <w:rsid w:val="00874FEB"/>
    <w:rsid w:val="00875083"/>
    <w:rsid w:val="00881B6F"/>
    <w:rsid w:val="00882AA4"/>
    <w:rsid w:val="00882D3E"/>
    <w:rsid w:val="00883E22"/>
    <w:rsid w:val="008842AF"/>
    <w:rsid w:val="00884E43"/>
    <w:rsid w:val="00887EC6"/>
    <w:rsid w:val="0089010B"/>
    <w:rsid w:val="0089084C"/>
    <w:rsid w:val="00893409"/>
    <w:rsid w:val="00893D9F"/>
    <w:rsid w:val="0089704D"/>
    <w:rsid w:val="008A078C"/>
    <w:rsid w:val="008A2379"/>
    <w:rsid w:val="008A2F0A"/>
    <w:rsid w:val="008A4329"/>
    <w:rsid w:val="008A4D77"/>
    <w:rsid w:val="008A578E"/>
    <w:rsid w:val="008A652F"/>
    <w:rsid w:val="008A70BC"/>
    <w:rsid w:val="008B0F46"/>
    <w:rsid w:val="008B1519"/>
    <w:rsid w:val="008B2309"/>
    <w:rsid w:val="008B34A5"/>
    <w:rsid w:val="008B5BE9"/>
    <w:rsid w:val="008B5D98"/>
    <w:rsid w:val="008B68F7"/>
    <w:rsid w:val="008B7BCC"/>
    <w:rsid w:val="008C045E"/>
    <w:rsid w:val="008C50C3"/>
    <w:rsid w:val="008C6D7C"/>
    <w:rsid w:val="008C7094"/>
    <w:rsid w:val="008D1B92"/>
    <w:rsid w:val="008D2B97"/>
    <w:rsid w:val="008D32A6"/>
    <w:rsid w:val="008D4460"/>
    <w:rsid w:val="008D49A5"/>
    <w:rsid w:val="008D65E8"/>
    <w:rsid w:val="008D6C81"/>
    <w:rsid w:val="008D6F6F"/>
    <w:rsid w:val="008E025F"/>
    <w:rsid w:val="008E4364"/>
    <w:rsid w:val="008E5D60"/>
    <w:rsid w:val="008E6CF0"/>
    <w:rsid w:val="008F1439"/>
    <w:rsid w:val="008F4C23"/>
    <w:rsid w:val="008F5213"/>
    <w:rsid w:val="008F7051"/>
    <w:rsid w:val="008F776F"/>
    <w:rsid w:val="008F7C97"/>
    <w:rsid w:val="009033A9"/>
    <w:rsid w:val="0090581D"/>
    <w:rsid w:val="00911F26"/>
    <w:rsid w:val="0091439C"/>
    <w:rsid w:val="00914616"/>
    <w:rsid w:val="00917CDD"/>
    <w:rsid w:val="009201C0"/>
    <w:rsid w:val="00920572"/>
    <w:rsid w:val="00920BF2"/>
    <w:rsid w:val="00923564"/>
    <w:rsid w:val="00927855"/>
    <w:rsid w:val="00927F27"/>
    <w:rsid w:val="00930D1A"/>
    <w:rsid w:val="00932DEF"/>
    <w:rsid w:val="00933097"/>
    <w:rsid w:val="00933977"/>
    <w:rsid w:val="00933C3D"/>
    <w:rsid w:val="00933FF7"/>
    <w:rsid w:val="009349A9"/>
    <w:rsid w:val="0093673F"/>
    <w:rsid w:val="00936C52"/>
    <w:rsid w:val="0093789C"/>
    <w:rsid w:val="00941F3E"/>
    <w:rsid w:val="009464A4"/>
    <w:rsid w:val="0095489B"/>
    <w:rsid w:val="00960535"/>
    <w:rsid w:val="009653A6"/>
    <w:rsid w:val="00965A48"/>
    <w:rsid w:val="00965AFC"/>
    <w:rsid w:val="00966D19"/>
    <w:rsid w:val="00966FB9"/>
    <w:rsid w:val="009671CD"/>
    <w:rsid w:val="00970131"/>
    <w:rsid w:val="00972B82"/>
    <w:rsid w:val="00972F49"/>
    <w:rsid w:val="0097319C"/>
    <w:rsid w:val="00973BB7"/>
    <w:rsid w:val="0097412F"/>
    <w:rsid w:val="009751A9"/>
    <w:rsid w:val="00980983"/>
    <w:rsid w:val="00980F9C"/>
    <w:rsid w:val="00983AD6"/>
    <w:rsid w:val="0098632B"/>
    <w:rsid w:val="0099220B"/>
    <w:rsid w:val="00992405"/>
    <w:rsid w:val="009948E9"/>
    <w:rsid w:val="00997BFB"/>
    <w:rsid w:val="009A3B35"/>
    <w:rsid w:val="009A7348"/>
    <w:rsid w:val="009A73BE"/>
    <w:rsid w:val="009B11FE"/>
    <w:rsid w:val="009B3D1C"/>
    <w:rsid w:val="009B462C"/>
    <w:rsid w:val="009C15F3"/>
    <w:rsid w:val="009C3689"/>
    <w:rsid w:val="009C5A1D"/>
    <w:rsid w:val="009C6CA9"/>
    <w:rsid w:val="009D6068"/>
    <w:rsid w:val="009E07C2"/>
    <w:rsid w:val="009E0CFC"/>
    <w:rsid w:val="009E0E52"/>
    <w:rsid w:val="009E2E10"/>
    <w:rsid w:val="009E4CAF"/>
    <w:rsid w:val="009F0B53"/>
    <w:rsid w:val="009F12BC"/>
    <w:rsid w:val="009F2165"/>
    <w:rsid w:val="009F5341"/>
    <w:rsid w:val="009F6F68"/>
    <w:rsid w:val="009F72F9"/>
    <w:rsid w:val="00A00205"/>
    <w:rsid w:val="00A00AF0"/>
    <w:rsid w:val="00A02CFA"/>
    <w:rsid w:val="00A14184"/>
    <w:rsid w:val="00A14B5A"/>
    <w:rsid w:val="00A15B54"/>
    <w:rsid w:val="00A16B90"/>
    <w:rsid w:val="00A2156B"/>
    <w:rsid w:val="00A2168E"/>
    <w:rsid w:val="00A22351"/>
    <w:rsid w:val="00A237CF"/>
    <w:rsid w:val="00A245E4"/>
    <w:rsid w:val="00A34828"/>
    <w:rsid w:val="00A34E2F"/>
    <w:rsid w:val="00A3567F"/>
    <w:rsid w:val="00A362BF"/>
    <w:rsid w:val="00A37698"/>
    <w:rsid w:val="00A411AB"/>
    <w:rsid w:val="00A41ED3"/>
    <w:rsid w:val="00A513D9"/>
    <w:rsid w:val="00A521EB"/>
    <w:rsid w:val="00A525CE"/>
    <w:rsid w:val="00A52A56"/>
    <w:rsid w:val="00A53042"/>
    <w:rsid w:val="00A550F8"/>
    <w:rsid w:val="00A5715C"/>
    <w:rsid w:val="00A57A17"/>
    <w:rsid w:val="00A61DBA"/>
    <w:rsid w:val="00A64C67"/>
    <w:rsid w:val="00A671A7"/>
    <w:rsid w:val="00A70825"/>
    <w:rsid w:val="00A71CDB"/>
    <w:rsid w:val="00A7277A"/>
    <w:rsid w:val="00A764A0"/>
    <w:rsid w:val="00A76A68"/>
    <w:rsid w:val="00A800AF"/>
    <w:rsid w:val="00A81D82"/>
    <w:rsid w:val="00A84999"/>
    <w:rsid w:val="00A849AB"/>
    <w:rsid w:val="00A85169"/>
    <w:rsid w:val="00A9118F"/>
    <w:rsid w:val="00A93305"/>
    <w:rsid w:val="00A93E33"/>
    <w:rsid w:val="00AA1789"/>
    <w:rsid w:val="00AA3B7C"/>
    <w:rsid w:val="00AA4264"/>
    <w:rsid w:val="00AB0A41"/>
    <w:rsid w:val="00AB3A64"/>
    <w:rsid w:val="00AB6970"/>
    <w:rsid w:val="00AC0420"/>
    <w:rsid w:val="00AC087B"/>
    <w:rsid w:val="00AC1939"/>
    <w:rsid w:val="00AC2E98"/>
    <w:rsid w:val="00AC38E9"/>
    <w:rsid w:val="00AC51E9"/>
    <w:rsid w:val="00AC60AD"/>
    <w:rsid w:val="00AC7C05"/>
    <w:rsid w:val="00AD167C"/>
    <w:rsid w:val="00AD17C7"/>
    <w:rsid w:val="00AD3218"/>
    <w:rsid w:val="00AD4041"/>
    <w:rsid w:val="00AD41E7"/>
    <w:rsid w:val="00AD5164"/>
    <w:rsid w:val="00AD5D94"/>
    <w:rsid w:val="00AE1B65"/>
    <w:rsid w:val="00AE302B"/>
    <w:rsid w:val="00AE41B8"/>
    <w:rsid w:val="00AF330B"/>
    <w:rsid w:val="00B01386"/>
    <w:rsid w:val="00B0169A"/>
    <w:rsid w:val="00B020FD"/>
    <w:rsid w:val="00B0389A"/>
    <w:rsid w:val="00B03BDA"/>
    <w:rsid w:val="00B0602F"/>
    <w:rsid w:val="00B06C70"/>
    <w:rsid w:val="00B137F7"/>
    <w:rsid w:val="00B16BE5"/>
    <w:rsid w:val="00B20EDD"/>
    <w:rsid w:val="00B2533F"/>
    <w:rsid w:val="00B259DF"/>
    <w:rsid w:val="00B26C0B"/>
    <w:rsid w:val="00B302A9"/>
    <w:rsid w:val="00B3062E"/>
    <w:rsid w:val="00B350B7"/>
    <w:rsid w:val="00B37C33"/>
    <w:rsid w:val="00B37D82"/>
    <w:rsid w:val="00B44B1F"/>
    <w:rsid w:val="00B461A1"/>
    <w:rsid w:val="00B47DF8"/>
    <w:rsid w:val="00B509D4"/>
    <w:rsid w:val="00B52C99"/>
    <w:rsid w:val="00B53317"/>
    <w:rsid w:val="00B62B70"/>
    <w:rsid w:val="00B64141"/>
    <w:rsid w:val="00B642C9"/>
    <w:rsid w:val="00B64E72"/>
    <w:rsid w:val="00B7153D"/>
    <w:rsid w:val="00B75407"/>
    <w:rsid w:val="00B775FB"/>
    <w:rsid w:val="00B77913"/>
    <w:rsid w:val="00B824FB"/>
    <w:rsid w:val="00B82646"/>
    <w:rsid w:val="00B86349"/>
    <w:rsid w:val="00B91D2D"/>
    <w:rsid w:val="00B94503"/>
    <w:rsid w:val="00B94E98"/>
    <w:rsid w:val="00B95884"/>
    <w:rsid w:val="00B96A4E"/>
    <w:rsid w:val="00B97359"/>
    <w:rsid w:val="00B97A8F"/>
    <w:rsid w:val="00BA0B5B"/>
    <w:rsid w:val="00BA3BC9"/>
    <w:rsid w:val="00BA4E58"/>
    <w:rsid w:val="00BA7074"/>
    <w:rsid w:val="00BB054F"/>
    <w:rsid w:val="00BB2CF4"/>
    <w:rsid w:val="00BB4359"/>
    <w:rsid w:val="00BB4771"/>
    <w:rsid w:val="00BB4A34"/>
    <w:rsid w:val="00BB5456"/>
    <w:rsid w:val="00BB5521"/>
    <w:rsid w:val="00BB72BF"/>
    <w:rsid w:val="00BB7829"/>
    <w:rsid w:val="00BC153D"/>
    <w:rsid w:val="00BC24CA"/>
    <w:rsid w:val="00BC51A8"/>
    <w:rsid w:val="00BC5375"/>
    <w:rsid w:val="00BD04FF"/>
    <w:rsid w:val="00BD1457"/>
    <w:rsid w:val="00BD2BF4"/>
    <w:rsid w:val="00BD4157"/>
    <w:rsid w:val="00BD5C23"/>
    <w:rsid w:val="00BE09E8"/>
    <w:rsid w:val="00BE1EE6"/>
    <w:rsid w:val="00BE2AD9"/>
    <w:rsid w:val="00BE429C"/>
    <w:rsid w:val="00BE5D3F"/>
    <w:rsid w:val="00BE6BA1"/>
    <w:rsid w:val="00BF1303"/>
    <w:rsid w:val="00BF27FE"/>
    <w:rsid w:val="00BF3E18"/>
    <w:rsid w:val="00BF4FC5"/>
    <w:rsid w:val="00C00212"/>
    <w:rsid w:val="00C043B3"/>
    <w:rsid w:val="00C04AD8"/>
    <w:rsid w:val="00C05137"/>
    <w:rsid w:val="00C079AB"/>
    <w:rsid w:val="00C10E61"/>
    <w:rsid w:val="00C14787"/>
    <w:rsid w:val="00C1596D"/>
    <w:rsid w:val="00C15B8D"/>
    <w:rsid w:val="00C17010"/>
    <w:rsid w:val="00C20562"/>
    <w:rsid w:val="00C215C3"/>
    <w:rsid w:val="00C21B5A"/>
    <w:rsid w:val="00C22974"/>
    <w:rsid w:val="00C23A96"/>
    <w:rsid w:val="00C249C6"/>
    <w:rsid w:val="00C27148"/>
    <w:rsid w:val="00C3220A"/>
    <w:rsid w:val="00C32CC1"/>
    <w:rsid w:val="00C33382"/>
    <w:rsid w:val="00C36CCE"/>
    <w:rsid w:val="00C4102F"/>
    <w:rsid w:val="00C426EC"/>
    <w:rsid w:val="00C442F6"/>
    <w:rsid w:val="00C47248"/>
    <w:rsid w:val="00C51A44"/>
    <w:rsid w:val="00C556D7"/>
    <w:rsid w:val="00C55873"/>
    <w:rsid w:val="00C567E9"/>
    <w:rsid w:val="00C62430"/>
    <w:rsid w:val="00C6483C"/>
    <w:rsid w:val="00C64AE9"/>
    <w:rsid w:val="00C673B6"/>
    <w:rsid w:val="00C6766A"/>
    <w:rsid w:val="00C70CFF"/>
    <w:rsid w:val="00C718FE"/>
    <w:rsid w:val="00C85BB9"/>
    <w:rsid w:val="00C860E7"/>
    <w:rsid w:val="00C86CEC"/>
    <w:rsid w:val="00C86D72"/>
    <w:rsid w:val="00C8773D"/>
    <w:rsid w:val="00C87ABB"/>
    <w:rsid w:val="00C90062"/>
    <w:rsid w:val="00C91831"/>
    <w:rsid w:val="00C928DE"/>
    <w:rsid w:val="00C953DF"/>
    <w:rsid w:val="00C9657E"/>
    <w:rsid w:val="00CA18C5"/>
    <w:rsid w:val="00CA41EC"/>
    <w:rsid w:val="00CB545A"/>
    <w:rsid w:val="00CC199A"/>
    <w:rsid w:val="00CC1F8B"/>
    <w:rsid w:val="00CC2EF5"/>
    <w:rsid w:val="00CC75EF"/>
    <w:rsid w:val="00CD3EAF"/>
    <w:rsid w:val="00CD5401"/>
    <w:rsid w:val="00CD5BF2"/>
    <w:rsid w:val="00CD64C6"/>
    <w:rsid w:val="00CD66A5"/>
    <w:rsid w:val="00CD6F68"/>
    <w:rsid w:val="00CE17E7"/>
    <w:rsid w:val="00CE1D02"/>
    <w:rsid w:val="00CE2709"/>
    <w:rsid w:val="00CE2D64"/>
    <w:rsid w:val="00CE2F02"/>
    <w:rsid w:val="00CE3B1A"/>
    <w:rsid w:val="00CE523B"/>
    <w:rsid w:val="00CE6198"/>
    <w:rsid w:val="00CE78F6"/>
    <w:rsid w:val="00CF453D"/>
    <w:rsid w:val="00CF6230"/>
    <w:rsid w:val="00D017FC"/>
    <w:rsid w:val="00D0226A"/>
    <w:rsid w:val="00D02ED8"/>
    <w:rsid w:val="00D07F30"/>
    <w:rsid w:val="00D13147"/>
    <w:rsid w:val="00D16229"/>
    <w:rsid w:val="00D22CAE"/>
    <w:rsid w:val="00D23BA6"/>
    <w:rsid w:val="00D30717"/>
    <w:rsid w:val="00D3306C"/>
    <w:rsid w:val="00D33C90"/>
    <w:rsid w:val="00D3556D"/>
    <w:rsid w:val="00D3584F"/>
    <w:rsid w:val="00D36DB2"/>
    <w:rsid w:val="00D41B03"/>
    <w:rsid w:val="00D4282B"/>
    <w:rsid w:val="00D45806"/>
    <w:rsid w:val="00D463FF"/>
    <w:rsid w:val="00D5364D"/>
    <w:rsid w:val="00D53E1F"/>
    <w:rsid w:val="00D5528D"/>
    <w:rsid w:val="00D56A39"/>
    <w:rsid w:val="00D56E5B"/>
    <w:rsid w:val="00D5715A"/>
    <w:rsid w:val="00D617CA"/>
    <w:rsid w:val="00D71687"/>
    <w:rsid w:val="00D744E4"/>
    <w:rsid w:val="00D74813"/>
    <w:rsid w:val="00D774AC"/>
    <w:rsid w:val="00D779C4"/>
    <w:rsid w:val="00D77C83"/>
    <w:rsid w:val="00D831F6"/>
    <w:rsid w:val="00D84B8F"/>
    <w:rsid w:val="00D902EB"/>
    <w:rsid w:val="00D92C55"/>
    <w:rsid w:val="00D93D67"/>
    <w:rsid w:val="00DA1F20"/>
    <w:rsid w:val="00DA2D32"/>
    <w:rsid w:val="00DA30BC"/>
    <w:rsid w:val="00DA4321"/>
    <w:rsid w:val="00DA69C2"/>
    <w:rsid w:val="00DA6D70"/>
    <w:rsid w:val="00DA7478"/>
    <w:rsid w:val="00DB4A58"/>
    <w:rsid w:val="00DB4CC6"/>
    <w:rsid w:val="00DB5AFD"/>
    <w:rsid w:val="00DB6050"/>
    <w:rsid w:val="00DB7735"/>
    <w:rsid w:val="00DC2C34"/>
    <w:rsid w:val="00DC3FD2"/>
    <w:rsid w:val="00DC6AC3"/>
    <w:rsid w:val="00DE106B"/>
    <w:rsid w:val="00DE1C54"/>
    <w:rsid w:val="00DE2C87"/>
    <w:rsid w:val="00DE35B0"/>
    <w:rsid w:val="00DE459A"/>
    <w:rsid w:val="00DE743D"/>
    <w:rsid w:val="00DF01D6"/>
    <w:rsid w:val="00DF27DA"/>
    <w:rsid w:val="00DF4DBE"/>
    <w:rsid w:val="00DF75F0"/>
    <w:rsid w:val="00E13284"/>
    <w:rsid w:val="00E24437"/>
    <w:rsid w:val="00E2493B"/>
    <w:rsid w:val="00E24E57"/>
    <w:rsid w:val="00E3183C"/>
    <w:rsid w:val="00E3283B"/>
    <w:rsid w:val="00E349A1"/>
    <w:rsid w:val="00E36638"/>
    <w:rsid w:val="00E40568"/>
    <w:rsid w:val="00E40820"/>
    <w:rsid w:val="00E440E9"/>
    <w:rsid w:val="00E4658F"/>
    <w:rsid w:val="00E4667B"/>
    <w:rsid w:val="00E47489"/>
    <w:rsid w:val="00E50B10"/>
    <w:rsid w:val="00E51C66"/>
    <w:rsid w:val="00E54A67"/>
    <w:rsid w:val="00E55BF7"/>
    <w:rsid w:val="00E601D6"/>
    <w:rsid w:val="00E61C0D"/>
    <w:rsid w:val="00E633DF"/>
    <w:rsid w:val="00E63E5F"/>
    <w:rsid w:val="00E63EB4"/>
    <w:rsid w:val="00E64A98"/>
    <w:rsid w:val="00E656C7"/>
    <w:rsid w:val="00E66160"/>
    <w:rsid w:val="00E66DEF"/>
    <w:rsid w:val="00E70D7F"/>
    <w:rsid w:val="00E71045"/>
    <w:rsid w:val="00E71329"/>
    <w:rsid w:val="00E72E4A"/>
    <w:rsid w:val="00E73C92"/>
    <w:rsid w:val="00E7709F"/>
    <w:rsid w:val="00E813C8"/>
    <w:rsid w:val="00E8363B"/>
    <w:rsid w:val="00E84966"/>
    <w:rsid w:val="00E8541C"/>
    <w:rsid w:val="00E87A05"/>
    <w:rsid w:val="00E87D11"/>
    <w:rsid w:val="00E9054F"/>
    <w:rsid w:val="00E91A6E"/>
    <w:rsid w:val="00E91A99"/>
    <w:rsid w:val="00E92383"/>
    <w:rsid w:val="00E923AB"/>
    <w:rsid w:val="00E92AD6"/>
    <w:rsid w:val="00E941C5"/>
    <w:rsid w:val="00E97A63"/>
    <w:rsid w:val="00EA1B3A"/>
    <w:rsid w:val="00EA2109"/>
    <w:rsid w:val="00EA485F"/>
    <w:rsid w:val="00EA4B11"/>
    <w:rsid w:val="00EB05F4"/>
    <w:rsid w:val="00EB2343"/>
    <w:rsid w:val="00EB5D6C"/>
    <w:rsid w:val="00EC0902"/>
    <w:rsid w:val="00EC1FD5"/>
    <w:rsid w:val="00EC2EC9"/>
    <w:rsid w:val="00EC421C"/>
    <w:rsid w:val="00ED188C"/>
    <w:rsid w:val="00ED4D4E"/>
    <w:rsid w:val="00ED590E"/>
    <w:rsid w:val="00ED5964"/>
    <w:rsid w:val="00ED7871"/>
    <w:rsid w:val="00ED7C74"/>
    <w:rsid w:val="00EE0C77"/>
    <w:rsid w:val="00EE108B"/>
    <w:rsid w:val="00EE1955"/>
    <w:rsid w:val="00EE391E"/>
    <w:rsid w:val="00EE4D0F"/>
    <w:rsid w:val="00EE4E54"/>
    <w:rsid w:val="00EE5026"/>
    <w:rsid w:val="00EE7552"/>
    <w:rsid w:val="00EF3CBC"/>
    <w:rsid w:val="00EF4334"/>
    <w:rsid w:val="00EF5DE4"/>
    <w:rsid w:val="00EF78BA"/>
    <w:rsid w:val="00F02AFB"/>
    <w:rsid w:val="00F02C24"/>
    <w:rsid w:val="00F03AA6"/>
    <w:rsid w:val="00F03F49"/>
    <w:rsid w:val="00F04280"/>
    <w:rsid w:val="00F15409"/>
    <w:rsid w:val="00F15CD9"/>
    <w:rsid w:val="00F16E31"/>
    <w:rsid w:val="00F17140"/>
    <w:rsid w:val="00F23A21"/>
    <w:rsid w:val="00F3193A"/>
    <w:rsid w:val="00F32735"/>
    <w:rsid w:val="00F36072"/>
    <w:rsid w:val="00F36D3A"/>
    <w:rsid w:val="00F436BB"/>
    <w:rsid w:val="00F44716"/>
    <w:rsid w:val="00F4687D"/>
    <w:rsid w:val="00F47145"/>
    <w:rsid w:val="00F47FBB"/>
    <w:rsid w:val="00F51463"/>
    <w:rsid w:val="00F52619"/>
    <w:rsid w:val="00F54162"/>
    <w:rsid w:val="00F545BF"/>
    <w:rsid w:val="00F546D6"/>
    <w:rsid w:val="00F55AFA"/>
    <w:rsid w:val="00F56B59"/>
    <w:rsid w:val="00F64FAB"/>
    <w:rsid w:val="00F701C8"/>
    <w:rsid w:val="00F71B56"/>
    <w:rsid w:val="00F7270E"/>
    <w:rsid w:val="00F7504C"/>
    <w:rsid w:val="00F80C68"/>
    <w:rsid w:val="00F832C8"/>
    <w:rsid w:val="00F83C4E"/>
    <w:rsid w:val="00F83D87"/>
    <w:rsid w:val="00F8500A"/>
    <w:rsid w:val="00F8567D"/>
    <w:rsid w:val="00F86C11"/>
    <w:rsid w:val="00F873B3"/>
    <w:rsid w:val="00F874DA"/>
    <w:rsid w:val="00F95FD2"/>
    <w:rsid w:val="00FA21A5"/>
    <w:rsid w:val="00FA33FE"/>
    <w:rsid w:val="00FA42B9"/>
    <w:rsid w:val="00FA755A"/>
    <w:rsid w:val="00FB00B4"/>
    <w:rsid w:val="00FB08CB"/>
    <w:rsid w:val="00FB0CE0"/>
    <w:rsid w:val="00FB2B0F"/>
    <w:rsid w:val="00FB2CF2"/>
    <w:rsid w:val="00FB3252"/>
    <w:rsid w:val="00FB3882"/>
    <w:rsid w:val="00FB4B74"/>
    <w:rsid w:val="00FB4F6B"/>
    <w:rsid w:val="00FB5FE1"/>
    <w:rsid w:val="00FB6491"/>
    <w:rsid w:val="00FC0E8D"/>
    <w:rsid w:val="00FC144F"/>
    <w:rsid w:val="00FC46EF"/>
    <w:rsid w:val="00FC4BC6"/>
    <w:rsid w:val="00FC7926"/>
    <w:rsid w:val="00FC7ABD"/>
    <w:rsid w:val="00FD1D42"/>
    <w:rsid w:val="00FD31B3"/>
    <w:rsid w:val="00FD4204"/>
    <w:rsid w:val="00FD6DD0"/>
    <w:rsid w:val="00FD7C9F"/>
    <w:rsid w:val="00FE1513"/>
    <w:rsid w:val="00FE2594"/>
    <w:rsid w:val="00FE7983"/>
    <w:rsid w:val="00FF06E5"/>
    <w:rsid w:val="00FF0E93"/>
    <w:rsid w:val="00FF1837"/>
    <w:rsid w:val="00FF20DE"/>
    <w:rsid w:val="00FF26CD"/>
    <w:rsid w:val="00FF3CCB"/>
    <w:rsid w:val="00FF57B5"/>
    <w:rsid w:val="00FF6047"/>
    <w:rsid w:val="00FF6CD7"/>
    <w:rsid w:val="03BE1C08"/>
    <w:rsid w:val="05124132"/>
    <w:rsid w:val="169B8941"/>
    <w:rsid w:val="2CB35EC4"/>
    <w:rsid w:val="3441B64D"/>
    <w:rsid w:val="37214BE5"/>
    <w:rsid w:val="37CAD0EB"/>
    <w:rsid w:val="39A14FBD"/>
    <w:rsid w:val="40ED59D9"/>
    <w:rsid w:val="42A7C906"/>
    <w:rsid w:val="45B8EAD0"/>
    <w:rsid w:val="4FFD74D3"/>
    <w:rsid w:val="56749F54"/>
    <w:rsid w:val="5AE99585"/>
    <w:rsid w:val="724003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character" w:customStyle="1" w:styleId="normaltextrun">
    <w:name w:val="normaltextrun"/>
    <w:basedOn w:val="DefaultParagraphFont"/>
    <w:rsid w:val="008A4D77"/>
  </w:style>
  <w:style w:type="character" w:customStyle="1" w:styleId="eop">
    <w:name w:val="eop"/>
    <w:basedOn w:val="DefaultParagraphFont"/>
    <w:rsid w:val="008A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7639">
      <w:bodyDiv w:val="1"/>
      <w:marLeft w:val="0"/>
      <w:marRight w:val="0"/>
      <w:marTop w:val="0"/>
      <w:marBottom w:val="0"/>
      <w:divBdr>
        <w:top w:val="none" w:sz="0" w:space="0" w:color="auto"/>
        <w:left w:val="none" w:sz="0" w:space="0" w:color="auto"/>
        <w:bottom w:val="none" w:sz="0" w:space="0" w:color="auto"/>
        <w:right w:val="none" w:sz="0" w:space="0" w:color="auto"/>
      </w:divBdr>
    </w:div>
    <w:div w:id="4988462">
      <w:bodyDiv w:val="1"/>
      <w:marLeft w:val="0"/>
      <w:marRight w:val="0"/>
      <w:marTop w:val="0"/>
      <w:marBottom w:val="0"/>
      <w:divBdr>
        <w:top w:val="none" w:sz="0" w:space="0" w:color="auto"/>
        <w:left w:val="none" w:sz="0" w:space="0" w:color="auto"/>
        <w:bottom w:val="none" w:sz="0" w:space="0" w:color="auto"/>
        <w:right w:val="none" w:sz="0" w:space="0" w:color="auto"/>
      </w:divBdr>
    </w:div>
    <w:div w:id="11492545">
      <w:bodyDiv w:val="1"/>
      <w:marLeft w:val="0"/>
      <w:marRight w:val="0"/>
      <w:marTop w:val="0"/>
      <w:marBottom w:val="0"/>
      <w:divBdr>
        <w:top w:val="none" w:sz="0" w:space="0" w:color="auto"/>
        <w:left w:val="none" w:sz="0" w:space="0" w:color="auto"/>
        <w:bottom w:val="none" w:sz="0" w:space="0" w:color="auto"/>
        <w:right w:val="none" w:sz="0" w:space="0" w:color="auto"/>
      </w:divBdr>
    </w:div>
    <w:div w:id="27340786">
      <w:bodyDiv w:val="1"/>
      <w:marLeft w:val="0"/>
      <w:marRight w:val="0"/>
      <w:marTop w:val="0"/>
      <w:marBottom w:val="0"/>
      <w:divBdr>
        <w:top w:val="none" w:sz="0" w:space="0" w:color="auto"/>
        <w:left w:val="none" w:sz="0" w:space="0" w:color="auto"/>
        <w:bottom w:val="none" w:sz="0" w:space="0" w:color="auto"/>
        <w:right w:val="none" w:sz="0" w:space="0" w:color="auto"/>
      </w:divBdr>
    </w:div>
    <w:div w:id="30155832">
      <w:bodyDiv w:val="1"/>
      <w:marLeft w:val="0"/>
      <w:marRight w:val="0"/>
      <w:marTop w:val="0"/>
      <w:marBottom w:val="0"/>
      <w:divBdr>
        <w:top w:val="none" w:sz="0" w:space="0" w:color="auto"/>
        <w:left w:val="none" w:sz="0" w:space="0" w:color="auto"/>
        <w:bottom w:val="none" w:sz="0" w:space="0" w:color="auto"/>
        <w:right w:val="none" w:sz="0" w:space="0" w:color="auto"/>
      </w:divBdr>
    </w:div>
    <w:div w:id="49231257">
      <w:bodyDiv w:val="1"/>
      <w:marLeft w:val="0"/>
      <w:marRight w:val="0"/>
      <w:marTop w:val="0"/>
      <w:marBottom w:val="0"/>
      <w:divBdr>
        <w:top w:val="none" w:sz="0" w:space="0" w:color="auto"/>
        <w:left w:val="none" w:sz="0" w:space="0" w:color="auto"/>
        <w:bottom w:val="none" w:sz="0" w:space="0" w:color="auto"/>
        <w:right w:val="none" w:sz="0" w:space="0" w:color="auto"/>
      </w:divBdr>
    </w:div>
    <w:div w:id="55013991">
      <w:bodyDiv w:val="1"/>
      <w:marLeft w:val="0"/>
      <w:marRight w:val="0"/>
      <w:marTop w:val="0"/>
      <w:marBottom w:val="0"/>
      <w:divBdr>
        <w:top w:val="none" w:sz="0" w:space="0" w:color="auto"/>
        <w:left w:val="none" w:sz="0" w:space="0" w:color="auto"/>
        <w:bottom w:val="none" w:sz="0" w:space="0" w:color="auto"/>
        <w:right w:val="none" w:sz="0" w:space="0" w:color="auto"/>
      </w:divBdr>
    </w:div>
    <w:div w:id="75325894">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02654457">
      <w:bodyDiv w:val="1"/>
      <w:marLeft w:val="0"/>
      <w:marRight w:val="0"/>
      <w:marTop w:val="0"/>
      <w:marBottom w:val="0"/>
      <w:divBdr>
        <w:top w:val="none" w:sz="0" w:space="0" w:color="auto"/>
        <w:left w:val="none" w:sz="0" w:space="0" w:color="auto"/>
        <w:bottom w:val="none" w:sz="0" w:space="0" w:color="auto"/>
        <w:right w:val="none" w:sz="0" w:space="0" w:color="auto"/>
      </w:divBdr>
    </w:div>
    <w:div w:id="114908027">
      <w:bodyDiv w:val="1"/>
      <w:marLeft w:val="0"/>
      <w:marRight w:val="0"/>
      <w:marTop w:val="0"/>
      <w:marBottom w:val="0"/>
      <w:divBdr>
        <w:top w:val="none" w:sz="0" w:space="0" w:color="auto"/>
        <w:left w:val="none" w:sz="0" w:space="0" w:color="auto"/>
        <w:bottom w:val="none" w:sz="0" w:space="0" w:color="auto"/>
        <w:right w:val="none" w:sz="0" w:space="0" w:color="auto"/>
      </w:divBdr>
    </w:div>
    <w:div w:id="131484231">
      <w:bodyDiv w:val="1"/>
      <w:marLeft w:val="0"/>
      <w:marRight w:val="0"/>
      <w:marTop w:val="0"/>
      <w:marBottom w:val="0"/>
      <w:divBdr>
        <w:top w:val="none" w:sz="0" w:space="0" w:color="auto"/>
        <w:left w:val="none" w:sz="0" w:space="0" w:color="auto"/>
        <w:bottom w:val="none" w:sz="0" w:space="0" w:color="auto"/>
        <w:right w:val="none" w:sz="0" w:space="0" w:color="auto"/>
      </w:divBdr>
    </w:div>
    <w:div w:id="152572470">
      <w:bodyDiv w:val="1"/>
      <w:marLeft w:val="0"/>
      <w:marRight w:val="0"/>
      <w:marTop w:val="0"/>
      <w:marBottom w:val="0"/>
      <w:divBdr>
        <w:top w:val="none" w:sz="0" w:space="0" w:color="auto"/>
        <w:left w:val="none" w:sz="0" w:space="0" w:color="auto"/>
        <w:bottom w:val="none" w:sz="0" w:space="0" w:color="auto"/>
        <w:right w:val="none" w:sz="0" w:space="0" w:color="auto"/>
      </w:divBdr>
    </w:div>
    <w:div w:id="152917715">
      <w:bodyDiv w:val="1"/>
      <w:marLeft w:val="0"/>
      <w:marRight w:val="0"/>
      <w:marTop w:val="0"/>
      <w:marBottom w:val="0"/>
      <w:divBdr>
        <w:top w:val="none" w:sz="0" w:space="0" w:color="auto"/>
        <w:left w:val="none" w:sz="0" w:space="0" w:color="auto"/>
        <w:bottom w:val="none" w:sz="0" w:space="0" w:color="auto"/>
        <w:right w:val="none" w:sz="0" w:space="0" w:color="auto"/>
      </w:divBdr>
    </w:div>
    <w:div w:id="153299006">
      <w:bodyDiv w:val="1"/>
      <w:marLeft w:val="0"/>
      <w:marRight w:val="0"/>
      <w:marTop w:val="0"/>
      <w:marBottom w:val="0"/>
      <w:divBdr>
        <w:top w:val="none" w:sz="0" w:space="0" w:color="auto"/>
        <w:left w:val="none" w:sz="0" w:space="0" w:color="auto"/>
        <w:bottom w:val="none" w:sz="0" w:space="0" w:color="auto"/>
        <w:right w:val="none" w:sz="0" w:space="0" w:color="auto"/>
      </w:divBdr>
    </w:div>
    <w:div w:id="174075668">
      <w:bodyDiv w:val="1"/>
      <w:marLeft w:val="0"/>
      <w:marRight w:val="0"/>
      <w:marTop w:val="0"/>
      <w:marBottom w:val="0"/>
      <w:divBdr>
        <w:top w:val="none" w:sz="0" w:space="0" w:color="auto"/>
        <w:left w:val="none" w:sz="0" w:space="0" w:color="auto"/>
        <w:bottom w:val="none" w:sz="0" w:space="0" w:color="auto"/>
        <w:right w:val="none" w:sz="0" w:space="0" w:color="auto"/>
      </w:divBdr>
    </w:div>
    <w:div w:id="195123871">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4777816">
      <w:bodyDiv w:val="1"/>
      <w:marLeft w:val="0"/>
      <w:marRight w:val="0"/>
      <w:marTop w:val="0"/>
      <w:marBottom w:val="0"/>
      <w:divBdr>
        <w:top w:val="none" w:sz="0" w:space="0" w:color="auto"/>
        <w:left w:val="none" w:sz="0" w:space="0" w:color="auto"/>
        <w:bottom w:val="none" w:sz="0" w:space="0" w:color="auto"/>
        <w:right w:val="none" w:sz="0" w:space="0" w:color="auto"/>
      </w:divBdr>
    </w:div>
    <w:div w:id="215513374">
      <w:bodyDiv w:val="1"/>
      <w:marLeft w:val="0"/>
      <w:marRight w:val="0"/>
      <w:marTop w:val="0"/>
      <w:marBottom w:val="0"/>
      <w:divBdr>
        <w:top w:val="none" w:sz="0" w:space="0" w:color="auto"/>
        <w:left w:val="none" w:sz="0" w:space="0" w:color="auto"/>
        <w:bottom w:val="none" w:sz="0" w:space="0" w:color="auto"/>
        <w:right w:val="none" w:sz="0" w:space="0" w:color="auto"/>
      </w:divBdr>
    </w:div>
    <w:div w:id="221792020">
      <w:bodyDiv w:val="1"/>
      <w:marLeft w:val="0"/>
      <w:marRight w:val="0"/>
      <w:marTop w:val="0"/>
      <w:marBottom w:val="0"/>
      <w:divBdr>
        <w:top w:val="none" w:sz="0" w:space="0" w:color="auto"/>
        <w:left w:val="none" w:sz="0" w:space="0" w:color="auto"/>
        <w:bottom w:val="none" w:sz="0" w:space="0" w:color="auto"/>
        <w:right w:val="none" w:sz="0" w:space="0" w:color="auto"/>
      </w:divBdr>
    </w:div>
    <w:div w:id="253128781">
      <w:bodyDiv w:val="1"/>
      <w:marLeft w:val="0"/>
      <w:marRight w:val="0"/>
      <w:marTop w:val="0"/>
      <w:marBottom w:val="0"/>
      <w:divBdr>
        <w:top w:val="none" w:sz="0" w:space="0" w:color="auto"/>
        <w:left w:val="none" w:sz="0" w:space="0" w:color="auto"/>
        <w:bottom w:val="none" w:sz="0" w:space="0" w:color="auto"/>
        <w:right w:val="none" w:sz="0" w:space="0" w:color="auto"/>
      </w:divBdr>
    </w:div>
    <w:div w:id="265430619">
      <w:bodyDiv w:val="1"/>
      <w:marLeft w:val="0"/>
      <w:marRight w:val="0"/>
      <w:marTop w:val="0"/>
      <w:marBottom w:val="0"/>
      <w:divBdr>
        <w:top w:val="none" w:sz="0" w:space="0" w:color="auto"/>
        <w:left w:val="none" w:sz="0" w:space="0" w:color="auto"/>
        <w:bottom w:val="none" w:sz="0" w:space="0" w:color="auto"/>
        <w:right w:val="none" w:sz="0" w:space="0" w:color="auto"/>
      </w:divBdr>
    </w:div>
    <w:div w:id="268389324">
      <w:bodyDiv w:val="1"/>
      <w:marLeft w:val="0"/>
      <w:marRight w:val="0"/>
      <w:marTop w:val="0"/>
      <w:marBottom w:val="0"/>
      <w:divBdr>
        <w:top w:val="none" w:sz="0" w:space="0" w:color="auto"/>
        <w:left w:val="none" w:sz="0" w:space="0" w:color="auto"/>
        <w:bottom w:val="none" w:sz="0" w:space="0" w:color="auto"/>
        <w:right w:val="none" w:sz="0" w:space="0" w:color="auto"/>
      </w:divBdr>
    </w:div>
    <w:div w:id="270822598">
      <w:bodyDiv w:val="1"/>
      <w:marLeft w:val="0"/>
      <w:marRight w:val="0"/>
      <w:marTop w:val="0"/>
      <w:marBottom w:val="0"/>
      <w:divBdr>
        <w:top w:val="none" w:sz="0" w:space="0" w:color="auto"/>
        <w:left w:val="none" w:sz="0" w:space="0" w:color="auto"/>
        <w:bottom w:val="none" w:sz="0" w:space="0" w:color="auto"/>
        <w:right w:val="none" w:sz="0" w:space="0" w:color="auto"/>
      </w:divBdr>
    </w:div>
    <w:div w:id="279338675">
      <w:bodyDiv w:val="1"/>
      <w:marLeft w:val="0"/>
      <w:marRight w:val="0"/>
      <w:marTop w:val="0"/>
      <w:marBottom w:val="0"/>
      <w:divBdr>
        <w:top w:val="none" w:sz="0" w:space="0" w:color="auto"/>
        <w:left w:val="none" w:sz="0" w:space="0" w:color="auto"/>
        <w:bottom w:val="none" w:sz="0" w:space="0" w:color="auto"/>
        <w:right w:val="none" w:sz="0" w:space="0" w:color="auto"/>
      </w:divBdr>
    </w:div>
    <w:div w:id="31942951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2439502">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5104141">
      <w:bodyDiv w:val="1"/>
      <w:marLeft w:val="0"/>
      <w:marRight w:val="0"/>
      <w:marTop w:val="0"/>
      <w:marBottom w:val="0"/>
      <w:divBdr>
        <w:top w:val="none" w:sz="0" w:space="0" w:color="auto"/>
        <w:left w:val="none" w:sz="0" w:space="0" w:color="auto"/>
        <w:bottom w:val="none" w:sz="0" w:space="0" w:color="auto"/>
        <w:right w:val="none" w:sz="0" w:space="0" w:color="auto"/>
      </w:divBdr>
    </w:div>
    <w:div w:id="373427488">
      <w:bodyDiv w:val="1"/>
      <w:marLeft w:val="0"/>
      <w:marRight w:val="0"/>
      <w:marTop w:val="0"/>
      <w:marBottom w:val="0"/>
      <w:divBdr>
        <w:top w:val="none" w:sz="0" w:space="0" w:color="auto"/>
        <w:left w:val="none" w:sz="0" w:space="0" w:color="auto"/>
        <w:bottom w:val="none" w:sz="0" w:space="0" w:color="auto"/>
        <w:right w:val="none" w:sz="0" w:space="0" w:color="auto"/>
      </w:divBdr>
    </w:div>
    <w:div w:id="433868831">
      <w:bodyDiv w:val="1"/>
      <w:marLeft w:val="0"/>
      <w:marRight w:val="0"/>
      <w:marTop w:val="0"/>
      <w:marBottom w:val="0"/>
      <w:divBdr>
        <w:top w:val="none" w:sz="0" w:space="0" w:color="auto"/>
        <w:left w:val="none" w:sz="0" w:space="0" w:color="auto"/>
        <w:bottom w:val="none" w:sz="0" w:space="0" w:color="auto"/>
        <w:right w:val="none" w:sz="0" w:space="0" w:color="auto"/>
      </w:divBdr>
    </w:div>
    <w:div w:id="438763804">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6167125">
      <w:bodyDiv w:val="1"/>
      <w:marLeft w:val="0"/>
      <w:marRight w:val="0"/>
      <w:marTop w:val="0"/>
      <w:marBottom w:val="0"/>
      <w:divBdr>
        <w:top w:val="none" w:sz="0" w:space="0" w:color="auto"/>
        <w:left w:val="none" w:sz="0" w:space="0" w:color="auto"/>
        <w:bottom w:val="none" w:sz="0" w:space="0" w:color="auto"/>
        <w:right w:val="none" w:sz="0" w:space="0" w:color="auto"/>
      </w:divBdr>
    </w:div>
    <w:div w:id="491142596">
      <w:bodyDiv w:val="1"/>
      <w:marLeft w:val="0"/>
      <w:marRight w:val="0"/>
      <w:marTop w:val="0"/>
      <w:marBottom w:val="0"/>
      <w:divBdr>
        <w:top w:val="none" w:sz="0" w:space="0" w:color="auto"/>
        <w:left w:val="none" w:sz="0" w:space="0" w:color="auto"/>
        <w:bottom w:val="none" w:sz="0" w:space="0" w:color="auto"/>
        <w:right w:val="none" w:sz="0" w:space="0" w:color="auto"/>
      </w:divBdr>
    </w:div>
    <w:div w:id="494997114">
      <w:bodyDiv w:val="1"/>
      <w:marLeft w:val="0"/>
      <w:marRight w:val="0"/>
      <w:marTop w:val="0"/>
      <w:marBottom w:val="0"/>
      <w:divBdr>
        <w:top w:val="none" w:sz="0" w:space="0" w:color="auto"/>
        <w:left w:val="none" w:sz="0" w:space="0" w:color="auto"/>
        <w:bottom w:val="none" w:sz="0" w:space="0" w:color="auto"/>
        <w:right w:val="none" w:sz="0" w:space="0" w:color="auto"/>
      </w:divBdr>
    </w:div>
    <w:div w:id="496924533">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6091600">
      <w:bodyDiv w:val="1"/>
      <w:marLeft w:val="0"/>
      <w:marRight w:val="0"/>
      <w:marTop w:val="0"/>
      <w:marBottom w:val="0"/>
      <w:divBdr>
        <w:top w:val="none" w:sz="0" w:space="0" w:color="auto"/>
        <w:left w:val="none" w:sz="0" w:space="0" w:color="auto"/>
        <w:bottom w:val="none" w:sz="0" w:space="0" w:color="auto"/>
        <w:right w:val="none" w:sz="0" w:space="0" w:color="auto"/>
      </w:divBdr>
    </w:div>
    <w:div w:id="565384752">
      <w:bodyDiv w:val="1"/>
      <w:marLeft w:val="0"/>
      <w:marRight w:val="0"/>
      <w:marTop w:val="0"/>
      <w:marBottom w:val="0"/>
      <w:divBdr>
        <w:top w:val="none" w:sz="0" w:space="0" w:color="auto"/>
        <w:left w:val="none" w:sz="0" w:space="0" w:color="auto"/>
        <w:bottom w:val="none" w:sz="0" w:space="0" w:color="auto"/>
        <w:right w:val="none" w:sz="0" w:space="0" w:color="auto"/>
      </w:divBdr>
    </w:div>
    <w:div w:id="573201171">
      <w:bodyDiv w:val="1"/>
      <w:marLeft w:val="0"/>
      <w:marRight w:val="0"/>
      <w:marTop w:val="0"/>
      <w:marBottom w:val="0"/>
      <w:divBdr>
        <w:top w:val="none" w:sz="0" w:space="0" w:color="auto"/>
        <w:left w:val="none" w:sz="0" w:space="0" w:color="auto"/>
        <w:bottom w:val="none" w:sz="0" w:space="0" w:color="auto"/>
        <w:right w:val="none" w:sz="0" w:space="0" w:color="auto"/>
      </w:divBdr>
    </w:div>
    <w:div w:id="578906070">
      <w:bodyDiv w:val="1"/>
      <w:marLeft w:val="0"/>
      <w:marRight w:val="0"/>
      <w:marTop w:val="0"/>
      <w:marBottom w:val="0"/>
      <w:divBdr>
        <w:top w:val="none" w:sz="0" w:space="0" w:color="auto"/>
        <w:left w:val="none" w:sz="0" w:space="0" w:color="auto"/>
        <w:bottom w:val="none" w:sz="0" w:space="0" w:color="auto"/>
        <w:right w:val="none" w:sz="0" w:space="0" w:color="auto"/>
      </w:divBdr>
    </w:div>
    <w:div w:id="579293651">
      <w:bodyDiv w:val="1"/>
      <w:marLeft w:val="0"/>
      <w:marRight w:val="0"/>
      <w:marTop w:val="0"/>
      <w:marBottom w:val="0"/>
      <w:divBdr>
        <w:top w:val="none" w:sz="0" w:space="0" w:color="auto"/>
        <w:left w:val="none" w:sz="0" w:space="0" w:color="auto"/>
        <w:bottom w:val="none" w:sz="0" w:space="0" w:color="auto"/>
        <w:right w:val="none" w:sz="0" w:space="0" w:color="auto"/>
      </w:divBdr>
    </w:div>
    <w:div w:id="635796866">
      <w:bodyDiv w:val="1"/>
      <w:marLeft w:val="0"/>
      <w:marRight w:val="0"/>
      <w:marTop w:val="0"/>
      <w:marBottom w:val="0"/>
      <w:divBdr>
        <w:top w:val="none" w:sz="0" w:space="0" w:color="auto"/>
        <w:left w:val="none" w:sz="0" w:space="0" w:color="auto"/>
        <w:bottom w:val="none" w:sz="0" w:space="0" w:color="auto"/>
        <w:right w:val="none" w:sz="0" w:space="0" w:color="auto"/>
      </w:divBdr>
    </w:div>
    <w:div w:id="637347526">
      <w:bodyDiv w:val="1"/>
      <w:marLeft w:val="0"/>
      <w:marRight w:val="0"/>
      <w:marTop w:val="0"/>
      <w:marBottom w:val="0"/>
      <w:divBdr>
        <w:top w:val="none" w:sz="0" w:space="0" w:color="auto"/>
        <w:left w:val="none" w:sz="0" w:space="0" w:color="auto"/>
        <w:bottom w:val="none" w:sz="0" w:space="0" w:color="auto"/>
        <w:right w:val="none" w:sz="0" w:space="0" w:color="auto"/>
      </w:divBdr>
    </w:div>
    <w:div w:id="644744073">
      <w:bodyDiv w:val="1"/>
      <w:marLeft w:val="0"/>
      <w:marRight w:val="0"/>
      <w:marTop w:val="0"/>
      <w:marBottom w:val="0"/>
      <w:divBdr>
        <w:top w:val="none" w:sz="0" w:space="0" w:color="auto"/>
        <w:left w:val="none" w:sz="0" w:space="0" w:color="auto"/>
        <w:bottom w:val="none" w:sz="0" w:space="0" w:color="auto"/>
        <w:right w:val="none" w:sz="0" w:space="0" w:color="auto"/>
      </w:divBdr>
    </w:div>
    <w:div w:id="647981057">
      <w:bodyDiv w:val="1"/>
      <w:marLeft w:val="0"/>
      <w:marRight w:val="0"/>
      <w:marTop w:val="0"/>
      <w:marBottom w:val="0"/>
      <w:divBdr>
        <w:top w:val="none" w:sz="0" w:space="0" w:color="auto"/>
        <w:left w:val="none" w:sz="0" w:space="0" w:color="auto"/>
        <w:bottom w:val="none" w:sz="0" w:space="0" w:color="auto"/>
        <w:right w:val="none" w:sz="0" w:space="0" w:color="auto"/>
      </w:divBdr>
    </w:div>
    <w:div w:id="669214480">
      <w:bodyDiv w:val="1"/>
      <w:marLeft w:val="0"/>
      <w:marRight w:val="0"/>
      <w:marTop w:val="0"/>
      <w:marBottom w:val="0"/>
      <w:divBdr>
        <w:top w:val="none" w:sz="0" w:space="0" w:color="auto"/>
        <w:left w:val="none" w:sz="0" w:space="0" w:color="auto"/>
        <w:bottom w:val="none" w:sz="0" w:space="0" w:color="auto"/>
        <w:right w:val="none" w:sz="0" w:space="0" w:color="auto"/>
      </w:divBdr>
    </w:div>
    <w:div w:id="691883348">
      <w:bodyDiv w:val="1"/>
      <w:marLeft w:val="0"/>
      <w:marRight w:val="0"/>
      <w:marTop w:val="0"/>
      <w:marBottom w:val="0"/>
      <w:divBdr>
        <w:top w:val="none" w:sz="0" w:space="0" w:color="auto"/>
        <w:left w:val="none" w:sz="0" w:space="0" w:color="auto"/>
        <w:bottom w:val="none" w:sz="0" w:space="0" w:color="auto"/>
        <w:right w:val="none" w:sz="0" w:space="0" w:color="auto"/>
      </w:divBdr>
    </w:div>
    <w:div w:id="702025640">
      <w:bodyDiv w:val="1"/>
      <w:marLeft w:val="0"/>
      <w:marRight w:val="0"/>
      <w:marTop w:val="0"/>
      <w:marBottom w:val="0"/>
      <w:divBdr>
        <w:top w:val="none" w:sz="0" w:space="0" w:color="auto"/>
        <w:left w:val="none" w:sz="0" w:space="0" w:color="auto"/>
        <w:bottom w:val="none" w:sz="0" w:space="0" w:color="auto"/>
        <w:right w:val="none" w:sz="0" w:space="0" w:color="auto"/>
      </w:divBdr>
    </w:div>
    <w:div w:id="703023718">
      <w:bodyDiv w:val="1"/>
      <w:marLeft w:val="0"/>
      <w:marRight w:val="0"/>
      <w:marTop w:val="0"/>
      <w:marBottom w:val="0"/>
      <w:divBdr>
        <w:top w:val="none" w:sz="0" w:space="0" w:color="auto"/>
        <w:left w:val="none" w:sz="0" w:space="0" w:color="auto"/>
        <w:bottom w:val="none" w:sz="0" w:space="0" w:color="auto"/>
        <w:right w:val="none" w:sz="0" w:space="0" w:color="auto"/>
      </w:divBdr>
    </w:div>
    <w:div w:id="705447193">
      <w:bodyDiv w:val="1"/>
      <w:marLeft w:val="0"/>
      <w:marRight w:val="0"/>
      <w:marTop w:val="0"/>
      <w:marBottom w:val="0"/>
      <w:divBdr>
        <w:top w:val="none" w:sz="0" w:space="0" w:color="auto"/>
        <w:left w:val="none" w:sz="0" w:space="0" w:color="auto"/>
        <w:bottom w:val="none" w:sz="0" w:space="0" w:color="auto"/>
        <w:right w:val="none" w:sz="0" w:space="0" w:color="auto"/>
      </w:divBdr>
    </w:div>
    <w:div w:id="711003752">
      <w:bodyDiv w:val="1"/>
      <w:marLeft w:val="0"/>
      <w:marRight w:val="0"/>
      <w:marTop w:val="0"/>
      <w:marBottom w:val="0"/>
      <w:divBdr>
        <w:top w:val="none" w:sz="0" w:space="0" w:color="auto"/>
        <w:left w:val="none" w:sz="0" w:space="0" w:color="auto"/>
        <w:bottom w:val="none" w:sz="0" w:space="0" w:color="auto"/>
        <w:right w:val="none" w:sz="0" w:space="0" w:color="auto"/>
      </w:divBdr>
    </w:div>
    <w:div w:id="716583297">
      <w:bodyDiv w:val="1"/>
      <w:marLeft w:val="0"/>
      <w:marRight w:val="0"/>
      <w:marTop w:val="0"/>
      <w:marBottom w:val="0"/>
      <w:divBdr>
        <w:top w:val="none" w:sz="0" w:space="0" w:color="auto"/>
        <w:left w:val="none" w:sz="0" w:space="0" w:color="auto"/>
        <w:bottom w:val="none" w:sz="0" w:space="0" w:color="auto"/>
        <w:right w:val="none" w:sz="0" w:space="0" w:color="auto"/>
      </w:divBdr>
    </w:div>
    <w:div w:id="719400946">
      <w:bodyDiv w:val="1"/>
      <w:marLeft w:val="0"/>
      <w:marRight w:val="0"/>
      <w:marTop w:val="0"/>
      <w:marBottom w:val="0"/>
      <w:divBdr>
        <w:top w:val="none" w:sz="0" w:space="0" w:color="auto"/>
        <w:left w:val="none" w:sz="0" w:space="0" w:color="auto"/>
        <w:bottom w:val="none" w:sz="0" w:space="0" w:color="auto"/>
        <w:right w:val="none" w:sz="0" w:space="0" w:color="auto"/>
      </w:divBdr>
    </w:div>
    <w:div w:id="730422506">
      <w:bodyDiv w:val="1"/>
      <w:marLeft w:val="0"/>
      <w:marRight w:val="0"/>
      <w:marTop w:val="0"/>
      <w:marBottom w:val="0"/>
      <w:divBdr>
        <w:top w:val="none" w:sz="0" w:space="0" w:color="auto"/>
        <w:left w:val="none" w:sz="0" w:space="0" w:color="auto"/>
        <w:bottom w:val="none" w:sz="0" w:space="0" w:color="auto"/>
        <w:right w:val="none" w:sz="0" w:space="0" w:color="auto"/>
      </w:divBdr>
    </w:div>
    <w:div w:id="739795006">
      <w:bodyDiv w:val="1"/>
      <w:marLeft w:val="0"/>
      <w:marRight w:val="0"/>
      <w:marTop w:val="0"/>
      <w:marBottom w:val="0"/>
      <w:divBdr>
        <w:top w:val="none" w:sz="0" w:space="0" w:color="auto"/>
        <w:left w:val="none" w:sz="0" w:space="0" w:color="auto"/>
        <w:bottom w:val="none" w:sz="0" w:space="0" w:color="auto"/>
        <w:right w:val="none" w:sz="0" w:space="0" w:color="auto"/>
      </w:divBdr>
    </w:div>
    <w:div w:id="748579798">
      <w:bodyDiv w:val="1"/>
      <w:marLeft w:val="0"/>
      <w:marRight w:val="0"/>
      <w:marTop w:val="0"/>
      <w:marBottom w:val="0"/>
      <w:divBdr>
        <w:top w:val="none" w:sz="0" w:space="0" w:color="auto"/>
        <w:left w:val="none" w:sz="0" w:space="0" w:color="auto"/>
        <w:bottom w:val="none" w:sz="0" w:space="0" w:color="auto"/>
        <w:right w:val="none" w:sz="0" w:space="0" w:color="auto"/>
      </w:divBdr>
    </w:div>
    <w:div w:id="773018635">
      <w:bodyDiv w:val="1"/>
      <w:marLeft w:val="0"/>
      <w:marRight w:val="0"/>
      <w:marTop w:val="0"/>
      <w:marBottom w:val="0"/>
      <w:divBdr>
        <w:top w:val="none" w:sz="0" w:space="0" w:color="auto"/>
        <w:left w:val="none" w:sz="0" w:space="0" w:color="auto"/>
        <w:bottom w:val="none" w:sz="0" w:space="0" w:color="auto"/>
        <w:right w:val="none" w:sz="0" w:space="0" w:color="auto"/>
      </w:divBdr>
    </w:div>
    <w:div w:id="790710998">
      <w:bodyDiv w:val="1"/>
      <w:marLeft w:val="0"/>
      <w:marRight w:val="0"/>
      <w:marTop w:val="0"/>
      <w:marBottom w:val="0"/>
      <w:divBdr>
        <w:top w:val="none" w:sz="0" w:space="0" w:color="auto"/>
        <w:left w:val="none" w:sz="0" w:space="0" w:color="auto"/>
        <w:bottom w:val="none" w:sz="0" w:space="0" w:color="auto"/>
        <w:right w:val="none" w:sz="0" w:space="0" w:color="auto"/>
      </w:divBdr>
    </w:div>
    <w:div w:id="815531459">
      <w:bodyDiv w:val="1"/>
      <w:marLeft w:val="0"/>
      <w:marRight w:val="0"/>
      <w:marTop w:val="0"/>
      <w:marBottom w:val="0"/>
      <w:divBdr>
        <w:top w:val="none" w:sz="0" w:space="0" w:color="auto"/>
        <w:left w:val="none" w:sz="0" w:space="0" w:color="auto"/>
        <w:bottom w:val="none" w:sz="0" w:space="0" w:color="auto"/>
        <w:right w:val="none" w:sz="0" w:space="0" w:color="auto"/>
      </w:divBdr>
    </w:div>
    <w:div w:id="819343813">
      <w:bodyDiv w:val="1"/>
      <w:marLeft w:val="0"/>
      <w:marRight w:val="0"/>
      <w:marTop w:val="0"/>
      <w:marBottom w:val="0"/>
      <w:divBdr>
        <w:top w:val="none" w:sz="0" w:space="0" w:color="auto"/>
        <w:left w:val="none" w:sz="0" w:space="0" w:color="auto"/>
        <w:bottom w:val="none" w:sz="0" w:space="0" w:color="auto"/>
        <w:right w:val="none" w:sz="0" w:space="0" w:color="auto"/>
      </w:divBdr>
    </w:div>
    <w:div w:id="830828307">
      <w:bodyDiv w:val="1"/>
      <w:marLeft w:val="0"/>
      <w:marRight w:val="0"/>
      <w:marTop w:val="0"/>
      <w:marBottom w:val="0"/>
      <w:divBdr>
        <w:top w:val="none" w:sz="0" w:space="0" w:color="auto"/>
        <w:left w:val="none" w:sz="0" w:space="0" w:color="auto"/>
        <w:bottom w:val="none" w:sz="0" w:space="0" w:color="auto"/>
        <w:right w:val="none" w:sz="0" w:space="0" w:color="auto"/>
      </w:divBdr>
    </w:div>
    <w:div w:id="837305578">
      <w:bodyDiv w:val="1"/>
      <w:marLeft w:val="0"/>
      <w:marRight w:val="0"/>
      <w:marTop w:val="0"/>
      <w:marBottom w:val="0"/>
      <w:divBdr>
        <w:top w:val="none" w:sz="0" w:space="0" w:color="auto"/>
        <w:left w:val="none" w:sz="0" w:space="0" w:color="auto"/>
        <w:bottom w:val="none" w:sz="0" w:space="0" w:color="auto"/>
        <w:right w:val="none" w:sz="0" w:space="0" w:color="auto"/>
      </w:divBdr>
    </w:div>
    <w:div w:id="853685928">
      <w:bodyDiv w:val="1"/>
      <w:marLeft w:val="0"/>
      <w:marRight w:val="0"/>
      <w:marTop w:val="0"/>
      <w:marBottom w:val="0"/>
      <w:divBdr>
        <w:top w:val="none" w:sz="0" w:space="0" w:color="auto"/>
        <w:left w:val="none" w:sz="0" w:space="0" w:color="auto"/>
        <w:bottom w:val="none" w:sz="0" w:space="0" w:color="auto"/>
        <w:right w:val="none" w:sz="0" w:space="0" w:color="auto"/>
      </w:divBdr>
    </w:div>
    <w:div w:id="856775740">
      <w:bodyDiv w:val="1"/>
      <w:marLeft w:val="0"/>
      <w:marRight w:val="0"/>
      <w:marTop w:val="0"/>
      <w:marBottom w:val="0"/>
      <w:divBdr>
        <w:top w:val="none" w:sz="0" w:space="0" w:color="auto"/>
        <w:left w:val="none" w:sz="0" w:space="0" w:color="auto"/>
        <w:bottom w:val="none" w:sz="0" w:space="0" w:color="auto"/>
        <w:right w:val="none" w:sz="0" w:space="0" w:color="auto"/>
      </w:divBdr>
    </w:div>
    <w:div w:id="858202122">
      <w:bodyDiv w:val="1"/>
      <w:marLeft w:val="0"/>
      <w:marRight w:val="0"/>
      <w:marTop w:val="0"/>
      <w:marBottom w:val="0"/>
      <w:divBdr>
        <w:top w:val="none" w:sz="0" w:space="0" w:color="auto"/>
        <w:left w:val="none" w:sz="0" w:space="0" w:color="auto"/>
        <w:bottom w:val="none" w:sz="0" w:space="0" w:color="auto"/>
        <w:right w:val="none" w:sz="0" w:space="0" w:color="auto"/>
      </w:divBdr>
    </w:div>
    <w:div w:id="888416693">
      <w:bodyDiv w:val="1"/>
      <w:marLeft w:val="0"/>
      <w:marRight w:val="0"/>
      <w:marTop w:val="0"/>
      <w:marBottom w:val="0"/>
      <w:divBdr>
        <w:top w:val="none" w:sz="0" w:space="0" w:color="auto"/>
        <w:left w:val="none" w:sz="0" w:space="0" w:color="auto"/>
        <w:bottom w:val="none" w:sz="0" w:space="0" w:color="auto"/>
        <w:right w:val="none" w:sz="0" w:space="0" w:color="auto"/>
      </w:divBdr>
    </w:div>
    <w:div w:id="895044839">
      <w:bodyDiv w:val="1"/>
      <w:marLeft w:val="0"/>
      <w:marRight w:val="0"/>
      <w:marTop w:val="0"/>
      <w:marBottom w:val="0"/>
      <w:divBdr>
        <w:top w:val="none" w:sz="0" w:space="0" w:color="auto"/>
        <w:left w:val="none" w:sz="0" w:space="0" w:color="auto"/>
        <w:bottom w:val="none" w:sz="0" w:space="0" w:color="auto"/>
        <w:right w:val="none" w:sz="0" w:space="0" w:color="auto"/>
      </w:divBdr>
    </w:div>
    <w:div w:id="900210358">
      <w:bodyDiv w:val="1"/>
      <w:marLeft w:val="0"/>
      <w:marRight w:val="0"/>
      <w:marTop w:val="0"/>
      <w:marBottom w:val="0"/>
      <w:divBdr>
        <w:top w:val="none" w:sz="0" w:space="0" w:color="auto"/>
        <w:left w:val="none" w:sz="0" w:space="0" w:color="auto"/>
        <w:bottom w:val="none" w:sz="0" w:space="0" w:color="auto"/>
        <w:right w:val="none" w:sz="0" w:space="0" w:color="auto"/>
      </w:divBdr>
    </w:div>
    <w:div w:id="910113985">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1350738">
      <w:bodyDiv w:val="1"/>
      <w:marLeft w:val="0"/>
      <w:marRight w:val="0"/>
      <w:marTop w:val="0"/>
      <w:marBottom w:val="0"/>
      <w:divBdr>
        <w:top w:val="none" w:sz="0" w:space="0" w:color="auto"/>
        <w:left w:val="none" w:sz="0" w:space="0" w:color="auto"/>
        <w:bottom w:val="none" w:sz="0" w:space="0" w:color="auto"/>
        <w:right w:val="none" w:sz="0" w:space="0" w:color="auto"/>
      </w:divBdr>
    </w:div>
    <w:div w:id="991762705">
      <w:bodyDiv w:val="1"/>
      <w:marLeft w:val="0"/>
      <w:marRight w:val="0"/>
      <w:marTop w:val="0"/>
      <w:marBottom w:val="0"/>
      <w:divBdr>
        <w:top w:val="none" w:sz="0" w:space="0" w:color="auto"/>
        <w:left w:val="none" w:sz="0" w:space="0" w:color="auto"/>
        <w:bottom w:val="none" w:sz="0" w:space="0" w:color="auto"/>
        <w:right w:val="none" w:sz="0" w:space="0" w:color="auto"/>
      </w:divBdr>
    </w:div>
    <w:div w:id="1022128628">
      <w:bodyDiv w:val="1"/>
      <w:marLeft w:val="0"/>
      <w:marRight w:val="0"/>
      <w:marTop w:val="0"/>
      <w:marBottom w:val="0"/>
      <w:divBdr>
        <w:top w:val="none" w:sz="0" w:space="0" w:color="auto"/>
        <w:left w:val="none" w:sz="0" w:space="0" w:color="auto"/>
        <w:bottom w:val="none" w:sz="0" w:space="0" w:color="auto"/>
        <w:right w:val="none" w:sz="0" w:space="0" w:color="auto"/>
      </w:divBdr>
    </w:div>
    <w:div w:id="1026178521">
      <w:bodyDiv w:val="1"/>
      <w:marLeft w:val="0"/>
      <w:marRight w:val="0"/>
      <w:marTop w:val="0"/>
      <w:marBottom w:val="0"/>
      <w:divBdr>
        <w:top w:val="none" w:sz="0" w:space="0" w:color="auto"/>
        <w:left w:val="none" w:sz="0" w:space="0" w:color="auto"/>
        <w:bottom w:val="none" w:sz="0" w:space="0" w:color="auto"/>
        <w:right w:val="none" w:sz="0" w:space="0" w:color="auto"/>
      </w:divBdr>
    </w:div>
    <w:div w:id="1063791511">
      <w:bodyDiv w:val="1"/>
      <w:marLeft w:val="0"/>
      <w:marRight w:val="0"/>
      <w:marTop w:val="0"/>
      <w:marBottom w:val="0"/>
      <w:divBdr>
        <w:top w:val="none" w:sz="0" w:space="0" w:color="auto"/>
        <w:left w:val="none" w:sz="0" w:space="0" w:color="auto"/>
        <w:bottom w:val="none" w:sz="0" w:space="0" w:color="auto"/>
        <w:right w:val="none" w:sz="0" w:space="0" w:color="auto"/>
      </w:divBdr>
    </w:div>
    <w:div w:id="1064795057">
      <w:bodyDiv w:val="1"/>
      <w:marLeft w:val="0"/>
      <w:marRight w:val="0"/>
      <w:marTop w:val="0"/>
      <w:marBottom w:val="0"/>
      <w:divBdr>
        <w:top w:val="none" w:sz="0" w:space="0" w:color="auto"/>
        <w:left w:val="none" w:sz="0" w:space="0" w:color="auto"/>
        <w:bottom w:val="none" w:sz="0" w:space="0" w:color="auto"/>
        <w:right w:val="none" w:sz="0" w:space="0" w:color="auto"/>
      </w:divBdr>
    </w:div>
    <w:div w:id="1066222709">
      <w:bodyDiv w:val="1"/>
      <w:marLeft w:val="0"/>
      <w:marRight w:val="0"/>
      <w:marTop w:val="0"/>
      <w:marBottom w:val="0"/>
      <w:divBdr>
        <w:top w:val="none" w:sz="0" w:space="0" w:color="auto"/>
        <w:left w:val="none" w:sz="0" w:space="0" w:color="auto"/>
        <w:bottom w:val="none" w:sz="0" w:space="0" w:color="auto"/>
        <w:right w:val="none" w:sz="0" w:space="0" w:color="auto"/>
      </w:divBdr>
    </w:div>
    <w:div w:id="1070075538">
      <w:bodyDiv w:val="1"/>
      <w:marLeft w:val="0"/>
      <w:marRight w:val="0"/>
      <w:marTop w:val="0"/>
      <w:marBottom w:val="0"/>
      <w:divBdr>
        <w:top w:val="none" w:sz="0" w:space="0" w:color="auto"/>
        <w:left w:val="none" w:sz="0" w:space="0" w:color="auto"/>
        <w:bottom w:val="none" w:sz="0" w:space="0" w:color="auto"/>
        <w:right w:val="none" w:sz="0" w:space="0" w:color="auto"/>
      </w:divBdr>
    </w:div>
    <w:div w:id="1070227758">
      <w:bodyDiv w:val="1"/>
      <w:marLeft w:val="0"/>
      <w:marRight w:val="0"/>
      <w:marTop w:val="0"/>
      <w:marBottom w:val="0"/>
      <w:divBdr>
        <w:top w:val="none" w:sz="0" w:space="0" w:color="auto"/>
        <w:left w:val="none" w:sz="0" w:space="0" w:color="auto"/>
        <w:bottom w:val="none" w:sz="0" w:space="0" w:color="auto"/>
        <w:right w:val="none" w:sz="0" w:space="0" w:color="auto"/>
      </w:divBdr>
    </w:div>
    <w:div w:id="1073501621">
      <w:bodyDiv w:val="1"/>
      <w:marLeft w:val="0"/>
      <w:marRight w:val="0"/>
      <w:marTop w:val="0"/>
      <w:marBottom w:val="0"/>
      <w:divBdr>
        <w:top w:val="none" w:sz="0" w:space="0" w:color="auto"/>
        <w:left w:val="none" w:sz="0" w:space="0" w:color="auto"/>
        <w:bottom w:val="none" w:sz="0" w:space="0" w:color="auto"/>
        <w:right w:val="none" w:sz="0" w:space="0" w:color="auto"/>
      </w:divBdr>
    </w:div>
    <w:div w:id="1076711085">
      <w:bodyDiv w:val="1"/>
      <w:marLeft w:val="0"/>
      <w:marRight w:val="0"/>
      <w:marTop w:val="0"/>
      <w:marBottom w:val="0"/>
      <w:divBdr>
        <w:top w:val="none" w:sz="0" w:space="0" w:color="auto"/>
        <w:left w:val="none" w:sz="0" w:space="0" w:color="auto"/>
        <w:bottom w:val="none" w:sz="0" w:space="0" w:color="auto"/>
        <w:right w:val="none" w:sz="0" w:space="0" w:color="auto"/>
      </w:divBdr>
    </w:div>
    <w:div w:id="1104690467">
      <w:bodyDiv w:val="1"/>
      <w:marLeft w:val="0"/>
      <w:marRight w:val="0"/>
      <w:marTop w:val="0"/>
      <w:marBottom w:val="0"/>
      <w:divBdr>
        <w:top w:val="none" w:sz="0" w:space="0" w:color="auto"/>
        <w:left w:val="none" w:sz="0" w:space="0" w:color="auto"/>
        <w:bottom w:val="none" w:sz="0" w:space="0" w:color="auto"/>
        <w:right w:val="none" w:sz="0" w:space="0" w:color="auto"/>
      </w:divBdr>
    </w:div>
    <w:div w:id="1110710769">
      <w:bodyDiv w:val="1"/>
      <w:marLeft w:val="0"/>
      <w:marRight w:val="0"/>
      <w:marTop w:val="0"/>
      <w:marBottom w:val="0"/>
      <w:divBdr>
        <w:top w:val="none" w:sz="0" w:space="0" w:color="auto"/>
        <w:left w:val="none" w:sz="0" w:space="0" w:color="auto"/>
        <w:bottom w:val="none" w:sz="0" w:space="0" w:color="auto"/>
        <w:right w:val="none" w:sz="0" w:space="0" w:color="auto"/>
      </w:divBdr>
    </w:div>
    <w:div w:id="1111243516">
      <w:bodyDiv w:val="1"/>
      <w:marLeft w:val="0"/>
      <w:marRight w:val="0"/>
      <w:marTop w:val="0"/>
      <w:marBottom w:val="0"/>
      <w:divBdr>
        <w:top w:val="none" w:sz="0" w:space="0" w:color="auto"/>
        <w:left w:val="none" w:sz="0" w:space="0" w:color="auto"/>
        <w:bottom w:val="none" w:sz="0" w:space="0" w:color="auto"/>
        <w:right w:val="none" w:sz="0" w:space="0" w:color="auto"/>
      </w:divBdr>
    </w:div>
    <w:div w:id="1116749264">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8954503">
      <w:bodyDiv w:val="1"/>
      <w:marLeft w:val="0"/>
      <w:marRight w:val="0"/>
      <w:marTop w:val="0"/>
      <w:marBottom w:val="0"/>
      <w:divBdr>
        <w:top w:val="none" w:sz="0" w:space="0" w:color="auto"/>
        <w:left w:val="none" w:sz="0" w:space="0" w:color="auto"/>
        <w:bottom w:val="none" w:sz="0" w:space="0" w:color="auto"/>
        <w:right w:val="none" w:sz="0" w:space="0" w:color="auto"/>
      </w:divBdr>
    </w:div>
    <w:div w:id="1151215677">
      <w:bodyDiv w:val="1"/>
      <w:marLeft w:val="0"/>
      <w:marRight w:val="0"/>
      <w:marTop w:val="0"/>
      <w:marBottom w:val="0"/>
      <w:divBdr>
        <w:top w:val="none" w:sz="0" w:space="0" w:color="auto"/>
        <w:left w:val="none" w:sz="0" w:space="0" w:color="auto"/>
        <w:bottom w:val="none" w:sz="0" w:space="0" w:color="auto"/>
        <w:right w:val="none" w:sz="0" w:space="0" w:color="auto"/>
      </w:divBdr>
    </w:div>
    <w:div w:id="1160732223">
      <w:bodyDiv w:val="1"/>
      <w:marLeft w:val="0"/>
      <w:marRight w:val="0"/>
      <w:marTop w:val="0"/>
      <w:marBottom w:val="0"/>
      <w:divBdr>
        <w:top w:val="none" w:sz="0" w:space="0" w:color="auto"/>
        <w:left w:val="none" w:sz="0" w:space="0" w:color="auto"/>
        <w:bottom w:val="none" w:sz="0" w:space="0" w:color="auto"/>
        <w:right w:val="none" w:sz="0" w:space="0" w:color="auto"/>
      </w:divBdr>
    </w:div>
    <w:div w:id="1160998556">
      <w:bodyDiv w:val="1"/>
      <w:marLeft w:val="0"/>
      <w:marRight w:val="0"/>
      <w:marTop w:val="0"/>
      <w:marBottom w:val="0"/>
      <w:divBdr>
        <w:top w:val="none" w:sz="0" w:space="0" w:color="auto"/>
        <w:left w:val="none" w:sz="0" w:space="0" w:color="auto"/>
        <w:bottom w:val="none" w:sz="0" w:space="0" w:color="auto"/>
        <w:right w:val="none" w:sz="0" w:space="0" w:color="auto"/>
      </w:divBdr>
    </w:div>
    <w:div w:id="1169826645">
      <w:bodyDiv w:val="1"/>
      <w:marLeft w:val="0"/>
      <w:marRight w:val="0"/>
      <w:marTop w:val="0"/>
      <w:marBottom w:val="0"/>
      <w:divBdr>
        <w:top w:val="none" w:sz="0" w:space="0" w:color="auto"/>
        <w:left w:val="none" w:sz="0" w:space="0" w:color="auto"/>
        <w:bottom w:val="none" w:sz="0" w:space="0" w:color="auto"/>
        <w:right w:val="none" w:sz="0" w:space="0" w:color="auto"/>
      </w:divBdr>
    </w:div>
    <w:div w:id="1176579784">
      <w:bodyDiv w:val="1"/>
      <w:marLeft w:val="0"/>
      <w:marRight w:val="0"/>
      <w:marTop w:val="0"/>
      <w:marBottom w:val="0"/>
      <w:divBdr>
        <w:top w:val="none" w:sz="0" w:space="0" w:color="auto"/>
        <w:left w:val="none" w:sz="0" w:space="0" w:color="auto"/>
        <w:bottom w:val="none" w:sz="0" w:space="0" w:color="auto"/>
        <w:right w:val="none" w:sz="0" w:space="0" w:color="auto"/>
      </w:divBdr>
    </w:div>
    <w:div w:id="1176840691">
      <w:bodyDiv w:val="1"/>
      <w:marLeft w:val="0"/>
      <w:marRight w:val="0"/>
      <w:marTop w:val="0"/>
      <w:marBottom w:val="0"/>
      <w:divBdr>
        <w:top w:val="none" w:sz="0" w:space="0" w:color="auto"/>
        <w:left w:val="none" w:sz="0" w:space="0" w:color="auto"/>
        <w:bottom w:val="none" w:sz="0" w:space="0" w:color="auto"/>
        <w:right w:val="none" w:sz="0" w:space="0" w:color="auto"/>
      </w:divBdr>
    </w:div>
    <w:div w:id="1197277372">
      <w:bodyDiv w:val="1"/>
      <w:marLeft w:val="0"/>
      <w:marRight w:val="0"/>
      <w:marTop w:val="0"/>
      <w:marBottom w:val="0"/>
      <w:divBdr>
        <w:top w:val="none" w:sz="0" w:space="0" w:color="auto"/>
        <w:left w:val="none" w:sz="0" w:space="0" w:color="auto"/>
        <w:bottom w:val="none" w:sz="0" w:space="0" w:color="auto"/>
        <w:right w:val="none" w:sz="0" w:space="0" w:color="auto"/>
      </w:divBdr>
    </w:div>
    <w:div w:id="1210150316">
      <w:bodyDiv w:val="1"/>
      <w:marLeft w:val="0"/>
      <w:marRight w:val="0"/>
      <w:marTop w:val="0"/>
      <w:marBottom w:val="0"/>
      <w:divBdr>
        <w:top w:val="none" w:sz="0" w:space="0" w:color="auto"/>
        <w:left w:val="none" w:sz="0" w:space="0" w:color="auto"/>
        <w:bottom w:val="none" w:sz="0" w:space="0" w:color="auto"/>
        <w:right w:val="none" w:sz="0" w:space="0" w:color="auto"/>
      </w:divBdr>
    </w:div>
    <w:div w:id="1238780201">
      <w:bodyDiv w:val="1"/>
      <w:marLeft w:val="0"/>
      <w:marRight w:val="0"/>
      <w:marTop w:val="0"/>
      <w:marBottom w:val="0"/>
      <w:divBdr>
        <w:top w:val="none" w:sz="0" w:space="0" w:color="auto"/>
        <w:left w:val="none" w:sz="0" w:space="0" w:color="auto"/>
        <w:bottom w:val="none" w:sz="0" w:space="0" w:color="auto"/>
        <w:right w:val="none" w:sz="0" w:space="0" w:color="auto"/>
      </w:divBdr>
    </w:div>
    <w:div w:id="1241676601">
      <w:bodyDiv w:val="1"/>
      <w:marLeft w:val="0"/>
      <w:marRight w:val="0"/>
      <w:marTop w:val="0"/>
      <w:marBottom w:val="0"/>
      <w:divBdr>
        <w:top w:val="none" w:sz="0" w:space="0" w:color="auto"/>
        <w:left w:val="none" w:sz="0" w:space="0" w:color="auto"/>
        <w:bottom w:val="none" w:sz="0" w:space="0" w:color="auto"/>
        <w:right w:val="none" w:sz="0" w:space="0" w:color="auto"/>
      </w:divBdr>
    </w:div>
    <w:div w:id="1258369449">
      <w:bodyDiv w:val="1"/>
      <w:marLeft w:val="0"/>
      <w:marRight w:val="0"/>
      <w:marTop w:val="0"/>
      <w:marBottom w:val="0"/>
      <w:divBdr>
        <w:top w:val="none" w:sz="0" w:space="0" w:color="auto"/>
        <w:left w:val="none" w:sz="0" w:space="0" w:color="auto"/>
        <w:bottom w:val="none" w:sz="0" w:space="0" w:color="auto"/>
        <w:right w:val="none" w:sz="0" w:space="0" w:color="auto"/>
      </w:divBdr>
    </w:div>
    <w:div w:id="1271473436">
      <w:bodyDiv w:val="1"/>
      <w:marLeft w:val="0"/>
      <w:marRight w:val="0"/>
      <w:marTop w:val="0"/>
      <w:marBottom w:val="0"/>
      <w:divBdr>
        <w:top w:val="none" w:sz="0" w:space="0" w:color="auto"/>
        <w:left w:val="none" w:sz="0" w:space="0" w:color="auto"/>
        <w:bottom w:val="none" w:sz="0" w:space="0" w:color="auto"/>
        <w:right w:val="none" w:sz="0" w:space="0" w:color="auto"/>
      </w:divBdr>
    </w:div>
    <w:div w:id="1274559689">
      <w:bodyDiv w:val="1"/>
      <w:marLeft w:val="0"/>
      <w:marRight w:val="0"/>
      <w:marTop w:val="0"/>
      <w:marBottom w:val="0"/>
      <w:divBdr>
        <w:top w:val="none" w:sz="0" w:space="0" w:color="auto"/>
        <w:left w:val="none" w:sz="0" w:space="0" w:color="auto"/>
        <w:bottom w:val="none" w:sz="0" w:space="0" w:color="auto"/>
        <w:right w:val="none" w:sz="0" w:space="0" w:color="auto"/>
      </w:divBdr>
    </w:div>
    <w:div w:id="1304580422">
      <w:bodyDiv w:val="1"/>
      <w:marLeft w:val="0"/>
      <w:marRight w:val="0"/>
      <w:marTop w:val="0"/>
      <w:marBottom w:val="0"/>
      <w:divBdr>
        <w:top w:val="none" w:sz="0" w:space="0" w:color="auto"/>
        <w:left w:val="none" w:sz="0" w:space="0" w:color="auto"/>
        <w:bottom w:val="none" w:sz="0" w:space="0" w:color="auto"/>
        <w:right w:val="none" w:sz="0" w:space="0" w:color="auto"/>
      </w:divBdr>
    </w:div>
    <w:div w:id="1314484217">
      <w:bodyDiv w:val="1"/>
      <w:marLeft w:val="0"/>
      <w:marRight w:val="0"/>
      <w:marTop w:val="0"/>
      <w:marBottom w:val="0"/>
      <w:divBdr>
        <w:top w:val="none" w:sz="0" w:space="0" w:color="auto"/>
        <w:left w:val="none" w:sz="0" w:space="0" w:color="auto"/>
        <w:bottom w:val="none" w:sz="0" w:space="0" w:color="auto"/>
        <w:right w:val="none" w:sz="0" w:space="0" w:color="auto"/>
      </w:divBdr>
    </w:div>
    <w:div w:id="1358120097">
      <w:bodyDiv w:val="1"/>
      <w:marLeft w:val="0"/>
      <w:marRight w:val="0"/>
      <w:marTop w:val="0"/>
      <w:marBottom w:val="0"/>
      <w:divBdr>
        <w:top w:val="none" w:sz="0" w:space="0" w:color="auto"/>
        <w:left w:val="none" w:sz="0" w:space="0" w:color="auto"/>
        <w:bottom w:val="none" w:sz="0" w:space="0" w:color="auto"/>
        <w:right w:val="none" w:sz="0" w:space="0" w:color="auto"/>
      </w:divBdr>
    </w:div>
    <w:div w:id="1359161667">
      <w:bodyDiv w:val="1"/>
      <w:marLeft w:val="0"/>
      <w:marRight w:val="0"/>
      <w:marTop w:val="0"/>
      <w:marBottom w:val="0"/>
      <w:divBdr>
        <w:top w:val="none" w:sz="0" w:space="0" w:color="auto"/>
        <w:left w:val="none" w:sz="0" w:space="0" w:color="auto"/>
        <w:bottom w:val="none" w:sz="0" w:space="0" w:color="auto"/>
        <w:right w:val="none" w:sz="0" w:space="0" w:color="auto"/>
      </w:divBdr>
    </w:div>
    <w:div w:id="1360594327">
      <w:bodyDiv w:val="1"/>
      <w:marLeft w:val="0"/>
      <w:marRight w:val="0"/>
      <w:marTop w:val="0"/>
      <w:marBottom w:val="0"/>
      <w:divBdr>
        <w:top w:val="none" w:sz="0" w:space="0" w:color="auto"/>
        <w:left w:val="none" w:sz="0" w:space="0" w:color="auto"/>
        <w:bottom w:val="none" w:sz="0" w:space="0" w:color="auto"/>
        <w:right w:val="none" w:sz="0" w:space="0" w:color="auto"/>
      </w:divBdr>
    </w:div>
    <w:div w:id="1367175160">
      <w:bodyDiv w:val="1"/>
      <w:marLeft w:val="0"/>
      <w:marRight w:val="0"/>
      <w:marTop w:val="0"/>
      <w:marBottom w:val="0"/>
      <w:divBdr>
        <w:top w:val="none" w:sz="0" w:space="0" w:color="auto"/>
        <w:left w:val="none" w:sz="0" w:space="0" w:color="auto"/>
        <w:bottom w:val="none" w:sz="0" w:space="0" w:color="auto"/>
        <w:right w:val="none" w:sz="0" w:space="0" w:color="auto"/>
      </w:divBdr>
    </w:div>
    <w:div w:id="139863002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9869174">
      <w:bodyDiv w:val="1"/>
      <w:marLeft w:val="0"/>
      <w:marRight w:val="0"/>
      <w:marTop w:val="0"/>
      <w:marBottom w:val="0"/>
      <w:divBdr>
        <w:top w:val="none" w:sz="0" w:space="0" w:color="auto"/>
        <w:left w:val="none" w:sz="0" w:space="0" w:color="auto"/>
        <w:bottom w:val="none" w:sz="0" w:space="0" w:color="auto"/>
        <w:right w:val="none" w:sz="0" w:space="0" w:color="auto"/>
      </w:divBdr>
    </w:div>
    <w:div w:id="1420833364">
      <w:bodyDiv w:val="1"/>
      <w:marLeft w:val="0"/>
      <w:marRight w:val="0"/>
      <w:marTop w:val="0"/>
      <w:marBottom w:val="0"/>
      <w:divBdr>
        <w:top w:val="none" w:sz="0" w:space="0" w:color="auto"/>
        <w:left w:val="none" w:sz="0" w:space="0" w:color="auto"/>
        <w:bottom w:val="none" w:sz="0" w:space="0" w:color="auto"/>
        <w:right w:val="none" w:sz="0" w:space="0" w:color="auto"/>
      </w:divBdr>
    </w:div>
    <w:div w:id="1437020113">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3721144">
      <w:bodyDiv w:val="1"/>
      <w:marLeft w:val="0"/>
      <w:marRight w:val="0"/>
      <w:marTop w:val="0"/>
      <w:marBottom w:val="0"/>
      <w:divBdr>
        <w:top w:val="none" w:sz="0" w:space="0" w:color="auto"/>
        <w:left w:val="none" w:sz="0" w:space="0" w:color="auto"/>
        <w:bottom w:val="none" w:sz="0" w:space="0" w:color="auto"/>
        <w:right w:val="none" w:sz="0" w:space="0" w:color="auto"/>
      </w:divBdr>
    </w:div>
    <w:div w:id="1472869367">
      <w:bodyDiv w:val="1"/>
      <w:marLeft w:val="0"/>
      <w:marRight w:val="0"/>
      <w:marTop w:val="0"/>
      <w:marBottom w:val="0"/>
      <w:divBdr>
        <w:top w:val="none" w:sz="0" w:space="0" w:color="auto"/>
        <w:left w:val="none" w:sz="0" w:space="0" w:color="auto"/>
        <w:bottom w:val="none" w:sz="0" w:space="0" w:color="auto"/>
        <w:right w:val="none" w:sz="0" w:space="0" w:color="auto"/>
      </w:divBdr>
    </w:div>
    <w:div w:id="1474326860">
      <w:bodyDiv w:val="1"/>
      <w:marLeft w:val="0"/>
      <w:marRight w:val="0"/>
      <w:marTop w:val="0"/>
      <w:marBottom w:val="0"/>
      <w:divBdr>
        <w:top w:val="none" w:sz="0" w:space="0" w:color="auto"/>
        <w:left w:val="none" w:sz="0" w:space="0" w:color="auto"/>
        <w:bottom w:val="none" w:sz="0" w:space="0" w:color="auto"/>
        <w:right w:val="none" w:sz="0" w:space="0" w:color="auto"/>
      </w:divBdr>
    </w:div>
    <w:div w:id="1500391583">
      <w:bodyDiv w:val="1"/>
      <w:marLeft w:val="0"/>
      <w:marRight w:val="0"/>
      <w:marTop w:val="0"/>
      <w:marBottom w:val="0"/>
      <w:divBdr>
        <w:top w:val="none" w:sz="0" w:space="0" w:color="auto"/>
        <w:left w:val="none" w:sz="0" w:space="0" w:color="auto"/>
        <w:bottom w:val="none" w:sz="0" w:space="0" w:color="auto"/>
        <w:right w:val="none" w:sz="0" w:space="0" w:color="auto"/>
      </w:divBdr>
    </w:div>
    <w:div w:id="1506747901">
      <w:bodyDiv w:val="1"/>
      <w:marLeft w:val="0"/>
      <w:marRight w:val="0"/>
      <w:marTop w:val="0"/>
      <w:marBottom w:val="0"/>
      <w:divBdr>
        <w:top w:val="none" w:sz="0" w:space="0" w:color="auto"/>
        <w:left w:val="none" w:sz="0" w:space="0" w:color="auto"/>
        <w:bottom w:val="none" w:sz="0" w:space="0" w:color="auto"/>
        <w:right w:val="none" w:sz="0" w:space="0" w:color="auto"/>
      </w:divBdr>
    </w:div>
    <w:div w:id="1515806181">
      <w:bodyDiv w:val="1"/>
      <w:marLeft w:val="0"/>
      <w:marRight w:val="0"/>
      <w:marTop w:val="0"/>
      <w:marBottom w:val="0"/>
      <w:divBdr>
        <w:top w:val="none" w:sz="0" w:space="0" w:color="auto"/>
        <w:left w:val="none" w:sz="0" w:space="0" w:color="auto"/>
        <w:bottom w:val="none" w:sz="0" w:space="0" w:color="auto"/>
        <w:right w:val="none" w:sz="0" w:space="0" w:color="auto"/>
      </w:divBdr>
    </w:div>
    <w:div w:id="1535078055">
      <w:bodyDiv w:val="1"/>
      <w:marLeft w:val="0"/>
      <w:marRight w:val="0"/>
      <w:marTop w:val="0"/>
      <w:marBottom w:val="0"/>
      <w:divBdr>
        <w:top w:val="none" w:sz="0" w:space="0" w:color="auto"/>
        <w:left w:val="none" w:sz="0" w:space="0" w:color="auto"/>
        <w:bottom w:val="none" w:sz="0" w:space="0" w:color="auto"/>
        <w:right w:val="none" w:sz="0" w:space="0" w:color="auto"/>
      </w:divBdr>
    </w:div>
    <w:div w:id="1550266055">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7736690">
      <w:bodyDiv w:val="1"/>
      <w:marLeft w:val="0"/>
      <w:marRight w:val="0"/>
      <w:marTop w:val="0"/>
      <w:marBottom w:val="0"/>
      <w:divBdr>
        <w:top w:val="none" w:sz="0" w:space="0" w:color="auto"/>
        <w:left w:val="none" w:sz="0" w:space="0" w:color="auto"/>
        <w:bottom w:val="none" w:sz="0" w:space="0" w:color="auto"/>
        <w:right w:val="none" w:sz="0" w:space="0" w:color="auto"/>
      </w:divBdr>
    </w:div>
    <w:div w:id="1558206538">
      <w:bodyDiv w:val="1"/>
      <w:marLeft w:val="0"/>
      <w:marRight w:val="0"/>
      <w:marTop w:val="0"/>
      <w:marBottom w:val="0"/>
      <w:divBdr>
        <w:top w:val="none" w:sz="0" w:space="0" w:color="auto"/>
        <w:left w:val="none" w:sz="0" w:space="0" w:color="auto"/>
        <w:bottom w:val="none" w:sz="0" w:space="0" w:color="auto"/>
        <w:right w:val="none" w:sz="0" w:space="0" w:color="auto"/>
      </w:divBdr>
    </w:div>
    <w:div w:id="1558664530">
      <w:bodyDiv w:val="1"/>
      <w:marLeft w:val="0"/>
      <w:marRight w:val="0"/>
      <w:marTop w:val="0"/>
      <w:marBottom w:val="0"/>
      <w:divBdr>
        <w:top w:val="none" w:sz="0" w:space="0" w:color="auto"/>
        <w:left w:val="none" w:sz="0" w:space="0" w:color="auto"/>
        <w:bottom w:val="none" w:sz="0" w:space="0" w:color="auto"/>
        <w:right w:val="none" w:sz="0" w:space="0" w:color="auto"/>
      </w:divBdr>
    </w:div>
    <w:div w:id="1565603845">
      <w:bodyDiv w:val="1"/>
      <w:marLeft w:val="0"/>
      <w:marRight w:val="0"/>
      <w:marTop w:val="0"/>
      <w:marBottom w:val="0"/>
      <w:divBdr>
        <w:top w:val="none" w:sz="0" w:space="0" w:color="auto"/>
        <w:left w:val="none" w:sz="0" w:space="0" w:color="auto"/>
        <w:bottom w:val="none" w:sz="0" w:space="0" w:color="auto"/>
        <w:right w:val="none" w:sz="0" w:space="0" w:color="auto"/>
      </w:divBdr>
    </w:div>
    <w:div w:id="1588265141">
      <w:bodyDiv w:val="1"/>
      <w:marLeft w:val="0"/>
      <w:marRight w:val="0"/>
      <w:marTop w:val="0"/>
      <w:marBottom w:val="0"/>
      <w:divBdr>
        <w:top w:val="none" w:sz="0" w:space="0" w:color="auto"/>
        <w:left w:val="none" w:sz="0" w:space="0" w:color="auto"/>
        <w:bottom w:val="none" w:sz="0" w:space="0" w:color="auto"/>
        <w:right w:val="none" w:sz="0" w:space="0" w:color="auto"/>
      </w:divBdr>
    </w:div>
    <w:div w:id="1596018137">
      <w:bodyDiv w:val="1"/>
      <w:marLeft w:val="0"/>
      <w:marRight w:val="0"/>
      <w:marTop w:val="0"/>
      <w:marBottom w:val="0"/>
      <w:divBdr>
        <w:top w:val="none" w:sz="0" w:space="0" w:color="auto"/>
        <w:left w:val="none" w:sz="0" w:space="0" w:color="auto"/>
        <w:bottom w:val="none" w:sz="0" w:space="0" w:color="auto"/>
        <w:right w:val="none" w:sz="0" w:space="0" w:color="auto"/>
      </w:divBdr>
    </w:div>
    <w:div w:id="1604995021">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5597384">
      <w:bodyDiv w:val="1"/>
      <w:marLeft w:val="0"/>
      <w:marRight w:val="0"/>
      <w:marTop w:val="0"/>
      <w:marBottom w:val="0"/>
      <w:divBdr>
        <w:top w:val="none" w:sz="0" w:space="0" w:color="auto"/>
        <w:left w:val="none" w:sz="0" w:space="0" w:color="auto"/>
        <w:bottom w:val="none" w:sz="0" w:space="0" w:color="auto"/>
        <w:right w:val="none" w:sz="0" w:space="0" w:color="auto"/>
      </w:divBdr>
    </w:div>
    <w:div w:id="1636450735">
      <w:bodyDiv w:val="1"/>
      <w:marLeft w:val="0"/>
      <w:marRight w:val="0"/>
      <w:marTop w:val="0"/>
      <w:marBottom w:val="0"/>
      <w:divBdr>
        <w:top w:val="none" w:sz="0" w:space="0" w:color="auto"/>
        <w:left w:val="none" w:sz="0" w:space="0" w:color="auto"/>
        <w:bottom w:val="none" w:sz="0" w:space="0" w:color="auto"/>
        <w:right w:val="none" w:sz="0" w:space="0" w:color="auto"/>
      </w:divBdr>
    </w:div>
    <w:div w:id="1640766554">
      <w:bodyDiv w:val="1"/>
      <w:marLeft w:val="0"/>
      <w:marRight w:val="0"/>
      <w:marTop w:val="0"/>
      <w:marBottom w:val="0"/>
      <w:divBdr>
        <w:top w:val="none" w:sz="0" w:space="0" w:color="auto"/>
        <w:left w:val="none" w:sz="0" w:space="0" w:color="auto"/>
        <w:bottom w:val="none" w:sz="0" w:space="0" w:color="auto"/>
        <w:right w:val="none" w:sz="0" w:space="0" w:color="auto"/>
      </w:divBdr>
    </w:div>
    <w:div w:id="1652295290">
      <w:bodyDiv w:val="1"/>
      <w:marLeft w:val="0"/>
      <w:marRight w:val="0"/>
      <w:marTop w:val="0"/>
      <w:marBottom w:val="0"/>
      <w:divBdr>
        <w:top w:val="none" w:sz="0" w:space="0" w:color="auto"/>
        <w:left w:val="none" w:sz="0" w:space="0" w:color="auto"/>
        <w:bottom w:val="none" w:sz="0" w:space="0" w:color="auto"/>
        <w:right w:val="none" w:sz="0" w:space="0" w:color="auto"/>
      </w:divBdr>
    </w:div>
    <w:div w:id="1659914868">
      <w:bodyDiv w:val="1"/>
      <w:marLeft w:val="0"/>
      <w:marRight w:val="0"/>
      <w:marTop w:val="0"/>
      <w:marBottom w:val="0"/>
      <w:divBdr>
        <w:top w:val="none" w:sz="0" w:space="0" w:color="auto"/>
        <w:left w:val="none" w:sz="0" w:space="0" w:color="auto"/>
        <w:bottom w:val="none" w:sz="0" w:space="0" w:color="auto"/>
        <w:right w:val="none" w:sz="0" w:space="0" w:color="auto"/>
      </w:divBdr>
    </w:div>
    <w:div w:id="1661038184">
      <w:bodyDiv w:val="1"/>
      <w:marLeft w:val="0"/>
      <w:marRight w:val="0"/>
      <w:marTop w:val="0"/>
      <w:marBottom w:val="0"/>
      <w:divBdr>
        <w:top w:val="none" w:sz="0" w:space="0" w:color="auto"/>
        <w:left w:val="none" w:sz="0" w:space="0" w:color="auto"/>
        <w:bottom w:val="none" w:sz="0" w:space="0" w:color="auto"/>
        <w:right w:val="none" w:sz="0" w:space="0" w:color="auto"/>
      </w:divBdr>
    </w:div>
    <w:div w:id="1669360606">
      <w:bodyDiv w:val="1"/>
      <w:marLeft w:val="0"/>
      <w:marRight w:val="0"/>
      <w:marTop w:val="0"/>
      <w:marBottom w:val="0"/>
      <w:divBdr>
        <w:top w:val="none" w:sz="0" w:space="0" w:color="auto"/>
        <w:left w:val="none" w:sz="0" w:space="0" w:color="auto"/>
        <w:bottom w:val="none" w:sz="0" w:space="0" w:color="auto"/>
        <w:right w:val="none" w:sz="0" w:space="0" w:color="auto"/>
      </w:divBdr>
    </w:div>
    <w:div w:id="1673801042">
      <w:bodyDiv w:val="1"/>
      <w:marLeft w:val="0"/>
      <w:marRight w:val="0"/>
      <w:marTop w:val="0"/>
      <w:marBottom w:val="0"/>
      <w:divBdr>
        <w:top w:val="none" w:sz="0" w:space="0" w:color="auto"/>
        <w:left w:val="none" w:sz="0" w:space="0" w:color="auto"/>
        <w:bottom w:val="none" w:sz="0" w:space="0" w:color="auto"/>
        <w:right w:val="none" w:sz="0" w:space="0" w:color="auto"/>
      </w:divBdr>
    </w:div>
    <w:div w:id="1685354329">
      <w:bodyDiv w:val="1"/>
      <w:marLeft w:val="0"/>
      <w:marRight w:val="0"/>
      <w:marTop w:val="0"/>
      <w:marBottom w:val="0"/>
      <w:divBdr>
        <w:top w:val="none" w:sz="0" w:space="0" w:color="auto"/>
        <w:left w:val="none" w:sz="0" w:space="0" w:color="auto"/>
        <w:bottom w:val="none" w:sz="0" w:space="0" w:color="auto"/>
        <w:right w:val="none" w:sz="0" w:space="0" w:color="auto"/>
      </w:divBdr>
    </w:div>
    <w:div w:id="1714309782">
      <w:bodyDiv w:val="1"/>
      <w:marLeft w:val="0"/>
      <w:marRight w:val="0"/>
      <w:marTop w:val="0"/>
      <w:marBottom w:val="0"/>
      <w:divBdr>
        <w:top w:val="none" w:sz="0" w:space="0" w:color="auto"/>
        <w:left w:val="none" w:sz="0" w:space="0" w:color="auto"/>
        <w:bottom w:val="none" w:sz="0" w:space="0" w:color="auto"/>
        <w:right w:val="none" w:sz="0" w:space="0" w:color="auto"/>
      </w:divBdr>
    </w:div>
    <w:div w:id="1724521126">
      <w:bodyDiv w:val="1"/>
      <w:marLeft w:val="0"/>
      <w:marRight w:val="0"/>
      <w:marTop w:val="0"/>
      <w:marBottom w:val="0"/>
      <w:divBdr>
        <w:top w:val="none" w:sz="0" w:space="0" w:color="auto"/>
        <w:left w:val="none" w:sz="0" w:space="0" w:color="auto"/>
        <w:bottom w:val="none" w:sz="0" w:space="0" w:color="auto"/>
        <w:right w:val="none" w:sz="0" w:space="0" w:color="auto"/>
      </w:divBdr>
    </w:div>
    <w:div w:id="1730617202">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54812750">
      <w:bodyDiv w:val="1"/>
      <w:marLeft w:val="0"/>
      <w:marRight w:val="0"/>
      <w:marTop w:val="0"/>
      <w:marBottom w:val="0"/>
      <w:divBdr>
        <w:top w:val="none" w:sz="0" w:space="0" w:color="auto"/>
        <w:left w:val="none" w:sz="0" w:space="0" w:color="auto"/>
        <w:bottom w:val="none" w:sz="0" w:space="0" w:color="auto"/>
        <w:right w:val="none" w:sz="0" w:space="0" w:color="auto"/>
      </w:divBdr>
    </w:div>
    <w:div w:id="1762140703">
      <w:bodyDiv w:val="1"/>
      <w:marLeft w:val="0"/>
      <w:marRight w:val="0"/>
      <w:marTop w:val="0"/>
      <w:marBottom w:val="0"/>
      <w:divBdr>
        <w:top w:val="none" w:sz="0" w:space="0" w:color="auto"/>
        <w:left w:val="none" w:sz="0" w:space="0" w:color="auto"/>
        <w:bottom w:val="none" w:sz="0" w:space="0" w:color="auto"/>
        <w:right w:val="none" w:sz="0" w:space="0" w:color="auto"/>
      </w:divBdr>
    </w:div>
    <w:div w:id="1768963814">
      <w:bodyDiv w:val="1"/>
      <w:marLeft w:val="0"/>
      <w:marRight w:val="0"/>
      <w:marTop w:val="0"/>
      <w:marBottom w:val="0"/>
      <w:divBdr>
        <w:top w:val="none" w:sz="0" w:space="0" w:color="auto"/>
        <w:left w:val="none" w:sz="0" w:space="0" w:color="auto"/>
        <w:bottom w:val="none" w:sz="0" w:space="0" w:color="auto"/>
        <w:right w:val="none" w:sz="0" w:space="0" w:color="auto"/>
      </w:divBdr>
    </w:div>
    <w:div w:id="1771193197">
      <w:bodyDiv w:val="1"/>
      <w:marLeft w:val="0"/>
      <w:marRight w:val="0"/>
      <w:marTop w:val="0"/>
      <w:marBottom w:val="0"/>
      <w:divBdr>
        <w:top w:val="none" w:sz="0" w:space="0" w:color="auto"/>
        <w:left w:val="none" w:sz="0" w:space="0" w:color="auto"/>
        <w:bottom w:val="none" w:sz="0" w:space="0" w:color="auto"/>
        <w:right w:val="none" w:sz="0" w:space="0" w:color="auto"/>
      </w:divBdr>
    </w:div>
    <w:div w:id="179837841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12475506">
      <w:bodyDiv w:val="1"/>
      <w:marLeft w:val="0"/>
      <w:marRight w:val="0"/>
      <w:marTop w:val="0"/>
      <w:marBottom w:val="0"/>
      <w:divBdr>
        <w:top w:val="none" w:sz="0" w:space="0" w:color="auto"/>
        <w:left w:val="none" w:sz="0" w:space="0" w:color="auto"/>
        <w:bottom w:val="none" w:sz="0" w:space="0" w:color="auto"/>
        <w:right w:val="none" w:sz="0" w:space="0" w:color="auto"/>
      </w:divBdr>
    </w:div>
    <w:div w:id="181583537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698620">
      <w:bodyDiv w:val="1"/>
      <w:marLeft w:val="0"/>
      <w:marRight w:val="0"/>
      <w:marTop w:val="0"/>
      <w:marBottom w:val="0"/>
      <w:divBdr>
        <w:top w:val="none" w:sz="0" w:space="0" w:color="auto"/>
        <w:left w:val="none" w:sz="0" w:space="0" w:color="auto"/>
        <w:bottom w:val="none" w:sz="0" w:space="0" w:color="auto"/>
        <w:right w:val="none" w:sz="0" w:space="0" w:color="auto"/>
      </w:divBdr>
    </w:div>
    <w:div w:id="1837450553">
      <w:bodyDiv w:val="1"/>
      <w:marLeft w:val="0"/>
      <w:marRight w:val="0"/>
      <w:marTop w:val="0"/>
      <w:marBottom w:val="0"/>
      <w:divBdr>
        <w:top w:val="none" w:sz="0" w:space="0" w:color="auto"/>
        <w:left w:val="none" w:sz="0" w:space="0" w:color="auto"/>
        <w:bottom w:val="none" w:sz="0" w:space="0" w:color="auto"/>
        <w:right w:val="none" w:sz="0" w:space="0" w:color="auto"/>
      </w:divBdr>
    </w:div>
    <w:div w:id="1853031989">
      <w:bodyDiv w:val="1"/>
      <w:marLeft w:val="0"/>
      <w:marRight w:val="0"/>
      <w:marTop w:val="0"/>
      <w:marBottom w:val="0"/>
      <w:divBdr>
        <w:top w:val="none" w:sz="0" w:space="0" w:color="auto"/>
        <w:left w:val="none" w:sz="0" w:space="0" w:color="auto"/>
        <w:bottom w:val="none" w:sz="0" w:space="0" w:color="auto"/>
        <w:right w:val="none" w:sz="0" w:space="0" w:color="auto"/>
      </w:divBdr>
    </w:div>
    <w:div w:id="1870070280">
      <w:bodyDiv w:val="1"/>
      <w:marLeft w:val="0"/>
      <w:marRight w:val="0"/>
      <w:marTop w:val="0"/>
      <w:marBottom w:val="0"/>
      <w:divBdr>
        <w:top w:val="none" w:sz="0" w:space="0" w:color="auto"/>
        <w:left w:val="none" w:sz="0" w:space="0" w:color="auto"/>
        <w:bottom w:val="none" w:sz="0" w:space="0" w:color="auto"/>
        <w:right w:val="none" w:sz="0" w:space="0" w:color="auto"/>
      </w:divBdr>
    </w:div>
    <w:div w:id="1870679803">
      <w:bodyDiv w:val="1"/>
      <w:marLeft w:val="0"/>
      <w:marRight w:val="0"/>
      <w:marTop w:val="0"/>
      <w:marBottom w:val="0"/>
      <w:divBdr>
        <w:top w:val="none" w:sz="0" w:space="0" w:color="auto"/>
        <w:left w:val="none" w:sz="0" w:space="0" w:color="auto"/>
        <w:bottom w:val="none" w:sz="0" w:space="0" w:color="auto"/>
        <w:right w:val="none" w:sz="0" w:space="0" w:color="auto"/>
      </w:divBdr>
    </w:div>
    <w:div w:id="1874608341">
      <w:bodyDiv w:val="1"/>
      <w:marLeft w:val="0"/>
      <w:marRight w:val="0"/>
      <w:marTop w:val="0"/>
      <w:marBottom w:val="0"/>
      <w:divBdr>
        <w:top w:val="none" w:sz="0" w:space="0" w:color="auto"/>
        <w:left w:val="none" w:sz="0" w:space="0" w:color="auto"/>
        <w:bottom w:val="none" w:sz="0" w:space="0" w:color="auto"/>
        <w:right w:val="none" w:sz="0" w:space="0" w:color="auto"/>
      </w:divBdr>
    </w:div>
    <w:div w:id="1884515997">
      <w:bodyDiv w:val="1"/>
      <w:marLeft w:val="0"/>
      <w:marRight w:val="0"/>
      <w:marTop w:val="0"/>
      <w:marBottom w:val="0"/>
      <w:divBdr>
        <w:top w:val="none" w:sz="0" w:space="0" w:color="auto"/>
        <w:left w:val="none" w:sz="0" w:space="0" w:color="auto"/>
        <w:bottom w:val="none" w:sz="0" w:space="0" w:color="auto"/>
        <w:right w:val="none" w:sz="0" w:space="0" w:color="auto"/>
      </w:divBdr>
    </w:div>
    <w:div w:id="1889105674">
      <w:bodyDiv w:val="1"/>
      <w:marLeft w:val="0"/>
      <w:marRight w:val="0"/>
      <w:marTop w:val="0"/>
      <w:marBottom w:val="0"/>
      <w:divBdr>
        <w:top w:val="none" w:sz="0" w:space="0" w:color="auto"/>
        <w:left w:val="none" w:sz="0" w:space="0" w:color="auto"/>
        <w:bottom w:val="none" w:sz="0" w:space="0" w:color="auto"/>
        <w:right w:val="none" w:sz="0" w:space="0" w:color="auto"/>
      </w:divBdr>
    </w:div>
    <w:div w:id="1903057606">
      <w:bodyDiv w:val="1"/>
      <w:marLeft w:val="0"/>
      <w:marRight w:val="0"/>
      <w:marTop w:val="0"/>
      <w:marBottom w:val="0"/>
      <w:divBdr>
        <w:top w:val="none" w:sz="0" w:space="0" w:color="auto"/>
        <w:left w:val="none" w:sz="0" w:space="0" w:color="auto"/>
        <w:bottom w:val="none" w:sz="0" w:space="0" w:color="auto"/>
        <w:right w:val="none" w:sz="0" w:space="0" w:color="auto"/>
      </w:divBdr>
    </w:div>
    <w:div w:id="1938900007">
      <w:bodyDiv w:val="1"/>
      <w:marLeft w:val="0"/>
      <w:marRight w:val="0"/>
      <w:marTop w:val="0"/>
      <w:marBottom w:val="0"/>
      <w:divBdr>
        <w:top w:val="none" w:sz="0" w:space="0" w:color="auto"/>
        <w:left w:val="none" w:sz="0" w:space="0" w:color="auto"/>
        <w:bottom w:val="none" w:sz="0" w:space="0" w:color="auto"/>
        <w:right w:val="none" w:sz="0" w:space="0" w:color="auto"/>
      </w:divBdr>
    </w:div>
    <w:div w:id="1957710822">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235637">
      <w:bodyDiv w:val="1"/>
      <w:marLeft w:val="0"/>
      <w:marRight w:val="0"/>
      <w:marTop w:val="0"/>
      <w:marBottom w:val="0"/>
      <w:divBdr>
        <w:top w:val="none" w:sz="0" w:space="0" w:color="auto"/>
        <w:left w:val="none" w:sz="0" w:space="0" w:color="auto"/>
        <w:bottom w:val="none" w:sz="0" w:space="0" w:color="auto"/>
        <w:right w:val="none" w:sz="0" w:space="0" w:color="auto"/>
      </w:divBdr>
    </w:div>
    <w:div w:id="1991471480">
      <w:bodyDiv w:val="1"/>
      <w:marLeft w:val="0"/>
      <w:marRight w:val="0"/>
      <w:marTop w:val="0"/>
      <w:marBottom w:val="0"/>
      <w:divBdr>
        <w:top w:val="none" w:sz="0" w:space="0" w:color="auto"/>
        <w:left w:val="none" w:sz="0" w:space="0" w:color="auto"/>
        <w:bottom w:val="none" w:sz="0" w:space="0" w:color="auto"/>
        <w:right w:val="none" w:sz="0" w:space="0" w:color="auto"/>
      </w:divBdr>
    </w:div>
    <w:div w:id="1993363093">
      <w:bodyDiv w:val="1"/>
      <w:marLeft w:val="0"/>
      <w:marRight w:val="0"/>
      <w:marTop w:val="0"/>
      <w:marBottom w:val="0"/>
      <w:divBdr>
        <w:top w:val="none" w:sz="0" w:space="0" w:color="auto"/>
        <w:left w:val="none" w:sz="0" w:space="0" w:color="auto"/>
        <w:bottom w:val="none" w:sz="0" w:space="0" w:color="auto"/>
        <w:right w:val="none" w:sz="0" w:space="0" w:color="auto"/>
      </w:divBdr>
    </w:div>
    <w:div w:id="2002151360">
      <w:bodyDiv w:val="1"/>
      <w:marLeft w:val="0"/>
      <w:marRight w:val="0"/>
      <w:marTop w:val="0"/>
      <w:marBottom w:val="0"/>
      <w:divBdr>
        <w:top w:val="none" w:sz="0" w:space="0" w:color="auto"/>
        <w:left w:val="none" w:sz="0" w:space="0" w:color="auto"/>
        <w:bottom w:val="none" w:sz="0" w:space="0" w:color="auto"/>
        <w:right w:val="none" w:sz="0" w:space="0" w:color="auto"/>
      </w:divBdr>
    </w:div>
    <w:div w:id="2025399215">
      <w:bodyDiv w:val="1"/>
      <w:marLeft w:val="0"/>
      <w:marRight w:val="0"/>
      <w:marTop w:val="0"/>
      <w:marBottom w:val="0"/>
      <w:divBdr>
        <w:top w:val="none" w:sz="0" w:space="0" w:color="auto"/>
        <w:left w:val="none" w:sz="0" w:space="0" w:color="auto"/>
        <w:bottom w:val="none" w:sz="0" w:space="0" w:color="auto"/>
        <w:right w:val="none" w:sz="0" w:space="0" w:color="auto"/>
      </w:divBdr>
    </w:div>
    <w:div w:id="2033845452">
      <w:bodyDiv w:val="1"/>
      <w:marLeft w:val="0"/>
      <w:marRight w:val="0"/>
      <w:marTop w:val="0"/>
      <w:marBottom w:val="0"/>
      <w:divBdr>
        <w:top w:val="none" w:sz="0" w:space="0" w:color="auto"/>
        <w:left w:val="none" w:sz="0" w:space="0" w:color="auto"/>
        <w:bottom w:val="none" w:sz="0" w:space="0" w:color="auto"/>
        <w:right w:val="none" w:sz="0" w:space="0" w:color="auto"/>
      </w:divBdr>
    </w:div>
    <w:div w:id="2038386730">
      <w:bodyDiv w:val="1"/>
      <w:marLeft w:val="0"/>
      <w:marRight w:val="0"/>
      <w:marTop w:val="0"/>
      <w:marBottom w:val="0"/>
      <w:divBdr>
        <w:top w:val="none" w:sz="0" w:space="0" w:color="auto"/>
        <w:left w:val="none" w:sz="0" w:space="0" w:color="auto"/>
        <w:bottom w:val="none" w:sz="0" w:space="0" w:color="auto"/>
        <w:right w:val="none" w:sz="0" w:space="0" w:color="auto"/>
      </w:divBdr>
    </w:div>
    <w:div w:id="2053919510">
      <w:bodyDiv w:val="1"/>
      <w:marLeft w:val="0"/>
      <w:marRight w:val="0"/>
      <w:marTop w:val="0"/>
      <w:marBottom w:val="0"/>
      <w:divBdr>
        <w:top w:val="none" w:sz="0" w:space="0" w:color="auto"/>
        <w:left w:val="none" w:sz="0" w:space="0" w:color="auto"/>
        <w:bottom w:val="none" w:sz="0" w:space="0" w:color="auto"/>
        <w:right w:val="none" w:sz="0" w:space="0" w:color="auto"/>
      </w:divBdr>
    </w:div>
    <w:div w:id="2064866573">
      <w:bodyDiv w:val="1"/>
      <w:marLeft w:val="0"/>
      <w:marRight w:val="0"/>
      <w:marTop w:val="0"/>
      <w:marBottom w:val="0"/>
      <w:divBdr>
        <w:top w:val="none" w:sz="0" w:space="0" w:color="auto"/>
        <w:left w:val="none" w:sz="0" w:space="0" w:color="auto"/>
        <w:bottom w:val="none" w:sz="0" w:space="0" w:color="auto"/>
        <w:right w:val="none" w:sz="0" w:space="0" w:color="auto"/>
      </w:divBdr>
    </w:div>
    <w:div w:id="2066180837">
      <w:bodyDiv w:val="1"/>
      <w:marLeft w:val="0"/>
      <w:marRight w:val="0"/>
      <w:marTop w:val="0"/>
      <w:marBottom w:val="0"/>
      <w:divBdr>
        <w:top w:val="none" w:sz="0" w:space="0" w:color="auto"/>
        <w:left w:val="none" w:sz="0" w:space="0" w:color="auto"/>
        <w:bottom w:val="none" w:sz="0" w:space="0" w:color="auto"/>
        <w:right w:val="none" w:sz="0" w:space="0" w:color="auto"/>
      </w:divBdr>
    </w:div>
    <w:div w:id="2068215303">
      <w:bodyDiv w:val="1"/>
      <w:marLeft w:val="0"/>
      <w:marRight w:val="0"/>
      <w:marTop w:val="0"/>
      <w:marBottom w:val="0"/>
      <w:divBdr>
        <w:top w:val="none" w:sz="0" w:space="0" w:color="auto"/>
        <w:left w:val="none" w:sz="0" w:space="0" w:color="auto"/>
        <w:bottom w:val="none" w:sz="0" w:space="0" w:color="auto"/>
        <w:right w:val="none" w:sz="0" w:space="0" w:color="auto"/>
      </w:divBdr>
    </w:div>
    <w:div w:id="2072187789">
      <w:bodyDiv w:val="1"/>
      <w:marLeft w:val="0"/>
      <w:marRight w:val="0"/>
      <w:marTop w:val="0"/>
      <w:marBottom w:val="0"/>
      <w:divBdr>
        <w:top w:val="none" w:sz="0" w:space="0" w:color="auto"/>
        <w:left w:val="none" w:sz="0" w:space="0" w:color="auto"/>
        <w:bottom w:val="none" w:sz="0" w:space="0" w:color="auto"/>
        <w:right w:val="none" w:sz="0" w:space="0" w:color="auto"/>
      </w:divBdr>
    </w:div>
    <w:div w:id="207723971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1467627">
      <w:bodyDiv w:val="1"/>
      <w:marLeft w:val="0"/>
      <w:marRight w:val="0"/>
      <w:marTop w:val="0"/>
      <w:marBottom w:val="0"/>
      <w:divBdr>
        <w:top w:val="none" w:sz="0" w:space="0" w:color="auto"/>
        <w:left w:val="none" w:sz="0" w:space="0" w:color="auto"/>
        <w:bottom w:val="none" w:sz="0" w:space="0" w:color="auto"/>
        <w:right w:val="none" w:sz="0" w:space="0" w:color="auto"/>
      </w:divBdr>
    </w:div>
    <w:div w:id="2094428447">
      <w:bodyDiv w:val="1"/>
      <w:marLeft w:val="0"/>
      <w:marRight w:val="0"/>
      <w:marTop w:val="0"/>
      <w:marBottom w:val="0"/>
      <w:divBdr>
        <w:top w:val="none" w:sz="0" w:space="0" w:color="auto"/>
        <w:left w:val="none" w:sz="0" w:space="0" w:color="auto"/>
        <w:bottom w:val="none" w:sz="0" w:space="0" w:color="auto"/>
        <w:right w:val="none" w:sz="0" w:space="0" w:color="auto"/>
      </w:divBdr>
    </w:div>
    <w:div w:id="211158453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21684571">
      <w:bodyDiv w:val="1"/>
      <w:marLeft w:val="0"/>
      <w:marRight w:val="0"/>
      <w:marTop w:val="0"/>
      <w:marBottom w:val="0"/>
      <w:divBdr>
        <w:top w:val="none" w:sz="0" w:space="0" w:color="auto"/>
        <w:left w:val="none" w:sz="0" w:space="0" w:color="auto"/>
        <w:bottom w:val="none" w:sz="0" w:space="0" w:color="auto"/>
        <w:right w:val="none" w:sz="0" w:space="0" w:color="auto"/>
      </w:divBdr>
    </w:div>
    <w:div w:id="214180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B6883"/>
    <w:rsid w:val="000D4E11"/>
    <w:rsid w:val="001359A4"/>
    <w:rsid w:val="00144DD0"/>
    <w:rsid w:val="00183F29"/>
    <w:rsid w:val="001935DC"/>
    <w:rsid w:val="001D6C78"/>
    <w:rsid w:val="00236D83"/>
    <w:rsid w:val="002550FD"/>
    <w:rsid w:val="00257F96"/>
    <w:rsid w:val="00271138"/>
    <w:rsid w:val="002A224C"/>
    <w:rsid w:val="00333F8E"/>
    <w:rsid w:val="00350199"/>
    <w:rsid w:val="00397E8F"/>
    <w:rsid w:val="003C31F3"/>
    <w:rsid w:val="00460747"/>
    <w:rsid w:val="00460DCA"/>
    <w:rsid w:val="004953D2"/>
    <w:rsid w:val="004E6034"/>
    <w:rsid w:val="004E72A7"/>
    <w:rsid w:val="005802C8"/>
    <w:rsid w:val="00611F13"/>
    <w:rsid w:val="006368A7"/>
    <w:rsid w:val="00697611"/>
    <w:rsid w:val="006A1F0A"/>
    <w:rsid w:val="006B7F19"/>
    <w:rsid w:val="006E4770"/>
    <w:rsid w:val="007154C5"/>
    <w:rsid w:val="007B2D5C"/>
    <w:rsid w:val="007C6F8F"/>
    <w:rsid w:val="007F4BC8"/>
    <w:rsid w:val="00835E07"/>
    <w:rsid w:val="0084353A"/>
    <w:rsid w:val="0084545A"/>
    <w:rsid w:val="00863744"/>
    <w:rsid w:val="008D6F6F"/>
    <w:rsid w:val="009105FE"/>
    <w:rsid w:val="009240F8"/>
    <w:rsid w:val="00A33308"/>
    <w:rsid w:val="00A46BCE"/>
    <w:rsid w:val="00AD5164"/>
    <w:rsid w:val="00B24590"/>
    <w:rsid w:val="00B96B4C"/>
    <w:rsid w:val="00C41AAF"/>
    <w:rsid w:val="00C41BCC"/>
    <w:rsid w:val="00C55873"/>
    <w:rsid w:val="00CD6F68"/>
    <w:rsid w:val="00D57E7C"/>
    <w:rsid w:val="00DC2398"/>
    <w:rsid w:val="00DD7BA4"/>
    <w:rsid w:val="00E318CE"/>
    <w:rsid w:val="00E646E1"/>
    <w:rsid w:val="00E71045"/>
    <w:rsid w:val="00E813C8"/>
    <w:rsid w:val="00EF3CBC"/>
    <w:rsid w:val="00F23A21"/>
    <w:rsid w:val="00F33154"/>
    <w:rsid w:val="00F5762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4078251754fec51b423c5251a180aacc">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20ffe8555ec6ca8b59e2306e388c8522"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ONRW-2019369590-29261</_dlc_DocId>
    <_dlc_DocIdUrl xmlns="f6cfbbfa-3ea0-4d8e-acde-632e83cd9c55">
      <Url>https://prodonrgov.sharepoint.com/sites/WIReD/_layouts/15/DocIdRedir.aspx?ID=ONRW-2019369590-29261</Url>
      <Description>ONRW-2019369590-29261</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 xsi:nil="true"/>
    <Classification xmlns="2b92fa06-69b2-4527-a0e1-9e8803fc1e53"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Document_x0020_Status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IEEE2006OfficeOnline.xsl" StyleName="IEEE" Version="2006">
  <b:Source>
    <b:Tag>7Li</b:Tag>
    <b:SourceType>ElectronicSource</b:SourceType>
    <b:Guid>{F5264A11-6837-4968-9F68-33AB9B1F437F}</b:Guid>
    <b:Title>Licence Instrument No. 790, Specification issued under LC35(3) of Schedule 2 attached to Nuclear Site Licence No: 31G, Sellafield (Windscale Works and Calder Works), 28 February 2011 (2011/132796)</b:Title>
    <b:Author>
      <b:Author>
        <b:Corporate>Office for Nuclear Regulation</b:Corporate>
      </b:Author>
    </b:Author>
    <b:RefOrder>2</b:RefOrder>
  </b:Source>
  <b:Source>
    <b:Tag>Off</b:Tag>
    <b:SourceType>ElectronicSource</b:SourceType>
    <b:Guid>{0CC2B8A7-9650-40A4-836D-BA158C0797F4}</b:Guid>
    <b:Author>
      <b:Author>
        <b:Corporate>Office for Nuclear Regulation</b:Corporate>
      </b:Author>
    </b:Author>
    <b:Title>Licence Instrument No. 791, Approval granted under LC35(3) of Schedule 2 attached to Nuclear Site Licence No: 31G, Sellafield (Windscale Works and Calder Works), 27 May 2011 (2011/292696)</b:Title>
    <b:RefOrder>3</b:RefOrder>
  </b:Source>
  <b:Source>
    <b:Tag>Joh26</b:Tag>
    <b:SourceType>Report</b:SourceType>
    <b:Guid>{36F8BB45-3EC5-4F13-AE53-ACBF0A9504FC}</b:Guid>
    <b:Title>Email: KDM SLP Licence Instrument</b:Title>
    <b:Year>2026 (ONR reference: ONRW-2019369590-28378)</b:Year>
    <b:Author>
      <b:Author>
        <b:NameList>
          <b:Person>
            <b:Last>Johnston</b:Last>
            <b:First>Wayne</b:First>
          </b:Person>
        </b:NameList>
      </b:Author>
    </b:Author>
    <b:RefOrder>7</b:RefOrder>
  </b:Source>
  <b:Source>
    <b:Tag>Sel261</b:Tag>
    <b:SourceType>Report</b:SourceType>
    <b:Guid>{7A4EA8D5-DB06-4C38-98A4-27486017282C}</b:Guid>
    <b:Author>
      <b:Author>
        <b:Corporate>Sellafield Limited</b:Corporate>
      </b:Author>
    </b:Author>
    <b:Title>Sellafield Ltd Nuclear Safety Committee, Minutes of the 195th meeting held on Wednesday 11th March 2026</b:Title>
    <b:Year>2026 (ONR reference: ONRW-2019369590-28188)</b:Year>
    <b:Publisher>Draft 2</b:Publisher>
    <b:RefOrder>8</b:RefOrder>
  </b:Source>
  <b:Source>
    <b:Tag>Sel241</b:Tag>
    <b:SourceType>Report</b:SourceType>
    <b:Guid>{E7AB7E45-7B09-4242-B92D-E7014DC4EA6B}</b:Guid>
    <b:Author>
      <b:Author>
        <b:Corporate>Sellafield Limited</b:Corporate>
      </b:Author>
    </b:Author>
    <b:Title>How do I produce and maintain Key Decommissioning Milestones?</b:Title>
    <b:Year>2024 (ONR reference: ONRW-2019369590-28319)</b:Year>
    <b:Publisher>SLP 1.07.03, Issue 2</b:Publisher>
    <b:RefOrder>4</b:RefOrder>
  </b:Source>
  <b:Source>
    <b:Tag>Sel26</b:Tag>
    <b:SourceType>Report</b:SourceType>
    <b:Guid>{A19621A0-1984-4F78-AD42-549AA154ED60}</b:Guid>
    <b:Author>
      <b:Author>
        <b:Corporate>Sellafield Limited</b:Corporate>
      </b:Author>
    </b:Author>
    <b:Title>How do I produce and maintain Key Decommissioning Milestones?</b:Title>
    <b:Year>2026 (ONR reference: ONRW-2019369590-28320)</b:Year>
    <b:Publisher>SLP 2.9.1.3_01, Issue 1</b:Publisher>
    <b:RefOrder>5</b:RefOrder>
  </b:Source>
  <b:Source>
    <b:Tag>Atk08</b:Tag>
    <b:SourceType>Report</b:SourceType>
    <b:Guid>{2600847E-2210-4ADA-9B42-58F0021B504D}</b:Guid>
    <b:Author>
      <b:Author>
        <b:NameList>
          <b:Person>
            <b:Last>Atkinson</b:Last>
            <b:First>Terri</b:First>
          </b:Person>
        </b:NameList>
      </b:Author>
    </b:Author>
    <b:Title>Email: Sellafield Limited's KDM arrangements</b:Title>
    <b:Year>2026 (ONR reference: ONRW-2019369590-28608)</b:Year>
    <b:RefOrder>9</b:RefOrder>
  </b:Source>
  <b:Source>
    <b:Tag>OffNR</b:Tag>
    <b:SourceType>Report</b:SourceType>
    <b:Guid>{1517F31E-57E4-4EA9-AF4E-CE6961A9385D}</b:Guid>
    <b:Author>
      <b:Author>
        <b:Corporate>Office for Nuclear Regulation</b:Corporate>
      </b:Author>
    </b:Author>
    <b:Title>Licence Instrument No. 555, Approval granted under LC35(4) of Schedule 2 attached to Nuclear Site Licence No: 103, Sellafield Limited</b:Title>
    <b:Year>2026 (ONR reference: 2019369590-28190)</b:Year>
    <b:RefOrder>10</b:RefOrder>
  </b:Source>
  <b:Source>
    <b:Tag>Off24</b:Tag>
    <b:SourceType>Report</b:SourceType>
    <b:Guid>{6C3DA32A-6BF0-4167-800E-74A944A71E50}</b:Guid>
    <b:Author>
      <b:Author>
        <b:Corporate>Office for Nuclear Regulation</b:Corporate>
      </b:Author>
    </b:Author>
    <b:Title>Licence Instrument No. 549, Approval granted under LC35(4) of Schedule 2 attached to Nuclear Site Licence No: 103, Sellafield Limited</b:Title>
    <b:Year>2024 (ONR reference: 2019369590-13358)</b:Year>
    <b:RefOrder>6</b:RefOrder>
  </b:Source>
  <b:Source>
    <b:Tag>Off2ltr</b:Tag>
    <b:SourceType>Report</b:SourceType>
    <b:Guid>{C7E89DB4-C295-4427-91D8-816D255CA9FE}</b:Guid>
    <b:Author>
      <b:Author>
        <b:Corporate>Office for Nuclear Regulation</b:Corporate>
      </b:Author>
    </b:Author>
    <b:Title>Nuclear Installations Act 1965 (as amended), Sellafield, Licence Instrument: Approval No: 555 granted under Condition 35(4) of Schedule 2 attached to Nuclear Site Licence No: 103, SEL77925R</b:Title>
    <b:Year>2026 (ONR reference: ONRW-2019369590-28191)</b:Year>
    <b:RefOrder>11</b:RefOrder>
  </b:Source>
  <b:Source>
    <b:Tag>Way26</b:Tag>
    <b:SourceType>Report</b:SourceType>
    <b:Guid>{7F03ED75-07CE-410A-A570-37D96878DD23}</b:Guid>
    <b:Author>
      <b:Author>
        <b:NameList>
          <b:Person>
            <b:Last>Johnston</b:Last>
            <b:First>Wayne</b:First>
          </b:Person>
        </b:NameList>
      </b:Author>
    </b:Author>
    <b:Title>Condition 35(4), Schedule 2 of the Nuclear Site Licence Number 103 (Sellafield Site). Application for approval of amendment to the arrangements made by Sellafield Limited under Licence Condition 35(2)</b:Title>
    <b:Year>2026 (ONR reference: ONRW-2019369590-28438)</b:Year>
    <b:Publisher>SL-2028-118</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FCD6E5-95A4-42F3-B32F-C5B92709F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6.xml><?xml version="1.0" encoding="utf-8"?>
<ds:datastoreItem xmlns:ds="http://schemas.openxmlformats.org/officeDocument/2006/customXml" ds:itemID="{F4E77723-6727-47FE-9F59-CE7E04ADF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1808</Words>
  <Characters>10308</Characters>
  <Application>Microsoft Office Word</Application>
  <DocSecurity>0</DocSecurity>
  <Lines>85</Lines>
  <Paragraphs>24</Paragraphs>
  <ScaleCrop>false</ScaleCrop>
  <Manager>Office for Nuclear Regulation</Manager>
  <Company>Office for Nuclear Regulation</Company>
  <LinksUpToDate>false</LinksUpToDate>
  <CharactersWithSpaces>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Approval of Sellafield Ltd’s arrangements for key decommissioning milestones under LC35(4)</dc:title>
  <dc:subject>[Subtitle or description]</dc:subject>
  <cp:keywords>[Key words separated by commas]</cp:keywords>
  <dc:description/>
  <cp:revision>2</cp:revision>
  <cp:lastPrinted>2016-11-28T11:35:00Z</cp:lastPrinted>
  <dcterms:created xsi:type="dcterms:W3CDTF">2026-06-30T10:05:00Z</dcterms:created>
  <dcterms:modified xsi:type="dcterms:W3CDTF">2026-06-30T10:05:00Z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774c8d32-a94c-42d9-956e-2344860538a0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