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70797444">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70797444">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2216B387" w:rsidR="00D0226A" w:rsidRPr="001E03E1" w:rsidRDefault="00000000" w:rsidP="001E03E1">
            <w:pPr>
              <w:pStyle w:val="CoverTitle"/>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6D4BD3">
                      <w:rPr>
                        <w:sz w:val="36"/>
                        <w:szCs w:val="36"/>
                      </w:rPr>
                      <w:t>Hunterston B EIADR Application for Consent Project Assessment Report</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297D790E" w14:textId="2EB7C877" w:rsidR="00004C16" w:rsidRPr="009E4CAF" w:rsidRDefault="008E5D60" w:rsidP="008E5D60">
      <w:pPr>
        <w:rPr>
          <w:sz w:val="18"/>
          <w:szCs w:val="18"/>
        </w:rPr>
      </w:pPr>
      <w:r w:rsidRPr="009E4CAF">
        <w:rPr>
          <w:rStyle w:val="Style2"/>
          <w:b/>
          <w:bCs/>
          <w:sz w:val="36"/>
          <w:szCs w:val="36"/>
        </w:rPr>
        <w:lastRenderedPageBreak/>
        <w:t>Report Title</w:t>
      </w:r>
      <w:r w:rsidRPr="009E4CAF">
        <w:rPr>
          <w:rStyle w:val="Style2"/>
          <w:sz w:val="36"/>
          <w:szCs w:val="3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Cs w:val="36"/>
          </w:rPr>
        </w:sdtEndPr>
        <w:sdtContent>
          <w:r w:rsidR="003F2BFB">
            <w:rPr>
              <w:rStyle w:val="Style2"/>
              <w:sz w:val="36"/>
              <w:szCs w:val="36"/>
            </w:rPr>
            <w:t>Hunterston B EIADR Application for Consent Project Assessment Report</w:t>
          </w:r>
        </w:sdtContent>
      </w:sdt>
    </w:p>
    <w:p w14:paraId="61A25C0F" w14:textId="39EC7DBA" w:rsidR="00004C16" w:rsidRDefault="00004C16" w:rsidP="00004C16">
      <w:pPr>
        <w:rPr>
          <w:sz w:val="28"/>
          <w:szCs w:val="28"/>
        </w:rPr>
      </w:pPr>
    </w:p>
    <w:p w14:paraId="247E3769" w14:textId="4B30260C"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66B37">
            <w:rPr>
              <w:szCs w:val="24"/>
            </w:rPr>
            <w:t>1</w:t>
          </w:r>
        </w:sdtContent>
      </w:sdt>
    </w:p>
    <w:p w14:paraId="39BC0EA4" w14:textId="77777777" w:rsidR="00420A11" w:rsidRDefault="00420A11" w:rsidP="00323E71"/>
    <w:p w14:paraId="5DDBE954" w14:textId="38D58FE7" w:rsidR="004D16D7" w:rsidRDefault="004D16D7" w:rsidP="004D16D7">
      <w:pPr>
        <w:pStyle w:val="Caption"/>
        <w:keepNext/>
      </w:pPr>
    </w:p>
    <w:p w14:paraId="295B4ACF" w14:textId="77777777" w:rsidR="00DB4A58" w:rsidRDefault="00DB4A58" w:rsidP="00DB4A58">
      <w:pPr>
        <w:pStyle w:val="Footer"/>
        <w:jc w:val="left"/>
        <w:rPr>
          <w:color w:val="auto"/>
        </w:rPr>
      </w:pPr>
    </w:p>
    <w:p w14:paraId="78ECD1CE" w14:textId="1DB9AFCA" w:rsidR="00DB4A58" w:rsidRPr="0099220B" w:rsidRDefault="00DB4A58" w:rsidP="00DB4A58">
      <w:pPr>
        <w:pStyle w:val="Footer"/>
        <w:jc w:val="left"/>
        <w:rPr>
          <w:color w:val="auto"/>
        </w:rPr>
      </w:pPr>
      <w:r w:rsidRPr="70797444">
        <w:rPr>
          <w:color w:val="auto"/>
        </w:rPr>
        <w:t xml:space="preserve">© Office for Nuclear Regulation, </w:t>
      </w:r>
      <w:r w:rsidR="238265A4" w:rsidRPr="70797444">
        <w:rPr>
          <w:color w:val="auto"/>
        </w:rPr>
        <w:t>2024</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even" r:id="rId15"/>
          <w:headerReference w:type="default" r:id="rId16"/>
          <w:footerReference w:type="even" r:id="rId17"/>
          <w:footerReference w:type="default" r:id="rId18"/>
          <w:headerReference w:type="first" r:id="rId19"/>
          <w:footerReference w:type="first" r:id="rId20"/>
          <w:pgSz w:w="11906" w:h="16838" w:code="9"/>
          <w:pgMar w:top="1440" w:right="1080" w:bottom="1440" w:left="1080" w:header="397" w:footer="397" w:gutter="0"/>
          <w:cols w:space="312"/>
          <w:titlePg/>
          <w:docGrid w:linePitch="360"/>
        </w:sectPr>
      </w:pPr>
    </w:p>
    <w:p w14:paraId="5877FDD5" w14:textId="67993EEC" w:rsidR="00B53317" w:rsidRDefault="00202152" w:rsidP="00EA6AC3">
      <w:pPr>
        <w:pStyle w:val="Heading1"/>
        <w:numPr>
          <w:ilvl w:val="0"/>
          <w:numId w:val="0"/>
        </w:numPr>
        <w:ind w:left="851" w:hanging="851"/>
      </w:pPr>
      <w:bookmarkStart w:id="1" w:name="_Toc118892109"/>
      <w:bookmarkStart w:id="2" w:name="_Toc174710527"/>
      <w:bookmarkStart w:id="3" w:name="_Toc109727646"/>
      <w:bookmarkEnd w:id="0"/>
      <w:r w:rsidRPr="00410423">
        <w:lastRenderedPageBreak/>
        <w:t xml:space="preserve">Executive </w:t>
      </w:r>
      <w:r w:rsidR="008558D1">
        <w:t>s</w:t>
      </w:r>
      <w:r w:rsidRPr="00410423">
        <w:t>ummary</w:t>
      </w:r>
      <w:bookmarkEnd w:id="1"/>
      <w:bookmarkEnd w:id="2"/>
    </w:p>
    <w:p w14:paraId="0E6D6A1E" w14:textId="17B235D8" w:rsidR="008F1A33" w:rsidRDefault="008F1A33" w:rsidP="00243D6D">
      <w:r>
        <w:t>The intention of</w:t>
      </w:r>
      <w:r w:rsidR="00243D6D">
        <w:t xml:space="preserve"> the Nuclear Reactors (Environmental Impact Assessment for Decommissioning) Regulations, 1999, as amended (EIADR) </w:t>
      </w:r>
      <w:r>
        <w:t>is to involve the public through consultation in considering the potential environmental impacts of a decommissioning project, and to make the decision-making process open and transparent. Since EIADR entered into force in 1999, the decommissioning of nuclear power stations and other nuclear reactors within the scope of EIADR may only proceed with consent from</w:t>
      </w:r>
      <w:r w:rsidR="00760D7B">
        <w:t xml:space="preserve"> the</w:t>
      </w:r>
      <w:r>
        <w:t xml:space="preserve"> O</w:t>
      </w:r>
      <w:r w:rsidR="00760D7B">
        <w:t>ffice for Nuclear Regulation (ONR)</w:t>
      </w:r>
      <w:r>
        <w:t>. To obtain consent, a licensee must submit an environmental statement</w:t>
      </w:r>
      <w:r w:rsidR="00D03A2A">
        <w:t xml:space="preserve"> to us</w:t>
      </w:r>
      <w:r>
        <w:t xml:space="preserve">, which presents a detailed environmental impact assessment for the proposed decommissioning project and the mitigation measures to be used to avoid or minimise any significant adverse impacts on the environment, together with a non-technical summary of this information. This </w:t>
      </w:r>
      <w:r w:rsidR="004C2CAE">
        <w:t>will be</w:t>
      </w:r>
      <w:r>
        <w:t xml:space="preserve"> considered by </w:t>
      </w:r>
      <w:r w:rsidR="004C2CAE">
        <w:t>us</w:t>
      </w:r>
      <w:r>
        <w:t xml:space="preserve"> during an extensive public consultation. If the project is considered acceptable, </w:t>
      </w:r>
      <w:r w:rsidR="005C3CA7">
        <w:t>we</w:t>
      </w:r>
      <w:r>
        <w:t xml:space="preserve"> </w:t>
      </w:r>
      <w:r w:rsidR="001525D6">
        <w:t xml:space="preserve">will </w:t>
      </w:r>
      <w:r>
        <w:t>grant consent for the decommissioning project</w:t>
      </w:r>
      <w:r w:rsidR="00C56923">
        <w:t xml:space="preserve"> to commence</w:t>
      </w:r>
      <w:r>
        <w:t xml:space="preserve">. </w:t>
      </w:r>
    </w:p>
    <w:p w14:paraId="168CBB1F" w14:textId="0526A363" w:rsidR="008F1A33" w:rsidRDefault="008F1A33" w:rsidP="008F1A33">
      <w:r w:rsidRPr="004421AB">
        <w:t xml:space="preserve">This report presents the </w:t>
      </w:r>
      <w:r>
        <w:t xml:space="preserve">findings of the </w:t>
      </w:r>
      <w:r w:rsidRPr="004421AB">
        <w:t>assessment</w:t>
      </w:r>
      <w:r>
        <w:t xml:space="preserve"> of</w:t>
      </w:r>
      <w:r w:rsidR="00BD53C2">
        <w:t xml:space="preserve">, and the </w:t>
      </w:r>
      <w:r w:rsidR="0068029E">
        <w:t>resulting decision on,</w:t>
      </w:r>
      <w:r>
        <w:t xml:space="preserve"> the Application for Consent submitted by EDF Energy Nuclear Generation Ltd</w:t>
      </w:r>
      <w:r w:rsidR="004F1CBE">
        <w:t xml:space="preserve"> on 1 December 2023</w:t>
      </w:r>
      <w:r>
        <w:t xml:space="preserve"> to decommission Hunterston B power station. The assessment considered the environmental statement and supporting documents, the responses received during </w:t>
      </w:r>
      <w:r w:rsidR="005C3CA7">
        <w:t>our</w:t>
      </w:r>
      <w:r w:rsidR="004C4472">
        <w:t xml:space="preserve"> </w:t>
      </w:r>
      <w:r w:rsidR="00C60C3C">
        <w:t>three month</w:t>
      </w:r>
      <w:r>
        <w:t xml:space="preserve"> public consultation, and the output of a technical review conducted by </w:t>
      </w:r>
      <w:r w:rsidR="000B36CB">
        <w:t>our</w:t>
      </w:r>
      <w:r>
        <w:t xml:space="preserve"> technical support contractor. </w:t>
      </w:r>
    </w:p>
    <w:p w14:paraId="2FF34CE9" w14:textId="1E51EFA8" w:rsidR="008F1A33" w:rsidRPr="00D03996" w:rsidRDefault="008F1A33" w:rsidP="008F1A33">
      <w:r>
        <w:t xml:space="preserve">The environmental impact assessment concluded that the only significant adverse environmental impacts would be temporary visual </w:t>
      </w:r>
      <w:r w:rsidR="00907B7E">
        <w:t xml:space="preserve">disruptions </w:t>
      </w:r>
      <w:r w:rsidR="00A3748C">
        <w:t xml:space="preserve">to </w:t>
      </w:r>
      <w:r>
        <w:t xml:space="preserve">the views of </w:t>
      </w:r>
      <w:r w:rsidR="00AE12A9">
        <w:t>the power station for people</w:t>
      </w:r>
      <w:r>
        <w:t xml:space="preserve"> in the</w:t>
      </w:r>
      <w:r w:rsidR="003D7D4C">
        <w:t xml:space="preserve"> </w:t>
      </w:r>
      <w:r w:rsidR="00A3748C">
        <w:t>local area</w:t>
      </w:r>
      <w:r>
        <w:t xml:space="preserve"> and socioeconomic impacts on the local employment market and workers at Hunterston B as they are released from their </w:t>
      </w:r>
      <w:r w:rsidR="00635332">
        <w:t>roles</w:t>
      </w:r>
      <w:r>
        <w:t xml:space="preserve"> during certain phases of the decommissioning project. The environmental statement proposes suitable mitigation measures to reduce these impacts as far as is reasonably practicable. </w:t>
      </w:r>
      <w:r w:rsidR="00270406">
        <w:t>O</w:t>
      </w:r>
      <w:r w:rsidR="00507C7F">
        <w:t xml:space="preserve">ur </w:t>
      </w:r>
      <w:r>
        <w:t xml:space="preserve">assessment accepted and agreed with these conclusions and judged the environmental statement to be complete, of an adequate quality, and in line with relevant good practice. </w:t>
      </w:r>
    </w:p>
    <w:p w14:paraId="23DA4669" w14:textId="56F5400D" w:rsidR="008F1A33" w:rsidRPr="00CC2243" w:rsidRDefault="008F1A33" w:rsidP="00A92A4C">
      <w:r w:rsidRPr="00D03996">
        <w:rPr>
          <w:lang w:val="en-US"/>
        </w:rPr>
        <w:t>Th</w:t>
      </w:r>
      <w:r w:rsidR="00FC34E4">
        <w:rPr>
          <w:lang w:val="en-US"/>
        </w:rPr>
        <w:t>is</w:t>
      </w:r>
      <w:r w:rsidRPr="00D03996">
        <w:rPr>
          <w:lang w:val="en-US"/>
        </w:rPr>
        <w:t xml:space="preserve"> </w:t>
      </w:r>
      <w:r>
        <w:rPr>
          <w:lang w:val="en-US"/>
        </w:rPr>
        <w:t>assessment recommends granting consent and attach</w:t>
      </w:r>
      <w:r w:rsidR="00AD3B44">
        <w:rPr>
          <w:lang w:val="en-US"/>
        </w:rPr>
        <w:t>ing</w:t>
      </w:r>
      <w:r>
        <w:rPr>
          <w:lang w:val="en-US"/>
        </w:rPr>
        <w:t xml:space="preserve"> </w:t>
      </w:r>
      <w:r w:rsidR="00044E19">
        <w:rPr>
          <w:lang w:val="en-US"/>
        </w:rPr>
        <w:t>six</w:t>
      </w:r>
      <w:r>
        <w:rPr>
          <w:lang w:val="en-US"/>
        </w:rPr>
        <w:t xml:space="preserve"> </w:t>
      </w:r>
      <w:r w:rsidRPr="00D03996">
        <w:rPr>
          <w:lang w:val="en-US"/>
        </w:rPr>
        <w:t xml:space="preserve">conditions to the </w:t>
      </w:r>
      <w:r>
        <w:rPr>
          <w:lang w:val="en-US"/>
        </w:rPr>
        <w:t>c</w:t>
      </w:r>
      <w:r w:rsidRPr="00D03996">
        <w:rPr>
          <w:lang w:val="en-US"/>
        </w:rPr>
        <w:t>onsent</w:t>
      </w:r>
      <w:r w:rsidR="00FC34E4">
        <w:rPr>
          <w:lang w:val="en-US"/>
        </w:rPr>
        <w:t xml:space="preserve"> decision</w:t>
      </w:r>
      <w:r w:rsidR="00A92A4C">
        <w:rPr>
          <w:lang w:val="en-US"/>
        </w:rPr>
        <w:t xml:space="preserve"> (see </w:t>
      </w:r>
      <w:r w:rsidR="002A575A">
        <w:rPr>
          <w:lang w:val="en-US"/>
        </w:rPr>
        <w:t>A</w:t>
      </w:r>
      <w:r w:rsidR="00A92A4C">
        <w:rPr>
          <w:lang w:val="en-US"/>
        </w:rPr>
        <w:t xml:space="preserve">ppendix 2 for </w:t>
      </w:r>
      <w:r w:rsidR="00C46854">
        <w:rPr>
          <w:lang w:val="en-US"/>
        </w:rPr>
        <w:t xml:space="preserve">the </w:t>
      </w:r>
      <w:r w:rsidR="00A92A4C">
        <w:rPr>
          <w:lang w:val="en-US"/>
        </w:rPr>
        <w:t>full list).</w:t>
      </w:r>
    </w:p>
    <w:p w14:paraId="77B6EC56" w14:textId="77777777" w:rsidR="00EA6AC3" w:rsidRPr="00EA6AC3" w:rsidRDefault="00EA6AC3" w:rsidP="00EA6AC3"/>
    <w:p w14:paraId="3B33BA1F" w14:textId="77777777" w:rsidR="00EA6AC3" w:rsidRDefault="00EA6AC3" w:rsidP="00EA6AC3">
      <w:pPr>
        <w:pStyle w:val="NumList1"/>
        <w:numPr>
          <w:ilvl w:val="0"/>
          <w:numId w:val="0"/>
        </w:numPr>
        <w:ind w:left="851" w:hanging="851"/>
      </w:pPr>
    </w:p>
    <w:p w14:paraId="353113EE" w14:textId="77777777" w:rsidR="00EA6AC3" w:rsidRPr="00EA6AC3" w:rsidRDefault="00EA6AC3" w:rsidP="00EA6AC3">
      <w:pPr>
        <w:pStyle w:val="NumList1"/>
        <w:numPr>
          <w:ilvl w:val="0"/>
          <w:numId w:val="0"/>
        </w:numPr>
        <w:ind w:left="851" w:hanging="851"/>
        <w:sectPr w:rsidR="00EA6AC3" w:rsidRPr="00EA6AC3" w:rsidSect="00B82646">
          <w:headerReference w:type="even" r:id="rId21"/>
          <w:headerReference w:type="default" r:id="rId22"/>
          <w:footerReference w:type="even" r:id="rId23"/>
          <w:footerReference w:type="default" r:id="rId24"/>
          <w:pgSz w:w="11906" w:h="16838" w:code="9"/>
          <w:pgMar w:top="1440" w:right="1080" w:bottom="1440" w:left="1080" w:header="397" w:footer="397" w:gutter="0"/>
          <w:cols w:space="312"/>
          <w:docGrid w:linePitch="360"/>
        </w:sectPr>
      </w:pPr>
    </w:p>
    <w:p w14:paraId="51FC7E88" w14:textId="6FF4E582" w:rsidR="00FB0CE0" w:rsidRDefault="00FB0CE0" w:rsidP="00FB0CE0">
      <w:pPr>
        <w:pStyle w:val="Caption"/>
        <w:keepNext/>
      </w:pPr>
      <w:r>
        <w:lastRenderedPageBreak/>
        <w:t xml:space="preserve">Table </w:t>
      </w:r>
      <w:r>
        <w:fldChar w:fldCharType="begin"/>
      </w:r>
      <w:r>
        <w:instrText>SEQ Table \* ARABIC</w:instrText>
      </w:r>
      <w:r>
        <w:fldChar w:fldCharType="separate"/>
      </w:r>
      <w:r w:rsidR="0059276A">
        <w:rPr>
          <w:noProof/>
        </w:rPr>
        <w:t>2</w:t>
      </w:r>
      <w:r>
        <w:fldChar w:fldCharType="end"/>
      </w:r>
      <w:r>
        <w:t>: List of abbreviations</w:t>
      </w:r>
    </w:p>
    <w:p w14:paraId="3D1104FE" w14:textId="1DEFBB36" w:rsidR="00FB0CE0" w:rsidRPr="00FB0CE0" w:rsidRDefault="00FB0CE0" w:rsidP="00FB0CE0"/>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6A6B92" w14:paraId="744F7167" w14:textId="77777777" w:rsidTr="00FB0CE0">
        <w:tc>
          <w:tcPr>
            <w:tcW w:w="2405" w:type="dxa"/>
          </w:tcPr>
          <w:p w14:paraId="2E84835A" w14:textId="6730F55E" w:rsidR="006A6B92" w:rsidRPr="00603563" w:rsidRDefault="006A6B92" w:rsidP="00FB0CE0">
            <w:pPr>
              <w:spacing w:before="60" w:after="60"/>
            </w:pPr>
            <w:r>
              <w:t>EEA</w:t>
            </w:r>
          </w:p>
        </w:tc>
        <w:tc>
          <w:tcPr>
            <w:tcW w:w="7331" w:type="dxa"/>
          </w:tcPr>
          <w:p w14:paraId="2CAFEE23" w14:textId="426EC4CF" w:rsidR="006A6B92" w:rsidRPr="00603563" w:rsidRDefault="006A6B92" w:rsidP="00FB0CE0">
            <w:pPr>
              <w:spacing w:before="60" w:after="60"/>
            </w:pPr>
            <w:r>
              <w:t xml:space="preserve">European Economic Area </w:t>
            </w:r>
          </w:p>
        </w:tc>
      </w:tr>
      <w:tr w:rsidR="00DC6242" w14:paraId="157061A1" w14:textId="77777777" w:rsidTr="00FB0CE0">
        <w:tc>
          <w:tcPr>
            <w:tcW w:w="2405" w:type="dxa"/>
          </w:tcPr>
          <w:p w14:paraId="4A0BC81F" w14:textId="3D0239C1" w:rsidR="00DC6242" w:rsidRDefault="00DC6242" w:rsidP="00FB0CE0">
            <w:pPr>
              <w:spacing w:before="60" w:after="60"/>
            </w:pPr>
            <w:r>
              <w:t>EIA</w:t>
            </w:r>
          </w:p>
        </w:tc>
        <w:tc>
          <w:tcPr>
            <w:tcW w:w="7331" w:type="dxa"/>
          </w:tcPr>
          <w:p w14:paraId="41091B7D" w14:textId="233A28B7" w:rsidR="00DC6242" w:rsidRPr="00941B11" w:rsidRDefault="00DC6242" w:rsidP="00941B11">
            <w:pPr>
              <w:spacing w:before="60" w:after="60"/>
            </w:pPr>
            <w:r>
              <w:t>Environmental impact assessment</w:t>
            </w:r>
          </w:p>
        </w:tc>
      </w:tr>
      <w:tr w:rsidR="00CD7CDA" w14:paraId="0418CDFC" w14:textId="77777777" w:rsidTr="00FB0CE0">
        <w:tc>
          <w:tcPr>
            <w:tcW w:w="2405" w:type="dxa"/>
          </w:tcPr>
          <w:p w14:paraId="294BF08C" w14:textId="30D98DF6" w:rsidR="00CD7CDA" w:rsidRPr="00603563" w:rsidRDefault="00CD7CDA" w:rsidP="00FB0CE0">
            <w:pPr>
              <w:spacing w:before="60" w:after="60"/>
            </w:pPr>
            <w:r>
              <w:t>EIADR</w:t>
            </w:r>
          </w:p>
        </w:tc>
        <w:tc>
          <w:tcPr>
            <w:tcW w:w="7331" w:type="dxa"/>
          </w:tcPr>
          <w:p w14:paraId="6157E5D4" w14:textId="38C4352F" w:rsidR="00CD7CDA" w:rsidRPr="00603563" w:rsidRDefault="00941B11" w:rsidP="00941B11">
            <w:pPr>
              <w:spacing w:before="60" w:after="60"/>
            </w:pPr>
            <w:r w:rsidRPr="00941B11">
              <w:t>Nuclear Reactors (Environmental Impact Assessment for Decommissioning) Regulations, 1999, as amended</w:t>
            </w:r>
          </w:p>
        </w:tc>
      </w:tr>
      <w:tr w:rsidR="00941B11" w14:paraId="475A3852" w14:textId="77777777" w:rsidTr="00FB0CE0">
        <w:tc>
          <w:tcPr>
            <w:tcW w:w="2405" w:type="dxa"/>
          </w:tcPr>
          <w:p w14:paraId="0EA45D20" w14:textId="61F1413D" w:rsidR="00941B11" w:rsidRDefault="00DC6242" w:rsidP="00FB0CE0">
            <w:pPr>
              <w:spacing w:before="60" w:after="60"/>
            </w:pPr>
            <w:r>
              <w:t>ES</w:t>
            </w:r>
          </w:p>
        </w:tc>
        <w:tc>
          <w:tcPr>
            <w:tcW w:w="7331" w:type="dxa"/>
          </w:tcPr>
          <w:p w14:paraId="52955E94" w14:textId="62A0FD8A" w:rsidR="00941B11" w:rsidRPr="00941B11" w:rsidRDefault="00DC6242" w:rsidP="00941B11">
            <w:pPr>
              <w:spacing w:before="60" w:after="60"/>
            </w:pPr>
            <w:r>
              <w:t>Environmental statement</w:t>
            </w:r>
          </w:p>
        </w:tc>
      </w:tr>
      <w:tr w:rsidR="00A25831" w14:paraId="6D0BA216" w14:textId="77777777" w:rsidTr="00FB0CE0">
        <w:tc>
          <w:tcPr>
            <w:tcW w:w="2405" w:type="dxa"/>
          </w:tcPr>
          <w:p w14:paraId="7711CA7A" w14:textId="314FB1D3" w:rsidR="00A25831" w:rsidRDefault="00A25831" w:rsidP="00FB0CE0">
            <w:pPr>
              <w:spacing w:before="60" w:after="60"/>
            </w:pPr>
            <w:r>
              <w:t>HES</w:t>
            </w:r>
          </w:p>
        </w:tc>
        <w:tc>
          <w:tcPr>
            <w:tcW w:w="7331" w:type="dxa"/>
          </w:tcPr>
          <w:p w14:paraId="00919B9E" w14:textId="00D6749B" w:rsidR="00A25831" w:rsidRDefault="00A25831" w:rsidP="00FB0CE0">
            <w:pPr>
              <w:spacing w:before="60" w:after="60"/>
            </w:pPr>
            <w:r>
              <w:t>Historic Environment Scotland</w:t>
            </w:r>
          </w:p>
        </w:tc>
      </w:tr>
      <w:tr w:rsidR="00757541" w14:paraId="7AA62DDA" w14:textId="77777777" w:rsidTr="00FB0CE0">
        <w:tc>
          <w:tcPr>
            <w:tcW w:w="2405" w:type="dxa"/>
          </w:tcPr>
          <w:p w14:paraId="1DCFDFF0" w14:textId="42556213" w:rsidR="00757541" w:rsidRPr="00603563" w:rsidRDefault="00757541" w:rsidP="00FB0CE0">
            <w:pPr>
              <w:spacing w:before="60" w:after="60"/>
            </w:pPr>
            <w:r>
              <w:t>HNB</w:t>
            </w:r>
          </w:p>
        </w:tc>
        <w:tc>
          <w:tcPr>
            <w:tcW w:w="7331" w:type="dxa"/>
          </w:tcPr>
          <w:p w14:paraId="4ACECD48" w14:textId="00B32F9F" w:rsidR="00757541" w:rsidRPr="00603563" w:rsidRDefault="00757541" w:rsidP="00FB0CE0">
            <w:pPr>
              <w:spacing w:before="60" w:after="60"/>
            </w:pPr>
            <w:r>
              <w:t>Hunterston B</w:t>
            </w:r>
            <w:r w:rsidR="00CD7CDA">
              <w:t xml:space="preserve"> nuclear power station</w:t>
            </w:r>
          </w:p>
        </w:tc>
      </w:tr>
      <w:tr w:rsidR="00A95825" w14:paraId="3835E05E" w14:textId="77777777" w:rsidTr="00FB0CE0">
        <w:tc>
          <w:tcPr>
            <w:tcW w:w="2405" w:type="dxa"/>
          </w:tcPr>
          <w:p w14:paraId="57E08F12" w14:textId="554D2695" w:rsidR="00A95825" w:rsidRPr="00603563" w:rsidRDefault="00A95825" w:rsidP="00FB0CE0">
            <w:pPr>
              <w:spacing w:before="60" w:after="60"/>
            </w:pPr>
            <w:r>
              <w:t>HRA</w:t>
            </w:r>
          </w:p>
        </w:tc>
        <w:tc>
          <w:tcPr>
            <w:tcW w:w="7331" w:type="dxa"/>
          </w:tcPr>
          <w:p w14:paraId="5CDD7DF4" w14:textId="05ED511E" w:rsidR="00A95825" w:rsidRPr="00603563" w:rsidRDefault="00A95825" w:rsidP="00FB0CE0">
            <w:pPr>
              <w:spacing w:before="60" w:after="60"/>
            </w:pPr>
            <w:r w:rsidRPr="00737611">
              <w:rPr>
                <w:lang w:bidi="ar-SA"/>
              </w:rPr>
              <w:t>Habitats Regulations Appraisal</w:t>
            </w:r>
          </w:p>
        </w:tc>
      </w:tr>
      <w:tr w:rsidR="00B53317" w14:paraId="6A43F00C" w14:textId="77777777" w:rsidTr="00FB0CE0">
        <w:tc>
          <w:tcPr>
            <w:tcW w:w="2405" w:type="dxa"/>
          </w:tcPr>
          <w:p w14:paraId="3A42133D" w14:textId="5C89F407" w:rsidR="00B53317" w:rsidRDefault="00B53317" w:rsidP="00FB0CE0">
            <w:pPr>
              <w:spacing w:before="60" w:after="60"/>
            </w:pPr>
            <w:r w:rsidRPr="00603563">
              <w:t>HSE</w:t>
            </w:r>
          </w:p>
        </w:tc>
        <w:tc>
          <w:tcPr>
            <w:tcW w:w="7331" w:type="dxa"/>
          </w:tcPr>
          <w:p w14:paraId="13E8EFCB" w14:textId="33639326" w:rsidR="00B53317" w:rsidRDefault="00B53317" w:rsidP="00FB0CE0">
            <w:pPr>
              <w:spacing w:before="60" w:after="60"/>
            </w:pPr>
            <w:r w:rsidRPr="00603563">
              <w:t>The Health and Safety Executive</w:t>
            </w:r>
          </w:p>
        </w:tc>
      </w:tr>
      <w:tr w:rsidR="007E7235" w14:paraId="2F8C163A" w14:textId="77777777" w:rsidTr="00FB0CE0">
        <w:tc>
          <w:tcPr>
            <w:tcW w:w="2405" w:type="dxa"/>
          </w:tcPr>
          <w:p w14:paraId="5DAE071A" w14:textId="7C8BF799" w:rsidR="007E7235" w:rsidRPr="00603563" w:rsidRDefault="007E7235" w:rsidP="00FB0CE0">
            <w:pPr>
              <w:spacing w:before="60" w:after="60"/>
            </w:pPr>
            <w:r w:rsidRPr="00FA074B">
              <w:t>ONR</w:t>
            </w:r>
          </w:p>
        </w:tc>
        <w:tc>
          <w:tcPr>
            <w:tcW w:w="7331" w:type="dxa"/>
          </w:tcPr>
          <w:p w14:paraId="78535260" w14:textId="20A69CB9" w:rsidR="007E7235" w:rsidRPr="00603563" w:rsidRDefault="007E7235" w:rsidP="00FB0CE0">
            <w:pPr>
              <w:spacing w:before="60" w:after="60"/>
            </w:pPr>
            <w:r w:rsidRPr="00FA074B">
              <w:t xml:space="preserve">Office for Nuclear Regulation </w:t>
            </w:r>
          </w:p>
        </w:tc>
      </w:tr>
      <w:tr w:rsidR="0040051C" w14:paraId="765DEF23" w14:textId="77777777" w:rsidTr="00FB0CE0">
        <w:tc>
          <w:tcPr>
            <w:tcW w:w="2405" w:type="dxa"/>
          </w:tcPr>
          <w:p w14:paraId="517CA343" w14:textId="16BD9498" w:rsidR="0040051C" w:rsidRPr="00FA074B" w:rsidRDefault="0040051C" w:rsidP="00FB0CE0">
            <w:pPr>
              <w:spacing w:before="60" w:after="60"/>
            </w:pPr>
            <w:r>
              <w:t>PAO</w:t>
            </w:r>
          </w:p>
        </w:tc>
        <w:tc>
          <w:tcPr>
            <w:tcW w:w="7331" w:type="dxa"/>
          </w:tcPr>
          <w:p w14:paraId="35902811" w14:textId="5C5C5811" w:rsidR="0040051C" w:rsidRPr="00FA074B" w:rsidRDefault="0040051C" w:rsidP="00FB0CE0">
            <w:pPr>
              <w:spacing w:before="60" w:after="60"/>
            </w:pPr>
            <w:r>
              <w:t>Pre-application Opinion</w:t>
            </w:r>
          </w:p>
        </w:tc>
      </w:tr>
      <w:tr w:rsidR="007233B5" w14:paraId="4951CF4F" w14:textId="77777777" w:rsidTr="00FB0CE0">
        <w:tc>
          <w:tcPr>
            <w:tcW w:w="2405" w:type="dxa"/>
          </w:tcPr>
          <w:p w14:paraId="7F2A924D" w14:textId="7FA20968" w:rsidR="007233B5" w:rsidRPr="00FA074B" w:rsidRDefault="007233B5" w:rsidP="00FB0CE0">
            <w:pPr>
              <w:spacing w:before="60" w:after="60"/>
            </w:pPr>
            <w:r>
              <w:t>SEPA</w:t>
            </w:r>
          </w:p>
        </w:tc>
        <w:tc>
          <w:tcPr>
            <w:tcW w:w="7331" w:type="dxa"/>
          </w:tcPr>
          <w:p w14:paraId="1F3B845E" w14:textId="6A07D7D0" w:rsidR="007233B5" w:rsidRPr="00FA074B" w:rsidRDefault="007233B5" w:rsidP="00FB0CE0">
            <w:pPr>
              <w:spacing w:before="60" w:after="60"/>
            </w:pPr>
            <w:r>
              <w:t>Scottish Environment Protection Agency</w:t>
            </w:r>
          </w:p>
        </w:tc>
      </w:tr>
      <w:tr w:rsidR="00CD7CDA" w14:paraId="787AD264" w14:textId="77777777" w:rsidTr="00FB0CE0">
        <w:tc>
          <w:tcPr>
            <w:tcW w:w="2405" w:type="dxa"/>
          </w:tcPr>
          <w:p w14:paraId="7DBD4DE7" w14:textId="7951BE20" w:rsidR="00CD7CDA" w:rsidRPr="002B64A1" w:rsidRDefault="00CD7CDA" w:rsidP="00FB0CE0">
            <w:pPr>
              <w:spacing w:before="60" w:after="60"/>
            </w:pPr>
            <w:r>
              <w:t>TSC</w:t>
            </w:r>
          </w:p>
        </w:tc>
        <w:tc>
          <w:tcPr>
            <w:tcW w:w="7331" w:type="dxa"/>
          </w:tcPr>
          <w:p w14:paraId="62628450" w14:textId="4B3567B0" w:rsidR="00CD7CDA" w:rsidRPr="002B64A1" w:rsidRDefault="00CD7CDA" w:rsidP="00FB0CE0">
            <w:pPr>
              <w:spacing w:before="60" w:after="60"/>
            </w:pPr>
            <w:r>
              <w:t>Technical support contractor</w:t>
            </w:r>
          </w:p>
        </w:tc>
      </w:tr>
    </w:tbl>
    <w:p w14:paraId="3C974B61" w14:textId="62B29108" w:rsidR="00F8500A" w:rsidRDefault="00F8500A" w:rsidP="782BE474">
      <w:pPr>
        <w:pStyle w:val="Heading1"/>
        <w:numPr>
          <w:ilvl w:val="0"/>
          <w:numId w:val="0"/>
        </w:numPr>
        <w:ind w:left="720"/>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6BC57A5E" w:rsidR="00F8500A" w:rsidRPr="00410423" w:rsidRDefault="65C7840C" w:rsidP="782BE474">
          <w:pPr>
            <w:pStyle w:val="TOCHeading"/>
            <w:rPr>
              <w:color w:val="auto"/>
              <w:sz w:val="48"/>
              <w:szCs w:val="48"/>
            </w:rPr>
          </w:pPr>
          <w:r w:rsidRPr="782BE474">
            <w:rPr>
              <w:color w:val="auto"/>
              <w:sz w:val="48"/>
              <w:szCs w:val="48"/>
            </w:rPr>
            <w:t xml:space="preserve">Table of </w:t>
          </w:r>
          <w:r w:rsidR="008558D1">
            <w:rPr>
              <w:color w:val="auto"/>
              <w:sz w:val="48"/>
              <w:szCs w:val="48"/>
            </w:rPr>
            <w:t>c</w:t>
          </w:r>
          <w:r w:rsidRPr="782BE474">
            <w:rPr>
              <w:color w:val="auto"/>
              <w:sz w:val="48"/>
              <w:szCs w:val="48"/>
            </w:rPr>
            <w:t>ontents</w:t>
          </w:r>
        </w:p>
        <w:p w14:paraId="262797E9" w14:textId="41A16C26" w:rsidR="008B4129"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4710527" w:history="1">
            <w:r w:rsidR="008B4129" w:rsidRPr="00CC588C">
              <w:rPr>
                <w:rStyle w:val="Hyperlink"/>
              </w:rPr>
              <w:t>Executive summary</w:t>
            </w:r>
            <w:r w:rsidR="008B4129">
              <w:rPr>
                <w:webHidden/>
              </w:rPr>
              <w:tab/>
            </w:r>
            <w:r w:rsidR="008B4129">
              <w:rPr>
                <w:webHidden/>
              </w:rPr>
              <w:fldChar w:fldCharType="begin"/>
            </w:r>
            <w:r w:rsidR="008B4129">
              <w:rPr>
                <w:webHidden/>
              </w:rPr>
              <w:instrText xml:space="preserve"> PAGEREF _Toc174710527 \h </w:instrText>
            </w:r>
            <w:r w:rsidR="008B4129">
              <w:rPr>
                <w:webHidden/>
              </w:rPr>
            </w:r>
            <w:r w:rsidR="008B4129">
              <w:rPr>
                <w:webHidden/>
              </w:rPr>
              <w:fldChar w:fldCharType="separate"/>
            </w:r>
            <w:r w:rsidR="008B4129">
              <w:rPr>
                <w:webHidden/>
              </w:rPr>
              <w:t>4</w:t>
            </w:r>
            <w:r w:rsidR="008B4129">
              <w:rPr>
                <w:webHidden/>
              </w:rPr>
              <w:fldChar w:fldCharType="end"/>
            </w:r>
          </w:hyperlink>
        </w:p>
        <w:p w14:paraId="57FB84E2" w14:textId="3796E4FF"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28" w:history="1">
            <w:r w:rsidR="008B4129" w:rsidRPr="00CC588C">
              <w:rPr>
                <w:rStyle w:val="Hyperlink"/>
              </w:rPr>
              <w:t>1.</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Permission requested</w:t>
            </w:r>
            <w:r w:rsidR="008B4129">
              <w:rPr>
                <w:webHidden/>
              </w:rPr>
              <w:tab/>
            </w:r>
            <w:r w:rsidR="008B4129">
              <w:rPr>
                <w:webHidden/>
              </w:rPr>
              <w:fldChar w:fldCharType="begin"/>
            </w:r>
            <w:r w:rsidR="008B4129">
              <w:rPr>
                <w:webHidden/>
              </w:rPr>
              <w:instrText xml:space="preserve"> PAGEREF _Toc174710528 \h </w:instrText>
            </w:r>
            <w:r w:rsidR="008B4129">
              <w:rPr>
                <w:webHidden/>
              </w:rPr>
            </w:r>
            <w:r w:rsidR="008B4129">
              <w:rPr>
                <w:webHidden/>
              </w:rPr>
              <w:fldChar w:fldCharType="separate"/>
            </w:r>
            <w:r w:rsidR="008B4129">
              <w:rPr>
                <w:webHidden/>
              </w:rPr>
              <w:t>7</w:t>
            </w:r>
            <w:r w:rsidR="008B4129">
              <w:rPr>
                <w:webHidden/>
              </w:rPr>
              <w:fldChar w:fldCharType="end"/>
            </w:r>
          </w:hyperlink>
        </w:p>
        <w:p w14:paraId="6725B7A1" w14:textId="4690B846"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29" w:history="1">
            <w:r w:rsidR="008B4129" w:rsidRPr="00CC588C">
              <w:rPr>
                <w:rStyle w:val="Hyperlink"/>
              </w:rPr>
              <w:t>2.</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Background</w:t>
            </w:r>
            <w:r w:rsidR="008B4129">
              <w:rPr>
                <w:webHidden/>
              </w:rPr>
              <w:tab/>
            </w:r>
            <w:r w:rsidR="008B4129">
              <w:rPr>
                <w:webHidden/>
              </w:rPr>
              <w:fldChar w:fldCharType="begin"/>
            </w:r>
            <w:r w:rsidR="008B4129">
              <w:rPr>
                <w:webHidden/>
              </w:rPr>
              <w:instrText xml:space="preserve"> PAGEREF _Toc174710529 \h </w:instrText>
            </w:r>
            <w:r w:rsidR="008B4129">
              <w:rPr>
                <w:webHidden/>
              </w:rPr>
            </w:r>
            <w:r w:rsidR="008B4129">
              <w:rPr>
                <w:webHidden/>
              </w:rPr>
              <w:fldChar w:fldCharType="separate"/>
            </w:r>
            <w:r w:rsidR="008B4129">
              <w:rPr>
                <w:webHidden/>
              </w:rPr>
              <w:t>7</w:t>
            </w:r>
            <w:r w:rsidR="008B4129">
              <w:rPr>
                <w:webHidden/>
              </w:rPr>
              <w:fldChar w:fldCharType="end"/>
            </w:r>
          </w:hyperlink>
        </w:p>
        <w:p w14:paraId="2D027A0D" w14:textId="6A3A2A22"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30" w:history="1">
            <w:r w:rsidR="008B4129" w:rsidRPr="00CC588C">
              <w:rPr>
                <w:rStyle w:val="Hyperlink"/>
              </w:rPr>
              <w:t>3.</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Assessment work carried out by ONR in consideration of this request</w:t>
            </w:r>
            <w:r w:rsidR="008B4129">
              <w:rPr>
                <w:webHidden/>
              </w:rPr>
              <w:tab/>
            </w:r>
            <w:r w:rsidR="008B4129">
              <w:rPr>
                <w:webHidden/>
              </w:rPr>
              <w:fldChar w:fldCharType="begin"/>
            </w:r>
            <w:r w:rsidR="008B4129">
              <w:rPr>
                <w:webHidden/>
              </w:rPr>
              <w:instrText xml:space="preserve"> PAGEREF _Toc174710530 \h </w:instrText>
            </w:r>
            <w:r w:rsidR="008B4129">
              <w:rPr>
                <w:webHidden/>
              </w:rPr>
            </w:r>
            <w:r w:rsidR="008B4129">
              <w:rPr>
                <w:webHidden/>
              </w:rPr>
              <w:fldChar w:fldCharType="separate"/>
            </w:r>
            <w:r w:rsidR="008B4129">
              <w:rPr>
                <w:webHidden/>
              </w:rPr>
              <w:t>8</w:t>
            </w:r>
            <w:r w:rsidR="008B4129">
              <w:rPr>
                <w:webHidden/>
              </w:rPr>
              <w:fldChar w:fldCharType="end"/>
            </w:r>
          </w:hyperlink>
        </w:p>
        <w:p w14:paraId="5311010A" w14:textId="473E6E7B"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31" w:history="1">
            <w:r w:rsidR="008B4129" w:rsidRPr="00CC588C">
              <w:rPr>
                <w:rStyle w:val="Hyperlink"/>
              </w:rPr>
              <w:t>4.</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Matters arising from ONR’s work</w:t>
            </w:r>
            <w:r w:rsidR="008B4129">
              <w:rPr>
                <w:webHidden/>
              </w:rPr>
              <w:tab/>
            </w:r>
            <w:r w:rsidR="008B4129">
              <w:rPr>
                <w:webHidden/>
              </w:rPr>
              <w:fldChar w:fldCharType="begin"/>
            </w:r>
            <w:r w:rsidR="008B4129">
              <w:rPr>
                <w:webHidden/>
              </w:rPr>
              <w:instrText xml:space="preserve"> PAGEREF _Toc174710531 \h </w:instrText>
            </w:r>
            <w:r w:rsidR="008B4129">
              <w:rPr>
                <w:webHidden/>
              </w:rPr>
            </w:r>
            <w:r w:rsidR="008B4129">
              <w:rPr>
                <w:webHidden/>
              </w:rPr>
              <w:fldChar w:fldCharType="separate"/>
            </w:r>
            <w:r w:rsidR="008B4129">
              <w:rPr>
                <w:webHidden/>
              </w:rPr>
              <w:t>9</w:t>
            </w:r>
            <w:r w:rsidR="008B4129">
              <w:rPr>
                <w:webHidden/>
              </w:rPr>
              <w:fldChar w:fldCharType="end"/>
            </w:r>
          </w:hyperlink>
        </w:p>
        <w:p w14:paraId="4E61BEF0" w14:textId="2CD587A8"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32" w:history="1">
            <w:r w:rsidR="008B4129" w:rsidRPr="00CC588C">
              <w:rPr>
                <w:rStyle w:val="Hyperlink"/>
              </w:rPr>
              <w:t>5.</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Conclusions</w:t>
            </w:r>
            <w:r w:rsidR="008B4129">
              <w:rPr>
                <w:webHidden/>
              </w:rPr>
              <w:tab/>
            </w:r>
            <w:r w:rsidR="008B4129">
              <w:rPr>
                <w:webHidden/>
              </w:rPr>
              <w:fldChar w:fldCharType="begin"/>
            </w:r>
            <w:r w:rsidR="008B4129">
              <w:rPr>
                <w:webHidden/>
              </w:rPr>
              <w:instrText xml:space="preserve"> PAGEREF _Toc174710532 \h </w:instrText>
            </w:r>
            <w:r w:rsidR="008B4129">
              <w:rPr>
                <w:webHidden/>
              </w:rPr>
            </w:r>
            <w:r w:rsidR="008B4129">
              <w:rPr>
                <w:webHidden/>
              </w:rPr>
              <w:fldChar w:fldCharType="separate"/>
            </w:r>
            <w:r w:rsidR="008B4129">
              <w:rPr>
                <w:webHidden/>
              </w:rPr>
              <w:t>11</w:t>
            </w:r>
            <w:r w:rsidR="008B4129">
              <w:rPr>
                <w:webHidden/>
              </w:rPr>
              <w:fldChar w:fldCharType="end"/>
            </w:r>
          </w:hyperlink>
        </w:p>
        <w:p w14:paraId="16E6E305" w14:textId="78A076CE" w:rsidR="008B4129"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710533" w:history="1">
            <w:r w:rsidR="008B4129" w:rsidRPr="00CC588C">
              <w:rPr>
                <w:rStyle w:val="Hyperlink"/>
              </w:rPr>
              <w:t>6.</w:t>
            </w:r>
            <w:r w:rsidR="008B4129">
              <w:rPr>
                <w:rFonts w:asciiTheme="minorHAnsi" w:eastAsiaTheme="minorEastAsia" w:hAnsiTheme="minorHAnsi" w:cstheme="minorBidi"/>
                <w:kern w:val="2"/>
                <w:sz w:val="22"/>
                <w:lang w:eastAsia="en-GB" w:bidi="ar-SA"/>
                <w14:ligatures w14:val="standardContextual"/>
              </w:rPr>
              <w:tab/>
            </w:r>
            <w:r w:rsidR="008B4129" w:rsidRPr="00CC588C">
              <w:rPr>
                <w:rStyle w:val="Hyperlink"/>
              </w:rPr>
              <w:t>Recommendations</w:t>
            </w:r>
            <w:r w:rsidR="008B4129">
              <w:rPr>
                <w:webHidden/>
              </w:rPr>
              <w:tab/>
            </w:r>
            <w:r w:rsidR="008B4129">
              <w:rPr>
                <w:webHidden/>
              </w:rPr>
              <w:fldChar w:fldCharType="begin"/>
            </w:r>
            <w:r w:rsidR="008B4129">
              <w:rPr>
                <w:webHidden/>
              </w:rPr>
              <w:instrText xml:space="preserve"> PAGEREF _Toc174710533 \h </w:instrText>
            </w:r>
            <w:r w:rsidR="008B4129">
              <w:rPr>
                <w:webHidden/>
              </w:rPr>
            </w:r>
            <w:r w:rsidR="008B4129">
              <w:rPr>
                <w:webHidden/>
              </w:rPr>
              <w:fldChar w:fldCharType="separate"/>
            </w:r>
            <w:r w:rsidR="008B4129">
              <w:rPr>
                <w:webHidden/>
              </w:rPr>
              <w:t>11</w:t>
            </w:r>
            <w:r w:rsidR="008B4129">
              <w:rPr>
                <w:webHidden/>
              </w:rPr>
              <w:fldChar w:fldCharType="end"/>
            </w:r>
          </w:hyperlink>
        </w:p>
        <w:p w14:paraId="329FE486" w14:textId="5E5B38A0" w:rsidR="008B4129" w:rsidRDefault="00000000">
          <w:pPr>
            <w:pStyle w:val="TOC1"/>
            <w:rPr>
              <w:rFonts w:asciiTheme="minorHAnsi" w:eastAsiaTheme="minorEastAsia" w:hAnsiTheme="minorHAnsi" w:cstheme="minorBidi"/>
              <w:kern w:val="2"/>
              <w:sz w:val="22"/>
              <w:lang w:eastAsia="en-GB" w:bidi="ar-SA"/>
              <w14:ligatures w14:val="standardContextual"/>
            </w:rPr>
          </w:pPr>
          <w:hyperlink w:anchor="_Toc174710534" w:history="1">
            <w:r w:rsidR="008B4129" w:rsidRPr="00CC588C">
              <w:rPr>
                <w:rStyle w:val="Hyperlink"/>
              </w:rPr>
              <w:t>References</w:t>
            </w:r>
            <w:r w:rsidR="008B4129">
              <w:rPr>
                <w:webHidden/>
              </w:rPr>
              <w:tab/>
            </w:r>
            <w:r w:rsidR="008B4129">
              <w:rPr>
                <w:webHidden/>
              </w:rPr>
              <w:fldChar w:fldCharType="begin"/>
            </w:r>
            <w:r w:rsidR="008B4129">
              <w:rPr>
                <w:webHidden/>
              </w:rPr>
              <w:instrText xml:space="preserve"> PAGEREF _Toc174710534 \h </w:instrText>
            </w:r>
            <w:r w:rsidR="008B4129">
              <w:rPr>
                <w:webHidden/>
              </w:rPr>
            </w:r>
            <w:r w:rsidR="008B4129">
              <w:rPr>
                <w:webHidden/>
              </w:rPr>
              <w:fldChar w:fldCharType="separate"/>
            </w:r>
            <w:r w:rsidR="008B4129">
              <w:rPr>
                <w:webHidden/>
              </w:rPr>
              <w:t>12</w:t>
            </w:r>
            <w:r w:rsidR="008B4129">
              <w:rPr>
                <w:webHidden/>
              </w:rPr>
              <w:fldChar w:fldCharType="end"/>
            </w:r>
          </w:hyperlink>
        </w:p>
        <w:p w14:paraId="3B0EBAE0" w14:textId="488581AA" w:rsidR="008B4129" w:rsidRDefault="00000000">
          <w:pPr>
            <w:pStyle w:val="TOC1"/>
            <w:rPr>
              <w:rFonts w:asciiTheme="minorHAnsi" w:eastAsiaTheme="minorEastAsia" w:hAnsiTheme="minorHAnsi" w:cstheme="minorBidi"/>
              <w:kern w:val="2"/>
              <w:sz w:val="22"/>
              <w:lang w:eastAsia="en-GB" w:bidi="ar-SA"/>
              <w14:ligatures w14:val="standardContextual"/>
            </w:rPr>
          </w:pPr>
          <w:hyperlink w:anchor="_Toc174710535" w:history="1">
            <w:r w:rsidR="008B4129" w:rsidRPr="00CC588C">
              <w:rPr>
                <w:rStyle w:val="Hyperlink"/>
              </w:rPr>
              <w:t>Appendix 1 – Organisations which responded to the consultation</w:t>
            </w:r>
            <w:r w:rsidR="008B4129">
              <w:rPr>
                <w:webHidden/>
              </w:rPr>
              <w:tab/>
            </w:r>
            <w:r w:rsidR="008B4129">
              <w:rPr>
                <w:webHidden/>
              </w:rPr>
              <w:fldChar w:fldCharType="begin"/>
            </w:r>
            <w:r w:rsidR="008B4129">
              <w:rPr>
                <w:webHidden/>
              </w:rPr>
              <w:instrText xml:space="preserve"> PAGEREF _Toc174710535 \h </w:instrText>
            </w:r>
            <w:r w:rsidR="008B4129">
              <w:rPr>
                <w:webHidden/>
              </w:rPr>
            </w:r>
            <w:r w:rsidR="008B4129">
              <w:rPr>
                <w:webHidden/>
              </w:rPr>
              <w:fldChar w:fldCharType="separate"/>
            </w:r>
            <w:r w:rsidR="008B4129">
              <w:rPr>
                <w:webHidden/>
              </w:rPr>
              <w:t>13</w:t>
            </w:r>
            <w:r w:rsidR="008B4129">
              <w:rPr>
                <w:webHidden/>
              </w:rPr>
              <w:fldChar w:fldCharType="end"/>
            </w:r>
          </w:hyperlink>
        </w:p>
        <w:p w14:paraId="3F24072E" w14:textId="7E699D2D" w:rsidR="008B4129" w:rsidRDefault="00000000">
          <w:pPr>
            <w:pStyle w:val="TOC1"/>
            <w:rPr>
              <w:rFonts w:asciiTheme="minorHAnsi" w:eastAsiaTheme="minorEastAsia" w:hAnsiTheme="minorHAnsi" w:cstheme="minorBidi"/>
              <w:kern w:val="2"/>
              <w:sz w:val="22"/>
              <w:lang w:eastAsia="en-GB" w:bidi="ar-SA"/>
              <w14:ligatures w14:val="standardContextual"/>
            </w:rPr>
          </w:pPr>
          <w:hyperlink w:anchor="_Toc174710536" w:history="1">
            <w:r w:rsidR="008B4129" w:rsidRPr="00CC588C">
              <w:rPr>
                <w:rStyle w:val="Hyperlink"/>
              </w:rPr>
              <w:t>Appendix 2 – Conditions attached to the EIADR Consent</w:t>
            </w:r>
            <w:r w:rsidR="008B4129">
              <w:rPr>
                <w:webHidden/>
              </w:rPr>
              <w:tab/>
            </w:r>
            <w:r w:rsidR="008B4129">
              <w:rPr>
                <w:webHidden/>
              </w:rPr>
              <w:fldChar w:fldCharType="begin"/>
            </w:r>
            <w:r w:rsidR="008B4129">
              <w:rPr>
                <w:webHidden/>
              </w:rPr>
              <w:instrText xml:space="preserve"> PAGEREF _Toc174710536 \h </w:instrText>
            </w:r>
            <w:r w:rsidR="008B4129">
              <w:rPr>
                <w:webHidden/>
              </w:rPr>
            </w:r>
            <w:r w:rsidR="008B4129">
              <w:rPr>
                <w:webHidden/>
              </w:rPr>
              <w:fldChar w:fldCharType="separate"/>
            </w:r>
            <w:r w:rsidR="008B4129">
              <w:rPr>
                <w:webHidden/>
              </w:rPr>
              <w:t>14</w:t>
            </w:r>
            <w:r w:rsidR="008B4129">
              <w:rPr>
                <w:webHidden/>
              </w:rPr>
              <w:fldChar w:fldCharType="end"/>
            </w:r>
          </w:hyperlink>
        </w:p>
        <w:p w14:paraId="65FCBC12" w14:textId="64344773" w:rsidR="00F8500A" w:rsidRDefault="00F8500A">
          <w:r>
            <w:rPr>
              <w:b/>
              <w:bCs/>
              <w:noProof/>
            </w:rPr>
            <w:fldChar w:fldCharType="end"/>
          </w:r>
        </w:p>
      </w:sdtContent>
    </w:sdt>
    <w:p w14:paraId="0CAD6143" w14:textId="07C92B2B" w:rsidR="00AC2E98" w:rsidRDefault="00AC2E98" w:rsidP="782BE474">
      <w:pPr>
        <w:pStyle w:val="Bulletlist1"/>
        <w:numPr>
          <w:ilvl w:val="0"/>
          <w:numId w:val="0"/>
        </w:numPr>
        <w:ind w:left="1276"/>
        <w:sectPr w:rsidR="00AC2E98" w:rsidSect="00B82646">
          <w:pgSz w:w="11906" w:h="16838" w:code="9"/>
          <w:pgMar w:top="1440" w:right="1080" w:bottom="1440" w:left="1080" w:header="397" w:footer="397" w:gutter="0"/>
          <w:cols w:space="312"/>
          <w:docGrid w:linePitch="360"/>
        </w:sectPr>
      </w:pPr>
    </w:p>
    <w:p w14:paraId="4A9F4FE3" w14:textId="64B71098" w:rsidR="0038766B" w:rsidRPr="00410423" w:rsidRDefault="0038766B" w:rsidP="00410423">
      <w:pPr>
        <w:pStyle w:val="Heading1"/>
      </w:pPr>
      <w:bookmarkStart w:id="4" w:name="_Toc174710528"/>
      <w:bookmarkStart w:id="5" w:name="_Toc109727647"/>
      <w:r w:rsidRPr="00410423">
        <w:lastRenderedPageBreak/>
        <w:t xml:space="preserve">Permission </w:t>
      </w:r>
      <w:r w:rsidR="008558D1">
        <w:t>r</w:t>
      </w:r>
      <w:r w:rsidRPr="00410423">
        <w:t>equested</w:t>
      </w:r>
      <w:bookmarkEnd w:id="4"/>
    </w:p>
    <w:p w14:paraId="5CC885D7" w14:textId="65CED3A0" w:rsidR="0038766B" w:rsidRDefault="51F251EB" w:rsidP="00BE204B">
      <w:pPr>
        <w:pStyle w:val="NumList1"/>
      </w:pPr>
      <w:r>
        <w:t>On 1 December 2023</w:t>
      </w:r>
      <w:r w:rsidR="7FBEED09" w:rsidRPr="0038766B">
        <w:t xml:space="preserve">, </w:t>
      </w:r>
      <w:r w:rsidR="2531609C">
        <w:t>EDF Energy Nuclear Generation Ltd (EDF</w:t>
      </w:r>
      <w:r w:rsidR="47C6F69F">
        <w:t xml:space="preserve">, </w:t>
      </w:r>
      <w:r w:rsidR="7FBEED09" w:rsidRPr="0038766B">
        <w:t xml:space="preserve">the </w:t>
      </w:r>
      <w:r w:rsidR="676B53CB">
        <w:t>‘</w:t>
      </w:r>
      <w:r w:rsidR="7FBEED09" w:rsidRPr="0038766B">
        <w:t>licensee</w:t>
      </w:r>
      <w:r w:rsidR="676B53CB">
        <w:t>’</w:t>
      </w:r>
      <w:r w:rsidR="7FBEED09" w:rsidRPr="0038766B">
        <w:t>) submitted</w:t>
      </w:r>
      <w:r w:rsidR="2212A697">
        <w:t xml:space="preserve"> to</w:t>
      </w:r>
      <w:r w:rsidR="00A13B91">
        <w:t xml:space="preserve"> the Office for Nuclear Regulation</w:t>
      </w:r>
      <w:r w:rsidR="2212A697">
        <w:t xml:space="preserve"> </w:t>
      </w:r>
      <w:r w:rsidR="00A13B91">
        <w:t>(</w:t>
      </w:r>
      <w:r w:rsidR="2212A697">
        <w:t>ONR</w:t>
      </w:r>
      <w:r w:rsidR="00A13B91">
        <w:t>)</w:t>
      </w:r>
      <w:r w:rsidR="7FBEED09" w:rsidRPr="0038766B">
        <w:t xml:space="preserve"> its </w:t>
      </w:r>
      <w:r w:rsidR="47C6F69F">
        <w:t xml:space="preserve">Application for Consent to decommission </w:t>
      </w:r>
      <w:r w:rsidR="2212A697">
        <w:t xml:space="preserve">the </w:t>
      </w:r>
      <w:r w:rsidR="192B1F97">
        <w:t>Hunterston</w:t>
      </w:r>
      <w:r w:rsidR="2212A697">
        <w:t xml:space="preserve"> B nuclear power station</w:t>
      </w:r>
      <w:r w:rsidR="192B1F97">
        <w:t xml:space="preserve"> (HNB)</w:t>
      </w:r>
      <w:r w:rsidR="2212A697">
        <w:t xml:space="preserve"> in </w:t>
      </w:r>
      <w:r w:rsidR="1A38BB15">
        <w:t>West Kilbride</w:t>
      </w:r>
      <w:r w:rsidR="002168BC">
        <w:t>,</w:t>
      </w:r>
      <w:r w:rsidR="00487C68">
        <w:t xml:space="preserve"> Scotland</w:t>
      </w:r>
      <w:r w:rsidR="7FBEED09" w:rsidRPr="0038766B">
        <w:t xml:space="preserve"> </w:t>
      </w:r>
      <w:r w:rsidR="2212A697">
        <w:t xml:space="preserve">under the </w:t>
      </w:r>
      <w:r w:rsidR="779626EA" w:rsidRPr="00FE1CA6">
        <w:t>Nuclear Reactors (Environmental Impact Assessment for Decommissioning) Regulations, 1999, as amended (EIADR)</w:t>
      </w:r>
      <w:r w:rsidR="7FBEED09" w:rsidRPr="0038766B">
        <w:t xml:space="preserve">. In line with </w:t>
      </w:r>
      <w:r w:rsidR="00E16601">
        <w:t xml:space="preserve">our </w:t>
      </w:r>
      <w:r w:rsidR="7FBEED09" w:rsidRPr="0038766B">
        <w:t xml:space="preserve"> arrangements</w:t>
      </w:r>
      <w:r w:rsidR="6ABF0E14">
        <w:t xml:space="preserve"> </w:t>
      </w:r>
      <w:sdt>
        <w:sdtPr>
          <w:id w:val="523376273"/>
          <w:citation/>
        </w:sdtPr>
        <w:sdtContent>
          <w:r w:rsidR="00E26537">
            <w:fldChar w:fldCharType="begin"/>
          </w:r>
          <w:r w:rsidR="00E26537">
            <w:instrText xml:space="preserve"> CITATION ONR23 \l 2057 </w:instrText>
          </w:r>
          <w:r w:rsidR="00E26537">
            <w:fldChar w:fldCharType="separate"/>
          </w:r>
          <w:r w:rsidR="008B4129" w:rsidRPr="008B4129">
            <w:rPr>
              <w:noProof/>
            </w:rPr>
            <w:t>[1]</w:t>
          </w:r>
          <w:r w:rsidR="00E26537">
            <w:fldChar w:fldCharType="end"/>
          </w:r>
        </w:sdtContent>
      </w:sdt>
      <w:r w:rsidR="001F11DB">
        <w:t xml:space="preserve"> </w:t>
      </w:r>
      <w:sdt>
        <w:sdtPr>
          <w:id w:val="1926611507"/>
          <w:citation/>
        </w:sdtPr>
        <w:sdtContent>
          <w:r w:rsidR="003613FD">
            <w:fldChar w:fldCharType="begin"/>
          </w:r>
          <w:r w:rsidR="003613FD">
            <w:instrText xml:space="preserve"> CITATION ONR231 \l 2057 </w:instrText>
          </w:r>
          <w:r w:rsidR="003613FD">
            <w:fldChar w:fldCharType="separate"/>
          </w:r>
          <w:r w:rsidR="008B4129" w:rsidRPr="008B4129">
            <w:rPr>
              <w:noProof/>
            </w:rPr>
            <w:t>[2]</w:t>
          </w:r>
          <w:r w:rsidR="003613FD">
            <w:fldChar w:fldCharType="end"/>
          </w:r>
        </w:sdtContent>
      </w:sdt>
      <w:r w:rsidR="7FBEED09" w:rsidRPr="0038766B">
        <w:t>, this Project Assessment Report (PAR)</w:t>
      </w:r>
      <w:r w:rsidR="00E16601">
        <w:t xml:space="preserve"> ha</w:t>
      </w:r>
      <w:r w:rsidR="0062490E">
        <w:t>s</w:t>
      </w:r>
      <w:r w:rsidR="00E16601">
        <w:t xml:space="preserve"> been produced</w:t>
      </w:r>
      <w:r w:rsidR="7FBEED09" w:rsidRPr="0038766B">
        <w:t xml:space="preserve"> to document </w:t>
      </w:r>
      <w:r w:rsidR="00E16601">
        <w:t>our</w:t>
      </w:r>
      <w:r w:rsidR="00E16601" w:rsidRPr="0038766B">
        <w:t xml:space="preserve"> </w:t>
      </w:r>
      <w:r w:rsidR="7FBEED09" w:rsidRPr="0038766B">
        <w:t xml:space="preserve">view on the adequacy of the </w:t>
      </w:r>
      <w:r w:rsidR="1EB1DA1B">
        <w:t>Application for Consent</w:t>
      </w:r>
      <w:r w:rsidR="7FBEED09" w:rsidRPr="0038766B">
        <w:t xml:space="preserve">. </w:t>
      </w:r>
      <w:r w:rsidR="00C101E6">
        <w:t>A</w:t>
      </w:r>
      <w:r w:rsidR="7FBEED09" w:rsidRPr="0038766B">
        <w:t xml:space="preserve"> decision letter </w:t>
      </w:r>
      <w:r w:rsidR="00C101E6">
        <w:t xml:space="preserve">has also been produced </w:t>
      </w:r>
      <w:r w:rsidR="7FBEED09" w:rsidRPr="0038766B">
        <w:t xml:space="preserve">to </w:t>
      </w:r>
      <w:r w:rsidR="00236B0C" w:rsidRPr="0038766B">
        <w:t>c</w:t>
      </w:r>
      <w:r w:rsidR="00236B0C">
        <w:t>ommunicate</w:t>
      </w:r>
      <w:r w:rsidR="00236B0C" w:rsidRPr="0038766B">
        <w:t xml:space="preserve"> </w:t>
      </w:r>
      <w:r w:rsidR="00C101E6">
        <w:t xml:space="preserve">our </w:t>
      </w:r>
      <w:r w:rsidR="00236B0C">
        <w:t>decision</w:t>
      </w:r>
      <w:r w:rsidR="00C101E6">
        <w:t xml:space="preserve"> to the licensee.</w:t>
      </w:r>
    </w:p>
    <w:p w14:paraId="13C362CC" w14:textId="780BE3CD" w:rsidR="0038766B" w:rsidRPr="0038766B" w:rsidRDefault="00590C5D" w:rsidP="00410423">
      <w:pPr>
        <w:pStyle w:val="Heading1"/>
      </w:pPr>
      <w:bookmarkStart w:id="6" w:name="_Toc174710529"/>
      <w:r>
        <w:t>Background</w:t>
      </w:r>
      <w:bookmarkEnd w:id="6"/>
    </w:p>
    <w:p w14:paraId="0257FD95" w14:textId="71C8C16D" w:rsidR="00337391" w:rsidRDefault="00337391" w:rsidP="00BE204B">
      <w:pPr>
        <w:pStyle w:val="NumList1"/>
      </w:pPr>
      <w:r>
        <w:t xml:space="preserve">EIADR is a legal instrument that requires the environmental impact of decommissioning nuclear power stations and other nuclear reactors to be considered in detail before consent for the decommissioning project to commence can be granted. </w:t>
      </w:r>
      <w:r w:rsidR="007030F4" w:rsidRPr="007030F4">
        <w:t>The intention of EIADR is to involve the public through consultation in considering the potential environmental impacts of a decommissioning project, and to make the decision-making process open and transparent.</w:t>
      </w:r>
      <w:r w:rsidR="00977E69">
        <w:t xml:space="preserve"> </w:t>
      </w:r>
      <w:r>
        <w:t xml:space="preserve">To obtain consent, the licensee </w:t>
      </w:r>
      <w:r w:rsidR="00E86280">
        <w:t>mu</w:t>
      </w:r>
      <w:r w:rsidR="00047FA3">
        <w:t>st</w:t>
      </w:r>
      <w:r w:rsidR="00E86280">
        <w:t xml:space="preserve"> </w:t>
      </w:r>
      <w:r>
        <w:t xml:space="preserve">submit an environmental statement (ES) to </w:t>
      </w:r>
      <w:r w:rsidR="00E86280">
        <w:t>us</w:t>
      </w:r>
      <w:r>
        <w:t xml:space="preserve"> which presents a detailed environmental impact assessment (EIA) for the proposed decommissioning project and any features of the project or measures envisaged to avoid, prevent or reduce and, if possible, offset, any likely significant adverse effects on the environment.</w:t>
      </w:r>
    </w:p>
    <w:p w14:paraId="20DE2A41" w14:textId="3DEB00CA" w:rsidR="006D0D12" w:rsidRPr="00556F36" w:rsidRDefault="006D0D12" w:rsidP="006D0D12">
      <w:pPr>
        <w:pStyle w:val="NumList1"/>
      </w:pPr>
      <w:r>
        <w:t xml:space="preserve">In order to inform </w:t>
      </w:r>
      <w:r w:rsidR="00ED3993">
        <w:t>our</w:t>
      </w:r>
      <w:r>
        <w:t xml:space="preserve"> consent decision, </w:t>
      </w:r>
      <w:r w:rsidR="00ED3993">
        <w:t>we</w:t>
      </w:r>
      <w:r w:rsidR="003E3AB4">
        <w:t xml:space="preserve"> are</w:t>
      </w:r>
      <w:r w:rsidR="00ED3993">
        <w:t xml:space="preserve"> </w:t>
      </w:r>
      <w:r>
        <w:t xml:space="preserve">required to consider the ES and the supporting documents and consult with relevant consultation bodies, which includes the relevant regulatory authorities, such as the appropriate environmental agency and local highway and planning authorities, together with the public and any other interested parties. As such, </w:t>
      </w:r>
      <w:r w:rsidR="00565330">
        <w:t>we</w:t>
      </w:r>
      <w:r>
        <w:t xml:space="preserve"> conducted a </w:t>
      </w:r>
      <w:r w:rsidR="004A5CBB">
        <w:t>three month</w:t>
      </w:r>
      <w:r>
        <w:t xml:space="preserve"> consultation</w:t>
      </w:r>
      <w:r w:rsidR="00BF6417">
        <w:t xml:space="preserve"> on the HNB Application for Consent</w:t>
      </w:r>
      <w:r>
        <w:t xml:space="preserve"> and sought views from all of these parties. The responses can be found </w:t>
      </w:r>
      <w:r w:rsidR="004A5CBB">
        <w:t xml:space="preserve">on </w:t>
      </w:r>
      <w:r w:rsidR="00565330">
        <w:t xml:space="preserve">our </w:t>
      </w:r>
      <w:r w:rsidR="004A5CBB">
        <w:t>website</w:t>
      </w:r>
      <w:r w:rsidR="005C702F">
        <w:t xml:space="preserve"> </w:t>
      </w:r>
      <w:r w:rsidR="00352763">
        <w:t>(</w:t>
      </w:r>
      <w:r w:rsidR="005C702F">
        <w:t>www.onr.org.uk</w:t>
      </w:r>
      <w:r w:rsidR="00352763">
        <w:t>).</w:t>
      </w:r>
    </w:p>
    <w:p w14:paraId="0607BD5C" w14:textId="5AB5D965" w:rsidR="006D0D12" w:rsidRDefault="006D0D12" w:rsidP="006D0D12">
      <w:pPr>
        <w:pStyle w:val="NumList1"/>
      </w:pPr>
      <w:r w:rsidRPr="00F1740B">
        <w:t>A Pre-</w:t>
      </w:r>
      <w:r>
        <w:t>a</w:t>
      </w:r>
      <w:r w:rsidRPr="00F1740B">
        <w:t xml:space="preserve">pplication Opinion (PAO) is an optional step in which a licensee can seek </w:t>
      </w:r>
      <w:r w:rsidR="00565330">
        <w:t>our</w:t>
      </w:r>
      <w:r w:rsidRPr="00F1740B">
        <w:t xml:space="preserve"> opinion as to the content of their </w:t>
      </w:r>
      <w:r>
        <w:t>A</w:t>
      </w:r>
      <w:r w:rsidRPr="00F1740B">
        <w:t xml:space="preserve">pplication for </w:t>
      </w:r>
      <w:r>
        <w:t>C</w:t>
      </w:r>
      <w:r w:rsidRPr="00F1740B">
        <w:t>onsent</w:t>
      </w:r>
      <w:r>
        <w:t>. This</w:t>
      </w:r>
      <w:r w:rsidRPr="00556F36">
        <w:t xml:space="preserve"> assessment consider</w:t>
      </w:r>
      <w:r>
        <w:t>ed</w:t>
      </w:r>
      <w:r w:rsidRPr="00556F36">
        <w:t xml:space="preserve"> the points raised in </w:t>
      </w:r>
      <w:r w:rsidR="00DA78D2">
        <w:t>our</w:t>
      </w:r>
      <w:r w:rsidRPr="00556F36">
        <w:t xml:space="preserve"> PAO </w:t>
      </w:r>
      <w:sdt>
        <w:sdtPr>
          <w:id w:val="-466435096"/>
          <w:citation/>
        </w:sdtPr>
        <w:sdtContent>
          <w:r w:rsidR="00D55FB5">
            <w:fldChar w:fldCharType="begin"/>
          </w:r>
          <w:r w:rsidR="00D55FB5">
            <w:instrText xml:space="preserve"> CITATION ONR221 \l 2057 </w:instrText>
          </w:r>
          <w:r w:rsidR="00D55FB5">
            <w:fldChar w:fldCharType="separate"/>
          </w:r>
          <w:r w:rsidR="008B4129" w:rsidRPr="008B4129">
            <w:rPr>
              <w:noProof/>
            </w:rPr>
            <w:t>[3]</w:t>
          </w:r>
          <w:r w:rsidR="00D55FB5">
            <w:fldChar w:fldCharType="end"/>
          </w:r>
        </w:sdtContent>
      </w:sdt>
      <w:r>
        <w:t xml:space="preserve"> </w:t>
      </w:r>
      <w:r w:rsidRPr="00556F36">
        <w:t xml:space="preserve">provided to EDF in response to the </w:t>
      </w:r>
      <w:r w:rsidR="00D55FB5">
        <w:t>HNB</w:t>
      </w:r>
      <w:r w:rsidRPr="00556F36">
        <w:t xml:space="preserve"> Scoping Report </w:t>
      </w:r>
      <w:sdt>
        <w:sdtPr>
          <w:id w:val="-1841694319"/>
          <w:citation/>
        </w:sdtPr>
        <w:sdtContent>
          <w:r w:rsidR="00D55FB5">
            <w:fldChar w:fldCharType="begin"/>
          </w:r>
          <w:r w:rsidR="00D55FB5">
            <w:instrText xml:space="preserve"> CITATION EDF22 \l 2057 </w:instrText>
          </w:r>
          <w:r w:rsidR="00D55FB5">
            <w:fldChar w:fldCharType="separate"/>
          </w:r>
          <w:r w:rsidR="008B4129" w:rsidRPr="008B4129">
            <w:rPr>
              <w:noProof/>
            </w:rPr>
            <w:t>[4]</w:t>
          </w:r>
          <w:r w:rsidR="00D55FB5">
            <w:fldChar w:fldCharType="end"/>
          </w:r>
        </w:sdtContent>
      </w:sdt>
      <w:r w:rsidRPr="00556F36">
        <w:t xml:space="preserve"> in October 2022. </w:t>
      </w:r>
      <w:r w:rsidR="001607F3">
        <w:t>Our</w:t>
      </w:r>
      <w:r w:rsidRPr="00556F36">
        <w:t xml:space="preserve"> PAO took into account comments received on the </w:t>
      </w:r>
      <w:r w:rsidR="001607F3">
        <w:t>s</w:t>
      </w:r>
      <w:r w:rsidRPr="00556F36">
        <w:t xml:space="preserve">coping </w:t>
      </w:r>
      <w:r w:rsidR="001607F3">
        <w:t>r</w:t>
      </w:r>
      <w:r w:rsidRPr="00556F36">
        <w:t xml:space="preserve">eport consultation and the outputs of </w:t>
      </w:r>
      <w:r>
        <w:t>a</w:t>
      </w:r>
      <w:r w:rsidRPr="00556F36">
        <w:t xml:space="preserve"> technical review undertaken by </w:t>
      </w:r>
      <w:r>
        <w:t>a</w:t>
      </w:r>
      <w:r w:rsidRPr="00556F36">
        <w:t xml:space="preserve"> </w:t>
      </w:r>
      <w:r>
        <w:t>technical support contractor (</w:t>
      </w:r>
      <w:r w:rsidRPr="00556F36">
        <w:t>TSC</w:t>
      </w:r>
      <w:r>
        <w:t>)</w:t>
      </w:r>
      <w:r w:rsidR="0021327C">
        <w:t xml:space="preserve"> </w:t>
      </w:r>
      <w:sdt>
        <w:sdtPr>
          <w:id w:val="-212266256"/>
          <w:citation/>
        </w:sdtPr>
        <w:sdtContent>
          <w:r w:rsidR="0021327C">
            <w:fldChar w:fldCharType="begin"/>
          </w:r>
          <w:r w:rsidR="0021327C">
            <w:instrText xml:space="preserve"> CITATION Mot24 \l 2057 </w:instrText>
          </w:r>
          <w:r w:rsidR="0021327C">
            <w:fldChar w:fldCharType="separate"/>
          </w:r>
          <w:r w:rsidR="008B4129" w:rsidRPr="008B4129">
            <w:rPr>
              <w:noProof/>
            </w:rPr>
            <w:t>[5]</w:t>
          </w:r>
          <w:r w:rsidR="0021327C">
            <w:fldChar w:fldCharType="end"/>
          </w:r>
        </w:sdtContent>
      </w:sdt>
      <w:r w:rsidRPr="00556F36">
        <w:t xml:space="preserve">. </w:t>
      </w:r>
      <w:r w:rsidR="008519F9">
        <w:t>We</w:t>
      </w:r>
      <w:r w:rsidRPr="00556F36">
        <w:t xml:space="preserve"> highlighted a number of areas where the scope of the EIA could be clarified or expanded; these </w:t>
      </w:r>
      <w:r>
        <w:t>were</w:t>
      </w:r>
      <w:r w:rsidRPr="00556F36">
        <w:t xml:space="preserve"> followed up in the assessment of the ES. </w:t>
      </w:r>
    </w:p>
    <w:p w14:paraId="413FAFDF" w14:textId="5647A8F4" w:rsidR="00B37C33" w:rsidRPr="00B37C33" w:rsidRDefault="2E8DE2A0" w:rsidP="782BE474">
      <w:pPr>
        <w:pStyle w:val="NumList1"/>
      </w:pPr>
      <w:r>
        <w:t>HNB ceased generating electricity on 7 January 2022</w:t>
      </w:r>
      <w:r w:rsidR="2A39EE0D">
        <w:t>. Since then,</w:t>
      </w:r>
      <w:r>
        <w:t xml:space="preserve"> </w:t>
      </w:r>
      <w:r w:rsidR="6E6495B3">
        <w:t>one of the reactors has been</w:t>
      </w:r>
      <w:r w:rsidR="7391D3C5">
        <w:t xml:space="preserve"> defueled </w:t>
      </w:r>
      <w:r w:rsidR="48C290BD">
        <w:t>whilst</w:t>
      </w:r>
      <w:r w:rsidR="7391D3C5">
        <w:t xml:space="preserve"> defueling of</w:t>
      </w:r>
      <w:r>
        <w:t xml:space="preserve"> </w:t>
      </w:r>
      <w:r w:rsidR="6C3CA1CD">
        <w:t xml:space="preserve">the other </w:t>
      </w:r>
      <w:r>
        <w:t>reactor</w:t>
      </w:r>
      <w:r w:rsidR="0BF72C9E">
        <w:t xml:space="preserve"> is ongoing</w:t>
      </w:r>
      <w:r>
        <w:t xml:space="preserve">. If consented, the decommissioning works would include the dismantling and deconstruction of buildings and structures in areas within and outside of the </w:t>
      </w:r>
      <w:r w:rsidR="008519F9">
        <w:t>n</w:t>
      </w:r>
      <w:r>
        <w:t xml:space="preserve">uclear </w:t>
      </w:r>
      <w:r w:rsidR="008519F9">
        <w:t>s</w:t>
      </w:r>
      <w:r>
        <w:t xml:space="preserve">ite </w:t>
      </w:r>
      <w:r w:rsidR="008519F9">
        <w:t>l</w:t>
      </w:r>
      <w:r>
        <w:t xml:space="preserve">icence boundary that are part of the power station. Under EIADR, dismantling </w:t>
      </w:r>
      <w:r>
        <w:lastRenderedPageBreak/>
        <w:t>or decommissioning of a nuclear power station or nuclear reactor is not  treated as having commenced unless plant or equipment is disabled or removed for the purpose of permanently preventing the continued operation of that station or reactor.</w:t>
      </w:r>
      <w:r w:rsidR="104F73D9">
        <w:t xml:space="preserve"> Following defueling, ownership of HNB will transfer to the Nuclear Decommissioning Authority and the site will </w:t>
      </w:r>
      <w:r w:rsidR="2F853D8C">
        <w:t xml:space="preserve">then </w:t>
      </w:r>
      <w:r w:rsidR="104F73D9">
        <w:t xml:space="preserve">be operated by </w:t>
      </w:r>
      <w:r w:rsidR="00F63471">
        <w:t xml:space="preserve">Nuclear Restoration Services (formerly </w:t>
      </w:r>
      <w:r w:rsidR="104F73D9">
        <w:t>Magnox Ltd</w:t>
      </w:r>
      <w:r w:rsidR="00F63471">
        <w:t>).</w:t>
      </w:r>
      <w:r w:rsidR="104F73D9">
        <w:t xml:space="preserve">  </w:t>
      </w:r>
    </w:p>
    <w:p w14:paraId="4A4B131A" w14:textId="4ABB8EF3" w:rsidR="0038766B" w:rsidRPr="0038766B" w:rsidRDefault="2F5A11FA" w:rsidP="00410423">
      <w:pPr>
        <w:pStyle w:val="Heading1"/>
      </w:pPr>
      <w:bookmarkStart w:id="7" w:name="_Toc174710530"/>
      <w:r>
        <w:t xml:space="preserve">Assessment </w:t>
      </w:r>
      <w:r w:rsidR="008558D1">
        <w:t>w</w:t>
      </w:r>
      <w:r>
        <w:t xml:space="preserve">ork </w:t>
      </w:r>
      <w:r w:rsidR="008558D1">
        <w:t>c</w:t>
      </w:r>
      <w:r>
        <w:t xml:space="preserve">arried out by ONR in </w:t>
      </w:r>
      <w:r w:rsidR="008558D1">
        <w:t>c</w:t>
      </w:r>
      <w:r>
        <w:t xml:space="preserve">onsideration of this </w:t>
      </w:r>
      <w:r w:rsidR="008558D1">
        <w:t>r</w:t>
      </w:r>
      <w:r>
        <w:t>equest</w:t>
      </w:r>
      <w:bookmarkEnd w:id="7"/>
    </w:p>
    <w:p w14:paraId="5318282D" w14:textId="2F645A2F" w:rsidR="001D7EA6" w:rsidRPr="000B6DBF" w:rsidRDefault="00D75CB5" w:rsidP="782BE474">
      <w:pPr>
        <w:pStyle w:val="NumList1"/>
        <w:rPr>
          <w:rFonts w:ascii="Arial" w:eastAsia="Times New Roman" w:hAnsi="Arial" w:cs="Times New Roman"/>
          <w:sz w:val="20"/>
          <w:szCs w:val="20"/>
          <w:lang w:val="en-US"/>
        </w:rPr>
      </w:pPr>
      <w:r>
        <w:t xml:space="preserve">The </w:t>
      </w:r>
      <w:r w:rsidR="5C9F2863">
        <w:t>full</w:t>
      </w:r>
      <w:r w:rsidR="5C9F2863" w:rsidRPr="009C25FA">
        <w:t xml:space="preserve"> methodology and assessment of the ES</w:t>
      </w:r>
      <w:r w:rsidR="00632DF2">
        <w:t xml:space="preserve"> </w:t>
      </w:r>
      <w:sdt>
        <w:sdtPr>
          <w:id w:val="-947466103"/>
          <w:citation/>
        </w:sdtPr>
        <w:sdtContent>
          <w:r w:rsidR="00632DF2">
            <w:fldChar w:fldCharType="begin"/>
          </w:r>
          <w:r w:rsidR="00632DF2">
            <w:instrText xml:space="preserve"> CITATION EDF23 \l 2057 </w:instrText>
          </w:r>
          <w:r w:rsidR="00632DF2">
            <w:fldChar w:fldCharType="separate"/>
          </w:r>
          <w:r w:rsidR="008B4129" w:rsidRPr="008B4129">
            <w:rPr>
              <w:noProof/>
            </w:rPr>
            <w:t>[6]</w:t>
          </w:r>
          <w:r w:rsidR="00632DF2">
            <w:fldChar w:fldCharType="end"/>
          </w:r>
        </w:sdtContent>
      </w:sdt>
      <w:r w:rsidR="5C9F2863" w:rsidRPr="009C25FA">
        <w:t xml:space="preserve"> is presented in the </w:t>
      </w:r>
      <w:r w:rsidR="5C9F2863">
        <w:t>assessment</w:t>
      </w:r>
      <w:r w:rsidR="5C9F2863" w:rsidRPr="009C25FA">
        <w:t xml:space="preserve"> report</w:t>
      </w:r>
      <w:r w:rsidR="5C9F2863">
        <w:t xml:space="preserve"> </w:t>
      </w:r>
      <w:sdt>
        <w:sdtPr>
          <w:id w:val="-792514929"/>
          <w:citation/>
        </w:sdtPr>
        <w:sdtContent>
          <w:r w:rsidR="006C3907">
            <w:fldChar w:fldCharType="begin"/>
          </w:r>
          <w:r w:rsidR="00040C4E">
            <w:instrText xml:space="preserve">CITATION ONR244 \l 2057 </w:instrText>
          </w:r>
          <w:r w:rsidR="006C3907">
            <w:fldChar w:fldCharType="separate"/>
          </w:r>
          <w:r w:rsidR="008B4129" w:rsidRPr="008B4129">
            <w:rPr>
              <w:noProof/>
            </w:rPr>
            <w:t>[7]</w:t>
          </w:r>
          <w:r w:rsidR="006C3907">
            <w:fldChar w:fldCharType="end"/>
          </w:r>
        </w:sdtContent>
      </w:sdt>
      <w:r w:rsidR="7766673E">
        <w:t>;</w:t>
      </w:r>
      <w:r w:rsidR="5C9F2863" w:rsidRPr="009C25FA">
        <w:t xml:space="preserve"> a summary is provided here. </w:t>
      </w:r>
      <w:r>
        <w:rPr>
          <w:lang w:val="en-US"/>
        </w:rPr>
        <w:t>We</w:t>
      </w:r>
      <w:r w:rsidR="10C15292" w:rsidRPr="00D506BE">
        <w:rPr>
          <w:lang w:val="en-US"/>
        </w:rPr>
        <w:t xml:space="preserve"> conducted a </w:t>
      </w:r>
      <w:r w:rsidR="10C15292">
        <w:rPr>
          <w:lang w:val="en-US"/>
        </w:rPr>
        <w:t xml:space="preserve">three </w:t>
      </w:r>
      <w:r w:rsidR="10C15292" w:rsidRPr="00D506BE">
        <w:rPr>
          <w:lang w:val="en-US"/>
        </w:rPr>
        <w:t xml:space="preserve">month public consultation exercise, running from </w:t>
      </w:r>
      <w:r w:rsidR="10C15292">
        <w:rPr>
          <w:lang w:val="en-US"/>
        </w:rPr>
        <w:t>December 2023</w:t>
      </w:r>
      <w:r w:rsidR="10C15292" w:rsidRPr="00D506BE">
        <w:rPr>
          <w:lang w:val="en-US"/>
        </w:rPr>
        <w:t xml:space="preserve"> to </w:t>
      </w:r>
      <w:r w:rsidR="10C15292">
        <w:rPr>
          <w:lang w:val="en-US"/>
        </w:rPr>
        <w:t>March 2024</w:t>
      </w:r>
      <w:r w:rsidR="10C15292" w:rsidRPr="00D506BE">
        <w:rPr>
          <w:lang w:val="en-US"/>
        </w:rPr>
        <w:t>. At the end of the consultation</w:t>
      </w:r>
      <w:r>
        <w:rPr>
          <w:lang w:val="en-US"/>
        </w:rPr>
        <w:t xml:space="preserve"> period</w:t>
      </w:r>
      <w:r w:rsidR="10C15292" w:rsidRPr="00D506BE">
        <w:rPr>
          <w:lang w:val="en-US"/>
        </w:rPr>
        <w:t xml:space="preserve">, </w:t>
      </w:r>
      <w:r w:rsidR="10C15292">
        <w:rPr>
          <w:lang w:val="en-US"/>
        </w:rPr>
        <w:t>seven</w:t>
      </w:r>
      <w:r w:rsidR="10C15292" w:rsidRPr="00D506BE">
        <w:rPr>
          <w:lang w:val="en-US"/>
        </w:rPr>
        <w:t xml:space="preserve"> responses were received from </w:t>
      </w:r>
      <w:r w:rsidR="10C15292">
        <w:rPr>
          <w:lang w:val="en-US"/>
        </w:rPr>
        <w:t>six</w:t>
      </w:r>
      <w:r w:rsidR="10C15292" w:rsidRPr="00D506BE">
        <w:rPr>
          <w:lang w:val="en-US"/>
        </w:rPr>
        <w:t xml:space="preserve"> organisations</w:t>
      </w:r>
      <w:r w:rsidR="35859A0B">
        <w:rPr>
          <w:lang w:val="en-US"/>
        </w:rPr>
        <w:t xml:space="preserve"> (see Appendix 1</w:t>
      </w:r>
      <w:r w:rsidR="2F853D8C">
        <w:rPr>
          <w:lang w:val="en-US"/>
        </w:rPr>
        <w:t>)</w:t>
      </w:r>
      <w:r w:rsidR="10C15292" w:rsidRPr="00D506BE">
        <w:rPr>
          <w:lang w:val="en-US"/>
        </w:rPr>
        <w:t>, including</w:t>
      </w:r>
      <w:r w:rsidR="10C15292">
        <w:rPr>
          <w:lang w:val="en-US"/>
        </w:rPr>
        <w:t xml:space="preserve"> the Scottish Environment Protection Agency (SEPA), NatureScot, Historic Environment Scotland</w:t>
      </w:r>
      <w:r w:rsidR="0BF5BFDA">
        <w:rPr>
          <w:lang w:val="en-US"/>
        </w:rPr>
        <w:t xml:space="preserve"> (HES)</w:t>
      </w:r>
      <w:r w:rsidR="61221F59">
        <w:rPr>
          <w:lang w:val="en-US"/>
        </w:rPr>
        <w:t xml:space="preserve">, </w:t>
      </w:r>
      <w:r w:rsidR="3EE6CA9F">
        <w:rPr>
          <w:lang w:val="en-US"/>
        </w:rPr>
        <w:t xml:space="preserve">and </w:t>
      </w:r>
      <w:r w:rsidR="00B95779">
        <w:rPr>
          <w:lang w:val="en-US"/>
        </w:rPr>
        <w:t xml:space="preserve">the </w:t>
      </w:r>
      <w:r w:rsidR="61221F59" w:rsidRPr="782BE474">
        <w:rPr>
          <w:lang w:val="en-US"/>
        </w:rPr>
        <w:t>Hunterston Site Stakeholder Group, which</w:t>
      </w:r>
      <w:r w:rsidR="2BEAEE52" w:rsidRPr="782BE474">
        <w:rPr>
          <w:lang w:val="en-US"/>
        </w:rPr>
        <w:t xml:space="preserve"> comprises</w:t>
      </w:r>
      <w:r w:rsidR="61221F59" w:rsidRPr="782BE474">
        <w:rPr>
          <w:lang w:val="en-US"/>
        </w:rPr>
        <w:t xml:space="preserve"> representatives of local councils,</w:t>
      </w:r>
      <w:r w:rsidR="04AE66B8" w:rsidRPr="782BE474">
        <w:rPr>
          <w:lang w:val="en-US"/>
        </w:rPr>
        <w:t xml:space="preserve"> local community groups, local residents</w:t>
      </w:r>
      <w:r w:rsidR="61221F59" w:rsidRPr="782BE474">
        <w:rPr>
          <w:lang w:val="en-US"/>
        </w:rPr>
        <w:t xml:space="preserve"> and other interested stakeholders</w:t>
      </w:r>
      <w:r w:rsidR="10C15292">
        <w:rPr>
          <w:lang w:val="en-US"/>
        </w:rPr>
        <w:t>.</w:t>
      </w:r>
      <w:r w:rsidR="10C15292" w:rsidRPr="00445189">
        <w:rPr>
          <w:rFonts w:ascii="Arial" w:eastAsia="Times New Roman" w:hAnsi="Arial" w:cs="Times New Roman"/>
          <w:sz w:val="20"/>
          <w:szCs w:val="20"/>
          <w:lang w:val="en-US"/>
        </w:rPr>
        <w:t xml:space="preserve"> </w:t>
      </w:r>
    </w:p>
    <w:p w14:paraId="3573F164" w14:textId="2AD7AA5D" w:rsidR="000B6DBF" w:rsidRPr="000B6DBF" w:rsidRDefault="000008E6" w:rsidP="00BE204B">
      <w:pPr>
        <w:pStyle w:val="NumList1"/>
      </w:pPr>
      <w:r>
        <w:t>A</w:t>
      </w:r>
      <w:r w:rsidR="000B6DBF" w:rsidRPr="000B6DBF">
        <w:t xml:space="preserve"> </w:t>
      </w:r>
      <w:r w:rsidR="00221304">
        <w:t>review</w:t>
      </w:r>
      <w:r w:rsidR="00221304" w:rsidRPr="000B6DBF">
        <w:t xml:space="preserve"> </w:t>
      </w:r>
      <w:r w:rsidR="000B6DBF" w:rsidRPr="000B6DBF">
        <w:t>of the ES</w:t>
      </w:r>
      <w:r>
        <w:t xml:space="preserve"> and its supporting documents was undertaken</w:t>
      </w:r>
      <w:r w:rsidR="000B6DBF" w:rsidRPr="000B6DBF">
        <w:t xml:space="preserve"> to judge whether the contents of the ES</w:t>
      </w:r>
      <w:r w:rsidR="00C07B8A">
        <w:t xml:space="preserve"> </w:t>
      </w:r>
      <w:sdt>
        <w:sdtPr>
          <w:id w:val="-1419095732"/>
          <w:citation/>
        </w:sdtPr>
        <w:sdtContent>
          <w:r w:rsidR="00C07B8A">
            <w:fldChar w:fldCharType="begin"/>
          </w:r>
          <w:r w:rsidR="00C07B8A">
            <w:instrText xml:space="preserve"> CITATION EDF23 \l 2057 </w:instrText>
          </w:r>
          <w:r w:rsidR="00C07B8A">
            <w:fldChar w:fldCharType="separate"/>
          </w:r>
          <w:r w:rsidR="008B4129" w:rsidRPr="008B4129">
            <w:rPr>
              <w:noProof/>
            </w:rPr>
            <w:t>[6]</w:t>
          </w:r>
          <w:r w:rsidR="00C07B8A">
            <w:fldChar w:fldCharType="end"/>
          </w:r>
        </w:sdtContent>
      </w:sdt>
      <w:r w:rsidR="000B6DBF" w:rsidRPr="000B6DBF">
        <w:t xml:space="preserve"> meets </w:t>
      </w:r>
      <w:r w:rsidR="00A6203E">
        <w:t>the regulatory requirements of EIADR</w:t>
      </w:r>
      <w:r w:rsidR="000B6DBF" w:rsidRPr="000B6DBF">
        <w:t>. This included checking the structure and logic of the ES, as well as the overall quality of the data, judgements and conclusions presented.</w:t>
      </w:r>
      <w:r w:rsidR="00B07F8F">
        <w:t xml:space="preserve"> In addition, </w:t>
      </w:r>
      <w:r w:rsidR="00E2720F">
        <w:t xml:space="preserve">in line with </w:t>
      </w:r>
      <w:r w:rsidR="001C0AC6">
        <w:t>our</w:t>
      </w:r>
      <w:r w:rsidR="00E2720F">
        <w:t xml:space="preserve"> Enforcement Policy</w:t>
      </w:r>
      <w:r w:rsidR="008C27E7">
        <w:t xml:space="preserve"> </w:t>
      </w:r>
      <w:sdt>
        <w:sdtPr>
          <w:id w:val="-508065105"/>
          <w:citation/>
        </w:sdtPr>
        <w:sdtContent>
          <w:r w:rsidR="005068DC">
            <w:fldChar w:fldCharType="begin"/>
          </w:r>
          <w:r w:rsidR="005068DC">
            <w:instrText xml:space="preserve"> CITATION ONR245 \l 2057 </w:instrText>
          </w:r>
          <w:r w:rsidR="005068DC">
            <w:fldChar w:fldCharType="separate"/>
          </w:r>
          <w:r w:rsidR="008B4129" w:rsidRPr="008B4129">
            <w:rPr>
              <w:noProof/>
            </w:rPr>
            <w:t>[8]</w:t>
          </w:r>
          <w:r w:rsidR="005068DC">
            <w:fldChar w:fldCharType="end"/>
          </w:r>
        </w:sdtContent>
      </w:sdt>
      <w:r w:rsidR="005068DC">
        <w:t>,</w:t>
      </w:r>
      <w:r w:rsidR="000B6DBF" w:rsidRPr="000B6DBF">
        <w:t xml:space="preserve"> a sampling approach </w:t>
      </w:r>
      <w:r w:rsidR="005068DC">
        <w:t>was used to</w:t>
      </w:r>
      <w:r w:rsidR="000B6DBF" w:rsidRPr="000B6DBF">
        <w:t xml:space="preserve"> </w:t>
      </w:r>
      <w:r w:rsidR="005068DC">
        <w:t>conduc</w:t>
      </w:r>
      <w:r w:rsidR="000B6DBF" w:rsidRPr="000B6DBF">
        <w:t xml:space="preserve">t a detailed assessment of the topics in the ES which are considered to present the most environmental risk and/or topics which received the most attention during the public consultation on EDF’s </w:t>
      </w:r>
      <w:r w:rsidR="001567CB">
        <w:t>s</w:t>
      </w:r>
      <w:r w:rsidR="000B6DBF" w:rsidRPr="000B6DBF">
        <w:t xml:space="preserve">coping </w:t>
      </w:r>
      <w:r w:rsidR="001567CB">
        <w:t>r</w:t>
      </w:r>
      <w:r w:rsidR="000B6DBF" w:rsidRPr="000B6DBF">
        <w:t xml:space="preserve">eport. </w:t>
      </w:r>
      <w:r w:rsidR="00214E9F">
        <w:t xml:space="preserve">These topics </w:t>
      </w:r>
      <w:r w:rsidR="00FC565C">
        <w:t>included:</w:t>
      </w:r>
    </w:p>
    <w:p w14:paraId="3C00632B" w14:textId="77777777" w:rsidR="000B6DBF" w:rsidRPr="000B6DBF" w:rsidRDefault="000B6DBF" w:rsidP="00FC565C">
      <w:pPr>
        <w:pStyle w:val="Bulletlist1"/>
      </w:pPr>
      <w:r w:rsidRPr="000B6DBF">
        <w:t>Marine biodiversity</w:t>
      </w:r>
    </w:p>
    <w:p w14:paraId="75E93A4A" w14:textId="77777777" w:rsidR="000B6DBF" w:rsidRPr="000B6DBF" w:rsidRDefault="000B6DBF" w:rsidP="00FC565C">
      <w:pPr>
        <w:pStyle w:val="Bulletlist1"/>
      </w:pPr>
      <w:r w:rsidRPr="000B6DBF">
        <w:t>Traffic and transport</w:t>
      </w:r>
    </w:p>
    <w:p w14:paraId="0F6E28A4" w14:textId="77777777" w:rsidR="000B6DBF" w:rsidRPr="000B6DBF" w:rsidRDefault="000B6DBF" w:rsidP="00FC565C">
      <w:pPr>
        <w:pStyle w:val="Bulletlist1"/>
      </w:pPr>
      <w:r w:rsidRPr="000B6DBF">
        <w:t>Soils, geology, and hydrogeology</w:t>
      </w:r>
    </w:p>
    <w:p w14:paraId="1019C385" w14:textId="77777777" w:rsidR="000B6DBF" w:rsidRPr="000B6DBF" w:rsidRDefault="000B6DBF" w:rsidP="00FC565C">
      <w:pPr>
        <w:pStyle w:val="Bulletlist1"/>
      </w:pPr>
      <w:r w:rsidRPr="000B6DBF">
        <w:t>People and communities</w:t>
      </w:r>
    </w:p>
    <w:p w14:paraId="7B87A8BF" w14:textId="46B4E207" w:rsidR="003E5F60" w:rsidRDefault="26CC8B2A" w:rsidP="782BE474">
      <w:pPr>
        <w:pStyle w:val="NumList1"/>
        <w:rPr>
          <w:lang w:val="en-US"/>
        </w:rPr>
      </w:pPr>
      <w:r>
        <w:t xml:space="preserve">The assessment was supported by a technical review of the ES carried out by </w:t>
      </w:r>
      <w:r w:rsidR="008558D1">
        <w:t>our</w:t>
      </w:r>
      <w:r>
        <w:t xml:space="preserve"> TSC</w:t>
      </w:r>
      <w:r w:rsidR="002770EB">
        <w:t xml:space="preserve"> </w:t>
      </w:r>
      <w:sdt>
        <w:sdtPr>
          <w:id w:val="-657998356"/>
          <w:citation/>
        </w:sdtPr>
        <w:sdtContent>
          <w:r w:rsidR="002770EB">
            <w:fldChar w:fldCharType="begin"/>
          </w:r>
          <w:r w:rsidR="002770EB">
            <w:instrText xml:space="preserve"> CITATION Mot24 \l 2057 </w:instrText>
          </w:r>
          <w:r w:rsidR="002770EB">
            <w:fldChar w:fldCharType="separate"/>
          </w:r>
          <w:r w:rsidR="008B4129" w:rsidRPr="008B4129">
            <w:rPr>
              <w:noProof/>
            </w:rPr>
            <w:t>[5]</w:t>
          </w:r>
          <w:r w:rsidR="002770EB">
            <w:fldChar w:fldCharType="end"/>
          </w:r>
        </w:sdtContent>
      </w:sdt>
      <w:r>
        <w:t xml:space="preserve">. </w:t>
      </w:r>
      <w:r w:rsidR="429F0041">
        <w:t xml:space="preserve">The TSC’s review and the responses from the public consultation </w:t>
      </w:r>
      <w:r w:rsidR="21830A9E">
        <w:t>informed</w:t>
      </w:r>
      <w:r w:rsidR="34459B00">
        <w:t xml:space="preserve"> </w:t>
      </w:r>
      <w:r w:rsidR="001567CB">
        <w:t>our</w:t>
      </w:r>
      <w:r w:rsidR="429F0041">
        <w:t xml:space="preserve"> judg</w:t>
      </w:r>
      <w:r w:rsidR="34459B00">
        <w:t>ement as to</w:t>
      </w:r>
      <w:r w:rsidR="429F0041">
        <w:t xml:space="preserve"> whether consent for the project should be granted. </w:t>
      </w:r>
      <w:r w:rsidR="50DFAC8B">
        <w:t>Consideration was given to</w:t>
      </w:r>
      <w:r w:rsidR="429F0041">
        <w:t xml:space="preserve"> whether </w:t>
      </w:r>
      <w:r w:rsidR="50DFAC8B">
        <w:t>relevant good practice</w:t>
      </w:r>
      <w:r w:rsidR="429F0041">
        <w:t xml:space="preserve"> had been followed in the EIA process to reach conclusions about the likelihood of significant adverse environmental effects occurring as a consequence of the project and how effects will be prevented, reduced, or offset through mitigation and monitoring measures.</w:t>
      </w:r>
      <w:r w:rsidR="004731AC" w:rsidRPr="782BE474">
        <w:rPr>
          <w:rFonts w:ascii="Arial" w:eastAsia="Times New Roman" w:hAnsi="Arial" w:cs="Times New Roman"/>
          <w:sz w:val="20"/>
          <w:szCs w:val="20"/>
        </w:rPr>
        <w:t xml:space="preserve"> </w:t>
      </w:r>
      <w:r w:rsidR="004731AC">
        <w:t>The suitability of these mitigation measures was also reviewed and commented on by expert stakeholders</w:t>
      </w:r>
      <w:r w:rsidR="0BF5BFDA">
        <w:t>, such as SEPA, NatureScot, and HES.</w:t>
      </w:r>
      <w:r w:rsidR="3C13713F">
        <w:t xml:space="preserve"> </w:t>
      </w:r>
      <w:r w:rsidR="585058A6" w:rsidRPr="782BE474">
        <w:rPr>
          <w:lang w:val="en-US"/>
        </w:rPr>
        <w:t>O</w:t>
      </w:r>
      <w:r w:rsidR="00616FF4">
        <w:rPr>
          <w:lang w:val="en-US"/>
        </w:rPr>
        <w:t>ur</w:t>
      </w:r>
      <w:r w:rsidR="585058A6" w:rsidRPr="782BE474">
        <w:rPr>
          <w:lang w:val="en-US"/>
        </w:rPr>
        <w:t xml:space="preserve"> assessment also considered</w:t>
      </w:r>
      <w:r w:rsidR="0FE0B661" w:rsidRPr="782BE474">
        <w:rPr>
          <w:lang w:val="en-US"/>
        </w:rPr>
        <w:t xml:space="preserve"> whether or not there </w:t>
      </w:r>
      <w:r w:rsidR="03AB8E39" w:rsidRPr="782BE474">
        <w:rPr>
          <w:lang w:val="en-US"/>
        </w:rPr>
        <w:t>are</w:t>
      </w:r>
      <w:r w:rsidR="0FE0B661" w:rsidRPr="782BE474">
        <w:rPr>
          <w:lang w:val="en-US"/>
        </w:rPr>
        <w:t xml:space="preserve"> likely to be</w:t>
      </w:r>
      <w:r w:rsidR="3854F42A" w:rsidRPr="782BE474">
        <w:rPr>
          <w:lang w:val="en-US"/>
        </w:rPr>
        <w:t xml:space="preserve"> </w:t>
      </w:r>
      <w:r w:rsidR="0FE0B661" w:rsidRPr="782BE474">
        <w:rPr>
          <w:lang w:val="en-US"/>
        </w:rPr>
        <w:t xml:space="preserve">significant </w:t>
      </w:r>
      <w:r w:rsidR="0FE0B661" w:rsidRPr="782BE474">
        <w:rPr>
          <w:lang w:val="en-US"/>
        </w:rPr>
        <w:lastRenderedPageBreak/>
        <w:t xml:space="preserve">adverse environmental </w:t>
      </w:r>
      <w:r w:rsidR="3854F42A" w:rsidRPr="782BE474">
        <w:rPr>
          <w:lang w:val="en-US"/>
        </w:rPr>
        <w:t>impact</w:t>
      </w:r>
      <w:r w:rsidR="0FE0B661" w:rsidRPr="782BE474">
        <w:rPr>
          <w:lang w:val="en-US"/>
        </w:rPr>
        <w:t>s</w:t>
      </w:r>
      <w:r w:rsidR="3854F42A" w:rsidRPr="782BE474">
        <w:rPr>
          <w:lang w:val="en-US"/>
        </w:rPr>
        <w:t xml:space="preserve"> of the decommissioning project on other European Economic Area (EEA) states. </w:t>
      </w:r>
    </w:p>
    <w:p w14:paraId="7763DC4C" w14:textId="3762E1A0" w:rsidR="009D7539" w:rsidRDefault="009D7539" w:rsidP="009D7539">
      <w:pPr>
        <w:pStyle w:val="NumList1"/>
      </w:pPr>
      <w:r>
        <w:t xml:space="preserve">The </w:t>
      </w:r>
      <w:r w:rsidRPr="00D72D41">
        <w:t>Conservation (Natural Habitats.) Regulations 1994</w:t>
      </w:r>
      <w:r>
        <w:t xml:space="preserve"> (hereafter referred to as the Habitats Regulations) </w:t>
      </w:r>
      <w:r w:rsidRPr="00F0341B">
        <w:t xml:space="preserve">in Scotland require </w:t>
      </w:r>
      <w:r>
        <w:t>c</w:t>
      </w:r>
      <w:r w:rsidRPr="00F0341B">
        <w:t xml:space="preserve">ompetent </w:t>
      </w:r>
      <w:r>
        <w:t>a</w:t>
      </w:r>
      <w:r w:rsidRPr="00F0341B">
        <w:t>uthorities</w:t>
      </w:r>
      <w:r>
        <w:t xml:space="preserve"> </w:t>
      </w:r>
      <w:r w:rsidRPr="005111D0">
        <w:t>(in this case, ONR)</w:t>
      </w:r>
      <w:r w:rsidRPr="00F0341B">
        <w:t xml:space="preserve"> to make an appropriate assessment of the implications of a project or plan on a European </w:t>
      </w:r>
      <w:r>
        <w:t>s</w:t>
      </w:r>
      <w:r w:rsidRPr="00F0341B">
        <w:t>ite.</w:t>
      </w:r>
      <w:r w:rsidRPr="00DA2DDE">
        <w:t xml:space="preserve"> </w:t>
      </w:r>
      <w:r w:rsidRPr="00355FE4">
        <w:t>The term ‘European site’ is used to refer to what were previously known as ‘Natura’ sites. This recognises that Special Protection Areas and Special Areas of Conservation</w:t>
      </w:r>
      <w:r>
        <w:t xml:space="preserve"> </w:t>
      </w:r>
      <w:r w:rsidRPr="00355FE4">
        <w:t>protect species and habitats shared across Europe and were originally designated under European legislation.</w:t>
      </w:r>
      <w:r w:rsidRPr="00F0341B">
        <w:t xml:space="preserve"> Under EIADR</w:t>
      </w:r>
      <w:r>
        <w:t xml:space="preserve"> Regulation 4A(2),</w:t>
      </w:r>
      <w:r w:rsidRPr="00F0341B">
        <w:t xml:space="preserve"> </w:t>
      </w:r>
      <w:r>
        <w:t xml:space="preserve">ONR </w:t>
      </w:r>
      <w:r w:rsidRPr="00F0341B">
        <w:t xml:space="preserve">must be satisfied that </w:t>
      </w:r>
      <w:r>
        <w:t xml:space="preserve">an assessment under the </w:t>
      </w:r>
      <w:r w:rsidRPr="00100753">
        <w:t xml:space="preserve">Habitats Regulations </w:t>
      </w:r>
      <w:r w:rsidRPr="00F0341B">
        <w:t>ha</w:t>
      </w:r>
      <w:r>
        <w:t>s</w:t>
      </w:r>
      <w:r w:rsidRPr="00F0341B">
        <w:t xml:space="preserve"> been co-ordinated and </w:t>
      </w:r>
      <w:r>
        <w:t xml:space="preserve">that the </w:t>
      </w:r>
      <w:r w:rsidRPr="00F0341B">
        <w:t xml:space="preserve">conclusions of the </w:t>
      </w:r>
      <w:r w:rsidR="007C1CD2">
        <w:t>assessment</w:t>
      </w:r>
      <w:r w:rsidRPr="00F0341B">
        <w:t xml:space="preserve"> </w:t>
      </w:r>
      <w:r>
        <w:t>have been</w:t>
      </w:r>
      <w:r w:rsidRPr="00F0341B">
        <w:t xml:space="preserve"> considered in the EIA, where applicable.</w:t>
      </w:r>
      <w:r>
        <w:t xml:space="preserve"> EDF submitted to </w:t>
      </w:r>
      <w:r w:rsidR="009963D9">
        <w:t>us</w:t>
      </w:r>
      <w:r w:rsidR="003A0D84">
        <w:t xml:space="preserve"> </w:t>
      </w:r>
      <w:r>
        <w:t xml:space="preserve">a </w:t>
      </w:r>
      <w:r w:rsidRPr="00737611">
        <w:t>Habitats Regulations Appraisal</w:t>
      </w:r>
      <w:r w:rsidR="00A95825">
        <w:t xml:space="preserve"> (HRA)</w:t>
      </w:r>
      <w:r w:rsidRPr="00737611">
        <w:t xml:space="preserve"> Report</w:t>
      </w:r>
      <w:sdt>
        <w:sdtPr>
          <w:id w:val="1952815142"/>
          <w:citation/>
        </w:sdtPr>
        <w:sdtContent>
          <w:r>
            <w:fldChar w:fldCharType="begin"/>
          </w:r>
          <w:r>
            <w:instrText xml:space="preserve"> CITATION EDF235 \l 2057 </w:instrText>
          </w:r>
          <w:r>
            <w:fldChar w:fldCharType="separate"/>
          </w:r>
          <w:r w:rsidR="008B4129">
            <w:rPr>
              <w:noProof/>
            </w:rPr>
            <w:t xml:space="preserve"> </w:t>
          </w:r>
          <w:r w:rsidR="008B4129" w:rsidRPr="008B4129">
            <w:rPr>
              <w:noProof/>
            </w:rPr>
            <w:t>[9]</w:t>
          </w:r>
          <w:r>
            <w:fldChar w:fldCharType="end"/>
          </w:r>
        </w:sdtContent>
      </w:sdt>
      <w:r>
        <w:t xml:space="preserve"> alongside the ES. </w:t>
      </w:r>
      <w:r w:rsidR="009963D9">
        <w:t>We</w:t>
      </w:r>
      <w:r>
        <w:t xml:space="preserve"> assessed this report to ascertain that the decommissioning project </w:t>
      </w:r>
      <w:r w:rsidRPr="000F43F3">
        <w:t xml:space="preserve">will not adversely affect the integrity of </w:t>
      </w:r>
      <w:r>
        <w:t>any</w:t>
      </w:r>
      <w:r w:rsidRPr="000F43F3">
        <w:t xml:space="preserve"> European site</w:t>
      </w:r>
      <w:r>
        <w:t>.</w:t>
      </w:r>
    </w:p>
    <w:p w14:paraId="0CB7B822" w14:textId="6026457D" w:rsidR="001B116E" w:rsidRDefault="001B116E" w:rsidP="00BE204B">
      <w:pPr>
        <w:pStyle w:val="NumList1"/>
      </w:pPr>
      <w:r w:rsidRPr="0083170B">
        <w:t xml:space="preserve">EIADR provides </w:t>
      </w:r>
      <w:r w:rsidR="008F54F3">
        <w:t>us</w:t>
      </w:r>
      <w:r w:rsidRPr="0083170B">
        <w:t xml:space="preserve"> with the power to attach conditions to any consent </w:t>
      </w:r>
      <w:r w:rsidR="008F54F3">
        <w:t xml:space="preserve">that we </w:t>
      </w:r>
      <w:r w:rsidRPr="0083170B">
        <w:t xml:space="preserve"> grant, as </w:t>
      </w:r>
      <w:r>
        <w:t>considered</w:t>
      </w:r>
      <w:r w:rsidRPr="0083170B">
        <w:t xml:space="preserve"> necessary or desirable in the interests of limiting the impact of that project on the environment. Such conditions </w:t>
      </w:r>
      <w:r>
        <w:t>usually</w:t>
      </w:r>
      <w:r w:rsidRPr="0083170B">
        <w:t xml:space="preserve"> require the licensee to prepare and implement an environmental management plan</w:t>
      </w:r>
      <w:r>
        <w:t xml:space="preserve"> (EMP)</w:t>
      </w:r>
      <w:r w:rsidRPr="0083170B">
        <w:t xml:space="preserve">. </w:t>
      </w:r>
      <w:r>
        <w:t>The EMP</w:t>
      </w:r>
      <w:r w:rsidRPr="0083170B">
        <w:t xml:space="preserve"> identifies mitigation measures, describes the implementation and effectiveness of mitigation measures, and describes changes to mitigation measures and reasons for changes in light of experience. In such circumstances</w:t>
      </w:r>
      <w:r w:rsidR="00FC2299">
        <w:t>,</w:t>
      </w:r>
      <w:r w:rsidRPr="0083170B">
        <w:t xml:space="preserve"> a copy of the </w:t>
      </w:r>
      <w:r>
        <w:t>EMP</w:t>
      </w:r>
      <w:r w:rsidRPr="0083170B">
        <w:t xml:space="preserve"> and its subsequent </w:t>
      </w:r>
      <w:r w:rsidR="005101F6">
        <w:t xml:space="preserve">annual </w:t>
      </w:r>
      <w:r w:rsidRPr="0083170B">
        <w:t xml:space="preserve">revisions must be sent to </w:t>
      </w:r>
      <w:r w:rsidR="00EB113A">
        <w:t>us</w:t>
      </w:r>
      <w:r w:rsidR="00A8080F">
        <w:t xml:space="preserve"> </w:t>
      </w:r>
      <w:r w:rsidRPr="0083170B">
        <w:t xml:space="preserve">and made available to the public. </w:t>
      </w:r>
      <w:r w:rsidR="00EB113A">
        <w:t>We</w:t>
      </w:r>
      <w:r w:rsidRPr="0083170B">
        <w:t xml:space="preserve"> must also be notified in advance of any proposed significant changes to the mitigation measures in the plan.</w:t>
      </w:r>
      <w:r w:rsidR="00DE731A">
        <w:t xml:space="preserve"> </w:t>
      </w:r>
      <w:r>
        <w:t xml:space="preserve">EDF provided an </w:t>
      </w:r>
      <w:r w:rsidR="00EB113A">
        <w:t>o</w:t>
      </w:r>
      <w:r>
        <w:t>utline EMP</w:t>
      </w:r>
      <w:r w:rsidR="00DE731A">
        <w:t xml:space="preserve"> </w:t>
      </w:r>
      <w:sdt>
        <w:sdtPr>
          <w:id w:val="753711602"/>
          <w:citation/>
        </w:sdtPr>
        <w:sdtContent>
          <w:r w:rsidR="00DE731A">
            <w:fldChar w:fldCharType="begin"/>
          </w:r>
          <w:r w:rsidR="00DE731A">
            <w:instrText xml:space="preserve"> CITATION EDF236 \l 2057 </w:instrText>
          </w:r>
          <w:r w:rsidR="00DE731A">
            <w:fldChar w:fldCharType="separate"/>
          </w:r>
          <w:r w:rsidR="008B4129" w:rsidRPr="008B4129">
            <w:rPr>
              <w:noProof/>
            </w:rPr>
            <w:t>[10]</w:t>
          </w:r>
          <w:r w:rsidR="00DE731A">
            <w:fldChar w:fldCharType="end"/>
          </w:r>
        </w:sdtContent>
      </w:sdt>
      <w:r>
        <w:t xml:space="preserve"> to </w:t>
      </w:r>
      <w:r w:rsidR="00B440FA">
        <w:t>us</w:t>
      </w:r>
      <w:r>
        <w:t xml:space="preserve"> alongside the ES</w:t>
      </w:r>
      <w:r w:rsidR="00652896">
        <w:t xml:space="preserve"> on the basis that the first official</w:t>
      </w:r>
      <w:r w:rsidR="00B76C22">
        <w:t xml:space="preserve"> issue</w:t>
      </w:r>
      <w:r w:rsidR="00652896">
        <w:t xml:space="preserve"> of the document would be provided</w:t>
      </w:r>
      <w:r w:rsidR="00B76C22">
        <w:t xml:space="preserve"> after the consent decision has been made</w:t>
      </w:r>
      <w:r>
        <w:t xml:space="preserve">. Since the EMP is not required as part of an Application for Consent, </w:t>
      </w:r>
      <w:r w:rsidR="00B440FA">
        <w:t>we</w:t>
      </w:r>
      <w:r>
        <w:t xml:space="preserve"> did not assess the document. However, it is referenced throughout the ES and provides a useful summary of the proposed mitigation measures in the </w:t>
      </w:r>
      <w:r w:rsidR="00B76C22">
        <w:t>EIA.</w:t>
      </w:r>
    </w:p>
    <w:p w14:paraId="59A5C587" w14:textId="71F54389" w:rsidR="0038766B" w:rsidRPr="0038766B" w:rsidRDefault="000F617C" w:rsidP="00410423">
      <w:pPr>
        <w:pStyle w:val="Heading1"/>
      </w:pPr>
      <w:bookmarkStart w:id="8" w:name="_Toc174710531"/>
      <w:r>
        <w:t xml:space="preserve">Matters </w:t>
      </w:r>
      <w:r w:rsidR="008558D1">
        <w:t>a</w:t>
      </w:r>
      <w:r>
        <w:t>rising from ONR</w:t>
      </w:r>
      <w:r w:rsidR="00B440FA">
        <w:t>’</w:t>
      </w:r>
      <w:r>
        <w:t xml:space="preserve">s </w:t>
      </w:r>
      <w:r w:rsidR="008558D1">
        <w:t>w</w:t>
      </w:r>
      <w:r>
        <w:t>ork</w:t>
      </w:r>
      <w:bookmarkEnd w:id="8"/>
    </w:p>
    <w:p w14:paraId="1322A5C3" w14:textId="63D9C624" w:rsidR="001C5F14" w:rsidRDefault="001C5F14" w:rsidP="001C5F14">
      <w:pPr>
        <w:pStyle w:val="NumList1"/>
      </w:pPr>
      <w:r w:rsidRPr="001C5F14">
        <w:t>The detailed review prompted technical queries posed to EDF on the con</w:t>
      </w:r>
      <w:r>
        <w:t>t</w:t>
      </w:r>
      <w:r w:rsidRPr="001C5F14">
        <w:t xml:space="preserve">ent of the ES. Specifically, greater granularity was requested on the project description for the marine works so that the worst-case scenario considered in the assessment of effects on marine receptors could be understood. Justification for the assessment methodologies used in the traffic and transport and the people and communities assessments were clarified by EDF. </w:t>
      </w:r>
    </w:p>
    <w:p w14:paraId="7FA35462" w14:textId="2DCB2761" w:rsidR="00772A11" w:rsidRDefault="00CE4111" w:rsidP="00257AD9">
      <w:pPr>
        <w:pStyle w:val="NumList1"/>
      </w:pPr>
      <w:r>
        <w:t>Significant adverse environmental effects were identified in two of the</w:t>
      </w:r>
      <w:r w:rsidR="00450645">
        <w:t xml:space="preserve"> 16</w:t>
      </w:r>
      <w:r>
        <w:t xml:space="preserve"> technical chapters. Firstly, there will be significant effects on the views of the </w:t>
      </w:r>
      <w:r w:rsidR="009E21BD">
        <w:t>power station</w:t>
      </w:r>
      <w:r>
        <w:t xml:space="preserve"> </w:t>
      </w:r>
      <w:r w:rsidR="00DC1058">
        <w:t>for people</w:t>
      </w:r>
      <w:r>
        <w:t xml:space="preserve"> in the local vicinity of the HNB site, including on Power Station Road and Ayrshire Coastal path. However, the effects will be temporary due to the phased nature of the </w:t>
      </w:r>
      <w:r w:rsidR="00DC1058">
        <w:t>project</w:t>
      </w:r>
      <w:r>
        <w:t xml:space="preserve">. EDF plans to clad the reactor building safestore with </w:t>
      </w:r>
      <w:r>
        <w:lastRenderedPageBreak/>
        <w:t xml:space="preserve">dark/greyscale colour material which </w:t>
      </w:r>
      <w:r w:rsidR="00947DC7">
        <w:t>we</w:t>
      </w:r>
      <w:r w:rsidR="00DC1058">
        <w:t xml:space="preserve"> consider to be</w:t>
      </w:r>
      <w:r>
        <w:t xml:space="preserve"> a suitable mitigation measure to reduce the adverse visual effect. </w:t>
      </w:r>
      <w:r w:rsidR="00772A11">
        <w:t>Significant visual effects</w:t>
      </w:r>
      <w:r w:rsidR="00772A11" w:rsidRPr="00060578">
        <w:t xml:space="preserve"> </w:t>
      </w:r>
      <w:r w:rsidR="00772A11">
        <w:t xml:space="preserve">were also identified on other viewpoints </w:t>
      </w:r>
      <w:r w:rsidR="00772A11" w:rsidRPr="00060578">
        <w:t xml:space="preserve">as a result of the </w:t>
      </w:r>
      <w:r w:rsidR="00E91039">
        <w:t>decommissioning project</w:t>
      </w:r>
      <w:r w:rsidR="00772A11" w:rsidRPr="00060578">
        <w:t xml:space="preserve"> </w:t>
      </w:r>
      <w:r w:rsidR="00772A11">
        <w:t xml:space="preserve">interacting </w:t>
      </w:r>
      <w:r w:rsidR="00772A11" w:rsidRPr="00060578">
        <w:t>cumulatively with other projects proposed in a 10 km search radius.</w:t>
      </w:r>
      <w:r w:rsidR="00772A11">
        <w:t xml:space="preserve"> However, the assessment considered </w:t>
      </w:r>
      <w:r w:rsidR="00772A11" w:rsidRPr="00D20BE5">
        <w:t>these</w:t>
      </w:r>
      <w:r w:rsidR="00772A11">
        <w:t xml:space="preserve"> cumulative</w:t>
      </w:r>
      <w:r w:rsidR="00772A11" w:rsidRPr="00D20BE5">
        <w:t xml:space="preserve"> effects </w:t>
      </w:r>
      <w:r w:rsidR="00772A11">
        <w:t>to be</w:t>
      </w:r>
      <w:r w:rsidR="00772A11" w:rsidRPr="00D20BE5">
        <w:t xml:space="preserve"> primarily due to the other projects</w:t>
      </w:r>
      <w:r w:rsidR="00772A11">
        <w:t xml:space="preserve"> and </w:t>
      </w:r>
      <w:r w:rsidR="00772A11" w:rsidRPr="00D20BE5">
        <w:t>not as a result of HNB decommissioning,</w:t>
      </w:r>
      <w:r w:rsidR="00772A11">
        <w:t xml:space="preserve"> namely the construction of a</w:t>
      </w:r>
      <w:r w:rsidR="0016371B">
        <w:t>n offsite</w:t>
      </w:r>
      <w:r w:rsidR="00772A11">
        <w:t xml:space="preserve"> cable factory and the ongoing decommissioning at </w:t>
      </w:r>
      <w:r w:rsidR="00E91039">
        <w:t>Hunterston A power station</w:t>
      </w:r>
      <w:r w:rsidR="00772A11">
        <w:t>.</w:t>
      </w:r>
    </w:p>
    <w:p w14:paraId="34205B62" w14:textId="51EE748A" w:rsidR="00CE4111" w:rsidRDefault="00CE4111" w:rsidP="00CE4111">
      <w:pPr>
        <w:pStyle w:val="NumList1"/>
      </w:pPr>
      <w:r>
        <w:t>Secondly, significant adverse effects are anticipated on employment markets and the HNB workers due to their release from site employment as the project proceeds. EDF proposed a suite of mitigation measures to reduce these effects</w:t>
      </w:r>
      <w:r w:rsidR="00E91039">
        <w:t>,</w:t>
      </w:r>
      <w:r>
        <w:t xml:space="preserve"> such as offering enhanced redundancy packages and operating a site socio-economic programme. </w:t>
      </w:r>
      <w:r w:rsidR="00984AAF">
        <w:t>We</w:t>
      </w:r>
      <w:r>
        <w:t xml:space="preserve"> consider these measures to be adequate and accept that the</w:t>
      </w:r>
      <w:r w:rsidR="00851B69">
        <w:t xml:space="preserve">se </w:t>
      </w:r>
      <w:r>
        <w:t>effects identified are the inevitable and unavoidable consequence of a nuclear decommissioning project.</w:t>
      </w:r>
    </w:p>
    <w:p w14:paraId="244F893D" w14:textId="67DD12BE" w:rsidR="000C2AD1" w:rsidRDefault="6AD33C0F" w:rsidP="00BE204B">
      <w:pPr>
        <w:pStyle w:val="NumList1"/>
      </w:pPr>
      <w:r>
        <w:t xml:space="preserve">During the consultation, two developments near to </w:t>
      </w:r>
      <w:r w:rsidR="5E656FF8">
        <w:t>HNB were identified</w:t>
      </w:r>
      <w:r>
        <w:t xml:space="preserve"> which were not considered in </w:t>
      </w:r>
      <w:r w:rsidR="07BEA19A">
        <w:t>EDF’s</w:t>
      </w:r>
      <w:r>
        <w:t xml:space="preserve"> </w:t>
      </w:r>
      <w:r w:rsidR="5E656FF8">
        <w:t xml:space="preserve">cumulative </w:t>
      </w:r>
      <w:r>
        <w:t xml:space="preserve">impact assessment. EDF subsequently provided evidence of its consideration of the potential inter-project effects of these two developments </w:t>
      </w:r>
      <w:r w:rsidR="00602182">
        <w:t>on</w:t>
      </w:r>
      <w:r>
        <w:t xml:space="preserve"> the </w:t>
      </w:r>
      <w:r w:rsidR="01CA8E42">
        <w:t>decommissioning project</w:t>
      </w:r>
      <w:r>
        <w:t>. Firstly, the Millport Coastal Protection Scheme</w:t>
      </w:r>
      <w:r w:rsidR="1269DD80">
        <w:t xml:space="preserve"> (application reference number: 00009702)</w:t>
      </w:r>
      <w:r>
        <w:t xml:space="preserve"> is due to complete works by autumn 2024, therefore there would be no temporal overlap between this and the </w:t>
      </w:r>
      <w:r w:rsidR="01CA8E42">
        <w:t>decommissioning project</w:t>
      </w:r>
      <w:r>
        <w:t xml:space="preserve">, and hence no inter-project effects are anticipated. Secondly, the Hunterston Construction Yard upgrade project </w:t>
      </w:r>
      <w:r w:rsidR="20A4BFF8">
        <w:t xml:space="preserve">(application reference number: 23/00757/EIA) </w:t>
      </w:r>
      <w:r>
        <w:t>is currently in the scoping stage and so does not yet have a fixed and complete design, however, there is potential for the project and the proposed works to temporally overlap. There is potential for inter-</w:t>
      </w:r>
      <w:r w:rsidR="5081962D">
        <w:t>project</w:t>
      </w:r>
      <w:r>
        <w:t xml:space="preserve"> effects to occur in the marine environment where the zone of influence would overlap in relation to marine biodiversity receptors. However, since the </w:t>
      </w:r>
      <w:r w:rsidR="01CA8E42">
        <w:t>EIA</w:t>
      </w:r>
      <w:r>
        <w:t xml:space="preserve"> of </w:t>
      </w:r>
      <w:r w:rsidR="01CA8E42">
        <w:t>the decommissioning project</w:t>
      </w:r>
      <w:r>
        <w:t xml:space="preserve"> </w:t>
      </w:r>
      <w:r w:rsidR="680AF944">
        <w:t>identified</w:t>
      </w:r>
      <w:r>
        <w:t xml:space="preserve"> negligible or minor effects on marine receptors, the Hunterston Construction Yard development application would have to consider any resulting inter-</w:t>
      </w:r>
      <w:r w:rsidR="62840D0C">
        <w:t>project</w:t>
      </w:r>
      <w:r>
        <w:t xml:space="preserve"> effects in its EIA and provide any mitigation as necessary. </w:t>
      </w:r>
      <w:r w:rsidR="00992A23">
        <w:t>We</w:t>
      </w:r>
      <w:r w:rsidR="00791C5A">
        <w:t xml:space="preserve"> are</w:t>
      </w:r>
      <w:r>
        <w:t xml:space="preserve"> therefore </w:t>
      </w:r>
      <w:r w:rsidR="00791C5A">
        <w:t xml:space="preserve">content and have </w:t>
      </w:r>
      <w:r w:rsidR="46C2C9D8">
        <w:t>con</w:t>
      </w:r>
      <w:r w:rsidR="217C1CDE">
        <w:t xml:space="preserve">firmed </w:t>
      </w:r>
      <w:r>
        <w:t xml:space="preserve">that all relevant developments have been considered in the </w:t>
      </w:r>
      <w:r w:rsidR="6623E22D">
        <w:t>EIA</w:t>
      </w:r>
      <w:r>
        <w:t>.</w:t>
      </w:r>
    </w:p>
    <w:p w14:paraId="03A1D00F" w14:textId="46C1E32F" w:rsidR="0005361D" w:rsidRPr="007D0D4E" w:rsidRDefault="0005361D" w:rsidP="0005361D">
      <w:pPr>
        <w:pStyle w:val="NumList1"/>
      </w:pPr>
      <w:r>
        <w:t>The c</w:t>
      </w:r>
      <w:r w:rsidRPr="00987E51">
        <w:t xml:space="preserve">onsultees raised a number of topics that were relevant to the decommissioning process but which did not necessarily require detailed consideration under the </w:t>
      </w:r>
      <w:r>
        <w:t>EIA</w:t>
      </w:r>
      <w:r w:rsidRPr="00987E51">
        <w:t xml:space="preserve"> process under EIADR.</w:t>
      </w:r>
      <w:r w:rsidRPr="004065EC">
        <w:rPr>
          <w:rFonts w:ascii="Arial" w:eastAsia="Times New Roman" w:hAnsi="Arial" w:cs="Times New Roman"/>
          <w:sz w:val="20"/>
          <w:szCs w:val="24"/>
          <w:lang w:val="en-US"/>
        </w:rPr>
        <w:t xml:space="preserve"> </w:t>
      </w:r>
      <w:r w:rsidRPr="004065EC">
        <w:rPr>
          <w:lang w:val="en-US"/>
        </w:rPr>
        <w:t xml:space="preserve">Consultees also raised a number of topics that </w:t>
      </w:r>
      <w:r w:rsidR="00791C5A">
        <w:rPr>
          <w:lang w:val="en-US"/>
        </w:rPr>
        <w:t>we</w:t>
      </w:r>
      <w:r w:rsidR="006D15A5">
        <w:rPr>
          <w:lang w:val="en-US"/>
        </w:rPr>
        <w:t xml:space="preserve"> </w:t>
      </w:r>
      <w:r w:rsidRPr="004065EC">
        <w:rPr>
          <w:lang w:val="en-US"/>
        </w:rPr>
        <w:t xml:space="preserve">considered had been dealt with reasonably in the </w:t>
      </w:r>
      <w:r>
        <w:rPr>
          <w:lang w:val="en-US"/>
        </w:rPr>
        <w:t>ES</w:t>
      </w:r>
      <w:r w:rsidRPr="004065EC">
        <w:rPr>
          <w:lang w:val="en-US"/>
        </w:rPr>
        <w:t xml:space="preserve">, when the long timescale of the project and resulting uncertainties are taken into account. Consequently, </w:t>
      </w:r>
      <w:r w:rsidR="006D15A5">
        <w:rPr>
          <w:lang w:val="en-US"/>
        </w:rPr>
        <w:t>we</w:t>
      </w:r>
      <w:r w:rsidRPr="004065EC">
        <w:rPr>
          <w:lang w:val="en-US"/>
        </w:rPr>
        <w:t xml:space="preserve"> decided not to pursue such topics for the purposes of further information</w:t>
      </w:r>
      <w:r>
        <w:rPr>
          <w:lang w:val="en-US"/>
        </w:rPr>
        <w:t>.</w:t>
      </w:r>
    </w:p>
    <w:p w14:paraId="6D504FED" w14:textId="70B8C686" w:rsidR="009D7539" w:rsidRDefault="00486EE0" w:rsidP="005B3FFB">
      <w:pPr>
        <w:pStyle w:val="NumList1"/>
      </w:pPr>
      <w:r>
        <w:t xml:space="preserve">It should be noted that if a change to </w:t>
      </w:r>
      <w:r w:rsidR="000F03C6">
        <w:t xml:space="preserve">the </w:t>
      </w:r>
      <w:r>
        <w:t xml:space="preserve">decommissioning </w:t>
      </w:r>
      <w:r w:rsidR="001C5C51">
        <w:t xml:space="preserve">project </w:t>
      </w:r>
      <w:r>
        <w:t xml:space="preserve">may have significant adverse effects on the environment, then </w:t>
      </w:r>
      <w:r w:rsidR="2B3D210C">
        <w:t xml:space="preserve">the licensee </w:t>
      </w:r>
      <w:r>
        <w:t xml:space="preserve">must apply to </w:t>
      </w:r>
      <w:r w:rsidR="004E5E00">
        <w:t>us</w:t>
      </w:r>
      <w:r>
        <w:t xml:space="preserve"> for a determination as to whether an EIA for that change should be conducted (under Regulation 13 of EIADR). If so, </w:t>
      </w:r>
      <w:r w:rsidR="301B8ECF">
        <w:t>the</w:t>
      </w:r>
      <w:r>
        <w:t xml:space="preserve"> </w:t>
      </w:r>
      <w:r w:rsidR="301B8ECF">
        <w:t xml:space="preserve">licensee </w:t>
      </w:r>
      <w:r>
        <w:t xml:space="preserve">would have to apply for consent </w:t>
      </w:r>
      <w:r>
        <w:lastRenderedPageBreak/>
        <w:t xml:space="preserve">and prepare an </w:t>
      </w:r>
      <w:r w:rsidR="005B3FFB">
        <w:t>ES</w:t>
      </w:r>
      <w:r>
        <w:t xml:space="preserve"> for public consultation under EIADR. The change to the decommissioning project </w:t>
      </w:r>
      <w:r w:rsidR="0079415A">
        <w:t>cannot</w:t>
      </w:r>
      <w:r>
        <w:t xml:space="preserve"> be carried out until such consent </w:t>
      </w:r>
      <w:r w:rsidR="00B870AB">
        <w:t>is</w:t>
      </w:r>
      <w:r>
        <w:t xml:space="preserve"> granted.</w:t>
      </w:r>
    </w:p>
    <w:p w14:paraId="669047B6" w14:textId="77777777" w:rsidR="00777BCE" w:rsidRDefault="00777BCE" w:rsidP="00410423">
      <w:pPr>
        <w:pStyle w:val="Heading1"/>
      </w:pPr>
      <w:bookmarkStart w:id="9" w:name="_Toc174710532"/>
      <w:r>
        <w:t>Conclusions</w:t>
      </w:r>
      <w:bookmarkEnd w:id="9"/>
    </w:p>
    <w:p w14:paraId="69609F69" w14:textId="53C78E0A" w:rsidR="0038766B" w:rsidRDefault="7FBEED09" w:rsidP="00BE204B">
      <w:pPr>
        <w:pStyle w:val="NumList1"/>
      </w:pPr>
      <w:r>
        <w:t xml:space="preserve">Based on the work carried out by ONR, I </w:t>
      </w:r>
      <w:r w:rsidR="754B1064">
        <w:t>judge</w:t>
      </w:r>
      <w:r>
        <w:t xml:space="preserve"> </w:t>
      </w:r>
      <w:r w:rsidR="00EC71E3">
        <w:t xml:space="preserve">that </w:t>
      </w:r>
      <w:r w:rsidR="6C90C30E">
        <w:t>the ES submitted by EDF</w:t>
      </w:r>
      <w:r w:rsidR="380B1C4C">
        <w:t xml:space="preserve"> </w:t>
      </w:r>
      <w:r w:rsidR="6C90C30E">
        <w:t xml:space="preserve"> </w:t>
      </w:r>
      <w:r w:rsidR="402DAF6A">
        <w:t>contain</w:t>
      </w:r>
      <w:r w:rsidR="00FF3406">
        <w:t>s</w:t>
      </w:r>
      <w:r w:rsidR="402DAF6A">
        <w:t xml:space="preserve"> all </w:t>
      </w:r>
      <w:r w:rsidR="00FF3406">
        <w:t xml:space="preserve">of </w:t>
      </w:r>
      <w:r w:rsidR="402DAF6A">
        <w:t>the relevant information required by EIADR and</w:t>
      </w:r>
      <w:r w:rsidR="58746A64">
        <w:t xml:space="preserve"> </w:t>
      </w:r>
      <w:r w:rsidR="1DC366D7">
        <w:t>identif</w:t>
      </w:r>
      <w:r w:rsidR="006660C9">
        <w:t>ies</w:t>
      </w:r>
      <w:r w:rsidR="1DC366D7">
        <w:t xml:space="preserve"> </w:t>
      </w:r>
      <w:r w:rsidR="3993B513">
        <w:t>the likely significant environmental effects of the HNB decommissioning project</w:t>
      </w:r>
      <w:r w:rsidR="6C5FABF7">
        <w:t xml:space="preserve">, whilst accounting for the uncertainties and assumptions in the forecasting methods and data used to support the </w:t>
      </w:r>
      <w:r w:rsidR="63B94686">
        <w:t>EIA</w:t>
      </w:r>
      <w:r w:rsidR="6C5FABF7">
        <w:t xml:space="preserve">. </w:t>
      </w:r>
      <w:r w:rsidR="46ED998D">
        <w:t xml:space="preserve">EDF used ‘worst-case’ scenarios for the various environmental aspects in the EIA, </w:t>
      </w:r>
      <w:r w:rsidR="5682CE03">
        <w:t>which adopts the precautionary principle</w:t>
      </w:r>
      <w:r w:rsidR="78F86D01">
        <w:t>,</w:t>
      </w:r>
      <w:r w:rsidR="7A98D02C">
        <w:t xml:space="preserve"> in line with relevant good </w:t>
      </w:r>
      <w:r w:rsidR="78F86D01">
        <w:t>practice,</w:t>
      </w:r>
      <w:r w:rsidR="5682CE03">
        <w:t xml:space="preserve"> and provides</w:t>
      </w:r>
      <w:r w:rsidR="46ED998D">
        <w:t xml:space="preserve"> assurance that any </w:t>
      </w:r>
      <w:r w:rsidR="78F86D01">
        <w:t>environmental</w:t>
      </w:r>
      <w:r w:rsidR="46ED998D">
        <w:t xml:space="preserve"> impacts are likely to be less than those determined by the assessment.</w:t>
      </w:r>
      <w:r w:rsidR="78F86D01">
        <w:t xml:space="preserve"> </w:t>
      </w:r>
      <w:r w:rsidR="67B26D63">
        <w:t>The ES proposes suitable measures envisaged to avoid, prevent, and reduce any identified significant adverse effects on the environment and sets out the proposed monitoring arrangements.</w:t>
      </w:r>
      <w:r w:rsidR="0C61A629">
        <w:t xml:space="preserve"> </w:t>
      </w:r>
    </w:p>
    <w:p w14:paraId="5DE0550A" w14:textId="353C195E" w:rsidR="004C3E69" w:rsidRDefault="0092399F" w:rsidP="00C92F03">
      <w:pPr>
        <w:pStyle w:val="NumList1"/>
      </w:pPr>
      <w:r>
        <w:t>EDF’s</w:t>
      </w:r>
      <w:r w:rsidR="00CF76F2">
        <w:t xml:space="preserve"> screening exercise outlined in the</w:t>
      </w:r>
      <w:r>
        <w:t xml:space="preserve"> </w:t>
      </w:r>
      <w:r w:rsidR="00794E60">
        <w:t>HRA</w:t>
      </w:r>
      <w:r>
        <w:t xml:space="preserve"> </w:t>
      </w:r>
      <w:r w:rsidRPr="0092399F">
        <w:t>identified a lack of pathways for likely significant effects</w:t>
      </w:r>
      <w:r w:rsidR="00A371C6">
        <w:t xml:space="preserve"> on European sites due to the decommissioning project</w:t>
      </w:r>
      <w:r w:rsidRPr="0092399F">
        <w:t xml:space="preserve">. </w:t>
      </w:r>
      <w:r w:rsidR="00246D88">
        <w:t xml:space="preserve">It therefore concluded that </w:t>
      </w:r>
      <w:r w:rsidR="00CF76F2" w:rsidRPr="00CF76F2">
        <w:t xml:space="preserve">there is no requirement for </w:t>
      </w:r>
      <w:r w:rsidR="00246D88">
        <w:t>further</w:t>
      </w:r>
      <w:r w:rsidR="00CF76F2" w:rsidRPr="00CF76F2">
        <w:t xml:space="preserve"> assessment to be undertaken, which I agree with</w:t>
      </w:r>
      <w:r w:rsidR="00E4341F">
        <w:t>.</w:t>
      </w:r>
      <w:r w:rsidR="00CF76F2" w:rsidRPr="00CF76F2">
        <w:t xml:space="preserve"> </w:t>
      </w:r>
      <w:r w:rsidR="00E4341F">
        <w:t xml:space="preserve">This </w:t>
      </w:r>
      <w:r w:rsidR="00A95825">
        <w:t>judgment</w:t>
      </w:r>
      <w:r w:rsidR="00E4341F">
        <w:t xml:space="preserve"> was supported by consultee comments on the HRA</w:t>
      </w:r>
      <w:r w:rsidR="00A95825">
        <w:t>, in particular from the</w:t>
      </w:r>
      <w:r w:rsidR="00235AE4" w:rsidRPr="00B76E66">
        <w:rPr>
          <w:rFonts w:ascii="Arial" w:eastAsia="Calibri" w:hAnsi="Arial" w:cs="Arial"/>
          <w:lang w:bidi="he-IL"/>
        </w:rPr>
        <w:t xml:space="preserve"> </w:t>
      </w:r>
      <w:r w:rsidR="00235AE4" w:rsidRPr="00235AE4">
        <w:t>statutory nature conservation body</w:t>
      </w:r>
      <w:r w:rsidR="00235AE4">
        <w:t>, NatureScot</w:t>
      </w:r>
      <w:r w:rsidR="00F72BDA">
        <w:t xml:space="preserve">. </w:t>
      </w:r>
      <w:r w:rsidR="006C7958">
        <w:rPr>
          <w:lang w:val="en-US"/>
        </w:rPr>
        <w:t>The assessment also concluded that there</w:t>
      </w:r>
      <w:r w:rsidR="006F59C0">
        <w:rPr>
          <w:lang w:val="en-US"/>
        </w:rPr>
        <w:t xml:space="preserve"> are</w:t>
      </w:r>
      <w:r w:rsidR="006C7958">
        <w:rPr>
          <w:lang w:val="en-US"/>
        </w:rPr>
        <w:t xml:space="preserve"> not</w:t>
      </w:r>
      <w:r w:rsidR="00C92F03" w:rsidRPr="00C92F03">
        <w:rPr>
          <w:lang w:val="en-US"/>
        </w:rPr>
        <w:t xml:space="preserve"> likely to be significant adverse environmental impacts of the decommissioning project on other EE</w:t>
      </w:r>
      <w:r w:rsidR="006C7958">
        <w:rPr>
          <w:lang w:val="en-US"/>
        </w:rPr>
        <w:t>A</w:t>
      </w:r>
      <w:r w:rsidR="00C92F03" w:rsidRPr="00C92F03">
        <w:rPr>
          <w:lang w:val="en-US"/>
        </w:rPr>
        <w:t xml:space="preserve"> states.</w:t>
      </w:r>
    </w:p>
    <w:p w14:paraId="14F9A82A" w14:textId="261D9F45" w:rsidR="00331D08" w:rsidRDefault="0A6ADD04" w:rsidP="00B76E66">
      <w:pPr>
        <w:pStyle w:val="NumList1"/>
      </w:pPr>
      <w:r>
        <w:t xml:space="preserve">Overall, </w:t>
      </w:r>
      <w:r w:rsidR="67B26D63">
        <w:t xml:space="preserve">I </w:t>
      </w:r>
      <w:r w:rsidR="21D99986">
        <w:t>judge</w:t>
      </w:r>
      <w:r w:rsidR="67B26D63">
        <w:t xml:space="preserve"> the ES </w:t>
      </w:r>
      <w:r w:rsidR="37A58F3D">
        <w:t>to be</w:t>
      </w:r>
      <w:r w:rsidR="67B26D63">
        <w:t xml:space="preserve"> </w:t>
      </w:r>
      <w:r w:rsidR="316DAFD1">
        <w:t>compliant with EIADR and</w:t>
      </w:r>
      <w:r w:rsidR="362CC17A">
        <w:t xml:space="preserve"> that the Application for Consent</w:t>
      </w:r>
      <w:r w:rsidR="316DAFD1">
        <w:t xml:space="preserve"> meets </w:t>
      </w:r>
      <w:r w:rsidR="00FB3EF3">
        <w:t xml:space="preserve">our </w:t>
      </w:r>
      <w:r w:rsidR="316DAFD1">
        <w:t>regulatory expectations.</w:t>
      </w:r>
      <w:r w:rsidR="04627FAA" w:rsidRPr="782BE474">
        <w:rPr>
          <w:rFonts w:ascii="Arial" w:eastAsia="Calibri" w:hAnsi="Arial" w:cs="Arial"/>
        </w:rPr>
        <w:t xml:space="preserve"> </w:t>
      </w:r>
      <w:r w:rsidR="28F74F22" w:rsidRPr="782BE474">
        <w:rPr>
          <w:rFonts w:ascii="Arial" w:eastAsia="Calibri" w:hAnsi="Arial" w:cs="Arial"/>
        </w:rPr>
        <w:t>I can confirm</w:t>
      </w:r>
      <w:r w:rsidR="04627FAA">
        <w:t xml:space="preserve"> the EIA has been coordinated with all relevant assessments, namely the HRA.</w:t>
      </w:r>
      <w:r w:rsidR="499F62C3">
        <w:t xml:space="preserve"> </w:t>
      </w:r>
      <w:r w:rsidR="46CFBE7C">
        <w:t xml:space="preserve">The mechanism of the EMP will be used to ensure that future surveys, </w:t>
      </w:r>
      <w:r w:rsidR="0ABF0A5F">
        <w:t xml:space="preserve">monitoring, and </w:t>
      </w:r>
      <w:r w:rsidR="46CFBE7C">
        <w:t xml:space="preserve">mitigation requirements are reported to </w:t>
      </w:r>
      <w:r w:rsidR="00D72154">
        <w:t>us</w:t>
      </w:r>
      <w:r w:rsidR="46CFBE7C">
        <w:t xml:space="preserve"> and</w:t>
      </w:r>
      <w:r w:rsidR="0ABF0A5F">
        <w:t xml:space="preserve"> the public</w:t>
      </w:r>
      <w:r w:rsidR="46CFBE7C">
        <w:t>.</w:t>
      </w:r>
    </w:p>
    <w:p w14:paraId="3AD06306" w14:textId="16D2DEFB" w:rsidR="0038766B" w:rsidRPr="0038766B" w:rsidRDefault="00777BCE" w:rsidP="00410423">
      <w:pPr>
        <w:pStyle w:val="Heading1"/>
      </w:pPr>
      <w:bookmarkStart w:id="10" w:name="_Toc174710533"/>
      <w:r>
        <w:t>Recommendations</w:t>
      </w:r>
      <w:bookmarkEnd w:id="10"/>
    </w:p>
    <w:p w14:paraId="4A4BF6B3" w14:textId="1A07D440" w:rsidR="0040069D" w:rsidRDefault="0040069D" w:rsidP="0040069D">
      <w:pPr>
        <w:pStyle w:val="NumList1"/>
      </w:pPr>
      <w:r>
        <w:t>After reviewing the information and evidence provided as part of HNB’s Application for Consent, I recommend that consent to decommission</w:t>
      </w:r>
      <w:r w:rsidR="00794E60">
        <w:t xml:space="preserve"> HNB</w:t>
      </w:r>
      <w:r>
        <w:t xml:space="preserve"> is granted</w:t>
      </w:r>
      <w:r w:rsidR="00171A00">
        <w:t>.</w:t>
      </w:r>
    </w:p>
    <w:p w14:paraId="1F9E8D43" w14:textId="05CBD9FB" w:rsidR="00DD06C4" w:rsidRDefault="00DD06C4" w:rsidP="0040069D">
      <w:pPr>
        <w:pStyle w:val="NumList1"/>
      </w:pPr>
      <w:r>
        <w:t xml:space="preserve">I recommend </w:t>
      </w:r>
      <w:r w:rsidRPr="00572B2A">
        <w:t>ONR attache</w:t>
      </w:r>
      <w:r>
        <w:t>s six</w:t>
      </w:r>
      <w:r w:rsidRPr="00572B2A">
        <w:t xml:space="preserve"> conditions to the EIADR consent as outlined in Appendix </w:t>
      </w:r>
      <w:r w:rsidR="00754108">
        <w:t>2</w:t>
      </w:r>
      <w:r w:rsidRPr="00572B2A">
        <w:t xml:space="preserve">. This includes the requirement for EDF to submit its first </w:t>
      </w:r>
      <w:r w:rsidR="00754108">
        <w:t>EMP</w:t>
      </w:r>
      <w:r w:rsidRPr="00572B2A">
        <w:t xml:space="preserve"> to ONR within six months of consent being issued.</w:t>
      </w:r>
    </w:p>
    <w:bookmarkEnd w:id="5"/>
    <w:p w14:paraId="2F783D4E" w14:textId="368D9EB7" w:rsidR="009C4BEB" w:rsidRDefault="00FE7605" w:rsidP="00572B2A">
      <w:pPr>
        <w:pStyle w:val="NumList1"/>
      </w:pPr>
      <w:r>
        <w:t xml:space="preserve">I also recommend </w:t>
      </w:r>
      <w:r w:rsidR="009C4BEB" w:rsidRPr="009C4BEB">
        <w:t>ONR maintain</w:t>
      </w:r>
      <w:r w:rsidR="00C86270">
        <w:t>s</w:t>
      </w:r>
      <w:r w:rsidR="009C4BEB" w:rsidRPr="009C4BEB">
        <w:t xml:space="preserve"> regulatory oversight of the </w:t>
      </w:r>
      <w:r w:rsidR="009C4BEB">
        <w:t>HNB</w:t>
      </w:r>
      <w:r w:rsidR="009C4BEB" w:rsidRPr="009C4BEB">
        <w:t xml:space="preserve"> decommissioning project</w:t>
      </w:r>
      <w:r w:rsidR="009C4BEB">
        <w:t xml:space="preserve"> and routinely monitor</w:t>
      </w:r>
      <w:r w:rsidR="00C86270">
        <w:t>s</w:t>
      </w:r>
      <w:r w:rsidR="009C4BEB">
        <w:t xml:space="preserve"> progress </w:t>
      </w:r>
      <w:r w:rsidR="008A1B58">
        <w:t>by reviewing</w:t>
      </w:r>
      <w:r w:rsidR="00754108">
        <w:t xml:space="preserve"> the annual</w:t>
      </w:r>
      <w:r w:rsidR="008A1B58">
        <w:t xml:space="preserve"> EMP and conducting </w:t>
      </w:r>
      <w:r w:rsidR="006F376B">
        <w:t xml:space="preserve">periodic </w:t>
      </w:r>
      <w:r w:rsidR="008A1B58">
        <w:t>site inspections.</w:t>
      </w:r>
      <w:r w:rsidR="00572B2A">
        <w:t xml:space="preserve"> </w:t>
      </w:r>
    </w:p>
    <w:p w14:paraId="2154A0D7" w14:textId="05EBB164" w:rsidR="00A65601" w:rsidRDefault="006C5087" w:rsidP="00A65601">
      <w:pPr>
        <w:pStyle w:val="NumList1"/>
      </w:pPr>
      <w:r>
        <w:t xml:space="preserve">The licensee has the right to </w:t>
      </w:r>
      <w:r w:rsidRPr="006C5087">
        <w:t>challenge the validity of th</w:t>
      </w:r>
      <w:r w:rsidR="006E058B">
        <w:t>is</w:t>
      </w:r>
      <w:r w:rsidRPr="006C5087">
        <w:t xml:space="preserve"> decision</w:t>
      </w:r>
      <w:r w:rsidR="006E058B">
        <w:t>, the procedures for which are set out in</w:t>
      </w:r>
      <w:r w:rsidR="00155989">
        <w:t xml:space="preserve"> </w:t>
      </w:r>
      <w:r w:rsidR="008D6C5D">
        <w:t xml:space="preserve">ONR’s </w:t>
      </w:r>
      <w:r w:rsidR="00A65601" w:rsidRPr="00A65601">
        <w:t>Decision Review and Appeals Process</w:t>
      </w:r>
      <w:r w:rsidR="00155989">
        <w:t xml:space="preserve"> </w:t>
      </w:r>
      <w:sdt>
        <w:sdtPr>
          <w:id w:val="1604837140"/>
          <w:citation/>
        </w:sdtPr>
        <w:sdtContent>
          <w:r w:rsidR="00155989">
            <w:fldChar w:fldCharType="begin"/>
          </w:r>
          <w:r w:rsidR="00155989">
            <w:instrText xml:space="preserve"> CITATION ONR232 \l 2057 </w:instrText>
          </w:r>
          <w:r w:rsidR="00155989">
            <w:fldChar w:fldCharType="separate"/>
          </w:r>
          <w:r w:rsidR="008B4129" w:rsidRPr="008B4129">
            <w:rPr>
              <w:noProof/>
            </w:rPr>
            <w:t>[11]</w:t>
          </w:r>
          <w:r w:rsidR="00155989">
            <w:fldChar w:fldCharType="end"/>
          </w:r>
        </w:sdtContent>
      </w:sdt>
      <w:r w:rsidR="00155989">
        <w:t>.</w:t>
      </w:r>
    </w:p>
    <w:bookmarkStart w:id="11" w:name="_Toc174710534" w:displacedByCustomXml="next"/>
    <w:sdt>
      <w:sdtPr>
        <w:rPr>
          <w:sz w:val="24"/>
          <w:szCs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11"/>
        </w:p>
        <w:sdt>
          <w:sdtPr>
            <w:id w:val="-573587230"/>
            <w:bibliography/>
          </w:sdtPr>
          <w:sdtContent>
            <w:p w14:paraId="0ACCB92B" w14:textId="77777777" w:rsidR="008B4129"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8B4129" w14:paraId="12A515E2" w14:textId="77777777">
                <w:trPr>
                  <w:divId w:val="2062510866"/>
                  <w:tblCellSpacing w:w="15" w:type="dxa"/>
                </w:trPr>
                <w:tc>
                  <w:tcPr>
                    <w:tcW w:w="50" w:type="pct"/>
                    <w:hideMark/>
                  </w:tcPr>
                  <w:p w14:paraId="345B1F90" w14:textId="3AB69DB3" w:rsidR="008B4129" w:rsidRDefault="008B4129">
                    <w:pPr>
                      <w:pStyle w:val="Bibliography"/>
                      <w:rPr>
                        <w:noProof/>
                        <w:szCs w:val="24"/>
                      </w:rPr>
                    </w:pPr>
                    <w:r>
                      <w:rPr>
                        <w:noProof/>
                      </w:rPr>
                      <w:t xml:space="preserve">[1] </w:t>
                    </w:r>
                  </w:p>
                </w:tc>
                <w:tc>
                  <w:tcPr>
                    <w:tcW w:w="0" w:type="auto"/>
                    <w:hideMark/>
                  </w:tcPr>
                  <w:p w14:paraId="26D69F2C" w14:textId="77777777" w:rsidR="008B4129" w:rsidRDefault="008B4129">
                    <w:pPr>
                      <w:pStyle w:val="Bibliography"/>
                      <w:rPr>
                        <w:noProof/>
                      </w:rPr>
                    </w:pPr>
                    <w:r>
                      <w:rPr>
                        <w:noProof/>
                      </w:rPr>
                      <w:t>ONR, “NS-TAST-GD-105 The Assessment of the Nuclear Reactors (Environmental Impact Assessment for Decommissioning) Regulations Submissions,” 2023.</w:t>
                    </w:r>
                  </w:p>
                </w:tc>
              </w:tr>
              <w:tr w:rsidR="008B4129" w14:paraId="6077B7FA" w14:textId="77777777">
                <w:trPr>
                  <w:divId w:val="2062510866"/>
                  <w:tblCellSpacing w:w="15" w:type="dxa"/>
                </w:trPr>
                <w:tc>
                  <w:tcPr>
                    <w:tcW w:w="50" w:type="pct"/>
                    <w:hideMark/>
                  </w:tcPr>
                  <w:p w14:paraId="624529BC" w14:textId="77777777" w:rsidR="008B4129" w:rsidRDefault="008B4129">
                    <w:pPr>
                      <w:pStyle w:val="Bibliography"/>
                      <w:rPr>
                        <w:noProof/>
                      </w:rPr>
                    </w:pPr>
                    <w:r>
                      <w:rPr>
                        <w:noProof/>
                      </w:rPr>
                      <w:t xml:space="preserve">[2] </w:t>
                    </w:r>
                  </w:p>
                </w:tc>
                <w:tc>
                  <w:tcPr>
                    <w:tcW w:w="0" w:type="auto"/>
                    <w:hideMark/>
                  </w:tcPr>
                  <w:p w14:paraId="125EF8B3" w14:textId="77777777" w:rsidR="008B4129" w:rsidRDefault="008B4129">
                    <w:pPr>
                      <w:pStyle w:val="Bibliography"/>
                      <w:rPr>
                        <w:noProof/>
                      </w:rPr>
                    </w:pPr>
                    <w:r>
                      <w:rPr>
                        <w:noProof/>
                      </w:rPr>
                      <w:t>ONR, “ONR-NLR-GD-001 Guidance on the Nuclear Reactors (Environmental Impact Assessment for Decommissioning) Regulations,” 2023.</w:t>
                    </w:r>
                  </w:p>
                </w:tc>
              </w:tr>
              <w:tr w:rsidR="008B4129" w14:paraId="3E05A123" w14:textId="77777777">
                <w:trPr>
                  <w:divId w:val="2062510866"/>
                  <w:tblCellSpacing w:w="15" w:type="dxa"/>
                </w:trPr>
                <w:tc>
                  <w:tcPr>
                    <w:tcW w:w="50" w:type="pct"/>
                    <w:hideMark/>
                  </w:tcPr>
                  <w:p w14:paraId="6BD9E090" w14:textId="77777777" w:rsidR="008B4129" w:rsidRDefault="008B4129">
                    <w:pPr>
                      <w:pStyle w:val="Bibliography"/>
                      <w:rPr>
                        <w:noProof/>
                      </w:rPr>
                    </w:pPr>
                    <w:r>
                      <w:rPr>
                        <w:noProof/>
                      </w:rPr>
                      <w:t xml:space="preserve">[3] </w:t>
                    </w:r>
                  </w:p>
                </w:tc>
                <w:tc>
                  <w:tcPr>
                    <w:tcW w:w="0" w:type="auto"/>
                    <w:hideMark/>
                  </w:tcPr>
                  <w:p w14:paraId="2088DFFD" w14:textId="77777777" w:rsidR="008B4129" w:rsidRDefault="008B4129">
                    <w:pPr>
                      <w:pStyle w:val="Bibliography"/>
                      <w:rPr>
                        <w:noProof/>
                      </w:rPr>
                    </w:pPr>
                    <w:r>
                      <w:rPr>
                        <w:noProof/>
                      </w:rPr>
                      <w:t>ONR, “ONR-OFD-AR-22-026 Hunterston B Nuclear Power Station - Environmental Statement Pre-Application Opinion,” 2022.</w:t>
                    </w:r>
                  </w:p>
                </w:tc>
              </w:tr>
              <w:tr w:rsidR="008B4129" w14:paraId="682AD7A2" w14:textId="77777777">
                <w:trPr>
                  <w:divId w:val="2062510866"/>
                  <w:tblCellSpacing w:w="15" w:type="dxa"/>
                </w:trPr>
                <w:tc>
                  <w:tcPr>
                    <w:tcW w:w="50" w:type="pct"/>
                    <w:hideMark/>
                  </w:tcPr>
                  <w:p w14:paraId="79038657" w14:textId="77777777" w:rsidR="008B4129" w:rsidRDefault="008B4129">
                    <w:pPr>
                      <w:pStyle w:val="Bibliography"/>
                      <w:rPr>
                        <w:noProof/>
                      </w:rPr>
                    </w:pPr>
                    <w:r>
                      <w:rPr>
                        <w:noProof/>
                      </w:rPr>
                      <w:t xml:space="preserve">[4] </w:t>
                    </w:r>
                  </w:p>
                </w:tc>
                <w:tc>
                  <w:tcPr>
                    <w:tcW w:w="0" w:type="auto"/>
                    <w:hideMark/>
                  </w:tcPr>
                  <w:p w14:paraId="1745B484" w14:textId="77777777" w:rsidR="008B4129" w:rsidRDefault="008B4129">
                    <w:pPr>
                      <w:pStyle w:val="Bibliography"/>
                      <w:rPr>
                        <w:noProof/>
                      </w:rPr>
                    </w:pPr>
                    <w:r>
                      <w:rPr>
                        <w:noProof/>
                      </w:rPr>
                      <w:t>EDF Nuclear Generation Limited, “Hunterston B EIADR Scoping Report,” 2022.</w:t>
                    </w:r>
                  </w:p>
                </w:tc>
              </w:tr>
              <w:tr w:rsidR="008B4129" w14:paraId="563AF3A9" w14:textId="77777777">
                <w:trPr>
                  <w:divId w:val="2062510866"/>
                  <w:tblCellSpacing w:w="15" w:type="dxa"/>
                </w:trPr>
                <w:tc>
                  <w:tcPr>
                    <w:tcW w:w="50" w:type="pct"/>
                    <w:hideMark/>
                  </w:tcPr>
                  <w:p w14:paraId="4E9F5E15" w14:textId="77777777" w:rsidR="008B4129" w:rsidRDefault="008B4129">
                    <w:pPr>
                      <w:pStyle w:val="Bibliography"/>
                      <w:rPr>
                        <w:noProof/>
                      </w:rPr>
                    </w:pPr>
                    <w:r>
                      <w:rPr>
                        <w:noProof/>
                      </w:rPr>
                      <w:t xml:space="preserve">[5] </w:t>
                    </w:r>
                  </w:p>
                </w:tc>
                <w:tc>
                  <w:tcPr>
                    <w:tcW w:w="0" w:type="auto"/>
                    <w:hideMark/>
                  </w:tcPr>
                  <w:p w14:paraId="52E92B9C" w14:textId="77777777" w:rsidR="008B4129" w:rsidRDefault="008B4129">
                    <w:pPr>
                      <w:pStyle w:val="Bibliography"/>
                      <w:rPr>
                        <w:noProof/>
                      </w:rPr>
                    </w:pPr>
                    <w:r>
                      <w:rPr>
                        <w:noProof/>
                      </w:rPr>
                      <w:t>Mott MacDonald, “Hunterston B Nuclear Power Station Decommissioning - Environmental Statement - Technical Review,” 2024.</w:t>
                    </w:r>
                  </w:p>
                </w:tc>
              </w:tr>
              <w:tr w:rsidR="008B4129" w14:paraId="694429EC" w14:textId="77777777">
                <w:trPr>
                  <w:divId w:val="2062510866"/>
                  <w:tblCellSpacing w:w="15" w:type="dxa"/>
                </w:trPr>
                <w:tc>
                  <w:tcPr>
                    <w:tcW w:w="50" w:type="pct"/>
                    <w:hideMark/>
                  </w:tcPr>
                  <w:p w14:paraId="2EA27B21" w14:textId="77777777" w:rsidR="008B4129" w:rsidRDefault="008B4129">
                    <w:pPr>
                      <w:pStyle w:val="Bibliography"/>
                      <w:rPr>
                        <w:noProof/>
                      </w:rPr>
                    </w:pPr>
                    <w:r>
                      <w:rPr>
                        <w:noProof/>
                      </w:rPr>
                      <w:t xml:space="preserve">[6] </w:t>
                    </w:r>
                  </w:p>
                </w:tc>
                <w:tc>
                  <w:tcPr>
                    <w:tcW w:w="0" w:type="auto"/>
                    <w:hideMark/>
                  </w:tcPr>
                  <w:p w14:paraId="2A5A6793" w14:textId="77777777" w:rsidR="008B4129" w:rsidRDefault="008B4129">
                    <w:pPr>
                      <w:pStyle w:val="Bibliography"/>
                      <w:rPr>
                        <w:noProof/>
                      </w:rPr>
                    </w:pPr>
                    <w:r>
                      <w:rPr>
                        <w:noProof/>
                      </w:rPr>
                      <w:t>EDF Energy Nuclear Generation Ltd, “Decommissioning of Hunterston B - Environmental Statement,” 2023.</w:t>
                    </w:r>
                  </w:p>
                </w:tc>
              </w:tr>
              <w:tr w:rsidR="008B4129" w14:paraId="18A5AC06" w14:textId="77777777">
                <w:trPr>
                  <w:divId w:val="2062510866"/>
                  <w:tblCellSpacing w:w="15" w:type="dxa"/>
                </w:trPr>
                <w:tc>
                  <w:tcPr>
                    <w:tcW w:w="50" w:type="pct"/>
                    <w:hideMark/>
                  </w:tcPr>
                  <w:p w14:paraId="7709336C" w14:textId="77777777" w:rsidR="008B4129" w:rsidRDefault="008B4129">
                    <w:pPr>
                      <w:pStyle w:val="Bibliography"/>
                      <w:rPr>
                        <w:noProof/>
                      </w:rPr>
                    </w:pPr>
                    <w:r>
                      <w:rPr>
                        <w:noProof/>
                      </w:rPr>
                      <w:t xml:space="preserve">[7] </w:t>
                    </w:r>
                  </w:p>
                </w:tc>
                <w:tc>
                  <w:tcPr>
                    <w:tcW w:w="0" w:type="auto"/>
                    <w:hideMark/>
                  </w:tcPr>
                  <w:p w14:paraId="3706BDA1" w14:textId="77777777" w:rsidR="008B4129" w:rsidRDefault="008B4129">
                    <w:pPr>
                      <w:pStyle w:val="Bibliography"/>
                      <w:rPr>
                        <w:noProof/>
                      </w:rPr>
                    </w:pPr>
                    <w:r>
                      <w:rPr>
                        <w:noProof/>
                      </w:rPr>
                      <w:t>ONR, “ONRW-2126615823-3730 Assessment of the Hunterston B Application for Consent under EIADR,” 2024.</w:t>
                    </w:r>
                  </w:p>
                </w:tc>
              </w:tr>
              <w:tr w:rsidR="008B4129" w14:paraId="45D363C3" w14:textId="77777777">
                <w:trPr>
                  <w:divId w:val="2062510866"/>
                  <w:tblCellSpacing w:w="15" w:type="dxa"/>
                </w:trPr>
                <w:tc>
                  <w:tcPr>
                    <w:tcW w:w="50" w:type="pct"/>
                    <w:hideMark/>
                  </w:tcPr>
                  <w:p w14:paraId="26C51030" w14:textId="77777777" w:rsidR="008B4129" w:rsidRDefault="008B4129">
                    <w:pPr>
                      <w:pStyle w:val="Bibliography"/>
                      <w:rPr>
                        <w:noProof/>
                      </w:rPr>
                    </w:pPr>
                    <w:r>
                      <w:rPr>
                        <w:noProof/>
                      </w:rPr>
                      <w:t xml:space="preserve">[8] </w:t>
                    </w:r>
                  </w:p>
                </w:tc>
                <w:tc>
                  <w:tcPr>
                    <w:tcW w:w="0" w:type="auto"/>
                    <w:hideMark/>
                  </w:tcPr>
                  <w:p w14:paraId="710AC924" w14:textId="77777777" w:rsidR="008B4129" w:rsidRDefault="008B4129">
                    <w:pPr>
                      <w:pStyle w:val="Bibliography"/>
                      <w:rPr>
                        <w:noProof/>
                      </w:rPr>
                    </w:pPr>
                    <w:r>
                      <w:rPr>
                        <w:noProof/>
                      </w:rPr>
                      <w:t>ONR, “ONR-ENF-POL-001 Enforcement Policy Statement,” 2024.</w:t>
                    </w:r>
                  </w:p>
                </w:tc>
              </w:tr>
              <w:tr w:rsidR="008B4129" w14:paraId="38BF4D5E" w14:textId="77777777">
                <w:trPr>
                  <w:divId w:val="2062510866"/>
                  <w:tblCellSpacing w:w="15" w:type="dxa"/>
                </w:trPr>
                <w:tc>
                  <w:tcPr>
                    <w:tcW w:w="50" w:type="pct"/>
                    <w:hideMark/>
                  </w:tcPr>
                  <w:p w14:paraId="59A70914" w14:textId="77777777" w:rsidR="008B4129" w:rsidRDefault="008B4129">
                    <w:pPr>
                      <w:pStyle w:val="Bibliography"/>
                      <w:rPr>
                        <w:noProof/>
                      </w:rPr>
                    </w:pPr>
                    <w:r>
                      <w:rPr>
                        <w:noProof/>
                      </w:rPr>
                      <w:t xml:space="preserve">[9] </w:t>
                    </w:r>
                  </w:p>
                </w:tc>
                <w:tc>
                  <w:tcPr>
                    <w:tcW w:w="0" w:type="auto"/>
                    <w:hideMark/>
                  </w:tcPr>
                  <w:p w14:paraId="78142AEA" w14:textId="77777777" w:rsidR="008B4129" w:rsidRDefault="008B4129">
                    <w:pPr>
                      <w:pStyle w:val="Bibliography"/>
                      <w:rPr>
                        <w:noProof/>
                      </w:rPr>
                    </w:pPr>
                    <w:r>
                      <w:rPr>
                        <w:noProof/>
                      </w:rPr>
                      <w:t>EDF Energy Nuclear Generation Limited , “Decommissioning of Hunterston B - Habitats Regulations Appraisal Report,” 2023.</w:t>
                    </w:r>
                  </w:p>
                </w:tc>
              </w:tr>
              <w:tr w:rsidR="008B4129" w14:paraId="757405BA" w14:textId="77777777">
                <w:trPr>
                  <w:divId w:val="2062510866"/>
                  <w:tblCellSpacing w:w="15" w:type="dxa"/>
                </w:trPr>
                <w:tc>
                  <w:tcPr>
                    <w:tcW w:w="50" w:type="pct"/>
                    <w:hideMark/>
                  </w:tcPr>
                  <w:p w14:paraId="1E07DA74" w14:textId="77777777" w:rsidR="008B4129" w:rsidRDefault="008B4129">
                    <w:pPr>
                      <w:pStyle w:val="Bibliography"/>
                      <w:rPr>
                        <w:noProof/>
                      </w:rPr>
                    </w:pPr>
                    <w:r>
                      <w:rPr>
                        <w:noProof/>
                      </w:rPr>
                      <w:t xml:space="preserve">[10] </w:t>
                    </w:r>
                  </w:p>
                </w:tc>
                <w:tc>
                  <w:tcPr>
                    <w:tcW w:w="0" w:type="auto"/>
                    <w:hideMark/>
                  </w:tcPr>
                  <w:p w14:paraId="2E545CAC" w14:textId="77777777" w:rsidR="008B4129" w:rsidRDefault="008B4129">
                    <w:pPr>
                      <w:pStyle w:val="Bibliography"/>
                      <w:rPr>
                        <w:noProof/>
                      </w:rPr>
                    </w:pPr>
                    <w:r>
                      <w:rPr>
                        <w:noProof/>
                      </w:rPr>
                      <w:t>EDF Energy Nuclear Generation Ltd, “Decommissioning of Hunterston B - Outline Environmental Management Plan,” 2023.</w:t>
                    </w:r>
                  </w:p>
                </w:tc>
              </w:tr>
              <w:tr w:rsidR="008B4129" w14:paraId="35457F32" w14:textId="77777777">
                <w:trPr>
                  <w:divId w:val="2062510866"/>
                  <w:tblCellSpacing w:w="15" w:type="dxa"/>
                </w:trPr>
                <w:tc>
                  <w:tcPr>
                    <w:tcW w:w="50" w:type="pct"/>
                    <w:hideMark/>
                  </w:tcPr>
                  <w:p w14:paraId="7F0CA934" w14:textId="77777777" w:rsidR="008B4129" w:rsidRDefault="008B4129">
                    <w:pPr>
                      <w:pStyle w:val="Bibliography"/>
                      <w:rPr>
                        <w:noProof/>
                      </w:rPr>
                    </w:pPr>
                    <w:r>
                      <w:rPr>
                        <w:noProof/>
                      </w:rPr>
                      <w:t xml:space="preserve">[11] </w:t>
                    </w:r>
                  </w:p>
                </w:tc>
                <w:tc>
                  <w:tcPr>
                    <w:tcW w:w="0" w:type="auto"/>
                    <w:hideMark/>
                  </w:tcPr>
                  <w:p w14:paraId="23C41AD1" w14:textId="77777777" w:rsidR="008B4129" w:rsidRDefault="008B4129">
                    <w:pPr>
                      <w:pStyle w:val="Bibliography"/>
                      <w:rPr>
                        <w:noProof/>
                      </w:rPr>
                    </w:pPr>
                    <w:r>
                      <w:rPr>
                        <w:noProof/>
                      </w:rPr>
                      <w:t>ONR, “ONR-PER-IN-006 Decision Review and Appeals Process,” 2023.</w:t>
                    </w:r>
                  </w:p>
                </w:tc>
              </w:tr>
            </w:tbl>
            <w:p w14:paraId="462D6EA4" w14:textId="77777777" w:rsidR="008B4129" w:rsidRDefault="008B4129">
              <w:pPr>
                <w:divId w:val="2062510866"/>
                <w:rPr>
                  <w:rFonts w:eastAsia="Times New Roman"/>
                  <w:noProof/>
                </w:rPr>
              </w:pPr>
            </w:p>
            <w:p w14:paraId="4EADA6DF" w14:textId="7E11B7BC" w:rsidR="00AC2E98" w:rsidRDefault="00AC2E98">
              <w:r>
                <w:rPr>
                  <w:b/>
                  <w:bCs/>
                  <w:noProof/>
                </w:rPr>
                <w:fldChar w:fldCharType="end"/>
              </w:r>
            </w:p>
          </w:sdtContent>
        </w:sdt>
      </w:sdtContent>
    </w:sdt>
    <w:p w14:paraId="54423A66" w14:textId="77777777" w:rsidR="00CF65FC" w:rsidRDefault="00CF65FC" w:rsidP="00CF65FC">
      <w:pPr>
        <w:pStyle w:val="NumList1"/>
        <w:numPr>
          <w:ilvl w:val="0"/>
          <w:numId w:val="0"/>
        </w:numPr>
        <w:ind w:left="851" w:hanging="851"/>
      </w:pPr>
    </w:p>
    <w:p w14:paraId="75F43376" w14:textId="77777777" w:rsidR="00CF65FC" w:rsidRDefault="00CF65FC" w:rsidP="00CF65FC">
      <w:pPr>
        <w:pStyle w:val="NumList1"/>
        <w:numPr>
          <w:ilvl w:val="0"/>
          <w:numId w:val="0"/>
        </w:numPr>
        <w:ind w:left="851" w:hanging="851"/>
      </w:pPr>
    </w:p>
    <w:p w14:paraId="617FF48A" w14:textId="77777777" w:rsidR="000A6551" w:rsidRDefault="000A6551" w:rsidP="00CF65FC">
      <w:pPr>
        <w:pStyle w:val="NumList1"/>
        <w:numPr>
          <w:ilvl w:val="0"/>
          <w:numId w:val="0"/>
        </w:numPr>
        <w:ind w:left="851" w:hanging="851"/>
      </w:pPr>
    </w:p>
    <w:p w14:paraId="0FAD59D4" w14:textId="77777777" w:rsidR="000A6551" w:rsidRDefault="000A6551" w:rsidP="00CF65FC">
      <w:pPr>
        <w:pStyle w:val="NumList1"/>
        <w:numPr>
          <w:ilvl w:val="0"/>
          <w:numId w:val="0"/>
        </w:numPr>
        <w:ind w:left="851" w:hanging="851"/>
      </w:pPr>
    </w:p>
    <w:p w14:paraId="469EF8A9" w14:textId="77777777" w:rsidR="000A6551" w:rsidRDefault="000A6551" w:rsidP="00CF65FC">
      <w:pPr>
        <w:pStyle w:val="NumList1"/>
        <w:numPr>
          <w:ilvl w:val="0"/>
          <w:numId w:val="0"/>
        </w:numPr>
        <w:ind w:left="851" w:hanging="851"/>
      </w:pPr>
    </w:p>
    <w:p w14:paraId="6239C3AC" w14:textId="47D39FF4" w:rsidR="009E0E52" w:rsidRDefault="00CF65FC" w:rsidP="00CF65FC">
      <w:pPr>
        <w:pStyle w:val="Heading1"/>
        <w:numPr>
          <w:ilvl w:val="0"/>
          <w:numId w:val="0"/>
        </w:numPr>
        <w:ind w:left="851" w:hanging="851"/>
      </w:pPr>
      <w:bookmarkStart w:id="12" w:name="_Toc174710535"/>
      <w:r>
        <w:lastRenderedPageBreak/>
        <w:t xml:space="preserve">Appendix 1 </w:t>
      </w:r>
      <w:r w:rsidR="000239A2">
        <w:t>–</w:t>
      </w:r>
      <w:r>
        <w:t xml:space="preserve"> </w:t>
      </w:r>
      <w:r w:rsidR="000239A2">
        <w:t xml:space="preserve">Organisations </w:t>
      </w:r>
      <w:r w:rsidR="00103201">
        <w:t>w</w:t>
      </w:r>
      <w:r w:rsidR="000239A2">
        <w:t xml:space="preserve">hich </w:t>
      </w:r>
      <w:r w:rsidR="00103201">
        <w:t>r</w:t>
      </w:r>
      <w:r w:rsidR="000239A2">
        <w:t xml:space="preserve">esponded to </w:t>
      </w:r>
      <w:r w:rsidR="00C03CDA">
        <w:t xml:space="preserve">the </w:t>
      </w:r>
      <w:r w:rsidR="00103201">
        <w:t>c</w:t>
      </w:r>
      <w:r w:rsidR="000239A2">
        <w:t>onsultation</w:t>
      </w:r>
      <w:bookmarkEnd w:id="12"/>
      <w:r w:rsidR="00103201">
        <w:t xml:space="preserve"> </w:t>
      </w:r>
    </w:p>
    <w:p w14:paraId="26A53CD4" w14:textId="20DD0DEB" w:rsidR="000239A2" w:rsidRDefault="00A96CE8" w:rsidP="000239A2">
      <w:r>
        <w:t xml:space="preserve">The following organisations responded to ONR’s consultation on the HNB ES and their comments were considered </w:t>
      </w:r>
      <w:r w:rsidR="001D56DF">
        <w:t>when making the consent decision.</w:t>
      </w:r>
    </w:p>
    <w:p w14:paraId="509572A9" w14:textId="3F0AA0AA" w:rsidR="001D56DF" w:rsidRDefault="003B5DCB" w:rsidP="001D56DF">
      <w:pPr>
        <w:pStyle w:val="Bulletlist1"/>
      </w:pPr>
      <w:r>
        <w:t>Health and Safety Executive</w:t>
      </w:r>
    </w:p>
    <w:p w14:paraId="355683EF" w14:textId="6169D508" w:rsidR="000A6551" w:rsidRDefault="000A6551" w:rsidP="001D56DF">
      <w:pPr>
        <w:pStyle w:val="Bulletlist1"/>
      </w:pPr>
      <w:r>
        <w:t xml:space="preserve">Historic Environment Scotland </w:t>
      </w:r>
    </w:p>
    <w:p w14:paraId="5D4D039C" w14:textId="5F77D3F9" w:rsidR="003B5DCB" w:rsidRDefault="003B5DCB" w:rsidP="001D56DF">
      <w:pPr>
        <w:pStyle w:val="Bulletlist1"/>
      </w:pPr>
      <w:r>
        <w:t>Hunterston Site Stakeholder Group</w:t>
      </w:r>
    </w:p>
    <w:p w14:paraId="64EE4A80" w14:textId="7DF475F3" w:rsidR="00217C61" w:rsidRDefault="00217C61" w:rsidP="001D56DF">
      <w:pPr>
        <w:pStyle w:val="Bulletlist1"/>
      </w:pPr>
      <w:r>
        <w:t>NatureScot</w:t>
      </w:r>
    </w:p>
    <w:p w14:paraId="46E4E83B" w14:textId="330C2929" w:rsidR="003B5DCB" w:rsidRDefault="00217C61" w:rsidP="001D56DF">
      <w:pPr>
        <w:pStyle w:val="Bulletlist1"/>
      </w:pPr>
      <w:r>
        <w:t>NHS Ayrshire &amp; Arran</w:t>
      </w:r>
    </w:p>
    <w:p w14:paraId="7AF1CD15" w14:textId="4E38C960" w:rsidR="00217C61" w:rsidRDefault="00217C61" w:rsidP="001D56DF">
      <w:pPr>
        <w:pStyle w:val="Bulletlist1"/>
      </w:pPr>
      <w:r>
        <w:t>Scottish Environment Protection Agency</w:t>
      </w:r>
    </w:p>
    <w:p w14:paraId="1BC35A76" w14:textId="77777777" w:rsidR="00F97CE9" w:rsidRDefault="00F97CE9" w:rsidP="00F97CE9">
      <w:pPr>
        <w:pStyle w:val="Bulletlist1"/>
        <w:numPr>
          <w:ilvl w:val="0"/>
          <w:numId w:val="0"/>
        </w:numPr>
        <w:ind w:left="1276" w:hanging="360"/>
      </w:pPr>
    </w:p>
    <w:p w14:paraId="22E24CE3" w14:textId="77777777" w:rsidR="00F97CE9" w:rsidRDefault="00F97CE9" w:rsidP="00F97CE9">
      <w:pPr>
        <w:pStyle w:val="Bulletlist1"/>
        <w:numPr>
          <w:ilvl w:val="0"/>
          <w:numId w:val="0"/>
        </w:numPr>
        <w:ind w:left="1276" w:hanging="360"/>
      </w:pPr>
    </w:p>
    <w:p w14:paraId="1422D5F8" w14:textId="77777777" w:rsidR="00F97CE9" w:rsidRDefault="00F97CE9" w:rsidP="00F97CE9">
      <w:pPr>
        <w:pStyle w:val="Bulletlist1"/>
        <w:numPr>
          <w:ilvl w:val="0"/>
          <w:numId w:val="0"/>
        </w:numPr>
        <w:ind w:left="1276" w:hanging="360"/>
      </w:pPr>
    </w:p>
    <w:p w14:paraId="4AE8F328" w14:textId="77777777" w:rsidR="00F97CE9" w:rsidRDefault="00F97CE9" w:rsidP="009802AB">
      <w:pPr>
        <w:pStyle w:val="Bulletlist1"/>
        <w:numPr>
          <w:ilvl w:val="0"/>
          <w:numId w:val="0"/>
        </w:numPr>
      </w:pPr>
    </w:p>
    <w:p w14:paraId="43AC1851" w14:textId="77777777" w:rsidR="009802AB" w:rsidRDefault="009802AB" w:rsidP="009802AB">
      <w:pPr>
        <w:pStyle w:val="Bulletlist1"/>
        <w:numPr>
          <w:ilvl w:val="0"/>
          <w:numId w:val="0"/>
        </w:numPr>
      </w:pPr>
    </w:p>
    <w:p w14:paraId="3DC9C352" w14:textId="77777777" w:rsidR="009802AB" w:rsidRDefault="009802AB" w:rsidP="009802AB">
      <w:pPr>
        <w:pStyle w:val="Bulletlist1"/>
        <w:numPr>
          <w:ilvl w:val="0"/>
          <w:numId w:val="0"/>
        </w:numPr>
      </w:pPr>
    </w:p>
    <w:p w14:paraId="211983D9" w14:textId="77777777" w:rsidR="009802AB" w:rsidRDefault="009802AB" w:rsidP="009802AB">
      <w:pPr>
        <w:pStyle w:val="Bulletlist1"/>
        <w:numPr>
          <w:ilvl w:val="0"/>
          <w:numId w:val="0"/>
        </w:numPr>
      </w:pPr>
    </w:p>
    <w:p w14:paraId="42583574" w14:textId="77777777" w:rsidR="009802AB" w:rsidRDefault="009802AB" w:rsidP="009802AB">
      <w:pPr>
        <w:pStyle w:val="Bulletlist1"/>
        <w:numPr>
          <w:ilvl w:val="0"/>
          <w:numId w:val="0"/>
        </w:numPr>
      </w:pPr>
    </w:p>
    <w:p w14:paraId="33527ADB" w14:textId="77777777" w:rsidR="009802AB" w:rsidRDefault="009802AB" w:rsidP="009802AB">
      <w:pPr>
        <w:pStyle w:val="Bulletlist1"/>
        <w:numPr>
          <w:ilvl w:val="0"/>
          <w:numId w:val="0"/>
        </w:numPr>
      </w:pPr>
    </w:p>
    <w:p w14:paraId="77D7C480" w14:textId="77777777" w:rsidR="009802AB" w:rsidRDefault="009802AB" w:rsidP="009802AB">
      <w:pPr>
        <w:pStyle w:val="Bulletlist1"/>
        <w:numPr>
          <w:ilvl w:val="0"/>
          <w:numId w:val="0"/>
        </w:numPr>
      </w:pPr>
    </w:p>
    <w:p w14:paraId="5AACFD73" w14:textId="77777777" w:rsidR="009802AB" w:rsidRDefault="009802AB" w:rsidP="009802AB">
      <w:pPr>
        <w:pStyle w:val="Bulletlist1"/>
        <w:numPr>
          <w:ilvl w:val="0"/>
          <w:numId w:val="0"/>
        </w:numPr>
      </w:pPr>
    </w:p>
    <w:p w14:paraId="19E54CE4" w14:textId="77777777" w:rsidR="009802AB" w:rsidRDefault="009802AB" w:rsidP="009802AB">
      <w:pPr>
        <w:pStyle w:val="Bulletlist1"/>
        <w:numPr>
          <w:ilvl w:val="0"/>
          <w:numId w:val="0"/>
        </w:numPr>
      </w:pPr>
    </w:p>
    <w:p w14:paraId="41A53A9B" w14:textId="77777777" w:rsidR="009802AB" w:rsidRDefault="009802AB" w:rsidP="009802AB">
      <w:pPr>
        <w:pStyle w:val="Bulletlist1"/>
        <w:numPr>
          <w:ilvl w:val="0"/>
          <w:numId w:val="0"/>
        </w:numPr>
      </w:pPr>
    </w:p>
    <w:p w14:paraId="1BA194C9" w14:textId="77777777" w:rsidR="009802AB" w:rsidRDefault="009802AB" w:rsidP="009802AB">
      <w:pPr>
        <w:pStyle w:val="Bulletlist1"/>
        <w:numPr>
          <w:ilvl w:val="0"/>
          <w:numId w:val="0"/>
        </w:numPr>
      </w:pPr>
    </w:p>
    <w:p w14:paraId="3ECD02DC" w14:textId="77777777" w:rsidR="009802AB" w:rsidRDefault="009802AB" w:rsidP="009802AB">
      <w:pPr>
        <w:pStyle w:val="Bulletlist1"/>
        <w:numPr>
          <w:ilvl w:val="0"/>
          <w:numId w:val="0"/>
        </w:numPr>
      </w:pPr>
    </w:p>
    <w:p w14:paraId="6CE424ED" w14:textId="17999CAA" w:rsidR="009802AB" w:rsidRDefault="009064EE" w:rsidP="009064EE">
      <w:pPr>
        <w:pStyle w:val="Heading1"/>
        <w:numPr>
          <w:ilvl w:val="0"/>
          <w:numId w:val="0"/>
        </w:numPr>
        <w:ind w:left="851" w:hanging="851"/>
      </w:pPr>
      <w:bookmarkStart w:id="13" w:name="_Toc174710536"/>
      <w:r w:rsidRPr="009064EE">
        <w:lastRenderedPageBreak/>
        <w:t xml:space="preserve">Appendix </w:t>
      </w:r>
      <w:r>
        <w:t>2</w:t>
      </w:r>
      <w:r w:rsidRPr="009064EE">
        <w:t xml:space="preserve"> – Conditions </w:t>
      </w:r>
      <w:r w:rsidR="00D33335">
        <w:t>a</w:t>
      </w:r>
      <w:r w:rsidRPr="009064EE">
        <w:t>ttach</w:t>
      </w:r>
      <w:r w:rsidR="00111F0F">
        <w:t>ed</w:t>
      </w:r>
      <w:r w:rsidRPr="009064EE">
        <w:t xml:space="preserve"> to </w:t>
      </w:r>
      <w:r>
        <w:t xml:space="preserve">the </w:t>
      </w:r>
      <w:r w:rsidRPr="009064EE">
        <w:t xml:space="preserve">EIADR </w:t>
      </w:r>
      <w:r>
        <w:t>C</w:t>
      </w:r>
      <w:r w:rsidRPr="009064EE">
        <w:t>onsent</w:t>
      </w:r>
      <w:bookmarkEnd w:id="13"/>
    </w:p>
    <w:p w14:paraId="6C7DE338" w14:textId="77777777" w:rsidR="00F97CE9" w:rsidRPr="009F72D8" w:rsidRDefault="00F97CE9" w:rsidP="00F97CE9">
      <w:pPr>
        <w:rPr>
          <w:b/>
          <w:bCs/>
        </w:rPr>
      </w:pPr>
      <w:r w:rsidRPr="009F72D8">
        <w:rPr>
          <w:b/>
          <w:bCs/>
        </w:rPr>
        <w:t xml:space="preserve">Condition 1 </w:t>
      </w:r>
    </w:p>
    <w:p w14:paraId="3482CA04" w14:textId="77777777" w:rsidR="00F97CE9" w:rsidRDefault="00F97CE9" w:rsidP="00F97CE9">
      <w:r w:rsidRPr="00360A9A">
        <w:t xml:space="preserve">The project shall commence before the expiration of five years from the date of this Consent. </w:t>
      </w:r>
    </w:p>
    <w:p w14:paraId="188CB9DF" w14:textId="77777777" w:rsidR="00F97CE9" w:rsidRPr="009F72D8" w:rsidRDefault="00F97CE9" w:rsidP="00F97CE9">
      <w:pPr>
        <w:rPr>
          <w:b/>
          <w:bCs/>
        </w:rPr>
      </w:pPr>
      <w:r w:rsidRPr="009F72D8">
        <w:rPr>
          <w:b/>
          <w:bCs/>
        </w:rPr>
        <w:t xml:space="preserve">Condition 2 </w:t>
      </w:r>
    </w:p>
    <w:p w14:paraId="69C35F40" w14:textId="77777777" w:rsidR="00F97CE9" w:rsidRDefault="00F97CE9" w:rsidP="00F97CE9">
      <w:r w:rsidRPr="00360A9A">
        <w:t xml:space="preserve">(1) The licensee is required to prepare and implement an environmental management plan to cover mitigation measures to prevent, reduce and where possible offset any significant adverse effects on the environment. </w:t>
      </w:r>
    </w:p>
    <w:p w14:paraId="0729FFC8" w14:textId="77777777" w:rsidR="00F97CE9" w:rsidRDefault="00F97CE9" w:rsidP="00F97CE9">
      <w:r w:rsidRPr="00360A9A">
        <w:t xml:space="preserve">(2) The project shall not be carried out except in accordance with the environmental management plan. </w:t>
      </w:r>
    </w:p>
    <w:p w14:paraId="714653DA" w14:textId="77777777" w:rsidR="00F97CE9" w:rsidRPr="009F72D8" w:rsidRDefault="00F97CE9" w:rsidP="00F97CE9">
      <w:pPr>
        <w:rPr>
          <w:b/>
          <w:bCs/>
        </w:rPr>
      </w:pPr>
      <w:r w:rsidRPr="009F72D8">
        <w:rPr>
          <w:b/>
          <w:bCs/>
        </w:rPr>
        <w:t xml:space="preserve">Condition 3 </w:t>
      </w:r>
    </w:p>
    <w:p w14:paraId="320BB4E1" w14:textId="1739CAF5" w:rsidR="00F97CE9" w:rsidRDefault="00F97CE9" w:rsidP="00F97CE9">
      <w:r>
        <w:t xml:space="preserve">Within six months of the date of this </w:t>
      </w:r>
      <w:r w:rsidR="003339AC">
        <w:t>c</w:t>
      </w:r>
      <w:r>
        <w:t xml:space="preserve">onsent, with reference to the environmental statement provided under regulation 5(1) and evidence to verify information in the environmental statement, provided under regulation 10(9), the environmental management plan shall: </w:t>
      </w:r>
    </w:p>
    <w:p w14:paraId="0626D7C2" w14:textId="77777777" w:rsidR="00F97CE9" w:rsidRDefault="00F97CE9" w:rsidP="00F97CE9">
      <w:r w:rsidRPr="00360A9A">
        <w:t xml:space="preserve">a. list the mitigation measures that are already identified in the environmental statement and evidence submitted to verify information in the environmental statement; </w:t>
      </w:r>
    </w:p>
    <w:p w14:paraId="1B2FF3E9" w14:textId="77777777" w:rsidR="00F97CE9" w:rsidRDefault="00F97CE9" w:rsidP="00F97CE9">
      <w:r w:rsidRPr="00360A9A">
        <w:t xml:space="preserve">b. list the options to implement work activities where mitigation measures may be required but where selection of an option will only be possible in the future; </w:t>
      </w:r>
    </w:p>
    <w:p w14:paraId="19AD0198" w14:textId="77777777" w:rsidR="00F97CE9" w:rsidRDefault="00F97CE9" w:rsidP="00F97CE9">
      <w:r w:rsidRPr="00360A9A">
        <w:t xml:space="preserve">c. list the work activities where mitigation measures may be required but where assessments to identify mitigation measures will only be possible in the future. </w:t>
      </w:r>
    </w:p>
    <w:p w14:paraId="1D22F6CB" w14:textId="77777777" w:rsidR="00F97CE9" w:rsidRPr="009F72D8" w:rsidRDefault="00F97CE9" w:rsidP="00F97CE9">
      <w:pPr>
        <w:rPr>
          <w:b/>
          <w:bCs/>
        </w:rPr>
      </w:pPr>
      <w:r w:rsidRPr="009F72D8">
        <w:rPr>
          <w:b/>
          <w:bCs/>
        </w:rPr>
        <w:t xml:space="preserve">Condition 4 </w:t>
      </w:r>
    </w:p>
    <w:p w14:paraId="616283AA" w14:textId="77777777" w:rsidR="00F97CE9" w:rsidRDefault="00F97CE9" w:rsidP="00F97CE9">
      <w:r w:rsidRPr="00360A9A">
        <w:t xml:space="preserve">Subsequent to condition 3, the environmental management plan shall: </w:t>
      </w:r>
    </w:p>
    <w:p w14:paraId="1B61FA42" w14:textId="77777777" w:rsidR="00F97CE9" w:rsidRDefault="00F97CE9" w:rsidP="00F97CE9">
      <w:r w:rsidRPr="00360A9A">
        <w:t xml:space="preserve">a. with reference to condition 3b, identify the mitigation measures for options that have been selected, giving reasons for their selection; </w:t>
      </w:r>
    </w:p>
    <w:p w14:paraId="18CA863A" w14:textId="77777777" w:rsidR="00F97CE9" w:rsidRDefault="00F97CE9" w:rsidP="00F97CE9">
      <w:r w:rsidRPr="00360A9A">
        <w:t xml:space="preserve">b. with reference to condition 3c, identify the mitigation measures from assessments carried out, giving reasons for their selection; </w:t>
      </w:r>
    </w:p>
    <w:p w14:paraId="2C8C2727" w14:textId="77777777" w:rsidR="00F97CE9" w:rsidRDefault="00F97CE9" w:rsidP="00F97CE9">
      <w:r w:rsidRPr="00360A9A">
        <w:t xml:space="preserve">c. describe the effectiveness of the mitigation measures over time; </w:t>
      </w:r>
    </w:p>
    <w:p w14:paraId="17C6D2F8" w14:textId="77777777" w:rsidR="00F97CE9" w:rsidRDefault="00F97CE9" w:rsidP="00F97CE9">
      <w:r w:rsidRPr="00360A9A">
        <w:t xml:space="preserve">d. describe significant changes to the mitigation measures in light of experience, giving reasons for such changes. </w:t>
      </w:r>
    </w:p>
    <w:p w14:paraId="6848BDAD" w14:textId="77777777" w:rsidR="00631EBC" w:rsidRDefault="00631EBC" w:rsidP="00F97CE9"/>
    <w:p w14:paraId="419838BA" w14:textId="77777777" w:rsidR="00F97CE9" w:rsidRPr="009F72D8" w:rsidRDefault="00F97CE9" w:rsidP="00F97CE9">
      <w:pPr>
        <w:rPr>
          <w:b/>
          <w:bCs/>
        </w:rPr>
      </w:pPr>
      <w:r w:rsidRPr="009F72D8">
        <w:rPr>
          <w:b/>
          <w:bCs/>
        </w:rPr>
        <w:lastRenderedPageBreak/>
        <w:t xml:space="preserve">Condition 5 </w:t>
      </w:r>
    </w:p>
    <w:p w14:paraId="07C52019" w14:textId="77777777" w:rsidR="00F97CE9" w:rsidRDefault="00F97CE9" w:rsidP="00F97CE9">
      <w:r w:rsidRPr="00360A9A">
        <w:t xml:space="preserve">The licensee is required to: </w:t>
      </w:r>
    </w:p>
    <w:p w14:paraId="306D2178" w14:textId="1672408B" w:rsidR="00F97CE9" w:rsidRDefault="00F97CE9" w:rsidP="00F97CE9">
      <w:r>
        <w:t xml:space="preserve">a. provide the environmental management plan to ONR within six months of the date of this </w:t>
      </w:r>
      <w:r w:rsidR="00E62E06">
        <w:t>c</w:t>
      </w:r>
      <w:r>
        <w:t xml:space="preserve">onsent and every year thereafter, or within such longer time as ONR may agree; </w:t>
      </w:r>
    </w:p>
    <w:p w14:paraId="65A9CFE2" w14:textId="77777777" w:rsidR="00F97CE9" w:rsidRDefault="00F97CE9" w:rsidP="00F97CE9">
      <w:r w:rsidRPr="00360A9A">
        <w:t xml:space="preserve">b. make the environmental management plan available to the public within 30 days of the plan being sent to </w:t>
      </w:r>
      <w:r>
        <w:t>ONR</w:t>
      </w:r>
      <w:r w:rsidRPr="00360A9A">
        <w:t xml:space="preserve">, or within such longer time as </w:t>
      </w:r>
      <w:r>
        <w:t>ONR</w:t>
      </w:r>
      <w:r w:rsidRPr="00360A9A">
        <w:t xml:space="preserve"> may agree; the plan may replace earlier versions. </w:t>
      </w:r>
    </w:p>
    <w:p w14:paraId="3E990265" w14:textId="77777777" w:rsidR="00F97CE9" w:rsidRPr="009F72D8" w:rsidRDefault="00F97CE9" w:rsidP="00F97CE9">
      <w:pPr>
        <w:rPr>
          <w:b/>
          <w:bCs/>
        </w:rPr>
      </w:pPr>
      <w:r w:rsidRPr="009F72D8">
        <w:rPr>
          <w:b/>
          <w:bCs/>
        </w:rPr>
        <w:t xml:space="preserve">Condition 6 </w:t>
      </w:r>
    </w:p>
    <w:p w14:paraId="0EFDA8BF" w14:textId="77777777" w:rsidR="00F97CE9" w:rsidRPr="004421AB" w:rsidRDefault="00F97CE9" w:rsidP="00F97CE9">
      <w:r w:rsidRPr="00360A9A">
        <w:t xml:space="preserve">The licensee is required to provide notice to </w:t>
      </w:r>
      <w:r>
        <w:t>ONR</w:t>
      </w:r>
      <w:r w:rsidRPr="00360A9A">
        <w:t xml:space="preserve"> of any significant change to a mitigation measure to prevent, reduce and where possible offset any major adverse effects on the environment no less than 30 days before the change is made, or within such shorter time as </w:t>
      </w:r>
      <w:r>
        <w:t>ONR</w:t>
      </w:r>
      <w:r w:rsidRPr="00360A9A">
        <w:t xml:space="preserve"> may agree.</w:t>
      </w:r>
    </w:p>
    <w:p w14:paraId="7399C905" w14:textId="77777777" w:rsidR="00F97CE9" w:rsidRPr="000239A2" w:rsidRDefault="00F97CE9" w:rsidP="00F97CE9">
      <w:pPr>
        <w:pStyle w:val="NumList1"/>
        <w:numPr>
          <w:ilvl w:val="0"/>
          <w:numId w:val="0"/>
        </w:numPr>
        <w:ind w:left="851" w:hanging="851"/>
      </w:pPr>
    </w:p>
    <w:sectPr w:rsidR="00F97CE9" w:rsidRPr="000239A2"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79E6" w14:textId="77777777" w:rsidR="00864D09" w:rsidRDefault="00864D09" w:rsidP="007D199A">
      <w:pPr>
        <w:spacing w:after="0"/>
      </w:pPr>
      <w:r>
        <w:separator/>
      </w:r>
    </w:p>
    <w:p w14:paraId="6F163023" w14:textId="77777777" w:rsidR="00864D09" w:rsidRDefault="00864D09"/>
  </w:endnote>
  <w:endnote w:type="continuationSeparator" w:id="0">
    <w:p w14:paraId="0EF4A0A7" w14:textId="77777777" w:rsidR="00864D09" w:rsidRDefault="00864D09" w:rsidP="007D199A">
      <w:pPr>
        <w:spacing w:after="0"/>
      </w:pPr>
      <w:r>
        <w:continuationSeparator/>
      </w:r>
    </w:p>
    <w:p w14:paraId="59C3EFA6" w14:textId="77777777" w:rsidR="00864D09" w:rsidRDefault="00864D09"/>
  </w:endnote>
  <w:endnote w:type="continuationNotice" w:id="1">
    <w:p w14:paraId="0433DB8D" w14:textId="77777777" w:rsidR="00864D09" w:rsidRDefault="00864D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6567" w14:textId="77777777" w:rsidR="005C3686" w:rsidRDefault="005C3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5AAB7D40" w:rsidR="00F15CD9" w:rsidRPr="003E584F" w:rsidRDefault="003E3090" w:rsidP="00B137F7">
    <w:pPr>
      <w:pStyle w:val="Footer"/>
      <w:jc w:val="left"/>
      <w:rPr>
        <w:lang w:val="pt-PT"/>
      </w:rPr>
    </w:pPr>
    <w:r>
      <w:rPr>
        <w:b/>
        <w:bCs/>
        <w:color w:val="auto"/>
        <w:sz w:val="20"/>
        <w:szCs w:val="18"/>
        <w:lang w:val="pt-PT"/>
      </w:rPr>
      <w:t>Document</w:t>
    </w:r>
    <w:r w:rsidR="00B137F7" w:rsidRPr="003E584F">
      <w:rPr>
        <w:b/>
        <w:bCs/>
        <w:color w:val="auto"/>
        <w:sz w:val="20"/>
        <w:szCs w:val="18"/>
        <w:lang w:val="pt-PT"/>
      </w:rPr>
      <w:t xml:space="preserve"> </w:t>
    </w:r>
    <w:r w:rsidR="0032235E">
      <w:rPr>
        <w:b/>
        <w:bCs/>
        <w:color w:val="auto"/>
        <w:sz w:val="20"/>
        <w:szCs w:val="18"/>
        <w:lang w:val="pt-PT"/>
      </w:rPr>
      <w:t>ID</w:t>
    </w:r>
    <w:r w:rsidR="00B137F7" w:rsidRPr="003E3090">
      <w:rPr>
        <w:b/>
        <w:bCs/>
        <w:color w:val="auto"/>
        <w:sz w:val="20"/>
        <w:szCs w:val="18"/>
        <w:lang w:val="pt-PT"/>
      </w:rPr>
      <w:t>:</w:t>
    </w:r>
    <w:r w:rsidR="00B137F7" w:rsidRPr="003E584F">
      <w:rPr>
        <w:color w:val="auto"/>
        <w:sz w:val="20"/>
        <w:szCs w:val="18"/>
        <w:lang w:val="pt-PT"/>
      </w:rPr>
      <w:t xml:space="preserve"> </w:t>
    </w:r>
    <w:r w:rsidRPr="003E3090">
      <w:rPr>
        <w:color w:val="auto"/>
        <w:sz w:val="20"/>
        <w:szCs w:val="18"/>
        <w:lang w:val="pt-PT"/>
      </w:rPr>
      <w:t>ONRW-2019369590-10109</w:t>
    </w:r>
    <w:r>
      <w:rPr>
        <w:color w:val="auto"/>
        <w:sz w:val="20"/>
        <w:szCs w:val="18"/>
        <w:lang w:val="pt-PT"/>
      </w:rPr>
      <w:tab/>
    </w:r>
    <w:r w:rsidR="00B137F7" w:rsidRPr="003E584F">
      <w:rPr>
        <w:color w:val="auto"/>
        <w:sz w:val="20"/>
        <w:szCs w:val="18"/>
        <w:lang w:val="pt-PT"/>
      </w:rPr>
      <w:tab/>
    </w:r>
    <w:proofErr w:type="spellStart"/>
    <w:r w:rsidR="00795F5F" w:rsidRPr="003E584F">
      <w:rPr>
        <w:lang w:val="pt-PT"/>
      </w:rPr>
      <w:t>Page</w:t>
    </w:r>
    <w:proofErr w:type="spellEnd"/>
    <w:r w:rsidR="00795F5F" w:rsidRPr="003E584F">
      <w:rPr>
        <w:lang w:val="pt-PT"/>
      </w:rPr>
      <w:t xml:space="preserve"> | </w:t>
    </w:r>
    <w:r w:rsidR="00795F5F">
      <w:fldChar w:fldCharType="begin"/>
    </w:r>
    <w:r w:rsidR="00795F5F" w:rsidRPr="003E584F">
      <w:rPr>
        <w:lang w:val="pt-PT"/>
      </w:rPr>
      <w:instrText xml:space="preserve"> PAGE   \* MERGEFORMAT </w:instrText>
    </w:r>
    <w:r w:rsidR="00795F5F">
      <w:fldChar w:fldCharType="separate"/>
    </w:r>
    <w:r w:rsidR="00795F5F" w:rsidRPr="003E584F">
      <w:rPr>
        <w:noProof/>
        <w:lang w:val="pt-PT"/>
      </w:rPr>
      <w:t>1</w:t>
    </w:r>
    <w:r w:rsidR="00795F5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21FA" w14:textId="77777777" w:rsidR="005C3686" w:rsidRDefault="005C36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B417" w14:textId="77777777" w:rsidR="00864D09" w:rsidRPr="005E0344" w:rsidRDefault="00864D09" w:rsidP="005E0344">
      <w:pPr>
        <w:spacing w:after="120"/>
        <w:rPr>
          <w:color w:val="000000" w:themeColor="text2"/>
        </w:rPr>
      </w:pPr>
      <w:r w:rsidRPr="005E0344">
        <w:rPr>
          <w:color w:val="000000" w:themeColor="text2"/>
        </w:rPr>
        <w:separator/>
      </w:r>
    </w:p>
  </w:footnote>
  <w:footnote w:type="continuationSeparator" w:id="0">
    <w:p w14:paraId="2CF579B8" w14:textId="77777777" w:rsidR="00864D09" w:rsidRPr="005E0344" w:rsidRDefault="00864D09" w:rsidP="0090581D">
      <w:pPr>
        <w:spacing w:after="120"/>
        <w:rPr>
          <w:color w:val="000000" w:themeColor="text2"/>
        </w:rPr>
      </w:pPr>
      <w:r w:rsidRPr="005E0344">
        <w:rPr>
          <w:color w:val="000000" w:themeColor="text2"/>
        </w:rPr>
        <w:continuationSeparator/>
      </w:r>
    </w:p>
    <w:p w14:paraId="604B541E" w14:textId="77777777" w:rsidR="00864D09" w:rsidRDefault="00864D09"/>
  </w:footnote>
  <w:footnote w:type="continuationNotice" w:id="1">
    <w:p w14:paraId="6CEA9410" w14:textId="77777777" w:rsidR="00864D09" w:rsidRDefault="00864D09">
      <w:pPr>
        <w:spacing w:after="0"/>
      </w:pPr>
    </w:p>
    <w:p w14:paraId="7E3F2750" w14:textId="77777777" w:rsidR="00864D09" w:rsidRDefault="00864D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3B18" w14:textId="77777777" w:rsidR="005C3686" w:rsidRDefault="005C3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09376D9A" w:rsidR="00177666" w:rsidRPr="003A7E1C" w:rsidRDefault="70797444" w:rsidP="009E0E52">
    <w:pPr>
      <w:pStyle w:val="Header"/>
      <w:rPr>
        <w:sz w:val="20"/>
        <w:szCs w:val="20"/>
      </w:rPr>
    </w:pPr>
    <w:r>
      <w:rPr>
        <w:sz w:val="20"/>
        <w:szCs w:val="20"/>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szCs w:val="20"/>
        </w:rPr>
      </w:sdtEndPr>
      <w:sdtContent>
        <w:r>
          <w:rPr>
            <w:sz w:val="20"/>
            <w:szCs w:val="20"/>
          </w:rPr>
          <w:t>Hunterston B EIADR Application for Consent Project Assessment Report</w:t>
        </w:r>
      </w:sdtContent>
    </w:sdt>
    <w:r w:rsidRPr="003A7E1C">
      <w:rPr>
        <w:sz w:val="20"/>
        <w:szCs w:val="20"/>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rPr>
          <w:szCs w:val="20"/>
        </w:rPr>
      </w:sdtEndPr>
      <w:sdtContent>
        <w:r w:rsidR="00266B3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C4502E"/>
    <w:multiLevelType w:val="hybridMultilevel"/>
    <w:tmpl w:val="1EF64CC2"/>
    <w:lvl w:ilvl="0" w:tplc="DAE4EC46">
      <w:start w:val="1"/>
      <w:numFmt w:val="decimal"/>
      <w:pStyle w:val="Numberedparagraph"/>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9"/>
  </w:num>
  <w:num w:numId="13" w16cid:durableId="936865008">
    <w:abstractNumId w:val="15"/>
  </w:num>
  <w:num w:numId="14" w16cid:durableId="839933716">
    <w:abstractNumId w:val="12"/>
  </w:num>
  <w:num w:numId="15" w16cid:durableId="1030760878">
    <w:abstractNumId w:val="19"/>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8"/>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946575612">
    <w:abstractNumId w:val="11"/>
  </w:num>
  <w:num w:numId="28" w16cid:durableId="11026541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E6"/>
    <w:rsid w:val="00002389"/>
    <w:rsid w:val="00002F03"/>
    <w:rsid w:val="00004C16"/>
    <w:rsid w:val="0000706B"/>
    <w:rsid w:val="00011177"/>
    <w:rsid w:val="0001138B"/>
    <w:rsid w:val="00014814"/>
    <w:rsid w:val="000239A2"/>
    <w:rsid w:val="00024522"/>
    <w:rsid w:val="00024B2E"/>
    <w:rsid w:val="00027F4F"/>
    <w:rsid w:val="00030430"/>
    <w:rsid w:val="0003078E"/>
    <w:rsid w:val="00030B1C"/>
    <w:rsid w:val="00031B89"/>
    <w:rsid w:val="0003693D"/>
    <w:rsid w:val="00040C4E"/>
    <w:rsid w:val="000410D6"/>
    <w:rsid w:val="0004440F"/>
    <w:rsid w:val="00044E19"/>
    <w:rsid w:val="00047FA3"/>
    <w:rsid w:val="00052C8A"/>
    <w:rsid w:val="0005361D"/>
    <w:rsid w:val="0005431D"/>
    <w:rsid w:val="000548C8"/>
    <w:rsid w:val="00067698"/>
    <w:rsid w:val="00075605"/>
    <w:rsid w:val="00075C66"/>
    <w:rsid w:val="00075F83"/>
    <w:rsid w:val="00077EF8"/>
    <w:rsid w:val="000817D4"/>
    <w:rsid w:val="00082879"/>
    <w:rsid w:val="00091512"/>
    <w:rsid w:val="00091EEA"/>
    <w:rsid w:val="000925D7"/>
    <w:rsid w:val="000A105C"/>
    <w:rsid w:val="000A1897"/>
    <w:rsid w:val="000A6551"/>
    <w:rsid w:val="000B101D"/>
    <w:rsid w:val="000B36CB"/>
    <w:rsid w:val="000B4228"/>
    <w:rsid w:val="000B6DBF"/>
    <w:rsid w:val="000C2AD1"/>
    <w:rsid w:val="000C2DDC"/>
    <w:rsid w:val="000C3115"/>
    <w:rsid w:val="000D195C"/>
    <w:rsid w:val="000D2FD4"/>
    <w:rsid w:val="000D39DF"/>
    <w:rsid w:val="000E5850"/>
    <w:rsid w:val="000F03C6"/>
    <w:rsid w:val="000F1B7B"/>
    <w:rsid w:val="000F2ED4"/>
    <w:rsid w:val="000F617C"/>
    <w:rsid w:val="00100753"/>
    <w:rsid w:val="001028E8"/>
    <w:rsid w:val="00103201"/>
    <w:rsid w:val="00111F0F"/>
    <w:rsid w:val="001216ED"/>
    <w:rsid w:val="00122FCC"/>
    <w:rsid w:val="00124C2B"/>
    <w:rsid w:val="00125749"/>
    <w:rsid w:val="00126752"/>
    <w:rsid w:val="00130B30"/>
    <w:rsid w:val="00132BC1"/>
    <w:rsid w:val="00140E1C"/>
    <w:rsid w:val="00147AE4"/>
    <w:rsid w:val="001525D6"/>
    <w:rsid w:val="00153A7D"/>
    <w:rsid w:val="00155989"/>
    <w:rsid w:val="001567CB"/>
    <w:rsid w:val="001571E5"/>
    <w:rsid w:val="001607F3"/>
    <w:rsid w:val="0016371B"/>
    <w:rsid w:val="00171A00"/>
    <w:rsid w:val="0017395B"/>
    <w:rsid w:val="00177666"/>
    <w:rsid w:val="00183CC8"/>
    <w:rsid w:val="001849CA"/>
    <w:rsid w:val="00185410"/>
    <w:rsid w:val="00187161"/>
    <w:rsid w:val="00192352"/>
    <w:rsid w:val="00196790"/>
    <w:rsid w:val="001A6B8D"/>
    <w:rsid w:val="001B116E"/>
    <w:rsid w:val="001B4173"/>
    <w:rsid w:val="001C0AC6"/>
    <w:rsid w:val="001C4D63"/>
    <w:rsid w:val="001C5C51"/>
    <w:rsid w:val="001C5F14"/>
    <w:rsid w:val="001D0DE0"/>
    <w:rsid w:val="001D56DF"/>
    <w:rsid w:val="001D5AFF"/>
    <w:rsid w:val="001D74B4"/>
    <w:rsid w:val="001D7EA6"/>
    <w:rsid w:val="001E03E1"/>
    <w:rsid w:val="001F059F"/>
    <w:rsid w:val="001F11DB"/>
    <w:rsid w:val="001F14E8"/>
    <w:rsid w:val="001F6CA0"/>
    <w:rsid w:val="00200811"/>
    <w:rsid w:val="00200CA1"/>
    <w:rsid w:val="00202152"/>
    <w:rsid w:val="0021327C"/>
    <w:rsid w:val="0021338D"/>
    <w:rsid w:val="00214D43"/>
    <w:rsid w:val="00214E9F"/>
    <w:rsid w:val="002168BC"/>
    <w:rsid w:val="0021723D"/>
    <w:rsid w:val="00217C61"/>
    <w:rsid w:val="00217CE3"/>
    <w:rsid w:val="00217D2E"/>
    <w:rsid w:val="00221304"/>
    <w:rsid w:val="00222E4D"/>
    <w:rsid w:val="00223090"/>
    <w:rsid w:val="002238B4"/>
    <w:rsid w:val="00226F9D"/>
    <w:rsid w:val="002319AB"/>
    <w:rsid w:val="002319AC"/>
    <w:rsid w:val="00234342"/>
    <w:rsid w:val="00235AE4"/>
    <w:rsid w:val="00235BCB"/>
    <w:rsid w:val="00235E44"/>
    <w:rsid w:val="00236B0C"/>
    <w:rsid w:val="0024040D"/>
    <w:rsid w:val="00243D6D"/>
    <w:rsid w:val="00246D88"/>
    <w:rsid w:val="00251CD7"/>
    <w:rsid w:val="00255FA3"/>
    <w:rsid w:val="00257288"/>
    <w:rsid w:val="00257AD9"/>
    <w:rsid w:val="00261FB6"/>
    <w:rsid w:val="002629F8"/>
    <w:rsid w:val="00263396"/>
    <w:rsid w:val="002659FA"/>
    <w:rsid w:val="00265D9A"/>
    <w:rsid w:val="00266B37"/>
    <w:rsid w:val="00267815"/>
    <w:rsid w:val="00270406"/>
    <w:rsid w:val="002770EB"/>
    <w:rsid w:val="00280DDF"/>
    <w:rsid w:val="002914A4"/>
    <w:rsid w:val="002917FF"/>
    <w:rsid w:val="00292ADF"/>
    <w:rsid w:val="00294058"/>
    <w:rsid w:val="00294F9A"/>
    <w:rsid w:val="002A0DEC"/>
    <w:rsid w:val="002A575A"/>
    <w:rsid w:val="002B1C53"/>
    <w:rsid w:val="002C2CDB"/>
    <w:rsid w:val="002D5C09"/>
    <w:rsid w:val="002E0BE4"/>
    <w:rsid w:val="002E3696"/>
    <w:rsid w:val="002E3B1D"/>
    <w:rsid w:val="002E3B58"/>
    <w:rsid w:val="002E3E8A"/>
    <w:rsid w:val="002E6A6A"/>
    <w:rsid w:val="002F14C0"/>
    <w:rsid w:val="002F3397"/>
    <w:rsid w:val="0030380D"/>
    <w:rsid w:val="00307DC4"/>
    <w:rsid w:val="00312411"/>
    <w:rsid w:val="003155CB"/>
    <w:rsid w:val="00321C0F"/>
    <w:rsid w:val="0032235E"/>
    <w:rsid w:val="00323E71"/>
    <w:rsid w:val="00326F77"/>
    <w:rsid w:val="00331AB8"/>
    <w:rsid w:val="00331D08"/>
    <w:rsid w:val="00332B95"/>
    <w:rsid w:val="003331CC"/>
    <w:rsid w:val="003339AC"/>
    <w:rsid w:val="00334596"/>
    <w:rsid w:val="00337391"/>
    <w:rsid w:val="003401B0"/>
    <w:rsid w:val="00343BAF"/>
    <w:rsid w:val="00343DB2"/>
    <w:rsid w:val="00346C8E"/>
    <w:rsid w:val="0035099B"/>
    <w:rsid w:val="00352763"/>
    <w:rsid w:val="003613FD"/>
    <w:rsid w:val="003670FA"/>
    <w:rsid w:val="00367BD5"/>
    <w:rsid w:val="00371AEA"/>
    <w:rsid w:val="0038766B"/>
    <w:rsid w:val="00390327"/>
    <w:rsid w:val="00393066"/>
    <w:rsid w:val="00393B78"/>
    <w:rsid w:val="003A01E9"/>
    <w:rsid w:val="003A0D84"/>
    <w:rsid w:val="003A7E1C"/>
    <w:rsid w:val="003B18E3"/>
    <w:rsid w:val="003B5DCB"/>
    <w:rsid w:val="003C0306"/>
    <w:rsid w:val="003C114C"/>
    <w:rsid w:val="003C2210"/>
    <w:rsid w:val="003C2C5D"/>
    <w:rsid w:val="003C465D"/>
    <w:rsid w:val="003C5E50"/>
    <w:rsid w:val="003C6B14"/>
    <w:rsid w:val="003C713F"/>
    <w:rsid w:val="003D197F"/>
    <w:rsid w:val="003D495D"/>
    <w:rsid w:val="003D7D4C"/>
    <w:rsid w:val="003E098E"/>
    <w:rsid w:val="003E2FAE"/>
    <w:rsid w:val="003E3090"/>
    <w:rsid w:val="003E3AB4"/>
    <w:rsid w:val="003E49A4"/>
    <w:rsid w:val="003E584F"/>
    <w:rsid w:val="003E5F60"/>
    <w:rsid w:val="003F2BFB"/>
    <w:rsid w:val="0040051C"/>
    <w:rsid w:val="0040069D"/>
    <w:rsid w:val="00405CD7"/>
    <w:rsid w:val="004065EC"/>
    <w:rsid w:val="00407CF7"/>
    <w:rsid w:val="00410423"/>
    <w:rsid w:val="00411AC3"/>
    <w:rsid w:val="00415ED6"/>
    <w:rsid w:val="00417059"/>
    <w:rsid w:val="00417CAF"/>
    <w:rsid w:val="00420840"/>
    <w:rsid w:val="00420A11"/>
    <w:rsid w:val="00420D41"/>
    <w:rsid w:val="00422265"/>
    <w:rsid w:val="00424B0D"/>
    <w:rsid w:val="0042595B"/>
    <w:rsid w:val="004373A7"/>
    <w:rsid w:val="00437D94"/>
    <w:rsid w:val="0044030C"/>
    <w:rsid w:val="004449CC"/>
    <w:rsid w:val="00445189"/>
    <w:rsid w:val="00450645"/>
    <w:rsid w:val="00452F22"/>
    <w:rsid w:val="0045726A"/>
    <w:rsid w:val="0045736A"/>
    <w:rsid w:val="00460F1E"/>
    <w:rsid w:val="00461BB6"/>
    <w:rsid w:val="00463FDA"/>
    <w:rsid w:val="004648A4"/>
    <w:rsid w:val="004706F0"/>
    <w:rsid w:val="00471380"/>
    <w:rsid w:val="004731AC"/>
    <w:rsid w:val="00486EE0"/>
    <w:rsid w:val="00487C68"/>
    <w:rsid w:val="00494F0D"/>
    <w:rsid w:val="00496BFD"/>
    <w:rsid w:val="00496D98"/>
    <w:rsid w:val="004A3DF2"/>
    <w:rsid w:val="004A5CBB"/>
    <w:rsid w:val="004A6144"/>
    <w:rsid w:val="004B6B5E"/>
    <w:rsid w:val="004C1900"/>
    <w:rsid w:val="004C2CAE"/>
    <w:rsid w:val="004C361D"/>
    <w:rsid w:val="004C3E69"/>
    <w:rsid w:val="004C4472"/>
    <w:rsid w:val="004C4891"/>
    <w:rsid w:val="004C79A6"/>
    <w:rsid w:val="004D16D7"/>
    <w:rsid w:val="004D2C89"/>
    <w:rsid w:val="004DEC16"/>
    <w:rsid w:val="004E1431"/>
    <w:rsid w:val="004E3932"/>
    <w:rsid w:val="004E5E00"/>
    <w:rsid w:val="004E6E34"/>
    <w:rsid w:val="004F194A"/>
    <w:rsid w:val="004F1CBE"/>
    <w:rsid w:val="004F1E79"/>
    <w:rsid w:val="004F2581"/>
    <w:rsid w:val="004F311E"/>
    <w:rsid w:val="004F5F33"/>
    <w:rsid w:val="0050103A"/>
    <w:rsid w:val="005068DC"/>
    <w:rsid w:val="00507C7F"/>
    <w:rsid w:val="005101F6"/>
    <w:rsid w:val="005111D0"/>
    <w:rsid w:val="00511B0F"/>
    <w:rsid w:val="00515670"/>
    <w:rsid w:val="005220C0"/>
    <w:rsid w:val="0052728D"/>
    <w:rsid w:val="0055388E"/>
    <w:rsid w:val="00564C3B"/>
    <w:rsid w:val="00565330"/>
    <w:rsid w:val="005663B3"/>
    <w:rsid w:val="00572470"/>
    <w:rsid w:val="00572B2A"/>
    <w:rsid w:val="005754AE"/>
    <w:rsid w:val="00577804"/>
    <w:rsid w:val="00577FB5"/>
    <w:rsid w:val="00582546"/>
    <w:rsid w:val="005852D1"/>
    <w:rsid w:val="00587A22"/>
    <w:rsid w:val="00590C5D"/>
    <w:rsid w:val="0059276A"/>
    <w:rsid w:val="0059299D"/>
    <w:rsid w:val="00595C8C"/>
    <w:rsid w:val="00597747"/>
    <w:rsid w:val="005A242F"/>
    <w:rsid w:val="005A4CDD"/>
    <w:rsid w:val="005B2319"/>
    <w:rsid w:val="005B3FFB"/>
    <w:rsid w:val="005B57E4"/>
    <w:rsid w:val="005B5ABD"/>
    <w:rsid w:val="005C140A"/>
    <w:rsid w:val="005C1E52"/>
    <w:rsid w:val="005C3466"/>
    <w:rsid w:val="005C3686"/>
    <w:rsid w:val="005C3CA7"/>
    <w:rsid w:val="005C6763"/>
    <w:rsid w:val="005C702F"/>
    <w:rsid w:val="005C7192"/>
    <w:rsid w:val="005C7D2C"/>
    <w:rsid w:val="005D3164"/>
    <w:rsid w:val="005D3A7A"/>
    <w:rsid w:val="005E0344"/>
    <w:rsid w:val="005E440B"/>
    <w:rsid w:val="005E465A"/>
    <w:rsid w:val="005E710D"/>
    <w:rsid w:val="005F2C85"/>
    <w:rsid w:val="005F7DF4"/>
    <w:rsid w:val="00602182"/>
    <w:rsid w:val="006026AD"/>
    <w:rsid w:val="00605ADB"/>
    <w:rsid w:val="00611C9F"/>
    <w:rsid w:val="00616FF4"/>
    <w:rsid w:val="006179A4"/>
    <w:rsid w:val="006248DE"/>
    <w:rsid w:val="0062490E"/>
    <w:rsid w:val="00627555"/>
    <w:rsid w:val="00631EBC"/>
    <w:rsid w:val="006322A0"/>
    <w:rsid w:val="00632DF2"/>
    <w:rsid w:val="00635332"/>
    <w:rsid w:val="006361FD"/>
    <w:rsid w:val="0064226F"/>
    <w:rsid w:val="00642DDB"/>
    <w:rsid w:val="006505CC"/>
    <w:rsid w:val="00652896"/>
    <w:rsid w:val="00653298"/>
    <w:rsid w:val="00663A7C"/>
    <w:rsid w:val="006660C9"/>
    <w:rsid w:val="00667DF2"/>
    <w:rsid w:val="00670DF1"/>
    <w:rsid w:val="00671345"/>
    <w:rsid w:val="00672A9B"/>
    <w:rsid w:val="00675884"/>
    <w:rsid w:val="0068029E"/>
    <w:rsid w:val="006864CD"/>
    <w:rsid w:val="0069136A"/>
    <w:rsid w:val="00696EE0"/>
    <w:rsid w:val="00697980"/>
    <w:rsid w:val="006A19EF"/>
    <w:rsid w:val="006A43D5"/>
    <w:rsid w:val="006A525B"/>
    <w:rsid w:val="006A6B92"/>
    <w:rsid w:val="006B4D92"/>
    <w:rsid w:val="006B61D7"/>
    <w:rsid w:val="006C045F"/>
    <w:rsid w:val="006C3907"/>
    <w:rsid w:val="006C4196"/>
    <w:rsid w:val="006C5087"/>
    <w:rsid w:val="006C63B0"/>
    <w:rsid w:val="006C76A2"/>
    <w:rsid w:val="006C792E"/>
    <w:rsid w:val="006C7958"/>
    <w:rsid w:val="006D0D12"/>
    <w:rsid w:val="006D116C"/>
    <w:rsid w:val="006D15A5"/>
    <w:rsid w:val="006D4BD3"/>
    <w:rsid w:val="006D59CB"/>
    <w:rsid w:val="006D66EA"/>
    <w:rsid w:val="006E058B"/>
    <w:rsid w:val="006E7C42"/>
    <w:rsid w:val="006F168A"/>
    <w:rsid w:val="006F376B"/>
    <w:rsid w:val="006F4CB4"/>
    <w:rsid w:val="006F5076"/>
    <w:rsid w:val="006F59C0"/>
    <w:rsid w:val="006F6009"/>
    <w:rsid w:val="00700673"/>
    <w:rsid w:val="00702295"/>
    <w:rsid w:val="007030F4"/>
    <w:rsid w:val="0070321D"/>
    <w:rsid w:val="007061B9"/>
    <w:rsid w:val="007068BA"/>
    <w:rsid w:val="00716AB1"/>
    <w:rsid w:val="00721D63"/>
    <w:rsid w:val="007233B5"/>
    <w:rsid w:val="0072480B"/>
    <w:rsid w:val="00730853"/>
    <w:rsid w:val="00732C7B"/>
    <w:rsid w:val="007334B8"/>
    <w:rsid w:val="00734D2B"/>
    <w:rsid w:val="00737611"/>
    <w:rsid w:val="00737705"/>
    <w:rsid w:val="007408D4"/>
    <w:rsid w:val="00741233"/>
    <w:rsid w:val="007420AC"/>
    <w:rsid w:val="00742617"/>
    <w:rsid w:val="00747D91"/>
    <w:rsid w:val="007503B9"/>
    <w:rsid w:val="00754108"/>
    <w:rsid w:val="0075614F"/>
    <w:rsid w:val="00757541"/>
    <w:rsid w:val="00760D7B"/>
    <w:rsid w:val="007678C3"/>
    <w:rsid w:val="00770CAB"/>
    <w:rsid w:val="00772A11"/>
    <w:rsid w:val="00776D75"/>
    <w:rsid w:val="00777BCE"/>
    <w:rsid w:val="00783173"/>
    <w:rsid w:val="00783AFA"/>
    <w:rsid w:val="00785427"/>
    <w:rsid w:val="00790540"/>
    <w:rsid w:val="00791C5A"/>
    <w:rsid w:val="0079415A"/>
    <w:rsid w:val="00794E60"/>
    <w:rsid w:val="00795F5F"/>
    <w:rsid w:val="007968CA"/>
    <w:rsid w:val="007A43FF"/>
    <w:rsid w:val="007B3918"/>
    <w:rsid w:val="007C14A1"/>
    <w:rsid w:val="007C1CD2"/>
    <w:rsid w:val="007C2F0D"/>
    <w:rsid w:val="007C3C1D"/>
    <w:rsid w:val="007D05AB"/>
    <w:rsid w:val="007D0D4E"/>
    <w:rsid w:val="007D199A"/>
    <w:rsid w:val="007D2EBE"/>
    <w:rsid w:val="007D2F84"/>
    <w:rsid w:val="007E1451"/>
    <w:rsid w:val="007E1C07"/>
    <w:rsid w:val="007E2D33"/>
    <w:rsid w:val="007E7111"/>
    <w:rsid w:val="007E7235"/>
    <w:rsid w:val="007F013E"/>
    <w:rsid w:val="007F24B6"/>
    <w:rsid w:val="007F4BBB"/>
    <w:rsid w:val="007F63B7"/>
    <w:rsid w:val="007F7268"/>
    <w:rsid w:val="0080326B"/>
    <w:rsid w:val="00803D94"/>
    <w:rsid w:val="008145CE"/>
    <w:rsid w:val="0082181A"/>
    <w:rsid w:val="008229BA"/>
    <w:rsid w:val="00824151"/>
    <w:rsid w:val="0082508B"/>
    <w:rsid w:val="00834227"/>
    <w:rsid w:val="008374C4"/>
    <w:rsid w:val="00843800"/>
    <w:rsid w:val="00845390"/>
    <w:rsid w:val="00845C02"/>
    <w:rsid w:val="0084601B"/>
    <w:rsid w:val="008519F9"/>
    <w:rsid w:val="00851B69"/>
    <w:rsid w:val="008558D1"/>
    <w:rsid w:val="008606F0"/>
    <w:rsid w:val="00864D09"/>
    <w:rsid w:val="00865489"/>
    <w:rsid w:val="0086553D"/>
    <w:rsid w:val="00866395"/>
    <w:rsid w:val="00870C23"/>
    <w:rsid w:val="00871E59"/>
    <w:rsid w:val="00874C01"/>
    <w:rsid w:val="00874FEB"/>
    <w:rsid w:val="00881B6F"/>
    <w:rsid w:val="00882AA4"/>
    <w:rsid w:val="00883E22"/>
    <w:rsid w:val="00884E43"/>
    <w:rsid w:val="00886C13"/>
    <w:rsid w:val="00887EC6"/>
    <w:rsid w:val="0089010B"/>
    <w:rsid w:val="0089084C"/>
    <w:rsid w:val="00893409"/>
    <w:rsid w:val="00893D9F"/>
    <w:rsid w:val="00895047"/>
    <w:rsid w:val="008972FB"/>
    <w:rsid w:val="008A1B58"/>
    <w:rsid w:val="008A2379"/>
    <w:rsid w:val="008A2F0A"/>
    <w:rsid w:val="008A4329"/>
    <w:rsid w:val="008A578E"/>
    <w:rsid w:val="008B1519"/>
    <w:rsid w:val="008B2309"/>
    <w:rsid w:val="008B3FF4"/>
    <w:rsid w:val="008B4129"/>
    <w:rsid w:val="008B7BCC"/>
    <w:rsid w:val="008C27E7"/>
    <w:rsid w:val="008C50C3"/>
    <w:rsid w:val="008C7094"/>
    <w:rsid w:val="008D1052"/>
    <w:rsid w:val="008D2B97"/>
    <w:rsid w:val="008D49A5"/>
    <w:rsid w:val="008D641A"/>
    <w:rsid w:val="008D6C5D"/>
    <w:rsid w:val="008D6C81"/>
    <w:rsid w:val="008E5D60"/>
    <w:rsid w:val="008E6CF0"/>
    <w:rsid w:val="008F1439"/>
    <w:rsid w:val="008F1A33"/>
    <w:rsid w:val="008F54F3"/>
    <w:rsid w:val="008F5815"/>
    <w:rsid w:val="008F7051"/>
    <w:rsid w:val="009033A9"/>
    <w:rsid w:val="0090581D"/>
    <w:rsid w:val="009064EE"/>
    <w:rsid w:val="00907B7E"/>
    <w:rsid w:val="0091439C"/>
    <w:rsid w:val="00920572"/>
    <w:rsid w:val="00920BF2"/>
    <w:rsid w:val="0092399F"/>
    <w:rsid w:val="0092473E"/>
    <w:rsid w:val="00933977"/>
    <w:rsid w:val="009349A9"/>
    <w:rsid w:val="00936C52"/>
    <w:rsid w:val="00941B11"/>
    <w:rsid w:val="00946A8A"/>
    <w:rsid w:val="00947DC7"/>
    <w:rsid w:val="0095489B"/>
    <w:rsid w:val="00966FB9"/>
    <w:rsid w:val="009671CD"/>
    <w:rsid w:val="009717D6"/>
    <w:rsid w:val="00972F49"/>
    <w:rsid w:val="009751A9"/>
    <w:rsid w:val="00977E69"/>
    <w:rsid w:val="009802AB"/>
    <w:rsid w:val="00980F9C"/>
    <w:rsid w:val="009843DD"/>
    <w:rsid w:val="00984AAF"/>
    <w:rsid w:val="009861B3"/>
    <w:rsid w:val="0098632B"/>
    <w:rsid w:val="00987E51"/>
    <w:rsid w:val="009911EE"/>
    <w:rsid w:val="0099220B"/>
    <w:rsid w:val="00992A23"/>
    <w:rsid w:val="009963D9"/>
    <w:rsid w:val="00997BFB"/>
    <w:rsid w:val="009A23BB"/>
    <w:rsid w:val="009A7348"/>
    <w:rsid w:val="009B462C"/>
    <w:rsid w:val="009C15F3"/>
    <w:rsid w:val="009C25FA"/>
    <w:rsid w:val="009C3689"/>
    <w:rsid w:val="009C4BEB"/>
    <w:rsid w:val="009C6BF5"/>
    <w:rsid w:val="009D7539"/>
    <w:rsid w:val="009E07C2"/>
    <w:rsid w:val="009E0E52"/>
    <w:rsid w:val="009E21BD"/>
    <w:rsid w:val="009E4CAF"/>
    <w:rsid w:val="009F0E82"/>
    <w:rsid w:val="009F72F9"/>
    <w:rsid w:val="00A00205"/>
    <w:rsid w:val="00A00AF0"/>
    <w:rsid w:val="00A00F04"/>
    <w:rsid w:val="00A046D2"/>
    <w:rsid w:val="00A11FFB"/>
    <w:rsid w:val="00A13B91"/>
    <w:rsid w:val="00A14B5A"/>
    <w:rsid w:val="00A25831"/>
    <w:rsid w:val="00A30FF8"/>
    <w:rsid w:val="00A3567F"/>
    <w:rsid w:val="00A371C6"/>
    <w:rsid w:val="00A3748C"/>
    <w:rsid w:val="00A37698"/>
    <w:rsid w:val="00A41ED3"/>
    <w:rsid w:val="00A42664"/>
    <w:rsid w:val="00A456EF"/>
    <w:rsid w:val="00A45B69"/>
    <w:rsid w:val="00A462D8"/>
    <w:rsid w:val="00A6203E"/>
    <w:rsid w:val="00A65601"/>
    <w:rsid w:val="00A66294"/>
    <w:rsid w:val="00A74287"/>
    <w:rsid w:val="00A762DF"/>
    <w:rsid w:val="00A8080F"/>
    <w:rsid w:val="00A81D82"/>
    <w:rsid w:val="00A9118F"/>
    <w:rsid w:val="00A92A4C"/>
    <w:rsid w:val="00A93E33"/>
    <w:rsid w:val="00A95825"/>
    <w:rsid w:val="00A96CE8"/>
    <w:rsid w:val="00AB6970"/>
    <w:rsid w:val="00AC1939"/>
    <w:rsid w:val="00AC2E98"/>
    <w:rsid w:val="00AC7C05"/>
    <w:rsid w:val="00AD167C"/>
    <w:rsid w:val="00AD17C7"/>
    <w:rsid w:val="00AD3B44"/>
    <w:rsid w:val="00AD3CFE"/>
    <w:rsid w:val="00AD4041"/>
    <w:rsid w:val="00AE12A9"/>
    <w:rsid w:val="00AE302B"/>
    <w:rsid w:val="00B010C0"/>
    <w:rsid w:val="00B040C3"/>
    <w:rsid w:val="00B076CE"/>
    <w:rsid w:val="00B07F8F"/>
    <w:rsid w:val="00B137F7"/>
    <w:rsid w:val="00B15AA0"/>
    <w:rsid w:val="00B15EB1"/>
    <w:rsid w:val="00B16BE5"/>
    <w:rsid w:val="00B25912"/>
    <w:rsid w:val="00B259DF"/>
    <w:rsid w:val="00B32039"/>
    <w:rsid w:val="00B37C33"/>
    <w:rsid w:val="00B440FA"/>
    <w:rsid w:val="00B44B1F"/>
    <w:rsid w:val="00B53317"/>
    <w:rsid w:val="00B61079"/>
    <w:rsid w:val="00B617DF"/>
    <w:rsid w:val="00B64141"/>
    <w:rsid w:val="00B64E72"/>
    <w:rsid w:val="00B76C22"/>
    <w:rsid w:val="00B76E66"/>
    <w:rsid w:val="00B77913"/>
    <w:rsid w:val="00B824FB"/>
    <w:rsid w:val="00B82646"/>
    <w:rsid w:val="00B85187"/>
    <w:rsid w:val="00B870AB"/>
    <w:rsid w:val="00B876B9"/>
    <w:rsid w:val="00B95779"/>
    <w:rsid w:val="00B97359"/>
    <w:rsid w:val="00B97A8F"/>
    <w:rsid w:val="00BA0557"/>
    <w:rsid w:val="00BA156B"/>
    <w:rsid w:val="00BA40E7"/>
    <w:rsid w:val="00BA4E58"/>
    <w:rsid w:val="00BA7074"/>
    <w:rsid w:val="00BB054F"/>
    <w:rsid w:val="00BB7829"/>
    <w:rsid w:val="00BB7C3B"/>
    <w:rsid w:val="00BD1457"/>
    <w:rsid w:val="00BD1659"/>
    <w:rsid w:val="00BD16AB"/>
    <w:rsid w:val="00BD3D18"/>
    <w:rsid w:val="00BD53C2"/>
    <w:rsid w:val="00BE204B"/>
    <w:rsid w:val="00BE2AD9"/>
    <w:rsid w:val="00BF27FE"/>
    <w:rsid w:val="00BF6417"/>
    <w:rsid w:val="00C03CDA"/>
    <w:rsid w:val="00C043B3"/>
    <w:rsid w:val="00C079AB"/>
    <w:rsid w:val="00C07B8A"/>
    <w:rsid w:val="00C101E6"/>
    <w:rsid w:val="00C10631"/>
    <w:rsid w:val="00C10E61"/>
    <w:rsid w:val="00C114E3"/>
    <w:rsid w:val="00C119C4"/>
    <w:rsid w:val="00C13030"/>
    <w:rsid w:val="00C14787"/>
    <w:rsid w:val="00C1596D"/>
    <w:rsid w:val="00C15B8D"/>
    <w:rsid w:val="00C17010"/>
    <w:rsid w:val="00C17151"/>
    <w:rsid w:val="00C20562"/>
    <w:rsid w:val="00C215C3"/>
    <w:rsid w:val="00C23A96"/>
    <w:rsid w:val="00C249C6"/>
    <w:rsid w:val="00C32CC1"/>
    <w:rsid w:val="00C426EC"/>
    <w:rsid w:val="00C46854"/>
    <w:rsid w:val="00C56923"/>
    <w:rsid w:val="00C60C3C"/>
    <w:rsid w:val="00C6483C"/>
    <w:rsid w:val="00C64AE9"/>
    <w:rsid w:val="00C70CFF"/>
    <w:rsid w:val="00C718FE"/>
    <w:rsid w:val="00C86270"/>
    <w:rsid w:val="00C86CEC"/>
    <w:rsid w:val="00C8773D"/>
    <w:rsid w:val="00C87ABB"/>
    <w:rsid w:val="00C90062"/>
    <w:rsid w:val="00C91831"/>
    <w:rsid w:val="00C92F03"/>
    <w:rsid w:val="00C953A4"/>
    <w:rsid w:val="00C953DF"/>
    <w:rsid w:val="00C969CA"/>
    <w:rsid w:val="00CA2AD8"/>
    <w:rsid w:val="00CD347B"/>
    <w:rsid w:val="00CD5401"/>
    <w:rsid w:val="00CD64C6"/>
    <w:rsid w:val="00CD7CDA"/>
    <w:rsid w:val="00CE2709"/>
    <w:rsid w:val="00CE2D64"/>
    <w:rsid w:val="00CE4111"/>
    <w:rsid w:val="00CE6198"/>
    <w:rsid w:val="00CF1747"/>
    <w:rsid w:val="00CF6230"/>
    <w:rsid w:val="00CF65FC"/>
    <w:rsid w:val="00CF76F2"/>
    <w:rsid w:val="00CF7F52"/>
    <w:rsid w:val="00D00021"/>
    <w:rsid w:val="00D017FC"/>
    <w:rsid w:val="00D0226A"/>
    <w:rsid w:val="00D03A2A"/>
    <w:rsid w:val="00D12DE7"/>
    <w:rsid w:val="00D13147"/>
    <w:rsid w:val="00D22B79"/>
    <w:rsid w:val="00D23621"/>
    <w:rsid w:val="00D3306C"/>
    <w:rsid w:val="00D33335"/>
    <w:rsid w:val="00D3542E"/>
    <w:rsid w:val="00D463FF"/>
    <w:rsid w:val="00D46A76"/>
    <w:rsid w:val="00D506BE"/>
    <w:rsid w:val="00D5528D"/>
    <w:rsid w:val="00D55FB5"/>
    <w:rsid w:val="00D5715A"/>
    <w:rsid w:val="00D5984A"/>
    <w:rsid w:val="00D67923"/>
    <w:rsid w:val="00D71687"/>
    <w:rsid w:val="00D72154"/>
    <w:rsid w:val="00D74813"/>
    <w:rsid w:val="00D75CB5"/>
    <w:rsid w:val="00D92A6C"/>
    <w:rsid w:val="00D92C55"/>
    <w:rsid w:val="00D947C0"/>
    <w:rsid w:val="00DA2D32"/>
    <w:rsid w:val="00DA2DDE"/>
    <w:rsid w:val="00DA30BC"/>
    <w:rsid w:val="00DA69C2"/>
    <w:rsid w:val="00DA6D70"/>
    <w:rsid w:val="00DA78D2"/>
    <w:rsid w:val="00DB4A58"/>
    <w:rsid w:val="00DB6050"/>
    <w:rsid w:val="00DC1058"/>
    <w:rsid w:val="00DC2C34"/>
    <w:rsid w:val="00DC3041"/>
    <w:rsid w:val="00DC6242"/>
    <w:rsid w:val="00DD06C4"/>
    <w:rsid w:val="00DD7DA3"/>
    <w:rsid w:val="00DE188C"/>
    <w:rsid w:val="00DE2C87"/>
    <w:rsid w:val="00DE459A"/>
    <w:rsid w:val="00DE731A"/>
    <w:rsid w:val="00DF27DA"/>
    <w:rsid w:val="00DF4DBE"/>
    <w:rsid w:val="00E16601"/>
    <w:rsid w:val="00E25303"/>
    <w:rsid w:val="00E26537"/>
    <w:rsid w:val="00E2720F"/>
    <w:rsid w:val="00E40820"/>
    <w:rsid w:val="00E4341F"/>
    <w:rsid w:val="00E4658F"/>
    <w:rsid w:val="00E54A67"/>
    <w:rsid w:val="00E61C0D"/>
    <w:rsid w:val="00E62E06"/>
    <w:rsid w:val="00E63EB4"/>
    <w:rsid w:val="00E64B5F"/>
    <w:rsid w:val="00E66160"/>
    <w:rsid w:val="00E66DEF"/>
    <w:rsid w:val="00E71329"/>
    <w:rsid w:val="00E77480"/>
    <w:rsid w:val="00E8363B"/>
    <w:rsid w:val="00E84966"/>
    <w:rsid w:val="00E8542C"/>
    <w:rsid w:val="00E86280"/>
    <w:rsid w:val="00E9054F"/>
    <w:rsid w:val="00E91039"/>
    <w:rsid w:val="00E92383"/>
    <w:rsid w:val="00E96AE7"/>
    <w:rsid w:val="00EA1B3A"/>
    <w:rsid w:val="00EA2109"/>
    <w:rsid w:val="00EA6AC3"/>
    <w:rsid w:val="00EB113A"/>
    <w:rsid w:val="00EC5549"/>
    <w:rsid w:val="00EC71E3"/>
    <w:rsid w:val="00ED3993"/>
    <w:rsid w:val="00ED4D4E"/>
    <w:rsid w:val="00EE0C77"/>
    <w:rsid w:val="00EE4E54"/>
    <w:rsid w:val="00EE69D3"/>
    <w:rsid w:val="00EE77DE"/>
    <w:rsid w:val="00EF4334"/>
    <w:rsid w:val="00F02C24"/>
    <w:rsid w:val="00F15409"/>
    <w:rsid w:val="00F15948"/>
    <w:rsid w:val="00F15CD9"/>
    <w:rsid w:val="00F20262"/>
    <w:rsid w:val="00F42DEF"/>
    <w:rsid w:val="00F436BB"/>
    <w:rsid w:val="00F45FB6"/>
    <w:rsid w:val="00F47145"/>
    <w:rsid w:val="00F47FBB"/>
    <w:rsid w:val="00F545BF"/>
    <w:rsid w:val="00F62FA7"/>
    <w:rsid w:val="00F63471"/>
    <w:rsid w:val="00F70BC4"/>
    <w:rsid w:val="00F71B56"/>
    <w:rsid w:val="00F72BDA"/>
    <w:rsid w:val="00F76A36"/>
    <w:rsid w:val="00F832C8"/>
    <w:rsid w:val="00F8500A"/>
    <w:rsid w:val="00F873B3"/>
    <w:rsid w:val="00F91E73"/>
    <w:rsid w:val="00F94101"/>
    <w:rsid w:val="00F95EE7"/>
    <w:rsid w:val="00F97C76"/>
    <w:rsid w:val="00F97CE9"/>
    <w:rsid w:val="00FA33FE"/>
    <w:rsid w:val="00FA42B9"/>
    <w:rsid w:val="00FA5ACA"/>
    <w:rsid w:val="00FA755A"/>
    <w:rsid w:val="00FB0CE0"/>
    <w:rsid w:val="00FB2B0F"/>
    <w:rsid w:val="00FB3EF3"/>
    <w:rsid w:val="00FB4F6B"/>
    <w:rsid w:val="00FB5FE1"/>
    <w:rsid w:val="00FB6FAF"/>
    <w:rsid w:val="00FC0E8D"/>
    <w:rsid w:val="00FC2299"/>
    <w:rsid w:val="00FC34E4"/>
    <w:rsid w:val="00FC450A"/>
    <w:rsid w:val="00FC46EF"/>
    <w:rsid w:val="00FC565C"/>
    <w:rsid w:val="00FD31B3"/>
    <w:rsid w:val="00FD4204"/>
    <w:rsid w:val="00FE1CA6"/>
    <w:rsid w:val="00FE7605"/>
    <w:rsid w:val="00FF0F43"/>
    <w:rsid w:val="00FF1BB5"/>
    <w:rsid w:val="00FF3406"/>
    <w:rsid w:val="00FF3CCB"/>
    <w:rsid w:val="00FF57B5"/>
    <w:rsid w:val="01CA8E42"/>
    <w:rsid w:val="03AB8E39"/>
    <w:rsid w:val="04627FAA"/>
    <w:rsid w:val="04AE66B8"/>
    <w:rsid w:val="0556D4B6"/>
    <w:rsid w:val="070BA058"/>
    <w:rsid w:val="07BEA19A"/>
    <w:rsid w:val="0A6ADD04"/>
    <w:rsid w:val="0ABF0A5F"/>
    <w:rsid w:val="0BF5BFDA"/>
    <w:rsid w:val="0BF72C9E"/>
    <w:rsid w:val="0C61A629"/>
    <w:rsid w:val="0F8FFBBA"/>
    <w:rsid w:val="0FD0A2A0"/>
    <w:rsid w:val="0FE0B661"/>
    <w:rsid w:val="104F73D9"/>
    <w:rsid w:val="10C15292"/>
    <w:rsid w:val="1269DD80"/>
    <w:rsid w:val="14852E90"/>
    <w:rsid w:val="1577BB3A"/>
    <w:rsid w:val="16156F25"/>
    <w:rsid w:val="1897FAF7"/>
    <w:rsid w:val="192B1F97"/>
    <w:rsid w:val="19760935"/>
    <w:rsid w:val="1A38BB15"/>
    <w:rsid w:val="1A7C4AF7"/>
    <w:rsid w:val="1BE70147"/>
    <w:rsid w:val="1DC366D7"/>
    <w:rsid w:val="1EB1DA1B"/>
    <w:rsid w:val="1F9409E9"/>
    <w:rsid w:val="20A4BFF8"/>
    <w:rsid w:val="217C1CDE"/>
    <w:rsid w:val="21830A9E"/>
    <w:rsid w:val="21D99986"/>
    <w:rsid w:val="2212A697"/>
    <w:rsid w:val="224C2C57"/>
    <w:rsid w:val="227E9C8C"/>
    <w:rsid w:val="238265A4"/>
    <w:rsid w:val="23888110"/>
    <w:rsid w:val="24560F9A"/>
    <w:rsid w:val="2531609C"/>
    <w:rsid w:val="268244EB"/>
    <w:rsid w:val="26CC8B2A"/>
    <w:rsid w:val="26F16A1F"/>
    <w:rsid w:val="28424157"/>
    <w:rsid w:val="286DA3FE"/>
    <w:rsid w:val="28F74F22"/>
    <w:rsid w:val="2A39EE0D"/>
    <w:rsid w:val="2A9B274A"/>
    <w:rsid w:val="2B3D210C"/>
    <w:rsid w:val="2BE9E23E"/>
    <w:rsid w:val="2BEAEE52"/>
    <w:rsid w:val="2E8DE2A0"/>
    <w:rsid w:val="2F3193DC"/>
    <w:rsid w:val="2F5A11FA"/>
    <w:rsid w:val="2F853D8C"/>
    <w:rsid w:val="301B8ECF"/>
    <w:rsid w:val="316DAFD1"/>
    <w:rsid w:val="336CFD7E"/>
    <w:rsid w:val="34459B00"/>
    <w:rsid w:val="3532CD6C"/>
    <w:rsid w:val="35859A0B"/>
    <w:rsid w:val="362CC17A"/>
    <w:rsid w:val="37A58F3D"/>
    <w:rsid w:val="380B1C4C"/>
    <w:rsid w:val="38399DFF"/>
    <w:rsid w:val="3854F42A"/>
    <w:rsid w:val="3993B513"/>
    <w:rsid w:val="39FEC545"/>
    <w:rsid w:val="3B13B318"/>
    <w:rsid w:val="3C13713F"/>
    <w:rsid w:val="3CDFDE79"/>
    <w:rsid w:val="3EE6CA9F"/>
    <w:rsid w:val="402DAF6A"/>
    <w:rsid w:val="429F0041"/>
    <w:rsid w:val="46C2C9D8"/>
    <w:rsid w:val="46CFBE7C"/>
    <w:rsid w:val="46ED998D"/>
    <w:rsid w:val="47C6F69F"/>
    <w:rsid w:val="48C290BD"/>
    <w:rsid w:val="498DF2C2"/>
    <w:rsid w:val="499F62C3"/>
    <w:rsid w:val="49BE20FE"/>
    <w:rsid w:val="4AFE5E0E"/>
    <w:rsid w:val="4BBB779D"/>
    <w:rsid w:val="4E89901E"/>
    <w:rsid w:val="4FDEAD11"/>
    <w:rsid w:val="504298BB"/>
    <w:rsid w:val="5081962D"/>
    <w:rsid w:val="50DFAC8B"/>
    <w:rsid w:val="510ECA03"/>
    <w:rsid w:val="5131DD5A"/>
    <w:rsid w:val="51F251EB"/>
    <w:rsid w:val="5462F9C4"/>
    <w:rsid w:val="5682CE03"/>
    <w:rsid w:val="577E6C1B"/>
    <w:rsid w:val="585058A6"/>
    <w:rsid w:val="58746A64"/>
    <w:rsid w:val="5B8D38E4"/>
    <w:rsid w:val="5C6AE360"/>
    <w:rsid w:val="5C9F2863"/>
    <w:rsid w:val="5D3A62C9"/>
    <w:rsid w:val="5E656FF8"/>
    <w:rsid w:val="5EBAF710"/>
    <w:rsid w:val="6064A6CF"/>
    <w:rsid w:val="61221F59"/>
    <w:rsid w:val="62840D0C"/>
    <w:rsid w:val="63B94686"/>
    <w:rsid w:val="6483670F"/>
    <w:rsid w:val="6595157B"/>
    <w:rsid w:val="65C7840C"/>
    <w:rsid w:val="6623E22D"/>
    <w:rsid w:val="676B53CB"/>
    <w:rsid w:val="67B26D63"/>
    <w:rsid w:val="67D9526C"/>
    <w:rsid w:val="680AF944"/>
    <w:rsid w:val="6824818D"/>
    <w:rsid w:val="6ABF0E14"/>
    <w:rsid w:val="6AC6F411"/>
    <w:rsid w:val="6AD33C0F"/>
    <w:rsid w:val="6C3CA1CD"/>
    <w:rsid w:val="6C5FABF7"/>
    <w:rsid w:val="6C90C30E"/>
    <w:rsid w:val="6E6495B3"/>
    <w:rsid w:val="70797444"/>
    <w:rsid w:val="71A03E46"/>
    <w:rsid w:val="729247A7"/>
    <w:rsid w:val="7391D3C5"/>
    <w:rsid w:val="74F5FFF0"/>
    <w:rsid w:val="754B1064"/>
    <w:rsid w:val="75FEED49"/>
    <w:rsid w:val="75FFF3AF"/>
    <w:rsid w:val="76750537"/>
    <w:rsid w:val="7766673E"/>
    <w:rsid w:val="779626EA"/>
    <w:rsid w:val="782BE474"/>
    <w:rsid w:val="78F86D01"/>
    <w:rsid w:val="79A9C2A4"/>
    <w:rsid w:val="7A692053"/>
    <w:rsid w:val="7A98D02C"/>
    <w:rsid w:val="7C7B10E4"/>
    <w:rsid w:val="7E359DF3"/>
    <w:rsid w:val="7FBEE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2CA3E43-7925-43DE-8C04-5AFB4AD5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6D0D12"/>
    <w:pPr>
      <w:numPr>
        <w:numId w:val="27"/>
      </w:numPr>
      <w:ind w:left="851" w:hanging="851"/>
      <w:contextualSpacing w:val="0"/>
    </w:pPr>
  </w:style>
  <w:style w:type="character" w:customStyle="1" w:styleId="NumberedparagraphChar">
    <w:name w:val="Numbered paragraph Char"/>
    <w:basedOn w:val="DefaultParagraphFont"/>
    <w:link w:val="Numberedparagraph"/>
    <w:rsid w:val="006D0D12"/>
    <w:rPr>
      <w:rFonts w:ascii="Arial" w:hAnsi="Arial"/>
      <w:sz w:val="24"/>
      <w:szCs w:val="22"/>
      <w:lang w:eastAsia="en-US" w:bidi="he-IL"/>
    </w:rPr>
  </w:style>
  <w:style w:type="paragraph" w:styleId="Revision">
    <w:name w:val="Revision"/>
    <w:hidden/>
    <w:uiPriority w:val="99"/>
    <w:semiHidden/>
    <w:rsid w:val="004B6B5E"/>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97C7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97C7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41868">
      <w:bodyDiv w:val="1"/>
      <w:marLeft w:val="0"/>
      <w:marRight w:val="0"/>
      <w:marTop w:val="0"/>
      <w:marBottom w:val="0"/>
      <w:divBdr>
        <w:top w:val="none" w:sz="0" w:space="0" w:color="auto"/>
        <w:left w:val="none" w:sz="0" w:space="0" w:color="auto"/>
        <w:bottom w:val="none" w:sz="0" w:space="0" w:color="auto"/>
        <w:right w:val="none" w:sz="0" w:space="0" w:color="auto"/>
      </w:divBdr>
    </w:div>
    <w:div w:id="45180197">
      <w:bodyDiv w:val="1"/>
      <w:marLeft w:val="0"/>
      <w:marRight w:val="0"/>
      <w:marTop w:val="0"/>
      <w:marBottom w:val="0"/>
      <w:divBdr>
        <w:top w:val="none" w:sz="0" w:space="0" w:color="auto"/>
        <w:left w:val="none" w:sz="0" w:space="0" w:color="auto"/>
        <w:bottom w:val="none" w:sz="0" w:space="0" w:color="auto"/>
        <w:right w:val="none" w:sz="0" w:space="0" w:color="auto"/>
      </w:divBdr>
    </w:div>
    <w:div w:id="53311378">
      <w:bodyDiv w:val="1"/>
      <w:marLeft w:val="0"/>
      <w:marRight w:val="0"/>
      <w:marTop w:val="0"/>
      <w:marBottom w:val="0"/>
      <w:divBdr>
        <w:top w:val="none" w:sz="0" w:space="0" w:color="auto"/>
        <w:left w:val="none" w:sz="0" w:space="0" w:color="auto"/>
        <w:bottom w:val="none" w:sz="0" w:space="0" w:color="auto"/>
        <w:right w:val="none" w:sz="0" w:space="0" w:color="auto"/>
      </w:divBdr>
    </w:div>
    <w:div w:id="8985433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2773188">
      <w:bodyDiv w:val="1"/>
      <w:marLeft w:val="0"/>
      <w:marRight w:val="0"/>
      <w:marTop w:val="0"/>
      <w:marBottom w:val="0"/>
      <w:divBdr>
        <w:top w:val="none" w:sz="0" w:space="0" w:color="auto"/>
        <w:left w:val="none" w:sz="0" w:space="0" w:color="auto"/>
        <w:bottom w:val="none" w:sz="0" w:space="0" w:color="auto"/>
        <w:right w:val="none" w:sz="0" w:space="0" w:color="auto"/>
      </w:divBdr>
    </w:div>
    <w:div w:id="113717024">
      <w:bodyDiv w:val="1"/>
      <w:marLeft w:val="0"/>
      <w:marRight w:val="0"/>
      <w:marTop w:val="0"/>
      <w:marBottom w:val="0"/>
      <w:divBdr>
        <w:top w:val="none" w:sz="0" w:space="0" w:color="auto"/>
        <w:left w:val="none" w:sz="0" w:space="0" w:color="auto"/>
        <w:bottom w:val="none" w:sz="0" w:space="0" w:color="auto"/>
        <w:right w:val="none" w:sz="0" w:space="0" w:color="auto"/>
      </w:divBdr>
    </w:div>
    <w:div w:id="153569485">
      <w:bodyDiv w:val="1"/>
      <w:marLeft w:val="0"/>
      <w:marRight w:val="0"/>
      <w:marTop w:val="0"/>
      <w:marBottom w:val="0"/>
      <w:divBdr>
        <w:top w:val="none" w:sz="0" w:space="0" w:color="auto"/>
        <w:left w:val="none" w:sz="0" w:space="0" w:color="auto"/>
        <w:bottom w:val="none" w:sz="0" w:space="0" w:color="auto"/>
        <w:right w:val="none" w:sz="0" w:space="0" w:color="auto"/>
      </w:divBdr>
    </w:div>
    <w:div w:id="196508113">
      <w:bodyDiv w:val="1"/>
      <w:marLeft w:val="0"/>
      <w:marRight w:val="0"/>
      <w:marTop w:val="0"/>
      <w:marBottom w:val="0"/>
      <w:divBdr>
        <w:top w:val="none" w:sz="0" w:space="0" w:color="auto"/>
        <w:left w:val="none" w:sz="0" w:space="0" w:color="auto"/>
        <w:bottom w:val="none" w:sz="0" w:space="0" w:color="auto"/>
        <w:right w:val="none" w:sz="0" w:space="0" w:color="auto"/>
      </w:divBdr>
    </w:div>
    <w:div w:id="19912968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9874401">
      <w:bodyDiv w:val="1"/>
      <w:marLeft w:val="0"/>
      <w:marRight w:val="0"/>
      <w:marTop w:val="0"/>
      <w:marBottom w:val="0"/>
      <w:divBdr>
        <w:top w:val="none" w:sz="0" w:space="0" w:color="auto"/>
        <w:left w:val="none" w:sz="0" w:space="0" w:color="auto"/>
        <w:bottom w:val="none" w:sz="0" w:space="0" w:color="auto"/>
        <w:right w:val="none" w:sz="0" w:space="0" w:color="auto"/>
      </w:divBdr>
    </w:div>
    <w:div w:id="224492481">
      <w:bodyDiv w:val="1"/>
      <w:marLeft w:val="0"/>
      <w:marRight w:val="0"/>
      <w:marTop w:val="0"/>
      <w:marBottom w:val="0"/>
      <w:divBdr>
        <w:top w:val="none" w:sz="0" w:space="0" w:color="auto"/>
        <w:left w:val="none" w:sz="0" w:space="0" w:color="auto"/>
        <w:bottom w:val="none" w:sz="0" w:space="0" w:color="auto"/>
        <w:right w:val="none" w:sz="0" w:space="0" w:color="auto"/>
      </w:divBdr>
    </w:div>
    <w:div w:id="249436451">
      <w:bodyDiv w:val="1"/>
      <w:marLeft w:val="0"/>
      <w:marRight w:val="0"/>
      <w:marTop w:val="0"/>
      <w:marBottom w:val="0"/>
      <w:divBdr>
        <w:top w:val="none" w:sz="0" w:space="0" w:color="auto"/>
        <w:left w:val="none" w:sz="0" w:space="0" w:color="auto"/>
        <w:bottom w:val="none" w:sz="0" w:space="0" w:color="auto"/>
        <w:right w:val="none" w:sz="0" w:space="0" w:color="auto"/>
      </w:divBdr>
    </w:div>
    <w:div w:id="250353515">
      <w:bodyDiv w:val="1"/>
      <w:marLeft w:val="0"/>
      <w:marRight w:val="0"/>
      <w:marTop w:val="0"/>
      <w:marBottom w:val="0"/>
      <w:divBdr>
        <w:top w:val="none" w:sz="0" w:space="0" w:color="auto"/>
        <w:left w:val="none" w:sz="0" w:space="0" w:color="auto"/>
        <w:bottom w:val="none" w:sz="0" w:space="0" w:color="auto"/>
        <w:right w:val="none" w:sz="0" w:space="0" w:color="auto"/>
      </w:divBdr>
    </w:div>
    <w:div w:id="259800281">
      <w:bodyDiv w:val="1"/>
      <w:marLeft w:val="0"/>
      <w:marRight w:val="0"/>
      <w:marTop w:val="0"/>
      <w:marBottom w:val="0"/>
      <w:divBdr>
        <w:top w:val="none" w:sz="0" w:space="0" w:color="auto"/>
        <w:left w:val="none" w:sz="0" w:space="0" w:color="auto"/>
        <w:bottom w:val="none" w:sz="0" w:space="0" w:color="auto"/>
        <w:right w:val="none" w:sz="0" w:space="0" w:color="auto"/>
      </w:divBdr>
    </w:div>
    <w:div w:id="260379337">
      <w:bodyDiv w:val="1"/>
      <w:marLeft w:val="0"/>
      <w:marRight w:val="0"/>
      <w:marTop w:val="0"/>
      <w:marBottom w:val="0"/>
      <w:divBdr>
        <w:top w:val="none" w:sz="0" w:space="0" w:color="auto"/>
        <w:left w:val="none" w:sz="0" w:space="0" w:color="auto"/>
        <w:bottom w:val="none" w:sz="0" w:space="0" w:color="auto"/>
        <w:right w:val="none" w:sz="0" w:space="0" w:color="auto"/>
      </w:divBdr>
    </w:div>
    <w:div w:id="274094979">
      <w:bodyDiv w:val="1"/>
      <w:marLeft w:val="0"/>
      <w:marRight w:val="0"/>
      <w:marTop w:val="0"/>
      <w:marBottom w:val="0"/>
      <w:divBdr>
        <w:top w:val="none" w:sz="0" w:space="0" w:color="auto"/>
        <w:left w:val="none" w:sz="0" w:space="0" w:color="auto"/>
        <w:bottom w:val="none" w:sz="0" w:space="0" w:color="auto"/>
        <w:right w:val="none" w:sz="0" w:space="0" w:color="auto"/>
      </w:divBdr>
    </w:div>
    <w:div w:id="276445596">
      <w:bodyDiv w:val="1"/>
      <w:marLeft w:val="0"/>
      <w:marRight w:val="0"/>
      <w:marTop w:val="0"/>
      <w:marBottom w:val="0"/>
      <w:divBdr>
        <w:top w:val="none" w:sz="0" w:space="0" w:color="auto"/>
        <w:left w:val="none" w:sz="0" w:space="0" w:color="auto"/>
        <w:bottom w:val="none" w:sz="0" w:space="0" w:color="auto"/>
        <w:right w:val="none" w:sz="0" w:space="0" w:color="auto"/>
      </w:divBdr>
    </w:div>
    <w:div w:id="297078884">
      <w:bodyDiv w:val="1"/>
      <w:marLeft w:val="0"/>
      <w:marRight w:val="0"/>
      <w:marTop w:val="0"/>
      <w:marBottom w:val="0"/>
      <w:divBdr>
        <w:top w:val="none" w:sz="0" w:space="0" w:color="auto"/>
        <w:left w:val="none" w:sz="0" w:space="0" w:color="auto"/>
        <w:bottom w:val="none" w:sz="0" w:space="0" w:color="auto"/>
        <w:right w:val="none" w:sz="0" w:space="0" w:color="auto"/>
      </w:divBdr>
    </w:div>
    <w:div w:id="307907587">
      <w:bodyDiv w:val="1"/>
      <w:marLeft w:val="0"/>
      <w:marRight w:val="0"/>
      <w:marTop w:val="0"/>
      <w:marBottom w:val="0"/>
      <w:divBdr>
        <w:top w:val="none" w:sz="0" w:space="0" w:color="auto"/>
        <w:left w:val="none" w:sz="0" w:space="0" w:color="auto"/>
        <w:bottom w:val="none" w:sz="0" w:space="0" w:color="auto"/>
        <w:right w:val="none" w:sz="0" w:space="0" w:color="auto"/>
      </w:divBdr>
    </w:div>
    <w:div w:id="313800699">
      <w:bodyDiv w:val="1"/>
      <w:marLeft w:val="0"/>
      <w:marRight w:val="0"/>
      <w:marTop w:val="0"/>
      <w:marBottom w:val="0"/>
      <w:divBdr>
        <w:top w:val="none" w:sz="0" w:space="0" w:color="auto"/>
        <w:left w:val="none" w:sz="0" w:space="0" w:color="auto"/>
        <w:bottom w:val="none" w:sz="0" w:space="0" w:color="auto"/>
        <w:right w:val="none" w:sz="0" w:space="0" w:color="auto"/>
      </w:divBdr>
    </w:div>
    <w:div w:id="324362024">
      <w:bodyDiv w:val="1"/>
      <w:marLeft w:val="0"/>
      <w:marRight w:val="0"/>
      <w:marTop w:val="0"/>
      <w:marBottom w:val="0"/>
      <w:divBdr>
        <w:top w:val="none" w:sz="0" w:space="0" w:color="auto"/>
        <w:left w:val="none" w:sz="0" w:space="0" w:color="auto"/>
        <w:bottom w:val="none" w:sz="0" w:space="0" w:color="auto"/>
        <w:right w:val="none" w:sz="0" w:space="0" w:color="auto"/>
      </w:divBdr>
    </w:div>
    <w:div w:id="330179463">
      <w:bodyDiv w:val="1"/>
      <w:marLeft w:val="0"/>
      <w:marRight w:val="0"/>
      <w:marTop w:val="0"/>
      <w:marBottom w:val="0"/>
      <w:divBdr>
        <w:top w:val="none" w:sz="0" w:space="0" w:color="auto"/>
        <w:left w:val="none" w:sz="0" w:space="0" w:color="auto"/>
        <w:bottom w:val="none" w:sz="0" w:space="0" w:color="auto"/>
        <w:right w:val="none" w:sz="0" w:space="0" w:color="auto"/>
      </w:divBdr>
    </w:div>
    <w:div w:id="332103627">
      <w:bodyDiv w:val="1"/>
      <w:marLeft w:val="0"/>
      <w:marRight w:val="0"/>
      <w:marTop w:val="0"/>
      <w:marBottom w:val="0"/>
      <w:divBdr>
        <w:top w:val="none" w:sz="0" w:space="0" w:color="auto"/>
        <w:left w:val="none" w:sz="0" w:space="0" w:color="auto"/>
        <w:bottom w:val="none" w:sz="0" w:space="0" w:color="auto"/>
        <w:right w:val="none" w:sz="0" w:space="0" w:color="auto"/>
      </w:divBdr>
    </w:div>
    <w:div w:id="332998262">
      <w:bodyDiv w:val="1"/>
      <w:marLeft w:val="0"/>
      <w:marRight w:val="0"/>
      <w:marTop w:val="0"/>
      <w:marBottom w:val="0"/>
      <w:divBdr>
        <w:top w:val="none" w:sz="0" w:space="0" w:color="auto"/>
        <w:left w:val="none" w:sz="0" w:space="0" w:color="auto"/>
        <w:bottom w:val="none" w:sz="0" w:space="0" w:color="auto"/>
        <w:right w:val="none" w:sz="0" w:space="0" w:color="auto"/>
      </w:divBdr>
    </w:div>
    <w:div w:id="33384880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9748396">
      <w:bodyDiv w:val="1"/>
      <w:marLeft w:val="0"/>
      <w:marRight w:val="0"/>
      <w:marTop w:val="0"/>
      <w:marBottom w:val="0"/>
      <w:divBdr>
        <w:top w:val="none" w:sz="0" w:space="0" w:color="auto"/>
        <w:left w:val="none" w:sz="0" w:space="0" w:color="auto"/>
        <w:bottom w:val="none" w:sz="0" w:space="0" w:color="auto"/>
        <w:right w:val="none" w:sz="0" w:space="0" w:color="auto"/>
      </w:divBdr>
    </w:div>
    <w:div w:id="364864221">
      <w:bodyDiv w:val="1"/>
      <w:marLeft w:val="0"/>
      <w:marRight w:val="0"/>
      <w:marTop w:val="0"/>
      <w:marBottom w:val="0"/>
      <w:divBdr>
        <w:top w:val="none" w:sz="0" w:space="0" w:color="auto"/>
        <w:left w:val="none" w:sz="0" w:space="0" w:color="auto"/>
        <w:bottom w:val="none" w:sz="0" w:space="0" w:color="auto"/>
        <w:right w:val="none" w:sz="0" w:space="0" w:color="auto"/>
      </w:divBdr>
    </w:div>
    <w:div w:id="369842221">
      <w:bodyDiv w:val="1"/>
      <w:marLeft w:val="0"/>
      <w:marRight w:val="0"/>
      <w:marTop w:val="0"/>
      <w:marBottom w:val="0"/>
      <w:divBdr>
        <w:top w:val="none" w:sz="0" w:space="0" w:color="auto"/>
        <w:left w:val="none" w:sz="0" w:space="0" w:color="auto"/>
        <w:bottom w:val="none" w:sz="0" w:space="0" w:color="auto"/>
        <w:right w:val="none" w:sz="0" w:space="0" w:color="auto"/>
      </w:divBdr>
    </w:div>
    <w:div w:id="410859055">
      <w:bodyDiv w:val="1"/>
      <w:marLeft w:val="0"/>
      <w:marRight w:val="0"/>
      <w:marTop w:val="0"/>
      <w:marBottom w:val="0"/>
      <w:divBdr>
        <w:top w:val="none" w:sz="0" w:space="0" w:color="auto"/>
        <w:left w:val="none" w:sz="0" w:space="0" w:color="auto"/>
        <w:bottom w:val="none" w:sz="0" w:space="0" w:color="auto"/>
        <w:right w:val="none" w:sz="0" w:space="0" w:color="auto"/>
      </w:divBdr>
    </w:div>
    <w:div w:id="423720341">
      <w:bodyDiv w:val="1"/>
      <w:marLeft w:val="0"/>
      <w:marRight w:val="0"/>
      <w:marTop w:val="0"/>
      <w:marBottom w:val="0"/>
      <w:divBdr>
        <w:top w:val="none" w:sz="0" w:space="0" w:color="auto"/>
        <w:left w:val="none" w:sz="0" w:space="0" w:color="auto"/>
        <w:bottom w:val="none" w:sz="0" w:space="0" w:color="auto"/>
        <w:right w:val="none" w:sz="0" w:space="0" w:color="auto"/>
      </w:divBdr>
    </w:div>
    <w:div w:id="43432304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3958608">
      <w:bodyDiv w:val="1"/>
      <w:marLeft w:val="0"/>
      <w:marRight w:val="0"/>
      <w:marTop w:val="0"/>
      <w:marBottom w:val="0"/>
      <w:divBdr>
        <w:top w:val="none" w:sz="0" w:space="0" w:color="auto"/>
        <w:left w:val="none" w:sz="0" w:space="0" w:color="auto"/>
        <w:bottom w:val="none" w:sz="0" w:space="0" w:color="auto"/>
        <w:right w:val="none" w:sz="0" w:space="0" w:color="auto"/>
      </w:divBdr>
    </w:div>
    <w:div w:id="450636575">
      <w:bodyDiv w:val="1"/>
      <w:marLeft w:val="0"/>
      <w:marRight w:val="0"/>
      <w:marTop w:val="0"/>
      <w:marBottom w:val="0"/>
      <w:divBdr>
        <w:top w:val="none" w:sz="0" w:space="0" w:color="auto"/>
        <w:left w:val="none" w:sz="0" w:space="0" w:color="auto"/>
        <w:bottom w:val="none" w:sz="0" w:space="0" w:color="auto"/>
        <w:right w:val="none" w:sz="0" w:space="0" w:color="auto"/>
      </w:divBdr>
    </w:div>
    <w:div w:id="45437627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995943">
      <w:bodyDiv w:val="1"/>
      <w:marLeft w:val="0"/>
      <w:marRight w:val="0"/>
      <w:marTop w:val="0"/>
      <w:marBottom w:val="0"/>
      <w:divBdr>
        <w:top w:val="none" w:sz="0" w:space="0" w:color="auto"/>
        <w:left w:val="none" w:sz="0" w:space="0" w:color="auto"/>
        <w:bottom w:val="none" w:sz="0" w:space="0" w:color="auto"/>
        <w:right w:val="none" w:sz="0" w:space="0" w:color="auto"/>
      </w:divBdr>
    </w:div>
    <w:div w:id="470489404">
      <w:bodyDiv w:val="1"/>
      <w:marLeft w:val="0"/>
      <w:marRight w:val="0"/>
      <w:marTop w:val="0"/>
      <w:marBottom w:val="0"/>
      <w:divBdr>
        <w:top w:val="none" w:sz="0" w:space="0" w:color="auto"/>
        <w:left w:val="none" w:sz="0" w:space="0" w:color="auto"/>
        <w:bottom w:val="none" w:sz="0" w:space="0" w:color="auto"/>
        <w:right w:val="none" w:sz="0" w:space="0" w:color="auto"/>
      </w:divBdr>
    </w:div>
    <w:div w:id="474182118">
      <w:bodyDiv w:val="1"/>
      <w:marLeft w:val="0"/>
      <w:marRight w:val="0"/>
      <w:marTop w:val="0"/>
      <w:marBottom w:val="0"/>
      <w:divBdr>
        <w:top w:val="none" w:sz="0" w:space="0" w:color="auto"/>
        <w:left w:val="none" w:sz="0" w:space="0" w:color="auto"/>
        <w:bottom w:val="none" w:sz="0" w:space="0" w:color="auto"/>
        <w:right w:val="none" w:sz="0" w:space="0" w:color="auto"/>
      </w:divBdr>
    </w:div>
    <w:div w:id="507865908">
      <w:bodyDiv w:val="1"/>
      <w:marLeft w:val="0"/>
      <w:marRight w:val="0"/>
      <w:marTop w:val="0"/>
      <w:marBottom w:val="0"/>
      <w:divBdr>
        <w:top w:val="none" w:sz="0" w:space="0" w:color="auto"/>
        <w:left w:val="none" w:sz="0" w:space="0" w:color="auto"/>
        <w:bottom w:val="none" w:sz="0" w:space="0" w:color="auto"/>
        <w:right w:val="none" w:sz="0" w:space="0" w:color="auto"/>
      </w:divBdr>
    </w:div>
    <w:div w:id="52822639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9827239">
      <w:bodyDiv w:val="1"/>
      <w:marLeft w:val="0"/>
      <w:marRight w:val="0"/>
      <w:marTop w:val="0"/>
      <w:marBottom w:val="0"/>
      <w:divBdr>
        <w:top w:val="none" w:sz="0" w:space="0" w:color="auto"/>
        <w:left w:val="none" w:sz="0" w:space="0" w:color="auto"/>
        <w:bottom w:val="none" w:sz="0" w:space="0" w:color="auto"/>
        <w:right w:val="none" w:sz="0" w:space="0" w:color="auto"/>
      </w:divBdr>
    </w:div>
    <w:div w:id="606085633">
      <w:bodyDiv w:val="1"/>
      <w:marLeft w:val="0"/>
      <w:marRight w:val="0"/>
      <w:marTop w:val="0"/>
      <w:marBottom w:val="0"/>
      <w:divBdr>
        <w:top w:val="none" w:sz="0" w:space="0" w:color="auto"/>
        <w:left w:val="none" w:sz="0" w:space="0" w:color="auto"/>
        <w:bottom w:val="none" w:sz="0" w:space="0" w:color="auto"/>
        <w:right w:val="none" w:sz="0" w:space="0" w:color="auto"/>
      </w:divBdr>
    </w:div>
    <w:div w:id="608046975">
      <w:bodyDiv w:val="1"/>
      <w:marLeft w:val="0"/>
      <w:marRight w:val="0"/>
      <w:marTop w:val="0"/>
      <w:marBottom w:val="0"/>
      <w:divBdr>
        <w:top w:val="none" w:sz="0" w:space="0" w:color="auto"/>
        <w:left w:val="none" w:sz="0" w:space="0" w:color="auto"/>
        <w:bottom w:val="none" w:sz="0" w:space="0" w:color="auto"/>
        <w:right w:val="none" w:sz="0" w:space="0" w:color="auto"/>
      </w:divBdr>
    </w:div>
    <w:div w:id="609168063">
      <w:bodyDiv w:val="1"/>
      <w:marLeft w:val="0"/>
      <w:marRight w:val="0"/>
      <w:marTop w:val="0"/>
      <w:marBottom w:val="0"/>
      <w:divBdr>
        <w:top w:val="none" w:sz="0" w:space="0" w:color="auto"/>
        <w:left w:val="none" w:sz="0" w:space="0" w:color="auto"/>
        <w:bottom w:val="none" w:sz="0" w:space="0" w:color="auto"/>
        <w:right w:val="none" w:sz="0" w:space="0" w:color="auto"/>
      </w:divBdr>
    </w:div>
    <w:div w:id="609625693">
      <w:bodyDiv w:val="1"/>
      <w:marLeft w:val="0"/>
      <w:marRight w:val="0"/>
      <w:marTop w:val="0"/>
      <w:marBottom w:val="0"/>
      <w:divBdr>
        <w:top w:val="none" w:sz="0" w:space="0" w:color="auto"/>
        <w:left w:val="none" w:sz="0" w:space="0" w:color="auto"/>
        <w:bottom w:val="none" w:sz="0" w:space="0" w:color="auto"/>
        <w:right w:val="none" w:sz="0" w:space="0" w:color="auto"/>
      </w:divBdr>
    </w:div>
    <w:div w:id="638804678">
      <w:bodyDiv w:val="1"/>
      <w:marLeft w:val="0"/>
      <w:marRight w:val="0"/>
      <w:marTop w:val="0"/>
      <w:marBottom w:val="0"/>
      <w:divBdr>
        <w:top w:val="none" w:sz="0" w:space="0" w:color="auto"/>
        <w:left w:val="none" w:sz="0" w:space="0" w:color="auto"/>
        <w:bottom w:val="none" w:sz="0" w:space="0" w:color="auto"/>
        <w:right w:val="none" w:sz="0" w:space="0" w:color="auto"/>
      </w:divBdr>
    </w:div>
    <w:div w:id="653991150">
      <w:bodyDiv w:val="1"/>
      <w:marLeft w:val="0"/>
      <w:marRight w:val="0"/>
      <w:marTop w:val="0"/>
      <w:marBottom w:val="0"/>
      <w:divBdr>
        <w:top w:val="none" w:sz="0" w:space="0" w:color="auto"/>
        <w:left w:val="none" w:sz="0" w:space="0" w:color="auto"/>
        <w:bottom w:val="none" w:sz="0" w:space="0" w:color="auto"/>
        <w:right w:val="none" w:sz="0" w:space="0" w:color="auto"/>
      </w:divBdr>
    </w:div>
    <w:div w:id="687024630">
      <w:bodyDiv w:val="1"/>
      <w:marLeft w:val="0"/>
      <w:marRight w:val="0"/>
      <w:marTop w:val="0"/>
      <w:marBottom w:val="0"/>
      <w:divBdr>
        <w:top w:val="none" w:sz="0" w:space="0" w:color="auto"/>
        <w:left w:val="none" w:sz="0" w:space="0" w:color="auto"/>
        <w:bottom w:val="none" w:sz="0" w:space="0" w:color="auto"/>
        <w:right w:val="none" w:sz="0" w:space="0" w:color="auto"/>
      </w:divBdr>
    </w:div>
    <w:div w:id="699010964">
      <w:bodyDiv w:val="1"/>
      <w:marLeft w:val="0"/>
      <w:marRight w:val="0"/>
      <w:marTop w:val="0"/>
      <w:marBottom w:val="0"/>
      <w:divBdr>
        <w:top w:val="none" w:sz="0" w:space="0" w:color="auto"/>
        <w:left w:val="none" w:sz="0" w:space="0" w:color="auto"/>
        <w:bottom w:val="none" w:sz="0" w:space="0" w:color="auto"/>
        <w:right w:val="none" w:sz="0" w:space="0" w:color="auto"/>
      </w:divBdr>
    </w:div>
    <w:div w:id="713117773">
      <w:bodyDiv w:val="1"/>
      <w:marLeft w:val="0"/>
      <w:marRight w:val="0"/>
      <w:marTop w:val="0"/>
      <w:marBottom w:val="0"/>
      <w:divBdr>
        <w:top w:val="none" w:sz="0" w:space="0" w:color="auto"/>
        <w:left w:val="none" w:sz="0" w:space="0" w:color="auto"/>
        <w:bottom w:val="none" w:sz="0" w:space="0" w:color="auto"/>
        <w:right w:val="none" w:sz="0" w:space="0" w:color="auto"/>
      </w:divBdr>
    </w:div>
    <w:div w:id="739597659">
      <w:bodyDiv w:val="1"/>
      <w:marLeft w:val="0"/>
      <w:marRight w:val="0"/>
      <w:marTop w:val="0"/>
      <w:marBottom w:val="0"/>
      <w:divBdr>
        <w:top w:val="none" w:sz="0" w:space="0" w:color="auto"/>
        <w:left w:val="none" w:sz="0" w:space="0" w:color="auto"/>
        <w:bottom w:val="none" w:sz="0" w:space="0" w:color="auto"/>
        <w:right w:val="none" w:sz="0" w:space="0" w:color="auto"/>
      </w:divBdr>
    </w:div>
    <w:div w:id="741877998">
      <w:bodyDiv w:val="1"/>
      <w:marLeft w:val="0"/>
      <w:marRight w:val="0"/>
      <w:marTop w:val="0"/>
      <w:marBottom w:val="0"/>
      <w:divBdr>
        <w:top w:val="none" w:sz="0" w:space="0" w:color="auto"/>
        <w:left w:val="none" w:sz="0" w:space="0" w:color="auto"/>
        <w:bottom w:val="none" w:sz="0" w:space="0" w:color="auto"/>
        <w:right w:val="none" w:sz="0" w:space="0" w:color="auto"/>
      </w:divBdr>
    </w:div>
    <w:div w:id="782116579">
      <w:bodyDiv w:val="1"/>
      <w:marLeft w:val="0"/>
      <w:marRight w:val="0"/>
      <w:marTop w:val="0"/>
      <w:marBottom w:val="0"/>
      <w:divBdr>
        <w:top w:val="none" w:sz="0" w:space="0" w:color="auto"/>
        <w:left w:val="none" w:sz="0" w:space="0" w:color="auto"/>
        <w:bottom w:val="none" w:sz="0" w:space="0" w:color="auto"/>
        <w:right w:val="none" w:sz="0" w:space="0" w:color="auto"/>
      </w:divBdr>
    </w:div>
    <w:div w:id="783227812">
      <w:bodyDiv w:val="1"/>
      <w:marLeft w:val="0"/>
      <w:marRight w:val="0"/>
      <w:marTop w:val="0"/>
      <w:marBottom w:val="0"/>
      <w:divBdr>
        <w:top w:val="none" w:sz="0" w:space="0" w:color="auto"/>
        <w:left w:val="none" w:sz="0" w:space="0" w:color="auto"/>
        <w:bottom w:val="none" w:sz="0" w:space="0" w:color="auto"/>
        <w:right w:val="none" w:sz="0" w:space="0" w:color="auto"/>
      </w:divBdr>
    </w:div>
    <w:div w:id="788161633">
      <w:bodyDiv w:val="1"/>
      <w:marLeft w:val="0"/>
      <w:marRight w:val="0"/>
      <w:marTop w:val="0"/>
      <w:marBottom w:val="0"/>
      <w:divBdr>
        <w:top w:val="none" w:sz="0" w:space="0" w:color="auto"/>
        <w:left w:val="none" w:sz="0" w:space="0" w:color="auto"/>
        <w:bottom w:val="none" w:sz="0" w:space="0" w:color="auto"/>
        <w:right w:val="none" w:sz="0" w:space="0" w:color="auto"/>
      </w:divBdr>
    </w:div>
    <w:div w:id="794176806">
      <w:bodyDiv w:val="1"/>
      <w:marLeft w:val="0"/>
      <w:marRight w:val="0"/>
      <w:marTop w:val="0"/>
      <w:marBottom w:val="0"/>
      <w:divBdr>
        <w:top w:val="none" w:sz="0" w:space="0" w:color="auto"/>
        <w:left w:val="none" w:sz="0" w:space="0" w:color="auto"/>
        <w:bottom w:val="none" w:sz="0" w:space="0" w:color="auto"/>
        <w:right w:val="none" w:sz="0" w:space="0" w:color="auto"/>
      </w:divBdr>
    </w:div>
    <w:div w:id="796994178">
      <w:bodyDiv w:val="1"/>
      <w:marLeft w:val="0"/>
      <w:marRight w:val="0"/>
      <w:marTop w:val="0"/>
      <w:marBottom w:val="0"/>
      <w:divBdr>
        <w:top w:val="none" w:sz="0" w:space="0" w:color="auto"/>
        <w:left w:val="none" w:sz="0" w:space="0" w:color="auto"/>
        <w:bottom w:val="none" w:sz="0" w:space="0" w:color="auto"/>
        <w:right w:val="none" w:sz="0" w:space="0" w:color="auto"/>
      </w:divBdr>
    </w:div>
    <w:div w:id="822432729">
      <w:bodyDiv w:val="1"/>
      <w:marLeft w:val="0"/>
      <w:marRight w:val="0"/>
      <w:marTop w:val="0"/>
      <w:marBottom w:val="0"/>
      <w:divBdr>
        <w:top w:val="none" w:sz="0" w:space="0" w:color="auto"/>
        <w:left w:val="none" w:sz="0" w:space="0" w:color="auto"/>
        <w:bottom w:val="none" w:sz="0" w:space="0" w:color="auto"/>
        <w:right w:val="none" w:sz="0" w:space="0" w:color="auto"/>
      </w:divBdr>
    </w:div>
    <w:div w:id="841161032">
      <w:bodyDiv w:val="1"/>
      <w:marLeft w:val="0"/>
      <w:marRight w:val="0"/>
      <w:marTop w:val="0"/>
      <w:marBottom w:val="0"/>
      <w:divBdr>
        <w:top w:val="none" w:sz="0" w:space="0" w:color="auto"/>
        <w:left w:val="none" w:sz="0" w:space="0" w:color="auto"/>
        <w:bottom w:val="none" w:sz="0" w:space="0" w:color="auto"/>
        <w:right w:val="none" w:sz="0" w:space="0" w:color="auto"/>
      </w:divBdr>
    </w:div>
    <w:div w:id="854151886">
      <w:bodyDiv w:val="1"/>
      <w:marLeft w:val="0"/>
      <w:marRight w:val="0"/>
      <w:marTop w:val="0"/>
      <w:marBottom w:val="0"/>
      <w:divBdr>
        <w:top w:val="none" w:sz="0" w:space="0" w:color="auto"/>
        <w:left w:val="none" w:sz="0" w:space="0" w:color="auto"/>
        <w:bottom w:val="none" w:sz="0" w:space="0" w:color="auto"/>
        <w:right w:val="none" w:sz="0" w:space="0" w:color="auto"/>
      </w:divBdr>
    </w:div>
    <w:div w:id="88737414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1796532">
      <w:bodyDiv w:val="1"/>
      <w:marLeft w:val="0"/>
      <w:marRight w:val="0"/>
      <w:marTop w:val="0"/>
      <w:marBottom w:val="0"/>
      <w:divBdr>
        <w:top w:val="none" w:sz="0" w:space="0" w:color="auto"/>
        <w:left w:val="none" w:sz="0" w:space="0" w:color="auto"/>
        <w:bottom w:val="none" w:sz="0" w:space="0" w:color="auto"/>
        <w:right w:val="none" w:sz="0" w:space="0" w:color="auto"/>
      </w:divBdr>
    </w:div>
    <w:div w:id="937710707">
      <w:bodyDiv w:val="1"/>
      <w:marLeft w:val="0"/>
      <w:marRight w:val="0"/>
      <w:marTop w:val="0"/>
      <w:marBottom w:val="0"/>
      <w:divBdr>
        <w:top w:val="none" w:sz="0" w:space="0" w:color="auto"/>
        <w:left w:val="none" w:sz="0" w:space="0" w:color="auto"/>
        <w:bottom w:val="none" w:sz="0" w:space="0" w:color="auto"/>
        <w:right w:val="none" w:sz="0" w:space="0" w:color="auto"/>
      </w:divBdr>
    </w:div>
    <w:div w:id="945773822">
      <w:bodyDiv w:val="1"/>
      <w:marLeft w:val="0"/>
      <w:marRight w:val="0"/>
      <w:marTop w:val="0"/>
      <w:marBottom w:val="0"/>
      <w:divBdr>
        <w:top w:val="none" w:sz="0" w:space="0" w:color="auto"/>
        <w:left w:val="none" w:sz="0" w:space="0" w:color="auto"/>
        <w:bottom w:val="none" w:sz="0" w:space="0" w:color="auto"/>
        <w:right w:val="none" w:sz="0" w:space="0" w:color="auto"/>
      </w:divBdr>
      <w:divsChild>
        <w:div w:id="1480346434">
          <w:marLeft w:val="0"/>
          <w:marRight w:val="0"/>
          <w:marTop w:val="0"/>
          <w:marBottom w:val="0"/>
          <w:divBdr>
            <w:top w:val="none" w:sz="0" w:space="0" w:color="auto"/>
            <w:left w:val="none" w:sz="0" w:space="0" w:color="auto"/>
            <w:bottom w:val="none" w:sz="0" w:space="0" w:color="auto"/>
            <w:right w:val="none" w:sz="0" w:space="0" w:color="auto"/>
          </w:divBdr>
          <w:divsChild>
            <w:div w:id="1923488672">
              <w:marLeft w:val="0"/>
              <w:marRight w:val="0"/>
              <w:marTop w:val="0"/>
              <w:marBottom w:val="0"/>
              <w:divBdr>
                <w:top w:val="none" w:sz="0" w:space="0" w:color="auto"/>
                <w:left w:val="none" w:sz="0" w:space="0" w:color="auto"/>
                <w:bottom w:val="none" w:sz="0" w:space="0" w:color="auto"/>
                <w:right w:val="none" w:sz="0" w:space="0" w:color="auto"/>
              </w:divBdr>
            </w:div>
          </w:divsChild>
        </w:div>
        <w:div w:id="1807232466">
          <w:marLeft w:val="0"/>
          <w:marRight w:val="0"/>
          <w:marTop w:val="0"/>
          <w:marBottom w:val="0"/>
          <w:divBdr>
            <w:top w:val="none" w:sz="0" w:space="0" w:color="auto"/>
            <w:left w:val="none" w:sz="0" w:space="0" w:color="auto"/>
            <w:bottom w:val="none" w:sz="0" w:space="0" w:color="auto"/>
            <w:right w:val="none" w:sz="0" w:space="0" w:color="auto"/>
          </w:divBdr>
        </w:div>
      </w:divsChild>
    </w:div>
    <w:div w:id="952983390">
      <w:bodyDiv w:val="1"/>
      <w:marLeft w:val="0"/>
      <w:marRight w:val="0"/>
      <w:marTop w:val="0"/>
      <w:marBottom w:val="0"/>
      <w:divBdr>
        <w:top w:val="none" w:sz="0" w:space="0" w:color="auto"/>
        <w:left w:val="none" w:sz="0" w:space="0" w:color="auto"/>
        <w:bottom w:val="none" w:sz="0" w:space="0" w:color="auto"/>
        <w:right w:val="none" w:sz="0" w:space="0" w:color="auto"/>
      </w:divBdr>
    </w:div>
    <w:div w:id="96419835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3873180">
      <w:bodyDiv w:val="1"/>
      <w:marLeft w:val="0"/>
      <w:marRight w:val="0"/>
      <w:marTop w:val="0"/>
      <w:marBottom w:val="0"/>
      <w:divBdr>
        <w:top w:val="none" w:sz="0" w:space="0" w:color="auto"/>
        <w:left w:val="none" w:sz="0" w:space="0" w:color="auto"/>
        <w:bottom w:val="none" w:sz="0" w:space="0" w:color="auto"/>
        <w:right w:val="none" w:sz="0" w:space="0" w:color="auto"/>
      </w:divBdr>
    </w:div>
    <w:div w:id="1004555254">
      <w:bodyDiv w:val="1"/>
      <w:marLeft w:val="0"/>
      <w:marRight w:val="0"/>
      <w:marTop w:val="0"/>
      <w:marBottom w:val="0"/>
      <w:divBdr>
        <w:top w:val="none" w:sz="0" w:space="0" w:color="auto"/>
        <w:left w:val="none" w:sz="0" w:space="0" w:color="auto"/>
        <w:bottom w:val="none" w:sz="0" w:space="0" w:color="auto"/>
        <w:right w:val="none" w:sz="0" w:space="0" w:color="auto"/>
      </w:divBdr>
    </w:div>
    <w:div w:id="1005011013">
      <w:bodyDiv w:val="1"/>
      <w:marLeft w:val="0"/>
      <w:marRight w:val="0"/>
      <w:marTop w:val="0"/>
      <w:marBottom w:val="0"/>
      <w:divBdr>
        <w:top w:val="none" w:sz="0" w:space="0" w:color="auto"/>
        <w:left w:val="none" w:sz="0" w:space="0" w:color="auto"/>
        <w:bottom w:val="none" w:sz="0" w:space="0" w:color="auto"/>
        <w:right w:val="none" w:sz="0" w:space="0" w:color="auto"/>
      </w:divBdr>
    </w:div>
    <w:div w:id="1025983649">
      <w:bodyDiv w:val="1"/>
      <w:marLeft w:val="0"/>
      <w:marRight w:val="0"/>
      <w:marTop w:val="0"/>
      <w:marBottom w:val="0"/>
      <w:divBdr>
        <w:top w:val="none" w:sz="0" w:space="0" w:color="auto"/>
        <w:left w:val="none" w:sz="0" w:space="0" w:color="auto"/>
        <w:bottom w:val="none" w:sz="0" w:space="0" w:color="auto"/>
        <w:right w:val="none" w:sz="0" w:space="0" w:color="auto"/>
      </w:divBdr>
    </w:div>
    <w:div w:id="1047294228">
      <w:bodyDiv w:val="1"/>
      <w:marLeft w:val="0"/>
      <w:marRight w:val="0"/>
      <w:marTop w:val="0"/>
      <w:marBottom w:val="0"/>
      <w:divBdr>
        <w:top w:val="none" w:sz="0" w:space="0" w:color="auto"/>
        <w:left w:val="none" w:sz="0" w:space="0" w:color="auto"/>
        <w:bottom w:val="none" w:sz="0" w:space="0" w:color="auto"/>
        <w:right w:val="none" w:sz="0" w:space="0" w:color="auto"/>
      </w:divBdr>
    </w:div>
    <w:div w:id="1075586219">
      <w:bodyDiv w:val="1"/>
      <w:marLeft w:val="0"/>
      <w:marRight w:val="0"/>
      <w:marTop w:val="0"/>
      <w:marBottom w:val="0"/>
      <w:divBdr>
        <w:top w:val="none" w:sz="0" w:space="0" w:color="auto"/>
        <w:left w:val="none" w:sz="0" w:space="0" w:color="auto"/>
        <w:bottom w:val="none" w:sz="0" w:space="0" w:color="auto"/>
        <w:right w:val="none" w:sz="0" w:space="0" w:color="auto"/>
      </w:divBdr>
    </w:div>
    <w:div w:id="1076053455">
      <w:bodyDiv w:val="1"/>
      <w:marLeft w:val="0"/>
      <w:marRight w:val="0"/>
      <w:marTop w:val="0"/>
      <w:marBottom w:val="0"/>
      <w:divBdr>
        <w:top w:val="none" w:sz="0" w:space="0" w:color="auto"/>
        <w:left w:val="none" w:sz="0" w:space="0" w:color="auto"/>
        <w:bottom w:val="none" w:sz="0" w:space="0" w:color="auto"/>
        <w:right w:val="none" w:sz="0" w:space="0" w:color="auto"/>
      </w:divBdr>
    </w:div>
    <w:div w:id="107709819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9539252">
      <w:bodyDiv w:val="1"/>
      <w:marLeft w:val="0"/>
      <w:marRight w:val="0"/>
      <w:marTop w:val="0"/>
      <w:marBottom w:val="0"/>
      <w:divBdr>
        <w:top w:val="none" w:sz="0" w:space="0" w:color="auto"/>
        <w:left w:val="none" w:sz="0" w:space="0" w:color="auto"/>
        <w:bottom w:val="none" w:sz="0" w:space="0" w:color="auto"/>
        <w:right w:val="none" w:sz="0" w:space="0" w:color="auto"/>
      </w:divBdr>
    </w:div>
    <w:div w:id="1218083103">
      <w:bodyDiv w:val="1"/>
      <w:marLeft w:val="0"/>
      <w:marRight w:val="0"/>
      <w:marTop w:val="0"/>
      <w:marBottom w:val="0"/>
      <w:divBdr>
        <w:top w:val="none" w:sz="0" w:space="0" w:color="auto"/>
        <w:left w:val="none" w:sz="0" w:space="0" w:color="auto"/>
        <w:bottom w:val="none" w:sz="0" w:space="0" w:color="auto"/>
        <w:right w:val="none" w:sz="0" w:space="0" w:color="auto"/>
      </w:divBdr>
    </w:div>
    <w:div w:id="1229225523">
      <w:bodyDiv w:val="1"/>
      <w:marLeft w:val="0"/>
      <w:marRight w:val="0"/>
      <w:marTop w:val="0"/>
      <w:marBottom w:val="0"/>
      <w:divBdr>
        <w:top w:val="none" w:sz="0" w:space="0" w:color="auto"/>
        <w:left w:val="none" w:sz="0" w:space="0" w:color="auto"/>
        <w:bottom w:val="none" w:sz="0" w:space="0" w:color="auto"/>
        <w:right w:val="none" w:sz="0" w:space="0" w:color="auto"/>
      </w:divBdr>
    </w:div>
    <w:div w:id="1273122837">
      <w:bodyDiv w:val="1"/>
      <w:marLeft w:val="0"/>
      <w:marRight w:val="0"/>
      <w:marTop w:val="0"/>
      <w:marBottom w:val="0"/>
      <w:divBdr>
        <w:top w:val="none" w:sz="0" w:space="0" w:color="auto"/>
        <w:left w:val="none" w:sz="0" w:space="0" w:color="auto"/>
        <w:bottom w:val="none" w:sz="0" w:space="0" w:color="auto"/>
        <w:right w:val="none" w:sz="0" w:space="0" w:color="auto"/>
      </w:divBdr>
    </w:div>
    <w:div w:id="1290748315">
      <w:bodyDiv w:val="1"/>
      <w:marLeft w:val="0"/>
      <w:marRight w:val="0"/>
      <w:marTop w:val="0"/>
      <w:marBottom w:val="0"/>
      <w:divBdr>
        <w:top w:val="none" w:sz="0" w:space="0" w:color="auto"/>
        <w:left w:val="none" w:sz="0" w:space="0" w:color="auto"/>
        <w:bottom w:val="none" w:sz="0" w:space="0" w:color="auto"/>
        <w:right w:val="none" w:sz="0" w:space="0" w:color="auto"/>
      </w:divBdr>
    </w:div>
    <w:div w:id="1303972515">
      <w:bodyDiv w:val="1"/>
      <w:marLeft w:val="0"/>
      <w:marRight w:val="0"/>
      <w:marTop w:val="0"/>
      <w:marBottom w:val="0"/>
      <w:divBdr>
        <w:top w:val="none" w:sz="0" w:space="0" w:color="auto"/>
        <w:left w:val="none" w:sz="0" w:space="0" w:color="auto"/>
        <w:bottom w:val="none" w:sz="0" w:space="0" w:color="auto"/>
        <w:right w:val="none" w:sz="0" w:space="0" w:color="auto"/>
      </w:divBdr>
    </w:div>
    <w:div w:id="1314532171">
      <w:bodyDiv w:val="1"/>
      <w:marLeft w:val="0"/>
      <w:marRight w:val="0"/>
      <w:marTop w:val="0"/>
      <w:marBottom w:val="0"/>
      <w:divBdr>
        <w:top w:val="none" w:sz="0" w:space="0" w:color="auto"/>
        <w:left w:val="none" w:sz="0" w:space="0" w:color="auto"/>
        <w:bottom w:val="none" w:sz="0" w:space="0" w:color="auto"/>
        <w:right w:val="none" w:sz="0" w:space="0" w:color="auto"/>
      </w:divBdr>
    </w:div>
    <w:div w:id="1322853652">
      <w:bodyDiv w:val="1"/>
      <w:marLeft w:val="0"/>
      <w:marRight w:val="0"/>
      <w:marTop w:val="0"/>
      <w:marBottom w:val="0"/>
      <w:divBdr>
        <w:top w:val="none" w:sz="0" w:space="0" w:color="auto"/>
        <w:left w:val="none" w:sz="0" w:space="0" w:color="auto"/>
        <w:bottom w:val="none" w:sz="0" w:space="0" w:color="auto"/>
        <w:right w:val="none" w:sz="0" w:space="0" w:color="auto"/>
      </w:divBdr>
    </w:div>
    <w:div w:id="1323310918">
      <w:bodyDiv w:val="1"/>
      <w:marLeft w:val="0"/>
      <w:marRight w:val="0"/>
      <w:marTop w:val="0"/>
      <w:marBottom w:val="0"/>
      <w:divBdr>
        <w:top w:val="none" w:sz="0" w:space="0" w:color="auto"/>
        <w:left w:val="none" w:sz="0" w:space="0" w:color="auto"/>
        <w:bottom w:val="none" w:sz="0" w:space="0" w:color="auto"/>
        <w:right w:val="none" w:sz="0" w:space="0" w:color="auto"/>
      </w:divBdr>
    </w:div>
    <w:div w:id="1341666514">
      <w:bodyDiv w:val="1"/>
      <w:marLeft w:val="0"/>
      <w:marRight w:val="0"/>
      <w:marTop w:val="0"/>
      <w:marBottom w:val="0"/>
      <w:divBdr>
        <w:top w:val="none" w:sz="0" w:space="0" w:color="auto"/>
        <w:left w:val="none" w:sz="0" w:space="0" w:color="auto"/>
        <w:bottom w:val="none" w:sz="0" w:space="0" w:color="auto"/>
        <w:right w:val="none" w:sz="0" w:space="0" w:color="auto"/>
      </w:divBdr>
    </w:div>
    <w:div w:id="1344824072">
      <w:bodyDiv w:val="1"/>
      <w:marLeft w:val="0"/>
      <w:marRight w:val="0"/>
      <w:marTop w:val="0"/>
      <w:marBottom w:val="0"/>
      <w:divBdr>
        <w:top w:val="none" w:sz="0" w:space="0" w:color="auto"/>
        <w:left w:val="none" w:sz="0" w:space="0" w:color="auto"/>
        <w:bottom w:val="none" w:sz="0" w:space="0" w:color="auto"/>
        <w:right w:val="none" w:sz="0" w:space="0" w:color="auto"/>
      </w:divBdr>
    </w:div>
    <w:div w:id="1380397063">
      <w:bodyDiv w:val="1"/>
      <w:marLeft w:val="0"/>
      <w:marRight w:val="0"/>
      <w:marTop w:val="0"/>
      <w:marBottom w:val="0"/>
      <w:divBdr>
        <w:top w:val="none" w:sz="0" w:space="0" w:color="auto"/>
        <w:left w:val="none" w:sz="0" w:space="0" w:color="auto"/>
        <w:bottom w:val="none" w:sz="0" w:space="0" w:color="auto"/>
        <w:right w:val="none" w:sz="0" w:space="0" w:color="auto"/>
      </w:divBdr>
    </w:div>
    <w:div w:id="138860555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6270087">
      <w:bodyDiv w:val="1"/>
      <w:marLeft w:val="0"/>
      <w:marRight w:val="0"/>
      <w:marTop w:val="0"/>
      <w:marBottom w:val="0"/>
      <w:divBdr>
        <w:top w:val="none" w:sz="0" w:space="0" w:color="auto"/>
        <w:left w:val="none" w:sz="0" w:space="0" w:color="auto"/>
        <w:bottom w:val="none" w:sz="0" w:space="0" w:color="auto"/>
        <w:right w:val="none" w:sz="0" w:space="0" w:color="auto"/>
      </w:divBdr>
    </w:div>
    <w:div w:id="142850239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031814">
      <w:bodyDiv w:val="1"/>
      <w:marLeft w:val="0"/>
      <w:marRight w:val="0"/>
      <w:marTop w:val="0"/>
      <w:marBottom w:val="0"/>
      <w:divBdr>
        <w:top w:val="none" w:sz="0" w:space="0" w:color="auto"/>
        <w:left w:val="none" w:sz="0" w:space="0" w:color="auto"/>
        <w:bottom w:val="none" w:sz="0" w:space="0" w:color="auto"/>
        <w:right w:val="none" w:sz="0" w:space="0" w:color="auto"/>
      </w:divBdr>
    </w:div>
    <w:div w:id="1462386908">
      <w:bodyDiv w:val="1"/>
      <w:marLeft w:val="0"/>
      <w:marRight w:val="0"/>
      <w:marTop w:val="0"/>
      <w:marBottom w:val="0"/>
      <w:divBdr>
        <w:top w:val="none" w:sz="0" w:space="0" w:color="auto"/>
        <w:left w:val="none" w:sz="0" w:space="0" w:color="auto"/>
        <w:bottom w:val="none" w:sz="0" w:space="0" w:color="auto"/>
        <w:right w:val="none" w:sz="0" w:space="0" w:color="auto"/>
      </w:divBdr>
    </w:div>
    <w:div w:id="1478062266">
      <w:bodyDiv w:val="1"/>
      <w:marLeft w:val="0"/>
      <w:marRight w:val="0"/>
      <w:marTop w:val="0"/>
      <w:marBottom w:val="0"/>
      <w:divBdr>
        <w:top w:val="none" w:sz="0" w:space="0" w:color="auto"/>
        <w:left w:val="none" w:sz="0" w:space="0" w:color="auto"/>
        <w:bottom w:val="none" w:sz="0" w:space="0" w:color="auto"/>
        <w:right w:val="none" w:sz="0" w:space="0" w:color="auto"/>
      </w:divBdr>
    </w:div>
    <w:div w:id="1508591416">
      <w:bodyDiv w:val="1"/>
      <w:marLeft w:val="0"/>
      <w:marRight w:val="0"/>
      <w:marTop w:val="0"/>
      <w:marBottom w:val="0"/>
      <w:divBdr>
        <w:top w:val="none" w:sz="0" w:space="0" w:color="auto"/>
        <w:left w:val="none" w:sz="0" w:space="0" w:color="auto"/>
        <w:bottom w:val="none" w:sz="0" w:space="0" w:color="auto"/>
        <w:right w:val="none" w:sz="0" w:space="0" w:color="auto"/>
      </w:divBdr>
    </w:div>
    <w:div w:id="1523014855">
      <w:bodyDiv w:val="1"/>
      <w:marLeft w:val="0"/>
      <w:marRight w:val="0"/>
      <w:marTop w:val="0"/>
      <w:marBottom w:val="0"/>
      <w:divBdr>
        <w:top w:val="none" w:sz="0" w:space="0" w:color="auto"/>
        <w:left w:val="none" w:sz="0" w:space="0" w:color="auto"/>
        <w:bottom w:val="none" w:sz="0" w:space="0" w:color="auto"/>
        <w:right w:val="none" w:sz="0" w:space="0" w:color="auto"/>
      </w:divBdr>
    </w:div>
    <w:div w:id="1537621080">
      <w:bodyDiv w:val="1"/>
      <w:marLeft w:val="0"/>
      <w:marRight w:val="0"/>
      <w:marTop w:val="0"/>
      <w:marBottom w:val="0"/>
      <w:divBdr>
        <w:top w:val="none" w:sz="0" w:space="0" w:color="auto"/>
        <w:left w:val="none" w:sz="0" w:space="0" w:color="auto"/>
        <w:bottom w:val="none" w:sz="0" w:space="0" w:color="auto"/>
        <w:right w:val="none" w:sz="0" w:space="0" w:color="auto"/>
      </w:divBdr>
    </w:div>
    <w:div w:id="1544714002">
      <w:bodyDiv w:val="1"/>
      <w:marLeft w:val="0"/>
      <w:marRight w:val="0"/>
      <w:marTop w:val="0"/>
      <w:marBottom w:val="0"/>
      <w:divBdr>
        <w:top w:val="none" w:sz="0" w:space="0" w:color="auto"/>
        <w:left w:val="none" w:sz="0" w:space="0" w:color="auto"/>
        <w:bottom w:val="none" w:sz="0" w:space="0" w:color="auto"/>
        <w:right w:val="none" w:sz="0" w:space="0" w:color="auto"/>
      </w:divBdr>
    </w:div>
    <w:div w:id="1574926948">
      <w:bodyDiv w:val="1"/>
      <w:marLeft w:val="0"/>
      <w:marRight w:val="0"/>
      <w:marTop w:val="0"/>
      <w:marBottom w:val="0"/>
      <w:divBdr>
        <w:top w:val="none" w:sz="0" w:space="0" w:color="auto"/>
        <w:left w:val="none" w:sz="0" w:space="0" w:color="auto"/>
        <w:bottom w:val="none" w:sz="0" w:space="0" w:color="auto"/>
        <w:right w:val="none" w:sz="0" w:space="0" w:color="auto"/>
      </w:divBdr>
    </w:div>
    <w:div w:id="1579483369">
      <w:bodyDiv w:val="1"/>
      <w:marLeft w:val="0"/>
      <w:marRight w:val="0"/>
      <w:marTop w:val="0"/>
      <w:marBottom w:val="0"/>
      <w:divBdr>
        <w:top w:val="none" w:sz="0" w:space="0" w:color="auto"/>
        <w:left w:val="none" w:sz="0" w:space="0" w:color="auto"/>
        <w:bottom w:val="none" w:sz="0" w:space="0" w:color="auto"/>
        <w:right w:val="none" w:sz="0" w:space="0" w:color="auto"/>
      </w:divBdr>
    </w:div>
    <w:div w:id="161906735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0454269">
      <w:bodyDiv w:val="1"/>
      <w:marLeft w:val="0"/>
      <w:marRight w:val="0"/>
      <w:marTop w:val="0"/>
      <w:marBottom w:val="0"/>
      <w:divBdr>
        <w:top w:val="none" w:sz="0" w:space="0" w:color="auto"/>
        <w:left w:val="none" w:sz="0" w:space="0" w:color="auto"/>
        <w:bottom w:val="none" w:sz="0" w:space="0" w:color="auto"/>
        <w:right w:val="none" w:sz="0" w:space="0" w:color="auto"/>
      </w:divBdr>
    </w:div>
    <w:div w:id="1697349146">
      <w:bodyDiv w:val="1"/>
      <w:marLeft w:val="0"/>
      <w:marRight w:val="0"/>
      <w:marTop w:val="0"/>
      <w:marBottom w:val="0"/>
      <w:divBdr>
        <w:top w:val="none" w:sz="0" w:space="0" w:color="auto"/>
        <w:left w:val="none" w:sz="0" w:space="0" w:color="auto"/>
        <w:bottom w:val="none" w:sz="0" w:space="0" w:color="auto"/>
        <w:right w:val="none" w:sz="0" w:space="0" w:color="auto"/>
      </w:divBdr>
    </w:div>
    <w:div w:id="1701512586">
      <w:bodyDiv w:val="1"/>
      <w:marLeft w:val="0"/>
      <w:marRight w:val="0"/>
      <w:marTop w:val="0"/>
      <w:marBottom w:val="0"/>
      <w:divBdr>
        <w:top w:val="none" w:sz="0" w:space="0" w:color="auto"/>
        <w:left w:val="none" w:sz="0" w:space="0" w:color="auto"/>
        <w:bottom w:val="none" w:sz="0" w:space="0" w:color="auto"/>
        <w:right w:val="none" w:sz="0" w:space="0" w:color="auto"/>
      </w:divBdr>
    </w:div>
    <w:div w:id="1721855024">
      <w:bodyDiv w:val="1"/>
      <w:marLeft w:val="0"/>
      <w:marRight w:val="0"/>
      <w:marTop w:val="0"/>
      <w:marBottom w:val="0"/>
      <w:divBdr>
        <w:top w:val="none" w:sz="0" w:space="0" w:color="auto"/>
        <w:left w:val="none" w:sz="0" w:space="0" w:color="auto"/>
        <w:bottom w:val="none" w:sz="0" w:space="0" w:color="auto"/>
        <w:right w:val="none" w:sz="0" w:space="0" w:color="auto"/>
      </w:divBdr>
    </w:div>
    <w:div w:id="1723937820">
      <w:bodyDiv w:val="1"/>
      <w:marLeft w:val="0"/>
      <w:marRight w:val="0"/>
      <w:marTop w:val="0"/>
      <w:marBottom w:val="0"/>
      <w:divBdr>
        <w:top w:val="none" w:sz="0" w:space="0" w:color="auto"/>
        <w:left w:val="none" w:sz="0" w:space="0" w:color="auto"/>
        <w:bottom w:val="none" w:sz="0" w:space="0" w:color="auto"/>
        <w:right w:val="none" w:sz="0" w:space="0" w:color="auto"/>
      </w:divBdr>
    </w:div>
    <w:div w:id="1731075112">
      <w:bodyDiv w:val="1"/>
      <w:marLeft w:val="0"/>
      <w:marRight w:val="0"/>
      <w:marTop w:val="0"/>
      <w:marBottom w:val="0"/>
      <w:divBdr>
        <w:top w:val="none" w:sz="0" w:space="0" w:color="auto"/>
        <w:left w:val="none" w:sz="0" w:space="0" w:color="auto"/>
        <w:bottom w:val="none" w:sz="0" w:space="0" w:color="auto"/>
        <w:right w:val="none" w:sz="0" w:space="0" w:color="auto"/>
      </w:divBdr>
    </w:div>
    <w:div w:id="173574000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68380470">
      <w:bodyDiv w:val="1"/>
      <w:marLeft w:val="0"/>
      <w:marRight w:val="0"/>
      <w:marTop w:val="0"/>
      <w:marBottom w:val="0"/>
      <w:divBdr>
        <w:top w:val="none" w:sz="0" w:space="0" w:color="auto"/>
        <w:left w:val="none" w:sz="0" w:space="0" w:color="auto"/>
        <w:bottom w:val="none" w:sz="0" w:space="0" w:color="auto"/>
        <w:right w:val="none" w:sz="0" w:space="0" w:color="auto"/>
      </w:divBdr>
    </w:div>
    <w:div w:id="1787849725">
      <w:bodyDiv w:val="1"/>
      <w:marLeft w:val="0"/>
      <w:marRight w:val="0"/>
      <w:marTop w:val="0"/>
      <w:marBottom w:val="0"/>
      <w:divBdr>
        <w:top w:val="none" w:sz="0" w:space="0" w:color="auto"/>
        <w:left w:val="none" w:sz="0" w:space="0" w:color="auto"/>
        <w:bottom w:val="none" w:sz="0" w:space="0" w:color="auto"/>
        <w:right w:val="none" w:sz="0" w:space="0" w:color="auto"/>
      </w:divBdr>
    </w:div>
    <w:div w:id="1790315120">
      <w:bodyDiv w:val="1"/>
      <w:marLeft w:val="0"/>
      <w:marRight w:val="0"/>
      <w:marTop w:val="0"/>
      <w:marBottom w:val="0"/>
      <w:divBdr>
        <w:top w:val="none" w:sz="0" w:space="0" w:color="auto"/>
        <w:left w:val="none" w:sz="0" w:space="0" w:color="auto"/>
        <w:bottom w:val="none" w:sz="0" w:space="0" w:color="auto"/>
        <w:right w:val="none" w:sz="0" w:space="0" w:color="auto"/>
      </w:divBdr>
    </w:div>
    <w:div w:id="180114713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5342979">
      <w:bodyDiv w:val="1"/>
      <w:marLeft w:val="0"/>
      <w:marRight w:val="0"/>
      <w:marTop w:val="0"/>
      <w:marBottom w:val="0"/>
      <w:divBdr>
        <w:top w:val="none" w:sz="0" w:space="0" w:color="auto"/>
        <w:left w:val="none" w:sz="0" w:space="0" w:color="auto"/>
        <w:bottom w:val="none" w:sz="0" w:space="0" w:color="auto"/>
        <w:right w:val="none" w:sz="0" w:space="0" w:color="auto"/>
      </w:divBdr>
    </w:div>
    <w:div w:id="1867137416">
      <w:bodyDiv w:val="1"/>
      <w:marLeft w:val="0"/>
      <w:marRight w:val="0"/>
      <w:marTop w:val="0"/>
      <w:marBottom w:val="0"/>
      <w:divBdr>
        <w:top w:val="none" w:sz="0" w:space="0" w:color="auto"/>
        <w:left w:val="none" w:sz="0" w:space="0" w:color="auto"/>
        <w:bottom w:val="none" w:sz="0" w:space="0" w:color="auto"/>
        <w:right w:val="none" w:sz="0" w:space="0" w:color="auto"/>
      </w:divBdr>
    </w:div>
    <w:div w:id="1868064080">
      <w:bodyDiv w:val="1"/>
      <w:marLeft w:val="0"/>
      <w:marRight w:val="0"/>
      <w:marTop w:val="0"/>
      <w:marBottom w:val="0"/>
      <w:divBdr>
        <w:top w:val="none" w:sz="0" w:space="0" w:color="auto"/>
        <w:left w:val="none" w:sz="0" w:space="0" w:color="auto"/>
        <w:bottom w:val="none" w:sz="0" w:space="0" w:color="auto"/>
        <w:right w:val="none" w:sz="0" w:space="0" w:color="auto"/>
      </w:divBdr>
    </w:div>
    <w:div w:id="1888105888">
      <w:bodyDiv w:val="1"/>
      <w:marLeft w:val="0"/>
      <w:marRight w:val="0"/>
      <w:marTop w:val="0"/>
      <w:marBottom w:val="0"/>
      <w:divBdr>
        <w:top w:val="none" w:sz="0" w:space="0" w:color="auto"/>
        <w:left w:val="none" w:sz="0" w:space="0" w:color="auto"/>
        <w:bottom w:val="none" w:sz="0" w:space="0" w:color="auto"/>
        <w:right w:val="none" w:sz="0" w:space="0" w:color="auto"/>
      </w:divBdr>
    </w:div>
    <w:div w:id="1893735393">
      <w:bodyDiv w:val="1"/>
      <w:marLeft w:val="0"/>
      <w:marRight w:val="0"/>
      <w:marTop w:val="0"/>
      <w:marBottom w:val="0"/>
      <w:divBdr>
        <w:top w:val="none" w:sz="0" w:space="0" w:color="auto"/>
        <w:left w:val="none" w:sz="0" w:space="0" w:color="auto"/>
        <w:bottom w:val="none" w:sz="0" w:space="0" w:color="auto"/>
        <w:right w:val="none" w:sz="0" w:space="0" w:color="auto"/>
      </w:divBdr>
    </w:div>
    <w:div w:id="1944608813">
      <w:bodyDiv w:val="1"/>
      <w:marLeft w:val="0"/>
      <w:marRight w:val="0"/>
      <w:marTop w:val="0"/>
      <w:marBottom w:val="0"/>
      <w:divBdr>
        <w:top w:val="none" w:sz="0" w:space="0" w:color="auto"/>
        <w:left w:val="none" w:sz="0" w:space="0" w:color="auto"/>
        <w:bottom w:val="none" w:sz="0" w:space="0" w:color="auto"/>
        <w:right w:val="none" w:sz="0" w:space="0" w:color="auto"/>
      </w:divBdr>
    </w:div>
    <w:div w:id="1977418227">
      <w:bodyDiv w:val="1"/>
      <w:marLeft w:val="0"/>
      <w:marRight w:val="0"/>
      <w:marTop w:val="0"/>
      <w:marBottom w:val="0"/>
      <w:divBdr>
        <w:top w:val="none" w:sz="0" w:space="0" w:color="auto"/>
        <w:left w:val="none" w:sz="0" w:space="0" w:color="auto"/>
        <w:bottom w:val="none" w:sz="0" w:space="0" w:color="auto"/>
        <w:right w:val="none" w:sz="0" w:space="0" w:color="auto"/>
      </w:divBdr>
    </w:div>
    <w:div w:id="198161570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697991">
      <w:bodyDiv w:val="1"/>
      <w:marLeft w:val="0"/>
      <w:marRight w:val="0"/>
      <w:marTop w:val="0"/>
      <w:marBottom w:val="0"/>
      <w:divBdr>
        <w:top w:val="none" w:sz="0" w:space="0" w:color="auto"/>
        <w:left w:val="none" w:sz="0" w:space="0" w:color="auto"/>
        <w:bottom w:val="none" w:sz="0" w:space="0" w:color="auto"/>
        <w:right w:val="none" w:sz="0" w:space="0" w:color="auto"/>
      </w:divBdr>
    </w:div>
    <w:div w:id="2001806933">
      <w:bodyDiv w:val="1"/>
      <w:marLeft w:val="0"/>
      <w:marRight w:val="0"/>
      <w:marTop w:val="0"/>
      <w:marBottom w:val="0"/>
      <w:divBdr>
        <w:top w:val="none" w:sz="0" w:space="0" w:color="auto"/>
        <w:left w:val="none" w:sz="0" w:space="0" w:color="auto"/>
        <w:bottom w:val="none" w:sz="0" w:space="0" w:color="auto"/>
        <w:right w:val="none" w:sz="0" w:space="0" w:color="auto"/>
      </w:divBdr>
    </w:div>
    <w:div w:id="2002611360">
      <w:bodyDiv w:val="1"/>
      <w:marLeft w:val="0"/>
      <w:marRight w:val="0"/>
      <w:marTop w:val="0"/>
      <w:marBottom w:val="0"/>
      <w:divBdr>
        <w:top w:val="none" w:sz="0" w:space="0" w:color="auto"/>
        <w:left w:val="none" w:sz="0" w:space="0" w:color="auto"/>
        <w:bottom w:val="none" w:sz="0" w:space="0" w:color="auto"/>
        <w:right w:val="none" w:sz="0" w:space="0" w:color="auto"/>
      </w:divBdr>
    </w:div>
    <w:div w:id="2024166299">
      <w:bodyDiv w:val="1"/>
      <w:marLeft w:val="0"/>
      <w:marRight w:val="0"/>
      <w:marTop w:val="0"/>
      <w:marBottom w:val="0"/>
      <w:divBdr>
        <w:top w:val="none" w:sz="0" w:space="0" w:color="auto"/>
        <w:left w:val="none" w:sz="0" w:space="0" w:color="auto"/>
        <w:bottom w:val="none" w:sz="0" w:space="0" w:color="auto"/>
        <w:right w:val="none" w:sz="0" w:space="0" w:color="auto"/>
      </w:divBdr>
    </w:div>
    <w:div w:id="2038965497">
      <w:bodyDiv w:val="1"/>
      <w:marLeft w:val="0"/>
      <w:marRight w:val="0"/>
      <w:marTop w:val="0"/>
      <w:marBottom w:val="0"/>
      <w:divBdr>
        <w:top w:val="none" w:sz="0" w:space="0" w:color="auto"/>
        <w:left w:val="none" w:sz="0" w:space="0" w:color="auto"/>
        <w:bottom w:val="none" w:sz="0" w:space="0" w:color="auto"/>
        <w:right w:val="none" w:sz="0" w:space="0" w:color="auto"/>
      </w:divBdr>
    </w:div>
    <w:div w:id="206251086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97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15B3"/>
    <w:rsid w:val="00183F29"/>
    <w:rsid w:val="001935DC"/>
    <w:rsid w:val="001C2B75"/>
    <w:rsid w:val="00236D83"/>
    <w:rsid w:val="002550FD"/>
    <w:rsid w:val="00333F8E"/>
    <w:rsid w:val="00350199"/>
    <w:rsid w:val="00397E8F"/>
    <w:rsid w:val="003B01A1"/>
    <w:rsid w:val="005802C8"/>
    <w:rsid w:val="00611F13"/>
    <w:rsid w:val="006A1F0A"/>
    <w:rsid w:val="007154C5"/>
    <w:rsid w:val="0079736E"/>
    <w:rsid w:val="00803BDD"/>
    <w:rsid w:val="00835E07"/>
    <w:rsid w:val="00863151"/>
    <w:rsid w:val="00863744"/>
    <w:rsid w:val="008C0C82"/>
    <w:rsid w:val="00B24590"/>
    <w:rsid w:val="00C02ED6"/>
    <w:rsid w:val="00C41BCC"/>
    <w:rsid w:val="00CB3390"/>
    <w:rsid w:val="00D43723"/>
    <w:rsid w:val="00D57E7C"/>
    <w:rsid w:val="00D63CFC"/>
    <w:rsid w:val="00D77447"/>
    <w:rsid w:val="00D80BC8"/>
    <w:rsid w:val="00D92A6C"/>
    <w:rsid w:val="00DD6A18"/>
    <w:rsid w:val="00DD7BA4"/>
    <w:rsid w:val="00E318CE"/>
    <w:rsid w:val="00E4329C"/>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ONR23</b:Tag>
    <b:SourceType>Report</b:SourceType>
    <b:Guid>{33D0949A-0D04-4DCC-A9A6-23D74DB06ED2}</b:Guid>
    <b:Author>
      <b:Author>
        <b:Corporate>ONR</b:Corporate>
      </b:Author>
    </b:Author>
    <b:Title>NS-TAST-GD-105 The Assessment of the Nuclear Reactors (Environmental Impact Assessment for Decommissioning) Regulations Submissions</b:Title>
    <b:Year>2023</b:Year>
    <b:RefOrder>1</b:RefOrder>
  </b:Source>
  <b:Source>
    <b:Tag>ONR231</b:Tag>
    <b:SourceType>Report</b:SourceType>
    <b:Guid>{B876406A-FCCA-4C8F-91A6-6DB4A84C4181}</b:Guid>
    <b:Author>
      <b:Author>
        <b:Corporate>ONR</b:Corporate>
      </b:Author>
    </b:Author>
    <b:Title>ONR-NLR-GD-001 Guidance on the Nuclear Reactors (Environmental Impact Assessment for Decommissioning) Regulations</b:Title>
    <b:Year>2023</b:Year>
    <b:RefOrder>2</b:RefOrder>
  </b:Source>
  <b:Source>
    <b:Tag>ONR221</b:Tag>
    <b:SourceType>Report</b:SourceType>
    <b:Guid>{F234AC69-1E9A-49DB-9C2E-CFF92A8CD7FA}</b:Guid>
    <b:Author>
      <b:Author>
        <b:Corporate>ONR</b:Corporate>
      </b:Author>
    </b:Author>
    <b:Title>ONR-OFD-AR-22-026 Hunterston B Nuclear Power Station - Environmental Statement Pre-Application Opinion</b:Title>
    <b:Year>2022</b:Year>
    <b:RefOrder>3</b:RefOrder>
  </b:Source>
  <b:Source>
    <b:Tag>EDF23</b:Tag>
    <b:SourceType>Report</b:SourceType>
    <b:Guid>{6BEF5D75-47D4-49DC-A3ED-246AE4DFD79D}</b:Guid>
    <b:Author>
      <b:Author>
        <b:Corporate>EDF Energy Nuclear Generation Ltd</b:Corporate>
      </b:Author>
    </b:Author>
    <b:Title>Decommissioning of Hunterston B - Environmental Statement</b:Title>
    <b:Year>2023</b:Year>
    <b:RefOrder>6</b:RefOrder>
  </b:Source>
  <b:Source>
    <b:Tag>EDF22</b:Tag>
    <b:SourceType>Report</b:SourceType>
    <b:Guid>{AEB52EFB-83A6-40D0-9AEE-DA2A74EC0B4E}</b:Guid>
    <b:Title>Hunterston B EIADR Scoping Report</b:Title>
    <b:Author>
      <b:Author>
        <b:Corporate>EDF Nuclear Generation Limited</b:Corporate>
      </b:Author>
    </b:Author>
    <b:Year>2022</b:Year>
    <b:RefOrder>4</b:RefOrder>
  </b:Source>
  <b:Source>
    <b:Tag>ONR245</b:Tag>
    <b:SourceType>Report</b:SourceType>
    <b:Guid>{D55DF4A0-8A62-4AA1-8B77-FA9C11FFD275}</b:Guid>
    <b:Author>
      <b:Author>
        <b:Corporate>ONR</b:Corporate>
      </b:Author>
    </b:Author>
    <b:Title>ONR-ENF-POL-001 Enforcement Policy Statement</b:Title>
    <b:Year>2024</b:Year>
    <b:RefOrder>8</b:RefOrder>
  </b:Source>
  <b:Source>
    <b:Tag>Mot24</b:Tag>
    <b:SourceType>Report</b:SourceType>
    <b:Guid>{47A913A1-EB3D-4E9C-8D48-D925023A1650}</b:Guid>
    <b:Author>
      <b:Author>
        <b:Corporate>Mott MacDonald</b:Corporate>
      </b:Author>
    </b:Author>
    <b:Title>Hunterston B Nuclear Power Station Decommissioning - Environmental Statement - Technical Review</b:Title>
    <b:Year>2024</b:Year>
    <b:RefOrder>5</b:RefOrder>
  </b:Source>
  <b:Source>
    <b:Tag>EDF235</b:Tag>
    <b:SourceType>Report</b:SourceType>
    <b:Guid>{0F4ABC8C-E627-4830-A0E4-D16E0BC2D930}</b:Guid>
    <b:Author>
      <b:Author>
        <b:Corporate>EDF Energy Nuclear Generation Limited </b:Corporate>
      </b:Author>
    </b:Author>
    <b:Title>Decommissioning of Hunterston B - Habitats Regulations Appraisal Report</b:Title>
    <b:Year>2023</b:Year>
    <b:RefOrder>9</b:RefOrder>
  </b:Source>
  <b:Source>
    <b:Tag>EDF236</b:Tag>
    <b:SourceType>Report</b:SourceType>
    <b:Guid>{771F6F2B-C32A-47A6-BD80-94E63C81B755}</b:Guid>
    <b:Author>
      <b:Author>
        <b:Corporate>EDF Energy Nuclear Generation Ltd</b:Corporate>
      </b:Author>
    </b:Author>
    <b:Title>Decommissioning of Hunterston B - Outline Environmental Management Plan</b:Title>
    <b:Year>2023</b:Year>
    <b:RefOrder>10</b:RefOrder>
  </b:Source>
  <b:Source>
    <b:Tag>ONR232</b:Tag>
    <b:SourceType>Report</b:SourceType>
    <b:Guid>{341C04E1-A72D-4472-BD19-B0F7C0585595}</b:Guid>
    <b:Author>
      <b:Author>
        <b:Corporate>ONR</b:Corporate>
      </b:Author>
    </b:Author>
    <b:Title>ONR-PER-IN-006 Decision Review and Appeals Process</b:Title>
    <b:Year>2023</b:Year>
    <b:RefOrder>11</b:RefOrder>
  </b:Source>
  <b:Source>
    <b:Tag>ONR244</b:Tag>
    <b:SourceType>Report</b:SourceType>
    <b:Guid>{5A732C64-131F-4EE8-8E15-17ED1A1ACB9A}</b:Guid>
    <b:Author>
      <b:Author>
        <b:Corporate>ONR</b:Corporate>
      </b:Author>
    </b:Author>
    <b:Title>ONRW-2126615823-3730 Assessment of the Hunterston B Application for Consent under EIADR</b:Title>
    <b:Year>2024</b:Year>
    <b:RefOrder>7</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ONRW-2019369590-12309</_dlc_DocId>
    <_dlc_DocIdUrl xmlns="f6cfbbfa-3ea0-4d8e-acde-632e83cd9c55">
      <Url>https://prodonrgov.sharepoint.com/_layouts/15/DocIdRedir.aspx?ID=ONRW-2019369590-12309</Url>
      <Description>ONRW-2019369590-12309</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9" ma:contentTypeDescription="Create a new document." ma:contentTypeScope="" ma:versionID="ff4b0579bd5e02588af236667d26a627">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116f92350099b47527fcceec249c2a7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22EEA8-EE06-4E8E-A818-16327ED0B439}">
  <ds:schemaRefs>
    <ds:schemaRef ds:uri="http://schemas.openxmlformats.org/officeDocument/2006/bibliography"/>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CE894BE0-626F-4EF8-9439-304028EBCDB6}"/>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3530</Words>
  <Characters>20122</Characters>
  <Application>Microsoft Office Word</Application>
  <DocSecurity>0</DocSecurity>
  <Lines>167</Lines>
  <Paragraphs>47</Paragraphs>
  <ScaleCrop>false</ScaleCrop>
  <Manager>Office for Nuclear Regulation</Manager>
  <Company>Office for Nuclear Regulation</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 EIADR Application for Consent Project Assessment Report</dc:title>
  <dc:subject>[Subtitle or description]</dc:subject>
  <dc:creator>Liam Dunning</dc:creator>
  <cp:keywords>[Key words separated by commas]</cp:keywords>
  <dc:description/>
  <cp:lastModifiedBy>Brian Gilligan</cp:lastModifiedBy>
  <cp:revision>8</cp:revision>
  <cp:lastPrinted>2016-11-28T19:35:00Z</cp:lastPrinted>
  <dcterms:created xsi:type="dcterms:W3CDTF">2024-08-22T09:03:00Z</dcterms:created>
  <dcterms:modified xsi:type="dcterms:W3CDTF">2024-08-22T09:22:00Z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35a40da5-d589-4dff-bc8f-c79ad318c5fb</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