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6C3682" w14:paraId="6C65111E" w14:textId="77777777" w:rsidTr="00881B6F">
        <w:trPr>
          <w:trHeight w:val="1162"/>
        </w:trPr>
        <w:tc>
          <w:tcPr>
            <w:tcW w:w="9156" w:type="dxa"/>
            <w:tcBorders>
              <w:bottom w:val="single" w:sz="24" w:space="0" w:color="22413A"/>
            </w:tcBorders>
          </w:tcPr>
          <w:p w14:paraId="35C1F1C6" w14:textId="5D139558" w:rsidR="00C20562" w:rsidRPr="006C3682" w:rsidRDefault="006E6E27" w:rsidP="00323E71">
            <w:bookmarkStart w:id="0" w:name="_Toc466022543"/>
            <w:r w:rsidRPr="006C3682">
              <w:t xml:space="preserve"> </w:t>
            </w:r>
          </w:p>
        </w:tc>
      </w:tr>
      <w:tr w:rsidR="00D0226A" w:rsidRPr="006C3682"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6C3682" w:rsidRDefault="00595C8C" w:rsidP="00595C8C">
            <w:pPr>
              <w:pStyle w:val="InnerCoverTitle"/>
              <w:rPr>
                <w:sz w:val="36"/>
                <w:szCs w:val="36"/>
              </w:rPr>
            </w:pPr>
            <w:r w:rsidRPr="006C3682">
              <w:rPr>
                <w:sz w:val="36"/>
                <w:szCs w:val="36"/>
              </w:rPr>
              <w:t xml:space="preserve">ONR </w:t>
            </w:r>
            <w:r w:rsidR="00C64582" w:rsidRPr="006C3682">
              <w:rPr>
                <w:sz w:val="36"/>
                <w:szCs w:val="36"/>
              </w:rPr>
              <w:t>Assessment Report</w:t>
            </w:r>
          </w:p>
          <w:p w14:paraId="7C4EA414" w14:textId="59219FE2" w:rsidR="00D0226A" w:rsidRPr="006C3682" w:rsidRDefault="0003559E" w:rsidP="001E03E1">
            <w:pPr>
              <w:pStyle w:val="CoverTitle"/>
              <w:rPr>
                <w:szCs w:val="90"/>
              </w:rPr>
            </w:pPr>
            <w:r w:rsidRPr="006C3682">
              <w:rPr>
                <w:rStyle w:val="Style2"/>
                <w:sz w:val="36"/>
                <w:szCs w:val="52"/>
              </w:rPr>
              <w:t>Dungeness B EIADR Pre-Application Opinion</w:t>
            </w:r>
          </w:p>
        </w:tc>
      </w:tr>
    </w:tbl>
    <w:p w14:paraId="6D1C8B33" w14:textId="6C767270" w:rsidR="00267815" w:rsidRPr="006C3682" w:rsidRDefault="00045010">
      <w:pPr>
        <w:spacing w:after="0"/>
      </w:pPr>
      <w:r w:rsidRPr="006C3682">
        <w:rPr>
          <w:noProof/>
        </w:rPr>
        <w:drawing>
          <wp:anchor distT="0" distB="0" distL="114300" distR="114300" simplePos="0" relativeHeight="251658240" behindDoc="1" locked="0" layoutInCell="1" allowOverlap="1" wp14:anchorId="10B0A4AA" wp14:editId="684A70C6">
            <wp:simplePos x="0" y="0"/>
            <wp:positionH relativeFrom="page">
              <wp:posOffset>0</wp:posOffset>
            </wp:positionH>
            <wp:positionV relativeFrom="page">
              <wp:posOffset>504190</wp:posOffset>
            </wp:positionV>
            <wp:extent cx="7567930" cy="968248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68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6C3682">
        <w:br w:type="page"/>
      </w:r>
    </w:p>
    <w:p w14:paraId="108F43C7" w14:textId="0F19D37C" w:rsidR="00004C16" w:rsidRPr="006C3682" w:rsidRDefault="00004C16" w:rsidP="00004C16">
      <w:pPr>
        <w:rPr>
          <w:color w:val="22413A"/>
          <w:sz w:val="36"/>
          <w:szCs w:val="36"/>
        </w:rPr>
      </w:pPr>
      <w:r w:rsidRPr="006C3682">
        <w:rPr>
          <w:color w:val="22413A"/>
          <w:sz w:val="36"/>
          <w:szCs w:val="36"/>
        </w:rPr>
        <w:lastRenderedPageBreak/>
        <w:t xml:space="preserve">ONR </w:t>
      </w:r>
      <w:r w:rsidR="00C64582" w:rsidRPr="006C3682">
        <w:rPr>
          <w:color w:val="22413A"/>
          <w:sz w:val="36"/>
          <w:szCs w:val="36"/>
        </w:rPr>
        <w:t>Assessment Report</w:t>
      </w:r>
    </w:p>
    <w:p w14:paraId="18D14D22" w14:textId="56E06DBE" w:rsidR="009E66D8" w:rsidRPr="006C3682" w:rsidRDefault="00C64582" w:rsidP="00004C16">
      <w:pPr>
        <w:rPr>
          <w:rStyle w:val="Style2"/>
          <w:sz w:val="36"/>
          <w:szCs w:val="16"/>
        </w:rPr>
      </w:pPr>
      <w:r w:rsidRPr="006C3682">
        <w:rPr>
          <w:rStyle w:val="Style2"/>
          <w:b/>
          <w:bCs/>
          <w:sz w:val="36"/>
          <w:szCs w:val="16"/>
        </w:rPr>
        <w:t>Report Title</w:t>
      </w:r>
      <w:r w:rsidRPr="006C3682">
        <w:rPr>
          <w:rStyle w:val="Style2"/>
          <w:sz w:val="36"/>
          <w:szCs w:val="16"/>
        </w:rPr>
        <w:t xml:space="preserve">: </w:t>
      </w:r>
      <w:r w:rsidR="0003559E" w:rsidRPr="006C3682">
        <w:rPr>
          <w:rStyle w:val="Style2"/>
          <w:sz w:val="36"/>
          <w:szCs w:val="16"/>
        </w:rPr>
        <w:t>Dungeness B EIADR Pre-Application Opinion</w:t>
      </w:r>
    </w:p>
    <w:p w14:paraId="7A720323" w14:textId="77777777" w:rsidR="00C66D94" w:rsidRPr="006C3682" w:rsidRDefault="00C66D94" w:rsidP="00004C16">
      <w:pPr>
        <w:rPr>
          <w:sz w:val="28"/>
          <w:szCs w:val="28"/>
        </w:rPr>
      </w:pPr>
    </w:p>
    <w:p w14:paraId="25FBFD23" w14:textId="17384C70" w:rsidR="0085748F" w:rsidRPr="006C3682" w:rsidRDefault="0085748F" w:rsidP="0085748F">
      <w:r w:rsidRPr="5A7C7159">
        <w:rPr>
          <w:b/>
          <w:bCs/>
        </w:rPr>
        <w:t>Authored by</w:t>
      </w:r>
      <w:r>
        <w:t xml:space="preserve">: </w:t>
      </w:r>
      <w:r w:rsidR="003E730A">
        <w:t>Nuclear Equivalent Inspector</w:t>
      </w:r>
      <w:r>
        <w:t>, ONR</w:t>
      </w:r>
    </w:p>
    <w:p w14:paraId="4F2AF005" w14:textId="205EEFA6" w:rsidR="0085748F" w:rsidRPr="006C3682" w:rsidRDefault="0085748F" w:rsidP="0085748F">
      <w:r w:rsidRPr="006C3682">
        <w:rPr>
          <w:b/>
          <w:bCs/>
        </w:rPr>
        <w:t>Assessment report reference</w:t>
      </w:r>
      <w:r w:rsidRPr="006C3682">
        <w:t>: AR-</w:t>
      </w:r>
      <w:r w:rsidR="00E72AF6" w:rsidRPr="006C3682">
        <w:t>01872</w:t>
      </w:r>
    </w:p>
    <w:p w14:paraId="6153D0F3" w14:textId="382E1EB2" w:rsidR="0085748F" w:rsidRPr="006C3682" w:rsidRDefault="0085748F" w:rsidP="0085748F">
      <w:pPr>
        <w:rPr>
          <w:szCs w:val="24"/>
        </w:rPr>
      </w:pPr>
      <w:r w:rsidRPr="006C3682">
        <w:rPr>
          <w:b/>
          <w:bCs/>
          <w:szCs w:val="24"/>
        </w:rPr>
        <w:t>Report issue</w:t>
      </w:r>
      <w:r w:rsidRPr="006C3682">
        <w:rPr>
          <w:szCs w:val="24"/>
        </w:rPr>
        <w:t xml:space="preserve">: </w:t>
      </w:r>
      <w:r w:rsidR="00134876">
        <w:rPr>
          <w:szCs w:val="24"/>
        </w:rPr>
        <w:t>1</w:t>
      </w:r>
    </w:p>
    <w:p w14:paraId="6783E3ED" w14:textId="191FE023" w:rsidR="0085748F" w:rsidRPr="006C3682" w:rsidRDefault="0085748F" w:rsidP="0085748F">
      <w:pPr>
        <w:rPr>
          <w:szCs w:val="24"/>
        </w:rPr>
      </w:pPr>
      <w:r w:rsidRPr="006C3682">
        <w:rPr>
          <w:b/>
          <w:bCs/>
          <w:szCs w:val="24"/>
        </w:rPr>
        <w:t>Published</w:t>
      </w:r>
      <w:r w:rsidRPr="006C3682">
        <w:rPr>
          <w:szCs w:val="24"/>
        </w:rPr>
        <w:t xml:space="preserve">: </w:t>
      </w:r>
      <w:r w:rsidR="00BB6632">
        <w:rPr>
          <w:szCs w:val="24"/>
        </w:rPr>
        <w:t>June</w:t>
      </w:r>
      <w:r w:rsidR="001C78A0" w:rsidRPr="006C3682">
        <w:rPr>
          <w:szCs w:val="24"/>
        </w:rPr>
        <w:t xml:space="preserve"> 2026</w:t>
      </w:r>
    </w:p>
    <w:p w14:paraId="49CBD948" w14:textId="77777777" w:rsidR="0085748F" w:rsidRPr="006C3682" w:rsidRDefault="0085748F" w:rsidP="0085748F">
      <w:pPr>
        <w:rPr>
          <w:b/>
          <w:bCs/>
        </w:rPr>
      </w:pPr>
    </w:p>
    <w:p w14:paraId="2C5B855C" w14:textId="0C236923" w:rsidR="0085748F" w:rsidRPr="006C3682" w:rsidRDefault="0085748F" w:rsidP="0085748F">
      <w:r w:rsidRPr="006C3682">
        <w:rPr>
          <w:b/>
          <w:bCs/>
        </w:rPr>
        <w:t>Document ID</w:t>
      </w:r>
      <w:r w:rsidRPr="006C3682">
        <w:t xml:space="preserve">: </w:t>
      </w:r>
      <w:r w:rsidR="00E03B0B" w:rsidRPr="00E03B0B">
        <w:t>ONRW-2126615823-</w:t>
      </w:r>
      <w:r w:rsidR="00757AD0" w:rsidRPr="00757AD0">
        <w:t>12748</w:t>
      </w:r>
    </w:p>
    <w:p w14:paraId="4E17EAF8" w14:textId="3B9492CB" w:rsidR="0085748F" w:rsidRPr="006C3682" w:rsidRDefault="0085748F" w:rsidP="0085748F"/>
    <w:p w14:paraId="1CAB535F" w14:textId="77777777" w:rsidR="00D5509C" w:rsidRPr="006C3682" w:rsidRDefault="00D5509C" w:rsidP="00CE4EC9"/>
    <w:p w14:paraId="6C2E87FD" w14:textId="5023EF44" w:rsidR="00D5509C" w:rsidRPr="006C3682" w:rsidRDefault="00D5509C" w:rsidP="00CE4EC9"/>
    <w:p w14:paraId="0D9EF55F" w14:textId="77777777" w:rsidR="00D5509C" w:rsidRPr="006C3682" w:rsidRDefault="00D5509C" w:rsidP="00CE4EC9"/>
    <w:p w14:paraId="77034075" w14:textId="77777777" w:rsidR="00D5509C" w:rsidRPr="006C3682" w:rsidRDefault="00D5509C" w:rsidP="00CE4EC9"/>
    <w:p w14:paraId="115A0640" w14:textId="6DB8C7CB" w:rsidR="00D5509C" w:rsidRPr="006C3682" w:rsidRDefault="00D5509C" w:rsidP="00CE4EC9"/>
    <w:p w14:paraId="64D5A184" w14:textId="72A23F02" w:rsidR="00D5509C" w:rsidRPr="006C3682" w:rsidRDefault="00D5509C" w:rsidP="00CE4EC9"/>
    <w:p w14:paraId="55582BCF" w14:textId="5A7E0B25" w:rsidR="00D5509C" w:rsidRPr="006C3682" w:rsidRDefault="00D5509C" w:rsidP="00CE4EC9"/>
    <w:p w14:paraId="2B8EC1A6" w14:textId="77777777" w:rsidR="004421AB" w:rsidRPr="006C3682" w:rsidRDefault="004421AB" w:rsidP="00CE4EC9"/>
    <w:p w14:paraId="74C71A4F" w14:textId="77777777" w:rsidR="00D5509C" w:rsidRPr="006C3682" w:rsidRDefault="00D5509C" w:rsidP="00CE4EC9"/>
    <w:p w14:paraId="22040C03" w14:textId="242638C8" w:rsidR="00AC651F" w:rsidRPr="006C3682" w:rsidRDefault="00AC651F" w:rsidP="00AC651F">
      <w:r w:rsidRPr="006C3682">
        <w:t xml:space="preserve">© Office for Nuclear Regulation, </w:t>
      </w:r>
      <w:r w:rsidR="001C78A0" w:rsidRPr="006C3682">
        <w:t>2026</w:t>
      </w:r>
    </w:p>
    <w:p w14:paraId="0C735CD0" w14:textId="7CCE5166" w:rsidR="00152422" w:rsidRPr="006C3682" w:rsidRDefault="00AC651F" w:rsidP="00B44B73">
      <w:pPr>
        <w:sectPr w:rsidR="00152422" w:rsidRPr="006C3682"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rsidRPr="006C3682">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6C3682">
          <w:rPr>
            <w:rStyle w:val="Hyperlink"/>
          </w:rPr>
          <w:t>www.onr.org.uk/copyright</w:t>
        </w:r>
      </w:hyperlink>
      <w:r w:rsidRPr="006C3682">
        <w:t xml:space="preserve"> for details. </w:t>
      </w:r>
    </w:p>
    <w:p w14:paraId="591B060B" w14:textId="2B8D4212" w:rsidR="00930623" w:rsidRPr="006C3682" w:rsidRDefault="00930623" w:rsidP="00543E37">
      <w:pPr>
        <w:pStyle w:val="Heading1"/>
        <w:numPr>
          <w:ilvl w:val="0"/>
          <w:numId w:val="0"/>
        </w:numPr>
        <w:ind w:left="851" w:hanging="851"/>
      </w:pPr>
      <w:bookmarkStart w:id="1" w:name="_Toc232158903"/>
      <w:bookmarkStart w:id="2" w:name="_Toc109727646"/>
      <w:bookmarkEnd w:id="0"/>
      <w:r w:rsidRPr="006C3682">
        <w:lastRenderedPageBreak/>
        <w:t xml:space="preserve">Executive </w:t>
      </w:r>
      <w:r w:rsidR="00B44B73" w:rsidRPr="006C3682">
        <w:t>s</w:t>
      </w:r>
      <w:r w:rsidRPr="006C3682">
        <w:t>ummary</w:t>
      </w:r>
      <w:bookmarkEnd w:id="1"/>
    </w:p>
    <w:bookmarkEnd w:id="2"/>
    <w:p w14:paraId="3DC972AC" w14:textId="5099EFE2" w:rsidR="00165F22" w:rsidRDefault="00165F22">
      <w:r>
        <w:t>This report sets out the Office for Nuclear Regulation’s Pre-Application Opinion on the proposed format and content of EDF Energy’s application for consent to decommission Dungeness B Nuclear Power Station under the Nuclear Reactors (Environmental Impact Assessment for Decommissioning) Regulations 1999, as amended (EIADR). Our opinion has been informed by our assessment of EDF Energy’s scoping report and supporting appendices, consultation responses, and independent technical advice from our technical support contractor.</w:t>
      </w:r>
    </w:p>
    <w:p w14:paraId="7EBE635A" w14:textId="48B49B34" w:rsidR="002603FF" w:rsidRDefault="002603FF" w:rsidP="00D27C48">
      <w:r w:rsidRPr="30E41877">
        <w:rPr>
          <w:kern w:val="2"/>
          <w14:ligatures w14:val="standardContextual"/>
        </w:rPr>
        <w:t>Dungene</w:t>
      </w:r>
      <w:r w:rsidR="00D27C48">
        <w:t>s</w:t>
      </w:r>
      <w:r w:rsidRPr="30E41877">
        <w:rPr>
          <w:kern w:val="2"/>
          <w14:ligatures w14:val="standardContextual"/>
        </w:rPr>
        <w:t xml:space="preserve">s B’s </w:t>
      </w:r>
      <w:r w:rsidR="0099103F" w:rsidRPr="30E41877">
        <w:rPr>
          <w:kern w:val="2"/>
          <w14:ligatures w14:val="standardContextual"/>
        </w:rPr>
        <w:t xml:space="preserve">current </w:t>
      </w:r>
      <w:r w:rsidRPr="30E41877">
        <w:rPr>
          <w:kern w:val="2"/>
          <w14:ligatures w14:val="standardContextual"/>
        </w:rPr>
        <w:t>decommissioning strategy reflects its site-specific circumstances</w:t>
      </w:r>
      <w:r w:rsidR="007D1DF8" w:rsidRPr="30E41877">
        <w:rPr>
          <w:kern w:val="2"/>
          <w14:ligatures w14:val="standardContextual"/>
        </w:rPr>
        <w:t>. T</w:t>
      </w:r>
      <w:r w:rsidRPr="30E41877">
        <w:rPr>
          <w:kern w:val="2"/>
          <w14:ligatures w14:val="standardContextual"/>
        </w:rPr>
        <w:t xml:space="preserve">he licensee has selected an Early Safestore </w:t>
      </w:r>
      <w:r w:rsidR="00EF379F" w:rsidRPr="30E41877">
        <w:rPr>
          <w:kern w:val="2"/>
          <w14:ligatures w14:val="standardContextual"/>
        </w:rPr>
        <w:t>strategy</w:t>
      </w:r>
      <w:r w:rsidR="00594AC6" w:rsidRPr="30E41877">
        <w:rPr>
          <w:kern w:val="2"/>
          <w14:ligatures w14:val="standardContextual"/>
        </w:rPr>
        <w:t xml:space="preserve"> in line with the fleet </w:t>
      </w:r>
      <w:r w:rsidR="00796C9D" w:rsidRPr="30E41877">
        <w:rPr>
          <w:kern w:val="2"/>
          <w14:ligatures w14:val="standardContextual"/>
        </w:rPr>
        <w:t>strategy</w:t>
      </w:r>
      <w:r w:rsidRPr="30E41877">
        <w:rPr>
          <w:kern w:val="2"/>
          <w14:ligatures w14:val="standardContextual"/>
        </w:rPr>
        <w:t>, with an anticipated duration of around 90 years</w:t>
      </w:r>
      <w:r w:rsidR="00CE7EF1">
        <w:rPr>
          <w:kern w:val="2"/>
          <w:szCs w:val="24"/>
          <w14:ligatures w14:val="standardContextual"/>
        </w:rPr>
        <w:t xml:space="preserve">. </w:t>
      </w:r>
      <w:r w:rsidR="00912C9C" w:rsidRPr="30E41877">
        <w:rPr>
          <w:kern w:val="2"/>
          <w14:ligatures w14:val="standardContextual"/>
        </w:rPr>
        <w:t>However, a</w:t>
      </w:r>
      <w:r w:rsidRPr="30E41877">
        <w:rPr>
          <w:kern w:val="2"/>
          <w14:ligatures w14:val="standardContextual"/>
        </w:rPr>
        <w:t xml:space="preserve"> Prompt </w:t>
      </w:r>
      <w:r w:rsidR="00523799" w:rsidRPr="30E41877">
        <w:rPr>
          <w:kern w:val="2"/>
          <w14:ligatures w14:val="standardContextual"/>
        </w:rPr>
        <w:t>D</w:t>
      </w:r>
      <w:r w:rsidRPr="30E41877">
        <w:rPr>
          <w:kern w:val="2"/>
          <w14:ligatures w14:val="standardContextual"/>
        </w:rPr>
        <w:t>ecommissioning</w:t>
      </w:r>
      <w:r w:rsidR="00372B89" w:rsidRPr="30E41877">
        <w:rPr>
          <w:kern w:val="2"/>
          <w14:ligatures w14:val="standardContextual"/>
        </w:rPr>
        <w:t xml:space="preserve"> strategy</w:t>
      </w:r>
      <w:r w:rsidRPr="002603FF">
        <w:rPr>
          <w:kern w:val="2"/>
          <w:szCs w:val="24"/>
          <w14:ligatures w14:val="standardContextual"/>
        </w:rPr>
        <w:t xml:space="preserve"> </w:t>
      </w:r>
      <w:r w:rsidR="006B28E2" w:rsidRPr="30E41877">
        <w:rPr>
          <w:kern w:val="2"/>
          <w14:ligatures w14:val="standardContextual"/>
        </w:rPr>
        <w:t>is</w:t>
      </w:r>
      <w:r w:rsidRPr="30E41877">
        <w:rPr>
          <w:kern w:val="2"/>
          <w14:ligatures w14:val="standardContextual"/>
        </w:rPr>
        <w:t xml:space="preserve"> under consideration </w:t>
      </w:r>
      <w:r w:rsidR="00EF379F" w:rsidRPr="30E41877">
        <w:rPr>
          <w:kern w:val="2"/>
          <w14:ligatures w14:val="standardContextual"/>
        </w:rPr>
        <w:t>due to</w:t>
      </w:r>
      <w:r w:rsidRPr="30E41877">
        <w:rPr>
          <w:kern w:val="2"/>
          <w14:ligatures w14:val="standardContextual"/>
        </w:rPr>
        <w:t xml:space="preserve"> the station’s lower long-term radioactivity </w:t>
      </w:r>
      <w:r w:rsidR="00171527" w:rsidRPr="30E41877">
        <w:rPr>
          <w:kern w:val="2"/>
          <w14:ligatures w14:val="standardContextual"/>
        </w:rPr>
        <w:t>compared to</w:t>
      </w:r>
      <w:r w:rsidRPr="30E41877">
        <w:rPr>
          <w:kern w:val="2"/>
          <w14:ligatures w14:val="standardContextual"/>
        </w:rPr>
        <w:t xml:space="preserve"> other </w:t>
      </w:r>
      <w:r w:rsidR="00DB61D1" w:rsidRPr="30E41877">
        <w:rPr>
          <w:kern w:val="2"/>
          <w14:ligatures w14:val="standardContextual"/>
        </w:rPr>
        <w:t>stations</w:t>
      </w:r>
      <w:r w:rsidRPr="30E41877">
        <w:rPr>
          <w:kern w:val="2"/>
          <w14:ligatures w14:val="standardContextual"/>
        </w:rPr>
        <w:t>, and the site’s exposure to coastal weathering, erosion and climate-related risks</w:t>
      </w:r>
      <w:r w:rsidR="00927730" w:rsidRPr="30E41877">
        <w:rPr>
          <w:kern w:val="2"/>
          <w14:ligatures w14:val="standardContextual"/>
        </w:rPr>
        <w:t xml:space="preserve">. These site-specific factors would </w:t>
      </w:r>
      <w:r w:rsidR="00587808" w:rsidRPr="30E41877">
        <w:rPr>
          <w:kern w:val="2"/>
          <w14:ligatures w14:val="standardContextual"/>
        </w:rPr>
        <w:t xml:space="preserve"> favour</w:t>
      </w:r>
      <w:r w:rsidRPr="30E41877">
        <w:rPr>
          <w:kern w:val="2"/>
          <w14:ligatures w14:val="standardContextual"/>
        </w:rPr>
        <w:t xml:space="preserve"> earlier </w:t>
      </w:r>
      <w:r w:rsidR="00D27C48" w:rsidRPr="30E41877">
        <w:rPr>
          <w:kern w:val="2"/>
          <w14:ligatures w14:val="standardContextual"/>
        </w:rPr>
        <w:t xml:space="preserve">reactor </w:t>
      </w:r>
      <w:r w:rsidRPr="30E41877">
        <w:rPr>
          <w:kern w:val="2"/>
          <w14:ligatures w14:val="standardContextual"/>
        </w:rPr>
        <w:t>dismantling</w:t>
      </w:r>
      <w:r>
        <w:t>, h</w:t>
      </w:r>
      <w:r w:rsidRPr="30E41877">
        <w:rPr>
          <w:kern w:val="2"/>
          <w14:ligatures w14:val="standardContextual"/>
        </w:rPr>
        <w:t>owever EDF considers that further underpinning information is needed before any change in strategy c</w:t>
      </w:r>
      <w:r w:rsidR="00D27C48" w:rsidRPr="30E41877">
        <w:rPr>
          <w:kern w:val="2"/>
          <w14:ligatures w14:val="standardContextual"/>
        </w:rPr>
        <w:t>an</w:t>
      </w:r>
      <w:r w:rsidRPr="30E41877">
        <w:rPr>
          <w:kern w:val="2"/>
          <w14:ligatures w14:val="standardContextual"/>
        </w:rPr>
        <w:t xml:space="preserve"> be </w:t>
      </w:r>
      <w:r w:rsidR="00B072C2" w:rsidRPr="30E41877">
        <w:rPr>
          <w:kern w:val="2"/>
          <w14:ligatures w14:val="standardContextual"/>
        </w:rPr>
        <w:t xml:space="preserve">fully </w:t>
      </w:r>
      <w:r w:rsidRPr="30E41877">
        <w:rPr>
          <w:kern w:val="2"/>
          <w14:ligatures w14:val="standardContextual"/>
        </w:rPr>
        <w:t>justified.</w:t>
      </w:r>
    </w:p>
    <w:p w14:paraId="03BED24C" w14:textId="0C271321" w:rsidR="00165F22" w:rsidRDefault="00165F22">
      <w:pPr>
        <w:rPr>
          <w:kern w:val="2"/>
          <w:szCs w:val="24"/>
          <w14:ligatures w14:val="standardContextual"/>
        </w:rPr>
      </w:pPr>
      <w:r>
        <w:t xml:space="preserve">Our </w:t>
      </w:r>
      <w:r w:rsidR="007A6622">
        <w:t>assessment</w:t>
      </w:r>
      <w:r>
        <w:t xml:space="preserve"> found that the scoping report identifies the principal environmental topics that should be addressed in the</w:t>
      </w:r>
      <w:r w:rsidR="00EF3504">
        <w:t xml:space="preserve"> </w:t>
      </w:r>
      <w:r w:rsidR="000449C2">
        <w:t>E</w:t>
      </w:r>
      <w:r w:rsidR="004572BE">
        <w:t xml:space="preserve">nvironmental </w:t>
      </w:r>
      <w:r w:rsidR="000449C2">
        <w:t>S</w:t>
      </w:r>
      <w:r w:rsidR="004572BE">
        <w:t>tatement</w:t>
      </w:r>
      <w:r>
        <w:t xml:space="preserve">. In particular, the scoping report includes a </w:t>
      </w:r>
      <w:r w:rsidR="00303FAF">
        <w:t>p</w:t>
      </w:r>
      <w:r>
        <w:t xml:space="preserve">reliminary Habitats Regulations Assessment (HRA) screening and a Marine Conservation Zone (MCZ) assessment screening, both of which are relevant to the overall </w:t>
      </w:r>
      <w:r w:rsidR="00B56317">
        <w:t>E</w:t>
      </w:r>
      <w:r>
        <w:t xml:space="preserve">nvironmental </w:t>
      </w:r>
      <w:r w:rsidR="00B56317">
        <w:t>I</w:t>
      </w:r>
      <w:r w:rsidR="00B37779">
        <w:t xml:space="preserve">mpact </w:t>
      </w:r>
      <w:r w:rsidR="00B56317">
        <w:t>A</w:t>
      </w:r>
      <w:r>
        <w:t>ssessment</w:t>
      </w:r>
      <w:r w:rsidR="00B37779">
        <w:t xml:space="preserve"> (EIA)</w:t>
      </w:r>
      <w:r>
        <w:t xml:space="preserve"> of the project.</w:t>
      </w:r>
    </w:p>
    <w:p w14:paraId="67A925C7" w14:textId="1F225769" w:rsidR="00BA4E19" w:rsidRDefault="00BA4E19" w:rsidP="00BA4E19">
      <w:pPr>
        <w:rPr>
          <w:kern w:val="2"/>
          <w:szCs w:val="24"/>
          <w14:ligatures w14:val="standardContextual"/>
        </w:rPr>
      </w:pPr>
      <w:r>
        <w:t xml:space="preserve">We have </w:t>
      </w:r>
      <w:r w:rsidR="001373EF">
        <w:t>raised</w:t>
      </w:r>
      <w:r>
        <w:t xml:space="preserve"> one reservation relating to the level of detail provided in the project description</w:t>
      </w:r>
      <w:r w:rsidR="005C686E">
        <w:t>, particularly</w:t>
      </w:r>
      <w:r>
        <w:t xml:space="preserve"> for the marine works. </w:t>
      </w:r>
      <w:r w:rsidR="0090436E">
        <w:t>F</w:t>
      </w:r>
      <w:r>
        <w:t xml:space="preserve">urther information is </w:t>
      </w:r>
      <w:r w:rsidR="0090436E">
        <w:t>required</w:t>
      </w:r>
      <w:r>
        <w:t xml:space="preserve"> on the proposed alternative discharge lines, the intended fate of the inlet and outfall tunnels, the role of Long Pits in the wider project, and the likely end state of the existing intake and outfall structures within the marine environment. Where detailed information is not yet available, the assumptions adopted should be stated clearly and justified. Without this, there is a risk that the</w:t>
      </w:r>
      <w:r w:rsidR="00B0571A">
        <w:t>re will not be a</w:t>
      </w:r>
      <w:r>
        <w:t xml:space="preserve"> </w:t>
      </w:r>
      <w:r w:rsidR="00B0571A">
        <w:t xml:space="preserve">sufficiently robust basis for assessing likely significant effects in the </w:t>
      </w:r>
      <w:r w:rsidR="00B37779">
        <w:t>EIA</w:t>
      </w:r>
      <w:r>
        <w:t>, HRA and MCZ assessments.</w:t>
      </w:r>
    </w:p>
    <w:p w14:paraId="0DB65B9B" w14:textId="0B800A9C" w:rsidR="00165F22" w:rsidRDefault="00165F22">
      <w:r>
        <w:t xml:space="preserve">We have identified a number of </w:t>
      </w:r>
      <w:r w:rsidR="00A66F4F">
        <w:t>other</w:t>
      </w:r>
      <w:r w:rsidR="1C69CDE0">
        <w:t xml:space="preserve"> issues</w:t>
      </w:r>
      <w:r>
        <w:t xml:space="preserve"> that should be </w:t>
      </w:r>
      <w:r w:rsidR="0052531F">
        <w:t>considered</w:t>
      </w:r>
      <w:r>
        <w:t xml:space="preserve"> in the </w:t>
      </w:r>
      <w:r w:rsidR="000449C2">
        <w:t>E</w:t>
      </w:r>
      <w:r w:rsidR="006F23DB">
        <w:t xml:space="preserve">nvironmental </w:t>
      </w:r>
      <w:r w:rsidR="000449C2">
        <w:t>S</w:t>
      </w:r>
      <w:r w:rsidR="006F23DB">
        <w:t>tatement</w:t>
      </w:r>
      <w:r>
        <w:t xml:space="preserve"> to ensure that the eventual EIADR application is robust, clearly substantiated and aligned with regulatory expectations. These </w:t>
      </w:r>
      <w:r w:rsidR="7C4D084E">
        <w:t>issues</w:t>
      </w:r>
      <w:r>
        <w:t xml:space="preserve"> relate principally to the definition and justification of study areas and </w:t>
      </w:r>
      <w:r w:rsidR="0039475A">
        <w:t>Z</w:t>
      </w:r>
      <w:r>
        <w:t xml:space="preserve">ones of </w:t>
      </w:r>
      <w:r w:rsidR="0039475A">
        <w:t>I</w:t>
      </w:r>
      <w:r>
        <w:t>nfluence, the treatment of baseline and future baseline conditions, the coordination of topic interactions across technical chapters, and the need for clearer justification where pathways or receptors are scoped in or out.</w:t>
      </w:r>
    </w:p>
    <w:p w14:paraId="560AD34A" w14:textId="77A147EE" w:rsidR="00F4752A" w:rsidRDefault="00F4752A" w:rsidP="00D40441">
      <w:pPr>
        <w:rPr>
          <w:kern w:val="2"/>
          <w:szCs w:val="24"/>
          <w14:ligatures w14:val="standardContextual"/>
        </w:rPr>
      </w:pPr>
      <w:r>
        <w:t xml:space="preserve">We have also identified a matter for consideration relating to the proposed EIADR project boundary, as the scoping report excludes areas of non-operational land within the nuclear licensed site boundary from the </w:t>
      </w:r>
      <w:r w:rsidR="007B2CD9">
        <w:t>EIADR project</w:t>
      </w:r>
      <w:r>
        <w:t xml:space="preserve">. </w:t>
      </w:r>
      <w:r w:rsidR="00204344">
        <w:t>It is normal practice for an EIADR project to include the entire nuclear power station,</w:t>
      </w:r>
      <w:r w:rsidR="00BA6357">
        <w:t xml:space="preserve"> although </w:t>
      </w:r>
      <w:r w:rsidR="00DF2184">
        <w:t xml:space="preserve">we </w:t>
      </w:r>
      <w:r>
        <w:t xml:space="preserve">recognise that those areas may be delicensed </w:t>
      </w:r>
      <w:r w:rsidR="001F54EE">
        <w:t>earlier</w:t>
      </w:r>
      <w:r>
        <w:t xml:space="preserve"> </w:t>
      </w:r>
      <w:r w:rsidR="001F54EE">
        <w:t>than</w:t>
      </w:r>
      <w:r>
        <w:t xml:space="preserve"> the remainder of the </w:t>
      </w:r>
      <w:r>
        <w:lastRenderedPageBreak/>
        <w:t>site, in which case any remediation needed to support delicensing could reasonably be treated as part of normal site operations and would not fall within the scope of EIADR. However, if those areas remain within the licensed site throughout decommissioning, they would eventually fall within the scope of EIADR and require consent. The licensee should therefore discuss this matter with NRS and consider how any future change in scope would be managed so as to avoid unnecessary regulatory complexity at a</w:t>
      </w:r>
      <w:r w:rsidR="00E16B68" w:rsidRPr="00E16B68">
        <w:t xml:space="preserve"> </w:t>
      </w:r>
      <w:r w:rsidR="00E16B68">
        <w:t>later stage</w:t>
      </w:r>
      <w:r>
        <w:t>.</w:t>
      </w:r>
    </w:p>
    <w:p w14:paraId="026E86DD" w14:textId="28202128" w:rsidR="00165F22" w:rsidRDefault="00165F22">
      <w:r>
        <w:t xml:space="preserve">Overall, our opinion is that EDF Energy’s scoping report provides an adequate basis for </w:t>
      </w:r>
      <w:r w:rsidR="00C13203">
        <w:t>development of</w:t>
      </w:r>
      <w:r>
        <w:t xml:space="preserve"> the EIADR application for </w:t>
      </w:r>
      <w:r w:rsidR="00E35A2C">
        <w:t>consent to</w:t>
      </w:r>
      <w:r w:rsidR="00B54CF1">
        <w:t xml:space="preserve"> decommission Dungeness B Nuclear Power Station</w:t>
      </w:r>
      <w:r>
        <w:t xml:space="preserve">, subject to the </w:t>
      </w:r>
      <w:r w:rsidR="28B62114">
        <w:t>issues</w:t>
      </w:r>
      <w:r>
        <w:t xml:space="preserve"> identified in this report being appropriately addressed in the </w:t>
      </w:r>
      <w:r w:rsidR="000449C2">
        <w:t>E</w:t>
      </w:r>
      <w:r>
        <w:t xml:space="preserve">nvironmental </w:t>
      </w:r>
      <w:r w:rsidR="000449C2">
        <w:t>S</w:t>
      </w:r>
      <w:r>
        <w:t>tatement and supporting assessments. The findings we have set out are intended to improve the clarity, proportionality and robustness of the eventual application</w:t>
      </w:r>
      <w:r w:rsidR="00C02BFB">
        <w:t>, whilst securing compliance with EIADR</w:t>
      </w:r>
      <w:r>
        <w:t xml:space="preserve">. We will consider the final </w:t>
      </w:r>
      <w:r w:rsidR="00A5242F">
        <w:t>application</w:t>
      </w:r>
      <w:r>
        <w:t xml:space="preserve">, together with consultation responses received at </w:t>
      </w:r>
      <w:r w:rsidR="00DA7A23">
        <w:t xml:space="preserve">the </w:t>
      </w:r>
      <w:r>
        <w:t>application stage, before reaching a decision on whether to grant consent under EIADR.</w:t>
      </w:r>
    </w:p>
    <w:p w14:paraId="7FA16813" w14:textId="77777777" w:rsidR="003B7FD1" w:rsidRPr="006C3682" w:rsidRDefault="003B7FD1" w:rsidP="003B7FD1">
      <w:pPr>
        <w:sectPr w:rsidR="003B7FD1" w:rsidRPr="006C3682"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73A2BD28" w:rsidR="001966D1" w:rsidRPr="006C3682" w:rsidRDefault="001966D1" w:rsidP="00B44B73">
      <w:pPr>
        <w:pStyle w:val="Heading1"/>
        <w:numPr>
          <w:ilvl w:val="0"/>
          <w:numId w:val="0"/>
        </w:numPr>
        <w:ind w:left="851"/>
      </w:pPr>
      <w:bookmarkStart w:id="3" w:name="_Toc232158904"/>
      <w:r w:rsidRPr="006C3682">
        <w:lastRenderedPageBreak/>
        <w:t xml:space="preserve">List of </w:t>
      </w:r>
      <w:r w:rsidR="00B44B73" w:rsidRPr="006C3682">
        <w:t>a</w:t>
      </w:r>
      <w:r w:rsidRPr="006C3682">
        <w:t>bbreviations</w:t>
      </w:r>
      <w:bookmarkEnd w:id="3"/>
    </w:p>
    <w:p w14:paraId="3E085A86" w14:textId="6CB97ECE" w:rsidR="5748FEF7" w:rsidRPr="006C3682" w:rsidRDefault="5748FEF7" w:rsidP="173648A1">
      <w:pPr>
        <w:contextualSpacing/>
      </w:pPr>
      <w:r w:rsidRPr="006C3682">
        <w:t>AGR</w:t>
      </w:r>
      <w:r w:rsidRPr="006C3682">
        <w:tab/>
      </w:r>
      <w:r w:rsidRPr="006C3682">
        <w:tab/>
        <w:t xml:space="preserve">Advanced Gas-cooled Reactor </w:t>
      </w:r>
    </w:p>
    <w:p w14:paraId="308AFF2C" w14:textId="12A252BF" w:rsidR="0085F722" w:rsidRPr="006C3682" w:rsidRDefault="0085F722" w:rsidP="173648A1">
      <w:pPr>
        <w:contextualSpacing/>
      </w:pPr>
      <w:r w:rsidRPr="006C3682">
        <w:t>ATC</w:t>
      </w:r>
      <w:r w:rsidRPr="006C3682">
        <w:tab/>
      </w:r>
      <w:r w:rsidRPr="006C3682">
        <w:tab/>
        <w:t xml:space="preserve">Automatic </w:t>
      </w:r>
      <w:r w:rsidR="00D64816">
        <w:t>t</w:t>
      </w:r>
      <w:r w:rsidRPr="006C3682">
        <w:t xml:space="preserve">raffic </w:t>
      </w:r>
      <w:r w:rsidR="00D64816">
        <w:t>c</w:t>
      </w:r>
      <w:r w:rsidRPr="006C3682">
        <w:t xml:space="preserve">ounts </w:t>
      </w:r>
    </w:p>
    <w:p w14:paraId="0B20A242" w14:textId="1CE25220" w:rsidR="00847EA4" w:rsidRPr="006C3682" w:rsidRDefault="00847EA4" w:rsidP="173648A1">
      <w:pPr>
        <w:contextualSpacing/>
      </w:pPr>
      <w:r w:rsidRPr="006C3682">
        <w:t>EDF</w:t>
      </w:r>
      <w:r w:rsidRPr="006C3682">
        <w:tab/>
      </w:r>
      <w:r w:rsidRPr="006C3682">
        <w:tab/>
      </w:r>
      <w:proofErr w:type="spellStart"/>
      <w:r w:rsidRPr="006C3682">
        <w:t>EDF</w:t>
      </w:r>
      <w:proofErr w:type="spellEnd"/>
      <w:r w:rsidRPr="006C3682">
        <w:t xml:space="preserve"> Energy Nuclear Generation Ltd</w:t>
      </w:r>
    </w:p>
    <w:p w14:paraId="2B0C48C5" w14:textId="0088BC2A" w:rsidR="69D03332" w:rsidRPr="00F54B45" w:rsidRDefault="69D03332" w:rsidP="173648A1">
      <w:pPr>
        <w:contextualSpacing/>
        <w:rPr>
          <w:lang w:val="fr-FR"/>
        </w:rPr>
      </w:pPr>
      <w:r w:rsidRPr="00F54B45">
        <w:rPr>
          <w:lang w:val="fr-FR"/>
        </w:rPr>
        <w:t>EIA</w:t>
      </w:r>
      <w:r w:rsidRPr="00F54B45">
        <w:rPr>
          <w:lang w:val="fr-FR"/>
        </w:rPr>
        <w:tab/>
      </w:r>
      <w:r w:rsidRPr="00F54B45">
        <w:rPr>
          <w:lang w:val="fr-FR"/>
        </w:rPr>
        <w:tab/>
      </w:r>
      <w:proofErr w:type="spellStart"/>
      <w:r w:rsidRPr="00F54B45">
        <w:rPr>
          <w:lang w:val="fr-FR"/>
        </w:rPr>
        <w:t>Environmental</w:t>
      </w:r>
      <w:proofErr w:type="spellEnd"/>
      <w:r w:rsidRPr="00F54B45">
        <w:rPr>
          <w:lang w:val="fr-FR"/>
        </w:rPr>
        <w:t xml:space="preserve"> </w:t>
      </w:r>
      <w:r w:rsidR="006A207A">
        <w:rPr>
          <w:lang w:val="fr-FR"/>
        </w:rPr>
        <w:t>I</w:t>
      </w:r>
      <w:r w:rsidRPr="00F54B45">
        <w:rPr>
          <w:lang w:val="fr-FR"/>
        </w:rPr>
        <w:t xml:space="preserve">mpact </w:t>
      </w:r>
      <w:proofErr w:type="spellStart"/>
      <w:r w:rsidR="006A207A">
        <w:rPr>
          <w:lang w:val="fr-FR"/>
        </w:rPr>
        <w:t>A</w:t>
      </w:r>
      <w:r w:rsidRPr="00F54B45">
        <w:rPr>
          <w:lang w:val="fr-FR"/>
        </w:rPr>
        <w:t>ssessment</w:t>
      </w:r>
      <w:proofErr w:type="spellEnd"/>
      <w:r w:rsidRPr="00F54B45">
        <w:rPr>
          <w:lang w:val="fr-FR"/>
        </w:rPr>
        <w:t xml:space="preserve"> </w:t>
      </w:r>
    </w:p>
    <w:p w14:paraId="200592E5" w14:textId="3A4E6051" w:rsidR="001F056C" w:rsidRPr="00F54B45" w:rsidRDefault="001F056C" w:rsidP="173648A1">
      <w:pPr>
        <w:contextualSpacing/>
        <w:rPr>
          <w:lang w:val="fr-FR"/>
        </w:rPr>
      </w:pPr>
      <w:r w:rsidRPr="00F54B45">
        <w:rPr>
          <w:lang w:val="fr-FR"/>
        </w:rPr>
        <w:t xml:space="preserve">ES </w:t>
      </w:r>
      <w:r w:rsidRPr="00F54B45">
        <w:rPr>
          <w:lang w:val="fr-FR"/>
        </w:rPr>
        <w:tab/>
      </w:r>
      <w:r w:rsidRPr="00F54B45">
        <w:rPr>
          <w:lang w:val="fr-FR"/>
        </w:rPr>
        <w:tab/>
        <w:t xml:space="preserve">Environmental </w:t>
      </w:r>
      <w:r w:rsidR="000449C2">
        <w:rPr>
          <w:lang w:val="fr-FR"/>
        </w:rPr>
        <w:t>S</w:t>
      </w:r>
      <w:r w:rsidRPr="00F54B45">
        <w:rPr>
          <w:lang w:val="fr-FR"/>
        </w:rPr>
        <w:t xml:space="preserve">tatement </w:t>
      </w:r>
    </w:p>
    <w:p w14:paraId="797C2A7C" w14:textId="4963B026" w:rsidR="3E9335E0" w:rsidRPr="006C3682" w:rsidRDefault="3E9335E0" w:rsidP="173648A1">
      <w:pPr>
        <w:contextualSpacing/>
      </w:pPr>
      <w:r w:rsidRPr="006C3682">
        <w:t>HGV</w:t>
      </w:r>
      <w:r w:rsidRPr="006C3682">
        <w:tab/>
      </w:r>
      <w:r w:rsidRPr="006C3682">
        <w:tab/>
        <w:t xml:space="preserve">Heavy </w:t>
      </w:r>
      <w:r w:rsidR="00D64816">
        <w:t>g</w:t>
      </w:r>
      <w:r w:rsidRPr="006C3682">
        <w:t xml:space="preserve">oods </w:t>
      </w:r>
      <w:r w:rsidR="00D64816">
        <w:t>v</w:t>
      </w:r>
      <w:r w:rsidRPr="006C3682">
        <w:t xml:space="preserve">ehicle </w:t>
      </w:r>
    </w:p>
    <w:p w14:paraId="1920FBB2" w14:textId="761C21B6" w:rsidR="000A1030" w:rsidRPr="006C3682" w:rsidRDefault="000A1030" w:rsidP="001966D1">
      <w:pPr>
        <w:contextualSpacing/>
      </w:pPr>
      <w:r w:rsidRPr="006C3682">
        <w:t>HPMA</w:t>
      </w:r>
      <w:r w:rsidRPr="006C3682">
        <w:tab/>
      </w:r>
      <w:r w:rsidRPr="006C3682">
        <w:tab/>
        <w:t xml:space="preserve">Highly Protected Marine Area </w:t>
      </w:r>
    </w:p>
    <w:p w14:paraId="07DBD4DF" w14:textId="368EA371" w:rsidR="003D54AE" w:rsidRPr="006C3682" w:rsidRDefault="003D54AE" w:rsidP="001966D1">
      <w:pPr>
        <w:contextualSpacing/>
      </w:pPr>
      <w:r w:rsidRPr="006C3682">
        <w:t xml:space="preserve">HRA </w:t>
      </w:r>
      <w:r w:rsidRPr="006C3682">
        <w:tab/>
      </w:r>
      <w:r w:rsidRPr="006C3682">
        <w:tab/>
        <w:t xml:space="preserve">Habitats Regulations Assessment </w:t>
      </w:r>
    </w:p>
    <w:p w14:paraId="3F456179" w14:textId="707AA96E" w:rsidR="002220E0" w:rsidRDefault="002220E0" w:rsidP="001966D1">
      <w:pPr>
        <w:contextualSpacing/>
      </w:pPr>
      <w:r w:rsidRPr="006C3682">
        <w:t xml:space="preserve">IAQM </w:t>
      </w:r>
      <w:r w:rsidRPr="006C3682">
        <w:tab/>
      </w:r>
      <w:r w:rsidRPr="006C3682">
        <w:tab/>
        <w:t xml:space="preserve">Institute of Air Quality Management </w:t>
      </w:r>
    </w:p>
    <w:p w14:paraId="50A6AF2B" w14:textId="77777777" w:rsidR="000850E2" w:rsidRPr="006C3682" w:rsidRDefault="000850E2" w:rsidP="000850E2">
      <w:pPr>
        <w:contextualSpacing/>
      </w:pPr>
      <w:r>
        <w:t>IEMA</w:t>
      </w:r>
      <w:r>
        <w:tab/>
      </w:r>
      <w:r>
        <w:tab/>
      </w:r>
      <w:r w:rsidRPr="001158BB">
        <w:t>Institute of Environmental Management and Assessment</w:t>
      </w:r>
    </w:p>
    <w:p w14:paraId="656BE8F9" w14:textId="5801DA48" w:rsidR="001158BB" w:rsidRPr="006C3682" w:rsidRDefault="000850E2" w:rsidP="001966D1">
      <w:pPr>
        <w:contextualSpacing/>
      </w:pPr>
      <w:r>
        <w:t>ISEP</w:t>
      </w:r>
      <w:r>
        <w:tab/>
      </w:r>
      <w:r>
        <w:tab/>
      </w:r>
      <w:r w:rsidRPr="000850E2">
        <w:t>Institute of Sustainability and Environmental Professionals</w:t>
      </w:r>
    </w:p>
    <w:p w14:paraId="6D3C88F4" w14:textId="4F48A68B" w:rsidR="00256FE8" w:rsidRDefault="00256FE8" w:rsidP="173648A1">
      <w:pPr>
        <w:contextualSpacing/>
      </w:pPr>
      <w:r>
        <w:t>NRS</w:t>
      </w:r>
      <w:r>
        <w:tab/>
      </w:r>
      <w:r>
        <w:tab/>
      </w:r>
      <w:r w:rsidRPr="00952444">
        <w:rPr>
          <w:lang w:bidi="ar-SA"/>
        </w:rPr>
        <w:t>Nuclear Restoration Services </w:t>
      </w:r>
    </w:p>
    <w:p w14:paraId="429E2AA4" w14:textId="77777777" w:rsidR="001966D1" w:rsidRPr="006C3682" w:rsidRDefault="001966D1" w:rsidP="001966D1">
      <w:pPr>
        <w:contextualSpacing/>
      </w:pPr>
      <w:r w:rsidRPr="006C3682">
        <w:t>ONR</w:t>
      </w:r>
      <w:r w:rsidRPr="006C3682">
        <w:tab/>
      </w:r>
      <w:r w:rsidRPr="006C3682">
        <w:tab/>
        <w:t>Office for Nuclear Regulation</w:t>
      </w:r>
    </w:p>
    <w:p w14:paraId="4B4F5EA6" w14:textId="7FE7A684" w:rsidR="001966D1" w:rsidRPr="006C3682" w:rsidRDefault="001966D1" w:rsidP="001966D1">
      <w:pPr>
        <w:contextualSpacing/>
      </w:pPr>
      <w:r w:rsidRPr="006C3682">
        <w:t>RGP</w:t>
      </w:r>
      <w:r w:rsidRPr="006C3682">
        <w:tab/>
      </w:r>
      <w:r w:rsidRPr="006C3682">
        <w:tab/>
        <w:t xml:space="preserve">Relevant </w:t>
      </w:r>
      <w:r w:rsidR="002151B1">
        <w:t>g</w:t>
      </w:r>
      <w:r w:rsidRPr="006C3682">
        <w:t xml:space="preserve">ood </w:t>
      </w:r>
      <w:r w:rsidR="002151B1">
        <w:t>p</w:t>
      </w:r>
      <w:r w:rsidRPr="006C3682">
        <w:t>ractice</w:t>
      </w:r>
    </w:p>
    <w:p w14:paraId="000B39C0" w14:textId="3B879861" w:rsidR="001966D1" w:rsidRPr="006C3682" w:rsidRDefault="001966D1" w:rsidP="009F36BC">
      <w:pPr>
        <w:contextualSpacing/>
      </w:pPr>
      <w:r w:rsidRPr="006C3682">
        <w:t>TAG</w:t>
      </w:r>
      <w:r w:rsidRPr="006C3682">
        <w:tab/>
      </w:r>
      <w:r w:rsidRPr="006C3682">
        <w:tab/>
        <w:t>Technical Assessment Guide</w:t>
      </w:r>
    </w:p>
    <w:p w14:paraId="071E577F" w14:textId="26BFD5A4" w:rsidR="001F056C" w:rsidRPr="006C3682" w:rsidRDefault="001F056C" w:rsidP="30E41877">
      <w:pPr>
        <w:contextualSpacing/>
      </w:pPr>
      <w:proofErr w:type="spellStart"/>
      <w:r>
        <w:t>Z</w:t>
      </w:r>
      <w:r w:rsidR="00631D8A">
        <w:t>oI</w:t>
      </w:r>
      <w:proofErr w:type="spellEnd"/>
      <w:r>
        <w:tab/>
      </w:r>
      <w:r>
        <w:tab/>
        <w:t xml:space="preserve">Zone of Influence  </w:t>
      </w:r>
    </w:p>
    <w:p w14:paraId="2FE965E5" w14:textId="4226B3B8" w:rsidR="5BED9636" w:rsidRPr="006C3682" w:rsidRDefault="5BED9636" w:rsidP="173648A1">
      <w:pPr>
        <w:contextualSpacing/>
        <w:sectPr w:rsidR="5BED9636" w:rsidRPr="006C3682" w:rsidSect="00045010">
          <w:pgSz w:w="11906" w:h="16838" w:code="9"/>
          <w:pgMar w:top="1440" w:right="1440" w:bottom="1440" w:left="1440" w:header="397" w:footer="397" w:gutter="0"/>
          <w:cols w:space="312"/>
          <w:docGrid w:linePitch="360"/>
        </w:sectPr>
      </w:pPr>
      <w:r w:rsidRPr="006C3682">
        <w:tab/>
      </w:r>
      <w:r w:rsidRPr="006C3682">
        <w:tab/>
        <w:t xml:space="preserve"> </w:t>
      </w:r>
    </w:p>
    <w:sdt>
      <w:sdtPr>
        <w:rPr>
          <w:rFonts w:ascii="Arial" w:eastAsia="Calibri" w:hAnsi="Arial" w:cs="Arial"/>
          <w:color w:val="auto"/>
          <w:sz w:val="24"/>
          <w:szCs w:val="22"/>
          <w:lang w:val="en-GB" w:bidi="he-IL"/>
        </w:rPr>
        <w:id w:val="1873799451"/>
        <w:docPartObj>
          <w:docPartGallery w:val="Table of Contents"/>
          <w:docPartUnique/>
        </w:docPartObj>
      </w:sdtPr>
      <w:sdtEndPr>
        <w:rPr>
          <w:b/>
          <w:bCs/>
          <w:szCs w:val="24"/>
        </w:rPr>
      </w:sdtEndPr>
      <w:sdtContent>
        <w:p w14:paraId="4DF2DF03" w14:textId="135ED32C" w:rsidR="00AC1DEB" w:rsidRPr="006C3682" w:rsidRDefault="00AC1DEB" w:rsidP="00B44B73">
          <w:pPr>
            <w:pStyle w:val="TOCHeading"/>
            <w:rPr>
              <w:lang w:val="en-GB"/>
            </w:rPr>
          </w:pPr>
          <w:r w:rsidRPr="006C3682">
            <w:rPr>
              <w:lang w:val="en-GB"/>
            </w:rPr>
            <w:t>Contents</w:t>
          </w:r>
        </w:p>
        <w:p w14:paraId="10A4059F" w14:textId="3EB10C8D" w:rsidR="00DB76E9" w:rsidRDefault="00045010">
          <w:pPr>
            <w:pStyle w:val="TOC1"/>
            <w:rPr>
              <w:rFonts w:asciiTheme="minorHAnsi" w:eastAsiaTheme="minorEastAsia" w:hAnsiTheme="minorHAnsi" w:cstheme="minorBidi"/>
              <w:kern w:val="2"/>
              <w:szCs w:val="24"/>
              <w:lang w:eastAsia="en-GB" w:bidi="ar-SA"/>
              <w14:ligatures w14:val="standardContextual"/>
            </w:rPr>
          </w:pPr>
          <w:r w:rsidRPr="006C3682">
            <w:rPr>
              <w:noProof w:val="0"/>
            </w:rPr>
            <w:fldChar w:fldCharType="begin"/>
          </w:r>
          <w:r w:rsidRPr="006C3682">
            <w:rPr>
              <w:noProof w:val="0"/>
            </w:rPr>
            <w:instrText xml:space="preserve"> TOC \o "1-1" \h \z \u </w:instrText>
          </w:r>
          <w:r w:rsidRPr="006C3682">
            <w:rPr>
              <w:noProof w:val="0"/>
            </w:rPr>
            <w:fldChar w:fldCharType="separate"/>
          </w:r>
          <w:hyperlink w:anchor="_Toc232158903" w:history="1">
            <w:r w:rsidR="00DB76E9" w:rsidRPr="00032DF4">
              <w:rPr>
                <w:rStyle w:val="Hyperlink"/>
              </w:rPr>
              <w:t>Executive summary</w:t>
            </w:r>
            <w:r w:rsidR="00DB76E9">
              <w:rPr>
                <w:webHidden/>
              </w:rPr>
              <w:tab/>
            </w:r>
            <w:r w:rsidR="00DB76E9">
              <w:rPr>
                <w:webHidden/>
              </w:rPr>
              <w:fldChar w:fldCharType="begin"/>
            </w:r>
            <w:r w:rsidR="00DB76E9">
              <w:rPr>
                <w:webHidden/>
              </w:rPr>
              <w:instrText xml:space="preserve"> PAGEREF _Toc232158903 \h </w:instrText>
            </w:r>
            <w:r w:rsidR="00DB76E9">
              <w:rPr>
                <w:webHidden/>
              </w:rPr>
            </w:r>
            <w:r w:rsidR="00DB76E9">
              <w:rPr>
                <w:webHidden/>
              </w:rPr>
              <w:fldChar w:fldCharType="separate"/>
            </w:r>
            <w:r w:rsidR="00DB76E9">
              <w:rPr>
                <w:webHidden/>
              </w:rPr>
              <w:t>3</w:t>
            </w:r>
            <w:r w:rsidR="00DB76E9">
              <w:rPr>
                <w:webHidden/>
              </w:rPr>
              <w:fldChar w:fldCharType="end"/>
            </w:r>
          </w:hyperlink>
        </w:p>
        <w:p w14:paraId="7F785AC8" w14:textId="62D2E624" w:rsidR="00DB76E9" w:rsidRDefault="00DB76E9">
          <w:pPr>
            <w:pStyle w:val="TOC1"/>
            <w:rPr>
              <w:rFonts w:asciiTheme="minorHAnsi" w:eastAsiaTheme="minorEastAsia" w:hAnsiTheme="minorHAnsi" w:cstheme="minorBidi"/>
              <w:kern w:val="2"/>
              <w:szCs w:val="24"/>
              <w:lang w:eastAsia="en-GB" w:bidi="ar-SA"/>
              <w14:ligatures w14:val="standardContextual"/>
            </w:rPr>
          </w:pPr>
          <w:hyperlink w:anchor="_Toc232158904" w:history="1">
            <w:r w:rsidRPr="00032DF4">
              <w:rPr>
                <w:rStyle w:val="Hyperlink"/>
              </w:rPr>
              <w:t>List of abbreviations</w:t>
            </w:r>
            <w:r>
              <w:rPr>
                <w:webHidden/>
              </w:rPr>
              <w:tab/>
            </w:r>
            <w:r>
              <w:rPr>
                <w:webHidden/>
              </w:rPr>
              <w:fldChar w:fldCharType="begin"/>
            </w:r>
            <w:r>
              <w:rPr>
                <w:webHidden/>
              </w:rPr>
              <w:instrText xml:space="preserve"> PAGEREF _Toc232158904 \h </w:instrText>
            </w:r>
            <w:r>
              <w:rPr>
                <w:webHidden/>
              </w:rPr>
            </w:r>
            <w:r>
              <w:rPr>
                <w:webHidden/>
              </w:rPr>
              <w:fldChar w:fldCharType="separate"/>
            </w:r>
            <w:r>
              <w:rPr>
                <w:webHidden/>
              </w:rPr>
              <w:t>5</w:t>
            </w:r>
            <w:r>
              <w:rPr>
                <w:webHidden/>
              </w:rPr>
              <w:fldChar w:fldCharType="end"/>
            </w:r>
          </w:hyperlink>
        </w:p>
        <w:p w14:paraId="473FA96F" w14:textId="0D3AD018" w:rsidR="00DB76E9" w:rsidRDefault="00DB76E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58905" w:history="1">
            <w:r w:rsidRPr="00032DF4">
              <w:rPr>
                <w:rStyle w:val="Hyperlink"/>
              </w:rPr>
              <w:t>1.</w:t>
            </w:r>
            <w:r>
              <w:rPr>
                <w:rFonts w:asciiTheme="minorHAnsi" w:eastAsiaTheme="minorEastAsia" w:hAnsiTheme="minorHAnsi" w:cstheme="minorBidi"/>
                <w:kern w:val="2"/>
                <w:szCs w:val="24"/>
                <w:lang w:eastAsia="en-GB" w:bidi="ar-SA"/>
                <w14:ligatures w14:val="standardContextual"/>
              </w:rPr>
              <w:tab/>
            </w:r>
            <w:r w:rsidRPr="00032DF4">
              <w:rPr>
                <w:rStyle w:val="Hyperlink"/>
              </w:rPr>
              <w:t>Introduction</w:t>
            </w:r>
            <w:r>
              <w:rPr>
                <w:webHidden/>
              </w:rPr>
              <w:tab/>
            </w:r>
            <w:r>
              <w:rPr>
                <w:webHidden/>
              </w:rPr>
              <w:fldChar w:fldCharType="begin"/>
            </w:r>
            <w:r>
              <w:rPr>
                <w:webHidden/>
              </w:rPr>
              <w:instrText xml:space="preserve"> PAGEREF _Toc232158905 \h </w:instrText>
            </w:r>
            <w:r>
              <w:rPr>
                <w:webHidden/>
              </w:rPr>
            </w:r>
            <w:r>
              <w:rPr>
                <w:webHidden/>
              </w:rPr>
              <w:fldChar w:fldCharType="separate"/>
            </w:r>
            <w:r>
              <w:rPr>
                <w:webHidden/>
              </w:rPr>
              <w:t>7</w:t>
            </w:r>
            <w:r>
              <w:rPr>
                <w:webHidden/>
              </w:rPr>
              <w:fldChar w:fldCharType="end"/>
            </w:r>
          </w:hyperlink>
        </w:p>
        <w:p w14:paraId="7053EE0C" w14:textId="5D639509" w:rsidR="00DB76E9" w:rsidRDefault="00DB76E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58906" w:history="1">
            <w:r w:rsidRPr="00032DF4">
              <w:rPr>
                <w:rStyle w:val="Hyperlink"/>
              </w:rPr>
              <w:t>2.</w:t>
            </w:r>
            <w:r>
              <w:rPr>
                <w:rFonts w:asciiTheme="minorHAnsi" w:eastAsiaTheme="minorEastAsia" w:hAnsiTheme="minorHAnsi" w:cstheme="minorBidi"/>
                <w:kern w:val="2"/>
                <w:szCs w:val="24"/>
                <w:lang w:eastAsia="en-GB" w:bidi="ar-SA"/>
                <w14:ligatures w14:val="standardContextual"/>
              </w:rPr>
              <w:tab/>
            </w:r>
            <w:r w:rsidRPr="00032DF4">
              <w:rPr>
                <w:rStyle w:val="Hyperlink"/>
              </w:rPr>
              <w:t>Assessment standards and interfaces</w:t>
            </w:r>
            <w:r>
              <w:rPr>
                <w:webHidden/>
              </w:rPr>
              <w:tab/>
            </w:r>
            <w:r>
              <w:rPr>
                <w:webHidden/>
              </w:rPr>
              <w:fldChar w:fldCharType="begin"/>
            </w:r>
            <w:r>
              <w:rPr>
                <w:webHidden/>
              </w:rPr>
              <w:instrText xml:space="preserve"> PAGEREF _Toc232158906 \h </w:instrText>
            </w:r>
            <w:r>
              <w:rPr>
                <w:webHidden/>
              </w:rPr>
            </w:r>
            <w:r>
              <w:rPr>
                <w:webHidden/>
              </w:rPr>
              <w:fldChar w:fldCharType="separate"/>
            </w:r>
            <w:r>
              <w:rPr>
                <w:webHidden/>
              </w:rPr>
              <w:t>9</w:t>
            </w:r>
            <w:r>
              <w:rPr>
                <w:webHidden/>
              </w:rPr>
              <w:fldChar w:fldCharType="end"/>
            </w:r>
          </w:hyperlink>
        </w:p>
        <w:p w14:paraId="5EE043AF" w14:textId="125D9569" w:rsidR="00DB76E9" w:rsidRDefault="00DB76E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58907" w:history="1">
            <w:r w:rsidRPr="00032DF4">
              <w:rPr>
                <w:rStyle w:val="Hyperlink"/>
              </w:rPr>
              <w:t>3.</w:t>
            </w:r>
            <w:r>
              <w:rPr>
                <w:rFonts w:asciiTheme="minorHAnsi" w:eastAsiaTheme="minorEastAsia" w:hAnsiTheme="minorHAnsi" w:cstheme="minorBidi"/>
                <w:kern w:val="2"/>
                <w:szCs w:val="24"/>
                <w:lang w:eastAsia="en-GB" w:bidi="ar-SA"/>
                <w14:ligatures w14:val="standardContextual"/>
              </w:rPr>
              <w:tab/>
            </w:r>
            <w:r w:rsidRPr="00032DF4">
              <w:rPr>
                <w:rStyle w:val="Hyperlink"/>
              </w:rPr>
              <w:t>Dutyholder’s submission</w:t>
            </w:r>
            <w:r>
              <w:rPr>
                <w:webHidden/>
              </w:rPr>
              <w:tab/>
            </w:r>
            <w:r>
              <w:rPr>
                <w:webHidden/>
              </w:rPr>
              <w:fldChar w:fldCharType="begin"/>
            </w:r>
            <w:r>
              <w:rPr>
                <w:webHidden/>
              </w:rPr>
              <w:instrText xml:space="preserve"> PAGEREF _Toc232158907 \h </w:instrText>
            </w:r>
            <w:r>
              <w:rPr>
                <w:webHidden/>
              </w:rPr>
            </w:r>
            <w:r>
              <w:rPr>
                <w:webHidden/>
              </w:rPr>
              <w:fldChar w:fldCharType="separate"/>
            </w:r>
            <w:r>
              <w:rPr>
                <w:webHidden/>
              </w:rPr>
              <w:t>11</w:t>
            </w:r>
            <w:r>
              <w:rPr>
                <w:webHidden/>
              </w:rPr>
              <w:fldChar w:fldCharType="end"/>
            </w:r>
          </w:hyperlink>
        </w:p>
        <w:p w14:paraId="5C917E31" w14:textId="5AF7EF39" w:rsidR="00DB76E9" w:rsidRDefault="00DB76E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58908" w:history="1">
            <w:r w:rsidRPr="00032DF4">
              <w:rPr>
                <w:rStyle w:val="Hyperlink"/>
              </w:rPr>
              <w:t>4.</w:t>
            </w:r>
            <w:r>
              <w:rPr>
                <w:rFonts w:asciiTheme="minorHAnsi" w:eastAsiaTheme="minorEastAsia" w:hAnsiTheme="minorHAnsi" w:cstheme="minorBidi"/>
                <w:kern w:val="2"/>
                <w:szCs w:val="24"/>
                <w:lang w:eastAsia="en-GB" w:bidi="ar-SA"/>
                <w14:ligatures w14:val="standardContextual"/>
              </w:rPr>
              <w:tab/>
            </w:r>
            <w:r w:rsidRPr="00032DF4">
              <w:rPr>
                <w:rStyle w:val="Hyperlink"/>
              </w:rPr>
              <w:t>ONR’s Pre-Application Opinion</w:t>
            </w:r>
            <w:r>
              <w:rPr>
                <w:webHidden/>
              </w:rPr>
              <w:tab/>
            </w:r>
            <w:r>
              <w:rPr>
                <w:webHidden/>
              </w:rPr>
              <w:fldChar w:fldCharType="begin"/>
            </w:r>
            <w:r>
              <w:rPr>
                <w:webHidden/>
              </w:rPr>
              <w:instrText xml:space="preserve"> PAGEREF _Toc232158908 \h </w:instrText>
            </w:r>
            <w:r>
              <w:rPr>
                <w:webHidden/>
              </w:rPr>
            </w:r>
            <w:r>
              <w:rPr>
                <w:webHidden/>
              </w:rPr>
              <w:fldChar w:fldCharType="separate"/>
            </w:r>
            <w:r>
              <w:rPr>
                <w:webHidden/>
              </w:rPr>
              <w:t>12</w:t>
            </w:r>
            <w:r>
              <w:rPr>
                <w:webHidden/>
              </w:rPr>
              <w:fldChar w:fldCharType="end"/>
            </w:r>
          </w:hyperlink>
        </w:p>
        <w:p w14:paraId="54A31409" w14:textId="6CA55070" w:rsidR="00DB76E9" w:rsidRDefault="00DB76E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58909" w:history="1">
            <w:r w:rsidRPr="00032DF4">
              <w:rPr>
                <w:rStyle w:val="Hyperlink"/>
              </w:rPr>
              <w:t>5.</w:t>
            </w:r>
            <w:r>
              <w:rPr>
                <w:rFonts w:asciiTheme="minorHAnsi" w:eastAsiaTheme="minorEastAsia" w:hAnsiTheme="minorHAnsi" w:cstheme="minorBidi"/>
                <w:kern w:val="2"/>
                <w:szCs w:val="24"/>
                <w:lang w:eastAsia="en-GB" w:bidi="ar-SA"/>
                <w14:ligatures w14:val="standardContextual"/>
              </w:rPr>
              <w:tab/>
            </w:r>
            <w:r w:rsidRPr="00032DF4">
              <w:rPr>
                <w:rStyle w:val="Hyperlink"/>
              </w:rPr>
              <w:t>Conclusion</w:t>
            </w:r>
            <w:r>
              <w:rPr>
                <w:webHidden/>
              </w:rPr>
              <w:tab/>
            </w:r>
            <w:r>
              <w:rPr>
                <w:webHidden/>
              </w:rPr>
              <w:fldChar w:fldCharType="begin"/>
            </w:r>
            <w:r>
              <w:rPr>
                <w:webHidden/>
              </w:rPr>
              <w:instrText xml:space="preserve"> PAGEREF _Toc232158909 \h </w:instrText>
            </w:r>
            <w:r>
              <w:rPr>
                <w:webHidden/>
              </w:rPr>
            </w:r>
            <w:r>
              <w:rPr>
                <w:webHidden/>
              </w:rPr>
              <w:fldChar w:fldCharType="separate"/>
            </w:r>
            <w:r>
              <w:rPr>
                <w:webHidden/>
              </w:rPr>
              <w:t>32</w:t>
            </w:r>
            <w:r>
              <w:rPr>
                <w:webHidden/>
              </w:rPr>
              <w:fldChar w:fldCharType="end"/>
            </w:r>
          </w:hyperlink>
        </w:p>
        <w:p w14:paraId="0F448F3D" w14:textId="661A27C9" w:rsidR="00DB76E9" w:rsidRDefault="00DB76E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158910" w:history="1">
            <w:r w:rsidRPr="00032DF4">
              <w:rPr>
                <w:rStyle w:val="Hyperlink"/>
              </w:rPr>
              <w:t>6.</w:t>
            </w:r>
            <w:r>
              <w:rPr>
                <w:rFonts w:asciiTheme="minorHAnsi" w:eastAsiaTheme="minorEastAsia" w:hAnsiTheme="minorHAnsi" w:cstheme="minorBidi"/>
                <w:kern w:val="2"/>
                <w:szCs w:val="24"/>
                <w:lang w:eastAsia="en-GB" w:bidi="ar-SA"/>
                <w14:ligatures w14:val="standardContextual"/>
              </w:rPr>
              <w:tab/>
            </w:r>
            <w:r w:rsidRPr="00032DF4">
              <w:rPr>
                <w:rStyle w:val="Hyperlink"/>
              </w:rPr>
              <w:t>Next stages of the EIADR process</w:t>
            </w:r>
            <w:r>
              <w:rPr>
                <w:webHidden/>
              </w:rPr>
              <w:tab/>
            </w:r>
            <w:r>
              <w:rPr>
                <w:webHidden/>
              </w:rPr>
              <w:fldChar w:fldCharType="begin"/>
            </w:r>
            <w:r>
              <w:rPr>
                <w:webHidden/>
              </w:rPr>
              <w:instrText xml:space="preserve"> PAGEREF _Toc232158910 \h </w:instrText>
            </w:r>
            <w:r>
              <w:rPr>
                <w:webHidden/>
              </w:rPr>
            </w:r>
            <w:r>
              <w:rPr>
                <w:webHidden/>
              </w:rPr>
              <w:fldChar w:fldCharType="separate"/>
            </w:r>
            <w:r>
              <w:rPr>
                <w:webHidden/>
              </w:rPr>
              <w:t>33</w:t>
            </w:r>
            <w:r>
              <w:rPr>
                <w:webHidden/>
              </w:rPr>
              <w:fldChar w:fldCharType="end"/>
            </w:r>
          </w:hyperlink>
        </w:p>
        <w:p w14:paraId="5437D533" w14:textId="7100F1A5" w:rsidR="00DB76E9" w:rsidRDefault="00DB76E9">
          <w:pPr>
            <w:pStyle w:val="TOC1"/>
            <w:rPr>
              <w:rFonts w:asciiTheme="minorHAnsi" w:eastAsiaTheme="minorEastAsia" w:hAnsiTheme="minorHAnsi" w:cstheme="minorBidi"/>
              <w:kern w:val="2"/>
              <w:szCs w:val="24"/>
              <w:lang w:eastAsia="en-GB" w:bidi="ar-SA"/>
              <w14:ligatures w14:val="standardContextual"/>
            </w:rPr>
          </w:pPr>
          <w:hyperlink w:anchor="_Toc232158911" w:history="1">
            <w:r w:rsidRPr="00032DF4">
              <w:rPr>
                <w:rStyle w:val="Hyperlink"/>
              </w:rPr>
              <w:t>References</w:t>
            </w:r>
            <w:r>
              <w:rPr>
                <w:webHidden/>
              </w:rPr>
              <w:tab/>
            </w:r>
            <w:r>
              <w:rPr>
                <w:webHidden/>
              </w:rPr>
              <w:fldChar w:fldCharType="begin"/>
            </w:r>
            <w:r>
              <w:rPr>
                <w:webHidden/>
              </w:rPr>
              <w:instrText xml:space="preserve"> PAGEREF _Toc232158911 \h </w:instrText>
            </w:r>
            <w:r>
              <w:rPr>
                <w:webHidden/>
              </w:rPr>
            </w:r>
            <w:r>
              <w:rPr>
                <w:webHidden/>
              </w:rPr>
              <w:fldChar w:fldCharType="separate"/>
            </w:r>
            <w:r>
              <w:rPr>
                <w:webHidden/>
              </w:rPr>
              <w:t>34</w:t>
            </w:r>
            <w:r>
              <w:rPr>
                <w:webHidden/>
              </w:rPr>
              <w:fldChar w:fldCharType="end"/>
            </w:r>
          </w:hyperlink>
        </w:p>
        <w:p w14:paraId="7CFAEEA6" w14:textId="4C048880" w:rsidR="00DB76E9" w:rsidRDefault="00DB76E9">
          <w:pPr>
            <w:pStyle w:val="TOC1"/>
            <w:rPr>
              <w:rFonts w:asciiTheme="minorHAnsi" w:eastAsiaTheme="minorEastAsia" w:hAnsiTheme="minorHAnsi" w:cstheme="minorBidi"/>
              <w:kern w:val="2"/>
              <w:szCs w:val="24"/>
              <w:lang w:eastAsia="en-GB" w:bidi="ar-SA"/>
              <w14:ligatures w14:val="standardContextual"/>
            </w:rPr>
          </w:pPr>
          <w:hyperlink w:anchor="_Toc232158912" w:history="1">
            <w:r w:rsidRPr="00032DF4">
              <w:rPr>
                <w:rStyle w:val="Hyperlink"/>
              </w:rPr>
              <w:t>Appendix 1 – Map of the Dungeness B works area</w:t>
            </w:r>
            <w:r>
              <w:rPr>
                <w:webHidden/>
              </w:rPr>
              <w:tab/>
            </w:r>
            <w:r>
              <w:rPr>
                <w:webHidden/>
              </w:rPr>
              <w:fldChar w:fldCharType="begin"/>
            </w:r>
            <w:r>
              <w:rPr>
                <w:webHidden/>
              </w:rPr>
              <w:instrText xml:space="preserve"> PAGEREF _Toc232158912 \h </w:instrText>
            </w:r>
            <w:r>
              <w:rPr>
                <w:webHidden/>
              </w:rPr>
            </w:r>
            <w:r>
              <w:rPr>
                <w:webHidden/>
              </w:rPr>
              <w:fldChar w:fldCharType="separate"/>
            </w:r>
            <w:r>
              <w:rPr>
                <w:webHidden/>
              </w:rPr>
              <w:t>35</w:t>
            </w:r>
            <w:r>
              <w:rPr>
                <w:webHidden/>
              </w:rPr>
              <w:fldChar w:fldCharType="end"/>
            </w:r>
          </w:hyperlink>
        </w:p>
        <w:p w14:paraId="7962436A" w14:textId="41A25070" w:rsidR="00AC1DEB" w:rsidRPr="006C3682" w:rsidRDefault="00045010">
          <w:r w:rsidRPr="006C3682">
            <w:fldChar w:fldCharType="end"/>
          </w:r>
        </w:p>
      </w:sdtContent>
    </w:sdt>
    <w:p w14:paraId="277E7180" w14:textId="77777777" w:rsidR="001966D1" w:rsidRPr="006C3682" w:rsidRDefault="001966D1" w:rsidP="00140E1C">
      <w:pPr>
        <w:contextualSpacing/>
        <w:sectPr w:rsidR="001966D1" w:rsidRPr="006C3682" w:rsidSect="00045010">
          <w:pgSz w:w="11906" w:h="16838" w:code="9"/>
          <w:pgMar w:top="1440" w:right="1440" w:bottom="1440" w:left="1440" w:header="397" w:footer="397" w:gutter="0"/>
          <w:cols w:space="312"/>
          <w:docGrid w:linePitch="360"/>
        </w:sectPr>
      </w:pPr>
    </w:p>
    <w:p w14:paraId="27763CFE" w14:textId="77777777" w:rsidR="001B350F" w:rsidRPr="006C3682" w:rsidRDefault="001966D1" w:rsidP="001B350F">
      <w:pPr>
        <w:pStyle w:val="Heading1"/>
      </w:pPr>
      <w:bookmarkStart w:id="4" w:name="_Toc232158905"/>
      <w:r w:rsidRPr="006C3682">
        <w:lastRenderedPageBreak/>
        <w:t>Introduction</w:t>
      </w:r>
      <w:bookmarkEnd w:id="4"/>
    </w:p>
    <w:p w14:paraId="7E0EAE77" w14:textId="0EDB4E02" w:rsidR="001B350F" w:rsidRPr="006C3682" w:rsidRDefault="00E92667" w:rsidP="008D5AB2">
      <w:pPr>
        <w:pStyle w:val="Numberedparagraph"/>
      </w:pPr>
      <w:r>
        <w:t xml:space="preserve">This report presents </w:t>
      </w:r>
      <w:r w:rsidRPr="006C3682">
        <w:t>the Office for Nuclear Regulation</w:t>
      </w:r>
      <w:r>
        <w:t>’s</w:t>
      </w:r>
      <w:r w:rsidRPr="006C3682">
        <w:t xml:space="preserve"> (ONR) </w:t>
      </w:r>
      <w:r>
        <w:t>Pre-Application</w:t>
      </w:r>
      <w:r w:rsidRPr="006C3682">
        <w:t xml:space="preserve"> </w:t>
      </w:r>
      <w:r>
        <w:t>O</w:t>
      </w:r>
      <w:r w:rsidRPr="006C3682">
        <w:t>pinion</w:t>
      </w:r>
      <w:r>
        <w:t xml:space="preserve"> (PAO)</w:t>
      </w:r>
      <w:r w:rsidRPr="006C3682">
        <w:t xml:space="preserve"> on the proposed format and content of an application for consent </w:t>
      </w:r>
      <w:r w:rsidR="00526F6E">
        <w:t xml:space="preserve">for a project </w:t>
      </w:r>
      <w:r w:rsidRPr="006C3682">
        <w:t>to decommission Dungeness B Nuclear Power Station under the Nuclear Reactors (Environmental Impact Assessment for Decommissioning) Regulations 1999</w:t>
      </w:r>
      <w:r w:rsidR="00565CE4">
        <w:t xml:space="preserve">, </w:t>
      </w:r>
      <w:r w:rsidRPr="006C3682">
        <w:t>as amended (EIADR).</w:t>
      </w:r>
      <w:r w:rsidR="008A2FFF">
        <w:t xml:space="preserve"> Th</w:t>
      </w:r>
      <w:r w:rsidR="00173E3F">
        <w:t>is</w:t>
      </w:r>
      <w:r w:rsidR="008A2FFF">
        <w:t xml:space="preserve"> </w:t>
      </w:r>
      <w:r w:rsidR="0090004D">
        <w:t xml:space="preserve">PAO </w:t>
      </w:r>
      <w:r w:rsidR="008D5AB2" w:rsidRPr="008D5AB2">
        <w:t xml:space="preserve">was produced in response to a request </w:t>
      </w:r>
      <w:r w:rsidR="0090004D">
        <w:t>by the licensee,</w:t>
      </w:r>
      <w:r w:rsidRPr="006C3682">
        <w:t xml:space="preserve"> </w:t>
      </w:r>
      <w:r w:rsidR="001B350F" w:rsidRPr="006C3682">
        <w:t>EDF Energy</w:t>
      </w:r>
      <w:r w:rsidR="002104FD" w:rsidRPr="006C3682">
        <w:t xml:space="preserve"> Nuclear Generation Ltd</w:t>
      </w:r>
      <w:r w:rsidR="001B350F" w:rsidRPr="006C3682">
        <w:t xml:space="preserve"> (EDF)</w:t>
      </w:r>
      <w:r w:rsidR="0090004D">
        <w:t>,</w:t>
      </w:r>
      <w:r w:rsidR="00B448C6">
        <w:t xml:space="preserve"> under regulation </w:t>
      </w:r>
      <w:r w:rsidR="00452E9A">
        <w:t>6</w:t>
      </w:r>
      <w:r w:rsidR="00B448C6">
        <w:t xml:space="preserve"> of EIADR.</w:t>
      </w:r>
      <w:r w:rsidR="001B350F" w:rsidRPr="006C3682">
        <w:t xml:space="preserve"> </w:t>
      </w:r>
    </w:p>
    <w:p w14:paraId="1237C066" w14:textId="14481567" w:rsidR="001966D1" w:rsidRPr="006C3682" w:rsidRDefault="001966D1" w:rsidP="00B16FA5">
      <w:pPr>
        <w:pStyle w:val="Heading2"/>
      </w:pPr>
      <w:r w:rsidRPr="006C3682">
        <w:t>Background</w:t>
      </w:r>
    </w:p>
    <w:p w14:paraId="71B9B0FD" w14:textId="77777777" w:rsidR="00C647BA" w:rsidRPr="006C3682" w:rsidRDefault="00C647BA" w:rsidP="00C647BA">
      <w:pPr>
        <w:pStyle w:val="Heading3"/>
      </w:pPr>
      <w:r w:rsidRPr="006C3682">
        <w:t xml:space="preserve">EIADR </w:t>
      </w:r>
    </w:p>
    <w:p w14:paraId="7BC7C474" w14:textId="7D289E7E" w:rsidR="00C647BA" w:rsidRPr="006C3682" w:rsidRDefault="00C647BA" w:rsidP="003B3C8B">
      <w:pPr>
        <w:pStyle w:val="Numberedparagraph"/>
      </w:pPr>
      <w:r w:rsidRPr="006C3682">
        <w:t>ONR is the enforcing authority for EIADR</w:t>
      </w:r>
      <w:r w:rsidR="00BA16A3">
        <w:t>, which is</w:t>
      </w:r>
      <w:r w:rsidRPr="006C3682">
        <w:t xml:space="preserve"> a legal instrument requir</w:t>
      </w:r>
      <w:r w:rsidR="00BA16A3">
        <w:t>ing</w:t>
      </w:r>
      <w:r w:rsidRPr="006C3682">
        <w:t xml:space="preserve"> the environmental impact of decommissioning nuclear power stations, and other nuclear reactors, to be considered in detail before consent for the decommissioning </w:t>
      </w:r>
      <w:r w:rsidR="006D6030">
        <w:t>project</w:t>
      </w:r>
      <w:r w:rsidRPr="006C3682">
        <w:t xml:space="preserve"> to commence is given. </w:t>
      </w:r>
    </w:p>
    <w:p w14:paraId="61CC59F4" w14:textId="062E4AFA" w:rsidR="008525D7" w:rsidRDefault="00C647BA" w:rsidP="004179BE">
      <w:pPr>
        <w:pStyle w:val="Numberedparagraph"/>
      </w:pPr>
      <w:r w:rsidRPr="006C3682">
        <w:t>An application for consent under EIADR primarily include</w:t>
      </w:r>
      <w:r w:rsidR="001D2100">
        <w:t>s</w:t>
      </w:r>
      <w:r w:rsidRPr="006C3682">
        <w:t xml:space="preserve"> an </w:t>
      </w:r>
      <w:r w:rsidR="0040739C">
        <w:t>E</w:t>
      </w:r>
      <w:r w:rsidRPr="006C3682">
        <w:t xml:space="preserve">nvironmental </w:t>
      </w:r>
      <w:r w:rsidR="0040739C">
        <w:t>S</w:t>
      </w:r>
      <w:r w:rsidRPr="006C3682">
        <w:t xml:space="preserve">tatement (ES), which presents an </w:t>
      </w:r>
      <w:r w:rsidR="0040739C">
        <w:t>E</w:t>
      </w:r>
      <w:r w:rsidRPr="006C3682">
        <w:t xml:space="preserve">nvironmental </w:t>
      </w:r>
      <w:r w:rsidR="0040739C">
        <w:t>I</w:t>
      </w:r>
      <w:r w:rsidRPr="006C3682">
        <w:t xml:space="preserve">mpact </w:t>
      </w:r>
      <w:r w:rsidR="0040739C">
        <w:t>A</w:t>
      </w:r>
      <w:r w:rsidRPr="006C3682">
        <w:t>ssessment (EIA) for the project</w:t>
      </w:r>
      <w:r w:rsidR="00F163B4" w:rsidRPr="00F163B4">
        <w:t xml:space="preserve"> and any features of the project or measures envisaged to avoid, prevent or reduce and, if possible, offset any likely significant adverse effects on the environment.</w:t>
      </w:r>
      <w:r w:rsidRPr="006C3682">
        <w:t xml:space="preserve"> The information to be included in an ES is specified in Schedule 1 of EIADR. The application for consent is subject to stakeholder consultation before consent is granted.</w:t>
      </w:r>
    </w:p>
    <w:p w14:paraId="60F16C0E" w14:textId="5E012343" w:rsidR="00C647BA" w:rsidRPr="006C3682" w:rsidRDefault="00920430" w:rsidP="004179BE">
      <w:pPr>
        <w:pStyle w:val="Numberedparagraph"/>
      </w:pPr>
      <w:r w:rsidRPr="00920430">
        <w:t>The process of obtaining consent can begin with the optional request from the licensee for a PAO from ONR. The PAO provides advice to the licensee on what issues and environmental aspects we consider should be covered in the subsequent application for consent</w:t>
      </w:r>
      <w:r w:rsidR="00CF15B5">
        <w:t>. To support th</w:t>
      </w:r>
      <w:r w:rsidR="007E712D">
        <w:t>e</w:t>
      </w:r>
      <w:r w:rsidR="00CF15B5">
        <w:t xml:space="preserve"> request, </w:t>
      </w:r>
      <w:r w:rsidR="007E712D">
        <w:t>the licensee submits</w:t>
      </w:r>
      <w:r w:rsidR="00C647BA" w:rsidRPr="006C3682">
        <w:t xml:space="preserve"> a scoping report to ONR </w:t>
      </w:r>
      <w:r w:rsidR="00CF15B5">
        <w:t>setting</w:t>
      </w:r>
      <w:r w:rsidR="00C647BA" w:rsidRPr="006C3682">
        <w:t xml:space="preserve"> out the proposed format and content of </w:t>
      </w:r>
      <w:r w:rsidR="00532265">
        <w:t>its</w:t>
      </w:r>
      <w:r w:rsidR="00C647BA" w:rsidRPr="006C3682">
        <w:t xml:space="preserve"> ES</w:t>
      </w:r>
      <w:r w:rsidR="00CF15B5">
        <w:t>.</w:t>
      </w:r>
      <w:r w:rsidR="00C647BA" w:rsidRPr="006C3682">
        <w:t xml:space="preserve"> As part of the PAO process, ONR is required to seek the opinion of key stakeholders via a consultation.</w:t>
      </w:r>
    </w:p>
    <w:p w14:paraId="28CB4F39" w14:textId="77777777" w:rsidR="00C647BA" w:rsidRPr="006C3682" w:rsidRDefault="00C647BA" w:rsidP="00C647BA">
      <w:pPr>
        <w:pStyle w:val="Heading3"/>
      </w:pPr>
      <w:r w:rsidRPr="006C3682">
        <w:t xml:space="preserve">Dungeness B </w:t>
      </w:r>
    </w:p>
    <w:p w14:paraId="37004DB5" w14:textId="18F2630D" w:rsidR="008525D7" w:rsidRDefault="00C647BA" w:rsidP="004179BE">
      <w:pPr>
        <w:pStyle w:val="Numberedparagraph"/>
      </w:pPr>
      <w:r w:rsidRPr="006C3682">
        <w:t xml:space="preserve">Dungeness B is </w:t>
      </w:r>
      <w:r w:rsidR="001C249C">
        <w:t>a twin</w:t>
      </w:r>
      <w:r w:rsidR="000E17E2">
        <w:t xml:space="preserve"> </w:t>
      </w:r>
      <w:r w:rsidR="001C249C">
        <w:t xml:space="preserve">reactor </w:t>
      </w:r>
      <w:r w:rsidR="00FB5B71">
        <w:t>A</w:t>
      </w:r>
      <w:r w:rsidR="0A721EDD" w:rsidRPr="006C3682">
        <w:t xml:space="preserve">dvanced </w:t>
      </w:r>
      <w:r w:rsidR="00FB5B71">
        <w:t>G</w:t>
      </w:r>
      <w:r w:rsidR="0A721EDD" w:rsidRPr="006C3682">
        <w:t xml:space="preserve">as-cooled </w:t>
      </w:r>
      <w:r w:rsidR="00FB5B71">
        <w:t>R</w:t>
      </w:r>
      <w:r w:rsidR="0A721EDD" w:rsidRPr="006C3682">
        <w:t>eactor</w:t>
      </w:r>
      <w:r w:rsidR="00FB5B71">
        <w:t xml:space="preserve"> (AGR)</w:t>
      </w:r>
      <w:r w:rsidR="000E17E2">
        <w:t xml:space="preserve"> power station</w:t>
      </w:r>
      <w:r w:rsidR="0A721EDD" w:rsidRPr="006C3682">
        <w:t xml:space="preserve"> </w:t>
      </w:r>
      <w:r w:rsidRPr="006C3682">
        <w:t>that began operations in 1983</w:t>
      </w:r>
      <w:r w:rsidR="00AF600B">
        <w:t xml:space="preserve"> and</w:t>
      </w:r>
      <w:r w:rsidRPr="006C3682">
        <w:t xml:space="preserve"> ce</w:t>
      </w:r>
      <w:r w:rsidR="00AF600B">
        <w:t>ased</w:t>
      </w:r>
      <w:r w:rsidRPr="006C3682">
        <w:t xml:space="preserve"> generation activities in 2021. </w:t>
      </w:r>
    </w:p>
    <w:p w14:paraId="601BAD7F" w14:textId="17DC3CB5" w:rsidR="00C10066" w:rsidRPr="00C10066" w:rsidRDefault="00C10066" w:rsidP="00C10066">
      <w:pPr>
        <w:pStyle w:val="Numberedparagraph"/>
        <w:rPr>
          <w:lang w:eastAsia="en-GB" w:bidi="ar-SA"/>
        </w:rPr>
      </w:pPr>
      <w:r w:rsidRPr="00C10066">
        <w:rPr>
          <w:lang w:eastAsia="en-GB" w:bidi="ar-SA"/>
        </w:rPr>
        <w:t xml:space="preserve">The AGR fleet’s baseline decommissioning strategy is </w:t>
      </w:r>
      <w:r>
        <w:rPr>
          <w:lang w:eastAsia="en-GB" w:bidi="ar-SA"/>
        </w:rPr>
        <w:t>‘</w:t>
      </w:r>
      <w:r w:rsidRPr="00C10066">
        <w:rPr>
          <w:lang w:eastAsia="en-GB" w:bidi="ar-SA"/>
        </w:rPr>
        <w:t>Early Safestore</w:t>
      </w:r>
      <w:r>
        <w:rPr>
          <w:lang w:eastAsia="en-GB" w:bidi="ar-SA"/>
        </w:rPr>
        <w:t>’</w:t>
      </w:r>
      <w:r w:rsidRPr="00C10066">
        <w:rPr>
          <w:lang w:eastAsia="en-GB" w:bidi="ar-SA"/>
        </w:rPr>
        <w:t xml:space="preserve">, </w:t>
      </w:r>
      <w:r>
        <w:rPr>
          <w:lang w:eastAsia="en-GB" w:bidi="ar-SA"/>
        </w:rPr>
        <w:t xml:space="preserve">which </w:t>
      </w:r>
      <w:r w:rsidRPr="00C10066">
        <w:rPr>
          <w:lang w:eastAsia="en-GB" w:bidi="ar-SA"/>
        </w:rPr>
        <w:t>invol</w:t>
      </w:r>
      <w:r>
        <w:rPr>
          <w:lang w:eastAsia="en-GB" w:bidi="ar-SA"/>
        </w:rPr>
        <w:t>ves</w:t>
      </w:r>
      <w:r w:rsidRPr="00C10066">
        <w:rPr>
          <w:lang w:eastAsia="en-GB" w:bidi="ar-SA"/>
        </w:rPr>
        <w:t xml:space="preserve"> initial decommissioning works and construction of a weather-tight </w:t>
      </w:r>
      <w:r w:rsidR="00323E4F">
        <w:rPr>
          <w:lang w:eastAsia="en-GB" w:bidi="ar-SA"/>
        </w:rPr>
        <w:t>s</w:t>
      </w:r>
      <w:r w:rsidRPr="00C10066">
        <w:rPr>
          <w:lang w:eastAsia="en-GB" w:bidi="ar-SA"/>
        </w:rPr>
        <w:t xml:space="preserve">afestore around the reactor complex and high-activity waste vaults, followed by a </w:t>
      </w:r>
      <w:r w:rsidR="00C72CC8">
        <w:rPr>
          <w:lang w:eastAsia="en-GB" w:bidi="ar-SA"/>
        </w:rPr>
        <w:t>c</w:t>
      </w:r>
      <w:r w:rsidRPr="00C10066">
        <w:rPr>
          <w:lang w:eastAsia="en-GB" w:bidi="ar-SA"/>
        </w:rPr>
        <w:t xml:space="preserve">are and </w:t>
      </w:r>
      <w:r w:rsidR="00C72CC8">
        <w:rPr>
          <w:lang w:eastAsia="en-GB" w:bidi="ar-SA"/>
        </w:rPr>
        <w:t>m</w:t>
      </w:r>
      <w:r w:rsidRPr="00C10066">
        <w:rPr>
          <w:lang w:eastAsia="en-GB" w:bidi="ar-SA"/>
        </w:rPr>
        <w:t>aintenance period that defers reactor dismantling and final site clearance</w:t>
      </w:r>
      <w:r w:rsidR="00004789">
        <w:rPr>
          <w:lang w:eastAsia="en-GB" w:bidi="ar-SA"/>
        </w:rPr>
        <w:t xml:space="preserve">. </w:t>
      </w:r>
      <w:r w:rsidR="00BE1CBB">
        <w:rPr>
          <w:lang w:eastAsia="en-GB" w:bidi="ar-SA"/>
        </w:rPr>
        <w:t>The licensee has selected this strategy for Dungeness B</w:t>
      </w:r>
      <w:r w:rsidR="00E17796">
        <w:rPr>
          <w:lang w:eastAsia="en-GB" w:bidi="ar-SA"/>
        </w:rPr>
        <w:t>,</w:t>
      </w:r>
      <w:r w:rsidR="00BE1CBB">
        <w:rPr>
          <w:lang w:eastAsia="en-GB" w:bidi="ar-SA"/>
        </w:rPr>
        <w:t xml:space="preserve"> where the</w:t>
      </w:r>
      <w:r w:rsidR="0017276D">
        <w:rPr>
          <w:lang w:eastAsia="en-GB" w:bidi="ar-SA"/>
        </w:rPr>
        <w:t xml:space="preserve"> overall</w:t>
      </w:r>
      <w:r w:rsidR="00BE1CBB">
        <w:rPr>
          <w:lang w:eastAsia="en-GB" w:bidi="ar-SA"/>
        </w:rPr>
        <w:t xml:space="preserve"> dura</w:t>
      </w:r>
      <w:r w:rsidR="00004789">
        <w:rPr>
          <w:lang w:eastAsia="en-GB" w:bidi="ar-SA"/>
        </w:rPr>
        <w:t>tion of the</w:t>
      </w:r>
      <w:r w:rsidR="009154B9">
        <w:rPr>
          <w:lang w:eastAsia="en-GB" w:bidi="ar-SA"/>
        </w:rPr>
        <w:t xml:space="preserve"> decommissioning project is expected to be</w:t>
      </w:r>
      <w:r w:rsidRPr="00C10066">
        <w:rPr>
          <w:lang w:eastAsia="en-GB" w:bidi="ar-SA"/>
        </w:rPr>
        <w:t xml:space="preserve"> 90 years.</w:t>
      </w:r>
    </w:p>
    <w:p w14:paraId="555512BA" w14:textId="190B81B8" w:rsidR="00940244" w:rsidRDefault="00E627B8" w:rsidP="006C05DE">
      <w:pPr>
        <w:pStyle w:val="Numberedparagraph"/>
      </w:pPr>
      <w:r>
        <w:lastRenderedPageBreak/>
        <w:t>A</w:t>
      </w:r>
      <w:r w:rsidR="00CC502F">
        <w:t xml:space="preserve"> </w:t>
      </w:r>
      <w:r w:rsidR="001E0137" w:rsidRPr="001E0137">
        <w:t>‘Prompt Decommissioning’</w:t>
      </w:r>
      <w:r w:rsidR="00CC502F">
        <w:t xml:space="preserve"> strategy</w:t>
      </w:r>
      <w:r w:rsidR="001E0137" w:rsidRPr="001E0137">
        <w:t xml:space="preserve"> is also under consideration </w:t>
      </w:r>
      <w:r w:rsidR="00CC502F">
        <w:t>whereby</w:t>
      </w:r>
      <w:r w:rsidR="001E0137" w:rsidRPr="001E0137">
        <w:t xml:space="preserve"> </w:t>
      </w:r>
      <w:r w:rsidR="0062522C" w:rsidRPr="001E0137">
        <w:t>continuous reactor dismantling would commence</w:t>
      </w:r>
      <w:r w:rsidR="0062522C">
        <w:t xml:space="preserve"> immediately following</w:t>
      </w:r>
      <w:r w:rsidR="0062522C" w:rsidRPr="001E0137">
        <w:t xml:space="preserve"> </w:t>
      </w:r>
      <w:r w:rsidR="001E0137" w:rsidRPr="001E0137">
        <w:t xml:space="preserve">the </w:t>
      </w:r>
      <w:r w:rsidR="00CC502F">
        <w:t>i</w:t>
      </w:r>
      <w:r w:rsidR="001E0137" w:rsidRPr="001E0137">
        <w:t xml:space="preserve">nitial </w:t>
      </w:r>
      <w:r w:rsidR="00CC502F">
        <w:t>d</w:t>
      </w:r>
      <w:r w:rsidR="001E0137" w:rsidRPr="001E0137">
        <w:t xml:space="preserve">ecommissioning </w:t>
      </w:r>
      <w:r w:rsidR="00CC502F">
        <w:t>w</w:t>
      </w:r>
      <w:r w:rsidR="001E0137" w:rsidRPr="001E0137">
        <w:t xml:space="preserve">orks without a planned </w:t>
      </w:r>
      <w:r w:rsidR="0062522C">
        <w:t>c</w:t>
      </w:r>
      <w:r w:rsidR="001E0137" w:rsidRPr="001E0137">
        <w:t xml:space="preserve">are and </w:t>
      </w:r>
      <w:r w:rsidR="0062522C">
        <w:t>m</w:t>
      </w:r>
      <w:r w:rsidR="001E0137" w:rsidRPr="001E0137">
        <w:t>aintenance period. The overall duration of this approach would be approximately 40 years</w:t>
      </w:r>
      <w:r w:rsidR="0062522C">
        <w:t xml:space="preserve">. </w:t>
      </w:r>
    </w:p>
    <w:p w14:paraId="287D5211" w14:textId="246D5FB1" w:rsidR="00CC3307" w:rsidRDefault="00940244" w:rsidP="006C05DE">
      <w:pPr>
        <w:pStyle w:val="Numberedparagraph"/>
      </w:pPr>
      <w:r>
        <w:t>Prompt Decommissioning is being considered at</w:t>
      </w:r>
      <w:r w:rsidR="000B71E5">
        <w:t xml:space="preserve"> Dungeness B</w:t>
      </w:r>
      <w:r w:rsidR="001D00C1">
        <w:t xml:space="preserve"> due to a number of site-specific factors</w:t>
      </w:r>
      <w:r w:rsidR="000B71E5">
        <w:t xml:space="preserve">. </w:t>
      </w:r>
      <w:r>
        <w:t>Firstly,</w:t>
      </w:r>
      <w:r w:rsidR="000B71E5">
        <w:t xml:space="preserve"> t</w:t>
      </w:r>
      <w:r w:rsidR="00C66120">
        <w:t>he</w:t>
      </w:r>
      <w:r w:rsidR="00BD2583" w:rsidRPr="00BD2583">
        <w:t xml:space="preserve"> graphite used in </w:t>
      </w:r>
      <w:r w:rsidR="00C66120">
        <w:t>the</w:t>
      </w:r>
      <w:r w:rsidR="00BD2583" w:rsidRPr="00BD2583">
        <w:t xml:space="preserve"> cores</w:t>
      </w:r>
      <w:r w:rsidR="00C66120">
        <w:t xml:space="preserve"> of Dungeness B’s reactors</w:t>
      </w:r>
      <w:r w:rsidR="00BD2583" w:rsidRPr="00BD2583">
        <w:t xml:space="preserve"> is of a higher purity than that used in other UK AGR stations. </w:t>
      </w:r>
      <w:r w:rsidR="00FC4B40">
        <w:t xml:space="preserve">Combined with the fact that </w:t>
      </w:r>
      <w:r w:rsidR="00C647BA" w:rsidRPr="006C3682">
        <w:t>Dungeness B</w:t>
      </w:r>
      <w:r w:rsidR="00D61EC7">
        <w:t xml:space="preserve"> </w:t>
      </w:r>
      <w:r w:rsidR="00C647BA" w:rsidRPr="006C3682">
        <w:t xml:space="preserve">operated for </w:t>
      </w:r>
      <w:r w:rsidR="001603CC" w:rsidRPr="001603CC">
        <w:t>significantly fewer operating hours</w:t>
      </w:r>
      <w:r w:rsidR="00D420BF">
        <w:t xml:space="preserve"> than the other AGRs</w:t>
      </w:r>
      <w:r w:rsidR="00704D5F">
        <w:t>,</w:t>
      </w:r>
      <w:r w:rsidR="00DF03DC">
        <w:t xml:space="preserve"> </w:t>
      </w:r>
      <w:r w:rsidR="00D420BF">
        <w:t>this</w:t>
      </w:r>
      <w:r w:rsidR="00DF03DC">
        <w:t xml:space="preserve"> means </w:t>
      </w:r>
      <w:r w:rsidR="00DF03DC" w:rsidRPr="00DF03DC">
        <w:t>that lower levels of long</w:t>
      </w:r>
      <w:r w:rsidR="00DF03DC" w:rsidRPr="00DF03DC">
        <w:noBreakHyphen/>
        <w:t>term radioactivity are expected</w:t>
      </w:r>
      <w:r w:rsidR="00CC3307">
        <w:t>. As a result,</w:t>
      </w:r>
      <w:r w:rsidR="00BD2583" w:rsidRPr="00090EF7">
        <w:t xml:space="preserve"> </w:t>
      </w:r>
      <w:r w:rsidR="00CC3307" w:rsidRPr="00090EF7">
        <w:t xml:space="preserve">the licensee expects </w:t>
      </w:r>
      <w:r w:rsidR="004139FD">
        <w:t>to be able</w:t>
      </w:r>
      <w:r w:rsidR="00D90DCC">
        <w:t xml:space="preserve"> to commence some</w:t>
      </w:r>
      <w:r w:rsidR="00BD2583" w:rsidRPr="00BD2583">
        <w:t xml:space="preserve"> </w:t>
      </w:r>
      <w:r w:rsidR="007822BD">
        <w:t xml:space="preserve">reactor </w:t>
      </w:r>
      <w:r w:rsidR="00E627B8">
        <w:t xml:space="preserve">core </w:t>
      </w:r>
      <w:r w:rsidR="00BD2583" w:rsidRPr="00BD2583">
        <w:t xml:space="preserve">dismantling activities earlier than at other AGR </w:t>
      </w:r>
      <w:r w:rsidR="000B5C33">
        <w:t>stations</w:t>
      </w:r>
      <w:r w:rsidR="00CC3307">
        <w:t>.</w:t>
      </w:r>
    </w:p>
    <w:p w14:paraId="72998E61" w14:textId="5524F443" w:rsidR="00B60C57" w:rsidRDefault="00EE568A" w:rsidP="004179BE">
      <w:pPr>
        <w:pStyle w:val="Numberedparagraph"/>
      </w:pPr>
      <w:r>
        <w:t>In addition,</w:t>
      </w:r>
      <w:r w:rsidR="00715893">
        <w:t xml:space="preserve"> </w:t>
      </w:r>
      <w:r w:rsidR="00715893" w:rsidRPr="006C3682">
        <w:t xml:space="preserve">Dungeness B </w:t>
      </w:r>
      <w:r w:rsidR="00C647BA" w:rsidRPr="006C3682">
        <w:t xml:space="preserve">is located in an area of the southeastern English coast </w:t>
      </w:r>
      <w:r w:rsidR="00C20E68">
        <w:t xml:space="preserve">and is </w:t>
      </w:r>
      <w:r w:rsidR="00C647BA" w:rsidRPr="006C3682">
        <w:t xml:space="preserve">exposed to harsh weather conditions. Erosion from saline exposure </w:t>
      </w:r>
      <w:r w:rsidR="00B60C57">
        <w:t>and uncertainty about how climate change may affect future flooding, coastal change and corrosions risks</w:t>
      </w:r>
      <w:r w:rsidR="006D1DEC">
        <w:t xml:space="preserve"> mean that b</w:t>
      </w:r>
      <w:r w:rsidR="006D1DEC" w:rsidRPr="006D1DEC">
        <w:t xml:space="preserve">eginning </w:t>
      </w:r>
      <w:r w:rsidR="004C6ED4">
        <w:t>dismantling</w:t>
      </w:r>
      <w:r w:rsidR="006D1DEC" w:rsidRPr="006D1DEC">
        <w:t xml:space="preserve"> sooner could help manage these challenges and reduce long</w:t>
      </w:r>
      <w:r w:rsidR="00EE4A96">
        <w:t>-</w:t>
      </w:r>
      <w:r w:rsidR="006D1DEC" w:rsidRPr="006D1DEC">
        <w:t xml:space="preserve">term risks to </w:t>
      </w:r>
      <w:r w:rsidR="006D1DEC">
        <w:t>the station</w:t>
      </w:r>
      <w:r w:rsidR="00EF203B">
        <w:t>. This is</w:t>
      </w:r>
      <w:r w:rsidR="000F4EBD">
        <w:t xml:space="preserve"> particularly</w:t>
      </w:r>
      <w:r w:rsidR="00EF203B">
        <w:t xml:space="preserve"> relevant during</w:t>
      </w:r>
      <w:r w:rsidR="000F4EBD">
        <w:t xml:space="preserve"> </w:t>
      </w:r>
      <w:r w:rsidR="00EF203B">
        <w:t>the</w:t>
      </w:r>
      <w:r w:rsidR="009C54DB">
        <w:t xml:space="preserve"> care and maintenance phase</w:t>
      </w:r>
      <w:r w:rsidR="00EF203B">
        <w:t xml:space="preserve"> of the</w:t>
      </w:r>
      <w:r w:rsidR="003152C9">
        <w:t xml:space="preserve"> Early Safestore strategy</w:t>
      </w:r>
      <w:r w:rsidR="009C54DB">
        <w:t xml:space="preserve"> </w:t>
      </w:r>
      <w:r w:rsidR="003152C9">
        <w:t>since</w:t>
      </w:r>
      <w:r w:rsidR="009C54DB">
        <w:t xml:space="preserve"> the safestore</w:t>
      </w:r>
      <w:r w:rsidR="007C4313">
        <w:t xml:space="preserve"> </w:t>
      </w:r>
      <w:r w:rsidR="00E2374A">
        <w:t>would be exposed to</w:t>
      </w:r>
      <w:r w:rsidR="00D21510">
        <w:t xml:space="preserve"> these environmental </w:t>
      </w:r>
      <w:r w:rsidR="00C73EF0">
        <w:t>conditions</w:t>
      </w:r>
      <w:r w:rsidR="00E2374A">
        <w:t xml:space="preserve"> for several decades</w:t>
      </w:r>
      <w:r w:rsidR="005815F8" w:rsidRPr="005815F8">
        <w:t xml:space="preserve"> </w:t>
      </w:r>
      <w:r w:rsidR="005815F8">
        <w:t xml:space="preserve">and </w:t>
      </w:r>
      <w:r w:rsidR="00E2374A">
        <w:t xml:space="preserve">may </w:t>
      </w:r>
      <w:r w:rsidR="005815F8">
        <w:t>therefore require significant maintenance</w:t>
      </w:r>
      <w:r w:rsidR="006D1DEC">
        <w:t>.</w:t>
      </w:r>
    </w:p>
    <w:p w14:paraId="257CC1E5" w14:textId="58DE04E8" w:rsidR="00C22BC9" w:rsidRDefault="008D74B7" w:rsidP="004179BE">
      <w:pPr>
        <w:pStyle w:val="Numberedparagraph"/>
      </w:pPr>
      <w:r>
        <w:t xml:space="preserve">However, the licensee does not consider there to be sufficient underpinning </w:t>
      </w:r>
      <w:r w:rsidR="00E12B81">
        <w:t xml:space="preserve">information to </w:t>
      </w:r>
      <w:r w:rsidR="00887FD9">
        <w:t>fully justify</w:t>
      </w:r>
      <w:r w:rsidR="00E12B81">
        <w:t xml:space="preserve"> a strategy change to </w:t>
      </w:r>
      <w:r w:rsidR="00D90DCC">
        <w:t>P</w:t>
      </w:r>
      <w:r w:rsidR="00E12B81">
        <w:t>rompt Decommissioning</w:t>
      </w:r>
      <w:r w:rsidR="00FA7364">
        <w:t xml:space="preserve"> at this time</w:t>
      </w:r>
      <w:r w:rsidR="00E12B81">
        <w:t>. Therefore, a</w:t>
      </w:r>
      <w:r w:rsidR="00C22BC9" w:rsidRPr="006C3682">
        <w:t>n ‘Early Safestore’ decommissioning strategy has been selected by the licensee, whilst acknowledging that a strategy change to prompt decommissioning could be made in the future once further underpinning information is available.</w:t>
      </w:r>
      <w:r w:rsidR="00A40DBE">
        <w:t xml:space="preserve"> </w:t>
      </w:r>
      <w:r w:rsidR="00042076" w:rsidRPr="00042076">
        <w:t>EDF is developing decommissioning plans that do not foreclose either option.</w:t>
      </w:r>
      <w:r w:rsidR="003378C8">
        <w:t xml:space="preserve"> </w:t>
      </w:r>
    </w:p>
    <w:p w14:paraId="169C5675" w14:textId="77777777" w:rsidR="001929B9" w:rsidRPr="006C3682" w:rsidRDefault="001929B9" w:rsidP="001929B9">
      <w:pPr>
        <w:pStyle w:val="Numberedparagraph"/>
      </w:pPr>
      <w:r w:rsidRPr="00952444">
        <w:t xml:space="preserve">Following completion of defueling, </w:t>
      </w:r>
      <w:r>
        <w:t>Dungeness B</w:t>
      </w:r>
      <w:r w:rsidRPr="00952444">
        <w:t xml:space="preserve"> will be relicensed to Nuclear Restoration Services (NRS), therefore NRS will be responsible for delivering </w:t>
      </w:r>
      <w:r>
        <w:t xml:space="preserve">the majority of </w:t>
      </w:r>
      <w:r w:rsidRPr="00952444">
        <w:t>th</w:t>
      </w:r>
      <w:r>
        <w:t>e</w:t>
      </w:r>
      <w:r w:rsidRPr="00952444">
        <w:t> EIADR project.</w:t>
      </w:r>
      <w:r>
        <w:t xml:space="preserve"> The </w:t>
      </w:r>
      <w:r w:rsidRPr="00B67AD7">
        <w:t>EIADR project has been developed with appropriate collaboration between EDF and NRS</w:t>
      </w:r>
      <w:r>
        <w:t xml:space="preserve">, including visibility of, and agreement on, the decommissioning strategy. </w:t>
      </w:r>
    </w:p>
    <w:p w14:paraId="05D7715A" w14:textId="4E06439F" w:rsidR="005B30F7" w:rsidRDefault="005B30F7" w:rsidP="005B30F7">
      <w:pPr>
        <w:pStyle w:val="Numberedparagraph"/>
      </w:pPr>
      <w:r w:rsidRPr="006C3682">
        <w:t>Figure 1-1 of the scoping report</w:t>
      </w:r>
      <w:r w:rsidR="009B657D">
        <w:t>, reproduced in Appendix 1 of this PAO,</w:t>
      </w:r>
      <w:r w:rsidRPr="006C3682">
        <w:t xml:space="preserve"> shows</w:t>
      </w:r>
      <w:r w:rsidR="006503E7">
        <w:t xml:space="preserve"> the </w:t>
      </w:r>
      <w:r w:rsidR="00D947B1">
        <w:t xml:space="preserve">spatial </w:t>
      </w:r>
      <w:r w:rsidR="006503E7">
        <w:t>boundary of the</w:t>
      </w:r>
      <w:r w:rsidR="00D947B1">
        <w:t xml:space="preserve"> </w:t>
      </w:r>
      <w:r w:rsidR="007F68E0">
        <w:t xml:space="preserve">project </w:t>
      </w:r>
      <w:r w:rsidR="00D947B1">
        <w:t xml:space="preserve">works area which </w:t>
      </w:r>
      <w:r w:rsidR="00D31EAA">
        <w:t>the EIADR consent is expected to cover.</w:t>
      </w:r>
      <w:r w:rsidR="000F7567">
        <w:t xml:space="preserve"> </w:t>
      </w:r>
      <w:r w:rsidR="00EA566B">
        <w:t>As shown in Appendix 1, t</w:t>
      </w:r>
      <w:r w:rsidR="000F7567">
        <w:t xml:space="preserve">he </w:t>
      </w:r>
      <w:r w:rsidRPr="006C3682">
        <w:t xml:space="preserve">works area excludes areas of </w:t>
      </w:r>
      <w:r>
        <w:t xml:space="preserve">non-operational </w:t>
      </w:r>
      <w:r w:rsidRPr="006C3682">
        <w:t xml:space="preserve">land within the </w:t>
      </w:r>
      <w:r>
        <w:t>n</w:t>
      </w:r>
      <w:r w:rsidRPr="006C3682">
        <w:t xml:space="preserve">uclear </w:t>
      </w:r>
      <w:r>
        <w:t>l</w:t>
      </w:r>
      <w:r w:rsidRPr="006C3682">
        <w:t xml:space="preserve">icensed </w:t>
      </w:r>
      <w:r>
        <w:t>si</w:t>
      </w:r>
      <w:r w:rsidRPr="006C3682">
        <w:t>te boundary such as the site access facility and most of the staff car park. Hence, EDF does not intend for these areas to be covered by th</w:t>
      </w:r>
      <w:r w:rsidR="00EA566B">
        <w:t>i</w:t>
      </w:r>
      <w:r w:rsidR="004507DD">
        <w:t>s</w:t>
      </w:r>
      <w:r w:rsidRPr="006C3682">
        <w:t xml:space="preserve"> EIADR consent. </w:t>
      </w:r>
    </w:p>
    <w:p w14:paraId="50E36E78" w14:textId="04FB2896" w:rsidR="001966D1" w:rsidRPr="006C3682" w:rsidRDefault="001966D1" w:rsidP="005D3190">
      <w:pPr>
        <w:pStyle w:val="Heading2"/>
      </w:pPr>
      <w:r w:rsidRPr="006C3682">
        <w:lastRenderedPageBreak/>
        <w:t>Scope</w:t>
      </w:r>
    </w:p>
    <w:p w14:paraId="131EE6AE" w14:textId="0E2766B3" w:rsidR="00506BA6" w:rsidRPr="006C3682" w:rsidRDefault="00506880" w:rsidP="004179BE">
      <w:pPr>
        <w:pStyle w:val="Numberedparagraph"/>
      </w:pPr>
      <w:r w:rsidRPr="006C3682">
        <w:t>The scope of this PAO covers the scoping report and the supporting appendices</w:t>
      </w:r>
      <w:r w:rsidR="002D10AA" w:rsidRPr="006C3682">
        <w:t xml:space="preserve"> </w:t>
      </w:r>
      <w:r w:rsidR="00910F52" w:rsidRPr="006C3682">
        <w:t>contained</w:t>
      </w:r>
      <w:r w:rsidR="00506BA6" w:rsidRPr="006C3682">
        <w:t xml:space="preserve"> in the following </w:t>
      </w:r>
      <w:r w:rsidR="002D10AA" w:rsidRPr="006C3682">
        <w:t>documents</w:t>
      </w:r>
      <w:r w:rsidR="00910F52" w:rsidRPr="006C3682">
        <w:t xml:space="preserve"> submitted by EDF</w:t>
      </w:r>
      <w:r w:rsidR="00506BA6" w:rsidRPr="006C3682">
        <w:t>:</w:t>
      </w:r>
    </w:p>
    <w:p w14:paraId="297A958A" w14:textId="2D8A3C12" w:rsidR="00506BA6" w:rsidRPr="006C3682" w:rsidRDefault="002A50F7" w:rsidP="00E4177B">
      <w:pPr>
        <w:pStyle w:val="Bulletlist1"/>
      </w:pPr>
      <w:r w:rsidRPr="002A50F7">
        <w:t>Dungeness B Nuclear Decommissioning</w:t>
      </w:r>
      <w:r>
        <w:t xml:space="preserve"> – EIA </w:t>
      </w:r>
      <w:r w:rsidR="00186845" w:rsidRPr="006C3682">
        <w:t xml:space="preserve">Scoping </w:t>
      </w:r>
      <w:r w:rsidR="00AC49B5">
        <w:t>R</w:t>
      </w:r>
      <w:r w:rsidR="00186845" w:rsidRPr="006C3682">
        <w:t>eport</w:t>
      </w:r>
      <w:r>
        <w:t xml:space="preserve"> </w:t>
      </w:r>
      <w:sdt>
        <w:sdtPr>
          <w:id w:val="-1925793192"/>
          <w:citation/>
        </w:sdtPr>
        <w:sdtEndPr/>
        <w:sdtContent>
          <w:r>
            <w:fldChar w:fldCharType="begin"/>
          </w:r>
          <w:r w:rsidR="00FB6402">
            <w:instrText xml:space="preserve">CITATION EDF26 \l 2057 </w:instrText>
          </w:r>
          <w:r>
            <w:fldChar w:fldCharType="separate"/>
          </w:r>
          <w:r w:rsidR="00BB6669" w:rsidRPr="00BB6669">
            <w:rPr>
              <w:noProof/>
            </w:rPr>
            <w:t>[1]</w:t>
          </w:r>
          <w:r>
            <w:fldChar w:fldCharType="end"/>
          </w:r>
        </w:sdtContent>
      </w:sdt>
    </w:p>
    <w:p w14:paraId="21E5D78B" w14:textId="4BC582B0" w:rsidR="00494F1F" w:rsidRDefault="001939ED" w:rsidP="00E4177B">
      <w:pPr>
        <w:pStyle w:val="Bulletlist1"/>
      </w:pPr>
      <w:r w:rsidRPr="001939ED">
        <w:t>Dungeness B Nuclear Decommissioning</w:t>
      </w:r>
      <w:r w:rsidR="00AC49B5">
        <w:t xml:space="preserve"> –</w:t>
      </w:r>
      <w:r w:rsidRPr="001939ED">
        <w:t xml:space="preserve"> </w:t>
      </w:r>
      <w:r w:rsidR="00AC49B5" w:rsidRPr="00AC49B5">
        <w:t xml:space="preserve">EIA Scoping Report (Appendices) </w:t>
      </w:r>
      <w:sdt>
        <w:sdtPr>
          <w:id w:val="-2129470503"/>
          <w:citation/>
        </w:sdtPr>
        <w:sdtEndPr/>
        <w:sdtContent>
          <w:r w:rsidR="00AC49B5">
            <w:fldChar w:fldCharType="begin"/>
          </w:r>
          <w:r w:rsidR="00F77116">
            <w:instrText xml:space="preserve">CITATION EDF261 \l 2057 </w:instrText>
          </w:r>
          <w:r w:rsidR="00AC49B5">
            <w:fldChar w:fldCharType="separate"/>
          </w:r>
          <w:r w:rsidR="00BB6669" w:rsidRPr="00BB6669">
            <w:rPr>
              <w:noProof/>
            </w:rPr>
            <w:t>[2]</w:t>
          </w:r>
          <w:r w:rsidR="00AC49B5">
            <w:fldChar w:fldCharType="end"/>
          </w:r>
        </w:sdtContent>
      </w:sdt>
      <w:r w:rsidR="00AC49B5">
        <w:t xml:space="preserve"> </w:t>
      </w:r>
    </w:p>
    <w:p w14:paraId="1083E869" w14:textId="23196FE1" w:rsidR="009A4A68" w:rsidRPr="006C3682" w:rsidRDefault="002A70AC" w:rsidP="004179BE">
      <w:pPr>
        <w:pStyle w:val="Numberedparagraph"/>
      </w:pPr>
      <w:r w:rsidRPr="006C3682">
        <w:t xml:space="preserve">The </w:t>
      </w:r>
      <w:r w:rsidR="009F50A2" w:rsidRPr="006C3682">
        <w:t>appendices</w:t>
      </w:r>
      <w:r w:rsidRPr="006C3682">
        <w:t xml:space="preserve"> include</w:t>
      </w:r>
      <w:r w:rsidR="009A4A68" w:rsidRPr="006C3682">
        <w:t>:</w:t>
      </w:r>
    </w:p>
    <w:p w14:paraId="37BED745" w14:textId="44F2FBF3" w:rsidR="00EB3063" w:rsidRPr="00EB3063" w:rsidRDefault="00506880" w:rsidP="00EB3063">
      <w:pPr>
        <w:pStyle w:val="Bulletlist1"/>
      </w:pPr>
      <w:r w:rsidRPr="006C3682">
        <w:t>Preliminary Habitats Regulation Assessment (HRA) screening report</w:t>
      </w:r>
      <w:r w:rsidR="00B11875" w:rsidRPr="006C3682">
        <w:t xml:space="preserve"> (Appendix 18D)</w:t>
      </w:r>
      <w:r w:rsidR="00D34222" w:rsidRPr="006C3682">
        <w:t xml:space="preserve"> </w:t>
      </w:r>
      <w:r w:rsidR="00910F52" w:rsidRPr="006C3682">
        <w:t xml:space="preserve">– this </w:t>
      </w:r>
      <w:r w:rsidR="00866DF4" w:rsidRPr="006C3682">
        <w:t>has been</w:t>
      </w:r>
      <w:r w:rsidR="00910F52" w:rsidRPr="006C3682">
        <w:t xml:space="preserve"> </w:t>
      </w:r>
      <w:r w:rsidR="004C024D" w:rsidRPr="006C3682">
        <w:t>prepared</w:t>
      </w:r>
      <w:r w:rsidRPr="006C3682">
        <w:t xml:space="preserve"> </w:t>
      </w:r>
      <w:r w:rsidR="00B82DE6" w:rsidRPr="006C3682">
        <w:t xml:space="preserve">in accordance with the </w:t>
      </w:r>
      <w:r w:rsidR="00D34222" w:rsidRPr="006C3682">
        <w:t>Conservation of Habitats and Species Regulations 2017</w:t>
      </w:r>
      <w:r w:rsidR="00865F27" w:rsidRPr="006C3682">
        <w:t>,</w:t>
      </w:r>
      <w:r w:rsidR="00D34222" w:rsidRPr="006C3682">
        <w:t xml:space="preserve"> as amended</w:t>
      </w:r>
      <w:r w:rsidR="000362DA" w:rsidRPr="006C3682">
        <w:t>,</w:t>
      </w:r>
      <w:r w:rsidR="00D34222" w:rsidRPr="006C3682">
        <w:t xml:space="preserve"> </w:t>
      </w:r>
      <w:r w:rsidR="00B11875" w:rsidRPr="006C3682">
        <w:t xml:space="preserve">which require </w:t>
      </w:r>
      <w:r w:rsidR="00B36088" w:rsidRPr="006C3682">
        <w:t xml:space="preserve">the </w:t>
      </w:r>
      <w:r w:rsidR="00B11875" w:rsidRPr="006C3682">
        <w:t>competent author</w:t>
      </w:r>
      <w:r w:rsidR="00B36088" w:rsidRPr="006C3682">
        <w:t>ity</w:t>
      </w:r>
      <w:r w:rsidR="00B11875" w:rsidRPr="006C3682">
        <w:t xml:space="preserve"> (</w:t>
      </w:r>
      <w:r w:rsidR="005B49DA" w:rsidRPr="006C3682">
        <w:t>i</w:t>
      </w:r>
      <w:r w:rsidR="00B11875" w:rsidRPr="006C3682">
        <w:t xml:space="preserve">n this case, ONR) to </w:t>
      </w:r>
      <w:r w:rsidR="000966E8" w:rsidRPr="006C3682">
        <w:t xml:space="preserve">carry out an assessment to test if a project could </w:t>
      </w:r>
      <w:r w:rsidR="00B36088" w:rsidRPr="006C3682">
        <w:t>significantly</w:t>
      </w:r>
      <w:r w:rsidR="000966E8" w:rsidRPr="006C3682">
        <w:t xml:space="preserve"> harm the designated features of a </w:t>
      </w:r>
      <w:hyperlink r:id="rId18" w:anchor="European-sites" w:history="1">
        <w:r w:rsidR="000966E8" w:rsidRPr="006C3682">
          <w:rPr>
            <w:rStyle w:val="Hyperlink"/>
          </w:rPr>
          <w:t>European site</w:t>
        </w:r>
      </w:hyperlink>
      <w:r w:rsidRPr="006C3682">
        <w:t xml:space="preserve">. </w:t>
      </w:r>
      <w:r w:rsidR="00EB3063" w:rsidRPr="00EB3063">
        <w:t>Whilst the duty is on the competent authority to complete the assessment, it is common practice for the applicant (in this case, EDF) to present a ‘shadow’ HRA report and for the competent authority to assess it, and if deemed adequate, adopt it.</w:t>
      </w:r>
    </w:p>
    <w:p w14:paraId="6C684FBA" w14:textId="1C51E61A" w:rsidR="006370AA" w:rsidRPr="006C3682" w:rsidRDefault="00506880" w:rsidP="00E4177B">
      <w:pPr>
        <w:pStyle w:val="Bulletlist1"/>
      </w:pPr>
      <w:r w:rsidRPr="006C3682">
        <w:t>Marine Conservation Zone (MCZ) assessment</w:t>
      </w:r>
      <w:r w:rsidR="002369F1" w:rsidRPr="006C3682">
        <w:t xml:space="preserve"> screening report</w:t>
      </w:r>
      <w:r w:rsidR="006A5DB2" w:rsidRPr="006C3682">
        <w:t xml:space="preserve"> (Appendix 13A)</w:t>
      </w:r>
      <w:r w:rsidR="002369F1" w:rsidRPr="006C3682">
        <w:t xml:space="preserve"> – this has been </w:t>
      </w:r>
      <w:r w:rsidR="004C024D" w:rsidRPr="006C3682">
        <w:t>prepared</w:t>
      </w:r>
      <w:r w:rsidR="002369F1" w:rsidRPr="006C3682">
        <w:t xml:space="preserve"> </w:t>
      </w:r>
      <w:r w:rsidR="00997EB1" w:rsidRPr="006C3682">
        <w:t>in acc</w:t>
      </w:r>
      <w:r w:rsidR="006A3A1C" w:rsidRPr="006C3682">
        <w:t>ordance with the Marine and Coastal Access Act 2009, which re</w:t>
      </w:r>
      <w:r w:rsidR="004F6931" w:rsidRPr="006C3682">
        <w:t xml:space="preserve">quires </w:t>
      </w:r>
      <w:r w:rsidR="0078456C" w:rsidRPr="006C3682">
        <w:t>consideration</w:t>
      </w:r>
      <w:r w:rsidR="004F6931" w:rsidRPr="006C3682">
        <w:t xml:space="preserve"> of</w:t>
      </w:r>
      <w:r w:rsidR="004C58BC" w:rsidRPr="006C3682">
        <w:t xml:space="preserve"> MCZs and </w:t>
      </w:r>
      <w:r w:rsidR="0078456C" w:rsidRPr="006C3682">
        <w:t>Highly Protected Marine Areas (HPMAs).</w:t>
      </w:r>
      <w:r w:rsidR="00B53410" w:rsidRPr="006C3682">
        <w:t xml:space="preserve"> </w:t>
      </w:r>
      <w:r w:rsidR="008C7610" w:rsidRPr="006C3682">
        <w:t xml:space="preserve">The </w:t>
      </w:r>
      <w:r w:rsidR="00C03F35" w:rsidRPr="006C3682">
        <w:t xml:space="preserve">potential impacts </w:t>
      </w:r>
      <w:r w:rsidR="006A5DB2" w:rsidRPr="006C3682">
        <w:t xml:space="preserve">of a decommissioning project </w:t>
      </w:r>
      <w:r w:rsidR="00C03F35" w:rsidRPr="006C3682">
        <w:t xml:space="preserve">on designated marine </w:t>
      </w:r>
      <w:r w:rsidR="00F535BE" w:rsidRPr="006C3682">
        <w:t>sites should be</w:t>
      </w:r>
      <w:r w:rsidR="006A5DB2" w:rsidRPr="006C3682">
        <w:t xml:space="preserve"> considered in an</w:t>
      </w:r>
      <w:r w:rsidR="00F535BE" w:rsidRPr="006C3682">
        <w:t xml:space="preserve"> </w:t>
      </w:r>
      <w:r w:rsidR="00B53410" w:rsidRPr="006C3682">
        <w:t xml:space="preserve">EIADR </w:t>
      </w:r>
      <w:r w:rsidR="006A5DB2" w:rsidRPr="006C3682">
        <w:t xml:space="preserve">application. </w:t>
      </w:r>
    </w:p>
    <w:p w14:paraId="54303B56" w14:textId="77777777" w:rsidR="00506BA6" w:rsidRPr="006C3682" w:rsidRDefault="00506BA6" w:rsidP="00506BA6">
      <w:pPr>
        <w:pStyle w:val="F9-Paragraph"/>
        <w:numPr>
          <w:ilvl w:val="0"/>
          <w:numId w:val="0"/>
        </w:numPr>
        <w:ind w:left="360" w:hanging="360"/>
      </w:pPr>
    </w:p>
    <w:p w14:paraId="55AE6A5E" w14:textId="77777777" w:rsidR="00D96671" w:rsidRPr="004421AB" w:rsidRDefault="00D96671" w:rsidP="00D96671">
      <w:pPr>
        <w:pStyle w:val="Heading1"/>
      </w:pPr>
      <w:bookmarkStart w:id="5" w:name="_Toc150776376"/>
      <w:bookmarkStart w:id="6" w:name="_Toc232158906"/>
      <w:r w:rsidRPr="004421AB">
        <w:t xml:space="preserve">Assessment </w:t>
      </w:r>
      <w:r>
        <w:t>s</w:t>
      </w:r>
      <w:r w:rsidRPr="004421AB">
        <w:t xml:space="preserve">tandards and </w:t>
      </w:r>
      <w:r>
        <w:t>i</w:t>
      </w:r>
      <w:r w:rsidRPr="004421AB">
        <w:t>nterfaces</w:t>
      </w:r>
      <w:bookmarkEnd w:id="5"/>
      <w:bookmarkEnd w:id="6"/>
    </w:p>
    <w:p w14:paraId="7B11584F" w14:textId="7A13743A" w:rsidR="00257FE1" w:rsidRDefault="00257FE1" w:rsidP="00B44B73">
      <w:pPr>
        <w:pStyle w:val="Heading2"/>
      </w:pPr>
      <w:r>
        <w:t>Technical Assessment Guide</w:t>
      </w:r>
    </w:p>
    <w:p w14:paraId="1F32D788" w14:textId="3B91A116" w:rsidR="005E6D75" w:rsidRDefault="005E6D75" w:rsidP="00E4177B">
      <w:pPr>
        <w:pStyle w:val="Numberedparagraph"/>
      </w:pPr>
      <w:r>
        <w:t xml:space="preserve">The </w:t>
      </w:r>
      <w:r w:rsidR="00787D8D">
        <w:t xml:space="preserve">following </w:t>
      </w:r>
      <w:r>
        <w:t>T</w:t>
      </w:r>
      <w:r w:rsidR="001B32D8">
        <w:t>echnical Assessment</w:t>
      </w:r>
      <w:r w:rsidR="00CA7435">
        <w:t xml:space="preserve"> Guide</w:t>
      </w:r>
      <w:r w:rsidR="00E44681">
        <w:t xml:space="preserve"> (TAG)</w:t>
      </w:r>
      <w:r w:rsidR="00CA7435">
        <w:t xml:space="preserve"> </w:t>
      </w:r>
      <w:r w:rsidR="00560B27">
        <w:t>has been used in the assessment of the scoping report</w:t>
      </w:r>
      <w:r w:rsidR="00C20764">
        <w:t>:</w:t>
      </w:r>
    </w:p>
    <w:p w14:paraId="363946B5" w14:textId="49189196" w:rsidR="00C20764" w:rsidRPr="005E6D75" w:rsidRDefault="007452C2" w:rsidP="006350A2">
      <w:pPr>
        <w:pStyle w:val="Bulletlist1"/>
      </w:pPr>
      <w:r w:rsidRPr="007452C2">
        <w:t>NS-TAST-GD-105 - The Assessment of the Nuclear Reactors (Environmental Impact Assessment for Decommissioning) Regulations Submissions (EIADR)</w:t>
      </w:r>
      <w:r>
        <w:t xml:space="preserve"> </w:t>
      </w:r>
      <w:sdt>
        <w:sdtPr>
          <w:id w:val="91755105"/>
          <w:citation/>
        </w:sdtPr>
        <w:sdtEndPr/>
        <w:sdtContent>
          <w:r>
            <w:fldChar w:fldCharType="begin"/>
          </w:r>
          <w:r w:rsidR="00546845">
            <w:instrText xml:space="preserve">CITATION ONR2313 \l 2057 </w:instrText>
          </w:r>
          <w:r>
            <w:fldChar w:fldCharType="separate"/>
          </w:r>
          <w:r w:rsidR="00BB6669" w:rsidRPr="00BB6669">
            <w:rPr>
              <w:noProof/>
            </w:rPr>
            <w:t>[3]</w:t>
          </w:r>
          <w:r>
            <w:fldChar w:fldCharType="end"/>
          </w:r>
        </w:sdtContent>
      </w:sdt>
    </w:p>
    <w:p w14:paraId="513E6262" w14:textId="57A162C9" w:rsidR="006370AA" w:rsidRPr="006C3682" w:rsidRDefault="006370AA" w:rsidP="00B44B73">
      <w:pPr>
        <w:pStyle w:val="Heading2"/>
      </w:pPr>
      <w:r w:rsidRPr="006C3682">
        <w:t xml:space="preserve">Use of </w:t>
      </w:r>
      <w:r w:rsidR="00B44B73" w:rsidRPr="006C3682">
        <w:t>t</w:t>
      </w:r>
      <w:r w:rsidRPr="006C3682">
        <w:t xml:space="preserve">echnical </w:t>
      </w:r>
      <w:r w:rsidR="00B44B73" w:rsidRPr="006C3682">
        <w:t>s</w:t>
      </w:r>
      <w:r w:rsidRPr="006C3682">
        <w:t xml:space="preserve">upport </w:t>
      </w:r>
      <w:r w:rsidR="00B44B73" w:rsidRPr="006C3682">
        <w:t>c</w:t>
      </w:r>
      <w:r w:rsidRPr="006C3682">
        <w:t>ontractors</w:t>
      </w:r>
    </w:p>
    <w:p w14:paraId="0BF2BDFC" w14:textId="40AF95C4" w:rsidR="0039304D" w:rsidRPr="006C3682" w:rsidRDefault="001B7D42" w:rsidP="006350A2">
      <w:pPr>
        <w:pStyle w:val="Numberedparagraph"/>
      </w:pPr>
      <w:r w:rsidRPr="006C3682">
        <w:t xml:space="preserve">A </w:t>
      </w:r>
      <w:r w:rsidR="009F36BC">
        <w:t>technical support contractor</w:t>
      </w:r>
      <w:r w:rsidRPr="006C3682">
        <w:t xml:space="preserve"> with expertise in EIA was used to review the scoping report and provide independent </w:t>
      </w:r>
      <w:r w:rsidR="00BA26E4">
        <w:t>advice</w:t>
      </w:r>
      <w:r w:rsidRPr="006C3682">
        <w:t xml:space="preserve"> o</w:t>
      </w:r>
      <w:r w:rsidR="00BA26E4">
        <w:t>n</w:t>
      </w:r>
      <w:r w:rsidRPr="006C3682">
        <w:t xml:space="preserve"> the submission to help inform ONR’s PAO. </w:t>
      </w:r>
    </w:p>
    <w:p w14:paraId="6C30D9AD" w14:textId="77777777" w:rsidR="003E0947" w:rsidRPr="006C3682" w:rsidRDefault="003E0947" w:rsidP="003E0947">
      <w:pPr>
        <w:pStyle w:val="Heading2"/>
      </w:pPr>
      <w:r w:rsidRPr="006C3682">
        <w:lastRenderedPageBreak/>
        <w:t xml:space="preserve">Consultation </w:t>
      </w:r>
    </w:p>
    <w:p w14:paraId="2AEF21F7" w14:textId="1788D676" w:rsidR="00FE65E0" w:rsidRPr="00FE65E0" w:rsidRDefault="00041F02" w:rsidP="006350A2">
      <w:pPr>
        <w:pStyle w:val="Numberedparagraph"/>
        <w:rPr>
          <w:kern w:val="2"/>
          <w14:ligatures w14:val="standardContextual"/>
        </w:rPr>
      </w:pPr>
      <w:r>
        <w:t>In the production of this PAO</w:t>
      </w:r>
      <w:r w:rsidR="00502683">
        <w:t>,</w:t>
      </w:r>
      <w:r w:rsidRPr="006C3682">
        <w:t xml:space="preserve"> </w:t>
      </w:r>
      <w:r w:rsidR="003E0947" w:rsidRPr="006C3682">
        <w:t xml:space="preserve">ONR consulted the </w:t>
      </w:r>
      <w:r w:rsidR="002D0642">
        <w:t>c</w:t>
      </w:r>
      <w:r w:rsidR="003E0947" w:rsidRPr="006C3682">
        <w:t>onsult</w:t>
      </w:r>
      <w:r w:rsidR="005C709D">
        <w:t>ation bodies</w:t>
      </w:r>
      <w:r w:rsidR="00066527">
        <w:t xml:space="preserve"> </w:t>
      </w:r>
      <w:r w:rsidR="000B135A">
        <w:t xml:space="preserve">defined in </w:t>
      </w:r>
      <w:r w:rsidR="000B135A" w:rsidRPr="006C3682">
        <w:t>regulation 2</w:t>
      </w:r>
      <w:r w:rsidR="000B135A">
        <w:t xml:space="preserve"> of EIADR </w:t>
      </w:r>
      <w:r w:rsidR="002D0642" w:rsidRPr="006C3682">
        <w:t>for a period of one month</w:t>
      </w:r>
      <w:r w:rsidR="002D0642">
        <w:t>, as</w:t>
      </w:r>
      <w:r w:rsidR="002D0642" w:rsidRPr="006C3682">
        <w:t xml:space="preserve"> </w:t>
      </w:r>
      <w:r w:rsidR="002D0642">
        <w:t>required</w:t>
      </w:r>
      <w:r w:rsidR="00943E9A" w:rsidRPr="006C3682">
        <w:t xml:space="preserve"> </w:t>
      </w:r>
      <w:r w:rsidR="000B135A">
        <w:t>by</w:t>
      </w:r>
      <w:r w:rsidR="00943E9A" w:rsidRPr="006C3682">
        <w:t xml:space="preserve"> </w:t>
      </w:r>
      <w:r w:rsidR="000B135A">
        <w:t xml:space="preserve">regulation </w:t>
      </w:r>
      <w:r w:rsidR="00943E9A">
        <w:t>6</w:t>
      </w:r>
      <w:r w:rsidR="007931DB">
        <w:t>.</w:t>
      </w:r>
      <w:r w:rsidR="00AE189B">
        <w:t xml:space="preserve"> For Dungeness B, t</w:t>
      </w:r>
      <w:r w:rsidR="007931DB">
        <w:t>he consult</w:t>
      </w:r>
      <w:r w:rsidR="00445A45">
        <w:t>ation bodies</w:t>
      </w:r>
      <w:r w:rsidR="007931DB">
        <w:t xml:space="preserve"> are</w:t>
      </w:r>
      <w:r w:rsidR="00FE65E0">
        <w:t>:</w:t>
      </w:r>
    </w:p>
    <w:p w14:paraId="29146353" w14:textId="62539CC5" w:rsidR="00FE65E0" w:rsidRPr="002035F9" w:rsidRDefault="00FE65E0" w:rsidP="006350A2">
      <w:pPr>
        <w:pStyle w:val="Bulletlist1"/>
        <w:rPr>
          <w:lang w:eastAsia="en-GB"/>
        </w:rPr>
      </w:pPr>
      <w:r w:rsidRPr="002035F9">
        <w:rPr>
          <w:lang w:eastAsia="en-GB"/>
        </w:rPr>
        <w:t>Environment Agency</w:t>
      </w:r>
      <w:r w:rsidR="00582505">
        <w:rPr>
          <w:lang w:eastAsia="en-GB"/>
        </w:rPr>
        <w:t>;</w:t>
      </w:r>
    </w:p>
    <w:p w14:paraId="0E332B44" w14:textId="072DD527" w:rsidR="00FE65E0" w:rsidRPr="002035F9" w:rsidRDefault="00FE65E0" w:rsidP="006350A2">
      <w:pPr>
        <w:pStyle w:val="Bulletlist1"/>
        <w:rPr>
          <w:lang w:eastAsia="en-GB"/>
        </w:rPr>
      </w:pPr>
      <w:r w:rsidRPr="002035F9">
        <w:rPr>
          <w:lang w:eastAsia="en-GB"/>
        </w:rPr>
        <w:t>Folkestone and Hythe District Council</w:t>
      </w:r>
      <w:r w:rsidR="00582505">
        <w:rPr>
          <w:lang w:eastAsia="en-GB"/>
        </w:rPr>
        <w:t>;</w:t>
      </w:r>
    </w:p>
    <w:p w14:paraId="5C0F8773" w14:textId="0456EA40" w:rsidR="00FE65E0" w:rsidRPr="002035F9" w:rsidRDefault="00FE65E0" w:rsidP="006350A2">
      <w:pPr>
        <w:pStyle w:val="Bulletlist1"/>
        <w:rPr>
          <w:lang w:eastAsia="en-GB"/>
        </w:rPr>
      </w:pPr>
      <w:r w:rsidRPr="002035F9">
        <w:rPr>
          <w:lang w:eastAsia="en-GB"/>
        </w:rPr>
        <w:t>Kent County Council</w:t>
      </w:r>
      <w:r w:rsidR="00582505">
        <w:rPr>
          <w:lang w:eastAsia="en-GB"/>
        </w:rPr>
        <w:t>;</w:t>
      </w:r>
      <w:r w:rsidRPr="002035F9">
        <w:rPr>
          <w:lang w:eastAsia="en-GB"/>
        </w:rPr>
        <w:t xml:space="preserve"> </w:t>
      </w:r>
    </w:p>
    <w:p w14:paraId="07FEB5EC" w14:textId="15654BC1" w:rsidR="002035F9" w:rsidRDefault="00FE65E0" w:rsidP="006350A2">
      <w:pPr>
        <w:pStyle w:val="Bulletlist1"/>
        <w:rPr>
          <w:lang w:eastAsia="en-GB"/>
        </w:rPr>
      </w:pPr>
      <w:r w:rsidRPr="002035F9">
        <w:rPr>
          <w:lang w:eastAsia="en-GB"/>
        </w:rPr>
        <w:t>Natural England</w:t>
      </w:r>
      <w:r w:rsidR="00582505">
        <w:rPr>
          <w:lang w:eastAsia="en-GB"/>
        </w:rPr>
        <w:t>;</w:t>
      </w:r>
    </w:p>
    <w:p w14:paraId="175F487D" w14:textId="6A17EEEC" w:rsidR="00445A45" w:rsidRPr="007931DB" w:rsidRDefault="00445A45" w:rsidP="006350A2">
      <w:pPr>
        <w:pStyle w:val="Bulletlist1"/>
        <w:rPr>
          <w:lang w:eastAsia="en-GB"/>
        </w:rPr>
      </w:pPr>
      <w:r w:rsidRPr="00C069CA">
        <w:t>any other body with environmental or public health responsibilities or local or regional competencies with whom the ONR considers it appropriate to consult</w:t>
      </w:r>
      <w:r w:rsidR="00582505">
        <w:t>.</w:t>
      </w:r>
    </w:p>
    <w:p w14:paraId="23D17972" w14:textId="0A468DCB" w:rsidR="003E0947" w:rsidRPr="006C3682" w:rsidRDefault="00502683" w:rsidP="006350A2">
      <w:pPr>
        <w:pStyle w:val="Numberedparagraph"/>
      </w:pPr>
      <w:r>
        <w:t>We</w:t>
      </w:r>
      <w:r w:rsidR="003E0947" w:rsidRPr="006C3682">
        <w:t xml:space="preserve"> received responses</w:t>
      </w:r>
      <w:r>
        <w:t xml:space="preserve"> </w:t>
      </w:r>
      <w:r w:rsidR="3A0F432E">
        <w:t xml:space="preserve">to the consultation </w:t>
      </w:r>
      <w:r>
        <w:t>and provided these to the licensee</w:t>
      </w:r>
      <w:r w:rsidR="003E0947" w:rsidRPr="006C3682">
        <w:t xml:space="preserve">. The consultation responses are listed </w:t>
      </w:r>
      <w:r w:rsidR="00947635">
        <w:t>in</w:t>
      </w:r>
      <w:r w:rsidR="00B96AC9">
        <w:t xml:space="preserve"> </w:t>
      </w:r>
      <w:sdt>
        <w:sdtPr>
          <w:id w:val="-2084281354"/>
          <w:citation/>
        </w:sdtPr>
        <w:sdtEndPr/>
        <w:sdtContent>
          <w:r w:rsidR="00B96AC9">
            <w:fldChar w:fldCharType="begin"/>
          </w:r>
          <w:r w:rsidR="00A71C6A">
            <w:instrText xml:space="preserve">CITATION ONR26 \l 2057 </w:instrText>
          </w:r>
          <w:r w:rsidR="00B96AC9">
            <w:fldChar w:fldCharType="separate"/>
          </w:r>
          <w:r w:rsidR="00BB6669" w:rsidRPr="00BB6669">
            <w:rPr>
              <w:noProof/>
            </w:rPr>
            <w:t>[4]</w:t>
          </w:r>
          <w:r w:rsidR="00B96AC9">
            <w:fldChar w:fldCharType="end"/>
          </w:r>
        </w:sdtContent>
      </w:sdt>
      <w:r w:rsidR="005E6C76">
        <w:t xml:space="preserve"> and can be found on our website</w:t>
      </w:r>
      <w:r w:rsidR="00947635">
        <w:t>. The responses have be</w:t>
      </w:r>
      <w:r w:rsidR="003E0947" w:rsidRPr="006C3682">
        <w:t>en taken into account in the preparation of this PAO.</w:t>
      </w:r>
    </w:p>
    <w:p w14:paraId="362CC3CF" w14:textId="4B0AFC8F" w:rsidR="003E0947" w:rsidRPr="006C3682" w:rsidRDefault="003E0947" w:rsidP="006350A2">
      <w:pPr>
        <w:pStyle w:val="Numberedparagraph"/>
        <w:rPr>
          <w:kern w:val="2"/>
          <w14:ligatures w14:val="standardContextual"/>
        </w:rPr>
      </w:pPr>
      <w:r w:rsidRPr="006C3682">
        <w:t xml:space="preserve">Although the full responses are not reproduced in this </w:t>
      </w:r>
      <w:r w:rsidR="00871E70">
        <w:t>report</w:t>
      </w:r>
      <w:r w:rsidRPr="006C3682">
        <w:t xml:space="preserve">, </w:t>
      </w:r>
      <w:r w:rsidR="00826A75">
        <w:t>we</w:t>
      </w:r>
      <w:r w:rsidRPr="006C3682">
        <w:t xml:space="preserve"> expect the licensee to give due consideration to the consultation responses, particularly where those responses have been provided by bodies with statutory functions or jurisdiction in respect of the matters concerned.</w:t>
      </w:r>
      <w:r w:rsidR="001B0838">
        <w:t xml:space="preserve"> </w:t>
      </w:r>
      <w:r w:rsidR="005806CE">
        <w:t xml:space="preserve">Failure to do so could impact </w:t>
      </w:r>
      <w:r w:rsidR="00073B6F">
        <w:t xml:space="preserve">the adequacy of the application and </w:t>
      </w:r>
      <w:r w:rsidR="005806CE">
        <w:t xml:space="preserve">our </w:t>
      </w:r>
      <w:r w:rsidR="00073B6F">
        <w:t>decision to accept it.</w:t>
      </w:r>
    </w:p>
    <w:p w14:paraId="3F8FF8EC" w14:textId="708AF277" w:rsidR="0001292B" w:rsidRDefault="0001292B" w:rsidP="0040478A">
      <w:pPr>
        <w:spacing w:after="0" w:line="240" w:lineRule="auto"/>
      </w:pPr>
      <w:r>
        <w:br w:type="page"/>
      </w:r>
    </w:p>
    <w:p w14:paraId="083DDC3F" w14:textId="77777777" w:rsidR="00C51922" w:rsidRDefault="0040478A" w:rsidP="0040478A">
      <w:pPr>
        <w:pStyle w:val="Heading1"/>
      </w:pPr>
      <w:bookmarkStart w:id="7" w:name="_Toc232158907"/>
      <w:r>
        <w:lastRenderedPageBreak/>
        <w:t>Dutyholder’s submission</w:t>
      </w:r>
      <w:bookmarkEnd w:id="7"/>
    </w:p>
    <w:p w14:paraId="6E4462D0" w14:textId="4902A2FB" w:rsidR="00ED2B99" w:rsidRDefault="00ED2B99" w:rsidP="006350A2">
      <w:pPr>
        <w:pStyle w:val="Numberedparagraph"/>
      </w:pPr>
      <w:r>
        <w:t xml:space="preserve">The Dungeness B EIADR scoping report is structured to define the scope and methodology for the future </w:t>
      </w:r>
      <w:r w:rsidR="0047546B">
        <w:t>ES</w:t>
      </w:r>
      <w:r>
        <w:t xml:space="preserve">. The main report begins with introductory chapters covering the purpose of the submission, the proposed decommissioning works, alternatives, legislation and policy context, and the overarching EIA methodology. It then sets out topic-based chapters for the environmental aspects proposed to be assessed in detail, </w:t>
      </w:r>
      <w:r w:rsidR="00EE6D56">
        <w:t>such as</w:t>
      </w:r>
      <w:r>
        <w:t xml:space="preserve"> air quality, human health, </w:t>
      </w:r>
      <w:r w:rsidR="00E92359">
        <w:t>and</w:t>
      </w:r>
      <w:r>
        <w:t xml:space="preserve"> marine ecology</w:t>
      </w:r>
      <w:r w:rsidR="00E92359">
        <w:t xml:space="preserve">. </w:t>
      </w:r>
      <w:r>
        <w:t xml:space="preserve">Each of these chapters follows a broadly consistent structure, typically presenting the relevant legislation and policy, baseline conditions, consultation undertaken, scope for mitigation, potential effects, proposed assessment methodology, and a summary of likely significant effects to be considered in the </w:t>
      </w:r>
      <w:r w:rsidR="00E92359">
        <w:t>ES</w:t>
      </w:r>
      <w:r>
        <w:t xml:space="preserve">. The report also includes a chapter on “Other Environmental Topics”, which explains why matters such as maritime heritage, shipping and navigation, radioactive waste and discharges, and major accidents and disasters are proposed to be scoped out of detailed </w:t>
      </w:r>
      <w:r w:rsidR="00483344">
        <w:t>assessment.</w:t>
      </w:r>
    </w:p>
    <w:p w14:paraId="2C4173F2" w14:textId="5C7A6478" w:rsidR="009D2E32" w:rsidRDefault="009D2E32" w:rsidP="006350A2">
      <w:pPr>
        <w:pStyle w:val="Numberedparagraph"/>
        <w:rPr>
          <w:kern w:val="2"/>
          <w14:ligatures w14:val="standardContextual"/>
        </w:rPr>
      </w:pPr>
      <w:r>
        <w:t xml:space="preserve">The appendices provide the supporting technical material that underpins the scoping conclusions and expand on the specialist assessments summarised in the main report. They include more detailed baseline information, methodological explanations, figures and topic-specific technical material that informs the proposed scope of the </w:t>
      </w:r>
      <w:r w:rsidR="000943EB">
        <w:t>ES</w:t>
      </w:r>
      <w:r>
        <w:t xml:space="preserve">. Of particular relevance to ONR’s </w:t>
      </w:r>
      <w:r w:rsidR="00E36B8C">
        <w:t>PAO</w:t>
      </w:r>
      <w:r>
        <w:t xml:space="preserve"> are the preliminary HRA screening report and the MCZ assessment screening report. These appendices set out EDF’s initial consideration of whether the proposed decommissioning works could give rise to effects on designated European sites, MCZs and Highly Protected Marine Areas, and therefore provide an important part of the evidence base for ONR’s consideration of the adequacy and robustness of the overall scoping approach.</w:t>
      </w:r>
    </w:p>
    <w:p w14:paraId="5D57530E" w14:textId="495F1E33" w:rsidR="0040478A" w:rsidRPr="0040478A" w:rsidRDefault="0040478A" w:rsidP="0040478A">
      <w:pPr>
        <w:sectPr w:rsidR="0040478A" w:rsidRPr="0040478A" w:rsidSect="00045010">
          <w:pgSz w:w="11906" w:h="16838" w:code="9"/>
          <w:pgMar w:top="1440" w:right="1440" w:bottom="1440" w:left="1440" w:header="397" w:footer="397" w:gutter="0"/>
          <w:cols w:space="312"/>
          <w:docGrid w:linePitch="360"/>
        </w:sectPr>
      </w:pPr>
    </w:p>
    <w:p w14:paraId="26E3079E" w14:textId="1309F641" w:rsidR="00D81D52" w:rsidRPr="006C3682" w:rsidRDefault="006370AA" w:rsidP="002250BF">
      <w:pPr>
        <w:pStyle w:val="Heading1"/>
      </w:pPr>
      <w:bookmarkStart w:id="8" w:name="_Toc232158908"/>
      <w:r w:rsidRPr="006C3682">
        <w:lastRenderedPageBreak/>
        <w:t>ONR</w:t>
      </w:r>
      <w:r w:rsidR="001F7AED" w:rsidRPr="006C3682">
        <w:t>’s Pre-Application Opinion</w:t>
      </w:r>
      <w:bookmarkEnd w:id="8"/>
    </w:p>
    <w:p w14:paraId="2850D9B1" w14:textId="558F1808" w:rsidR="00A86417" w:rsidRDefault="00D81D52" w:rsidP="006350A2">
      <w:pPr>
        <w:pStyle w:val="Numberedparagraph"/>
      </w:pPr>
      <w:r w:rsidRPr="006C3682">
        <w:t xml:space="preserve">ONR’s </w:t>
      </w:r>
      <w:r w:rsidR="00E5424E">
        <w:t>PAO</w:t>
      </w:r>
      <w:r w:rsidRPr="006C3682">
        <w:t xml:space="preserve"> is </w:t>
      </w:r>
      <w:r w:rsidR="00E5424E">
        <w:t>presented</w:t>
      </w:r>
      <w:r w:rsidRPr="006C3682">
        <w:t xml:space="preserve"> below. </w:t>
      </w:r>
      <w:r w:rsidR="00CC599B">
        <w:t>Our f</w:t>
      </w:r>
      <w:r w:rsidRPr="006C3682">
        <w:t>eedback has been graded as a ‘reservation’, ‘observation’ or ‘comment’</w:t>
      </w:r>
      <w:r w:rsidR="009A3310">
        <w:t xml:space="preserve">, </w:t>
      </w:r>
      <w:r w:rsidR="00907470">
        <w:t xml:space="preserve">depending on the </w:t>
      </w:r>
      <w:r w:rsidR="0029062B">
        <w:t>significance</w:t>
      </w:r>
      <w:r w:rsidR="00EE2B25">
        <w:t>, as</w:t>
      </w:r>
      <w:r w:rsidR="00EE2B25" w:rsidRPr="00EE2B25">
        <w:t xml:space="preserve"> </w:t>
      </w:r>
      <w:r w:rsidR="009A3310">
        <w:t>defined in Table 1</w:t>
      </w:r>
      <w:r w:rsidR="0029062B">
        <w:t>. Feedback</w:t>
      </w:r>
      <w:r w:rsidR="00FA7589" w:rsidRPr="006C3682">
        <w:t xml:space="preserve"> </w:t>
      </w:r>
      <w:r w:rsidR="00CC599B">
        <w:t>is also categorised</w:t>
      </w:r>
      <w:r w:rsidR="00FA7589" w:rsidRPr="006C3682">
        <w:t xml:space="preserve"> into </w:t>
      </w:r>
      <w:r w:rsidR="003F0DA5">
        <w:t xml:space="preserve">one or more of </w:t>
      </w:r>
      <w:r w:rsidR="00CC599B">
        <w:t>the</w:t>
      </w:r>
      <w:r w:rsidR="00FA7589" w:rsidRPr="006C3682">
        <w:t xml:space="preserve"> themes</w:t>
      </w:r>
      <w:r w:rsidR="00785A81">
        <w:t xml:space="preserve"> defined in</w:t>
      </w:r>
      <w:r w:rsidR="004D1AB2">
        <w:t xml:space="preserve"> Table 2</w:t>
      </w:r>
      <w:r w:rsidR="009A3310">
        <w:t xml:space="preserve">. </w:t>
      </w:r>
      <w:r w:rsidR="00757A40">
        <w:t>Therefore, the</w:t>
      </w:r>
      <w:r w:rsidR="00EB09F0">
        <w:t xml:space="preserve"> feedback in Table 3–6 </w:t>
      </w:r>
      <w:r w:rsidR="00757A40">
        <w:t>are categorised according to the categories and themes in Table 1 and 2.</w:t>
      </w:r>
    </w:p>
    <w:p w14:paraId="3E035DF9" w14:textId="77777777" w:rsidR="00901EBC" w:rsidRPr="006C3682" w:rsidRDefault="00901EBC" w:rsidP="00901EBC">
      <w:pPr>
        <w:pStyle w:val="NumberedParagraph0"/>
        <w:numPr>
          <w:ilvl w:val="0"/>
          <w:numId w:val="0"/>
        </w:numPr>
        <w:ind w:left="360"/>
      </w:pPr>
    </w:p>
    <w:p w14:paraId="275F48AC" w14:textId="157BA1D1" w:rsidR="00840689" w:rsidRPr="006C3682" w:rsidRDefault="00256638" w:rsidP="0057128F">
      <w:pPr>
        <w:pStyle w:val="TableText"/>
        <w:rPr>
          <w:b/>
          <w:bCs/>
        </w:rPr>
      </w:pPr>
      <w:r w:rsidRPr="006C3682">
        <w:rPr>
          <w:b/>
          <w:bCs/>
        </w:rPr>
        <w:t xml:space="preserve">Table 1: </w:t>
      </w:r>
      <w:r w:rsidR="00651DBA">
        <w:rPr>
          <w:b/>
          <w:bCs/>
        </w:rPr>
        <w:t>Feedback c</w:t>
      </w:r>
      <w:r w:rsidRPr="006C3682">
        <w:rPr>
          <w:b/>
          <w:bCs/>
        </w:rPr>
        <w:t xml:space="preserve">ategories </w:t>
      </w:r>
    </w:p>
    <w:tbl>
      <w:tblPr>
        <w:tblStyle w:val="ONRTable1"/>
        <w:tblW w:w="5000" w:type="pct"/>
        <w:tblInd w:w="0" w:type="dxa"/>
        <w:tblLook w:val="01E0" w:firstRow="1" w:lastRow="1" w:firstColumn="1" w:lastColumn="1" w:noHBand="0" w:noVBand="0"/>
      </w:tblPr>
      <w:tblGrid>
        <w:gridCol w:w="2800"/>
        <w:gridCol w:w="6226"/>
      </w:tblGrid>
      <w:tr w:rsidR="006552D8" w:rsidRPr="006C3682" w14:paraId="77BE3EA5" w14:textId="77777777" w:rsidTr="173648A1">
        <w:trPr>
          <w:cnfStyle w:val="100000000000" w:firstRow="1" w:lastRow="0" w:firstColumn="0" w:lastColumn="0" w:oddVBand="0" w:evenVBand="0" w:oddHBand="0" w:evenHBand="0" w:firstRowFirstColumn="0" w:firstRowLastColumn="0" w:lastRowFirstColumn="0" w:lastRowLastColumn="0"/>
        </w:trPr>
        <w:tc>
          <w:tcPr>
            <w:tcW w:w="864" w:type="pct"/>
          </w:tcPr>
          <w:p w14:paraId="711D9993" w14:textId="517A1695" w:rsidR="00840689" w:rsidRPr="006C3682" w:rsidRDefault="00840689">
            <w:pPr>
              <w:spacing w:before="60" w:after="60"/>
              <w:rPr>
                <w:sz w:val="22"/>
              </w:rPr>
            </w:pPr>
            <w:r w:rsidRPr="006C3682">
              <w:rPr>
                <w:sz w:val="22"/>
              </w:rPr>
              <w:t xml:space="preserve">Term </w:t>
            </w:r>
          </w:p>
        </w:tc>
        <w:tc>
          <w:tcPr>
            <w:tcW w:w="1921" w:type="pct"/>
          </w:tcPr>
          <w:p w14:paraId="17998634" w14:textId="199D776B" w:rsidR="00840689" w:rsidRPr="006C3682" w:rsidRDefault="00840689">
            <w:pPr>
              <w:spacing w:before="60" w:after="60"/>
              <w:rPr>
                <w:sz w:val="22"/>
              </w:rPr>
            </w:pPr>
            <w:r w:rsidRPr="006C3682">
              <w:rPr>
                <w:sz w:val="22"/>
              </w:rPr>
              <w:t xml:space="preserve">Description  </w:t>
            </w:r>
          </w:p>
        </w:tc>
      </w:tr>
      <w:tr w:rsidR="00335207" w:rsidRPr="006C3682" w14:paraId="5DC9BAA7" w14:textId="77777777" w:rsidTr="173648A1">
        <w:tc>
          <w:tcPr>
            <w:tcW w:w="864" w:type="pct"/>
          </w:tcPr>
          <w:p w14:paraId="58764443" w14:textId="7AE9EC4B" w:rsidR="00840689" w:rsidRPr="006C3682" w:rsidRDefault="00840689">
            <w:pPr>
              <w:spacing w:before="60" w:after="60"/>
              <w:rPr>
                <w:sz w:val="22"/>
                <w:highlight w:val="yellow"/>
              </w:rPr>
            </w:pPr>
            <w:r w:rsidRPr="006C3682">
              <w:rPr>
                <w:sz w:val="22"/>
              </w:rPr>
              <w:t xml:space="preserve">Reservation </w:t>
            </w:r>
          </w:p>
        </w:tc>
        <w:tc>
          <w:tcPr>
            <w:tcW w:w="1921" w:type="pct"/>
          </w:tcPr>
          <w:p w14:paraId="4C25B626" w14:textId="40EF3A32" w:rsidR="00840689" w:rsidRPr="006C3682" w:rsidRDefault="00840689" w:rsidP="173648A1">
            <w:pPr>
              <w:spacing w:before="60" w:after="60"/>
              <w:rPr>
                <w:sz w:val="22"/>
                <w:highlight w:val="yellow"/>
              </w:rPr>
            </w:pPr>
            <w:r w:rsidRPr="006C3682">
              <w:rPr>
                <w:sz w:val="22"/>
                <w:lang w:bidi="ar-SA"/>
              </w:rPr>
              <w:t xml:space="preserve">A major </w:t>
            </w:r>
            <w:r w:rsidR="00D43517">
              <w:rPr>
                <w:sz w:val="22"/>
                <w:lang w:bidi="ar-SA"/>
              </w:rPr>
              <w:t>issue</w:t>
            </w:r>
            <w:r w:rsidRPr="006C3682">
              <w:rPr>
                <w:sz w:val="22"/>
                <w:lang w:bidi="ar-SA"/>
              </w:rPr>
              <w:t xml:space="preserve"> that should be addressed in the EIA process and documented in the </w:t>
            </w:r>
            <w:r w:rsidR="00267C22">
              <w:rPr>
                <w:sz w:val="22"/>
                <w:lang w:bidi="ar-SA"/>
              </w:rPr>
              <w:t>application</w:t>
            </w:r>
            <w:r w:rsidRPr="006C3682">
              <w:rPr>
                <w:sz w:val="22"/>
                <w:lang w:bidi="ar-SA"/>
              </w:rPr>
              <w:t xml:space="preserve">. If not addressed, there is </w:t>
            </w:r>
            <w:r w:rsidR="00D317B8">
              <w:rPr>
                <w:sz w:val="22"/>
                <w:lang w:bidi="ar-SA"/>
              </w:rPr>
              <w:t xml:space="preserve">high </w:t>
            </w:r>
            <w:r w:rsidRPr="006C3682">
              <w:rPr>
                <w:sz w:val="22"/>
                <w:lang w:bidi="ar-SA"/>
              </w:rPr>
              <w:t xml:space="preserve">risk that the application may not be legally compliant and/or open up for legal challenge. </w:t>
            </w:r>
          </w:p>
        </w:tc>
      </w:tr>
      <w:tr w:rsidR="00335207" w:rsidRPr="006C3682" w14:paraId="335091DA" w14:textId="77777777" w:rsidTr="173648A1">
        <w:tc>
          <w:tcPr>
            <w:tcW w:w="864" w:type="pct"/>
          </w:tcPr>
          <w:p w14:paraId="1F0A7342" w14:textId="16C362EC" w:rsidR="00840689" w:rsidRPr="006C3682" w:rsidRDefault="00840689">
            <w:pPr>
              <w:spacing w:before="60" w:after="60"/>
              <w:rPr>
                <w:sz w:val="22"/>
                <w:highlight w:val="yellow"/>
              </w:rPr>
            </w:pPr>
            <w:r w:rsidRPr="006C3682">
              <w:rPr>
                <w:sz w:val="22"/>
              </w:rPr>
              <w:t xml:space="preserve">Observation </w:t>
            </w:r>
          </w:p>
        </w:tc>
        <w:tc>
          <w:tcPr>
            <w:tcW w:w="1921" w:type="pct"/>
          </w:tcPr>
          <w:p w14:paraId="6EF4759A" w14:textId="26F5405E" w:rsidR="00840689" w:rsidRPr="006C3682" w:rsidRDefault="002B556A">
            <w:pPr>
              <w:spacing w:before="60" w:after="60"/>
              <w:rPr>
                <w:sz w:val="22"/>
                <w:highlight w:val="yellow"/>
              </w:rPr>
            </w:pPr>
            <w:r>
              <w:rPr>
                <w:sz w:val="22"/>
                <w:lang w:bidi="ar-SA"/>
              </w:rPr>
              <w:t>A</w:t>
            </w:r>
            <w:r w:rsidR="000A58F3">
              <w:rPr>
                <w:sz w:val="22"/>
                <w:lang w:bidi="ar-SA"/>
              </w:rPr>
              <w:t>n</w:t>
            </w:r>
            <w:r>
              <w:rPr>
                <w:sz w:val="22"/>
                <w:lang w:bidi="ar-SA"/>
              </w:rPr>
              <w:t xml:space="preserve"> </w:t>
            </w:r>
            <w:r w:rsidR="00D43517">
              <w:rPr>
                <w:sz w:val="22"/>
                <w:lang w:bidi="ar-SA"/>
              </w:rPr>
              <w:t>issue</w:t>
            </w:r>
            <w:r w:rsidR="00840689" w:rsidRPr="006C3682">
              <w:rPr>
                <w:sz w:val="22"/>
                <w:lang w:bidi="ar-SA"/>
              </w:rPr>
              <w:t xml:space="preserve"> that should be considered in the EIA</w:t>
            </w:r>
            <w:r>
              <w:rPr>
                <w:sz w:val="22"/>
                <w:lang w:bidi="ar-SA"/>
              </w:rPr>
              <w:t xml:space="preserve"> process</w:t>
            </w:r>
            <w:r w:rsidR="00840689" w:rsidRPr="006C3682">
              <w:rPr>
                <w:sz w:val="22"/>
                <w:lang w:bidi="ar-SA"/>
              </w:rPr>
              <w:t xml:space="preserve"> and documented in the </w:t>
            </w:r>
            <w:r>
              <w:rPr>
                <w:sz w:val="22"/>
                <w:lang w:bidi="ar-SA"/>
              </w:rPr>
              <w:t>application</w:t>
            </w:r>
            <w:r w:rsidR="00840689" w:rsidRPr="006C3682">
              <w:rPr>
                <w:sz w:val="22"/>
                <w:lang w:bidi="ar-SA"/>
              </w:rPr>
              <w:t xml:space="preserve">. </w:t>
            </w:r>
            <w:r w:rsidR="00731946" w:rsidRPr="006C3682">
              <w:rPr>
                <w:sz w:val="22"/>
                <w:lang w:bidi="ar-SA"/>
              </w:rPr>
              <w:t>If not addressed,</w:t>
            </w:r>
            <w:r w:rsidR="002220F9">
              <w:rPr>
                <w:sz w:val="22"/>
                <w:lang w:bidi="ar-SA"/>
              </w:rPr>
              <w:t xml:space="preserve"> the application could be </w:t>
            </w:r>
            <w:r w:rsidR="002351AB">
              <w:rPr>
                <w:sz w:val="22"/>
                <w:lang w:bidi="ar-SA"/>
              </w:rPr>
              <w:t>vulnerable to chal</w:t>
            </w:r>
            <w:r w:rsidR="00C37150">
              <w:rPr>
                <w:sz w:val="22"/>
                <w:lang w:bidi="ar-SA"/>
              </w:rPr>
              <w:t>lenge</w:t>
            </w:r>
            <w:r w:rsidR="00883DBA">
              <w:rPr>
                <w:sz w:val="22"/>
                <w:lang w:bidi="ar-SA"/>
              </w:rPr>
              <w:t xml:space="preserve"> </w:t>
            </w:r>
            <w:r w:rsidR="00CC30DE">
              <w:rPr>
                <w:sz w:val="22"/>
                <w:lang w:bidi="ar-SA"/>
              </w:rPr>
              <w:t>and/or</w:t>
            </w:r>
            <w:r w:rsidR="00883DBA">
              <w:rPr>
                <w:sz w:val="22"/>
                <w:lang w:bidi="ar-SA"/>
              </w:rPr>
              <w:t xml:space="preserve"> requests for further evidence</w:t>
            </w:r>
            <w:r w:rsidR="007C7116">
              <w:rPr>
                <w:sz w:val="22"/>
                <w:lang w:bidi="ar-SA"/>
              </w:rPr>
              <w:t>.</w:t>
            </w:r>
            <w:r w:rsidR="00731946" w:rsidRPr="006C3682">
              <w:rPr>
                <w:sz w:val="22"/>
                <w:lang w:bidi="ar-SA"/>
              </w:rPr>
              <w:t xml:space="preserve"> </w:t>
            </w:r>
          </w:p>
        </w:tc>
      </w:tr>
      <w:tr w:rsidR="00335207" w:rsidRPr="006C3682" w14:paraId="5EC0764F" w14:textId="77777777" w:rsidTr="173648A1">
        <w:tc>
          <w:tcPr>
            <w:tcW w:w="864" w:type="pct"/>
          </w:tcPr>
          <w:p w14:paraId="34F82A3E" w14:textId="4E987239" w:rsidR="00840689" w:rsidRPr="006C3682" w:rsidRDefault="00840689">
            <w:pPr>
              <w:spacing w:before="60" w:after="60"/>
              <w:rPr>
                <w:sz w:val="22"/>
                <w:highlight w:val="yellow"/>
              </w:rPr>
            </w:pPr>
            <w:r w:rsidRPr="006C3682">
              <w:rPr>
                <w:sz w:val="22"/>
              </w:rPr>
              <w:t xml:space="preserve">Comment </w:t>
            </w:r>
          </w:p>
        </w:tc>
        <w:tc>
          <w:tcPr>
            <w:tcW w:w="1921" w:type="pct"/>
          </w:tcPr>
          <w:p w14:paraId="2F796265" w14:textId="112A5C30" w:rsidR="00840689" w:rsidRPr="006C3682" w:rsidRDefault="001A06C4">
            <w:pPr>
              <w:spacing w:before="60" w:after="60"/>
              <w:rPr>
                <w:sz w:val="22"/>
                <w:highlight w:val="yellow"/>
              </w:rPr>
            </w:pPr>
            <w:r>
              <w:rPr>
                <w:sz w:val="22"/>
                <w:lang w:bidi="ar-SA"/>
              </w:rPr>
              <w:t>A m</w:t>
            </w:r>
            <w:r w:rsidR="00840689" w:rsidRPr="006C3682">
              <w:rPr>
                <w:sz w:val="22"/>
                <w:lang w:bidi="ar-SA"/>
              </w:rPr>
              <w:t xml:space="preserve">inor </w:t>
            </w:r>
            <w:r w:rsidR="000A58F3">
              <w:rPr>
                <w:sz w:val="22"/>
                <w:lang w:bidi="ar-SA"/>
              </w:rPr>
              <w:t>issue</w:t>
            </w:r>
            <w:r w:rsidR="00840689" w:rsidRPr="006C3682">
              <w:rPr>
                <w:sz w:val="22"/>
                <w:lang w:bidi="ar-SA"/>
              </w:rPr>
              <w:t xml:space="preserve"> that could be considered in the EIA</w:t>
            </w:r>
            <w:r>
              <w:rPr>
                <w:sz w:val="22"/>
                <w:lang w:bidi="ar-SA"/>
              </w:rPr>
              <w:t xml:space="preserve"> process</w:t>
            </w:r>
            <w:r w:rsidR="00840689" w:rsidRPr="006C3682">
              <w:rPr>
                <w:sz w:val="22"/>
                <w:lang w:bidi="ar-SA"/>
              </w:rPr>
              <w:t xml:space="preserve"> and </w:t>
            </w:r>
            <w:r>
              <w:rPr>
                <w:sz w:val="22"/>
                <w:lang w:bidi="ar-SA"/>
              </w:rPr>
              <w:t>documented</w:t>
            </w:r>
            <w:r w:rsidR="00840689" w:rsidRPr="006C3682">
              <w:rPr>
                <w:sz w:val="22"/>
                <w:lang w:bidi="ar-SA"/>
              </w:rPr>
              <w:t xml:space="preserve"> in the </w:t>
            </w:r>
            <w:r w:rsidR="007D6689">
              <w:rPr>
                <w:sz w:val="22"/>
                <w:lang w:bidi="ar-SA"/>
              </w:rPr>
              <w:t>application</w:t>
            </w:r>
            <w:r w:rsidR="00840689" w:rsidRPr="006C3682">
              <w:rPr>
                <w:sz w:val="22"/>
                <w:lang w:bidi="ar-SA"/>
              </w:rPr>
              <w:t>.</w:t>
            </w:r>
            <w:r w:rsidR="00840689" w:rsidRPr="006C3682">
              <w:rPr>
                <w:sz w:val="22"/>
              </w:rPr>
              <w:t xml:space="preserve"> </w:t>
            </w:r>
          </w:p>
        </w:tc>
      </w:tr>
    </w:tbl>
    <w:p w14:paraId="2F2D67C0" w14:textId="77777777" w:rsidR="004B5092" w:rsidRPr="006C3682" w:rsidRDefault="004B5092" w:rsidP="0057128F">
      <w:pPr>
        <w:pStyle w:val="TableText"/>
        <w:rPr>
          <w:b/>
          <w:bCs/>
        </w:rPr>
      </w:pPr>
    </w:p>
    <w:p w14:paraId="59E26C84" w14:textId="0927B73D" w:rsidR="007C05ED" w:rsidRPr="006C3682" w:rsidRDefault="002B275A" w:rsidP="0057128F">
      <w:pPr>
        <w:pStyle w:val="TableText"/>
        <w:rPr>
          <w:b/>
          <w:bCs/>
        </w:rPr>
      </w:pPr>
      <w:r w:rsidRPr="006C3682">
        <w:rPr>
          <w:b/>
          <w:bCs/>
        </w:rPr>
        <w:t xml:space="preserve">Table 2: </w:t>
      </w:r>
      <w:r w:rsidR="00651DBA">
        <w:rPr>
          <w:b/>
          <w:bCs/>
        </w:rPr>
        <w:t>Feedback t</w:t>
      </w:r>
      <w:r w:rsidRPr="006C3682">
        <w:rPr>
          <w:b/>
          <w:bCs/>
        </w:rPr>
        <w:t xml:space="preserve">hemes </w:t>
      </w:r>
    </w:p>
    <w:tbl>
      <w:tblPr>
        <w:tblStyle w:val="ONRTable1"/>
        <w:tblW w:w="5000" w:type="pct"/>
        <w:tblInd w:w="0" w:type="dxa"/>
        <w:tblLook w:val="01E0" w:firstRow="1" w:lastRow="1" w:firstColumn="1" w:lastColumn="1" w:noHBand="0" w:noVBand="0"/>
      </w:tblPr>
      <w:tblGrid>
        <w:gridCol w:w="2800"/>
        <w:gridCol w:w="6226"/>
      </w:tblGrid>
      <w:tr w:rsidR="006552D8" w:rsidRPr="006C3682" w14:paraId="35F9A21D" w14:textId="77777777" w:rsidTr="002B275A">
        <w:trPr>
          <w:cnfStyle w:val="100000000000" w:firstRow="1" w:lastRow="0" w:firstColumn="0" w:lastColumn="0" w:oddVBand="0" w:evenVBand="0" w:oddHBand="0" w:evenHBand="0" w:firstRowFirstColumn="0" w:firstRowLastColumn="0" w:lastRowFirstColumn="0" w:lastRowLastColumn="0"/>
        </w:trPr>
        <w:tc>
          <w:tcPr>
            <w:tcW w:w="1551" w:type="pct"/>
          </w:tcPr>
          <w:p w14:paraId="5FDB298F" w14:textId="77777777" w:rsidR="00256638" w:rsidRPr="006C3682" w:rsidRDefault="00256638">
            <w:pPr>
              <w:spacing w:before="60" w:after="60"/>
              <w:rPr>
                <w:sz w:val="22"/>
              </w:rPr>
            </w:pPr>
            <w:r w:rsidRPr="006C3682">
              <w:rPr>
                <w:sz w:val="22"/>
              </w:rPr>
              <w:t xml:space="preserve">Term </w:t>
            </w:r>
          </w:p>
        </w:tc>
        <w:tc>
          <w:tcPr>
            <w:tcW w:w="3449" w:type="pct"/>
          </w:tcPr>
          <w:p w14:paraId="75D6369A" w14:textId="77777777" w:rsidR="00256638" w:rsidRPr="006C3682" w:rsidRDefault="00256638">
            <w:pPr>
              <w:spacing w:before="60" w:after="60"/>
              <w:rPr>
                <w:sz w:val="22"/>
              </w:rPr>
            </w:pPr>
            <w:r w:rsidRPr="006C3682">
              <w:rPr>
                <w:sz w:val="22"/>
              </w:rPr>
              <w:t xml:space="preserve">Description  </w:t>
            </w:r>
          </w:p>
        </w:tc>
      </w:tr>
      <w:tr w:rsidR="00335207" w:rsidRPr="006C3682" w14:paraId="4108C4D7" w14:textId="77777777" w:rsidTr="002B275A">
        <w:tc>
          <w:tcPr>
            <w:tcW w:w="1551" w:type="pct"/>
          </w:tcPr>
          <w:p w14:paraId="44CD093A" w14:textId="21A42D40" w:rsidR="00256638" w:rsidRPr="006C3682" w:rsidRDefault="002B275A" w:rsidP="00EC4894">
            <w:pPr>
              <w:spacing w:before="60" w:after="60"/>
              <w:rPr>
                <w:sz w:val="22"/>
                <w:highlight w:val="yellow"/>
              </w:rPr>
            </w:pPr>
            <w:r w:rsidRPr="006C3682">
              <w:rPr>
                <w:sz w:val="22"/>
              </w:rPr>
              <w:t>Structure</w:t>
            </w:r>
          </w:p>
        </w:tc>
        <w:tc>
          <w:tcPr>
            <w:tcW w:w="3449" w:type="pct"/>
          </w:tcPr>
          <w:p w14:paraId="08E7D5FB" w14:textId="503BC24B" w:rsidR="00256638" w:rsidRPr="006C3682" w:rsidRDefault="00A054C0" w:rsidP="00EC4894">
            <w:pPr>
              <w:spacing w:before="60" w:after="60"/>
              <w:rPr>
                <w:sz w:val="22"/>
                <w:highlight w:val="yellow"/>
              </w:rPr>
            </w:pPr>
            <w:r w:rsidRPr="006C3682">
              <w:rPr>
                <w:sz w:val="22"/>
              </w:rPr>
              <w:t>A comment focussed on ho</w:t>
            </w:r>
            <w:r w:rsidR="00EC4894" w:rsidRPr="006C3682">
              <w:rPr>
                <w:sz w:val="22"/>
              </w:rPr>
              <w:t xml:space="preserve">w the scoping exercise has been reported and structured. </w:t>
            </w:r>
            <w:r w:rsidR="009B12F5" w:rsidRPr="006C3682">
              <w:rPr>
                <w:sz w:val="22"/>
              </w:rPr>
              <w:t xml:space="preserve">This </w:t>
            </w:r>
            <w:r w:rsidR="007729E6" w:rsidRPr="006C3682">
              <w:rPr>
                <w:sz w:val="22"/>
              </w:rPr>
              <w:t>includes</w:t>
            </w:r>
            <w:r w:rsidR="009B12F5" w:rsidRPr="006C3682">
              <w:rPr>
                <w:sz w:val="22"/>
              </w:rPr>
              <w:t xml:space="preserve"> c</w:t>
            </w:r>
            <w:r w:rsidR="00EC4894" w:rsidRPr="006C3682">
              <w:rPr>
                <w:sz w:val="22"/>
              </w:rPr>
              <w:t xml:space="preserve">omments regarding proportionality of the </w:t>
            </w:r>
            <w:r w:rsidR="001F056C" w:rsidRPr="006C3682">
              <w:rPr>
                <w:sz w:val="22"/>
              </w:rPr>
              <w:t xml:space="preserve">scoping report </w:t>
            </w:r>
            <w:r w:rsidR="00EC4894" w:rsidRPr="006C3682">
              <w:rPr>
                <w:sz w:val="22"/>
              </w:rPr>
              <w:t>and ES</w:t>
            </w:r>
            <w:r w:rsidR="00457802" w:rsidRPr="006C3682">
              <w:rPr>
                <w:sz w:val="22"/>
              </w:rPr>
              <w:t>,</w:t>
            </w:r>
            <w:r w:rsidR="009B12F5" w:rsidRPr="006C3682">
              <w:rPr>
                <w:sz w:val="22"/>
              </w:rPr>
              <w:t xml:space="preserve"> i</w:t>
            </w:r>
            <w:r w:rsidR="00EC4894" w:rsidRPr="006C3682">
              <w:rPr>
                <w:sz w:val="22"/>
              </w:rPr>
              <w:t>nformation presented on figures</w:t>
            </w:r>
            <w:r w:rsidR="00457802" w:rsidRPr="006C3682">
              <w:rPr>
                <w:sz w:val="22"/>
              </w:rPr>
              <w:t>,</w:t>
            </w:r>
            <w:r w:rsidR="009B12F5" w:rsidRPr="006C3682">
              <w:rPr>
                <w:sz w:val="22"/>
              </w:rPr>
              <w:t xml:space="preserve"> i</w:t>
            </w:r>
            <w:r w:rsidR="00EC4894" w:rsidRPr="006C3682">
              <w:rPr>
                <w:sz w:val="22"/>
              </w:rPr>
              <w:t xml:space="preserve">nformation provided to support the </w:t>
            </w:r>
            <w:r w:rsidR="0049613C">
              <w:rPr>
                <w:sz w:val="22"/>
              </w:rPr>
              <w:t>scoping report</w:t>
            </w:r>
            <w:r w:rsidR="00457802" w:rsidRPr="006C3682">
              <w:rPr>
                <w:sz w:val="22"/>
              </w:rPr>
              <w:t>, and i</w:t>
            </w:r>
            <w:r w:rsidR="00EC4894" w:rsidRPr="006C3682">
              <w:rPr>
                <w:sz w:val="22"/>
              </w:rPr>
              <w:t xml:space="preserve">nconsistencies in the </w:t>
            </w:r>
            <w:r w:rsidR="0049613C">
              <w:rPr>
                <w:sz w:val="22"/>
              </w:rPr>
              <w:t>scoping report</w:t>
            </w:r>
            <w:r w:rsidR="00EC4894" w:rsidRPr="006C3682">
              <w:rPr>
                <w:sz w:val="22"/>
              </w:rPr>
              <w:t xml:space="preserve">. </w:t>
            </w:r>
          </w:p>
        </w:tc>
      </w:tr>
      <w:tr w:rsidR="00335207" w:rsidRPr="006C3682" w14:paraId="0CBFEFD0" w14:textId="77777777" w:rsidTr="002B275A">
        <w:tc>
          <w:tcPr>
            <w:tcW w:w="1551" w:type="pct"/>
          </w:tcPr>
          <w:p w14:paraId="087450F6" w14:textId="097C26AF" w:rsidR="00256638" w:rsidRPr="006C3682" w:rsidRDefault="00EC4894" w:rsidP="00EC4894">
            <w:pPr>
              <w:spacing w:before="60" w:after="60"/>
              <w:rPr>
                <w:sz w:val="22"/>
                <w:highlight w:val="yellow"/>
              </w:rPr>
            </w:pPr>
            <w:r w:rsidRPr="006C3682">
              <w:rPr>
                <w:sz w:val="22"/>
              </w:rPr>
              <w:t>Evidence</w:t>
            </w:r>
          </w:p>
        </w:tc>
        <w:tc>
          <w:tcPr>
            <w:tcW w:w="3449" w:type="pct"/>
          </w:tcPr>
          <w:p w14:paraId="7152B393" w14:textId="1CB43AD6" w:rsidR="00256638" w:rsidRPr="006C3682" w:rsidRDefault="00B92E68" w:rsidP="007177DC">
            <w:pPr>
              <w:spacing w:before="60" w:after="60"/>
              <w:rPr>
                <w:sz w:val="22"/>
              </w:rPr>
            </w:pPr>
            <w:r>
              <w:rPr>
                <w:sz w:val="22"/>
              </w:rPr>
              <w:t>A comment f</w:t>
            </w:r>
            <w:r w:rsidR="007177DC" w:rsidRPr="006C3682">
              <w:rPr>
                <w:sz w:val="22"/>
              </w:rPr>
              <w:t>ocussed on the evidence that has been provided to inform the conclusions of the scoping exercise</w:t>
            </w:r>
            <w:r w:rsidR="00A42546" w:rsidRPr="006C3682">
              <w:rPr>
                <w:sz w:val="22"/>
              </w:rPr>
              <w:t>. F</w:t>
            </w:r>
            <w:r w:rsidR="007177DC" w:rsidRPr="006C3682">
              <w:rPr>
                <w:sz w:val="22"/>
              </w:rPr>
              <w:t>or example</w:t>
            </w:r>
            <w:r w:rsidR="00A42546" w:rsidRPr="006C3682">
              <w:rPr>
                <w:sz w:val="22"/>
              </w:rPr>
              <w:t>,</w:t>
            </w:r>
            <w:r w:rsidR="007177DC" w:rsidRPr="006C3682">
              <w:rPr>
                <w:sz w:val="22"/>
              </w:rPr>
              <w:t xml:space="preserve"> a description of elements of the </w:t>
            </w:r>
            <w:r w:rsidR="00C30067">
              <w:rPr>
                <w:sz w:val="22"/>
              </w:rPr>
              <w:t>p</w:t>
            </w:r>
            <w:r w:rsidR="007177DC" w:rsidRPr="006C3682">
              <w:rPr>
                <w:sz w:val="22"/>
              </w:rPr>
              <w:t xml:space="preserve">roposed </w:t>
            </w:r>
            <w:r w:rsidR="00C30067">
              <w:rPr>
                <w:sz w:val="22"/>
              </w:rPr>
              <w:t>w</w:t>
            </w:r>
            <w:r w:rsidR="007177DC" w:rsidRPr="006C3682">
              <w:rPr>
                <w:sz w:val="22"/>
              </w:rPr>
              <w:t xml:space="preserve">orks such as anticipated numbers of heavy-goods vehicle movements or sufficient baseline to understand the effects. </w:t>
            </w:r>
          </w:p>
        </w:tc>
      </w:tr>
      <w:tr w:rsidR="00335207" w:rsidRPr="006C3682" w14:paraId="2392D94B" w14:textId="77777777" w:rsidTr="002B275A">
        <w:tc>
          <w:tcPr>
            <w:tcW w:w="1551" w:type="pct"/>
          </w:tcPr>
          <w:p w14:paraId="3A5FB722" w14:textId="4BF13818" w:rsidR="00256638" w:rsidRPr="006C3682" w:rsidRDefault="007729E6" w:rsidP="007729E6">
            <w:pPr>
              <w:spacing w:before="60" w:after="60"/>
              <w:rPr>
                <w:sz w:val="22"/>
              </w:rPr>
            </w:pPr>
            <w:r w:rsidRPr="006C3682">
              <w:rPr>
                <w:sz w:val="22"/>
              </w:rPr>
              <w:t xml:space="preserve">Baseline </w:t>
            </w:r>
          </w:p>
        </w:tc>
        <w:tc>
          <w:tcPr>
            <w:tcW w:w="3449" w:type="pct"/>
          </w:tcPr>
          <w:p w14:paraId="05017284" w14:textId="621AA242" w:rsidR="00256638" w:rsidRPr="006C3682" w:rsidRDefault="00440B5A" w:rsidP="00440B5A">
            <w:pPr>
              <w:spacing w:before="60" w:after="60"/>
              <w:rPr>
                <w:sz w:val="22"/>
              </w:rPr>
            </w:pPr>
            <w:r w:rsidRPr="006C3682">
              <w:rPr>
                <w:sz w:val="22"/>
              </w:rPr>
              <w:t xml:space="preserve">A comment focussed on the baseline presented in the </w:t>
            </w:r>
            <w:r w:rsidR="0049613C">
              <w:rPr>
                <w:sz w:val="22"/>
              </w:rPr>
              <w:t>scoping report</w:t>
            </w:r>
            <w:r w:rsidRPr="006C3682">
              <w:rPr>
                <w:sz w:val="22"/>
              </w:rPr>
              <w:t xml:space="preserve">, </w:t>
            </w:r>
            <w:r w:rsidR="00CF0012" w:rsidRPr="006C3682">
              <w:rPr>
                <w:sz w:val="22"/>
              </w:rPr>
              <w:t>for example</w:t>
            </w:r>
            <w:r w:rsidRPr="006C3682">
              <w:rPr>
                <w:sz w:val="22"/>
              </w:rPr>
              <w:t xml:space="preserve"> adequacy, breadth, completeness, data sources. </w:t>
            </w:r>
          </w:p>
        </w:tc>
      </w:tr>
      <w:tr w:rsidR="00C01960" w:rsidRPr="006C3682" w14:paraId="6195FC2C" w14:textId="77777777" w:rsidTr="002B275A">
        <w:tc>
          <w:tcPr>
            <w:tcW w:w="1551" w:type="pct"/>
          </w:tcPr>
          <w:p w14:paraId="21E8EF76" w14:textId="6BF5CFC5" w:rsidR="002B275A" w:rsidRPr="006C3682" w:rsidRDefault="00440B5A" w:rsidP="00440B5A">
            <w:pPr>
              <w:spacing w:before="60" w:after="60"/>
              <w:rPr>
                <w:sz w:val="22"/>
              </w:rPr>
            </w:pPr>
            <w:r w:rsidRPr="006C3682">
              <w:rPr>
                <w:sz w:val="22"/>
              </w:rPr>
              <w:t xml:space="preserve">Future Baseline </w:t>
            </w:r>
          </w:p>
        </w:tc>
        <w:tc>
          <w:tcPr>
            <w:tcW w:w="3449" w:type="pct"/>
          </w:tcPr>
          <w:p w14:paraId="00373918" w14:textId="5A516783" w:rsidR="002B275A" w:rsidRPr="006C3682" w:rsidRDefault="00440B5A" w:rsidP="00440B5A">
            <w:pPr>
              <w:spacing w:before="60" w:after="60"/>
              <w:rPr>
                <w:sz w:val="22"/>
                <w:highlight w:val="yellow"/>
              </w:rPr>
            </w:pPr>
            <w:r w:rsidRPr="006C3682">
              <w:rPr>
                <w:sz w:val="22"/>
              </w:rPr>
              <w:t xml:space="preserve">A comment focussed on the future baseline, for example how it has been determined and any limitations associated with determining it. </w:t>
            </w:r>
          </w:p>
        </w:tc>
      </w:tr>
      <w:tr w:rsidR="00C01960" w:rsidRPr="006C3682" w14:paraId="686F3B29" w14:textId="77777777" w:rsidTr="002B275A">
        <w:tc>
          <w:tcPr>
            <w:tcW w:w="1551" w:type="pct"/>
          </w:tcPr>
          <w:p w14:paraId="51F81580" w14:textId="4EF08BAD" w:rsidR="002B275A" w:rsidRPr="006C3682" w:rsidRDefault="00440B5A" w:rsidP="00440B5A">
            <w:pPr>
              <w:spacing w:before="60" w:after="60"/>
              <w:rPr>
                <w:sz w:val="22"/>
              </w:rPr>
            </w:pPr>
            <w:r w:rsidRPr="006C3682">
              <w:rPr>
                <w:sz w:val="22"/>
              </w:rPr>
              <w:lastRenderedPageBreak/>
              <w:t xml:space="preserve">EIA Methodology </w:t>
            </w:r>
          </w:p>
        </w:tc>
        <w:tc>
          <w:tcPr>
            <w:tcW w:w="3449" w:type="pct"/>
          </w:tcPr>
          <w:p w14:paraId="355DBED8" w14:textId="39B9CFAE" w:rsidR="002B275A" w:rsidRPr="006C3682" w:rsidRDefault="00440B5A" w:rsidP="00440B5A">
            <w:pPr>
              <w:spacing w:before="60" w:after="60"/>
              <w:rPr>
                <w:sz w:val="22"/>
                <w:highlight w:val="yellow"/>
              </w:rPr>
            </w:pPr>
            <w:r w:rsidRPr="006C3682">
              <w:rPr>
                <w:sz w:val="22"/>
              </w:rPr>
              <w:t xml:space="preserve">A comment relating to the proposed EIA methodology, including legislation, policy and guidance referenced, assessment method. </w:t>
            </w:r>
          </w:p>
        </w:tc>
      </w:tr>
      <w:tr w:rsidR="00C01960" w:rsidRPr="006C3682" w14:paraId="4D9F02A0" w14:textId="77777777" w:rsidTr="002B275A">
        <w:tc>
          <w:tcPr>
            <w:tcW w:w="1551" w:type="pct"/>
          </w:tcPr>
          <w:p w14:paraId="0E3D73CE" w14:textId="4C771A44" w:rsidR="002B275A" w:rsidRPr="006C3682" w:rsidRDefault="00440B5A" w:rsidP="00440B5A">
            <w:pPr>
              <w:spacing w:before="60" w:after="60"/>
              <w:rPr>
                <w:sz w:val="22"/>
              </w:rPr>
            </w:pPr>
            <w:r w:rsidRPr="006C3682">
              <w:rPr>
                <w:sz w:val="22"/>
              </w:rPr>
              <w:t xml:space="preserve">Scope Definition </w:t>
            </w:r>
          </w:p>
        </w:tc>
        <w:tc>
          <w:tcPr>
            <w:tcW w:w="3449" w:type="pct"/>
          </w:tcPr>
          <w:p w14:paraId="66906C7E" w14:textId="5E1D2D74" w:rsidR="002B275A" w:rsidRPr="006C3682" w:rsidRDefault="00087A00" w:rsidP="00440B5A">
            <w:pPr>
              <w:spacing w:before="60" w:after="60"/>
              <w:rPr>
                <w:sz w:val="22"/>
                <w:highlight w:val="yellow"/>
              </w:rPr>
            </w:pPr>
            <w:r>
              <w:rPr>
                <w:sz w:val="22"/>
              </w:rPr>
              <w:t>A comment</w:t>
            </w:r>
            <w:r w:rsidR="00AC492B">
              <w:rPr>
                <w:sz w:val="22"/>
              </w:rPr>
              <w:t xml:space="preserve"> </w:t>
            </w:r>
            <w:r w:rsidR="00961FD3">
              <w:rPr>
                <w:sz w:val="22"/>
              </w:rPr>
              <w:t xml:space="preserve">focussed </w:t>
            </w:r>
            <w:r w:rsidR="00AC492B">
              <w:rPr>
                <w:sz w:val="22"/>
              </w:rPr>
              <w:t>on w</w:t>
            </w:r>
            <w:r w:rsidR="00440B5A" w:rsidRPr="006C3682">
              <w:rPr>
                <w:sz w:val="22"/>
              </w:rPr>
              <w:t xml:space="preserve">hat </w:t>
            </w:r>
            <w:r w:rsidR="00AC492B">
              <w:rPr>
                <w:sz w:val="22"/>
              </w:rPr>
              <w:t>should</w:t>
            </w:r>
            <w:r w:rsidR="00E877B4" w:rsidRPr="006C3682">
              <w:rPr>
                <w:sz w:val="22"/>
              </w:rPr>
              <w:t xml:space="preserve"> be assessed in the EIA and </w:t>
            </w:r>
            <w:r w:rsidR="0069097D" w:rsidRPr="006C3682">
              <w:rPr>
                <w:sz w:val="22"/>
              </w:rPr>
              <w:t>included in</w:t>
            </w:r>
            <w:r w:rsidR="00440B5A" w:rsidRPr="006C3682">
              <w:rPr>
                <w:sz w:val="22"/>
              </w:rPr>
              <w:t xml:space="preserve"> the </w:t>
            </w:r>
            <w:r w:rsidR="006E1312">
              <w:rPr>
                <w:sz w:val="22"/>
              </w:rPr>
              <w:t>p</w:t>
            </w:r>
            <w:r w:rsidR="00440B5A" w:rsidRPr="006C3682">
              <w:rPr>
                <w:sz w:val="22"/>
              </w:rPr>
              <w:t xml:space="preserve">roposed </w:t>
            </w:r>
            <w:r w:rsidR="006E1312">
              <w:rPr>
                <w:sz w:val="22"/>
              </w:rPr>
              <w:t>w</w:t>
            </w:r>
            <w:r w:rsidR="00440B5A" w:rsidRPr="006C3682">
              <w:rPr>
                <w:sz w:val="22"/>
              </w:rPr>
              <w:t xml:space="preserve">orks. </w:t>
            </w:r>
          </w:p>
        </w:tc>
      </w:tr>
      <w:tr w:rsidR="00C01960" w:rsidRPr="006C3682" w14:paraId="62F3C779" w14:textId="77777777" w:rsidTr="002B275A">
        <w:tc>
          <w:tcPr>
            <w:tcW w:w="1551" w:type="pct"/>
          </w:tcPr>
          <w:p w14:paraId="6834A0B2" w14:textId="68ECB7BD" w:rsidR="002B275A" w:rsidRPr="006C3682" w:rsidRDefault="003E768C" w:rsidP="003E768C">
            <w:pPr>
              <w:spacing w:before="60" w:after="60"/>
              <w:rPr>
                <w:sz w:val="22"/>
              </w:rPr>
            </w:pPr>
            <w:r w:rsidRPr="006C3682">
              <w:rPr>
                <w:sz w:val="22"/>
              </w:rPr>
              <w:t xml:space="preserve">EIA Scope </w:t>
            </w:r>
          </w:p>
        </w:tc>
        <w:tc>
          <w:tcPr>
            <w:tcW w:w="3449" w:type="pct"/>
          </w:tcPr>
          <w:p w14:paraId="4605AE12" w14:textId="52A76FCD" w:rsidR="002B275A" w:rsidRPr="006C3682" w:rsidRDefault="003E768C" w:rsidP="00FC728E">
            <w:pPr>
              <w:spacing w:before="60" w:after="60"/>
              <w:rPr>
                <w:sz w:val="22"/>
                <w:highlight w:val="yellow"/>
              </w:rPr>
            </w:pPr>
            <w:r w:rsidRPr="006C3682">
              <w:rPr>
                <w:sz w:val="22"/>
              </w:rPr>
              <w:t xml:space="preserve">A comment focussed on how the EIA scope has been defined and if it is deemed suitable, or if the assessment has considered all of the potential effects sufficiently. </w:t>
            </w:r>
            <w:r w:rsidR="00947A99">
              <w:rPr>
                <w:sz w:val="22"/>
              </w:rPr>
              <w:t xml:space="preserve">This includes the spatial scope </w:t>
            </w:r>
            <w:r w:rsidR="00B06873">
              <w:rPr>
                <w:sz w:val="22"/>
                <w:lang w:bidi="ar-SA"/>
              </w:rPr>
              <w:t xml:space="preserve">(the geographical area over which the environmental effects are considered) </w:t>
            </w:r>
            <w:r w:rsidR="00947A99">
              <w:rPr>
                <w:sz w:val="22"/>
              </w:rPr>
              <w:t>and the temporal scope</w:t>
            </w:r>
            <w:r w:rsidR="00FC728E">
              <w:rPr>
                <w:sz w:val="22"/>
              </w:rPr>
              <w:t xml:space="preserve"> (</w:t>
            </w:r>
            <w:r w:rsidR="00FC728E" w:rsidRPr="00FC728E">
              <w:rPr>
                <w:sz w:val="22"/>
              </w:rPr>
              <w:t xml:space="preserve">the time period over which </w:t>
            </w:r>
            <w:r w:rsidR="00FC728E">
              <w:rPr>
                <w:sz w:val="22"/>
              </w:rPr>
              <w:t xml:space="preserve">the </w:t>
            </w:r>
            <w:r w:rsidR="00FC728E" w:rsidRPr="00FC728E">
              <w:rPr>
                <w:sz w:val="22"/>
              </w:rPr>
              <w:t>environmental effects are considered</w:t>
            </w:r>
            <w:r w:rsidR="00FC728E">
              <w:rPr>
                <w:sz w:val="22"/>
              </w:rPr>
              <w:t>)</w:t>
            </w:r>
            <w:r w:rsidR="00947A99">
              <w:rPr>
                <w:sz w:val="22"/>
              </w:rPr>
              <w:t>.</w:t>
            </w:r>
          </w:p>
        </w:tc>
      </w:tr>
      <w:tr w:rsidR="00BE2D52" w:rsidRPr="006C3682" w14:paraId="75DDEA71" w14:textId="77777777" w:rsidTr="002B275A">
        <w:tc>
          <w:tcPr>
            <w:tcW w:w="1551" w:type="pct"/>
          </w:tcPr>
          <w:p w14:paraId="57041D48" w14:textId="5AAC40BE" w:rsidR="002B275A" w:rsidRPr="006C3682" w:rsidRDefault="003E768C" w:rsidP="003E768C">
            <w:pPr>
              <w:spacing w:before="60" w:after="60"/>
              <w:rPr>
                <w:sz w:val="22"/>
              </w:rPr>
            </w:pPr>
            <w:r w:rsidRPr="006C3682">
              <w:rPr>
                <w:sz w:val="22"/>
              </w:rPr>
              <w:t xml:space="preserve">Assessment Interactions </w:t>
            </w:r>
          </w:p>
        </w:tc>
        <w:tc>
          <w:tcPr>
            <w:tcW w:w="3449" w:type="pct"/>
          </w:tcPr>
          <w:p w14:paraId="53E43BFB" w14:textId="55A7B4BD" w:rsidR="002B275A" w:rsidRPr="006C3682" w:rsidRDefault="00AF1171" w:rsidP="003E768C">
            <w:pPr>
              <w:spacing w:before="60" w:after="60"/>
              <w:rPr>
                <w:sz w:val="22"/>
              </w:rPr>
            </w:pPr>
            <w:r>
              <w:rPr>
                <w:sz w:val="22"/>
              </w:rPr>
              <w:t xml:space="preserve">A comment made where </w:t>
            </w:r>
            <w:r w:rsidRPr="006C3682">
              <w:rPr>
                <w:sz w:val="22"/>
              </w:rPr>
              <w:t>other assessments have been referred</w:t>
            </w:r>
            <w:r w:rsidR="00B21997">
              <w:rPr>
                <w:sz w:val="22"/>
              </w:rPr>
              <w:t xml:space="preserve"> to (for example, HRA), since</w:t>
            </w:r>
            <w:r w:rsidRPr="006C3682">
              <w:rPr>
                <w:sz w:val="22"/>
              </w:rPr>
              <w:t xml:space="preserve"> </w:t>
            </w:r>
            <w:r w:rsidR="003E768C" w:rsidRPr="006C3682">
              <w:rPr>
                <w:sz w:val="22"/>
              </w:rPr>
              <w:t>EIADR requires co-ordination between assessments</w:t>
            </w:r>
            <w:r w:rsidR="00B21997">
              <w:rPr>
                <w:sz w:val="22"/>
              </w:rPr>
              <w:t>.</w:t>
            </w:r>
            <w:r w:rsidR="003E768C" w:rsidRPr="006C3682">
              <w:rPr>
                <w:sz w:val="22"/>
              </w:rPr>
              <w:t xml:space="preserve"> </w:t>
            </w:r>
          </w:p>
        </w:tc>
      </w:tr>
      <w:tr w:rsidR="00BE2D52" w:rsidRPr="006C3682" w14:paraId="20C2C58E" w14:textId="77777777" w:rsidTr="002B275A">
        <w:tc>
          <w:tcPr>
            <w:tcW w:w="1551" w:type="pct"/>
          </w:tcPr>
          <w:p w14:paraId="5D77DE38" w14:textId="730FFF38" w:rsidR="002B275A" w:rsidRPr="006C3682" w:rsidRDefault="003E768C" w:rsidP="003E768C">
            <w:pPr>
              <w:spacing w:before="60" w:after="60"/>
              <w:rPr>
                <w:sz w:val="22"/>
              </w:rPr>
            </w:pPr>
            <w:r w:rsidRPr="006C3682">
              <w:rPr>
                <w:sz w:val="22"/>
              </w:rPr>
              <w:t xml:space="preserve">Uncertainty </w:t>
            </w:r>
          </w:p>
        </w:tc>
        <w:tc>
          <w:tcPr>
            <w:tcW w:w="3449" w:type="pct"/>
          </w:tcPr>
          <w:p w14:paraId="5A94FD35" w14:textId="7D380943" w:rsidR="002B275A" w:rsidRPr="006C3682" w:rsidRDefault="003E768C" w:rsidP="003E768C">
            <w:pPr>
              <w:spacing w:before="60" w:after="60"/>
              <w:rPr>
                <w:sz w:val="22"/>
                <w:highlight w:val="yellow"/>
              </w:rPr>
            </w:pPr>
            <w:r w:rsidRPr="006C3682">
              <w:rPr>
                <w:sz w:val="22"/>
              </w:rPr>
              <w:t xml:space="preserve">A comment focussed on the approach and method of managing uncertainty and limitations, as well as comments on assumptions and limitations reported in the </w:t>
            </w:r>
            <w:r w:rsidR="00CF68AE">
              <w:rPr>
                <w:sz w:val="22"/>
              </w:rPr>
              <w:t>scoping report</w:t>
            </w:r>
            <w:r w:rsidRPr="006C3682">
              <w:rPr>
                <w:sz w:val="22"/>
              </w:rPr>
              <w:t xml:space="preserve"> or will likely occur during the EIA. </w:t>
            </w:r>
          </w:p>
        </w:tc>
      </w:tr>
      <w:tr w:rsidR="00BE2D52" w:rsidRPr="006C3682" w14:paraId="26EA7F77" w14:textId="77777777" w:rsidTr="002B275A">
        <w:tc>
          <w:tcPr>
            <w:tcW w:w="1551" w:type="pct"/>
          </w:tcPr>
          <w:p w14:paraId="6B219041" w14:textId="35E94065" w:rsidR="002B275A" w:rsidRPr="006C3682" w:rsidRDefault="00F6701C" w:rsidP="00F6701C">
            <w:pPr>
              <w:spacing w:before="60" w:after="60"/>
              <w:rPr>
                <w:sz w:val="22"/>
              </w:rPr>
            </w:pPr>
            <w:r w:rsidRPr="006C3682">
              <w:rPr>
                <w:sz w:val="22"/>
              </w:rPr>
              <w:t xml:space="preserve">Clarity </w:t>
            </w:r>
          </w:p>
        </w:tc>
        <w:tc>
          <w:tcPr>
            <w:tcW w:w="3449" w:type="pct"/>
          </w:tcPr>
          <w:p w14:paraId="01A80C3F" w14:textId="3E69D19F" w:rsidR="002B275A" w:rsidRPr="006C3682" w:rsidRDefault="00F6701C" w:rsidP="00F6701C">
            <w:pPr>
              <w:spacing w:before="60" w:after="60"/>
              <w:rPr>
                <w:sz w:val="22"/>
                <w:highlight w:val="yellow"/>
              </w:rPr>
            </w:pPr>
            <w:r w:rsidRPr="006C3682">
              <w:rPr>
                <w:sz w:val="22"/>
              </w:rPr>
              <w:t xml:space="preserve">A comment made where clarity is needed in the reporting of the </w:t>
            </w:r>
            <w:r w:rsidR="00CF68AE">
              <w:rPr>
                <w:sz w:val="22"/>
              </w:rPr>
              <w:t>scoping report</w:t>
            </w:r>
            <w:r w:rsidRPr="006C3682">
              <w:rPr>
                <w:sz w:val="22"/>
              </w:rPr>
              <w:t xml:space="preserve"> or the points being made in the </w:t>
            </w:r>
            <w:r w:rsidR="00CF68AE">
              <w:rPr>
                <w:sz w:val="22"/>
              </w:rPr>
              <w:t>scoping report</w:t>
            </w:r>
            <w:r w:rsidRPr="006C3682">
              <w:rPr>
                <w:sz w:val="22"/>
              </w:rPr>
              <w:t xml:space="preserve">. </w:t>
            </w:r>
          </w:p>
        </w:tc>
      </w:tr>
      <w:tr w:rsidR="00BE2D52" w:rsidRPr="006C3682" w14:paraId="4FD6DF22" w14:textId="77777777" w:rsidTr="002B275A">
        <w:tc>
          <w:tcPr>
            <w:tcW w:w="1551" w:type="pct"/>
          </w:tcPr>
          <w:p w14:paraId="0D28C303" w14:textId="40186167" w:rsidR="002B275A" w:rsidRPr="006C3682" w:rsidRDefault="00F6701C" w:rsidP="00F6701C">
            <w:pPr>
              <w:spacing w:before="60" w:after="60"/>
              <w:rPr>
                <w:sz w:val="22"/>
              </w:rPr>
            </w:pPr>
            <w:r w:rsidRPr="006C3682">
              <w:rPr>
                <w:sz w:val="22"/>
              </w:rPr>
              <w:t xml:space="preserve">Omission </w:t>
            </w:r>
          </w:p>
        </w:tc>
        <w:tc>
          <w:tcPr>
            <w:tcW w:w="3449" w:type="pct"/>
          </w:tcPr>
          <w:p w14:paraId="6FCE13B4" w14:textId="613213A4" w:rsidR="002B275A" w:rsidRPr="006C3682" w:rsidRDefault="00FB0505" w:rsidP="00F6701C">
            <w:pPr>
              <w:spacing w:before="60" w:after="60"/>
              <w:rPr>
                <w:sz w:val="22"/>
              </w:rPr>
            </w:pPr>
            <w:r>
              <w:rPr>
                <w:sz w:val="22"/>
              </w:rPr>
              <w:t xml:space="preserve">A comment made </w:t>
            </w:r>
            <w:r w:rsidR="0035773B">
              <w:rPr>
                <w:sz w:val="22"/>
              </w:rPr>
              <w:t>where i</w:t>
            </w:r>
            <w:r w:rsidR="00F6701C" w:rsidRPr="006C3682">
              <w:rPr>
                <w:sz w:val="22"/>
              </w:rPr>
              <w:t xml:space="preserve">nformation </w:t>
            </w:r>
            <w:r w:rsidR="0035773B">
              <w:rPr>
                <w:sz w:val="22"/>
              </w:rPr>
              <w:t>is</w:t>
            </w:r>
            <w:r w:rsidR="00F6701C" w:rsidRPr="006C3682">
              <w:rPr>
                <w:sz w:val="22"/>
              </w:rPr>
              <w:t xml:space="preserve"> potentially missing from the </w:t>
            </w:r>
            <w:r w:rsidR="00CF68AE">
              <w:rPr>
                <w:sz w:val="22"/>
              </w:rPr>
              <w:t>scoping report</w:t>
            </w:r>
            <w:r w:rsidR="00F6701C" w:rsidRPr="006C3682">
              <w:rPr>
                <w:sz w:val="22"/>
              </w:rPr>
              <w:t xml:space="preserve">. </w:t>
            </w:r>
          </w:p>
        </w:tc>
      </w:tr>
    </w:tbl>
    <w:p w14:paraId="29254B47" w14:textId="3C3F25C0" w:rsidR="00D563FC" w:rsidRDefault="00D563FC" w:rsidP="00BE2D52">
      <w:pPr>
        <w:pStyle w:val="Heading2"/>
      </w:pPr>
      <w:r>
        <w:t xml:space="preserve">EIA </w:t>
      </w:r>
      <w:r w:rsidR="00E57D48">
        <w:t>c</w:t>
      </w:r>
      <w:r>
        <w:t>hapters</w:t>
      </w:r>
    </w:p>
    <w:p w14:paraId="5C75F028" w14:textId="308A7592" w:rsidR="00D563FC" w:rsidRDefault="00D563FC" w:rsidP="002F52E2">
      <w:pPr>
        <w:pStyle w:val="Numberedparagraph"/>
      </w:pPr>
      <w:r>
        <w:t>ONR’s f</w:t>
      </w:r>
      <w:r w:rsidRPr="006C3682">
        <w:t>eedback</w:t>
      </w:r>
      <w:r>
        <w:t xml:space="preserve"> on the EIA</w:t>
      </w:r>
      <w:r w:rsidRPr="006C3682">
        <w:t xml:space="preserve"> </w:t>
      </w:r>
      <w:r w:rsidR="00E57D48">
        <w:t xml:space="preserve">chapters </w:t>
      </w:r>
      <w:r>
        <w:t>is presented</w:t>
      </w:r>
      <w:r w:rsidRPr="006C3682">
        <w:t xml:space="preserve"> in alignment with the chapters</w:t>
      </w:r>
      <w:r>
        <w:t xml:space="preserve"> of the scoping report</w:t>
      </w:r>
      <w:r w:rsidRPr="006C3682">
        <w:t xml:space="preserve">. </w:t>
      </w:r>
      <w:r w:rsidR="00C32ECC">
        <w:t>Table 3</w:t>
      </w:r>
      <w:r w:rsidRPr="006C3682">
        <w:t xml:space="preserve"> details </w:t>
      </w:r>
      <w:r>
        <w:t>our opinion</w:t>
      </w:r>
      <w:r w:rsidRPr="006C3682">
        <w:t xml:space="preserve"> on </w:t>
      </w:r>
      <w:r w:rsidR="001B4C25">
        <w:t>C</w:t>
      </w:r>
      <w:r w:rsidRPr="006C3682">
        <w:t xml:space="preserve">hapters 1-5, the introductory chapters, and </w:t>
      </w:r>
      <w:r w:rsidR="00C32ECC">
        <w:t>Table 4</w:t>
      </w:r>
      <w:r w:rsidRPr="006C3682">
        <w:t xml:space="preserve"> details </w:t>
      </w:r>
      <w:r>
        <w:t>our opinion</w:t>
      </w:r>
      <w:r w:rsidRPr="006C3682">
        <w:t xml:space="preserve"> on </w:t>
      </w:r>
      <w:r w:rsidR="001B4C25">
        <w:t>C</w:t>
      </w:r>
      <w:r w:rsidRPr="006C3682">
        <w:t xml:space="preserve">hapters 6-20, the technical topic areas. </w:t>
      </w:r>
    </w:p>
    <w:p w14:paraId="7B98B646" w14:textId="77777777" w:rsidR="00901EBC" w:rsidRPr="00D563FC" w:rsidRDefault="00901EBC" w:rsidP="00901EBC">
      <w:pPr>
        <w:pStyle w:val="NumberedParagraph0"/>
        <w:numPr>
          <w:ilvl w:val="0"/>
          <w:numId w:val="0"/>
        </w:numPr>
        <w:ind w:left="360"/>
      </w:pPr>
    </w:p>
    <w:p w14:paraId="7D04AA03" w14:textId="21D02CCA" w:rsidR="00397D9F" w:rsidRPr="00397D9F" w:rsidRDefault="00397D9F" w:rsidP="00397D9F">
      <w:pPr>
        <w:pStyle w:val="Caption"/>
        <w:keepNext/>
        <w:rPr>
          <w:sz w:val="24"/>
          <w:szCs w:val="24"/>
        </w:rPr>
      </w:pPr>
      <w:r w:rsidRPr="00397D9F">
        <w:rPr>
          <w:sz w:val="24"/>
          <w:szCs w:val="24"/>
        </w:rPr>
        <w:t xml:space="preserve">Table </w:t>
      </w:r>
      <w:r w:rsidR="00824AFE">
        <w:rPr>
          <w:sz w:val="24"/>
          <w:szCs w:val="24"/>
        </w:rPr>
        <w:t xml:space="preserve">3: </w:t>
      </w:r>
      <w:r w:rsidR="002F1A7C">
        <w:rPr>
          <w:sz w:val="24"/>
          <w:szCs w:val="24"/>
        </w:rPr>
        <w:t xml:space="preserve">Opinion on </w:t>
      </w:r>
      <w:r w:rsidR="00824AFE" w:rsidRPr="00824AFE">
        <w:rPr>
          <w:noProof/>
          <w:sz w:val="24"/>
          <w:szCs w:val="24"/>
        </w:rPr>
        <w:t xml:space="preserve">Chapters 1–5: </w:t>
      </w:r>
      <w:r w:rsidR="00824AFE">
        <w:rPr>
          <w:noProof/>
          <w:sz w:val="24"/>
          <w:szCs w:val="24"/>
        </w:rPr>
        <w:t>(</w:t>
      </w:r>
      <w:r w:rsidR="00C32ECC">
        <w:rPr>
          <w:noProof/>
          <w:sz w:val="24"/>
          <w:szCs w:val="24"/>
        </w:rPr>
        <w:t>i</w:t>
      </w:r>
      <w:r w:rsidR="00824AFE" w:rsidRPr="00824AFE">
        <w:rPr>
          <w:noProof/>
          <w:sz w:val="24"/>
          <w:szCs w:val="24"/>
        </w:rPr>
        <w:t xml:space="preserve">ntroductory </w:t>
      </w:r>
      <w:r w:rsidR="004509C6">
        <w:rPr>
          <w:noProof/>
          <w:sz w:val="24"/>
          <w:szCs w:val="24"/>
        </w:rPr>
        <w:t>c</w:t>
      </w:r>
      <w:r w:rsidR="00824AFE" w:rsidRPr="00824AFE">
        <w:rPr>
          <w:noProof/>
          <w:sz w:val="24"/>
          <w:szCs w:val="24"/>
        </w:rPr>
        <w:t>hapters</w:t>
      </w:r>
      <w:r w:rsidR="00824AFE">
        <w:rPr>
          <w:noProof/>
          <w:sz w:val="24"/>
          <w:szCs w:val="24"/>
        </w:rPr>
        <w:t>)</w:t>
      </w:r>
      <w:r w:rsidR="00824AFE" w:rsidRPr="00824AFE">
        <w:rPr>
          <w:noProof/>
          <w:sz w:val="24"/>
          <w:szCs w:val="24"/>
        </w:rPr>
        <w:t xml:space="preserve"> </w:t>
      </w:r>
    </w:p>
    <w:tbl>
      <w:tblPr>
        <w:tblStyle w:val="ONRTable1"/>
        <w:tblW w:w="9026" w:type="dxa"/>
        <w:tblInd w:w="0" w:type="dxa"/>
        <w:tblLook w:val="01E0" w:firstRow="1" w:lastRow="1" w:firstColumn="1" w:lastColumn="1" w:noHBand="0" w:noVBand="0"/>
      </w:tblPr>
      <w:tblGrid>
        <w:gridCol w:w="1706"/>
        <w:gridCol w:w="2265"/>
        <w:gridCol w:w="5055"/>
      </w:tblGrid>
      <w:tr w:rsidR="000F09B9" w:rsidRPr="006C3682" w14:paraId="49D37186" w14:textId="77777777" w:rsidTr="009D073E">
        <w:trPr>
          <w:cnfStyle w:val="100000000000" w:firstRow="1" w:lastRow="0" w:firstColumn="0" w:lastColumn="0" w:oddVBand="0" w:evenVBand="0" w:oddHBand="0" w:evenHBand="0" w:firstRowFirstColumn="0" w:firstRowLastColumn="0" w:lastRowFirstColumn="0" w:lastRowLastColumn="0"/>
          <w:trHeight w:val="300"/>
        </w:trPr>
        <w:tc>
          <w:tcPr>
            <w:tcW w:w="1706" w:type="dxa"/>
          </w:tcPr>
          <w:p w14:paraId="17B3DAFD" w14:textId="77777777" w:rsidR="000F09B9" w:rsidRPr="006C3682" w:rsidRDefault="000F09B9">
            <w:pPr>
              <w:spacing w:before="60" w:after="60"/>
              <w:rPr>
                <w:sz w:val="22"/>
              </w:rPr>
            </w:pPr>
            <w:r>
              <w:rPr>
                <w:sz w:val="22"/>
              </w:rPr>
              <w:t>Scoping report s</w:t>
            </w:r>
            <w:r w:rsidRPr="006C3682">
              <w:rPr>
                <w:sz w:val="22"/>
              </w:rPr>
              <w:t xml:space="preserve">ection </w:t>
            </w:r>
          </w:p>
        </w:tc>
        <w:tc>
          <w:tcPr>
            <w:tcW w:w="2265" w:type="dxa"/>
          </w:tcPr>
          <w:p w14:paraId="69E4ECE8" w14:textId="77777777" w:rsidR="000F09B9" w:rsidRPr="006C3682" w:rsidRDefault="000F09B9">
            <w:pPr>
              <w:spacing w:before="60" w:after="60"/>
              <w:rPr>
                <w:sz w:val="22"/>
              </w:rPr>
            </w:pPr>
            <w:r w:rsidRPr="006C3682">
              <w:rPr>
                <w:sz w:val="22"/>
              </w:rPr>
              <w:t xml:space="preserve">Category </w:t>
            </w:r>
            <w:r>
              <w:rPr>
                <w:sz w:val="22"/>
              </w:rPr>
              <w:t>(theme)</w:t>
            </w:r>
          </w:p>
        </w:tc>
        <w:tc>
          <w:tcPr>
            <w:tcW w:w="5055" w:type="dxa"/>
          </w:tcPr>
          <w:p w14:paraId="0E6167B0" w14:textId="77777777" w:rsidR="000F09B9" w:rsidRPr="006C3682" w:rsidRDefault="000F09B9">
            <w:pPr>
              <w:spacing w:before="60" w:after="60"/>
              <w:rPr>
                <w:sz w:val="22"/>
              </w:rPr>
            </w:pPr>
            <w:r w:rsidRPr="006C3682">
              <w:rPr>
                <w:sz w:val="22"/>
              </w:rPr>
              <w:t xml:space="preserve">Justification   </w:t>
            </w:r>
          </w:p>
        </w:tc>
      </w:tr>
      <w:tr w:rsidR="000F09B9" w:rsidRPr="006C3682" w14:paraId="2B5445FA" w14:textId="77777777" w:rsidTr="00B8125B">
        <w:trPr>
          <w:trHeight w:val="300"/>
        </w:trPr>
        <w:tc>
          <w:tcPr>
            <w:tcW w:w="1706" w:type="dxa"/>
          </w:tcPr>
          <w:p w14:paraId="4FB7106C" w14:textId="77777777" w:rsidR="000F09B9" w:rsidRPr="006C3682" w:rsidRDefault="000F09B9" w:rsidP="003451FF">
            <w:pPr>
              <w:spacing w:before="60" w:after="60"/>
              <w:rPr>
                <w:sz w:val="22"/>
                <w:highlight w:val="yellow"/>
              </w:rPr>
            </w:pPr>
            <w:r w:rsidRPr="006C3682">
              <w:rPr>
                <w:sz w:val="22"/>
              </w:rPr>
              <w:t xml:space="preserve">Project description </w:t>
            </w:r>
          </w:p>
        </w:tc>
        <w:tc>
          <w:tcPr>
            <w:tcW w:w="2265" w:type="dxa"/>
          </w:tcPr>
          <w:p w14:paraId="3CFDEAE8" w14:textId="1000E616" w:rsidR="000F09B9" w:rsidRPr="006C3682" w:rsidRDefault="001B0E5A" w:rsidP="001A0DF7">
            <w:pPr>
              <w:spacing w:before="60" w:after="60"/>
              <w:rPr>
                <w:sz w:val="22"/>
                <w:lang w:bidi="ar-SA"/>
              </w:rPr>
            </w:pPr>
            <w:r>
              <w:rPr>
                <w:sz w:val="22"/>
                <w:lang w:bidi="ar-SA"/>
              </w:rPr>
              <w:t>Reservation</w:t>
            </w:r>
            <w:r w:rsidR="000F09B9" w:rsidRPr="006C3682">
              <w:rPr>
                <w:sz w:val="22"/>
                <w:lang w:bidi="ar-SA"/>
              </w:rPr>
              <w:t xml:space="preserve"> (</w:t>
            </w:r>
            <w:r>
              <w:rPr>
                <w:sz w:val="22"/>
                <w:lang w:bidi="ar-SA"/>
              </w:rPr>
              <w:t xml:space="preserve">Evidence / </w:t>
            </w:r>
            <w:r w:rsidR="000F09B9" w:rsidRPr="006C3682">
              <w:rPr>
                <w:sz w:val="22"/>
                <w:lang w:bidi="ar-SA"/>
              </w:rPr>
              <w:t xml:space="preserve">Scope Definition) </w:t>
            </w:r>
            <w:r w:rsidR="00016894" w:rsidRPr="006C3682">
              <w:rPr>
                <w:sz w:val="22"/>
              </w:rPr>
              <w:t xml:space="preserve"> </w:t>
            </w:r>
          </w:p>
        </w:tc>
        <w:tc>
          <w:tcPr>
            <w:tcW w:w="5055" w:type="dxa"/>
            <w:tcBorders>
              <w:top w:val="single" w:sz="8" w:space="0" w:color="22413A"/>
              <w:left w:val="nil"/>
              <w:bottom w:val="single" w:sz="8" w:space="0" w:color="22413A"/>
              <w:right w:val="nil"/>
            </w:tcBorders>
            <w:tcMar>
              <w:top w:w="57" w:type="dxa"/>
              <w:left w:w="113" w:type="dxa"/>
              <w:bottom w:w="57" w:type="dxa"/>
              <w:right w:w="113" w:type="dxa"/>
            </w:tcMar>
            <w:vAlign w:val="center"/>
            <w:hideMark/>
          </w:tcPr>
          <w:p w14:paraId="3854E14E" w14:textId="4AB6FDDF" w:rsidR="000F09B9" w:rsidRPr="00417262" w:rsidRDefault="00B8125B" w:rsidP="00B8125B">
            <w:pPr>
              <w:spacing w:before="60" w:after="60"/>
              <w:rPr>
                <w:sz w:val="22"/>
              </w:rPr>
            </w:pPr>
            <w:r>
              <w:rPr>
                <w:sz w:val="22"/>
              </w:rPr>
              <w:t xml:space="preserve">The overall project description is clear and readily understandable, but it lacks sufficient detail in some areas, particularly in relation to the marine works. While this may partly reflect limited design development or uncertainty at this stage, further detail is needed on the proposed </w:t>
            </w:r>
            <w:r>
              <w:rPr>
                <w:sz w:val="22"/>
              </w:rPr>
              <w:lastRenderedPageBreak/>
              <w:t xml:space="preserve">alternative discharge lines, the intended fate of the inlet and outfall tunnels, and how works at Long Pits would operate in conjunction with the rest of the project. In particular, a clear understanding of the likely end state and treatment of the existing intake and outfall structures within the marine environment is essential to support a meaningful assessment of potential impacts. Where detailed information is not yet available, the assumptions adopted should be stated clearly and justified to provide a transparent and robust basis for assessment. Although some additional detail is provided in the technical chapters, for example at paragraph 8.6.5, this information is not reflected in the project description in Section 2 and should be incorporated there. </w:t>
            </w:r>
            <w:r w:rsidR="006D6FA7">
              <w:rPr>
                <w:sz w:val="22"/>
              </w:rPr>
              <w:t>Once</w:t>
            </w:r>
            <w:r>
              <w:rPr>
                <w:sz w:val="22"/>
              </w:rPr>
              <w:t xml:space="preserve"> further </w:t>
            </w:r>
            <w:r w:rsidR="006D6FA7">
              <w:rPr>
                <w:sz w:val="22"/>
              </w:rPr>
              <w:t>is available</w:t>
            </w:r>
            <w:r>
              <w:rPr>
                <w:sz w:val="22"/>
              </w:rPr>
              <w:t xml:space="preserve">, the scope of the EIA, HRA and MCZ assessments should be reviewed and </w:t>
            </w:r>
            <w:r w:rsidR="006D6FA7">
              <w:rPr>
                <w:sz w:val="22"/>
              </w:rPr>
              <w:t>revised</w:t>
            </w:r>
            <w:r>
              <w:rPr>
                <w:sz w:val="22"/>
              </w:rPr>
              <w:t xml:space="preserve"> </w:t>
            </w:r>
            <w:r w:rsidR="00C50C13">
              <w:rPr>
                <w:sz w:val="22"/>
              </w:rPr>
              <w:t>as necessary</w:t>
            </w:r>
            <w:r>
              <w:rPr>
                <w:sz w:val="22"/>
              </w:rPr>
              <w:t>.</w:t>
            </w:r>
          </w:p>
        </w:tc>
      </w:tr>
      <w:tr w:rsidR="000F09B9" w:rsidRPr="006C3682" w14:paraId="75F022F5" w14:textId="77777777" w:rsidTr="009D073E">
        <w:trPr>
          <w:trHeight w:val="300"/>
        </w:trPr>
        <w:tc>
          <w:tcPr>
            <w:tcW w:w="1706" w:type="dxa"/>
          </w:tcPr>
          <w:p w14:paraId="25D8B72A" w14:textId="77777777" w:rsidR="000F09B9" w:rsidRPr="006C3682" w:rsidRDefault="000F09B9" w:rsidP="00E829F6">
            <w:pPr>
              <w:spacing w:before="60" w:after="60"/>
              <w:rPr>
                <w:sz w:val="22"/>
              </w:rPr>
            </w:pPr>
            <w:r w:rsidRPr="006C3682">
              <w:rPr>
                <w:sz w:val="22"/>
              </w:rPr>
              <w:lastRenderedPageBreak/>
              <w:t xml:space="preserve">EIA Scope </w:t>
            </w:r>
          </w:p>
        </w:tc>
        <w:tc>
          <w:tcPr>
            <w:tcW w:w="2265" w:type="dxa"/>
          </w:tcPr>
          <w:p w14:paraId="05F7892C" w14:textId="77777777" w:rsidR="000F09B9" w:rsidRPr="006C3682" w:rsidRDefault="000F09B9" w:rsidP="00E829F6">
            <w:pPr>
              <w:spacing w:before="60" w:after="60"/>
              <w:rPr>
                <w:sz w:val="22"/>
                <w:lang w:bidi="ar-SA"/>
              </w:rPr>
            </w:pPr>
            <w:r w:rsidRPr="006C3682">
              <w:rPr>
                <w:sz w:val="22"/>
                <w:lang w:bidi="ar-SA"/>
              </w:rPr>
              <w:t xml:space="preserve">Observation (Structure) </w:t>
            </w:r>
          </w:p>
        </w:tc>
        <w:tc>
          <w:tcPr>
            <w:tcW w:w="5055" w:type="dxa"/>
          </w:tcPr>
          <w:p w14:paraId="04561855" w14:textId="77777777" w:rsidR="000F09B9" w:rsidRPr="006C3682" w:rsidRDefault="000F09B9" w:rsidP="00A93380">
            <w:pPr>
              <w:spacing w:before="60" w:after="60"/>
              <w:rPr>
                <w:sz w:val="22"/>
                <w:lang w:bidi="ar-SA"/>
              </w:rPr>
            </w:pPr>
            <w:r w:rsidRPr="006C3682">
              <w:rPr>
                <w:sz w:val="22"/>
                <w:lang w:bidi="ar-SA"/>
              </w:rPr>
              <w:t xml:space="preserve">The scope considered in the </w:t>
            </w:r>
            <w:r>
              <w:rPr>
                <w:sz w:val="22"/>
                <w:lang w:bidi="ar-SA"/>
              </w:rPr>
              <w:t>s</w:t>
            </w:r>
            <w:r w:rsidRPr="006C3682">
              <w:rPr>
                <w:sz w:val="22"/>
                <w:lang w:bidi="ar-SA"/>
              </w:rPr>
              <w:t xml:space="preserve">coping </w:t>
            </w:r>
            <w:r>
              <w:rPr>
                <w:sz w:val="22"/>
                <w:lang w:bidi="ar-SA"/>
              </w:rPr>
              <w:t>r</w:t>
            </w:r>
            <w:r w:rsidRPr="006C3682">
              <w:rPr>
                <w:sz w:val="22"/>
                <w:lang w:bidi="ar-SA"/>
              </w:rPr>
              <w:t>eport is of sufficient depth and breadth and is in line with regulatory requirements and good practice. The temporal scope of the EIA is set out clearly and highlights, inso</w:t>
            </w:r>
            <w:r>
              <w:rPr>
                <w:sz w:val="22"/>
                <w:lang w:bidi="ar-SA"/>
              </w:rPr>
              <w:t>far</w:t>
            </w:r>
            <w:r w:rsidRPr="006C3682">
              <w:rPr>
                <w:sz w:val="22"/>
                <w:lang w:bidi="ar-SA"/>
              </w:rPr>
              <w:t xml:space="preserve"> as is possible at this stage, the uncertainties. The spatial scope is set out in the technical chapters of the report, however, th</w:t>
            </w:r>
            <w:r>
              <w:rPr>
                <w:sz w:val="22"/>
                <w:lang w:bidi="ar-SA"/>
              </w:rPr>
              <w:t>is is often unclear</w:t>
            </w:r>
            <w:r w:rsidRPr="006C3682">
              <w:rPr>
                <w:sz w:val="22"/>
                <w:lang w:bidi="ar-SA"/>
              </w:rPr>
              <w:t xml:space="preserve"> </w:t>
            </w:r>
            <w:r>
              <w:rPr>
                <w:sz w:val="22"/>
                <w:lang w:bidi="ar-SA"/>
              </w:rPr>
              <w:t xml:space="preserve">and could be more clearly set out and justified. </w:t>
            </w:r>
            <w:r w:rsidRPr="006C3682">
              <w:rPr>
                <w:sz w:val="22"/>
                <w:lang w:bidi="ar-SA"/>
              </w:rPr>
              <w:t xml:space="preserve"> </w:t>
            </w:r>
          </w:p>
        </w:tc>
      </w:tr>
      <w:tr w:rsidR="000F09B9" w:rsidRPr="006C3682" w14:paraId="49D21F34" w14:textId="77777777" w:rsidTr="009D073E">
        <w:trPr>
          <w:trHeight w:val="300"/>
        </w:trPr>
        <w:tc>
          <w:tcPr>
            <w:tcW w:w="1706" w:type="dxa"/>
          </w:tcPr>
          <w:p w14:paraId="187A060B" w14:textId="77777777" w:rsidR="000F09B9" w:rsidRPr="006C3682" w:rsidRDefault="000F09B9" w:rsidP="002D462D">
            <w:pPr>
              <w:spacing w:before="60" w:after="60"/>
              <w:rPr>
                <w:sz w:val="22"/>
              </w:rPr>
            </w:pPr>
            <w:r w:rsidRPr="006C3682">
              <w:rPr>
                <w:sz w:val="22"/>
              </w:rPr>
              <w:t xml:space="preserve">EIA Methodology </w:t>
            </w:r>
          </w:p>
        </w:tc>
        <w:tc>
          <w:tcPr>
            <w:tcW w:w="2265" w:type="dxa"/>
          </w:tcPr>
          <w:p w14:paraId="1C46A359" w14:textId="77777777" w:rsidR="000F09B9" w:rsidRPr="006C3682" w:rsidRDefault="000F09B9" w:rsidP="002D462D">
            <w:pPr>
              <w:spacing w:before="60" w:after="60"/>
              <w:rPr>
                <w:sz w:val="22"/>
                <w:lang w:bidi="ar-SA"/>
              </w:rPr>
            </w:pPr>
            <w:r>
              <w:rPr>
                <w:sz w:val="22"/>
                <w:lang w:bidi="ar-SA"/>
              </w:rPr>
              <w:t>Comment</w:t>
            </w:r>
            <w:r w:rsidRPr="006C3682">
              <w:rPr>
                <w:sz w:val="22"/>
                <w:lang w:bidi="ar-SA"/>
              </w:rPr>
              <w:t xml:space="preserve"> (Structure) </w:t>
            </w:r>
          </w:p>
        </w:tc>
        <w:tc>
          <w:tcPr>
            <w:tcW w:w="5055" w:type="dxa"/>
          </w:tcPr>
          <w:p w14:paraId="5CF54E85" w14:textId="77777777" w:rsidR="000F09B9" w:rsidRPr="006C3682" w:rsidRDefault="000F09B9" w:rsidP="002D462D">
            <w:pPr>
              <w:spacing w:before="60" w:after="60"/>
              <w:rPr>
                <w:sz w:val="22"/>
                <w:lang w:bidi="ar-SA"/>
              </w:rPr>
            </w:pPr>
            <w:r w:rsidRPr="006C3682">
              <w:rPr>
                <w:sz w:val="22"/>
                <w:lang w:bidi="ar-SA"/>
              </w:rPr>
              <w:t xml:space="preserve">The order of topic chapters within the </w:t>
            </w:r>
            <w:r>
              <w:rPr>
                <w:sz w:val="22"/>
              </w:rPr>
              <w:t>scoping report</w:t>
            </w:r>
            <w:r w:rsidRPr="006C3682">
              <w:rPr>
                <w:sz w:val="22"/>
                <w:lang w:bidi="ar-SA"/>
              </w:rPr>
              <w:t xml:space="preserve"> makes it difficult to follow the report. Chapter 21 suggests the same order of topic chapters for the Dungeness ES as the </w:t>
            </w:r>
            <w:r>
              <w:rPr>
                <w:sz w:val="22"/>
                <w:lang w:bidi="ar-SA"/>
              </w:rPr>
              <w:t>s</w:t>
            </w:r>
            <w:r w:rsidRPr="006C3682">
              <w:rPr>
                <w:sz w:val="22"/>
                <w:lang w:bidi="ar-SA"/>
              </w:rPr>
              <w:t xml:space="preserve">coping </w:t>
            </w:r>
            <w:r>
              <w:rPr>
                <w:sz w:val="22"/>
                <w:lang w:bidi="ar-SA"/>
              </w:rPr>
              <w:t>r</w:t>
            </w:r>
            <w:r w:rsidRPr="006C3682">
              <w:rPr>
                <w:sz w:val="22"/>
                <w:lang w:bidi="ar-SA"/>
              </w:rPr>
              <w:t xml:space="preserve">eport. EDF </w:t>
            </w:r>
            <w:r>
              <w:rPr>
                <w:sz w:val="22"/>
                <w:lang w:bidi="ar-SA"/>
              </w:rPr>
              <w:t>c</w:t>
            </w:r>
            <w:r w:rsidRPr="006C3682">
              <w:rPr>
                <w:sz w:val="22"/>
                <w:lang w:bidi="ar-SA"/>
              </w:rPr>
              <w:t xml:space="preserve">ould consider reviewing and reordering chapters to enable topics with similar receptor types to be grouped together for easier review (i.e., Transport, Air Quality, Noise and Human Health). </w:t>
            </w:r>
          </w:p>
        </w:tc>
      </w:tr>
      <w:tr w:rsidR="000F09B9" w:rsidRPr="006C3682" w14:paraId="1FCEE8BA" w14:textId="77777777" w:rsidTr="009D073E">
        <w:trPr>
          <w:trHeight w:val="300"/>
        </w:trPr>
        <w:tc>
          <w:tcPr>
            <w:tcW w:w="1706" w:type="dxa"/>
          </w:tcPr>
          <w:p w14:paraId="1D03F465" w14:textId="77777777" w:rsidR="000F09B9" w:rsidRPr="006C3682" w:rsidRDefault="000F09B9" w:rsidP="000E012E">
            <w:pPr>
              <w:spacing w:before="60" w:after="60"/>
              <w:rPr>
                <w:sz w:val="22"/>
              </w:rPr>
            </w:pPr>
            <w:r w:rsidRPr="006C3682">
              <w:rPr>
                <w:sz w:val="22"/>
              </w:rPr>
              <w:t xml:space="preserve">Alternatives </w:t>
            </w:r>
          </w:p>
        </w:tc>
        <w:tc>
          <w:tcPr>
            <w:tcW w:w="2265" w:type="dxa"/>
          </w:tcPr>
          <w:p w14:paraId="3BC38CC0" w14:textId="77777777" w:rsidR="000F09B9" w:rsidRPr="006C3682" w:rsidRDefault="000F09B9" w:rsidP="173648A1">
            <w:pPr>
              <w:spacing w:before="60" w:after="60"/>
              <w:rPr>
                <w:sz w:val="22"/>
                <w:lang w:bidi="ar-SA"/>
              </w:rPr>
            </w:pPr>
            <w:r w:rsidRPr="006C3682">
              <w:rPr>
                <w:rFonts w:eastAsia="Arial" w:cs="Arial"/>
                <w:sz w:val="22"/>
              </w:rPr>
              <w:t>Observation (EIA Methodology)</w:t>
            </w:r>
          </w:p>
          <w:p w14:paraId="57FB7538" w14:textId="77777777" w:rsidR="000F09B9" w:rsidRPr="006C3682" w:rsidRDefault="000F09B9" w:rsidP="173648A1">
            <w:pPr>
              <w:spacing w:before="60" w:after="60"/>
              <w:rPr>
                <w:sz w:val="22"/>
                <w:lang w:bidi="ar-SA"/>
              </w:rPr>
            </w:pPr>
          </w:p>
        </w:tc>
        <w:tc>
          <w:tcPr>
            <w:tcW w:w="5055" w:type="dxa"/>
          </w:tcPr>
          <w:p w14:paraId="64CCCC85" w14:textId="77777777" w:rsidR="000F09B9" w:rsidRPr="006C3682" w:rsidRDefault="000F09B9" w:rsidP="007A1FD1">
            <w:pPr>
              <w:spacing w:before="60" w:after="60"/>
              <w:rPr>
                <w:sz w:val="22"/>
                <w:lang w:bidi="ar-SA"/>
              </w:rPr>
            </w:pPr>
            <w:r w:rsidRPr="006C3682">
              <w:rPr>
                <w:sz w:val="22"/>
                <w:lang w:bidi="ar-SA"/>
              </w:rPr>
              <w:t xml:space="preserve">There is sufficient assessment of alternative decommissioning options considered i.e. Early Safestore as the baseline and Prompt Decommissioning as the alternative. However, further detail should be given regarding the options for alternatives for the marine works, including alternative methodologies. </w:t>
            </w:r>
          </w:p>
        </w:tc>
      </w:tr>
      <w:tr w:rsidR="000F09B9" w:rsidRPr="006C3682" w14:paraId="435BFCDD" w14:textId="77777777" w:rsidTr="009D073E">
        <w:trPr>
          <w:trHeight w:val="300"/>
        </w:trPr>
        <w:tc>
          <w:tcPr>
            <w:tcW w:w="1706" w:type="dxa"/>
          </w:tcPr>
          <w:p w14:paraId="5FC2FC50" w14:textId="77777777" w:rsidR="000F09B9" w:rsidRPr="006C3682" w:rsidRDefault="000F09B9" w:rsidP="00243B7C">
            <w:pPr>
              <w:spacing w:before="60" w:after="60"/>
              <w:rPr>
                <w:sz w:val="22"/>
              </w:rPr>
            </w:pPr>
            <w:r w:rsidRPr="006C3682">
              <w:rPr>
                <w:sz w:val="22"/>
              </w:rPr>
              <w:t xml:space="preserve">Future baseline </w:t>
            </w:r>
          </w:p>
        </w:tc>
        <w:tc>
          <w:tcPr>
            <w:tcW w:w="2265" w:type="dxa"/>
          </w:tcPr>
          <w:p w14:paraId="5656739C" w14:textId="77777777" w:rsidR="000F09B9" w:rsidRPr="006C3682" w:rsidRDefault="000F09B9" w:rsidP="00243B7C">
            <w:pPr>
              <w:spacing w:before="60" w:after="60"/>
              <w:rPr>
                <w:sz w:val="22"/>
                <w:lang w:bidi="ar-SA"/>
              </w:rPr>
            </w:pPr>
            <w:r w:rsidRPr="006C3682">
              <w:rPr>
                <w:sz w:val="22"/>
                <w:lang w:bidi="ar-SA"/>
              </w:rPr>
              <w:t xml:space="preserve">Comment (EIA Scope) </w:t>
            </w:r>
          </w:p>
        </w:tc>
        <w:tc>
          <w:tcPr>
            <w:tcW w:w="5055" w:type="dxa"/>
          </w:tcPr>
          <w:p w14:paraId="4D9E0CC0" w14:textId="77777777" w:rsidR="000F09B9" w:rsidRPr="006C3682" w:rsidRDefault="000F09B9" w:rsidP="00243B7C">
            <w:pPr>
              <w:spacing w:before="60" w:after="60"/>
              <w:rPr>
                <w:sz w:val="22"/>
                <w:lang w:bidi="ar-SA"/>
              </w:rPr>
            </w:pPr>
            <w:r w:rsidRPr="006C3682">
              <w:rPr>
                <w:sz w:val="22"/>
                <w:lang w:bidi="ar-SA"/>
              </w:rPr>
              <w:t xml:space="preserve">Further consideration </w:t>
            </w:r>
            <w:r>
              <w:rPr>
                <w:sz w:val="22"/>
                <w:lang w:bidi="ar-SA"/>
              </w:rPr>
              <w:t>should</w:t>
            </w:r>
            <w:r w:rsidRPr="006C3682">
              <w:rPr>
                <w:sz w:val="22"/>
                <w:lang w:bidi="ar-SA"/>
              </w:rPr>
              <w:t xml:space="preserve"> be given to the baseline and future baseline with respect to the </w:t>
            </w:r>
            <w:r w:rsidRPr="006C3682">
              <w:rPr>
                <w:sz w:val="22"/>
                <w:lang w:bidi="ar-SA"/>
              </w:rPr>
              <w:lastRenderedPageBreak/>
              <w:t xml:space="preserve">present and ongoing decommissioning works at Dungeness A. </w:t>
            </w:r>
          </w:p>
        </w:tc>
      </w:tr>
      <w:tr w:rsidR="000F09B9" w:rsidRPr="006C3682" w14:paraId="6CB33534" w14:textId="77777777" w:rsidTr="009D073E">
        <w:trPr>
          <w:trHeight w:val="300"/>
        </w:trPr>
        <w:tc>
          <w:tcPr>
            <w:tcW w:w="1706" w:type="dxa"/>
            <w:vMerge w:val="restart"/>
          </w:tcPr>
          <w:p w14:paraId="3B007F54" w14:textId="77777777" w:rsidR="000F09B9" w:rsidRPr="006C3682" w:rsidRDefault="000F09B9" w:rsidP="00E665E8">
            <w:pPr>
              <w:spacing w:before="60" w:after="60"/>
              <w:rPr>
                <w:sz w:val="22"/>
              </w:rPr>
            </w:pPr>
            <w:r w:rsidRPr="006C3682">
              <w:rPr>
                <w:sz w:val="22"/>
              </w:rPr>
              <w:lastRenderedPageBreak/>
              <w:t xml:space="preserve">Cumulative </w:t>
            </w:r>
          </w:p>
        </w:tc>
        <w:tc>
          <w:tcPr>
            <w:tcW w:w="2265" w:type="dxa"/>
          </w:tcPr>
          <w:p w14:paraId="1D219993" w14:textId="77777777" w:rsidR="000F09B9" w:rsidRPr="006C3682" w:rsidRDefault="000F09B9" w:rsidP="00E665E8">
            <w:pPr>
              <w:spacing w:before="60" w:after="60"/>
              <w:rPr>
                <w:sz w:val="22"/>
                <w:lang w:bidi="ar-SA"/>
              </w:rPr>
            </w:pPr>
            <w:r w:rsidRPr="006C3682">
              <w:rPr>
                <w:sz w:val="22"/>
                <w:lang w:bidi="ar-SA"/>
              </w:rPr>
              <w:t xml:space="preserve">Observation (Scope Definition) </w:t>
            </w:r>
          </w:p>
        </w:tc>
        <w:tc>
          <w:tcPr>
            <w:tcW w:w="5055" w:type="dxa"/>
          </w:tcPr>
          <w:p w14:paraId="2D0D70FF" w14:textId="77777777" w:rsidR="000F09B9" w:rsidRPr="002F731C" w:rsidRDefault="000F09B9" w:rsidP="00515CA9">
            <w:pPr>
              <w:spacing w:before="60" w:after="60"/>
              <w:rPr>
                <w:sz w:val="22"/>
                <w:lang w:bidi="ar-SA"/>
              </w:rPr>
            </w:pPr>
            <w:r w:rsidRPr="002F731C">
              <w:rPr>
                <w:sz w:val="22"/>
                <w:lang w:bidi="ar-SA"/>
              </w:rPr>
              <w:t xml:space="preserve">The approach to assessing </w:t>
            </w:r>
            <w:r w:rsidRPr="006C3682">
              <w:rPr>
                <w:sz w:val="22"/>
                <w:lang w:bidi="ar-SA"/>
              </w:rPr>
              <w:t>intra-</w:t>
            </w:r>
            <w:r>
              <w:rPr>
                <w:sz w:val="22"/>
                <w:lang w:bidi="ar-SA"/>
              </w:rPr>
              <w:t xml:space="preserve">project </w:t>
            </w:r>
            <w:r w:rsidRPr="006C3682">
              <w:rPr>
                <w:sz w:val="22"/>
                <w:lang w:bidi="ar-SA"/>
              </w:rPr>
              <w:t>effects</w:t>
            </w:r>
            <w:r>
              <w:rPr>
                <w:sz w:val="22"/>
                <w:lang w:bidi="ar-SA"/>
              </w:rPr>
              <w:t xml:space="preserve"> (</w:t>
            </w:r>
            <w:r w:rsidRPr="002F731C">
              <w:rPr>
                <w:sz w:val="22"/>
                <w:lang w:bidi="ar-SA"/>
              </w:rPr>
              <w:t>where multiple impacts interact to affect a single receptor</w:t>
            </w:r>
            <w:r>
              <w:rPr>
                <w:sz w:val="22"/>
                <w:lang w:bidi="ar-SA"/>
              </w:rPr>
              <w:t xml:space="preserve">) </w:t>
            </w:r>
            <w:r w:rsidRPr="002F731C">
              <w:rPr>
                <w:sz w:val="22"/>
                <w:lang w:bidi="ar-SA"/>
              </w:rPr>
              <w:t>is inconsistent across chapters. Some topics clearly identify receptors subject to combined effects and provide cross-references to the relevant assessment chapters (e.g. Chapter 19), whereas others simply state that such effects are considered elsewhere without identifying receptors or providing clear signposting (e.g. Chapter 14). This lack of consistency makes it difficult to follow how intra-project cumulative effects are being addressed. A more systematic and consistent approach should be applied throughout the ES to clearly identify, assess, and cross-reference these effects.</w:t>
            </w:r>
          </w:p>
          <w:p w14:paraId="77B4C33F" w14:textId="77777777" w:rsidR="000F09B9" w:rsidRPr="006C3682" w:rsidRDefault="000F09B9" w:rsidP="00CF4825">
            <w:pPr>
              <w:spacing w:before="60" w:after="60"/>
              <w:rPr>
                <w:sz w:val="22"/>
                <w:lang w:bidi="ar-SA"/>
              </w:rPr>
            </w:pPr>
          </w:p>
        </w:tc>
      </w:tr>
      <w:tr w:rsidR="000F09B9" w:rsidRPr="006C3682" w14:paraId="22522395" w14:textId="77777777" w:rsidTr="009D073E">
        <w:trPr>
          <w:trHeight w:val="300"/>
        </w:trPr>
        <w:tc>
          <w:tcPr>
            <w:tcW w:w="1706" w:type="dxa"/>
            <w:vMerge/>
          </w:tcPr>
          <w:p w14:paraId="320D0CB2" w14:textId="77777777" w:rsidR="000F09B9" w:rsidRPr="006C3682" w:rsidRDefault="000F09B9">
            <w:pPr>
              <w:spacing w:before="60" w:after="60"/>
              <w:rPr>
                <w:sz w:val="22"/>
              </w:rPr>
            </w:pPr>
          </w:p>
        </w:tc>
        <w:tc>
          <w:tcPr>
            <w:tcW w:w="2265" w:type="dxa"/>
          </w:tcPr>
          <w:p w14:paraId="39ACC56E" w14:textId="77777777" w:rsidR="000F09B9" w:rsidRPr="006C3682" w:rsidRDefault="000F09B9" w:rsidP="00E665E8">
            <w:pPr>
              <w:spacing w:before="60" w:after="60"/>
              <w:rPr>
                <w:sz w:val="22"/>
                <w:lang w:bidi="ar-SA"/>
              </w:rPr>
            </w:pPr>
            <w:r w:rsidRPr="006C3682">
              <w:rPr>
                <w:sz w:val="22"/>
                <w:lang w:bidi="ar-SA"/>
              </w:rPr>
              <w:t xml:space="preserve">Observation (Scope definition) </w:t>
            </w:r>
          </w:p>
        </w:tc>
        <w:tc>
          <w:tcPr>
            <w:tcW w:w="5055" w:type="dxa"/>
          </w:tcPr>
          <w:p w14:paraId="341EF2B7" w14:textId="77777777" w:rsidR="000F09B9" w:rsidRPr="006C3682" w:rsidRDefault="000F09B9" w:rsidP="00E665E8">
            <w:pPr>
              <w:spacing w:before="60" w:after="60"/>
              <w:rPr>
                <w:sz w:val="22"/>
                <w:lang w:bidi="ar-SA"/>
              </w:rPr>
            </w:pPr>
            <w:r>
              <w:rPr>
                <w:sz w:val="22"/>
                <w:lang w:bidi="ar-SA"/>
              </w:rPr>
              <w:t>The a</w:t>
            </w:r>
            <w:r w:rsidRPr="006C3682">
              <w:rPr>
                <w:sz w:val="22"/>
                <w:lang w:bidi="ar-SA"/>
              </w:rPr>
              <w:t>pproach to intra-</w:t>
            </w:r>
            <w:r>
              <w:rPr>
                <w:sz w:val="22"/>
                <w:lang w:bidi="ar-SA"/>
              </w:rPr>
              <w:t xml:space="preserve">project </w:t>
            </w:r>
            <w:r w:rsidRPr="006C3682">
              <w:rPr>
                <w:sz w:val="22"/>
                <w:lang w:bidi="ar-SA"/>
              </w:rPr>
              <w:t xml:space="preserve">effects </w:t>
            </w:r>
            <w:r>
              <w:rPr>
                <w:sz w:val="22"/>
                <w:lang w:bidi="ar-SA"/>
              </w:rPr>
              <w:t>could be set out more clearly</w:t>
            </w:r>
            <w:r w:rsidRPr="006C3682">
              <w:rPr>
                <w:sz w:val="22"/>
                <w:lang w:bidi="ar-SA"/>
              </w:rPr>
              <w:t xml:space="preserve">. The interaction with current and ongoing decommissioning works at Dungeness A is not set out clearly, particularly for the Initial Decommissioning Works phase (although there is more consideration for the Final Site Clearance).  </w:t>
            </w:r>
          </w:p>
        </w:tc>
      </w:tr>
      <w:tr w:rsidR="000F09B9" w:rsidRPr="006C3682" w14:paraId="334FBAEA" w14:textId="77777777" w:rsidTr="009D073E">
        <w:trPr>
          <w:trHeight w:val="300"/>
        </w:trPr>
        <w:tc>
          <w:tcPr>
            <w:tcW w:w="1706" w:type="dxa"/>
            <w:vMerge w:val="restart"/>
          </w:tcPr>
          <w:p w14:paraId="442BE172" w14:textId="77777777" w:rsidR="000F09B9" w:rsidRPr="006C3682" w:rsidRDefault="000F09B9" w:rsidP="00F368A4">
            <w:pPr>
              <w:spacing w:before="60" w:after="60"/>
              <w:rPr>
                <w:sz w:val="22"/>
              </w:rPr>
            </w:pPr>
            <w:r w:rsidRPr="006C3682">
              <w:rPr>
                <w:sz w:val="22"/>
              </w:rPr>
              <w:t xml:space="preserve">Transboundary </w:t>
            </w:r>
          </w:p>
        </w:tc>
        <w:tc>
          <w:tcPr>
            <w:tcW w:w="2265" w:type="dxa"/>
          </w:tcPr>
          <w:p w14:paraId="6274B5D8" w14:textId="77777777" w:rsidR="000F09B9" w:rsidRPr="006C3682" w:rsidRDefault="000F09B9" w:rsidP="00F368A4">
            <w:pPr>
              <w:spacing w:before="60" w:after="60"/>
              <w:rPr>
                <w:sz w:val="22"/>
                <w:lang w:bidi="ar-SA"/>
              </w:rPr>
            </w:pPr>
            <w:r w:rsidRPr="006C3682">
              <w:rPr>
                <w:sz w:val="22"/>
                <w:lang w:bidi="ar-SA"/>
              </w:rPr>
              <w:t xml:space="preserve">Observation (Scope Definition) </w:t>
            </w:r>
          </w:p>
        </w:tc>
        <w:tc>
          <w:tcPr>
            <w:tcW w:w="5055" w:type="dxa"/>
          </w:tcPr>
          <w:p w14:paraId="3270FABC" w14:textId="7F29EA15" w:rsidR="000F09B9" w:rsidRPr="006C3682" w:rsidRDefault="000F09B9" w:rsidP="173648A1">
            <w:pPr>
              <w:spacing w:before="60" w:after="60"/>
              <w:rPr>
                <w:sz w:val="22"/>
                <w:lang w:bidi="ar-SA"/>
              </w:rPr>
            </w:pPr>
            <w:r>
              <w:rPr>
                <w:sz w:val="22"/>
                <w:lang w:bidi="ar-SA"/>
              </w:rPr>
              <w:t>A</w:t>
            </w:r>
            <w:r w:rsidRPr="006C3682">
              <w:rPr>
                <w:sz w:val="22"/>
                <w:lang w:bidi="ar-SA"/>
              </w:rPr>
              <w:t xml:space="preserve"> transboundary assessment matrix is included as Appendix 5A, however, for a number of topics it is unclear how the study areas were derived, and further commentary in either the matrix or the EIA Scoping Report would aid the reader in understanding how the </w:t>
            </w:r>
            <w:r w:rsidR="00E82D6D">
              <w:rPr>
                <w:sz w:val="22"/>
                <w:lang w:bidi="ar-SA"/>
              </w:rPr>
              <w:t>Z</w:t>
            </w:r>
            <w:r w:rsidRPr="006C3682">
              <w:rPr>
                <w:sz w:val="22"/>
                <w:lang w:bidi="ar-SA"/>
              </w:rPr>
              <w:t xml:space="preserve">one of </w:t>
            </w:r>
            <w:r w:rsidR="00E82D6D">
              <w:rPr>
                <w:sz w:val="22"/>
                <w:lang w:bidi="ar-SA"/>
              </w:rPr>
              <w:t>I</w:t>
            </w:r>
            <w:r w:rsidRPr="006C3682">
              <w:rPr>
                <w:sz w:val="22"/>
                <w:lang w:bidi="ar-SA"/>
              </w:rPr>
              <w:t>nfluence (</w:t>
            </w:r>
            <w:proofErr w:type="spellStart"/>
            <w:r w:rsidRPr="006C3682">
              <w:rPr>
                <w:sz w:val="22"/>
                <w:lang w:bidi="ar-SA"/>
              </w:rPr>
              <w:t>ZoI</w:t>
            </w:r>
            <w:proofErr w:type="spellEnd"/>
            <w:r w:rsidRPr="006C3682">
              <w:rPr>
                <w:sz w:val="22"/>
                <w:lang w:bidi="ar-SA"/>
              </w:rPr>
              <w:t xml:space="preserve">) was derived. </w:t>
            </w:r>
          </w:p>
        </w:tc>
      </w:tr>
      <w:tr w:rsidR="000F09B9" w:rsidRPr="006C3682" w14:paraId="6951BE5D" w14:textId="77777777" w:rsidTr="009D073E">
        <w:trPr>
          <w:trHeight w:val="300"/>
        </w:trPr>
        <w:tc>
          <w:tcPr>
            <w:tcW w:w="1706" w:type="dxa"/>
            <w:vMerge/>
          </w:tcPr>
          <w:p w14:paraId="14C27AD4" w14:textId="77777777" w:rsidR="000F09B9" w:rsidRPr="006C3682" w:rsidRDefault="000F09B9">
            <w:pPr>
              <w:spacing w:before="60" w:after="60"/>
              <w:rPr>
                <w:sz w:val="22"/>
              </w:rPr>
            </w:pPr>
          </w:p>
        </w:tc>
        <w:tc>
          <w:tcPr>
            <w:tcW w:w="2265" w:type="dxa"/>
          </w:tcPr>
          <w:p w14:paraId="03EEC600" w14:textId="77777777" w:rsidR="000F09B9" w:rsidRPr="006C3682" w:rsidRDefault="000F09B9" w:rsidP="001F056C">
            <w:pPr>
              <w:spacing w:before="60" w:after="60"/>
              <w:rPr>
                <w:sz w:val="22"/>
                <w:lang w:bidi="ar-SA"/>
              </w:rPr>
            </w:pPr>
            <w:r w:rsidRPr="006C3682">
              <w:rPr>
                <w:sz w:val="22"/>
                <w:lang w:bidi="ar-SA"/>
              </w:rPr>
              <w:t>Observation (</w:t>
            </w:r>
            <w:r>
              <w:rPr>
                <w:sz w:val="22"/>
                <w:lang w:bidi="ar-SA"/>
              </w:rPr>
              <w:t>Omission</w:t>
            </w:r>
            <w:r w:rsidRPr="006C3682">
              <w:rPr>
                <w:sz w:val="22"/>
                <w:lang w:bidi="ar-SA"/>
              </w:rPr>
              <w:t>)</w:t>
            </w:r>
          </w:p>
        </w:tc>
        <w:tc>
          <w:tcPr>
            <w:tcW w:w="5055" w:type="dxa"/>
          </w:tcPr>
          <w:p w14:paraId="7A2E9D34" w14:textId="77777777" w:rsidR="000F09B9" w:rsidRPr="006C3682" w:rsidRDefault="000F09B9" w:rsidP="001F056C">
            <w:pPr>
              <w:spacing w:before="60" w:after="60"/>
              <w:rPr>
                <w:sz w:val="22"/>
                <w:lang w:bidi="ar-SA"/>
              </w:rPr>
            </w:pPr>
            <w:r w:rsidRPr="006C3682">
              <w:rPr>
                <w:sz w:val="22"/>
                <w:lang w:bidi="ar-SA"/>
              </w:rPr>
              <w:t xml:space="preserve">The absence of consideration of non-UK receptors, in this case nature conservation designations, is considered an omission and should be addressed. Potentially sites within (but not limited to) France, Belgium, the Netherlands and the Channel Islands should be reviewed. </w:t>
            </w:r>
          </w:p>
        </w:tc>
      </w:tr>
    </w:tbl>
    <w:p w14:paraId="6172C0E6" w14:textId="77777777" w:rsidR="00D96A85" w:rsidRPr="006C3682" w:rsidRDefault="00D96A85" w:rsidP="00D96A85">
      <w:pPr>
        <w:pStyle w:val="Numberedparagraph"/>
        <w:numPr>
          <w:ilvl w:val="0"/>
          <w:numId w:val="0"/>
        </w:numPr>
      </w:pPr>
    </w:p>
    <w:p w14:paraId="0809EEDF" w14:textId="6D61DB4B" w:rsidR="00C12FF3" w:rsidRPr="00C12FF3" w:rsidRDefault="00C12FF3" w:rsidP="00C12FF3">
      <w:pPr>
        <w:pStyle w:val="Caption"/>
        <w:keepNext/>
        <w:rPr>
          <w:sz w:val="24"/>
          <w:szCs w:val="24"/>
        </w:rPr>
      </w:pPr>
      <w:r w:rsidRPr="00C12FF3">
        <w:rPr>
          <w:sz w:val="24"/>
          <w:szCs w:val="24"/>
        </w:rPr>
        <w:t xml:space="preserve">Table </w:t>
      </w:r>
      <w:r w:rsidR="00C32ECC">
        <w:rPr>
          <w:sz w:val="24"/>
          <w:szCs w:val="24"/>
        </w:rPr>
        <w:t xml:space="preserve">4: </w:t>
      </w:r>
      <w:r w:rsidR="002F1A7C">
        <w:rPr>
          <w:sz w:val="24"/>
          <w:szCs w:val="24"/>
        </w:rPr>
        <w:t xml:space="preserve">Opinion on </w:t>
      </w:r>
      <w:r w:rsidR="00C32ECC" w:rsidRPr="00C32ECC">
        <w:rPr>
          <w:sz w:val="24"/>
          <w:szCs w:val="24"/>
        </w:rPr>
        <w:t xml:space="preserve">Chapters 6–20 </w:t>
      </w:r>
      <w:r w:rsidR="00C32ECC">
        <w:rPr>
          <w:sz w:val="24"/>
          <w:szCs w:val="24"/>
        </w:rPr>
        <w:t>(</w:t>
      </w:r>
      <w:r w:rsidR="004509C6">
        <w:rPr>
          <w:sz w:val="24"/>
          <w:szCs w:val="24"/>
        </w:rPr>
        <w:t>t</w:t>
      </w:r>
      <w:r w:rsidR="00C32ECC" w:rsidRPr="00C32ECC">
        <w:rPr>
          <w:sz w:val="24"/>
          <w:szCs w:val="24"/>
        </w:rPr>
        <w:t xml:space="preserve">echnical </w:t>
      </w:r>
      <w:r w:rsidR="004509C6">
        <w:rPr>
          <w:sz w:val="24"/>
          <w:szCs w:val="24"/>
        </w:rPr>
        <w:t>c</w:t>
      </w:r>
      <w:r w:rsidR="00C32ECC" w:rsidRPr="00C32ECC">
        <w:rPr>
          <w:sz w:val="24"/>
          <w:szCs w:val="24"/>
        </w:rPr>
        <w:t>hapters</w:t>
      </w:r>
      <w:r w:rsidR="00C32ECC">
        <w:rPr>
          <w:sz w:val="24"/>
          <w:szCs w:val="24"/>
        </w:rPr>
        <w:t>)</w:t>
      </w:r>
    </w:p>
    <w:tbl>
      <w:tblPr>
        <w:tblStyle w:val="ONRTable1"/>
        <w:tblW w:w="9026" w:type="dxa"/>
        <w:tblInd w:w="0" w:type="dxa"/>
        <w:tblLook w:val="01E0" w:firstRow="1" w:lastRow="1" w:firstColumn="1" w:lastColumn="1" w:noHBand="0" w:noVBand="0"/>
      </w:tblPr>
      <w:tblGrid>
        <w:gridCol w:w="1633"/>
        <w:gridCol w:w="1559"/>
        <w:gridCol w:w="5834"/>
      </w:tblGrid>
      <w:tr w:rsidR="000153B6" w:rsidRPr="006C3682" w14:paraId="529AAA6A" w14:textId="77777777" w:rsidTr="00E53227">
        <w:trPr>
          <w:cnfStyle w:val="100000000000" w:firstRow="1" w:lastRow="0" w:firstColumn="0" w:lastColumn="0" w:oddVBand="0" w:evenVBand="0" w:oddHBand="0" w:evenHBand="0" w:firstRowFirstColumn="0" w:firstRowLastColumn="0" w:lastRowFirstColumn="0" w:lastRowLastColumn="0"/>
          <w:trHeight w:val="300"/>
        </w:trPr>
        <w:tc>
          <w:tcPr>
            <w:tcW w:w="1633" w:type="dxa"/>
          </w:tcPr>
          <w:p w14:paraId="4129CFF5" w14:textId="77777777" w:rsidR="004D3EFA" w:rsidRPr="006C3682" w:rsidRDefault="004D3EFA">
            <w:pPr>
              <w:spacing w:before="60" w:after="60"/>
              <w:rPr>
                <w:sz w:val="22"/>
              </w:rPr>
            </w:pPr>
            <w:r w:rsidRPr="006C3682">
              <w:rPr>
                <w:sz w:val="22"/>
              </w:rPr>
              <w:t xml:space="preserve">Section </w:t>
            </w:r>
          </w:p>
        </w:tc>
        <w:tc>
          <w:tcPr>
            <w:tcW w:w="1559" w:type="dxa"/>
          </w:tcPr>
          <w:p w14:paraId="7C1BC12E" w14:textId="7FAAD1BF" w:rsidR="004D3EFA" w:rsidRPr="006C3682" w:rsidRDefault="004D3EFA">
            <w:pPr>
              <w:spacing w:before="60" w:after="60"/>
              <w:rPr>
                <w:sz w:val="22"/>
              </w:rPr>
            </w:pPr>
            <w:r w:rsidRPr="006C3682">
              <w:rPr>
                <w:sz w:val="22"/>
              </w:rPr>
              <w:t xml:space="preserve">Category </w:t>
            </w:r>
            <w:r w:rsidR="002F1A7C">
              <w:rPr>
                <w:sz w:val="22"/>
              </w:rPr>
              <w:t>(theme)</w:t>
            </w:r>
          </w:p>
        </w:tc>
        <w:tc>
          <w:tcPr>
            <w:tcW w:w="5834" w:type="dxa"/>
          </w:tcPr>
          <w:p w14:paraId="4FCEFBB2" w14:textId="77777777" w:rsidR="004D3EFA" w:rsidRPr="006C3682" w:rsidRDefault="004D3EFA">
            <w:pPr>
              <w:spacing w:before="60" w:after="60"/>
              <w:rPr>
                <w:sz w:val="22"/>
              </w:rPr>
            </w:pPr>
            <w:r w:rsidRPr="006C3682">
              <w:rPr>
                <w:sz w:val="22"/>
              </w:rPr>
              <w:t xml:space="preserve">Justification   </w:t>
            </w:r>
          </w:p>
        </w:tc>
      </w:tr>
      <w:tr w:rsidR="000D395E" w:rsidRPr="006C3682" w14:paraId="034CE168" w14:textId="77777777" w:rsidTr="00E53227">
        <w:trPr>
          <w:trHeight w:val="300"/>
        </w:trPr>
        <w:tc>
          <w:tcPr>
            <w:tcW w:w="1633" w:type="dxa"/>
            <w:vMerge w:val="restart"/>
          </w:tcPr>
          <w:p w14:paraId="12887AAE" w14:textId="665B184F" w:rsidR="000D395E" w:rsidRPr="006C3682" w:rsidRDefault="000D395E" w:rsidP="00D85818">
            <w:pPr>
              <w:spacing w:before="60" w:after="60"/>
              <w:rPr>
                <w:sz w:val="22"/>
                <w:highlight w:val="yellow"/>
              </w:rPr>
            </w:pPr>
            <w:r w:rsidRPr="006C3682">
              <w:rPr>
                <w:sz w:val="22"/>
              </w:rPr>
              <w:t xml:space="preserve">Chapter 6 – Air Quality </w:t>
            </w:r>
          </w:p>
        </w:tc>
        <w:tc>
          <w:tcPr>
            <w:tcW w:w="1559" w:type="dxa"/>
          </w:tcPr>
          <w:p w14:paraId="18D71458" w14:textId="04717941" w:rsidR="000D395E" w:rsidRPr="006C3682" w:rsidRDefault="000D395E" w:rsidP="00C86EDC">
            <w:pPr>
              <w:spacing w:before="60" w:after="60"/>
              <w:rPr>
                <w:sz w:val="22"/>
                <w:lang w:bidi="ar-SA"/>
              </w:rPr>
            </w:pPr>
            <w:r w:rsidRPr="006C3682">
              <w:rPr>
                <w:sz w:val="22"/>
                <w:lang w:bidi="ar-SA"/>
              </w:rPr>
              <w:t xml:space="preserve">Comment (Scope) </w:t>
            </w:r>
          </w:p>
        </w:tc>
        <w:tc>
          <w:tcPr>
            <w:tcW w:w="5834" w:type="dxa"/>
          </w:tcPr>
          <w:p w14:paraId="0E34311D" w14:textId="5B5B2AD4" w:rsidR="000D395E" w:rsidRPr="006C3682" w:rsidRDefault="000D395E" w:rsidP="00C86EDC">
            <w:pPr>
              <w:spacing w:before="60" w:after="60"/>
              <w:rPr>
                <w:sz w:val="22"/>
                <w:highlight w:val="yellow"/>
              </w:rPr>
            </w:pPr>
            <w:r w:rsidRPr="006C3682">
              <w:rPr>
                <w:sz w:val="22"/>
              </w:rPr>
              <w:t xml:space="preserve">Paragraph 6.3.7 identifies several potential receptors, including human health, commercial properties, and </w:t>
            </w:r>
            <w:r w:rsidRPr="006C3682">
              <w:rPr>
                <w:sz w:val="22"/>
              </w:rPr>
              <w:lastRenderedPageBreak/>
              <w:t>ecological sites. However, no study area is defined for commercial receptors, despite the</w:t>
            </w:r>
            <w:r w:rsidR="007848CD">
              <w:rPr>
                <w:sz w:val="22"/>
              </w:rPr>
              <w:t>m</w:t>
            </w:r>
            <w:r w:rsidRPr="006C3682">
              <w:rPr>
                <w:sz w:val="22"/>
              </w:rPr>
              <w:t xml:space="preserve"> later being scoped out. </w:t>
            </w:r>
          </w:p>
        </w:tc>
      </w:tr>
      <w:tr w:rsidR="000D395E" w:rsidRPr="006C3682" w14:paraId="3B95D40C" w14:textId="77777777" w:rsidTr="00E53227">
        <w:trPr>
          <w:trHeight w:val="300"/>
        </w:trPr>
        <w:tc>
          <w:tcPr>
            <w:tcW w:w="1633" w:type="dxa"/>
            <w:vMerge/>
          </w:tcPr>
          <w:p w14:paraId="213A9662" w14:textId="77777777" w:rsidR="000D395E" w:rsidRPr="006C3682" w:rsidRDefault="000D395E">
            <w:pPr>
              <w:spacing w:before="60" w:after="60"/>
              <w:rPr>
                <w:sz w:val="22"/>
              </w:rPr>
            </w:pPr>
          </w:p>
        </w:tc>
        <w:tc>
          <w:tcPr>
            <w:tcW w:w="1559" w:type="dxa"/>
          </w:tcPr>
          <w:p w14:paraId="5FA7E220" w14:textId="0D6B2E54" w:rsidR="000D395E" w:rsidRPr="006C3682" w:rsidRDefault="00F94AAF" w:rsidP="00C86EDC">
            <w:pPr>
              <w:spacing w:before="60" w:after="60"/>
              <w:rPr>
                <w:sz w:val="22"/>
                <w:lang w:bidi="ar-SA"/>
              </w:rPr>
            </w:pPr>
            <w:r>
              <w:rPr>
                <w:sz w:val="22"/>
                <w:lang w:bidi="ar-SA"/>
              </w:rPr>
              <w:t>Observation</w:t>
            </w:r>
            <w:r w:rsidR="000D395E" w:rsidRPr="006C3682">
              <w:rPr>
                <w:sz w:val="22"/>
                <w:lang w:bidi="ar-SA"/>
              </w:rPr>
              <w:t xml:space="preserve"> (Baseline) </w:t>
            </w:r>
          </w:p>
        </w:tc>
        <w:tc>
          <w:tcPr>
            <w:tcW w:w="5834" w:type="dxa"/>
          </w:tcPr>
          <w:p w14:paraId="469ACC20" w14:textId="1DCCD408" w:rsidR="000D395E" w:rsidRPr="006C3682" w:rsidRDefault="000D395E" w:rsidP="00C86EDC">
            <w:pPr>
              <w:spacing w:before="60" w:after="60"/>
              <w:rPr>
                <w:sz w:val="22"/>
              </w:rPr>
            </w:pPr>
            <w:r w:rsidRPr="006C3682">
              <w:rPr>
                <w:sz w:val="22"/>
              </w:rPr>
              <w:t xml:space="preserve">Paragraph 6.3.4 notes that Institute of Air Quality Management (IAQM) guidance has been used to define the study area distances; however, these differ from the </w:t>
            </w:r>
            <w:proofErr w:type="spellStart"/>
            <w:r w:rsidRPr="006C3682">
              <w:rPr>
                <w:sz w:val="22"/>
              </w:rPr>
              <w:t>ZoI</w:t>
            </w:r>
            <w:proofErr w:type="spellEnd"/>
            <w:r w:rsidRPr="006C3682">
              <w:rPr>
                <w:sz w:val="22"/>
              </w:rPr>
              <w:t xml:space="preserve"> set out in the </w:t>
            </w:r>
            <w:r>
              <w:rPr>
                <w:sz w:val="22"/>
              </w:rPr>
              <w:t>scoping report</w:t>
            </w:r>
            <w:r w:rsidRPr="006C3682">
              <w:rPr>
                <w:sz w:val="22"/>
              </w:rPr>
              <w:t xml:space="preserve">. The </w:t>
            </w:r>
            <w:r>
              <w:rPr>
                <w:sz w:val="22"/>
              </w:rPr>
              <w:t>scoping report</w:t>
            </w:r>
            <w:r w:rsidRPr="006C3682">
              <w:rPr>
                <w:sz w:val="22"/>
              </w:rPr>
              <w:t xml:space="preserve"> defines the air quality study area as up to 250 m from the </w:t>
            </w:r>
            <w:r w:rsidR="00551748">
              <w:rPr>
                <w:sz w:val="22"/>
              </w:rPr>
              <w:t>w</w:t>
            </w:r>
            <w:r w:rsidRPr="006C3682">
              <w:rPr>
                <w:sz w:val="22"/>
              </w:rPr>
              <w:t xml:space="preserve">orks </w:t>
            </w:r>
            <w:r w:rsidR="00551748">
              <w:rPr>
                <w:sz w:val="22"/>
              </w:rPr>
              <w:t>a</w:t>
            </w:r>
            <w:r w:rsidRPr="006C3682">
              <w:rPr>
                <w:sz w:val="22"/>
              </w:rPr>
              <w:t xml:space="preserve">rea and up to 200 m from affected roads, whereas IAQM guidance recommends wider assessment distances for construction dust where human and ecological receptors are present. </w:t>
            </w:r>
          </w:p>
        </w:tc>
      </w:tr>
      <w:tr w:rsidR="000D395E" w:rsidRPr="006C3682" w14:paraId="04A1A53C" w14:textId="77777777" w:rsidTr="00E53227">
        <w:trPr>
          <w:trHeight w:val="300"/>
        </w:trPr>
        <w:tc>
          <w:tcPr>
            <w:tcW w:w="1633" w:type="dxa"/>
            <w:vMerge/>
          </w:tcPr>
          <w:p w14:paraId="7DF4A3D3" w14:textId="77777777" w:rsidR="000D395E" w:rsidRPr="006C3682" w:rsidRDefault="000D395E">
            <w:pPr>
              <w:spacing w:before="60" w:after="60"/>
              <w:rPr>
                <w:sz w:val="22"/>
              </w:rPr>
            </w:pPr>
          </w:p>
        </w:tc>
        <w:tc>
          <w:tcPr>
            <w:tcW w:w="1559" w:type="dxa"/>
          </w:tcPr>
          <w:p w14:paraId="2D3DE332" w14:textId="62FD1735" w:rsidR="000D395E" w:rsidRPr="006C3682" w:rsidRDefault="00383F4C" w:rsidP="009D3D9F">
            <w:pPr>
              <w:spacing w:before="60" w:after="60"/>
              <w:rPr>
                <w:sz w:val="22"/>
                <w:lang w:bidi="ar-SA"/>
              </w:rPr>
            </w:pPr>
            <w:r>
              <w:rPr>
                <w:sz w:val="22"/>
                <w:lang w:bidi="ar-SA"/>
              </w:rPr>
              <w:t>Observation</w:t>
            </w:r>
            <w:r w:rsidR="000D395E" w:rsidRPr="006C3682">
              <w:rPr>
                <w:sz w:val="22"/>
                <w:lang w:bidi="ar-SA"/>
              </w:rPr>
              <w:t xml:space="preserve"> (</w:t>
            </w:r>
            <w:r>
              <w:rPr>
                <w:sz w:val="22"/>
                <w:lang w:bidi="ar-SA"/>
              </w:rPr>
              <w:t>Omission</w:t>
            </w:r>
            <w:r w:rsidR="000D395E" w:rsidRPr="006C3682">
              <w:rPr>
                <w:sz w:val="22"/>
                <w:lang w:bidi="ar-SA"/>
              </w:rPr>
              <w:t xml:space="preserve">) </w:t>
            </w:r>
          </w:p>
        </w:tc>
        <w:tc>
          <w:tcPr>
            <w:tcW w:w="5834" w:type="dxa"/>
          </w:tcPr>
          <w:p w14:paraId="3A41AD49" w14:textId="4C655E99" w:rsidR="000D395E" w:rsidRPr="006C3682" w:rsidRDefault="00A311AA" w:rsidP="009D3D9F">
            <w:pPr>
              <w:spacing w:before="60" w:after="60"/>
              <w:rPr>
                <w:sz w:val="22"/>
              </w:rPr>
            </w:pPr>
            <w:r>
              <w:rPr>
                <w:sz w:val="22"/>
              </w:rPr>
              <w:t>Table 6-3</w:t>
            </w:r>
            <w:r w:rsidR="00B36F38">
              <w:rPr>
                <w:sz w:val="22"/>
              </w:rPr>
              <w:t xml:space="preserve"> shows t</w:t>
            </w:r>
            <w:r w:rsidR="000D395E" w:rsidRPr="006C3682">
              <w:rPr>
                <w:sz w:val="22"/>
              </w:rPr>
              <w:t>he national Air Quality Objectives set out in the Air Quality Strategy for England but does not include nitrogen oxides (NOx),</w:t>
            </w:r>
            <w:r w:rsidR="00B850E1">
              <w:rPr>
                <w:sz w:val="22"/>
              </w:rPr>
              <w:t xml:space="preserve"> even though they are </w:t>
            </w:r>
            <w:r w:rsidR="00A31672">
              <w:rPr>
                <w:sz w:val="22"/>
              </w:rPr>
              <w:t>considered later on in the assessment,</w:t>
            </w:r>
            <w:r w:rsidR="000D395E" w:rsidRPr="006C3682">
              <w:rPr>
                <w:sz w:val="22"/>
              </w:rPr>
              <w:t xml:space="preserve"> and no justification is provided for the omission. </w:t>
            </w:r>
          </w:p>
        </w:tc>
      </w:tr>
      <w:tr w:rsidR="000D395E" w:rsidRPr="006C3682" w14:paraId="5B23DB07" w14:textId="77777777" w:rsidTr="00E53227">
        <w:trPr>
          <w:trHeight w:val="300"/>
        </w:trPr>
        <w:tc>
          <w:tcPr>
            <w:tcW w:w="1633" w:type="dxa"/>
            <w:vMerge/>
          </w:tcPr>
          <w:p w14:paraId="5039B908" w14:textId="77777777" w:rsidR="000D395E" w:rsidRPr="006C3682" w:rsidRDefault="000D395E">
            <w:pPr>
              <w:spacing w:before="60" w:after="60"/>
              <w:rPr>
                <w:sz w:val="22"/>
              </w:rPr>
            </w:pPr>
          </w:p>
        </w:tc>
        <w:tc>
          <w:tcPr>
            <w:tcW w:w="1559" w:type="dxa"/>
          </w:tcPr>
          <w:p w14:paraId="517C49D6" w14:textId="16B79A39" w:rsidR="000D395E" w:rsidRPr="006C3682" w:rsidRDefault="000D395E" w:rsidP="007130C8">
            <w:pPr>
              <w:spacing w:before="60" w:after="60"/>
              <w:rPr>
                <w:sz w:val="22"/>
                <w:lang w:bidi="ar-SA"/>
              </w:rPr>
            </w:pPr>
            <w:r w:rsidRPr="006C3682">
              <w:rPr>
                <w:sz w:val="22"/>
                <w:lang w:bidi="ar-SA"/>
              </w:rPr>
              <w:t xml:space="preserve">Comment (Baseline) </w:t>
            </w:r>
          </w:p>
        </w:tc>
        <w:tc>
          <w:tcPr>
            <w:tcW w:w="5834" w:type="dxa"/>
          </w:tcPr>
          <w:p w14:paraId="28298018" w14:textId="572BD3E9" w:rsidR="000D395E" w:rsidRPr="006C3682" w:rsidRDefault="000D395E" w:rsidP="007130C8">
            <w:pPr>
              <w:spacing w:before="60" w:after="60"/>
              <w:rPr>
                <w:sz w:val="22"/>
              </w:rPr>
            </w:pPr>
            <w:r w:rsidRPr="006C3682">
              <w:rPr>
                <w:sz w:val="22"/>
              </w:rPr>
              <w:t>Paragraph 6.3.23 refers to “good” human health</w:t>
            </w:r>
            <w:r w:rsidRPr="006C3682">
              <w:rPr>
                <w:sz w:val="22"/>
              </w:rPr>
              <w:noBreakHyphen/>
              <w:t xml:space="preserve">based standards but does not define or reference the source of these standards; a citation or explanatory reference should be included. </w:t>
            </w:r>
          </w:p>
        </w:tc>
      </w:tr>
      <w:tr w:rsidR="000D395E" w:rsidRPr="006C3682" w14:paraId="6CC2F099" w14:textId="77777777" w:rsidTr="00E53227">
        <w:trPr>
          <w:trHeight w:val="300"/>
        </w:trPr>
        <w:tc>
          <w:tcPr>
            <w:tcW w:w="1633" w:type="dxa"/>
            <w:vMerge/>
          </w:tcPr>
          <w:p w14:paraId="40301046" w14:textId="32A3A643" w:rsidR="000D395E" w:rsidRPr="006C3682" w:rsidRDefault="000D395E" w:rsidP="173648A1">
            <w:pPr>
              <w:rPr>
                <w:sz w:val="22"/>
              </w:rPr>
            </w:pPr>
          </w:p>
        </w:tc>
        <w:tc>
          <w:tcPr>
            <w:tcW w:w="1559" w:type="dxa"/>
          </w:tcPr>
          <w:p w14:paraId="1AB6FFCE" w14:textId="42742D56" w:rsidR="000D395E" w:rsidRPr="006C3682" w:rsidRDefault="000D395E" w:rsidP="173648A1">
            <w:pPr>
              <w:spacing w:before="60" w:after="60"/>
              <w:rPr>
                <w:sz w:val="22"/>
                <w:lang w:bidi="ar-SA"/>
              </w:rPr>
            </w:pPr>
            <w:r w:rsidRPr="006C3682">
              <w:rPr>
                <w:sz w:val="22"/>
                <w:lang w:bidi="ar-SA"/>
              </w:rPr>
              <w:t xml:space="preserve">Comment (Baseline) </w:t>
            </w:r>
          </w:p>
        </w:tc>
        <w:tc>
          <w:tcPr>
            <w:tcW w:w="5834" w:type="dxa"/>
          </w:tcPr>
          <w:p w14:paraId="15F69723" w14:textId="71AACD2C" w:rsidR="000D395E" w:rsidRPr="006C3682" w:rsidRDefault="000D395E" w:rsidP="173648A1">
            <w:r w:rsidRPr="006C3682">
              <w:rPr>
                <w:rFonts w:eastAsia="Arial" w:cs="Arial"/>
                <w:sz w:val="22"/>
              </w:rPr>
              <w:t>Baseline air quality monitoring is proposed to inform the air quality impact assessment and verify dispersion modelling, comprising six months of nitrogen dioxide (NO₂) monitoring using diffusion tubes at six locations and baseline dust deposition monitoring using Frisbee gauges at three locations. The scope and methods are generally appropriate and proportionate; however, given the site’s proximity to the coast, clarification is required as to whether baseline dust monitoring is necessary or proportionate, as background coastal sources may dominate measured dust levels.</w:t>
            </w:r>
          </w:p>
        </w:tc>
      </w:tr>
      <w:tr w:rsidR="000D395E" w:rsidRPr="006C3682" w14:paraId="5F5CB4BA" w14:textId="77777777" w:rsidTr="00E53227">
        <w:trPr>
          <w:trHeight w:val="300"/>
        </w:trPr>
        <w:tc>
          <w:tcPr>
            <w:tcW w:w="1633" w:type="dxa"/>
            <w:vMerge/>
          </w:tcPr>
          <w:p w14:paraId="0996923C" w14:textId="77777777" w:rsidR="000D395E" w:rsidRPr="006C3682" w:rsidRDefault="000D395E">
            <w:pPr>
              <w:spacing w:before="60" w:after="60"/>
              <w:rPr>
                <w:sz w:val="22"/>
              </w:rPr>
            </w:pPr>
          </w:p>
        </w:tc>
        <w:tc>
          <w:tcPr>
            <w:tcW w:w="1559" w:type="dxa"/>
          </w:tcPr>
          <w:p w14:paraId="7074B07B" w14:textId="1F7A1F37" w:rsidR="000D395E" w:rsidRPr="006C3682" w:rsidRDefault="005A0310" w:rsidP="007130C8">
            <w:pPr>
              <w:spacing w:before="60" w:after="60"/>
              <w:rPr>
                <w:sz w:val="22"/>
                <w:lang w:bidi="ar-SA"/>
              </w:rPr>
            </w:pPr>
            <w:r>
              <w:rPr>
                <w:sz w:val="22"/>
                <w:lang w:bidi="ar-SA"/>
              </w:rPr>
              <w:t>Observation</w:t>
            </w:r>
            <w:r w:rsidR="000D395E" w:rsidRPr="006C3682">
              <w:rPr>
                <w:sz w:val="22"/>
                <w:lang w:bidi="ar-SA"/>
              </w:rPr>
              <w:t xml:space="preserve"> (Future Baseline) </w:t>
            </w:r>
          </w:p>
        </w:tc>
        <w:tc>
          <w:tcPr>
            <w:tcW w:w="5834" w:type="dxa"/>
          </w:tcPr>
          <w:p w14:paraId="47A350B9" w14:textId="48C5D3A0" w:rsidR="000D395E" w:rsidRPr="006C3682" w:rsidRDefault="000D395E" w:rsidP="007130C8">
            <w:pPr>
              <w:spacing w:before="60" w:after="60"/>
              <w:rPr>
                <w:sz w:val="22"/>
              </w:rPr>
            </w:pPr>
            <w:r w:rsidRPr="00E2414F">
              <w:rPr>
                <w:sz w:val="22"/>
              </w:rPr>
              <w:t>Paragraph 6.3.24 – 6.3.30 sets out how the future baseline will be determined</w:t>
            </w:r>
            <w:r w:rsidRPr="006C3682">
              <w:rPr>
                <w:sz w:val="22"/>
              </w:rPr>
              <w:t xml:space="preserve">. The future emission sources considered are from traffic movements and does not consider dust emissions. </w:t>
            </w:r>
          </w:p>
        </w:tc>
      </w:tr>
      <w:tr w:rsidR="000D395E" w:rsidRPr="006C3682" w14:paraId="6455E194" w14:textId="77777777" w:rsidTr="00E53227">
        <w:trPr>
          <w:trHeight w:val="300"/>
        </w:trPr>
        <w:tc>
          <w:tcPr>
            <w:tcW w:w="1633" w:type="dxa"/>
            <w:vMerge/>
          </w:tcPr>
          <w:p w14:paraId="028E3684" w14:textId="77777777" w:rsidR="000D395E" w:rsidRPr="006C3682" w:rsidRDefault="000D395E">
            <w:pPr>
              <w:spacing w:before="60" w:after="60"/>
              <w:rPr>
                <w:sz w:val="22"/>
              </w:rPr>
            </w:pPr>
          </w:p>
        </w:tc>
        <w:tc>
          <w:tcPr>
            <w:tcW w:w="1559" w:type="dxa"/>
          </w:tcPr>
          <w:p w14:paraId="24CE0B7F" w14:textId="626717C9" w:rsidR="000D395E" w:rsidRPr="006C3682" w:rsidRDefault="000D395E" w:rsidP="00F4052F">
            <w:pPr>
              <w:spacing w:before="60" w:after="60"/>
              <w:rPr>
                <w:sz w:val="22"/>
                <w:lang w:bidi="ar-SA"/>
              </w:rPr>
            </w:pPr>
            <w:r w:rsidRPr="006C3682">
              <w:rPr>
                <w:sz w:val="22"/>
                <w:lang w:bidi="ar-SA"/>
              </w:rPr>
              <w:t xml:space="preserve">Observation (EIA Scope) </w:t>
            </w:r>
          </w:p>
        </w:tc>
        <w:tc>
          <w:tcPr>
            <w:tcW w:w="5834" w:type="dxa"/>
          </w:tcPr>
          <w:p w14:paraId="0F9BBAB1" w14:textId="0469D039" w:rsidR="000D395E" w:rsidRPr="006C3682" w:rsidRDefault="000D395E" w:rsidP="6A360458">
            <w:pPr>
              <w:spacing w:before="60" w:after="60"/>
              <w:rPr>
                <w:sz w:val="22"/>
              </w:rPr>
            </w:pPr>
            <w:r w:rsidRPr="006C3682">
              <w:rPr>
                <w:sz w:val="22"/>
              </w:rPr>
              <w:t xml:space="preserve">The assessment of potential significant effects between the Air Quality, Human Health and Terrestrial Ecology chapters lacks clarity and consistency. The Air Quality chapter states that impacts from fugitive PM10 emissions during dismantling and construction on human health receptors and nature conservation sites have been considered, whereas the Terrestrial Ecology chapter indicates that emissions to air from vehicle movements and associated nitrogen deposition are scoped out of the </w:t>
            </w:r>
            <w:r w:rsidRPr="006C3682">
              <w:rPr>
                <w:sz w:val="22"/>
              </w:rPr>
              <w:lastRenderedPageBreak/>
              <w:t>HR</w:t>
            </w:r>
            <w:r>
              <w:rPr>
                <w:sz w:val="22"/>
              </w:rPr>
              <w:t>A</w:t>
            </w:r>
            <w:r w:rsidRPr="006C3682">
              <w:rPr>
                <w:sz w:val="22"/>
              </w:rPr>
              <w:t xml:space="preserve"> on the basis that traffic levels fall below screening criteria (see para. 18.6.4). This discrepancy should be resolved to ensure a consistent and clearly aligned approach across technical chapters. </w:t>
            </w:r>
          </w:p>
        </w:tc>
      </w:tr>
      <w:tr w:rsidR="000D395E" w:rsidRPr="006C3682" w14:paraId="1C918D8B" w14:textId="77777777" w:rsidTr="00E53227">
        <w:trPr>
          <w:trHeight w:val="300"/>
        </w:trPr>
        <w:tc>
          <w:tcPr>
            <w:tcW w:w="1633" w:type="dxa"/>
            <w:vMerge/>
          </w:tcPr>
          <w:p w14:paraId="4DBBDD55" w14:textId="77777777" w:rsidR="000D395E" w:rsidRPr="006C3682" w:rsidRDefault="000D395E">
            <w:pPr>
              <w:spacing w:before="60" w:after="60"/>
              <w:rPr>
                <w:sz w:val="22"/>
              </w:rPr>
            </w:pPr>
          </w:p>
        </w:tc>
        <w:tc>
          <w:tcPr>
            <w:tcW w:w="1559" w:type="dxa"/>
          </w:tcPr>
          <w:p w14:paraId="3B26D54E" w14:textId="25971FB6" w:rsidR="000D395E" w:rsidRPr="006C3682" w:rsidRDefault="000D395E" w:rsidP="00F4052F">
            <w:pPr>
              <w:spacing w:before="60" w:after="60"/>
              <w:rPr>
                <w:sz w:val="22"/>
                <w:lang w:bidi="ar-SA"/>
              </w:rPr>
            </w:pPr>
            <w:r w:rsidRPr="006C3682">
              <w:rPr>
                <w:sz w:val="22"/>
                <w:lang w:bidi="ar-SA"/>
              </w:rPr>
              <w:t xml:space="preserve">Comment (Clarity) </w:t>
            </w:r>
          </w:p>
        </w:tc>
        <w:tc>
          <w:tcPr>
            <w:tcW w:w="5834" w:type="dxa"/>
          </w:tcPr>
          <w:p w14:paraId="5BD1D97E" w14:textId="59F7EBE0" w:rsidR="000D395E" w:rsidRPr="006C3682" w:rsidRDefault="000D395E" w:rsidP="00F4052F">
            <w:pPr>
              <w:spacing w:before="60" w:after="60"/>
              <w:rPr>
                <w:sz w:val="22"/>
              </w:rPr>
            </w:pPr>
            <w:r w:rsidRPr="006C3682">
              <w:rPr>
                <w:sz w:val="22"/>
              </w:rPr>
              <w:t>Figure 6-1 adequately shows the Environmental Designations and the locations of dust and NO</w:t>
            </w:r>
            <w:r w:rsidRPr="006C3682">
              <w:rPr>
                <w:rFonts w:ascii="Cambria Math" w:hAnsi="Cambria Math" w:cs="Cambria Math"/>
                <w:sz w:val="22"/>
              </w:rPr>
              <w:t>₂</w:t>
            </w:r>
            <w:r w:rsidRPr="006C3682">
              <w:rPr>
                <w:sz w:val="22"/>
              </w:rPr>
              <w:t xml:space="preserve"> monitoring; however, it does not map residential or other sensitive human receptors. </w:t>
            </w:r>
          </w:p>
        </w:tc>
      </w:tr>
      <w:tr w:rsidR="00AF37E0" w:rsidRPr="006C3682" w14:paraId="59D1592F" w14:textId="77777777" w:rsidTr="00E53227">
        <w:trPr>
          <w:trHeight w:val="300"/>
        </w:trPr>
        <w:tc>
          <w:tcPr>
            <w:tcW w:w="1633" w:type="dxa"/>
            <w:vMerge w:val="restart"/>
          </w:tcPr>
          <w:p w14:paraId="4E31AB4D" w14:textId="312D96C1" w:rsidR="00AF37E0" w:rsidRPr="006C3682" w:rsidRDefault="00AF37E0" w:rsidP="000109FB">
            <w:pPr>
              <w:spacing w:before="60" w:after="60"/>
              <w:rPr>
                <w:sz w:val="22"/>
              </w:rPr>
            </w:pPr>
            <w:r w:rsidRPr="006C3682">
              <w:rPr>
                <w:sz w:val="22"/>
              </w:rPr>
              <w:t xml:space="preserve">Chapter 7 – Conventional Waste and Materials </w:t>
            </w:r>
          </w:p>
        </w:tc>
        <w:tc>
          <w:tcPr>
            <w:tcW w:w="1559" w:type="dxa"/>
          </w:tcPr>
          <w:p w14:paraId="62857E04" w14:textId="4B616F88" w:rsidR="00AF37E0" w:rsidRPr="006C3682" w:rsidRDefault="00AF37E0" w:rsidP="000109FB">
            <w:pPr>
              <w:spacing w:before="60" w:after="60"/>
              <w:rPr>
                <w:sz w:val="22"/>
                <w:lang w:bidi="ar-SA"/>
              </w:rPr>
            </w:pPr>
            <w:r w:rsidRPr="006C3682">
              <w:rPr>
                <w:sz w:val="22"/>
                <w:lang w:bidi="ar-SA"/>
              </w:rPr>
              <w:t xml:space="preserve">Comment (EIA Methodology) </w:t>
            </w:r>
          </w:p>
        </w:tc>
        <w:tc>
          <w:tcPr>
            <w:tcW w:w="5834" w:type="dxa"/>
          </w:tcPr>
          <w:p w14:paraId="4B085484" w14:textId="2035909F" w:rsidR="00AF37E0" w:rsidRPr="006C3682" w:rsidRDefault="00AF37E0" w:rsidP="173648A1">
            <w:pPr>
              <w:spacing w:before="60" w:after="60"/>
              <w:rPr>
                <w:rFonts w:eastAsia="Arial" w:cs="Arial"/>
                <w:sz w:val="22"/>
              </w:rPr>
            </w:pPr>
            <w:r w:rsidRPr="006C3682">
              <w:rPr>
                <w:sz w:val="22"/>
              </w:rPr>
              <w:t xml:space="preserve">Section 7.2 of the legislation and policy review </w:t>
            </w:r>
            <w:r w:rsidR="00072D44">
              <w:rPr>
                <w:sz w:val="22"/>
              </w:rPr>
              <w:t>omits</w:t>
            </w:r>
            <w:r w:rsidRPr="006C3682">
              <w:rPr>
                <w:sz w:val="22"/>
              </w:rPr>
              <w:t xml:space="preserve"> several key international and national legislative instruments</w:t>
            </w:r>
            <w:r w:rsidRPr="006C3682">
              <w:rPr>
                <w:rFonts w:eastAsia="Arial" w:cs="Arial"/>
                <w:sz w:val="22"/>
              </w:rPr>
              <w:t xml:space="preserve">, including but not limited to the </w:t>
            </w:r>
            <w:r w:rsidR="004476DC">
              <w:rPr>
                <w:rFonts w:eastAsia="Arial" w:cs="Arial"/>
                <w:sz w:val="22"/>
              </w:rPr>
              <w:t xml:space="preserve">list </w:t>
            </w:r>
            <w:r w:rsidRPr="006C3682">
              <w:rPr>
                <w:rFonts w:eastAsia="Arial" w:cs="Arial"/>
                <w:sz w:val="22"/>
              </w:rPr>
              <w:t xml:space="preserve">below. </w:t>
            </w:r>
            <w:r w:rsidR="00AD4FEC">
              <w:rPr>
                <w:rFonts w:eastAsia="Arial" w:cs="Arial"/>
                <w:sz w:val="22"/>
              </w:rPr>
              <w:t xml:space="preserve">The licensee should consider referencing these where </w:t>
            </w:r>
            <w:r w:rsidR="008B38B8">
              <w:rPr>
                <w:rFonts w:eastAsia="Arial" w:cs="Arial"/>
                <w:sz w:val="22"/>
              </w:rPr>
              <w:t>relevant</w:t>
            </w:r>
            <w:r w:rsidR="00E20D39">
              <w:rPr>
                <w:rFonts w:eastAsia="Arial" w:cs="Arial"/>
                <w:sz w:val="22"/>
              </w:rPr>
              <w:t xml:space="preserve"> to the assessment</w:t>
            </w:r>
            <w:r w:rsidR="00AD4FEC">
              <w:rPr>
                <w:rFonts w:eastAsia="Arial" w:cs="Arial"/>
                <w:sz w:val="22"/>
              </w:rPr>
              <w:t xml:space="preserve">.  </w:t>
            </w:r>
          </w:p>
          <w:p w14:paraId="78EFD316" w14:textId="1BAA054C" w:rsidR="00AF37E0" w:rsidRPr="006C3682" w:rsidRDefault="00AD4FEC" w:rsidP="173648A1">
            <w:pPr>
              <w:spacing w:before="60" w:after="60"/>
              <w:rPr>
                <w:sz w:val="22"/>
              </w:rPr>
            </w:pPr>
            <w:r>
              <w:rPr>
                <w:rFonts w:eastAsia="Arial" w:cs="Arial"/>
                <w:sz w:val="22"/>
              </w:rPr>
              <w:t>I</w:t>
            </w:r>
            <w:r w:rsidR="00AF37E0" w:rsidRPr="006C3682">
              <w:rPr>
                <w:rFonts w:eastAsia="Arial" w:cs="Arial"/>
                <w:sz w:val="22"/>
              </w:rPr>
              <w:t xml:space="preserve">nternational legislation: </w:t>
            </w:r>
          </w:p>
          <w:p w14:paraId="2A5E4226" w14:textId="4234F0BE" w:rsidR="00AF37E0" w:rsidRPr="006C3682" w:rsidRDefault="00AF37E0" w:rsidP="006B2C89">
            <w:pPr>
              <w:pStyle w:val="ListParagraph"/>
              <w:numPr>
                <w:ilvl w:val="0"/>
                <w:numId w:val="1"/>
              </w:numPr>
              <w:spacing w:before="60" w:after="60"/>
              <w:rPr>
                <w:sz w:val="22"/>
              </w:rPr>
            </w:pPr>
            <w:r w:rsidRPr="006C3682">
              <w:rPr>
                <w:rFonts w:eastAsia="Arial" w:cs="Arial"/>
                <w:sz w:val="22"/>
              </w:rPr>
              <w:t xml:space="preserve">Landfill Directive (1999/31/EC). </w:t>
            </w:r>
          </w:p>
          <w:p w14:paraId="648589E4" w14:textId="3E930C67" w:rsidR="00AF37E0" w:rsidRPr="006C3682" w:rsidRDefault="00AF37E0" w:rsidP="006B2C89">
            <w:pPr>
              <w:pStyle w:val="ListParagraph"/>
              <w:numPr>
                <w:ilvl w:val="0"/>
                <w:numId w:val="1"/>
              </w:numPr>
              <w:spacing w:before="60" w:after="60"/>
              <w:rPr>
                <w:sz w:val="22"/>
              </w:rPr>
            </w:pPr>
            <w:r w:rsidRPr="006C3682">
              <w:rPr>
                <w:rFonts w:eastAsia="Arial" w:cs="Arial"/>
                <w:sz w:val="22"/>
              </w:rPr>
              <w:t xml:space="preserve">Hazardous Waste Directive (91/689/EEC). </w:t>
            </w:r>
          </w:p>
          <w:p w14:paraId="13758B5C" w14:textId="2FE38566" w:rsidR="00AF37E0" w:rsidRPr="006C3682" w:rsidRDefault="00C33F89" w:rsidP="70F7D1B8">
            <w:pPr>
              <w:spacing w:before="60" w:after="60"/>
              <w:rPr>
                <w:sz w:val="22"/>
              </w:rPr>
            </w:pPr>
            <w:r>
              <w:rPr>
                <w:rFonts w:eastAsia="Arial" w:cs="Arial"/>
                <w:sz w:val="22"/>
              </w:rPr>
              <w:t>N</w:t>
            </w:r>
            <w:r w:rsidR="00AF37E0" w:rsidRPr="006C3682">
              <w:rPr>
                <w:rFonts w:eastAsia="Arial" w:cs="Arial"/>
                <w:sz w:val="22"/>
              </w:rPr>
              <w:t xml:space="preserve">ational legislation: </w:t>
            </w:r>
          </w:p>
          <w:p w14:paraId="2E29C874" w14:textId="7082291B" w:rsidR="00AF37E0" w:rsidRPr="006C3682" w:rsidRDefault="00AF37E0" w:rsidP="006B2C89">
            <w:pPr>
              <w:pStyle w:val="ListParagraph"/>
              <w:numPr>
                <w:ilvl w:val="0"/>
                <w:numId w:val="1"/>
              </w:numPr>
              <w:spacing w:before="60" w:after="60"/>
              <w:rPr>
                <w:rFonts w:eastAsia="Arial" w:cs="Arial"/>
                <w:sz w:val="22"/>
              </w:rPr>
            </w:pPr>
            <w:r w:rsidRPr="006C3682">
              <w:rPr>
                <w:rFonts w:eastAsia="Arial" w:cs="Arial"/>
                <w:sz w:val="22"/>
              </w:rPr>
              <w:t xml:space="preserve">Waste Batteries and Accumulators Regulations 2009. </w:t>
            </w:r>
          </w:p>
          <w:p w14:paraId="36403F83" w14:textId="1274AAAD" w:rsidR="00AF37E0" w:rsidRPr="00E20D39" w:rsidRDefault="00AF37E0" w:rsidP="00E20D39">
            <w:pPr>
              <w:pStyle w:val="ListParagraph"/>
              <w:numPr>
                <w:ilvl w:val="0"/>
                <w:numId w:val="1"/>
              </w:numPr>
              <w:spacing w:before="60" w:after="60"/>
              <w:rPr>
                <w:rFonts w:eastAsia="Arial" w:cs="Arial"/>
                <w:sz w:val="22"/>
              </w:rPr>
            </w:pPr>
            <w:r w:rsidRPr="006C3682">
              <w:rPr>
                <w:rFonts w:eastAsia="Arial" w:cs="Arial"/>
                <w:sz w:val="22"/>
              </w:rPr>
              <w:t xml:space="preserve">Controlled Waste (England and Wales) Regulations 2012. </w:t>
            </w:r>
            <w:r w:rsidRPr="00E20D39">
              <w:rPr>
                <w:rFonts w:eastAsia="Arial"/>
                <w:sz w:val="22"/>
              </w:rPr>
              <w:t xml:space="preserve"> </w:t>
            </w:r>
          </w:p>
        </w:tc>
      </w:tr>
      <w:tr w:rsidR="00AF37E0" w:rsidRPr="006C3682" w14:paraId="3605C4AC" w14:textId="77777777" w:rsidTr="00E53227">
        <w:trPr>
          <w:trHeight w:val="300"/>
        </w:trPr>
        <w:tc>
          <w:tcPr>
            <w:tcW w:w="1633" w:type="dxa"/>
            <w:vMerge/>
          </w:tcPr>
          <w:p w14:paraId="4F573CAF" w14:textId="77777777" w:rsidR="00AF37E0" w:rsidRPr="006C3682" w:rsidRDefault="00AF37E0">
            <w:pPr>
              <w:spacing w:before="60" w:after="60"/>
              <w:rPr>
                <w:sz w:val="22"/>
              </w:rPr>
            </w:pPr>
          </w:p>
        </w:tc>
        <w:tc>
          <w:tcPr>
            <w:tcW w:w="1559" w:type="dxa"/>
          </w:tcPr>
          <w:p w14:paraId="60BFF2E5" w14:textId="5A3BFEFE" w:rsidR="00AF37E0" w:rsidRPr="006C3682" w:rsidRDefault="00817274" w:rsidP="000109FB">
            <w:pPr>
              <w:spacing w:before="60" w:after="60"/>
              <w:rPr>
                <w:sz w:val="22"/>
                <w:lang w:bidi="ar-SA"/>
              </w:rPr>
            </w:pPr>
            <w:r>
              <w:rPr>
                <w:sz w:val="22"/>
                <w:lang w:bidi="ar-SA"/>
              </w:rPr>
              <w:t>Observation</w:t>
            </w:r>
            <w:r w:rsidR="00AF37E0" w:rsidRPr="006C3682">
              <w:rPr>
                <w:sz w:val="22"/>
                <w:lang w:bidi="ar-SA"/>
              </w:rPr>
              <w:t xml:space="preserve"> (EIA Scope) </w:t>
            </w:r>
          </w:p>
        </w:tc>
        <w:tc>
          <w:tcPr>
            <w:tcW w:w="5834" w:type="dxa"/>
          </w:tcPr>
          <w:p w14:paraId="3ED6158E" w14:textId="245F90B2" w:rsidR="00AF37E0" w:rsidRPr="006C3682" w:rsidRDefault="00AF37E0" w:rsidP="000109FB">
            <w:pPr>
              <w:spacing w:before="60" w:after="60"/>
              <w:rPr>
                <w:sz w:val="22"/>
              </w:rPr>
            </w:pPr>
            <w:r w:rsidRPr="006C3682">
              <w:rPr>
                <w:sz w:val="22"/>
              </w:rPr>
              <w:t xml:space="preserve">A Materials Management Plan is referenced; however, no Site Waste Management Plan is included. </w:t>
            </w:r>
            <w:r w:rsidR="00972C8C">
              <w:rPr>
                <w:sz w:val="22"/>
              </w:rPr>
              <w:t xml:space="preserve">The licensee should consider whether a </w:t>
            </w:r>
            <w:r w:rsidRPr="006C3682">
              <w:rPr>
                <w:sz w:val="22"/>
              </w:rPr>
              <w:t xml:space="preserve">Site Waste Management Plan </w:t>
            </w:r>
            <w:r w:rsidR="00A9291D">
              <w:rPr>
                <w:sz w:val="22"/>
              </w:rPr>
              <w:t>could be</w:t>
            </w:r>
            <w:r w:rsidRPr="006C3682">
              <w:rPr>
                <w:sz w:val="22"/>
              </w:rPr>
              <w:t xml:space="preserve"> </w:t>
            </w:r>
            <w:r w:rsidR="00A9291D">
              <w:rPr>
                <w:sz w:val="22"/>
              </w:rPr>
              <w:t>developed</w:t>
            </w:r>
            <w:r w:rsidRPr="006C3682">
              <w:rPr>
                <w:sz w:val="22"/>
              </w:rPr>
              <w:t xml:space="preserve"> to set out mitigation measures and enable monitoring of their effectiveness during construction</w:t>
            </w:r>
            <w:r w:rsidR="00447561">
              <w:rPr>
                <w:sz w:val="22"/>
              </w:rPr>
              <w:t>, in line with RGP</w:t>
            </w:r>
            <w:r w:rsidRPr="006C3682">
              <w:rPr>
                <w:sz w:val="22"/>
              </w:rPr>
              <w:t xml:space="preserve">. </w:t>
            </w:r>
          </w:p>
        </w:tc>
      </w:tr>
      <w:tr w:rsidR="00AF37E0" w:rsidRPr="006C3682" w14:paraId="0F3B21C2" w14:textId="77777777" w:rsidTr="00E53227">
        <w:trPr>
          <w:trHeight w:val="300"/>
        </w:trPr>
        <w:tc>
          <w:tcPr>
            <w:tcW w:w="1633" w:type="dxa"/>
            <w:vMerge/>
          </w:tcPr>
          <w:p w14:paraId="1656DD65" w14:textId="77777777" w:rsidR="00AF37E0" w:rsidRPr="006C3682" w:rsidRDefault="00AF37E0">
            <w:pPr>
              <w:spacing w:before="60" w:after="60"/>
              <w:rPr>
                <w:sz w:val="22"/>
              </w:rPr>
            </w:pPr>
          </w:p>
        </w:tc>
        <w:tc>
          <w:tcPr>
            <w:tcW w:w="1559" w:type="dxa"/>
          </w:tcPr>
          <w:p w14:paraId="1D78162E" w14:textId="284C0ABD" w:rsidR="00AF37E0" w:rsidRPr="006C3682" w:rsidRDefault="00AF37E0" w:rsidP="000109FB">
            <w:pPr>
              <w:spacing w:before="60" w:after="60"/>
              <w:rPr>
                <w:sz w:val="22"/>
                <w:lang w:bidi="ar-SA"/>
              </w:rPr>
            </w:pPr>
            <w:r w:rsidRPr="006C3682">
              <w:rPr>
                <w:sz w:val="22"/>
                <w:lang w:bidi="ar-SA"/>
              </w:rPr>
              <w:t xml:space="preserve">Comment (EIA Scope) </w:t>
            </w:r>
          </w:p>
        </w:tc>
        <w:tc>
          <w:tcPr>
            <w:tcW w:w="5834" w:type="dxa"/>
          </w:tcPr>
          <w:p w14:paraId="22F795D0" w14:textId="1CC46F64" w:rsidR="00AF37E0" w:rsidRPr="006C3682" w:rsidRDefault="00AF37E0" w:rsidP="4B2CEF1B">
            <w:pPr>
              <w:spacing w:before="60" w:after="60"/>
              <w:rPr>
                <w:sz w:val="22"/>
              </w:rPr>
            </w:pPr>
            <w:r w:rsidRPr="006C3682">
              <w:rPr>
                <w:sz w:val="22"/>
              </w:rPr>
              <w:t>Justification provided in Section 7.6 for scoping out certain receptors lacks clarity and should be strengthened. As such, Section 7.8 currently scopes in only changes in landfill void capacity</w:t>
            </w:r>
            <w:r>
              <w:rPr>
                <w:sz w:val="22"/>
              </w:rPr>
              <w:t>. T</w:t>
            </w:r>
            <w:r w:rsidRPr="006C3682">
              <w:rPr>
                <w:sz w:val="22"/>
              </w:rPr>
              <w:t xml:space="preserve">he assessment should be expanded to also consider the construction of temporary site facilities and access routes, the transportation of waste to disposal sites, and the deconstruction and dismantling of the power station, including site clearance. </w:t>
            </w:r>
          </w:p>
        </w:tc>
      </w:tr>
      <w:tr w:rsidR="00D30BCA" w:rsidRPr="006C3682" w14:paraId="4DE1E2F7" w14:textId="77777777" w:rsidTr="009D073E">
        <w:trPr>
          <w:trHeight w:val="300"/>
        </w:trPr>
        <w:tc>
          <w:tcPr>
            <w:tcW w:w="1633" w:type="dxa"/>
            <w:vMerge w:val="restart"/>
          </w:tcPr>
          <w:p w14:paraId="0B527FE8" w14:textId="40861BA9" w:rsidR="00D30BCA" w:rsidRPr="006C3682" w:rsidRDefault="00D30BCA" w:rsidP="00237AE5">
            <w:pPr>
              <w:spacing w:before="60" w:after="60"/>
              <w:rPr>
                <w:sz w:val="22"/>
              </w:rPr>
            </w:pPr>
            <w:r w:rsidRPr="006C3682">
              <w:rPr>
                <w:sz w:val="22"/>
              </w:rPr>
              <w:t xml:space="preserve">Chapter 8 - Coastal Processes </w:t>
            </w:r>
          </w:p>
        </w:tc>
        <w:tc>
          <w:tcPr>
            <w:tcW w:w="7393" w:type="dxa"/>
            <w:gridSpan w:val="2"/>
          </w:tcPr>
          <w:p w14:paraId="129DE188" w14:textId="5DD4632C" w:rsidR="00D30BCA" w:rsidRPr="006C3682" w:rsidRDefault="00D30BCA" w:rsidP="00402375">
            <w:pPr>
              <w:spacing w:before="60" w:after="60"/>
              <w:rPr>
                <w:sz w:val="22"/>
              </w:rPr>
            </w:pPr>
            <w:r w:rsidRPr="006C3682">
              <w:rPr>
                <w:sz w:val="22"/>
              </w:rPr>
              <w:t xml:space="preserve">Chapter 8 is comprehensive and detailed, with the topic assessed appropriately and all relevant receptors adequately considered. </w:t>
            </w:r>
          </w:p>
        </w:tc>
      </w:tr>
      <w:tr w:rsidR="00D30BCA" w:rsidRPr="006C3682" w14:paraId="697DF10F" w14:textId="77777777" w:rsidTr="00E53227">
        <w:trPr>
          <w:trHeight w:val="300"/>
        </w:trPr>
        <w:tc>
          <w:tcPr>
            <w:tcW w:w="1633" w:type="dxa"/>
            <w:vMerge/>
          </w:tcPr>
          <w:p w14:paraId="6A8AD71B" w14:textId="4CCC5352" w:rsidR="00D30BCA" w:rsidRPr="006C3682" w:rsidRDefault="00D30BCA" w:rsidP="00237AE5">
            <w:pPr>
              <w:spacing w:before="60" w:after="60"/>
              <w:rPr>
                <w:sz w:val="22"/>
              </w:rPr>
            </w:pPr>
          </w:p>
        </w:tc>
        <w:tc>
          <w:tcPr>
            <w:tcW w:w="1559" w:type="dxa"/>
          </w:tcPr>
          <w:p w14:paraId="6B6B1985" w14:textId="661F9B57" w:rsidR="00D30BCA" w:rsidRPr="006C3682" w:rsidRDefault="00D30BCA" w:rsidP="00614EFD">
            <w:pPr>
              <w:spacing w:before="60" w:after="60"/>
              <w:rPr>
                <w:sz w:val="22"/>
                <w:lang w:bidi="ar-SA"/>
              </w:rPr>
            </w:pPr>
            <w:r w:rsidRPr="006C3682">
              <w:rPr>
                <w:sz w:val="22"/>
                <w:lang w:bidi="ar-SA"/>
              </w:rPr>
              <w:t xml:space="preserve">Observation (Scope Definition) </w:t>
            </w:r>
          </w:p>
        </w:tc>
        <w:tc>
          <w:tcPr>
            <w:tcW w:w="5834" w:type="dxa"/>
          </w:tcPr>
          <w:p w14:paraId="06BF070B" w14:textId="525F1288" w:rsidR="00D30BCA" w:rsidRPr="006C3682" w:rsidRDefault="00D30BCA" w:rsidP="00614EFD">
            <w:pPr>
              <w:spacing w:before="60" w:after="60"/>
              <w:rPr>
                <w:sz w:val="22"/>
              </w:rPr>
            </w:pPr>
            <w:r w:rsidRPr="006C3682">
              <w:rPr>
                <w:sz w:val="22"/>
              </w:rPr>
              <w:t xml:space="preserve">Paragraph 8.3.46 states that </w:t>
            </w:r>
            <w:r w:rsidR="00D54BE5">
              <w:rPr>
                <w:sz w:val="22"/>
              </w:rPr>
              <w:t>m</w:t>
            </w:r>
            <w:r w:rsidRPr="006C3682">
              <w:rPr>
                <w:sz w:val="22"/>
              </w:rPr>
              <w:t xml:space="preserve">arine </w:t>
            </w:r>
            <w:r w:rsidR="00D54BE5">
              <w:rPr>
                <w:sz w:val="22"/>
              </w:rPr>
              <w:t>w</w:t>
            </w:r>
            <w:r w:rsidRPr="006C3682">
              <w:rPr>
                <w:sz w:val="22"/>
              </w:rPr>
              <w:t xml:space="preserve">orks will be completed as part of the Initial Decommissioning Works by 2049; however, this is not referenced in the upfront chapters, including the </w:t>
            </w:r>
            <w:r w:rsidR="00D54BE5">
              <w:rPr>
                <w:sz w:val="22"/>
              </w:rPr>
              <w:t>p</w:t>
            </w:r>
            <w:r w:rsidRPr="006C3682">
              <w:rPr>
                <w:sz w:val="22"/>
              </w:rPr>
              <w:t xml:space="preserve">roject </w:t>
            </w:r>
            <w:r w:rsidR="00D54BE5">
              <w:rPr>
                <w:sz w:val="22"/>
              </w:rPr>
              <w:t>d</w:t>
            </w:r>
            <w:r w:rsidRPr="006C3682">
              <w:rPr>
                <w:sz w:val="22"/>
              </w:rPr>
              <w:t xml:space="preserve">escription. This creates an inconsistency in the description of project scope and phasing that requires clarification and/or cross-referencing. </w:t>
            </w:r>
          </w:p>
        </w:tc>
      </w:tr>
      <w:tr w:rsidR="00D30BCA" w:rsidRPr="006C3682" w14:paraId="6435DA79" w14:textId="77777777" w:rsidTr="00E53227">
        <w:trPr>
          <w:trHeight w:val="300"/>
        </w:trPr>
        <w:tc>
          <w:tcPr>
            <w:tcW w:w="1633" w:type="dxa"/>
            <w:vMerge/>
          </w:tcPr>
          <w:p w14:paraId="1F95B1E8" w14:textId="77777777" w:rsidR="00D30BCA" w:rsidRPr="006C3682" w:rsidRDefault="00D30BCA">
            <w:pPr>
              <w:spacing w:before="60" w:after="60"/>
              <w:rPr>
                <w:sz w:val="22"/>
              </w:rPr>
            </w:pPr>
          </w:p>
        </w:tc>
        <w:tc>
          <w:tcPr>
            <w:tcW w:w="1559" w:type="dxa"/>
          </w:tcPr>
          <w:p w14:paraId="4CD6C282" w14:textId="57BCD4B7" w:rsidR="00D30BCA" w:rsidRPr="006C3682" w:rsidRDefault="00D30BCA" w:rsidP="00614EFD">
            <w:pPr>
              <w:spacing w:before="60" w:after="60"/>
              <w:rPr>
                <w:sz w:val="22"/>
                <w:lang w:bidi="ar-SA"/>
              </w:rPr>
            </w:pPr>
            <w:r w:rsidRPr="006C3682">
              <w:rPr>
                <w:sz w:val="22"/>
                <w:lang w:bidi="ar-SA"/>
              </w:rPr>
              <w:t xml:space="preserve">Comment (Baseline) </w:t>
            </w:r>
          </w:p>
        </w:tc>
        <w:tc>
          <w:tcPr>
            <w:tcW w:w="5834" w:type="dxa"/>
          </w:tcPr>
          <w:p w14:paraId="65F0DC07" w14:textId="4B9198FE" w:rsidR="00D30BCA" w:rsidRPr="006C3682" w:rsidRDefault="00D30BCA" w:rsidP="4B2CEF1B">
            <w:pPr>
              <w:spacing w:before="60" w:after="60"/>
              <w:rPr>
                <w:sz w:val="22"/>
              </w:rPr>
            </w:pPr>
            <w:r w:rsidRPr="006C3682">
              <w:rPr>
                <w:sz w:val="22"/>
              </w:rPr>
              <w:t xml:space="preserve">Baseline information is disproportionately detailed compared with other chapters in the </w:t>
            </w:r>
            <w:r w:rsidR="00D54BE5">
              <w:rPr>
                <w:sz w:val="22"/>
              </w:rPr>
              <w:t>s</w:t>
            </w:r>
            <w:r w:rsidRPr="006C3682">
              <w:rPr>
                <w:sz w:val="22"/>
              </w:rPr>
              <w:t xml:space="preserve">coping </w:t>
            </w:r>
            <w:r w:rsidR="00D54BE5">
              <w:rPr>
                <w:sz w:val="22"/>
              </w:rPr>
              <w:t>r</w:t>
            </w:r>
            <w:r w:rsidRPr="006C3682">
              <w:rPr>
                <w:sz w:val="22"/>
              </w:rPr>
              <w:t>eport</w:t>
            </w:r>
            <w:r w:rsidR="00317FF5">
              <w:rPr>
                <w:sz w:val="22"/>
              </w:rPr>
              <w:t>. G</w:t>
            </w:r>
            <w:r w:rsidRPr="006C3682">
              <w:rPr>
                <w:sz w:val="22"/>
              </w:rPr>
              <w:t xml:space="preserve">reater consistency and proportionality across chapters is recommended for the ES. </w:t>
            </w:r>
          </w:p>
        </w:tc>
      </w:tr>
      <w:tr w:rsidR="00D30BCA" w:rsidRPr="006C3682" w14:paraId="61C10177" w14:textId="77777777" w:rsidTr="00E53227">
        <w:trPr>
          <w:trHeight w:val="300"/>
        </w:trPr>
        <w:tc>
          <w:tcPr>
            <w:tcW w:w="1633" w:type="dxa"/>
            <w:vMerge/>
          </w:tcPr>
          <w:p w14:paraId="172927D1" w14:textId="77777777" w:rsidR="00D30BCA" w:rsidRPr="006C3682" w:rsidRDefault="00D30BCA">
            <w:pPr>
              <w:spacing w:before="60" w:after="60"/>
              <w:rPr>
                <w:sz w:val="22"/>
              </w:rPr>
            </w:pPr>
          </w:p>
        </w:tc>
        <w:tc>
          <w:tcPr>
            <w:tcW w:w="1559" w:type="dxa"/>
          </w:tcPr>
          <w:p w14:paraId="20E932A7" w14:textId="46D167E3" w:rsidR="00D30BCA" w:rsidRPr="006C3682" w:rsidRDefault="00C638F6" w:rsidP="00DE0B0A">
            <w:pPr>
              <w:spacing w:before="60" w:after="60"/>
              <w:rPr>
                <w:sz w:val="22"/>
                <w:lang w:bidi="ar-SA"/>
              </w:rPr>
            </w:pPr>
            <w:r>
              <w:rPr>
                <w:sz w:val="22"/>
                <w:lang w:bidi="ar-SA"/>
              </w:rPr>
              <w:t>Comment</w:t>
            </w:r>
            <w:r w:rsidR="00D30BCA" w:rsidRPr="006C3682">
              <w:rPr>
                <w:sz w:val="22"/>
                <w:lang w:bidi="ar-SA"/>
              </w:rPr>
              <w:t xml:space="preserve"> (EIA Scope) </w:t>
            </w:r>
          </w:p>
        </w:tc>
        <w:tc>
          <w:tcPr>
            <w:tcW w:w="5834" w:type="dxa"/>
          </w:tcPr>
          <w:p w14:paraId="2D48ED36" w14:textId="49C829D0" w:rsidR="00D30BCA" w:rsidRPr="006C3682" w:rsidRDefault="00D30BCA" w:rsidP="00A805A6">
            <w:pPr>
              <w:spacing w:before="60" w:after="60"/>
              <w:rPr>
                <w:sz w:val="22"/>
              </w:rPr>
            </w:pPr>
            <w:r w:rsidRPr="006C3682">
              <w:rPr>
                <w:sz w:val="22"/>
              </w:rPr>
              <w:t>While the assessment scopes</w:t>
            </w:r>
            <w:r w:rsidR="00DB76E9">
              <w:rPr>
                <w:sz w:val="22"/>
              </w:rPr>
              <w:t xml:space="preserve"> in</w:t>
            </w:r>
            <w:r w:rsidRPr="006C3682">
              <w:rPr>
                <w:sz w:val="22"/>
              </w:rPr>
              <w:t xml:space="preserve"> </w:t>
            </w:r>
            <w:r w:rsidR="007C1A7E">
              <w:rPr>
                <w:sz w:val="22"/>
              </w:rPr>
              <w:t>‘</w:t>
            </w:r>
            <w:r w:rsidRPr="006C3682">
              <w:rPr>
                <w:sz w:val="22"/>
              </w:rPr>
              <w:t>scour</w:t>
            </w:r>
            <w:r w:rsidR="007C1A7E">
              <w:t xml:space="preserve"> </w:t>
            </w:r>
            <w:r w:rsidR="007C1A7E" w:rsidRPr="007C1A7E">
              <w:rPr>
                <w:sz w:val="22"/>
              </w:rPr>
              <w:t>of sediment from the seabed</w:t>
            </w:r>
            <w:r w:rsidR="007C1A7E">
              <w:rPr>
                <w:sz w:val="22"/>
              </w:rPr>
              <w:t xml:space="preserve">’ </w:t>
            </w:r>
            <w:r w:rsidRPr="006C3682">
              <w:rPr>
                <w:sz w:val="22"/>
              </w:rPr>
              <w:t>due to the discharge rate being unconfirmed, paragraph 8.6.10 states that the proposed discharge will be several orders of magnitude lower than the current 10m</w:t>
            </w:r>
            <w:r w:rsidRPr="006C3682">
              <w:rPr>
                <w:sz w:val="22"/>
                <w:vertAlign w:val="superscript"/>
              </w:rPr>
              <w:t>3</w:t>
            </w:r>
            <w:r w:rsidRPr="006C3682">
              <w:rPr>
                <w:sz w:val="22"/>
              </w:rPr>
              <w:t xml:space="preserve">/s ebb-tide rate once cooling water flows cease, and that higher flows are not expected. On this basis, </w:t>
            </w:r>
            <w:r w:rsidR="00140D44">
              <w:rPr>
                <w:sz w:val="22"/>
              </w:rPr>
              <w:t>EDF should</w:t>
            </w:r>
            <w:r w:rsidRPr="006C3682">
              <w:rPr>
                <w:sz w:val="22"/>
              </w:rPr>
              <w:t xml:space="preserve"> reconsider whether scour needs to be scoped in at this stage, unless a discharge rate greater than the current rate is ultimately proposed. </w:t>
            </w:r>
          </w:p>
        </w:tc>
      </w:tr>
      <w:tr w:rsidR="00D30BCA" w:rsidRPr="006C3682" w14:paraId="7FDDF6F0" w14:textId="77777777" w:rsidTr="00E53227">
        <w:trPr>
          <w:trHeight w:val="300"/>
        </w:trPr>
        <w:tc>
          <w:tcPr>
            <w:tcW w:w="1633" w:type="dxa"/>
            <w:vMerge/>
          </w:tcPr>
          <w:p w14:paraId="44620BB2" w14:textId="77777777" w:rsidR="00D30BCA" w:rsidRPr="006C3682" w:rsidRDefault="00D30BCA">
            <w:pPr>
              <w:spacing w:before="60" w:after="60"/>
              <w:rPr>
                <w:sz w:val="22"/>
              </w:rPr>
            </w:pPr>
          </w:p>
        </w:tc>
        <w:tc>
          <w:tcPr>
            <w:tcW w:w="1559" w:type="dxa"/>
          </w:tcPr>
          <w:p w14:paraId="006780DD" w14:textId="2F4C1EE3" w:rsidR="00D30BCA" w:rsidRPr="006C3682" w:rsidRDefault="002F1F4A" w:rsidP="002F1F4A">
            <w:pPr>
              <w:spacing w:before="60" w:after="60"/>
              <w:rPr>
                <w:sz w:val="22"/>
                <w:lang w:bidi="ar-SA"/>
              </w:rPr>
            </w:pPr>
            <w:r>
              <w:rPr>
                <w:sz w:val="22"/>
                <w:lang w:bidi="ar-SA"/>
              </w:rPr>
              <w:t>Comment</w:t>
            </w:r>
            <w:r w:rsidR="00D30BCA" w:rsidRPr="006C3682">
              <w:rPr>
                <w:sz w:val="22"/>
                <w:lang w:bidi="ar-SA"/>
              </w:rPr>
              <w:t xml:space="preserve"> (EIA Scope</w:t>
            </w:r>
            <w:r w:rsidR="007F62FF">
              <w:rPr>
                <w:sz w:val="22"/>
                <w:lang w:bidi="ar-SA"/>
              </w:rPr>
              <w:t xml:space="preserve"> / Clarity</w:t>
            </w:r>
            <w:r w:rsidR="00D30BCA" w:rsidRPr="006C3682">
              <w:rPr>
                <w:sz w:val="22"/>
                <w:lang w:bidi="ar-SA"/>
              </w:rPr>
              <w:t xml:space="preserve">) </w:t>
            </w:r>
          </w:p>
        </w:tc>
        <w:tc>
          <w:tcPr>
            <w:tcW w:w="5834" w:type="dxa"/>
          </w:tcPr>
          <w:p w14:paraId="1DC73F8E" w14:textId="60EFC6AB" w:rsidR="00D30BCA" w:rsidRPr="006C3682" w:rsidRDefault="00D30BCA" w:rsidP="00A805A6">
            <w:pPr>
              <w:spacing w:before="60" w:after="60"/>
              <w:rPr>
                <w:sz w:val="22"/>
              </w:rPr>
            </w:pPr>
            <w:r w:rsidRPr="006C3682">
              <w:rPr>
                <w:sz w:val="22"/>
              </w:rPr>
              <w:t xml:space="preserve">Paragraphs 8.6.14 and 8.6.15 both state that scour associated with the infrastructure would not change and, therefore, would result in no impact on seabed </w:t>
            </w:r>
            <w:r w:rsidRPr="009679DE">
              <w:rPr>
                <w:sz w:val="22"/>
              </w:rPr>
              <w:t>morphology. Despite this, seabed morphology has been scoped into the coastal processes assessment due to uncertainty around</w:t>
            </w:r>
            <w:r w:rsidRPr="006C3682">
              <w:rPr>
                <w:sz w:val="22"/>
              </w:rPr>
              <w:t xml:space="preserve"> the final discharge rate. Given that the assessment itself anticipates no negative impact, the rationale for retaining this topic within scope is unclear, and it </w:t>
            </w:r>
            <w:r w:rsidR="00484026">
              <w:rPr>
                <w:sz w:val="22"/>
              </w:rPr>
              <w:t>may</w:t>
            </w:r>
            <w:r w:rsidRPr="006C3682">
              <w:rPr>
                <w:sz w:val="22"/>
              </w:rPr>
              <w:t xml:space="preserve"> be more proportionate to scope it out on that basis. </w:t>
            </w:r>
          </w:p>
        </w:tc>
      </w:tr>
      <w:tr w:rsidR="00D30BCA" w:rsidRPr="006C3682" w14:paraId="42E64379" w14:textId="77777777" w:rsidTr="00E53227">
        <w:trPr>
          <w:trHeight w:val="300"/>
        </w:trPr>
        <w:tc>
          <w:tcPr>
            <w:tcW w:w="1633" w:type="dxa"/>
            <w:vMerge/>
          </w:tcPr>
          <w:p w14:paraId="412ADF20" w14:textId="77777777" w:rsidR="00D30BCA" w:rsidRPr="006C3682" w:rsidRDefault="00D30BCA">
            <w:pPr>
              <w:spacing w:before="60" w:after="60"/>
              <w:rPr>
                <w:sz w:val="22"/>
              </w:rPr>
            </w:pPr>
          </w:p>
        </w:tc>
        <w:tc>
          <w:tcPr>
            <w:tcW w:w="1559" w:type="dxa"/>
          </w:tcPr>
          <w:p w14:paraId="24BE97E8" w14:textId="1C914DD3" w:rsidR="00D30BCA" w:rsidRPr="006C3682" w:rsidRDefault="002C4A3B" w:rsidP="00A805A6">
            <w:pPr>
              <w:spacing w:before="60" w:after="60"/>
              <w:rPr>
                <w:sz w:val="22"/>
                <w:lang w:bidi="ar-SA"/>
              </w:rPr>
            </w:pPr>
            <w:r>
              <w:rPr>
                <w:sz w:val="22"/>
                <w:lang w:bidi="ar-SA"/>
              </w:rPr>
              <w:t>Comment</w:t>
            </w:r>
            <w:r w:rsidR="00D30BCA" w:rsidRPr="006C3682">
              <w:rPr>
                <w:sz w:val="22"/>
                <w:lang w:bidi="ar-SA"/>
              </w:rPr>
              <w:t xml:space="preserve"> (EIA Scope</w:t>
            </w:r>
            <w:r>
              <w:rPr>
                <w:sz w:val="22"/>
                <w:lang w:bidi="ar-SA"/>
              </w:rPr>
              <w:t xml:space="preserve"> / Clarity</w:t>
            </w:r>
            <w:r w:rsidR="00D30BCA" w:rsidRPr="006C3682">
              <w:rPr>
                <w:sz w:val="22"/>
                <w:lang w:bidi="ar-SA"/>
              </w:rPr>
              <w:t xml:space="preserve">) </w:t>
            </w:r>
          </w:p>
        </w:tc>
        <w:tc>
          <w:tcPr>
            <w:tcW w:w="5834" w:type="dxa"/>
          </w:tcPr>
          <w:p w14:paraId="3ED66B7C" w14:textId="0E1B5A13" w:rsidR="00D30BCA" w:rsidRPr="006C3682" w:rsidRDefault="00D30BCA" w:rsidP="00A805A6">
            <w:pPr>
              <w:spacing w:before="60" w:after="60"/>
              <w:rPr>
                <w:sz w:val="22"/>
              </w:rPr>
            </w:pPr>
            <w:r w:rsidRPr="006C3682">
              <w:rPr>
                <w:sz w:val="22"/>
              </w:rPr>
              <w:t>Paragraph 8.6.21 states that reductions in water quality from contaminant release are not associated with impacts on coastal processes or the marine physical environment; however, contaminant release due to scour is identified as an impact pathway for sensitive habitats to be addressed in Chapters 13 (Marine Ecology) and 19 (Water Environment and Flood Risk). Given this, it is unclear why this potential effect remains scoped into the Coastal Processes chapter</w:t>
            </w:r>
            <w:r w:rsidR="00413B68">
              <w:rPr>
                <w:sz w:val="22"/>
              </w:rPr>
              <w:t>. C</w:t>
            </w:r>
            <w:r w:rsidRPr="006C3682">
              <w:rPr>
                <w:sz w:val="22"/>
              </w:rPr>
              <w:t xml:space="preserve">larification is </w:t>
            </w:r>
            <w:r w:rsidR="00413B68">
              <w:rPr>
                <w:sz w:val="22"/>
              </w:rPr>
              <w:t>required</w:t>
            </w:r>
            <w:r w:rsidRPr="006C3682">
              <w:rPr>
                <w:sz w:val="22"/>
              </w:rPr>
              <w:t xml:space="preserve"> to ensure impacts are not double counted. </w:t>
            </w:r>
          </w:p>
        </w:tc>
      </w:tr>
      <w:tr w:rsidR="00D30BCA" w:rsidRPr="006C3682" w14:paraId="3858E66D" w14:textId="77777777" w:rsidTr="009D073E">
        <w:trPr>
          <w:trHeight w:val="300"/>
        </w:trPr>
        <w:tc>
          <w:tcPr>
            <w:tcW w:w="1633" w:type="dxa"/>
            <w:vMerge w:val="restart"/>
          </w:tcPr>
          <w:p w14:paraId="354F048E" w14:textId="1684E9BC" w:rsidR="00D30BCA" w:rsidRPr="006C3682" w:rsidRDefault="00D30BCA" w:rsidP="003165E4">
            <w:pPr>
              <w:spacing w:before="60" w:after="60"/>
              <w:rPr>
                <w:sz w:val="22"/>
              </w:rPr>
            </w:pPr>
            <w:r w:rsidRPr="006C3682">
              <w:rPr>
                <w:sz w:val="22"/>
              </w:rPr>
              <w:t xml:space="preserve">Chapter 9 – Climate Change </w:t>
            </w:r>
          </w:p>
        </w:tc>
        <w:tc>
          <w:tcPr>
            <w:tcW w:w="7393" w:type="dxa"/>
            <w:gridSpan w:val="2"/>
          </w:tcPr>
          <w:p w14:paraId="34338A99" w14:textId="194D240A" w:rsidR="00D30BCA" w:rsidRPr="006C3682" w:rsidRDefault="00363206" w:rsidP="00E61220">
            <w:pPr>
              <w:spacing w:before="60" w:after="60"/>
              <w:rPr>
                <w:sz w:val="22"/>
              </w:rPr>
            </w:pPr>
            <w:r>
              <w:rPr>
                <w:sz w:val="22"/>
              </w:rPr>
              <w:t>We</w:t>
            </w:r>
            <w:r w:rsidR="00D30BCA" w:rsidRPr="006C3682">
              <w:rPr>
                <w:sz w:val="22"/>
              </w:rPr>
              <w:t xml:space="preserve"> acknowledged that the climate change topic is inherently complex due to the range of issues and interrelationships involved. Notwithstanding this, Section 9.8 provides a clear and accessible summary of the likely significant effects, which is helpful for the reader. </w:t>
            </w:r>
          </w:p>
        </w:tc>
      </w:tr>
      <w:tr w:rsidR="00D30BCA" w:rsidRPr="006C3682" w14:paraId="73DAB9B6" w14:textId="77777777" w:rsidTr="00E53227">
        <w:trPr>
          <w:trHeight w:val="300"/>
        </w:trPr>
        <w:tc>
          <w:tcPr>
            <w:tcW w:w="1633" w:type="dxa"/>
            <w:vMerge/>
          </w:tcPr>
          <w:p w14:paraId="443B49BB" w14:textId="565DA299" w:rsidR="00D30BCA" w:rsidRPr="006C3682" w:rsidRDefault="00D30BCA" w:rsidP="003165E4">
            <w:pPr>
              <w:spacing w:before="60" w:after="60"/>
              <w:rPr>
                <w:sz w:val="22"/>
              </w:rPr>
            </w:pPr>
          </w:p>
        </w:tc>
        <w:tc>
          <w:tcPr>
            <w:tcW w:w="1559" w:type="dxa"/>
          </w:tcPr>
          <w:p w14:paraId="3188702A" w14:textId="476A99A9" w:rsidR="00D30BCA" w:rsidRPr="006C3682" w:rsidRDefault="00D30BCA" w:rsidP="00B74C45">
            <w:pPr>
              <w:spacing w:before="60" w:after="60"/>
              <w:rPr>
                <w:sz w:val="22"/>
                <w:lang w:bidi="ar-SA"/>
              </w:rPr>
            </w:pPr>
            <w:r w:rsidRPr="006C3682">
              <w:rPr>
                <w:sz w:val="22"/>
                <w:lang w:bidi="ar-SA"/>
              </w:rPr>
              <w:t xml:space="preserve">Comment (Clarity) </w:t>
            </w:r>
          </w:p>
        </w:tc>
        <w:tc>
          <w:tcPr>
            <w:tcW w:w="5834" w:type="dxa"/>
          </w:tcPr>
          <w:p w14:paraId="5A43BDF1" w14:textId="1E1252AE" w:rsidR="00D30BCA" w:rsidRPr="006C3682" w:rsidRDefault="00D30BCA" w:rsidP="00637BEB">
            <w:pPr>
              <w:spacing w:before="60" w:after="60"/>
              <w:rPr>
                <w:sz w:val="22"/>
              </w:rPr>
            </w:pPr>
            <w:r w:rsidRPr="006C3682">
              <w:rPr>
                <w:sz w:val="22"/>
              </w:rPr>
              <w:t xml:space="preserve">The terms IEMA (Institute of Environmental Management and Assessment) and ISEP (Institute of Sustainability and Environmental Professionals) are used interchangeably throughout the report, including in paragraph 9.7.18 where the terminology swaps between the two. Whilst this is a minor non-technical change it would help the reader if an upfront clarification is included, noting that IEMA is now ISEP and that ISEP is used throughout the remainder of the report. </w:t>
            </w:r>
          </w:p>
        </w:tc>
      </w:tr>
      <w:tr w:rsidR="00D30BCA" w:rsidRPr="006C3682" w14:paraId="0B35D736" w14:textId="77777777" w:rsidTr="00E53227">
        <w:trPr>
          <w:trHeight w:val="300"/>
        </w:trPr>
        <w:tc>
          <w:tcPr>
            <w:tcW w:w="1633" w:type="dxa"/>
            <w:vMerge/>
          </w:tcPr>
          <w:p w14:paraId="2913824A" w14:textId="77777777" w:rsidR="00D30BCA" w:rsidRPr="006C3682" w:rsidRDefault="00D30BCA">
            <w:pPr>
              <w:spacing w:before="60" w:after="60"/>
              <w:rPr>
                <w:sz w:val="22"/>
              </w:rPr>
            </w:pPr>
          </w:p>
        </w:tc>
        <w:tc>
          <w:tcPr>
            <w:tcW w:w="1559" w:type="dxa"/>
          </w:tcPr>
          <w:p w14:paraId="6C7A1E6E" w14:textId="0D23EBD7" w:rsidR="00D30BCA" w:rsidRPr="006C3682" w:rsidRDefault="00D30BCA" w:rsidP="00B74C45">
            <w:pPr>
              <w:spacing w:before="60" w:after="60"/>
              <w:rPr>
                <w:sz w:val="22"/>
                <w:lang w:bidi="ar-SA"/>
              </w:rPr>
            </w:pPr>
            <w:r w:rsidRPr="006C3682">
              <w:rPr>
                <w:sz w:val="22"/>
                <w:lang w:bidi="ar-SA"/>
              </w:rPr>
              <w:t xml:space="preserve">Comment (EIA Scope) </w:t>
            </w:r>
          </w:p>
        </w:tc>
        <w:tc>
          <w:tcPr>
            <w:tcW w:w="5834" w:type="dxa"/>
          </w:tcPr>
          <w:p w14:paraId="23EE6217" w14:textId="2B0C9DE6" w:rsidR="00D30BCA" w:rsidRPr="006C3682" w:rsidRDefault="00D30BCA" w:rsidP="00B74C45">
            <w:pPr>
              <w:spacing w:before="60" w:after="60"/>
              <w:rPr>
                <w:sz w:val="22"/>
              </w:rPr>
            </w:pPr>
            <w:r w:rsidRPr="006C3682">
              <w:rPr>
                <w:sz w:val="22"/>
              </w:rPr>
              <w:t xml:space="preserve">Shingle replenishment is to continue until 2041 if the most recent application is approved, but it is considered further in this chapter by seeming to assume it shall continue until at least 2100. It would be useful for the mechanism for this to continue to be discussed as it is an important assumption for the assessment. </w:t>
            </w:r>
          </w:p>
        </w:tc>
      </w:tr>
      <w:tr w:rsidR="00D30BCA" w:rsidRPr="006C3682" w14:paraId="588B19B8" w14:textId="77777777" w:rsidTr="00E53227">
        <w:trPr>
          <w:trHeight w:val="300"/>
        </w:trPr>
        <w:tc>
          <w:tcPr>
            <w:tcW w:w="1633" w:type="dxa"/>
            <w:vMerge/>
          </w:tcPr>
          <w:p w14:paraId="2B8DF7B4" w14:textId="77777777" w:rsidR="00D30BCA" w:rsidRPr="006C3682" w:rsidRDefault="00D30BCA">
            <w:pPr>
              <w:spacing w:before="60" w:after="60"/>
              <w:rPr>
                <w:sz w:val="22"/>
              </w:rPr>
            </w:pPr>
          </w:p>
        </w:tc>
        <w:tc>
          <w:tcPr>
            <w:tcW w:w="1559" w:type="dxa"/>
          </w:tcPr>
          <w:p w14:paraId="00647A01" w14:textId="68F8E39C" w:rsidR="00D30BCA" w:rsidRPr="006C3682" w:rsidRDefault="00D30BCA" w:rsidP="00B74C45">
            <w:pPr>
              <w:spacing w:before="60" w:after="60"/>
              <w:rPr>
                <w:sz w:val="22"/>
                <w:lang w:bidi="ar-SA"/>
              </w:rPr>
            </w:pPr>
            <w:r w:rsidRPr="006C3682">
              <w:rPr>
                <w:sz w:val="22"/>
                <w:lang w:bidi="ar-SA"/>
              </w:rPr>
              <w:t>Observation (EIA Scope</w:t>
            </w:r>
            <w:r w:rsidR="001864F5">
              <w:rPr>
                <w:sz w:val="22"/>
                <w:lang w:bidi="ar-SA"/>
              </w:rPr>
              <w:t xml:space="preserve"> / Clarity</w:t>
            </w:r>
            <w:r w:rsidRPr="006C3682">
              <w:rPr>
                <w:sz w:val="22"/>
                <w:lang w:bidi="ar-SA"/>
              </w:rPr>
              <w:t xml:space="preserve">) </w:t>
            </w:r>
          </w:p>
        </w:tc>
        <w:tc>
          <w:tcPr>
            <w:tcW w:w="5834" w:type="dxa"/>
          </w:tcPr>
          <w:p w14:paraId="29A92206" w14:textId="3FFA93AF" w:rsidR="00D30BCA" w:rsidRPr="006C3682" w:rsidRDefault="00D30BCA" w:rsidP="00045904">
            <w:pPr>
              <w:spacing w:before="60" w:after="60"/>
              <w:rPr>
                <w:sz w:val="22"/>
              </w:rPr>
            </w:pPr>
            <w:r w:rsidRPr="006C3682">
              <w:rPr>
                <w:sz w:val="22"/>
              </w:rPr>
              <w:t xml:space="preserve">The chapter notes that the climate change risk assessment will consider fluvial, surface water and groundwater flooding; however, flood-related impacts are assessed across multiple chapters. Specifically, flooding is considered within the Human Health chapter (in relation to contamination of water resources affecting human health) and again within the Water Environment and Flood Risk chapter (in relation to increased surface water flood risk arising from changes to site layout and topography). It is recommended that the assessment clearly distinguishes between these topics and ensures that flood-related impacts are appropriately assessed and these findings are reported clearly in the ES, avoiding repetition or omission. </w:t>
            </w:r>
          </w:p>
        </w:tc>
      </w:tr>
      <w:tr w:rsidR="00D30BCA" w:rsidRPr="006C3682" w14:paraId="7B38391A" w14:textId="77777777" w:rsidTr="00E53227">
        <w:trPr>
          <w:trHeight w:val="300"/>
        </w:trPr>
        <w:tc>
          <w:tcPr>
            <w:tcW w:w="1633" w:type="dxa"/>
          </w:tcPr>
          <w:p w14:paraId="6B669264" w14:textId="36BE41A4" w:rsidR="00D30BCA" w:rsidRPr="006C3682" w:rsidRDefault="00D30BCA" w:rsidP="00CF3172">
            <w:pPr>
              <w:spacing w:before="60" w:after="60"/>
              <w:rPr>
                <w:sz w:val="22"/>
              </w:rPr>
            </w:pPr>
            <w:r w:rsidRPr="006C3682">
              <w:rPr>
                <w:sz w:val="22"/>
              </w:rPr>
              <w:t xml:space="preserve">Chapter 10 – Historic Environment </w:t>
            </w:r>
          </w:p>
        </w:tc>
        <w:tc>
          <w:tcPr>
            <w:tcW w:w="1559" w:type="dxa"/>
          </w:tcPr>
          <w:p w14:paraId="590AEB68" w14:textId="4C3D4BDB" w:rsidR="00D30BCA" w:rsidRPr="006C3682" w:rsidRDefault="00D30BCA" w:rsidP="00F10184">
            <w:pPr>
              <w:spacing w:before="60" w:after="60"/>
              <w:rPr>
                <w:sz w:val="22"/>
                <w:lang w:bidi="ar-SA"/>
              </w:rPr>
            </w:pPr>
            <w:r w:rsidRPr="006C3682">
              <w:rPr>
                <w:sz w:val="22"/>
                <w:lang w:bidi="ar-SA"/>
              </w:rPr>
              <w:t xml:space="preserve">Comment (EIA Methodology) </w:t>
            </w:r>
          </w:p>
        </w:tc>
        <w:tc>
          <w:tcPr>
            <w:tcW w:w="5834" w:type="dxa"/>
          </w:tcPr>
          <w:p w14:paraId="12F5CFF9" w14:textId="25D34D21" w:rsidR="00D30BCA" w:rsidRPr="006C3682" w:rsidRDefault="00D30BCA" w:rsidP="173648A1">
            <w:pPr>
              <w:spacing w:before="60" w:after="60"/>
              <w:rPr>
                <w:sz w:val="22"/>
              </w:rPr>
            </w:pPr>
            <w:r w:rsidRPr="006C3682">
              <w:rPr>
                <w:sz w:val="22"/>
              </w:rPr>
              <w:t xml:space="preserve">Section 10.2 could benefit from the inclusion of additional legislative and policy references relevant to the historic environment, notably the </w:t>
            </w:r>
            <w:r w:rsidRPr="006C3682">
              <w:rPr>
                <w:rFonts w:eastAsia="Arial" w:cs="Arial"/>
                <w:sz w:val="22"/>
              </w:rPr>
              <w:t>National Policy Statement for energy (EN-1)</w:t>
            </w:r>
            <w:r w:rsidR="006B762D">
              <w:rPr>
                <w:rFonts w:eastAsia="Arial" w:cs="Arial"/>
                <w:sz w:val="22"/>
              </w:rPr>
              <w:t xml:space="preserve">. </w:t>
            </w:r>
            <w:r w:rsidRPr="006C3682">
              <w:rPr>
                <w:sz w:val="22"/>
              </w:rPr>
              <w:t xml:space="preserve">Guidance is otherwise covered adequately. </w:t>
            </w:r>
          </w:p>
        </w:tc>
      </w:tr>
      <w:tr w:rsidR="00D30BCA" w:rsidRPr="006C3682" w14:paraId="01802A19" w14:textId="77777777" w:rsidTr="00E53227">
        <w:trPr>
          <w:trHeight w:val="300"/>
        </w:trPr>
        <w:tc>
          <w:tcPr>
            <w:tcW w:w="1633" w:type="dxa"/>
            <w:vMerge w:val="restart"/>
          </w:tcPr>
          <w:p w14:paraId="6DA1C577" w14:textId="4609747B" w:rsidR="00D30BCA" w:rsidRPr="006C3682" w:rsidRDefault="00D30BCA" w:rsidP="004B386A">
            <w:pPr>
              <w:spacing w:before="60" w:after="60"/>
              <w:rPr>
                <w:sz w:val="22"/>
              </w:rPr>
            </w:pPr>
            <w:r w:rsidRPr="006C3682">
              <w:rPr>
                <w:sz w:val="22"/>
              </w:rPr>
              <w:t xml:space="preserve">Chapter 11 – Human Health </w:t>
            </w:r>
          </w:p>
        </w:tc>
        <w:tc>
          <w:tcPr>
            <w:tcW w:w="1559" w:type="dxa"/>
          </w:tcPr>
          <w:p w14:paraId="72215D70" w14:textId="3A45BAE8" w:rsidR="00D30BCA" w:rsidRPr="006C3682" w:rsidRDefault="00692417" w:rsidP="004B386A">
            <w:pPr>
              <w:spacing w:before="60" w:after="60"/>
              <w:rPr>
                <w:sz w:val="22"/>
                <w:lang w:bidi="ar-SA"/>
              </w:rPr>
            </w:pPr>
            <w:r>
              <w:rPr>
                <w:sz w:val="22"/>
                <w:lang w:bidi="ar-SA"/>
              </w:rPr>
              <w:t>Observation</w:t>
            </w:r>
            <w:r w:rsidR="00D30BCA" w:rsidRPr="006C3682">
              <w:rPr>
                <w:sz w:val="22"/>
                <w:lang w:bidi="ar-SA"/>
              </w:rPr>
              <w:t xml:space="preserve"> (Scope Definition) </w:t>
            </w:r>
          </w:p>
        </w:tc>
        <w:tc>
          <w:tcPr>
            <w:tcW w:w="5834" w:type="dxa"/>
          </w:tcPr>
          <w:p w14:paraId="050A9198" w14:textId="4932714A" w:rsidR="00D30BCA" w:rsidRPr="006C3682" w:rsidRDefault="00D30BCA" w:rsidP="00D65DA9">
            <w:pPr>
              <w:spacing w:before="60" w:after="60"/>
              <w:rPr>
                <w:sz w:val="22"/>
              </w:rPr>
            </w:pPr>
            <w:r w:rsidRPr="006C3682">
              <w:rPr>
                <w:sz w:val="22"/>
              </w:rPr>
              <w:t xml:space="preserve">The justification for applying a 1 km assessment radius around the </w:t>
            </w:r>
            <w:r w:rsidR="008111E0">
              <w:rPr>
                <w:sz w:val="22"/>
              </w:rPr>
              <w:t>w</w:t>
            </w:r>
            <w:r w:rsidRPr="006C3682">
              <w:rPr>
                <w:sz w:val="22"/>
              </w:rPr>
              <w:t xml:space="preserve">orks </w:t>
            </w:r>
            <w:r w:rsidR="008111E0">
              <w:rPr>
                <w:sz w:val="22"/>
              </w:rPr>
              <w:t>a</w:t>
            </w:r>
            <w:r w:rsidRPr="006C3682">
              <w:rPr>
                <w:sz w:val="22"/>
              </w:rPr>
              <w:t>rea is unclear. It should be demonstrated that this extent is sufficient to capture the potential effects arising from both on</w:t>
            </w:r>
            <w:r w:rsidRPr="006C3682">
              <w:rPr>
                <w:sz w:val="22"/>
              </w:rPr>
              <w:noBreakHyphen/>
              <w:t>site and off</w:t>
            </w:r>
            <w:r w:rsidRPr="006C3682">
              <w:rPr>
                <w:sz w:val="22"/>
              </w:rPr>
              <w:noBreakHyphen/>
              <w:t xml:space="preserve">site activities. </w:t>
            </w:r>
          </w:p>
        </w:tc>
      </w:tr>
      <w:tr w:rsidR="00D30BCA" w:rsidRPr="006C3682" w14:paraId="5B529BE7" w14:textId="77777777" w:rsidTr="00E53227">
        <w:trPr>
          <w:trHeight w:val="300"/>
        </w:trPr>
        <w:tc>
          <w:tcPr>
            <w:tcW w:w="1633" w:type="dxa"/>
            <w:vMerge/>
          </w:tcPr>
          <w:p w14:paraId="3F017CFA" w14:textId="77777777" w:rsidR="00D30BCA" w:rsidRPr="006C3682" w:rsidRDefault="00D30BCA">
            <w:pPr>
              <w:spacing w:before="60" w:after="60"/>
              <w:rPr>
                <w:sz w:val="22"/>
              </w:rPr>
            </w:pPr>
          </w:p>
        </w:tc>
        <w:tc>
          <w:tcPr>
            <w:tcW w:w="1559" w:type="dxa"/>
          </w:tcPr>
          <w:p w14:paraId="37245385" w14:textId="604F305A" w:rsidR="00D30BCA" w:rsidRPr="006C3682" w:rsidRDefault="00313F47" w:rsidP="00313F47">
            <w:pPr>
              <w:spacing w:before="60" w:after="60"/>
              <w:rPr>
                <w:sz w:val="22"/>
                <w:lang w:bidi="ar-SA"/>
              </w:rPr>
            </w:pPr>
            <w:r>
              <w:rPr>
                <w:sz w:val="22"/>
                <w:lang w:bidi="ar-SA"/>
              </w:rPr>
              <w:t>Comment</w:t>
            </w:r>
            <w:r w:rsidR="00D30BCA" w:rsidRPr="006C3682">
              <w:rPr>
                <w:sz w:val="22"/>
                <w:lang w:bidi="ar-SA"/>
              </w:rPr>
              <w:t xml:space="preserve"> (EIA Scope</w:t>
            </w:r>
            <w:r w:rsidR="002A3D04">
              <w:rPr>
                <w:sz w:val="22"/>
                <w:lang w:bidi="ar-SA"/>
              </w:rPr>
              <w:t xml:space="preserve"> / Clarity</w:t>
            </w:r>
            <w:r w:rsidR="00D30BCA" w:rsidRPr="006C3682">
              <w:rPr>
                <w:sz w:val="22"/>
                <w:lang w:bidi="ar-SA"/>
              </w:rPr>
              <w:t xml:space="preserve">) </w:t>
            </w:r>
          </w:p>
        </w:tc>
        <w:tc>
          <w:tcPr>
            <w:tcW w:w="5834" w:type="dxa"/>
          </w:tcPr>
          <w:p w14:paraId="07A4E0D9" w14:textId="5959C4C3" w:rsidR="00D30BCA" w:rsidRPr="006C3682" w:rsidRDefault="00D30BCA" w:rsidP="00D65DA9">
            <w:pPr>
              <w:spacing w:before="60" w:after="60"/>
              <w:rPr>
                <w:sz w:val="22"/>
              </w:rPr>
            </w:pPr>
            <w:r w:rsidRPr="006C3682">
              <w:rPr>
                <w:sz w:val="22"/>
              </w:rPr>
              <w:t>Table 11</w:t>
            </w:r>
            <w:r w:rsidRPr="006C3682">
              <w:rPr>
                <w:sz w:val="22"/>
              </w:rPr>
              <w:noBreakHyphen/>
              <w:t xml:space="preserve">6 states that there are no open spaces or recreational facilities that would be directly affected, and only a limited number that may be indirectly affected. Despite this, open space, leisure and play are scoped into the assessment. A clear decision </w:t>
            </w:r>
            <w:r w:rsidR="00656BC7">
              <w:rPr>
                <w:sz w:val="22"/>
              </w:rPr>
              <w:t>should be taken</w:t>
            </w:r>
            <w:r w:rsidRPr="006C3682">
              <w:rPr>
                <w:sz w:val="22"/>
              </w:rPr>
              <w:t xml:space="preserve"> on whether this receptor warrants further assessment</w:t>
            </w:r>
            <w:r w:rsidR="00BD1452">
              <w:rPr>
                <w:sz w:val="22"/>
              </w:rPr>
              <w:t xml:space="preserve"> as</w:t>
            </w:r>
            <w:r w:rsidRPr="006C3682">
              <w:rPr>
                <w:sz w:val="22"/>
              </w:rPr>
              <w:t xml:space="preserve">, its inclusion </w:t>
            </w:r>
            <w:r w:rsidR="00BD1452">
              <w:rPr>
                <w:sz w:val="22"/>
              </w:rPr>
              <w:t>may</w:t>
            </w:r>
            <w:r w:rsidRPr="006C3682">
              <w:rPr>
                <w:sz w:val="22"/>
              </w:rPr>
              <w:t xml:space="preserve"> inconsistent with the principle of proportionate EIA. </w:t>
            </w:r>
          </w:p>
        </w:tc>
      </w:tr>
      <w:tr w:rsidR="00D30BCA" w:rsidRPr="006C3682" w14:paraId="4192D1E8" w14:textId="77777777" w:rsidTr="00E53227">
        <w:trPr>
          <w:trHeight w:val="300"/>
        </w:trPr>
        <w:tc>
          <w:tcPr>
            <w:tcW w:w="1633" w:type="dxa"/>
            <w:vMerge/>
          </w:tcPr>
          <w:p w14:paraId="0B33DA2B" w14:textId="77777777" w:rsidR="00D30BCA" w:rsidRPr="006C3682" w:rsidRDefault="00D30BCA">
            <w:pPr>
              <w:spacing w:before="60" w:after="60"/>
              <w:rPr>
                <w:sz w:val="22"/>
              </w:rPr>
            </w:pPr>
          </w:p>
        </w:tc>
        <w:tc>
          <w:tcPr>
            <w:tcW w:w="1559" w:type="dxa"/>
          </w:tcPr>
          <w:p w14:paraId="5F4550A7" w14:textId="7E4FF0A6" w:rsidR="00D30BCA" w:rsidRPr="006C3682" w:rsidRDefault="00D30BCA" w:rsidP="00D65DA9">
            <w:pPr>
              <w:spacing w:before="60" w:after="60"/>
              <w:rPr>
                <w:sz w:val="22"/>
                <w:lang w:bidi="ar-SA"/>
              </w:rPr>
            </w:pPr>
            <w:r w:rsidRPr="006C3682">
              <w:rPr>
                <w:sz w:val="22"/>
                <w:lang w:bidi="ar-SA"/>
              </w:rPr>
              <w:t xml:space="preserve">Comment (EIA Scope) </w:t>
            </w:r>
          </w:p>
        </w:tc>
        <w:tc>
          <w:tcPr>
            <w:tcW w:w="5834" w:type="dxa"/>
          </w:tcPr>
          <w:p w14:paraId="0133F6E1" w14:textId="3FD20814" w:rsidR="00D30BCA" w:rsidRPr="006C3682" w:rsidRDefault="00D30BCA" w:rsidP="00D65DA9">
            <w:pPr>
              <w:spacing w:before="60" w:after="60"/>
              <w:rPr>
                <w:sz w:val="22"/>
              </w:rPr>
            </w:pPr>
            <w:r w:rsidRPr="006C3682">
              <w:rPr>
                <w:sz w:val="22"/>
              </w:rPr>
              <w:t xml:space="preserve">References in Table 11-6 to the human health assessment “drawing on the assessments and conclusions” of other chapters are not appropriate at ES stage. While topic integration is supported, each receptor should be assessed in a single, appropriate chapter only (for example, Air Quality or Socioeconomics), with the Human Health chapter avoiding duplication. Such receptors should be acknowledged at scoping as potential health determinants but scoped out of detailed </w:t>
            </w:r>
            <w:r w:rsidRPr="006C3682">
              <w:rPr>
                <w:sz w:val="22"/>
              </w:rPr>
              <w:lastRenderedPageBreak/>
              <w:t xml:space="preserve">human health assessment where they are robustly addressed elsewhere, with clear cross referencing applied consistently. </w:t>
            </w:r>
          </w:p>
        </w:tc>
      </w:tr>
      <w:tr w:rsidR="000153B6" w:rsidRPr="006C3682" w14:paraId="0B7695AE" w14:textId="77777777" w:rsidTr="00E53227">
        <w:trPr>
          <w:trHeight w:val="300"/>
        </w:trPr>
        <w:tc>
          <w:tcPr>
            <w:tcW w:w="1633" w:type="dxa"/>
          </w:tcPr>
          <w:p w14:paraId="388B85A7" w14:textId="77777777" w:rsidR="004C0457" w:rsidRPr="006C3682" w:rsidRDefault="004C0457">
            <w:pPr>
              <w:spacing w:before="60" w:after="60"/>
              <w:rPr>
                <w:sz w:val="22"/>
              </w:rPr>
            </w:pPr>
          </w:p>
        </w:tc>
        <w:tc>
          <w:tcPr>
            <w:tcW w:w="1559" w:type="dxa"/>
          </w:tcPr>
          <w:p w14:paraId="5B932AD6" w14:textId="1A7F3282" w:rsidR="004C0457" w:rsidRPr="006C3682" w:rsidRDefault="009C4CDB" w:rsidP="009C4CDB">
            <w:pPr>
              <w:spacing w:before="60" w:after="60"/>
              <w:rPr>
                <w:sz w:val="22"/>
                <w:lang w:bidi="ar-SA"/>
              </w:rPr>
            </w:pPr>
            <w:r w:rsidRPr="006C3682">
              <w:rPr>
                <w:sz w:val="22"/>
                <w:lang w:bidi="ar-SA"/>
              </w:rPr>
              <w:t xml:space="preserve">Comment (Clarity) </w:t>
            </w:r>
          </w:p>
        </w:tc>
        <w:tc>
          <w:tcPr>
            <w:tcW w:w="5834" w:type="dxa"/>
          </w:tcPr>
          <w:p w14:paraId="37DF4569" w14:textId="6721C675" w:rsidR="004C0457" w:rsidRPr="006C3682" w:rsidRDefault="009C4CDB" w:rsidP="009C4CDB">
            <w:pPr>
              <w:spacing w:before="60" w:after="60"/>
              <w:rPr>
                <w:sz w:val="22"/>
              </w:rPr>
            </w:pPr>
            <w:r w:rsidRPr="006C3682">
              <w:rPr>
                <w:sz w:val="22"/>
              </w:rPr>
              <w:t xml:space="preserve">Air quality is scoped in as a wider determinant of health for indicative dismantling works and final site clearance. However, it is unclear which specific human health receptors would be affected, particularly in relation to construction dust and traffic emissions. Assuming these impacts are already assessed in Chapter 6 (Air Quality), it is difficult to understand what additional effects would be considered under Human Health, or how double counting would be avoided. </w:t>
            </w:r>
          </w:p>
        </w:tc>
      </w:tr>
      <w:tr w:rsidR="00D30BCA" w:rsidRPr="006C3682" w14:paraId="0A5AEB0C" w14:textId="77777777" w:rsidTr="00E53227">
        <w:trPr>
          <w:trHeight w:val="300"/>
        </w:trPr>
        <w:tc>
          <w:tcPr>
            <w:tcW w:w="1633" w:type="dxa"/>
            <w:vMerge w:val="restart"/>
          </w:tcPr>
          <w:p w14:paraId="3BBFB045" w14:textId="37DFA462" w:rsidR="00D30BCA" w:rsidRPr="006C3682" w:rsidRDefault="00D30BCA" w:rsidP="006B303A">
            <w:pPr>
              <w:spacing w:before="60" w:after="60"/>
              <w:rPr>
                <w:sz w:val="22"/>
              </w:rPr>
            </w:pPr>
            <w:r w:rsidRPr="006C3682">
              <w:rPr>
                <w:sz w:val="22"/>
              </w:rPr>
              <w:t xml:space="preserve">Chapter 12 – Landscape and Visual </w:t>
            </w:r>
          </w:p>
        </w:tc>
        <w:tc>
          <w:tcPr>
            <w:tcW w:w="1559" w:type="dxa"/>
          </w:tcPr>
          <w:p w14:paraId="43DA1CC9" w14:textId="05414AF7" w:rsidR="00D30BCA" w:rsidRPr="006C3682" w:rsidRDefault="00D30BCA" w:rsidP="004E6AEF">
            <w:pPr>
              <w:spacing w:before="60" w:after="60"/>
              <w:rPr>
                <w:sz w:val="22"/>
                <w:lang w:bidi="ar-SA"/>
              </w:rPr>
            </w:pPr>
            <w:r w:rsidRPr="006C3682">
              <w:rPr>
                <w:sz w:val="22"/>
                <w:lang w:bidi="ar-SA"/>
              </w:rPr>
              <w:t xml:space="preserve">Comment (EIA Methodology) </w:t>
            </w:r>
          </w:p>
        </w:tc>
        <w:tc>
          <w:tcPr>
            <w:tcW w:w="5834" w:type="dxa"/>
          </w:tcPr>
          <w:p w14:paraId="218F1D11" w14:textId="4B976C3B" w:rsidR="00D30BCA" w:rsidRPr="006C3682" w:rsidRDefault="00D30BCA" w:rsidP="004E6AEF">
            <w:pPr>
              <w:spacing w:before="60" w:after="60"/>
              <w:rPr>
                <w:sz w:val="22"/>
              </w:rPr>
            </w:pPr>
            <w:r w:rsidRPr="006C3682">
              <w:rPr>
                <w:sz w:val="22"/>
              </w:rPr>
              <w:t xml:space="preserve">The policy section currently reproduces large extracts from the Places and Policies Local Plan (Adopted September 2020). </w:t>
            </w:r>
            <w:r w:rsidR="00B077A2">
              <w:rPr>
                <w:sz w:val="22"/>
              </w:rPr>
              <w:t>EDF could consider</w:t>
            </w:r>
            <w:r w:rsidRPr="006C3682">
              <w:rPr>
                <w:sz w:val="22"/>
              </w:rPr>
              <w:t xml:space="preserve"> including an appendix, if appropriate, to summarise the key points and move the full extracts to </w:t>
            </w:r>
            <w:r w:rsidR="00EB061F">
              <w:rPr>
                <w:sz w:val="22"/>
              </w:rPr>
              <w:t>the</w:t>
            </w:r>
            <w:r w:rsidRPr="006C3682">
              <w:rPr>
                <w:sz w:val="22"/>
              </w:rPr>
              <w:t xml:space="preserve"> appendix in the ES. </w:t>
            </w:r>
          </w:p>
        </w:tc>
      </w:tr>
      <w:tr w:rsidR="00D30BCA" w:rsidRPr="006C3682" w14:paraId="138ED6AF" w14:textId="77777777" w:rsidTr="00E53227">
        <w:trPr>
          <w:trHeight w:val="300"/>
        </w:trPr>
        <w:tc>
          <w:tcPr>
            <w:tcW w:w="1633" w:type="dxa"/>
            <w:vMerge/>
          </w:tcPr>
          <w:p w14:paraId="757AEAB9" w14:textId="7E1696B1" w:rsidR="00D30BCA" w:rsidRPr="006C3682" w:rsidRDefault="00D30BCA" w:rsidP="173648A1">
            <w:pPr>
              <w:rPr>
                <w:sz w:val="22"/>
              </w:rPr>
            </w:pPr>
          </w:p>
        </w:tc>
        <w:tc>
          <w:tcPr>
            <w:tcW w:w="1559" w:type="dxa"/>
          </w:tcPr>
          <w:p w14:paraId="4909E032" w14:textId="75608286" w:rsidR="00D30BCA" w:rsidRPr="006C3682" w:rsidRDefault="00D30BCA" w:rsidP="173648A1">
            <w:r w:rsidRPr="006C3682">
              <w:rPr>
                <w:rFonts w:eastAsia="Arial" w:cs="Arial"/>
                <w:sz w:val="22"/>
              </w:rPr>
              <w:t xml:space="preserve">Comment (Baseline) </w:t>
            </w:r>
          </w:p>
        </w:tc>
        <w:tc>
          <w:tcPr>
            <w:tcW w:w="5834" w:type="dxa"/>
          </w:tcPr>
          <w:p w14:paraId="2A6CFDA3" w14:textId="0397A56E" w:rsidR="00D30BCA" w:rsidRPr="006C3682" w:rsidRDefault="00D30BCA" w:rsidP="173648A1">
            <w:r w:rsidRPr="006C3682">
              <w:rPr>
                <w:rFonts w:eastAsia="Arial" w:cs="Arial"/>
                <w:sz w:val="22"/>
              </w:rPr>
              <w:t xml:space="preserve">The proposed landscape and visual survey methodology is consistent with the </w:t>
            </w:r>
            <w:r w:rsidR="001E51BA">
              <w:rPr>
                <w:rFonts w:eastAsia="Arial" w:cs="Arial"/>
                <w:sz w:val="22"/>
              </w:rPr>
              <w:t>relevant good practice</w:t>
            </w:r>
            <w:r w:rsidR="002151B1">
              <w:rPr>
                <w:rFonts w:eastAsia="Arial" w:cs="Arial"/>
                <w:sz w:val="22"/>
              </w:rPr>
              <w:t xml:space="preserve"> (RGP)</w:t>
            </w:r>
            <w:r w:rsidR="001E51BA">
              <w:rPr>
                <w:rFonts w:eastAsia="Arial" w:cs="Arial"/>
                <w:sz w:val="22"/>
              </w:rPr>
              <w:t xml:space="preserve"> for</w:t>
            </w:r>
            <w:r w:rsidRPr="006C3682">
              <w:rPr>
                <w:rFonts w:eastAsia="Arial" w:cs="Arial"/>
                <w:sz w:val="22"/>
              </w:rPr>
              <w:t xml:space="preserve"> EIA</w:t>
            </w:r>
            <w:r w:rsidR="001E51BA">
              <w:rPr>
                <w:rFonts w:eastAsia="Arial" w:cs="Arial"/>
                <w:sz w:val="22"/>
              </w:rPr>
              <w:t xml:space="preserve">, including </w:t>
            </w:r>
            <w:r w:rsidRPr="006C3682">
              <w:rPr>
                <w:rFonts w:eastAsia="Arial" w:cs="Arial"/>
                <w:sz w:val="22"/>
              </w:rPr>
              <w:t xml:space="preserve">the principles of the Guidelines for Landscape and Visual Impact Assessment (GLVIA3). The combination desk-based study, </w:t>
            </w:r>
            <w:r w:rsidR="00375631">
              <w:rPr>
                <w:rFonts w:eastAsia="Arial" w:cs="Arial"/>
                <w:sz w:val="22"/>
              </w:rPr>
              <w:t>z</w:t>
            </w:r>
            <w:r w:rsidRPr="006C3682">
              <w:rPr>
                <w:rFonts w:eastAsia="Arial" w:cs="Arial"/>
                <w:sz w:val="22"/>
              </w:rPr>
              <w:t xml:space="preserve">ones of </w:t>
            </w:r>
            <w:r w:rsidR="00375631">
              <w:rPr>
                <w:rFonts w:eastAsia="Arial" w:cs="Arial"/>
                <w:sz w:val="22"/>
              </w:rPr>
              <w:t>t</w:t>
            </w:r>
            <w:r w:rsidRPr="006C3682">
              <w:rPr>
                <w:rFonts w:eastAsia="Arial" w:cs="Arial"/>
                <w:sz w:val="22"/>
              </w:rPr>
              <w:t xml:space="preserve">heoretical </w:t>
            </w:r>
            <w:r w:rsidR="00375631">
              <w:rPr>
                <w:rFonts w:eastAsia="Arial" w:cs="Arial"/>
                <w:sz w:val="22"/>
              </w:rPr>
              <w:t>v</w:t>
            </w:r>
            <w:r w:rsidRPr="006C3682">
              <w:rPr>
                <w:rFonts w:eastAsia="Arial" w:cs="Arial"/>
                <w:sz w:val="22"/>
              </w:rPr>
              <w:t xml:space="preserve">isibility analysis and targeted site surveys provide a proportionate and robust baseline for the assessment. While surveys are proposed for a single winter season, this approach is appropriate provided seasonal limitations are acknowledged and professional judgement is applied to account for summer vegetation effects. Overall, the methodology is suitable to inform the </w:t>
            </w:r>
            <w:r w:rsidR="00D44F2F">
              <w:rPr>
                <w:rFonts w:eastAsia="Arial" w:cs="Arial"/>
                <w:sz w:val="22"/>
              </w:rPr>
              <w:t>l</w:t>
            </w:r>
            <w:r w:rsidRPr="006C3682">
              <w:rPr>
                <w:rFonts w:eastAsia="Arial" w:cs="Arial"/>
                <w:sz w:val="22"/>
              </w:rPr>
              <w:t xml:space="preserve">andscape and </w:t>
            </w:r>
            <w:r w:rsidR="00D44F2F">
              <w:rPr>
                <w:rFonts w:eastAsia="Arial" w:cs="Arial"/>
                <w:sz w:val="22"/>
              </w:rPr>
              <w:t>v</w:t>
            </w:r>
            <w:r w:rsidRPr="006C3682">
              <w:rPr>
                <w:rFonts w:eastAsia="Arial" w:cs="Arial"/>
                <w:sz w:val="22"/>
              </w:rPr>
              <w:t xml:space="preserve">isual </w:t>
            </w:r>
            <w:r w:rsidR="00D44F2F">
              <w:rPr>
                <w:rFonts w:eastAsia="Arial" w:cs="Arial"/>
                <w:sz w:val="22"/>
              </w:rPr>
              <w:t>i</w:t>
            </w:r>
            <w:r w:rsidRPr="006C3682">
              <w:rPr>
                <w:rFonts w:eastAsia="Arial" w:cs="Arial"/>
                <w:sz w:val="22"/>
              </w:rPr>
              <w:t xml:space="preserve">mpact </w:t>
            </w:r>
            <w:r w:rsidR="00D44F2F">
              <w:rPr>
                <w:rFonts w:eastAsia="Arial" w:cs="Arial"/>
                <w:sz w:val="22"/>
              </w:rPr>
              <w:t>a</w:t>
            </w:r>
            <w:r w:rsidRPr="006C3682">
              <w:rPr>
                <w:rFonts w:eastAsia="Arial" w:cs="Arial"/>
                <w:sz w:val="22"/>
              </w:rPr>
              <w:t xml:space="preserve">ssessment and support a robust assessment of likely significant effects. </w:t>
            </w:r>
          </w:p>
        </w:tc>
      </w:tr>
      <w:tr w:rsidR="00D30BCA" w:rsidRPr="006C3682" w14:paraId="0DEF7669" w14:textId="77777777" w:rsidTr="00E53227">
        <w:trPr>
          <w:trHeight w:val="300"/>
        </w:trPr>
        <w:tc>
          <w:tcPr>
            <w:tcW w:w="1633" w:type="dxa"/>
            <w:vMerge/>
          </w:tcPr>
          <w:p w14:paraId="5CF7E4FA" w14:textId="77777777" w:rsidR="00D30BCA" w:rsidRPr="006C3682" w:rsidRDefault="00D30BCA">
            <w:pPr>
              <w:spacing w:before="60" w:after="60"/>
              <w:rPr>
                <w:sz w:val="22"/>
              </w:rPr>
            </w:pPr>
          </w:p>
        </w:tc>
        <w:tc>
          <w:tcPr>
            <w:tcW w:w="1559" w:type="dxa"/>
          </w:tcPr>
          <w:p w14:paraId="2D183ED0" w14:textId="033ED110" w:rsidR="00D30BCA" w:rsidRPr="006C3682" w:rsidRDefault="00D30BCA" w:rsidP="004E6AEF">
            <w:pPr>
              <w:spacing w:before="60" w:after="60"/>
              <w:rPr>
                <w:sz w:val="22"/>
                <w:lang w:bidi="ar-SA"/>
              </w:rPr>
            </w:pPr>
            <w:r w:rsidRPr="006C3682">
              <w:rPr>
                <w:sz w:val="22"/>
                <w:lang w:bidi="ar-SA"/>
              </w:rPr>
              <w:t xml:space="preserve">Comment (Future Baseline) </w:t>
            </w:r>
          </w:p>
        </w:tc>
        <w:tc>
          <w:tcPr>
            <w:tcW w:w="5834" w:type="dxa"/>
          </w:tcPr>
          <w:p w14:paraId="162E6BEF" w14:textId="324B92B8" w:rsidR="00D30BCA" w:rsidRPr="006C3682" w:rsidRDefault="00D30BCA" w:rsidP="004E6AEF">
            <w:pPr>
              <w:spacing w:before="60" w:after="60"/>
              <w:rPr>
                <w:sz w:val="22"/>
              </w:rPr>
            </w:pPr>
            <w:r w:rsidRPr="006C3682">
              <w:rPr>
                <w:sz w:val="22"/>
              </w:rPr>
              <w:t xml:space="preserve">Paragraph 12.3.33 highlights uncertainty in the future baseline conditions for later decommissioning phases due to the long timescales involved. </w:t>
            </w:r>
            <w:r w:rsidR="00C9608E">
              <w:rPr>
                <w:sz w:val="22"/>
              </w:rPr>
              <w:t>Th</w:t>
            </w:r>
            <w:r w:rsidRPr="006C3682">
              <w:rPr>
                <w:sz w:val="22"/>
              </w:rPr>
              <w:t>is uncertainty</w:t>
            </w:r>
            <w:r w:rsidR="00C9608E">
              <w:rPr>
                <w:sz w:val="22"/>
              </w:rPr>
              <w:t xml:space="preserve"> should</w:t>
            </w:r>
            <w:r w:rsidRPr="006C3682">
              <w:rPr>
                <w:sz w:val="22"/>
              </w:rPr>
              <w:t xml:space="preserve"> be managed through ongoing monitoring of baseline landscape conditions, with th</w:t>
            </w:r>
            <w:r w:rsidR="003634C3">
              <w:rPr>
                <w:sz w:val="22"/>
              </w:rPr>
              <w:t>e</w:t>
            </w:r>
            <w:r w:rsidRPr="006C3682">
              <w:rPr>
                <w:sz w:val="22"/>
              </w:rPr>
              <w:t xml:space="preserve"> approach secured and clearly referenced within the Environmental Management Plan</w:t>
            </w:r>
            <w:r w:rsidR="009453EE">
              <w:rPr>
                <w:sz w:val="22"/>
              </w:rPr>
              <w:t xml:space="preserve"> </w:t>
            </w:r>
            <w:r w:rsidRPr="006C3682">
              <w:rPr>
                <w:sz w:val="22"/>
              </w:rPr>
              <w:t xml:space="preserve">once the EIADR consent has been granted. </w:t>
            </w:r>
          </w:p>
        </w:tc>
      </w:tr>
      <w:tr w:rsidR="00D30BCA" w:rsidRPr="006C3682" w14:paraId="340EE2BB" w14:textId="77777777" w:rsidTr="00E53227">
        <w:trPr>
          <w:trHeight w:val="300"/>
        </w:trPr>
        <w:tc>
          <w:tcPr>
            <w:tcW w:w="1633" w:type="dxa"/>
            <w:vMerge/>
          </w:tcPr>
          <w:p w14:paraId="369E51AB" w14:textId="77777777" w:rsidR="00D30BCA" w:rsidRPr="006C3682" w:rsidRDefault="00D30BCA">
            <w:pPr>
              <w:spacing w:before="60" w:after="60"/>
              <w:rPr>
                <w:sz w:val="22"/>
              </w:rPr>
            </w:pPr>
          </w:p>
        </w:tc>
        <w:tc>
          <w:tcPr>
            <w:tcW w:w="1559" w:type="dxa"/>
          </w:tcPr>
          <w:p w14:paraId="72AFD772" w14:textId="3A08E5D1" w:rsidR="00D30BCA" w:rsidRPr="006C3682" w:rsidRDefault="00D30BCA" w:rsidP="004B23A3">
            <w:pPr>
              <w:spacing w:before="60" w:after="60"/>
              <w:rPr>
                <w:sz w:val="22"/>
                <w:lang w:bidi="ar-SA"/>
              </w:rPr>
            </w:pPr>
            <w:r w:rsidRPr="006C3682">
              <w:rPr>
                <w:sz w:val="22"/>
                <w:lang w:bidi="ar-SA"/>
              </w:rPr>
              <w:t xml:space="preserve">Comment (Clarity) </w:t>
            </w:r>
          </w:p>
        </w:tc>
        <w:tc>
          <w:tcPr>
            <w:tcW w:w="5834" w:type="dxa"/>
          </w:tcPr>
          <w:p w14:paraId="5EE937CF" w14:textId="70BC1907" w:rsidR="00D30BCA" w:rsidRPr="006C3682" w:rsidRDefault="00D30BCA" w:rsidP="004B23A3">
            <w:pPr>
              <w:spacing w:before="60" w:after="60"/>
              <w:rPr>
                <w:sz w:val="22"/>
              </w:rPr>
            </w:pPr>
            <w:r w:rsidRPr="006C3682">
              <w:rPr>
                <w:sz w:val="22"/>
              </w:rPr>
              <w:t xml:space="preserve">Loss of landscape elements and/or change in landscape character is scoped in but no justification is provided in the chapter or in the summary of </w:t>
            </w:r>
            <w:r w:rsidR="00C75D29">
              <w:rPr>
                <w:sz w:val="22"/>
              </w:rPr>
              <w:t>p</w:t>
            </w:r>
            <w:r w:rsidRPr="006C3682">
              <w:rPr>
                <w:sz w:val="22"/>
              </w:rPr>
              <w:t xml:space="preserve">otential </w:t>
            </w:r>
            <w:r w:rsidR="00C75D29">
              <w:rPr>
                <w:sz w:val="22"/>
              </w:rPr>
              <w:t>l</w:t>
            </w:r>
            <w:r w:rsidRPr="006C3682">
              <w:rPr>
                <w:sz w:val="22"/>
              </w:rPr>
              <w:t xml:space="preserve">ikely </w:t>
            </w:r>
            <w:r w:rsidR="00C75D29">
              <w:rPr>
                <w:sz w:val="22"/>
              </w:rPr>
              <w:t>s</w:t>
            </w:r>
            <w:r w:rsidRPr="006C3682">
              <w:rPr>
                <w:sz w:val="22"/>
              </w:rPr>
              <w:t xml:space="preserve">ignificant </w:t>
            </w:r>
            <w:r w:rsidR="00C75D29">
              <w:rPr>
                <w:sz w:val="22"/>
              </w:rPr>
              <w:t>e</w:t>
            </w:r>
            <w:r w:rsidRPr="006C3682">
              <w:rPr>
                <w:sz w:val="22"/>
              </w:rPr>
              <w:t xml:space="preserve">ffects. </w:t>
            </w:r>
          </w:p>
        </w:tc>
      </w:tr>
      <w:tr w:rsidR="00D30BCA" w:rsidRPr="006C3682" w14:paraId="514FEDAA" w14:textId="77777777" w:rsidTr="00E53227">
        <w:trPr>
          <w:trHeight w:val="300"/>
        </w:trPr>
        <w:tc>
          <w:tcPr>
            <w:tcW w:w="1633" w:type="dxa"/>
            <w:vMerge/>
          </w:tcPr>
          <w:p w14:paraId="3A1CF44E" w14:textId="77777777" w:rsidR="00D30BCA" w:rsidRPr="006C3682" w:rsidRDefault="00D30BCA">
            <w:pPr>
              <w:spacing w:before="60" w:after="60"/>
              <w:rPr>
                <w:sz w:val="22"/>
              </w:rPr>
            </w:pPr>
          </w:p>
        </w:tc>
        <w:tc>
          <w:tcPr>
            <w:tcW w:w="1559" w:type="dxa"/>
          </w:tcPr>
          <w:p w14:paraId="03D51C0C" w14:textId="401E9CF3" w:rsidR="00D30BCA" w:rsidRPr="006C3682" w:rsidRDefault="00D30BCA" w:rsidP="004B23A3">
            <w:pPr>
              <w:spacing w:before="60" w:after="60"/>
              <w:rPr>
                <w:sz w:val="22"/>
                <w:lang w:bidi="ar-SA"/>
              </w:rPr>
            </w:pPr>
            <w:r w:rsidRPr="006C3682">
              <w:rPr>
                <w:sz w:val="22"/>
                <w:lang w:bidi="ar-SA"/>
              </w:rPr>
              <w:t xml:space="preserve">Comment (Clarity) </w:t>
            </w:r>
          </w:p>
        </w:tc>
        <w:tc>
          <w:tcPr>
            <w:tcW w:w="5834" w:type="dxa"/>
          </w:tcPr>
          <w:p w14:paraId="21A1A552" w14:textId="7BCCA0BD" w:rsidR="00D30BCA" w:rsidRPr="006C3682" w:rsidRDefault="00D30BCA" w:rsidP="004B23A3">
            <w:pPr>
              <w:spacing w:before="60" w:after="60"/>
              <w:rPr>
                <w:sz w:val="22"/>
              </w:rPr>
            </w:pPr>
            <w:r w:rsidRPr="006C3682">
              <w:rPr>
                <w:sz w:val="22"/>
              </w:rPr>
              <w:t xml:space="preserve">Change in visual amenity is scoped in but no justification is provided in the chapter or in the summary of </w:t>
            </w:r>
            <w:r w:rsidR="00C75D29">
              <w:rPr>
                <w:sz w:val="22"/>
              </w:rPr>
              <w:t>p</w:t>
            </w:r>
            <w:r w:rsidRPr="006C3682">
              <w:rPr>
                <w:sz w:val="22"/>
              </w:rPr>
              <w:t xml:space="preserve">otential </w:t>
            </w:r>
            <w:r w:rsidR="00C75D29">
              <w:rPr>
                <w:sz w:val="22"/>
              </w:rPr>
              <w:t>l</w:t>
            </w:r>
            <w:r w:rsidRPr="006C3682">
              <w:rPr>
                <w:sz w:val="22"/>
              </w:rPr>
              <w:t xml:space="preserve">ikely </w:t>
            </w:r>
            <w:r w:rsidR="00C75D29">
              <w:rPr>
                <w:sz w:val="22"/>
              </w:rPr>
              <w:t>s</w:t>
            </w:r>
            <w:r w:rsidRPr="006C3682">
              <w:rPr>
                <w:sz w:val="22"/>
              </w:rPr>
              <w:t xml:space="preserve">ignificant </w:t>
            </w:r>
            <w:r w:rsidR="00C75D29">
              <w:rPr>
                <w:sz w:val="22"/>
              </w:rPr>
              <w:t>e</w:t>
            </w:r>
            <w:r w:rsidRPr="006C3682">
              <w:rPr>
                <w:sz w:val="22"/>
              </w:rPr>
              <w:t xml:space="preserve">ffects. </w:t>
            </w:r>
          </w:p>
        </w:tc>
      </w:tr>
      <w:tr w:rsidR="00D30BCA" w:rsidRPr="006C3682" w14:paraId="5959A978" w14:textId="77777777" w:rsidTr="009D073E">
        <w:trPr>
          <w:trHeight w:val="300"/>
        </w:trPr>
        <w:tc>
          <w:tcPr>
            <w:tcW w:w="1633" w:type="dxa"/>
            <w:vMerge w:val="restart"/>
          </w:tcPr>
          <w:p w14:paraId="493CE7E8" w14:textId="4730029E" w:rsidR="00D30BCA" w:rsidRPr="006C3682" w:rsidRDefault="00D30BCA" w:rsidP="003427A9">
            <w:pPr>
              <w:spacing w:before="60" w:after="60"/>
              <w:rPr>
                <w:sz w:val="22"/>
              </w:rPr>
            </w:pPr>
            <w:r w:rsidRPr="006C3682">
              <w:rPr>
                <w:sz w:val="22"/>
              </w:rPr>
              <w:t xml:space="preserve">Chapter 13 – Marine Ecology </w:t>
            </w:r>
          </w:p>
        </w:tc>
        <w:tc>
          <w:tcPr>
            <w:tcW w:w="7393" w:type="dxa"/>
            <w:gridSpan w:val="2"/>
          </w:tcPr>
          <w:p w14:paraId="5ECC294F" w14:textId="66BD87DE" w:rsidR="00D30BCA" w:rsidRPr="006C3682" w:rsidRDefault="00D30BCA" w:rsidP="00B32F38">
            <w:pPr>
              <w:spacing w:before="60" w:after="60"/>
              <w:rPr>
                <w:sz w:val="22"/>
              </w:rPr>
            </w:pPr>
            <w:r w:rsidRPr="006C3682">
              <w:rPr>
                <w:sz w:val="22"/>
              </w:rPr>
              <w:t xml:space="preserve">Overall, the Marine Ecology chapter is well written and proportionate in its assessment of scoped impact pathways, clearly justifying the need for a precautionary approach given the complexity of assessing underwater noise impacts on marine receptors. </w:t>
            </w:r>
          </w:p>
        </w:tc>
      </w:tr>
      <w:tr w:rsidR="00D30BCA" w:rsidRPr="006C3682" w14:paraId="030488FD" w14:textId="77777777" w:rsidTr="00E53227">
        <w:trPr>
          <w:trHeight w:val="300"/>
        </w:trPr>
        <w:tc>
          <w:tcPr>
            <w:tcW w:w="1633" w:type="dxa"/>
            <w:vMerge/>
          </w:tcPr>
          <w:p w14:paraId="118C760F" w14:textId="37CA4D3B" w:rsidR="00D30BCA" w:rsidRPr="006C3682" w:rsidRDefault="00D30BCA" w:rsidP="003427A9">
            <w:pPr>
              <w:spacing w:before="60" w:after="60"/>
              <w:rPr>
                <w:sz w:val="22"/>
              </w:rPr>
            </w:pPr>
          </w:p>
        </w:tc>
        <w:tc>
          <w:tcPr>
            <w:tcW w:w="1559" w:type="dxa"/>
          </w:tcPr>
          <w:p w14:paraId="5499CD7A" w14:textId="02A636A2" w:rsidR="00D30BCA" w:rsidRPr="006C3682" w:rsidRDefault="00D30BCA" w:rsidP="003427A9">
            <w:pPr>
              <w:spacing w:before="60" w:after="60"/>
              <w:rPr>
                <w:sz w:val="22"/>
                <w:lang w:bidi="ar-SA"/>
              </w:rPr>
            </w:pPr>
            <w:r w:rsidRPr="006C3682">
              <w:rPr>
                <w:sz w:val="22"/>
                <w:lang w:bidi="ar-SA"/>
              </w:rPr>
              <w:t xml:space="preserve">Comment (Baseline) </w:t>
            </w:r>
          </w:p>
        </w:tc>
        <w:tc>
          <w:tcPr>
            <w:tcW w:w="5834" w:type="dxa"/>
          </w:tcPr>
          <w:p w14:paraId="2B6CABB8" w14:textId="6E3C7339" w:rsidR="00D30BCA" w:rsidRPr="006C3682" w:rsidRDefault="00D30BCA" w:rsidP="003427A9">
            <w:pPr>
              <w:spacing w:before="60" w:after="60"/>
              <w:rPr>
                <w:sz w:val="22"/>
              </w:rPr>
            </w:pPr>
            <w:r w:rsidRPr="006C3682">
              <w:rPr>
                <w:sz w:val="22"/>
              </w:rPr>
              <w:t xml:space="preserve">Paragraph 13.3.5 </w:t>
            </w:r>
            <w:r w:rsidR="00343E95">
              <w:rPr>
                <w:sz w:val="22"/>
              </w:rPr>
              <w:t>states</w:t>
            </w:r>
            <w:r w:rsidRPr="006C3682">
              <w:rPr>
                <w:sz w:val="22"/>
              </w:rPr>
              <w:t xml:space="preserve"> that a precautionary 50km Study Area has been used for migratory fish with a regional approach being adopted, which differs from the HRA. The Regional Study Area for migratory fish is referenced once more in paragraph 13.3.11 but is not subsequently defined or consistently applied elsewhere in the </w:t>
            </w:r>
            <w:r w:rsidR="002D2465">
              <w:rPr>
                <w:sz w:val="22"/>
              </w:rPr>
              <w:t>s</w:t>
            </w:r>
            <w:r w:rsidRPr="006C3682">
              <w:rPr>
                <w:sz w:val="22"/>
              </w:rPr>
              <w:t xml:space="preserve">coping </w:t>
            </w:r>
            <w:r w:rsidR="002D2465">
              <w:rPr>
                <w:sz w:val="22"/>
              </w:rPr>
              <w:t>r</w:t>
            </w:r>
            <w:r w:rsidRPr="006C3682">
              <w:rPr>
                <w:sz w:val="22"/>
              </w:rPr>
              <w:t xml:space="preserve">eport and/or in Appendix 13A (Marine Conservation Zone Screening). </w:t>
            </w:r>
            <w:r w:rsidR="000F2C9E">
              <w:rPr>
                <w:sz w:val="22"/>
              </w:rPr>
              <w:t>Only o</w:t>
            </w:r>
            <w:r w:rsidRPr="006C3682">
              <w:rPr>
                <w:sz w:val="22"/>
              </w:rPr>
              <w:t>nce the extent of the Regional Study Area is known</w:t>
            </w:r>
            <w:r w:rsidR="000F2C9E">
              <w:rPr>
                <w:sz w:val="22"/>
              </w:rPr>
              <w:t xml:space="preserve"> will it be possible</w:t>
            </w:r>
            <w:r w:rsidRPr="006C3682">
              <w:rPr>
                <w:sz w:val="22"/>
              </w:rPr>
              <w:t xml:space="preserve"> </w:t>
            </w:r>
            <w:r w:rsidR="000F2C9E">
              <w:rPr>
                <w:sz w:val="22"/>
              </w:rPr>
              <w:t>to</w:t>
            </w:r>
            <w:r w:rsidRPr="006C3682">
              <w:rPr>
                <w:sz w:val="22"/>
              </w:rPr>
              <w:t xml:space="preserve"> comment on the proportionality of the defined study area. </w:t>
            </w:r>
          </w:p>
        </w:tc>
      </w:tr>
      <w:tr w:rsidR="00D30BCA" w:rsidRPr="006C3682" w14:paraId="3571F095" w14:textId="77777777" w:rsidTr="00E53227">
        <w:trPr>
          <w:trHeight w:val="300"/>
        </w:trPr>
        <w:tc>
          <w:tcPr>
            <w:tcW w:w="1633" w:type="dxa"/>
            <w:vMerge/>
          </w:tcPr>
          <w:p w14:paraId="60080EE6" w14:textId="77777777" w:rsidR="00D30BCA" w:rsidRPr="006C3682" w:rsidRDefault="00D30BCA">
            <w:pPr>
              <w:spacing w:before="60" w:after="60"/>
              <w:rPr>
                <w:sz w:val="22"/>
              </w:rPr>
            </w:pPr>
          </w:p>
        </w:tc>
        <w:tc>
          <w:tcPr>
            <w:tcW w:w="1559" w:type="dxa"/>
          </w:tcPr>
          <w:p w14:paraId="30308837" w14:textId="3671E6D1" w:rsidR="00D30BCA" w:rsidRPr="006C3682" w:rsidRDefault="00D30BCA" w:rsidP="003427A9">
            <w:pPr>
              <w:spacing w:before="60" w:after="60"/>
              <w:rPr>
                <w:sz w:val="22"/>
                <w:lang w:bidi="ar-SA"/>
              </w:rPr>
            </w:pPr>
            <w:r w:rsidRPr="006C3682">
              <w:rPr>
                <w:sz w:val="22"/>
                <w:lang w:bidi="ar-SA"/>
              </w:rPr>
              <w:t xml:space="preserve">Comment (Evidence) </w:t>
            </w:r>
          </w:p>
        </w:tc>
        <w:tc>
          <w:tcPr>
            <w:tcW w:w="5834" w:type="dxa"/>
          </w:tcPr>
          <w:p w14:paraId="50E67DB9" w14:textId="3BD1F4F1" w:rsidR="00D30BCA" w:rsidRPr="006C3682" w:rsidRDefault="00D30BCA" w:rsidP="00113EED">
            <w:pPr>
              <w:spacing w:before="60" w:after="60"/>
              <w:rPr>
                <w:sz w:val="22"/>
              </w:rPr>
            </w:pPr>
            <w:r w:rsidRPr="006C3682">
              <w:rPr>
                <w:sz w:val="22"/>
              </w:rPr>
              <w:t xml:space="preserve">Paragraph 13.1.4 provides more detail on the assumptions made for the marine works, however these assumptions are not mentioned in the upfront sections for the proposed works i.e. limited drilling or a gravity-based pipe-weight system. </w:t>
            </w:r>
          </w:p>
        </w:tc>
      </w:tr>
      <w:tr w:rsidR="00D30BCA" w:rsidRPr="006C3682" w14:paraId="502B310A" w14:textId="77777777" w:rsidTr="00E53227">
        <w:trPr>
          <w:trHeight w:val="13"/>
        </w:trPr>
        <w:tc>
          <w:tcPr>
            <w:tcW w:w="1633" w:type="dxa"/>
            <w:vMerge/>
          </w:tcPr>
          <w:p w14:paraId="6F275DD1" w14:textId="77777777" w:rsidR="00D30BCA" w:rsidRPr="006C3682" w:rsidRDefault="00D30BCA">
            <w:pPr>
              <w:spacing w:before="60" w:after="60"/>
              <w:rPr>
                <w:sz w:val="22"/>
              </w:rPr>
            </w:pPr>
          </w:p>
        </w:tc>
        <w:tc>
          <w:tcPr>
            <w:tcW w:w="1559" w:type="dxa"/>
          </w:tcPr>
          <w:p w14:paraId="54470506" w14:textId="3444C25E" w:rsidR="00D30BCA" w:rsidRPr="006C3682" w:rsidRDefault="00D30BCA" w:rsidP="00113EED">
            <w:pPr>
              <w:spacing w:before="60" w:after="60"/>
              <w:rPr>
                <w:sz w:val="22"/>
                <w:lang w:bidi="ar-SA"/>
              </w:rPr>
            </w:pPr>
            <w:r w:rsidRPr="006C3682">
              <w:rPr>
                <w:sz w:val="22"/>
                <w:lang w:bidi="ar-SA"/>
              </w:rPr>
              <w:t xml:space="preserve">Comment (EIA Methodology) </w:t>
            </w:r>
          </w:p>
        </w:tc>
        <w:tc>
          <w:tcPr>
            <w:tcW w:w="5834" w:type="dxa"/>
          </w:tcPr>
          <w:p w14:paraId="439898D0" w14:textId="68DA715C" w:rsidR="00D30BCA" w:rsidRPr="006C3682" w:rsidRDefault="00D30BCA" w:rsidP="00113EED">
            <w:pPr>
              <w:spacing w:before="60" w:after="60"/>
              <w:rPr>
                <w:sz w:val="22"/>
              </w:rPr>
            </w:pPr>
            <w:r w:rsidRPr="006C3682">
              <w:rPr>
                <w:sz w:val="22"/>
              </w:rPr>
              <w:t>The study areas are generally well defined; however, the regional element of the migratory fish study area could be clarified further. Table 13</w:t>
            </w:r>
            <w:r w:rsidRPr="006C3682">
              <w:noBreakHyphen/>
            </w:r>
            <w:r w:rsidRPr="006C3682">
              <w:rPr>
                <w:sz w:val="22"/>
              </w:rPr>
              <w:t xml:space="preserve">4 refers to a ‘refined’ study area for migratory fish, which may be misleading given that the study area is subsequently defined as extending to 50 km. </w:t>
            </w:r>
            <w:r w:rsidR="0020149E">
              <w:rPr>
                <w:sz w:val="22"/>
              </w:rPr>
              <w:t>Removal of</w:t>
            </w:r>
            <w:r w:rsidRPr="006C3682">
              <w:rPr>
                <w:sz w:val="22"/>
              </w:rPr>
              <w:t xml:space="preserve"> the term ‘refined’ </w:t>
            </w:r>
            <w:r w:rsidR="0020149E">
              <w:rPr>
                <w:sz w:val="22"/>
              </w:rPr>
              <w:t>should be considered</w:t>
            </w:r>
            <w:r w:rsidRPr="006C3682">
              <w:rPr>
                <w:sz w:val="22"/>
              </w:rPr>
              <w:t xml:space="preserve"> to avoid confusion. </w:t>
            </w:r>
          </w:p>
        </w:tc>
      </w:tr>
      <w:tr w:rsidR="00D30BCA" w:rsidRPr="006C3682" w14:paraId="20C81102" w14:textId="77777777" w:rsidTr="00E53227">
        <w:trPr>
          <w:trHeight w:val="13"/>
        </w:trPr>
        <w:tc>
          <w:tcPr>
            <w:tcW w:w="1633" w:type="dxa"/>
            <w:vMerge w:val="restart"/>
          </w:tcPr>
          <w:p w14:paraId="43FC2505" w14:textId="3645D0C3" w:rsidR="00D30BCA" w:rsidRPr="006C3682" w:rsidRDefault="00D30BCA" w:rsidP="008C7D40">
            <w:pPr>
              <w:spacing w:before="60" w:after="60"/>
              <w:rPr>
                <w:sz w:val="22"/>
              </w:rPr>
            </w:pPr>
            <w:r w:rsidRPr="006C3682">
              <w:rPr>
                <w:sz w:val="22"/>
              </w:rPr>
              <w:t xml:space="preserve">Chapter 14 – Noise and Vibration </w:t>
            </w:r>
          </w:p>
        </w:tc>
        <w:tc>
          <w:tcPr>
            <w:tcW w:w="1559" w:type="dxa"/>
          </w:tcPr>
          <w:p w14:paraId="3B251419" w14:textId="12C13935" w:rsidR="00D30BCA" w:rsidRPr="006C3682" w:rsidRDefault="00D30BCA" w:rsidP="00710104">
            <w:pPr>
              <w:spacing w:before="60" w:after="60"/>
              <w:rPr>
                <w:sz w:val="22"/>
                <w:lang w:bidi="ar-SA"/>
              </w:rPr>
            </w:pPr>
            <w:r w:rsidRPr="006C3682">
              <w:rPr>
                <w:sz w:val="22"/>
                <w:lang w:bidi="ar-SA"/>
              </w:rPr>
              <w:t xml:space="preserve">Comment (Baseline) </w:t>
            </w:r>
          </w:p>
        </w:tc>
        <w:tc>
          <w:tcPr>
            <w:tcW w:w="5834" w:type="dxa"/>
          </w:tcPr>
          <w:p w14:paraId="1880D069" w14:textId="23281ECB" w:rsidR="00D30BCA" w:rsidRPr="006C3682" w:rsidRDefault="00D30BCA" w:rsidP="173648A1">
            <w:pPr>
              <w:spacing w:before="60" w:after="60"/>
              <w:rPr>
                <w:sz w:val="22"/>
              </w:rPr>
            </w:pPr>
            <w:r w:rsidRPr="006C3682">
              <w:rPr>
                <w:rFonts w:eastAsia="Arial" w:cs="Arial"/>
                <w:sz w:val="22"/>
              </w:rPr>
              <w:t xml:space="preserve">While the proposed noise surveys are broadly </w:t>
            </w:r>
            <w:r w:rsidR="00E947D6">
              <w:rPr>
                <w:rFonts w:eastAsia="Arial" w:cs="Arial"/>
                <w:sz w:val="22"/>
              </w:rPr>
              <w:t>acceptable</w:t>
            </w:r>
            <w:r w:rsidRPr="006C3682">
              <w:rPr>
                <w:rFonts w:eastAsia="Arial" w:cs="Arial"/>
                <w:sz w:val="22"/>
              </w:rPr>
              <w:t xml:space="preserve">, the methodology does not explicitly define the baseline noise indices to be reported (for example, </w:t>
            </w:r>
            <w:proofErr w:type="spellStart"/>
            <w:r w:rsidRPr="006C3682">
              <w:rPr>
                <w:rFonts w:eastAsia="Arial" w:cs="Arial"/>
                <w:sz w:val="22"/>
              </w:rPr>
              <w:t>LAeq</w:t>
            </w:r>
            <w:proofErr w:type="spellEnd"/>
            <w:r w:rsidRPr="006C3682">
              <w:rPr>
                <w:rFonts w:eastAsia="Arial" w:cs="Arial"/>
                <w:sz w:val="22"/>
              </w:rPr>
              <w:t>, LA90, LAmax) or confirm how representativeness will be ensured in terms of seasonality and meteorological conditions. Clarification of these aspects would strengthen the robustness and transparency of the noise baseline characterisation.</w:t>
            </w:r>
          </w:p>
        </w:tc>
      </w:tr>
      <w:tr w:rsidR="00D30BCA" w:rsidRPr="006C3682" w14:paraId="0898261E" w14:textId="77777777" w:rsidTr="00E53227">
        <w:trPr>
          <w:trHeight w:val="13"/>
        </w:trPr>
        <w:tc>
          <w:tcPr>
            <w:tcW w:w="1633" w:type="dxa"/>
            <w:vMerge/>
          </w:tcPr>
          <w:p w14:paraId="36412A6E" w14:textId="77777777" w:rsidR="00D30BCA" w:rsidRPr="006C3682" w:rsidRDefault="00D30BCA">
            <w:pPr>
              <w:spacing w:before="60" w:after="60"/>
              <w:rPr>
                <w:sz w:val="22"/>
              </w:rPr>
            </w:pPr>
          </w:p>
        </w:tc>
        <w:tc>
          <w:tcPr>
            <w:tcW w:w="1559" w:type="dxa"/>
          </w:tcPr>
          <w:p w14:paraId="7D059A58" w14:textId="1B2F551E" w:rsidR="00D30BCA" w:rsidRPr="006C3682" w:rsidRDefault="00D30BCA" w:rsidP="00710104">
            <w:pPr>
              <w:spacing w:before="60" w:after="60"/>
              <w:rPr>
                <w:sz w:val="22"/>
                <w:lang w:bidi="ar-SA"/>
              </w:rPr>
            </w:pPr>
            <w:r w:rsidRPr="006C3682">
              <w:rPr>
                <w:sz w:val="22"/>
                <w:lang w:bidi="ar-SA"/>
              </w:rPr>
              <w:t>Observation (Scope Definition</w:t>
            </w:r>
            <w:r w:rsidR="00C30372">
              <w:rPr>
                <w:sz w:val="22"/>
                <w:lang w:bidi="ar-SA"/>
              </w:rPr>
              <w:t xml:space="preserve"> / Clarity</w:t>
            </w:r>
            <w:r w:rsidRPr="006C3682">
              <w:rPr>
                <w:sz w:val="22"/>
                <w:lang w:bidi="ar-SA"/>
              </w:rPr>
              <w:t xml:space="preserve">) </w:t>
            </w:r>
          </w:p>
        </w:tc>
        <w:tc>
          <w:tcPr>
            <w:tcW w:w="5834" w:type="dxa"/>
          </w:tcPr>
          <w:p w14:paraId="5AFF20BF" w14:textId="6156D5D0" w:rsidR="00D30BCA" w:rsidRPr="006C3682" w:rsidRDefault="00D30BCA" w:rsidP="173648A1">
            <w:pPr>
              <w:spacing w:before="60" w:after="60"/>
              <w:rPr>
                <w:sz w:val="22"/>
              </w:rPr>
            </w:pPr>
            <w:r w:rsidRPr="006C3682">
              <w:rPr>
                <w:sz w:val="22"/>
              </w:rPr>
              <w:t xml:space="preserve">Explanation of potential </w:t>
            </w:r>
            <w:r w:rsidR="005C2810">
              <w:rPr>
                <w:sz w:val="22"/>
              </w:rPr>
              <w:t>n</w:t>
            </w:r>
            <w:r w:rsidRPr="006C3682">
              <w:rPr>
                <w:sz w:val="22"/>
              </w:rPr>
              <w:t xml:space="preserve">oise and </w:t>
            </w:r>
            <w:r w:rsidR="005C2810">
              <w:rPr>
                <w:sz w:val="22"/>
              </w:rPr>
              <w:t>v</w:t>
            </w:r>
            <w:r w:rsidRPr="006C3682">
              <w:rPr>
                <w:sz w:val="22"/>
              </w:rPr>
              <w:t xml:space="preserve">ibration impacts on noise sensitive receptors is not clear, making it difficult to understand why certain elements have been scoped out. </w:t>
            </w:r>
          </w:p>
        </w:tc>
      </w:tr>
      <w:tr w:rsidR="00D30BCA" w:rsidRPr="006C3682" w14:paraId="7EF7F083" w14:textId="77777777" w:rsidTr="00E53227">
        <w:trPr>
          <w:trHeight w:val="13"/>
        </w:trPr>
        <w:tc>
          <w:tcPr>
            <w:tcW w:w="1633" w:type="dxa"/>
            <w:vMerge/>
          </w:tcPr>
          <w:p w14:paraId="4FFB017F" w14:textId="77777777" w:rsidR="00D30BCA" w:rsidRPr="006C3682" w:rsidRDefault="00D30BCA">
            <w:pPr>
              <w:spacing w:before="60" w:after="60"/>
              <w:rPr>
                <w:sz w:val="22"/>
              </w:rPr>
            </w:pPr>
          </w:p>
        </w:tc>
        <w:tc>
          <w:tcPr>
            <w:tcW w:w="1559" w:type="dxa"/>
          </w:tcPr>
          <w:p w14:paraId="6B75529B" w14:textId="02F1F6D8" w:rsidR="00D30BCA" w:rsidRPr="006C3682" w:rsidRDefault="00D30BCA" w:rsidP="00710104">
            <w:pPr>
              <w:spacing w:before="60" w:after="60"/>
              <w:rPr>
                <w:sz w:val="22"/>
                <w:lang w:bidi="ar-SA"/>
              </w:rPr>
            </w:pPr>
            <w:r w:rsidRPr="006C3682">
              <w:rPr>
                <w:sz w:val="22"/>
                <w:lang w:bidi="ar-SA"/>
              </w:rPr>
              <w:t xml:space="preserve">Observation (EIA Scope) </w:t>
            </w:r>
          </w:p>
        </w:tc>
        <w:tc>
          <w:tcPr>
            <w:tcW w:w="5834" w:type="dxa"/>
          </w:tcPr>
          <w:p w14:paraId="0EEEEC9D" w14:textId="4159C0DD" w:rsidR="00D30BCA" w:rsidRPr="006C3682" w:rsidRDefault="00D30BCA" w:rsidP="00683B52">
            <w:pPr>
              <w:spacing w:before="60" w:after="60"/>
              <w:rPr>
                <w:sz w:val="22"/>
              </w:rPr>
            </w:pPr>
            <w:r w:rsidRPr="006C3682">
              <w:rPr>
                <w:sz w:val="22"/>
              </w:rPr>
              <w:t>Section 14.6 cross</w:t>
            </w:r>
            <w:r w:rsidR="00503BA1">
              <w:rPr>
                <w:sz w:val="22"/>
              </w:rPr>
              <w:t>-</w:t>
            </w:r>
            <w:r w:rsidRPr="006C3682">
              <w:rPr>
                <w:sz w:val="22"/>
              </w:rPr>
              <w:t>reference</w:t>
            </w:r>
            <w:r w:rsidR="00503BA1">
              <w:rPr>
                <w:sz w:val="22"/>
              </w:rPr>
              <w:t>s</w:t>
            </w:r>
            <w:r w:rsidRPr="006C3682">
              <w:rPr>
                <w:sz w:val="22"/>
              </w:rPr>
              <w:t xml:space="preserve"> to noise and vibration impacts on certain receptors </w:t>
            </w:r>
            <w:r w:rsidR="00EE7D85">
              <w:rPr>
                <w:sz w:val="22"/>
              </w:rPr>
              <w:t>in</w:t>
            </w:r>
            <w:r w:rsidRPr="006C3682">
              <w:rPr>
                <w:sz w:val="22"/>
              </w:rPr>
              <w:t xml:space="preserve"> other topic chapters, including Marine Ecology, Terrestrial Ecology, Historic Environment and Human Health. However, Figure 14-1 </w:t>
            </w:r>
            <w:r w:rsidRPr="006C3682">
              <w:rPr>
                <w:sz w:val="22"/>
              </w:rPr>
              <w:lastRenderedPageBreak/>
              <w:t xml:space="preserve">still showing some of these cross-topic receptors and descriptions of potential effects within Section 14.5 makes it difficult to understand what impacts on what receptors Chapter 14 is assessing. Further clarity to this is required when progressing to the ES stage. </w:t>
            </w:r>
          </w:p>
        </w:tc>
      </w:tr>
      <w:tr w:rsidR="00D30BCA" w:rsidRPr="006C3682" w14:paraId="311CCAE9" w14:textId="77777777" w:rsidTr="009D073E">
        <w:trPr>
          <w:trHeight w:val="13"/>
        </w:trPr>
        <w:tc>
          <w:tcPr>
            <w:tcW w:w="1633" w:type="dxa"/>
            <w:vMerge w:val="restart"/>
          </w:tcPr>
          <w:p w14:paraId="08D2DB9D" w14:textId="558C6BE8" w:rsidR="00D30BCA" w:rsidRPr="006C3682" w:rsidRDefault="00D30BCA" w:rsidP="000F68A2">
            <w:pPr>
              <w:spacing w:before="60" w:after="60"/>
              <w:rPr>
                <w:sz w:val="22"/>
              </w:rPr>
            </w:pPr>
            <w:r w:rsidRPr="006C3682">
              <w:rPr>
                <w:sz w:val="22"/>
              </w:rPr>
              <w:lastRenderedPageBreak/>
              <w:t xml:space="preserve">Chapter 15 – Socio Economic </w:t>
            </w:r>
          </w:p>
        </w:tc>
        <w:tc>
          <w:tcPr>
            <w:tcW w:w="7393" w:type="dxa"/>
            <w:gridSpan w:val="2"/>
          </w:tcPr>
          <w:p w14:paraId="53C113AE" w14:textId="1F0F34D8" w:rsidR="00D30BCA" w:rsidRPr="006C3682" w:rsidRDefault="00D30BCA" w:rsidP="173648A1">
            <w:pPr>
              <w:spacing w:before="60" w:after="60"/>
              <w:rPr>
                <w:sz w:val="22"/>
              </w:rPr>
            </w:pPr>
            <w:r w:rsidRPr="006C3682">
              <w:rPr>
                <w:sz w:val="22"/>
              </w:rPr>
              <w:t xml:space="preserve">Overall, Chapter 15 gives a very clear and comprehensive consideration of </w:t>
            </w:r>
            <w:r w:rsidR="00271DD0">
              <w:rPr>
                <w:sz w:val="22"/>
              </w:rPr>
              <w:t>s</w:t>
            </w:r>
            <w:r w:rsidRPr="006C3682">
              <w:rPr>
                <w:sz w:val="22"/>
              </w:rPr>
              <w:t>ocio</w:t>
            </w:r>
            <w:r w:rsidR="00271DD0">
              <w:rPr>
                <w:sz w:val="22"/>
              </w:rPr>
              <w:t>e</w:t>
            </w:r>
            <w:r w:rsidRPr="006C3682">
              <w:rPr>
                <w:sz w:val="22"/>
              </w:rPr>
              <w:t xml:space="preserve">conomic receptors, including a detailed summary of the proposed study area and current and future baseline written in line with </w:t>
            </w:r>
            <w:r w:rsidR="006C7EB1">
              <w:rPr>
                <w:sz w:val="22"/>
              </w:rPr>
              <w:t>RGP</w:t>
            </w:r>
            <w:r w:rsidRPr="006C3682">
              <w:rPr>
                <w:sz w:val="22"/>
              </w:rPr>
              <w:t xml:space="preserve">. It includes a clear summary of potential effects and sufficient detail to support scoping in or out of specific topic elements.  </w:t>
            </w:r>
          </w:p>
        </w:tc>
      </w:tr>
      <w:tr w:rsidR="00D30BCA" w:rsidRPr="006C3682" w14:paraId="4B120800" w14:textId="77777777" w:rsidTr="00E53227">
        <w:trPr>
          <w:trHeight w:val="13"/>
        </w:trPr>
        <w:tc>
          <w:tcPr>
            <w:tcW w:w="1633" w:type="dxa"/>
            <w:vMerge/>
          </w:tcPr>
          <w:p w14:paraId="09068668" w14:textId="77777777" w:rsidR="00D30BCA" w:rsidRPr="006C3682" w:rsidRDefault="00D30BCA">
            <w:pPr>
              <w:spacing w:before="60" w:after="60"/>
              <w:rPr>
                <w:sz w:val="22"/>
              </w:rPr>
            </w:pPr>
          </w:p>
        </w:tc>
        <w:tc>
          <w:tcPr>
            <w:tcW w:w="1559" w:type="dxa"/>
          </w:tcPr>
          <w:p w14:paraId="5A5EE7F8" w14:textId="0FCA293C" w:rsidR="00D30BCA" w:rsidRPr="006C3682" w:rsidRDefault="002C2A5D" w:rsidP="00A86234">
            <w:pPr>
              <w:spacing w:before="60" w:after="60"/>
              <w:rPr>
                <w:sz w:val="22"/>
                <w:lang w:bidi="ar-SA"/>
              </w:rPr>
            </w:pPr>
            <w:r>
              <w:rPr>
                <w:sz w:val="22"/>
                <w:lang w:bidi="ar-SA"/>
              </w:rPr>
              <w:t>Comment</w:t>
            </w:r>
            <w:r w:rsidR="00D30BCA" w:rsidRPr="006C3682">
              <w:rPr>
                <w:sz w:val="22"/>
                <w:lang w:bidi="ar-SA"/>
              </w:rPr>
              <w:t xml:space="preserve"> (EIA Methodology) </w:t>
            </w:r>
          </w:p>
        </w:tc>
        <w:tc>
          <w:tcPr>
            <w:tcW w:w="5834" w:type="dxa"/>
          </w:tcPr>
          <w:p w14:paraId="05F60B09" w14:textId="07CB7BDA" w:rsidR="00D30BCA" w:rsidRPr="006C3682" w:rsidRDefault="00D30BCA" w:rsidP="173648A1">
            <w:pPr>
              <w:spacing w:before="60" w:after="60"/>
              <w:rPr>
                <w:sz w:val="22"/>
              </w:rPr>
            </w:pPr>
            <w:r w:rsidRPr="006C3682">
              <w:rPr>
                <w:sz w:val="22"/>
              </w:rPr>
              <w:t xml:space="preserve">Section 13.2.1 of the </w:t>
            </w:r>
            <w:r w:rsidR="006A5CCF">
              <w:rPr>
                <w:sz w:val="22"/>
              </w:rPr>
              <w:t>EIADR</w:t>
            </w:r>
            <w:r w:rsidRPr="006C3682">
              <w:rPr>
                <w:sz w:val="22"/>
              </w:rPr>
              <w:t xml:space="preserve"> TAG notes that while there is no legislation which specifies the detailed content for a </w:t>
            </w:r>
            <w:r w:rsidR="000352A8">
              <w:rPr>
                <w:sz w:val="22"/>
              </w:rPr>
              <w:t>s</w:t>
            </w:r>
            <w:r w:rsidRPr="006C3682">
              <w:rPr>
                <w:rFonts w:eastAsia="Arial" w:cs="Arial"/>
                <w:sz w:val="22"/>
              </w:rPr>
              <w:t>ocio</w:t>
            </w:r>
            <w:r w:rsidR="000352A8">
              <w:rPr>
                <w:rFonts w:eastAsia="Arial" w:cs="Arial"/>
                <w:sz w:val="22"/>
              </w:rPr>
              <w:t>e</w:t>
            </w:r>
            <w:r w:rsidRPr="006C3682">
              <w:rPr>
                <w:rFonts w:eastAsia="Arial" w:cs="Arial"/>
                <w:sz w:val="22"/>
              </w:rPr>
              <w:t xml:space="preserve">conomic </w:t>
            </w:r>
            <w:r w:rsidR="000352A8">
              <w:rPr>
                <w:rFonts w:eastAsia="Arial" w:cs="Arial"/>
                <w:sz w:val="22"/>
              </w:rPr>
              <w:t>i</w:t>
            </w:r>
            <w:r w:rsidRPr="006C3682">
              <w:rPr>
                <w:rFonts w:eastAsia="Arial" w:cs="Arial"/>
                <w:sz w:val="22"/>
              </w:rPr>
              <w:t xml:space="preserve">mpact </w:t>
            </w:r>
            <w:r w:rsidR="000352A8">
              <w:rPr>
                <w:rFonts w:eastAsia="Arial" w:cs="Arial"/>
                <w:sz w:val="22"/>
              </w:rPr>
              <w:t>a</w:t>
            </w:r>
            <w:r w:rsidRPr="006C3682">
              <w:rPr>
                <w:rFonts w:eastAsia="Arial" w:cs="Arial"/>
                <w:sz w:val="22"/>
              </w:rPr>
              <w:t>ssessment</w:t>
            </w:r>
            <w:r w:rsidR="00204900">
              <w:rPr>
                <w:rFonts w:eastAsia="Arial" w:cs="Arial"/>
                <w:sz w:val="22"/>
              </w:rPr>
              <w:t>,</w:t>
            </w:r>
            <w:r w:rsidRPr="006C3682">
              <w:rPr>
                <w:rFonts w:eastAsia="Arial" w:cs="Arial"/>
                <w:sz w:val="22"/>
              </w:rPr>
              <w:t xml:space="preserve"> </w:t>
            </w:r>
            <w:r w:rsidRPr="006C3682">
              <w:rPr>
                <w:sz w:val="22"/>
              </w:rPr>
              <w:t>there is legislation that can be considered</w:t>
            </w:r>
            <w:r w:rsidR="00204900">
              <w:rPr>
                <w:sz w:val="22"/>
              </w:rPr>
              <w:t xml:space="preserve">, for example, the </w:t>
            </w:r>
            <w:r w:rsidRPr="006C3682">
              <w:rPr>
                <w:sz w:val="22"/>
              </w:rPr>
              <w:t>Equality Act 2010</w:t>
            </w:r>
            <w:r w:rsidR="00204900">
              <w:rPr>
                <w:sz w:val="22"/>
              </w:rPr>
              <w:t xml:space="preserve"> and the</w:t>
            </w:r>
            <w:r w:rsidRPr="006C3682">
              <w:rPr>
                <w:sz w:val="22"/>
              </w:rPr>
              <w:t xml:space="preserve"> Energy Act 2004. While Chapter 15 of the </w:t>
            </w:r>
            <w:r w:rsidR="00A24D03">
              <w:rPr>
                <w:sz w:val="22"/>
              </w:rPr>
              <w:t>s</w:t>
            </w:r>
            <w:r w:rsidRPr="006C3682">
              <w:rPr>
                <w:sz w:val="22"/>
              </w:rPr>
              <w:t xml:space="preserve">coping report does make some reference to Local Policy and guidance, there is no reference to wider legislation. This should be considered during ES development to ensure all relevant legislation has been correctly considered. </w:t>
            </w:r>
          </w:p>
        </w:tc>
      </w:tr>
      <w:tr w:rsidR="00D30BCA" w:rsidRPr="006C3682" w14:paraId="20BFAE2F" w14:textId="77777777" w:rsidTr="00E53227">
        <w:trPr>
          <w:trHeight w:val="13"/>
        </w:trPr>
        <w:tc>
          <w:tcPr>
            <w:tcW w:w="1633" w:type="dxa"/>
            <w:vMerge w:val="restart"/>
          </w:tcPr>
          <w:p w14:paraId="0DC9B687" w14:textId="7D033FE1" w:rsidR="00D30BCA" w:rsidRPr="006C3682" w:rsidRDefault="00D30BCA" w:rsidP="00650EFB">
            <w:pPr>
              <w:spacing w:before="60" w:after="60"/>
              <w:rPr>
                <w:sz w:val="22"/>
              </w:rPr>
            </w:pPr>
            <w:r w:rsidRPr="006C3682">
              <w:rPr>
                <w:sz w:val="22"/>
              </w:rPr>
              <w:t xml:space="preserve">Chapter 16 – Soils and Geology </w:t>
            </w:r>
          </w:p>
        </w:tc>
        <w:tc>
          <w:tcPr>
            <w:tcW w:w="1559" w:type="dxa"/>
          </w:tcPr>
          <w:p w14:paraId="0E6C1A4F" w14:textId="05232BA3" w:rsidR="00D30BCA" w:rsidRPr="006C3682" w:rsidRDefault="00D30BCA" w:rsidP="00650EFB">
            <w:pPr>
              <w:spacing w:before="60" w:after="60"/>
              <w:rPr>
                <w:sz w:val="22"/>
                <w:lang w:bidi="ar-SA"/>
              </w:rPr>
            </w:pPr>
            <w:r w:rsidRPr="006C3682">
              <w:rPr>
                <w:sz w:val="22"/>
                <w:lang w:bidi="ar-SA"/>
              </w:rPr>
              <w:t xml:space="preserve">Comment (EIA Scope) </w:t>
            </w:r>
          </w:p>
        </w:tc>
        <w:tc>
          <w:tcPr>
            <w:tcW w:w="5834" w:type="dxa"/>
          </w:tcPr>
          <w:p w14:paraId="643A0431" w14:textId="36FB0836" w:rsidR="00D30BCA" w:rsidRPr="006C3682" w:rsidRDefault="00D30BCA" w:rsidP="00650EFB">
            <w:pPr>
              <w:spacing w:before="60" w:after="60"/>
              <w:rPr>
                <w:sz w:val="22"/>
              </w:rPr>
            </w:pPr>
            <w:r w:rsidRPr="006C3682">
              <w:rPr>
                <w:sz w:val="22"/>
              </w:rPr>
              <w:t xml:space="preserve">Paragraph 16.3.4 identifies human health and ecological receptors as potential receptors. Clarification is required as to whether human health has already been assessed within the Human Health chapter, and ecological receptors within the Terrestrial Ecology chapter. The assessment approach should be clarified to ensure that potential effects are not assessed more than once. </w:t>
            </w:r>
          </w:p>
        </w:tc>
      </w:tr>
      <w:tr w:rsidR="00D30BCA" w:rsidRPr="006C3682" w14:paraId="52924D99" w14:textId="77777777" w:rsidTr="00E53227">
        <w:trPr>
          <w:trHeight w:val="13"/>
        </w:trPr>
        <w:tc>
          <w:tcPr>
            <w:tcW w:w="1633" w:type="dxa"/>
            <w:vMerge/>
          </w:tcPr>
          <w:p w14:paraId="748A0781" w14:textId="77777777" w:rsidR="00D30BCA" w:rsidRPr="006C3682" w:rsidRDefault="00D30BCA">
            <w:pPr>
              <w:spacing w:before="60" w:after="60"/>
              <w:rPr>
                <w:sz w:val="22"/>
              </w:rPr>
            </w:pPr>
          </w:p>
        </w:tc>
        <w:tc>
          <w:tcPr>
            <w:tcW w:w="1559" w:type="dxa"/>
          </w:tcPr>
          <w:p w14:paraId="6E4ED62C" w14:textId="18130AF1" w:rsidR="00D30BCA" w:rsidRPr="006C3682" w:rsidRDefault="00D30BCA" w:rsidP="00751DDC">
            <w:pPr>
              <w:spacing w:before="60" w:after="60"/>
              <w:rPr>
                <w:sz w:val="22"/>
                <w:lang w:bidi="ar-SA"/>
              </w:rPr>
            </w:pPr>
            <w:r w:rsidRPr="006C3682">
              <w:rPr>
                <w:sz w:val="22"/>
                <w:lang w:bidi="ar-SA"/>
              </w:rPr>
              <w:t xml:space="preserve">Comment (Clarity) </w:t>
            </w:r>
          </w:p>
        </w:tc>
        <w:tc>
          <w:tcPr>
            <w:tcW w:w="5834" w:type="dxa"/>
          </w:tcPr>
          <w:p w14:paraId="617B4EFE" w14:textId="415D0E9D" w:rsidR="00D30BCA" w:rsidRPr="006C3682" w:rsidRDefault="00D30BCA" w:rsidP="00751DDC">
            <w:pPr>
              <w:spacing w:before="60" w:after="60"/>
              <w:rPr>
                <w:sz w:val="22"/>
              </w:rPr>
            </w:pPr>
            <w:r w:rsidRPr="006C3682">
              <w:rPr>
                <w:sz w:val="22"/>
              </w:rPr>
              <w:t>Paragraph 16.7.8 refers only to human health and geology receptors despite ecological receptors being scoped in at paragraph 16.6.7. This omission is repeated in Table 16</w:t>
            </w:r>
            <w:r w:rsidRPr="006C3682">
              <w:noBreakHyphen/>
            </w:r>
            <w:r w:rsidRPr="006C3682">
              <w:rPr>
                <w:sz w:val="22"/>
              </w:rPr>
              <w:t xml:space="preserve">5, which does not define sensitivity descriptors for ecological receptors. Clarification is required on the treatment of ecological receptors and how this aligns with paragraph 16.6.8, which refers to hydrogeological and hydrological impacts to Chapter 19: Water Environment and Flood Risk. </w:t>
            </w:r>
          </w:p>
        </w:tc>
      </w:tr>
      <w:tr w:rsidR="00D30BCA" w:rsidRPr="006C3682" w14:paraId="26D3F16A" w14:textId="77777777" w:rsidTr="00E53227">
        <w:trPr>
          <w:trHeight w:val="13"/>
        </w:trPr>
        <w:tc>
          <w:tcPr>
            <w:tcW w:w="1633" w:type="dxa"/>
            <w:vMerge/>
          </w:tcPr>
          <w:p w14:paraId="7C01F985" w14:textId="77777777" w:rsidR="00D30BCA" w:rsidRPr="006C3682" w:rsidRDefault="00D30BCA">
            <w:pPr>
              <w:spacing w:before="60" w:after="60"/>
              <w:rPr>
                <w:sz w:val="22"/>
              </w:rPr>
            </w:pPr>
          </w:p>
        </w:tc>
        <w:tc>
          <w:tcPr>
            <w:tcW w:w="1559" w:type="dxa"/>
          </w:tcPr>
          <w:p w14:paraId="72CE61F1" w14:textId="3645F80D" w:rsidR="00D30BCA" w:rsidRPr="006C3682" w:rsidRDefault="00D30BCA" w:rsidP="00751DDC">
            <w:pPr>
              <w:spacing w:before="60" w:after="60"/>
              <w:rPr>
                <w:sz w:val="22"/>
                <w:lang w:bidi="ar-SA"/>
              </w:rPr>
            </w:pPr>
            <w:r w:rsidRPr="006C3682">
              <w:rPr>
                <w:sz w:val="22"/>
                <w:lang w:bidi="ar-SA"/>
              </w:rPr>
              <w:t xml:space="preserve">Comment (EIA Scope) </w:t>
            </w:r>
          </w:p>
        </w:tc>
        <w:tc>
          <w:tcPr>
            <w:tcW w:w="5834" w:type="dxa"/>
          </w:tcPr>
          <w:p w14:paraId="729059DA" w14:textId="4E2E50EA" w:rsidR="00D30BCA" w:rsidRPr="006C3682" w:rsidRDefault="00D30BCA" w:rsidP="00751DDC">
            <w:pPr>
              <w:spacing w:before="60" w:after="60"/>
              <w:rPr>
                <w:sz w:val="22"/>
              </w:rPr>
            </w:pPr>
            <w:r w:rsidRPr="006C3682">
              <w:rPr>
                <w:sz w:val="22"/>
              </w:rPr>
              <w:t xml:space="preserve">Clarification is required as to whether the second bullet point in paragraph 16.6.8 should be addressed within the Human Health chapter (specifically the scoping out of potential impacts on workers on the basis that relevant health and safety legislation provides sufficient mitigation to prevent significant effects) or whether this statement should instead be presented as an assumption within the EIA methodology. </w:t>
            </w:r>
          </w:p>
        </w:tc>
      </w:tr>
      <w:tr w:rsidR="00D30BCA" w:rsidRPr="006C3682" w14:paraId="44F5BA73" w14:textId="77777777" w:rsidTr="00E53227">
        <w:trPr>
          <w:trHeight w:val="13"/>
        </w:trPr>
        <w:tc>
          <w:tcPr>
            <w:tcW w:w="1633" w:type="dxa"/>
            <w:vMerge/>
          </w:tcPr>
          <w:p w14:paraId="2BE134AB" w14:textId="77777777" w:rsidR="00D30BCA" w:rsidRPr="006C3682" w:rsidRDefault="00D30BCA">
            <w:pPr>
              <w:spacing w:before="60" w:after="60"/>
              <w:rPr>
                <w:sz w:val="22"/>
              </w:rPr>
            </w:pPr>
          </w:p>
        </w:tc>
        <w:tc>
          <w:tcPr>
            <w:tcW w:w="1559" w:type="dxa"/>
          </w:tcPr>
          <w:p w14:paraId="79AE50B2" w14:textId="15105816" w:rsidR="00D30BCA" w:rsidRPr="006C3682" w:rsidRDefault="00EA3709" w:rsidP="00751DDC">
            <w:pPr>
              <w:spacing w:before="60" w:after="60"/>
              <w:rPr>
                <w:sz w:val="22"/>
                <w:lang w:bidi="ar-SA"/>
              </w:rPr>
            </w:pPr>
            <w:r>
              <w:rPr>
                <w:sz w:val="22"/>
                <w:lang w:bidi="ar-SA"/>
              </w:rPr>
              <w:t>Observation</w:t>
            </w:r>
            <w:r w:rsidR="00D30BCA" w:rsidRPr="006C3682">
              <w:rPr>
                <w:sz w:val="22"/>
                <w:lang w:bidi="ar-SA"/>
              </w:rPr>
              <w:t xml:space="preserve"> (EIA Scope) </w:t>
            </w:r>
          </w:p>
        </w:tc>
        <w:tc>
          <w:tcPr>
            <w:tcW w:w="5834" w:type="dxa"/>
          </w:tcPr>
          <w:p w14:paraId="2F5AAEEE" w14:textId="3558B57C" w:rsidR="00D30BCA" w:rsidRPr="006C3682" w:rsidRDefault="00D30BCA" w:rsidP="0099604E">
            <w:pPr>
              <w:spacing w:before="60" w:after="60"/>
              <w:rPr>
                <w:sz w:val="22"/>
              </w:rPr>
            </w:pPr>
            <w:r w:rsidRPr="006C3682">
              <w:rPr>
                <w:sz w:val="22"/>
              </w:rPr>
              <w:t>Table 16</w:t>
            </w:r>
            <w:r w:rsidRPr="006C3682">
              <w:rPr>
                <w:sz w:val="22"/>
              </w:rPr>
              <w:noBreakHyphen/>
              <w:t xml:space="preserve">6 lists all potential effects as either scoped in or scoped out of the assessment; however, no justification </w:t>
            </w:r>
            <w:r w:rsidRPr="006C3682">
              <w:rPr>
                <w:sz w:val="22"/>
              </w:rPr>
              <w:lastRenderedPageBreak/>
              <w:t xml:space="preserve">is provided. A clear justification is required for each scoping decision. </w:t>
            </w:r>
          </w:p>
        </w:tc>
      </w:tr>
      <w:tr w:rsidR="00D30BCA" w:rsidRPr="006C3682" w14:paraId="0048114E" w14:textId="77777777" w:rsidTr="00E53227">
        <w:trPr>
          <w:trHeight w:val="13"/>
        </w:trPr>
        <w:tc>
          <w:tcPr>
            <w:tcW w:w="1633" w:type="dxa"/>
            <w:vMerge w:val="restart"/>
          </w:tcPr>
          <w:p w14:paraId="21FEAD63" w14:textId="3E6CA246" w:rsidR="00D30BCA" w:rsidRPr="006C3682" w:rsidRDefault="00D30BCA" w:rsidP="006B47F4">
            <w:pPr>
              <w:spacing w:before="60" w:after="60"/>
              <w:rPr>
                <w:sz w:val="22"/>
              </w:rPr>
            </w:pPr>
            <w:r w:rsidRPr="006C3682">
              <w:rPr>
                <w:sz w:val="22"/>
              </w:rPr>
              <w:lastRenderedPageBreak/>
              <w:t xml:space="preserve">Chapter 17 – Traffic and Transport </w:t>
            </w:r>
          </w:p>
        </w:tc>
        <w:tc>
          <w:tcPr>
            <w:tcW w:w="1559" w:type="dxa"/>
          </w:tcPr>
          <w:p w14:paraId="424E801D" w14:textId="4DB5281F" w:rsidR="00D30BCA" w:rsidRPr="006C3682" w:rsidRDefault="00D30BCA" w:rsidP="000F141C">
            <w:pPr>
              <w:spacing w:before="60" w:after="60"/>
              <w:rPr>
                <w:sz w:val="22"/>
                <w:lang w:bidi="ar-SA"/>
              </w:rPr>
            </w:pPr>
            <w:r w:rsidRPr="006C3682">
              <w:rPr>
                <w:sz w:val="22"/>
                <w:lang w:bidi="ar-SA"/>
              </w:rPr>
              <w:t xml:space="preserve">Comment (Structure) </w:t>
            </w:r>
          </w:p>
        </w:tc>
        <w:tc>
          <w:tcPr>
            <w:tcW w:w="5834" w:type="dxa"/>
          </w:tcPr>
          <w:p w14:paraId="5895A782" w14:textId="3EFAC6B7" w:rsidR="00D30BCA" w:rsidRPr="006C3682" w:rsidRDefault="00D30BCA" w:rsidP="000F141C">
            <w:pPr>
              <w:spacing w:before="60" w:after="60"/>
              <w:rPr>
                <w:sz w:val="22"/>
              </w:rPr>
            </w:pPr>
            <w:r w:rsidRPr="006C3682">
              <w:rPr>
                <w:sz w:val="22"/>
              </w:rPr>
              <w:t>There is no cross</w:t>
            </w:r>
            <w:r w:rsidR="006A6AE9">
              <w:rPr>
                <w:sz w:val="22"/>
              </w:rPr>
              <w:t>-</w:t>
            </w:r>
            <w:r w:rsidRPr="006C3682">
              <w:rPr>
                <w:sz w:val="22"/>
              </w:rPr>
              <w:t xml:space="preserve">reference in the introduction to the </w:t>
            </w:r>
            <w:r w:rsidR="006A6AE9">
              <w:rPr>
                <w:sz w:val="22"/>
              </w:rPr>
              <w:t>s</w:t>
            </w:r>
            <w:r w:rsidRPr="006C3682">
              <w:rPr>
                <w:sz w:val="22"/>
              </w:rPr>
              <w:t xml:space="preserve">ocioeconomic assessment which will likely have interactions such as severance. </w:t>
            </w:r>
          </w:p>
        </w:tc>
      </w:tr>
      <w:tr w:rsidR="00D30BCA" w:rsidRPr="006C3682" w14:paraId="16FBEBF4" w14:textId="77777777" w:rsidTr="00E53227">
        <w:trPr>
          <w:trHeight w:val="13"/>
        </w:trPr>
        <w:tc>
          <w:tcPr>
            <w:tcW w:w="1633" w:type="dxa"/>
            <w:vMerge/>
          </w:tcPr>
          <w:p w14:paraId="46CBEC1E" w14:textId="4A82FE25" w:rsidR="00D30BCA" w:rsidRPr="006C3682" w:rsidRDefault="00D30BCA" w:rsidP="173648A1">
            <w:pPr>
              <w:rPr>
                <w:sz w:val="22"/>
              </w:rPr>
            </w:pPr>
          </w:p>
        </w:tc>
        <w:tc>
          <w:tcPr>
            <w:tcW w:w="1559" w:type="dxa"/>
          </w:tcPr>
          <w:p w14:paraId="27029A9E" w14:textId="3EA3DFF6" w:rsidR="00D30BCA" w:rsidRPr="006C3682" w:rsidRDefault="00D30BCA" w:rsidP="173648A1">
            <w:r w:rsidRPr="006C3682">
              <w:rPr>
                <w:rFonts w:eastAsia="Arial" w:cs="Arial"/>
                <w:sz w:val="22"/>
              </w:rPr>
              <w:t xml:space="preserve">Comment (Baseline) </w:t>
            </w:r>
          </w:p>
        </w:tc>
        <w:tc>
          <w:tcPr>
            <w:tcW w:w="5834" w:type="dxa"/>
          </w:tcPr>
          <w:p w14:paraId="1CCAB919" w14:textId="514F3A99" w:rsidR="00D30BCA" w:rsidRPr="006C3682" w:rsidRDefault="00D30BCA" w:rsidP="173648A1">
            <w:r w:rsidRPr="006C3682">
              <w:rPr>
                <w:rFonts w:eastAsia="Arial" w:cs="Arial"/>
                <w:sz w:val="22"/>
              </w:rPr>
              <w:t xml:space="preserve">The proposed baseline traffic surveys are considered to be consistent with </w:t>
            </w:r>
            <w:r w:rsidR="006C7EB1">
              <w:rPr>
                <w:rFonts w:eastAsia="Arial" w:cs="Arial"/>
                <w:sz w:val="22"/>
              </w:rPr>
              <w:t>RGP</w:t>
            </w:r>
            <w:r w:rsidR="00335BCD">
              <w:rPr>
                <w:rFonts w:eastAsia="Arial" w:cs="Arial"/>
                <w:sz w:val="22"/>
              </w:rPr>
              <w:t xml:space="preserve"> such as the EIADR</w:t>
            </w:r>
            <w:r w:rsidRPr="006C3682">
              <w:rPr>
                <w:rFonts w:eastAsia="Arial" w:cs="Arial"/>
                <w:sz w:val="22"/>
              </w:rPr>
              <w:t xml:space="preserve"> TAG. The combination of week-long </w:t>
            </w:r>
            <w:r w:rsidR="00D64816">
              <w:rPr>
                <w:rFonts w:eastAsia="Arial" w:cs="Arial"/>
                <w:sz w:val="22"/>
              </w:rPr>
              <w:t>a</w:t>
            </w:r>
            <w:r w:rsidRPr="006C3682">
              <w:rPr>
                <w:rFonts w:eastAsia="Arial" w:cs="Arial"/>
                <w:sz w:val="22"/>
              </w:rPr>
              <w:t xml:space="preserve">utomatic </w:t>
            </w:r>
            <w:r w:rsidR="00D64816">
              <w:rPr>
                <w:rFonts w:eastAsia="Arial" w:cs="Arial"/>
                <w:sz w:val="22"/>
              </w:rPr>
              <w:t>t</w:t>
            </w:r>
            <w:r w:rsidRPr="006C3682">
              <w:rPr>
                <w:rFonts w:eastAsia="Arial" w:cs="Arial"/>
                <w:sz w:val="22"/>
              </w:rPr>
              <w:t xml:space="preserve">raffic </w:t>
            </w:r>
            <w:r w:rsidR="00D64816">
              <w:rPr>
                <w:rFonts w:eastAsia="Arial" w:cs="Arial"/>
                <w:sz w:val="22"/>
              </w:rPr>
              <w:t>c</w:t>
            </w:r>
            <w:r w:rsidRPr="006C3682">
              <w:rPr>
                <w:rFonts w:eastAsia="Arial" w:cs="Arial"/>
                <w:sz w:val="22"/>
              </w:rPr>
              <w:t xml:space="preserve">ounts (ATCs) and targeted </w:t>
            </w:r>
            <w:r w:rsidR="00D64816">
              <w:rPr>
                <w:rFonts w:eastAsia="Arial" w:cs="Arial"/>
                <w:sz w:val="22"/>
              </w:rPr>
              <w:t>m</w:t>
            </w:r>
            <w:r w:rsidRPr="006C3682">
              <w:rPr>
                <w:rFonts w:eastAsia="Arial" w:cs="Arial"/>
                <w:sz w:val="22"/>
              </w:rPr>
              <w:t xml:space="preserve">anual Classified </w:t>
            </w:r>
            <w:r w:rsidR="00D64816">
              <w:rPr>
                <w:rFonts w:eastAsia="Arial" w:cs="Arial"/>
                <w:sz w:val="22"/>
              </w:rPr>
              <w:t>c</w:t>
            </w:r>
            <w:r w:rsidRPr="006C3682">
              <w:rPr>
                <w:rFonts w:eastAsia="Arial" w:cs="Arial"/>
                <w:sz w:val="22"/>
              </w:rPr>
              <w:t xml:space="preserve">ounts provides a robust baseline, capturing traffic flows and vehicle classifications along sensitive local roads and strategic links. However, the extent of the study area, which reaches as far as Ashford, may be overly wide and should be reconsidered or more clearly justified with reference to likely routing and the project’s </w:t>
            </w:r>
            <w:proofErr w:type="spellStart"/>
            <w:r w:rsidRPr="006C3682">
              <w:rPr>
                <w:rFonts w:eastAsia="Arial" w:cs="Arial"/>
                <w:sz w:val="22"/>
              </w:rPr>
              <w:t>ZoI</w:t>
            </w:r>
            <w:proofErr w:type="spellEnd"/>
            <w:r w:rsidRPr="006C3682">
              <w:rPr>
                <w:rFonts w:eastAsia="Arial" w:cs="Arial"/>
                <w:sz w:val="22"/>
              </w:rPr>
              <w:t xml:space="preserve">. This spatial scope should also be considered in the context of air quality, noise, and health assessments to ensure consistency. In addition, the anticipated scale of </w:t>
            </w:r>
            <w:r w:rsidR="00D64816">
              <w:rPr>
                <w:rFonts w:eastAsia="Arial" w:cs="Arial"/>
                <w:sz w:val="22"/>
              </w:rPr>
              <w:t>h</w:t>
            </w:r>
            <w:r w:rsidRPr="006C3682">
              <w:rPr>
                <w:rFonts w:eastAsia="Arial" w:cs="Arial"/>
                <w:sz w:val="22"/>
              </w:rPr>
              <w:t xml:space="preserve">eavy </w:t>
            </w:r>
            <w:r w:rsidR="00D64816">
              <w:rPr>
                <w:rFonts w:eastAsia="Arial" w:cs="Arial"/>
                <w:sz w:val="22"/>
              </w:rPr>
              <w:t>g</w:t>
            </w:r>
            <w:r w:rsidRPr="006C3682">
              <w:rPr>
                <w:rFonts w:eastAsia="Arial" w:cs="Arial"/>
                <w:sz w:val="22"/>
              </w:rPr>
              <w:t xml:space="preserve">oods </w:t>
            </w:r>
            <w:r w:rsidR="00D64816">
              <w:rPr>
                <w:rFonts w:eastAsia="Arial" w:cs="Arial"/>
                <w:sz w:val="22"/>
              </w:rPr>
              <w:t>v</w:t>
            </w:r>
            <w:r w:rsidRPr="006C3682">
              <w:rPr>
                <w:rFonts w:eastAsia="Arial" w:cs="Arial"/>
                <w:sz w:val="22"/>
              </w:rPr>
              <w:t xml:space="preserve">ehicle (HGV) movements is unclear and requires justification, for example by reference to comparable activity such as the Dungeness A decommissioning works. Subject to confirmation of the baseline year, consideration of seasonal variability, clarification regarding non-motorised users, and justification of the study area extent and HGV numbers, the survey strategy would be suitable to inform the traffic and transport assessment. </w:t>
            </w:r>
          </w:p>
        </w:tc>
      </w:tr>
      <w:tr w:rsidR="00D30BCA" w:rsidRPr="006C3682" w14:paraId="1350A1D2" w14:textId="77777777" w:rsidTr="00E53227">
        <w:trPr>
          <w:trHeight w:val="13"/>
        </w:trPr>
        <w:tc>
          <w:tcPr>
            <w:tcW w:w="1633" w:type="dxa"/>
            <w:vMerge/>
          </w:tcPr>
          <w:p w14:paraId="721307FE" w14:textId="77777777" w:rsidR="00D30BCA" w:rsidRPr="006C3682" w:rsidRDefault="00D30BCA">
            <w:pPr>
              <w:spacing w:before="60" w:after="60"/>
              <w:rPr>
                <w:sz w:val="22"/>
              </w:rPr>
            </w:pPr>
          </w:p>
        </w:tc>
        <w:tc>
          <w:tcPr>
            <w:tcW w:w="1559" w:type="dxa"/>
          </w:tcPr>
          <w:p w14:paraId="5F269E06" w14:textId="20BE628C" w:rsidR="00D30BCA" w:rsidRPr="006C3682" w:rsidRDefault="00D30BCA" w:rsidP="000F141C">
            <w:pPr>
              <w:spacing w:before="60" w:after="60"/>
              <w:rPr>
                <w:sz w:val="22"/>
                <w:lang w:bidi="ar-SA"/>
              </w:rPr>
            </w:pPr>
            <w:r w:rsidRPr="006C3682">
              <w:rPr>
                <w:sz w:val="22"/>
                <w:lang w:bidi="ar-SA"/>
              </w:rPr>
              <w:t>Observation (</w:t>
            </w:r>
            <w:r w:rsidR="00005728" w:rsidRPr="006C3682">
              <w:rPr>
                <w:sz w:val="22"/>
                <w:lang w:bidi="ar-SA"/>
              </w:rPr>
              <w:t xml:space="preserve">EIA Methodology </w:t>
            </w:r>
            <w:r w:rsidR="00005728">
              <w:rPr>
                <w:sz w:val="22"/>
                <w:lang w:bidi="ar-SA"/>
              </w:rPr>
              <w:t>/Clarity</w:t>
            </w:r>
            <w:r w:rsidRPr="006C3682">
              <w:rPr>
                <w:sz w:val="22"/>
                <w:lang w:bidi="ar-SA"/>
              </w:rPr>
              <w:t xml:space="preserve">) </w:t>
            </w:r>
          </w:p>
        </w:tc>
        <w:tc>
          <w:tcPr>
            <w:tcW w:w="5834" w:type="dxa"/>
          </w:tcPr>
          <w:p w14:paraId="678924AB" w14:textId="21E26ED3" w:rsidR="00D30BCA" w:rsidRPr="006C3682" w:rsidRDefault="00D30BCA" w:rsidP="000F141C">
            <w:pPr>
              <w:spacing w:before="60" w:after="60"/>
              <w:rPr>
                <w:sz w:val="22"/>
              </w:rPr>
            </w:pPr>
            <w:r w:rsidRPr="006C3682">
              <w:rPr>
                <w:sz w:val="22"/>
              </w:rPr>
              <w:t>Paragraph 17.6.2 states that peak traffic flows during the Initial Decommissioning Works are based on comparator projects at Hinkley Point B and Hunterston B, resulting in a worst</w:t>
            </w:r>
            <w:r w:rsidRPr="006C3682">
              <w:rPr>
                <w:sz w:val="22"/>
              </w:rPr>
              <w:noBreakHyphen/>
              <w:t>case of 24 two</w:t>
            </w:r>
            <w:r w:rsidRPr="006C3682">
              <w:rPr>
                <w:sz w:val="22"/>
              </w:rPr>
              <w:noBreakHyphen/>
              <w:t xml:space="preserve">way HGV movements per day. Given this relatively low level of traffic, clarification is required on how paragraph 17.6.10 justifies a potentially significant effect arising from an increased risk of road traffic accidents over a prolonged period. The validity of assumptions of traffic movements at other sites should be reviewed and set out. Given that Chapter 6 (Air Quality) and the </w:t>
            </w:r>
            <w:r w:rsidR="00B44487">
              <w:rPr>
                <w:sz w:val="22"/>
              </w:rPr>
              <w:t>p</w:t>
            </w:r>
            <w:r w:rsidRPr="006C3682">
              <w:rPr>
                <w:sz w:val="22"/>
              </w:rPr>
              <w:t xml:space="preserve">reliminary HRA </w:t>
            </w:r>
            <w:r w:rsidR="00B44487">
              <w:rPr>
                <w:sz w:val="22"/>
              </w:rPr>
              <w:t>s</w:t>
            </w:r>
            <w:r w:rsidRPr="006C3682">
              <w:rPr>
                <w:sz w:val="22"/>
              </w:rPr>
              <w:t xml:space="preserve">creening report scope out some effects downstream from vehicle movements, it is difficult to understand the approach and scope proposed for this chapter. </w:t>
            </w:r>
            <w:r w:rsidR="004E0DDD">
              <w:rPr>
                <w:sz w:val="22"/>
              </w:rPr>
              <w:t>This should</w:t>
            </w:r>
            <w:r w:rsidRPr="006C3682">
              <w:rPr>
                <w:sz w:val="22"/>
              </w:rPr>
              <w:t xml:space="preserve"> be reviewed and a proportionate approach adopted following a review of more fulsome data that </w:t>
            </w:r>
            <w:r w:rsidR="000650D6">
              <w:rPr>
                <w:sz w:val="22"/>
              </w:rPr>
              <w:t>can</w:t>
            </w:r>
            <w:r w:rsidRPr="006C3682">
              <w:rPr>
                <w:sz w:val="22"/>
              </w:rPr>
              <w:t xml:space="preserve"> be shared with other technical specialists. </w:t>
            </w:r>
          </w:p>
        </w:tc>
      </w:tr>
      <w:tr w:rsidR="00D30BCA" w:rsidRPr="006C3682" w14:paraId="74751F51" w14:textId="77777777" w:rsidTr="00E53227">
        <w:trPr>
          <w:trHeight w:val="13"/>
        </w:trPr>
        <w:tc>
          <w:tcPr>
            <w:tcW w:w="1633" w:type="dxa"/>
            <w:vMerge/>
          </w:tcPr>
          <w:p w14:paraId="175CA5C5" w14:textId="77777777" w:rsidR="00D30BCA" w:rsidRPr="006C3682" w:rsidRDefault="00D30BCA">
            <w:pPr>
              <w:spacing w:before="60" w:after="60"/>
              <w:rPr>
                <w:sz w:val="22"/>
              </w:rPr>
            </w:pPr>
          </w:p>
        </w:tc>
        <w:tc>
          <w:tcPr>
            <w:tcW w:w="1559" w:type="dxa"/>
          </w:tcPr>
          <w:p w14:paraId="58503E0C" w14:textId="0640157C" w:rsidR="00D30BCA" w:rsidRPr="006C3682" w:rsidRDefault="00D30BCA" w:rsidP="000F141C">
            <w:pPr>
              <w:spacing w:before="60" w:after="60"/>
              <w:rPr>
                <w:sz w:val="22"/>
                <w:lang w:bidi="ar-SA"/>
              </w:rPr>
            </w:pPr>
            <w:r w:rsidRPr="006C3682">
              <w:rPr>
                <w:sz w:val="22"/>
                <w:lang w:bidi="ar-SA"/>
              </w:rPr>
              <w:t xml:space="preserve">Comment (Omission) </w:t>
            </w:r>
          </w:p>
        </w:tc>
        <w:tc>
          <w:tcPr>
            <w:tcW w:w="5834" w:type="dxa"/>
          </w:tcPr>
          <w:p w14:paraId="19693724" w14:textId="397D0B47" w:rsidR="00D30BCA" w:rsidRPr="006C3682" w:rsidRDefault="00D30BCA" w:rsidP="00507EA8">
            <w:pPr>
              <w:spacing w:before="60" w:after="60"/>
              <w:rPr>
                <w:sz w:val="22"/>
              </w:rPr>
            </w:pPr>
            <w:r w:rsidRPr="006C3682">
              <w:rPr>
                <w:sz w:val="22"/>
              </w:rPr>
              <w:t xml:space="preserve">Paragraph 17.3.4 notes that ATCs will be undertaken at the locations set out in </w:t>
            </w:r>
            <w:r w:rsidR="00176599">
              <w:rPr>
                <w:sz w:val="22"/>
              </w:rPr>
              <w:t>p</w:t>
            </w:r>
            <w:r w:rsidRPr="006C3682">
              <w:rPr>
                <w:sz w:val="22"/>
              </w:rPr>
              <w:t xml:space="preserve">aragraph 17.3.25 and on Figure 17-1, however the </w:t>
            </w:r>
            <w:r w:rsidR="001C71A1">
              <w:rPr>
                <w:sz w:val="22"/>
              </w:rPr>
              <w:t>s</w:t>
            </w:r>
            <w:r w:rsidRPr="006C3682">
              <w:rPr>
                <w:sz w:val="22"/>
              </w:rPr>
              <w:t xml:space="preserve">tudy </w:t>
            </w:r>
            <w:r w:rsidR="001C71A1">
              <w:rPr>
                <w:sz w:val="22"/>
              </w:rPr>
              <w:t>a</w:t>
            </w:r>
            <w:r w:rsidRPr="006C3682">
              <w:rPr>
                <w:sz w:val="22"/>
              </w:rPr>
              <w:t xml:space="preserve">rea is not defined. The </w:t>
            </w:r>
            <w:r w:rsidR="001C71A1">
              <w:rPr>
                <w:sz w:val="22"/>
              </w:rPr>
              <w:t>s</w:t>
            </w:r>
            <w:r w:rsidRPr="006C3682">
              <w:rPr>
                <w:sz w:val="22"/>
              </w:rPr>
              <w:t xml:space="preserve">tudy </w:t>
            </w:r>
            <w:r w:rsidR="001C71A1">
              <w:rPr>
                <w:sz w:val="22"/>
              </w:rPr>
              <w:lastRenderedPageBreak/>
              <w:t>a</w:t>
            </w:r>
            <w:r w:rsidRPr="006C3682">
              <w:rPr>
                <w:sz w:val="22"/>
              </w:rPr>
              <w:t xml:space="preserve">rea (a clear boundary) is not depicted in Figure 17-1; this just has the data collection points. </w:t>
            </w:r>
          </w:p>
        </w:tc>
      </w:tr>
      <w:tr w:rsidR="00D30BCA" w:rsidRPr="006C3682" w14:paraId="5671E673" w14:textId="77777777" w:rsidTr="00E53227">
        <w:trPr>
          <w:trHeight w:val="13"/>
        </w:trPr>
        <w:tc>
          <w:tcPr>
            <w:tcW w:w="1633" w:type="dxa"/>
            <w:vMerge/>
          </w:tcPr>
          <w:p w14:paraId="4C3F4BF4" w14:textId="77777777" w:rsidR="00D30BCA" w:rsidRPr="006C3682" w:rsidRDefault="00D30BCA">
            <w:pPr>
              <w:spacing w:before="60" w:after="60"/>
              <w:rPr>
                <w:sz w:val="22"/>
              </w:rPr>
            </w:pPr>
          </w:p>
        </w:tc>
        <w:tc>
          <w:tcPr>
            <w:tcW w:w="1559" w:type="dxa"/>
          </w:tcPr>
          <w:p w14:paraId="3351AE47" w14:textId="5B8DB38A" w:rsidR="00D30BCA" w:rsidRPr="006C3682" w:rsidRDefault="00D30BCA" w:rsidP="00507EA8">
            <w:pPr>
              <w:spacing w:before="60" w:after="60"/>
              <w:rPr>
                <w:sz w:val="22"/>
                <w:lang w:bidi="ar-SA"/>
              </w:rPr>
            </w:pPr>
            <w:r w:rsidRPr="006C3682">
              <w:rPr>
                <w:sz w:val="22"/>
                <w:lang w:bidi="ar-SA"/>
              </w:rPr>
              <w:t xml:space="preserve">Comment (Omission) </w:t>
            </w:r>
          </w:p>
        </w:tc>
        <w:tc>
          <w:tcPr>
            <w:tcW w:w="5834" w:type="dxa"/>
          </w:tcPr>
          <w:p w14:paraId="5F979D14" w14:textId="5F74E37A" w:rsidR="00D30BCA" w:rsidRPr="006C3682" w:rsidRDefault="00D30BCA" w:rsidP="00507EA8">
            <w:pPr>
              <w:spacing w:before="60" w:after="60"/>
              <w:rPr>
                <w:sz w:val="22"/>
              </w:rPr>
            </w:pPr>
            <w:r w:rsidRPr="006C3682">
              <w:rPr>
                <w:sz w:val="22"/>
              </w:rPr>
              <w:t xml:space="preserve">Section 17.8 summarises the potential likely significant effects but does not provide justification for the scoping in or out of each pathway. </w:t>
            </w:r>
          </w:p>
        </w:tc>
      </w:tr>
      <w:tr w:rsidR="00D30BCA" w:rsidRPr="006C3682" w14:paraId="5E978F4A" w14:textId="77777777" w:rsidTr="00E53227">
        <w:trPr>
          <w:trHeight w:val="13"/>
        </w:trPr>
        <w:tc>
          <w:tcPr>
            <w:tcW w:w="1633" w:type="dxa"/>
            <w:vMerge w:val="restart"/>
          </w:tcPr>
          <w:p w14:paraId="6AA2AFFA" w14:textId="71941480" w:rsidR="00D30BCA" w:rsidRPr="006C3682" w:rsidRDefault="00D30BCA" w:rsidP="00FF6A24">
            <w:pPr>
              <w:spacing w:before="60" w:after="60"/>
              <w:rPr>
                <w:sz w:val="22"/>
              </w:rPr>
            </w:pPr>
            <w:r w:rsidRPr="006C3682">
              <w:rPr>
                <w:sz w:val="22"/>
              </w:rPr>
              <w:t xml:space="preserve">Chapter 18 – Terrestrial Ecology </w:t>
            </w:r>
          </w:p>
        </w:tc>
        <w:tc>
          <w:tcPr>
            <w:tcW w:w="1559" w:type="dxa"/>
          </w:tcPr>
          <w:p w14:paraId="7E4600BA" w14:textId="699DC9AA" w:rsidR="00D30BCA" w:rsidRPr="006C3682" w:rsidRDefault="00D30BCA" w:rsidP="00FF6A24">
            <w:pPr>
              <w:spacing w:before="60" w:after="60"/>
              <w:rPr>
                <w:sz w:val="22"/>
                <w:lang w:bidi="ar-SA"/>
              </w:rPr>
            </w:pPr>
            <w:r w:rsidRPr="006C3682">
              <w:rPr>
                <w:sz w:val="22"/>
                <w:lang w:bidi="ar-SA"/>
              </w:rPr>
              <w:t xml:space="preserve">Comment (Omission) </w:t>
            </w:r>
          </w:p>
        </w:tc>
        <w:tc>
          <w:tcPr>
            <w:tcW w:w="5834" w:type="dxa"/>
          </w:tcPr>
          <w:p w14:paraId="5E96E9E3" w14:textId="0E687E3C" w:rsidR="00D30BCA" w:rsidRPr="006C3682" w:rsidRDefault="00D30BCA" w:rsidP="173648A1">
            <w:pPr>
              <w:spacing w:before="60" w:after="60"/>
              <w:rPr>
                <w:sz w:val="22"/>
              </w:rPr>
            </w:pPr>
            <w:r w:rsidRPr="006C3682">
              <w:rPr>
                <w:sz w:val="22"/>
              </w:rPr>
              <w:t xml:space="preserve">There is no reference to specific Nuclear Decommissioning Authority (NDA)/NRS </w:t>
            </w:r>
            <w:r w:rsidR="00DE0B58">
              <w:rPr>
                <w:sz w:val="22"/>
              </w:rPr>
              <w:t>b</w:t>
            </w:r>
            <w:r w:rsidRPr="006C3682">
              <w:rPr>
                <w:sz w:val="22"/>
              </w:rPr>
              <w:t xml:space="preserve">iodiversity </w:t>
            </w:r>
            <w:r w:rsidR="00DE0B58">
              <w:rPr>
                <w:sz w:val="22"/>
              </w:rPr>
              <w:t>p</w:t>
            </w:r>
            <w:r w:rsidRPr="006C3682">
              <w:rPr>
                <w:sz w:val="22"/>
              </w:rPr>
              <w:t xml:space="preserve">lans. </w:t>
            </w:r>
            <w:r w:rsidR="00A809FB">
              <w:rPr>
                <w:sz w:val="22"/>
              </w:rPr>
              <w:t>I</w:t>
            </w:r>
            <w:r w:rsidRPr="006C3682">
              <w:rPr>
                <w:sz w:val="22"/>
              </w:rPr>
              <w:t xml:space="preserve">t is unclear if this is an omission. </w:t>
            </w:r>
          </w:p>
        </w:tc>
      </w:tr>
      <w:tr w:rsidR="00D30BCA" w:rsidRPr="006C3682" w14:paraId="5A5CD678" w14:textId="77777777" w:rsidTr="00E53227">
        <w:trPr>
          <w:trHeight w:val="13"/>
        </w:trPr>
        <w:tc>
          <w:tcPr>
            <w:tcW w:w="1633" w:type="dxa"/>
            <w:vMerge/>
          </w:tcPr>
          <w:p w14:paraId="0DA42CFB" w14:textId="77777777" w:rsidR="00D30BCA" w:rsidRPr="006C3682" w:rsidRDefault="00D30BCA">
            <w:pPr>
              <w:spacing w:before="60" w:after="60"/>
              <w:rPr>
                <w:sz w:val="22"/>
              </w:rPr>
            </w:pPr>
          </w:p>
        </w:tc>
        <w:tc>
          <w:tcPr>
            <w:tcW w:w="1559" w:type="dxa"/>
          </w:tcPr>
          <w:p w14:paraId="6E5E550C" w14:textId="77FF8C33" w:rsidR="00D30BCA" w:rsidRPr="006C3682" w:rsidRDefault="00D30BCA" w:rsidP="00B72CE2">
            <w:pPr>
              <w:spacing w:before="60" w:after="60"/>
              <w:rPr>
                <w:sz w:val="22"/>
                <w:lang w:bidi="ar-SA"/>
              </w:rPr>
            </w:pPr>
            <w:r w:rsidRPr="006C3682">
              <w:rPr>
                <w:sz w:val="22"/>
                <w:lang w:bidi="ar-SA"/>
              </w:rPr>
              <w:t xml:space="preserve">Comment (Omission) </w:t>
            </w:r>
          </w:p>
        </w:tc>
        <w:tc>
          <w:tcPr>
            <w:tcW w:w="5834" w:type="dxa"/>
          </w:tcPr>
          <w:p w14:paraId="33F1B295" w14:textId="6D429CF2" w:rsidR="00D30BCA" w:rsidRPr="006C3682" w:rsidRDefault="00D30BCA" w:rsidP="00B72CE2">
            <w:pPr>
              <w:spacing w:before="60" w:after="60"/>
              <w:rPr>
                <w:sz w:val="22"/>
              </w:rPr>
            </w:pPr>
            <w:r w:rsidRPr="006C3682">
              <w:rPr>
                <w:sz w:val="22"/>
              </w:rPr>
              <w:t>Figure 18</w:t>
            </w:r>
            <w:r w:rsidRPr="006C3682">
              <w:noBreakHyphen/>
            </w:r>
            <w:r w:rsidRPr="006C3682">
              <w:rPr>
                <w:sz w:val="22"/>
              </w:rPr>
              <w:t xml:space="preserve">1 maps the </w:t>
            </w:r>
            <w:r w:rsidR="00DE0B58">
              <w:rPr>
                <w:sz w:val="22"/>
              </w:rPr>
              <w:t>w</w:t>
            </w:r>
            <w:r w:rsidRPr="006C3682">
              <w:rPr>
                <w:sz w:val="22"/>
              </w:rPr>
              <w:t xml:space="preserve">orks </w:t>
            </w:r>
            <w:r w:rsidR="00DE0B58">
              <w:rPr>
                <w:sz w:val="22"/>
              </w:rPr>
              <w:t>a</w:t>
            </w:r>
            <w:r w:rsidRPr="006C3682">
              <w:rPr>
                <w:sz w:val="22"/>
              </w:rPr>
              <w:t xml:space="preserve">rea, including the 3 km and 10 km buffers and environmental designations; however, the </w:t>
            </w:r>
            <w:r w:rsidR="00DE0B58">
              <w:rPr>
                <w:sz w:val="22"/>
              </w:rPr>
              <w:t>s</w:t>
            </w:r>
            <w:r w:rsidRPr="006C3682">
              <w:rPr>
                <w:sz w:val="22"/>
              </w:rPr>
              <w:t xml:space="preserve">tudy </w:t>
            </w:r>
            <w:r w:rsidR="00DE0B58">
              <w:rPr>
                <w:sz w:val="22"/>
              </w:rPr>
              <w:t>a</w:t>
            </w:r>
            <w:r w:rsidRPr="006C3682">
              <w:rPr>
                <w:sz w:val="22"/>
              </w:rPr>
              <w:t xml:space="preserve">rea is not clearly defined. </w:t>
            </w:r>
          </w:p>
        </w:tc>
      </w:tr>
      <w:tr w:rsidR="00D30BCA" w:rsidRPr="006C3682" w14:paraId="777494C9" w14:textId="77777777" w:rsidTr="00E53227">
        <w:trPr>
          <w:trHeight w:val="13"/>
        </w:trPr>
        <w:tc>
          <w:tcPr>
            <w:tcW w:w="1633" w:type="dxa"/>
            <w:vMerge/>
          </w:tcPr>
          <w:p w14:paraId="369C995A" w14:textId="77777777" w:rsidR="00D30BCA" w:rsidRPr="006C3682" w:rsidRDefault="00D30BCA">
            <w:pPr>
              <w:spacing w:before="60" w:after="60"/>
              <w:rPr>
                <w:sz w:val="22"/>
              </w:rPr>
            </w:pPr>
          </w:p>
        </w:tc>
        <w:tc>
          <w:tcPr>
            <w:tcW w:w="1559" w:type="dxa"/>
          </w:tcPr>
          <w:p w14:paraId="30B3F0C8" w14:textId="2DB81A25" w:rsidR="00D30BCA" w:rsidRPr="006C3682" w:rsidRDefault="00D30BCA" w:rsidP="00B72CE2">
            <w:pPr>
              <w:spacing w:before="60" w:after="60"/>
              <w:rPr>
                <w:sz w:val="22"/>
                <w:lang w:bidi="ar-SA"/>
              </w:rPr>
            </w:pPr>
            <w:r w:rsidRPr="006C3682">
              <w:rPr>
                <w:sz w:val="22"/>
                <w:lang w:bidi="ar-SA"/>
              </w:rPr>
              <w:t xml:space="preserve">Comment (Clarity) </w:t>
            </w:r>
          </w:p>
        </w:tc>
        <w:tc>
          <w:tcPr>
            <w:tcW w:w="5834" w:type="dxa"/>
          </w:tcPr>
          <w:p w14:paraId="0228EF65" w14:textId="6BC87C20" w:rsidR="00D30BCA" w:rsidRPr="006C3682" w:rsidRDefault="00D30BCA" w:rsidP="00B72CE2">
            <w:pPr>
              <w:spacing w:before="60" w:after="60"/>
              <w:rPr>
                <w:sz w:val="22"/>
              </w:rPr>
            </w:pPr>
            <w:r w:rsidRPr="006C3682">
              <w:rPr>
                <w:sz w:val="22"/>
              </w:rPr>
              <w:t xml:space="preserve">Paragraph 18.3.4 refers to a precautionary study area for baseline data collection but does not specify its extent, which is only defined later in </w:t>
            </w:r>
            <w:r w:rsidR="008B648A">
              <w:rPr>
                <w:sz w:val="22"/>
              </w:rPr>
              <w:t>p</w:t>
            </w:r>
            <w:r w:rsidRPr="006C3682">
              <w:rPr>
                <w:sz w:val="22"/>
              </w:rPr>
              <w:t xml:space="preserve">aragraph 18.3.29. </w:t>
            </w:r>
          </w:p>
        </w:tc>
      </w:tr>
      <w:tr w:rsidR="00D30BCA" w:rsidRPr="006C3682" w14:paraId="7B5549C2" w14:textId="77777777" w:rsidTr="00E53227">
        <w:trPr>
          <w:trHeight w:val="13"/>
        </w:trPr>
        <w:tc>
          <w:tcPr>
            <w:tcW w:w="1633" w:type="dxa"/>
            <w:vMerge/>
          </w:tcPr>
          <w:p w14:paraId="4E7CCB79" w14:textId="77777777" w:rsidR="00D30BCA" w:rsidRPr="006C3682" w:rsidRDefault="00D30BCA">
            <w:pPr>
              <w:spacing w:before="60" w:after="60"/>
              <w:rPr>
                <w:sz w:val="22"/>
              </w:rPr>
            </w:pPr>
          </w:p>
        </w:tc>
        <w:tc>
          <w:tcPr>
            <w:tcW w:w="1559" w:type="dxa"/>
          </w:tcPr>
          <w:p w14:paraId="2496B375" w14:textId="230150B2" w:rsidR="00D30BCA" w:rsidRPr="006C3682" w:rsidRDefault="00D30BCA" w:rsidP="002F0839">
            <w:pPr>
              <w:spacing w:before="60" w:after="60"/>
              <w:rPr>
                <w:sz w:val="22"/>
                <w:lang w:bidi="ar-SA"/>
              </w:rPr>
            </w:pPr>
            <w:r w:rsidRPr="006C3682">
              <w:rPr>
                <w:sz w:val="22"/>
                <w:lang w:bidi="ar-SA"/>
              </w:rPr>
              <w:t xml:space="preserve">Comment (Structure) </w:t>
            </w:r>
          </w:p>
        </w:tc>
        <w:tc>
          <w:tcPr>
            <w:tcW w:w="5834" w:type="dxa"/>
          </w:tcPr>
          <w:p w14:paraId="446F4275" w14:textId="3A0ECFB2" w:rsidR="00D30BCA" w:rsidRPr="006C3682" w:rsidRDefault="00D30BCA" w:rsidP="002F0839">
            <w:pPr>
              <w:spacing w:before="60" w:after="60"/>
              <w:rPr>
                <w:sz w:val="22"/>
              </w:rPr>
            </w:pPr>
            <w:r w:rsidRPr="006C3682">
              <w:rPr>
                <w:sz w:val="22"/>
              </w:rPr>
              <w:t>It would be useful to have a figure provid</w:t>
            </w:r>
            <w:r w:rsidR="005B0217">
              <w:rPr>
                <w:sz w:val="22"/>
              </w:rPr>
              <w:t>ing</w:t>
            </w:r>
            <w:r w:rsidRPr="006C3682">
              <w:rPr>
                <w:sz w:val="22"/>
              </w:rPr>
              <w:t xml:space="preserve"> a summary of the baseline, in particular the habitats within 3km of the </w:t>
            </w:r>
            <w:r w:rsidR="005B0217">
              <w:rPr>
                <w:sz w:val="22"/>
              </w:rPr>
              <w:t>w</w:t>
            </w:r>
            <w:r w:rsidRPr="006C3682">
              <w:rPr>
                <w:sz w:val="22"/>
              </w:rPr>
              <w:t xml:space="preserve">orks </w:t>
            </w:r>
            <w:r w:rsidR="005B0217">
              <w:rPr>
                <w:sz w:val="22"/>
              </w:rPr>
              <w:t>a</w:t>
            </w:r>
            <w:r w:rsidRPr="006C3682">
              <w:rPr>
                <w:sz w:val="22"/>
              </w:rPr>
              <w:t xml:space="preserve">rea. </w:t>
            </w:r>
          </w:p>
        </w:tc>
      </w:tr>
      <w:tr w:rsidR="00D30BCA" w:rsidRPr="006C3682" w14:paraId="32A13D04" w14:textId="77777777" w:rsidTr="00E53227">
        <w:trPr>
          <w:trHeight w:val="13"/>
        </w:trPr>
        <w:tc>
          <w:tcPr>
            <w:tcW w:w="1633" w:type="dxa"/>
            <w:vMerge/>
          </w:tcPr>
          <w:p w14:paraId="5033E683" w14:textId="77777777" w:rsidR="00D30BCA" w:rsidRPr="006C3682" w:rsidRDefault="00D30BCA">
            <w:pPr>
              <w:spacing w:before="60" w:after="60"/>
              <w:rPr>
                <w:sz w:val="22"/>
              </w:rPr>
            </w:pPr>
          </w:p>
        </w:tc>
        <w:tc>
          <w:tcPr>
            <w:tcW w:w="1559" w:type="dxa"/>
          </w:tcPr>
          <w:p w14:paraId="721F07A1" w14:textId="180A71FB" w:rsidR="00D30BCA" w:rsidRPr="006C3682" w:rsidRDefault="00D30BCA" w:rsidP="002F0839">
            <w:pPr>
              <w:spacing w:before="60" w:after="60"/>
              <w:rPr>
                <w:sz w:val="22"/>
                <w:lang w:bidi="ar-SA"/>
              </w:rPr>
            </w:pPr>
            <w:r w:rsidRPr="006C3682">
              <w:rPr>
                <w:sz w:val="22"/>
                <w:lang w:bidi="ar-SA"/>
              </w:rPr>
              <w:t xml:space="preserve">Comment (EIA Methodology) </w:t>
            </w:r>
          </w:p>
        </w:tc>
        <w:tc>
          <w:tcPr>
            <w:tcW w:w="5834" w:type="dxa"/>
          </w:tcPr>
          <w:p w14:paraId="2B7495BD" w14:textId="0B2B2EF1" w:rsidR="00D30BCA" w:rsidRPr="006C3682" w:rsidRDefault="00D30BCA" w:rsidP="002F0839">
            <w:pPr>
              <w:spacing w:before="60" w:after="60"/>
              <w:rPr>
                <w:sz w:val="22"/>
              </w:rPr>
            </w:pPr>
            <w:r w:rsidRPr="006C3682">
              <w:rPr>
                <w:sz w:val="22"/>
              </w:rPr>
              <w:t xml:space="preserve">Paragraph 18.7.5 outlines the frames of reference used to assess sensitivity; however, it does not provide clear criteria or definitions for each sensitivity level or category. </w:t>
            </w:r>
          </w:p>
        </w:tc>
      </w:tr>
      <w:tr w:rsidR="00D30BCA" w:rsidRPr="006C3682" w14:paraId="19FCDEE4" w14:textId="77777777" w:rsidTr="00E53227">
        <w:trPr>
          <w:trHeight w:val="13"/>
        </w:trPr>
        <w:tc>
          <w:tcPr>
            <w:tcW w:w="1633" w:type="dxa"/>
            <w:vMerge/>
          </w:tcPr>
          <w:p w14:paraId="6EAE959F" w14:textId="77777777" w:rsidR="00D30BCA" w:rsidRPr="006C3682" w:rsidRDefault="00D30BCA">
            <w:pPr>
              <w:spacing w:before="60" w:after="60"/>
              <w:rPr>
                <w:sz w:val="22"/>
              </w:rPr>
            </w:pPr>
          </w:p>
        </w:tc>
        <w:tc>
          <w:tcPr>
            <w:tcW w:w="1559" w:type="dxa"/>
          </w:tcPr>
          <w:p w14:paraId="3AAEE66E" w14:textId="2E97C129" w:rsidR="00D30BCA" w:rsidRPr="006C3682" w:rsidRDefault="00D30BCA" w:rsidP="002F0839">
            <w:pPr>
              <w:spacing w:before="60" w:after="60"/>
              <w:rPr>
                <w:sz w:val="22"/>
                <w:lang w:bidi="ar-SA"/>
              </w:rPr>
            </w:pPr>
            <w:r w:rsidRPr="006C3682">
              <w:rPr>
                <w:sz w:val="22"/>
                <w:lang w:bidi="ar-SA"/>
              </w:rPr>
              <w:t xml:space="preserve">Comment (EIA Methodology) </w:t>
            </w:r>
          </w:p>
        </w:tc>
        <w:tc>
          <w:tcPr>
            <w:tcW w:w="5834" w:type="dxa"/>
          </w:tcPr>
          <w:p w14:paraId="62CAD291" w14:textId="0362ABCC" w:rsidR="00D30BCA" w:rsidRPr="006C3682" w:rsidRDefault="00D30BCA" w:rsidP="002F0839">
            <w:pPr>
              <w:spacing w:before="60" w:after="60"/>
              <w:rPr>
                <w:sz w:val="22"/>
              </w:rPr>
            </w:pPr>
            <w:r w:rsidRPr="006C3682">
              <w:rPr>
                <w:sz w:val="22"/>
              </w:rPr>
              <w:t xml:space="preserve">Paragraph 18.7.6 sets out the characteristics likely to influence the description of potential impacts; however, it does not provide clear criteria for each magnitude of impact level or category. </w:t>
            </w:r>
          </w:p>
        </w:tc>
      </w:tr>
      <w:tr w:rsidR="00D30BCA" w:rsidRPr="006C3682" w14:paraId="28F1494F" w14:textId="77777777" w:rsidTr="00E53227">
        <w:trPr>
          <w:trHeight w:val="13"/>
        </w:trPr>
        <w:tc>
          <w:tcPr>
            <w:tcW w:w="1633" w:type="dxa"/>
            <w:vMerge/>
          </w:tcPr>
          <w:p w14:paraId="14FF9EFB" w14:textId="77777777" w:rsidR="00D30BCA" w:rsidRPr="006C3682" w:rsidRDefault="00D30BCA">
            <w:pPr>
              <w:spacing w:before="60" w:after="60"/>
              <w:rPr>
                <w:sz w:val="22"/>
              </w:rPr>
            </w:pPr>
          </w:p>
        </w:tc>
        <w:tc>
          <w:tcPr>
            <w:tcW w:w="1559" w:type="dxa"/>
          </w:tcPr>
          <w:p w14:paraId="2D82C7F8" w14:textId="4EC5FED4" w:rsidR="00D30BCA" w:rsidRPr="006C3682" w:rsidRDefault="00D30BCA" w:rsidP="00A421D2">
            <w:pPr>
              <w:spacing w:before="60" w:after="60"/>
              <w:rPr>
                <w:sz w:val="22"/>
                <w:lang w:bidi="ar-SA"/>
              </w:rPr>
            </w:pPr>
            <w:r w:rsidRPr="006C3682">
              <w:rPr>
                <w:sz w:val="22"/>
                <w:lang w:bidi="ar-SA"/>
              </w:rPr>
              <w:t xml:space="preserve">Observation (EIA Scope) </w:t>
            </w:r>
          </w:p>
        </w:tc>
        <w:tc>
          <w:tcPr>
            <w:tcW w:w="5834" w:type="dxa"/>
          </w:tcPr>
          <w:p w14:paraId="0D3E4532" w14:textId="702775DC" w:rsidR="00D30BCA" w:rsidRPr="006C3682" w:rsidRDefault="00D30BCA" w:rsidP="00A421D2">
            <w:pPr>
              <w:spacing w:before="60" w:after="60"/>
              <w:rPr>
                <w:sz w:val="22"/>
              </w:rPr>
            </w:pPr>
            <w:r w:rsidRPr="006C3682">
              <w:rPr>
                <w:sz w:val="22"/>
              </w:rPr>
              <w:t xml:space="preserve">Activities that create noise have been scoped in as they are considered to potentially cause a significant effect, however, there is a lack of evidence to support this conclusion in the noise chapter. </w:t>
            </w:r>
          </w:p>
        </w:tc>
      </w:tr>
      <w:tr w:rsidR="00D30BCA" w:rsidRPr="006C3682" w14:paraId="7386926D" w14:textId="77777777" w:rsidTr="00E53227">
        <w:trPr>
          <w:trHeight w:val="13"/>
        </w:trPr>
        <w:tc>
          <w:tcPr>
            <w:tcW w:w="1633" w:type="dxa"/>
            <w:vMerge/>
          </w:tcPr>
          <w:p w14:paraId="4B9633BD" w14:textId="77777777" w:rsidR="00D30BCA" w:rsidRPr="006C3682" w:rsidRDefault="00D30BCA">
            <w:pPr>
              <w:spacing w:before="60" w:after="60"/>
              <w:rPr>
                <w:sz w:val="22"/>
              </w:rPr>
            </w:pPr>
          </w:p>
        </w:tc>
        <w:tc>
          <w:tcPr>
            <w:tcW w:w="1559" w:type="dxa"/>
          </w:tcPr>
          <w:p w14:paraId="5C4BC3E8" w14:textId="0F472729" w:rsidR="00D30BCA" w:rsidRPr="006C3682" w:rsidRDefault="00D30BCA" w:rsidP="00A421D2">
            <w:pPr>
              <w:spacing w:before="60" w:after="60"/>
              <w:rPr>
                <w:sz w:val="22"/>
                <w:lang w:bidi="ar-SA"/>
              </w:rPr>
            </w:pPr>
            <w:r w:rsidRPr="006C3682">
              <w:rPr>
                <w:sz w:val="22"/>
                <w:lang w:bidi="ar-SA"/>
              </w:rPr>
              <w:t>Observation (</w:t>
            </w:r>
            <w:r w:rsidR="00BB47ED">
              <w:rPr>
                <w:sz w:val="22"/>
                <w:lang w:bidi="ar-SA"/>
              </w:rPr>
              <w:t xml:space="preserve">EIA Scope  </w:t>
            </w:r>
            <w:r w:rsidRPr="006C3682">
              <w:rPr>
                <w:sz w:val="22"/>
                <w:lang w:bidi="ar-SA"/>
              </w:rPr>
              <w:t xml:space="preserve">Clarity) </w:t>
            </w:r>
          </w:p>
        </w:tc>
        <w:tc>
          <w:tcPr>
            <w:tcW w:w="5834" w:type="dxa"/>
          </w:tcPr>
          <w:p w14:paraId="61A78AD9" w14:textId="049C6D0C" w:rsidR="00D30BCA" w:rsidRPr="006C3682" w:rsidRDefault="00D30BCA" w:rsidP="00A421D2">
            <w:pPr>
              <w:spacing w:before="60" w:after="60"/>
              <w:rPr>
                <w:sz w:val="22"/>
              </w:rPr>
            </w:pPr>
            <w:r w:rsidRPr="006C3682">
              <w:rPr>
                <w:sz w:val="22"/>
              </w:rPr>
              <w:t xml:space="preserve">Unlike the other chapters of the </w:t>
            </w:r>
            <w:r w:rsidR="00485DD0">
              <w:rPr>
                <w:sz w:val="22"/>
              </w:rPr>
              <w:t>s</w:t>
            </w:r>
            <w:r w:rsidRPr="006C3682">
              <w:rPr>
                <w:sz w:val="22"/>
              </w:rPr>
              <w:t xml:space="preserve">coping </w:t>
            </w:r>
            <w:r w:rsidR="00485DD0">
              <w:rPr>
                <w:sz w:val="22"/>
              </w:rPr>
              <w:t>r</w:t>
            </w:r>
            <w:r w:rsidRPr="006C3682">
              <w:rPr>
                <w:sz w:val="22"/>
              </w:rPr>
              <w:t>eport, Table 18</w:t>
            </w:r>
            <w:r w:rsidRPr="006C3682">
              <w:rPr>
                <w:sz w:val="22"/>
              </w:rPr>
              <w:noBreakHyphen/>
              <w:t xml:space="preserve">8 only identifies the pathways scoped into the ES stage assessment. As a result, it is unclear which pathways have been considered overall and which have been scoped in or out of the terrestrial ecology assessment (noting Table 18-6 lists the scoped out ecological receptors, although further surveys are still required to confirm). In addition, the table and accompanying assessment read more like a HRA, rather than an environmental topic chapter setting out a comprehensive EIA scoping approach. As a result, the scope of assessment works is somewhat unclear. </w:t>
            </w:r>
          </w:p>
        </w:tc>
      </w:tr>
      <w:tr w:rsidR="00D30BCA" w:rsidRPr="006C3682" w14:paraId="2B965B77" w14:textId="77777777" w:rsidTr="00E53227">
        <w:trPr>
          <w:trHeight w:val="13"/>
        </w:trPr>
        <w:tc>
          <w:tcPr>
            <w:tcW w:w="1633" w:type="dxa"/>
            <w:vMerge/>
          </w:tcPr>
          <w:p w14:paraId="0CAC5982" w14:textId="77777777" w:rsidR="00D30BCA" w:rsidRPr="006C3682" w:rsidRDefault="00D30BCA">
            <w:pPr>
              <w:spacing w:before="60" w:after="60"/>
              <w:rPr>
                <w:sz w:val="22"/>
              </w:rPr>
            </w:pPr>
          </w:p>
        </w:tc>
        <w:tc>
          <w:tcPr>
            <w:tcW w:w="1559" w:type="dxa"/>
          </w:tcPr>
          <w:p w14:paraId="4AF29815" w14:textId="21EC1DCF" w:rsidR="00D30BCA" w:rsidRPr="006C3682" w:rsidRDefault="00D30BCA" w:rsidP="00A421D2">
            <w:pPr>
              <w:spacing w:before="60" w:after="60"/>
              <w:rPr>
                <w:sz w:val="22"/>
                <w:lang w:bidi="ar-SA"/>
              </w:rPr>
            </w:pPr>
            <w:r w:rsidRPr="006C3682">
              <w:rPr>
                <w:sz w:val="22"/>
                <w:lang w:bidi="ar-SA"/>
              </w:rPr>
              <w:t xml:space="preserve">Observation (EIA Scope) </w:t>
            </w:r>
          </w:p>
        </w:tc>
        <w:tc>
          <w:tcPr>
            <w:tcW w:w="5834" w:type="dxa"/>
          </w:tcPr>
          <w:p w14:paraId="57C13EE2" w14:textId="74FBB7B6" w:rsidR="00D30BCA" w:rsidRPr="006C3682" w:rsidRDefault="00D30BCA" w:rsidP="00A421D2">
            <w:pPr>
              <w:spacing w:before="60" w:after="60"/>
              <w:rPr>
                <w:sz w:val="22"/>
              </w:rPr>
            </w:pPr>
            <w:r w:rsidRPr="006C3682">
              <w:rPr>
                <w:sz w:val="22"/>
              </w:rPr>
              <w:t xml:space="preserve">Notwithstanding the above comments, </w:t>
            </w:r>
            <w:r w:rsidR="00E500EF">
              <w:rPr>
                <w:sz w:val="22"/>
              </w:rPr>
              <w:t xml:space="preserve">ONR considers </w:t>
            </w:r>
            <w:r w:rsidRPr="006C3682">
              <w:rPr>
                <w:sz w:val="22"/>
              </w:rPr>
              <w:t>the proposed scope for the EIA</w:t>
            </w:r>
            <w:r w:rsidR="00E500EF">
              <w:rPr>
                <w:sz w:val="22"/>
              </w:rPr>
              <w:t xml:space="preserve"> </w:t>
            </w:r>
            <w:r w:rsidRPr="006C3682">
              <w:rPr>
                <w:sz w:val="22"/>
              </w:rPr>
              <w:t xml:space="preserve">suitable, however, it </w:t>
            </w:r>
            <w:r w:rsidRPr="006C3682">
              <w:rPr>
                <w:sz w:val="22"/>
              </w:rPr>
              <w:lastRenderedPageBreak/>
              <w:t xml:space="preserve">would have been appropriate to have proposed a more data driven scope. Where practicable, it is recommended that a review of those areas scoped in is undertaken after sight of appropriate baseline data, and the scope is adjusted to ensure it is reasonable and proportionate for the ES. </w:t>
            </w:r>
          </w:p>
        </w:tc>
      </w:tr>
      <w:tr w:rsidR="000D4F00" w:rsidRPr="006C3682" w14:paraId="6EE0DAE3" w14:textId="77777777" w:rsidTr="009D073E">
        <w:trPr>
          <w:trHeight w:val="13"/>
        </w:trPr>
        <w:tc>
          <w:tcPr>
            <w:tcW w:w="1633" w:type="dxa"/>
          </w:tcPr>
          <w:p w14:paraId="18674D2E" w14:textId="28F692BE" w:rsidR="0024072D" w:rsidRPr="006C3682" w:rsidRDefault="0024072D" w:rsidP="00C63190">
            <w:pPr>
              <w:spacing w:before="60" w:after="60"/>
              <w:rPr>
                <w:sz w:val="22"/>
              </w:rPr>
            </w:pPr>
            <w:r w:rsidRPr="006C3682">
              <w:rPr>
                <w:sz w:val="22"/>
              </w:rPr>
              <w:lastRenderedPageBreak/>
              <w:t xml:space="preserve">Chapter 19 – Water Environment and Flood Risk </w:t>
            </w:r>
          </w:p>
        </w:tc>
        <w:tc>
          <w:tcPr>
            <w:tcW w:w="7393" w:type="dxa"/>
            <w:gridSpan w:val="2"/>
          </w:tcPr>
          <w:p w14:paraId="3DE40000" w14:textId="687D2C92" w:rsidR="0024072D" w:rsidRPr="006C3682" w:rsidRDefault="007B0374" w:rsidP="007B0374">
            <w:pPr>
              <w:spacing w:before="60" w:after="60"/>
              <w:rPr>
                <w:sz w:val="22"/>
              </w:rPr>
            </w:pPr>
            <w:r w:rsidRPr="006C3682">
              <w:rPr>
                <w:sz w:val="22"/>
              </w:rPr>
              <w:t xml:space="preserve">Overall, Chapter 19 gives a very clear and comprehensive consideration of </w:t>
            </w:r>
            <w:r w:rsidR="00E93E63">
              <w:rPr>
                <w:sz w:val="22"/>
              </w:rPr>
              <w:t>w</w:t>
            </w:r>
            <w:r w:rsidRPr="006C3682">
              <w:rPr>
                <w:sz w:val="22"/>
              </w:rPr>
              <w:t xml:space="preserve">ater </w:t>
            </w:r>
            <w:r w:rsidR="00E93E63">
              <w:rPr>
                <w:sz w:val="22"/>
              </w:rPr>
              <w:t>e</w:t>
            </w:r>
            <w:r w:rsidRPr="006C3682">
              <w:rPr>
                <w:sz w:val="22"/>
              </w:rPr>
              <w:t xml:space="preserve">nvironment and </w:t>
            </w:r>
            <w:r w:rsidR="00E93E63">
              <w:rPr>
                <w:sz w:val="22"/>
              </w:rPr>
              <w:t>f</w:t>
            </w:r>
            <w:r w:rsidRPr="006C3682">
              <w:rPr>
                <w:sz w:val="22"/>
              </w:rPr>
              <w:t>lood risk receptors</w:t>
            </w:r>
            <w:r w:rsidR="007D1141" w:rsidRPr="006C3682">
              <w:rPr>
                <w:sz w:val="22"/>
              </w:rPr>
              <w:t>, including a d</w:t>
            </w:r>
            <w:r w:rsidRPr="006C3682">
              <w:rPr>
                <w:sz w:val="22"/>
              </w:rPr>
              <w:t xml:space="preserve">etailed summary of </w:t>
            </w:r>
            <w:r w:rsidR="007D1141" w:rsidRPr="006C3682">
              <w:rPr>
                <w:sz w:val="22"/>
              </w:rPr>
              <w:t xml:space="preserve">the </w:t>
            </w:r>
            <w:r w:rsidRPr="006C3682">
              <w:rPr>
                <w:sz w:val="22"/>
              </w:rPr>
              <w:t xml:space="preserve">proposed study area, </w:t>
            </w:r>
            <w:r w:rsidR="007D1141" w:rsidRPr="006C3682">
              <w:rPr>
                <w:sz w:val="22"/>
              </w:rPr>
              <w:t xml:space="preserve">the </w:t>
            </w:r>
            <w:r w:rsidRPr="006C3682">
              <w:rPr>
                <w:sz w:val="22"/>
              </w:rPr>
              <w:t xml:space="preserve">current and future baseline written in line with </w:t>
            </w:r>
            <w:r w:rsidR="006C7EB1">
              <w:rPr>
                <w:sz w:val="22"/>
              </w:rPr>
              <w:t>RGP</w:t>
            </w:r>
            <w:r w:rsidRPr="006C3682">
              <w:rPr>
                <w:sz w:val="22"/>
              </w:rPr>
              <w:t xml:space="preserve">. </w:t>
            </w:r>
            <w:r w:rsidR="007D1141" w:rsidRPr="006C3682">
              <w:rPr>
                <w:sz w:val="22"/>
              </w:rPr>
              <w:t xml:space="preserve">It </w:t>
            </w:r>
            <w:r w:rsidR="00B07CE1" w:rsidRPr="006C3682">
              <w:rPr>
                <w:sz w:val="22"/>
              </w:rPr>
              <w:t>includes</w:t>
            </w:r>
            <w:r w:rsidR="007D1141" w:rsidRPr="006C3682">
              <w:rPr>
                <w:sz w:val="22"/>
              </w:rPr>
              <w:t xml:space="preserve"> a c</w:t>
            </w:r>
            <w:r w:rsidRPr="006C3682">
              <w:rPr>
                <w:sz w:val="22"/>
              </w:rPr>
              <w:t xml:space="preserve">lear summary of potential effects and sufficient detail to support scoping in or out of specific topic elements. </w:t>
            </w:r>
          </w:p>
        </w:tc>
      </w:tr>
      <w:tr w:rsidR="000153B6" w:rsidRPr="006C3682" w14:paraId="48B76F64" w14:textId="77777777" w:rsidTr="00E53227">
        <w:trPr>
          <w:trHeight w:val="13"/>
        </w:trPr>
        <w:tc>
          <w:tcPr>
            <w:tcW w:w="1633" w:type="dxa"/>
          </w:tcPr>
          <w:p w14:paraId="433A1CF8" w14:textId="649DD64E" w:rsidR="00400949" w:rsidRPr="006C3682" w:rsidRDefault="00627BC7" w:rsidP="00627BC7">
            <w:pPr>
              <w:spacing w:before="60" w:after="60"/>
              <w:rPr>
                <w:sz w:val="22"/>
              </w:rPr>
            </w:pPr>
            <w:r w:rsidRPr="006C3682">
              <w:rPr>
                <w:sz w:val="22"/>
              </w:rPr>
              <w:t xml:space="preserve">Chapter 20 – Other Environmental Topics </w:t>
            </w:r>
          </w:p>
        </w:tc>
        <w:tc>
          <w:tcPr>
            <w:tcW w:w="1559" w:type="dxa"/>
          </w:tcPr>
          <w:p w14:paraId="27761C27" w14:textId="1DD700BD" w:rsidR="00400949" w:rsidRPr="006C3682" w:rsidRDefault="00EA1D5F" w:rsidP="00EA1D5F">
            <w:pPr>
              <w:spacing w:before="60" w:after="60"/>
              <w:rPr>
                <w:sz w:val="22"/>
                <w:lang w:bidi="ar-SA"/>
              </w:rPr>
            </w:pPr>
            <w:r w:rsidRPr="006C3682">
              <w:rPr>
                <w:sz w:val="22"/>
                <w:lang w:bidi="ar-SA"/>
              </w:rPr>
              <w:t xml:space="preserve">Observation (EIA Scope) </w:t>
            </w:r>
          </w:p>
        </w:tc>
        <w:tc>
          <w:tcPr>
            <w:tcW w:w="5834" w:type="dxa"/>
          </w:tcPr>
          <w:p w14:paraId="7922D7A3" w14:textId="41A70022" w:rsidR="00400949" w:rsidRPr="006C3682" w:rsidRDefault="000B2928" w:rsidP="000B2928">
            <w:pPr>
              <w:spacing w:before="60" w:after="60"/>
              <w:rPr>
                <w:sz w:val="22"/>
              </w:rPr>
            </w:pPr>
            <w:r w:rsidRPr="006C3682">
              <w:rPr>
                <w:sz w:val="22"/>
              </w:rPr>
              <w:t xml:space="preserve">While conclusion of the </w:t>
            </w:r>
            <w:r w:rsidR="00623F9F" w:rsidRPr="006C3682">
              <w:rPr>
                <w:sz w:val="22"/>
              </w:rPr>
              <w:t>M</w:t>
            </w:r>
            <w:r w:rsidRPr="006C3682">
              <w:rPr>
                <w:sz w:val="22"/>
              </w:rPr>
              <w:t xml:space="preserve">ajor </w:t>
            </w:r>
            <w:r w:rsidR="00623F9F" w:rsidRPr="006C3682">
              <w:rPr>
                <w:sz w:val="22"/>
              </w:rPr>
              <w:t>A</w:t>
            </w:r>
            <w:r w:rsidRPr="006C3682">
              <w:rPr>
                <w:sz w:val="22"/>
              </w:rPr>
              <w:t xml:space="preserve">ccidents and </w:t>
            </w:r>
            <w:r w:rsidR="00623F9F" w:rsidRPr="006C3682">
              <w:rPr>
                <w:sz w:val="22"/>
              </w:rPr>
              <w:t>D</w:t>
            </w:r>
            <w:r w:rsidRPr="006C3682">
              <w:rPr>
                <w:sz w:val="22"/>
              </w:rPr>
              <w:t xml:space="preserve">isasters section notes that all the identified major accidents and disaster risks would be </w:t>
            </w:r>
            <w:r w:rsidR="009C711C">
              <w:rPr>
                <w:sz w:val="22"/>
              </w:rPr>
              <w:t>reduced to as low as reasonably practicable</w:t>
            </w:r>
            <w:r w:rsidRPr="006C3682">
              <w:rPr>
                <w:sz w:val="22"/>
              </w:rPr>
              <w:t xml:space="preserve">, this chapter does not then state that this is the basis for the topic to be scoped out. This should be stated to align with the major accidents and disasters summary in </w:t>
            </w:r>
            <w:r w:rsidR="00623F9F" w:rsidRPr="006C3682">
              <w:rPr>
                <w:sz w:val="22"/>
              </w:rPr>
              <w:t>T</w:t>
            </w:r>
            <w:r w:rsidRPr="006C3682">
              <w:rPr>
                <w:sz w:val="22"/>
              </w:rPr>
              <w:t xml:space="preserve">able 22-1 in the </w:t>
            </w:r>
            <w:r w:rsidR="00CF68AE">
              <w:rPr>
                <w:sz w:val="22"/>
              </w:rPr>
              <w:t>scoping report</w:t>
            </w:r>
            <w:r w:rsidRPr="006C3682">
              <w:rPr>
                <w:sz w:val="22"/>
              </w:rPr>
              <w:t xml:space="preserve"> conclusion. </w:t>
            </w:r>
          </w:p>
        </w:tc>
      </w:tr>
    </w:tbl>
    <w:p w14:paraId="1D181D54" w14:textId="77777777" w:rsidR="004D3EFA" w:rsidRPr="006C3682" w:rsidRDefault="004D3EFA" w:rsidP="004D3EFA">
      <w:pPr>
        <w:pStyle w:val="Numberedparagraph"/>
        <w:numPr>
          <w:ilvl w:val="0"/>
          <w:numId w:val="0"/>
        </w:numPr>
      </w:pPr>
    </w:p>
    <w:p w14:paraId="1C47DE92" w14:textId="5F92F9B2" w:rsidR="00316F61" w:rsidRPr="006C3682" w:rsidRDefault="5CA88841" w:rsidP="3D23C178">
      <w:pPr>
        <w:pStyle w:val="Heading3"/>
      </w:pPr>
      <w:r w:rsidRPr="006C3682">
        <w:t xml:space="preserve">Summary of the EIA </w:t>
      </w:r>
      <w:r w:rsidR="00DC0704">
        <w:t>chapters</w:t>
      </w:r>
    </w:p>
    <w:p w14:paraId="6DAFAEB1" w14:textId="3DC9D70E" w:rsidR="00371E56" w:rsidRDefault="00A87AD8" w:rsidP="006325CA">
      <w:pPr>
        <w:pStyle w:val="Numberedparagraph"/>
        <w:rPr>
          <w:kern w:val="2"/>
          <w:szCs w:val="24"/>
          <w14:ligatures w14:val="standardContextual"/>
        </w:rPr>
      </w:pPr>
      <w:r>
        <w:t>Our assessment found that the scoping report identifies the principal environmental topics that should be addressed in the environmental statement. We have raised</w:t>
      </w:r>
      <w:r w:rsidR="00371E56">
        <w:t xml:space="preserve"> one reservation relating to the project description, together with a number of observations and comments for EDF to consider when preparing the ES. In summary:</w:t>
      </w:r>
    </w:p>
    <w:p w14:paraId="06854CA0" w14:textId="77777777" w:rsidR="006325CA" w:rsidRDefault="006325CA" w:rsidP="006325CA">
      <w:pPr>
        <w:pStyle w:val="Bulletlist1"/>
        <w:rPr>
          <w:kern w:val="2"/>
          <w:szCs w:val="24"/>
          <w14:ligatures w14:val="standardContextual"/>
        </w:rPr>
      </w:pPr>
      <w:r>
        <w:t>The project description should be strengthened to provide a clearer and more complete account of the proposed works, particularly the marine works. Where information is not yet available, assumptions should be stated clearly and justified, and the scope of the EIA, HRA and MCZ assessments should be reviewed as further detail emerges.</w:t>
      </w:r>
    </w:p>
    <w:p w14:paraId="7276AA68" w14:textId="0DF29EFC" w:rsidR="006325CA" w:rsidRDefault="006325CA" w:rsidP="006325CA">
      <w:pPr>
        <w:pStyle w:val="Bulletlist1"/>
        <w:rPr>
          <w:kern w:val="2"/>
          <w:szCs w:val="24"/>
          <w14:ligatures w14:val="standardContextual"/>
        </w:rPr>
      </w:pPr>
      <w:r>
        <w:t xml:space="preserve">The spatial scope of the assessment should be presented more clearly and justified consistently across the technical chapters, so that the basis for study areas and </w:t>
      </w:r>
      <w:proofErr w:type="spellStart"/>
      <w:r w:rsidR="00371E56">
        <w:t>ZoIs</w:t>
      </w:r>
      <w:proofErr w:type="spellEnd"/>
      <w:r>
        <w:t xml:space="preserve"> is transparent.</w:t>
      </w:r>
    </w:p>
    <w:p w14:paraId="1CA55041" w14:textId="65A7BFE3" w:rsidR="006325CA" w:rsidRDefault="006325CA" w:rsidP="006325CA">
      <w:pPr>
        <w:pStyle w:val="Bulletlist1"/>
        <w:rPr>
          <w:kern w:val="2"/>
          <w:szCs w:val="24"/>
          <w14:ligatures w14:val="standardContextual"/>
        </w:rPr>
      </w:pPr>
      <w:r>
        <w:t xml:space="preserve">The ordering and structure of topic chapters </w:t>
      </w:r>
      <w:r w:rsidR="00052F2D">
        <w:t>c</w:t>
      </w:r>
      <w:r>
        <w:t>ould be reviewed to improve readability and ensure related topics are grouped logically.</w:t>
      </w:r>
    </w:p>
    <w:p w14:paraId="3932DF07" w14:textId="77777777" w:rsidR="006325CA" w:rsidRDefault="006325CA" w:rsidP="006325CA">
      <w:pPr>
        <w:pStyle w:val="Bulletlist1"/>
        <w:rPr>
          <w:kern w:val="2"/>
          <w:szCs w:val="24"/>
          <w14:ligatures w14:val="standardContextual"/>
        </w:rPr>
      </w:pPr>
      <w:r>
        <w:t>Further explanation should be provided on alternatives for the marine works, including alternative methodologies where relevant.</w:t>
      </w:r>
    </w:p>
    <w:p w14:paraId="2A4F0CD8" w14:textId="77777777" w:rsidR="006325CA" w:rsidRDefault="006325CA" w:rsidP="006325CA">
      <w:pPr>
        <w:pStyle w:val="Bulletlist1"/>
        <w:rPr>
          <w:kern w:val="2"/>
          <w:szCs w:val="24"/>
          <w14:ligatures w14:val="standardContextual"/>
        </w:rPr>
      </w:pPr>
      <w:r>
        <w:t>Further consideration should be given to how the baseline and future baseline are defined, particularly in relation to the present and ongoing decommissioning works at Dungeness A.</w:t>
      </w:r>
    </w:p>
    <w:p w14:paraId="563D7B36" w14:textId="77777777" w:rsidR="006325CA" w:rsidRDefault="006325CA" w:rsidP="006325CA">
      <w:pPr>
        <w:pStyle w:val="Bulletlist1"/>
        <w:rPr>
          <w:kern w:val="2"/>
          <w:szCs w:val="24"/>
          <w14:ligatures w14:val="standardContextual"/>
        </w:rPr>
      </w:pPr>
      <w:r>
        <w:lastRenderedPageBreak/>
        <w:t>The approach to cumulative effects should be set out more clearly and applied more consistently, including both intra-project effects and interactions with ongoing works at Dungeness A.</w:t>
      </w:r>
    </w:p>
    <w:p w14:paraId="6640FE11" w14:textId="063F402B" w:rsidR="006325CA" w:rsidRDefault="006325CA" w:rsidP="006325CA">
      <w:pPr>
        <w:pStyle w:val="Bulletlist1"/>
        <w:rPr>
          <w:kern w:val="2"/>
          <w:szCs w:val="24"/>
          <w14:ligatures w14:val="standardContextual"/>
        </w:rPr>
      </w:pPr>
      <w:r>
        <w:t xml:space="preserve">The transboundary assessment should be strengthened by clarifying how study areas and </w:t>
      </w:r>
      <w:proofErr w:type="spellStart"/>
      <w:r w:rsidR="00C37165">
        <w:t>ZoIs</w:t>
      </w:r>
      <w:proofErr w:type="spellEnd"/>
      <w:r>
        <w:t xml:space="preserve"> have been derived and by considering whether relevant non-UK receptors, including designated nature conservation sites, should be included.</w:t>
      </w:r>
    </w:p>
    <w:p w14:paraId="71AD50AA" w14:textId="43A5D744" w:rsidR="00C537C0" w:rsidRPr="006C3682" w:rsidRDefault="00984F7F" w:rsidP="006B2B26">
      <w:pPr>
        <w:pStyle w:val="Heading2"/>
      </w:pPr>
      <w:r w:rsidRPr="006C3682">
        <w:t xml:space="preserve">Preliminary </w:t>
      </w:r>
      <w:r w:rsidR="00F72C52" w:rsidRPr="006C3682">
        <w:t xml:space="preserve">Habitats Regulation </w:t>
      </w:r>
      <w:r w:rsidR="00301A67" w:rsidRPr="006C3682">
        <w:t>Assessment</w:t>
      </w:r>
      <w:r w:rsidR="00F72C52" w:rsidRPr="006C3682">
        <w:t xml:space="preserve"> </w:t>
      </w:r>
      <w:r w:rsidR="00867A8F">
        <w:t>s</w:t>
      </w:r>
      <w:r w:rsidRPr="006C3682">
        <w:t xml:space="preserve">creening </w:t>
      </w:r>
      <w:r w:rsidR="00867A8F">
        <w:t>r</w:t>
      </w:r>
      <w:r w:rsidRPr="006C3682">
        <w:t xml:space="preserve">eport </w:t>
      </w:r>
    </w:p>
    <w:p w14:paraId="14118B02" w14:textId="64EFEC49" w:rsidR="00C537C0" w:rsidRPr="006C3682" w:rsidRDefault="003E17BF" w:rsidP="004C7A0D">
      <w:pPr>
        <w:pStyle w:val="Numberedparagraph"/>
      </w:pPr>
      <w:r w:rsidRPr="006C3682">
        <w:t xml:space="preserve">The </w:t>
      </w:r>
      <w:r w:rsidR="00867A8F">
        <w:t>p</w:t>
      </w:r>
      <w:r w:rsidRPr="006C3682">
        <w:t xml:space="preserve">reliminary HRA </w:t>
      </w:r>
      <w:r w:rsidR="00867A8F">
        <w:t>s</w:t>
      </w:r>
      <w:r w:rsidRPr="006C3682">
        <w:t xml:space="preserve">creening report is included as Appendix 18D of the </w:t>
      </w:r>
      <w:r w:rsidR="00B80087" w:rsidRPr="006C3682">
        <w:t>scoping report</w:t>
      </w:r>
      <w:r w:rsidRPr="006C3682">
        <w:t xml:space="preserve">. </w:t>
      </w:r>
      <w:r w:rsidR="00F179AC">
        <w:t>We completed an initial assessment of this</w:t>
      </w:r>
      <w:r w:rsidRPr="006C3682">
        <w:t xml:space="preserve">, noting that this is currently in the preliminary stage. </w:t>
      </w:r>
      <w:r w:rsidR="00F179AC">
        <w:t>Our opinion is presented</w:t>
      </w:r>
      <w:r w:rsidRPr="006C3682">
        <w:t xml:space="preserve"> </w:t>
      </w:r>
      <w:r w:rsidR="00382C56">
        <w:t>in Table 5</w:t>
      </w:r>
      <w:r w:rsidR="00C12FF3">
        <w:t>.</w:t>
      </w:r>
    </w:p>
    <w:p w14:paraId="797D056F" w14:textId="42ADEAAD" w:rsidR="00FE73EE" w:rsidRPr="00F231FF" w:rsidRDefault="00FE73EE" w:rsidP="00FE73EE">
      <w:pPr>
        <w:pStyle w:val="Caption"/>
        <w:keepNext/>
        <w:rPr>
          <w:sz w:val="24"/>
          <w:szCs w:val="24"/>
        </w:rPr>
      </w:pPr>
      <w:r w:rsidRPr="00F231FF">
        <w:rPr>
          <w:sz w:val="24"/>
          <w:szCs w:val="24"/>
        </w:rPr>
        <w:t xml:space="preserve">Table 5: Opinion on the </w:t>
      </w:r>
      <w:r w:rsidR="0078365D">
        <w:rPr>
          <w:sz w:val="24"/>
          <w:szCs w:val="24"/>
        </w:rPr>
        <w:t>p</w:t>
      </w:r>
      <w:r w:rsidRPr="00F231FF">
        <w:rPr>
          <w:sz w:val="24"/>
          <w:szCs w:val="24"/>
        </w:rPr>
        <w:t xml:space="preserve">reliminary HRA </w:t>
      </w:r>
      <w:r w:rsidR="00F231FF" w:rsidRPr="00F231FF">
        <w:rPr>
          <w:sz w:val="24"/>
          <w:szCs w:val="24"/>
        </w:rPr>
        <w:t>screening report</w:t>
      </w:r>
    </w:p>
    <w:tbl>
      <w:tblPr>
        <w:tblStyle w:val="ONRTable1"/>
        <w:tblW w:w="5000" w:type="pct"/>
        <w:tblInd w:w="0" w:type="dxa"/>
        <w:tblLook w:val="01E0" w:firstRow="1" w:lastRow="1" w:firstColumn="1" w:lastColumn="1" w:noHBand="0" w:noVBand="0"/>
      </w:tblPr>
      <w:tblGrid>
        <w:gridCol w:w="2127"/>
        <w:gridCol w:w="6899"/>
      </w:tblGrid>
      <w:tr w:rsidR="00777177" w:rsidRPr="006C3682" w14:paraId="0C17E4A4" w14:textId="45474078" w:rsidTr="00B75127">
        <w:trPr>
          <w:cnfStyle w:val="100000000000" w:firstRow="1" w:lastRow="0" w:firstColumn="0" w:lastColumn="0" w:oddVBand="0" w:evenVBand="0" w:oddHBand="0" w:evenHBand="0" w:firstRowFirstColumn="0" w:firstRowLastColumn="0" w:lastRowFirstColumn="0" w:lastRowLastColumn="0"/>
        </w:trPr>
        <w:tc>
          <w:tcPr>
            <w:tcW w:w="1178" w:type="pct"/>
          </w:tcPr>
          <w:p w14:paraId="53660698" w14:textId="2D9CD106" w:rsidR="00777177" w:rsidRPr="006C3682" w:rsidRDefault="00777177">
            <w:pPr>
              <w:spacing w:before="60" w:after="60"/>
              <w:rPr>
                <w:sz w:val="22"/>
              </w:rPr>
            </w:pPr>
            <w:r w:rsidRPr="006C3682">
              <w:rPr>
                <w:sz w:val="22"/>
              </w:rPr>
              <w:t xml:space="preserve">Category </w:t>
            </w:r>
            <w:r w:rsidR="002F1A7C">
              <w:rPr>
                <w:sz w:val="22"/>
              </w:rPr>
              <w:t>(theme)</w:t>
            </w:r>
          </w:p>
        </w:tc>
        <w:tc>
          <w:tcPr>
            <w:tcW w:w="3822" w:type="pct"/>
          </w:tcPr>
          <w:p w14:paraId="59811F2C" w14:textId="634629CC" w:rsidR="00777177" w:rsidRPr="006C3682" w:rsidRDefault="00777177">
            <w:pPr>
              <w:spacing w:before="60" w:after="60"/>
              <w:rPr>
                <w:sz w:val="22"/>
              </w:rPr>
            </w:pPr>
            <w:r w:rsidRPr="006C3682">
              <w:rPr>
                <w:sz w:val="22"/>
              </w:rPr>
              <w:t xml:space="preserve">Justification </w:t>
            </w:r>
          </w:p>
        </w:tc>
      </w:tr>
      <w:tr w:rsidR="002D0840" w:rsidRPr="006C3682" w14:paraId="31222FD2" w14:textId="77777777" w:rsidTr="00B75127">
        <w:tc>
          <w:tcPr>
            <w:tcW w:w="1178" w:type="pct"/>
          </w:tcPr>
          <w:p w14:paraId="6B8C3995" w14:textId="5179F79D" w:rsidR="002D0840" w:rsidRPr="006C3682" w:rsidRDefault="002D0840" w:rsidP="002D0840">
            <w:pPr>
              <w:spacing w:before="60" w:after="60"/>
              <w:rPr>
                <w:sz w:val="22"/>
              </w:rPr>
            </w:pPr>
            <w:r>
              <w:rPr>
                <w:sz w:val="22"/>
              </w:rPr>
              <w:t>Reservation (Evidence / Scope Definition)</w:t>
            </w:r>
          </w:p>
        </w:tc>
        <w:tc>
          <w:tcPr>
            <w:tcW w:w="3822" w:type="pct"/>
          </w:tcPr>
          <w:p w14:paraId="7D89F8FE" w14:textId="21293326" w:rsidR="002D0840" w:rsidRPr="006C3682" w:rsidRDefault="002D0840" w:rsidP="002D0840">
            <w:pPr>
              <w:spacing w:before="60" w:after="60"/>
              <w:rPr>
                <w:sz w:val="22"/>
                <w:lang w:bidi="ar-SA"/>
              </w:rPr>
            </w:pPr>
            <w:r w:rsidRPr="006C3682">
              <w:rPr>
                <w:sz w:val="22"/>
                <w:lang w:bidi="ar-SA"/>
              </w:rPr>
              <w:t xml:space="preserve">Consistent with </w:t>
            </w:r>
            <w:r>
              <w:rPr>
                <w:sz w:val="22"/>
                <w:lang w:bidi="ar-SA"/>
              </w:rPr>
              <w:t xml:space="preserve">our reservation raised on the project description in the </w:t>
            </w:r>
            <w:r w:rsidRPr="006C3682">
              <w:rPr>
                <w:sz w:val="22"/>
                <w:lang w:bidi="ar-SA"/>
              </w:rPr>
              <w:t xml:space="preserve">EIA </w:t>
            </w:r>
            <w:r>
              <w:rPr>
                <w:sz w:val="22"/>
                <w:lang w:bidi="ar-SA"/>
              </w:rPr>
              <w:t>(see Table 3)</w:t>
            </w:r>
            <w:r w:rsidRPr="006C3682">
              <w:rPr>
                <w:sz w:val="22"/>
                <w:lang w:bidi="ar-SA"/>
              </w:rPr>
              <w:t xml:space="preserve">, the level of information provided in relation to the marine works remains insufficient. </w:t>
            </w:r>
            <w:r>
              <w:rPr>
                <w:sz w:val="22"/>
              </w:rPr>
              <w:t xml:space="preserve">Once further detail becomes available, the HRA should be reviewed and revised </w:t>
            </w:r>
            <w:r w:rsidR="00C50C13">
              <w:rPr>
                <w:sz w:val="22"/>
              </w:rPr>
              <w:t>as necessary</w:t>
            </w:r>
            <w:r>
              <w:rPr>
                <w:sz w:val="22"/>
              </w:rPr>
              <w:t>.</w:t>
            </w:r>
          </w:p>
        </w:tc>
      </w:tr>
      <w:tr w:rsidR="00777177" w:rsidRPr="006C3682" w14:paraId="3F9F394A" w14:textId="79AF1920" w:rsidTr="00B75127">
        <w:tc>
          <w:tcPr>
            <w:tcW w:w="1178" w:type="pct"/>
          </w:tcPr>
          <w:p w14:paraId="1113AE9A" w14:textId="77777777" w:rsidR="005E640A" w:rsidRPr="006C3682" w:rsidRDefault="005E640A" w:rsidP="005E640A">
            <w:pPr>
              <w:spacing w:before="60" w:after="60"/>
              <w:rPr>
                <w:sz w:val="22"/>
              </w:rPr>
            </w:pPr>
            <w:r w:rsidRPr="006C3682">
              <w:rPr>
                <w:sz w:val="22"/>
              </w:rPr>
              <w:t xml:space="preserve">Comment (EIA </w:t>
            </w:r>
          </w:p>
          <w:p w14:paraId="3ECC532A" w14:textId="3B1DF27B" w:rsidR="00777177" w:rsidRPr="006C3682" w:rsidRDefault="005E640A" w:rsidP="005E640A">
            <w:pPr>
              <w:spacing w:before="60" w:after="60"/>
              <w:rPr>
                <w:sz w:val="22"/>
              </w:rPr>
            </w:pPr>
            <w:r w:rsidRPr="006C3682">
              <w:rPr>
                <w:sz w:val="22"/>
              </w:rPr>
              <w:t>Methodology)</w:t>
            </w:r>
          </w:p>
        </w:tc>
        <w:tc>
          <w:tcPr>
            <w:tcW w:w="3822" w:type="pct"/>
          </w:tcPr>
          <w:p w14:paraId="4D63D54A" w14:textId="0B35D66A" w:rsidR="00777177" w:rsidRPr="006C3682" w:rsidRDefault="00B01E4F">
            <w:pPr>
              <w:spacing w:before="60" w:after="60"/>
              <w:rPr>
                <w:sz w:val="22"/>
                <w:lang w:bidi="ar-SA"/>
              </w:rPr>
            </w:pPr>
            <w:r w:rsidRPr="006C3682">
              <w:rPr>
                <w:sz w:val="22"/>
                <w:lang w:bidi="ar-SA"/>
              </w:rPr>
              <w:t>It would be helpful for the methodology to clearly set out, at the outset, the rationale for separating the marine and terrestrial elements of the assessment.</w:t>
            </w:r>
          </w:p>
        </w:tc>
      </w:tr>
      <w:tr w:rsidR="00777177" w:rsidRPr="006C3682" w14:paraId="30859D32" w14:textId="11E06A69" w:rsidTr="00B75127">
        <w:tc>
          <w:tcPr>
            <w:tcW w:w="1178" w:type="pct"/>
          </w:tcPr>
          <w:p w14:paraId="09B2EEF3" w14:textId="5E74FCE7" w:rsidR="00777177" w:rsidRPr="006C3682" w:rsidRDefault="0012626E" w:rsidP="00D90A7D">
            <w:pPr>
              <w:spacing w:before="60" w:after="60"/>
              <w:rPr>
                <w:sz w:val="22"/>
              </w:rPr>
            </w:pPr>
            <w:r>
              <w:rPr>
                <w:sz w:val="22"/>
              </w:rPr>
              <w:t>Observa</w:t>
            </w:r>
            <w:r w:rsidR="00D90A7D" w:rsidRPr="006C3682">
              <w:rPr>
                <w:sz w:val="22"/>
              </w:rPr>
              <w:t>t</w:t>
            </w:r>
            <w:r w:rsidR="00106D54">
              <w:rPr>
                <w:sz w:val="22"/>
              </w:rPr>
              <w:t>ion</w:t>
            </w:r>
            <w:r w:rsidR="00D90A7D" w:rsidRPr="006C3682">
              <w:rPr>
                <w:sz w:val="22"/>
              </w:rPr>
              <w:t xml:space="preserve"> (Scope Definition / Clarity)</w:t>
            </w:r>
          </w:p>
        </w:tc>
        <w:tc>
          <w:tcPr>
            <w:tcW w:w="3822" w:type="pct"/>
          </w:tcPr>
          <w:p w14:paraId="695EE927" w14:textId="32193B0C" w:rsidR="00777177" w:rsidRPr="006C3682" w:rsidRDefault="000D4F00" w:rsidP="000D4F00">
            <w:pPr>
              <w:spacing w:before="60" w:after="60"/>
              <w:rPr>
                <w:sz w:val="22"/>
                <w:lang w:bidi="ar-SA"/>
              </w:rPr>
            </w:pPr>
            <w:r w:rsidRPr="006C3682">
              <w:rPr>
                <w:sz w:val="22"/>
                <w:lang w:bidi="ar-SA"/>
              </w:rPr>
              <w:t>The rationale for the identification of Habitat Sites of Relevance would benefit from further clarification and strengthening. In particular, the assessment should more clearly explain why the selected sites have been identified and why other designated sites in closer proximity have not been considered. It is also unclear whether designated sites located outside the United Kingdom, and its terrestrial waters, have been considered and excluded, or whether their omission from the assessment is unintentional.</w:t>
            </w:r>
          </w:p>
        </w:tc>
      </w:tr>
      <w:tr w:rsidR="00777177" w:rsidRPr="006C3682" w14:paraId="17DA5FEC" w14:textId="3729C4CB" w:rsidTr="00B75127">
        <w:tc>
          <w:tcPr>
            <w:tcW w:w="1178" w:type="pct"/>
          </w:tcPr>
          <w:p w14:paraId="075A788C" w14:textId="77777777" w:rsidR="00572DB5" w:rsidRPr="006C3682" w:rsidRDefault="00572DB5" w:rsidP="00572DB5">
            <w:pPr>
              <w:spacing w:before="60" w:after="60"/>
              <w:rPr>
                <w:sz w:val="22"/>
              </w:rPr>
            </w:pPr>
            <w:r w:rsidRPr="006C3682">
              <w:rPr>
                <w:sz w:val="22"/>
              </w:rPr>
              <w:t xml:space="preserve">Observation (EIA </w:t>
            </w:r>
          </w:p>
          <w:p w14:paraId="55722AA2" w14:textId="34CF53D3" w:rsidR="00777177" w:rsidRPr="006C3682" w:rsidRDefault="00572DB5" w:rsidP="00572DB5">
            <w:pPr>
              <w:spacing w:before="60" w:after="60"/>
              <w:rPr>
                <w:sz w:val="22"/>
              </w:rPr>
            </w:pPr>
            <w:r w:rsidRPr="006C3682">
              <w:rPr>
                <w:sz w:val="22"/>
              </w:rPr>
              <w:t xml:space="preserve">Methodology / Clarity)  </w:t>
            </w:r>
          </w:p>
        </w:tc>
        <w:tc>
          <w:tcPr>
            <w:tcW w:w="3822" w:type="pct"/>
          </w:tcPr>
          <w:p w14:paraId="586F79CF" w14:textId="0CFC73A0" w:rsidR="00777177" w:rsidRPr="006C3682" w:rsidRDefault="00BE445E" w:rsidP="00BE445E">
            <w:pPr>
              <w:spacing w:before="60" w:after="60"/>
              <w:rPr>
                <w:sz w:val="22"/>
                <w:lang w:bidi="ar-SA"/>
              </w:rPr>
            </w:pPr>
            <w:r w:rsidRPr="006C3682">
              <w:rPr>
                <w:sz w:val="22"/>
                <w:lang w:bidi="ar-SA"/>
              </w:rPr>
              <w:t>Within Section 2, the description of the HRA process would benefit from clarification. In particular, the methodology should clearly explain that mitigation measures are considered at the Appropriate Assessment (AA) stage to avoid or reduce potential impacts such that no likely significant effects remain. If the mitigation is effective in removing all Likely Significant Effects (LSEs), there is no requirement to proceed to the assessment of alternatives or to consider derogation under the Habitats Regulations. It is currently unclear at which stage mitigation is intended to be considered, beyond a brief statement that mitigation is not appropriate at the screening stage, which would benefit from further explanation.</w:t>
            </w:r>
          </w:p>
        </w:tc>
      </w:tr>
      <w:tr w:rsidR="00572DB5" w:rsidRPr="006C3682" w14:paraId="559FC96A" w14:textId="77777777" w:rsidTr="00B75127">
        <w:tc>
          <w:tcPr>
            <w:tcW w:w="1178" w:type="pct"/>
          </w:tcPr>
          <w:p w14:paraId="44370695" w14:textId="426A16BB" w:rsidR="00572DB5" w:rsidRPr="006C3682" w:rsidRDefault="00B75127" w:rsidP="00316626">
            <w:pPr>
              <w:spacing w:before="60" w:after="60"/>
              <w:rPr>
                <w:sz w:val="22"/>
              </w:rPr>
            </w:pPr>
            <w:r w:rsidRPr="006C3682">
              <w:rPr>
                <w:sz w:val="22"/>
              </w:rPr>
              <w:lastRenderedPageBreak/>
              <w:t>Comment (EIA Methodology)</w:t>
            </w:r>
          </w:p>
        </w:tc>
        <w:tc>
          <w:tcPr>
            <w:tcW w:w="3822" w:type="pct"/>
          </w:tcPr>
          <w:p w14:paraId="0E044A37" w14:textId="031E2F09" w:rsidR="00572DB5" w:rsidRPr="006C3682" w:rsidRDefault="00221F16" w:rsidP="00221F16">
            <w:pPr>
              <w:spacing w:before="60" w:after="60"/>
              <w:rPr>
                <w:sz w:val="22"/>
                <w:lang w:bidi="ar-SA"/>
              </w:rPr>
            </w:pPr>
            <w:r w:rsidRPr="006C3682">
              <w:rPr>
                <w:sz w:val="22"/>
                <w:lang w:bidi="ar-SA"/>
              </w:rPr>
              <w:t>Paragraph 3.2.5 refers to case law on the consideration of mitigation measures, including mitigation that is required under separate regulatory regimes or would be in place irrespective of the Proposed Development. To aid clarity and transparency, the relevant case law should be explicitly cited in the text.</w:t>
            </w:r>
          </w:p>
        </w:tc>
      </w:tr>
      <w:tr w:rsidR="00572DB5" w:rsidRPr="006C3682" w14:paraId="78E208E5" w14:textId="77777777" w:rsidTr="00B75127">
        <w:tc>
          <w:tcPr>
            <w:tcW w:w="1178" w:type="pct"/>
          </w:tcPr>
          <w:p w14:paraId="6AFCC9CA" w14:textId="0D5B3377" w:rsidR="00572DB5" w:rsidRPr="006C3682" w:rsidRDefault="00A05AB4" w:rsidP="00A05AB4">
            <w:pPr>
              <w:spacing w:before="60" w:after="60"/>
              <w:rPr>
                <w:sz w:val="22"/>
              </w:rPr>
            </w:pPr>
            <w:r w:rsidRPr="006C3682">
              <w:rPr>
                <w:sz w:val="22"/>
              </w:rPr>
              <w:t>Comment (EIA Methodology / Clarity)</w:t>
            </w:r>
          </w:p>
        </w:tc>
        <w:tc>
          <w:tcPr>
            <w:tcW w:w="3822" w:type="pct"/>
          </w:tcPr>
          <w:p w14:paraId="7ED628A4" w14:textId="1F7A86F2" w:rsidR="00572DB5" w:rsidRPr="006C3682" w:rsidRDefault="00A700BC" w:rsidP="00A700BC">
            <w:pPr>
              <w:spacing w:before="60" w:after="60"/>
              <w:rPr>
                <w:sz w:val="22"/>
                <w:lang w:bidi="ar-SA"/>
              </w:rPr>
            </w:pPr>
            <w:r w:rsidRPr="006C3682">
              <w:rPr>
                <w:sz w:val="22"/>
                <w:lang w:bidi="ar-SA"/>
              </w:rPr>
              <w:t xml:space="preserve">The rationale for applying a 15 km </w:t>
            </w:r>
            <w:proofErr w:type="spellStart"/>
            <w:r w:rsidRPr="006C3682">
              <w:rPr>
                <w:sz w:val="22"/>
                <w:lang w:bidi="ar-SA"/>
              </w:rPr>
              <w:t>ZoI</w:t>
            </w:r>
            <w:proofErr w:type="spellEnd"/>
            <w:r w:rsidRPr="006C3682">
              <w:rPr>
                <w:sz w:val="22"/>
                <w:lang w:bidi="ar-SA"/>
              </w:rPr>
              <w:t xml:space="preserve"> for the HRA is not clearly explained. </w:t>
            </w:r>
            <w:r w:rsidR="00106D54">
              <w:rPr>
                <w:sz w:val="22"/>
                <w:lang w:bidi="ar-SA"/>
              </w:rPr>
              <w:t>RGP</w:t>
            </w:r>
            <w:r w:rsidRPr="006C3682">
              <w:rPr>
                <w:sz w:val="22"/>
                <w:lang w:bidi="ar-SA"/>
              </w:rPr>
              <w:t xml:space="preserve"> would</w:t>
            </w:r>
            <w:r w:rsidR="00106D54">
              <w:rPr>
                <w:sz w:val="22"/>
                <w:lang w:bidi="ar-SA"/>
              </w:rPr>
              <w:t xml:space="preserve"> </w:t>
            </w:r>
            <w:r w:rsidRPr="006C3682">
              <w:rPr>
                <w:sz w:val="22"/>
                <w:lang w:bidi="ar-SA"/>
              </w:rPr>
              <w:t>typically apply the Chartered Institute of Ecology and Environmental Management recommended screening distances, with a default of 2 km for most impact pathways and larger distances used selectively where justified (</w:t>
            </w:r>
            <w:r w:rsidR="00B14CAA" w:rsidRPr="006C3682">
              <w:rPr>
                <w:sz w:val="22"/>
                <w:lang w:bidi="ar-SA"/>
              </w:rPr>
              <w:t>for example,</w:t>
            </w:r>
            <w:r w:rsidRPr="006C3682">
              <w:rPr>
                <w:sz w:val="22"/>
                <w:lang w:bidi="ar-SA"/>
              </w:rPr>
              <w:t xml:space="preserve"> 30km for bats). Further clarification of the chosen distance, or alignment with established guidance, would therefore be helpful.</w:t>
            </w:r>
          </w:p>
        </w:tc>
      </w:tr>
      <w:tr w:rsidR="00572DB5" w:rsidRPr="006C3682" w14:paraId="4249D84F" w14:textId="77777777" w:rsidTr="00B75127">
        <w:tc>
          <w:tcPr>
            <w:tcW w:w="1178" w:type="pct"/>
          </w:tcPr>
          <w:p w14:paraId="4D4E5D2C" w14:textId="22D1DDB0" w:rsidR="00572DB5" w:rsidRPr="006C3682" w:rsidRDefault="006A407D" w:rsidP="006A407D">
            <w:pPr>
              <w:spacing w:before="60" w:after="60"/>
              <w:rPr>
                <w:sz w:val="22"/>
              </w:rPr>
            </w:pPr>
            <w:r w:rsidRPr="006C3682">
              <w:rPr>
                <w:sz w:val="22"/>
              </w:rPr>
              <w:t>Observation (EIA Methodology)</w:t>
            </w:r>
          </w:p>
        </w:tc>
        <w:tc>
          <w:tcPr>
            <w:tcW w:w="3822" w:type="pct"/>
          </w:tcPr>
          <w:p w14:paraId="52592E16" w14:textId="78645D95" w:rsidR="00572DB5" w:rsidRPr="006C3682" w:rsidRDefault="006A407D" w:rsidP="006A407D">
            <w:pPr>
              <w:spacing w:before="60" w:after="60"/>
              <w:rPr>
                <w:sz w:val="22"/>
                <w:lang w:bidi="ar-SA"/>
              </w:rPr>
            </w:pPr>
            <w:r w:rsidRPr="006C3682">
              <w:rPr>
                <w:sz w:val="22"/>
                <w:lang w:bidi="ar-SA"/>
              </w:rPr>
              <w:t xml:space="preserve">The rationale for selecting designated sites with marine components, particularly those supporting species with large foraging or migratory ranges, should be more clearly explained. This justification should be incorporated into Section 4.1 alongside the explanation of the 15 km </w:t>
            </w:r>
            <w:proofErr w:type="spellStart"/>
            <w:r w:rsidRPr="006C3682">
              <w:rPr>
                <w:sz w:val="22"/>
                <w:lang w:bidi="ar-SA"/>
              </w:rPr>
              <w:t>ZoI</w:t>
            </w:r>
            <w:proofErr w:type="spellEnd"/>
            <w:r w:rsidRPr="006C3682">
              <w:rPr>
                <w:sz w:val="22"/>
                <w:lang w:bidi="ar-SA"/>
              </w:rPr>
              <w:t>. Further clarification is also required on the use of distance buffers for seals and the basis for the selection of designated sites. The use of Seal Management Units is not generally favour</w:t>
            </w:r>
            <w:r w:rsidR="002D6198" w:rsidRPr="006C3682">
              <w:rPr>
                <w:sz w:val="22"/>
                <w:lang w:bidi="ar-SA"/>
              </w:rPr>
              <w:t>able</w:t>
            </w:r>
            <w:r w:rsidRPr="006C3682">
              <w:rPr>
                <w:sz w:val="22"/>
                <w:lang w:bidi="ar-SA"/>
              </w:rPr>
              <w:t xml:space="preserve"> due to inconsistencies between devolved administrations and outdated data on abundance and habitat use. It is therefore recommended that the Convention for the Protection of the Marine Environment of the North-East Atlantic (OSPAR Convention) regional sea areas are used instead, specifically OSPAR Region II (the Greater North Sea), to define the potential </w:t>
            </w:r>
            <w:proofErr w:type="spellStart"/>
            <w:r w:rsidRPr="006C3682">
              <w:rPr>
                <w:sz w:val="22"/>
                <w:lang w:bidi="ar-SA"/>
              </w:rPr>
              <w:t>ZoI</w:t>
            </w:r>
            <w:proofErr w:type="spellEnd"/>
            <w:r w:rsidRPr="006C3682">
              <w:rPr>
                <w:sz w:val="22"/>
                <w:lang w:bidi="ar-SA"/>
              </w:rPr>
              <w:t xml:space="preserve"> for seals.</w:t>
            </w:r>
          </w:p>
        </w:tc>
      </w:tr>
      <w:tr w:rsidR="00572DB5" w:rsidRPr="006C3682" w14:paraId="415C1920" w14:textId="77777777" w:rsidTr="00B75127">
        <w:tc>
          <w:tcPr>
            <w:tcW w:w="1178" w:type="pct"/>
          </w:tcPr>
          <w:p w14:paraId="3682BF31" w14:textId="77777777" w:rsidR="00F17BE0" w:rsidRPr="006C3682" w:rsidRDefault="00F17BE0" w:rsidP="00F17BE0">
            <w:pPr>
              <w:spacing w:before="60" w:after="60"/>
              <w:rPr>
                <w:sz w:val="22"/>
              </w:rPr>
            </w:pPr>
            <w:r w:rsidRPr="006C3682">
              <w:rPr>
                <w:sz w:val="22"/>
              </w:rPr>
              <w:t xml:space="preserve">Observation (EIA Scope / </w:t>
            </w:r>
          </w:p>
          <w:p w14:paraId="2EF88CE3" w14:textId="50ED93D1" w:rsidR="00572DB5" w:rsidRPr="006C3682" w:rsidRDefault="00F17BE0" w:rsidP="00F17BE0">
            <w:pPr>
              <w:spacing w:before="60" w:after="60"/>
              <w:rPr>
                <w:sz w:val="22"/>
              </w:rPr>
            </w:pPr>
            <w:r w:rsidRPr="006C3682">
              <w:rPr>
                <w:sz w:val="22"/>
              </w:rPr>
              <w:t>Clarity)</w:t>
            </w:r>
          </w:p>
        </w:tc>
        <w:tc>
          <w:tcPr>
            <w:tcW w:w="3822" w:type="pct"/>
          </w:tcPr>
          <w:p w14:paraId="1041A4CD" w14:textId="6B90C99A" w:rsidR="00572DB5" w:rsidRPr="006C3682" w:rsidRDefault="00337A3C" w:rsidP="00337A3C">
            <w:pPr>
              <w:spacing w:before="60" w:after="60"/>
              <w:rPr>
                <w:sz w:val="22"/>
                <w:lang w:bidi="ar-SA"/>
              </w:rPr>
            </w:pPr>
            <w:r w:rsidRPr="006C3682">
              <w:rPr>
                <w:sz w:val="22"/>
                <w:lang w:bidi="ar-SA"/>
              </w:rPr>
              <w:t xml:space="preserve">With respect to </w:t>
            </w:r>
            <w:r w:rsidR="009A6AD0" w:rsidRPr="006C3682">
              <w:rPr>
                <w:sz w:val="22"/>
                <w:lang w:bidi="ar-SA"/>
              </w:rPr>
              <w:t>a</w:t>
            </w:r>
            <w:r w:rsidRPr="006C3682">
              <w:rPr>
                <w:sz w:val="22"/>
                <w:lang w:bidi="ar-SA"/>
              </w:rPr>
              <w:t xml:space="preserve">ir </w:t>
            </w:r>
            <w:r w:rsidR="009A6AD0" w:rsidRPr="006C3682">
              <w:rPr>
                <w:sz w:val="22"/>
                <w:lang w:bidi="ar-SA"/>
              </w:rPr>
              <w:t>q</w:t>
            </w:r>
            <w:r w:rsidRPr="006C3682">
              <w:rPr>
                <w:sz w:val="22"/>
                <w:lang w:bidi="ar-SA"/>
              </w:rPr>
              <w:t xml:space="preserve">uality, there is a lack of clarity regarding which effects have been screened in and out, particularly in relation to atmospheric pollutants and dust arising from traffic movements. The scope of pollutants and dust considered does not appear to align with those included in the EIA </w:t>
            </w:r>
            <w:r w:rsidR="00E7519F" w:rsidRPr="006C3682">
              <w:rPr>
                <w:sz w:val="22"/>
                <w:lang w:bidi="ar-SA"/>
              </w:rPr>
              <w:t>scoping report</w:t>
            </w:r>
            <w:r w:rsidRPr="006C3682">
              <w:rPr>
                <w:sz w:val="22"/>
                <w:lang w:bidi="ar-SA"/>
              </w:rPr>
              <w:t xml:space="preserve">, and the basis for this divergence has not been clearly explained. In addition, other air quality issues highlighted in the </w:t>
            </w:r>
            <w:r w:rsidR="00B56640" w:rsidRPr="006C3682">
              <w:rPr>
                <w:sz w:val="22"/>
                <w:lang w:bidi="ar-SA"/>
              </w:rPr>
              <w:t>scoping report</w:t>
            </w:r>
            <w:r w:rsidRPr="006C3682">
              <w:rPr>
                <w:sz w:val="22"/>
                <w:lang w:bidi="ar-SA"/>
              </w:rPr>
              <w:t xml:space="preserve"> do not appear to have been fully addressed and remain applicable.</w:t>
            </w:r>
          </w:p>
        </w:tc>
      </w:tr>
      <w:tr w:rsidR="00572DB5" w:rsidRPr="006C3682" w14:paraId="09CE4317" w14:textId="77777777" w:rsidTr="00B75127">
        <w:tc>
          <w:tcPr>
            <w:tcW w:w="1178" w:type="pct"/>
          </w:tcPr>
          <w:p w14:paraId="67D1343F" w14:textId="0520AB91" w:rsidR="00572DB5" w:rsidRPr="006C3682" w:rsidRDefault="00FC4CCC" w:rsidP="00FC4CCC">
            <w:pPr>
              <w:spacing w:before="60" w:after="60"/>
              <w:rPr>
                <w:sz w:val="22"/>
              </w:rPr>
            </w:pPr>
            <w:r w:rsidRPr="006C3682">
              <w:rPr>
                <w:sz w:val="22"/>
              </w:rPr>
              <w:t>Comment (Assessment Interactions)</w:t>
            </w:r>
          </w:p>
        </w:tc>
        <w:tc>
          <w:tcPr>
            <w:tcW w:w="3822" w:type="pct"/>
          </w:tcPr>
          <w:p w14:paraId="5FCE5636" w14:textId="1327A86F" w:rsidR="00572DB5" w:rsidRPr="006C3682" w:rsidRDefault="00CD66E5" w:rsidP="00CD66E5">
            <w:pPr>
              <w:spacing w:before="60" w:after="60"/>
              <w:rPr>
                <w:sz w:val="22"/>
                <w:lang w:bidi="ar-SA"/>
              </w:rPr>
            </w:pPr>
            <w:r w:rsidRPr="006C3682">
              <w:rPr>
                <w:sz w:val="22"/>
                <w:lang w:bidi="ar-SA"/>
              </w:rPr>
              <w:t xml:space="preserve">It is noted that a separate application for the shingle recharge works was submitted in 2025 to cover operations up to 2041, and that these works were subject to a separate HRA </w:t>
            </w:r>
            <w:r w:rsidR="00556818" w:rsidRPr="006C3682">
              <w:rPr>
                <w:sz w:val="22"/>
                <w:lang w:bidi="ar-SA"/>
              </w:rPr>
              <w:t>s</w:t>
            </w:r>
            <w:r w:rsidRPr="006C3682">
              <w:rPr>
                <w:sz w:val="22"/>
                <w:lang w:bidi="ar-SA"/>
              </w:rPr>
              <w:t>creening. However, it remains unclear whether shingle recharge activities beyond 2041 would continue under a future standalone application or form part of the proposed decommissioning works through to completion. Clarification on this point is required to confirm whether the potential effects of shingle recharge have been fully and appropriately assessed for the full project lifetime.</w:t>
            </w:r>
          </w:p>
        </w:tc>
      </w:tr>
      <w:tr w:rsidR="00572DB5" w:rsidRPr="006C3682" w14:paraId="6B4649CE" w14:textId="77777777" w:rsidTr="00B75127">
        <w:tc>
          <w:tcPr>
            <w:tcW w:w="1178" w:type="pct"/>
          </w:tcPr>
          <w:p w14:paraId="15D0A603" w14:textId="7407C191" w:rsidR="00572DB5" w:rsidRPr="00573D57" w:rsidRDefault="001F25F0" w:rsidP="001F25F0">
            <w:pPr>
              <w:spacing w:before="60" w:after="60"/>
              <w:rPr>
                <w:sz w:val="22"/>
                <w:lang w:val="fr-FR"/>
              </w:rPr>
            </w:pPr>
            <w:r w:rsidRPr="00573D57">
              <w:rPr>
                <w:sz w:val="22"/>
                <w:lang w:val="fr-FR"/>
              </w:rPr>
              <w:t>Comment (EIA Scope</w:t>
            </w:r>
            <w:r w:rsidR="00573D57" w:rsidRPr="00573D57">
              <w:rPr>
                <w:sz w:val="22"/>
                <w:lang w:val="fr-FR"/>
              </w:rPr>
              <w:t xml:space="preserve"> / </w:t>
            </w:r>
            <w:proofErr w:type="spellStart"/>
            <w:r w:rsidR="00573D57" w:rsidRPr="00573D57">
              <w:rPr>
                <w:sz w:val="22"/>
                <w:lang w:val="fr-FR"/>
              </w:rPr>
              <w:lastRenderedPageBreak/>
              <w:t>Assessment</w:t>
            </w:r>
            <w:proofErr w:type="spellEnd"/>
            <w:r w:rsidR="00573D57" w:rsidRPr="00573D57">
              <w:rPr>
                <w:sz w:val="22"/>
                <w:lang w:val="fr-FR"/>
              </w:rPr>
              <w:t xml:space="preserve"> Interactions</w:t>
            </w:r>
            <w:r w:rsidRPr="00573D57">
              <w:rPr>
                <w:sz w:val="22"/>
                <w:lang w:val="fr-FR"/>
              </w:rPr>
              <w:t>)</w:t>
            </w:r>
          </w:p>
        </w:tc>
        <w:tc>
          <w:tcPr>
            <w:tcW w:w="3822" w:type="pct"/>
          </w:tcPr>
          <w:p w14:paraId="007D8AE6" w14:textId="258C3447" w:rsidR="00572DB5" w:rsidRPr="006C3682" w:rsidRDefault="00016A12" w:rsidP="00016A12">
            <w:pPr>
              <w:spacing w:before="60" w:after="60"/>
              <w:rPr>
                <w:sz w:val="22"/>
                <w:lang w:bidi="ar-SA"/>
              </w:rPr>
            </w:pPr>
            <w:r w:rsidRPr="006C3682">
              <w:rPr>
                <w:sz w:val="22"/>
                <w:lang w:bidi="ar-SA"/>
              </w:rPr>
              <w:lastRenderedPageBreak/>
              <w:t xml:space="preserve">Coastal squeeze has been identified as a potential pathway of effect within the HRA; however, it is not immediately clear how this relates to the </w:t>
            </w:r>
            <w:r w:rsidR="00831A4E" w:rsidRPr="006C3682">
              <w:rPr>
                <w:sz w:val="22"/>
                <w:lang w:bidi="ar-SA"/>
              </w:rPr>
              <w:t>p</w:t>
            </w:r>
            <w:r w:rsidRPr="006C3682">
              <w:rPr>
                <w:sz w:val="22"/>
                <w:lang w:bidi="ar-SA"/>
              </w:rPr>
              <w:t xml:space="preserve">roposed </w:t>
            </w:r>
            <w:r w:rsidR="00A046C0" w:rsidRPr="006C3682">
              <w:rPr>
                <w:sz w:val="22"/>
                <w:lang w:bidi="ar-SA"/>
              </w:rPr>
              <w:t>works</w:t>
            </w:r>
            <w:r w:rsidRPr="006C3682">
              <w:rPr>
                <w:sz w:val="22"/>
                <w:lang w:bidi="ar-SA"/>
              </w:rPr>
              <w:t xml:space="preserve">, given that the project scope does not include activities such as the construction or maintenance of sea defences </w:t>
            </w:r>
            <w:r w:rsidRPr="006C3682">
              <w:rPr>
                <w:sz w:val="22"/>
                <w:lang w:bidi="ar-SA"/>
              </w:rPr>
              <w:lastRenderedPageBreak/>
              <w:t>that would typically give rise to coastal squeeze. The issue appears to be more closely associated with the maintenance of existing coastal defences, which has been considered under a separate application and standalone HRA. On this basis, it may be more appropriate for coastal squeeze to be considered, if relevant, within the in</w:t>
            </w:r>
            <w:r w:rsidRPr="006C3682">
              <w:rPr>
                <w:sz w:val="22"/>
                <w:lang w:bidi="ar-SA"/>
              </w:rPr>
              <w:noBreakHyphen/>
              <w:t xml:space="preserve">combination assessment rather than as a direct pathway of effect arising from the </w:t>
            </w:r>
            <w:r w:rsidR="00D10B3C" w:rsidRPr="006C3682">
              <w:rPr>
                <w:sz w:val="22"/>
                <w:lang w:bidi="ar-SA"/>
              </w:rPr>
              <w:t>p</w:t>
            </w:r>
            <w:r w:rsidRPr="006C3682">
              <w:rPr>
                <w:sz w:val="22"/>
                <w:lang w:bidi="ar-SA"/>
              </w:rPr>
              <w:t xml:space="preserve">roposed </w:t>
            </w:r>
            <w:r w:rsidR="00D10B3C" w:rsidRPr="006C3682">
              <w:rPr>
                <w:sz w:val="22"/>
                <w:lang w:bidi="ar-SA"/>
              </w:rPr>
              <w:t>works</w:t>
            </w:r>
            <w:r w:rsidRPr="006C3682">
              <w:rPr>
                <w:sz w:val="22"/>
                <w:lang w:bidi="ar-SA"/>
              </w:rPr>
              <w:t xml:space="preserve"> alone.</w:t>
            </w:r>
          </w:p>
        </w:tc>
      </w:tr>
      <w:tr w:rsidR="00572DB5" w:rsidRPr="006C3682" w14:paraId="0AECF02A" w14:textId="77777777" w:rsidTr="00B75127">
        <w:tc>
          <w:tcPr>
            <w:tcW w:w="1178" w:type="pct"/>
          </w:tcPr>
          <w:p w14:paraId="2C3F0FFF" w14:textId="6C3FDCD1" w:rsidR="00572DB5" w:rsidRPr="006C3682" w:rsidRDefault="00C02A28" w:rsidP="00C02A28">
            <w:pPr>
              <w:spacing w:before="60" w:after="60"/>
              <w:rPr>
                <w:sz w:val="22"/>
              </w:rPr>
            </w:pPr>
            <w:r w:rsidRPr="006C3682">
              <w:rPr>
                <w:sz w:val="22"/>
              </w:rPr>
              <w:lastRenderedPageBreak/>
              <w:t>Comment (EIA Scope)</w:t>
            </w:r>
          </w:p>
        </w:tc>
        <w:tc>
          <w:tcPr>
            <w:tcW w:w="3822" w:type="pct"/>
          </w:tcPr>
          <w:p w14:paraId="0A55716C" w14:textId="5F86D5AC" w:rsidR="00572DB5" w:rsidRPr="006C3682" w:rsidRDefault="00C02A28" w:rsidP="00C02A28">
            <w:pPr>
              <w:spacing w:before="60" w:after="60"/>
              <w:rPr>
                <w:sz w:val="22"/>
                <w:lang w:bidi="ar-SA"/>
              </w:rPr>
            </w:pPr>
            <w:r w:rsidRPr="006C3682">
              <w:rPr>
                <w:sz w:val="22"/>
                <w:lang w:bidi="ar-SA"/>
              </w:rPr>
              <w:t>It is unclear why barriers to migration have been identified as a potential impact pathway at this location. The English Channel in this area is relatively wide and, while it supports migratory marine mammals and fish species, project activities would need to be of a substantial scale to materially impede migration through this part of the Channel. Although this pathway is ultimately screened out, the rationale for its initial inclusion has not been clearly explained and would benefit from further clarification.</w:t>
            </w:r>
          </w:p>
        </w:tc>
      </w:tr>
      <w:tr w:rsidR="00C02A28" w:rsidRPr="006C3682" w14:paraId="12D7A6D3" w14:textId="77777777" w:rsidTr="00B75127">
        <w:tc>
          <w:tcPr>
            <w:tcW w:w="1178" w:type="pct"/>
          </w:tcPr>
          <w:p w14:paraId="6F930A31" w14:textId="0A6B892D" w:rsidR="00C02A28" w:rsidRPr="006C3682" w:rsidRDefault="00B12550" w:rsidP="00A63B6C">
            <w:pPr>
              <w:spacing w:before="60" w:after="60"/>
              <w:rPr>
                <w:sz w:val="22"/>
              </w:rPr>
            </w:pPr>
            <w:r>
              <w:rPr>
                <w:sz w:val="22"/>
              </w:rPr>
              <w:t>Observation</w:t>
            </w:r>
            <w:r w:rsidR="00A63B6C" w:rsidRPr="006C3682">
              <w:rPr>
                <w:sz w:val="22"/>
              </w:rPr>
              <w:t xml:space="preserve"> (Omission)</w:t>
            </w:r>
          </w:p>
        </w:tc>
        <w:tc>
          <w:tcPr>
            <w:tcW w:w="3822" w:type="pct"/>
          </w:tcPr>
          <w:p w14:paraId="76FAE95E" w14:textId="5C136E71" w:rsidR="00C02A28" w:rsidRPr="006C3682" w:rsidRDefault="00732A73" w:rsidP="00732A73">
            <w:pPr>
              <w:spacing w:before="60" w:after="60"/>
              <w:rPr>
                <w:sz w:val="22"/>
                <w:lang w:bidi="ar-SA"/>
              </w:rPr>
            </w:pPr>
            <w:r w:rsidRPr="006C3682">
              <w:rPr>
                <w:sz w:val="22"/>
                <w:lang w:bidi="ar-SA"/>
              </w:rPr>
              <w:t>There appears to be an omission in relation to direct habitat loss. Although limited and temporary habitat loss from marine works is acknowledged, this pathway has been screened out. However, any habitat loss within designated sites</w:t>
            </w:r>
            <w:r w:rsidR="00EC26CB" w:rsidRPr="006C3682">
              <w:rPr>
                <w:sz w:val="22"/>
                <w:lang w:bidi="ar-SA"/>
              </w:rPr>
              <w:t xml:space="preserve"> should usually</w:t>
            </w:r>
            <w:r w:rsidRPr="006C3682">
              <w:rPr>
                <w:sz w:val="22"/>
                <w:lang w:bidi="ar-SA"/>
              </w:rPr>
              <w:t xml:space="preserve"> </w:t>
            </w:r>
            <w:r w:rsidR="00AB5A31" w:rsidRPr="006C3682">
              <w:rPr>
                <w:sz w:val="22"/>
                <w:lang w:bidi="ar-SA"/>
              </w:rPr>
              <w:t xml:space="preserve">be considered to </w:t>
            </w:r>
            <w:r w:rsidRPr="006C3682">
              <w:rPr>
                <w:sz w:val="22"/>
                <w:lang w:bidi="ar-SA"/>
              </w:rPr>
              <w:t xml:space="preserve">be potentially significant and therefore requiring </w:t>
            </w:r>
            <w:r w:rsidR="00AB5A31" w:rsidRPr="006C3682">
              <w:rPr>
                <w:sz w:val="22"/>
                <w:lang w:bidi="ar-SA"/>
              </w:rPr>
              <w:t>a</w:t>
            </w:r>
            <w:r w:rsidRPr="006C3682">
              <w:rPr>
                <w:sz w:val="22"/>
                <w:lang w:bidi="ar-SA"/>
              </w:rPr>
              <w:t xml:space="preserve">ppropriate </w:t>
            </w:r>
            <w:r w:rsidR="00AB5A31" w:rsidRPr="006C3682">
              <w:rPr>
                <w:sz w:val="22"/>
                <w:lang w:bidi="ar-SA"/>
              </w:rPr>
              <w:t>a</w:t>
            </w:r>
            <w:r w:rsidRPr="006C3682">
              <w:rPr>
                <w:sz w:val="22"/>
                <w:lang w:bidi="ar-SA"/>
              </w:rPr>
              <w:t>ssessment. If this pathway has been excluded because the marine works are located outside designated sites, this should be clearly stated at the screening stage.</w:t>
            </w:r>
          </w:p>
        </w:tc>
      </w:tr>
    </w:tbl>
    <w:p w14:paraId="2D01C618" w14:textId="77777777" w:rsidR="00AC1DEB" w:rsidRPr="006C3682" w:rsidRDefault="00AC1DEB" w:rsidP="005E640A"/>
    <w:p w14:paraId="4704241B" w14:textId="3818136F" w:rsidR="005E640A" w:rsidRPr="006C3682" w:rsidRDefault="009D65F5" w:rsidP="006D2563">
      <w:pPr>
        <w:pStyle w:val="Heading3"/>
      </w:pPr>
      <w:r w:rsidRPr="006C3682">
        <w:t>Summary of the</w:t>
      </w:r>
      <w:r w:rsidR="006B35D4" w:rsidRPr="006C3682">
        <w:t xml:space="preserve"> HRA</w:t>
      </w:r>
    </w:p>
    <w:p w14:paraId="6B9587F7" w14:textId="0964710C" w:rsidR="007328D7" w:rsidRDefault="007328D7" w:rsidP="007328D7">
      <w:pPr>
        <w:pStyle w:val="Numberedparagraph"/>
        <w:rPr>
          <w:kern w:val="2"/>
          <w:szCs w:val="24"/>
          <w14:ligatures w14:val="standardContextual"/>
        </w:rPr>
      </w:pPr>
      <w:r>
        <w:t xml:space="preserve">In summary, without clearer justification of site selection, </w:t>
      </w:r>
      <w:proofErr w:type="spellStart"/>
      <w:r>
        <w:t>ZoIs</w:t>
      </w:r>
      <w:proofErr w:type="spellEnd"/>
      <w:r>
        <w:t xml:space="preserve">, mitigation timing and key impact pathways, and without improved alignment with RGP, the HRA screening conclusions </w:t>
      </w:r>
      <w:r w:rsidR="00D04998">
        <w:t>could be</w:t>
      </w:r>
      <w:r>
        <w:t xml:space="preserve"> vulnerable to challenge and may not be sufficient to rule out likely significant effects with confidence. We have identified one reservation relating to the level of information provided for the marine works, together with a number of observations and comments for EDF to consider when preparing its finalised HRA report.</w:t>
      </w:r>
    </w:p>
    <w:p w14:paraId="5B5A58BA" w14:textId="428CB934" w:rsidR="00736BF6" w:rsidRPr="006C3682" w:rsidRDefault="00457710" w:rsidP="008A17D5">
      <w:pPr>
        <w:pStyle w:val="Heading2"/>
      </w:pPr>
      <w:r w:rsidRPr="006C3682">
        <w:t>Marine Conservation Zone Assessment</w:t>
      </w:r>
      <w:r w:rsidR="0043661C" w:rsidRPr="006C3682">
        <w:t xml:space="preserve"> </w:t>
      </w:r>
    </w:p>
    <w:p w14:paraId="44493F2E" w14:textId="6E204249" w:rsidR="0043661C" w:rsidRPr="006C3682" w:rsidRDefault="00051256" w:rsidP="004C7A0D">
      <w:pPr>
        <w:pStyle w:val="Numberedparagraph"/>
      </w:pPr>
      <w:r>
        <w:t>We completed an assessment of the</w:t>
      </w:r>
      <w:r w:rsidR="0043661C" w:rsidRPr="006C3682">
        <w:t xml:space="preserve"> MCZ </w:t>
      </w:r>
      <w:r w:rsidR="003A2939">
        <w:t>a</w:t>
      </w:r>
      <w:r w:rsidR="0043661C" w:rsidRPr="006C3682">
        <w:t xml:space="preserve">ssessment </w:t>
      </w:r>
      <w:r w:rsidR="003A2939">
        <w:t>s</w:t>
      </w:r>
      <w:r w:rsidR="0043661C" w:rsidRPr="006C3682">
        <w:t xml:space="preserve">creening </w:t>
      </w:r>
      <w:r w:rsidR="003A2939">
        <w:t>r</w:t>
      </w:r>
      <w:r w:rsidR="0043661C" w:rsidRPr="006C3682">
        <w:t xml:space="preserve">eport </w:t>
      </w:r>
      <w:r>
        <w:t>in</w:t>
      </w:r>
      <w:r w:rsidR="0043661C" w:rsidRPr="006C3682">
        <w:t xml:space="preserve"> Appendix 1</w:t>
      </w:r>
      <w:r w:rsidR="00927504" w:rsidRPr="006C3682">
        <w:t>3</w:t>
      </w:r>
      <w:r w:rsidR="0043661C" w:rsidRPr="006C3682">
        <w:t xml:space="preserve">A of the </w:t>
      </w:r>
      <w:r w:rsidR="00894438" w:rsidRPr="006C3682">
        <w:t>scoping report</w:t>
      </w:r>
      <w:r w:rsidR="0043661C" w:rsidRPr="006C3682">
        <w:t xml:space="preserve">. </w:t>
      </w:r>
      <w:r w:rsidR="00997979">
        <w:t>Our opinion is presented in Table 6.</w:t>
      </w:r>
      <w:r w:rsidR="0043661C" w:rsidRPr="006C3682">
        <w:t xml:space="preserve"> </w:t>
      </w:r>
    </w:p>
    <w:p w14:paraId="02F97F44" w14:textId="206FD96F" w:rsidR="00F231FF" w:rsidRPr="002F1A7C" w:rsidRDefault="00F231FF" w:rsidP="00F231FF">
      <w:pPr>
        <w:pStyle w:val="Caption"/>
        <w:keepNext/>
        <w:rPr>
          <w:sz w:val="24"/>
          <w:szCs w:val="24"/>
        </w:rPr>
      </w:pPr>
      <w:r w:rsidRPr="002F1A7C">
        <w:rPr>
          <w:sz w:val="24"/>
          <w:szCs w:val="24"/>
        </w:rPr>
        <w:t xml:space="preserve">Table 6: Opinion on the </w:t>
      </w:r>
      <w:r w:rsidR="00D73DC8" w:rsidRPr="002F1A7C">
        <w:rPr>
          <w:sz w:val="24"/>
          <w:szCs w:val="24"/>
        </w:rPr>
        <w:t xml:space="preserve">MCZ </w:t>
      </w:r>
      <w:r w:rsidR="00901EBC">
        <w:rPr>
          <w:sz w:val="24"/>
          <w:szCs w:val="24"/>
        </w:rPr>
        <w:t>a</w:t>
      </w:r>
      <w:r w:rsidR="00D73DC8" w:rsidRPr="002F1A7C">
        <w:rPr>
          <w:sz w:val="24"/>
          <w:szCs w:val="24"/>
        </w:rPr>
        <w:t xml:space="preserve">ssessment </w:t>
      </w:r>
      <w:r w:rsidR="00901EBC">
        <w:rPr>
          <w:sz w:val="24"/>
          <w:szCs w:val="24"/>
        </w:rPr>
        <w:t>s</w:t>
      </w:r>
      <w:r w:rsidR="00D73DC8" w:rsidRPr="002F1A7C">
        <w:rPr>
          <w:sz w:val="24"/>
          <w:szCs w:val="24"/>
        </w:rPr>
        <w:t>creening report</w:t>
      </w:r>
    </w:p>
    <w:tbl>
      <w:tblPr>
        <w:tblStyle w:val="ONRTable1"/>
        <w:tblW w:w="5000" w:type="pct"/>
        <w:tblInd w:w="0" w:type="dxa"/>
        <w:tblLook w:val="01E0" w:firstRow="1" w:lastRow="1" w:firstColumn="1" w:lastColumn="1" w:noHBand="0" w:noVBand="0"/>
      </w:tblPr>
      <w:tblGrid>
        <w:gridCol w:w="2127"/>
        <w:gridCol w:w="6899"/>
      </w:tblGrid>
      <w:tr w:rsidR="00A15808" w:rsidRPr="006C3682" w14:paraId="4F9C1ECC" w14:textId="77777777">
        <w:trPr>
          <w:cnfStyle w:val="100000000000" w:firstRow="1" w:lastRow="0" w:firstColumn="0" w:lastColumn="0" w:oddVBand="0" w:evenVBand="0" w:oddHBand="0" w:evenHBand="0" w:firstRowFirstColumn="0" w:firstRowLastColumn="0" w:lastRowFirstColumn="0" w:lastRowLastColumn="0"/>
        </w:trPr>
        <w:tc>
          <w:tcPr>
            <w:tcW w:w="1178" w:type="pct"/>
          </w:tcPr>
          <w:p w14:paraId="25987A6A" w14:textId="27C49944" w:rsidR="00A15808" w:rsidRPr="006C3682" w:rsidRDefault="00A15808">
            <w:pPr>
              <w:spacing w:before="60" w:after="60"/>
              <w:rPr>
                <w:sz w:val="22"/>
              </w:rPr>
            </w:pPr>
            <w:r w:rsidRPr="006C3682">
              <w:rPr>
                <w:sz w:val="22"/>
              </w:rPr>
              <w:t xml:space="preserve">Category </w:t>
            </w:r>
            <w:r w:rsidR="002F1A7C">
              <w:rPr>
                <w:sz w:val="22"/>
              </w:rPr>
              <w:t>(theme)</w:t>
            </w:r>
          </w:p>
        </w:tc>
        <w:tc>
          <w:tcPr>
            <w:tcW w:w="3822" w:type="pct"/>
          </w:tcPr>
          <w:p w14:paraId="659CE8CE" w14:textId="77777777" w:rsidR="00A15808" w:rsidRPr="006C3682" w:rsidRDefault="00A15808">
            <w:pPr>
              <w:spacing w:before="60" w:after="60"/>
              <w:rPr>
                <w:sz w:val="22"/>
              </w:rPr>
            </w:pPr>
            <w:r w:rsidRPr="006C3682">
              <w:rPr>
                <w:sz w:val="22"/>
              </w:rPr>
              <w:t xml:space="preserve">Justification </w:t>
            </w:r>
          </w:p>
        </w:tc>
      </w:tr>
      <w:tr w:rsidR="002D0840" w:rsidRPr="006C3682" w14:paraId="110E2415" w14:textId="77777777">
        <w:tc>
          <w:tcPr>
            <w:tcW w:w="1178" w:type="pct"/>
          </w:tcPr>
          <w:p w14:paraId="65F184D9" w14:textId="0F1D2894" w:rsidR="002D0840" w:rsidRPr="006C3682" w:rsidRDefault="002D0840" w:rsidP="002D0840">
            <w:pPr>
              <w:spacing w:before="60" w:after="60"/>
              <w:rPr>
                <w:sz w:val="22"/>
              </w:rPr>
            </w:pPr>
            <w:r>
              <w:rPr>
                <w:sz w:val="22"/>
              </w:rPr>
              <w:t>Reservation (Evidence / Scope Definition)</w:t>
            </w:r>
          </w:p>
        </w:tc>
        <w:tc>
          <w:tcPr>
            <w:tcW w:w="3822" w:type="pct"/>
          </w:tcPr>
          <w:p w14:paraId="7D8276A2" w14:textId="471A5C34" w:rsidR="002D0840" w:rsidRPr="00A97600" w:rsidRDefault="002D0840" w:rsidP="002D0840">
            <w:pPr>
              <w:spacing w:before="60" w:after="60"/>
              <w:rPr>
                <w:sz w:val="22"/>
                <w:lang w:bidi="ar-SA"/>
              </w:rPr>
            </w:pPr>
            <w:r w:rsidRPr="006C3682">
              <w:rPr>
                <w:sz w:val="22"/>
                <w:lang w:bidi="ar-SA"/>
              </w:rPr>
              <w:t xml:space="preserve">Consistent with </w:t>
            </w:r>
            <w:r>
              <w:rPr>
                <w:sz w:val="22"/>
                <w:lang w:bidi="ar-SA"/>
              </w:rPr>
              <w:t xml:space="preserve">our reservation raised on the project description in the </w:t>
            </w:r>
            <w:r w:rsidRPr="006C3682">
              <w:rPr>
                <w:sz w:val="22"/>
                <w:lang w:bidi="ar-SA"/>
              </w:rPr>
              <w:t xml:space="preserve">EIA </w:t>
            </w:r>
            <w:r>
              <w:rPr>
                <w:sz w:val="22"/>
                <w:lang w:bidi="ar-SA"/>
              </w:rPr>
              <w:t>(see Table 3)</w:t>
            </w:r>
            <w:r w:rsidRPr="006C3682">
              <w:rPr>
                <w:sz w:val="22"/>
                <w:lang w:bidi="ar-SA"/>
              </w:rPr>
              <w:t xml:space="preserve">, the level of information provided in relation to the marine works remains insufficient. </w:t>
            </w:r>
            <w:r>
              <w:rPr>
                <w:sz w:val="22"/>
              </w:rPr>
              <w:t xml:space="preserve">Once further detail becomes </w:t>
            </w:r>
            <w:r>
              <w:rPr>
                <w:sz w:val="22"/>
              </w:rPr>
              <w:lastRenderedPageBreak/>
              <w:t xml:space="preserve">available, the </w:t>
            </w:r>
            <w:r w:rsidR="006D6FA7">
              <w:rPr>
                <w:sz w:val="22"/>
              </w:rPr>
              <w:t>MCZ assessment</w:t>
            </w:r>
            <w:r>
              <w:rPr>
                <w:sz w:val="22"/>
              </w:rPr>
              <w:t xml:space="preserve"> should be reviewed and revised </w:t>
            </w:r>
            <w:r w:rsidR="00C50C13">
              <w:rPr>
                <w:sz w:val="22"/>
              </w:rPr>
              <w:t>as necessary</w:t>
            </w:r>
            <w:r>
              <w:rPr>
                <w:sz w:val="22"/>
              </w:rPr>
              <w:t>.</w:t>
            </w:r>
          </w:p>
        </w:tc>
      </w:tr>
      <w:tr w:rsidR="002D0840" w:rsidRPr="006C3682" w14:paraId="6FA8A945" w14:textId="77777777">
        <w:tc>
          <w:tcPr>
            <w:tcW w:w="1178" w:type="pct"/>
          </w:tcPr>
          <w:p w14:paraId="107615C1" w14:textId="4C6A132D" w:rsidR="002D0840" w:rsidRPr="006C3682" w:rsidRDefault="002D0840" w:rsidP="002D0840">
            <w:pPr>
              <w:spacing w:before="60" w:after="60"/>
              <w:rPr>
                <w:sz w:val="22"/>
              </w:rPr>
            </w:pPr>
            <w:r w:rsidRPr="006C3682">
              <w:rPr>
                <w:sz w:val="22"/>
              </w:rPr>
              <w:lastRenderedPageBreak/>
              <w:t>Observation (EIA Methodology)</w:t>
            </w:r>
          </w:p>
        </w:tc>
        <w:tc>
          <w:tcPr>
            <w:tcW w:w="3822" w:type="pct"/>
          </w:tcPr>
          <w:p w14:paraId="1D2D587E" w14:textId="5A9C839D" w:rsidR="002D0840" w:rsidRPr="00A97600" w:rsidRDefault="002D0840" w:rsidP="002D0840">
            <w:pPr>
              <w:spacing w:before="60" w:after="60"/>
              <w:rPr>
                <w:sz w:val="22"/>
                <w:lang w:bidi="ar-SA"/>
              </w:rPr>
            </w:pPr>
            <w:r w:rsidRPr="00A97600">
              <w:rPr>
                <w:sz w:val="22"/>
                <w:lang w:bidi="ar-SA"/>
              </w:rPr>
              <w:t xml:space="preserve">The assessment should identify whether the project is located within or near an MCZ or HPMA by defining the </w:t>
            </w:r>
            <w:proofErr w:type="spellStart"/>
            <w:r w:rsidRPr="00A97600">
              <w:rPr>
                <w:sz w:val="22"/>
                <w:lang w:bidi="ar-SA"/>
              </w:rPr>
              <w:t>ZoI</w:t>
            </w:r>
            <w:proofErr w:type="spellEnd"/>
            <w:r w:rsidRPr="00A97600">
              <w:rPr>
                <w:sz w:val="22"/>
                <w:lang w:bidi="ar-SA"/>
              </w:rPr>
              <w:t xml:space="preserve">, using relevant data such as tidal excursion data from the </w:t>
            </w:r>
            <w:proofErr w:type="spellStart"/>
            <w:r w:rsidRPr="00A97600">
              <w:rPr>
                <w:sz w:val="22"/>
                <w:lang w:bidi="ar-SA"/>
              </w:rPr>
              <w:t>ABPmer</w:t>
            </w:r>
            <w:proofErr w:type="spellEnd"/>
            <w:r w:rsidRPr="00A97600">
              <w:rPr>
                <w:sz w:val="22"/>
                <w:lang w:bidi="ar-SA"/>
              </w:rPr>
              <w:t xml:space="preserve"> tidal database and the marine mammal management units. </w:t>
            </w:r>
          </w:p>
        </w:tc>
      </w:tr>
      <w:tr w:rsidR="002D0840" w:rsidRPr="006C3682" w14:paraId="3A0D0EBE" w14:textId="77777777">
        <w:tc>
          <w:tcPr>
            <w:tcW w:w="1178" w:type="pct"/>
          </w:tcPr>
          <w:p w14:paraId="722517A5" w14:textId="62A6C9D2" w:rsidR="002D0840" w:rsidRPr="006C3682" w:rsidRDefault="002D0840" w:rsidP="002D0840">
            <w:pPr>
              <w:spacing w:before="60" w:after="60"/>
              <w:rPr>
                <w:sz w:val="22"/>
              </w:rPr>
            </w:pPr>
            <w:r>
              <w:rPr>
                <w:sz w:val="22"/>
              </w:rPr>
              <w:t>Observation (</w:t>
            </w:r>
            <w:r w:rsidRPr="006C3682">
              <w:rPr>
                <w:sz w:val="22"/>
              </w:rPr>
              <w:t>EIA Methodology</w:t>
            </w:r>
            <w:r>
              <w:rPr>
                <w:sz w:val="22"/>
              </w:rPr>
              <w:t>)</w:t>
            </w:r>
          </w:p>
        </w:tc>
        <w:tc>
          <w:tcPr>
            <w:tcW w:w="3822" w:type="pct"/>
          </w:tcPr>
          <w:p w14:paraId="14090B8E" w14:textId="1C6F421E" w:rsidR="002D0840" w:rsidRPr="006C3682" w:rsidRDefault="002D0840" w:rsidP="002D0840">
            <w:pPr>
              <w:spacing w:before="60" w:after="60"/>
              <w:rPr>
                <w:sz w:val="22"/>
                <w:lang w:bidi="ar-SA"/>
              </w:rPr>
            </w:pPr>
            <w:r>
              <w:rPr>
                <w:sz w:val="22"/>
                <w:lang w:bidi="ar-SA"/>
              </w:rPr>
              <w:t>The assessment should clearly state</w:t>
            </w:r>
            <w:r w:rsidRPr="005F75C5">
              <w:rPr>
                <w:sz w:val="22"/>
                <w:lang w:bidi="ar-SA"/>
              </w:rPr>
              <w:t xml:space="preserve"> which project activities, and which aspects of those activities, could give rise to effects that are more than insignificant. </w:t>
            </w:r>
          </w:p>
        </w:tc>
      </w:tr>
      <w:tr w:rsidR="002D0840" w:rsidRPr="006C3682" w14:paraId="700F29AF" w14:textId="77777777">
        <w:tc>
          <w:tcPr>
            <w:tcW w:w="1178" w:type="pct"/>
          </w:tcPr>
          <w:p w14:paraId="3472B18E" w14:textId="1E07BFA3" w:rsidR="002D0840" w:rsidRPr="006C3682" w:rsidRDefault="002D0840" w:rsidP="002D0840">
            <w:pPr>
              <w:spacing w:before="60" w:after="60"/>
              <w:rPr>
                <w:sz w:val="22"/>
              </w:rPr>
            </w:pPr>
            <w:r w:rsidRPr="006C3682">
              <w:rPr>
                <w:sz w:val="22"/>
              </w:rPr>
              <w:t>Observation (EIA Methodology)</w:t>
            </w:r>
          </w:p>
        </w:tc>
        <w:tc>
          <w:tcPr>
            <w:tcW w:w="3822" w:type="pct"/>
          </w:tcPr>
          <w:p w14:paraId="2F12673C" w14:textId="45F3586A" w:rsidR="002D0840" w:rsidRPr="006C3682" w:rsidRDefault="002D0840" w:rsidP="002D0840">
            <w:pPr>
              <w:spacing w:before="60" w:after="60"/>
              <w:rPr>
                <w:sz w:val="22"/>
                <w:lang w:bidi="ar-SA"/>
              </w:rPr>
            </w:pPr>
            <w:r w:rsidRPr="006C3682">
              <w:rPr>
                <w:sz w:val="22"/>
                <w:lang w:bidi="ar-SA"/>
              </w:rPr>
              <w:t xml:space="preserve">The </w:t>
            </w:r>
            <w:proofErr w:type="spellStart"/>
            <w:r w:rsidRPr="006C3682">
              <w:rPr>
                <w:sz w:val="22"/>
                <w:lang w:bidi="ar-SA"/>
              </w:rPr>
              <w:t>ZoI</w:t>
            </w:r>
            <w:proofErr w:type="spellEnd"/>
            <w:r w:rsidRPr="006C3682">
              <w:rPr>
                <w:sz w:val="22"/>
                <w:lang w:bidi="ar-SA"/>
              </w:rPr>
              <w:t xml:space="preserve"> for marine mammals should be defined using recognised frameworks: marine mammal management units for cetaceans, and OSPAR sea regions for seals. The use of an arbitrary 100 km </w:t>
            </w:r>
            <w:proofErr w:type="spellStart"/>
            <w:r w:rsidRPr="006C3682">
              <w:rPr>
                <w:sz w:val="22"/>
                <w:lang w:bidi="ar-SA"/>
              </w:rPr>
              <w:t>ZoI</w:t>
            </w:r>
            <w:proofErr w:type="spellEnd"/>
            <w:r w:rsidRPr="006C3682">
              <w:rPr>
                <w:sz w:val="22"/>
                <w:lang w:bidi="ar-SA"/>
              </w:rPr>
              <w:t xml:space="preserve"> in this report, without any explanation or evidence to justify how this distance was derived, does not align with </w:t>
            </w:r>
            <w:r>
              <w:rPr>
                <w:sz w:val="22"/>
                <w:lang w:bidi="ar-SA"/>
              </w:rPr>
              <w:t>RGP</w:t>
            </w:r>
            <w:r w:rsidRPr="006C3682">
              <w:rPr>
                <w:sz w:val="22"/>
                <w:lang w:bidi="ar-SA"/>
              </w:rPr>
              <w:t>.</w:t>
            </w:r>
          </w:p>
        </w:tc>
      </w:tr>
      <w:tr w:rsidR="002D0840" w:rsidRPr="006C3682" w14:paraId="43CCC0E8" w14:textId="77777777">
        <w:tc>
          <w:tcPr>
            <w:tcW w:w="1178" w:type="pct"/>
          </w:tcPr>
          <w:p w14:paraId="07D0F164" w14:textId="410AA0F5" w:rsidR="002D0840" w:rsidRPr="006C3682" w:rsidRDefault="002D0840" w:rsidP="002D0840">
            <w:pPr>
              <w:spacing w:before="60" w:after="60"/>
              <w:rPr>
                <w:sz w:val="22"/>
              </w:rPr>
            </w:pPr>
            <w:r w:rsidRPr="006C3682">
              <w:rPr>
                <w:sz w:val="22"/>
              </w:rPr>
              <w:t>Observation (Clarity)</w:t>
            </w:r>
          </w:p>
        </w:tc>
        <w:tc>
          <w:tcPr>
            <w:tcW w:w="3822" w:type="pct"/>
          </w:tcPr>
          <w:p w14:paraId="75C93A41" w14:textId="4FCDB916" w:rsidR="002D0840" w:rsidRPr="006C3682" w:rsidRDefault="002D0840" w:rsidP="002D0840">
            <w:pPr>
              <w:spacing w:before="60" w:after="60"/>
              <w:rPr>
                <w:sz w:val="22"/>
                <w:lang w:bidi="ar-SA"/>
              </w:rPr>
            </w:pPr>
            <w:r w:rsidRPr="006C3682">
              <w:rPr>
                <w:sz w:val="22"/>
                <w:lang w:bidi="ar-SA"/>
              </w:rPr>
              <w:t>The assessment is unclear on the source of airborne noise affecting seals while hauled out on the beach. It should be clarified whether this noise arises from marine shipping activities associated with the works, demolition of on</w:t>
            </w:r>
            <w:r w:rsidRPr="006C3682">
              <w:rPr>
                <w:sz w:val="22"/>
                <w:lang w:bidi="ar-SA"/>
              </w:rPr>
              <w:noBreakHyphen/>
              <w:t>site facilities, or a combination of both, and how each source may contribute to potential disturbance.</w:t>
            </w:r>
          </w:p>
        </w:tc>
      </w:tr>
      <w:tr w:rsidR="002D0840" w:rsidRPr="006C3682" w14:paraId="7D878EC9" w14:textId="77777777">
        <w:tc>
          <w:tcPr>
            <w:tcW w:w="1178" w:type="pct"/>
          </w:tcPr>
          <w:p w14:paraId="0B077858" w14:textId="7A2D0997" w:rsidR="002D0840" w:rsidRPr="006C3682" w:rsidRDefault="002D0840" w:rsidP="002D0840">
            <w:pPr>
              <w:spacing w:before="60" w:after="60"/>
              <w:rPr>
                <w:sz w:val="22"/>
              </w:rPr>
            </w:pPr>
            <w:r w:rsidRPr="006C3682">
              <w:rPr>
                <w:sz w:val="22"/>
              </w:rPr>
              <w:t>Observation (EIA Methodology / Clarity)</w:t>
            </w:r>
          </w:p>
        </w:tc>
        <w:tc>
          <w:tcPr>
            <w:tcW w:w="3822" w:type="pct"/>
          </w:tcPr>
          <w:p w14:paraId="38A06D22" w14:textId="2C5C6F70" w:rsidR="002D0840" w:rsidRPr="006C3682" w:rsidRDefault="002D0840" w:rsidP="002D0840">
            <w:pPr>
              <w:spacing w:before="60" w:after="60"/>
              <w:rPr>
                <w:sz w:val="22"/>
                <w:lang w:bidi="ar-SA"/>
              </w:rPr>
            </w:pPr>
            <w:r w:rsidRPr="006C3682">
              <w:rPr>
                <w:sz w:val="22"/>
                <w:lang w:bidi="ar-SA"/>
              </w:rPr>
              <w:t xml:space="preserve">The </w:t>
            </w:r>
            <w:proofErr w:type="spellStart"/>
            <w:r w:rsidRPr="006C3682">
              <w:rPr>
                <w:sz w:val="22"/>
                <w:lang w:bidi="ar-SA"/>
              </w:rPr>
              <w:t>ZoI</w:t>
            </w:r>
            <w:proofErr w:type="spellEnd"/>
            <w:r w:rsidRPr="006C3682">
              <w:rPr>
                <w:sz w:val="22"/>
                <w:lang w:bidi="ar-SA"/>
              </w:rPr>
              <w:t xml:space="preserve"> appears to be based on receptor presence rather than the realistic spatial extent of the effect pathway. For example, the activities described are unlikely to generate airborne noise that is either sufficiently loud or capable of propagating over long distances. As such, a clear justification should be given for the 60 km </w:t>
            </w:r>
            <w:proofErr w:type="spellStart"/>
            <w:r w:rsidRPr="006C3682">
              <w:rPr>
                <w:sz w:val="22"/>
                <w:lang w:bidi="ar-SA"/>
              </w:rPr>
              <w:t>ZoI</w:t>
            </w:r>
            <w:proofErr w:type="spellEnd"/>
            <w:r w:rsidRPr="006C3682">
              <w:rPr>
                <w:sz w:val="22"/>
                <w:lang w:bidi="ar-SA"/>
              </w:rPr>
              <w:t xml:space="preserve"> applied to seals for airborne noise. The same issue applies to the </w:t>
            </w:r>
            <w:proofErr w:type="spellStart"/>
            <w:r w:rsidRPr="006C3682">
              <w:rPr>
                <w:sz w:val="22"/>
                <w:lang w:bidi="ar-SA"/>
              </w:rPr>
              <w:t>ZoI</w:t>
            </w:r>
            <w:proofErr w:type="spellEnd"/>
            <w:r w:rsidRPr="006C3682">
              <w:rPr>
                <w:sz w:val="22"/>
                <w:lang w:bidi="ar-SA"/>
              </w:rPr>
              <w:t xml:space="preserve"> defined for underwater noise affecting marine fish and marine mammals, which should be based on predicted effect ranges rather than receptor distribution alone.</w:t>
            </w:r>
          </w:p>
        </w:tc>
      </w:tr>
      <w:tr w:rsidR="002D0840" w:rsidRPr="006C3682" w14:paraId="2C187133" w14:textId="77777777">
        <w:tc>
          <w:tcPr>
            <w:tcW w:w="1178" w:type="pct"/>
          </w:tcPr>
          <w:p w14:paraId="4A563723" w14:textId="372FCBC9" w:rsidR="002D0840" w:rsidRPr="00530934" w:rsidRDefault="002D0840" w:rsidP="002D0840">
            <w:pPr>
              <w:spacing w:before="60" w:after="60"/>
              <w:rPr>
                <w:sz w:val="22"/>
                <w:lang w:val="fr-FR"/>
              </w:rPr>
            </w:pPr>
            <w:r w:rsidRPr="00F54B45">
              <w:rPr>
                <w:sz w:val="22"/>
                <w:lang w:val="fr-FR"/>
              </w:rPr>
              <w:t>Comment (EIA Scope)</w:t>
            </w:r>
          </w:p>
        </w:tc>
        <w:tc>
          <w:tcPr>
            <w:tcW w:w="3822" w:type="pct"/>
          </w:tcPr>
          <w:p w14:paraId="688E09BC" w14:textId="4D39181A" w:rsidR="002D0840" w:rsidRPr="006C3682" w:rsidRDefault="002D0840" w:rsidP="002D0840">
            <w:pPr>
              <w:spacing w:before="60" w:after="60"/>
              <w:rPr>
                <w:sz w:val="22"/>
                <w:lang w:bidi="ar-SA"/>
              </w:rPr>
            </w:pPr>
            <w:r w:rsidRPr="006C3682">
              <w:rPr>
                <w:sz w:val="22"/>
                <w:lang w:bidi="ar-SA"/>
              </w:rPr>
              <w:t>Given the site’s location adjacent to one of the busiest shipping lanes in Europe, any temporary increase in vessel presence or associated airborne noise is unlikely to result in a significant effect. As noted above, the relevant test is whether the proposed activities could affect receptors other than insignificantly. In this context, and noting that the intake and outfall are not located within an MCZ or HPMA, these effects could reasonably be screened out.</w:t>
            </w:r>
          </w:p>
        </w:tc>
      </w:tr>
      <w:tr w:rsidR="002D0840" w:rsidRPr="006C3682" w14:paraId="52490508" w14:textId="77777777">
        <w:tc>
          <w:tcPr>
            <w:tcW w:w="1178" w:type="pct"/>
          </w:tcPr>
          <w:p w14:paraId="547DA244" w14:textId="74AB845E" w:rsidR="002D0840" w:rsidRPr="006C3682" w:rsidRDefault="002D0840" w:rsidP="002D0840">
            <w:pPr>
              <w:spacing w:before="60" w:after="60"/>
              <w:rPr>
                <w:sz w:val="22"/>
              </w:rPr>
            </w:pPr>
            <w:r w:rsidRPr="006C3682">
              <w:rPr>
                <w:sz w:val="22"/>
              </w:rPr>
              <w:t>Observation (EIA Scope / Omission)</w:t>
            </w:r>
          </w:p>
        </w:tc>
        <w:tc>
          <w:tcPr>
            <w:tcW w:w="3822" w:type="pct"/>
          </w:tcPr>
          <w:p w14:paraId="72C6DE3F" w14:textId="44863D42" w:rsidR="002D0840" w:rsidRPr="006C3682" w:rsidRDefault="002D0840" w:rsidP="002D0840">
            <w:pPr>
              <w:spacing w:before="60" w:after="60"/>
              <w:rPr>
                <w:sz w:val="22"/>
                <w:lang w:bidi="ar-SA"/>
              </w:rPr>
            </w:pPr>
            <w:r w:rsidRPr="006C3682">
              <w:rPr>
                <w:sz w:val="22"/>
                <w:lang w:bidi="ar-SA"/>
              </w:rPr>
              <w:t>There is no clear consideration of potential transboundary effects. It is unclear whether any marine protected areas designated under the Marine Strategy Framework Directive in EU Member States have been identified or screened into the assessment.</w:t>
            </w:r>
          </w:p>
        </w:tc>
      </w:tr>
      <w:tr w:rsidR="002D0840" w:rsidRPr="006C3682" w14:paraId="694EF9F6" w14:textId="77777777">
        <w:tc>
          <w:tcPr>
            <w:tcW w:w="1178" w:type="pct"/>
          </w:tcPr>
          <w:p w14:paraId="5652DE58" w14:textId="4F895496" w:rsidR="002D0840" w:rsidRPr="006C3682" w:rsidRDefault="002D0840" w:rsidP="002D0840">
            <w:pPr>
              <w:spacing w:before="60" w:after="60"/>
              <w:rPr>
                <w:sz w:val="22"/>
              </w:rPr>
            </w:pPr>
            <w:r w:rsidRPr="006C3682">
              <w:rPr>
                <w:sz w:val="22"/>
              </w:rPr>
              <w:t>Observation (Structure)</w:t>
            </w:r>
          </w:p>
        </w:tc>
        <w:tc>
          <w:tcPr>
            <w:tcW w:w="3822" w:type="pct"/>
          </w:tcPr>
          <w:p w14:paraId="4428B906" w14:textId="5844D611" w:rsidR="002D0840" w:rsidRPr="006C3682" w:rsidRDefault="002D0840" w:rsidP="002D0840">
            <w:pPr>
              <w:spacing w:before="60" w:after="60"/>
              <w:rPr>
                <w:sz w:val="22"/>
                <w:lang w:bidi="ar-SA"/>
              </w:rPr>
            </w:pPr>
            <w:r w:rsidRPr="006C3682">
              <w:rPr>
                <w:sz w:val="22"/>
                <w:lang w:bidi="ar-SA"/>
              </w:rPr>
              <w:t xml:space="preserve">In Section 4, the sequencing of information </w:t>
            </w:r>
            <w:r>
              <w:rPr>
                <w:sz w:val="22"/>
                <w:lang w:bidi="ar-SA"/>
              </w:rPr>
              <w:t>sh</w:t>
            </w:r>
            <w:r w:rsidRPr="006C3682">
              <w:rPr>
                <w:sz w:val="22"/>
                <w:lang w:bidi="ar-SA"/>
              </w:rPr>
              <w:t xml:space="preserve">ould be </w:t>
            </w:r>
            <w:r>
              <w:rPr>
                <w:sz w:val="22"/>
                <w:lang w:bidi="ar-SA"/>
              </w:rPr>
              <w:t>reviewed to ensure alignment with RGP.</w:t>
            </w:r>
            <w:r w:rsidRPr="006C3682">
              <w:rPr>
                <w:sz w:val="22"/>
                <w:lang w:bidi="ar-SA"/>
              </w:rPr>
              <w:t xml:space="preserve"> Designated sites should first be identified using a standard, justified </w:t>
            </w:r>
            <w:proofErr w:type="spellStart"/>
            <w:r w:rsidRPr="006C3682">
              <w:rPr>
                <w:sz w:val="22"/>
                <w:lang w:bidi="ar-SA"/>
              </w:rPr>
              <w:t>ZoI</w:t>
            </w:r>
            <w:proofErr w:type="spellEnd"/>
            <w:r w:rsidRPr="006C3682">
              <w:rPr>
                <w:sz w:val="22"/>
                <w:lang w:bidi="ar-SA"/>
              </w:rPr>
              <w:t xml:space="preserve">. Only once relevant sites have been screened in should the receptors and their sensitivities </w:t>
            </w:r>
            <w:r w:rsidRPr="006C3682">
              <w:rPr>
                <w:sz w:val="22"/>
                <w:lang w:bidi="ar-SA"/>
              </w:rPr>
              <w:lastRenderedPageBreak/>
              <w:t>be described, followed by consideration of the potential effects of project activities on those receptors within the MCZs/HPMAs.</w:t>
            </w:r>
          </w:p>
        </w:tc>
      </w:tr>
      <w:tr w:rsidR="002D0840" w:rsidRPr="006C3682" w14:paraId="650D5CB4" w14:textId="77777777">
        <w:tc>
          <w:tcPr>
            <w:tcW w:w="1178" w:type="pct"/>
          </w:tcPr>
          <w:p w14:paraId="715CC303" w14:textId="2C63E815" w:rsidR="002D0840" w:rsidRPr="006C3682" w:rsidRDefault="002D0840" w:rsidP="002D0840">
            <w:pPr>
              <w:spacing w:before="60" w:after="60"/>
              <w:rPr>
                <w:sz w:val="22"/>
              </w:rPr>
            </w:pPr>
            <w:r w:rsidRPr="006C3682">
              <w:rPr>
                <w:sz w:val="22"/>
              </w:rPr>
              <w:lastRenderedPageBreak/>
              <w:t>Comment (EIA Scope)</w:t>
            </w:r>
          </w:p>
        </w:tc>
        <w:tc>
          <w:tcPr>
            <w:tcW w:w="3822" w:type="pct"/>
          </w:tcPr>
          <w:p w14:paraId="0EB230F8" w14:textId="43808C36" w:rsidR="002D0840" w:rsidRPr="006C3682" w:rsidRDefault="002D0840" w:rsidP="002D0840">
            <w:pPr>
              <w:spacing w:before="60" w:after="60"/>
              <w:rPr>
                <w:sz w:val="22"/>
                <w:lang w:bidi="ar-SA"/>
              </w:rPr>
            </w:pPr>
            <w:r w:rsidRPr="006C3682">
              <w:rPr>
                <w:sz w:val="22"/>
                <w:lang w:bidi="ar-SA"/>
              </w:rPr>
              <w:t>Any increases in suspended sediment or deposition arising from anchor chain movement or jack up barge foot placement are likely to be minimal and barely perceptible. These effects may therefore be considered insignificant and could be reasonably screened out as a pathway. This is particularly relevant given the site is not located within an MCZ or HPMA.</w:t>
            </w:r>
          </w:p>
        </w:tc>
      </w:tr>
      <w:tr w:rsidR="002D0840" w:rsidRPr="006C3682" w14:paraId="1C5FDAB5" w14:textId="77777777">
        <w:tc>
          <w:tcPr>
            <w:tcW w:w="1178" w:type="pct"/>
          </w:tcPr>
          <w:p w14:paraId="6090516E" w14:textId="337ABC15" w:rsidR="002D0840" w:rsidRPr="006C3682" w:rsidRDefault="002D0840" w:rsidP="002D0840">
            <w:pPr>
              <w:spacing w:before="60" w:after="60"/>
              <w:rPr>
                <w:sz w:val="22"/>
              </w:rPr>
            </w:pPr>
            <w:r w:rsidRPr="006C3682">
              <w:rPr>
                <w:sz w:val="22"/>
              </w:rPr>
              <w:t>Comment (Clarity)</w:t>
            </w:r>
          </w:p>
        </w:tc>
        <w:tc>
          <w:tcPr>
            <w:tcW w:w="3822" w:type="pct"/>
          </w:tcPr>
          <w:p w14:paraId="1B90C846" w14:textId="4C193222" w:rsidR="002D0840" w:rsidRPr="006C3682" w:rsidRDefault="002D0840" w:rsidP="002D0840">
            <w:pPr>
              <w:spacing w:before="60" w:after="60"/>
              <w:rPr>
                <w:sz w:val="22"/>
                <w:lang w:bidi="ar-SA"/>
              </w:rPr>
            </w:pPr>
            <w:r w:rsidRPr="006C3682">
              <w:rPr>
                <w:sz w:val="22"/>
                <w:lang w:bidi="ar-SA"/>
              </w:rPr>
              <w:t>The reference to “Medway Estuary MCZ Zone 2” is misleading and should be corrected. The site was extended in 2019 to include additional smelt spawning habitat and to reflect the tidal incursion range of the river; this extension does not constitute a separate zone. The designation is simply Medway Estuary MCZ, and both parts of the site support smelt as a qualifying feature.</w:t>
            </w:r>
          </w:p>
        </w:tc>
      </w:tr>
      <w:tr w:rsidR="002D0840" w:rsidRPr="006C3682" w14:paraId="3BE13D00" w14:textId="77777777">
        <w:tc>
          <w:tcPr>
            <w:tcW w:w="1178" w:type="pct"/>
          </w:tcPr>
          <w:p w14:paraId="24560ADA" w14:textId="61A6006A" w:rsidR="002D0840" w:rsidRPr="006C3682" w:rsidRDefault="002D0840" w:rsidP="002D0840">
            <w:pPr>
              <w:spacing w:before="60" w:after="60"/>
              <w:rPr>
                <w:sz w:val="22"/>
              </w:rPr>
            </w:pPr>
            <w:r w:rsidRPr="006C3682">
              <w:rPr>
                <w:sz w:val="22"/>
              </w:rPr>
              <w:t>Comment (EIA Scope)</w:t>
            </w:r>
          </w:p>
        </w:tc>
        <w:tc>
          <w:tcPr>
            <w:tcW w:w="3822" w:type="pct"/>
          </w:tcPr>
          <w:p w14:paraId="13EB1069" w14:textId="4BB40CB8" w:rsidR="002D0840" w:rsidRPr="006C3682" w:rsidRDefault="002D0840" w:rsidP="002D0840">
            <w:pPr>
              <w:spacing w:before="60" w:after="60"/>
              <w:rPr>
                <w:sz w:val="22"/>
                <w:lang w:bidi="ar-SA"/>
              </w:rPr>
            </w:pPr>
            <w:r w:rsidRPr="006C3682">
              <w:rPr>
                <w:sz w:val="22"/>
                <w:lang w:bidi="ar-SA"/>
              </w:rPr>
              <w:t>The relevance of the Medway Estuary MCZ to the assessment is unclear and appears to be a stretch. Although the feature of interest is migratory fish, it is unlikely that smelt originating from the Medway Estuary would occur in the project area. Smelt are not known to migrate over large distances and typically inhabit coastal and brackish waters. On this basis, the justification for including Medway Estuary MCZ should be clearly explained or the site screened out.</w:t>
            </w:r>
          </w:p>
        </w:tc>
      </w:tr>
      <w:tr w:rsidR="002D0840" w:rsidRPr="006C3682" w14:paraId="6BE5BA9B" w14:textId="77777777">
        <w:tc>
          <w:tcPr>
            <w:tcW w:w="1178" w:type="pct"/>
          </w:tcPr>
          <w:p w14:paraId="4AEDECF6" w14:textId="16132FCF" w:rsidR="002D0840" w:rsidRPr="004F442A" w:rsidRDefault="002D0840" w:rsidP="002D0840">
            <w:pPr>
              <w:spacing w:before="60" w:after="60"/>
              <w:rPr>
                <w:sz w:val="22"/>
                <w:lang w:val="fr-FR"/>
              </w:rPr>
            </w:pPr>
            <w:r w:rsidRPr="004F442A">
              <w:rPr>
                <w:sz w:val="22"/>
                <w:lang w:val="fr-FR"/>
              </w:rPr>
              <w:t xml:space="preserve">Comment (Scope </w:t>
            </w:r>
            <w:proofErr w:type="spellStart"/>
            <w:r w:rsidRPr="004F442A">
              <w:rPr>
                <w:sz w:val="22"/>
                <w:lang w:val="fr-FR"/>
              </w:rPr>
              <w:t>Definition</w:t>
            </w:r>
            <w:proofErr w:type="spellEnd"/>
            <w:r w:rsidRPr="004F442A">
              <w:rPr>
                <w:sz w:val="22"/>
                <w:lang w:val="fr-FR"/>
              </w:rPr>
              <w:t xml:space="preserve"> / EIA Scope / </w:t>
            </w:r>
            <w:proofErr w:type="spellStart"/>
            <w:r w:rsidRPr="004F442A">
              <w:rPr>
                <w:sz w:val="22"/>
                <w:lang w:val="fr-FR"/>
              </w:rPr>
              <w:t>Assessment</w:t>
            </w:r>
            <w:proofErr w:type="spellEnd"/>
            <w:r w:rsidRPr="004F442A">
              <w:rPr>
                <w:sz w:val="22"/>
                <w:lang w:val="fr-FR"/>
              </w:rPr>
              <w:t xml:space="preserve"> Interactions)</w:t>
            </w:r>
          </w:p>
        </w:tc>
        <w:tc>
          <w:tcPr>
            <w:tcW w:w="3822" w:type="pct"/>
          </w:tcPr>
          <w:p w14:paraId="4C913DCC" w14:textId="08747B4B" w:rsidR="002D0840" w:rsidRPr="006C3682" w:rsidRDefault="002D0840" w:rsidP="002D0840">
            <w:pPr>
              <w:spacing w:before="60" w:after="60"/>
              <w:rPr>
                <w:sz w:val="22"/>
                <w:lang w:bidi="ar-SA"/>
              </w:rPr>
            </w:pPr>
            <w:r w:rsidRPr="006C3682">
              <w:rPr>
                <w:sz w:val="22"/>
                <w:lang w:bidi="ar-SA"/>
              </w:rPr>
              <w:t xml:space="preserve">In the Dolphin Head HPMA: </w:t>
            </w:r>
          </w:p>
          <w:p w14:paraId="44ADB87A" w14:textId="2CBFC14A" w:rsidR="002D0840" w:rsidRPr="006C3682" w:rsidRDefault="002D0840" w:rsidP="002D0840">
            <w:pPr>
              <w:pStyle w:val="ListParagraph"/>
              <w:numPr>
                <w:ilvl w:val="0"/>
                <w:numId w:val="12"/>
              </w:numPr>
              <w:spacing w:before="60" w:after="60"/>
              <w:rPr>
                <w:sz w:val="22"/>
                <w:lang w:bidi="ar-SA"/>
              </w:rPr>
            </w:pPr>
            <w:r w:rsidRPr="006C3682">
              <w:rPr>
                <w:sz w:val="22"/>
                <w:lang w:bidi="ar-SA"/>
              </w:rPr>
              <w:t xml:space="preserve">The inclusion of dolphin species is not appropriate as cetaceans are not qualifying features of this site’s designation. Consideration of other cetaceans should be addressed within the ES or HRA, as relevant, rather than within this assessment. </w:t>
            </w:r>
          </w:p>
          <w:p w14:paraId="0B04B90D" w14:textId="77777777" w:rsidR="002D0840" w:rsidRPr="006C3682" w:rsidRDefault="002D0840" w:rsidP="002D0840">
            <w:pPr>
              <w:pStyle w:val="ListParagraph"/>
              <w:spacing w:before="60" w:after="60"/>
              <w:rPr>
                <w:sz w:val="22"/>
                <w:lang w:bidi="ar-SA"/>
              </w:rPr>
            </w:pPr>
          </w:p>
          <w:p w14:paraId="24A8698B" w14:textId="7D30655E" w:rsidR="002D0840" w:rsidRPr="006C3682" w:rsidRDefault="002D0840" w:rsidP="002D0840">
            <w:pPr>
              <w:pStyle w:val="ListParagraph"/>
              <w:numPr>
                <w:ilvl w:val="0"/>
                <w:numId w:val="12"/>
              </w:numPr>
              <w:spacing w:before="60" w:after="60"/>
              <w:rPr>
                <w:sz w:val="22"/>
                <w:lang w:bidi="ar-SA"/>
              </w:rPr>
            </w:pPr>
            <w:r w:rsidRPr="006C3682">
              <w:rPr>
                <w:sz w:val="22"/>
                <w:lang w:bidi="ar-SA"/>
              </w:rPr>
              <w:t>Of the seal species, only grey seal is a protected feature of the HPMA; harbour seal is not. Any discussion relating to harbour seal should therefore be confined to the EIA and removed from this document.</w:t>
            </w:r>
          </w:p>
        </w:tc>
      </w:tr>
    </w:tbl>
    <w:p w14:paraId="6481407E" w14:textId="77777777" w:rsidR="00BC69FF" w:rsidRPr="006C3682" w:rsidRDefault="00BC69FF" w:rsidP="00435747"/>
    <w:p w14:paraId="3127C31A" w14:textId="77777777" w:rsidR="00BC69FF" w:rsidRPr="006C3682" w:rsidRDefault="00BC69FF" w:rsidP="00BC69FF">
      <w:pPr>
        <w:pStyle w:val="Heading3"/>
      </w:pPr>
      <w:r w:rsidRPr="006C3682">
        <w:t xml:space="preserve">Summary of the MCZ assessment </w:t>
      </w:r>
    </w:p>
    <w:p w14:paraId="124356CD" w14:textId="1536FFA7" w:rsidR="00D457CF" w:rsidRDefault="00D457CF" w:rsidP="00D457CF">
      <w:pPr>
        <w:pStyle w:val="Numberedparagraph"/>
        <w:rPr>
          <w:kern w:val="2"/>
          <w:szCs w:val="24"/>
          <w14:ligatures w14:val="standardContextual"/>
        </w:rPr>
      </w:pPr>
      <w:r>
        <w:t xml:space="preserve">In summary, without methodological correction and clearer justification of </w:t>
      </w:r>
      <w:proofErr w:type="spellStart"/>
      <w:r>
        <w:t>ZoIs</w:t>
      </w:r>
      <w:proofErr w:type="spellEnd"/>
      <w:r>
        <w:t xml:space="preserve">, pathways and site relevance, the MCZ assessment </w:t>
      </w:r>
      <w:r w:rsidR="00D04998">
        <w:t>could be</w:t>
      </w:r>
      <w:r>
        <w:t xml:space="preserve"> vulnerable </w:t>
      </w:r>
      <w:r w:rsidR="00A405A3">
        <w:t>to</w:t>
      </w:r>
      <w:r>
        <w:t xml:space="preserve"> challenge and requests for further information or re-assessment. We have identified one reservation relating to the level of information provided for the marine works, together with a number of observations and comments for EDF to consider when preparing its finalised MCZ assessment.</w:t>
      </w:r>
    </w:p>
    <w:p w14:paraId="40341CB6" w14:textId="77777777" w:rsidR="004B454C" w:rsidRPr="006C3682" w:rsidRDefault="0095614B" w:rsidP="004B454C">
      <w:pPr>
        <w:pStyle w:val="Heading2"/>
      </w:pPr>
      <w:r w:rsidRPr="006C3682">
        <w:lastRenderedPageBreak/>
        <w:t>EIADR</w:t>
      </w:r>
      <w:r w:rsidR="007505EB" w:rsidRPr="006C3682">
        <w:t xml:space="preserve"> project boundary</w:t>
      </w:r>
    </w:p>
    <w:p w14:paraId="0B53F58D" w14:textId="185BA60D" w:rsidR="006C041E" w:rsidRDefault="006C041E" w:rsidP="006C05DE">
      <w:pPr>
        <w:pStyle w:val="Numberedparagraph"/>
      </w:pPr>
      <w:r>
        <w:t>I</w:t>
      </w:r>
      <w:r w:rsidR="00986382" w:rsidRPr="00151883">
        <w:t xml:space="preserve">t is normal practice for </w:t>
      </w:r>
      <w:r w:rsidR="0098231A">
        <w:t>a single</w:t>
      </w:r>
      <w:r w:rsidR="00986382" w:rsidRPr="00151883">
        <w:t xml:space="preserve"> </w:t>
      </w:r>
      <w:r w:rsidR="00507FED" w:rsidRPr="006C3682">
        <w:t>EIADR</w:t>
      </w:r>
      <w:r w:rsidR="00507FED">
        <w:t xml:space="preserve"> </w:t>
      </w:r>
      <w:r w:rsidR="00986382" w:rsidRPr="00151883">
        <w:t>project to include the entire nuclear power statio</w:t>
      </w:r>
      <w:r w:rsidR="003553EE">
        <w:t>n, although</w:t>
      </w:r>
      <w:r>
        <w:t xml:space="preserve"> this is not a requirement </w:t>
      </w:r>
      <w:r w:rsidR="003553EE">
        <w:t>as</w:t>
      </w:r>
      <w:r w:rsidR="00535E07">
        <w:t xml:space="preserve"> it is possible to have </w:t>
      </w:r>
      <w:r w:rsidR="008847AB">
        <w:t xml:space="preserve">more than one </w:t>
      </w:r>
      <w:r w:rsidR="002D455A">
        <w:t>EIADR project</w:t>
      </w:r>
      <w:r w:rsidR="0095477C">
        <w:t xml:space="preserve"> for a station. </w:t>
      </w:r>
    </w:p>
    <w:p w14:paraId="108E75F6" w14:textId="3689194E" w:rsidR="00FA67D5" w:rsidRDefault="002B10E9" w:rsidP="006C05DE">
      <w:pPr>
        <w:pStyle w:val="Numberedparagraph"/>
      </w:pPr>
      <w:r>
        <w:t>Noting the</w:t>
      </w:r>
      <w:r w:rsidR="00F85987">
        <w:t xml:space="preserve"> </w:t>
      </w:r>
      <w:r w:rsidR="00686F31">
        <w:t>EIADR project boundary</w:t>
      </w:r>
      <w:r w:rsidR="00F85987">
        <w:t xml:space="preserve"> described in Section </w:t>
      </w:r>
      <w:r w:rsidR="00F00D74">
        <w:t>1.1.2</w:t>
      </w:r>
      <w:r w:rsidR="00F85987">
        <w:t xml:space="preserve"> </w:t>
      </w:r>
      <w:r w:rsidR="00686F31">
        <w:t xml:space="preserve">and shown in Appendix 1 </w:t>
      </w:r>
      <w:r w:rsidR="00F85987">
        <w:t>of this PAO,</w:t>
      </w:r>
      <w:r w:rsidR="00F00D74">
        <w:t xml:space="preserve"> we recognise that </w:t>
      </w:r>
      <w:r w:rsidR="00EE6B7D">
        <w:t xml:space="preserve">EDF may choose to delicense the non-operational </w:t>
      </w:r>
      <w:r w:rsidR="001F6678">
        <w:t xml:space="preserve">land at Dungeness B </w:t>
      </w:r>
      <w:r w:rsidR="00EE6B7D">
        <w:t>earlier than the remaining site</w:t>
      </w:r>
      <w:r w:rsidR="00F00D74">
        <w:t>,</w:t>
      </w:r>
      <w:r w:rsidR="00EE6B7D">
        <w:t xml:space="preserve"> subject to meeting ONR’s requirements for delicensing</w:t>
      </w:r>
      <w:r w:rsidR="00BB5F19">
        <w:t>, which is a separate process to EIADR</w:t>
      </w:r>
      <w:r w:rsidR="003A591E">
        <w:t xml:space="preserve"> (see </w:t>
      </w:r>
      <w:sdt>
        <w:sdtPr>
          <w:id w:val="-1446775511"/>
          <w:citation/>
        </w:sdtPr>
        <w:sdtEndPr/>
        <w:sdtContent>
          <w:r w:rsidR="00752EFD">
            <w:fldChar w:fldCharType="begin"/>
          </w:r>
          <w:r w:rsidR="00A52CCA">
            <w:instrText xml:space="preserve">CITATION ONR261 \l 2057 </w:instrText>
          </w:r>
          <w:r w:rsidR="00752EFD">
            <w:fldChar w:fldCharType="separate"/>
          </w:r>
          <w:r w:rsidR="00BB6669" w:rsidRPr="00BB6669">
            <w:rPr>
              <w:noProof/>
            </w:rPr>
            <w:t>[5]</w:t>
          </w:r>
          <w:r w:rsidR="00752EFD">
            <w:fldChar w:fldCharType="end"/>
          </w:r>
        </w:sdtContent>
      </w:sdt>
      <w:r w:rsidR="00727945">
        <w:t>)</w:t>
      </w:r>
      <w:r w:rsidR="00EE6B7D">
        <w:t xml:space="preserve">. </w:t>
      </w:r>
      <w:r w:rsidR="00F00D74">
        <w:t>A</w:t>
      </w:r>
      <w:r w:rsidR="00EE6B7D">
        <w:t>lternatively, NRS may choose to delicense the</w:t>
      </w:r>
      <w:r w:rsidR="006E16DC">
        <w:t>se areas</w:t>
      </w:r>
      <w:r w:rsidR="00EE6B7D">
        <w:t xml:space="preserve"> early following </w:t>
      </w:r>
      <w:r w:rsidR="00F234DF">
        <w:t>the transfer</w:t>
      </w:r>
      <w:r w:rsidR="00EE6B7D">
        <w:t xml:space="preserve"> of the site to </w:t>
      </w:r>
      <w:r w:rsidR="00F234DF">
        <w:t>NRS for decommissioning</w:t>
      </w:r>
      <w:r w:rsidR="00EE6B7D">
        <w:t xml:space="preserve">. </w:t>
      </w:r>
    </w:p>
    <w:p w14:paraId="005B69D6" w14:textId="0D1F4C3A" w:rsidR="008E65A7" w:rsidRDefault="00A01105" w:rsidP="006C05DE">
      <w:pPr>
        <w:pStyle w:val="Numberedparagraph"/>
      </w:pPr>
      <w:r w:rsidRPr="006C3682">
        <w:t>In th</w:t>
      </w:r>
      <w:r w:rsidR="00FA67D5">
        <w:t>ese</w:t>
      </w:r>
      <w:r w:rsidRPr="006C3682">
        <w:t xml:space="preserve"> cas</w:t>
      </w:r>
      <w:r w:rsidR="00FA67D5">
        <w:t>es</w:t>
      </w:r>
      <w:r w:rsidRPr="006C3682">
        <w:t>,</w:t>
      </w:r>
      <w:r w:rsidR="004668C2" w:rsidRPr="006C3682">
        <w:t xml:space="preserve"> </w:t>
      </w:r>
      <w:r w:rsidR="00187DDF" w:rsidRPr="008E65A7">
        <w:rPr>
          <w:lang w:eastAsia="en-GB"/>
        </w:rPr>
        <w:t>a</w:t>
      </w:r>
      <w:r w:rsidR="004668C2" w:rsidRPr="008E65A7">
        <w:rPr>
          <w:lang w:eastAsia="en-GB"/>
        </w:rPr>
        <w:t xml:space="preserve">ny remediation activity required to achieve the </w:t>
      </w:r>
      <w:r w:rsidR="008F7D84">
        <w:rPr>
          <w:lang w:eastAsia="en-GB"/>
        </w:rPr>
        <w:t xml:space="preserve">early </w:t>
      </w:r>
      <w:r w:rsidR="004668C2" w:rsidRPr="008E65A7">
        <w:rPr>
          <w:lang w:eastAsia="en-GB"/>
        </w:rPr>
        <w:t>delicensing can reasonably be considered to be part of normal site operations carried out as an enabling activity for future decommissioning</w:t>
      </w:r>
      <w:r w:rsidR="00D7721A" w:rsidRPr="008E65A7">
        <w:rPr>
          <w:lang w:eastAsia="en-GB"/>
        </w:rPr>
        <w:t xml:space="preserve">, hence </w:t>
      </w:r>
      <w:r w:rsidR="00293839" w:rsidRPr="008E65A7">
        <w:rPr>
          <w:lang w:eastAsia="en-GB"/>
        </w:rPr>
        <w:t xml:space="preserve">would </w:t>
      </w:r>
      <w:r w:rsidR="00D7721A" w:rsidRPr="008E65A7">
        <w:rPr>
          <w:lang w:eastAsia="en-GB"/>
        </w:rPr>
        <w:t>not</w:t>
      </w:r>
      <w:r w:rsidR="00293839" w:rsidRPr="008E65A7">
        <w:rPr>
          <w:lang w:eastAsia="en-GB"/>
        </w:rPr>
        <w:t xml:space="preserve"> be</w:t>
      </w:r>
      <w:r w:rsidR="001F5D2A" w:rsidRPr="008E65A7">
        <w:rPr>
          <w:lang w:eastAsia="en-GB"/>
        </w:rPr>
        <w:t xml:space="preserve"> in scope of EIADR</w:t>
      </w:r>
      <w:r w:rsidR="004668C2" w:rsidRPr="008E65A7">
        <w:rPr>
          <w:lang w:eastAsia="en-GB"/>
        </w:rPr>
        <w:t xml:space="preserve">. Any remediation activity required </w:t>
      </w:r>
      <w:r w:rsidR="00DC11A0" w:rsidRPr="008E65A7">
        <w:rPr>
          <w:lang w:eastAsia="en-GB"/>
        </w:rPr>
        <w:t>should</w:t>
      </w:r>
      <w:r w:rsidR="004668C2" w:rsidRPr="008E65A7">
        <w:rPr>
          <w:lang w:eastAsia="en-GB"/>
        </w:rPr>
        <w:t xml:space="preserve"> be carried out in line with site arrangements and in compliance with the nuclear site licence</w:t>
      </w:r>
      <w:r w:rsidR="003B537D">
        <w:rPr>
          <w:lang w:eastAsia="en-GB"/>
        </w:rPr>
        <w:t xml:space="preserve">, the </w:t>
      </w:r>
      <w:r w:rsidR="004668C2" w:rsidRPr="008E65A7">
        <w:rPr>
          <w:lang w:eastAsia="en-GB"/>
        </w:rPr>
        <w:t>environmental permit</w:t>
      </w:r>
      <w:r w:rsidR="003B537D">
        <w:rPr>
          <w:lang w:eastAsia="en-GB"/>
        </w:rPr>
        <w:t>(s)</w:t>
      </w:r>
      <w:r w:rsidR="004668C2" w:rsidRPr="008E65A7">
        <w:rPr>
          <w:lang w:eastAsia="en-GB"/>
        </w:rPr>
        <w:t xml:space="preserve"> and any other relevant </w:t>
      </w:r>
      <w:r w:rsidR="00816AC8">
        <w:rPr>
          <w:lang w:eastAsia="en-GB"/>
        </w:rPr>
        <w:t xml:space="preserve">regulatory </w:t>
      </w:r>
      <w:r w:rsidR="004668C2" w:rsidRPr="008E65A7">
        <w:rPr>
          <w:lang w:eastAsia="en-GB"/>
        </w:rPr>
        <w:t>requirements.</w:t>
      </w:r>
      <w:r w:rsidR="00574A5A" w:rsidRPr="008E65A7">
        <w:rPr>
          <w:lang w:eastAsia="en-GB"/>
        </w:rPr>
        <w:t xml:space="preserve"> </w:t>
      </w:r>
    </w:p>
    <w:p w14:paraId="2D55BEEC" w14:textId="561B2281" w:rsidR="008E65A7" w:rsidRDefault="00574A5A" w:rsidP="004C7A0D">
      <w:pPr>
        <w:pStyle w:val="Numberedparagraph"/>
      </w:pPr>
      <w:r w:rsidRPr="008E65A7">
        <w:rPr>
          <w:lang w:eastAsia="en-GB"/>
        </w:rPr>
        <w:t xml:space="preserve">However, </w:t>
      </w:r>
      <w:r w:rsidR="00ED71DA" w:rsidRPr="008E65A7">
        <w:rPr>
          <w:lang w:eastAsia="en-GB"/>
        </w:rPr>
        <w:t>should the excluded areas</w:t>
      </w:r>
      <w:r w:rsidR="00124B97" w:rsidRPr="008E65A7">
        <w:rPr>
          <w:lang w:eastAsia="en-GB"/>
        </w:rPr>
        <w:t xml:space="preserve"> remain</w:t>
      </w:r>
      <w:r w:rsidR="00897A9E" w:rsidRPr="008E65A7">
        <w:rPr>
          <w:lang w:eastAsia="en-GB"/>
        </w:rPr>
        <w:t xml:space="preserve"> on the</w:t>
      </w:r>
      <w:r w:rsidR="008F0B97" w:rsidRPr="008E65A7">
        <w:rPr>
          <w:lang w:eastAsia="en-GB"/>
        </w:rPr>
        <w:t xml:space="preserve"> licensed</w:t>
      </w:r>
      <w:r w:rsidR="00897A9E" w:rsidRPr="008E65A7">
        <w:rPr>
          <w:lang w:eastAsia="en-GB"/>
        </w:rPr>
        <w:t xml:space="preserve"> site</w:t>
      </w:r>
      <w:r w:rsidR="00C3566D" w:rsidRPr="008E65A7">
        <w:rPr>
          <w:lang w:eastAsia="en-GB"/>
        </w:rPr>
        <w:t xml:space="preserve"> through</w:t>
      </w:r>
      <w:r w:rsidR="00BA52D6">
        <w:rPr>
          <w:lang w:eastAsia="en-GB"/>
        </w:rPr>
        <w:t>out</w:t>
      </w:r>
      <w:r w:rsidR="00C3566D" w:rsidRPr="008E65A7">
        <w:rPr>
          <w:lang w:eastAsia="en-GB"/>
        </w:rPr>
        <w:t xml:space="preserve"> decommissioning</w:t>
      </w:r>
      <w:r w:rsidR="00B742E2" w:rsidRPr="008E65A7">
        <w:rPr>
          <w:lang w:eastAsia="en-GB"/>
        </w:rPr>
        <w:t xml:space="preserve">, </w:t>
      </w:r>
      <w:r w:rsidR="00172279" w:rsidRPr="008E65A7">
        <w:rPr>
          <w:lang w:eastAsia="en-GB"/>
        </w:rPr>
        <w:t xml:space="preserve">they would </w:t>
      </w:r>
      <w:r w:rsidR="00DF0736">
        <w:rPr>
          <w:lang w:eastAsia="en-GB"/>
        </w:rPr>
        <w:t xml:space="preserve">eventually </w:t>
      </w:r>
      <w:r w:rsidR="001F5D2A" w:rsidRPr="008E65A7">
        <w:rPr>
          <w:lang w:eastAsia="en-GB"/>
        </w:rPr>
        <w:t>fall</w:t>
      </w:r>
      <w:r w:rsidR="00261E4E" w:rsidRPr="008E65A7">
        <w:rPr>
          <w:lang w:eastAsia="en-GB"/>
        </w:rPr>
        <w:t xml:space="preserve"> into scope of EIADR and require a consent</w:t>
      </w:r>
      <w:r w:rsidR="008429E4" w:rsidRPr="008E65A7">
        <w:rPr>
          <w:lang w:eastAsia="en-GB"/>
        </w:rPr>
        <w:t xml:space="preserve"> </w:t>
      </w:r>
      <w:r w:rsidR="00111946" w:rsidRPr="008E65A7">
        <w:rPr>
          <w:lang w:eastAsia="en-GB"/>
        </w:rPr>
        <w:t>since</w:t>
      </w:r>
      <w:r w:rsidR="008429E4" w:rsidRPr="008E65A7">
        <w:rPr>
          <w:lang w:eastAsia="en-GB"/>
        </w:rPr>
        <w:t xml:space="preserve"> </w:t>
      </w:r>
      <w:r w:rsidR="004B1289" w:rsidRPr="006C3682">
        <w:t>EIADR covers everything that is part of the power station</w:t>
      </w:r>
      <w:r w:rsidR="00FF08E3">
        <w:t xml:space="preserve"> </w:t>
      </w:r>
      <w:r w:rsidR="004B1289" w:rsidRPr="006C3682">
        <w:t xml:space="preserve">and is not limited to buildings concerned with the </w:t>
      </w:r>
      <w:r w:rsidR="00797E7C" w:rsidRPr="006C3682">
        <w:t xml:space="preserve">operation of the </w:t>
      </w:r>
      <w:r w:rsidR="004B1289" w:rsidRPr="006C3682">
        <w:t xml:space="preserve">reactor. </w:t>
      </w:r>
      <w:r w:rsidR="003E122D">
        <w:t xml:space="preserve">In this case, the </w:t>
      </w:r>
      <w:r w:rsidR="00770584">
        <w:t>licensee (at this point, NRS)</w:t>
      </w:r>
      <w:r w:rsidR="00163596">
        <w:t xml:space="preserve"> </w:t>
      </w:r>
      <w:r w:rsidR="00CE2039">
        <w:t>could choose to</w:t>
      </w:r>
      <w:r w:rsidR="00163596">
        <w:t xml:space="preserve"> change the </w:t>
      </w:r>
      <w:r w:rsidR="002A5B45">
        <w:t xml:space="preserve">spatial </w:t>
      </w:r>
      <w:r w:rsidR="00163596">
        <w:t>scope of the EIADR</w:t>
      </w:r>
      <w:r w:rsidR="002A5B45">
        <w:t xml:space="preserve"> </w:t>
      </w:r>
      <w:r w:rsidR="00613D68">
        <w:t>project through</w:t>
      </w:r>
      <w:r w:rsidR="002A5B45">
        <w:t xml:space="preserve"> the process </w:t>
      </w:r>
      <w:r w:rsidR="00260038">
        <w:t xml:space="preserve">set out in regulation </w:t>
      </w:r>
      <w:r w:rsidR="00614CD1">
        <w:t>1</w:t>
      </w:r>
      <w:r w:rsidR="00260038">
        <w:t xml:space="preserve">3, as explained in our EIADR guidance </w:t>
      </w:r>
      <w:sdt>
        <w:sdtPr>
          <w:id w:val="1493294401"/>
          <w:citation/>
        </w:sdtPr>
        <w:sdtEndPr/>
        <w:sdtContent>
          <w:r w:rsidR="00260038">
            <w:fldChar w:fldCharType="begin"/>
          </w:r>
          <w:r w:rsidR="00AD05FC">
            <w:instrText xml:space="preserve">CITATION ONR2310 \l 2057 </w:instrText>
          </w:r>
          <w:r w:rsidR="00260038">
            <w:fldChar w:fldCharType="separate"/>
          </w:r>
          <w:r w:rsidR="00BB6669" w:rsidRPr="00BB6669">
            <w:rPr>
              <w:noProof/>
            </w:rPr>
            <w:t>[6]</w:t>
          </w:r>
          <w:r w:rsidR="00260038">
            <w:fldChar w:fldCharType="end"/>
          </w:r>
        </w:sdtContent>
      </w:sdt>
      <w:r w:rsidR="00824723">
        <w:t>, to incorporate the non-operational land into th</w:t>
      </w:r>
      <w:r w:rsidR="005D14D3">
        <w:t>e</w:t>
      </w:r>
      <w:r w:rsidR="00824723">
        <w:t xml:space="preserve"> EIADR project rather than apply for a</w:t>
      </w:r>
      <w:r w:rsidR="00B24DB9">
        <w:t>n</w:t>
      </w:r>
      <w:r w:rsidR="005D14D3">
        <w:t xml:space="preserve"> additional consent</w:t>
      </w:r>
      <w:r w:rsidR="00260038">
        <w:t>.</w:t>
      </w:r>
    </w:p>
    <w:p w14:paraId="4CD8C5AC" w14:textId="66B8E5B9" w:rsidR="005243FA" w:rsidRDefault="00F108F7" w:rsidP="006C05DE">
      <w:pPr>
        <w:pStyle w:val="Numberedparagraph"/>
      </w:pPr>
      <w:r w:rsidRPr="00F108F7">
        <w:t xml:space="preserve">We recommend that </w:t>
      </w:r>
      <w:r w:rsidR="00A92E51">
        <w:t>EDF discusses this</w:t>
      </w:r>
      <w:r w:rsidRPr="00F108F7">
        <w:t xml:space="preserve"> matter with NRS, as the anticipated future licensee, to ensure that the </w:t>
      </w:r>
      <w:r w:rsidR="00A92E51">
        <w:t>matter</w:t>
      </w:r>
      <w:r w:rsidRPr="00F108F7">
        <w:t xml:space="preserve"> is fully understood</w:t>
      </w:r>
      <w:r w:rsidR="00A92E51">
        <w:t xml:space="preserve"> by both parties.</w:t>
      </w:r>
    </w:p>
    <w:p w14:paraId="19929553" w14:textId="65773556" w:rsidR="004B1289" w:rsidRDefault="00013DCC" w:rsidP="003C787F">
      <w:pPr>
        <w:pStyle w:val="Heading1"/>
      </w:pPr>
      <w:r>
        <w:br w:type="page"/>
      </w:r>
      <w:bookmarkStart w:id="9" w:name="_Toc232158909"/>
      <w:r w:rsidR="00DC11A0">
        <w:lastRenderedPageBreak/>
        <w:t>Conclusion</w:t>
      </w:r>
      <w:bookmarkEnd w:id="9"/>
      <w:r w:rsidR="00DC11A0">
        <w:t xml:space="preserve"> </w:t>
      </w:r>
    </w:p>
    <w:p w14:paraId="036F02BA" w14:textId="260F9E97" w:rsidR="009318D9" w:rsidRDefault="009318D9" w:rsidP="009318D9">
      <w:pPr>
        <w:pStyle w:val="Numberedparagraph"/>
      </w:pPr>
      <w:r>
        <w:t xml:space="preserve">This report presents ONR’s PAO on the scope and content of EDF’s application for consent to decommission Dungeness B, as set out in the scoping report and supporting documentation. </w:t>
      </w:r>
      <w:r w:rsidR="00B40EFE">
        <w:t xml:space="preserve">Our assessment found that the scoping report identifies the principal environmental topics that should be addressed in the environmental statement. </w:t>
      </w:r>
      <w:r w:rsidR="002240FB">
        <w:t xml:space="preserve">We have identified one major issue relating to the </w:t>
      </w:r>
      <w:r w:rsidR="00471D2C">
        <w:t>lack</w:t>
      </w:r>
      <w:r w:rsidR="002240FB">
        <w:t xml:space="preserve"> of detail</w:t>
      </w:r>
      <w:r w:rsidR="00471D2C">
        <w:t>ed information</w:t>
      </w:r>
      <w:r w:rsidR="002240FB">
        <w:t xml:space="preserve"> provided in the project description, particularly for the marine works, which should be addressed to</w:t>
      </w:r>
      <w:r w:rsidR="00DB2213" w:rsidRPr="00DB2213">
        <w:t xml:space="preserve"> </w:t>
      </w:r>
      <w:r w:rsidR="00DB2213">
        <w:t>provide a sufficiently robust basis for assessing likely significant effects in the EIA, HRA and MCZ</w:t>
      </w:r>
      <w:r w:rsidR="002240FB">
        <w:t xml:space="preserve">. </w:t>
      </w:r>
      <w:r>
        <w:t>We have also made a number of observations and comments for EDF to consider</w:t>
      </w:r>
      <w:r w:rsidR="00B9775B">
        <w:t>,</w:t>
      </w:r>
      <w:r>
        <w:t xml:space="preserve"> particularly in relation to consistency across the EIA, HRA and MCZ assessments, the justification of study areas and impact pathways, and the clarity of the final ES, so as to support a robust application.</w:t>
      </w:r>
      <w:r w:rsidR="00565F59" w:rsidRPr="00565F59">
        <w:t xml:space="preserve"> </w:t>
      </w:r>
      <w:r w:rsidR="00565F59">
        <w:t xml:space="preserve">Subject to these </w:t>
      </w:r>
      <w:r w:rsidR="002B3B34">
        <w:t>issues</w:t>
      </w:r>
      <w:r w:rsidR="00565F59">
        <w:t xml:space="preserve"> being addressed, we consider that the submission would provide an adequate basis for developing a legally compliant ES for the decommissioning project.</w:t>
      </w:r>
    </w:p>
    <w:p w14:paraId="3355E8BF" w14:textId="77777777" w:rsidR="00C3181A" w:rsidRPr="004421AB" w:rsidRDefault="00C3181A" w:rsidP="00C3181A">
      <w:pPr>
        <w:pStyle w:val="Numberedparagraph"/>
        <w:numPr>
          <w:ilvl w:val="0"/>
          <w:numId w:val="0"/>
        </w:numPr>
      </w:pPr>
    </w:p>
    <w:p w14:paraId="0654AE5D" w14:textId="35E1C09F" w:rsidR="00C3181A" w:rsidRPr="00C3181A" w:rsidRDefault="00C3181A" w:rsidP="00C3181A">
      <w:pPr>
        <w:sectPr w:rsidR="00C3181A" w:rsidRPr="00C3181A" w:rsidSect="00045010">
          <w:pgSz w:w="11906" w:h="16838" w:code="9"/>
          <w:pgMar w:top="1440" w:right="1440" w:bottom="1440" w:left="1440" w:header="397" w:footer="397" w:gutter="0"/>
          <w:cols w:space="312"/>
          <w:docGrid w:linePitch="360"/>
        </w:sectPr>
      </w:pPr>
    </w:p>
    <w:p w14:paraId="0DA252C9" w14:textId="6C263087" w:rsidR="006370AA" w:rsidRPr="006C3682" w:rsidRDefault="00F274D7" w:rsidP="00B44B73">
      <w:pPr>
        <w:pStyle w:val="Heading1"/>
      </w:pPr>
      <w:bookmarkStart w:id="10" w:name="_Toc232158910"/>
      <w:r w:rsidRPr="006C3682">
        <w:lastRenderedPageBreak/>
        <w:t>Next stages of the EIADR process</w:t>
      </w:r>
      <w:bookmarkEnd w:id="10"/>
    </w:p>
    <w:p w14:paraId="3BD15A2E" w14:textId="4E8AF5A2" w:rsidR="00F30039" w:rsidRPr="006C3682" w:rsidRDefault="00806F14" w:rsidP="004C7A0D">
      <w:pPr>
        <w:pStyle w:val="Numberedparagraph"/>
      </w:pPr>
      <w:r>
        <w:t>T</w:t>
      </w:r>
      <w:r w:rsidR="00F30039" w:rsidRPr="006C3682">
        <w:t>he licensee will progress with the production of the ES and submit this to ONR as an application for EIADR consent</w:t>
      </w:r>
      <w:r w:rsidR="00F83773">
        <w:t xml:space="preserve"> in due course</w:t>
      </w:r>
      <w:r w:rsidR="00F30039" w:rsidRPr="006C3682">
        <w:t>. At this stage</w:t>
      </w:r>
      <w:r w:rsidR="00F30039">
        <w:t>, t</w:t>
      </w:r>
      <w:r w:rsidR="00F30039" w:rsidRPr="006C3682">
        <w:t xml:space="preserve">he ES </w:t>
      </w:r>
      <w:r w:rsidR="00F30039">
        <w:t>will be</w:t>
      </w:r>
      <w:r w:rsidR="00F30039" w:rsidRPr="006C3682">
        <w:t xml:space="preserve"> subject to a 90-day public consultation, following which ONR will make a decision on whether to grant consent for the decommissioning project described. </w:t>
      </w:r>
    </w:p>
    <w:p w14:paraId="334E2252" w14:textId="47E55B03" w:rsidR="006370AA" w:rsidRPr="006C3682" w:rsidRDefault="00EB3DD2" w:rsidP="00B44B73">
      <w:pPr>
        <w:pStyle w:val="Heading2"/>
      </w:pPr>
      <w:r w:rsidRPr="006C3682">
        <w:t xml:space="preserve">Contact information </w:t>
      </w:r>
    </w:p>
    <w:p w14:paraId="0D6168B3" w14:textId="5E7ED3C3" w:rsidR="00D90C4B" w:rsidRDefault="00F83773" w:rsidP="004C7A0D">
      <w:pPr>
        <w:pStyle w:val="Numberedparagraph"/>
      </w:pPr>
      <w:r>
        <w:t xml:space="preserve"> </w:t>
      </w:r>
      <w:r w:rsidR="00392BB4" w:rsidRPr="006C3682">
        <w:t xml:space="preserve">The ONR EIADR Team can be contacted via </w:t>
      </w:r>
      <w:hyperlink r:id="rId19" w:history="1">
        <w:r w:rsidR="00EF526A" w:rsidRPr="000C774B">
          <w:rPr>
            <w:rStyle w:val="Hyperlink"/>
          </w:rPr>
          <w:t>EIADR@onr.gov.uk</w:t>
        </w:r>
      </w:hyperlink>
      <w:r w:rsidR="00392BB4" w:rsidRPr="006C3682">
        <w:t xml:space="preserve"> </w:t>
      </w:r>
    </w:p>
    <w:p w14:paraId="5E9890B9" w14:textId="63674F7D" w:rsidR="00392BB4" w:rsidRPr="006C3682" w:rsidRDefault="00392BB4" w:rsidP="004C7A0D">
      <w:pPr>
        <w:pStyle w:val="Numberedparagraph"/>
      </w:pPr>
      <w:r w:rsidRPr="006C3682">
        <w:t xml:space="preserve">General information on EIADR can be found at: </w:t>
      </w:r>
      <w:hyperlink r:id="rId20" w:history="1">
        <w:r w:rsidRPr="006C3682">
          <w:rPr>
            <w:rStyle w:val="Hyperlink"/>
          </w:rPr>
          <w:t>https://www.onr.org.uk/eiadr.htm</w:t>
        </w:r>
      </w:hyperlink>
      <w:r w:rsidR="00B95E99" w:rsidRPr="006C3682">
        <w:t xml:space="preserve"> </w:t>
      </w:r>
    </w:p>
    <w:p w14:paraId="6BD93065" w14:textId="77777777" w:rsidR="0003792B" w:rsidRPr="006C3682" w:rsidRDefault="0003792B" w:rsidP="004C7A0D">
      <w:pPr>
        <w:pStyle w:val="Numberedparagraph"/>
      </w:pPr>
      <w:r w:rsidRPr="006C3682">
        <w:br w:type="page"/>
      </w:r>
    </w:p>
    <w:bookmarkStart w:id="11" w:name="_Toc232158911" w:displacedByCustomXml="next"/>
    <w:sdt>
      <w:sdtPr>
        <w:rPr>
          <w:color w:val="auto"/>
          <w:sz w:val="24"/>
          <w:szCs w:val="24"/>
        </w:rPr>
        <w:id w:val="-1068647822"/>
        <w:docPartObj>
          <w:docPartGallery w:val="Bibliographies"/>
          <w:docPartUnique/>
        </w:docPartObj>
      </w:sdtPr>
      <w:sdtEndPr/>
      <w:sdtContent>
        <w:p w14:paraId="660C8DD8" w14:textId="4BE30AEF" w:rsidR="00AC1DEB" w:rsidRPr="006C3682" w:rsidRDefault="00AC1DEB" w:rsidP="00B44B73">
          <w:pPr>
            <w:pStyle w:val="Heading1"/>
            <w:numPr>
              <w:ilvl w:val="0"/>
              <w:numId w:val="0"/>
            </w:numPr>
          </w:pPr>
          <w:r w:rsidRPr="006C3682">
            <w:t>References</w:t>
          </w:r>
          <w:bookmarkEnd w:id="11"/>
        </w:p>
        <w:sdt>
          <w:sdtPr>
            <w:id w:val="-573587230"/>
            <w:bibliography/>
          </w:sdtPr>
          <w:sdtEndPr/>
          <w:sdtContent>
            <w:p w14:paraId="46CB3C47" w14:textId="77777777" w:rsidR="00BB6669" w:rsidRDefault="00AC1DEB" w:rsidP="173648A1">
              <w:pPr>
                <w:rPr>
                  <w:rFonts w:ascii="Calibri" w:hAnsi="Calibri"/>
                  <w:noProof/>
                  <w:sz w:val="20"/>
                  <w:szCs w:val="20"/>
                  <w:lang w:eastAsia="en-GB" w:bidi="ar-SA"/>
                </w:rPr>
              </w:pPr>
              <w:r w:rsidRPr="006C3682">
                <w:fldChar w:fldCharType="begin"/>
              </w:r>
              <w:r w:rsidRPr="006C3682">
                <w:instrText xml:space="preserve"> BIBLIOGRAPHY </w:instrText>
              </w:r>
              <w:r w:rsidRPr="006C3682">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6"/>
                <w:gridCol w:w="8600"/>
              </w:tblGrid>
              <w:tr w:rsidR="00BB6669" w:rsidRPr="000A58F3" w14:paraId="01CF3EF6" w14:textId="77777777" w:rsidTr="00BB6669">
                <w:trPr>
                  <w:divId w:val="2016565710"/>
                  <w:tblCellSpacing w:w="15" w:type="dxa"/>
                </w:trPr>
                <w:tc>
                  <w:tcPr>
                    <w:tcW w:w="211" w:type="pct"/>
                    <w:hideMark/>
                  </w:tcPr>
                  <w:p w14:paraId="5AE8014E" w14:textId="00548DA9" w:rsidR="00BB6669" w:rsidRDefault="00BB6669">
                    <w:pPr>
                      <w:pStyle w:val="Bibliography"/>
                      <w:rPr>
                        <w:noProof/>
                        <w:szCs w:val="24"/>
                      </w:rPr>
                    </w:pPr>
                    <w:r>
                      <w:rPr>
                        <w:noProof/>
                      </w:rPr>
                      <w:t xml:space="preserve">[1] </w:t>
                    </w:r>
                  </w:p>
                </w:tc>
                <w:tc>
                  <w:tcPr>
                    <w:tcW w:w="4739" w:type="pct"/>
                    <w:hideMark/>
                  </w:tcPr>
                  <w:p w14:paraId="1186F770" w14:textId="77777777" w:rsidR="00BB6669" w:rsidRPr="00850BE4" w:rsidRDefault="00BB6669">
                    <w:pPr>
                      <w:pStyle w:val="Bibliography"/>
                      <w:rPr>
                        <w:noProof/>
                        <w:lang w:val="fr-FR"/>
                      </w:rPr>
                    </w:pPr>
                    <w:r>
                      <w:rPr>
                        <w:noProof/>
                      </w:rPr>
                      <w:t xml:space="preserve">EDF Nuclear Generation Ltd, “Dungeness B Nuclear Decommissioning – EIA Scoping report,” March 2026. </w:t>
                    </w:r>
                    <w:r w:rsidRPr="00850BE4">
                      <w:rPr>
                        <w:noProof/>
                        <w:lang w:val="fr-FR"/>
                      </w:rPr>
                      <w:t>[Online]. Available: https://www.onr.org.uk/media/oi5pprrh/edf-dungeness-decommissioning-scoping-report.pdf.</w:t>
                    </w:r>
                  </w:p>
                </w:tc>
              </w:tr>
              <w:tr w:rsidR="00BB6669" w:rsidRPr="000A58F3" w14:paraId="08F0CB81" w14:textId="77777777" w:rsidTr="00BB6669">
                <w:trPr>
                  <w:divId w:val="2016565710"/>
                  <w:tblCellSpacing w:w="15" w:type="dxa"/>
                </w:trPr>
                <w:tc>
                  <w:tcPr>
                    <w:tcW w:w="211" w:type="pct"/>
                    <w:hideMark/>
                  </w:tcPr>
                  <w:p w14:paraId="06AF0A7C" w14:textId="77777777" w:rsidR="00BB6669" w:rsidRDefault="00BB6669">
                    <w:pPr>
                      <w:pStyle w:val="Bibliography"/>
                      <w:rPr>
                        <w:noProof/>
                      </w:rPr>
                    </w:pPr>
                    <w:r>
                      <w:rPr>
                        <w:noProof/>
                      </w:rPr>
                      <w:t xml:space="preserve">[2] </w:t>
                    </w:r>
                  </w:p>
                </w:tc>
                <w:tc>
                  <w:tcPr>
                    <w:tcW w:w="4739" w:type="pct"/>
                    <w:hideMark/>
                  </w:tcPr>
                  <w:p w14:paraId="0431E37C" w14:textId="77777777" w:rsidR="00BB6669" w:rsidRPr="00850BE4" w:rsidRDefault="00BB6669">
                    <w:pPr>
                      <w:pStyle w:val="Bibliography"/>
                      <w:rPr>
                        <w:noProof/>
                        <w:lang w:val="fr-FR"/>
                      </w:rPr>
                    </w:pPr>
                    <w:r>
                      <w:rPr>
                        <w:noProof/>
                      </w:rPr>
                      <w:t xml:space="preserve">EDF Nuclear Generation Ltd, “Dungeness B Nuclear Decommissioning – EIA Scoping Report (Appendices),” March 2026. </w:t>
                    </w:r>
                    <w:r w:rsidRPr="00850BE4">
                      <w:rPr>
                        <w:noProof/>
                        <w:lang w:val="fr-FR"/>
                      </w:rPr>
                      <w:t>[Online]. Available: https://www.onr.org.uk/media/r2znkkoe/collated-appendices-for-publication-updated-28426-1.pdf.</w:t>
                    </w:r>
                  </w:p>
                </w:tc>
              </w:tr>
              <w:tr w:rsidR="00BB6669" w:rsidRPr="000A58F3" w14:paraId="7B3C3FA4" w14:textId="77777777" w:rsidTr="00BB6669">
                <w:trPr>
                  <w:divId w:val="2016565710"/>
                  <w:tblCellSpacing w:w="15" w:type="dxa"/>
                </w:trPr>
                <w:tc>
                  <w:tcPr>
                    <w:tcW w:w="211" w:type="pct"/>
                    <w:hideMark/>
                  </w:tcPr>
                  <w:p w14:paraId="18BBD8AE" w14:textId="77777777" w:rsidR="00BB6669" w:rsidRDefault="00BB6669">
                    <w:pPr>
                      <w:pStyle w:val="Bibliography"/>
                      <w:rPr>
                        <w:noProof/>
                      </w:rPr>
                    </w:pPr>
                    <w:r>
                      <w:rPr>
                        <w:noProof/>
                      </w:rPr>
                      <w:t xml:space="preserve">[3] </w:t>
                    </w:r>
                  </w:p>
                </w:tc>
                <w:tc>
                  <w:tcPr>
                    <w:tcW w:w="4739" w:type="pct"/>
                    <w:hideMark/>
                  </w:tcPr>
                  <w:p w14:paraId="79743C5A" w14:textId="77777777" w:rsidR="00BB6669" w:rsidRPr="001744BF" w:rsidRDefault="00BB6669">
                    <w:pPr>
                      <w:pStyle w:val="Bibliography"/>
                      <w:rPr>
                        <w:noProof/>
                      </w:rPr>
                    </w:pPr>
                    <w:r>
                      <w:rPr>
                        <w:noProof/>
                      </w:rPr>
                      <w:t xml:space="preserve">ONR, “NS-TAST-GD-105 The Assessment of the Nuclear Reactors (Environmental Impact Assessment for Decommissioning) Regulations Submissions (EIADR),” 2023. </w:t>
                    </w:r>
                    <w:r w:rsidRPr="001744BF">
                      <w:rPr>
                        <w:noProof/>
                      </w:rPr>
                      <w:t>[Online]. Available: https://view.officeapps.live.com/op/view.aspx?src=https%3A%2F%2Fwww.onr.org.uk%2Fmedia%2Fhilouddf%2Fns-tast-gd-105.docx&amp;wdOrigin=BROWSELINK.</w:t>
                    </w:r>
                  </w:p>
                </w:tc>
              </w:tr>
              <w:tr w:rsidR="00BB6669" w:rsidRPr="000A58F3" w14:paraId="14B5BBDF" w14:textId="77777777" w:rsidTr="00BB6669">
                <w:trPr>
                  <w:divId w:val="2016565710"/>
                  <w:tblCellSpacing w:w="15" w:type="dxa"/>
                </w:trPr>
                <w:tc>
                  <w:tcPr>
                    <w:tcW w:w="211" w:type="pct"/>
                    <w:hideMark/>
                  </w:tcPr>
                  <w:p w14:paraId="5162713C" w14:textId="77777777" w:rsidR="00BB6669" w:rsidRDefault="00BB6669">
                    <w:pPr>
                      <w:pStyle w:val="Bibliography"/>
                      <w:rPr>
                        <w:noProof/>
                      </w:rPr>
                    </w:pPr>
                    <w:r>
                      <w:rPr>
                        <w:noProof/>
                      </w:rPr>
                      <w:t xml:space="preserve">[4] </w:t>
                    </w:r>
                  </w:p>
                </w:tc>
                <w:tc>
                  <w:tcPr>
                    <w:tcW w:w="4739" w:type="pct"/>
                    <w:hideMark/>
                  </w:tcPr>
                  <w:p w14:paraId="489EF1F9" w14:textId="77777777" w:rsidR="00BB6669" w:rsidRPr="001744BF" w:rsidRDefault="00BB6669">
                    <w:pPr>
                      <w:pStyle w:val="Bibliography"/>
                      <w:rPr>
                        <w:noProof/>
                      </w:rPr>
                    </w:pPr>
                    <w:r>
                      <w:rPr>
                        <w:noProof/>
                      </w:rPr>
                      <w:t xml:space="preserve">ONR, “Dungeness B EIADR scoping report - consultation responses,” 2026. [Online]. </w:t>
                    </w:r>
                    <w:r w:rsidRPr="001744BF">
                      <w:rPr>
                        <w:noProof/>
                      </w:rPr>
                      <w:t>Available: https://www.onr.org.uk/working-with-others/public-participation/consultations/closed-consultations/dungeness-b-nuclear-power-station-decommissioning-plans.</w:t>
                    </w:r>
                  </w:p>
                </w:tc>
              </w:tr>
              <w:tr w:rsidR="00BB6669" w:rsidRPr="000A58F3" w14:paraId="21C04C75" w14:textId="77777777" w:rsidTr="00BB6669">
                <w:trPr>
                  <w:divId w:val="2016565710"/>
                  <w:tblCellSpacing w:w="15" w:type="dxa"/>
                </w:trPr>
                <w:tc>
                  <w:tcPr>
                    <w:tcW w:w="211" w:type="pct"/>
                    <w:hideMark/>
                  </w:tcPr>
                  <w:p w14:paraId="1AF50865" w14:textId="77777777" w:rsidR="00BB6669" w:rsidRDefault="00BB6669">
                    <w:pPr>
                      <w:pStyle w:val="Bibliography"/>
                      <w:rPr>
                        <w:noProof/>
                      </w:rPr>
                    </w:pPr>
                    <w:r>
                      <w:rPr>
                        <w:noProof/>
                      </w:rPr>
                      <w:t xml:space="preserve">[5] </w:t>
                    </w:r>
                  </w:p>
                </w:tc>
                <w:tc>
                  <w:tcPr>
                    <w:tcW w:w="4739" w:type="pct"/>
                    <w:hideMark/>
                  </w:tcPr>
                  <w:p w14:paraId="454FCEE0" w14:textId="77777777" w:rsidR="00BB6669" w:rsidRPr="00850BE4" w:rsidRDefault="00BB6669">
                    <w:pPr>
                      <w:pStyle w:val="Bibliography"/>
                      <w:rPr>
                        <w:noProof/>
                        <w:lang w:val="fr-FR"/>
                      </w:rPr>
                    </w:pPr>
                    <w:r>
                      <w:rPr>
                        <w:noProof/>
                      </w:rPr>
                      <w:t xml:space="preserve">ONR, “Licensing nuclear installations - guidance for applicants,” 2026. </w:t>
                    </w:r>
                    <w:r w:rsidRPr="00850BE4">
                      <w:rPr>
                        <w:noProof/>
                        <w:lang w:val="fr-FR"/>
                      </w:rPr>
                      <w:t>[Online]. Available: https://www.onr.org.uk/media/30nh5c0f/licensing-nuclear-installations-2026.pdf.</w:t>
                    </w:r>
                  </w:p>
                </w:tc>
              </w:tr>
              <w:tr w:rsidR="00BB6669" w:rsidRPr="000A58F3" w14:paraId="74ED7816" w14:textId="77777777" w:rsidTr="00BB6669">
                <w:trPr>
                  <w:divId w:val="2016565710"/>
                  <w:tblCellSpacing w:w="15" w:type="dxa"/>
                </w:trPr>
                <w:tc>
                  <w:tcPr>
                    <w:tcW w:w="211" w:type="pct"/>
                    <w:hideMark/>
                  </w:tcPr>
                  <w:p w14:paraId="6941D940" w14:textId="77777777" w:rsidR="00BB6669" w:rsidRDefault="00BB6669">
                    <w:pPr>
                      <w:pStyle w:val="Bibliography"/>
                      <w:rPr>
                        <w:noProof/>
                      </w:rPr>
                    </w:pPr>
                    <w:r>
                      <w:rPr>
                        <w:noProof/>
                      </w:rPr>
                      <w:t xml:space="preserve">[6] </w:t>
                    </w:r>
                  </w:p>
                </w:tc>
                <w:tc>
                  <w:tcPr>
                    <w:tcW w:w="4739" w:type="pct"/>
                    <w:hideMark/>
                  </w:tcPr>
                  <w:p w14:paraId="1E3867A9" w14:textId="77777777" w:rsidR="00BB6669" w:rsidRPr="001744BF" w:rsidRDefault="00BB6669">
                    <w:pPr>
                      <w:pStyle w:val="Bibliography"/>
                      <w:rPr>
                        <w:noProof/>
                      </w:rPr>
                    </w:pPr>
                    <w:r>
                      <w:rPr>
                        <w:noProof/>
                      </w:rPr>
                      <w:t xml:space="preserve">ONR, “ONR-NLR-GD-001 Guidance on the Nuclear Reactors (Environmental Impact Assessment for Decommissioning) Regulations,” 2023. </w:t>
                    </w:r>
                    <w:r w:rsidRPr="001744BF">
                      <w:rPr>
                        <w:noProof/>
                      </w:rPr>
                      <w:t>[Online]. Available: https://view.officeapps.live.com/op/view.aspx?src=https%3A%2F%2Fwww.onr.org.uk%2Fmedia%2Fohtbscjh%2Fonr-nlr-gd-001.docx&amp;wdOrigin=BROWSELINK.</w:t>
                    </w:r>
                  </w:p>
                </w:tc>
              </w:tr>
            </w:tbl>
            <w:p w14:paraId="5524DEF3" w14:textId="77777777" w:rsidR="00BB6669" w:rsidRPr="001744BF" w:rsidRDefault="00BB6669">
              <w:pPr>
                <w:divId w:val="2016565710"/>
                <w:rPr>
                  <w:rFonts w:eastAsia="Times New Roman"/>
                  <w:noProof/>
                </w:rPr>
              </w:pPr>
            </w:p>
            <w:p w14:paraId="0AAA8EFC" w14:textId="4474C0D1" w:rsidR="00AC1DEB" w:rsidRPr="006C3682" w:rsidRDefault="00AC1DEB" w:rsidP="173648A1">
              <w:r w:rsidRPr="006C3682">
                <w:rPr>
                  <w:b/>
                  <w:bCs/>
                </w:rPr>
                <w:fldChar w:fldCharType="end"/>
              </w:r>
            </w:p>
          </w:sdtContent>
        </w:sdt>
      </w:sdtContent>
    </w:sdt>
    <w:p w14:paraId="4E22CF7E" w14:textId="77777777" w:rsidR="000D245A" w:rsidRDefault="000D245A">
      <w:pPr>
        <w:spacing w:after="0" w:line="240" w:lineRule="auto"/>
        <w:rPr>
          <w:color w:val="22413A"/>
          <w:sz w:val="48"/>
        </w:rPr>
      </w:pPr>
      <w:bookmarkStart w:id="12" w:name="_Toc227138823"/>
      <w:bookmarkStart w:id="13" w:name="_Toc232158912"/>
      <w:bookmarkStart w:id="14" w:name="_Ref118891802"/>
      <w:bookmarkStart w:id="15" w:name="_Appendix_1_–"/>
      <w:bookmarkEnd w:id="15"/>
      <w:r>
        <w:br w:type="page"/>
      </w:r>
    </w:p>
    <w:p w14:paraId="6D43A6B9" w14:textId="5DCF9122" w:rsidR="00C01960" w:rsidRPr="00134876" w:rsidRDefault="00795CC2" w:rsidP="000D245A">
      <w:pPr>
        <w:pStyle w:val="Heading1"/>
        <w:numPr>
          <w:ilvl w:val="0"/>
          <w:numId w:val="0"/>
        </w:numPr>
      </w:pPr>
      <w:r w:rsidRPr="006C3682">
        <w:lastRenderedPageBreak/>
        <w:t>Appendix 1 – Map of</w:t>
      </w:r>
      <w:r w:rsidR="001D4794">
        <w:t xml:space="preserve"> the</w:t>
      </w:r>
      <w:r w:rsidRPr="006C3682">
        <w:t xml:space="preserve"> Dungeness B </w:t>
      </w:r>
      <w:r w:rsidR="005C1A12">
        <w:t>w</w:t>
      </w:r>
      <w:r w:rsidRPr="006C3682">
        <w:t xml:space="preserve">orks </w:t>
      </w:r>
      <w:r w:rsidR="005C1A12">
        <w:t>a</w:t>
      </w:r>
      <w:r w:rsidRPr="006C3682">
        <w:t>rea</w:t>
      </w:r>
      <w:bookmarkEnd w:id="12"/>
      <w:bookmarkEnd w:id="13"/>
      <w:r w:rsidRPr="006C3682">
        <w:t xml:space="preserve">  </w:t>
      </w:r>
      <w:bookmarkEnd w:id="14"/>
      <w:r w:rsidR="000D245A" w:rsidRPr="000D245A">
        <w:drawing>
          <wp:inline distT="0" distB="0" distL="0" distR="0" wp14:anchorId="7EFFB045" wp14:editId="6F28EE95">
            <wp:extent cx="5731510" cy="4637405"/>
            <wp:effectExtent l="0" t="0" r="2540" b="0"/>
            <wp:docPr id="1637796794" name="Picture 1" descr="Map titled ‘Appendix 1 – Map of the Dungeness B works area’. It shows the Dungeness B site on the coast, with the main works area highlighted in red within a purple nuclear site licence boundary. Additional smaller zones (Areas A, B, C, and D) are marked in different colours, including a small yellow area to the northwest. A label indicates ‘Non-operational land’ to the west of the main site. An inset map provides a closer view of the works area outline. The coastline lies to the south, and surrounding land and infrastructure are shown in light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96794" name="Picture 1" descr="Map titled ‘Appendix 1 – Map of the Dungeness B works area’. It shows the Dungeness B site on the coast, with the main works area highlighted in red within a purple nuclear site licence boundary. Additional smaller zones (Areas A, B, C, and D) are marked in different colours, including a small yellow area to the northwest. A label indicates ‘Non-operational land’ to the west of the main site. An inset map provides a closer view of the works area outline. The coastline lies to the south, and surrounding land and infrastructure are shown in light grey."/>
                    <pic:cNvPicPr/>
                  </pic:nvPicPr>
                  <pic:blipFill>
                    <a:blip r:embed="rId21"/>
                    <a:stretch>
                      <a:fillRect/>
                    </a:stretch>
                  </pic:blipFill>
                  <pic:spPr>
                    <a:xfrm>
                      <a:off x="0" y="0"/>
                      <a:ext cx="5731510" cy="4637405"/>
                    </a:xfrm>
                    <a:prstGeom prst="rect">
                      <a:avLst/>
                    </a:prstGeom>
                  </pic:spPr>
                </pic:pic>
              </a:graphicData>
            </a:graphic>
          </wp:inline>
        </w:drawing>
      </w:r>
    </w:p>
    <w:sectPr w:rsidR="00C01960" w:rsidRPr="00134876"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7BBA9" w14:textId="77777777" w:rsidR="000760A3" w:rsidRPr="006C3682" w:rsidRDefault="000760A3" w:rsidP="007D199A">
      <w:pPr>
        <w:spacing w:after="0"/>
      </w:pPr>
      <w:r w:rsidRPr="006C3682">
        <w:separator/>
      </w:r>
    </w:p>
    <w:p w14:paraId="34F70D66" w14:textId="77777777" w:rsidR="000760A3" w:rsidRPr="006C3682" w:rsidRDefault="000760A3"/>
  </w:endnote>
  <w:endnote w:type="continuationSeparator" w:id="0">
    <w:p w14:paraId="4E001DA2" w14:textId="77777777" w:rsidR="000760A3" w:rsidRPr="006C3682" w:rsidRDefault="000760A3" w:rsidP="007D199A">
      <w:pPr>
        <w:spacing w:after="0"/>
      </w:pPr>
      <w:r w:rsidRPr="006C3682">
        <w:continuationSeparator/>
      </w:r>
    </w:p>
    <w:p w14:paraId="757DA09F" w14:textId="77777777" w:rsidR="000760A3" w:rsidRPr="006C3682" w:rsidRDefault="00076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2516DA17" w:rsidR="004421AB" w:rsidRPr="00F54B45" w:rsidRDefault="009E04E4" w:rsidP="009E04E4">
    <w:pPr>
      <w:pStyle w:val="Footer"/>
      <w:jc w:val="left"/>
      <w:rPr>
        <w:lang w:val="pt-PT"/>
      </w:rPr>
    </w:pPr>
    <w:r w:rsidRPr="00F54B45">
      <w:rPr>
        <w:b/>
        <w:bCs/>
        <w:color w:val="auto"/>
        <w:sz w:val="20"/>
        <w:szCs w:val="18"/>
        <w:lang w:val="pt-PT"/>
      </w:rPr>
      <w:t>Template Ref.</w:t>
    </w:r>
    <w:r w:rsidRPr="00F54B45">
      <w:rPr>
        <w:color w:val="auto"/>
        <w:sz w:val="20"/>
        <w:szCs w:val="18"/>
        <w:lang w:val="pt-PT"/>
      </w:rPr>
      <w:t xml:space="preserve">: </w:t>
    </w:r>
    <w:r w:rsidR="006D794C" w:rsidRPr="00F54B45">
      <w:rPr>
        <w:color w:val="auto"/>
        <w:sz w:val="20"/>
        <w:szCs w:val="18"/>
        <w:lang w:val="pt-PT"/>
      </w:rPr>
      <w:t xml:space="preserve">ONR-DOC-TEMP-004 (Issue No. </w:t>
    </w:r>
    <w:sdt>
      <w:sdtPr>
        <w:rPr>
          <w:color w:val="auto"/>
          <w:sz w:val="20"/>
          <w:szCs w:val="18"/>
          <w:lang w:val="pt-PT"/>
        </w:rPr>
        <w:alias w:val="Publication Issue No."/>
        <w:tag w:val="PublicationIssueNo_x002e_"/>
        <w:id w:val="-32968777"/>
        <w:placeholder>
          <w:docPart w:val="FC4DE087B2E448E58D1FBA5533B070B1"/>
        </w:placeholder>
        <w:text/>
      </w:sdtPr>
      <w:sdtEndPr/>
      <w:sdtContent>
        <w:r w:rsidR="00BC3453" w:rsidRPr="00F54B45">
          <w:rPr>
            <w:color w:val="auto"/>
            <w:sz w:val="20"/>
            <w:szCs w:val="18"/>
            <w:lang w:val="pt-PT"/>
          </w:rPr>
          <w:t>17.3</w:t>
        </w:r>
      </w:sdtContent>
    </w:sdt>
    <w:r w:rsidR="006D794C" w:rsidRPr="00F54B45">
      <w:rPr>
        <w:color w:val="auto"/>
        <w:sz w:val="20"/>
        <w:szCs w:val="18"/>
        <w:lang w:val="pt-PT"/>
      </w:rPr>
      <w:t>)</w:t>
    </w:r>
    <w:r w:rsidRPr="00F54B45">
      <w:rPr>
        <w:lang w:val="pt-PT"/>
      </w:rPr>
      <w:tab/>
    </w:r>
    <w:r w:rsidR="00AC651F" w:rsidRPr="00F54B45">
      <w:rPr>
        <w:lang w:val="pt-PT"/>
      </w:rPr>
      <w:t xml:space="preserve">Page | </w:t>
    </w:r>
    <w:r w:rsidR="00AC651F" w:rsidRPr="006C3682">
      <w:fldChar w:fldCharType="begin"/>
    </w:r>
    <w:r w:rsidR="00AC651F" w:rsidRPr="00F54B45">
      <w:rPr>
        <w:lang w:val="pt-PT"/>
      </w:rPr>
      <w:instrText xml:space="preserve"> PAGE   \* MERGEFORMAT </w:instrText>
    </w:r>
    <w:r w:rsidR="00AC651F" w:rsidRPr="006C3682">
      <w:fldChar w:fldCharType="separate"/>
    </w:r>
    <w:r w:rsidR="00AC651F" w:rsidRPr="00F54B45">
      <w:rPr>
        <w:lang w:val="pt-PT"/>
      </w:rPr>
      <w:t>1</w:t>
    </w:r>
    <w:r w:rsidR="00AC651F" w:rsidRPr="006C3682">
      <w:fldChar w:fldCharType="end"/>
    </w:r>
    <w:r w:rsidR="004421AB" w:rsidRPr="00F54B45">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6C3682"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6C3682" w:rsidRDefault="004421AB" w:rsidP="004D16D7">
    <w:pPr>
      <w:pStyle w:val="Footer"/>
    </w:pPr>
    <w:r w:rsidRPr="006C3682">
      <w:t xml:space="preserve">Page | </w:t>
    </w:r>
    <w:r w:rsidRPr="006C3682">
      <w:fldChar w:fldCharType="begin"/>
    </w:r>
    <w:r w:rsidRPr="006C3682">
      <w:instrText xml:space="preserve"> PAGE   \* MERGEFORMAT </w:instrText>
    </w:r>
    <w:r w:rsidRPr="006C3682">
      <w:fldChar w:fldCharType="separate"/>
    </w:r>
    <w:r w:rsidRPr="006C3682">
      <w:t>1</w:t>
    </w:r>
    <w:r w:rsidRPr="006C36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CEB7" w14:textId="77777777" w:rsidR="000760A3" w:rsidRPr="006C3682" w:rsidRDefault="000760A3" w:rsidP="005E0344">
      <w:pPr>
        <w:spacing w:after="120"/>
        <w:rPr>
          <w:color w:val="000000" w:themeColor="text2"/>
        </w:rPr>
      </w:pPr>
      <w:r w:rsidRPr="006C3682">
        <w:rPr>
          <w:color w:val="000000" w:themeColor="text2"/>
        </w:rPr>
        <w:separator/>
      </w:r>
    </w:p>
  </w:footnote>
  <w:footnote w:type="continuationSeparator" w:id="0">
    <w:p w14:paraId="504D4335" w14:textId="77777777" w:rsidR="000760A3" w:rsidRPr="006C3682" w:rsidRDefault="000760A3" w:rsidP="0090581D">
      <w:pPr>
        <w:spacing w:after="120"/>
        <w:rPr>
          <w:color w:val="000000" w:themeColor="text2"/>
        </w:rPr>
      </w:pPr>
      <w:r w:rsidRPr="006C3682">
        <w:rPr>
          <w:color w:val="000000" w:themeColor="text2"/>
        </w:rPr>
        <w:continuationSeparator/>
      </w:r>
    </w:p>
    <w:p w14:paraId="3F1839C5" w14:textId="77777777" w:rsidR="000760A3" w:rsidRPr="006C3682" w:rsidRDefault="000760A3"/>
  </w:footnote>
  <w:footnote w:type="continuationNotice" w:id="1">
    <w:p w14:paraId="37C5BF2B" w14:textId="77777777" w:rsidR="000760A3" w:rsidRPr="006C3682" w:rsidRDefault="000760A3">
      <w:pPr>
        <w:spacing w:after="0"/>
      </w:pPr>
    </w:p>
    <w:p w14:paraId="3843A625" w14:textId="77777777" w:rsidR="000760A3" w:rsidRPr="006C3682" w:rsidRDefault="00076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6C3682"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6C3682"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6C3682"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Pr="006C3682" w:rsidRDefault="00045010" w:rsidP="009E0E52">
    <w:pPr>
      <w:pStyle w:val="Header"/>
      <w:rPr>
        <w:sz w:val="20"/>
        <w:szCs w:val="20"/>
      </w:rPr>
    </w:pPr>
  </w:p>
  <w:p w14:paraId="47FFC75F" w14:textId="5E31BFC3" w:rsidR="00177666" w:rsidRPr="006C3682" w:rsidRDefault="0003559E" w:rsidP="009E0E52">
    <w:pPr>
      <w:pStyle w:val="Header"/>
      <w:rPr>
        <w:sz w:val="20"/>
        <w:szCs w:val="20"/>
      </w:rPr>
    </w:pPr>
    <w:r w:rsidRPr="006C3682">
      <w:rPr>
        <w:sz w:val="20"/>
        <w:szCs w:val="20"/>
      </w:rPr>
      <w:t>Dungeness B EIADR Pre-Application Opinion</w:t>
    </w:r>
    <w:r w:rsidR="004E3932" w:rsidRPr="006C3682">
      <w:rPr>
        <w:sz w:val="20"/>
        <w:szCs w:val="20"/>
      </w:rPr>
      <w:t xml:space="preserve"> | Issue: </w:t>
    </w:r>
    <w:r w:rsidR="00134876">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2" w15:restartNumberingAfterBreak="0">
    <w:nsid w:val="06481560"/>
    <w:multiLevelType w:val="multilevel"/>
    <w:tmpl w:val="7E2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20439"/>
    <w:multiLevelType w:val="multilevel"/>
    <w:tmpl w:val="4678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5709F"/>
    <w:multiLevelType w:val="multilevel"/>
    <w:tmpl w:val="826013EA"/>
    <w:lvl w:ilvl="0">
      <w:start w:val="1"/>
      <w:numFmt w:val="bullet"/>
      <w:lvlText w:val=""/>
      <w:lvlJc w:val="left"/>
      <w:pPr>
        <w:ind w:left="360" w:hanging="360"/>
      </w:pPr>
      <w:rPr>
        <w:rFonts w:ascii="Symbol" w:hAnsi="Symbol" w:hint="default"/>
        <w:i w:val="0"/>
        <w:iCs w:val="0"/>
        <w:strike w:val="0"/>
        <w:dstrike w:val="0"/>
        <w:color w:val="10647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8E0367"/>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1B3E72"/>
    <w:multiLevelType w:val="multilevel"/>
    <w:tmpl w:val="A88A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27D1C"/>
    <w:multiLevelType w:val="multilevel"/>
    <w:tmpl w:val="DA58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C22EC"/>
    <w:multiLevelType w:val="multilevel"/>
    <w:tmpl w:val="D1BA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D20AB"/>
    <w:multiLevelType w:val="hybridMultilevel"/>
    <w:tmpl w:val="7F2634B0"/>
    <w:lvl w:ilvl="0" w:tplc="3148E282">
      <w:start w:val="1"/>
      <w:numFmt w:val="bullet"/>
      <w:lvlText w:val=""/>
      <w:lvlJc w:val="left"/>
      <w:pPr>
        <w:ind w:left="720" w:hanging="360"/>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8F7593"/>
    <w:multiLevelType w:val="multilevel"/>
    <w:tmpl w:val="AFF4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4726D1"/>
    <w:multiLevelType w:val="multilevel"/>
    <w:tmpl w:val="D056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81B0A"/>
    <w:multiLevelType w:val="hybridMultilevel"/>
    <w:tmpl w:val="065A0C72"/>
    <w:lvl w:ilvl="0" w:tplc="3148E282">
      <w:start w:val="1"/>
      <w:numFmt w:val="bullet"/>
      <w:lvlText w:val=""/>
      <w:lvlJc w:val="left"/>
      <w:pPr>
        <w:ind w:left="720" w:hanging="360"/>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50F4C"/>
    <w:multiLevelType w:val="multilevel"/>
    <w:tmpl w:val="32BC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5A430B"/>
    <w:multiLevelType w:val="multilevel"/>
    <w:tmpl w:val="6AF0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6D14A2"/>
    <w:multiLevelType w:val="multilevel"/>
    <w:tmpl w:val="FD8815E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5556DC"/>
    <w:multiLevelType w:val="multilevel"/>
    <w:tmpl w:val="E08A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F10740"/>
    <w:multiLevelType w:val="multilevel"/>
    <w:tmpl w:val="B7CE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4119E3"/>
    <w:multiLevelType w:val="multilevel"/>
    <w:tmpl w:val="ACDE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005AB0"/>
    <w:multiLevelType w:val="multilevel"/>
    <w:tmpl w:val="9CE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AB5898"/>
    <w:multiLevelType w:val="hybridMultilevel"/>
    <w:tmpl w:val="5CA0F592"/>
    <w:lvl w:ilvl="0" w:tplc="9F645C10">
      <w:start w:val="1"/>
      <w:numFmt w:val="bullet"/>
      <w:lvlText w:val=""/>
      <w:lvlJc w:val="left"/>
      <w:pPr>
        <w:ind w:left="720" w:hanging="360"/>
      </w:pPr>
      <w:rPr>
        <w:rFonts w:ascii="Symbol" w:hAnsi="Symbol" w:hint="default"/>
      </w:rPr>
    </w:lvl>
    <w:lvl w:ilvl="1" w:tplc="414ECA1C">
      <w:start w:val="1"/>
      <w:numFmt w:val="bullet"/>
      <w:lvlText w:val="o"/>
      <w:lvlJc w:val="left"/>
      <w:pPr>
        <w:ind w:left="1440" w:hanging="360"/>
      </w:pPr>
      <w:rPr>
        <w:rFonts w:ascii="Courier New" w:hAnsi="Courier New" w:hint="default"/>
      </w:rPr>
    </w:lvl>
    <w:lvl w:ilvl="2" w:tplc="3C4ED47E">
      <w:start w:val="1"/>
      <w:numFmt w:val="bullet"/>
      <w:lvlText w:val=""/>
      <w:lvlJc w:val="left"/>
      <w:pPr>
        <w:ind w:left="2160" w:hanging="360"/>
      </w:pPr>
      <w:rPr>
        <w:rFonts w:ascii="Wingdings" w:hAnsi="Wingdings" w:hint="default"/>
      </w:rPr>
    </w:lvl>
    <w:lvl w:ilvl="3" w:tplc="962A38C4">
      <w:start w:val="1"/>
      <w:numFmt w:val="bullet"/>
      <w:lvlText w:val=""/>
      <w:lvlJc w:val="left"/>
      <w:pPr>
        <w:ind w:left="2880" w:hanging="360"/>
      </w:pPr>
      <w:rPr>
        <w:rFonts w:ascii="Symbol" w:hAnsi="Symbol" w:hint="default"/>
      </w:rPr>
    </w:lvl>
    <w:lvl w:ilvl="4" w:tplc="0F324C9C">
      <w:start w:val="1"/>
      <w:numFmt w:val="bullet"/>
      <w:lvlText w:val="o"/>
      <w:lvlJc w:val="left"/>
      <w:pPr>
        <w:ind w:left="3600" w:hanging="360"/>
      </w:pPr>
      <w:rPr>
        <w:rFonts w:ascii="Courier New" w:hAnsi="Courier New" w:hint="default"/>
      </w:rPr>
    </w:lvl>
    <w:lvl w:ilvl="5" w:tplc="94F87C20">
      <w:start w:val="1"/>
      <w:numFmt w:val="bullet"/>
      <w:lvlText w:val=""/>
      <w:lvlJc w:val="left"/>
      <w:pPr>
        <w:ind w:left="4320" w:hanging="360"/>
      </w:pPr>
      <w:rPr>
        <w:rFonts w:ascii="Wingdings" w:hAnsi="Wingdings" w:hint="default"/>
      </w:rPr>
    </w:lvl>
    <w:lvl w:ilvl="6" w:tplc="6BAC3582">
      <w:start w:val="1"/>
      <w:numFmt w:val="bullet"/>
      <w:lvlText w:val=""/>
      <w:lvlJc w:val="left"/>
      <w:pPr>
        <w:ind w:left="5040" w:hanging="360"/>
      </w:pPr>
      <w:rPr>
        <w:rFonts w:ascii="Symbol" w:hAnsi="Symbol" w:hint="default"/>
      </w:rPr>
    </w:lvl>
    <w:lvl w:ilvl="7" w:tplc="352C2E02">
      <w:start w:val="1"/>
      <w:numFmt w:val="bullet"/>
      <w:lvlText w:val="o"/>
      <w:lvlJc w:val="left"/>
      <w:pPr>
        <w:ind w:left="5760" w:hanging="360"/>
      </w:pPr>
      <w:rPr>
        <w:rFonts w:ascii="Courier New" w:hAnsi="Courier New" w:hint="default"/>
      </w:rPr>
    </w:lvl>
    <w:lvl w:ilvl="8" w:tplc="59881D6E">
      <w:start w:val="1"/>
      <w:numFmt w:val="bullet"/>
      <w:lvlText w:val=""/>
      <w:lvlJc w:val="left"/>
      <w:pPr>
        <w:ind w:left="6480" w:hanging="360"/>
      </w:pPr>
      <w:rPr>
        <w:rFonts w:ascii="Wingdings" w:hAnsi="Wingdings" w:hint="default"/>
      </w:rPr>
    </w:lvl>
  </w:abstractNum>
  <w:abstractNum w:abstractNumId="23" w15:restartNumberingAfterBreak="0">
    <w:nsid w:val="55E4511F"/>
    <w:multiLevelType w:val="hybridMultilevel"/>
    <w:tmpl w:val="B0BA6686"/>
    <w:lvl w:ilvl="0" w:tplc="3148E282">
      <w:start w:val="1"/>
      <w:numFmt w:val="bullet"/>
      <w:lvlText w:val=""/>
      <w:lvlJc w:val="left"/>
      <w:pPr>
        <w:ind w:left="720" w:hanging="360"/>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7D3D95"/>
    <w:multiLevelType w:val="multilevel"/>
    <w:tmpl w:val="6CE4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1D0133"/>
    <w:multiLevelType w:val="hybridMultilevel"/>
    <w:tmpl w:val="418CF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894EAB"/>
    <w:multiLevelType w:val="multilevel"/>
    <w:tmpl w:val="2EF8605C"/>
    <w:lvl w:ilvl="0">
      <w:start w:val="1"/>
      <w:numFmt w:val="bullet"/>
      <w:lvlText w:val=""/>
      <w:lvlJc w:val="left"/>
      <w:pPr>
        <w:ind w:left="360" w:hanging="360"/>
      </w:pPr>
      <w:rPr>
        <w:rFonts w:ascii="Symbol" w:hAnsi="Symbol" w:hint="default"/>
        <w:i w:val="0"/>
        <w:iCs w:val="0"/>
        <w:strike w:val="0"/>
        <w:dstrike w:val="0"/>
        <w:color w:val="10647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447504"/>
    <w:multiLevelType w:val="multilevel"/>
    <w:tmpl w:val="EF86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971AA2"/>
    <w:multiLevelType w:val="multilevel"/>
    <w:tmpl w:val="6E0AE1E4"/>
    <w:lvl w:ilvl="0">
      <w:start w:val="1"/>
      <w:numFmt w:val="bullet"/>
      <w:pStyle w:val="F9-Paragraph"/>
      <w:lvlText w:val=""/>
      <w:lvlJc w:val="left"/>
      <w:pPr>
        <w:ind w:left="360" w:hanging="360"/>
      </w:pPr>
      <w:rPr>
        <w:rFonts w:ascii="Symbol" w:hAnsi="Symbol" w:hint="default"/>
        <w:strike w:val="0"/>
        <w:dstrike w:val="0"/>
        <w:color w:val="106470"/>
        <w:sz w:val="24"/>
      </w:r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DB1BED"/>
    <w:multiLevelType w:val="hybridMultilevel"/>
    <w:tmpl w:val="3D6CD1E8"/>
    <w:lvl w:ilvl="0" w:tplc="3148E282">
      <w:start w:val="1"/>
      <w:numFmt w:val="bullet"/>
      <w:lvlText w:val=""/>
      <w:lvlJc w:val="left"/>
      <w:pPr>
        <w:ind w:left="720" w:hanging="360"/>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19B0BB7"/>
    <w:multiLevelType w:val="multilevel"/>
    <w:tmpl w:val="365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412E2E"/>
    <w:multiLevelType w:val="multilevel"/>
    <w:tmpl w:val="BB3E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863EDD"/>
    <w:multiLevelType w:val="multilevel"/>
    <w:tmpl w:val="DD2C97E4"/>
    <w:lvl w:ilvl="0">
      <w:start w:val="1"/>
      <w:numFmt w:val="decimal"/>
      <w:pStyle w:val="NumberedParagraph0"/>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7F2150"/>
    <w:multiLevelType w:val="hybridMultilevel"/>
    <w:tmpl w:val="9C32904A"/>
    <w:lvl w:ilvl="0" w:tplc="F6B0469E">
      <w:start w:val="1"/>
      <w:numFmt w:val="bullet"/>
      <w:pStyle w:val="BulletLevel1"/>
      <w:lvlText w:val=""/>
      <w:lvlJc w:val="left"/>
      <w:pPr>
        <w:ind w:left="720" w:hanging="360"/>
      </w:pPr>
      <w:rPr>
        <w:rFonts w:ascii="Wingdings" w:hAnsi="Wingdings" w:hint="default"/>
        <w:color w:val="006D68"/>
      </w:rPr>
    </w:lvl>
    <w:lvl w:ilvl="1" w:tplc="CE588D54">
      <w:start w:val="1"/>
      <w:numFmt w:val="bullet"/>
      <w:pStyle w:val="Bullet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6183824">
    <w:abstractNumId w:val="22"/>
  </w:num>
  <w:num w:numId="2" w16cid:durableId="1614943677">
    <w:abstractNumId w:val="32"/>
  </w:num>
  <w:num w:numId="3" w16cid:durableId="1844468965">
    <w:abstractNumId w:val="30"/>
  </w:num>
  <w:num w:numId="4" w16cid:durableId="1521316726">
    <w:abstractNumId w:val="16"/>
  </w:num>
  <w:num w:numId="5" w16cid:durableId="1719888456">
    <w:abstractNumId w:val="28"/>
  </w:num>
  <w:num w:numId="6" w16cid:durableId="126319480">
    <w:abstractNumId w:val="10"/>
  </w:num>
  <w:num w:numId="7" w16cid:durableId="1836142672">
    <w:abstractNumId w:val="34"/>
  </w:num>
  <w:num w:numId="8" w16cid:durableId="2023777166">
    <w:abstractNumId w:val="10"/>
    <w:lvlOverride w:ilvl="0">
      <w:startOverride w:val="1"/>
    </w:lvlOverride>
  </w:num>
  <w:num w:numId="9" w16cid:durableId="398331337">
    <w:abstractNumId w:val="18"/>
  </w:num>
  <w:num w:numId="10" w16cid:durableId="60373079">
    <w:abstractNumId w:val="35"/>
  </w:num>
  <w:num w:numId="11" w16cid:durableId="712385443">
    <w:abstractNumId w:val="23"/>
  </w:num>
  <w:num w:numId="12" w16cid:durableId="638416662">
    <w:abstractNumId w:val="25"/>
  </w:num>
  <w:num w:numId="13" w16cid:durableId="583103212">
    <w:abstractNumId w:val="13"/>
  </w:num>
  <w:num w:numId="14" w16cid:durableId="871726084">
    <w:abstractNumId w:val="29"/>
  </w:num>
  <w:num w:numId="15" w16cid:durableId="103161321">
    <w:abstractNumId w:val="0"/>
  </w:num>
  <w:num w:numId="16" w16cid:durableId="1135222095">
    <w:abstractNumId w:val="9"/>
  </w:num>
  <w:num w:numId="17" w16cid:durableId="1681933044">
    <w:abstractNumId w:val="4"/>
  </w:num>
  <w:num w:numId="18" w16cid:durableId="371999399">
    <w:abstractNumId w:val="1"/>
  </w:num>
  <w:num w:numId="19" w16cid:durableId="1592162380">
    <w:abstractNumId w:val="2"/>
  </w:num>
  <w:num w:numId="20" w16cid:durableId="1739816945">
    <w:abstractNumId w:val="33"/>
  </w:num>
  <w:num w:numId="21" w16cid:durableId="1004893869">
    <w:abstractNumId w:val="26"/>
  </w:num>
  <w:num w:numId="22" w16cid:durableId="435638597">
    <w:abstractNumId w:val="5"/>
  </w:num>
  <w:num w:numId="23" w16cid:durableId="97262815">
    <w:abstractNumId w:val="14"/>
  </w:num>
  <w:num w:numId="24" w16cid:durableId="1512597637">
    <w:abstractNumId w:val="19"/>
  </w:num>
  <w:num w:numId="25" w16cid:durableId="1998265828">
    <w:abstractNumId w:val="15"/>
  </w:num>
  <w:num w:numId="26" w16cid:durableId="1073550732">
    <w:abstractNumId w:val="8"/>
  </w:num>
  <w:num w:numId="27" w16cid:durableId="965768965">
    <w:abstractNumId w:val="27"/>
  </w:num>
  <w:num w:numId="28" w16cid:durableId="1932084230">
    <w:abstractNumId w:val="24"/>
  </w:num>
  <w:num w:numId="29" w16cid:durableId="1499077940">
    <w:abstractNumId w:val="3"/>
  </w:num>
  <w:num w:numId="30" w16cid:durableId="2021616254">
    <w:abstractNumId w:val="31"/>
  </w:num>
  <w:num w:numId="31" w16cid:durableId="1409381224">
    <w:abstractNumId w:val="11"/>
  </w:num>
  <w:num w:numId="32" w16cid:durableId="237061878">
    <w:abstractNumId w:val="20"/>
  </w:num>
  <w:num w:numId="33" w16cid:durableId="119033944">
    <w:abstractNumId w:val="17"/>
  </w:num>
  <w:num w:numId="34" w16cid:durableId="1634409425">
    <w:abstractNumId w:val="12"/>
  </w:num>
  <w:num w:numId="35" w16cid:durableId="1121802894">
    <w:abstractNumId w:val="21"/>
  </w:num>
  <w:num w:numId="36" w16cid:durableId="1581478216">
    <w:abstractNumId w:val="7"/>
  </w:num>
  <w:num w:numId="37" w16cid:durableId="119931349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EF"/>
    <w:rsid w:val="000020F0"/>
    <w:rsid w:val="00002389"/>
    <w:rsid w:val="00002EA7"/>
    <w:rsid w:val="00002F03"/>
    <w:rsid w:val="000032FE"/>
    <w:rsid w:val="00004323"/>
    <w:rsid w:val="0000464E"/>
    <w:rsid w:val="00004789"/>
    <w:rsid w:val="00004C16"/>
    <w:rsid w:val="00004CCB"/>
    <w:rsid w:val="0000551E"/>
    <w:rsid w:val="00005728"/>
    <w:rsid w:val="000066F3"/>
    <w:rsid w:val="00010718"/>
    <w:rsid w:val="000109FB"/>
    <w:rsid w:val="00011177"/>
    <w:rsid w:val="0001292B"/>
    <w:rsid w:val="000135C6"/>
    <w:rsid w:val="00013DCC"/>
    <w:rsid w:val="00013EB2"/>
    <w:rsid w:val="00014814"/>
    <w:rsid w:val="000153B6"/>
    <w:rsid w:val="00016894"/>
    <w:rsid w:val="00016A12"/>
    <w:rsid w:val="00016F26"/>
    <w:rsid w:val="00021B29"/>
    <w:rsid w:val="00023B82"/>
    <w:rsid w:val="00024385"/>
    <w:rsid w:val="00024522"/>
    <w:rsid w:val="00024B2E"/>
    <w:rsid w:val="000251FC"/>
    <w:rsid w:val="00025576"/>
    <w:rsid w:val="00026B93"/>
    <w:rsid w:val="00027F4F"/>
    <w:rsid w:val="00030323"/>
    <w:rsid w:val="00030430"/>
    <w:rsid w:val="0003078E"/>
    <w:rsid w:val="000310C0"/>
    <w:rsid w:val="00031B89"/>
    <w:rsid w:val="00033EBF"/>
    <w:rsid w:val="00034079"/>
    <w:rsid w:val="000340F4"/>
    <w:rsid w:val="00034942"/>
    <w:rsid w:val="00034E01"/>
    <w:rsid w:val="00034EA9"/>
    <w:rsid w:val="000352A8"/>
    <w:rsid w:val="0003559E"/>
    <w:rsid w:val="000362DA"/>
    <w:rsid w:val="0003693D"/>
    <w:rsid w:val="00036A6B"/>
    <w:rsid w:val="00037506"/>
    <w:rsid w:val="0003792B"/>
    <w:rsid w:val="0004102B"/>
    <w:rsid w:val="000415DF"/>
    <w:rsid w:val="00041F02"/>
    <w:rsid w:val="00042076"/>
    <w:rsid w:val="00042182"/>
    <w:rsid w:val="0004440F"/>
    <w:rsid w:val="000449C2"/>
    <w:rsid w:val="00045010"/>
    <w:rsid w:val="00045904"/>
    <w:rsid w:val="00047618"/>
    <w:rsid w:val="00051256"/>
    <w:rsid w:val="000519F5"/>
    <w:rsid w:val="00051D32"/>
    <w:rsid w:val="00052A6B"/>
    <w:rsid w:val="00052C8A"/>
    <w:rsid w:val="00052F2D"/>
    <w:rsid w:val="000534EF"/>
    <w:rsid w:val="0005432D"/>
    <w:rsid w:val="0005462B"/>
    <w:rsid w:val="000548C8"/>
    <w:rsid w:val="00056B90"/>
    <w:rsid w:val="00061C48"/>
    <w:rsid w:val="00061E3B"/>
    <w:rsid w:val="00061F2E"/>
    <w:rsid w:val="00062487"/>
    <w:rsid w:val="000624A9"/>
    <w:rsid w:val="000650D6"/>
    <w:rsid w:val="000658F2"/>
    <w:rsid w:val="00066527"/>
    <w:rsid w:val="000709A5"/>
    <w:rsid w:val="00071B9F"/>
    <w:rsid w:val="00072D44"/>
    <w:rsid w:val="000734CD"/>
    <w:rsid w:val="00073A98"/>
    <w:rsid w:val="00073B6F"/>
    <w:rsid w:val="0007433E"/>
    <w:rsid w:val="00075605"/>
    <w:rsid w:val="00075AB3"/>
    <w:rsid w:val="00075C66"/>
    <w:rsid w:val="000760A3"/>
    <w:rsid w:val="000817D4"/>
    <w:rsid w:val="000827DA"/>
    <w:rsid w:val="00082879"/>
    <w:rsid w:val="0008321E"/>
    <w:rsid w:val="00083880"/>
    <w:rsid w:val="00083B8E"/>
    <w:rsid w:val="000846C4"/>
    <w:rsid w:val="00084A88"/>
    <w:rsid w:val="000850E2"/>
    <w:rsid w:val="0008722C"/>
    <w:rsid w:val="000874BB"/>
    <w:rsid w:val="00087A00"/>
    <w:rsid w:val="000900C7"/>
    <w:rsid w:val="00090EF7"/>
    <w:rsid w:val="00091EEA"/>
    <w:rsid w:val="000924C4"/>
    <w:rsid w:val="00092837"/>
    <w:rsid w:val="00093EE4"/>
    <w:rsid w:val="000943EB"/>
    <w:rsid w:val="0009507F"/>
    <w:rsid w:val="0009580C"/>
    <w:rsid w:val="00095F19"/>
    <w:rsid w:val="000966E8"/>
    <w:rsid w:val="000A02B9"/>
    <w:rsid w:val="000A0615"/>
    <w:rsid w:val="000A08E6"/>
    <w:rsid w:val="000A0F05"/>
    <w:rsid w:val="000A1030"/>
    <w:rsid w:val="000A105C"/>
    <w:rsid w:val="000A3A00"/>
    <w:rsid w:val="000A4CFF"/>
    <w:rsid w:val="000A54C5"/>
    <w:rsid w:val="000A58F3"/>
    <w:rsid w:val="000A6811"/>
    <w:rsid w:val="000A6C51"/>
    <w:rsid w:val="000A7604"/>
    <w:rsid w:val="000A7BFA"/>
    <w:rsid w:val="000B08AB"/>
    <w:rsid w:val="000B0956"/>
    <w:rsid w:val="000B135A"/>
    <w:rsid w:val="000B1AEB"/>
    <w:rsid w:val="000B1EF4"/>
    <w:rsid w:val="000B2057"/>
    <w:rsid w:val="000B2928"/>
    <w:rsid w:val="000B3DE6"/>
    <w:rsid w:val="000B3E81"/>
    <w:rsid w:val="000B4103"/>
    <w:rsid w:val="000B4C95"/>
    <w:rsid w:val="000B4FAB"/>
    <w:rsid w:val="000B5C33"/>
    <w:rsid w:val="000B71E5"/>
    <w:rsid w:val="000C2DDC"/>
    <w:rsid w:val="000C3596"/>
    <w:rsid w:val="000C3ECB"/>
    <w:rsid w:val="000C4606"/>
    <w:rsid w:val="000C4FC2"/>
    <w:rsid w:val="000C72CD"/>
    <w:rsid w:val="000D1DA1"/>
    <w:rsid w:val="000D245A"/>
    <w:rsid w:val="000D2FD4"/>
    <w:rsid w:val="000D33A4"/>
    <w:rsid w:val="000D395E"/>
    <w:rsid w:val="000D4679"/>
    <w:rsid w:val="000D4F00"/>
    <w:rsid w:val="000D5F05"/>
    <w:rsid w:val="000D6724"/>
    <w:rsid w:val="000D6ABC"/>
    <w:rsid w:val="000E012E"/>
    <w:rsid w:val="000E015B"/>
    <w:rsid w:val="000E020E"/>
    <w:rsid w:val="000E17E2"/>
    <w:rsid w:val="000E2159"/>
    <w:rsid w:val="000E24FB"/>
    <w:rsid w:val="000E2CB8"/>
    <w:rsid w:val="000E2DD5"/>
    <w:rsid w:val="000E2DF9"/>
    <w:rsid w:val="000E2F4B"/>
    <w:rsid w:val="000E4ADA"/>
    <w:rsid w:val="000E50B8"/>
    <w:rsid w:val="000E5B89"/>
    <w:rsid w:val="000E7F0F"/>
    <w:rsid w:val="000F0002"/>
    <w:rsid w:val="000F0164"/>
    <w:rsid w:val="000F04C8"/>
    <w:rsid w:val="000F09B9"/>
    <w:rsid w:val="000F141C"/>
    <w:rsid w:val="000F1B7B"/>
    <w:rsid w:val="000F2C9E"/>
    <w:rsid w:val="000F2ED4"/>
    <w:rsid w:val="000F3EB6"/>
    <w:rsid w:val="000F4B4C"/>
    <w:rsid w:val="000F4EBD"/>
    <w:rsid w:val="000F5D4C"/>
    <w:rsid w:val="000F6442"/>
    <w:rsid w:val="000F68A2"/>
    <w:rsid w:val="000F68BF"/>
    <w:rsid w:val="000F6B21"/>
    <w:rsid w:val="000F6F9A"/>
    <w:rsid w:val="000F707E"/>
    <w:rsid w:val="000F716C"/>
    <w:rsid w:val="000F7567"/>
    <w:rsid w:val="001001DE"/>
    <w:rsid w:val="00100B8B"/>
    <w:rsid w:val="001017B6"/>
    <w:rsid w:val="00101E78"/>
    <w:rsid w:val="001028E8"/>
    <w:rsid w:val="00102A94"/>
    <w:rsid w:val="00104A3B"/>
    <w:rsid w:val="0010625B"/>
    <w:rsid w:val="00106D54"/>
    <w:rsid w:val="00106E69"/>
    <w:rsid w:val="00107F23"/>
    <w:rsid w:val="00111946"/>
    <w:rsid w:val="00111C97"/>
    <w:rsid w:val="001125BA"/>
    <w:rsid w:val="0011279C"/>
    <w:rsid w:val="00112827"/>
    <w:rsid w:val="00112BD3"/>
    <w:rsid w:val="00113EED"/>
    <w:rsid w:val="001158BB"/>
    <w:rsid w:val="001161D1"/>
    <w:rsid w:val="00116641"/>
    <w:rsid w:val="001176E1"/>
    <w:rsid w:val="00117BCB"/>
    <w:rsid w:val="0012163D"/>
    <w:rsid w:val="001219FD"/>
    <w:rsid w:val="00121D62"/>
    <w:rsid w:val="00122FCC"/>
    <w:rsid w:val="001233F7"/>
    <w:rsid w:val="00123B80"/>
    <w:rsid w:val="0012497A"/>
    <w:rsid w:val="00124B97"/>
    <w:rsid w:val="00124C2B"/>
    <w:rsid w:val="001260E1"/>
    <w:rsid w:val="0012626E"/>
    <w:rsid w:val="0012642C"/>
    <w:rsid w:val="00126752"/>
    <w:rsid w:val="0012688C"/>
    <w:rsid w:val="0013098B"/>
    <w:rsid w:val="00130B30"/>
    <w:rsid w:val="00130E35"/>
    <w:rsid w:val="00132300"/>
    <w:rsid w:val="001333ED"/>
    <w:rsid w:val="00133617"/>
    <w:rsid w:val="00134876"/>
    <w:rsid w:val="001351D1"/>
    <w:rsid w:val="001373EF"/>
    <w:rsid w:val="00137728"/>
    <w:rsid w:val="001403F9"/>
    <w:rsid w:val="00140646"/>
    <w:rsid w:val="00140920"/>
    <w:rsid w:val="00140D44"/>
    <w:rsid w:val="00140E1C"/>
    <w:rsid w:val="001417A1"/>
    <w:rsid w:val="00141C4B"/>
    <w:rsid w:val="00141EB9"/>
    <w:rsid w:val="00142E6F"/>
    <w:rsid w:val="001449A7"/>
    <w:rsid w:val="00145E64"/>
    <w:rsid w:val="00147115"/>
    <w:rsid w:val="00147AE4"/>
    <w:rsid w:val="00151383"/>
    <w:rsid w:val="001513E1"/>
    <w:rsid w:val="00151883"/>
    <w:rsid w:val="00152422"/>
    <w:rsid w:val="00154362"/>
    <w:rsid w:val="0015443D"/>
    <w:rsid w:val="00154FF3"/>
    <w:rsid w:val="0015518A"/>
    <w:rsid w:val="00155C81"/>
    <w:rsid w:val="001571E5"/>
    <w:rsid w:val="001603CC"/>
    <w:rsid w:val="00160A62"/>
    <w:rsid w:val="00160A95"/>
    <w:rsid w:val="00160C5C"/>
    <w:rsid w:val="0016145F"/>
    <w:rsid w:val="00161A34"/>
    <w:rsid w:val="00162FB6"/>
    <w:rsid w:val="0016330D"/>
    <w:rsid w:val="00163596"/>
    <w:rsid w:val="00163C70"/>
    <w:rsid w:val="001640FC"/>
    <w:rsid w:val="0016459A"/>
    <w:rsid w:val="00164ADC"/>
    <w:rsid w:val="00165952"/>
    <w:rsid w:val="00165F22"/>
    <w:rsid w:val="00165FC2"/>
    <w:rsid w:val="001712A4"/>
    <w:rsid w:val="001712DB"/>
    <w:rsid w:val="00171527"/>
    <w:rsid w:val="00171D3A"/>
    <w:rsid w:val="00171F43"/>
    <w:rsid w:val="00172279"/>
    <w:rsid w:val="0017276D"/>
    <w:rsid w:val="001735A0"/>
    <w:rsid w:val="00173E3F"/>
    <w:rsid w:val="001744BF"/>
    <w:rsid w:val="001748DD"/>
    <w:rsid w:val="0017579A"/>
    <w:rsid w:val="00176599"/>
    <w:rsid w:val="00176F25"/>
    <w:rsid w:val="00177666"/>
    <w:rsid w:val="00177C46"/>
    <w:rsid w:val="00177DE8"/>
    <w:rsid w:val="00180481"/>
    <w:rsid w:val="0018126D"/>
    <w:rsid w:val="001849CA"/>
    <w:rsid w:val="00185410"/>
    <w:rsid w:val="001864F5"/>
    <w:rsid w:val="00186845"/>
    <w:rsid w:val="00187DDF"/>
    <w:rsid w:val="0019144A"/>
    <w:rsid w:val="00192352"/>
    <w:rsid w:val="001929B9"/>
    <w:rsid w:val="001939ED"/>
    <w:rsid w:val="00194198"/>
    <w:rsid w:val="001966D1"/>
    <w:rsid w:val="0019739A"/>
    <w:rsid w:val="001A040C"/>
    <w:rsid w:val="001A0579"/>
    <w:rsid w:val="001A06C4"/>
    <w:rsid w:val="001A078A"/>
    <w:rsid w:val="001A0DF7"/>
    <w:rsid w:val="001A0F51"/>
    <w:rsid w:val="001A1DA1"/>
    <w:rsid w:val="001A3118"/>
    <w:rsid w:val="001A35D4"/>
    <w:rsid w:val="001A367B"/>
    <w:rsid w:val="001A3E94"/>
    <w:rsid w:val="001A400C"/>
    <w:rsid w:val="001A4811"/>
    <w:rsid w:val="001A7B07"/>
    <w:rsid w:val="001B042C"/>
    <w:rsid w:val="001B0610"/>
    <w:rsid w:val="001B0838"/>
    <w:rsid w:val="001B0E5A"/>
    <w:rsid w:val="001B103D"/>
    <w:rsid w:val="001B13CE"/>
    <w:rsid w:val="001B2907"/>
    <w:rsid w:val="001B32D8"/>
    <w:rsid w:val="001B350F"/>
    <w:rsid w:val="001B4C25"/>
    <w:rsid w:val="001B77C2"/>
    <w:rsid w:val="001B7D42"/>
    <w:rsid w:val="001C0852"/>
    <w:rsid w:val="001C249C"/>
    <w:rsid w:val="001C3353"/>
    <w:rsid w:val="001C4D63"/>
    <w:rsid w:val="001C5472"/>
    <w:rsid w:val="001C6202"/>
    <w:rsid w:val="001C71A1"/>
    <w:rsid w:val="001C757C"/>
    <w:rsid w:val="001C78A0"/>
    <w:rsid w:val="001C7A7E"/>
    <w:rsid w:val="001D00C1"/>
    <w:rsid w:val="001D0DE0"/>
    <w:rsid w:val="001D0FE8"/>
    <w:rsid w:val="001D2100"/>
    <w:rsid w:val="001D22E6"/>
    <w:rsid w:val="001D2656"/>
    <w:rsid w:val="001D383B"/>
    <w:rsid w:val="001D4614"/>
    <w:rsid w:val="001D4794"/>
    <w:rsid w:val="001D5AFF"/>
    <w:rsid w:val="001D5B43"/>
    <w:rsid w:val="001D5C8C"/>
    <w:rsid w:val="001D74B4"/>
    <w:rsid w:val="001D7C6B"/>
    <w:rsid w:val="001D7DA6"/>
    <w:rsid w:val="001E0137"/>
    <w:rsid w:val="001E03E1"/>
    <w:rsid w:val="001E044E"/>
    <w:rsid w:val="001E0B78"/>
    <w:rsid w:val="001E0FB6"/>
    <w:rsid w:val="001E2ABF"/>
    <w:rsid w:val="001E2AE6"/>
    <w:rsid w:val="001E4AC4"/>
    <w:rsid w:val="001E51BA"/>
    <w:rsid w:val="001E5AAC"/>
    <w:rsid w:val="001E6DE0"/>
    <w:rsid w:val="001F056C"/>
    <w:rsid w:val="001F059F"/>
    <w:rsid w:val="001F25F0"/>
    <w:rsid w:val="001F2F70"/>
    <w:rsid w:val="001F54EE"/>
    <w:rsid w:val="001F5D2A"/>
    <w:rsid w:val="001F6678"/>
    <w:rsid w:val="001F6A9D"/>
    <w:rsid w:val="001F7AED"/>
    <w:rsid w:val="00200811"/>
    <w:rsid w:val="00200CA1"/>
    <w:rsid w:val="0020149E"/>
    <w:rsid w:val="00202199"/>
    <w:rsid w:val="00202A03"/>
    <w:rsid w:val="002035F9"/>
    <w:rsid w:val="00204344"/>
    <w:rsid w:val="00204900"/>
    <w:rsid w:val="00205C0A"/>
    <w:rsid w:val="002060BD"/>
    <w:rsid w:val="002076DA"/>
    <w:rsid w:val="002104FD"/>
    <w:rsid w:val="00213088"/>
    <w:rsid w:val="0021338D"/>
    <w:rsid w:val="002138ED"/>
    <w:rsid w:val="00213CFF"/>
    <w:rsid w:val="0021463D"/>
    <w:rsid w:val="00214802"/>
    <w:rsid w:val="0021499F"/>
    <w:rsid w:val="00214A36"/>
    <w:rsid w:val="00214D43"/>
    <w:rsid w:val="002151B1"/>
    <w:rsid w:val="00216338"/>
    <w:rsid w:val="00216834"/>
    <w:rsid w:val="00216C00"/>
    <w:rsid w:val="002209DB"/>
    <w:rsid w:val="00221230"/>
    <w:rsid w:val="00221F16"/>
    <w:rsid w:val="002220E0"/>
    <w:rsid w:val="002220F9"/>
    <w:rsid w:val="00222D11"/>
    <w:rsid w:val="00223090"/>
    <w:rsid w:val="002238B4"/>
    <w:rsid w:val="002240FB"/>
    <w:rsid w:val="00224364"/>
    <w:rsid w:val="002250BF"/>
    <w:rsid w:val="0022516F"/>
    <w:rsid w:val="00226117"/>
    <w:rsid w:val="002319AB"/>
    <w:rsid w:val="002319AC"/>
    <w:rsid w:val="00231AAB"/>
    <w:rsid w:val="00231BD6"/>
    <w:rsid w:val="00231C8A"/>
    <w:rsid w:val="00232791"/>
    <w:rsid w:val="00234342"/>
    <w:rsid w:val="002351AB"/>
    <w:rsid w:val="00235A22"/>
    <w:rsid w:val="002369F1"/>
    <w:rsid w:val="00237696"/>
    <w:rsid w:val="00237AE5"/>
    <w:rsid w:val="0024040D"/>
    <w:rsid w:val="00240563"/>
    <w:rsid w:val="0024072D"/>
    <w:rsid w:val="00240D0A"/>
    <w:rsid w:val="002411AB"/>
    <w:rsid w:val="0024167C"/>
    <w:rsid w:val="002425C3"/>
    <w:rsid w:val="002438D4"/>
    <w:rsid w:val="00243B7C"/>
    <w:rsid w:val="00245880"/>
    <w:rsid w:val="00247636"/>
    <w:rsid w:val="00250687"/>
    <w:rsid w:val="00250852"/>
    <w:rsid w:val="002510BE"/>
    <w:rsid w:val="002510F1"/>
    <w:rsid w:val="00251CD7"/>
    <w:rsid w:val="0025206C"/>
    <w:rsid w:val="0025311F"/>
    <w:rsid w:val="00253DA3"/>
    <w:rsid w:val="0025461C"/>
    <w:rsid w:val="002559C1"/>
    <w:rsid w:val="00255FA3"/>
    <w:rsid w:val="00256638"/>
    <w:rsid w:val="00256FE8"/>
    <w:rsid w:val="00257288"/>
    <w:rsid w:val="00257A23"/>
    <w:rsid w:val="00257FE1"/>
    <w:rsid w:val="00260038"/>
    <w:rsid w:val="002603FF"/>
    <w:rsid w:val="00261480"/>
    <w:rsid w:val="0026171D"/>
    <w:rsid w:val="00261E4E"/>
    <w:rsid w:val="00261FB6"/>
    <w:rsid w:val="002629F8"/>
    <w:rsid w:val="00262D56"/>
    <w:rsid w:val="00263396"/>
    <w:rsid w:val="002633EB"/>
    <w:rsid w:val="00264E00"/>
    <w:rsid w:val="00264ECC"/>
    <w:rsid w:val="002650D2"/>
    <w:rsid w:val="0026545A"/>
    <w:rsid w:val="00265477"/>
    <w:rsid w:val="002656E0"/>
    <w:rsid w:val="002659FA"/>
    <w:rsid w:val="00265A6C"/>
    <w:rsid w:val="00266400"/>
    <w:rsid w:val="002668E1"/>
    <w:rsid w:val="00266ECC"/>
    <w:rsid w:val="002675DB"/>
    <w:rsid w:val="00267815"/>
    <w:rsid w:val="00267C22"/>
    <w:rsid w:val="00267D2E"/>
    <w:rsid w:val="00270448"/>
    <w:rsid w:val="00270EED"/>
    <w:rsid w:val="00271DD0"/>
    <w:rsid w:val="00274B53"/>
    <w:rsid w:val="00275BD6"/>
    <w:rsid w:val="00276E07"/>
    <w:rsid w:val="00280DDF"/>
    <w:rsid w:val="00281352"/>
    <w:rsid w:val="0028314B"/>
    <w:rsid w:val="00283D42"/>
    <w:rsid w:val="0029062B"/>
    <w:rsid w:val="002917FF"/>
    <w:rsid w:val="00291FE3"/>
    <w:rsid w:val="00292ADF"/>
    <w:rsid w:val="0029353B"/>
    <w:rsid w:val="00293839"/>
    <w:rsid w:val="00295216"/>
    <w:rsid w:val="00295442"/>
    <w:rsid w:val="0029559B"/>
    <w:rsid w:val="00297EA3"/>
    <w:rsid w:val="002A0DEC"/>
    <w:rsid w:val="002A11F0"/>
    <w:rsid w:val="002A1DC3"/>
    <w:rsid w:val="002A3D04"/>
    <w:rsid w:val="002A3EE6"/>
    <w:rsid w:val="002A500C"/>
    <w:rsid w:val="002A50F7"/>
    <w:rsid w:val="002A5B45"/>
    <w:rsid w:val="002A5FFD"/>
    <w:rsid w:val="002A61BD"/>
    <w:rsid w:val="002A6320"/>
    <w:rsid w:val="002A6DF8"/>
    <w:rsid w:val="002A70AC"/>
    <w:rsid w:val="002A7557"/>
    <w:rsid w:val="002B10E9"/>
    <w:rsid w:val="002B14D0"/>
    <w:rsid w:val="002B1578"/>
    <w:rsid w:val="002B1C53"/>
    <w:rsid w:val="002B2260"/>
    <w:rsid w:val="002B275A"/>
    <w:rsid w:val="002B3B34"/>
    <w:rsid w:val="002B418F"/>
    <w:rsid w:val="002B52E0"/>
    <w:rsid w:val="002B556A"/>
    <w:rsid w:val="002B6E19"/>
    <w:rsid w:val="002C0C00"/>
    <w:rsid w:val="002C0FF3"/>
    <w:rsid w:val="002C1293"/>
    <w:rsid w:val="002C1829"/>
    <w:rsid w:val="002C1AA5"/>
    <w:rsid w:val="002C2A5D"/>
    <w:rsid w:val="002C4A3B"/>
    <w:rsid w:val="002C5283"/>
    <w:rsid w:val="002C63E8"/>
    <w:rsid w:val="002C6C48"/>
    <w:rsid w:val="002C7284"/>
    <w:rsid w:val="002D0642"/>
    <w:rsid w:val="002D0840"/>
    <w:rsid w:val="002D10AA"/>
    <w:rsid w:val="002D14AD"/>
    <w:rsid w:val="002D2465"/>
    <w:rsid w:val="002D2BF5"/>
    <w:rsid w:val="002D455A"/>
    <w:rsid w:val="002D462D"/>
    <w:rsid w:val="002D4E91"/>
    <w:rsid w:val="002D4ED5"/>
    <w:rsid w:val="002D6145"/>
    <w:rsid w:val="002D6198"/>
    <w:rsid w:val="002E0733"/>
    <w:rsid w:val="002E0BE4"/>
    <w:rsid w:val="002E1B37"/>
    <w:rsid w:val="002E3B58"/>
    <w:rsid w:val="002E3E8A"/>
    <w:rsid w:val="002E4460"/>
    <w:rsid w:val="002E53D5"/>
    <w:rsid w:val="002E61A6"/>
    <w:rsid w:val="002E6A6A"/>
    <w:rsid w:val="002E6C9A"/>
    <w:rsid w:val="002F0839"/>
    <w:rsid w:val="002F0928"/>
    <w:rsid w:val="002F11CF"/>
    <w:rsid w:val="002F1A7C"/>
    <w:rsid w:val="002F1F4A"/>
    <w:rsid w:val="002F2679"/>
    <w:rsid w:val="002F2F48"/>
    <w:rsid w:val="002F2FFB"/>
    <w:rsid w:val="002F32AC"/>
    <w:rsid w:val="002F3397"/>
    <w:rsid w:val="002F52E2"/>
    <w:rsid w:val="002F731C"/>
    <w:rsid w:val="002F7728"/>
    <w:rsid w:val="002F7B26"/>
    <w:rsid w:val="002F7BDC"/>
    <w:rsid w:val="00300A6A"/>
    <w:rsid w:val="00301169"/>
    <w:rsid w:val="00301A67"/>
    <w:rsid w:val="0030380D"/>
    <w:rsid w:val="00303FAF"/>
    <w:rsid w:val="003047D2"/>
    <w:rsid w:val="003056B1"/>
    <w:rsid w:val="00306599"/>
    <w:rsid w:val="00312411"/>
    <w:rsid w:val="00312755"/>
    <w:rsid w:val="00313428"/>
    <w:rsid w:val="00313F47"/>
    <w:rsid w:val="00314C98"/>
    <w:rsid w:val="00314D6F"/>
    <w:rsid w:val="003152C9"/>
    <w:rsid w:val="003153CE"/>
    <w:rsid w:val="003157D6"/>
    <w:rsid w:val="00315868"/>
    <w:rsid w:val="003165E4"/>
    <w:rsid w:val="00316626"/>
    <w:rsid w:val="00316C38"/>
    <w:rsid w:val="00316F61"/>
    <w:rsid w:val="00317FF5"/>
    <w:rsid w:val="0032002E"/>
    <w:rsid w:val="00320821"/>
    <w:rsid w:val="00321737"/>
    <w:rsid w:val="00322628"/>
    <w:rsid w:val="003237EA"/>
    <w:rsid w:val="00323E4F"/>
    <w:rsid w:val="00323E71"/>
    <w:rsid w:val="00326205"/>
    <w:rsid w:val="00326ACB"/>
    <w:rsid w:val="00326F77"/>
    <w:rsid w:val="0033007F"/>
    <w:rsid w:val="003301A1"/>
    <w:rsid w:val="00330313"/>
    <w:rsid w:val="00330FB0"/>
    <w:rsid w:val="00331145"/>
    <w:rsid w:val="00331AB8"/>
    <w:rsid w:val="00332764"/>
    <w:rsid w:val="00332DA7"/>
    <w:rsid w:val="00333A4D"/>
    <w:rsid w:val="0033470C"/>
    <w:rsid w:val="003348F1"/>
    <w:rsid w:val="00334F25"/>
    <w:rsid w:val="00335207"/>
    <w:rsid w:val="00335BCD"/>
    <w:rsid w:val="00337003"/>
    <w:rsid w:val="0033774A"/>
    <w:rsid w:val="003377ED"/>
    <w:rsid w:val="0033782A"/>
    <w:rsid w:val="003378BF"/>
    <w:rsid w:val="003378C8"/>
    <w:rsid w:val="00337A3C"/>
    <w:rsid w:val="003401B0"/>
    <w:rsid w:val="0034056F"/>
    <w:rsid w:val="003406A1"/>
    <w:rsid w:val="00340790"/>
    <w:rsid w:val="003427A9"/>
    <w:rsid w:val="003433EE"/>
    <w:rsid w:val="00343531"/>
    <w:rsid w:val="00343E95"/>
    <w:rsid w:val="003451FF"/>
    <w:rsid w:val="0034553D"/>
    <w:rsid w:val="003460DE"/>
    <w:rsid w:val="00346C8E"/>
    <w:rsid w:val="003516BC"/>
    <w:rsid w:val="00352022"/>
    <w:rsid w:val="0035476B"/>
    <w:rsid w:val="003548D5"/>
    <w:rsid w:val="003553EE"/>
    <w:rsid w:val="00356700"/>
    <w:rsid w:val="00356DC8"/>
    <w:rsid w:val="0035773B"/>
    <w:rsid w:val="003609F3"/>
    <w:rsid w:val="003614F2"/>
    <w:rsid w:val="003617C9"/>
    <w:rsid w:val="00363206"/>
    <w:rsid w:val="003633E8"/>
    <w:rsid w:val="003634C3"/>
    <w:rsid w:val="003646DE"/>
    <w:rsid w:val="00365CBA"/>
    <w:rsid w:val="00365FE9"/>
    <w:rsid w:val="0036669E"/>
    <w:rsid w:val="00367849"/>
    <w:rsid w:val="00367BD5"/>
    <w:rsid w:val="00370B45"/>
    <w:rsid w:val="0037145E"/>
    <w:rsid w:val="00371610"/>
    <w:rsid w:val="00371A5F"/>
    <w:rsid w:val="00371E56"/>
    <w:rsid w:val="00372B89"/>
    <w:rsid w:val="00373E0A"/>
    <w:rsid w:val="00374271"/>
    <w:rsid w:val="0037560E"/>
    <w:rsid w:val="00375631"/>
    <w:rsid w:val="00376C40"/>
    <w:rsid w:val="00377DCD"/>
    <w:rsid w:val="00377FC4"/>
    <w:rsid w:val="003817B2"/>
    <w:rsid w:val="00381DAB"/>
    <w:rsid w:val="00382C56"/>
    <w:rsid w:val="0038360D"/>
    <w:rsid w:val="00383EB8"/>
    <w:rsid w:val="00383F4C"/>
    <w:rsid w:val="00385337"/>
    <w:rsid w:val="00390327"/>
    <w:rsid w:val="0039053A"/>
    <w:rsid w:val="00390584"/>
    <w:rsid w:val="00390E56"/>
    <w:rsid w:val="00390FA6"/>
    <w:rsid w:val="003920BA"/>
    <w:rsid w:val="00392991"/>
    <w:rsid w:val="00392BB4"/>
    <w:rsid w:val="00392D5A"/>
    <w:rsid w:val="0039304D"/>
    <w:rsid w:val="00393066"/>
    <w:rsid w:val="003931B9"/>
    <w:rsid w:val="00393B78"/>
    <w:rsid w:val="00394109"/>
    <w:rsid w:val="003942BA"/>
    <w:rsid w:val="0039475A"/>
    <w:rsid w:val="00397D9F"/>
    <w:rsid w:val="00397EEB"/>
    <w:rsid w:val="003A01E9"/>
    <w:rsid w:val="003A0AFA"/>
    <w:rsid w:val="003A0E19"/>
    <w:rsid w:val="003A2939"/>
    <w:rsid w:val="003A2CE0"/>
    <w:rsid w:val="003A5068"/>
    <w:rsid w:val="003A591E"/>
    <w:rsid w:val="003A6B8D"/>
    <w:rsid w:val="003A7E1C"/>
    <w:rsid w:val="003B17B9"/>
    <w:rsid w:val="003B1B83"/>
    <w:rsid w:val="003B1F32"/>
    <w:rsid w:val="003B2ED0"/>
    <w:rsid w:val="003B3C8B"/>
    <w:rsid w:val="003B4282"/>
    <w:rsid w:val="003B4F39"/>
    <w:rsid w:val="003B537D"/>
    <w:rsid w:val="003B59F1"/>
    <w:rsid w:val="003B7651"/>
    <w:rsid w:val="003B7BE1"/>
    <w:rsid w:val="003B7FD1"/>
    <w:rsid w:val="003C00C9"/>
    <w:rsid w:val="003C0306"/>
    <w:rsid w:val="003C050C"/>
    <w:rsid w:val="003C114C"/>
    <w:rsid w:val="003C1819"/>
    <w:rsid w:val="003C1DF7"/>
    <w:rsid w:val="003C304A"/>
    <w:rsid w:val="003C30D3"/>
    <w:rsid w:val="003C465D"/>
    <w:rsid w:val="003C6377"/>
    <w:rsid w:val="003C6AD8"/>
    <w:rsid w:val="003C71CB"/>
    <w:rsid w:val="003C7665"/>
    <w:rsid w:val="003C787F"/>
    <w:rsid w:val="003D363B"/>
    <w:rsid w:val="003D43EE"/>
    <w:rsid w:val="003D495D"/>
    <w:rsid w:val="003D4B3A"/>
    <w:rsid w:val="003D54AE"/>
    <w:rsid w:val="003D6B75"/>
    <w:rsid w:val="003D7C00"/>
    <w:rsid w:val="003E0947"/>
    <w:rsid w:val="003E098E"/>
    <w:rsid w:val="003E122D"/>
    <w:rsid w:val="003E1458"/>
    <w:rsid w:val="003E17BF"/>
    <w:rsid w:val="003E24F2"/>
    <w:rsid w:val="003E2720"/>
    <w:rsid w:val="003E2FAE"/>
    <w:rsid w:val="003E39DB"/>
    <w:rsid w:val="003E68D9"/>
    <w:rsid w:val="003E694D"/>
    <w:rsid w:val="003E730A"/>
    <w:rsid w:val="003E768C"/>
    <w:rsid w:val="003F0DA5"/>
    <w:rsid w:val="003F14FC"/>
    <w:rsid w:val="003F5D90"/>
    <w:rsid w:val="004004C0"/>
    <w:rsid w:val="00400949"/>
    <w:rsid w:val="00401F1E"/>
    <w:rsid w:val="00402375"/>
    <w:rsid w:val="004025CA"/>
    <w:rsid w:val="0040478A"/>
    <w:rsid w:val="00404B66"/>
    <w:rsid w:val="00404D3A"/>
    <w:rsid w:val="004056F0"/>
    <w:rsid w:val="0040711F"/>
    <w:rsid w:val="0040739C"/>
    <w:rsid w:val="0040765B"/>
    <w:rsid w:val="00407909"/>
    <w:rsid w:val="00407CF7"/>
    <w:rsid w:val="00411C64"/>
    <w:rsid w:val="00411EAC"/>
    <w:rsid w:val="00412D98"/>
    <w:rsid w:val="004139FD"/>
    <w:rsid w:val="00413B68"/>
    <w:rsid w:val="00414134"/>
    <w:rsid w:val="0041525D"/>
    <w:rsid w:val="004155BE"/>
    <w:rsid w:val="00415EBE"/>
    <w:rsid w:val="00415ED6"/>
    <w:rsid w:val="0041638E"/>
    <w:rsid w:val="00416A01"/>
    <w:rsid w:val="00417262"/>
    <w:rsid w:val="004174A0"/>
    <w:rsid w:val="004179BE"/>
    <w:rsid w:val="00417CAF"/>
    <w:rsid w:val="00417E1F"/>
    <w:rsid w:val="00420A11"/>
    <w:rsid w:val="00422265"/>
    <w:rsid w:val="00422870"/>
    <w:rsid w:val="00424CC7"/>
    <w:rsid w:val="00424D08"/>
    <w:rsid w:val="00425DAB"/>
    <w:rsid w:val="00425EA9"/>
    <w:rsid w:val="00430B15"/>
    <w:rsid w:val="00431376"/>
    <w:rsid w:val="004315E2"/>
    <w:rsid w:val="00432EBB"/>
    <w:rsid w:val="00433AFF"/>
    <w:rsid w:val="0043402E"/>
    <w:rsid w:val="0043549F"/>
    <w:rsid w:val="00435747"/>
    <w:rsid w:val="0043661C"/>
    <w:rsid w:val="004371DD"/>
    <w:rsid w:val="004373A7"/>
    <w:rsid w:val="004375E0"/>
    <w:rsid w:val="00437D94"/>
    <w:rsid w:val="004401D3"/>
    <w:rsid w:val="0044030C"/>
    <w:rsid w:val="00440B5A"/>
    <w:rsid w:val="0044191D"/>
    <w:rsid w:val="0044193F"/>
    <w:rsid w:val="004421AB"/>
    <w:rsid w:val="00443A9C"/>
    <w:rsid w:val="00444131"/>
    <w:rsid w:val="004444E7"/>
    <w:rsid w:val="0044541C"/>
    <w:rsid w:val="0044594C"/>
    <w:rsid w:val="00445A45"/>
    <w:rsid w:val="00446242"/>
    <w:rsid w:val="0044632A"/>
    <w:rsid w:val="004464EB"/>
    <w:rsid w:val="0044727C"/>
    <w:rsid w:val="00447561"/>
    <w:rsid w:val="004476DC"/>
    <w:rsid w:val="004507DD"/>
    <w:rsid w:val="004509C6"/>
    <w:rsid w:val="004513BB"/>
    <w:rsid w:val="00451922"/>
    <w:rsid w:val="00451AEB"/>
    <w:rsid w:val="0045251B"/>
    <w:rsid w:val="00452E9A"/>
    <w:rsid w:val="00454D60"/>
    <w:rsid w:val="00456BFE"/>
    <w:rsid w:val="004572BE"/>
    <w:rsid w:val="0045746B"/>
    <w:rsid w:val="004575A3"/>
    <w:rsid w:val="00457710"/>
    <w:rsid w:val="00457802"/>
    <w:rsid w:val="0046077E"/>
    <w:rsid w:val="004626CC"/>
    <w:rsid w:val="00463060"/>
    <w:rsid w:val="0046368D"/>
    <w:rsid w:val="0046424D"/>
    <w:rsid w:val="004648A4"/>
    <w:rsid w:val="004668C2"/>
    <w:rsid w:val="00467C24"/>
    <w:rsid w:val="00471380"/>
    <w:rsid w:val="00471D2C"/>
    <w:rsid w:val="00472547"/>
    <w:rsid w:val="004740C8"/>
    <w:rsid w:val="0047546B"/>
    <w:rsid w:val="0047575C"/>
    <w:rsid w:val="00482F00"/>
    <w:rsid w:val="00483344"/>
    <w:rsid w:val="004838DD"/>
    <w:rsid w:val="00484026"/>
    <w:rsid w:val="0048422E"/>
    <w:rsid w:val="00484310"/>
    <w:rsid w:val="00485A92"/>
    <w:rsid w:val="00485DD0"/>
    <w:rsid w:val="004869DF"/>
    <w:rsid w:val="00486DBF"/>
    <w:rsid w:val="004901F2"/>
    <w:rsid w:val="004910A9"/>
    <w:rsid w:val="00491AEE"/>
    <w:rsid w:val="00491D4E"/>
    <w:rsid w:val="004920F6"/>
    <w:rsid w:val="00492250"/>
    <w:rsid w:val="00492B55"/>
    <w:rsid w:val="004935B3"/>
    <w:rsid w:val="00494F0D"/>
    <w:rsid w:val="00494F1F"/>
    <w:rsid w:val="00495167"/>
    <w:rsid w:val="0049613C"/>
    <w:rsid w:val="00496BFD"/>
    <w:rsid w:val="004971C3"/>
    <w:rsid w:val="004A07AB"/>
    <w:rsid w:val="004A17A1"/>
    <w:rsid w:val="004A1F13"/>
    <w:rsid w:val="004A2450"/>
    <w:rsid w:val="004A31CD"/>
    <w:rsid w:val="004A3DF2"/>
    <w:rsid w:val="004A44E0"/>
    <w:rsid w:val="004A6CAD"/>
    <w:rsid w:val="004A76BE"/>
    <w:rsid w:val="004A7C34"/>
    <w:rsid w:val="004A7FB1"/>
    <w:rsid w:val="004B1289"/>
    <w:rsid w:val="004B23A3"/>
    <w:rsid w:val="004B2ECE"/>
    <w:rsid w:val="004B386A"/>
    <w:rsid w:val="004B454C"/>
    <w:rsid w:val="004B5002"/>
    <w:rsid w:val="004B5092"/>
    <w:rsid w:val="004C024D"/>
    <w:rsid w:val="004C0457"/>
    <w:rsid w:val="004C1A4A"/>
    <w:rsid w:val="004C26A8"/>
    <w:rsid w:val="004C2785"/>
    <w:rsid w:val="004C2A53"/>
    <w:rsid w:val="004C361D"/>
    <w:rsid w:val="004C373A"/>
    <w:rsid w:val="004C4514"/>
    <w:rsid w:val="004C4891"/>
    <w:rsid w:val="004C523B"/>
    <w:rsid w:val="004C5434"/>
    <w:rsid w:val="004C58BC"/>
    <w:rsid w:val="004C6296"/>
    <w:rsid w:val="004C6ED4"/>
    <w:rsid w:val="004C79E1"/>
    <w:rsid w:val="004C7A0D"/>
    <w:rsid w:val="004D0792"/>
    <w:rsid w:val="004D1181"/>
    <w:rsid w:val="004D1391"/>
    <w:rsid w:val="004D16D7"/>
    <w:rsid w:val="004D1793"/>
    <w:rsid w:val="004D1AB2"/>
    <w:rsid w:val="004D1E4D"/>
    <w:rsid w:val="004D25E6"/>
    <w:rsid w:val="004D2C89"/>
    <w:rsid w:val="004D3EFA"/>
    <w:rsid w:val="004D5051"/>
    <w:rsid w:val="004D66A0"/>
    <w:rsid w:val="004E0138"/>
    <w:rsid w:val="004E03E0"/>
    <w:rsid w:val="004E0921"/>
    <w:rsid w:val="004E0DDD"/>
    <w:rsid w:val="004E11B3"/>
    <w:rsid w:val="004E1E1D"/>
    <w:rsid w:val="004E3932"/>
    <w:rsid w:val="004E444E"/>
    <w:rsid w:val="004E6837"/>
    <w:rsid w:val="004E6AEF"/>
    <w:rsid w:val="004E74AC"/>
    <w:rsid w:val="004F0EE4"/>
    <w:rsid w:val="004F1E79"/>
    <w:rsid w:val="004F304C"/>
    <w:rsid w:val="004F442A"/>
    <w:rsid w:val="004F4AD8"/>
    <w:rsid w:val="004F5F33"/>
    <w:rsid w:val="004F6931"/>
    <w:rsid w:val="00500D72"/>
    <w:rsid w:val="0050103A"/>
    <w:rsid w:val="005010B2"/>
    <w:rsid w:val="00501397"/>
    <w:rsid w:val="00502683"/>
    <w:rsid w:val="00502AA7"/>
    <w:rsid w:val="00503BA1"/>
    <w:rsid w:val="00503C7B"/>
    <w:rsid w:val="00504053"/>
    <w:rsid w:val="00505F00"/>
    <w:rsid w:val="00506671"/>
    <w:rsid w:val="00506880"/>
    <w:rsid w:val="00506BA6"/>
    <w:rsid w:val="0050795A"/>
    <w:rsid w:val="005079ED"/>
    <w:rsid w:val="00507EA8"/>
    <w:rsid w:val="00507FED"/>
    <w:rsid w:val="0051115F"/>
    <w:rsid w:val="005117DC"/>
    <w:rsid w:val="00511B0F"/>
    <w:rsid w:val="00512DA3"/>
    <w:rsid w:val="00513989"/>
    <w:rsid w:val="00513ED7"/>
    <w:rsid w:val="005153EA"/>
    <w:rsid w:val="005158C9"/>
    <w:rsid w:val="00515CA9"/>
    <w:rsid w:val="00516CC2"/>
    <w:rsid w:val="0051752F"/>
    <w:rsid w:val="00522A45"/>
    <w:rsid w:val="00522EC5"/>
    <w:rsid w:val="00523799"/>
    <w:rsid w:val="005243FA"/>
    <w:rsid w:val="0052531F"/>
    <w:rsid w:val="005260E1"/>
    <w:rsid w:val="00526F6E"/>
    <w:rsid w:val="005270A4"/>
    <w:rsid w:val="00527800"/>
    <w:rsid w:val="005302AB"/>
    <w:rsid w:val="0053038A"/>
    <w:rsid w:val="00530934"/>
    <w:rsid w:val="00531B6A"/>
    <w:rsid w:val="00532265"/>
    <w:rsid w:val="005322F6"/>
    <w:rsid w:val="00535E07"/>
    <w:rsid w:val="0053741A"/>
    <w:rsid w:val="00537E86"/>
    <w:rsid w:val="005403F6"/>
    <w:rsid w:val="00542CC6"/>
    <w:rsid w:val="0054371A"/>
    <w:rsid w:val="0054390D"/>
    <w:rsid w:val="00543E37"/>
    <w:rsid w:val="00544441"/>
    <w:rsid w:val="00544E0A"/>
    <w:rsid w:val="005452F9"/>
    <w:rsid w:val="0054609C"/>
    <w:rsid w:val="00546513"/>
    <w:rsid w:val="00546845"/>
    <w:rsid w:val="00547022"/>
    <w:rsid w:val="00550504"/>
    <w:rsid w:val="00550A8F"/>
    <w:rsid w:val="00551748"/>
    <w:rsid w:val="005520EB"/>
    <w:rsid w:val="0055277F"/>
    <w:rsid w:val="0055388E"/>
    <w:rsid w:val="00554648"/>
    <w:rsid w:val="00556818"/>
    <w:rsid w:val="00560887"/>
    <w:rsid w:val="00560B27"/>
    <w:rsid w:val="00561450"/>
    <w:rsid w:val="005619C0"/>
    <w:rsid w:val="0056200B"/>
    <w:rsid w:val="005621E1"/>
    <w:rsid w:val="00565713"/>
    <w:rsid w:val="00565A28"/>
    <w:rsid w:val="00565CE4"/>
    <w:rsid w:val="00565F59"/>
    <w:rsid w:val="00567400"/>
    <w:rsid w:val="0056743A"/>
    <w:rsid w:val="00567B0F"/>
    <w:rsid w:val="0057029A"/>
    <w:rsid w:val="0057128F"/>
    <w:rsid w:val="00572DB5"/>
    <w:rsid w:val="005731EF"/>
    <w:rsid w:val="00573D57"/>
    <w:rsid w:val="00574A5A"/>
    <w:rsid w:val="00575398"/>
    <w:rsid w:val="005754AE"/>
    <w:rsid w:val="00575AB8"/>
    <w:rsid w:val="00576719"/>
    <w:rsid w:val="00577602"/>
    <w:rsid w:val="00577FB5"/>
    <w:rsid w:val="00580445"/>
    <w:rsid w:val="005806CE"/>
    <w:rsid w:val="00580EBB"/>
    <w:rsid w:val="005815F8"/>
    <w:rsid w:val="00582505"/>
    <w:rsid w:val="00583FCC"/>
    <w:rsid w:val="005851C7"/>
    <w:rsid w:val="005852D1"/>
    <w:rsid w:val="00585DDF"/>
    <w:rsid w:val="00587808"/>
    <w:rsid w:val="00587A22"/>
    <w:rsid w:val="00590D37"/>
    <w:rsid w:val="005916A6"/>
    <w:rsid w:val="00591B72"/>
    <w:rsid w:val="005920A1"/>
    <w:rsid w:val="0059299D"/>
    <w:rsid w:val="00594AC6"/>
    <w:rsid w:val="00595C8C"/>
    <w:rsid w:val="00597747"/>
    <w:rsid w:val="005A0310"/>
    <w:rsid w:val="005A10B1"/>
    <w:rsid w:val="005A12A3"/>
    <w:rsid w:val="005A2689"/>
    <w:rsid w:val="005A276B"/>
    <w:rsid w:val="005A39DE"/>
    <w:rsid w:val="005A3A24"/>
    <w:rsid w:val="005A4235"/>
    <w:rsid w:val="005A4CDD"/>
    <w:rsid w:val="005A5434"/>
    <w:rsid w:val="005A558F"/>
    <w:rsid w:val="005A5B05"/>
    <w:rsid w:val="005A5DE2"/>
    <w:rsid w:val="005A6ADF"/>
    <w:rsid w:val="005A7F76"/>
    <w:rsid w:val="005B0217"/>
    <w:rsid w:val="005B069B"/>
    <w:rsid w:val="005B06CE"/>
    <w:rsid w:val="005B1412"/>
    <w:rsid w:val="005B2729"/>
    <w:rsid w:val="005B30F7"/>
    <w:rsid w:val="005B49DA"/>
    <w:rsid w:val="005B57E4"/>
    <w:rsid w:val="005B5ABD"/>
    <w:rsid w:val="005B7640"/>
    <w:rsid w:val="005B7C11"/>
    <w:rsid w:val="005C0F59"/>
    <w:rsid w:val="005C13D6"/>
    <w:rsid w:val="005C140A"/>
    <w:rsid w:val="005C1A12"/>
    <w:rsid w:val="005C1E52"/>
    <w:rsid w:val="005C1E9B"/>
    <w:rsid w:val="005C2400"/>
    <w:rsid w:val="005C278D"/>
    <w:rsid w:val="005C2810"/>
    <w:rsid w:val="005C33DD"/>
    <w:rsid w:val="005C4606"/>
    <w:rsid w:val="005C5733"/>
    <w:rsid w:val="005C5D0E"/>
    <w:rsid w:val="005C65D9"/>
    <w:rsid w:val="005C6763"/>
    <w:rsid w:val="005C686E"/>
    <w:rsid w:val="005C709D"/>
    <w:rsid w:val="005D082E"/>
    <w:rsid w:val="005D14D3"/>
    <w:rsid w:val="005D270E"/>
    <w:rsid w:val="005D3164"/>
    <w:rsid w:val="005D3190"/>
    <w:rsid w:val="005D31BF"/>
    <w:rsid w:val="005D3BD7"/>
    <w:rsid w:val="005D3D2B"/>
    <w:rsid w:val="005D422E"/>
    <w:rsid w:val="005D51F9"/>
    <w:rsid w:val="005D58CE"/>
    <w:rsid w:val="005D78C9"/>
    <w:rsid w:val="005D794D"/>
    <w:rsid w:val="005E0344"/>
    <w:rsid w:val="005E21E9"/>
    <w:rsid w:val="005E3388"/>
    <w:rsid w:val="005E440B"/>
    <w:rsid w:val="005E5B9D"/>
    <w:rsid w:val="005E640A"/>
    <w:rsid w:val="005E6C76"/>
    <w:rsid w:val="005E6D75"/>
    <w:rsid w:val="005E79E2"/>
    <w:rsid w:val="005F0CCD"/>
    <w:rsid w:val="005F2C85"/>
    <w:rsid w:val="005F3BAE"/>
    <w:rsid w:val="005F4508"/>
    <w:rsid w:val="005F6793"/>
    <w:rsid w:val="005F6985"/>
    <w:rsid w:val="005F6BE0"/>
    <w:rsid w:val="005F717D"/>
    <w:rsid w:val="005F75C5"/>
    <w:rsid w:val="00601F96"/>
    <w:rsid w:val="00603731"/>
    <w:rsid w:val="00603790"/>
    <w:rsid w:val="0060390C"/>
    <w:rsid w:val="0060415C"/>
    <w:rsid w:val="00604632"/>
    <w:rsid w:val="00604CBA"/>
    <w:rsid w:val="00605ADB"/>
    <w:rsid w:val="0060654C"/>
    <w:rsid w:val="00610CD9"/>
    <w:rsid w:val="00611C9F"/>
    <w:rsid w:val="00612B72"/>
    <w:rsid w:val="00613447"/>
    <w:rsid w:val="00613D68"/>
    <w:rsid w:val="00614CD1"/>
    <w:rsid w:val="00614EFD"/>
    <w:rsid w:val="006154F4"/>
    <w:rsid w:val="00615C75"/>
    <w:rsid w:val="00616FC1"/>
    <w:rsid w:val="00617AB1"/>
    <w:rsid w:val="00617B4F"/>
    <w:rsid w:val="00620401"/>
    <w:rsid w:val="00620D0A"/>
    <w:rsid w:val="00621E79"/>
    <w:rsid w:val="006220D7"/>
    <w:rsid w:val="0062285E"/>
    <w:rsid w:val="00623C9D"/>
    <w:rsid w:val="00623F9F"/>
    <w:rsid w:val="006248DE"/>
    <w:rsid w:val="00624D0F"/>
    <w:rsid w:val="0062522C"/>
    <w:rsid w:val="00625358"/>
    <w:rsid w:val="00625E43"/>
    <w:rsid w:val="006263E2"/>
    <w:rsid w:val="006264EA"/>
    <w:rsid w:val="0062661D"/>
    <w:rsid w:val="00627555"/>
    <w:rsid w:val="00627BC7"/>
    <w:rsid w:val="00627F4B"/>
    <w:rsid w:val="00630D87"/>
    <w:rsid w:val="0063140A"/>
    <w:rsid w:val="006315C1"/>
    <w:rsid w:val="00631D8A"/>
    <w:rsid w:val="006322A0"/>
    <w:rsid w:val="006325CA"/>
    <w:rsid w:val="00632C46"/>
    <w:rsid w:val="00632F3E"/>
    <w:rsid w:val="0063377A"/>
    <w:rsid w:val="00633BF9"/>
    <w:rsid w:val="0063464B"/>
    <w:rsid w:val="00634EA2"/>
    <w:rsid w:val="006350A2"/>
    <w:rsid w:val="0063566B"/>
    <w:rsid w:val="00635D10"/>
    <w:rsid w:val="006361FD"/>
    <w:rsid w:val="006364B1"/>
    <w:rsid w:val="00636916"/>
    <w:rsid w:val="006370AA"/>
    <w:rsid w:val="00637157"/>
    <w:rsid w:val="006371CF"/>
    <w:rsid w:val="00637BEB"/>
    <w:rsid w:val="0064226F"/>
    <w:rsid w:val="00642DDB"/>
    <w:rsid w:val="0064322A"/>
    <w:rsid w:val="00644AAB"/>
    <w:rsid w:val="00647B0E"/>
    <w:rsid w:val="006503E7"/>
    <w:rsid w:val="00650EFB"/>
    <w:rsid w:val="00650F1C"/>
    <w:rsid w:val="00651DBA"/>
    <w:rsid w:val="00651EB6"/>
    <w:rsid w:val="00652DB0"/>
    <w:rsid w:val="00653298"/>
    <w:rsid w:val="006532B3"/>
    <w:rsid w:val="00653C19"/>
    <w:rsid w:val="00653F3E"/>
    <w:rsid w:val="006540A3"/>
    <w:rsid w:val="006552D8"/>
    <w:rsid w:val="00655ABD"/>
    <w:rsid w:val="0065648C"/>
    <w:rsid w:val="00656AE9"/>
    <w:rsid w:val="00656BC7"/>
    <w:rsid w:val="00657520"/>
    <w:rsid w:val="006578A0"/>
    <w:rsid w:val="00657A91"/>
    <w:rsid w:val="006608E9"/>
    <w:rsid w:val="0066124B"/>
    <w:rsid w:val="00661525"/>
    <w:rsid w:val="006621E0"/>
    <w:rsid w:val="00662285"/>
    <w:rsid w:val="00662543"/>
    <w:rsid w:val="006629C7"/>
    <w:rsid w:val="00662D0A"/>
    <w:rsid w:val="00662EAA"/>
    <w:rsid w:val="00662ECE"/>
    <w:rsid w:val="00663161"/>
    <w:rsid w:val="00663863"/>
    <w:rsid w:val="00663A7C"/>
    <w:rsid w:val="00663F13"/>
    <w:rsid w:val="0066561A"/>
    <w:rsid w:val="00666286"/>
    <w:rsid w:val="00667CCA"/>
    <w:rsid w:val="00667DF2"/>
    <w:rsid w:val="006700BB"/>
    <w:rsid w:val="0067098E"/>
    <w:rsid w:val="00670DF1"/>
    <w:rsid w:val="00671345"/>
    <w:rsid w:val="00671FDB"/>
    <w:rsid w:val="0067284D"/>
    <w:rsid w:val="00672A9B"/>
    <w:rsid w:val="00673AC6"/>
    <w:rsid w:val="0067567F"/>
    <w:rsid w:val="00675884"/>
    <w:rsid w:val="006763FD"/>
    <w:rsid w:val="00676895"/>
    <w:rsid w:val="00677757"/>
    <w:rsid w:val="0067790E"/>
    <w:rsid w:val="00677BD1"/>
    <w:rsid w:val="00681112"/>
    <w:rsid w:val="006811EA"/>
    <w:rsid w:val="00683B52"/>
    <w:rsid w:val="0068413F"/>
    <w:rsid w:val="00684319"/>
    <w:rsid w:val="00684B95"/>
    <w:rsid w:val="006858A1"/>
    <w:rsid w:val="00686DAF"/>
    <w:rsid w:val="00686F31"/>
    <w:rsid w:val="0069006B"/>
    <w:rsid w:val="00690135"/>
    <w:rsid w:val="00690782"/>
    <w:rsid w:val="0069097D"/>
    <w:rsid w:val="00691A55"/>
    <w:rsid w:val="00691F5F"/>
    <w:rsid w:val="00692417"/>
    <w:rsid w:val="00692AC8"/>
    <w:rsid w:val="00694DA5"/>
    <w:rsid w:val="00694DDA"/>
    <w:rsid w:val="00695C5C"/>
    <w:rsid w:val="00696EE0"/>
    <w:rsid w:val="00696EFB"/>
    <w:rsid w:val="00696F2B"/>
    <w:rsid w:val="0069763A"/>
    <w:rsid w:val="00697980"/>
    <w:rsid w:val="006A0BDE"/>
    <w:rsid w:val="006A1005"/>
    <w:rsid w:val="006A12FA"/>
    <w:rsid w:val="006A1982"/>
    <w:rsid w:val="006A19EF"/>
    <w:rsid w:val="006A207A"/>
    <w:rsid w:val="006A3A1C"/>
    <w:rsid w:val="006A3CF8"/>
    <w:rsid w:val="006A3F61"/>
    <w:rsid w:val="006A407D"/>
    <w:rsid w:val="006A43D5"/>
    <w:rsid w:val="006A525B"/>
    <w:rsid w:val="006A5CCF"/>
    <w:rsid w:val="006A5DB2"/>
    <w:rsid w:val="006A5DF6"/>
    <w:rsid w:val="006A6278"/>
    <w:rsid w:val="006A6AE9"/>
    <w:rsid w:val="006B065D"/>
    <w:rsid w:val="006B0C36"/>
    <w:rsid w:val="006B0C44"/>
    <w:rsid w:val="006B28E2"/>
    <w:rsid w:val="006B2B26"/>
    <w:rsid w:val="006B2C89"/>
    <w:rsid w:val="006B2DBF"/>
    <w:rsid w:val="006B303A"/>
    <w:rsid w:val="006B35D4"/>
    <w:rsid w:val="006B47F4"/>
    <w:rsid w:val="006B48E4"/>
    <w:rsid w:val="006B4E71"/>
    <w:rsid w:val="006B645E"/>
    <w:rsid w:val="006B6883"/>
    <w:rsid w:val="006B762D"/>
    <w:rsid w:val="006B7C91"/>
    <w:rsid w:val="006B7D7F"/>
    <w:rsid w:val="006C0150"/>
    <w:rsid w:val="006C041E"/>
    <w:rsid w:val="006C045F"/>
    <w:rsid w:val="006C05DE"/>
    <w:rsid w:val="006C146E"/>
    <w:rsid w:val="006C1D1A"/>
    <w:rsid w:val="006C1D9B"/>
    <w:rsid w:val="006C3682"/>
    <w:rsid w:val="006C4196"/>
    <w:rsid w:val="006C593C"/>
    <w:rsid w:val="006C63B0"/>
    <w:rsid w:val="006C7300"/>
    <w:rsid w:val="006C76A2"/>
    <w:rsid w:val="006C791B"/>
    <w:rsid w:val="006C792E"/>
    <w:rsid w:val="006C7EB1"/>
    <w:rsid w:val="006D0E55"/>
    <w:rsid w:val="006D116C"/>
    <w:rsid w:val="006D1DEC"/>
    <w:rsid w:val="006D2563"/>
    <w:rsid w:val="006D31A6"/>
    <w:rsid w:val="006D44E4"/>
    <w:rsid w:val="006D4D03"/>
    <w:rsid w:val="006D5192"/>
    <w:rsid w:val="006D6030"/>
    <w:rsid w:val="006D63BD"/>
    <w:rsid w:val="006D6E0B"/>
    <w:rsid w:val="006D6FA7"/>
    <w:rsid w:val="006D794C"/>
    <w:rsid w:val="006E0890"/>
    <w:rsid w:val="006E1312"/>
    <w:rsid w:val="006E16DC"/>
    <w:rsid w:val="006E4D8A"/>
    <w:rsid w:val="006E5E59"/>
    <w:rsid w:val="006E616E"/>
    <w:rsid w:val="006E6BA0"/>
    <w:rsid w:val="006E6E27"/>
    <w:rsid w:val="006E7C42"/>
    <w:rsid w:val="006F0DFB"/>
    <w:rsid w:val="006F11C3"/>
    <w:rsid w:val="006F15B8"/>
    <w:rsid w:val="006F168A"/>
    <w:rsid w:val="006F189B"/>
    <w:rsid w:val="006F1BB7"/>
    <w:rsid w:val="006F23DB"/>
    <w:rsid w:val="006F2F1B"/>
    <w:rsid w:val="006F39CB"/>
    <w:rsid w:val="006F5045"/>
    <w:rsid w:val="006F5076"/>
    <w:rsid w:val="006F546B"/>
    <w:rsid w:val="006F6009"/>
    <w:rsid w:val="006F73C7"/>
    <w:rsid w:val="00700890"/>
    <w:rsid w:val="00700DC7"/>
    <w:rsid w:val="00700E43"/>
    <w:rsid w:val="00702BD4"/>
    <w:rsid w:val="0070321D"/>
    <w:rsid w:val="00704131"/>
    <w:rsid w:val="007048EF"/>
    <w:rsid w:val="00704D5F"/>
    <w:rsid w:val="007058C1"/>
    <w:rsid w:val="00705F18"/>
    <w:rsid w:val="007068BA"/>
    <w:rsid w:val="00707005"/>
    <w:rsid w:val="007070FB"/>
    <w:rsid w:val="007079BB"/>
    <w:rsid w:val="00710104"/>
    <w:rsid w:val="007130C8"/>
    <w:rsid w:val="00713F09"/>
    <w:rsid w:val="007141CB"/>
    <w:rsid w:val="00715893"/>
    <w:rsid w:val="007160BF"/>
    <w:rsid w:val="00716998"/>
    <w:rsid w:val="00716AB1"/>
    <w:rsid w:val="007177DC"/>
    <w:rsid w:val="00717A7D"/>
    <w:rsid w:val="00721339"/>
    <w:rsid w:val="00721D63"/>
    <w:rsid w:val="00722821"/>
    <w:rsid w:val="00722855"/>
    <w:rsid w:val="0072372F"/>
    <w:rsid w:val="0072383C"/>
    <w:rsid w:val="00723A1E"/>
    <w:rsid w:val="007263C5"/>
    <w:rsid w:val="0072664B"/>
    <w:rsid w:val="007275CC"/>
    <w:rsid w:val="007278C8"/>
    <w:rsid w:val="00727945"/>
    <w:rsid w:val="0073066C"/>
    <w:rsid w:val="0073182A"/>
    <w:rsid w:val="00731946"/>
    <w:rsid w:val="007328D7"/>
    <w:rsid w:val="00732A73"/>
    <w:rsid w:val="00732C7B"/>
    <w:rsid w:val="0073421E"/>
    <w:rsid w:val="007345D2"/>
    <w:rsid w:val="00734CE0"/>
    <w:rsid w:val="00734D2B"/>
    <w:rsid w:val="00734FC5"/>
    <w:rsid w:val="00735C2F"/>
    <w:rsid w:val="00735E30"/>
    <w:rsid w:val="00736BF6"/>
    <w:rsid w:val="00737439"/>
    <w:rsid w:val="00737705"/>
    <w:rsid w:val="00737AAD"/>
    <w:rsid w:val="007408D4"/>
    <w:rsid w:val="00741FC8"/>
    <w:rsid w:val="007420AC"/>
    <w:rsid w:val="00742617"/>
    <w:rsid w:val="007429A9"/>
    <w:rsid w:val="00743348"/>
    <w:rsid w:val="0074422E"/>
    <w:rsid w:val="00745248"/>
    <w:rsid w:val="007452C2"/>
    <w:rsid w:val="00746B0E"/>
    <w:rsid w:val="007505EB"/>
    <w:rsid w:val="007518A5"/>
    <w:rsid w:val="00751DDC"/>
    <w:rsid w:val="00751E0D"/>
    <w:rsid w:val="00752685"/>
    <w:rsid w:val="00752EFD"/>
    <w:rsid w:val="00753CBA"/>
    <w:rsid w:val="0075539D"/>
    <w:rsid w:val="00757A40"/>
    <w:rsid w:val="00757AD0"/>
    <w:rsid w:val="007602D5"/>
    <w:rsid w:val="0076153F"/>
    <w:rsid w:val="0076157A"/>
    <w:rsid w:val="00761739"/>
    <w:rsid w:val="00764023"/>
    <w:rsid w:val="00767DCF"/>
    <w:rsid w:val="00770584"/>
    <w:rsid w:val="007729E6"/>
    <w:rsid w:val="00772F81"/>
    <w:rsid w:val="00774C33"/>
    <w:rsid w:val="00774C50"/>
    <w:rsid w:val="00777177"/>
    <w:rsid w:val="00777E19"/>
    <w:rsid w:val="00781996"/>
    <w:rsid w:val="00781C35"/>
    <w:rsid w:val="00781D42"/>
    <w:rsid w:val="007822BD"/>
    <w:rsid w:val="00783391"/>
    <w:rsid w:val="0078365D"/>
    <w:rsid w:val="00783AFA"/>
    <w:rsid w:val="00783B73"/>
    <w:rsid w:val="0078456C"/>
    <w:rsid w:val="007848CD"/>
    <w:rsid w:val="0078496A"/>
    <w:rsid w:val="00784F4F"/>
    <w:rsid w:val="0078534A"/>
    <w:rsid w:val="00785427"/>
    <w:rsid w:val="00785A81"/>
    <w:rsid w:val="00787D8D"/>
    <w:rsid w:val="007901B4"/>
    <w:rsid w:val="0079022A"/>
    <w:rsid w:val="0079033B"/>
    <w:rsid w:val="00790540"/>
    <w:rsid w:val="007913DC"/>
    <w:rsid w:val="00791434"/>
    <w:rsid w:val="00792D25"/>
    <w:rsid w:val="00793120"/>
    <w:rsid w:val="007931DB"/>
    <w:rsid w:val="00795CC2"/>
    <w:rsid w:val="007962DB"/>
    <w:rsid w:val="007968CA"/>
    <w:rsid w:val="00796C9D"/>
    <w:rsid w:val="00797432"/>
    <w:rsid w:val="00797E7C"/>
    <w:rsid w:val="007A1FD1"/>
    <w:rsid w:val="007A2180"/>
    <w:rsid w:val="007A3AD8"/>
    <w:rsid w:val="007A43FF"/>
    <w:rsid w:val="007A4BD0"/>
    <w:rsid w:val="007A4DC1"/>
    <w:rsid w:val="007A5A86"/>
    <w:rsid w:val="007A5AE6"/>
    <w:rsid w:val="007A62EB"/>
    <w:rsid w:val="007A6622"/>
    <w:rsid w:val="007A690F"/>
    <w:rsid w:val="007B0374"/>
    <w:rsid w:val="007B0B1B"/>
    <w:rsid w:val="007B2CD9"/>
    <w:rsid w:val="007B3172"/>
    <w:rsid w:val="007B3918"/>
    <w:rsid w:val="007B3F75"/>
    <w:rsid w:val="007B40D3"/>
    <w:rsid w:val="007B4368"/>
    <w:rsid w:val="007B6175"/>
    <w:rsid w:val="007B6BE7"/>
    <w:rsid w:val="007B6C0B"/>
    <w:rsid w:val="007B7585"/>
    <w:rsid w:val="007C04B7"/>
    <w:rsid w:val="007C05ED"/>
    <w:rsid w:val="007C1A7E"/>
    <w:rsid w:val="007C3C1D"/>
    <w:rsid w:val="007C4313"/>
    <w:rsid w:val="007C4FDE"/>
    <w:rsid w:val="007C5581"/>
    <w:rsid w:val="007C7116"/>
    <w:rsid w:val="007D0684"/>
    <w:rsid w:val="007D1141"/>
    <w:rsid w:val="007D199A"/>
    <w:rsid w:val="007D1DF8"/>
    <w:rsid w:val="007D2EBE"/>
    <w:rsid w:val="007D3DFB"/>
    <w:rsid w:val="007D507A"/>
    <w:rsid w:val="007D6689"/>
    <w:rsid w:val="007E00BA"/>
    <w:rsid w:val="007E04E5"/>
    <w:rsid w:val="007E0FD7"/>
    <w:rsid w:val="007E1C07"/>
    <w:rsid w:val="007E2A6C"/>
    <w:rsid w:val="007E2C9C"/>
    <w:rsid w:val="007E36EE"/>
    <w:rsid w:val="007E4BBC"/>
    <w:rsid w:val="007E712D"/>
    <w:rsid w:val="007E7606"/>
    <w:rsid w:val="007F050F"/>
    <w:rsid w:val="007F1DDD"/>
    <w:rsid w:val="007F1F4B"/>
    <w:rsid w:val="007F24B6"/>
    <w:rsid w:val="007F464F"/>
    <w:rsid w:val="007F5170"/>
    <w:rsid w:val="007F622A"/>
    <w:rsid w:val="007F62FF"/>
    <w:rsid w:val="007F68E0"/>
    <w:rsid w:val="007F7A95"/>
    <w:rsid w:val="00800AEA"/>
    <w:rsid w:val="00800EDE"/>
    <w:rsid w:val="00803D94"/>
    <w:rsid w:val="00804D17"/>
    <w:rsid w:val="0080513E"/>
    <w:rsid w:val="00805257"/>
    <w:rsid w:val="0080540E"/>
    <w:rsid w:val="0080627C"/>
    <w:rsid w:val="008063D4"/>
    <w:rsid w:val="00806620"/>
    <w:rsid w:val="008068A6"/>
    <w:rsid w:val="00806F14"/>
    <w:rsid w:val="00810A68"/>
    <w:rsid w:val="008111E0"/>
    <w:rsid w:val="008112CB"/>
    <w:rsid w:val="00811C71"/>
    <w:rsid w:val="008165B0"/>
    <w:rsid w:val="00816A14"/>
    <w:rsid w:val="00816AC8"/>
    <w:rsid w:val="00816B7C"/>
    <w:rsid w:val="00816DAF"/>
    <w:rsid w:val="00817274"/>
    <w:rsid w:val="00820575"/>
    <w:rsid w:val="008207A6"/>
    <w:rsid w:val="00822965"/>
    <w:rsid w:val="008229BA"/>
    <w:rsid w:val="00823AE8"/>
    <w:rsid w:val="00824151"/>
    <w:rsid w:val="00824723"/>
    <w:rsid w:val="00824AFE"/>
    <w:rsid w:val="00825E4C"/>
    <w:rsid w:val="00826A75"/>
    <w:rsid w:val="00827522"/>
    <w:rsid w:val="008314BF"/>
    <w:rsid w:val="00831A4E"/>
    <w:rsid w:val="008339E5"/>
    <w:rsid w:val="00833E25"/>
    <w:rsid w:val="0083436C"/>
    <w:rsid w:val="008367AE"/>
    <w:rsid w:val="00836986"/>
    <w:rsid w:val="00836C91"/>
    <w:rsid w:val="00840689"/>
    <w:rsid w:val="00841D89"/>
    <w:rsid w:val="00842791"/>
    <w:rsid w:val="008429E4"/>
    <w:rsid w:val="00843E99"/>
    <w:rsid w:val="00844EAB"/>
    <w:rsid w:val="008450EE"/>
    <w:rsid w:val="00845390"/>
    <w:rsid w:val="00845ED9"/>
    <w:rsid w:val="0084601B"/>
    <w:rsid w:val="008468A7"/>
    <w:rsid w:val="00846F92"/>
    <w:rsid w:val="00847277"/>
    <w:rsid w:val="00847EA4"/>
    <w:rsid w:val="00850BE4"/>
    <w:rsid w:val="008514B0"/>
    <w:rsid w:val="00851E8A"/>
    <w:rsid w:val="0085225F"/>
    <w:rsid w:val="0085255F"/>
    <w:rsid w:val="008525D7"/>
    <w:rsid w:val="0085271D"/>
    <w:rsid w:val="008539B8"/>
    <w:rsid w:val="00854876"/>
    <w:rsid w:val="0085748F"/>
    <w:rsid w:val="0085F722"/>
    <w:rsid w:val="008606F0"/>
    <w:rsid w:val="00860E9A"/>
    <w:rsid w:val="00862B07"/>
    <w:rsid w:val="008646FC"/>
    <w:rsid w:val="00865489"/>
    <w:rsid w:val="0086553D"/>
    <w:rsid w:val="00865F27"/>
    <w:rsid w:val="00866DF4"/>
    <w:rsid w:val="00867A8F"/>
    <w:rsid w:val="00870173"/>
    <w:rsid w:val="008702A3"/>
    <w:rsid w:val="00870DA8"/>
    <w:rsid w:val="00871E70"/>
    <w:rsid w:val="0087301B"/>
    <w:rsid w:val="00874FD9"/>
    <w:rsid w:val="00874FEB"/>
    <w:rsid w:val="00875030"/>
    <w:rsid w:val="0087784F"/>
    <w:rsid w:val="00880267"/>
    <w:rsid w:val="00880434"/>
    <w:rsid w:val="00881B6F"/>
    <w:rsid w:val="00882AA4"/>
    <w:rsid w:val="00883DBA"/>
    <w:rsid w:val="00883E22"/>
    <w:rsid w:val="008847AB"/>
    <w:rsid w:val="00884D9D"/>
    <w:rsid w:val="00884E43"/>
    <w:rsid w:val="00886547"/>
    <w:rsid w:val="00887029"/>
    <w:rsid w:val="00887EC6"/>
    <w:rsid w:val="00887FD9"/>
    <w:rsid w:val="0089084C"/>
    <w:rsid w:val="0089145A"/>
    <w:rsid w:val="008917DA"/>
    <w:rsid w:val="0089210E"/>
    <w:rsid w:val="00892809"/>
    <w:rsid w:val="00893409"/>
    <w:rsid w:val="00893499"/>
    <w:rsid w:val="00893539"/>
    <w:rsid w:val="008937F9"/>
    <w:rsid w:val="00893D9F"/>
    <w:rsid w:val="00893DA3"/>
    <w:rsid w:val="00894438"/>
    <w:rsid w:val="0089450A"/>
    <w:rsid w:val="00897A9E"/>
    <w:rsid w:val="008A14E1"/>
    <w:rsid w:val="008A17D5"/>
    <w:rsid w:val="008A180B"/>
    <w:rsid w:val="008A2379"/>
    <w:rsid w:val="008A2D7C"/>
    <w:rsid w:val="008A2EC9"/>
    <w:rsid w:val="008A2FFF"/>
    <w:rsid w:val="008A4329"/>
    <w:rsid w:val="008A4F5E"/>
    <w:rsid w:val="008A52BD"/>
    <w:rsid w:val="008A578E"/>
    <w:rsid w:val="008A62FB"/>
    <w:rsid w:val="008A6411"/>
    <w:rsid w:val="008B0EB5"/>
    <w:rsid w:val="008B1519"/>
    <w:rsid w:val="008B2057"/>
    <w:rsid w:val="008B209F"/>
    <w:rsid w:val="008B2309"/>
    <w:rsid w:val="008B38B8"/>
    <w:rsid w:val="008B510C"/>
    <w:rsid w:val="008B636C"/>
    <w:rsid w:val="008B648A"/>
    <w:rsid w:val="008B7BCC"/>
    <w:rsid w:val="008C2318"/>
    <w:rsid w:val="008C242E"/>
    <w:rsid w:val="008C2BDE"/>
    <w:rsid w:val="008C33B4"/>
    <w:rsid w:val="008C4404"/>
    <w:rsid w:val="008C50C3"/>
    <w:rsid w:val="008C5BDF"/>
    <w:rsid w:val="008C60A1"/>
    <w:rsid w:val="008C69DD"/>
    <w:rsid w:val="008C7094"/>
    <w:rsid w:val="008C7610"/>
    <w:rsid w:val="008C7A88"/>
    <w:rsid w:val="008C7D40"/>
    <w:rsid w:val="008D000E"/>
    <w:rsid w:val="008D1901"/>
    <w:rsid w:val="008D1C9F"/>
    <w:rsid w:val="008D2B97"/>
    <w:rsid w:val="008D34CE"/>
    <w:rsid w:val="008D49A5"/>
    <w:rsid w:val="008D4E54"/>
    <w:rsid w:val="008D533F"/>
    <w:rsid w:val="008D5AB2"/>
    <w:rsid w:val="008D6C81"/>
    <w:rsid w:val="008D7251"/>
    <w:rsid w:val="008D74B7"/>
    <w:rsid w:val="008E0D89"/>
    <w:rsid w:val="008E2620"/>
    <w:rsid w:val="008E28BB"/>
    <w:rsid w:val="008E45DF"/>
    <w:rsid w:val="008E529F"/>
    <w:rsid w:val="008E5765"/>
    <w:rsid w:val="008E5A83"/>
    <w:rsid w:val="008E65A7"/>
    <w:rsid w:val="008E6CF0"/>
    <w:rsid w:val="008E782A"/>
    <w:rsid w:val="008E782F"/>
    <w:rsid w:val="008E7AA3"/>
    <w:rsid w:val="008F0B97"/>
    <w:rsid w:val="008F0ECE"/>
    <w:rsid w:val="008F1182"/>
    <w:rsid w:val="008F118C"/>
    <w:rsid w:val="008F1439"/>
    <w:rsid w:val="008F1600"/>
    <w:rsid w:val="008F3136"/>
    <w:rsid w:val="008F4606"/>
    <w:rsid w:val="008F4D0E"/>
    <w:rsid w:val="008F5313"/>
    <w:rsid w:val="008F5639"/>
    <w:rsid w:val="008F569A"/>
    <w:rsid w:val="008F7051"/>
    <w:rsid w:val="008F7D84"/>
    <w:rsid w:val="0090004D"/>
    <w:rsid w:val="00901BC2"/>
    <w:rsid w:val="00901EBC"/>
    <w:rsid w:val="00902575"/>
    <w:rsid w:val="009033A9"/>
    <w:rsid w:val="00903C21"/>
    <w:rsid w:val="0090436E"/>
    <w:rsid w:val="00904785"/>
    <w:rsid w:val="00904D9D"/>
    <w:rsid w:val="00904DBD"/>
    <w:rsid w:val="00904E4C"/>
    <w:rsid w:val="009052D0"/>
    <w:rsid w:val="0090581D"/>
    <w:rsid w:val="00906A1F"/>
    <w:rsid w:val="00906C9B"/>
    <w:rsid w:val="00906CAA"/>
    <w:rsid w:val="00907470"/>
    <w:rsid w:val="009100C9"/>
    <w:rsid w:val="00910DA1"/>
    <w:rsid w:val="00910F52"/>
    <w:rsid w:val="009112EB"/>
    <w:rsid w:val="00911D57"/>
    <w:rsid w:val="00912118"/>
    <w:rsid w:val="00912613"/>
    <w:rsid w:val="00912C98"/>
    <w:rsid w:val="00912C9C"/>
    <w:rsid w:val="00912F99"/>
    <w:rsid w:val="0091439C"/>
    <w:rsid w:val="00915109"/>
    <w:rsid w:val="00915469"/>
    <w:rsid w:val="009154B9"/>
    <w:rsid w:val="0091589E"/>
    <w:rsid w:val="00916075"/>
    <w:rsid w:val="00920430"/>
    <w:rsid w:val="00920572"/>
    <w:rsid w:val="00920BF2"/>
    <w:rsid w:val="0092120C"/>
    <w:rsid w:val="00921B04"/>
    <w:rsid w:val="00921EE7"/>
    <w:rsid w:val="009231F4"/>
    <w:rsid w:val="00923FC1"/>
    <w:rsid w:val="0092467D"/>
    <w:rsid w:val="00926F5A"/>
    <w:rsid w:val="00927504"/>
    <w:rsid w:val="00927730"/>
    <w:rsid w:val="00927B29"/>
    <w:rsid w:val="00930623"/>
    <w:rsid w:val="009318D9"/>
    <w:rsid w:val="0093209D"/>
    <w:rsid w:val="009349A9"/>
    <w:rsid w:val="00935825"/>
    <w:rsid w:val="00935C32"/>
    <w:rsid w:val="00936C52"/>
    <w:rsid w:val="00937201"/>
    <w:rsid w:val="009374CB"/>
    <w:rsid w:val="00940244"/>
    <w:rsid w:val="0094083F"/>
    <w:rsid w:val="00940AB8"/>
    <w:rsid w:val="009417C5"/>
    <w:rsid w:val="0094287D"/>
    <w:rsid w:val="009431E5"/>
    <w:rsid w:val="009433B4"/>
    <w:rsid w:val="00943E9A"/>
    <w:rsid w:val="0094493A"/>
    <w:rsid w:val="009453EE"/>
    <w:rsid w:val="00945941"/>
    <w:rsid w:val="00946ED5"/>
    <w:rsid w:val="00947454"/>
    <w:rsid w:val="00947635"/>
    <w:rsid w:val="00947A99"/>
    <w:rsid w:val="00950770"/>
    <w:rsid w:val="00950DFD"/>
    <w:rsid w:val="00950E68"/>
    <w:rsid w:val="0095102F"/>
    <w:rsid w:val="009514F7"/>
    <w:rsid w:val="009520FF"/>
    <w:rsid w:val="00952444"/>
    <w:rsid w:val="0095249A"/>
    <w:rsid w:val="0095477C"/>
    <w:rsid w:val="009547B0"/>
    <w:rsid w:val="0095489B"/>
    <w:rsid w:val="00955D58"/>
    <w:rsid w:val="00955FFC"/>
    <w:rsid w:val="0095614B"/>
    <w:rsid w:val="00956274"/>
    <w:rsid w:val="009569D9"/>
    <w:rsid w:val="00957ED9"/>
    <w:rsid w:val="00957F02"/>
    <w:rsid w:val="00957F56"/>
    <w:rsid w:val="009600B5"/>
    <w:rsid w:val="00961FD3"/>
    <w:rsid w:val="00963524"/>
    <w:rsid w:val="00963B97"/>
    <w:rsid w:val="00964154"/>
    <w:rsid w:val="00965E65"/>
    <w:rsid w:val="00966FB9"/>
    <w:rsid w:val="009671CD"/>
    <w:rsid w:val="009679DE"/>
    <w:rsid w:val="00970287"/>
    <w:rsid w:val="00972C8C"/>
    <w:rsid w:val="00972F49"/>
    <w:rsid w:val="009748FB"/>
    <w:rsid w:val="00974F15"/>
    <w:rsid w:val="009751A9"/>
    <w:rsid w:val="0097594E"/>
    <w:rsid w:val="0097731B"/>
    <w:rsid w:val="009776BD"/>
    <w:rsid w:val="00977F33"/>
    <w:rsid w:val="00980F9C"/>
    <w:rsid w:val="00981715"/>
    <w:rsid w:val="0098231A"/>
    <w:rsid w:val="00982909"/>
    <w:rsid w:val="00982A8E"/>
    <w:rsid w:val="00982BD4"/>
    <w:rsid w:val="00982FA9"/>
    <w:rsid w:val="00983AAF"/>
    <w:rsid w:val="0098401B"/>
    <w:rsid w:val="00984114"/>
    <w:rsid w:val="009844B9"/>
    <w:rsid w:val="00984F7F"/>
    <w:rsid w:val="0098632B"/>
    <w:rsid w:val="00986382"/>
    <w:rsid w:val="0098720B"/>
    <w:rsid w:val="00987B8A"/>
    <w:rsid w:val="009906B7"/>
    <w:rsid w:val="00990A6A"/>
    <w:rsid w:val="0099103F"/>
    <w:rsid w:val="009943B1"/>
    <w:rsid w:val="00994B99"/>
    <w:rsid w:val="00995D2A"/>
    <w:rsid w:val="0099604E"/>
    <w:rsid w:val="00997979"/>
    <w:rsid w:val="00997ACB"/>
    <w:rsid w:val="00997BFB"/>
    <w:rsid w:val="00997EB1"/>
    <w:rsid w:val="009A06B0"/>
    <w:rsid w:val="009A2471"/>
    <w:rsid w:val="009A3310"/>
    <w:rsid w:val="009A34F9"/>
    <w:rsid w:val="009A3678"/>
    <w:rsid w:val="009A4A68"/>
    <w:rsid w:val="009A53EF"/>
    <w:rsid w:val="009A5441"/>
    <w:rsid w:val="009A5E57"/>
    <w:rsid w:val="009A69EE"/>
    <w:rsid w:val="009A6AD0"/>
    <w:rsid w:val="009A7348"/>
    <w:rsid w:val="009B12F5"/>
    <w:rsid w:val="009B43A0"/>
    <w:rsid w:val="009B462C"/>
    <w:rsid w:val="009B5990"/>
    <w:rsid w:val="009B630D"/>
    <w:rsid w:val="009B657D"/>
    <w:rsid w:val="009B6D12"/>
    <w:rsid w:val="009B6F23"/>
    <w:rsid w:val="009B7789"/>
    <w:rsid w:val="009C01AB"/>
    <w:rsid w:val="009C0A70"/>
    <w:rsid w:val="009C15F3"/>
    <w:rsid w:val="009C1CF4"/>
    <w:rsid w:val="009C1E23"/>
    <w:rsid w:val="009C2E96"/>
    <w:rsid w:val="009C3689"/>
    <w:rsid w:val="009C44F4"/>
    <w:rsid w:val="009C4CDB"/>
    <w:rsid w:val="009C4F6A"/>
    <w:rsid w:val="009C546A"/>
    <w:rsid w:val="009C54DB"/>
    <w:rsid w:val="009C711C"/>
    <w:rsid w:val="009C7DD3"/>
    <w:rsid w:val="009D00BE"/>
    <w:rsid w:val="009D073E"/>
    <w:rsid w:val="009D2E32"/>
    <w:rsid w:val="009D34D1"/>
    <w:rsid w:val="009D36F1"/>
    <w:rsid w:val="009D3748"/>
    <w:rsid w:val="009D3D9F"/>
    <w:rsid w:val="009D462A"/>
    <w:rsid w:val="009D46FB"/>
    <w:rsid w:val="009D472A"/>
    <w:rsid w:val="009D4BF3"/>
    <w:rsid w:val="009D65F5"/>
    <w:rsid w:val="009E04E4"/>
    <w:rsid w:val="009E07C2"/>
    <w:rsid w:val="009E0E52"/>
    <w:rsid w:val="009E1F4B"/>
    <w:rsid w:val="009E37A0"/>
    <w:rsid w:val="009E4186"/>
    <w:rsid w:val="009E66D8"/>
    <w:rsid w:val="009E6CF9"/>
    <w:rsid w:val="009E6D4C"/>
    <w:rsid w:val="009E7255"/>
    <w:rsid w:val="009E725A"/>
    <w:rsid w:val="009F1474"/>
    <w:rsid w:val="009F149A"/>
    <w:rsid w:val="009F1D4A"/>
    <w:rsid w:val="009F282C"/>
    <w:rsid w:val="009F36BC"/>
    <w:rsid w:val="009F50A2"/>
    <w:rsid w:val="009F545B"/>
    <w:rsid w:val="009F5525"/>
    <w:rsid w:val="009F6B5B"/>
    <w:rsid w:val="009F713C"/>
    <w:rsid w:val="009F72F9"/>
    <w:rsid w:val="00A00205"/>
    <w:rsid w:val="00A00AF0"/>
    <w:rsid w:val="00A01105"/>
    <w:rsid w:val="00A011FE"/>
    <w:rsid w:val="00A01E91"/>
    <w:rsid w:val="00A02123"/>
    <w:rsid w:val="00A0222E"/>
    <w:rsid w:val="00A02535"/>
    <w:rsid w:val="00A02745"/>
    <w:rsid w:val="00A02958"/>
    <w:rsid w:val="00A02AE5"/>
    <w:rsid w:val="00A046C0"/>
    <w:rsid w:val="00A04DDF"/>
    <w:rsid w:val="00A054C0"/>
    <w:rsid w:val="00A05AB4"/>
    <w:rsid w:val="00A07143"/>
    <w:rsid w:val="00A074F8"/>
    <w:rsid w:val="00A10CB2"/>
    <w:rsid w:val="00A11490"/>
    <w:rsid w:val="00A11713"/>
    <w:rsid w:val="00A1388E"/>
    <w:rsid w:val="00A139BB"/>
    <w:rsid w:val="00A14B5A"/>
    <w:rsid w:val="00A14EBA"/>
    <w:rsid w:val="00A15808"/>
    <w:rsid w:val="00A1580E"/>
    <w:rsid w:val="00A233A4"/>
    <w:rsid w:val="00A24D03"/>
    <w:rsid w:val="00A2529D"/>
    <w:rsid w:val="00A27507"/>
    <w:rsid w:val="00A279F3"/>
    <w:rsid w:val="00A27EA0"/>
    <w:rsid w:val="00A30970"/>
    <w:rsid w:val="00A30BC3"/>
    <w:rsid w:val="00A311AA"/>
    <w:rsid w:val="00A31672"/>
    <w:rsid w:val="00A32189"/>
    <w:rsid w:val="00A32A0C"/>
    <w:rsid w:val="00A33009"/>
    <w:rsid w:val="00A33A07"/>
    <w:rsid w:val="00A33D75"/>
    <w:rsid w:val="00A33FAE"/>
    <w:rsid w:val="00A34126"/>
    <w:rsid w:val="00A3567F"/>
    <w:rsid w:val="00A366DF"/>
    <w:rsid w:val="00A36989"/>
    <w:rsid w:val="00A37698"/>
    <w:rsid w:val="00A4014F"/>
    <w:rsid w:val="00A405A3"/>
    <w:rsid w:val="00A405DD"/>
    <w:rsid w:val="00A40B72"/>
    <w:rsid w:val="00A40DBE"/>
    <w:rsid w:val="00A41ECD"/>
    <w:rsid w:val="00A41ED3"/>
    <w:rsid w:val="00A421D2"/>
    <w:rsid w:val="00A42546"/>
    <w:rsid w:val="00A42A0C"/>
    <w:rsid w:val="00A43307"/>
    <w:rsid w:val="00A4470C"/>
    <w:rsid w:val="00A44E59"/>
    <w:rsid w:val="00A463BE"/>
    <w:rsid w:val="00A4646A"/>
    <w:rsid w:val="00A467D8"/>
    <w:rsid w:val="00A47618"/>
    <w:rsid w:val="00A47E71"/>
    <w:rsid w:val="00A50820"/>
    <w:rsid w:val="00A50D0F"/>
    <w:rsid w:val="00A5242F"/>
    <w:rsid w:val="00A52CCA"/>
    <w:rsid w:val="00A52EEE"/>
    <w:rsid w:val="00A53026"/>
    <w:rsid w:val="00A54244"/>
    <w:rsid w:val="00A55BD4"/>
    <w:rsid w:val="00A567CE"/>
    <w:rsid w:val="00A56AE6"/>
    <w:rsid w:val="00A573B6"/>
    <w:rsid w:val="00A57894"/>
    <w:rsid w:val="00A578BC"/>
    <w:rsid w:val="00A60CE4"/>
    <w:rsid w:val="00A6105C"/>
    <w:rsid w:val="00A61C42"/>
    <w:rsid w:val="00A620BC"/>
    <w:rsid w:val="00A62F85"/>
    <w:rsid w:val="00A63257"/>
    <w:rsid w:val="00A63485"/>
    <w:rsid w:val="00A63B6C"/>
    <w:rsid w:val="00A640C3"/>
    <w:rsid w:val="00A64A65"/>
    <w:rsid w:val="00A64F13"/>
    <w:rsid w:val="00A65C2C"/>
    <w:rsid w:val="00A663B2"/>
    <w:rsid w:val="00A66702"/>
    <w:rsid w:val="00A66B84"/>
    <w:rsid w:val="00A66F4F"/>
    <w:rsid w:val="00A67140"/>
    <w:rsid w:val="00A67F6A"/>
    <w:rsid w:val="00A700BC"/>
    <w:rsid w:val="00A70135"/>
    <w:rsid w:val="00A70315"/>
    <w:rsid w:val="00A71C6A"/>
    <w:rsid w:val="00A71F2B"/>
    <w:rsid w:val="00A72BA5"/>
    <w:rsid w:val="00A7330E"/>
    <w:rsid w:val="00A73380"/>
    <w:rsid w:val="00A73502"/>
    <w:rsid w:val="00A73B6E"/>
    <w:rsid w:val="00A74F6B"/>
    <w:rsid w:val="00A77D32"/>
    <w:rsid w:val="00A805A6"/>
    <w:rsid w:val="00A809FB"/>
    <w:rsid w:val="00A80FCD"/>
    <w:rsid w:val="00A8199E"/>
    <w:rsid w:val="00A81D82"/>
    <w:rsid w:val="00A81E3D"/>
    <w:rsid w:val="00A832EF"/>
    <w:rsid w:val="00A86166"/>
    <w:rsid w:val="00A86234"/>
    <w:rsid w:val="00A86417"/>
    <w:rsid w:val="00A86CA8"/>
    <w:rsid w:val="00A87AD8"/>
    <w:rsid w:val="00A87FD4"/>
    <w:rsid w:val="00A909FA"/>
    <w:rsid w:val="00A9118F"/>
    <w:rsid w:val="00A9291D"/>
    <w:rsid w:val="00A92E51"/>
    <w:rsid w:val="00A93031"/>
    <w:rsid w:val="00A93380"/>
    <w:rsid w:val="00A93E33"/>
    <w:rsid w:val="00A942EB"/>
    <w:rsid w:val="00A94A3D"/>
    <w:rsid w:val="00A9532E"/>
    <w:rsid w:val="00A96C0A"/>
    <w:rsid w:val="00A97600"/>
    <w:rsid w:val="00AA1205"/>
    <w:rsid w:val="00AA263D"/>
    <w:rsid w:val="00AA482B"/>
    <w:rsid w:val="00AA4846"/>
    <w:rsid w:val="00AA4DE3"/>
    <w:rsid w:val="00AA5472"/>
    <w:rsid w:val="00AA57B9"/>
    <w:rsid w:val="00AB09FA"/>
    <w:rsid w:val="00AB107E"/>
    <w:rsid w:val="00AB1805"/>
    <w:rsid w:val="00AB1AD0"/>
    <w:rsid w:val="00AB40C2"/>
    <w:rsid w:val="00AB46D1"/>
    <w:rsid w:val="00AB5A15"/>
    <w:rsid w:val="00AB5A31"/>
    <w:rsid w:val="00AB61C3"/>
    <w:rsid w:val="00AB6970"/>
    <w:rsid w:val="00AB6E25"/>
    <w:rsid w:val="00AC1939"/>
    <w:rsid w:val="00AC1DEB"/>
    <w:rsid w:val="00AC3391"/>
    <w:rsid w:val="00AC492B"/>
    <w:rsid w:val="00AC49B5"/>
    <w:rsid w:val="00AC5811"/>
    <w:rsid w:val="00AC5ED2"/>
    <w:rsid w:val="00AC636F"/>
    <w:rsid w:val="00AC651F"/>
    <w:rsid w:val="00AC6B4E"/>
    <w:rsid w:val="00AC7C05"/>
    <w:rsid w:val="00AD05FC"/>
    <w:rsid w:val="00AD0D29"/>
    <w:rsid w:val="00AD167C"/>
    <w:rsid w:val="00AD17C7"/>
    <w:rsid w:val="00AD1AEC"/>
    <w:rsid w:val="00AD2BBF"/>
    <w:rsid w:val="00AD3D71"/>
    <w:rsid w:val="00AD4041"/>
    <w:rsid w:val="00AD4A36"/>
    <w:rsid w:val="00AD4FEC"/>
    <w:rsid w:val="00AD5C0D"/>
    <w:rsid w:val="00AE05A3"/>
    <w:rsid w:val="00AE14E8"/>
    <w:rsid w:val="00AE189B"/>
    <w:rsid w:val="00AE302B"/>
    <w:rsid w:val="00AE3512"/>
    <w:rsid w:val="00AE3BC2"/>
    <w:rsid w:val="00AE6DE0"/>
    <w:rsid w:val="00AE7BB4"/>
    <w:rsid w:val="00AF0A64"/>
    <w:rsid w:val="00AF0AE0"/>
    <w:rsid w:val="00AF1171"/>
    <w:rsid w:val="00AF294A"/>
    <w:rsid w:val="00AF31DA"/>
    <w:rsid w:val="00AF351D"/>
    <w:rsid w:val="00AF37E0"/>
    <w:rsid w:val="00AF3985"/>
    <w:rsid w:val="00AF3EFF"/>
    <w:rsid w:val="00AF600B"/>
    <w:rsid w:val="00AF6C17"/>
    <w:rsid w:val="00AF738C"/>
    <w:rsid w:val="00AF7DA7"/>
    <w:rsid w:val="00B00335"/>
    <w:rsid w:val="00B012FB"/>
    <w:rsid w:val="00B01703"/>
    <w:rsid w:val="00B01E4F"/>
    <w:rsid w:val="00B0244E"/>
    <w:rsid w:val="00B04D37"/>
    <w:rsid w:val="00B04D49"/>
    <w:rsid w:val="00B0571A"/>
    <w:rsid w:val="00B06499"/>
    <w:rsid w:val="00B06873"/>
    <w:rsid w:val="00B072C2"/>
    <w:rsid w:val="00B077A2"/>
    <w:rsid w:val="00B07C64"/>
    <w:rsid w:val="00B07CE1"/>
    <w:rsid w:val="00B106BC"/>
    <w:rsid w:val="00B11875"/>
    <w:rsid w:val="00B12550"/>
    <w:rsid w:val="00B128E0"/>
    <w:rsid w:val="00B12B8D"/>
    <w:rsid w:val="00B12F6F"/>
    <w:rsid w:val="00B14733"/>
    <w:rsid w:val="00B14CAA"/>
    <w:rsid w:val="00B15DEB"/>
    <w:rsid w:val="00B16AF9"/>
    <w:rsid w:val="00B16BE5"/>
    <w:rsid w:val="00B16FA5"/>
    <w:rsid w:val="00B17ECC"/>
    <w:rsid w:val="00B2166C"/>
    <w:rsid w:val="00B21997"/>
    <w:rsid w:val="00B246DB"/>
    <w:rsid w:val="00B24DB9"/>
    <w:rsid w:val="00B259DF"/>
    <w:rsid w:val="00B26275"/>
    <w:rsid w:val="00B27311"/>
    <w:rsid w:val="00B27B34"/>
    <w:rsid w:val="00B30AB8"/>
    <w:rsid w:val="00B320A9"/>
    <w:rsid w:val="00B3217B"/>
    <w:rsid w:val="00B32F38"/>
    <w:rsid w:val="00B33667"/>
    <w:rsid w:val="00B34107"/>
    <w:rsid w:val="00B341E0"/>
    <w:rsid w:val="00B347B4"/>
    <w:rsid w:val="00B34FA7"/>
    <w:rsid w:val="00B34FD0"/>
    <w:rsid w:val="00B350D9"/>
    <w:rsid w:val="00B3548E"/>
    <w:rsid w:val="00B35649"/>
    <w:rsid w:val="00B35904"/>
    <w:rsid w:val="00B36088"/>
    <w:rsid w:val="00B36F38"/>
    <w:rsid w:val="00B37779"/>
    <w:rsid w:val="00B379A6"/>
    <w:rsid w:val="00B40EFE"/>
    <w:rsid w:val="00B44487"/>
    <w:rsid w:val="00B448C6"/>
    <w:rsid w:val="00B449E3"/>
    <w:rsid w:val="00B44B1F"/>
    <w:rsid w:val="00B44B73"/>
    <w:rsid w:val="00B44FAA"/>
    <w:rsid w:val="00B44FAE"/>
    <w:rsid w:val="00B451E9"/>
    <w:rsid w:val="00B46922"/>
    <w:rsid w:val="00B46BAD"/>
    <w:rsid w:val="00B521BF"/>
    <w:rsid w:val="00B53410"/>
    <w:rsid w:val="00B54A25"/>
    <w:rsid w:val="00B54CF1"/>
    <w:rsid w:val="00B556D6"/>
    <w:rsid w:val="00B557A1"/>
    <w:rsid w:val="00B55AB6"/>
    <w:rsid w:val="00B56317"/>
    <w:rsid w:val="00B56640"/>
    <w:rsid w:val="00B57487"/>
    <w:rsid w:val="00B607BB"/>
    <w:rsid w:val="00B60C57"/>
    <w:rsid w:val="00B6194A"/>
    <w:rsid w:val="00B62B3A"/>
    <w:rsid w:val="00B62B7C"/>
    <w:rsid w:val="00B64141"/>
    <w:rsid w:val="00B644CD"/>
    <w:rsid w:val="00B64E72"/>
    <w:rsid w:val="00B67AD7"/>
    <w:rsid w:val="00B67E6F"/>
    <w:rsid w:val="00B67E91"/>
    <w:rsid w:val="00B70A05"/>
    <w:rsid w:val="00B72CE2"/>
    <w:rsid w:val="00B742E2"/>
    <w:rsid w:val="00B74C45"/>
    <w:rsid w:val="00B75127"/>
    <w:rsid w:val="00B76803"/>
    <w:rsid w:val="00B77268"/>
    <w:rsid w:val="00B77913"/>
    <w:rsid w:val="00B80087"/>
    <w:rsid w:val="00B802AF"/>
    <w:rsid w:val="00B81017"/>
    <w:rsid w:val="00B8125B"/>
    <w:rsid w:val="00B81D49"/>
    <w:rsid w:val="00B822F1"/>
    <w:rsid w:val="00B8237F"/>
    <w:rsid w:val="00B824FB"/>
    <w:rsid w:val="00B82646"/>
    <w:rsid w:val="00B82DE6"/>
    <w:rsid w:val="00B83B46"/>
    <w:rsid w:val="00B850E1"/>
    <w:rsid w:val="00B85B1A"/>
    <w:rsid w:val="00B9234F"/>
    <w:rsid w:val="00B92E68"/>
    <w:rsid w:val="00B94526"/>
    <w:rsid w:val="00B95582"/>
    <w:rsid w:val="00B95E99"/>
    <w:rsid w:val="00B96434"/>
    <w:rsid w:val="00B96AC9"/>
    <w:rsid w:val="00B96C7D"/>
    <w:rsid w:val="00B970B4"/>
    <w:rsid w:val="00B97359"/>
    <w:rsid w:val="00B9775B"/>
    <w:rsid w:val="00B97A8F"/>
    <w:rsid w:val="00BA1015"/>
    <w:rsid w:val="00BA16A3"/>
    <w:rsid w:val="00BA22B4"/>
    <w:rsid w:val="00BA26E4"/>
    <w:rsid w:val="00BA2BAD"/>
    <w:rsid w:val="00BA37A2"/>
    <w:rsid w:val="00BA3F05"/>
    <w:rsid w:val="00BA4E19"/>
    <w:rsid w:val="00BA4E58"/>
    <w:rsid w:val="00BA52D6"/>
    <w:rsid w:val="00BA52E0"/>
    <w:rsid w:val="00BA5AC0"/>
    <w:rsid w:val="00BA6357"/>
    <w:rsid w:val="00BA665E"/>
    <w:rsid w:val="00BA6777"/>
    <w:rsid w:val="00BA6A90"/>
    <w:rsid w:val="00BA6C61"/>
    <w:rsid w:val="00BA7074"/>
    <w:rsid w:val="00BA7A87"/>
    <w:rsid w:val="00BB1E9E"/>
    <w:rsid w:val="00BB1FEC"/>
    <w:rsid w:val="00BB252D"/>
    <w:rsid w:val="00BB2FD6"/>
    <w:rsid w:val="00BB3099"/>
    <w:rsid w:val="00BB3283"/>
    <w:rsid w:val="00BB3508"/>
    <w:rsid w:val="00BB47ED"/>
    <w:rsid w:val="00BB5F19"/>
    <w:rsid w:val="00BB6142"/>
    <w:rsid w:val="00BB6632"/>
    <w:rsid w:val="00BB6669"/>
    <w:rsid w:val="00BB7829"/>
    <w:rsid w:val="00BC07D5"/>
    <w:rsid w:val="00BC0AE4"/>
    <w:rsid w:val="00BC3453"/>
    <w:rsid w:val="00BC406F"/>
    <w:rsid w:val="00BC4339"/>
    <w:rsid w:val="00BC4BB4"/>
    <w:rsid w:val="00BC53B9"/>
    <w:rsid w:val="00BC5F5C"/>
    <w:rsid w:val="00BC69FF"/>
    <w:rsid w:val="00BD1452"/>
    <w:rsid w:val="00BD1457"/>
    <w:rsid w:val="00BD24F2"/>
    <w:rsid w:val="00BD2583"/>
    <w:rsid w:val="00BD2DCA"/>
    <w:rsid w:val="00BD49CB"/>
    <w:rsid w:val="00BD4A78"/>
    <w:rsid w:val="00BD75F8"/>
    <w:rsid w:val="00BE0195"/>
    <w:rsid w:val="00BE1864"/>
    <w:rsid w:val="00BE18B3"/>
    <w:rsid w:val="00BE1CBB"/>
    <w:rsid w:val="00BE2AD9"/>
    <w:rsid w:val="00BE2D52"/>
    <w:rsid w:val="00BE2FE7"/>
    <w:rsid w:val="00BE3640"/>
    <w:rsid w:val="00BE3F58"/>
    <w:rsid w:val="00BE445E"/>
    <w:rsid w:val="00BE500B"/>
    <w:rsid w:val="00BE61B3"/>
    <w:rsid w:val="00BE7D4D"/>
    <w:rsid w:val="00BF2584"/>
    <w:rsid w:val="00BF27FE"/>
    <w:rsid w:val="00BF305D"/>
    <w:rsid w:val="00BF42B2"/>
    <w:rsid w:val="00BF4696"/>
    <w:rsid w:val="00BF760E"/>
    <w:rsid w:val="00C01960"/>
    <w:rsid w:val="00C027AA"/>
    <w:rsid w:val="00C02A28"/>
    <w:rsid w:val="00C02BFB"/>
    <w:rsid w:val="00C03F35"/>
    <w:rsid w:val="00C043B3"/>
    <w:rsid w:val="00C04D74"/>
    <w:rsid w:val="00C059F7"/>
    <w:rsid w:val="00C071A4"/>
    <w:rsid w:val="00C0762A"/>
    <w:rsid w:val="00C079AB"/>
    <w:rsid w:val="00C10066"/>
    <w:rsid w:val="00C105C1"/>
    <w:rsid w:val="00C106C2"/>
    <w:rsid w:val="00C10AA8"/>
    <w:rsid w:val="00C10E61"/>
    <w:rsid w:val="00C12FF3"/>
    <w:rsid w:val="00C13203"/>
    <w:rsid w:val="00C134D4"/>
    <w:rsid w:val="00C13C1C"/>
    <w:rsid w:val="00C140C5"/>
    <w:rsid w:val="00C14304"/>
    <w:rsid w:val="00C14787"/>
    <w:rsid w:val="00C15778"/>
    <w:rsid w:val="00C1596D"/>
    <w:rsid w:val="00C15B8D"/>
    <w:rsid w:val="00C16340"/>
    <w:rsid w:val="00C16AA9"/>
    <w:rsid w:val="00C17010"/>
    <w:rsid w:val="00C1703F"/>
    <w:rsid w:val="00C20562"/>
    <w:rsid w:val="00C20764"/>
    <w:rsid w:val="00C20E68"/>
    <w:rsid w:val="00C21151"/>
    <w:rsid w:val="00C215C3"/>
    <w:rsid w:val="00C22BC9"/>
    <w:rsid w:val="00C23A96"/>
    <w:rsid w:val="00C249C6"/>
    <w:rsid w:val="00C27BDD"/>
    <w:rsid w:val="00C30067"/>
    <w:rsid w:val="00C30372"/>
    <w:rsid w:val="00C3181A"/>
    <w:rsid w:val="00C32CC1"/>
    <w:rsid w:val="00C32CC6"/>
    <w:rsid w:val="00C32ECC"/>
    <w:rsid w:val="00C33923"/>
    <w:rsid w:val="00C33EDA"/>
    <w:rsid w:val="00C33F89"/>
    <w:rsid w:val="00C3566D"/>
    <w:rsid w:val="00C35B06"/>
    <w:rsid w:val="00C37150"/>
    <w:rsid w:val="00C37165"/>
    <w:rsid w:val="00C37823"/>
    <w:rsid w:val="00C40BE0"/>
    <w:rsid w:val="00C413AF"/>
    <w:rsid w:val="00C426EC"/>
    <w:rsid w:val="00C42F70"/>
    <w:rsid w:val="00C44593"/>
    <w:rsid w:val="00C4483D"/>
    <w:rsid w:val="00C45216"/>
    <w:rsid w:val="00C46036"/>
    <w:rsid w:val="00C47D8A"/>
    <w:rsid w:val="00C50C13"/>
    <w:rsid w:val="00C511D1"/>
    <w:rsid w:val="00C51606"/>
    <w:rsid w:val="00C51922"/>
    <w:rsid w:val="00C537C0"/>
    <w:rsid w:val="00C55CEE"/>
    <w:rsid w:val="00C57A0C"/>
    <w:rsid w:val="00C60196"/>
    <w:rsid w:val="00C60718"/>
    <w:rsid w:val="00C61163"/>
    <w:rsid w:val="00C61C26"/>
    <w:rsid w:val="00C620CD"/>
    <w:rsid w:val="00C6288D"/>
    <w:rsid w:val="00C62BDF"/>
    <w:rsid w:val="00C63190"/>
    <w:rsid w:val="00C638F6"/>
    <w:rsid w:val="00C6454D"/>
    <w:rsid w:val="00C64582"/>
    <w:rsid w:val="00C647BA"/>
    <w:rsid w:val="00C6483C"/>
    <w:rsid w:val="00C64AE9"/>
    <w:rsid w:val="00C651AF"/>
    <w:rsid w:val="00C656CD"/>
    <w:rsid w:val="00C66120"/>
    <w:rsid w:val="00C66D94"/>
    <w:rsid w:val="00C66FA2"/>
    <w:rsid w:val="00C70CFF"/>
    <w:rsid w:val="00C718FE"/>
    <w:rsid w:val="00C72206"/>
    <w:rsid w:val="00C7256C"/>
    <w:rsid w:val="00C72CC8"/>
    <w:rsid w:val="00C73EF0"/>
    <w:rsid w:val="00C74F92"/>
    <w:rsid w:val="00C75D29"/>
    <w:rsid w:val="00C75EE4"/>
    <w:rsid w:val="00C774AF"/>
    <w:rsid w:val="00C81B79"/>
    <w:rsid w:val="00C82156"/>
    <w:rsid w:val="00C82D43"/>
    <w:rsid w:val="00C83243"/>
    <w:rsid w:val="00C833D9"/>
    <w:rsid w:val="00C834F2"/>
    <w:rsid w:val="00C8382C"/>
    <w:rsid w:val="00C83D8E"/>
    <w:rsid w:val="00C843F3"/>
    <w:rsid w:val="00C86CEC"/>
    <w:rsid w:val="00C86EDC"/>
    <w:rsid w:val="00C8773D"/>
    <w:rsid w:val="00C87ABB"/>
    <w:rsid w:val="00C90642"/>
    <w:rsid w:val="00C9077E"/>
    <w:rsid w:val="00C91831"/>
    <w:rsid w:val="00C91EBB"/>
    <w:rsid w:val="00C9366F"/>
    <w:rsid w:val="00C93A21"/>
    <w:rsid w:val="00C93FAF"/>
    <w:rsid w:val="00C94174"/>
    <w:rsid w:val="00C9464D"/>
    <w:rsid w:val="00C953DF"/>
    <w:rsid w:val="00C9608E"/>
    <w:rsid w:val="00C96238"/>
    <w:rsid w:val="00C96321"/>
    <w:rsid w:val="00C96BD1"/>
    <w:rsid w:val="00C97278"/>
    <w:rsid w:val="00C97D02"/>
    <w:rsid w:val="00CA03B2"/>
    <w:rsid w:val="00CA28F7"/>
    <w:rsid w:val="00CA4654"/>
    <w:rsid w:val="00CA498B"/>
    <w:rsid w:val="00CA7435"/>
    <w:rsid w:val="00CA7DD8"/>
    <w:rsid w:val="00CA7DF4"/>
    <w:rsid w:val="00CB077A"/>
    <w:rsid w:val="00CB07BF"/>
    <w:rsid w:val="00CB1341"/>
    <w:rsid w:val="00CB25D4"/>
    <w:rsid w:val="00CB28C0"/>
    <w:rsid w:val="00CB4050"/>
    <w:rsid w:val="00CB48FD"/>
    <w:rsid w:val="00CB50DB"/>
    <w:rsid w:val="00CB599F"/>
    <w:rsid w:val="00CB646F"/>
    <w:rsid w:val="00CB701C"/>
    <w:rsid w:val="00CC056E"/>
    <w:rsid w:val="00CC0ACF"/>
    <w:rsid w:val="00CC2733"/>
    <w:rsid w:val="00CC30DE"/>
    <w:rsid w:val="00CC3307"/>
    <w:rsid w:val="00CC4C11"/>
    <w:rsid w:val="00CC502F"/>
    <w:rsid w:val="00CC575C"/>
    <w:rsid w:val="00CC57D7"/>
    <w:rsid w:val="00CC599B"/>
    <w:rsid w:val="00CC5E07"/>
    <w:rsid w:val="00CD02C0"/>
    <w:rsid w:val="00CD2983"/>
    <w:rsid w:val="00CD2C6B"/>
    <w:rsid w:val="00CD3DE8"/>
    <w:rsid w:val="00CD3E76"/>
    <w:rsid w:val="00CD4129"/>
    <w:rsid w:val="00CD4CF6"/>
    <w:rsid w:val="00CD5401"/>
    <w:rsid w:val="00CD5631"/>
    <w:rsid w:val="00CD66E5"/>
    <w:rsid w:val="00CD71E2"/>
    <w:rsid w:val="00CE1113"/>
    <w:rsid w:val="00CE167C"/>
    <w:rsid w:val="00CE2039"/>
    <w:rsid w:val="00CE2709"/>
    <w:rsid w:val="00CE2D64"/>
    <w:rsid w:val="00CE4EC9"/>
    <w:rsid w:val="00CE6198"/>
    <w:rsid w:val="00CE6D14"/>
    <w:rsid w:val="00CE7EF1"/>
    <w:rsid w:val="00CF0012"/>
    <w:rsid w:val="00CF0C90"/>
    <w:rsid w:val="00CF15B5"/>
    <w:rsid w:val="00CF224D"/>
    <w:rsid w:val="00CF22B0"/>
    <w:rsid w:val="00CF22B9"/>
    <w:rsid w:val="00CF2713"/>
    <w:rsid w:val="00CF3172"/>
    <w:rsid w:val="00CF3BC6"/>
    <w:rsid w:val="00CF43AD"/>
    <w:rsid w:val="00CF44D8"/>
    <w:rsid w:val="00CF4825"/>
    <w:rsid w:val="00CF6230"/>
    <w:rsid w:val="00CF68AE"/>
    <w:rsid w:val="00D01276"/>
    <w:rsid w:val="00D017FC"/>
    <w:rsid w:val="00D0226A"/>
    <w:rsid w:val="00D03600"/>
    <w:rsid w:val="00D03D21"/>
    <w:rsid w:val="00D04998"/>
    <w:rsid w:val="00D05C80"/>
    <w:rsid w:val="00D05D02"/>
    <w:rsid w:val="00D07F63"/>
    <w:rsid w:val="00D10B3C"/>
    <w:rsid w:val="00D11126"/>
    <w:rsid w:val="00D1248E"/>
    <w:rsid w:val="00D12C27"/>
    <w:rsid w:val="00D13147"/>
    <w:rsid w:val="00D14137"/>
    <w:rsid w:val="00D15A5B"/>
    <w:rsid w:val="00D168BD"/>
    <w:rsid w:val="00D21510"/>
    <w:rsid w:val="00D231E9"/>
    <w:rsid w:val="00D25CA1"/>
    <w:rsid w:val="00D2634E"/>
    <w:rsid w:val="00D27AD8"/>
    <w:rsid w:val="00D27C46"/>
    <w:rsid w:val="00D27C48"/>
    <w:rsid w:val="00D30A8C"/>
    <w:rsid w:val="00D30BCA"/>
    <w:rsid w:val="00D3137D"/>
    <w:rsid w:val="00D317B8"/>
    <w:rsid w:val="00D31E20"/>
    <w:rsid w:val="00D31EAA"/>
    <w:rsid w:val="00D34222"/>
    <w:rsid w:val="00D34C10"/>
    <w:rsid w:val="00D35779"/>
    <w:rsid w:val="00D35AA7"/>
    <w:rsid w:val="00D36D54"/>
    <w:rsid w:val="00D40441"/>
    <w:rsid w:val="00D405B4"/>
    <w:rsid w:val="00D40A41"/>
    <w:rsid w:val="00D420BF"/>
    <w:rsid w:val="00D42364"/>
    <w:rsid w:val="00D43517"/>
    <w:rsid w:val="00D44F2F"/>
    <w:rsid w:val="00D45392"/>
    <w:rsid w:val="00D457CF"/>
    <w:rsid w:val="00D463E4"/>
    <w:rsid w:val="00D463FF"/>
    <w:rsid w:val="00D472C7"/>
    <w:rsid w:val="00D50F74"/>
    <w:rsid w:val="00D51650"/>
    <w:rsid w:val="00D51FE5"/>
    <w:rsid w:val="00D52324"/>
    <w:rsid w:val="00D52508"/>
    <w:rsid w:val="00D52C35"/>
    <w:rsid w:val="00D532EF"/>
    <w:rsid w:val="00D53E1B"/>
    <w:rsid w:val="00D53EED"/>
    <w:rsid w:val="00D54BE5"/>
    <w:rsid w:val="00D5509C"/>
    <w:rsid w:val="00D563FC"/>
    <w:rsid w:val="00D5715A"/>
    <w:rsid w:val="00D574AB"/>
    <w:rsid w:val="00D57CC9"/>
    <w:rsid w:val="00D61EC7"/>
    <w:rsid w:val="00D64816"/>
    <w:rsid w:val="00D65DA9"/>
    <w:rsid w:val="00D66121"/>
    <w:rsid w:val="00D6676A"/>
    <w:rsid w:val="00D66B12"/>
    <w:rsid w:val="00D676A7"/>
    <w:rsid w:val="00D678AE"/>
    <w:rsid w:val="00D67CE7"/>
    <w:rsid w:val="00D70E95"/>
    <w:rsid w:val="00D71687"/>
    <w:rsid w:val="00D72F14"/>
    <w:rsid w:val="00D73DC8"/>
    <w:rsid w:val="00D741B0"/>
    <w:rsid w:val="00D74813"/>
    <w:rsid w:val="00D74E75"/>
    <w:rsid w:val="00D75FD1"/>
    <w:rsid w:val="00D766EA"/>
    <w:rsid w:val="00D7721A"/>
    <w:rsid w:val="00D77F7D"/>
    <w:rsid w:val="00D80E1D"/>
    <w:rsid w:val="00D81D52"/>
    <w:rsid w:val="00D824DF"/>
    <w:rsid w:val="00D829AF"/>
    <w:rsid w:val="00D830BC"/>
    <w:rsid w:val="00D855C5"/>
    <w:rsid w:val="00D85818"/>
    <w:rsid w:val="00D863C6"/>
    <w:rsid w:val="00D86766"/>
    <w:rsid w:val="00D87096"/>
    <w:rsid w:val="00D90A7D"/>
    <w:rsid w:val="00D90C4B"/>
    <w:rsid w:val="00D90DCC"/>
    <w:rsid w:val="00D90E45"/>
    <w:rsid w:val="00D91C9E"/>
    <w:rsid w:val="00D93280"/>
    <w:rsid w:val="00D936EC"/>
    <w:rsid w:val="00D947B1"/>
    <w:rsid w:val="00D96671"/>
    <w:rsid w:val="00D967E8"/>
    <w:rsid w:val="00D96A85"/>
    <w:rsid w:val="00D970FF"/>
    <w:rsid w:val="00D978E3"/>
    <w:rsid w:val="00DA05CB"/>
    <w:rsid w:val="00DA05CC"/>
    <w:rsid w:val="00DA17B3"/>
    <w:rsid w:val="00DA2126"/>
    <w:rsid w:val="00DA21DF"/>
    <w:rsid w:val="00DA23C0"/>
    <w:rsid w:val="00DA2FD5"/>
    <w:rsid w:val="00DA30BC"/>
    <w:rsid w:val="00DA3A02"/>
    <w:rsid w:val="00DA52AF"/>
    <w:rsid w:val="00DA60C5"/>
    <w:rsid w:val="00DA69C2"/>
    <w:rsid w:val="00DA6D70"/>
    <w:rsid w:val="00DA7235"/>
    <w:rsid w:val="00DA7A23"/>
    <w:rsid w:val="00DB2213"/>
    <w:rsid w:val="00DB2C4B"/>
    <w:rsid w:val="00DB32F6"/>
    <w:rsid w:val="00DB499A"/>
    <w:rsid w:val="00DB55A4"/>
    <w:rsid w:val="00DB6050"/>
    <w:rsid w:val="00DB61D1"/>
    <w:rsid w:val="00DB6C3B"/>
    <w:rsid w:val="00DB759F"/>
    <w:rsid w:val="00DB76E9"/>
    <w:rsid w:val="00DB7ACB"/>
    <w:rsid w:val="00DB7F7F"/>
    <w:rsid w:val="00DC0704"/>
    <w:rsid w:val="00DC07D2"/>
    <w:rsid w:val="00DC11A0"/>
    <w:rsid w:val="00DC1262"/>
    <w:rsid w:val="00DC1275"/>
    <w:rsid w:val="00DC20CD"/>
    <w:rsid w:val="00DC26EC"/>
    <w:rsid w:val="00DC2C34"/>
    <w:rsid w:val="00DC33AD"/>
    <w:rsid w:val="00DC4688"/>
    <w:rsid w:val="00DC4C5D"/>
    <w:rsid w:val="00DC55AC"/>
    <w:rsid w:val="00DC7A40"/>
    <w:rsid w:val="00DD07C1"/>
    <w:rsid w:val="00DD10C5"/>
    <w:rsid w:val="00DD1E67"/>
    <w:rsid w:val="00DD61D5"/>
    <w:rsid w:val="00DD6B0F"/>
    <w:rsid w:val="00DD6B30"/>
    <w:rsid w:val="00DD7635"/>
    <w:rsid w:val="00DE0B0A"/>
    <w:rsid w:val="00DE0B58"/>
    <w:rsid w:val="00DE227E"/>
    <w:rsid w:val="00DE2C87"/>
    <w:rsid w:val="00DE2E53"/>
    <w:rsid w:val="00DE3ACA"/>
    <w:rsid w:val="00DE459A"/>
    <w:rsid w:val="00DE6FAC"/>
    <w:rsid w:val="00DF03DC"/>
    <w:rsid w:val="00DF06DC"/>
    <w:rsid w:val="00DF0736"/>
    <w:rsid w:val="00DF2184"/>
    <w:rsid w:val="00DF27DA"/>
    <w:rsid w:val="00DF49E1"/>
    <w:rsid w:val="00DF4DBE"/>
    <w:rsid w:val="00DF5158"/>
    <w:rsid w:val="00DF6255"/>
    <w:rsid w:val="00DF6778"/>
    <w:rsid w:val="00E0033B"/>
    <w:rsid w:val="00E003BC"/>
    <w:rsid w:val="00E00B43"/>
    <w:rsid w:val="00E0156A"/>
    <w:rsid w:val="00E03B0B"/>
    <w:rsid w:val="00E03FEA"/>
    <w:rsid w:val="00E05262"/>
    <w:rsid w:val="00E05A19"/>
    <w:rsid w:val="00E06007"/>
    <w:rsid w:val="00E10BEC"/>
    <w:rsid w:val="00E1228A"/>
    <w:rsid w:val="00E12B81"/>
    <w:rsid w:val="00E13FE8"/>
    <w:rsid w:val="00E16B68"/>
    <w:rsid w:val="00E16E6A"/>
    <w:rsid w:val="00E17796"/>
    <w:rsid w:val="00E2005A"/>
    <w:rsid w:val="00E20D39"/>
    <w:rsid w:val="00E2165F"/>
    <w:rsid w:val="00E216C5"/>
    <w:rsid w:val="00E21B49"/>
    <w:rsid w:val="00E227A8"/>
    <w:rsid w:val="00E228B9"/>
    <w:rsid w:val="00E2374A"/>
    <w:rsid w:val="00E2414F"/>
    <w:rsid w:val="00E263AC"/>
    <w:rsid w:val="00E271BA"/>
    <w:rsid w:val="00E27404"/>
    <w:rsid w:val="00E276E3"/>
    <w:rsid w:val="00E27810"/>
    <w:rsid w:val="00E32D13"/>
    <w:rsid w:val="00E32D30"/>
    <w:rsid w:val="00E33009"/>
    <w:rsid w:val="00E33294"/>
    <w:rsid w:val="00E33AF3"/>
    <w:rsid w:val="00E35A2C"/>
    <w:rsid w:val="00E36B8C"/>
    <w:rsid w:val="00E36F79"/>
    <w:rsid w:val="00E376CC"/>
    <w:rsid w:val="00E379B2"/>
    <w:rsid w:val="00E379F0"/>
    <w:rsid w:val="00E40820"/>
    <w:rsid w:val="00E409E8"/>
    <w:rsid w:val="00E40BAF"/>
    <w:rsid w:val="00E40CF9"/>
    <w:rsid w:val="00E41135"/>
    <w:rsid w:val="00E4177B"/>
    <w:rsid w:val="00E41EA3"/>
    <w:rsid w:val="00E4251C"/>
    <w:rsid w:val="00E44084"/>
    <w:rsid w:val="00E443B1"/>
    <w:rsid w:val="00E44681"/>
    <w:rsid w:val="00E45EB3"/>
    <w:rsid w:val="00E4658F"/>
    <w:rsid w:val="00E500EF"/>
    <w:rsid w:val="00E52236"/>
    <w:rsid w:val="00E53227"/>
    <w:rsid w:val="00E534A9"/>
    <w:rsid w:val="00E53636"/>
    <w:rsid w:val="00E53D24"/>
    <w:rsid w:val="00E5424E"/>
    <w:rsid w:val="00E54A67"/>
    <w:rsid w:val="00E54E29"/>
    <w:rsid w:val="00E54F3B"/>
    <w:rsid w:val="00E55229"/>
    <w:rsid w:val="00E55A43"/>
    <w:rsid w:val="00E55D77"/>
    <w:rsid w:val="00E57D48"/>
    <w:rsid w:val="00E57F67"/>
    <w:rsid w:val="00E60249"/>
    <w:rsid w:val="00E61220"/>
    <w:rsid w:val="00E61C0D"/>
    <w:rsid w:val="00E61F3E"/>
    <w:rsid w:val="00E6255B"/>
    <w:rsid w:val="00E627B8"/>
    <w:rsid w:val="00E63EB4"/>
    <w:rsid w:val="00E652CF"/>
    <w:rsid w:val="00E65B70"/>
    <w:rsid w:val="00E66160"/>
    <w:rsid w:val="00E66270"/>
    <w:rsid w:val="00E665E8"/>
    <w:rsid w:val="00E67009"/>
    <w:rsid w:val="00E71329"/>
    <w:rsid w:val="00E72AF6"/>
    <w:rsid w:val="00E73B94"/>
    <w:rsid w:val="00E74E15"/>
    <w:rsid w:val="00E7519F"/>
    <w:rsid w:val="00E75A0D"/>
    <w:rsid w:val="00E766BE"/>
    <w:rsid w:val="00E76BDA"/>
    <w:rsid w:val="00E77969"/>
    <w:rsid w:val="00E829F6"/>
    <w:rsid w:val="00E82D6D"/>
    <w:rsid w:val="00E82EDC"/>
    <w:rsid w:val="00E8363B"/>
    <w:rsid w:val="00E844AE"/>
    <w:rsid w:val="00E84966"/>
    <w:rsid w:val="00E84D7C"/>
    <w:rsid w:val="00E86219"/>
    <w:rsid w:val="00E87608"/>
    <w:rsid w:val="00E876FA"/>
    <w:rsid w:val="00E877B4"/>
    <w:rsid w:val="00E8784C"/>
    <w:rsid w:val="00E92359"/>
    <w:rsid w:val="00E92383"/>
    <w:rsid w:val="00E92667"/>
    <w:rsid w:val="00E929B4"/>
    <w:rsid w:val="00E93161"/>
    <w:rsid w:val="00E93507"/>
    <w:rsid w:val="00E93E63"/>
    <w:rsid w:val="00E947D6"/>
    <w:rsid w:val="00EA05C3"/>
    <w:rsid w:val="00EA1B3A"/>
    <w:rsid w:val="00EA1D5F"/>
    <w:rsid w:val="00EA1E62"/>
    <w:rsid w:val="00EA2109"/>
    <w:rsid w:val="00EA26D0"/>
    <w:rsid w:val="00EA2AC6"/>
    <w:rsid w:val="00EA2C9F"/>
    <w:rsid w:val="00EA36C6"/>
    <w:rsid w:val="00EA3709"/>
    <w:rsid w:val="00EA566B"/>
    <w:rsid w:val="00EB061F"/>
    <w:rsid w:val="00EB09F0"/>
    <w:rsid w:val="00EB0CD4"/>
    <w:rsid w:val="00EB2B79"/>
    <w:rsid w:val="00EB3063"/>
    <w:rsid w:val="00EB3DD2"/>
    <w:rsid w:val="00EB5E72"/>
    <w:rsid w:val="00EC0023"/>
    <w:rsid w:val="00EC0527"/>
    <w:rsid w:val="00EC0B50"/>
    <w:rsid w:val="00EC1512"/>
    <w:rsid w:val="00EC1726"/>
    <w:rsid w:val="00EC26CB"/>
    <w:rsid w:val="00EC4445"/>
    <w:rsid w:val="00EC4894"/>
    <w:rsid w:val="00EC5237"/>
    <w:rsid w:val="00EC54DE"/>
    <w:rsid w:val="00EC59F9"/>
    <w:rsid w:val="00EC6B1B"/>
    <w:rsid w:val="00EC726C"/>
    <w:rsid w:val="00ED0065"/>
    <w:rsid w:val="00ED0C16"/>
    <w:rsid w:val="00ED1CA8"/>
    <w:rsid w:val="00ED1F3A"/>
    <w:rsid w:val="00ED2613"/>
    <w:rsid w:val="00ED2B99"/>
    <w:rsid w:val="00ED32E4"/>
    <w:rsid w:val="00ED3C0C"/>
    <w:rsid w:val="00ED4D4E"/>
    <w:rsid w:val="00ED60AA"/>
    <w:rsid w:val="00ED62DE"/>
    <w:rsid w:val="00ED71DA"/>
    <w:rsid w:val="00ED7855"/>
    <w:rsid w:val="00EE0C77"/>
    <w:rsid w:val="00EE1710"/>
    <w:rsid w:val="00EE1799"/>
    <w:rsid w:val="00EE22A0"/>
    <w:rsid w:val="00EE2B25"/>
    <w:rsid w:val="00EE2B8F"/>
    <w:rsid w:val="00EE2C79"/>
    <w:rsid w:val="00EE33A3"/>
    <w:rsid w:val="00EE3C26"/>
    <w:rsid w:val="00EE439A"/>
    <w:rsid w:val="00EE4A96"/>
    <w:rsid w:val="00EE4E54"/>
    <w:rsid w:val="00EE568A"/>
    <w:rsid w:val="00EE6B7D"/>
    <w:rsid w:val="00EE6D56"/>
    <w:rsid w:val="00EE7083"/>
    <w:rsid w:val="00EE739D"/>
    <w:rsid w:val="00EE7814"/>
    <w:rsid w:val="00EE7D85"/>
    <w:rsid w:val="00EF203B"/>
    <w:rsid w:val="00EF29A1"/>
    <w:rsid w:val="00EF3504"/>
    <w:rsid w:val="00EF379F"/>
    <w:rsid w:val="00EF3918"/>
    <w:rsid w:val="00EF3D87"/>
    <w:rsid w:val="00EF4334"/>
    <w:rsid w:val="00EF526A"/>
    <w:rsid w:val="00EF5867"/>
    <w:rsid w:val="00EF7AD0"/>
    <w:rsid w:val="00EF7B06"/>
    <w:rsid w:val="00EF7D27"/>
    <w:rsid w:val="00F00A54"/>
    <w:rsid w:val="00F00D74"/>
    <w:rsid w:val="00F017EC"/>
    <w:rsid w:val="00F017FB"/>
    <w:rsid w:val="00F018DE"/>
    <w:rsid w:val="00F02E3E"/>
    <w:rsid w:val="00F03557"/>
    <w:rsid w:val="00F04049"/>
    <w:rsid w:val="00F05CF7"/>
    <w:rsid w:val="00F10184"/>
    <w:rsid w:val="00F108F7"/>
    <w:rsid w:val="00F11C51"/>
    <w:rsid w:val="00F12DE1"/>
    <w:rsid w:val="00F147C6"/>
    <w:rsid w:val="00F163B4"/>
    <w:rsid w:val="00F1778A"/>
    <w:rsid w:val="00F179AC"/>
    <w:rsid w:val="00F17BE0"/>
    <w:rsid w:val="00F20488"/>
    <w:rsid w:val="00F20A60"/>
    <w:rsid w:val="00F20C64"/>
    <w:rsid w:val="00F210CC"/>
    <w:rsid w:val="00F214BE"/>
    <w:rsid w:val="00F231FF"/>
    <w:rsid w:val="00F234DF"/>
    <w:rsid w:val="00F24E37"/>
    <w:rsid w:val="00F252AB"/>
    <w:rsid w:val="00F25A4F"/>
    <w:rsid w:val="00F26035"/>
    <w:rsid w:val="00F274D7"/>
    <w:rsid w:val="00F27D84"/>
    <w:rsid w:val="00F30039"/>
    <w:rsid w:val="00F31978"/>
    <w:rsid w:val="00F31E14"/>
    <w:rsid w:val="00F32156"/>
    <w:rsid w:val="00F349FD"/>
    <w:rsid w:val="00F34BCD"/>
    <w:rsid w:val="00F35C0E"/>
    <w:rsid w:val="00F3656B"/>
    <w:rsid w:val="00F367DE"/>
    <w:rsid w:val="00F368A4"/>
    <w:rsid w:val="00F36B94"/>
    <w:rsid w:val="00F370EF"/>
    <w:rsid w:val="00F4052F"/>
    <w:rsid w:val="00F4170F"/>
    <w:rsid w:val="00F41735"/>
    <w:rsid w:val="00F4188C"/>
    <w:rsid w:val="00F41976"/>
    <w:rsid w:val="00F42307"/>
    <w:rsid w:val="00F42E3B"/>
    <w:rsid w:val="00F431A0"/>
    <w:rsid w:val="00F43655"/>
    <w:rsid w:val="00F436BB"/>
    <w:rsid w:val="00F462AF"/>
    <w:rsid w:val="00F4679A"/>
    <w:rsid w:val="00F46923"/>
    <w:rsid w:val="00F47145"/>
    <w:rsid w:val="00F4752A"/>
    <w:rsid w:val="00F4799D"/>
    <w:rsid w:val="00F50D3E"/>
    <w:rsid w:val="00F53036"/>
    <w:rsid w:val="00F535BE"/>
    <w:rsid w:val="00F545BF"/>
    <w:rsid w:val="00F54B45"/>
    <w:rsid w:val="00F6032C"/>
    <w:rsid w:val="00F629C5"/>
    <w:rsid w:val="00F633E3"/>
    <w:rsid w:val="00F648E1"/>
    <w:rsid w:val="00F65E55"/>
    <w:rsid w:val="00F6701C"/>
    <w:rsid w:val="00F67323"/>
    <w:rsid w:val="00F67907"/>
    <w:rsid w:val="00F7116F"/>
    <w:rsid w:val="00F71571"/>
    <w:rsid w:val="00F71B56"/>
    <w:rsid w:val="00F72149"/>
    <w:rsid w:val="00F729D0"/>
    <w:rsid w:val="00F72C52"/>
    <w:rsid w:val="00F72CB5"/>
    <w:rsid w:val="00F77116"/>
    <w:rsid w:val="00F77618"/>
    <w:rsid w:val="00F80A2F"/>
    <w:rsid w:val="00F80EF4"/>
    <w:rsid w:val="00F81E39"/>
    <w:rsid w:val="00F82130"/>
    <w:rsid w:val="00F82D92"/>
    <w:rsid w:val="00F82FD0"/>
    <w:rsid w:val="00F832C8"/>
    <w:rsid w:val="00F83773"/>
    <w:rsid w:val="00F85987"/>
    <w:rsid w:val="00F85B6A"/>
    <w:rsid w:val="00F873B3"/>
    <w:rsid w:val="00F8742A"/>
    <w:rsid w:val="00F87616"/>
    <w:rsid w:val="00F92A93"/>
    <w:rsid w:val="00F92D53"/>
    <w:rsid w:val="00F92FFF"/>
    <w:rsid w:val="00F93263"/>
    <w:rsid w:val="00F93FC3"/>
    <w:rsid w:val="00F940B6"/>
    <w:rsid w:val="00F94AAF"/>
    <w:rsid w:val="00F94CBD"/>
    <w:rsid w:val="00F96455"/>
    <w:rsid w:val="00F96994"/>
    <w:rsid w:val="00F969AB"/>
    <w:rsid w:val="00F97381"/>
    <w:rsid w:val="00FA23AD"/>
    <w:rsid w:val="00FA2B0A"/>
    <w:rsid w:val="00FA2F1B"/>
    <w:rsid w:val="00FA33FE"/>
    <w:rsid w:val="00FA42B9"/>
    <w:rsid w:val="00FA435E"/>
    <w:rsid w:val="00FA4770"/>
    <w:rsid w:val="00FA4A0A"/>
    <w:rsid w:val="00FA54F1"/>
    <w:rsid w:val="00FA5D18"/>
    <w:rsid w:val="00FA67D5"/>
    <w:rsid w:val="00FA7364"/>
    <w:rsid w:val="00FA73E6"/>
    <w:rsid w:val="00FA755A"/>
    <w:rsid w:val="00FA7589"/>
    <w:rsid w:val="00FB0505"/>
    <w:rsid w:val="00FB1737"/>
    <w:rsid w:val="00FB1F7B"/>
    <w:rsid w:val="00FB20AA"/>
    <w:rsid w:val="00FB2B0F"/>
    <w:rsid w:val="00FB4618"/>
    <w:rsid w:val="00FB4867"/>
    <w:rsid w:val="00FB4F6B"/>
    <w:rsid w:val="00FB5685"/>
    <w:rsid w:val="00FB5AB3"/>
    <w:rsid w:val="00FB5B71"/>
    <w:rsid w:val="00FB5FE1"/>
    <w:rsid w:val="00FB6402"/>
    <w:rsid w:val="00FB7EF9"/>
    <w:rsid w:val="00FC0BC2"/>
    <w:rsid w:val="00FC0E8D"/>
    <w:rsid w:val="00FC20EC"/>
    <w:rsid w:val="00FC25F7"/>
    <w:rsid w:val="00FC2D2E"/>
    <w:rsid w:val="00FC34E9"/>
    <w:rsid w:val="00FC4475"/>
    <w:rsid w:val="00FC45D0"/>
    <w:rsid w:val="00FC46EF"/>
    <w:rsid w:val="00FC4B40"/>
    <w:rsid w:val="00FC4CCC"/>
    <w:rsid w:val="00FC4DD2"/>
    <w:rsid w:val="00FC5219"/>
    <w:rsid w:val="00FC728E"/>
    <w:rsid w:val="00FD081A"/>
    <w:rsid w:val="00FD31B3"/>
    <w:rsid w:val="00FD4204"/>
    <w:rsid w:val="00FD52A4"/>
    <w:rsid w:val="00FD79A1"/>
    <w:rsid w:val="00FE0E9D"/>
    <w:rsid w:val="00FE15F1"/>
    <w:rsid w:val="00FE1B0E"/>
    <w:rsid w:val="00FE215A"/>
    <w:rsid w:val="00FE3CC2"/>
    <w:rsid w:val="00FE41A5"/>
    <w:rsid w:val="00FE441B"/>
    <w:rsid w:val="00FE442C"/>
    <w:rsid w:val="00FE5F2B"/>
    <w:rsid w:val="00FE65E0"/>
    <w:rsid w:val="00FE7098"/>
    <w:rsid w:val="00FE73EE"/>
    <w:rsid w:val="00FF014F"/>
    <w:rsid w:val="00FF085A"/>
    <w:rsid w:val="00FF08E3"/>
    <w:rsid w:val="00FF26D3"/>
    <w:rsid w:val="00FF3CCB"/>
    <w:rsid w:val="00FF44C8"/>
    <w:rsid w:val="00FF48CF"/>
    <w:rsid w:val="00FF57B5"/>
    <w:rsid w:val="00FF6A24"/>
    <w:rsid w:val="00FF7914"/>
    <w:rsid w:val="00FF7CC6"/>
    <w:rsid w:val="00FF7F10"/>
    <w:rsid w:val="018F4CC8"/>
    <w:rsid w:val="01B643E7"/>
    <w:rsid w:val="01BCB6BA"/>
    <w:rsid w:val="01D7317F"/>
    <w:rsid w:val="022FC088"/>
    <w:rsid w:val="02A0E0D7"/>
    <w:rsid w:val="02CD5370"/>
    <w:rsid w:val="02D37850"/>
    <w:rsid w:val="032791FD"/>
    <w:rsid w:val="03710BE8"/>
    <w:rsid w:val="03E28F23"/>
    <w:rsid w:val="03EB0C99"/>
    <w:rsid w:val="041154F5"/>
    <w:rsid w:val="0452D26D"/>
    <w:rsid w:val="04585CEA"/>
    <w:rsid w:val="051D162C"/>
    <w:rsid w:val="05AC1B11"/>
    <w:rsid w:val="0629614C"/>
    <w:rsid w:val="0668DD5A"/>
    <w:rsid w:val="069E7FDA"/>
    <w:rsid w:val="0710B26D"/>
    <w:rsid w:val="081CD3ED"/>
    <w:rsid w:val="08B6D4A0"/>
    <w:rsid w:val="08E52A88"/>
    <w:rsid w:val="08EE802E"/>
    <w:rsid w:val="09E3A8C8"/>
    <w:rsid w:val="0A024033"/>
    <w:rsid w:val="0A721EDD"/>
    <w:rsid w:val="0A9D0ADE"/>
    <w:rsid w:val="0B3A9F3A"/>
    <w:rsid w:val="0B724596"/>
    <w:rsid w:val="0CC036F6"/>
    <w:rsid w:val="0CC86C25"/>
    <w:rsid w:val="0CF17EAB"/>
    <w:rsid w:val="0D7DCDDD"/>
    <w:rsid w:val="0DE78642"/>
    <w:rsid w:val="0DEABB92"/>
    <w:rsid w:val="0EDFBA6C"/>
    <w:rsid w:val="0F8364B1"/>
    <w:rsid w:val="0FBCEFF0"/>
    <w:rsid w:val="0FDB3A9A"/>
    <w:rsid w:val="1024C1C2"/>
    <w:rsid w:val="106E7757"/>
    <w:rsid w:val="10BFD47B"/>
    <w:rsid w:val="110622D6"/>
    <w:rsid w:val="117DEA62"/>
    <w:rsid w:val="11A05C0D"/>
    <w:rsid w:val="13973599"/>
    <w:rsid w:val="143DBA15"/>
    <w:rsid w:val="1459AA84"/>
    <w:rsid w:val="14E47CF4"/>
    <w:rsid w:val="14F566E2"/>
    <w:rsid w:val="15351E7C"/>
    <w:rsid w:val="163C8873"/>
    <w:rsid w:val="16B67E1A"/>
    <w:rsid w:val="16DC7ACB"/>
    <w:rsid w:val="16F80008"/>
    <w:rsid w:val="173648A1"/>
    <w:rsid w:val="173804EA"/>
    <w:rsid w:val="17801750"/>
    <w:rsid w:val="17EC4BFA"/>
    <w:rsid w:val="180204B9"/>
    <w:rsid w:val="18174FE6"/>
    <w:rsid w:val="184DABC1"/>
    <w:rsid w:val="19767A46"/>
    <w:rsid w:val="1A62C92B"/>
    <w:rsid w:val="1AC52114"/>
    <w:rsid w:val="1B8094DF"/>
    <w:rsid w:val="1BDBAC58"/>
    <w:rsid w:val="1C1A9CA0"/>
    <w:rsid w:val="1C69CDE0"/>
    <w:rsid w:val="1C8B5665"/>
    <w:rsid w:val="1CB1CE5C"/>
    <w:rsid w:val="1CBD0CA6"/>
    <w:rsid w:val="1DAA99E5"/>
    <w:rsid w:val="1E0405D2"/>
    <w:rsid w:val="1E47D253"/>
    <w:rsid w:val="1E953E3D"/>
    <w:rsid w:val="1E971707"/>
    <w:rsid w:val="1EFEFF05"/>
    <w:rsid w:val="1F091EED"/>
    <w:rsid w:val="20050593"/>
    <w:rsid w:val="204E4899"/>
    <w:rsid w:val="20E5394A"/>
    <w:rsid w:val="2163809A"/>
    <w:rsid w:val="21C9E630"/>
    <w:rsid w:val="22C4657F"/>
    <w:rsid w:val="2371BC97"/>
    <w:rsid w:val="23DF903B"/>
    <w:rsid w:val="245306D5"/>
    <w:rsid w:val="2464924E"/>
    <w:rsid w:val="2492D714"/>
    <w:rsid w:val="2798FF0F"/>
    <w:rsid w:val="27B8E0DB"/>
    <w:rsid w:val="27DDE723"/>
    <w:rsid w:val="28B62114"/>
    <w:rsid w:val="28D5AD8A"/>
    <w:rsid w:val="290882C9"/>
    <w:rsid w:val="29166AFA"/>
    <w:rsid w:val="2943CF46"/>
    <w:rsid w:val="29B6E686"/>
    <w:rsid w:val="29EBEA33"/>
    <w:rsid w:val="29EE3253"/>
    <w:rsid w:val="29FA7B43"/>
    <w:rsid w:val="2ACFCBE8"/>
    <w:rsid w:val="2AD4A6AB"/>
    <w:rsid w:val="2BC369E3"/>
    <w:rsid w:val="2C74BD73"/>
    <w:rsid w:val="2C7ED574"/>
    <w:rsid w:val="2CCD6E08"/>
    <w:rsid w:val="2D3CDDB3"/>
    <w:rsid w:val="2F48825E"/>
    <w:rsid w:val="2F4D383D"/>
    <w:rsid w:val="2F5EE600"/>
    <w:rsid w:val="2FF04049"/>
    <w:rsid w:val="30E41877"/>
    <w:rsid w:val="31A726A4"/>
    <w:rsid w:val="32361AD4"/>
    <w:rsid w:val="3256582A"/>
    <w:rsid w:val="3268848B"/>
    <w:rsid w:val="32F398B1"/>
    <w:rsid w:val="3326B44B"/>
    <w:rsid w:val="3347F545"/>
    <w:rsid w:val="3383B55F"/>
    <w:rsid w:val="33F0312B"/>
    <w:rsid w:val="34324114"/>
    <w:rsid w:val="34C98D52"/>
    <w:rsid w:val="34CA0B72"/>
    <w:rsid w:val="34D62424"/>
    <w:rsid w:val="35124357"/>
    <w:rsid w:val="35403533"/>
    <w:rsid w:val="3551B5BF"/>
    <w:rsid w:val="355505CD"/>
    <w:rsid w:val="357DEFDA"/>
    <w:rsid w:val="35A138F5"/>
    <w:rsid w:val="37419E23"/>
    <w:rsid w:val="3856935A"/>
    <w:rsid w:val="38BBA45F"/>
    <w:rsid w:val="399A3678"/>
    <w:rsid w:val="39CEA015"/>
    <w:rsid w:val="3A0F432E"/>
    <w:rsid w:val="3ACE17B7"/>
    <w:rsid w:val="3AD54053"/>
    <w:rsid w:val="3B294D8F"/>
    <w:rsid w:val="3C3899C9"/>
    <w:rsid w:val="3D0C5E34"/>
    <w:rsid w:val="3D23C178"/>
    <w:rsid w:val="3E8EAE1B"/>
    <w:rsid w:val="3E9335E0"/>
    <w:rsid w:val="3F1334DF"/>
    <w:rsid w:val="3F3C5FA6"/>
    <w:rsid w:val="3F3F00CA"/>
    <w:rsid w:val="3F6470A6"/>
    <w:rsid w:val="3FDEF9D9"/>
    <w:rsid w:val="4019DC98"/>
    <w:rsid w:val="403C3AB0"/>
    <w:rsid w:val="40E14DF0"/>
    <w:rsid w:val="40E9441D"/>
    <w:rsid w:val="4118A630"/>
    <w:rsid w:val="415CCD2A"/>
    <w:rsid w:val="41D56506"/>
    <w:rsid w:val="42B958C9"/>
    <w:rsid w:val="433AA7BA"/>
    <w:rsid w:val="436DB458"/>
    <w:rsid w:val="438CA61C"/>
    <w:rsid w:val="43BA4A3F"/>
    <w:rsid w:val="43C2F53A"/>
    <w:rsid w:val="43F4A4DF"/>
    <w:rsid w:val="44A92752"/>
    <w:rsid w:val="45461793"/>
    <w:rsid w:val="455E326F"/>
    <w:rsid w:val="45B9E29B"/>
    <w:rsid w:val="45CDEB03"/>
    <w:rsid w:val="45CFC007"/>
    <w:rsid w:val="45CFE01C"/>
    <w:rsid w:val="4676D6E5"/>
    <w:rsid w:val="47BD784A"/>
    <w:rsid w:val="48010967"/>
    <w:rsid w:val="484F967A"/>
    <w:rsid w:val="48FD299E"/>
    <w:rsid w:val="49155D85"/>
    <w:rsid w:val="496CB181"/>
    <w:rsid w:val="49A0046D"/>
    <w:rsid w:val="4A5ECF2E"/>
    <w:rsid w:val="4AC3EFD7"/>
    <w:rsid w:val="4B2CEF1B"/>
    <w:rsid w:val="4B67F92C"/>
    <w:rsid w:val="4B72B8B8"/>
    <w:rsid w:val="4BC7EA4B"/>
    <w:rsid w:val="4C296E6D"/>
    <w:rsid w:val="4CE6F24F"/>
    <w:rsid w:val="4CF795D5"/>
    <w:rsid w:val="4D0C5116"/>
    <w:rsid w:val="4D333D31"/>
    <w:rsid w:val="4E423673"/>
    <w:rsid w:val="4E546451"/>
    <w:rsid w:val="4E7988DD"/>
    <w:rsid w:val="4ECEB3E7"/>
    <w:rsid w:val="4F8B5F11"/>
    <w:rsid w:val="502F1015"/>
    <w:rsid w:val="50AFE89C"/>
    <w:rsid w:val="51722B42"/>
    <w:rsid w:val="51CDABE0"/>
    <w:rsid w:val="522B6C4A"/>
    <w:rsid w:val="5258C467"/>
    <w:rsid w:val="526356BC"/>
    <w:rsid w:val="52DF40CA"/>
    <w:rsid w:val="52E90A7A"/>
    <w:rsid w:val="54678B69"/>
    <w:rsid w:val="55082E2B"/>
    <w:rsid w:val="550A097A"/>
    <w:rsid w:val="5564974C"/>
    <w:rsid w:val="55B4200B"/>
    <w:rsid w:val="55CAA71E"/>
    <w:rsid w:val="55DBEE97"/>
    <w:rsid w:val="56723C1C"/>
    <w:rsid w:val="56F97045"/>
    <w:rsid w:val="5707952E"/>
    <w:rsid w:val="5736D2CF"/>
    <w:rsid w:val="5748FEF7"/>
    <w:rsid w:val="5760010F"/>
    <w:rsid w:val="57FAC40E"/>
    <w:rsid w:val="586533E8"/>
    <w:rsid w:val="58AA1608"/>
    <w:rsid w:val="5977DF72"/>
    <w:rsid w:val="598A236D"/>
    <w:rsid w:val="5A7C7159"/>
    <w:rsid w:val="5B474455"/>
    <w:rsid w:val="5B55C288"/>
    <w:rsid w:val="5BED9636"/>
    <w:rsid w:val="5C6F3815"/>
    <w:rsid w:val="5C8D24C3"/>
    <w:rsid w:val="5CA88841"/>
    <w:rsid w:val="5CD295B4"/>
    <w:rsid w:val="5D8A620A"/>
    <w:rsid w:val="5DAA1D4D"/>
    <w:rsid w:val="5DD89475"/>
    <w:rsid w:val="5DDF56D8"/>
    <w:rsid w:val="5E2B39B8"/>
    <w:rsid w:val="5F76532E"/>
    <w:rsid w:val="5F83037D"/>
    <w:rsid w:val="5FCFFFA0"/>
    <w:rsid w:val="60A15905"/>
    <w:rsid w:val="60F9F0BD"/>
    <w:rsid w:val="617C738E"/>
    <w:rsid w:val="621E57A0"/>
    <w:rsid w:val="6245D1B9"/>
    <w:rsid w:val="641CF792"/>
    <w:rsid w:val="643D5FF0"/>
    <w:rsid w:val="657C1841"/>
    <w:rsid w:val="6616C4FA"/>
    <w:rsid w:val="6684B9C4"/>
    <w:rsid w:val="66B4EE20"/>
    <w:rsid w:val="66D5304C"/>
    <w:rsid w:val="684FC0EA"/>
    <w:rsid w:val="68DDFF6A"/>
    <w:rsid w:val="694AE175"/>
    <w:rsid w:val="695C09BE"/>
    <w:rsid w:val="698D5D19"/>
    <w:rsid w:val="69AE6229"/>
    <w:rsid w:val="69D03332"/>
    <w:rsid w:val="6A11779D"/>
    <w:rsid w:val="6A360458"/>
    <w:rsid w:val="6A7CD1BC"/>
    <w:rsid w:val="6AF36604"/>
    <w:rsid w:val="6B28290B"/>
    <w:rsid w:val="6CA79B1D"/>
    <w:rsid w:val="6CC249F2"/>
    <w:rsid w:val="6D740AB6"/>
    <w:rsid w:val="6DE5624E"/>
    <w:rsid w:val="6EA04F48"/>
    <w:rsid w:val="6ED71BFC"/>
    <w:rsid w:val="6F46BFCE"/>
    <w:rsid w:val="7093EB03"/>
    <w:rsid w:val="70AFFAE6"/>
    <w:rsid w:val="70F7D1B8"/>
    <w:rsid w:val="713D4648"/>
    <w:rsid w:val="723D369F"/>
    <w:rsid w:val="72B4B093"/>
    <w:rsid w:val="73540F8A"/>
    <w:rsid w:val="740A9359"/>
    <w:rsid w:val="75F14FD7"/>
    <w:rsid w:val="767DF692"/>
    <w:rsid w:val="77634748"/>
    <w:rsid w:val="7798DB99"/>
    <w:rsid w:val="7823697D"/>
    <w:rsid w:val="7868C4F2"/>
    <w:rsid w:val="786D24D6"/>
    <w:rsid w:val="78D59434"/>
    <w:rsid w:val="78FA0C52"/>
    <w:rsid w:val="78FF1A2C"/>
    <w:rsid w:val="79380218"/>
    <w:rsid w:val="79448DAA"/>
    <w:rsid w:val="79838A3C"/>
    <w:rsid w:val="79CC3622"/>
    <w:rsid w:val="7AD3F308"/>
    <w:rsid w:val="7B6590AE"/>
    <w:rsid w:val="7C2DB8FE"/>
    <w:rsid w:val="7C4D084E"/>
    <w:rsid w:val="7C62D280"/>
    <w:rsid w:val="7CE18028"/>
    <w:rsid w:val="7D2A3AE6"/>
    <w:rsid w:val="7D3E65B2"/>
    <w:rsid w:val="7D3FAA9E"/>
    <w:rsid w:val="7D5F79C6"/>
    <w:rsid w:val="7D9A6341"/>
    <w:rsid w:val="7E3C7DDB"/>
    <w:rsid w:val="7EB0B799"/>
    <w:rsid w:val="7EC5FF68"/>
    <w:rsid w:val="7EDB3400"/>
    <w:rsid w:val="7F3C2AA7"/>
    <w:rsid w:val="7F85E5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4"/>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4"/>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qFormat/>
    <w:rsid w:val="00152422"/>
    <w:pPr>
      <w:numPr>
        <w:numId w:val="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3"/>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3"/>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6"/>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customStyle="1" w:styleId="NumberedParagraph0">
    <w:name w:val="Numbered Paragraph"/>
    <w:basedOn w:val="Normal"/>
    <w:link w:val="NumberedParagraphChar0"/>
    <w:rsid w:val="0007433E"/>
    <w:pPr>
      <w:numPr>
        <w:numId w:val="7"/>
      </w:numPr>
      <w:spacing w:before="240" w:after="120" w:line="240" w:lineRule="auto"/>
    </w:pPr>
    <w:rPr>
      <w:rFonts w:eastAsia="Times New Roman"/>
      <w:szCs w:val="24"/>
      <w:lang w:bidi="ar-SA"/>
    </w:rPr>
  </w:style>
  <w:style w:type="character" w:customStyle="1" w:styleId="NumberedParagraphChar0">
    <w:name w:val="Numbered Paragraph Char"/>
    <w:basedOn w:val="DefaultParagraphFont"/>
    <w:link w:val="NumberedParagraph0"/>
    <w:rsid w:val="0007433E"/>
    <w:rPr>
      <w:rFonts w:ascii="Arial" w:eastAsia="Times New Roman" w:hAnsi="Arial"/>
      <w:sz w:val="24"/>
      <w:szCs w:val="24"/>
      <w:lang w:eastAsia="en-US"/>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83B73"/>
    <w:rPr>
      <w:rFonts w:ascii="Arial" w:hAnsi="Arial"/>
      <w:sz w:val="24"/>
      <w:szCs w:val="22"/>
      <w:lang w:eastAsia="en-US" w:bidi="he-IL"/>
    </w:rPr>
  </w:style>
  <w:style w:type="paragraph" w:customStyle="1" w:styleId="F9-Paragraph">
    <w:name w:val="F9 - Paragraph"/>
    <w:basedOn w:val="NumberedParagraph0"/>
    <w:link w:val="F9-ParagraphChar"/>
    <w:qFormat/>
    <w:rsid w:val="00392BB4"/>
    <w:pPr>
      <w:numPr>
        <w:numId w:val="5"/>
      </w:numPr>
    </w:pPr>
  </w:style>
  <w:style w:type="character" w:customStyle="1" w:styleId="F9-ParagraphChar">
    <w:name w:val="F9 - Paragraph Char"/>
    <w:basedOn w:val="NumberedParagraphChar0"/>
    <w:link w:val="F9-Paragraph"/>
    <w:rsid w:val="00392BB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392BB4"/>
    <w:rPr>
      <w:color w:val="AA1C76" w:themeColor="followedHyperlink"/>
      <w:u w:val="single"/>
    </w:rPr>
  </w:style>
  <w:style w:type="paragraph" w:customStyle="1" w:styleId="BulletLevel1">
    <w:name w:val="Bullet Level 1"/>
    <w:basedOn w:val="ListParagraph"/>
    <w:rsid w:val="00E44084"/>
    <w:pPr>
      <w:numPr>
        <w:numId w:val="10"/>
      </w:numPr>
      <w:spacing w:before="240" w:after="120" w:line="240" w:lineRule="auto"/>
      <w:contextualSpacing w:val="0"/>
    </w:pPr>
    <w:rPr>
      <w:rFonts w:eastAsia="Times New Roman"/>
      <w:szCs w:val="24"/>
      <w:lang w:bidi="ar-SA"/>
    </w:rPr>
  </w:style>
  <w:style w:type="paragraph" w:customStyle="1" w:styleId="BulletLevel2">
    <w:name w:val="Bullet Level 2"/>
    <w:basedOn w:val="BulletLevel1"/>
    <w:rsid w:val="00E44084"/>
    <w:pPr>
      <w:numPr>
        <w:ilvl w:val="1"/>
      </w:numPr>
    </w:pPr>
  </w:style>
  <w:style w:type="paragraph" w:customStyle="1" w:styleId="F10-BulletLevel-1">
    <w:name w:val="F10 - Bullet Level-1"/>
    <w:basedOn w:val="BulletLevel1"/>
    <w:link w:val="F10-BulletLevel-1Char"/>
    <w:qFormat/>
    <w:rsid w:val="00D81D52"/>
  </w:style>
  <w:style w:type="character" w:customStyle="1" w:styleId="F10-BulletLevel-1Char">
    <w:name w:val="F10 - Bullet Level-1 Char"/>
    <w:basedOn w:val="DefaultParagraphFont"/>
    <w:link w:val="F10-BulletLevel-1"/>
    <w:rsid w:val="00D81D52"/>
    <w:rPr>
      <w:rFonts w:ascii="Arial" w:eastAsia="Times New Roman" w:hAnsi="Arial"/>
      <w:sz w:val="24"/>
      <w:szCs w:val="24"/>
      <w:lang w:eastAsia="en-US"/>
    </w:rPr>
  </w:style>
  <w:style w:type="paragraph" w:styleId="NormalWeb">
    <w:name w:val="Normal (Web)"/>
    <w:basedOn w:val="Normal"/>
    <w:uiPriority w:val="99"/>
    <w:semiHidden/>
    <w:unhideWhenUsed/>
    <w:rsid w:val="00B46BAD"/>
    <w:pPr>
      <w:spacing w:before="100" w:beforeAutospacing="1" w:after="100" w:afterAutospacing="1" w:line="240" w:lineRule="auto"/>
    </w:pPr>
    <w:rPr>
      <w:rFonts w:ascii="Times New Roman" w:eastAsiaTheme="minorEastAsia" w:hAnsi="Times New Roman" w:cs="Times New Roman"/>
      <w:szCs w:val="24"/>
      <w:lang w:eastAsia="en-GB" w:bidi="ar-SA"/>
    </w:rPr>
  </w:style>
  <w:style w:type="character" w:styleId="Strong">
    <w:name w:val="Strong"/>
    <w:basedOn w:val="DefaultParagraphFont"/>
    <w:uiPriority w:val="22"/>
    <w:qFormat/>
    <w:rsid w:val="00B46B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3554028">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9953008">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6514287">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4510727">
      <w:bodyDiv w:val="1"/>
      <w:marLeft w:val="0"/>
      <w:marRight w:val="0"/>
      <w:marTop w:val="0"/>
      <w:marBottom w:val="0"/>
      <w:divBdr>
        <w:top w:val="none" w:sz="0" w:space="0" w:color="auto"/>
        <w:left w:val="none" w:sz="0" w:space="0" w:color="auto"/>
        <w:bottom w:val="none" w:sz="0" w:space="0" w:color="auto"/>
        <w:right w:val="none" w:sz="0" w:space="0" w:color="auto"/>
      </w:divBdr>
    </w:div>
    <w:div w:id="147945511">
      <w:bodyDiv w:val="1"/>
      <w:marLeft w:val="0"/>
      <w:marRight w:val="0"/>
      <w:marTop w:val="0"/>
      <w:marBottom w:val="0"/>
      <w:divBdr>
        <w:top w:val="none" w:sz="0" w:space="0" w:color="auto"/>
        <w:left w:val="none" w:sz="0" w:space="0" w:color="auto"/>
        <w:bottom w:val="none" w:sz="0" w:space="0" w:color="auto"/>
        <w:right w:val="none" w:sz="0" w:space="0" w:color="auto"/>
      </w:divBdr>
    </w:div>
    <w:div w:id="155265080">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73424132">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242961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8007113">
      <w:bodyDiv w:val="1"/>
      <w:marLeft w:val="0"/>
      <w:marRight w:val="0"/>
      <w:marTop w:val="0"/>
      <w:marBottom w:val="0"/>
      <w:divBdr>
        <w:top w:val="none" w:sz="0" w:space="0" w:color="auto"/>
        <w:left w:val="none" w:sz="0" w:space="0" w:color="auto"/>
        <w:bottom w:val="none" w:sz="0" w:space="0" w:color="auto"/>
        <w:right w:val="none" w:sz="0" w:space="0" w:color="auto"/>
      </w:divBdr>
    </w:div>
    <w:div w:id="236520576">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671282">
      <w:bodyDiv w:val="1"/>
      <w:marLeft w:val="0"/>
      <w:marRight w:val="0"/>
      <w:marTop w:val="0"/>
      <w:marBottom w:val="0"/>
      <w:divBdr>
        <w:top w:val="none" w:sz="0" w:space="0" w:color="auto"/>
        <w:left w:val="none" w:sz="0" w:space="0" w:color="auto"/>
        <w:bottom w:val="none" w:sz="0" w:space="0" w:color="auto"/>
        <w:right w:val="none" w:sz="0" w:space="0" w:color="auto"/>
      </w:divBdr>
    </w:div>
    <w:div w:id="273514091">
      <w:bodyDiv w:val="1"/>
      <w:marLeft w:val="0"/>
      <w:marRight w:val="0"/>
      <w:marTop w:val="0"/>
      <w:marBottom w:val="0"/>
      <w:divBdr>
        <w:top w:val="none" w:sz="0" w:space="0" w:color="auto"/>
        <w:left w:val="none" w:sz="0" w:space="0" w:color="auto"/>
        <w:bottom w:val="none" w:sz="0" w:space="0" w:color="auto"/>
        <w:right w:val="none" w:sz="0" w:space="0" w:color="auto"/>
      </w:divBdr>
    </w:div>
    <w:div w:id="274361749">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82082800">
      <w:bodyDiv w:val="1"/>
      <w:marLeft w:val="0"/>
      <w:marRight w:val="0"/>
      <w:marTop w:val="0"/>
      <w:marBottom w:val="0"/>
      <w:divBdr>
        <w:top w:val="none" w:sz="0" w:space="0" w:color="auto"/>
        <w:left w:val="none" w:sz="0" w:space="0" w:color="auto"/>
        <w:bottom w:val="none" w:sz="0" w:space="0" w:color="auto"/>
        <w:right w:val="none" w:sz="0" w:space="0" w:color="auto"/>
      </w:divBdr>
    </w:div>
    <w:div w:id="286591056">
      <w:bodyDiv w:val="1"/>
      <w:marLeft w:val="0"/>
      <w:marRight w:val="0"/>
      <w:marTop w:val="0"/>
      <w:marBottom w:val="0"/>
      <w:divBdr>
        <w:top w:val="none" w:sz="0" w:space="0" w:color="auto"/>
        <w:left w:val="none" w:sz="0" w:space="0" w:color="auto"/>
        <w:bottom w:val="none" w:sz="0" w:space="0" w:color="auto"/>
        <w:right w:val="none" w:sz="0" w:space="0" w:color="auto"/>
      </w:divBdr>
    </w:div>
    <w:div w:id="289821692">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5914532">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18771709">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7832880">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60822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275295">
      <w:bodyDiv w:val="1"/>
      <w:marLeft w:val="0"/>
      <w:marRight w:val="0"/>
      <w:marTop w:val="0"/>
      <w:marBottom w:val="0"/>
      <w:divBdr>
        <w:top w:val="none" w:sz="0" w:space="0" w:color="auto"/>
        <w:left w:val="none" w:sz="0" w:space="0" w:color="auto"/>
        <w:bottom w:val="none" w:sz="0" w:space="0" w:color="auto"/>
        <w:right w:val="none" w:sz="0" w:space="0" w:color="auto"/>
      </w:divBdr>
    </w:div>
    <w:div w:id="337344362">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2826053">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9576701">
      <w:bodyDiv w:val="1"/>
      <w:marLeft w:val="0"/>
      <w:marRight w:val="0"/>
      <w:marTop w:val="0"/>
      <w:marBottom w:val="0"/>
      <w:divBdr>
        <w:top w:val="none" w:sz="0" w:space="0" w:color="auto"/>
        <w:left w:val="none" w:sz="0" w:space="0" w:color="auto"/>
        <w:bottom w:val="none" w:sz="0" w:space="0" w:color="auto"/>
        <w:right w:val="none" w:sz="0" w:space="0" w:color="auto"/>
      </w:divBdr>
    </w:div>
    <w:div w:id="374158741">
      <w:bodyDiv w:val="1"/>
      <w:marLeft w:val="0"/>
      <w:marRight w:val="0"/>
      <w:marTop w:val="0"/>
      <w:marBottom w:val="0"/>
      <w:divBdr>
        <w:top w:val="none" w:sz="0" w:space="0" w:color="auto"/>
        <w:left w:val="none" w:sz="0" w:space="0" w:color="auto"/>
        <w:bottom w:val="none" w:sz="0" w:space="0" w:color="auto"/>
        <w:right w:val="none" w:sz="0" w:space="0" w:color="auto"/>
      </w:divBdr>
    </w:div>
    <w:div w:id="376467776">
      <w:bodyDiv w:val="1"/>
      <w:marLeft w:val="0"/>
      <w:marRight w:val="0"/>
      <w:marTop w:val="0"/>
      <w:marBottom w:val="0"/>
      <w:divBdr>
        <w:top w:val="none" w:sz="0" w:space="0" w:color="auto"/>
        <w:left w:val="none" w:sz="0" w:space="0" w:color="auto"/>
        <w:bottom w:val="none" w:sz="0" w:space="0" w:color="auto"/>
        <w:right w:val="none" w:sz="0" w:space="0" w:color="auto"/>
      </w:divBdr>
    </w:div>
    <w:div w:id="386270974">
      <w:bodyDiv w:val="1"/>
      <w:marLeft w:val="0"/>
      <w:marRight w:val="0"/>
      <w:marTop w:val="0"/>
      <w:marBottom w:val="0"/>
      <w:divBdr>
        <w:top w:val="none" w:sz="0" w:space="0" w:color="auto"/>
        <w:left w:val="none" w:sz="0" w:space="0" w:color="auto"/>
        <w:bottom w:val="none" w:sz="0" w:space="0" w:color="auto"/>
        <w:right w:val="none" w:sz="0" w:space="0" w:color="auto"/>
      </w:divBdr>
    </w:div>
    <w:div w:id="387387874">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17943255">
      <w:bodyDiv w:val="1"/>
      <w:marLeft w:val="0"/>
      <w:marRight w:val="0"/>
      <w:marTop w:val="0"/>
      <w:marBottom w:val="0"/>
      <w:divBdr>
        <w:top w:val="none" w:sz="0" w:space="0" w:color="auto"/>
        <w:left w:val="none" w:sz="0" w:space="0" w:color="auto"/>
        <w:bottom w:val="none" w:sz="0" w:space="0" w:color="auto"/>
        <w:right w:val="none" w:sz="0" w:space="0" w:color="auto"/>
      </w:divBdr>
    </w:div>
    <w:div w:id="435637887">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53331943">
      <w:bodyDiv w:val="1"/>
      <w:marLeft w:val="0"/>
      <w:marRight w:val="0"/>
      <w:marTop w:val="0"/>
      <w:marBottom w:val="0"/>
      <w:divBdr>
        <w:top w:val="none" w:sz="0" w:space="0" w:color="auto"/>
        <w:left w:val="none" w:sz="0" w:space="0" w:color="auto"/>
        <w:bottom w:val="none" w:sz="0" w:space="0" w:color="auto"/>
        <w:right w:val="none" w:sz="0" w:space="0" w:color="auto"/>
      </w:divBdr>
    </w:div>
    <w:div w:id="454447322">
      <w:bodyDiv w:val="1"/>
      <w:marLeft w:val="0"/>
      <w:marRight w:val="0"/>
      <w:marTop w:val="0"/>
      <w:marBottom w:val="0"/>
      <w:divBdr>
        <w:top w:val="none" w:sz="0" w:space="0" w:color="auto"/>
        <w:left w:val="none" w:sz="0" w:space="0" w:color="auto"/>
        <w:bottom w:val="none" w:sz="0" w:space="0" w:color="auto"/>
        <w:right w:val="none" w:sz="0" w:space="0" w:color="auto"/>
      </w:divBdr>
    </w:div>
    <w:div w:id="45517597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070631">
      <w:bodyDiv w:val="1"/>
      <w:marLeft w:val="0"/>
      <w:marRight w:val="0"/>
      <w:marTop w:val="0"/>
      <w:marBottom w:val="0"/>
      <w:divBdr>
        <w:top w:val="none" w:sz="0" w:space="0" w:color="auto"/>
        <w:left w:val="none" w:sz="0" w:space="0" w:color="auto"/>
        <w:bottom w:val="none" w:sz="0" w:space="0" w:color="auto"/>
        <w:right w:val="none" w:sz="0" w:space="0" w:color="auto"/>
      </w:divBdr>
    </w:div>
    <w:div w:id="459612606">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7867008">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13307084">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2495253">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57129245">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006545">
      <w:bodyDiv w:val="1"/>
      <w:marLeft w:val="0"/>
      <w:marRight w:val="0"/>
      <w:marTop w:val="0"/>
      <w:marBottom w:val="0"/>
      <w:divBdr>
        <w:top w:val="none" w:sz="0" w:space="0" w:color="auto"/>
        <w:left w:val="none" w:sz="0" w:space="0" w:color="auto"/>
        <w:bottom w:val="none" w:sz="0" w:space="0" w:color="auto"/>
        <w:right w:val="none" w:sz="0" w:space="0" w:color="auto"/>
      </w:divBdr>
    </w:div>
    <w:div w:id="592592715">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603611281">
      <w:bodyDiv w:val="1"/>
      <w:marLeft w:val="0"/>
      <w:marRight w:val="0"/>
      <w:marTop w:val="0"/>
      <w:marBottom w:val="0"/>
      <w:divBdr>
        <w:top w:val="none" w:sz="0" w:space="0" w:color="auto"/>
        <w:left w:val="none" w:sz="0" w:space="0" w:color="auto"/>
        <w:bottom w:val="none" w:sz="0" w:space="0" w:color="auto"/>
        <w:right w:val="none" w:sz="0" w:space="0" w:color="auto"/>
      </w:divBdr>
    </w:div>
    <w:div w:id="604077990">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4409910">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63513897">
      <w:bodyDiv w:val="1"/>
      <w:marLeft w:val="0"/>
      <w:marRight w:val="0"/>
      <w:marTop w:val="0"/>
      <w:marBottom w:val="0"/>
      <w:divBdr>
        <w:top w:val="none" w:sz="0" w:space="0" w:color="auto"/>
        <w:left w:val="none" w:sz="0" w:space="0" w:color="auto"/>
        <w:bottom w:val="none" w:sz="0" w:space="0" w:color="auto"/>
        <w:right w:val="none" w:sz="0" w:space="0" w:color="auto"/>
      </w:divBdr>
    </w:div>
    <w:div w:id="666441895">
      <w:bodyDiv w:val="1"/>
      <w:marLeft w:val="0"/>
      <w:marRight w:val="0"/>
      <w:marTop w:val="0"/>
      <w:marBottom w:val="0"/>
      <w:divBdr>
        <w:top w:val="none" w:sz="0" w:space="0" w:color="auto"/>
        <w:left w:val="none" w:sz="0" w:space="0" w:color="auto"/>
        <w:bottom w:val="none" w:sz="0" w:space="0" w:color="auto"/>
        <w:right w:val="none" w:sz="0" w:space="0" w:color="auto"/>
      </w:divBdr>
    </w:div>
    <w:div w:id="668219745">
      <w:bodyDiv w:val="1"/>
      <w:marLeft w:val="0"/>
      <w:marRight w:val="0"/>
      <w:marTop w:val="0"/>
      <w:marBottom w:val="0"/>
      <w:divBdr>
        <w:top w:val="none" w:sz="0" w:space="0" w:color="auto"/>
        <w:left w:val="none" w:sz="0" w:space="0" w:color="auto"/>
        <w:bottom w:val="none" w:sz="0" w:space="0" w:color="auto"/>
        <w:right w:val="none" w:sz="0" w:space="0" w:color="auto"/>
      </w:divBdr>
    </w:div>
    <w:div w:id="699401980">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26301721">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43920210">
      <w:bodyDiv w:val="1"/>
      <w:marLeft w:val="0"/>
      <w:marRight w:val="0"/>
      <w:marTop w:val="0"/>
      <w:marBottom w:val="0"/>
      <w:divBdr>
        <w:top w:val="none" w:sz="0" w:space="0" w:color="auto"/>
        <w:left w:val="none" w:sz="0" w:space="0" w:color="auto"/>
        <w:bottom w:val="none" w:sz="0" w:space="0" w:color="auto"/>
        <w:right w:val="none" w:sz="0" w:space="0" w:color="auto"/>
      </w:divBdr>
    </w:div>
    <w:div w:id="746000676">
      <w:bodyDiv w:val="1"/>
      <w:marLeft w:val="0"/>
      <w:marRight w:val="0"/>
      <w:marTop w:val="0"/>
      <w:marBottom w:val="0"/>
      <w:divBdr>
        <w:top w:val="none" w:sz="0" w:space="0" w:color="auto"/>
        <w:left w:val="none" w:sz="0" w:space="0" w:color="auto"/>
        <w:bottom w:val="none" w:sz="0" w:space="0" w:color="auto"/>
        <w:right w:val="none" w:sz="0" w:space="0" w:color="auto"/>
      </w:divBdr>
    </w:div>
    <w:div w:id="762073289">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805321410">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80673011">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920262713">
      <w:bodyDiv w:val="1"/>
      <w:marLeft w:val="0"/>
      <w:marRight w:val="0"/>
      <w:marTop w:val="0"/>
      <w:marBottom w:val="0"/>
      <w:divBdr>
        <w:top w:val="none" w:sz="0" w:space="0" w:color="auto"/>
        <w:left w:val="none" w:sz="0" w:space="0" w:color="auto"/>
        <w:bottom w:val="none" w:sz="0" w:space="0" w:color="auto"/>
        <w:right w:val="none" w:sz="0" w:space="0" w:color="auto"/>
      </w:divBdr>
    </w:div>
    <w:div w:id="928192636">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33992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7632816">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3990172">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32801659">
      <w:bodyDiv w:val="1"/>
      <w:marLeft w:val="0"/>
      <w:marRight w:val="0"/>
      <w:marTop w:val="0"/>
      <w:marBottom w:val="0"/>
      <w:divBdr>
        <w:top w:val="none" w:sz="0" w:space="0" w:color="auto"/>
        <w:left w:val="none" w:sz="0" w:space="0" w:color="auto"/>
        <w:bottom w:val="none" w:sz="0" w:space="0" w:color="auto"/>
        <w:right w:val="none" w:sz="0" w:space="0" w:color="auto"/>
      </w:divBdr>
    </w:div>
    <w:div w:id="1035693023">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3115152">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66296513">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4761382">
      <w:bodyDiv w:val="1"/>
      <w:marLeft w:val="0"/>
      <w:marRight w:val="0"/>
      <w:marTop w:val="0"/>
      <w:marBottom w:val="0"/>
      <w:divBdr>
        <w:top w:val="none" w:sz="0" w:space="0" w:color="auto"/>
        <w:left w:val="none" w:sz="0" w:space="0" w:color="auto"/>
        <w:bottom w:val="none" w:sz="0" w:space="0" w:color="auto"/>
        <w:right w:val="none" w:sz="0" w:space="0" w:color="auto"/>
      </w:divBdr>
    </w:div>
    <w:div w:id="1091703316">
      <w:bodyDiv w:val="1"/>
      <w:marLeft w:val="0"/>
      <w:marRight w:val="0"/>
      <w:marTop w:val="0"/>
      <w:marBottom w:val="0"/>
      <w:divBdr>
        <w:top w:val="none" w:sz="0" w:space="0" w:color="auto"/>
        <w:left w:val="none" w:sz="0" w:space="0" w:color="auto"/>
        <w:bottom w:val="none" w:sz="0" w:space="0" w:color="auto"/>
        <w:right w:val="none" w:sz="0" w:space="0" w:color="auto"/>
      </w:divBdr>
    </w:div>
    <w:div w:id="1096054697">
      <w:bodyDiv w:val="1"/>
      <w:marLeft w:val="0"/>
      <w:marRight w:val="0"/>
      <w:marTop w:val="0"/>
      <w:marBottom w:val="0"/>
      <w:divBdr>
        <w:top w:val="none" w:sz="0" w:space="0" w:color="auto"/>
        <w:left w:val="none" w:sz="0" w:space="0" w:color="auto"/>
        <w:bottom w:val="none" w:sz="0" w:space="0" w:color="auto"/>
        <w:right w:val="none" w:sz="0" w:space="0" w:color="auto"/>
      </w:divBdr>
    </w:div>
    <w:div w:id="1097598912">
      <w:bodyDiv w:val="1"/>
      <w:marLeft w:val="0"/>
      <w:marRight w:val="0"/>
      <w:marTop w:val="0"/>
      <w:marBottom w:val="0"/>
      <w:divBdr>
        <w:top w:val="none" w:sz="0" w:space="0" w:color="auto"/>
        <w:left w:val="none" w:sz="0" w:space="0" w:color="auto"/>
        <w:bottom w:val="none" w:sz="0" w:space="0" w:color="auto"/>
        <w:right w:val="none" w:sz="0" w:space="0" w:color="auto"/>
      </w:divBdr>
    </w:div>
    <w:div w:id="1106385643">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65972198">
      <w:bodyDiv w:val="1"/>
      <w:marLeft w:val="0"/>
      <w:marRight w:val="0"/>
      <w:marTop w:val="0"/>
      <w:marBottom w:val="0"/>
      <w:divBdr>
        <w:top w:val="none" w:sz="0" w:space="0" w:color="auto"/>
        <w:left w:val="none" w:sz="0" w:space="0" w:color="auto"/>
        <w:bottom w:val="none" w:sz="0" w:space="0" w:color="auto"/>
        <w:right w:val="none" w:sz="0" w:space="0" w:color="auto"/>
      </w:divBdr>
    </w:div>
    <w:div w:id="1166287471">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6461397">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23558129">
      <w:bodyDiv w:val="1"/>
      <w:marLeft w:val="0"/>
      <w:marRight w:val="0"/>
      <w:marTop w:val="0"/>
      <w:marBottom w:val="0"/>
      <w:divBdr>
        <w:top w:val="none" w:sz="0" w:space="0" w:color="auto"/>
        <w:left w:val="none" w:sz="0" w:space="0" w:color="auto"/>
        <w:bottom w:val="none" w:sz="0" w:space="0" w:color="auto"/>
        <w:right w:val="none" w:sz="0" w:space="0" w:color="auto"/>
      </w:divBdr>
    </w:div>
    <w:div w:id="122356643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7830850">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85043051">
      <w:bodyDiv w:val="1"/>
      <w:marLeft w:val="0"/>
      <w:marRight w:val="0"/>
      <w:marTop w:val="0"/>
      <w:marBottom w:val="0"/>
      <w:divBdr>
        <w:top w:val="none" w:sz="0" w:space="0" w:color="auto"/>
        <w:left w:val="none" w:sz="0" w:space="0" w:color="auto"/>
        <w:bottom w:val="none" w:sz="0" w:space="0" w:color="auto"/>
        <w:right w:val="none" w:sz="0" w:space="0" w:color="auto"/>
      </w:divBdr>
    </w:div>
    <w:div w:id="1290238113">
      <w:bodyDiv w:val="1"/>
      <w:marLeft w:val="0"/>
      <w:marRight w:val="0"/>
      <w:marTop w:val="0"/>
      <w:marBottom w:val="0"/>
      <w:divBdr>
        <w:top w:val="none" w:sz="0" w:space="0" w:color="auto"/>
        <w:left w:val="none" w:sz="0" w:space="0" w:color="auto"/>
        <w:bottom w:val="none" w:sz="0" w:space="0" w:color="auto"/>
        <w:right w:val="none" w:sz="0" w:space="0" w:color="auto"/>
      </w:divBdr>
    </w:div>
    <w:div w:id="1297837818">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06495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7263959">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82097624">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2575238">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40367416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8384090">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51439768">
      <w:bodyDiv w:val="1"/>
      <w:marLeft w:val="0"/>
      <w:marRight w:val="0"/>
      <w:marTop w:val="0"/>
      <w:marBottom w:val="0"/>
      <w:divBdr>
        <w:top w:val="none" w:sz="0" w:space="0" w:color="auto"/>
        <w:left w:val="none" w:sz="0" w:space="0" w:color="auto"/>
        <w:bottom w:val="none" w:sz="0" w:space="0" w:color="auto"/>
        <w:right w:val="none" w:sz="0" w:space="0" w:color="auto"/>
      </w:divBdr>
    </w:div>
    <w:div w:id="1456214550">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70591898">
      <w:bodyDiv w:val="1"/>
      <w:marLeft w:val="0"/>
      <w:marRight w:val="0"/>
      <w:marTop w:val="0"/>
      <w:marBottom w:val="0"/>
      <w:divBdr>
        <w:top w:val="none" w:sz="0" w:space="0" w:color="auto"/>
        <w:left w:val="none" w:sz="0" w:space="0" w:color="auto"/>
        <w:bottom w:val="none" w:sz="0" w:space="0" w:color="auto"/>
        <w:right w:val="none" w:sz="0" w:space="0" w:color="auto"/>
      </w:divBdr>
    </w:div>
    <w:div w:id="1490176649">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22473622">
      <w:bodyDiv w:val="1"/>
      <w:marLeft w:val="0"/>
      <w:marRight w:val="0"/>
      <w:marTop w:val="0"/>
      <w:marBottom w:val="0"/>
      <w:divBdr>
        <w:top w:val="none" w:sz="0" w:space="0" w:color="auto"/>
        <w:left w:val="none" w:sz="0" w:space="0" w:color="auto"/>
        <w:bottom w:val="none" w:sz="0" w:space="0" w:color="auto"/>
        <w:right w:val="none" w:sz="0" w:space="0" w:color="auto"/>
      </w:divBdr>
    </w:div>
    <w:div w:id="15228888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600024">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57157458">
      <w:bodyDiv w:val="1"/>
      <w:marLeft w:val="0"/>
      <w:marRight w:val="0"/>
      <w:marTop w:val="0"/>
      <w:marBottom w:val="0"/>
      <w:divBdr>
        <w:top w:val="none" w:sz="0" w:space="0" w:color="auto"/>
        <w:left w:val="none" w:sz="0" w:space="0" w:color="auto"/>
        <w:bottom w:val="none" w:sz="0" w:space="0" w:color="auto"/>
        <w:right w:val="none" w:sz="0" w:space="0" w:color="auto"/>
      </w:divBdr>
    </w:div>
    <w:div w:id="1567253190">
      <w:bodyDiv w:val="1"/>
      <w:marLeft w:val="0"/>
      <w:marRight w:val="0"/>
      <w:marTop w:val="0"/>
      <w:marBottom w:val="0"/>
      <w:divBdr>
        <w:top w:val="none" w:sz="0" w:space="0" w:color="auto"/>
        <w:left w:val="none" w:sz="0" w:space="0" w:color="auto"/>
        <w:bottom w:val="none" w:sz="0" w:space="0" w:color="auto"/>
        <w:right w:val="none" w:sz="0" w:space="0" w:color="auto"/>
      </w:divBdr>
    </w:div>
    <w:div w:id="1584795562">
      <w:bodyDiv w:val="1"/>
      <w:marLeft w:val="0"/>
      <w:marRight w:val="0"/>
      <w:marTop w:val="0"/>
      <w:marBottom w:val="0"/>
      <w:divBdr>
        <w:top w:val="none" w:sz="0" w:space="0" w:color="auto"/>
        <w:left w:val="none" w:sz="0" w:space="0" w:color="auto"/>
        <w:bottom w:val="none" w:sz="0" w:space="0" w:color="auto"/>
        <w:right w:val="none" w:sz="0" w:space="0" w:color="auto"/>
      </w:divBdr>
    </w:div>
    <w:div w:id="1591886154">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10354237">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6868277">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5499737">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9406993">
      <w:bodyDiv w:val="1"/>
      <w:marLeft w:val="0"/>
      <w:marRight w:val="0"/>
      <w:marTop w:val="0"/>
      <w:marBottom w:val="0"/>
      <w:divBdr>
        <w:top w:val="none" w:sz="0" w:space="0" w:color="auto"/>
        <w:left w:val="none" w:sz="0" w:space="0" w:color="auto"/>
        <w:bottom w:val="none" w:sz="0" w:space="0" w:color="auto"/>
        <w:right w:val="none" w:sz="0" w:space="0" w:color="auto"/>
      </w:divBdr>
    </w:div>
    <w:div w:id="1671904238">
      <w:bodyDiv w:val="1"/>
      <w:marLeft w:val="0"/>
      <w:marRight w:val="0"/>
      <w:marTop w:val="0"/>
      <w:marBottom w:val="0"/>
      <w:divBdr>
        <w:top w:val="none" w:sz="0" w:space="0" w:color="auto"/>
        <w:left w:val="none" w:sz="0" w:space="0" w:color="auto"/>
        <w:bottom w:val="none" w:sz="0" w:space="0" w:color="auto"/>
        <w:right w:val="none" w:sz="0" w:space="0" w:color="auto"/>
      </w:divBdr>
    </w:div>
    <w:div w:id="1673141523">
      <w:bodyDiv w:val="1"/>
      <w:marLeft w:val="0"/>
      <w:marRight w:val="0"/>
      <w:marTop w:val="0"/>
      <w:marBottom w:val="0"/>
      <w:divBdr>
        <w:top w:val="none" w:sz="0" w:space="0" w:color="auto"/>
        <w:left w:val="none" w:sz="0" w:space="0" w:color="auto"/>
        <w:bottom w:val="none" w:sz="0" w:space="0" w:color="auto"/>
        <w:right w:val="none" w:sz="0" w:space="0" w:color="auto"/>
      </w:divBdr>
    </w:div>
    <w:div w:id="1674602089">
      <w:bodyDiv w:val="1"/>
      <w:marLeft w:val="0"/>
      <w:marRight w:val="0"/>
      <w:marTop w:val="0"/>
      <w:marBottom w:val="0"/>
      <w:divBdr>
        <w:top w:val="none" w:sz="0" w:space="0" w:color="auto"/>
        <w:left w:val="none" w:sz="0" w:space="0" w:color="auto"/>
        <w:bottom w:val="none" w:sz="0" w:space="0" w:color="auto"/>
        <w:right w:val="none" w:sz="0" w:space="0" w:color="auto"/>
      </w:divBdr>
    </w:div>
    <w:div w:id="1680541502">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229029">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5450306">
      <w:bodyDiv w:val="1"/>
      <w:marLeft w:val="0"/>
      <w:marRight w:val="0"/>
      <w:marTop w:val="0"/>
      <w:marBottom w:val="0"/>
      <w:divBdr>
        <w:top w:val="none" w:sz="0" w:space="0" w:color="auto"/>
        <w:left w:val="none" w:sz="0" w:space="0" w:color="auto"/>
        <w:bottom w:val="none" w:sz="0" w:space="0" w:color="auto"/>
        <w:right w:val="none" w:sz="0" w:space="0" w:color="auto"/>
      </w:divBdr>
    </w:div>
    <w:div w:id="1726442019">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30685331">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024115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68367568">
      <w:bodyDiv w:val="1"/>
      <w:marLeft w:val="0"/>
      <w:marRight w:val="0"/>
      <w:marTop w:val="0"/>
      <w:marBottom w:val="0"/>
      <w:divBdr>
        <w:top w:val="none" w:sz="0" w:space="0" w:color="auto"/>
        <w:left w:val="none" w:sz="0" w:space="0" w:color="auto"/>
        <w:bottom w:val="none" w:sz="0" w:space="0" w:color="auto"/>
        <w:right w:val="none" w:sz="0" w:space="0" w:color="auto"/>
      </w:divBdr>
    </w:div>
    <w:div w:id="1870878528">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06332152">
      <w:bodyDiv w:val="1"/>
      <w:marLeft w:val="0"/>
      <w:marRight w:val="0"/>
      <w:marTop w:val="0"/>
      <w:marBottom w:val="0"/>
      <w:divBdr>
        <w:top w:val="none" w:sz="0" w:space="0" w:color="auto"/>
        <w:left w:val="none" w:sz="0" w:space="0" w:color="auto"/>
        <w:bottom w:val="none" w:sz="0" w:space="0" w:color="auto"/>
        <w:right w:val="none" w:sz="0" w:space="0" w:color="auto"/>
      </w:divBdr>
    </w:div>
    <w:div w:id="1907954263">
      <w:bodyDiv w:val="1"/>
      <w:marLeft w:val="0"/>
      <w:marRight w:val="0"/>
      <w:marTop w:val="0"/>
      <w:marBottom w:val="0"/>
      <w:divBdr>
        <w:top w:val="none" w:sz="0" w:space="0" w:color="auto"/>
        <w:left w:val="none" w:sz="0" w:space="0" w:color="auto"/>
        <w:bottom w:val="none" w:sz="0" w:space="0" w:color="auto"/>
        <w:right w:val="none" w:sz="0" w:space="0" w:color="auto"/>
      </w:divBdr>
    </w:div>
    <w:div w:id="1911425212">
      <w:bodyDiv w:val="1"/>
      <w:marLeft w:val="0"/>
      <w:marRight w:val="0"/>
      <w:marTop w:val="0"/>
      <w:marBottom w:val="0"/>
      <w:divBdr>
        <w:top w:val="none" w:sz="0" w:space="0" w:color="auto"/>
        <w:left w:val="none" w:sz="0" w:space="0" w:color="auto"/>
        <w:bottom w:val="none" w:sz="0" w:space="0" w:color="auto"/>
        <w:right w:val="none" w:sz="0" w:space="0" w:color="auto"/>
      </w:divBdr>
    </w:div>
    <w:div w:id="1917126142">
      <w:bodyDiv w:val="1"/>
      <w:marLeft w:val="0"/>
      <w:marRight w:val="0"/>
      <w:marTop w:val="0"/>
      <w:marBottom w:val="0"/>
      <w:divBdr>
        <w:top w:val="none" w:sz="0" w:space="0" w:color="auto"/>
        <w:left w:val="none" w:sz="0" w:space="0" w:color="auto"/>
        <w:bottom w:val="none" w:sz="0" w:space="0" w:color="auto"/>
        <w:right w:val="none" w:sz="0" w:space="0" w:color="auto"/>
      </w:divBdr>
    </w:div>
    <w:div w:id="1918440309">
      <w:bodyDiv w:val="1"/>
      <w:marLeft w:val="0"/>
      <w:marRight w:val="0"/>
      <w:marTop w:val="0"/>
      <w:marBottom w:val="0"/>
      <w:divBdr>
        <w:top w:val="none" w:sz="0" w:space="0" w:color="auto"/>
        <w:left w:val="none" w:sz="0" w:space="0" w:color="auto"/>
        <w:bottom w:val="none" w:sz="0" w:space="0" w:color="auto"/>
        <w:right w:val="none" w:sz="0" w:space="0" w:color="auto"/>
      </w:divBdr>
    </w:div>
    <w:div w:id="1926454061">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63417076">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7421370">
      <w:bodyDiv w:val="1"/>
      <w:marLeft w:val="0"/>
      <w:marRight w:val="0"/>
      <w:marTop w:val="0"/>
      <w:marBottom w:val="0"/>
      <w:divBdr>
        <w:top w:val="none" w:sz="0" w:space="0" w:color="auto"/>
        <w:left w:val="none" w:sz="0" w:space="0" w:color="auto"/>
        <w:bottom w:val="none" w:sz="0" w:space="0" w:color="auto"/>
        <w:right w:val="none" w:sz="0" w:space="0" w:color="auto"/>
      </w:divBdr>
    </w:div>
    <w:div w:id="1971277244">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5313543">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92906594">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01686971">
      <w:bodyDiv w:val="1"/>
      <w:marLeft w:val="0"/>
      <w:marRight w:val="0"/>
      <w:marTop w:val="0"/>
      <w:marBottom w:val="0"/>
      <w:divBdr>
        <w:top w:val="none" w:sz="0" w:space="0" w:color="auto"/>
        <w:left w:val="none" w:sz="0" w:space="0" w:color="auto"/>
        <w:bottom w:val="none" w:sz="0" w:space="0" w:color="auto"/>
        <w:right w:val="none" w:sz="0" w:space="0" w:color="auto"/>
      </w:divBdr>
    </w:div>
    <w:div w:id="2016565710">
      <w:bodyDiv w:val="1"/>
      <w:marLeft w:val="0"/>
      <w:marRight w:val="0"/>
      <w:marTop w:val="0"/>
      <w:marBottom w:val="0"/>
      <w:divBdr>
        <w:top w:val="none" w:sz="0" w:space="0" w:color="auto"/>
        <w:left w:val="none" w:sz="0" w:space="0" w:color="auto"/>
        <w:bottom w:val="none" w:sz="0" w:space="0" w:color="auto"/>
        <w:right w:val="none" w:sz="0" w:space="0" w:color="auto"/>
      </w:divBdr>
    </w:div>
    <w:div w:id="2021079894">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37539465">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65132657">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70183001">
      <w:bodyDiv w:val="1"/>
      <w:marLeft w:val="0"/>
      <w:marRight w:val="0"/>
      <w:marTop w:val="0"/>
      <w:marBottom w:val="0"/>
      <w:divBdr>
        <w:top w:val="none" w:sz="0" w:space="0" w:color="auto"/>
        <w:left w:val="none" w:sz="0" w:space="0" w:color="auto"/>
        <w:bottom w:val="none" w:sz="0" w:space="0" w:color="auto"/>
        <w:right w:val="none" w:sz="0" w:space="0" w:color="auto"/>
      </w:divBdr>
    </w:div>
    <w:div w:id="208197530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762929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6776205">
      <w:bodyDiv w:val="1"/>
      <w:marLeft w:val="0"/>
      <w:marRight w:val="0"/>
      <w:marTop w:val="0"/>
      <w:marBottom w:val="0"/>
      <w:divBdr>
        <w:top w:val="none" w:sz="0" w:space="0" w:color="auto"/>
        <w:left w:val="none" w:sz="0" w:space="0" w:color="auto"/>
        <w:bottom w:val="none" w:sz="0" w:space="0" w:color="auto"/>
        <w:right w:val="none" w:sz="0" w:space="0" w:color="auto"/>
      </w:divBdr>
    </w:div>
    <w:div w:id="2131589501">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hyperlink" Target="https://www.gov.uk/guidance/habitats-regulations-assessments-protecting-a-european-site" TargetMode="Externa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onr.org.uk/eiadr.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mailto:EIADR@onr.gov.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4DE087B2E448E58D1FBA5533B070B1"/>
        <w:category>
          <w:name w:val="General"/>
          <w:gallery w:val="placeholder"/>
        </w:category>
        <w:types>
          <w:type w:val="bbPlcHdr"/>
        </w:types>
        <w:behaviors>
          <w:behavior w:val="content"/>
        </w:behaviors>
        <w:guid w:val="{2A6A7F42-42B6-478A-9ECF-779CA56BF422}"/>
      </w:docPartPr>
      <w:docPartBody>
        <w:p w:rsidR="00FF3692" w:rsidRDefault="00E57F67">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0C26"/>
    <w:rsid w:val="00016C4E"/>
    <w:rsid w:val="00037CF4"/>
    <w:rsid w:val="000726CE"/>
    <w:rsid w:val="00076FBA"/>
    <w:rsid w:val="00085DE3"/>
    <w:rsid w:val="000A02B9"/>
    <w:rsid w:val="000C4216"/>
    <w:rsid w:val="000F08BA"/>
    <w:rsid w:val="000F2293"/>
    <w:rsid w:val="001108C5"/>
    <w:rsid w:val="00121D62"/>
    <w:rsid w:val="001305A0"/>
    <w:rsid w:val="001834F2"/>
    <w:rsid w:val="00183F29"/>
    <w:rsid w:val="001F0D99"/>
    <w:rsid w:val="002550FD"/>
    <w:rsid w:val="00262C2A"/>
    <w:rsid w:val="002C2B58"/>
    <w:rsid w:val="002C5A85"/>
    <w:rsid w:val="00314D6F"/>
    <w:rsid w:val="00333F8E"/>
    <w:rsid w:val="00350199"/>
    <w:rsid w:val="003A4683"/>
    <w:rsid w:val="003D24D6"/>
    <w:rsid w:val="003D5731"/>
    <w:rsid w:val="00423F0B"/>
    <w:rsid w:val="00433AFF"/>
    <w:rsid w:val="00491C2C"/>
    <w:rsid w:val="00517A49"/>
    <w:rsid w:val="005452F9"/>
    <w:rsid w:val="005520EB"/>
    <w:rsid w:val="00605163"/>
    <w:rsid w:val="006175F9"/>
    <w:rsid w:val="00633179"/>
    <w:rsid w:val="00693BD6"/>
    <w:rsid w:val="00703925"/>
    <w:rsid w:val="007154C5"/>
    <w:rsid w:val="00723A1E"/>
    <w:rsid w:val="00792F4A"/>
    <w:rsid w:val="007946F1"/>
    <w:rsid w:val="00797585"/>
    <w:rsid w:val="007B337F"/>
    <w:rsid w:val="007B3F75"/>
    <w:rsid w:val="007F622A"/>
    <w:rsid w:val="0080413E"/>
    <w:rsid w:val="00820575"/>
    <w:rsid w:val="00835E07"/>
    <w:rsid w:val="00870B3C"/>
    <w:rsid w:val="008A0CC1"/>
    <w:rsid w:val="008F5313"/>
    <w:rsid w:val="00912613"/>
    <w:rsid w:val="0098231F"/>
    <w:rsid w:val="009F713C"/>
    <w:rsid w:val="00A11713"/>
    <w:rsid w:val="00A43307"/>
    <w:rsid w:val="00A61C42"/>
    <w:rsid w:val="00A63257"/>
    <w:rsid w:val="00A80FCD"/>
    <w:rsid w:val="00A81E3D"/>
    <w:rsid w:val="00AE05A3"/>
    <w:rsid w:val="00BC07D5"/>
    <w:rsid w:val="00BD470A"/>
    <w:rsid w:val="00C13C1C"/>
    <w:rsid w:val="00C27BDD"/>
    <w:rsid w:val="00C41BCC"/>
    <w:rsid w:val="00C551FB"/>
    <w:rsid w:val="00C96238"/>
    <w:rsid w:val="00CD2C6B"/>
    <w:rsid w:val="00CD7641"/>
    <w:rsid w:val="00D1248E"/>
    <w:rsid w:val="00D34C10"/>
    <w:rsid w:val="00D3658A"/>
    <w:rsid w:val="00D715F5"/>
    <w:rsid w:val="00D824DF"/>
    <w:rsid w:val="00D92F73"/>
    <w:rsid w:val="00DB4658"/>
    <w:rsid w:val="00DC3767"/>
    <w:rsid w:val="00DD7BA4"/>
    <w:rsid w:val="00E06D64"/>
    <w:rsid w:val="00E318CE"/>
    <w:rsid w:val="00E41FDE"/>
    <w:rsid w:val="00E57F67"/>
    <w:rsid w:val="00E646E1"/>
    <w:rsid w:val="00EC585A"/>
    <w:rsid w:val="00F349FD"/>
    <w:rsid w:val="00F35FC7"/>
    <w:rsid w:val="00F42EF2"/>
    <w:rsid w:val="00F60369"/>
    <w:rsid w:val="00F725E6"/>
    <w:rsid w:val="00F93872"/>
    <w:rsid w:val="00FA54F1"/>
    <w:rsid w:val="00FC4DD2"/>
    <w:rsid w:val="00FF36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3257"/>
  </w:style>
  <w:style w:type="paragraph" w:customStyle="1" w:styleId="DAC6149FE6A74335990CEA540F130DE81">
    <w:name w:val="DAC6149FE6A74335990CEA540F130DE81"/>
    <w:rsid w:val="00A80FCD"/>
    <w:pPr>
      <w:spacing w:after="240" w:line="252" w:lineRule="auto"/>
    </w:pPr>
    <w:rPr>
      <w:rFonts w:ascii="Arial" w:eastAsia="Calibri" w:hAnsi="Arial" w:cs="Arial"/>
      <w:sz w:val="24"/>
      <w:lang w:eastAsia="en-US" w:bidi="he-IL"/>
    </w:rPr>
  </w:style>
  <w:style w:type="paragraph" w:customStyle="1" w:styleId="1773E824CD9F477BB864AD976AEFC2AE2">
    <w:name w:val="1773E824CD9F477BB864AD976AEFC2AE2"/>
    <w:rsid w:val="00A80FCD"/>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A12011697D2417D88FB3DA337CEE5AB">
    <w:name w:val="EA12011697D2417D88FB3DA337CEE5AB"/>
    <w:rsid w:val="00A80FCD"/>
  </w:style>
  <w:style w:type="paragraph" w:customStyle="1" w:styleId="BE2CC18B29E54834A25228D73EB1AC62">
    <w:name w:val="BE2CC18B29E54834A25228D73EB1AC62"/>
    <w:rsid w:val="00A80FCD"/>
  </w:style>
  <w:style w:type="paragraph" w:customStyle="1" w:styleId="D87D4D085C4D41BA8385C2432DC2A67C">
    <w:name w:val="D87D4D085C4D41BA8385C2432DC2A67C"/>
    <w:rsid w:val="00A6325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EDF26</b:Tag>
    <b:SourceType>DocumentFromInternetSite</b:SourceType>
    <b:Guid>{AF0EBFE0-805A-454E-9E62-AC0B3A6900C6}</b:Guid>
    <b:Author>
      <b:Author>
        <b:Corporate>EDF Nuclear Generation Ltd</b:Corporate>
      </b:Author>
    </b:Author>
    <b:Title>Dungeness B Nuclear Decommissioning – EIA Scoping report</b:Title>
    <b:Year>March 2026</b:Year>
    <b:URL>https://www.onr.org.uk/media/oi5pprrh/edf-dungeness-decommissioning-scoping-report.pdf</b:URL>
    <b:RefOrder>1</b:RefOrder>
  </b:Source>
  <b:Source>
    <b:Tag>EDF261</b:Tag>
    <b:SourceType>DocumentFromInternetSite</b:SourceType>
    <b:Guid>{0687B98D-FBEC-44A4-9CB0-A7CAAB86D1F2}</b:Guid>
    <b:Author>
      <b:Author>
        <b:Corporate>EDF Nuclear Generation Ltd</b:Corporate>
      </b:Author>
    </b:Author>
    <b:Title>Dungeness B Nuclear Decommissioning – EIA Scoping Report (Appendices)</b:Title>
    <b:Year>March 2026</b:Year>
    <b:URL>https://www.onr.org.uk/media/r2znkkoe/collated-appendices-for-publication-updated-28426-1.pdf</b:URL>
    <b:RefOrder>2</b:RefOrder>
  </b:Source>
  <b:Source>
    <b:Tag>ONR2310</b:Tag>
    <b:SourceType>DocumentFromInternetSite</b:SourceType>
    <b:Guid>{080DCC5B-1875-4BB2-B5EA-28251B4CDABC}</b:Guid>
    <b:Author>
      <b:Author>
        <b:Corporate>ONR</b:Corporate>
      </b:Author>
    </b:Author>
    <b:Title>ONR-NLR-GD-001 Guidance on the Nuclear Reactors (Environmental Impact Assessment for Decommissioning) Regulations</b:Title>
    <b:Year>2023</b:Year>
    <b:URL>https://view.officeapps.live.com/op/view.aspx?src=https%3A%2F%2Fwww.onr.org.uk%2Fmedia%2Fohtbscjh%2Fonr-nlr-gd-001.docx&amp;wdOrigin=BROWSELINK</b:URL>
    <b:RefOrder>6</b:RefOrder>
  </b:Source>
  <b:Source>
    <b:Tag>ONR26</b:Tag>
    <b:SourceType>DocumentFromInternetSite</b:SourceType>
    <b:Guid>{0114A2AE-0C4D-4CBF-96E8-DB93461BD14A}</b:Guid>
    <b:Author>
      <b:Author>
        <b:Corporate>ONR</b:Corporate>
      </b:Author>
    </b:Author>
    <b:Title>Dungeness B EIADR scoping report - consultation responses</b:Title>
    <b:Year>2026</b:Year>
    <b:URL>https://www.onr.org.uk/working-with-others/public-participation/consultations/closed-consultations/dungeness-b-nuclear-power-station-decommissioning-plans</b:URL>
    <b:RefOrder>4</b:RefOrder>
  </b:Source>
  <b:Source>
    <b:Tag>ONR261</b:Tag>
    <b:SourceType>DocumentFromInternetSite</b:SourceType>
    <b:Guid>{79BC139F-A58C-4517-8DAE-A7203CE65D84}</b:Guid>
    <b:Author>
      <b:Author>
        <b:Corporate>ONR</b:Corporate>
      </b:Author>
    </b:Author>
    <b:Title>Licensing nuclear installations - guidance for applicants</b:Title>
    <b:Year>2026</b:Year>
    <b:URL>https://www.onr.org.uk/media/30nh5c0f/licensing-nuclear-installations-2026.pdf</b:URL>
    <b:RefOrder>5</b:RefOrder>
  </b:Source>
  <b:Source>
    <b:Tag>ONR2313</b:Tag>
    <b:SourceType>DocumentFromInternetSite</b:SourceType>
    <b:Guid>{C53098ED-14A4-4DB8-AD07-FB7C06DD6C10}</b:Guid>
    <b:Author>
      <b:Author>
        <b:Corporate>ONR</b:Corporate>
      </b:Author>
    </b:Author>
    <b:Title>NS-TAST-GD-105 The Assessment of the Nuclear Reactors (Environmental Impact Assessment for Decommissioning) Regulations Submissions (EIADR)</b:Title>
    <b:Year>2023</b:Year>
    <b:URL>https://view.officeapps.live.com/op/view.aspx?src=https%3A%2F%2Fwww.onr.org.uk%2Fmedia%2Fhilouddf%2Fns-tast-gd-105.docx&amp;wdOrigin=BROWSELINK</b:URL>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0658F4-FBBD-460F-8ADA-A36120EA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10208</Words>
  <Characters>58594</Characters>
  <Application>Microsoft Office Word</Application>
  <DocSecurity>0</DocSecurity>
  <Lines>1583</Lines>
  <Paragraphs>477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2026-06-16T13:15:00Z</dcterms:created>
  <dcterms:modified xsi:type="dcterms:W3CDTF">2026-06-16T13:15:00Z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2026-06-16T13:15:37Z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63ad594c-9bde-48a8-8ed8-93e776fbad65</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