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613D" w14:textId="1A81441F" w:rsidR="00C1583C" w:rsidRDefault="00611673" w:rsidP="00611673">
      <w:pPr>
        <w:pStyle w:val="Coverreportnumberandstatus"/>
        <w:spacing w:after="0"/>
        <w:rPr>
          <w:color w:val="007C91"/>
          <w:sz w:val="24"/>
          <w:szCs w:val="14"/>
        </w:rPr>
      </w:pPr>
      <w:r>
        <w:rPr>
          <w:color w:val="007C91"/>
          <w:sz w:val="24"/>
          <w:szCs w:val="14"/>
        </w:rPr>
        <w:t xml:space="preserve">Report Reference: </w:t>
      </w:r>
      <w:r w:rsidR="00C1583C" w:rsidRPr="00D8437C">
        <w:rPr>
          <w:color w:val="007C91"/>
          <w:sz w:val="24"/>
          <w:szCs w:val="14"/>
        </w:rPr>
        <w:t>RCE</w:t>
      </w:r>
      <w:r w:rsidR="00934B85">
        <w:rPr>
          <w:color w:val="007C91"/>
          <w:sz w:val="24"/>
          <w:szCs w:val="14"/>
        </w:rPr>
        <w:t>HD</w:t>
      </w:r>
      <w:r w:rsidR="00C1583C" w:rsidRPr="00D8437C">
        <w:rPr>
          <w:color w:val="007C91"/>
          <w:sz w:val="24"/>
          <w:szCs w:val="14"/>
        </w:rPr>
        <w:t>-</w:t>
      </w:r>
      <w:r w:rsidR="00324721" w:rsidRPr="00D8437C">
        <w:rPr>
          <w:color w:val="007C91"/>
          <w:sz w:val="24"/>
          <w:szCs w:val="14"/>
        </w:rPr>
        <w:t>RAD</w:t>
      </w:r>
      <w:r w:rsidR="00C1583C" w:rsidRPr="00D8437C">
        <w:rPr>
          <w:color w:val="007C91"/>
          <w:sz w:val="24"/>
          <w:szCs w:val="14"/>
        </w:rPr>
        <w:t>-0</w:t>
      </w:r>
      <w:r w:rsidR="001F625D" w:rsidRPr="00D8437C">
        <w:rPr>
          <w:color w:val="007C91"/>
          <w:sz w:val="24"/>
          <w:szCs w:val="14"/>
        </w:rPr>
        <w:t>0</w:t>
      </w:r>
      <w:r w:rsidR="00934B85">
        <w:rPr>
          <w:color w:val="007C91"/>
          <w:sz w:val="24"/>
          <w:szCs w:val="14"/>
        </w:rPr>
        <w:t>2</w:t>
      </w:r>
      <w:r w:rsidR="00C1583C" w:rsidRPr="00D8437C">
        <w:rPr>
          <w:color w:val="007C91"/>
          <w:sz w:val="24"/>
          <w:szCs w:val="14"/>
        </w:rPr>
        <w:t>-</w:t>
      </w:r>
      <w:r w:rsidR="00324721" w:rsidRPr="00D8437C">
        <w:rPr>
          <w:color w:val="007C91"/>
          <w:sz w:val="24"/>
          <w:szCs w:val="14"/>
        </w:rPr>
        <w:t>2021</w:t>
      </w:r>
    </w:p>
    <w:p w14:paraId="3B5F0294" w14:textId="1E5D7B48" w:rsidR="0056716E" w:rsidRDefault="0056716E" w:rsidP="00611673">
      <w:pPr>
        <w:pStyle w:val="Coverreportnumberandstatus"/>
        <w:spacing w:after="0"/>
        <w:rPr>
          <w:color w:val="007C91"/>
          <w:sz w:val="24"/>
          <w:szCs w:val="14"/>
        </w:rPr>
      </w:pPr>
      <w:r>
        <w:rPr>
          <w:color w:val="007C91"/>
          <w:sz w:val="24"/>
          <w:szCs w:val="14"/>
        </w:rPr>
        <w:t>Version</w:t>
      </w:r>
      <w:r w:rsidR="00611673">
        <w:rPr>
          <w:color w:val="007C91"/>
          <w:sz w:val="24"/>
          <w:szCs w:val="14"/>
        </w:rPr>
        <w:t xml:space="preserve"> Number: Issue</w:t>
      </w:r>
      <w:r w:rsidR="00303DFD">
        <w:rPr>
          <w:color w:val="007C91"/>
          <w:sz w:val="24"/>
          <w:szCs w:val="14"/>
        </w:rPr>
        <w:t xml:space="preserve"> 1</w:t>
      </w:r>
    </w:p>
    <w:p w14:paraId="4F452F93" w14:textId="14F840D9" w:rsidR="00303DFD" w:rsidRPr="00D8437C" w:rsidRDefault="00303DFD" w:rsidP="00611673">
      <w:pPr>
        <w:pStyle w:val="Coverreportnumberandstatus"/>
        <w:spacing w:after="0"/>
        <w:rPr>
          <w:color w:val="007C91"/>
          <w:sz w:val="24"/>
          <w:szCs w:val="14"/>
        </w:rPr>
      </w:pPr>
      <w:r>
        <w:rPr>
          <w:color w:val="007C91"/>
          <w:sz w:val="24"/>
          <w:szCs w:val="14"/>
        </w:rPr>
        <w:t>Issued: December 2021</w:t>
      </w:r>
    </w:p>
    <w:p w14:paraId="13130BCC" w14:textId="73FD4542" w:rsidR="00181CD9" w:rsidRPr="00D8437C" w:rsidRDefault="001F625D" w:rsidP="00293B0A">
      <w:pPr>
        <w:pStyle w:val="Covertitle"/>
        <w:rPr>
          <w:color w:val="007C91"/>
          <w:sz w:val="52"/>
          <w:szCs w:val="22"/>
        </w:rPr>
      </w:pPr>
      <w:r w:rsidRPr="00D8437C">
        <w:rPr>
          <w:color w:val="007C91"/>
          <w:sz w:val="52"/>
          <w:szCs w:val="22"/>
        </w:rPr>
        <w:t>Provision of Guidance on the Radiological Impact of Rainfall on Nuclear Plant Design Basis Accidents</w:t>
      </w:r>
    </w:p>
    <w:p w14:paraId="5CB85225" w14:textId="447A3B6A" w:rsidR="00181CD9" w:rsidRPr="00D8437C" w:rsidRDefault="00DE0B46" w:rsidP="00181CD9">
      <w:pPr>
        <w:pStyle w:val="Coversubtitle"/>
        <w:rPr>
          <w:b w:val="0"/>
          <w:bCs/>
          <w:color w:val="007C91"/>
          <w:sz w:val="52"/>
          <w:szCs w:val="28"/>
        </w:rPr>
      </w:pPr>
      <w:r w:rsidRPr="00D8437C">
        <w:rPr>
          <w:b w:val="0"/>
          <w:bCs/>
          <w:color w:val="007C91"/>
          <w:sz w:val="52"/>
          <w:szCs w:val="28"/>
        </w:rPr>
        <w:t xml:space="preserve">Study </w:t>
      </w:r>
      <w:r w:rsidR="00370396" w:rsidRPr="00D8437C">
        <w:rPr>
          <w:b w:val="0"/>
          <w:bCs/>
          <w:color w:val="007C91"/>
          <w:sz w:val="52"/>
          <w:szCs w:val="28"/>
        </w:rPr>
        <w:t>carried out</w:t>
      </w:r>
      <w:r w:rsidRPr="00D8437C">
        <w:rPr>
          <w:b w:val="0"/>
          <w:bCs/>
          <w:color w:val="007C91"/>
          <w:sz w:val="52"/>
          <w:szCs w:val="28"/>
        </w:rPr>
        <w:t xml:space="preserve"> for the Office for Nuclear Regulation</w:t>
      </w:r>
    </w:p>
    <w:p w14:paraId="521C35A5" w14:textId="77777777" w:rsidR="00611673" w:rsidRDefault="00611673" w:rsidP="007F0A88">
      <w:pPr>
        <w:spacing w:after="0"/>
        <w:ind w:left="0"/>
        <w:rPr>
          <w:rFonts w:cstheme="minorHAnsi"/>
          <w:i/>
          <w:iCs/>
          <w:sz w:val="24"/>
          <w:szCs w:val="24"/>
        </w:rPr>
      </w:pPr>
    </w:p>
    <w:p w14:paraId="2E5A93D4" w14:textId="77777777" w:rsidR="00611673" w:rsidRDefault="00611673" w:rsidP="007F0A88">
      <w:pPr>
        <w:spacing w:after="0"/>
        <w:ind w:left="0"/>
        <w:rPr>
          <w:rFonts w:cstheme="minorHAnsi"/>
          <w:i/>
          <w:iCs/>
          <w:color w:val="007C91"/>
          <w:sz w:val="24"/>
          <w:szCs w:val="24"/>
        </w:rPr>
      </w:pPr>
    </w:p>
    <w:p w14:paraId="07B8540C" w14:textId="77777777" w:rsidR="00611673" w:rsidRDefault="00611673" w:rsidP="007F0A88">
      <w:pPr>
        <w:spacing w:after="0"/>
        <w:ind w:left="0"/>
        <w:rPr>
          <w:rFonts w:cstheme="minorHAnsi"/>
          <w:i/>
          <w:iCs/>
          <w:color w:val="007C91"/>
          <w:sz w:val="24"/>
          <w:szCs w:val="24"/>
        </w:rPr>
      </w:pPr>
    </w:p>
    <w:p w14:paraId="4521910E" w14:textId="77777777" w:rsidR="00611673" w:rsidRDefault="00611673" w:rsidP="007F0A88">
      <w:pPr>
        <w:spacing w:after="0"/>
        <w:ind w:left="0"/>
        <w:rPr>
          <w:rFonts w:cstheme="minorHAnsi"/>
          <w:i/>
          <w:iCs/>
          <w:color w:val="007C91"/>
          <w:sz w:val="24"/>
          <w:szCs w:val="24"/>
        </w:rPr>
      </w:pPr>
    </w:p>
    <w:p w14:paraId="7485933E" w14:textId="58DA2DF2" w:rsidR="007F0A88" w:rsidRPr="00611673" w:rsidRDefault="007F0A88" w:rsidP="007F0A88">
      <w:pPr>
        <w:spacing w:after="0"/>
        <w:ind w:left="0"/>
        <w:rPr>
          <w:rFonts w:cstheme="minorHAnsi"/>
          <w:i/>
          <w:iCs/>
          <w:color w:val="007C91"/>
          <w:sz w:val="24"/>
          <w:szCs w:val="24"/>
        </w:rPr>
      </w:pPr>
      <w:r w:rsidRPr="00611673">
        <w:rPr>
          <w:rFonts w:cstheme="minorHAnsi"/>
          <w:i/>
          <w:iCs/>
          <w:color w:val="007C91"/>
          <w:sz w:val="24"/>
          <w:szCs w:val="24"/>
        </w:rPr>
        <w:t>Prepared for:</w:t>
      </w:r>
    </w:p>
    <w:p w14:paraId="436EA177" w14:textId="77777777" w:rsidR="007F0A88" w:rsidRPr="00611673" w:rsidRDefault="007F0A88" w:rsidP="007F0A88">
      <w:pPr>
        <w:spacing w:after="0"/>
        <w:ind w:left="0"/>
        <w:rPr>
          <w:rFonts w:cstheme="minorHAnsi"/>
          <w:color w:val="007C91"/>
          <w:sz w:val="22"/>
          <w:szCs w:val="22"/>
        </w:rPr>
      </w:pPr>
      <w:r w:rsidRPr="00611673">
        <w:rPr>
          <w:rFonts w:cstheme="minorHAnsi"/>
          <w:i/>
          <w:iCs/>
          <w:color w:val="007C91"/>
          <w:sz w:val="24"/>
          <w:szCs w:val="24"/>
        </w:rPr>
        <w:t>Office for Nuclear Regulation (ONR)</w:t>
      </w:r>
      <w:r w:rsidRPr="00611673">
        <w:rPr>
          <w:rFonts w:cstheme="minorHAnsi"/>
          <w:color w:val="007C91"/>
        </w:rPr>
        <w:t xml:space="preserve"> </w:t>
      </w:r>
    </w:p>
    <w:p w14:paraId="06353A76" w14:textId="77777777" w:rsidR="007F0A88" w:rsidRPr="00611673" w:rsidRDefault="007F0A88" w:rsidP="007F0A88">
      <w:pPr>
        <w:spacing w:after="0"/>
        <w:ind w:left="0"/>
        <w:rPr>
          <w:rFonts w:cstheme="minorHAnsi"/>
          <w:i/>
          <w:iCs/>
          <w:color w:val="007C91"/>
          <w:sz w:val="24"/>
          <w:szCs w:val="24"/>
        </w:rPr>
      </w:pPr>
      <w:r w:rsidRPr="00611673">
        <w:rPr>
          <w:rFonts w:cstheme="minorHAnsi"/>
          <w:i/>
          <w:iCs/>
          <w:color w:val="007C91"/>
          <w:sz w:val="24"/>
          <w:szCs w:val="24"/>
        </w:rPr>
        <w:t>Redgrave Court</w:t>
      </w:r>
    </w:p>
    <w:p w14:paraId="43106761" w14:textId="77777777" w:rsidR="007F0A88" w:rsidRPr="00611673" w:rsidRDefault="007F0A88" w:rsidP="007F0A88">
      <w:pPr>
        <w:spacing w:after="0"/>
        <w:ind w:left="0"/>
        <w:rPr>
          <w:rFonts w:cstheme="minorHAnsi"/>
          <w:i/>
          <w:iCs/>
          <w:color w:val="007C91"/>
          <w:sz w:val="24"/>
          <w:szCs w:val="24"/>
        </w:rPr>
      </w:pPr>
      <w:r w:rsidRPr="00611673">
        <w:rPr>
          <w:rFonts w:cstheme="minorHAnsi"/>
          <w:i/>
          <w:iCs/>
          <w:color w:val="007C91"/>
          <w:sz w:val="24"/>
          <w:szCs w:val="24"/>
        </w:rPr>
        <w:t>Merton Road</w:t>
      </w:r>
    </w:p>
    <w:p w14:paraId="675ADC03" w14:textId="77777777" w:rsidR="007F0A88" w:rsidRPr="00611673" w:rsidRDefault="007F0A88" w:rsidP="007F0A88">
      <w:pPr>
        <w:spacing w:after="0"/>
        <w:ind w:left="0"/>
        <w:rPr>
          <w:rFonts w:cstheme="minorHAnsi"/>
          <w:i/>
          <w:iCs/>
          <w:color w:val="007C91"/>
          <w:sz w:val="24"/>
          <w:szCs w:val="24"/>
        </w:rPr>
      </w:pPr>
      <w:r w:rsidRPr="00611673">
        <w:rPr>
          <w:rFonts w:cstheme="minorHAnsi"/>
          <w:i/>
          <w:iCs/>
          <w:color w:val="007C91"/>
          <w:sz w:val="24"/>
          <w:szCs w:val="24"/>
        </w:rPr>
        <w:t>Bootle</w:t>
      </w:r>
    </w:p>
    <w:p w14:paraId="23B74EE3" w14:textId="77777777" w:rsidR="007F0A88" w:rsidRPr="00611673" w:rsidRDefault="007F0A88" w:rsidP="007F0A88">
      <w:pPr>
        <w:spacing w:after="0"/>
        <w:ind w:left="0"/>
        <w:rPr>
          <w:rFonts w:cstheme="minorHAnsi"/>
          <w:i/>
          <w:iCs/>
          <w:color w:val="007C91"/>
          <w:sz w:val="24"/>
          <w:szCs w:val="24"/>
        </w:rPr>
      </w:pPr>
      <w:r w:rsidRPr="00611673">
        <w:rPr>
          <w:rFonts w:cstheme="minorHAnsi"/>
          <w:i/>
          <w:iCs/>
          <w:color w:val="007C91"/>
          <w:sz w:val="24"/>
          <w:szCs w:val="24"/>
        </w:rPr>
        <w:t>L20 7HS</w:t>
      </w:r>
    </w:p>
    <w:p w14:paraId="3ED802DC" w14:textId="635A2C14" w:rsidR="00293B0A" w:rsidRPr="00611673" w:rsidRDefault="007F0A88" w:rsidP="007F0A88">
      <w:pPr>
        <w:spacing w:after="0"/>
        <w:ind w:left="0"/>
        <w:rPr>
          <w:rFonts w:cstheme="minorHAnsi"/>
          <w:i/>
          <w:iCs/>
          <w:sz w:val="24"/>
          <w:szCs w:val="24"/>
        </w:rPr>
        <w:sectPr w:rsidR="00293B0A" w:rsidRPr="00611673" w:rsidSect="00137AA2">
          <w:headerReference w:type="even" r:id="rId8"/>
          <w:headerReference w:type="default" r:id="rId9"/>
          <w:footerReference w:type="even" r:id="rId10"/>
          <w:footerReference w:type="default" r:id="rId11"/>
          <w:headerReference w:type="first" r:id="rId12"/>
          <w:footerReference w:type="first" r:id="rId13"/>
          <w:pgSz w:w="11906" w:h="16838" w:code="9"/>
          <w:pgMar w:top="4253" w:right="1531" w:bottom="1701" w:left="1701" w:header="720" w:footer="0" w:gutter="0"/>
          <w:pgNumType w:fmt="lowerRoman"/>
          <w:cols w:space="708"/>
          <w:titlePg/>
          <w:docGrid w:linePitch="360"/>
        </w:sectPr>
      </w:pPr>
      <w:r w:rsidRPr="00611673">
        <w:rPr>
          <w:rFonts w:cstheme="minorHAnsi"/>
          <w:i/>
          <w:iCs/>
          <w:color w:val="007C91"/>
          <w:sz w:val="24"/>
          <w:szCs w:val="24"/>
        </w:rPr>
        <w:t>UK</w:t>
      </w:r>
    </w:p>
    <w:p w14:paraId="002A73F9" w14:textId="1CA91C36" w:rsidR="007D3077" w:rsidRPr="00C048F3" w:rsidRDefault="001F625D" w:rsidP="007D3077">
      <w:pPr>
        <w:pStyle w:val="Title"/>
        <w:rPr>
          <w:color w:val="007C91"/>
        </w:rPr>
      </w:pPr>
      <w:r w:rsidRPr="00C048F3">
        <w:rPr>
          <w:color w:val="007C91"/>
        </w:rPr>
        <w:t>Provision of Guidance on the Radiological Impact of Rainfall on Nuclear Plant Design Basis Accidents</w:t>
      </w:r>
    </w:p>
    <w:p w14:paraId="77AFBC8B" w14:textId="1973B792" w:rsidR="007D3077" w:rsidRPr="00C048F3" w:rsidRDefault="00370396" w:rsidP="007D3077">
      <w:pPr>
        <w:pStyle w:val="Subtitle"/>
        <w:rPr>
          <w:color w:val="007C91"/>
        </w:rPr>
      </w:pPr>
      <w:r w:rsidRPr="00C048F3">
        <w:rPr>
          <w:color w:val="007C91"/>
        </w:rPr>
        <w:t>Study carried out for the Office for Nuclear Regulation</w:t>
      </w:r>
    </w:p>
    <w:p w14:paraId="762EF8E7" w14:textId="22CD0472" w:rsidR="007D3077" w:rsidRPr="00C048F3" w:rsidRDefault="00D77D7F" w:rsidP="007D3077">
      <w:pPr>
        <w:pStyle w:val="AbstractHeader"/>
        <w:rPr>
          <w:color w:val="007C91"/>
        </w:rPr>
      </w:pPr>
      <w:bookmarkStart w:id="2" w:name="_Toc89966357"/>
      <w:r w:rsidRPr="00C048F3">
        <w:rPr>
          <w:color w:val="007C91"/>
        </w:rPr>
        <w:t>Executive Summary</w:t>
      </w:r>
      <w:bookmarkEnd w:id="2"/>
    </w:p>
    <w:p w14:paraId="31A6971E" w14:textId="582DBDB7" w:rsidR="00D91B1E" w:rsidRPr="00C048F3" w:rsidRDefault="00D91B1E" w:rsidP="00C048F3">
      <w:pPr>
        <w:pStyle w:val="BodyText"/>
        <w:spacing w:before="120" w:after="0"/>
        <w:jc w:val="both"/>
        <w:rPr>
          <w:sz w:val="24"/>
          <w:szCs w:val="24"/>
        </w:rPr>
      </w:pPr>
      <w:r w:rsidRPr="00C048F3">
        <w:rPr>
          <w:sz w:val="24"/>
          <w:szCs w:val="24"/>
        </w:rPr>
        <w:t xml:space="preserve">The Office for Nuclear Regulation has commissioned this report for the purpose of assisting the provision of guidance on whether the effects of precipitation should be included in Design Basis Analysis (DBA) for nuclear </w:t>
      </w:r>
      <w:r w:rsidR="00865858" w:rsidRPr="00C048F3">
        <w:rPr>
          <w:sz w:val="24"/>
          <w:szCs w:val="24"/>
        </w:rPr>
        <w:t>licensed sites</w:t>
      </w:r>
      <w:r w:rsidRPr="00C048F3">
        <w:rPr>
          <w:sz w:val="24"/>
          <w:szCs w:val="24"/>
        </w:rPr>
        <w:t>.</w:t>
      </w:r>
    </w:p>
    <w:p w14:paraId="2401C007" w14:textId="1D7C0B27" w:rsidR="00D91B1E" w:rsidRPr="00C048F3" w:rsidRDefault="00D91B1E" w:rsidP="00C048F3">
      <w:pPr>
        <w:pStyle w:val="BodyText"/>
        <w:spacing w:before="120" w:after="0"/>
        <w:jc w:val="both"/>
        <w:rPr>
          <w:sz w:val="24"/>
          <w:szCs w:val="24"/>
        </w:rPr>
      </w:pPr>
      <w:r w:rsidRPr="00C048F3">
        <w:rPr>
          <w:sz w:val="24"/>
          <w:szCs w:val="24"/>
        </w:rPr>
        <w:t>The aim of this report is to present the likelihood and consequences of precipitation occurring during hypothetical releases, and to use the findings to assess whether precipitation should be included when licensees carry out DBA.</w:t>
      </w:r>
    </w:p>
    <w:p w14:paraId="4AAEC5D9" w14:textId="30E6D95E" w:rsidR="00D91B1E" w:rsidRPr="00C048F3" w:rsidRDefault="00D91B1E" w:rsidP="00C048F3">
      <w:pPr>
        <w:pStyle w:val="BodyText"/>
        <w:spacing w:before="120" w:after="0"/>
        <w:jc w:val="both"/>
        <w:rPr>
          <w:sz w:val="24"/>
          <w:szCs w:val="24"/>
        </w:rPr>
      </w:pPr>
      <w:r w:rsidRPr="00C048F3">
        <w:rPr>
          <w:sz w:val="24"/>
          <w:szCs w:val="24"/>
        </w:rPr>
        <w:t>In the first part of the study, Numerical Weather Prediction met</w:t>
      </w:r>
      <w:r w:rsidR="004A3D68" w:rsidRPr="00C048F3">
        <w:rPr>
          <w:sz w:val="24"/>
          <w:szCs w:val="24"/>
        </w:rPr>
        <w:t>eorological</w:t>
      </w:r>
      <w:r w:rsidRPr="00C048F3">
        <w:rPr>
          <w:sz w:val="24"/>
          <w:szCs w:val="24"/>
        </w:rPr>
        <w:t xml:space="preserve"> data from the years 2018-2020 were used to estimate the likelihood of precipitation of various rates coinciding with </w:t>
      </w:r>
      <w:r w:rsidR="00FF396D" w:rsidRPr="00C048F3">
        <w:rPr>
          <w:sz w:val="24"/>
          <w:szCs w:val="24"/>
        </w:rPr>
        <w:t xml:space="preserve">postulated </w:t>
      </w:r>
      <w:r w:rsidRPr="00C048F3">
        <w:rPr>
          <w:sz w:val="24"/>
          <w:szCs w:val="24"/>
        </w:rPr>
        <w:t xml:space="preserve">radioactive releases of various durations at six locations in the UK. The six locations were selected on the basis of being representative of the range of </w:t>
      </w:r>
      <w:r w:rsidR="004A3D68" w:rsidRPr="00C048F3">
        <w:rPr>
          <w:sz w:val="24"/>
          <w:szCs w:val="24"/>
        </w:rPr>
        <w:t>annual precipitation rates</w:t>
      </w:r>
      <w:r w:rsidRPr="00C048F3">
        <w:rPr>
          <w:sz w:val="24"/>
          <w:szCs w:val="24"/>
        </w:rPr>
        <w:t xml:space="preserve"> that occur in the UK.</w:t>
      </w:r>
    </w:p>
    <w:p w14:paraId="5E16D5F2" w14:textId="32A60426" w:rsidR="00D91B1E" w:rsidRPr="00C048F3" w:rsidRDefault="00D91B1E" w:rsidP="00C048F3">
      <w:pPr>
        <w:pStyle w:val="BodyText"/>
        <w:spacing w:before="120" w:after="0"/>
        <w:jc w:val="both"/>
        <w:rPr>
          <w:sz w:val="24"/>
          <w:szCs w:val="24"/>
        </w:rPr>
      </w:pPr>
      <w:r w:rsidRPr="00C048F3">
        <w:rPr>
          <w:sz w:val="24"/>
          <w:szCs w:val="24"/>
        </w:rPr>
        <w:t xml:space="preserve">In the second part of the study, a range of scenarios were modelled to highlight the effect of precipitation on dose endpoints that might be considered during DBA assessments. Three different atmospheric dispersion models were used: NAME, ADEPT and ADMS. The NAME and ADEPT models were run within </w:t>
      </w:r>
      <w:r w:rsidR="009916BD">
        <w:rPr>
          <w:sz w:val="24"/>
          <w:szCs w:val="24"/>
        </w:rPr>
        <w:t>UKHSA</w:t>
      </w:r>
      <w:r w:rsidRPr="00C048F3">
        <w:rPr>
          <w:sz w:val="24"/>
          <w:szCs w:val="24"/>
        </w:rPr>
        <w:t>’s Probabilistic Accident Consequence Evaluation tool, PACE. ADMS was run as a standalone atmospheric dispersion model, but its outputs were subjected to post-processing to obtain the desired endpoints. The Gaussian models ADEPT and ADMS were selected to represent the models that may be used in licensees’ current DBA assessments. NAME was selected because it was considered to be a validated advanced method against which the Gaussian approaches could be compared.</w:t>
      </w:r>
    </w:p>
    <w:p w14:paraId="6E9FAB36" w14:textId="64710009" w:rsidR="00D91B1E" w:rsidRPr="00C048F3" w:rsidRDefault="00D91B1E" w:rsidP="00C048F3">
      <w:pPr>
        <w:pStyle w:val="BodyText"/>
        <w:spacing w:before="120" w:after="0"/>
        <w:jc w:val="both"/>
        <w:rPr>
          <w:sz w:val="24"/>
          <w:szCs w:val="24"/>
        </w:rPr>
      </w:pPr>
      <w:r w:rsidRPr="00C048F3">
        <w:rPr>
          <w:sz w:val="24"/>
          <w:szCs w:val="24"/>
        </w:rPr>
        <w:t>Results obtained using NAME have been presented probabili</w:t>
      </w:r>
      <w:r w:rsidR="00C44EC2" w:rsidRPr="00C048F3">
        <w:rPr>
          <w:sz w:val="24"/>
          <w:szCs w:val="24"/>
        </w:rPr>
        <w:t>stically, including the mean,</w:t>
      </w:r>
      <w:r w:rsidRPr="00C048F3">
        <w:rPr>
          <w:sz w:val="24"/>
          <w:szCs w:val="24"/>
        </w:rPr>
        <w:t xml:space="preserve"> 95</w:t>
      </w:r>
      <w:r w:rsidRPr="00C048F3">
        <w:rPr>
          <w:sz w:val="24"/>
          <w:szCs w:val="24"/>
          <w:vertAlign w:val="superscript"/>
        </w:rPr>
        <w:t>th</w:t>
      </w:r>
      <w:r w:rsidR="00C44EC2" w:rsidRPr="00C048F3">
        <w:rPr>
          <w:sz w:val="24"/>
          <w:szCs w:val="24"/>
        </w:rPr>
        <w:t xml:space="preserve"> percentile and maximum</w:t>
      </w:r>
      <w:r w:rsidRPr="00C048F3">
        <w:rPr>
          <w:sz w:val="24"/>
          <w:szCs w:val="24"/>
        </w:rPr>
        <w:t xml:space="preserve">. ADEPT and ADMS results </w:t>
      </w:r>
      <w:r w:rsidR="00C44EC2" w:rsidRPr="00C048F3">
        <w:rPr>
          <w:sz w:val="24"/>
          <w:szCs w:val="24"/>
        </w:rPr>
        <w:t>we</w:t>
      </w:r>
      <w:r w:rsidRPr="00C048F3">
        <w:rPr>
          <w:sz w:val="24"/>
          <w:szCs w:val="24"/>
        </w:rPr>
        <w:t>re not probabilistic, so the ADEPT and ADMS runs were carried out for a range of precipitation rates, so that the results represented the full range of the possible effects of precipitation on dose. The range of precipitation rates used was based on the findings of the first part of the study.</w:t>
      </w:r>
    </w:p>
    <w:p w14:paraId="626F03F8" w14:textId="397151EB" w:rsidR="00D91B1E" w:rsidRPr="00C048F3" w:rsidRDefault="00D91B1E" w:rsidP="00C048F3">
      <w:pPr>
        <w:pStyle w:val="BodyText"/>
        <w:spacing w:before="120" w:after="0"/>
        <w:jc w:val="both"/>
        <w:rPr>
          <w:sz w:val="24"/>
          <w:szCs w:val="24"/>
        </w:rPr>
      </w:pPr>
      <w:r w:rsidRPr="00C048F3">
        <w:rPr>
          <w:sz w:val="24"/>
          <w:szCs w:val="24"/>
        </w:rPr>
        <w:t>Results for the first part of the study have been presented primarily as numerical tables. Results for the second part of the study have been presented primarily as line plots and bar charts.</w:t>
      </w:r>
    </w:p>
    <w:p w14:paraId="6655FBAA" w14:textId="72A3E1A6" w:rsidR="00D91B1E" w:rsidRPr="00C048F3" w:rsidRDefault="00D91B1E" w:rsidP="00C048F3">
      <w:pPr>
        <w:pStyle w:val="BodyText"/>
        <w:spacing w:before="120" w:after="0"/>
        <w:jc w:val="both"/>
        <w:rPr>
          <w:sz w:val="24"/>
          <w:szCs w:val="24"/>
        </w:rPr>
      </w:pPr>
      <w:r w:rsidRPr="00C048F3">
        <w:rPr>
          <w:sz w:val="24"/>
          <w:szCs w:val="24"/>
        </w:rPr>
        <w:t xml:space="preserve">The findings of the first part of the study indicated that there is a significant likelihood that a radiological release in the UK would encounter some precipitation. The specific probability would strongly depend on the location and duration of the release. For the scenarios considered in the present study, the probability was found to vary from between </w:t>
      </w:r>
      <w:r w:rsidR="00F936D2" w:rsidRPr="00C048F3">
        <w:rPr>
          <w:sz w:val="24"/>
          <w:szCs w:val="24"/>
        </w:rPr>
        <w:t>15</w:t>
      </w:r>
      <w:r w:rsidRPr="00C048F3">
        <w:rPr>
          <w:sz w:val="24"/>
          <w:szCs w:val="24"/>
        </w:rPr>
        <w:t xml:space="preserve">% and </w:t>
      </w:r>
      <w:r w:rsidR="00F936D2" w:rsidRPr="00C048F3">
        <w:rPr>
          <w:sz w:val="24"/>
          <w:szCs w:val="24"/>
        </w:rPr>
        <w:t>40</w:t>
      </w:r>
      <w:r w:rsidRPr="00C048F3">
        <w:rPr>
          <w:sz w:val="24"/>
          <w:szCs w:val="24"/>
        </w:rPr>
        <w:t xml:space="preserve">% for a </w:t>
      </w:r>
      <w:r w:rsidR="00F936D2" w:rsidRPr="00C048F3">
        <w:rPr>
          <w:sz w:val="24"/>
          <w:szCs w:val="24"/>
        </w:rPr>
        <w:t>one</w:t>
      </w:r>
      <w:r w:rsidRPr="00C048F3">
        <w:rPr>
          <w:sz w:val="24"/>
          <w:szCs w:val="24"/>
        </w:rPr>
        <w:t>-hour release to effectively 100% for a thirty-day release.</w:t>
      </w:r>
    </w:p>
    <w:p w14:paraId="5D40EDA6" w14:textId="77777777" w:rsidR="007D3077" w:rsidRDefault="00886B63" w:rsidP="00C048F3">
      <w:pPr>
        <w:pStyle w:val="BodyTextEND"/>
        <w:spacing w:before="120" w:after="0"/>
        <w:jc w:val="both"/>
        <w:rPr>
          <w:sz w:val="24"/>
          <w:szCs w:val="24"/>
        </w:rPr>
      </w:pPr>
      <w:bookmarkStart w:id="3" w:name="_Hlk83798638"/>
      <w:r w:rsidRPr="00C048F3">
        <w:rPr>
          <w:sz w:val="24"/>
          <w:szCs w:val="24"/>
        </w:rPr>
        <w:t xml:space="preserve">The second part of the study found that the scenarios in which precipitation occurred did not necessarily give rise to the highest doses but that they can do in certain, specific, circumstances. Consequently, </w:t>
      </w:r>
      <w:bookmarkStart w:id="4" w:name="_Hlk88636944"/>
      <w:r w:rsidRPr="00C048F3">
        <w:rPr>
          <w:sz w:val="24"/>
          <w:szCs w:val="24"/>
        </w:rPr>
        <w:t>excluding precipitation from DBA assessments</w:t>
      </w:r>
      <w:r w:rsidR="004448F6" w:rsidRPr="00C048F3">
        <w:rPr>
          <w:sz w:val="24"/>
          <w:szCs w:val="24"/>
        </w:rPr>
        <w:t xml:space="preserve"> could in principle</w:t>
      </w:r>
      <w:r w:rsidRPr="00C048F3">
        <w:rPr>
          <w:sz w:val="24"/>
          <w:szCs w:val="24"/>
        </w:rPr>
        <w:t xml:space="preserve"> lead to an </w:t>
      </w:r>
      <w:r w:rsidR="006A3481" w:rsidRPr="00C048F3">
        <w:rPr>
          <w:sz w:val="24"/>
          <w:szCs w:val="24"/>
        </w:rPr>
        <w:t>insuff</w:t>
      </w:r>
      <w:r w:rsidR="00837AEA" w:rsidRPr="00C048F3">
        <w:rPr>
          <w:sz w:val="24"/>
          <w:szCs w:val="24"/>
        </w:rPr>
        <w:t xml:space="preserve">iciently conservative estimate </w:t>
      </w:r>
      <w:r w:rsidR="006A3481" w:rsidRPr="00C048F3">
        <w:rPr>
          <w:sz w:val="24"/>
          <w:szCs w:val="24"/>
        </w:rPr>
        <w:t>of dose</w:t>
      </w:r>
      <w:r w:rsidR="00837AEA" w:rsidRPr="00C048F3">
        <w:rPr>
          <w:sz w:val="24"/>
          <w:szCs w:val="24"/>
        </w:rPr>
        <w:t>s</w:t>
      </w:r>
      <w:r w:rsidR="004448F6" w:rsidRPr="00C048F3">
        <w:rPr>
          <w:sz w:val="24"/>
          <w:szCs w:val="24"/>
        </w:rPr>
        <w:t>, but it depends on the degree of conservatism required in the analysis and how representative of reality it needs to be</w:t>
      </w:r>
      <w:r w:rsidR="00837AEA" w:rsidRPr="00C048F3">
        <w:rPr>
          <w:sz w:val="24"/>
          <w:szCs w:val="24"/>
        </w:rPr>
        <w:t>.</w:t>
      </w:r>
      <w:bookmarkEnd w:id="3"/>
      <w:r w:rsidR="002019FD" w:rsidRPr="00C048F3">
        <w:rPr>
          <w:sz w:val="24"/>
          <w:szCs w:val="24"/>
        </w:rPr>
        <w:t xml:space="preserve"> If 95</w:t>
      </w:r>
      <w:r w:rsidR="002019FD" w:rsidRPr="00C048F3">
        <w:rPr>
          <w:sz w:val="24"/>
          <w:szCs w:val="24"/>
          <w:vertAlign w:val="superscript"/>
        </w:rPr>
        <w:t>th</w:t>
      </w:r>
      <w:r w:rsidR="002019FD" w:rsidRPr="00C048F3">
        <w:rPr>
          <w:sz w:val="24"/>
          <w:szCs w:val="24"/>
        </w:rPr>
        <w:t xml:space="preserve"> percentile weather is assumed to represent an acceptable level of conservatism, then it seems likely that the modelling approaches that are currently used should be sufficiently conservative in most cases.</w:t>
      </w:r>
      <w:bookmarkEnd w:id="4"/>
    </w:p>
    <w:p w14:paraId="3A663B61" w14:textId="77777777" w:rsidR="00C048F3" w:rsidRDefault="00C048F3" w:rsidP="00C048F3">
      <w:pPr>
        <w:pStyle w:val="BodyText"/>
      </w:pPr>
    </w:p>
    <w:p w14:paraId="0CA91035" w14:textId="1AE410D3" w:rsidR="00C048F3" w:rsidRPr="00C048F3" w:rsidRDefault="00C048F3" w:rsidP="00C048F3">
      <w:pPr>
        <w:pStyle w:val="BodyText"/>
        <w:sectPr w:rsidR="00C048F3" w:rsidRPr="00C048F3" w:rsidSect="00181CD9">
          <w:headerReference w:type="first" r:id="rId14"/>
          <w:footerReference w:type="first" r:id="rId15"/>
          <w:type w:val="oddPage"/>
          <w:pgSz w:w="11906" w:h="16838" w:code="9"/>
          <w:pgMar w:top="1985" w:right="1531" w:bottom="1418" w:left="1304" w:header="851" w:footer="851" w:gutter="0"/>
          <w:pgNumType w:fmt="lowerRoman" w:start="1"/>
          <w:cols w:space="708"/>
          <w:titlePg/>
          <w:docGrid w:linePitch="360"/>
        </w:sectPr>
      </w:pPr>
    </w:p>
    <w:p w14:paraId="4CDF66F1" w14:textId="1B9DAE63" w:rsidR="007164EA" w:rsidRPr="00D65B13" w:rsidRDefault="005A3BDF" w:rsidP="007164EA">
      <w:pPr>
        <w:pStyle w:val="AB-MainText"/>
        <w:pBdr>
          <w:top w:val="single" w:sz="4" w:space="1" w:color="auto"/>
          <w:left w:val="single" w:sz="4" w:space="4" w:color="auto"/>
          <w:bottom w:val="single" w:sz="4" w:space="1" w:color="auto"/>
          <w:right w:val="single" w:sz="4" w:space="4" w:color="auto"/>
        </w:pBdr>
        <w:ind w:right="133"/>
        <w:jc w:val="left"/>
        <w:rPr>
          <w:sz w:val="20"/>
        </w:rPr>
      </w:pPr>
      <w:bookmarkStart w:id="5" w:name="_Toc342379370"/>
      <w:r w:rsidRPr="005A3BDF">
        <w:rPr>
          <w:sz w:val="20"/>
        </w:rPr>
        <w:t>This work was undertaken under the Radiation Assessment Department’s Quality Management System, which has been approved by Lloyd's Register Quality Assurance to the Quality Management Standard ISO 9001:2015, Approval No: ISO 9001 - 00002655.</w:t>
      </w:r>
    </w:p>
    <w:p w14:paraId="317D1367" w14:textId="593BE8C1" w:rsidR="007164EA" w:rsidRDefault="007164EA" w:rsidP="007164EA">
      <w:pPr>
        <w:pStyle w:val="AB-MainText"/>
        <w:pBdr>
          <w:top w:val="single" w:sz="4" w:space="1" w:color="auto"/>
          <w:left w:val="single" w:sz="4" w:space="4" w:color="auto"/>
          <w:bottom w:val="single" w:sz="4" w:space="1" w:color="auto"/>
          <w:right w:val="single" w:sz="4" w:space="4" w:color="auto"/>
        </w:pBdr>
        <w:ind w:right="133"/>
        <w:jc w:val="left"/>
        <w:rPr>
          <w:sz w:val="20"/>
        </w:rPr>
      </w:pPr>
      <w:r w:rsidRPr="00D65B13">
        <w:rPr>
          <w:sz w:val="20"/>
        </w:rPr>
        <w:t>Report version</w:t>
      </w:r>
      <w:r w:rsidR="005A3BDF">
        <w:rPr>
          <w:sz w:val="20"/>
        </w:rPr>
        <w:t>:</w:t>
      </w:r>
      <w:r w:rsidRPr="00D65B13">
        <w:rPr>
          <w:sz w:val="20"/>
        </w:rPr>
        <w:t xml:space="preserve"> </w:t>
      </w:r>
      <w:r w:rsidR="00452074">
        <w:rPr>
          <w:sz w:val="20"/>
        </w:rPr>
        <w:t>1.0</w:t>
      </w:r>
    </w:p>
    <w:p w14:paraId="1DB88E03" w14:textId="6767038D" w:rsidR="005A3BDF" w:rsidRPr="00D65B13" w:rsidRDefault="005A3BDF" w:rsidP="007164EA">
      <w:pPr>
        <w:pStyle w:val="AB-MainText"/>
        <w:pBdr>
          <w:top w:val="single" w:sz="4" w:space="1" w:color="auto"/>
          <w:left w:val="single" w:sz="4" w:space="4" w:color="auto"/>
          <w:bottom w:val="single" w:sz="4" w:space="1" w:color="auto"/>
          <w:right w:val="single" w:sz="4" w:space="4" w:color="auto"/>
        </w:pBdr>
        <w:ind w:right="133"/>
        <w:jc w:val="left"/>
        <w:rPr>
          <w:sz w:val="20"/>
        </w:rPr>
      </w:pPr>
      <w:r>
        <w:rPr>
          <w:sz w:val="20"/>
        </w:rPr>
        <w:t xml:space="preserve">Issued: </w:t>
      </w:r>
      <w:r w:rsidR="00770167" w:rsidRPr="00452074">
        <w:rPr>
          <w:sz w:val="20"/>
        </w:rPr>
        <w:t xml:space="preserve">December </w:t>
      </w:r>
      <w:r w:rsidR="00CB5880" w:rsidRPr="00452074">
        <w:rPr>
          <w:sz w:val="20"/>
        </w:rPr>
        <w:t>2021</w:t>
      </w:r>
    </w:p>
    <w:p w14:paraId="265E26D1" w14:textId="77777777" w:rsidR="007164EA" w:rsidRDefault="007164EA">
      <w:pPr>
        <w:spacing w:after="0"/>
        <w:ind w:left="1440" w:hanging="720"/>
        <w:rPr>
          <w:rFonts w:asciiTheme="majorHAnsi" w:hAnsiTheme="majorHAnsi"/>
          <w:b/>
          <w:color w:val="98002E"/>
          <w:sz w:val="28"/>
        </w:rPr>
      </w:pPr>
      <w:r>
        <w:br w:type="page"/>
      </w:r>
    </w:p>
    <w:bookmarkEnd w:id="5"/>
    <w:p w14:paraId="084ECB3C" w14:textId="77777777" w:rsidR="007D3077" w:rsidRPr="003C7BC4" w:rsidRDefault="007D3077" w:rsidP="00112D3B">
      <w:pPr>
        <w:pStyle w:val="ContentsHeader"/>
      </w:pPr>
      <w:r w:rsidRPr="00E27A65">
        <w:rPr>
          <w:color w:val="007C91"/>
        </w:rPr>
        <w:t>Contents</w:t>
      </w:r>
    </w:p>
    <w:p w14:paraId="42B189A2" w14:textId="17530A95" w:rsidR="00D87410" w:rsidRDefault="007E2ABB">
      <w:pPr>
        <w:pStyle w:val="TOC1"/>
        <w:rPr>
          <w:rFonts w:asciiTheme="minorHAnsi" w:eastAsiaTheme="minorEastAsia" w:hAnsiTheme="minorHAnsi"/>
          <w:b w:val="0"/>
          <w:noProof/>
          <w:color w:val="auto"/>
          <w:sz w:val="22"/>
          <w:szCs w:val="22"/>
          <w:lang w:eastAsia="zh-CN"/>
        </w:rPr>
      </w:pPr>
      <w:r>
        <w:fldChar w:fldCharType="begin"/>
      </w:r>
      <w:r w:rsidR="00C27AA6">
        <w:instrText xml:space="preserve"> TOC \o "1-6" \h \z \u </w:instrText>
      </w:r>
      <w:r>
        <w:fldChar w:fldCharType="separate"/>
      </w:r>
      <w:hyperlink w:anchor="_Toc89966357" w:history="1">
        <w:r w:rsidR="00D87410" w:rsidRPr="009D1A9D">
          <w:rPr>
            <w:rStyle w:val="Hyperlink"/>
            <w:noProof/>
          </w:rPr>
          <w:t>Executive Summary</w:t>
        </w:r>
        <w:r w:rsidR="00D87410">
          <w:rPr>
            <w:noProof/>
            <w:webHidden/>
          </w:rPr>
          <w:tab/>
        </w:r>
        <w:r w:rsidR="00D87410">
          <w:rPr>
            <w:noProof/>
            <w:webHidden/>
          </w:rPr>
          <w:fldChar w:fldCharType="begin"/>
        </w:r>
        <w:r w:rsidR="00D87410">
          <w:rPr>
            <w:noProof/>
            <w:webHidden/>
          </w:rPr>
          <w:instrText xml:space="preserve"> PAGEREF _Toc89966357 \h </w:instrText>
        </w:r>
        <w:r w:rsidR="00D87410">
          <w:rPr>
            <w:noProof/>
            <w:webHidden/>
          </w:rPr>
        </w:r>
        <w:r w:rsidR="00D87410">
          <w:rPr>
            <w:noProof/>
            <w:webHidden/>
          </w:rPr>
          <w:fldChar w:fldCharType="separate"/>
        </w:r>
        <w:r w:rsidR="00D87410">
          <w:rPr>
            <w:noProof/>
            <w:webHidden/>
          </w:rPr>
          <w:t>i</w:t>
        </w:r>
        <w:r w:rsidR="00D87410">
          <w:rPr>
            <w:noProof/>
            <w:webHidden/>
          </w:rPr>
          <w:fldChar w:fldCharType="end"/>
        </w:r>
      </w:hyperlink>
    </w:p>
    <w:p w14:paraId="2FF9E1CC" w14:textId="72229924" w:rsidR="00D87410" w:rsidRDefault="00E1738F">
      <w:pPr>
        <w:pStyle w:val="TOC1"/>
        <w:tabs>
          <w:tab w:val="left" w:pos="1344"/>
        </w:tabs>
        <w:rPr>
          <w:rFonts w:asciiTheme="minorHAnsi" w:eastAsiaTheme="minorEastAsia" w:hAnsiTheme="minorHAnsi"/>
          <w:b w:val="0"/>
          <w:noProof/>
          <w:color w:val="auto"/>
          <w:sz w:val="22"/>
          <w:szCs w:val="22"/>
          <w:lang w:eastAsia="zh-CN"/>
        </w:rPr>
      </w:pPr>
      <w:hyperlink w:anchor="_Toc89966358" w:history="1">
        <w:r w:rsidR="00D87410" w:rsidRPr="009D1A9D">
          <w:rPr>
            <w:rStyle w:val="Hyperlink"/>
            <w:rFonts w:ascii="Arial Bold" w:hAnsi="Arial Bold"/>
            <w:noProof/>
          </w:rPr>
          <w:t>1</w:t>
        </w:r>
        <w:r w:rsidR="00D87410">
          <w:rPr>
            <w:rFonts w:asciiTheme="minorHAnsi" w:eastAsiaTheme="minorEastAsia" w:hAnsiTheme="minorHAnsi"/>
            <w:b w:val="0"/>
            <w:noProof/>
            <w:color w:val="auto"/>
            <w:sz w:val="22"/>
            <w:szCs w:val="22"/>
            <w:lang w:eastAsia="zh-CN"/>
          </w:rPr>
          <w:tab/>
        </w:r>
        <w:r w:rsidR="00D87410" w:rsidRPr="009D1A9D">
          <w:rPr>
            <w:rStyle w:val="Hyperlink"/>
            <w:noProof/>
          </w:rPr>
          <w:t>Introduction</w:t>
        </w:r>
        <w:r w:rsidR="00D87410">
          <w:rPr>
            <w:noProof/>
            <w:webHidden/>
          </w:rPr>
          <w:tab/>
        </w:r>
        <w:r w:rsidR="00D87410">
          <w:rPr>
            <w:noProof/>
            <w:webHidden/>
          </w:rPr>
          <w:fldChar w:fldCharType="begin"/>
        </w:r>
        <w:r w:rsidR="00D87410">
          <w:rPr>
            <w:noProof/>
            <w:webHidden/>
          </w:rPr>
          <w:instrText xml:space="preserve"> PAGEREF _Toc89966358 \h </w:instrText>
        </w:r>
        <w:r w:rsidR="00D87410">
          <w:rPr>
            <w:noProof/>
            <w:webHidden/>
          </w:rPr>
        </w:r>
        <w:r w:rsidR="00D87410">
          <w:rPr>
            <w:noProof/>
            <w:webHidden/>
          </w:rPr>
          <w:fldChar w:fldCharType="separate"/>
        </w:r>
        <w:r w:rsidR="00D87410">
          <w:rPr>
            <w:noProof/>
            <w:webHidden/>
          </w:rPr>
          <w:t>1</w:t>
        </w:r>
        <w:r w:rsidR="00D87410">
          <w:rPr>
            <w:noProof/>
            <w:webHidden/>
          </w:rPr>
          <w:fldChar w:fldCharType="end"/>
        </w:r>
      </w:hyperlink>
    </w:p>
    <w:p w14:paraId="20580FB3" w14:textId="5D8E551D" w:rsidR="00D87410" w:rsidRDefault="00E1738F">
      <w:pPr>
        <w:pStyle w:val="TOC1"/>
        <w:tabs>
          <w:tab w:val="left" w:pos="1344"/>
        </w:tabs>
        <w:rPr>
          <w:rFonts w:asciiTheme="minorHAnsi" w:eastAsiaTheme="minorEastAsia" w:hAnsiTheme="minorHAnsi"/>
          <w:b w:val="0"/>
          <w:noProof/>
          <w:color w:val="auto"/>
          <w:sz w:val="22"/>
          <w:szCs w:val="22"/>
          <w:lang w:eastAsia="zh-CN"/>
        </w:rPr>
      </w:pPr>
      <w:hyperlink w:anchor="_Toc89966359" w:history="1">
        <w:r w:rsidR="00D87410" w:rsidRPr="009D1A9D">
          <w:rPr>
            <w:rStyle w:val="Hyperlink"/>
            <w:rFonts w:ascii="Arial Bold" w:hAnsi="Arial Bold"/>
            <w:noProof/>
          </w:rPr>
          <w:t>2</w:t>
        </w:r>
        <w:r w:rsidR="00D87410">
          <w:rPr>
            <w:rFonts w:asciiTheme="minorHAnsi" w:eastAsiaTheme="minorEastAsia" w:hAnsiTheme="minorHAnsi"/>
            <w:b w:val="0"/>
            <w:noProof/>
            <w:color w:val="auto"/>
            <w:sz w:val="22"/>
            <w:szCs w:val="22"/>
            <w:lang w:eastAsia="zh-CN"/>
          </w:rPr>
          <w:tab/>
        </w:r>
        <w:r w:rsidR="00D87410" w:rsidRPr="009D1A9D">
          <w:rPr>
            <w:rStyle w:val="Hyperlink"/>
            <w:noProof/>
          </w:rPr>
          <w:t>Probability of radioactive releases encountering precipitation</w:t>
        </w:r>
        <w:r w:rsidR="00D87410">
          <w:rPr>
            <w:noProof/>
            <w:webHidden/>
          </w:rPr>
          <w:tab/>
        </w:r>
        <w:r w:rsidR="00D87410">
          <w:rPr>
            <w:noProof/>
            <w:webHidden/>
          </w:rPr>
          <w:fldChar w:fldCharType="begin"/>
        </w:r>
        <w:r w:rsidR="00D87410">
          <w:rPr>
            <w:noProof/>
            <w:webHidden/>
          </w:rPr>
          <w:instrText xml:space="preserve"> PAGEREF _Toc89966359 \h </w:instrText>
        </w:r>
        <w:r w:rsidR="00D87410">
          <w:rPr>
            <w:noProof/>
            <w:webHidden/>
          </w:rPr>
        </w:r>
        <w:r w:rsidR="00D87410">
          <w:rPr>
            <w:noProof/>
            <w:webHidden/>
          </w:rPr>
          <w:fldChar w:fldCharType="separate"/>
        </w:r>
        <w:r w:rsidR="00D87410">
          <w:rPr>
            <w:noProof/>
            <w:webHidden/>
          </w:rPr>
          <w:t>1</w:t>
        </w:r>
        <w:r w:rsidR="00D87410">
          <w:rPr>
            <w:noProof/>
            <w:webHidden/>
          </w:rPr>
          <w:fldChar w:fldCharType="end"/>
        </w:r>
      </w:hyperlink>
    </w:p>
    <w:p w14:paraId="6D5F0F88" w14:textId="16A78348" w:rsidR="00D87410" w:rsidRDefault="00E1738F">
      <w:pPr>
        <w:pStyle w:val="TOC2"/>
        <w:rPr>
          <w:rFonts w:eastAsiaTheme="minorEastAsia"/>
          <w:b w:val="0"/>
          <w:noProof/>
          <w:color w:val="auto"/>
          <w:sz w:val="22"/>
          <w:szCs w:val="22"/>
          <w:lang w:eastAsia="zh-CN"/>
        </w:rPr>
      </w:pPr>
      <w:hyperlink w:anchor="_Toc89966360" w:history="1">
        <w:r w:rsidR="00D87410" w:rsidRPr="009D1A9D">
          <w:rPr>
            <w:rStyle w:val="Hyperlink"/>
            <w:rFonts w:ascii="Arial Bold" w:hAnsi="Arial Bold"/>
            <w:noProof/>
          </w:rPr>
          <w:t>2.1</w:t>
        </w:r>
        <w:r w:rsidR="00D87410">
          <w:rPr>
            <w:rFonts w:eastAsiaTheme="minorEastAsia"/>
            <w:b w:val="0"/>
            <w:noProof/>
            <w:color w:val="auto"/>
            <w:sz w:val="22"/>
            <w:szCs w:val="22"/>
            <w:lang w:eastAsia="zh-CN"/>
          </w:rPr>
          <w:tab/>
        </w:r>
        <w:r w:rsidR="00D87410" w:rsidRPr="009D1A9D">
          <w:rPr>
            <w:rStyle w:val="Hyperlink"/>
            <w:noProof/>
          </w:rPr>
          <w:t>Method</w:t>
        </w:r>
        <w:r w:rsidR="00D87410">
          <w:rPr>
            <w:noProof/>
            <w:webHidden/>
          </w:rPr>
          <w:tab/>
        </w:r>
        <w:r w:rsidR="00D87410">
          <w:rPr>
            <w:noProof/>
            <w:webHidden/>
          </w:rPr>
          <w:fldChar w:fldCharType="begin"/>
        </w:r>
        <w:r w:rsidR="00D87410">
          <w:rPr>
            <w:noProof/>
            <w:webHidden/>
          </w:rPr>
          <w:instrText xml:space="preserve"> PAGEREF _Toc89966360 \h </w:instrText>
        </w:r>
        <w:r w:rsidR="00D87410">
          <w:rPr>
            <w:noProof/>
            <w:webHidden/>
          </w:rPr>
        </w:r>
        <w:r w:rsidR="00D87410">
          <w:rPr>
            <w:noProof/>
            <w:webHidden/>
          </w:rPr>
          <w:fldChar w:fldCharType="separate"/>
        </w:r>
        <w:r w:rsidR="00D87410">
          <w:rPr>
            <w:noProof/>
            <w:webHidden/>
          </w:rPr>
          <w:t>2</w:t>
        </w:r>
        <w:r w:rsidR="00D87410">
          <w:rPr>
            <w:noProof/>
            <w:webHidden/>
          </w:rPr>
          <w:fldChar w:fldCharType="end"/>
        </w:r>
      </w:hyperlink>
    </w:p>
    <w:p w14:paraId="72E3B583" w14:textId="029CD016" w:rsidR="00D87410" w:rsidRDefault="00E1738F">
      <w:pPr>
        <w:pStyle w:val="TOC2"/>
        <w:rPr>
          <w:rFonts w:eastAsiaTheme="minorEastAsia"/>
          <w:b w:val="0"/>
          <w:noProof/>
          <w:color w:val="auto"/>
          <w:sz w:val="22"/>
          <w:szCs w:val="22"/>
          <w:lang w:eastAsia="zh-CN"/>
        </w:rPr>
      </w:pPr>
      <w:hyperlink w:anchor="_Toc89966361" w:history="1">
        <w:r w:rsidR="00D87410" w:rsidRPr="009D1A9D">
          <w:rPr>
            <w:rStyle w:val="Hyperlink"/>
            <w:rFonts w:ascii="Arial Bold" w:hAnsi="Arial Bold"/>
            <w:noProof/>
          </w:rPr>
          <w:t>2.2</w:t>
        </w:r>
        <w:r w:rsidR="00D87410">
          <w:rPr>
            <w:rFonts w:eastAsiaTheme="minorEastAsia"/>
            <w:b w:val="0"/>
            <w:noProof/>
            <w:color w:val="auto"/>
            <w:sz w:val="22"/>
            <w:szCs w:val="22"/>
            <w:lang w:eastAsia="zh-CN"/>
          </w:rPr>
          <w:tab/>
        </w:r>
        <w:r w:rsidR="00D87410" w:rsidRPr="009D1A9D">
          <w:rPr>
            <w:rStyle w:val="Hyperlink"/>
            <w:noProof/>
          </w:rPr>
          <w:t>Results</w:t>
        </w:r>
        <w:r w:rsidR="00D87410">
          <w:rPr>
            <w:noProof/>
            <w:webHidden/>
          </w:rPr>
          <w:tab/>
        </w:r>
        <w:r w:rsidR="00D87410">
          <w:rPr>
            <w:noProof/>
            <w:webHidden/>
          </w:rPr>
          <w:fldChar w:fldCharType="begin"/>
        </w:r>
        <w:r w:rsidR="00D87410">
          <w:rPr>
            <w:noProof/>
            <w:webHidden/>
          </w:rPr>
          <w:instrText xml:space="preserve"> PAGEREF _Toc89966361 \h </w:instrText>
        </w:r>
        <w:r w:rsidR="00D87410">
          <w:rPr>
            <w:noProof/>
            <w:webHidden/>
          </w:rPr>
        </w:r>
        <w:r w:rsidR="00D87410">
          <w:rPr>
            <w:noProof/>
            <w:webHidden/>
          </w:rPr>
          <w:fldChar w:fldCharType="separate"/>
        </w:r>
        <w:r w:rsidR="00D87410">
          <w:rPr>
            <w:noProof/>
            <w:webHidden/>
          </w:rPr>
          <w:t>2</w:t>
        </w:r>
        <w:r w:rsidR="00D87410">
          <w:rPr>
            <w:noProof/>
            <w:webHidden/>
          </w:rPr>
          <w:fldChar w:fldCharType="end"/>
        </w:r>
      </w:hyperlink>
    </w:p>
    <w:p w14:paraId="24B74C04" w14:textId="1304C88B" w:rsidR="00D87410" w:rsidRDefault="00E1738F">
      <w:pPr>
        <w:pStyle w:val="TOC3"/>
        <w:rPr>
          <w:rFonts w:eastAsiaTheme="minorEastAsia"/>
          <w:noProof/>
          <w:sz w:val="22"/>
          <w:szCs w:val="22"/>
          <w:lang w:eastAsia="zh-CN"/>
        </w:rPr>
      </w:pPr>
      <w:hyperlink w:anchor="_Toc89966362" w:history="1">
        <w:r w:rsidR="00D87410" w:rsidRPr="009D1A9D">
          <w:rPr>
            <w:rStyle w:val="Hyperlink"/>
            <w:rFonts w:ascii="Arial Bold" w:hAnsi="Arial Bold"/>
            <w:noProof/>
          </w:rPr>
          <w:t>2.2.1</w:t>
        </w:r>
        <w:r w:rsidR="00D87410">
          <w:rPr>
            <w:rFonts w:eastAsiaTheme="minorEastAsia"/>
            <w:noProof/>
            <w:sz w:val="22"/>
            <w:szCs w:val="22"/>
            <w:lang w:eastAsia="zh-CN"/>
          </w:rPr>
          <w:tab/>
        </w:r>
        <w:r w:rsidR="00D87410" w:rsidRPr="009D1A9D">
          <w:rPr>
            <w:rStyle w:val="Hyperlink"/>
            <w:noProof/>
          </w:rPr>
          <w:t>Distribution of precipitation rates</w:t>
        </w:r>
        <w:r w:rsidR="00D87410">
          <w:rPr>
            <w:noProof/>
            <w:webHidden/>
          </w:rPr>
          <w:tab/>
        </w:r>
        <w:r w:rsidR="00D87410">
          <w:rPr>
            <w:noProof/>
            <w:webHidden/>
          </w:rPr>
          <w:fldChar w:fldCharType="begin"/>
        </w:r>
        <w:r w:rsidR="00D87410">
          <w:rPr>
            <w:noProof/>
            <w:webHidden/>
          </w:rPr>
          <w:instrText xml:space="preserve"> PAGEREF _Toc89966362 \h </w:instrText>
        </w:r>
        <w:r w:rsidR="00D87410">
          <w:rPr>
            <w:noProof/>
            <w:webHidden/>
          </w:rPr>
        </w:r>
        <w:r w:rsidR="00D87410">
          <w:rPr>
            <w:noProof/>
            <w:webHidden/>
          </w:rPr>
          <w:fldChar w:fldCharType="separate"/>
        </w:r>
        <w:r w:rsidR="00D87410">
          <w:rPr>
            <w:noProof/>
            <w:webHidden/>
          </w:rPr>
          <w:t>2</w:t>
        </w:r>
        <w:r w:rsidR="00D87410">
          <w:rPr>
            <w:noProof/>
            <w:webHidden/>
          </w:rPr>
          <w:fldChar w:fldCharType="end"/>
        </w:r>
      </w:hyperlink>
    </w:p>
    <w:p w14:paraId="26EBFECF" w14:textId="77F0C466" w:rsidR="00D87410" w:rsidRDefault="00E1738F">
      <w:pPr>
        <w:pStyle w:val="TOC3"/>
        <w:rPr>
          <w:rFonts w:eastAsiaTheme="minorEastAsia"/>
          <w:noProof/>
          <w:sz w:val="22"/>
          <w:szCs w:val="22"/>
          <w:lang w:eastAsia="zh-CN"/>
        </w:rPr>
      </w:pPr>
      <w:hyperlink w:anchor="_Toc89966363" w:history="1">
        <w:r w:rsidR="00D87410" w:rsidRPr="009D1A9D">
          <w:rPr>
            <w:rStyle w:val="Hyperlink"/>
            <w:rFonts w:ascii="Arial Bold" w:hAnsi="Arial Bold"/>
            <w:noProof/>
          </w:rPr>
          <w:t>2.2.2</w:t>
        </w:r>
        <w:r w:rsidR="00D87410">
          <w:rPr>
            <w:rFonts w:eastAsiaTheme="minorEastAsia"/>
            <w:noProof/>
            <w:sz w:val="22"/>
            <w:szCs w:val="22"/>
            <w:lang w:eastAsia="zh-CN"/>
          </w:rPr>
          <w:tab/>
        </w:r>
        <w:r w:rsidR="00D87410" w:rsidRPr="009D1A9D">
          <w:rPr>
            <w:rStyle w:val="Hyperlink"/>
            <w:noProof/>
          </w:rPr>
          <w:t>Probabilities of precipitation rates during a release</w:t>
        </w:r>
        <w:r w:rsidR="00D87410">
          <w:rPr>
            <w:noProof/>
            <w:webHidden/>
          </w:rPr>
          <w:tab/>
        </w:r>
        <w:r w:rsidR="00D87410">
          <w:rPr>
            <w:noProof/>
            <w:webHidden/>
          </w:rPr>
          <w:fldChar w:fldCharType="begin"/>
        </w:r>
        <w:r w:rsidR="00D87410">
          <w:rPr>
            <w:noProof/>
            <w:webHidden/>
          </w:rPr>
          <w:instrText xml:space="preserve"> PAGEREF _Toc89966363 \h </w:instrText>
        </w:r>
        <w:r w:rsidR="00D87410">
          <w:rPr>
            <w:noProof/>
            <w:webHidden/>
          </w:rPr>
        </w:r>
        <w:r w:rsidR="00D87410">
          <w:rPr>
            <w:noProof/>
            <w:webHidden/>
          </w:rPr>
          <w:fldChar w:fldCharType="separate"/>
        </w:r>
        <w:r w:rsidR="00D87410">
          <w:rPr>
            <w:noProof/>
            <w:webHidden/>
          </w:rPr>
          <w:t>3</w:t>
        </w:r>
        <w:r w:rsidR="00D87410">
          <w:rPr>
            <w:noProof/>
            <w:webHidden/>
          </w:rPr>
          <w:fldChar w:fldCharType="end"/>
        </w:r>
      </w:hyperlink>
    </w:p>
    <w:p w14:paraId="469B1E5F" w14:textId="38C45222" w:rsidR="00D87410" w:rsidRDefault="00E1738F">
      <w:pPr>
        <w:pStyle w:val="TOC3"/>
        <w:rPr>
          <w:rFonts w:eastAsiaTheme="minorEastAsia"/>
          <w:noProof/>
          <w:sz w:val="22"/>
          <w:szCs w:val="22"/>
          <w:lang w:eastAsia="zh-CN"/>
        </w:rPr>
      </w:pPr>
      <w:hyperlink w:anchor="_Toc89966364" w:history="1">
        <w:r w:rsidR="00D87410" w:rsidRPr="009D1A9D">
          <w:rPr>
            <w:rStyle w:val="Hyperlink"/>
            <w:rFonts w:ascii="Arial Bold" w:hAnsi="Arial Bold"/>
            <w:noProof/>
          </w:rPr>
          <w:t>2.2.3</w:t>
        </w:r>
        <w:r w:rsidR="00D87410">
          <w:rPr>
            <w:rFonts w:eastAsiaTheme="minorEastAsia"/>
            <w:noProof/>
            <w:sz w:val="22"/>
            <w:szCs w:val="22"/>
            <w:lang w:eastAsia="zh-CN"/>
          </w:rPr>
          <w:tab/>
        </w:r>
        <w:r w:rsidR="00D87410" w:rsidRPr="009D1A9D">
          <w:rPr>
            <w:rStyle w:val="Hyperlink"/>
            <w:noProof/>
          </w:rPr>
          <w:t>Precipitation during Pasquill Stability Category F conditions</w:t>
        </w:r>
        <w:r w:rsidR="00D87410">
          <w:rPr>
            <w:noProof/>
            <w:webHidden/>
          </w:rPr>
          <w:tab/>
        </w:r>
        <w:r w:rsidR="00D87410">
          <w:rPr>
            <w:noProof/>
            <w:webHidden/>
          </w:rPr>
          <w:fldChar w:fldCharType="begin"/>
        </w:r>
        <w:r w:rsidR="00D87410">
          <w:rPr>
            <w:noProof/>
            <w:webHidden/>
          </w:rPr>
          <w:instrText xml:space="preserve"> PAGEREF _Toc89966364 \h </w:instrText>
        </w:r>
        <w:r w:rsidR="00D87410">
          <w:rPr>
            <w:noProof/>
            <w:webHidden/>
          </w:rPr>
        </w:r>
        <w:r w:rsidR="00D87410">
          <w:rPr>
            <w:noProof/>
            <w:webHidden/>
          </w:rPr>
          <w:fldChar w:fldCharType="separate"/>
        </w:r>
        <w:r w:rsidR="00D87410">
          <w:rPr>
            <w:noProof/>
            <w:webHidden/>
          </w:rPr>
          <w:t>5</w:t>
        </w:r>
        <w:r w:rsidR="00D87410">
          <w:rPr>
            <w:noProof/>
            <w:webHidden/>
          </w:rPr>
          <w:fldChar w:fldCharType="end"/>
        </w:r>
      </w:hyperlink>
    </w:p>
    <w:p w14:paraId="47E8EDD1" w14:textId="0F7A9147" w:rsidR="00D87410" w:rsidRDefault="00E1738F">
      <w:pPr>
        <w:pStyle w:val="TOC2"/>
        <w:rPr>
          <w:rFonts w:eastAsiaTheme="minorEastAsia"/>
          <w:b w:val="0"/>
          <w:noProof/>
          <w:color w:val="auto"/>
          <w:sz w:val="22"/>
          <w:szCs w:val="22"/>
          <w:lang w:eastAsia="zh-CN"/>
        </w:rPr>
      </w:pPr>
      <w:hyperlink w:anchor="_Toc89966365" w:history="1">
        <w:r w:rsidR="00D87410" w:rsidRPr="009D1A9D">
          <w:rPr>
            <w:rStyle w:val="Hyperlink"/>
            <w:rFonts w:ascii="Arial Bold" w:hAnsi="Arial Bold"/>
            <w:noProof/>
          </w:rPr>
          <w:t>2.3</w:t>
        </w:r>
        <w:r w:rsidR="00D87410">
          <w:rPr>
            <w:rFonts w:eastAsiaTheme="minorEastAsia"/>
            <w:b w:val="0"/>
            <w:noProof/>
            <w:color w:val="auto"/>
            <w:sz w:val="22"/>
            <w:szCs w:val="22"/>
            <w:lang w:eastAsia="zh-CN"/>
          </w:rPr>
          <w:tab/>
        </w:r>
        <w:r w:rsidR="00D87410" w:rsidRPr="009D1A9D">
          <w:rPr>
            <w:rStyle w:val="Hyperlink"/>
            <w:noProof/>
          </w:rPr>
          <w:t>Ensuring representative met data</w:t>
        </w:r>
        <w:r w:rsidR="00D87410">
          <w:rPr>
            <w:noProof/>
            <w:webHidden/>
          </w:rPr>
          <w:tab/>
        </w:r>
        <w:r w:rsidR="00D87410">
          <w:rPr>
            <w:noProof/>
            <w:webHidden/>
          </w:rPr>
          <w:fldChar w:fldCharType="begin"/>
        </w:r>
        <w:r w:rsidR="00D87410">
          <w:rPr>
            <w:noProof/>
            <w:webHidden/>
          </w:rPr>
          <w:instrText xml:space="preserve"> PAGEREF _Toc89966365 \h </w:instrText>
        </w:r>
        <w:r w:rsidR="00D87410">
          <w:rPr>
            <w:noProof/>
            <w:webHidden/>
          </w:rPr>
        </w:r>
        <w:r w:rsidR="00D87410">
          <w:rPr>
            <w:noProof/>
            <w:webHidden/>
          </w:rPr>
          <w:fldChar w:fldCharType="separate"/>
        </w:r>
        <w:r w:rsidR="00D87410">
          <w:rPr>
            <w:noProof/>
            <w:webHidden/>
          </w:rPr>
          <w:t>7</w:t>
        </w:r>
        <w:r w:rsidR="00D87410">
          <w:rPr>
            <w:noProof/>
            <w:webHidden/>
          </w:rPr>
          <w:fldChar w:fldCharType="end"/>
        </w:r>
      </w:hyperlink>
    </w:p>
    <w:p w14:paraId="4DF83375" w14:textId="15DE24CA" w:rsidR="00D87410" w:rsidRDefault="00E1738F">
      <w:pPr>
        <w:pStyle w:val="TOC2"/>
        <w:rPr>
          <w:rFonts w:eastAsiaTheme="minorEastAsia"/>
          <w:b w:val="0"/>
          <w:noProof/>
          <w:color w:val="auto"/>
          <w:sz w:val="22"/>
          <w:szCs w:val="22"/>
          <w:lang w:eastAsia="zh-CN"/>
        </w:rPr>
      </w:pPr>
      <w:hyperlink w:anchor="_Toc89966366" w:history="1">
        <w:r w:rsidR="00D87410" w:rsidRPr="009D1A9D">
          <w:rPr>
            <w:rStyle w:val="Hyperlink"/>
            <w:rFonts w:ascii="Arial Bold" w:hAnsi="Arial Bold"/>
            <w:noProof/>
          </w:rPr>
          <w:t>2.4</w:t>
        </w:r>
        <w:r w:rsidR="00D87410">
          <w:rPr>
            <w:rFonts w:eastAsiaTheme="minorEastAsia"/>
            <w:b w:val="0"/>
            <w:noProof/>
            <w:color w:val="auto"/>
            <w:sz w:val="22"/>
            <w:szCs w:val="22"/>
            <w:lang w:eastAsia="zh-CN"/>
          </w:rPr>
          <w:tab/>
        </w:r>
        <w:r w:rsidR="00D87410" w:rsidRPr="009D1A9D">
          <w:rPr>
            <w:rStyle w:val="Hyperlink"/>
            <w:noProof/>
          </w:rPr>
          <w:t>Conclusions</w:t>
        </w:r>
        <w:r w:rsidR="00D87410">
          <w:rPr>
            <w:noProof/>
            <w:webHidden/>
          </w:rPr>
          <w:tab/>
        </w:r>
        <w:r w:rsidR="00D87410">
          <w:rPr>
            <w:noProof/>
            <w:webHidden/>
          </w:rPr>
          <w:fldChar w:fldCharType="begin"/>
        </w:r>
        <w:r w:rsidR="00D87410">
          <w:rPr>
            <w:noProof/>
            <w:webHidden/>
          </w:rPr>
          <w:instrText xml:space="preserve"> PAGEREF _Toc89966366 \h </w:instrText>
        </w:r>
        <w:r w:rsidR="00D87410">
          <w:rPr>
            <w:noProof/>
            <w:webHidden/>
          </w:rPr>
        </w:r>
        <w:r w:rsidR="00D87410">
          <w:rPr>
            <w:noProof/>
            <w:webHidden/>
          </w:rPr>
          <w:fldChar w:fldCharType="separate"/>
        </w:r>
        <w:r w:rsidR="00D87410">
          <w:rPr>
            <w:noProof/>
            <w:webHidden/>
          </w:rPr>
          <w:t>8</w:t>
        </w:r>
        <w:r w:rsidR="00D87410">
          <w:rPr>
            <w:noProof/>
            <w:webHidden/>
          </w:rPr>
          <w:fldChar w:fldCharType="end"/>
        </w:r>
      </w:hyperlink>
    </w:p>
    <w:p w14:paraId="45DAE2C0" w14:textId="6EEF67BB" w:rsidR="00D87410" w:rsidRDefault="00E1738F">
      <w:pPr>
        <w:pStyle w:val="TOC1"/>
        <w:tabs>
          <w:tab w:val="left" w:pos="1344"/>
        </w:tabs>
        <w:rPr>
          <w:rFonts w:asciiTheme="minorHAnsi" w:eastAsiaTheme="minorEastAsia" w:hAnsiTheme="minorHAnsi"/>
          <w:b w:val="0"/>
          <w:noProof/>
          <w:color w:val="auto"/>
          <w:sz w:val="22"/>
          <w:szCs w:val="22"/>
          <w:lang w:eastAsia="zh-CN"/>
        </w:rPr>
      </w:pPr>
      <w:hyperlink w:anchor="_Toc89966367" w:history="1">
        <w:r w:rsidR="00D87410" w:rsidRPr="009D1A9D">
          <w:rPr>
            <w:rStyle w:val="Hyperlink"/>
            <w:rFonts w:ascii="Arial Bold" w:hAnsi="Arial Bold"/>
            <w:noProof/>
          </w:rPr>
          <w:t>3</w:t>
        </w:r>
        <w:r w:rsidR="00D87410">
          <w:rPr>
            <w:rFonts w:asciiTheme="minorHAnsi" w:eastAsiaTheme="minorEastAsia" w:hAnsiTheme="minorHAnsi"/>
            <w:b w:val="0"/>
            <w:noProof/>
            <w:color w:val="auto"/>
            <w:sz w:val="22"/>
            <w:szCs w:val="22"/>
            <w:lang w:eastAsia="zh-CN"/>
          </w:rPr>
          <w:tab/>
        </w:r>
        <w:r w:rsidR="00D87410" w:rsidRPr="009D1A9D">
          <w:rPr>
            <w:rStyle w:val="Hyperlink"/>
            <w:noProof/>
          </w:rPr>
          <w:t>Source Terms</w:t>
        </w:r>
        <w:r w:rsidR="00D87410">
          <w:rPr>
            <w:noProof/>
            <w:webHidden/>
          </w:rPr>
          <w:tab/>
        </w:r>
        <w:r w:rsidR="00D87410">
          <w:rPr>
            <w:noProof/>
            <w:webHidden/>
          </w:rPr>
          <w:fldChar w:fldCharType="begin"/>
        </w:r>
        <w:r w:rsidR="00D87410">
          <w:rPr>
            <w:noProof/>
            <w:webHidden/>
          </w:rPr>
          <w:instrText xml:space="preserve"> PAGEREF _Toc89966367 \h </w:instrText>
        </w:r>
        <w:r w:rsidR="00D87410">
          <w:rPr>
            <w:noProof/>
            <w:webHidden/>
          </w:rPr>
        </w:r>
        <w:r w:rsidR="00D87410">
          <w:rPr>
            <w:noProof/>
            <w:webHidden/>
          </w:rPr>
          <w:fldChar w:fldCharType="separate"/>
        </w:r>
        <w:r w:rsidR="00D87410">
          <w:rPr>
            <w:noProof/>
            <w:webHidden/>
          </w:rPr>
          <w:t>8</w:t>
        </w:r>
        <w:r w:rsidR="00D87410">
          <w:rPr>
            <w:noProof/>
            <w:webHidden/>
          </w:rPr>
          <w:fldChar w:fldCharType="end"/>
        </w:r>
      </w:hyperlink>
    </w:p>
    <w:p w14:paraId="7939B205" w14:textId="122700BC" w:rsidR="00D87410" w:rsidRDefault="00E1738F">
      <w:pPr>
        <w:pStyle w:val="TOC2"/>
        <w:rPr>
          <w:rFonts w:eastAsiaTheme="minorEastAsia"/>
          <w:b w:val="0"/>
          <w:noProof/>
          <w:color w:val="auto"/>
          <w:sz w:val="22"/>
          <w:szCs w:val="22"/>
          <w:lang w:eastAsia="zh-CN"/>
        </w:rPr>
      </w:pPr>
      <w:hyperlink w:anchor="_Toc89966368" w:history="1">
        <w:r w:rsidR="00D87410" w:rsidRPr="009D1A9D">
          <w:rPr>
            <w:rStyle w:val="Hyperlink"/>
            <w:rFonts w:ascii="Arial Bold" w:hAnsi="Arial Bold"/>
            <w:noProof/>
          </w:rPr>
          <w:t>3.1</w:t>
        </w:r>
        <w:r w:rsidR="00D87410">
          <w:rPr>
            <w:rFonts w:eastAsiaTheme="minorEastAsia"/>
            <w:b w:val="0"/>
            <w:noProof/>
            <w:color w:val="auto"/>
            <w:sz w:val="22"/>
            <w:szCs w:val="22"/>
            <w:lang w:eastAsia="zh-CN"/>
          </w:rPr>
          <w:tab/>
        </w:r>
        <w:r w:rsidR="00D87410" w:rsidRPr="009D1A9D">
          <w:rPr>
            <w:rStyle w:val="Hyperlink"/>
            <w:noProof/>
          </w:rPr>
          <w:t>Large Break Loss of Coolant Accident Source Term</w:t>
        </w:r>
        <w:r w:rsidR="00D87410">
          <w:rPr>
            <w:noProof/>
            <w:webHidden/>
          </w:rPr>
          <w:tab/>
        </w:r>
        <w:r w:rsidR="00D87410">
          <w:rPr>
            <w:noProof/>
            <w:webHidden/>
          </w:rPr>
          <w:fldChar w:fldCharType="begin"/>
        </w:r>
        <w:r w:rsidR="00D87410">
          <w:rPr>
            <w:noProof/>
            <w:webHidden/>
          </w:rPr>
          <w:instrText xml:space="preserve"> PAGEREF _Toc89966368 \h </w:instrText>
        </w:r>
        <w:r w:rsidR="00D87410">
          <w:rPr>
            <w:noProof/>
            <w:webHidden/>
          </w:rPr>
        </w:r>
        <w:r w:rsidR="00D87410">
          <w:rPr>
            <w:noProof/>
            <w:webHidden/>
          </w:rPr>
          <w:fldChar w:fldCharType="separate"/>
        </w:r>
        <w:r w:rsidR="00D87410">
          <w:rPr>
            <w:noProof/>
            <w:webHidden/>
          </w:rPr>
          <w:t>8</w:t>
        </w:r>
        <w:r w:rsidR="00D87410">
          <w:rPr>
            <w:noProof/>
            <w:webHidden/>
          </w:rPr>
          <w:fldChar w:fldCharType="end"/>
        </w:r>
      </w:hyperlink>
    </w:p>
    <w:p w14:paraId="356F5497" w14:textId="2082C6F4" w:rsidR="00D87410" w:rsidRDefault="00E1738F">
      <w:pPr>
        <w:pStyle w:val="TOC3"/>
        <w:rPr>
          <w:rFonts w:eastAsiaTheme="minorEastAsia"/>
          <w:noProof/>
          <w:sz w:val="22"/>
          <w:szCs w:val="22"/>
          <w:lang w:eastAsia="zh-CN"/>
        </w:rPr>
      </w:pPr>
      <w:hyperlink w:anchor="_Toc89966369" w:history="1">
        <w:r w:rsidR="00D87410" w:rsidRPr="009D1A9D">
          <w:rPr>
            <w:rStyle w:val="Hyperlink"/>
            <w:rFonts w:ascii="Arial Bold" w:hAnsi="Arial Bold"/>
            <w:noProof/>
          </w:rPr>
          <w:t>3.1.1</w:t>
        </w:r>
        <w:r w:rsidR="00D87410">
          <w:rPr>
            <w:rFonts w:eastAsiaTheme="minorEastAsia"/>
            <w:noProof/>
            <w:sz w:val="22"/>
            <w:szCs w:val="22"/>
            <w:lang w:eastAsia="zh-CN"/>
          </w:rPr>
          <w:tab/>
        </w:r>
        <w:r w:rsidR="00D87410" w:rsidRPr="009D1A9D">
          <w:rPr>
            <w:rStyle w:val="Hyperlink"/>
            <w:noProof/>
          </w:rPr>
          <w:t>Selection of radionuclides for LBL source term</w:t>
        </w:r>
        <w:r w:rsidR="00D87410">
          <w:rPr>
            <w:noProof/>
            <w:webHidden/>
          </w:rPr>
          <w:tab/>
        </w:r>
        <w:r w:rsidR="00D87410">
          <w:rPr>
            <w:noProof/>
            <w:webHidden/>
          </w:rPr>
          <w:fldChar w:fldCharType="begin"/>
        </w:r>
        <w:r w:rsidR="00D87410">
          <w:rPr>
            <w:noProof/>
            <w:webHidden/>
          </w:rPr>
          <w:instrText xml:space="preserve"> PAGEREF _Toc89966369 \h </w:instrText>
        </w:r>
        <w:r w:rsidR="00D87410">
          <w:rPr>
            <w:noProof/>
            <w:webHidden/>
          </w:rPr>
        </w:r>
        <w:r w:rsidR="00D87410">
          <w:rPr>
            <w:noProof/>
            <w:webHidden/>
          </w:rPr>
          <w:fldChar w:fldCharType="separate"/>
        </w:r>
        <w:r w:rsidR="00D87410">
          <w:rPr>
            <w:noProof/>
            <w:webHidden/>
          </w:rPr>
          <w:t>9</w:t>
        </w:r>
        <w:r w:rsidR="00D87410">
          <w:rPr>
            <w:noProof/>
            <w:webHidden/>
          </w:rPr>
          <w:fldChar w:fldCharType="end"/>
        </w:r>
      </w:hyperlink>
    </w:p>
    <w:p w14:paraId="0B0CF88E" w14:textId="6AC688FF" w:rsidR="00D87410" w:rsidRDefault="00E1738F">
      <w:pPr>
        <w:pStyle w:val="TOC2"/>
        <w:rPr>
          <w:rFonts w:eastAsiaTheme="minorEastAsia"/>
          <w:b w:val="0"/>
          <w:noProof/>
          <w:color w:val="auto"/>
          <w:sz w:val="22"/>
          <w:szCs w:val="22"/>
          <w:lang w:eastAsia="zh-CN"/>
        </w:rPr>
      </w:pPr>
      <w:hyperlink w:anchor="_Toc89966370" w:history="1">
        <w:r w:rsidR="00D87410" w:rsidRPr="009D1A9D">
          <w:rPr>
            <w:rStyle w:val="Hyperlink"/>
            <w:rFonts w:ascii="Arial Bold" w:hAnsi="Arial Bold"/>
            <w:noProof/>
          </w:rPr>
          <w:t>3.2</w:t>
        </w:r>
        <w:r w:rsidR="00D87410">
          <w:rPr>
            <w:rFonts w:eastAsiaTheme="minorEastAsia"/>
            <w:b w:val="0"/>
            <w:noProof/>
            <w:color w:val="auto"/>
            <w:sz w:val="22"/>
            <w:szCs w:val="22"/>
            <w:lang w:eastAsia="zh-CN"/>
          </w:rPr>
          <w:tab/>
        </w:r>
        <w:r w:rsidR="00D87410" w:rsidRPr="009D1A9D">
          <w:rPr>
            <w:rStyle w:val="Hyperlink"/>
            <w:noProof/>
          </w:rPr>
          <w:t>Fuel Handling Source Term</w:t>
        </w:r>
        <w:r w:rsidR="00D87410">
          <w:rPr>
            <w:noProof/>
            <w:webHidden/>
          </w:rPr>
          <w:tab/>
        </w:r>
        <w:r w:rsidR="00D87410">
          <w:rPr>
            <w:noProof/>
            <w:webHidden/>
          </w:rPr>
          <w:fldChar w:fldCharType="begin"/>
        </w:r>
        <w:r w:rsidR="00D87410">
          <w:rPr>
            <w:noProof/>
            <w:webHidden/>
          </w:rPr>
          <w:instrText xml:space="preserve"> PAGEREF _Toc89966370 \h </w:instrText>
        </w:r>
        <w:r w:rsidR="00D87410">
          <w:rPr>
            <w:noProof/>
            <w:webHidden/>
          </w:rPr>
        </w:r>
        <w:r w:rsidR="00D87410">
          <w:rPr>
            <w:noProof/>
            <w:webHidden/>
          </w:rPr>
          <w:fldChar w:fldCharType="separate"/>
        </w:r>
        <w:r w:rsidR="00D87410">
          <w:rPr>
            <w:noProof/>
            <w:webHidden/>
          </w:rPr>
          <w:t>10</w:t>
        </w:r>
        <w:r w:rsidR="00D87410">
          <w:rPr>
            <w:noProof/>
            <w:webHidden/>
          </w:rPr>
          <w:fldChar w:fldCharType="end"/>
        </w:r>
      </w:hyperlink>
    </w:p>
    <w:p w14:paraId="0BA80EF2" w14:textId="1F51D9B8" w:rsidR="00D87410" w:rsidRDefault="00E1738F">
      <w:pPr>
        <w:pStyle w:val="TOC2"/>
        <w:rPr>
          <w:rFonts w:eastAsiaTheme="minorEastAsia"/>
          <w:b w:val="0"/>
          <w:noProof/>
          <w:color w:val="auto"/>
          <w:sz w:val="22"/>
          <w:szCs w:val="22"/>
          <w:lang w:eastAsia="zh-CN"/>
        </w:rPr>
      </w:pPr>
      <w:hyperlink w:anchor="_Toc89966371" w:history="1">
        <w:r w:rsidR="00D87410" w:rsidRPr="009D1A9D">
          <w:rPr>
            <w:rStyle w:val="Hyperlink"/>
            <w:rFonts w:ascii="Arial Bold" w:hAnsi="Arial Bold"/>
            <w:noProof/>
          </w:rPr>
          <w:t>3.3</w:t>
        </w:r>
        <w:r w:rsidR="00D87410">
          <w:rPr>
            <w:rFonts w:eastAsiaTheme="minorEastAsia"/>
            <w:b w:val="0"/>
            <w:noProof/>
            <w:color w:val="auto"/>
            <w:sz w:val="22"/>
            <w:szCs w:val="22"/>
            <w:lang w:eastAsia="zh-CN"/>
          </w:rPr>
          <w:tab/>
        </w:r>
        <w:r w:rsidR="00D87410" w:rsidRPr="009D1A9D">
          <w:rPr>
            <w:rStyle w:val="Hyperlink"/>
            <w:noProof/>
          </w:rPr>
          <w:t>RCCA Ejection Source Term</w:t>
        </w:r>
        <w:r w:rsidR="00D87410">
          <w:rPr>
            <w:noProof/>
            <w:webHidden/>
          </w:rPr>
          <w:tab/>
        </w:r>
        <w:r w:rsidR="00D87410">
          <w:rPr>
            <w:noProof/>
            <w:webHidden/>
          </w:rPr>
          <w:fldChar w:fldCharType="begin"/>
        </w:r>
        <w:r w:rsidR="00D87410">
          <w:rPr>
            <w:noProof/>
            <w:webHidden/>
          </w:rPr>
          <w:instrText xml:space="preserve"> PAGEREF _Toc89966371 \h </w:instrText>
        </w:r>
        <w:r w:rsidR="00D87410">
          <w:rPr>
            <w:noProof/>
            <w:webHidden/>
          </w:rPr>
        </w:r>
        <w:r w:rsidR="00D87410">
          <w:rPr>
            <w:noProof/>
            <w:webHidden/>
          </w:rPr>
          <w:fldChar w:fldCharType="separate"/>
        </w:r>
        <w:r w:rsidR="00D87410">
          <w:rPr>
            <w:noProof/>
            <w:webHidden/>
          </w:rPr>
          <w:t>10</w:t>
        </w:r>
        <w:r w:rsidR="00D87410">
          <w:rPr>
            <w:noProof/>
            <w:webHidden/>
          </w:rPr>
          <w:fldChar w:fldCharType="end"/>
        </w:r>
      </w:hyperlink>
    </w:p>
    <w:p w14:paraId="49520599" w14:textId="709C7F49" w:rsidR="00D87410" w:rsidRDefault="00E1738F">
      <w:pPr>
        <w:pStyle w:val="TOC2"/>
        <w:rPr>
          <w:rFonts w:eastAsiaTheme="minorEastAsia"/>
          <w:b w:val="0"/>
          <w:noProof/>
          <w:color w:val="auto"/>
          <w:sz w:val="22"/>
          <w:szCs w:val="22"/>
          <w:lang w:eastAsia="zh-CN"/>
        </w:rPr>
      </w:pPr>
      <w:hyperlink w:anchor="_Toc89966372" w:history="1">
        <w:r w:rsidR="00D87410" w:rsidRPr="009D1A9D">
          <w:rPr>
            <w:rStyle w:val="Hyperlink"/>
            <w:rFonts w:ascii="Arial Bold" w:hAnsi="Arial Bold"/>
            <w:noProof/>
          </w:rPr>
          <w:t>3.4</w:t>
        </w:r>
        <w:r w:rsidR="00D87410">
          <w:rPr>
            <w:rFonts w:eastAsiaTheme="minorEastAsia"/>
            <w:b w:val="0"/>
            <w:noProof/>
            <w:color w:val="auto"/>
            <w:sz w:val="22"/>
            <w:szCs w:val="22"/>
            <w:lang w:eastAsia="zh-CN"/>
          </w:rPr>
          <w:tab/>
        </w:r>
        <w:r w:rsidR="00D87410" w:rsidRPr="009D1A9D">
          <w:rPr>
            <w:rStyle w:val="Hyperlink"/>
            <w:noProof/>
          </w:rPr>
          <w:t>Steam Generator Tube Rupture Source Term</w:t>
        </w:r>
        <w:r w:rsidR="00D87410">
          <w:rPr>
            <w:noProof/>
            <w:webHidden/>
          </w:rPr>
          <w:tab/>
        </w:r>
        <w:r w:rsidR="00D87410">
          <w:rPr>
            <w:noProof/>
            <w:webHidden/>
          </w:rPr>
          <w:fldChar w:fldCharType="begin"/>
        </w:r>
        <w:r w:rsidR="00D87410">
          <w:rPr>
            <w:noProof/>
            <w:webHidden/>
          </w:rPr>
          <w:instrText xml:space="preserve"> PAGEREF _Toc89966372 \h </w:instrText>
        </w:r>
        <w:r w:rsidR="00D87410">
          <w:rPr>
            <w:noProof/>
            <w:webHidden/>
          </w:rPr>
        </w:r>
        <w:r w:rsidR="00D87410">
          <w:rPr>
            <w:noProof/>
            <w:webHidden/>
          </w:rPr>
          <w:fldChar w:fldCharType="separate"/>
        </w:r>
        <w:r w:rsidR="00D87410">
          <w:rPr>
            <w:noProof/>
            <w:webHidden/>
          </w:rPr>
          <w:t>11</w:t>
        </w:r>
        <w:r w:rsidR="00D87410">
          <w:rPr>
            <w:noProof/>
            <w:webHidden/>
          </w:rPr>
          <w:fldChar w:fldCharType="end"/>
        </w:r>
      </w:hyperlink>
    </w:p>
    <w:p w14:paraId="6AAD9473" w14:textId="577B1E3B" w:rsidR="00D87410" w:rsidRDefault="00E1738F">
      <w:pPr>
        <w:pStyle w:val="TOC1"/>
        <w:tabs>
          <w:tab w:val="left" w:pos="1344"/>
        </w:tabs>
        <w:rPr>
          <w:rFonts w:asciiTheme="minorHAnsi" w:eastAsiaTheme="minorEastAsia" w:hAnsiTheme="minorHAnsi"/>
          <w:b w:val="0"/>
          <w:noProof/>
          <w:color w:val="auto"/>
          <w:sz w:val="22"/>
          <w:szCs w:val="22"/>
          <w:lang w:eastAsia="zh-CN"/>
        </w:rPr>
      </w:pPr>
      <w:hyperlink w:anchor="_Toc89966373" w:history="1">
        <w:r w:rsidR="00D87410" w:rsidRPr="009D1A9D">
          <w:rPr>
            <w:rStyle w:val="Hyperlink"/>
            <w:rFonts w:ascii="Arial Bold" w:hAnsi="Arial Bold"/>
            <w:noProof/>
          </w:rPr>
          <w:t>4</w:t>
        </w:r>
        <w:r w:rsidR="00D87410">
          <w:rPr>
            <w:rFonts w:asciiTheme="minorHAnsi" w:eastAsiaTheme="minorEastAsia" w:hAnsiTheme="minorHAnsi"/>
            <w:b w:val="0"/>
            <w:noProof/>
            <w:color w:val="auto"/>
            <w:sz w:val="22"/>
            <w:szCs w:val="22"/>
            <w:lang w:eastAsia="zh-CN"/>
          </w:rPr>
          <w:tab/>
        </w:r>
        <w:r w:rsidR="00D87410" w:rsidRPr="009D1A9D">
          <w:rPr>
            <w:rStyle w:val="Hyperlink"/>
            <w:noProof/>
          </w:rPr>
          <w:t>Methodology</w:t>
        </w:r>
        <w:r w:rsidR="00D87410">
          <w:rPr>
            <w:noProof/>
            <w:webHidden/>
          </w:rPr>
          <w:tab/>
        </w:r>
        <w:r w:rsidR="00D87410">
          <w:rPr>
            <w:noProof/>
            <w:webHidden/>
          </w:rPr>
          <w:fldChar w:fldCharType="begin"/>
        </w:r>
        <w:r w:rsidR="00D87410">
          <w:rPr>
            <w:noProof/>
            <w:webHidden/>
          </w:rPr>
          <w:instrText xml:space="preserve"> PAGEREF _Toc89966373 \h </w:instrText>
        </w:r>
        <w:r w:rsidR="00D87410">
          <w:rPr>
            <w:noProof/>
            <w:webHidden/>
          </w:rPr>
        </w:r>
        <w:r w:rsidR="00D87410">
          <w:rPr>
            <w:noProof/>
            <w:webHidden/>
          </w:rPr>
          <w:fldChar w:fldCharType="separate"/>
        </w:r>
        <w:r w:rsidR="00D87410">
          <w:rPr>
            <w:noProof/>
            <w:webHidden/>
          </w:rPr>
          <w:t>12</w:t>
        </w:r>
        <w:r w:rsidR="00D87410">
          <w:rPr>
            <w:noProof/>
            <w:webHidden/>
          </w:rPr>
          <w:fldChar w:fldCharType="end"/>
        </w:r>
      </w:hyperlink>
    </w:p>
    <w:p w14:paraId="2024DFC3" w14:textId="725ED9AC" w:rsidR="00D87410" w:rsidRDefault="00E1738F">
      <w:pPr>
        <w:pStyle w:val="TOC2"/>
        <w:rPr>
          <w:rFonts w:eastAsiaTheme="minorEastAsia"/>
          <w:b w:val="0"/>
          <w:noProof/>
          <w:color w:val="auto"/>
          <w:sz w:val="22"/>
          <w:szCs w:val="22"/>
          <w:lang w:eastAsia="zh-CN"/>
        </w:rPr>
      </w:pPr>
      <w:hyperlink w:anchor="_Toc89966374" w:history="1">
        <w:r w:rsidR="00D87410" w:rsidRPr="009D1A9D">
          <w:rPr>
            <w:rStyle w:val="Hyperlink"/>
            <w:rFonts w:ascii="Arial Bold" w:hAnsi="Arial Bold"/>
            <w:noProof/>
          </w:rPr>
          <w:t>4.1</w:t>
        </w:r>
        <w:r w:rsidR="00D87410">
          <w:rPr>
            <w:rFonts w:eastAsiaTheme="minorEastAsia"/>
            <w:b w:val="0"/>
            <w:noProof/>
            <w:color w:val="auto"/>
            <w:sz w:val="22"/>
            <w:szCs w:val="22"/>
            <w:lang w:eastAsia="zh-CN"/>
          </w:rPr>
          <w:tab/>
        </w:r>
        <w:r w:rsidR="00D87410" w:rsidRPr="009D1A9D">
          <w:rPr>
            <w:rStyle w:val="Hyperlink"/>
            <w:noProof/>
          </w:rPr>
          <w:t>Model endpoints</w:t>
        </w:r>
        <w:r w:rsidR="00D87410">
          <w:rPr>
            <w:noProof/>
            <w:webHidden/>
          </w:rPr>
          <w:tab/>
        </w:r>
        <w:r w:rsidR="00D87410">
          <w:rPr>
            <w:noProof/>
            <w:webHidden/>
          </w:rPr>
          <w:fldChar w:fldCharType="begin"/>
        </w:r>
        <w:r w:rsidR="00D87410">
          <w:rPr>
            <w:noProof/>
            <w:webHidden/>
          </w:rPr>
          <w:instrText xml:space="preserve"> PAGEREF _Toc89966374 \h </w:instrText>
        </w:r>
        <w:r w:rsidR="00D87410">
          <w:rPr>
            <w:noProof/>
            <w:webHidden/>
          </w:rPr>
        </w:r>
        <w:r w:rsidR="00D87410">
          <w:rPr>
            <w:noProof/>
            <w:webHidden/>
          </w:rPr>
          <w:fldChar w:fldCharType="separate"/>
        </w:r>
        <w:r w:rsidR="00D87410">
          <w:rPr>
            <w:noProof/>
            <w:webHidden/>
          </w:rPr>
          <w:t>13</w:t>
        </w:r>
        <w:r w:rsidR="00D87410">
          <w:rPr>
            <w:noProof/>
            <w:webHidden/>
          </w:rPr>
          <w:fldChar w:fldCharType="end"/>
        </w:r>
      </w:hyperlink>
    </w:p>
    <w:p w14:paraId="41A90977" w14:textId="478C2FFD" w:rsidR="00D87410" w:rsidRDefault="00E1738F">
      <w:pPr>
        <w:pStyle w:val="TOC2"/>
        <w:rPr>
          <w:rFonts w:eastAsiaTheme="minorEastAsia"/>
          <w:b w:val="0"/>
          <w:noProof/>
          <w:color w:val="auto"/>
          <w:sz w:val="22"/>
          <w:szCs w:val="22"/>
          <w:lang w:eastAsia="zh-CN"/>
        </w:rPr>
      </w:pPr>
      <w:hyperlink w:anchor="_Toc89966375" w:history="1">
        <w:r w:rsidR="00D87410" w:rsidRPr="009D1A9D">
          <w:rPr>
            <w:rStyle w:val="Hyperlink"/>
            <w:rFonts w:ascii="Arial Bold" w:hAnsi="Arial Bold"/>
            <w:noProof/>
          </w:rPr>
          <w:t>4.2</w:t>
        </w:r>
        <w:r w:rsidR="00D87410">
          <w:rPr>
            <w:rFonts w:eastAsiaTheme="minorEastAsia"/>
            <w:b w:val="0"/>
            <w:noProof/>
            <w:color w:val="auto"/>
            <w:sz w:val="22"/>
            <w:szCs w:val="22"/>
            <w:lang w:eastAsia="zh-CN"/>
          </w:rPr>
          <w:tab/>
        </w:r>
        <w:r w:rsidR="00D87410" w:rsidRPr="009D1A9D">
          <w:rPr>
            <w:rStyle w:val="Hyperlink"/>
            <w:noProof/>
          </w:rPr>
          <w:t>Definitions and modelling assumptions</w:t>
        </w:r>
        <w:r w:rsidR="00D87410">
          <w:rPr>
            <w:noProof/>
            <w:webHidden/>
          </w:rPr>
          <w:tab/>
        </w:r>
        <w:r w:rsidR="00D87410">
          <w:rPr>
            <w:noProof/>
            <w:webHidden/>
          </w:rPr>
          <w:fldChar w:fldCharType="begin"/>
        </w:r>
        <w:r w:rsidR="00D87410">
          <w:rPr>
            <w:noProof/>
            <w:webHidden/>
          </w:rPr>
          <w:instrText xml:space="preserve"> PAGEREF _Toc89966375 \h </w:instrText>
        </w:r>
        <w:r w:rsidR="00D87410">
          <w:rPr>
            <w:noProof/>
            <w:webHidden/>
          </w:rPr>
        </w:r>
        <w:r w:rsidR="00D87410">
          <w:rPr>
            <w:noProof/>
            <w:webHidden/>
          </w:rPr>
          <w:fldChar w:fldCharType="separate"/>
        </w:r>
        <w:r w:rsidR="00D87410">
          <w:rPr>
            <w:noProof/>
            <w:webHidden/>
          </w:rPr>
          <w:t>14</w:t>
        </w:r>
        <w:r w:rsidR="00D87410">
          <w:rPr>
            <w:noProof/>
            <w:webHidden/>
          </w:rPr>
          <w:fldChar w:fldCharType="end"/>
        </w:r>
      </w:hyperlink>
    </w:p>
    <w:p w14:paraId="0CDCFAF7" w14:textId="58B9A51E" w:rsidR="00D87410" w:rsidRDefault="00E1738F">
      <w:pPr>
        <w:pStyle w:val="TOC3"/>
        <w:rPr>
          <w:rFonts w:eastAsiaTheme="minorEastAsia"/>
          <w:noProof/>
          <w:sz w:val="22"/>
          <w:szCs w:val="22"/>
          <w:lang w:eastAsia="zh-CN"/>
        </w:rPr>
      </w:pPr>
      <w:hyperlink w:anchor="_Toc89966376" w:history="1">
        <w:r w:rsidR="00D87410" w:rsidRPr="009D1A9D">
          <w:rPr>
            <w:rStyle w:val="Hyperlink"/>
            <w:rFonts w:ascii="Arial Bold" w:hAnsi="Arial Bold"/>
            <w:noProof/>
          </w:rPr>
          <w:t>4.2.1</w:t>
        </w:r>
        <w:r w:rsidR="00D87410">
          <w:rPr>
            <w:rFonts w:eastAsiaTheme="minorEastAsia"/>
            <w:noProof/>
            <w:sz w:val="22"/>
            <w:szCs w:val="22"/>
            <w:lang w:eastAsia="zh-CN"/>
          </w:rPr>
          <w:tab/>
        </w:r>
        <w:r w:rsidR="00D87410" w:rsidRPr="009D1A9D">
          <w:rPr>
            <w:rStyle w:val="Hyperlink"/>
            <w:noProof/>
          </w:rPr>
          <w:t>Importance of assumptions relating to cows’ milk and milk products</w:t>
        </w:r>
        <w:r w:rsidR="00D87410">
          <w:rPr>
            <w:noProof/>
            <w:webHidden/>
          </w:rPr>
          <w:tab/>
        </w:r>
        <w:r w:rsidR="00D87410">
          <w:rPr>
            <w:noProof/>
            <w:webHidden/>
          </w:rPr>
          <w:fldChar w:fldCharType="begin"/>
        </w:r>
        <w:r w:rsidR="00D87410">
          <w:rPr>
            <w:noProof/>
            <w:webHidden/>
          </w:rPr>
          <w:instrText xml:space="preserve"> PAGEREF _Toc89966376 \h </w:instrText>
        </w:r>
        <w:r w:rsidR="00D87410">
          <w:rPr>
            <w:noProof/>
            <w:webHidden/>
          </w:rPr>
        </w:r>
        <w:r w:rsidR="00D87410">
          <w:rPr>
            <w:noProof/>
            <w:webHidden/>
          </w:rPr>
          <w:fldChar w:fldCharType="separate"/>
        </w:r>
        <w:r w:rsidR="00D87410">
          <w:rPr>
            <w:noProof/>
            <w:webHidden/>
          </w:rPr>
          <w:t>15</w:t>
        </w:r>
        <w:r w:rsidR="00D87410">
          <w:rPr>
            <w:noProof/>
            <w:webHidden/>
          </w:rPr>
          <w:fldChar w:fldCharType="end"/>
        </w:r>
      </w:hyperlink>
    </w:p>
    <w:p w14:paraId="14949C51" w14:textId="2A023005" w:rsidR="00D87410" w:rsidRDefault="00E1738F">
      <w:pPr>
        <w:pStyle w:val="TOC2"/>
        <w:rPr>
          <w:rFonts w:eastAsiaTheme="minorEastAsia"/>
          <w:b w:val="0"/>
          <w:noProof/>
          <w:color w:val="auto"/>
          <w:sz w:val="22"/>
          <w:szCs w:val="22"/>
          <w:lang w:eastAsia="zh-CN"/>
        </w:rPr>
      </w:pPr>
      <w:hyperlink w:anchor="_Toc89966377" w:history="1">
        <w:r w:rsidR="00D87410" w:rsidRPr="009D1A9D">
          <w:rPr>
            <w:rStyle w:val="Hyperlink"/>
            <w:rFonts w:ascii="Arial Bold" w:hAnsi="Arial Bold"/>
            <w:noProof/>
          </w:rPr>
          <w:t>4.3</w:t>
        </w:r>
        <w:r w:rsidR="00D87410">
          <w:rPr>
            <w:rFonts w:eastAsiaTheme="minorEastAsia"/>
            <w:b w:val="0"/>
            <w:noProof/>
            <w:color w:val="auto"/>
            <w:sz w:val="22"/>
            <w:szCs w:val="22"/>
            <w:lang w:eastAsia="zh-CN"/>
          </w:rPr>
          <w:tab/>
        </w:r>
        <w:r w:rsidR="00D87410" w:rsidRPr="009D1A9D">
          <w:rPr>
            <w:rStyle w:val="Hyperlink"/>
            <w:noProof/>
          </w:rPr>
          <w:t>PACE Modelling</w:t>
        </w:r>
        <w:r w:rsidR="00D87410">
          <w:rPr>
            <w:noProof/>
            <w:webHidden/>
          </w:rPr>
          <w:tab/>
        </w:r>
        <w:r w:rsidR="00D87410">
          <w:rPr>
            <w:noProof/>
            <w:webHidden/>
          </w:rPr>
          <w:fldChar w:fldCharType="begin"/>
        </w:r>
        <w:r w:rsidR="00D87410">
          <w:rPr>
            <w:noProof/>
            <w:webHidden/>
          </w:rPr>
          <w:instrText xml:space="preserve"> PAGEREF _Toc89966377 \h </w:instrText>
        </w:r>
        <w:r w:rsidR="00D87410">
          <w:rPr>
            <w:noProof/>
            <w:webHidden/>
          </w:rPr>
        </w:r>
        <w:r w:rsidR="00D87410">
          <w:rPr>
            <w:noProof/>
            <w:webHidden/>
          </w:rPr>
          <w:fldChar w:fldCharType="separate"/>
        </w:r>
        <w:r w:rsidR="00D87410">
          <w:rPr>
            <w:noProof/>
            <w:webHidden/>
          </w:rPr>
          <w:t>15</w:t>
        </w:r>
        <w:r w:rsidR="00D87410">
          <w:rPr>
            <w:noProof/>
            <w:webHidden/>
          </w:rPr>
          <w:fldChar w:fldCharType="end"/>
        </w:r>
      </w:hyperlink>
    </w:p>
    <w:p w14:paraId="243D86F3" w14:textId="4FA8FFF6" w:rsidR="00D87410" w:rsidRDefault="00E1738F">
      <w:pPr>
        <w:pStyle w:val="TOC3"/>
        <w:rPr>
          <w:rFonts w:eastAsiaTheme="minorEastAsia"/>
          <w:noProof/>
          <w:sz w:val="22"/>
          <w:szCs w:val="22"/>
          <w:lang w:eastAsia="zh-CN"/>
        </w:rPr>
      </w:pPr>
      <w:hyperlink w:anchor="_Toc89966378" w:history="1">
        <w:r w:rsidR="00D87410" w:rsidRPr="009D1A9D">
          <w:rPr>
            <w:rStyle w:val="Hyperlink"/>
            <w:rFonts w:ascii="Arial Bold" w:hAnsi="Arial Bold"/>
            <w:noProof/>
          </w:rPr>
          <w:t>4.3.1</w:t>
        </w:r>
        <w:r w:rsidR="00D87410">
          <w:rPr>
            <w:rFonts w:eastAsiaTheme="minorEastAsia"/>
            <w:noProof/>
            <w:sz w:val="22"/>
            <w:szCs w:val="22"/>
            <w:lang w:eastAsia="zh-CN"/>
          </w:rPr>
          <w:tab/>
        </w:r>
        <w:r w:rsidR="00D87410" w:rsidRPr="009D1A9D">
          <w:rPr>
            <w:rStyle w:val="Hyperlink"/>
            <w:noProof/>
          </w:rPr>
          <w:t>PACE</w:t>
        </w:r>
        <w:r w:rsidR="00D87410">
          <w:rPr>
            <w:noProof/>
            <w:webHidden/>
          </w:rPr>
          <w:tab/>
        </w:r>
        <w:r w:rsidR="00D87410">
          <w:rPr>
            <w:noProof/>
            <w:webHidden/>
          </w:rPr>
          <w:fldChar w:fldCharType="begin"/>
        </w:r>
        <w:r w:rsidR="00D87410">
          <w:rPr>
            <w:noProof/>
            <w:webHidden/>
          </w:rPr>
          <w:instrText xml:space="preserve"> PAGEREF _Toc89966378 \h </w:instrText>
        </w:r>
        <w:r w:rsidR="00D87410">
          <w:rPr>
            <w:noProof/>
            <w:webHidden/>
          </w:rPr>
        </w:r>
        <w:r w:rsidR="00D87410">
          <w:rPr>
            <w:noProof/>
            <w:webHidden/>
          </w:rPr>
          <w:fldChar w:fldCharType="separate"/>
        </w:r>
        <w:r w:rsidR="00D87410">
          <w:rPr>
            <w:noProof/>
            <w:webHidden/>
          </w:rPr>
          <w:t>15</w:t>
        </w:r>
        <w:r w:rsidR="00D87410">
          <w:rPr>
            <w:noProof/>
            <w:webHidden/>
          </w:rPr>
          <w:fldChar w:fldCharType="end"/>
        </w:r>
      </w:hyperlink>
    </w:p>
    <w:p w14:paraId="676EE29B" w14:textId="4A063F44" w:rsidR="00D87410" w:rsidRDefault="00E1738F">
      <w:pPr>
        <w:pStyle w:val="TOC4"/>
        <w:rPr>
          <w:rFonts w:eastAsiaTheme="minorEastAsia"/>
          <w:i w:val="0"/>
          <w:noProof/>
          <w:sz w:val="22"/>
          <w:szCs w:val="22"/>
          <w:lang w:eastAsia="zh-CN"/>
        </w:rPr>
      </w:pPr>
      <w:hyperlink w:anchor="_Toc89966379" w:history="1">
        <w:r w:rsidR="00D87410" w:rsidRPr="009D1A9D">
          <w:rPr>
            <w:rStyle w:val="Hyperlink"/>
            <w:rFonts w:ascii="Arial Bold" w:hAnsi="Arial Bold"/>
            <w:noProof/>
          </w:rPr>
          <w:t>4.3.1.1</w:t>
        </w:r>
        <w:r w:rsidR="00D87410">
          <w:rPr>
            <w:rFonts w:eastAsiaTheme="minorEastAsia"/>
            <w:i w:val="0"/>
            <w:noProof/>
            <w:sz w:val="22"/>
            <w:szCs w:val="22"/>
            <w:lang w:eastAsia="zh-CN"/>
          </w:rPr>
          <w:tab/>
        </w:r>
        <w:r w:rsidR="00D87410" w:rsidRPr="009D1A9D">
          <w:rPr>
            <w:rStyle w:val="Hyperlink"/>
            <w:noProof/>
          </w:rPr>
          <w:t>Internal exposure from the inhalation of material from the plume</w:t>
        </w:r>
        <w:r w:rsidR="00D87410">
          <w:rPr>
            <w:noProof/>
            <w:webHidden/>
          </w:rPr>
          <w:tab/>
        </w:r>
        <w:r w:rsidR="00D87410">
          <w:rPr>
            <w:noProof/>
            <w:webHidden/>
          </w:rPr>
          <w:fldChar w:fldCharType="begin"/>
        </w:r>
        <w:r w:rsidR="00D87410">
          <w:rPr>
            <w:noProof/>
            <w:webHidden/>
          </w:rPr>
          <w:instrText xml:space="preserve"> PAGEREF _Toc89966379 \h </w:instrText>
        </w:r>
        <w:r w:rsidR="00D87410">
          <w:rPr>
            <w:noProof/>
            <w:webHidden/>
          </w:rPr>
        </w:r>
        <w:r w:rsidR="00D87410">
          <w:rPr>
            <w:noProof/>
            <w:webHidden/>
          </w:rPr>
          <w:fldChar w:fldCharType="separate"/>
        </w:r>
        <w:r w:rsidR="00D87410">
          <w:rPr>
            <w:noProof/>
            <w:webHidden/>
          </w:rPr>
          <w:t>16</w:t>
        </w:r>
        <w:r w:rsidR="00D87410">
          <w:rPr>
            <w:noProof/>
            <w:webHidden/>
          </w:rPr>
          <w:fldChar w:fldCharType="end"/>
        </w:r>
      </w:hyperlink>
    </w:p>
    <w:p w14:paraId="23F83558" w14:textId="12800233" w:rsidR="00D87410" w:rsidRDefault="00E1738F">
      <w:pPr>
        <w:pStyle w:val="TOC4"/>
        <w:rPr>
          <w:rFonts w:eastAsiaTheme="minorEastAsia"/>
          <w:i w:val="0"/>
          <w:noProof/>
          <w:sz w:val="22"/>
          <w:szCs w:val="22"/>
          <w:lang w:eastAsia="zh-CN"/>
        </w:rPr>
      </w:pPr>
      <w:hyperlink w:anchor="_Toc89966380" w:history="1">
        <w:r w:rsidR="00D87410" w:rsidRPr="009D1A9D">
          <w:rPr>
            <w:rStyle w:val="Hyperlink"/>
            <w:rFonts w:ascii="Arial Bold" w:hAnsi="Arial Bold"/>
            <w:noProof/>
          </w:rPr>
          <w:t>4.3.1.2</w:t>
        </w:r>
        <w:r w:rsidR="00D87410">
          <w:rPr>
            <w:rFonts w:eastAsiaTheme="minorEastAsia"/>
            <w:i w:val="0"/>
            <w:noProof/>
            <w:sz w:val="22"/>
            <w:szCs w:val="22"/>
            <w:lang w:eastAsia="zh-CN"/>
          </w:rPr>
          <w:tab/>
        </w:r>
        <w:r w:rsidR="00D87410" w:rsidRPr="009D1A9D">
          <w:rPr>
            <w:rStyle w:val="Hyperlink"/>
            <w:noProof/>
          </w:rPr>
          <w:t>External exposure from material in the radioactive plume</w:t>
        </w:r>
        <w:r w:rsidR="00D87410">
          <w:rPr>
            <w:noProof/>
            <w:webHidden/>
          </w:rPr>
          <w:tab/>
        </w:r>
        <w:r w:rsidR="00D87410">
          <w:rPr>
            <w:noProof/>
            <w:webHidden/>
          </w:rPr>
          <w:fldChar w:fldCharType="begin"/>
        </w:r>
        <w:r w:rsidR="00D87410">
          <w:rPr>
            <w:noProof/>
            <w:webHidden/>
          </w:rPr>
          <w:instrText xml:space="preserve"> PAGEREF _Toc89966380 \h </w:instrText>
        </w:r>
        <w:r w:rsidR="00D87410">
          <w:rPr>
            <w:noProof/>
            <w:webHidden/>
          </w:rPr>
        </w:r>
        <w:r w:rsidR="00D87410">
          <w:rPr>
            <w:noProof/>
            <w:webHidden/>
          </w:rPr>
          <w:fldChar w:fldCharType="separate"/>
        </w:r>
        <w:r w:rsidR="00D87410">
          <w:rPr>
            <w:noProof/>
            <w:webHidden/>
          </w:rPr>
          <w:t>16</w:t>
        </w:r>
        <w:r w:rsidR="00D87410">
          <w:rPr>
            <w:noProof/>
            <w:webHidden/>
          </w:rPr>
          <w:fldChar w:fldCharType="end"/>
        </w:r>
      </w:hyperlink>
    </w:p>
    <w:p w14:paraId="04232D11" w14:textId="5EC10F8D" w:rsidR="00D87410" w:rsidRDefault="00E1738F">
      <w:pPr>
        <w:pStyle w:val="TOC4"/>
        <w:rPr>
          <w:rFonts w:eastAsiaTheme="minorEastAsia"/>
          <w:i w:val="0"/>
          <w:noProof/>
          <w:sz w:val="22"/>
          <w:szCs w:val="22"/>
          <w:lang w:eastAsia="zh-CN"/>
        </w:rPr>
      </w:pPr>
      <w:hyperlink w:anchor="_Toc89966381" w:history="1">
        <w:r w:rsidR="00D87410" w:rsidRPr="009D1A9D">
          <w:rPr>
            <w:rStyle w:val="Hyperlink"/>
            <w:rFonts w:ascii="Arial Bold" w:hAnsi="Arial Bold"/>
            <w:noProof/>
          </w:rPr>
          <w:t>4.3.1.3</w:t>
        </w:r>
        <w:r w:rsidR="00D87410">
          <w:rPr>
            <w:rFonts w:eastAsiaTheme="minorEastAsia"/>
            <w:i w:val="0"/>
            <w:noProof/>
            <w:sz w:val="22"/>
            <w:szCs w:val="22"/>
            <w:lang w:eastAsia="zh-CN"/>
          </w:rPr>
          <w:tab/>
        </w:r>
        <w:r w:rsidR="00D87410" w:rsidRPr="009D1A9D">
          <w:rPr>
            <w:rStyle w:val="Hyperlink"/>
            <w:noProof/>
          </w:rPr>
          <w:t>External exposure from material deposited on the ground</w:t>
        </w:r>
        <w:r w:rsidR="00D87410">
          <w:rPr>
            <w:noProof/>
            <w:webHidden/>
          </w:rPr>
          <w:tab/>
        </w:r>
        <w:r w:rsidR="00D87410">
          <w:rPr>
            <w:noProof/>
            <w:webHidden/>
          </w:rPr>
          <w:fldChar w:fldCharType="begin"/>
        </w:r>
        <w:r w:rsidR="00D87410">
          <w:rPr>
            <w:noProof/>
            <w:webHidden/>
          </w:rPr>
          <w:instrText xml:space="preserve"> PAGEREF _Toc89966381 \h </w:instrText>
        </w:r>
        <w:r w:rsidR="00D87410">
          <w:rPr>
            <w:noProof/>
            <w:webHidden/>
          </w:rPr>
        </w:r>
        <w:r w:rsidR="00D87410">
          <w:rPr>
            <w:noProof/>
            <w:webHidden/>
          </w:rPr>
          <w:fldChar w:fldCharType="separate"/>
        </w:r>
        <w:r w:rsidR="00D87410">
          <w:rPr>
            <w:noProof/>
            <w:webHidden/>
          </w:rPr>
          <w:t>17</w:t>
        </w:r>
        <w:r w:rsidR="00D87410">
          <w:rPr>
            <w:noProof/>
            <w:webHidden/>
          </w:rPr>
          <w:fldChar w:fldCharType="end"/>
        </w:r>
      </w:hyperlink>
    </w:p>
    <w:p w14:paraId="54848C36" w14:textId="3699A620" w:rsidR="00D87410" w:rsidRDefault="00E1738F">
      <w:pPr>
        <w:pStyle w:val="TOC4"/>
        <w:rPr>
          <w:rFonts w:eastAsiaTheme="minorEastAsia"/>
          <w:i w:val="0"/>
          <w:noProof/>
          <w:sz w:val="22"/>
          <w:szCs w:val="22"/>
          <w:lang w:eastAsia="zh-CN"/>
        </w:rPr>
      </w:pPr>
      <w:hyperlink w:anchor="_Toc89966382" w:history="1">
        <w:r w:rsidR="00D87410" w:rsidRPr="009D1A9D">
          <w:rPr>
            <w:rStyle w:val="Hyperlink"/>
            <w:rFonts w:ascii="Arial Bold" w:hAnsi="Arial Bold"/>
            <w:noProof/>
          </w:rPr>
          <w:t>4.3.1.4</w:t>
        </w:r>
        <w:r w:rsidR="00D87410">
          <w:rPr>
            <w:rFonts w:eastAsiaTheme="minorEastAsia"/>
            <w:i w:val="0"/>
            <w:noProof/>
            <w:sz w:val="22"/>
            <w:szCs w:val="22"/>
            <w:lang w:eastAsia="zh-CN"/>
          </w:rPr>
          <w:tab/>
        </w:r>
        <w:r w:rsidR="00D87410" w:rsidRPr="009D1A9D">
          <w:rPr>
            <w:rStyle w:val="Hyperlink"/>
            <w:noProof/>
          </w:rPr>
          <w:t>Internal exposure from ingested material</w:t>
        </w:r>
        <w:r w:rsidR="00D87410">
          <w:rPr>
            <w:noProof/>
            <w:webHidden/>
          </w:rPr>
          <w:tab/>
        </w:r>
        <w:r w:rsidR="00D87410">
          <w:rPr>
            <w:noProof/>
            <w:webHidden/>
          </w:rPr>
          <w:fldChar w:fldCharType="begin"/>
        </w:r>
        <w:r w:rsidR="00D87410">
          <w:rPr>
            <w:noProof/>
            <w:webHidden/>
          </w:rPr>
          <w:instrText xml:space="preserve"> PAGEREF _Toc89966382 \h </w:instrText>
        </w:r>
        <w:r w:rsidR="00D87410">
          <w:rPr>
            <w:noProof/>
            <w:webHidden/>
          </w:rPr>
        </w:r>
        <w:r w:rsidR="00D87410">
          <w:rPr>
            <w:noProof/>
            <w:webHidden/>
          </w:rPr>
          <w:fldChar w:fldCharType="separate"/>
        </w:r>
        <w:r w:rsidR="00D87410">
          <w:rPr>
            <w:noProof/>
            <w:webHidden/>
          </w:rPr>
          <w:t>17</w:t>
        </w:r>
        <w:r w:rsidR="00D87410">
          <w:rPr>
            <w:noProof/>
            <w:webHidden/>
          </w:rPr>
          <w:fldChar w:fldCharType="end"/>
        </w:r>
      </w:hyperlink>
    </w:p>
    <w:p w14:paraId="7C03E5CE" w14:textId="2ED6E328" w:rsidR="00D87410" w:rsidRDefault="00E1738F">
      <w:pPr>
        <w:pStyle w:val="TOC4"/>
        <w:rPr>
          <w:rFonts w:eastAsiaTheme="minorEastAsia"/>
          <w:i w:val="0"/>
          <w:noProof/>
          <w:sz w:val="22"/>
          <w:szCs w:val="22"/>
          <w:lang w:eastAsia="zh-CN"/>
        </w:rPr>
      </w:pPr>
      <w:hyperlink w:anchor="_Toc89966383" w:history="1">
        <w:r w:rsidR="00D87410" w:rsidRPr="009D1A9D">
          <w:rPr>
            <w:rStyle w:val="Hyperlink"/>
            <w:rFonts w:ascii="Arial Bold" w:hAnsi="Arial Bold"/>
            <w:noProof/>
          </w:rPr>
          <w:t>4.3.1.5</w:t>
        </w:r>
        <w:r w:rsidR="00D87410">
          <w:rPr>
            <w:rFonts w:eastAsiaTheme="minorEastAsia"/>
            <w:i w:val="0"/>
            <w:noProof/>
            <w:sz w:val="22"/>
            <w:szCs w:val="22"/>
            <w:lang w:eastAsia="zh-CN"/>
          </w:rPr>
          <w:tab/>
        </w:r>
        <w:r w:rsidR="00D87410" w:rsidRPr="009D1A9D">
          <w:rPr>
            <w:rStyle w:val="Hyperlink"/>
            <w:noProof/>
          </w:rPr>
          <w:t>Food restrictions</w:t>
        </w:r>
        <w:r w:rsidR="00D87410">
          <w:rPr>
            <w:noProof/>
            <w:webHidden/>
          </w:rPr>
          <w:tab/>
        </w:r>
        <w:r w:rsidR="00D87410">
          <w:rPr>
            <w:noProof/>
            <w:webHidden/>
          </w:rPr>
          <w:fldChar w:fldCharType="begin"/>
        </w:r>
        <w:r w:rsidR="00D87410">
          <w:rPr>
            <w:noProof/>
            <w:webHidden/>
          </w:rPr>
          <w:instrText xml:space="preserve"> PAGEREF _Toc89966383 \h </w:instrText>
        </w:r>
        <w:r w:rsidR="00D87410">
          <w:rPr>
            <w:noProof/>
            <w:webHidden/>
          </w:rPr>
        </w:r>
        <w:r w:rsidR="00D87410">
          <w:rPr>
            <w:noProof/>
            <w:webHidden/>
          </w:rPr>
          <w:fldChar w:fldCharType="separate"/>
        </w:r>
        <w:r w:rsidR="00D87410">
          <w:rPr>
            <w:noProof/>
            <w:webHidden/>
          </w:rPr>
          <w:t>18</w:t>
        </w:r>
        <w:r w:rsidR="00D87410">
          <w:rPr>
            <w:noProof/>
            <w:webHidden/>
          </w:rPr>
          <w:fldChar w:fldCharType="end"/>
        </w:r>
      </w:hyperlink>
    </w:p>
    <w:p w14:paraId="3C940925" w14:textId="0DE9B311" w:rsidR="00D87410" w:rsidRDefault="00E1738F">
      <w:pPr>
        <w:pStyle w:val="TOC3"/>
        <w:rPr>
          <w:rFonts w:eastAsiaTheme="minorEastAsia"/>
          <w:noProof/>
          <w:sz w:val="22"/>
          <w:szCs w:val="22"/>
          <w:lang w:eastAsia="zh-CN"/>
        </w:rPr>
      </w:pPr>
      <w:hyperlink w:anchor="_Toc89966384" w:history="1">
        <w:r w:rsidR="00D87410" w:rsidRPr="009D1A9D">
          <w:rPr>
            <w:rStyle w:val="Hyperlink"/>
            <w:rFonts w:ascii="Arial Bold" w:hAnsi="Arial Bold"/>
            <w:noProof/>
          </w:rPr>
          <w:t>4.3.2</w:t>
        </w:r>
        <w:r w:rsidR="00D87410">
          <w:rPr>
            <w:rFonts w:eastAsiaTheme="minorEastAsia"/>
            <w:noProof/>
            <w:sz w:val="22"/>
            <w:szCs w:val="22"/>
            <w:lang w:eastAsia="zh-CN"/>
          </w:rPr>
          <w:tab/>
        </w:r>
        <w:r w:rsidR="00D87410" w:rsidRPr="009D1A9D">
          <w:rPr>
            <w:rStyle w:val="Hyperlink"/>
            <w:noProof/>
          </w:rPr>
          <w:t>NAME in PACE Modelling</w:t>
        </w:r>
        <w:r w:rsidR="00D87410">
          <w:rPr>
            <w:noProof/>
            <w:webHidden/>
          </w:rPr>
          <w:tab/>
        </w:r>
        <w:r w:rsidR="00D87410">
          <w:rPr>
            <w:noProof/>
            <w:webHidden/>
          </w:rPr>
          <w:fldChar w:fldCharType="begin"/>
        </w:r>
        <w:r w:rsidR="00D87410">
          <w:rPr>
            <w:noProof/>
            <w:webHidden/>
          </w:rPr>
          <w:instrText xml:space="preserve"> PAGEREF _Toc89966384 \h </w:instrText>
        </w:r>
        <w:r w:rsidR="00D87410">
          <w:rPr>
            <w:noProof/>
            <w:webHidden/>
          </w:rPr>
        </w:r>
        <w:r w:rsidR="00D87410">
          <w:rPr>
            <w:noProof/>
            <w:webHidden/>
          </w:rPr>
          <w:fldChar w:fldCharType="separate"/>
        </w:r>
        <w:r w:rsidR="00D87410">
          <w:rPr>
            <w:noProof/>
            <w:webHidden/>
          </w:rPr>
          <w:t>19</w:t>
        </w:r>
        <w:r w:rsidR="00D87410">
          <w:rPr>
            <w:noProof/>
            <w:webHidden/>
          </w:rPr>
          <w:fldChar w:fldCharType="end"/>
        </w:r>
      </w:hyperlink>
    </w:p>
    <w:p w14:paraId="162FAD48" w14:textId="33BA8FC0" w:rsidR="00D87410" w:rsidRDefault="00E1738F">
      <w:pPr>
        <w:pStyle w:val="TOC4"/>
        <w:rPr>
          <w:rFonts w:eastAsiaTheme="minorEastAsia"/>
          <w:i w:val="0"/>
          <w:noProof/>
          <w:sz w:val="22"/>
          <w:szCs w:val="22"/>
          <w:lang w:eastAsia="zh-CN"/>
        </w:rPr>
      </w:pPr>
      <w:hyperlink w:anchor="_Toc89966385" w:history="1">
        <w:r w:rsidR="00D87410" w:rsidRPr="009D1A9D">
          <w:rPr>
            <w:rStyle w:val="Hyperlink"/>
            <w:rFonts w:ascii="Arial Bold" w:hAnsi="Arial Bold"/>
            <w:noProof/>
          </w:rPr>
          <w:t>4.3.2.1</w:t>
        </w:r>
        <w:r w:rsidR="00D87410">
          <w:rPr>
            <w:rFonts w:eastAsiaTheme="minorEastAsia"/>
            <w:i w:val="0"/>
            <w:noProof/>
            <w:sz w:val="22"/>
            <w:szCs w:val="22"/>
            <w:lang w:eastAsia="zh-CN"/>
          </w:rPr>
          <w:tab/>
        </w:r>
        <w:r w:rsidR="00D87410" w:rsidRPr="009D1A9D">
          <w:rPr>
            <w:rStyle w:val="Hyperlink"/>
            <w:noProof/>
          </w:rPr>
          <w:t>Meteorological data</w:t>
        </w:r>
        <w:r w:rsidR="00D87410">
          <w:rPr>
            <w:noProof/>
            <w:webHidden/>
          </w:rPr>
          <w:tab/>
        </w:r>
        <w:r w:rsidR="00D87410">
          <w:rPr>
            <w:noProof/>
            <w:webHidden/>
          </w:rPr>
          <w:fldChar w:fldCharType="begin"/>
        </w:r>
        <w:r w:rsidR="00D87410">
          <w:rPr>
            <w:noProof/>
            <w:webHidden/>
          </w:rPr>
          <w:instrText xml:space="preserve"> PAGEREF _Toc89966385 \h </w:instrText>
        </w:r>
        <w:r w:rsidR="00D87410">
          <w:rPr>
            <w:noProof/>
            <w:webHidden/>
          </w:rPr>
        </w:r>
        <w:r w:rsidR="00D87410">
          <w:rPr>
            <w:noProof/>
            <w:webHidden/>
          </w:rPr>
          <w:fldChar w:fldCharType="separate"/>
        </w:r>
        <w:r w:rsidR="00D87410">
          <w:rPr>
            <w:noProof/>
            <w:webHidden/>
          </w:rPr>
          <w:t>19</w:t>
        </w:r>
        <w:r w:rsidR="00D87410">
          <w:rPr>
            <w:noProof/>
            <w:webHidden/>
          </w:rPr>
          <w:fldChar w:fldCharType="end"/>
        </w:r>
      </w:hyperlink>
    </w:p>
    <w:p w14:paraId="3E1758A8" w14:textId="2C632A69" w:rsidR="00D87410" w:rsidRDefault="00E1738F">
      <w:pPr>
        <w:pStyle w:val="TOC4"/>
        <w:rPr>
          <w:rFonts w:eastAsiaTheme="minorEastAsia"/>
          <w:i w:val="0"/>
          <w:noProof/>
          <w:sz w:val="22"/>
          <w:szCs w:val="22"/>
          <w:lang w:eastAsia="zh-CN"/>
        </w:rPr>
      </w:pPr>
      <w:hyperlink w:anchor="_Toc89966386" w:history="1">
        <w:r w:rsidR="00D87410" w:rsidRPr="009D1A9D">
          <w:rPr>
            <w:rStyle w:val="Hyperlink"/>
            <w:rFonts w:ascii="Arial Bold" w:hAnsi="Arial Bold"/>
            <w:noProof/>
          </w:rPr>
          <w:t>4.3.2.2</w:t>
        </w:r>
        <w:r w:rsidR="00D87410">
          <w:rPr>
            <w:rFonts w:eastAsiaTheme="minorEastAsia"/>
            <w:i w:val="0"/>
            <w:noProof/>
            <w:sz w:val="22"/>
            <w:szCs w:val="22"/>
            <w:lang w:eastAsia="zh-CN"/>
          </w:rPr>
          <w:tab/>
        </w:r>
        <w:r w:rsidR="00D87410" w:rsidRPr="009D1A9D">
          <w:rPr>
            <w:rStyle w:val="Hyperlink"/>
            <w:noProof/>
          </w:rPr>
          <w:t>Run set-up</w:t>
        </w:r>
        <w:r w:rsidR="00D87410">
          <w:rPr>
            <w:noProof/>
            <w:webHidden/>
          </w:rPr>
          <w:tab/>
        </w:r>
        <w:r w:rsidR="00D87410">
          <w:rPr>
            <w:noProof/>
            <w:webHidden/>
          </w:rPr>
          <w:fldChar w:fldCharType="begin"/>
        </w:r>
        <w:r w:rsidR="00D87410">
          <w:rPr>
            <w:noProof/>
            <w:webHidden/>
          </w:rPr>
          <w:instrText xml:space="preserve"> PAGEREF _Toc89966386 \h </w:instrText>
        </w:r>
        <w:r w:rsidR="00D87410">
          <w:rPr>
            <w:noProof/>
            <w:webHidden/>
          </w:rPr>
        </w:r>
        <w:r w:rsidR="00D87410">
          <w:rPr>
            <w:noProof/>
            <w:webHidden/>
          </w:rPr>
          <w:fldChar w:fldCharType="separate"/>
        </w:r>
        <w:r w:rsidR="00D87410">
          <w:rPr>
            <w:noProof/>
            <w:webHidden/>
          </w:rPr>
          <w:t>19</w:t>
        </w:r>
        <w:r w:rsidR="00D87410">
          <w:rPr>
            <w:noProof/>
            <w:webHidden/>
          </w:rPr>
          <w:fldChar w:fldCharType="end"/>
        </w:r>
      </w:hyperlink>
    </w:p>
    <w:p w14:paraId="20B0F309" w14:textId="61A67811" w:rsidR="00D87410" w:rsidRDefault="00E1738F">
      <w:pPr>
        <w:pStyle w:val="TOC4"/>
        <w:rPr>
          <w:rFonts w:eastAsiaTheme="minorEastAsia"/>
          <w:i w:val="0"/>
          <w:noProof/>
          <w:sz w:val="22"/>
          <w:szCs w:val="22"/>
          <w:lang w:eastAsia="zh-CN"/>
        </w:rPr>
      </w:pPr>
      <w:hyperlink w:anchor="_Toc89966387" w:history="1">
        <w:r w:rsidR="00D87410" w:rsidRPr="009D1A9D">
          <w:rPr>
            <w:rStyle w:val="Hyperlink"/>
            <w:rFonts w:ascii="Arial Bold" w:hAnsi="Arial Bold"/>
            <w:noProof/>
          </w:rPr>
          <w:t>4.3.2.3</w:t>
        </w:r>
        <w:r w:rsidR="00D87410">
          <w:rPr>
            <w:rFonts w:eastAsiaTheme="minorEastAsia"/>
            <w:i w:val="0"/>
            <w:noProof/>
            <w:sz w:val="22"/>
            <w:szCs w:val="22"/>
            <w:lang w:eastAsia="zh-CN"/>
          </w:rPr>
          <w:tab/>
        </w:r>
        <w:r w:rsidR="00D87410" w:rsidRPr="009D1A9D">
          <w:rPr>
            <w:rStyle w:val="Hyperlink"/>
            <w:noProof/>
          </w:rPr>
          <w:t>PACE Analysis</w:t>
        </w:r>
        <w:r w:rsidR="00D87410">
          <w:rPr>
            <w:noProof/>
            <w:webHidden/>
          </w:rPr>
          <w:tab/>
        </w:r>
        <w:r w:rsidR="00D87410">
          <w:rPr>
            <w:noProof/>
            <w:webHidden/>
          </w:rPr>
          <w:fldChar w:fldCharType="begin"/>
        </w:r>
        <w:r w:rsidR="00D87410">
          <w:rPr>
            <w:noProof/>
            <w:webHidden/>
          </w:rPr>
          <w:instrText xml:space="preserve"> PAGEREF _Toc89966387 \h </w:instrText>
        </w:r>
        <w:r w:rsidR="00D87410">
          <w:rPr>
            <w:noProof/>
            <w:webHidden/>
          </w:rPr>
        </w:r>
        <w:r w:rsidR="00D87410">
          <w:rPr>
            <w:noProof/>
            <w:webHidden/>
          </w:rPr>
          <w:fldChar w:fldCharType="separate"/>
        </w:r>
        <w:r w:rsidR="00D87410">
          <w:rPr>
            <w:noProof/>
            <w:webHidden/>
          </w:rPr>
          <w:t>20</w:t>
        </w:r>
        <w:r w:rsidR="00D87410">
          <w:rPr>
            <w:noProof/>
            <w:webHidden/>
          </w:rPr>
          <w:fldChar w:fldCharType="end"/>
        </w:r>
      </w:hyperlink>
    </w:p>
    <w:p w14:paraId="3F68571E" w14:textId="141AFB33" w:rsidR="00D87410" w:rsidRDefault="00E1738F">
      <w:pPr>
        <w:pStyle w:val="TOC3"/>
        <w:rPr>
          <w:rFonts w:eastAsiaTheme="minorEastAsia"/>
          <w:noProof/>
          <w:sz w:val="22"/>
          <w:szCs w:val="22"/>
          <w:lang w:eastAsia="zh-CN"/>
        </w:rPr>
      </w:pPr>
      <w:hyperlink w:anchor="_Toc89966388" w:history="1">
        <w:r w:rsidR="00D87410" w:rsidRPr="009D1A9D">
          <w:rPr>
            <w:rStyle w:val="Hyperlink"/>
            <w:rFonts w:ascii="Arial Bold" w:hAnsi="Arial Bold"/>
            <w:noProof/>
          </w:rPr>
          <w:t>4.3.3</w:t>
        </w:r>
        <w:r w:rsidR="00D87410">
          <w:rPr>
            <w:rFonts w:eastAsiaTheme="minorEastAsia"/>
            <w:noProof/>
            <w:sz w:val="22"/>
            <w:szCs w:val="22"/>
            <w:lang w:eastAsia="zh-CN"/>
          </w:rPr>
          <w:tab/>
        </w:r>
        <w:r w:rsidR="00D87410" w:rsidRPr="009D1A9D">
          <w:rPr>
            <w:rStyle w:val="Hyperlink"/>
            <w:noProof/>
          </w:rPr>
          <w:t>ADEPT in PACE Modelling</w:t>
        </w:r>
        <w:r w:rsidR="00D87410">
          <w:rPr>
            <w:noProof/>
            <w:webHidden/>
          </w:rPr>
          <w:tab/>
        </w:r>
        <w:r w:rsidR="00D87410">
          <w:rPr>
            <w:noProof/>
            <w:webHidden/>
          </w:rPr>
          <w:fldChar w:fldCharType="begin"/>
        </w:r>
        <w:r w:rsidR="00D87410">
          <w:rPr>
            <w:noProof/>
            <w:webHidden/>
          </w:rPr>
          <w:instrText xml:space="preserve"> PAGEREF _Toc89966388 \h </w:instrText>
        </w:r>
        <w:r w:rsidR="00D87410">
          <w:rPr>
            <w:noProof/>
            <w:webHidden/>
          </w:rPr>
        </w:r>
        <w:r w:rsidR="00D87410">
          <w:rPr>
            <w:noProof/>
            <w:webHidden/>
          </w:rPr>
          <w:fldChar w:fldCharType="separate"/>
        </w:r>
        <w:r w:rsidR="00D87410">
          <w:rPr>
            <w:noProof/>
            <w:webHidden/>
          </w:rPr>
          <w:t>21</w:t>
        </w:r>
        <w:r w:rsidR="00D87410">
          <w:rPr>
            <w:noProof/>
            <w:webHidden/>
          </w:rPr>
          <w:fldChar w:fldCharType="end"/>
        </w:r>
      </w:hyperlink>
    </w:p>
    <w:p w14:paraId="20E2F23E" w14:textId="1176F97C" w:rsidR="00D87410" w:rsidRDefault="00E1738F">
      <w:pPr>
        <w:pStyle w:val="TOC4"/>
        <w:rPr>
          <w:rFonts w:eastAsiaTheme="minorEastAsia"/>
          <w:i w:val="0"/>
          <w:noProof/>
          <w:sz w:val="22"/>
          <w:szCs w:val="22"/>
          <w:lang w:eastAsia="zh-CN"/>
        </w:rPr>
      </w:pPr>
      <w:hyperlink w:anchor="_Toc89966389" w:history="1">
        <w:r w:rsidR="00D87410" w:rsidRPr="009D1A9D">
          <w:rPr>
            <w:rStyle w:val="Hyperlink"/>
            <w:rFonts w:ascii="Arial Bold" w:hAnsi="Arial Bold"/>
            <w:noProof/>
          </w:rPr>
          <w:t>4.3.3.1</w:t>
        </w:r>
        <w:r w:rsidR="00D87410">
          <w:rPr>
            <w:rFonts w:eastAsiaTheme="minorEastAsia"/>
            <w:i w:val="0"/>
            <w:noProof/>
            <w:sz w:val="22"/>
            <w:szCs w:val="22"/>
            <w:lang w:eastAsia="zh-CN"/>
          </w:rPr>
          <w:tab/>
        </w:r>
        <w:r w:rsidR="00D87410" w:rsidRPr="009D1A9D">
          <w:rPr>
            <w:rStyle w:val="Hyperlink"/>
            <w:noProof/>
          </w:rPr>
          <w:t>Meteorological data</w:t>
        </w:r>
        <w:r w:rsidR="00D87410">
          <w:rPr>
            <w:noProof/>
            <w:webHidden/>
          </w:rPr>
          <w:tab/>
        </w:r>
        <w:r w:rsidR="00D87410">
          <w:rPr>
            <w:noProof/>
            <w:webHidden/>
          </w:rPr>
          <w:fldChar w:fldCharType="begin"/>
        </w:r>
        <w:r w:rsidR="00D87410">
          <w:rPr>
            <w:noProof/>
            <w:webHidden/>
          </w:rPr>
          <w:instrText xml:space="preserve"> PAGEREF _Toc89966389 \h </w:instrText>
        </w:r>
        <w:r w:rsidR="00D87410">
          <w:rPr>
            <w:noProof/>
            <w:webHidden/>
          </w:rPr>
        </w:r>
        <w:r w:rsidR="00D87410">
          <w:rPr>
            <w:noProof/>
            <w:webHidden/>
          </w:rPr>
          <w:fldChar w:fldCharType="separate"/>
        </w:r>
        <w:r w:rsidR="00D87410">
          <w:rPr>
            <w:noProof/>
            <w:webHidden/>
          </w:rPr>
          <w:t>21</w:t>
        </w:r>
        <w:r w:rsidR="00D87410">
          <w:rPr>
            <w:noProof/>
            <w:webHidden/>
          </w:rPr>
          <w:fldChar w:fldCharType="end"/>
        </w:r>
      </w:hyperlink>
    </w:p>
    <w:p w14:paraId="3D73EDEB" w14:textId="647D3102" w:rsidR="00D87410" w:rsidRDefault="00E1738F">
      <w:pPr>
        <w:pStyle w:val="TOC4"/>
        <w:rPr>
          <w:rFonts w:eastAsiaTheme="minorEastAsia"/>
          <w:i w:val="0"/>
          <w:noProof/>
          <w:sz w:val="22"/>
          <w:szCs w:val="22"/>
          <w:lang w:eastAsia="zh-CN"/>
        </w:rPr>
      </w:pPr>
      <w:hyperlink w:anchor="_Toc89966390" w:history="1">
        <w:r w:rsidR="00D87410" w:rsidRPr="009D1A9D">
          <w:rPr>
            <w:rStyle w:val="Hyperlink"/>
            <w:rFonts w:ascii="Arial Bold" w:hAnsi="Arial Bold"/>
            <w:noProof/>
          </w:rPr>
          <w:t>4.3.3.2</w:t>
        </w:r>
        <w:r w:rsidR="00D87410">
          <w:rPr>
            <w:rFonts w:eastAsiaTheme="minorEastAsia"/>
            <w:i w:val="0"/>
            <w:noProof/>
            <w:sz w:val="22"/>
            <w:szCs w:val="22"/>
            <w:lang w:eastAsia="zh-CN"/>
          </w:rPr>
          <w:tab/>
        </w:r>
        <w:r w:rsidR="00D87410" w:rsidRPr="009D1A9D">
          <w:rPr>
            <w:rStyle w:val="Hyperlink"/>
            <w:noProof/>
          </w:rPr>
          <w:t>Run set-up</w:t>
        </w:r>
        <w:r w:rsidR="00D87410">
          <w:rPr>
            <w:noProof/>
            <w:webHidden/>
          </w:rPr>
          <w:tab/>
        </w:r>
        <w:r w:rsidR="00D87410">
          <w:rPr>
            <w:noProof/>
            <w:webHidden/>
          </w:rPr>
          <w:fldChar w:fldCharType="begin"/>
        </w:r>
        <w:r w:rsidR="00D87410">
          <w:rPr>
            <w:noProof/>
            <w:webHidden/>
          </w:rPr>
          <w:instrText xml:space="preserve"> PAGEREF _Toc89966390 \h </w:instrText>
        </w:r>
        <w:r w:rsidR="00D87410">
          <w:rPr>
            <w:noProof/>
            <w:webHidden/>
          </w:rPr>
        </w:r>
        <w:r w:rsidR="00D87410">
          <w:rPr>
            <w:noProof/>
            <w:webHidden/>
          </w:rPr>
          <w:fldChar w:fldCharType="separate"/>
        </w:r>
        <w:r w:rsidR="00D87410">
          <w:rPr>
            <w:noProof/>
            <w:webHidden/>
          </w:rPr>
          <w:t>21</w:t>
        </w:r>
        <w:r w:rsidR="00D87410">
          <w:rPr>
            <w:noProof/>
            <w:webHidden/>
          </w:rPr>
          <w:fldChar w:fldCharType="end"/>
        </w:r>
      </w:hyperlink>
    </w:p>
    <w:p w14:paraId="237B2F75" w14:textId="40F647F8" w:rsidR="00D87410" w:rsidRDefault="00E1738F">
      <w:pPr>
        <w:pStyle w:val="TOC2"/>
        <w:rPr>
          <w:rFonts w:eastAsiaTheme="minorEastAsia"/>
          <w:b w:val="0"/>
          <w:noProof/>
          <w:color w:val="auto"/>
          <w:sz w:val="22"/>
          <w:szCs w:val="22"/>
          <w:lang w:eastAsia="zh-CN"/>
        </w:rPr>
      </w:pPr>
      <w:hyperlink w:anchor="_Toc89966391" w:history="1">
        <w:r w:rsidR="00D87410" w:rsidRPr="009D1A9D">
          <w:rPr>
            <w:rStyle w:val="Hyperlink"/>
            <w:rFonts w:ascii="Arial Bold" w:hAnsi="Arial Bold"/>
            <w:noProof/>
          </w:rPr>
          <w:t>4.4</w:t>
        </w:r>
        <w:r w:rsidR="00D87410">
          <w:rPr>
            <w:rFonts w:eastAsiaTheme="minorEastAsia"/>
            <w:b w:val="0"/>
            <w:noProof/>
            <w:color w:val="auto"/>
            <w:sz w:val="22"/>
            <w:szCs w:val="22"/>
            <w:lang w:eastAsia="zh-CN"/>
          </w:rPr>
          <w:tab/>
        </w:r>
        <w:r w:rsidR="00D87410" w:rsidRPr="009D1A9D">
          <w:rPr>
            <w:rStyle w:val="Hyperlink"/>
            <w:noProof/>
          </w:rPr>
          <w:t>ADMS Modelling</w:t>
        </w:r>
        <w:r w:rsidR="00D87410">
          <w:rPr>
            <w:noProof/>
            <w:webHidden/>
          </w:rPr>
          <w:tab/>
        </w:r>
        <w:r w:rsidR="00D87410">
          <w:rPr>
            <w:noProof/>
            <w:webHidden/>
          </w:rPr>
          <w:fldChar w:fldCharType="begin"/>
        </w:r>
        <w:r w:rsidR="00D87410">
          <w:rPr>
            <w:noProof/>
            <w:webHidden/>
          </w:rPr>
          <w:instrText xml:space="preserve"> PAGEREF _Toc89966391 \h </w:instrText>
        </w:r>
        <w:r w:rsidR="00D87410">
          <w:rPr>
            <w:noProof/>
            <w:webHidden/>
          </w:rPr>
        </w:r>
        <w:r w:rsidR="00D87410">
          <w:rPr>
            <w:noProof/>
            <w:webHidden/>
          </w:rPr>
          <w:fldChar w:fldCharType="separate"/>
        </w:r>
        <w:r w:rsidR="00D87410">
          <w:rPr>
            <w:noProof/>
            <w:webHidden/>
          </w:rPr>
          <w:t>22</w:t>
        </w:r>
        <w:r w:rsidR="00D87410">
          <w:rPr>
            <w:noProof/>
            <w:webHidden/>
          </w:rPr>
          <w:fldChar w:fldCharType="end"/>
        </w:r>
      </w:hyperlink>
    </w:p>
    <w:p w14:paraId="47D8623C" w14:textId="70EFC6C9" w:rsidR="00D87410" w:rsidRDefault="00E1738F">
      <w:pPr>
        <w:pStyle w:val="TOC3"/>
        <w:rPr>
          <w:rFonts w:eastAsiaTheme="minorEastAsia"/>
          <w:noProof/>
          <w:sz w:val="22"/>
          <w:szCs w:val="22"/>
          <w:lang w:eastAsia="zh-CN"/>
        </w:rPr>
      </w:pPr>
      <w:hyperlink w:anchor="_Toc89966392" w:history="1">
        <w:r w:rsidR="00D87410" w:rsidRPr="009D1A9D">
          <w:rPr>
            <w:rStyle w:val="Hyperlink"/>
            <w:rFonts w:ascii="Arial Bold" w:hAnsi="Arial Bold"/>
            <w:noProof/>
          </w:rPr>
          <w:t>4.4.1</w:t>
        </w:r>
        <w:r w:rsidR="00D87410">
          <w:rPr>
            <w:rFonts w:eastAsiaTheme="minorEastAsia"/>
            <w:noProof/>
            <w:sz w:val="22"/>
            <w:szCs w:val="22"/>
            <w:lang w:eastAsia="zh-CN"/>
          </w:rPr>
          <w:tab/>
        </w:r>
        <w:r w:rsidR="00D87410" w:rsidRPr="009D1A9D">
          <w:rPr>
            <w:rStyle w:val="Hyperlink"/>
            <w:noProof/>
          </w:rPr>
          <w:t>ADMS Method and Input Parameters</w:t>
        </w:r>
        <w:r w:rsidR="00D87410">
          <w:rPr>
            <w:noProof/>
            <w:webHidden/>
          </w:rPr>
          <w:tab/>
        </w:r>
        <w:r w:rsidR="00D87410">
          <w:rPr>
            <w:noProof/>
            <w:webHidden/>
          </w:rPr>
          <w:fldChar w:fldCharType="begin"/>
        </w:r>
        <w:r w:rsidR="00D87410">
          <w:rPr>
            <w:noProof/>
            <w:webHidden/>
          </w:rPr>
          <w:instrText xml:space="preserve"> PAGEREF _Toc89966392 \h </w:instrText>
        </w:r>
        <w:r w:rsidR="00D87410">
          <w:rPr>
            <w:noProof/>
            <w:webHidden/>
          </w:rPr>
        </w:r>
        <w:r w:rsidR="00D87410">
          <w:rPr>
            <w:noProof/>
            <w:webHidden/>
          </w:rPr>
          <w:fldChar w:fldCharType="separate"/>
        </w:r>
        <w:r w:rsidR="00D87410">
          <w:rPr>
            <w:noProof/>
            <w:webHidden/>
          </w:rPr>
          <w:t>23</w:t>
        </w:r>
        <w:r w:rsidR="00D87410">
          <w:rPr>
            <w:noProof/>
            <w:webHidden/>
          </w:rPr>
          <w:fldChar w:fldCharType="end"/>
        </w:r>
      </w:hyperlink>
    </w:p>
    <w:p w14:paraId="533D839E" w14:textId="456B1D2E" w:rsidR="00D87410" w:rsidRDefault="00E1738F">
      <w:pPr>
        <w:pStyle w:val="TOC4"/>
        <w:rPr>
          <w:rFonts w:eastAsiaTheme="minorEastAsia"/>
          <w:i w:val="0"/>
          <w:noProof/>
          <w:sz w:val="22"/>
          <w:szCs w:val="22"/>
          <w:lang w:eastAsia="zh-CN"/>
        </w:rPr>
      </w:pPr>
      <w:hyperlink w:anchor="_Toc89966393" w:history="1">
        <w:r w:rsidR="00D87410" w:rsidRPr="009D1A9D">
          <w:rPr>
            <w:rStyle w:val="Hyperlink"/>
            <w:rFonts w:ascii="Arial Bold" w:hAnsi="Arial Bold"/>
            <w:noProof/>
          </w:rPr>
          <w:t>4.4.1.1</w:t>
        </w:r>
        <w:r w:rsidR="00D87410">
          <w:rPr>
            <w:rFonts w:eastAsiaTheme="minorEastAsia"/>
            <w:i w:val="0"/>
            <w:noProof/>
            <w:sz w:val="22"/>
            <w:szCs w:val="22"/>
            <w:lang w:eastAsia="zh-CN"/>
          </w:rPr>
          <w:tab/>
        </w:r>
        <w:r w:rsidR="00D87410" w:rsidRPr="009D1A9D">
          <w:rPr>
            <w:rStyle w:val="Hyperlink"/>
            <w:noProof/>
          </w:rPr>
          <w:t>Source Term</w:t>
        </w:r>
        <w:r w:rsidR="00D87410">
          <w:rPr>
            <w:noProof/>
            <w:webHidden/>
          </w:rPr>
          <w:tab/>
        </w:r>
        <w:r w:rsidR="00D87410">
          <w:rPr>
            <w:noProof/>
            <w:webHidden/>
          </w:rPr>
          <w:fldChar w:fldCharType="begin"/>
        </w:r>
        <w:r w:rsidR="00D87410">
          <w:rPr>
            <w:noProof/>
            <w:webHidden/>
          </w:rPr>
          <w:instrText xml:space="preserve"> PAGEREF _Toc89966393 \h </w:instrText>
        </w:r>
        <w:r w:rsidR="00D87410">
          <w:rPr>
            <w:noProof/>
            <w:webHidden/>
          </w:rPr>
        </w:r>
        <w:r w:rsidR="00D87410">
          <w:rPr>
            <w:noProof/>
            <w:webHidden/>
          </w:rPr>
          <w:fldChar w:fldCharType="separate"/>
        </w:r>
        <w:r w:rsidR="00D87410">
          <w:rPr>
            <w:noProof/>
            <w:webHidden/>
          </w:rPr>
          <w:t>23</w:t>
        </w:r>
        <w:r w:rsidR="00D87410">
          <w:rPr>
            <w:noProof/>
            <w:webHidden/>
          </w:rPr>
          <w:fldChar w:fldCharType="end"/>
        </w:r>
      </w:hyperlink>
    </w:p>
    <w:p w14:paraId="79EF2CD8" w14:textId="2CA2C058" w:rsidR="00D87410" w:rsidRDefault="00E1738F">
      <w:pPr>
        <w:pStyle w:val="TOC4"/>
        <w:rPr>
          <w:rFonts w:eastAsiaTheme="minorEastAsia"/>
          <w:i w:val="0"/>
          <w:noProof/>
          <w:sz w:val="22"/>
          <w:szCs w:val="22"/>
          <w:lang w:eastAsia="zh-CN"/>
        </w:rPr>
      </w:pPr>
      <w:hyperlink w:anchor="_Toc89966394" w:history="1">
        <w:r w:rsidR="00D87410" w:rsidRPr="009D1A9D">
          <w:rPr>
            <w:rStyle w:val="Hyperlink"/>
            <w:rFonts w:ascii="Arial Bold" w:hAnsi="Arial Bold"/>
            <w:noProof/>
          </w:rPr>
          <w:t>4.4.1.2</w:t>
        </w:r>
        <w:r w:rsidR="00D87410">
          <w:rPr>
            <w:rFonts w:eastAsiaTheme="minorEastAsia"/>
            <w:i w:val="0"/>
            <w:noProof/>
            <w:sz w:val="22"/>
            <w:szCs w:val="22"/>
            <w:lang w:eastAsia="zh-CN"/>
          </w:rPr>
          <w:tab/>
        </w:r>
        <w:r w:rsidR="00D87410" w:rsidRPr="009D1A9D">
          <w:rPr>
            <w:rStyle w:val="Hyperlink"/>
            <w:noProof/>
          </w:rPr>
          <w:t>Meteorological Data</w:t>
        </w:r>
        <w:r w:rsidR="00D87410">
          <w:rPr>
            <w:noProof/>
            <w:webHidden/>
          </w:rPr>
          <w:tab/>
        </w:r>
        <w:r w:rsidR="00D87410">
          <w:rPr>
            <w:noProof/>
            <w:webHidden/>
          </w:rPr>
          <w:fldChar w:fldCharType="begin"/>
        </w:r>
        <w:r w:rsidR="00D87410">
          <w:rPr>
            <w:noProof/>
            <w:webHidden/>
          </w:rPr>
          <w:instrText xml:space="preserve"> PAGEREF _Toc89966394 \h </w:instrText>
        </w:r>
        <w:r w:rsidR="00D87410">
          <w:rPr>
            <w:noProof/>
            <w:webHidden/>
          </w:rPr>
        </w:r>
        <w:r w:rsidR="00D87410">
          <w:rPr>
            <w:noProof/>
            <w:webHidden/>
          </w:rPr>
          <w:fldChar w:fldCharType="separate"/>
        </w:r>
        <w:r w:rsidR="00D87410">
          <w:rPr>
            <w:noProof/>
            <w:webHidden/>
          </w:rPr>
          <w:t>23</w:t>
        </w:r>
        <w:r w:rsidR="00D87410">
          <w:rPr>
            <w:noProof/>
            <w:webHidden/>
          </w:rPr>
          <w:fldChar w:fldCharType="end"/>
        </w:r>
      </w:hyperlink>
    </w:p>
    <w:p w14:paraId="6798629D" w14:textId="52C404A5" w:rsidR="00D87410" w:rsidRDefault="00E1738F">
      <w:pPr>
        <w:pStyle w:val="TOC4"/>
        <w:rPr>
          <w:rFonts w:eastAsiaTheme="minorEastAsia"/>
          <w:i w:val="0"/>
          <w:noProof/>
          <w:sz w:val="22"/>
          <w:szCs w:val="22"/>
          <w:lang w:eastAsia="zh-CN"/>
        </w:rPr>
      </w:pPr>
      <w:hyperlink w:anchor="_Toc89966395" w:history="1">
        <w:r w:rsidR="00D87410" w:rsidRPr="009D1A9D">
          <w:rPr>
            <w:rStyle w:val="Hyperlink"/>
            <w:rFonts w:ascii="Arial Bold" w:hAnsi="Arial Bold"/>
            <w:noProof/>
          </w:rPr>
          <w:t>4.4.1.3</w:t>
        </w:r>
        <w:r w:rsidR="00D87410">
          <w:rPr>
            <w:rFonts w:eastAsiaTheme="minorEastAsia"/>
            <w:i w:val="0"/>
            <w:noProof/>
            <w:sz w:val="22"/>
            <w:szCs w:val="22"/>
            <w:lang w:eastAsia="zh-CN"/>
          </w:rPr>
          <w:tab/>
        </w:r>
        <w:r w:rsidR="00D87410" w:rsidRPr="009D1A9D">
          <w:rPr>
            <w:rStyle w:val="Hyperlink"/>
            <w:noProof/>
          </w:rPr>
          <w:t>Run set-up</w:t>
        </w:r>
        <w:r w:rsidR="00D87410">
          <w:rPr>
            <w:noProof/>
            <w:webHidden/>
          </w:rPr>
          <w:tab/>
        </w:r>
        <w:r w:rsidR="00D87410">
          <w:rPr>
            <w:noProof/>
            <w:webHidden/>
          </w:rPr>
          <w:fldChar w:fldCharType="begin"/>
        </w:r>
        <w:r w:rsidR="00D87410">
          <w:rPr>
            <w:noProof/>
            <w:webHidden/>
          </w:rPr>
          <w:instrText xml:space="preserve"> PAGEREF _Toc89966395 \h </w:instrText>
        </w:r>
        <w:r w:rsidR="00D87410">
          <w:rPr>
            <w:noProof/>
            <w:webHidden/>
          </w:rPr>
        </w:r>
        <w:r w:rsidR="00D87410">
          <w:rPr>
            <w:noProof/>
            <w:webHidden/>
          </w:rPr>
          <w:fldChar w:fldCharType="separate"/>
        </w:r>
        <w:r w:rsidR="00D87410">
          <w:rPr>
            <w:noProof/>
            <w:webHidden/>
          </w:rPr>
          <w:t>24</w:t>
        </w:r>
        <w:r w:rsidR="00D87410">
          <w:rPr>
            <w:noProof/>
            <w:webHidden/>
          </w:rPr>
          <w:fldChar w:fldCharType="end"/>
        </w:r>
      </w:hyperlink>
    </w:p>
    <w:p w14:paraId="5C0BFC85" w14:textId="5E4F3CE7" w:rsidR="00D87410" w:rsidRDefault="00E1738F">
      <w:pPr>
        <w:pStyle w:val="TOC3"/>
        <w:rPr>
          <w:rFonts w:eastAsiaTheme="minorEastAsia"/>
          <w:noProof/>
          <w:sz w:val="22"/>
          <w:szCs w:val="22"/>
          <w:lang w:eastAsia="zh-CN"/>
        </w:rPr>
      </w:pPr>
      <w:hyperlink w:anchor="_Toc89966396" w:history="1">
        <w:r w:rsidR="00D87410" w:rsidRPr="009D1A9D">
          <w:rPr>
            <w:rStyle w:val="Hyperlink"/>
            <w:rFonts w:ascii="Arial Bold" w:hAnsi="Arial Bold"/>
            <w:noProof/>
          </w:rPr>
          <w:t>4.4.2</w:t>
        </w:r>
        <w:r w:rsidR="00D87410">
          <w:rPr>
            <w:rFonts w:eastAsiaTheme="minorEastAsia"/>
            <w:noProof/>
            <w:sz w:val="22"/>
            <w:szCs w:val="22"/>
            <w:lang w:eastAsia="zh-CN"/>
          </w:rPr>
          <w:tab/>
        </w:r>
        <w:r w:rsidR="00D87410" w:rsidRPr="009D1A9D">
          <w:rPr>
            <w:rStyle w:val="Hyperlink"/>
            <w:noProof/>
          </w:rPr>
          <w:t>Determining TIACs, integrated deposition concentrations, cloud gamma dose and deposited gamma dose</w:t>
        </w:r>
        <w:r w:rsidR="00D87410">
          <w:rPr>
            <w:noProof/>
            <w:webHidden/>
          </w:rPr>
          <w:tab/>
        </w:r>
        <w:r w:rsidR="00D87410">
          <w:rPr>
            <w:noProof/>
            <w:webHidden/>
          </w:rPr>
          <w:fldChar w:fldCharType="begin"/>
        </w:r>
        <w:r w:rsidR="00D87410">
          <w:rPr>
            <w:noProof/>
            <w:webHidden/>
          </w:rPr>
          <w:instrText xml:space="preserve"> PAGEREF _Toc89966396 \h </w:instrText>
        </w:r>
        <w:r w:rsidR="00D87410">
          <w:rPr>
            <w:noProof/>
            <w:webHidden/>
          </w:rPr>
        </w:r>
        <w:r w:rsidR="00D87410">
          <w:rPr>
            <w:noProof/>
            <w:webHidden/>
          </w:rPr>
          <w:fldChar w:fldCharType="separate"/>
        </w:r>
        <w:r w:rsidR="00D87410">
          <w:rPr>
            <w:noProof/>
            <w:webHidden/>
          </w:rPr>
          <w:t>24</w:t>
        </w:r>
        <w:r w:rsidR="00D87410">
          <w:rPr>
            <w:noProof/>
            <w:webHidden/>
          </w:rPr>
          <w:fldChar w:fldCharType="end"/>
        </w:r>
      </w:hyperlink>
    </w:p>
    <w:p w14:paraId="52E37233" w14:textId="37CEA641" w:rsidR="00D87410" w:rsidRDefault="00E1738F">
      <w:pPr>
        <w:pStyle w:val="TOC3"/>
        <w:rPr>
          <w:rFonts w:eastAsiaTheme="minorEastAsia"/>
          <w:noProof/>
          <w:sz w:val="22"/>
          <w:szCs w:val="22"/>
          <w:lang w:eastAsia="zh-CN"/>
        </w:rPr>
      </w:pPr>
      <w:hyperlink w:anchor="_Toc89966397" w:history="1">
        <w:r w:rsidR="00D87410" w:rsidRPr="009D1A9D">
          <w:rPr>
            <w:rStyle w:val="Hyperlink"/>
            <w:rFonts w:ascii="Arial Bold" w:hAnsi="Arial Bold"/>
            <w:noProof/>
          </w:rPr>
          <w:t>4.4.3</w:t>
        </w:r>
        <w:r w:rsidR="00D87410">
          <w:rPr>
            <w:rFonts w:eastAsiaTheme="minorEastAsia"/>
            <w:noProof/>
            <w:sz w:val="22"/>
            <w:szCs w:val="22"/>
            <w:lang w:eastAsia="zh-CN"/>
          </w:rPr>
          <w:tab/>
        </w:r>
        <w:r w:rsidR="00D87410" w:rsidRPr="009D1A9D">
          <w:rPr>
            <w:rStyle w:val="Hyperlink"/>
            <w:noProof/>
          </w:rPr>
          <w:t>Dose assessment based on ADMS derived environmental concentrations</w:t>
        </w:r>
        <w:r w:rsidR="00D87410">
          <w:rPr>
            <w:noProof/>
            <w:webHidden/>
          </w:rPr>
          <w:tab/>
        </w:r>
        <w:r w:rsidR="00D87410">
          <w:rPr>
            <w:noProof/>
            <w:webHidden/>
          </w:rPr>
          <w:fldChar w:fldCharType="begin"/>
        </w:r>
        <w:r w:rsidR="00D87410">
          <w:rPr>
            <w:noProof/>
            <w:webHidden/>
          </w:rPr>
          <w:instrText xml:space="preserve"> PAGEREF _Toc89966397 \h </w:instrText>
        </w:r>
        <w:r w:rsidR="00D87410">
          <w:rPr>
            <w:noProof/>
            <w:webHidden/>
          </w:rPr>
        </w:r>
        <w:r w:rsidR="00D87410">
          <w:rPr>
            <w:noProof/>
            <w:webHidden/>
          </w:rPr>
          <w:fldChar w:fldCharType="separate"/>
        </w:r>
        <w:r w:rsidR="00D87410">
          <w:rPr>
            <w:noProof/>
            <w:webHidden/>
          </w:rPr>
          <w:t>25</w:t>
        </w:r>
        <w:r w:rsidR="00D87410">
          <w:rPr>
            <w:noProof/>
            <w:webHidden/>
          </w:rPr>
          <w:fldChar w:fldCharType="end"/>
        </w:r>
      </w:hyperlink>
    </w:p>
    <w:p w14:paraId="7AA10057" w14:textId="341D7A48" w:rsidR="00D87410" w:rsidRDefault="00E1738F">
      <w:pPr>
        <w:pStyle w:val="TOC4"/>
        <w:rPr>
          <w:rFonts w:eastAsiaTheme="minorEastAsia"/>
          <w:i w:val="0"/>
          <w:noProof/>
          <w:sz w:val="22"/>
          <w:szCs w:val="22"/>
          <w:lang w:eastAsia="zh-CN"/>
        </w:rPr>
      </w:pPr>
      <w:hyperlink w:anchor="_Toc89966398" w:history="1">
        <w:r w:rsidR="00D87410" w:rsidRPr="009D1A9D">
          <w:rPr>
            <w:rStyle w:val="Hyperlink"/>
            <w:rFonts w:ascii="Arial Bold" w:hAnsi="Arial Bold"/>
            <w:noProof/>
          </w:rPr>
          <w:t>4.4.3.1</w:t>
        </w:r>
        <w:r w:rsidR="00D87410">
          <w:rPr>
            <w:rFonts w:eastAsiaTheme="minorEastAsia"/>
            <w:i w:val="0"/>
            <w:noProof/>
            <w:sz w:val="22"/>
            <w:szCs w:val="22"/>
            <w:lang w:eastAsia="zh-CN"/>
          </w:rPr>
          <w:tab/>
        </w:r>
        <w:r w:rsidR="00D87410" w:rsidRPr="009D1A9D">
          <w:rPr>
            <w:rStyle w:val="Hyperlink"/>
            <w:noProof/>
          </w:rPr>
          <w:t>Internal exposure from the inhalation of material from the plume</w:t>
        </w:r>
        <w:r w:rsidR="00D87410">
          <w:rPr>
            <w:noProof/>
            <w:webHidden/>
          </w:rPr>
          <w:tab/>
        </w:r>
        <w:r w:rsidR="00D87410">
          <w:rPr>
            <w:noProof/>
            <w:webHidden/>
          </w:rPr>
          <w:fldChar w:fldCharType="begin"/>
        </w:r>
        <w:r w:rsidR="00D87410">
          <w:rPr>
            <w:noProof/>
            <w:webHidden/>
          </w:rPr>
          <w:instrText xml:space="preserve"> PAGEREF _Toc89966398 \h </w:instrText>
        </w:r>
        <w:r w:rsidR="00D87410">
          <w:rPr>
            <w:noProof/>
            <w:webHidden/>
          </w:rPr>
        </w:r>
        <w:r w:rsidR="00D87410">
          <w:rPr>
            <w:noProof/>
            <w:webHidden/>
          </w:rPr>
          <w:fldChar w:fldCharType="separate"/>
        </w:r>
        <w:r w:rsidR="00D87410">
          <w:rPr>
            <w:noProof/>
            <w:webHidden/>
          </w:rPr>
          <w:t>25</w:t>
        </w:r>
        <w:r w:rsidR="00D87410">
          <w:rPr>
            <w:noProof/>
            <w:webHidden/>
          </w:rPr>
          <w:fldChar w:fldCharType="end"/>
        </w:r>
      </w:hyperlink>
    </w:p>
    <w:p w14:paraId="0D970670" w14:textId="13F14EF5" w:rsidR="00D87410" w:rsidRDefault="00E1738F">
      <w:pPr>
        <w:pStyle w:val="TOC4"/>
        <w:rPr>
          <w:rFonts w:eastAsiaTheme="minorEastAsia"/>
          <w:i w:val="0"/>
          <w:noProof/>
          <w:sz w:val="22"/>
          <w:szCs w:val="22"/>
          <w:lang w:eastAsia="zh-CN"/>
        </w:rPr>
      </w:pPr>
      <w:hyperlink w:anchor="_Toc89966399" w:history="1">
        <w:r w:rsidR="00D87410" w:rsidRPr="009D1A9D">
          <w:rPr>
            <w:rStyle w:val="Hyperlink"/>
            <w:rFonts w:ascii="Arial Bold" w:hAnsi="Arial Bold"/>
            <w:noProof/>
          </w:rPr>
          <w:t>4.4.3.2</w:t>
        </w:r>
        <w:r w:rsidR="00D87410">
          <w:rPr>
            <w:rFonts w:eastAsiaTheme="minorEastAsia"/>
            <w:i w:val="0"/>
            <w:noProof/>
            <w:sz w:val="22"/>
            <w:szCs w:val="22"/>
            <w:lang w:eastAsia="zh-CN"/>
          </w:rPr>
          <w:tab/>
        </w:r>
        <w:r w:rsidR="00D87410" w:rsidRPr="009D1A9D">
          <w:rPr>
            <w:rStyle w:val="Hyperlink"/>
            <w:noProof/>
          </w:rPr>
          <w:t>External exposure from material in the radioactive plume</w:t>
        </w:r>
        <w:r w:rsidR="00D87410">
          <w:rPr>
            <w:noProof/>
            <w:webHidden/>
          </w:rPr>
          <w:tab/>
        </w:r>
        <w:r w:rsidR="00D87410">
          <w:rPr>
            <w:noProof/>
            <w:webHidden/>
          </w:rPr>
          <w:fldChar w:fldCharType="begin"/>
        </w:r>
        <w:r w:rsidR="00D87410">
          <w:rPr>
            <w:noProof/>
            <w:webHidden/>
          </w:rPr>
          <w:instrText xml:space="preserve"> PAGEREF _Toc89966399 \h </w:instrText>
        </w:r>
        <w:r w:rsidR="00D87410">
          <w:rPr>
            <w:noProof/>
            <w:webHidden/>
          </w:rPr>
        </w:r>
        <w:r w:rsidR="00D87410">
          <w:rPr>
            <w:noProof/>
            <w:webHidden/>
          </w:rPr>
          <w:fldChar w:fldCharType="separate"/>
        </w:r>
        <w:r w:rsidR="00D87410">
          <w:rPr>
            <w:noProof/>
            <w:webHidden/>
          </w:rPr>
          <w:t>25</w:t>
        </w:r>
        <w:r w:rsidR="00D87410">
          <w:rPr>
            <w:noProof/>
            <w:webHidden/>
          </w:rPr>
          <w:fldChar w:fldCharType="end"/>
        </w:r>
      </w:hyperlink>
    </w:p>
    <w:p w14:paraId="75DEC1D6" w14:textId="05668FE3" w:rsidR="00D87410" w:rsidRDefault="00E1738F">
      <w:pPr>
        <w:pStyle w:val="TOC4"/>
        <w:rPr>
          <w:rFonts w:eastAsiaTheme="minorEastAsia"/>
          <w:i w:val="0"/>
          <w:noProof/>
          <w:sz w:val="22"/>
          <w:szCs w:val="22"/>
          <w:lang w:eastAsia="zh-CN"/>
        </w:rPr>
      </w:pPr>
      <w:hyperlink w:anchor="_Toc89966400" w:history="1">
        <w:r w:rsidR="00D87410" w:rsidRPr="009D1A9D">
          <w:rPr>
            <w:rStyle w:val="Hyperlink"/>
            <w:rFonts w:ascii="Arial Bold" w:hAnsi="Arial Bold"/>
            <w:noProof/>
          </w:rPr>
          <w:t>4.4.3.3</w:t>
        </w:r>
        <w:r w:rsidR="00D87410">
          <w:rPr>
            <w:rFonts w:eastAsiaTheme="minorEastAsia"/>
            <w:i w:val="0"/>
            <w:noProof/>
            <w:sz w:val="22"/>
            <w:szCs w:val="22"/>
            <w:lang w:eastAsia="zh-CN"/>
          </w:rPr>
          <w:tab/>
        </w:r>
        <w:r w:rsidR="00D87410" w:rsidRPr="009D1A9D">
          <w:rPr>
            <w:rStyle w:val="Hyperlink"/>
            <w:noProof/>
          </w:rPr>
          <w:t>External exposure from material deposited on the ground</w:t>
        </w:r>
        <w:r w:rsidR="00D87410">
          <w:rPr>
            <w:noProof/>
            <w:webHidden/>
          </w:rPr>
          <w:tab/>
        </w:r>
        <w:r w:rsidR="00D87410">
          <w:rPr>
            <w:noProof/>
            <w:webHidden/>
          </w:rPr>
          <w:fldChar w:fldCharType="begin"/>
        </w:r>
        <w:r w:rsidR="00D87410">
          <w:rPr>
            <w:noProof/>
            <w:webHidden/>
          </w:rPr>
          <w:instrText xml:space="preserve"> PAGEREF _Toc89966400 \h </w:instrText>
        </w:r>
        <w:r w:rsidR="00D87410">
          <w:rPr>
            <w:noProof/>
            <w:webHidden/>
          </w:rPr>
        </w:r>
        <w:r w:rsidR="00D87410">
          <w:rPr>
            <w:noProof/>
            <w:webHidden/>
          </w:rPr>
          <w:fldChar w:fldCharType="separate"/>
        </w:r>
        <w:r w:rsidR="00D87410">
          <w:rPr>
            <w:noProof/>
            <w:webHidden/>
          </w:rPr>
          <w:t>26</w:t>
        </w:r>
        <w:r w:rsidR="00D87410">
          <w:rPr>
            <w:noProof/>
            <w:webHidden/>
          </w:rPr>
          <w:fldChar w:fldCharType="end"/>
        </w:r>
      </w:hyperlink>
    </w:p>
    <w:p w14:paraId="7DBF360F" w14:textId="6359ED9E" w:rsidR="00D87410" w:rsidRDefault="00E1738F">
      <w:pPr>
        <w:pStyle w:val="TOC4"/>
        <w:rPr>
          <w:rFonts w:eastAsiaTheme="minorEastAsia"/>
          <w:i w:val="0"/>
          <w:noProof/>
          <w:sz w:val="22"/>
          <w:szCs w:val="22"/>
          <w:lang w:eastAsia="zh-CN"/>
        </w:rPr>
      </w:pPr>
      <w:hyperlink w:anchor="_Toc89966401" w:history="1">
        <w:r w:rsidR="00D87410" w:rsidRPr="009D1A9D">
          <w:rPr>
            <w:rStyle w:val="Hyperlink"/>
            <w:rFonts w:ascii="Arial Bold" w:hAnsi="Arial Bold"/>
            <w:noProof/>
          </w:rPr>
          <w:t>4.4.3.4</w:t>
        </w:r>
        <w:r w:rsidR="00D87410">
          <w:rPr>
            <w:rFonts w:eastAsiaTheme="minorEastAsia"/>
            <w:i w:val="0"/>
            <w:noProof/>
            <w:sz w:val="22"/>
            <w:szCs w:val="22"/>
            <w:lang w:eastAsia="zh-CN"/>
          </w:rPr>
          <w:tab/>
        </w:r>
        <w:r w:rsidR="00D87410" w:rsidRPr="009D1A9D">
          <w:rPr>
            <w:rStyle w:val="Hyperlink"/>
            <w:noProof/>
          </w:rPr>
          <w:t>Internal exposure from ingested material</w:t>
        </w:r>
        <w:r w:rsidR="00D87410">
          <w:rPr>
            <w:noProof/>
            <w:webHidden/>
          </w:rPr>
          <w:tab/>
        </w:r>
        <w:r w:rsidR="00D87410">
          <w:rPr>
            <w:noProof/>
            <w:webHidden/>
          </w:rPr>
          <w:fldChar w:fldCharType="begin"/>
        </w:r>
        <w:r w:rsidR="00D87410">
          <w:rPr>
            <w:noProof/>
            <w:webHidden/>
          </w:rPr>
          <w:instrText xml:space="preserve"> PAGEREF _Toc89966401 \h </w:instrText>
        </w:r>
        <w:r w:rsidR="00D87410">
          <w:rPr>
            <w:noProof/>
            <w:webHidden/>
          </w:rPr>
        </w:r>
        <w:r w:rsidR="00D87410">
          <w:rPr>
            <w:noProof/>
            <w:webHidden/>
          </w:rPr>
          <w:fldChar w:fldCharType="separate"/>
        </w:r>
        <w:r w:rsidR="00D87410">
          <w:rPr>
            <w:noProof/>
            <w:webHidden/>
          </w:rPr>
          <w:t>26</w:t>
        </w:r>
        <w:r w:rsidR="00D87410">
          <w:rPr>
            <w:noProof/>
            <w:webHidden/>
          </w:rPr>
          <w:fldChar w:fldCharType="end"/>
        </w:r>
      </w:hyperlink>
    </w:p>
    <w:p w14:paraId="2B89DF74" w14:textId="56A16FE8" w:rsidR="00D87410" w:rsidRDefault="00E1738F">
      <w:pPr>
        <w:pStyle w:val="TOC2"/>
        <w:rPr>
          <w:rFonts w:eastAsiaTheme="minorEastAsia"/>
          <w:b w:val="0"/>
          <w:noProof/>
          <w:color w:val="auto"/>
          <w:sz w:val="22"/>
          <w:szCs w:val="22"/>
          <w:lang w:eastAsia="zh-CN"/>
        </w:rPr>
      </w:pPr>
      <w:hyperlink w:anchor="_Toc89966402" w:history="1">
        <w:r w:rsidR="00D87410" w:rsidRPr="009D1A9D">
          <w:rPr>
            <w:rStyle w:val="Hyperlink"/>
            <w:rFonts w:ascii="Arial Bold" w:hAnsi="Arial Bold"/>
            <w:noProof/>
          </w:rPr>
          <w:t>4.5</w:t>
        </w:r>
        <w:r w:rsidR="00D87410">
          <w:rPr>
            <w:rFonts w:eastAsiaTheme="minorEastAsia"/>
            <w:b w:val="0"/>
            <w:noProof/>
            <w:color w:val="auto"/>
            <w:sz w:val="22"/>
            <w:szCs w:val="22"/>
            <w:lang w:eastAsia="zh-CN"/>
          </w:rPr>
          <w:tab/>
        </w:r>
        <w:r w:rsidR="00D87410" w:rsidRPr="009D1A9D">
          <w:rPr>
            <w:rStyle w:val="Hyperlink"/>
            <w:noProof/>
          </w:rPr>
          <w:t>Other modelling considered</w:t>
        </w:r>
        <w:r w:rsidR="00D87410">
          <w:rPr>
            <w:noProof/>
            <w:webHidden/>
          </w:rPr>
          <w:tab/>
        </w:r>
        <w:r w:rsidR="00D87410">
          <w:rPr>
            <w:noProof/>
            <w:webHidden/>
          </w:rPr>
          <w:fldChar w:fldCharType="begin"/>
        </w:r>
        <w:r w:rsidR="00D87410">
          <w:rPr>
            <w:noProof/>
            <w:webHidden/>
          </w:rPr>
          <w:instrText xml:space="preserve"> PAGEREF _Toc89966402 \h </w:instrText>
        </w:r>
        <w:r w:rsidR="00D87410">
          <w:rPr>
            <w:noProof/>
            <w:webHidden/>
          </w:rPr>
        </w:r>
        <w:r w:rsidR="00D87410">
          <w:rPr>
            <w:noProof/>
            <w:webHidden/>
          </w:rPr>
          <w:fldChar w:fldCharType="separate"/>
        </w:r>
        <w:r w:rsidR="00D87410">
          <w:rPr>
            <w:noProof/>
            <w:webHidden/>
          </w:rPr>
          <w:t>27</w:t>
        </w:r>
        <w:r w:rsidR="00D87410">
          <w:rPr>
            <w:noProof/>
            <w:webHidden/>
          </w:rPr>
          <w:fldChar w:fldCharType="end"/>
        </w:r>
      </w:hyperlink>
    </w:p>
    <w:p w14:paraId="634E1E4F" w14:textId="0442BFE8" w:rsidR="00D87410" w:rsidRDefault="00E1738F">
      <w:pPr>
        <w:pStyle w:val="TOC3"/>
        <w:rPr>
          <w:rFonts w:eastAsiaTheme="minorEastAsia"/>
          <w:noProof/>
          <w:sz w:val="22"/>
          <w:szCs w:val="22"/>
          <w:lang w:eastAsia="zh-CN"/>
        </w:rPr>
      </w:pPr>
      <w:hyperlink w:anchor="_Toc89966403" w:history="1">
        <w:r w:rsidR="00D87410" w:rsidRPr="009D1A9D">
          <w:rPr>
            <w:rStyle w:val="Hyperlink"/>
            <w:rFonts w:ascii="Arial Bold" w:hAnsi="Arial Bold"/>
            <w:noProof/>
          </w:rPr>
          <w:t>4.5.1</w:t>
        </w:r>
        <w:r w:rsidR="00D87410">
          <w:rPr>
            <w:rFonts w:eastAsiaTheme="minorEastAsia"/>
            <w:noProof/>
            <w:sz w:val="22"/>
            <w:szCs w:val="22"/>
            <w:lang w:eastAsia="zh-CN"/>
          </w:rPr>
          <w:tab/>
        </w:r>
        <w:r w:rsidR="00D87410" w:rsidRPr="009D1A9D">
          <w:rPr>
            <w:rStyle w:val="Hyperlink"/>
            <w:noProof/>
          </w:rPr>
          <w:t>ADEPT, ADMS and NAME model validation</w:t>
        </w:r>
        <w:r w:rsidR="00D87410">
          <w:rPr>
            <w:noProof/>
            <w:webHidden/>
          </w:rPr>
          <w:tab/>
        </w:r>
        <w:r w:rsidR="00D87410">
          <w:rPr>
            <w:noProof/>
            <w:webHidden/>
          </w:rPr>
          <w:fldChar w:fldCharType="begin"/>
        </w:r>
        <w:r w:rsidR="00D87410">
          <w:rPr>
            <w:noProof/>
            <w:webHidden/>
          </w:rPr>
          <w:instrText xml:space="preserve"> PAGEREF _Toc89966403 \h </w:instrText>
        </w:r>
        <w:r w:rsidR="00D87410">
          <w:rPr>
            <w:noProof/>
            <w:webHidden/>
          </w:rPr>
        </w:r>
        <w:r w:rsidR="00D87410">
          <w:rPr>
            <w:noProof/>
            <w:webHidden/>
          </w:rPr>
          <w:fldChar w:fldCharType="separate"/>
        </w:r>
        <w:r w:rsidR="00D87410">
          <w:rPr>
            <w:noProof/>
            <w:webHidden/>
          </w:rPr>
          <w:t>27</w:t>
        </w:r>
        <w:r w:rsidR="00D87410">
          <w:rPr>
            <w:noProof/>
            <w:webHidden/>
          </w:rPr>
          <w:fldChar w:fldCharType="end"/>
        </w:r>
      </w:hyperlink>
    </w:p>
    <w:p w14:paraId="46EDAD3E" w14:textId="27F2CD31" w:rsidR="00D87410" w:rsidRDefault="00E1738F">
      <w:pPr>
        <w:pStyle w:val="TOC3"/>
        <w:rPr>
          <w:rFonts w:eastAsiaTheme="minorEastAsia"/>
          <w:noProof/>
          <w:sz w:val="22"/>
          <w:szCs w:val="22"/>
          <w:lang w:eastAsia="zh-CN"/>
        </w:rPr>
      </w:pPr>
      <w:hyperlink w:anchor="_Toc89966404" w:history="1">
        <w:r w:rsidR="00D87410" w:rsidRPr="009D1A9D">
          <w:rPr>
            <w:rStyle w:val="Hyperlink"/>
            <w:rFonts w:ascii="Arial Bold" w:hAnsi="Arial Bold"/>
            <w:noProof/>
          </w:rPr>
          <w:t>4.5.2</w:t>
        </w:r>
        <w:r w:rsidR="00D87410">
          <w:rPr>
            <w:rFonts w:eastAsiaTheme="minorEastAsia"/>
            <w:noProof/>
            <w:sz w:val="22"/>
            <w:szCs w:val="22"/>
            <w:lang w:eastAsia="zh-CN"/>
          </w:rPr>
          <w:tab/>
        </w:r>
        <w:r w:rsidR="00D87410" w:rsidRPr="009D1A9D">
          <w:rPr>
            <w:rStyle w:val="Hyperlink"/>
            <w:noProof/>
          </w:rPr>
          <w:t>The Symbiose Model</w:t>
        </w:r>
        <w:r w:rsidR="00D87410">
          <w:rPr>
            <w:noProof/>
            <w:webHidden/>
          </w:rPr>
          <w:tab/>
        </w:r>
        <w:r w:rsidR="00D87410">
          <w:rPr>
            <w:noProof/>
            <w:webHidden/>
          </w:rPr>
          <w:fldChar w:fldCharType="begin"/>
        </w:r>
        <w:r w:rsidR="00D87410">
          <w:rPr>
            <w:noProof/>
            <w:webHidden/>
          </w:rPr>
          <w:instrText xml:space="preserve"> PAGEREF _Toc89966404 \h </w:instrText>
        </w:r>
        <w:r w:rsidR="00D87410">
          <w:rPr>
            <w:noProof/>
            <w:webHidden/>
          </w:rPr>
        </w:r>
        <w:r w:rsidR="00D87410">
          <w:rPr>
            <w:noProof/>
            <w:webHidden/>
          </w:rPr>
          <w:fldChar w:fldCharType="separate"/>
        </w:r>
        <w:r w:rsidR="00D87410">
          <w:rPr>
            <w:noProof/>
            <w:webHidden/>
          </w:rPr>
          <w:t>27</w:t>
        </w:r>
        <w:r w:rsidR="00D87410">
          <w:rPr>
            <w:noProof/>
            <w:webHidden/>
          </w:rPr>
          <w:fldChar w:fldCharType="end"/>
        </w:r>
      </w:hyperlink>
    </w:p>
    <w:p w14:paraId="271BF69F" w14:textId="6C0C261D" w:rsidR="00D87410" w:rsidRDefault="00E1738F">
      <w:pPr>
        <w:pStyle w:val="TOC1"/>
        <w:tabs>
          <w:tab w:val="left" w:pos="1344"/>
        </w:tabs>
        <w:rPr>
          <w:rFonts w:asciiTheme="minorHAnsi" w:eastAsiaTheme="minorEastAsia" w:hAnsiTheme="minorHAnsi"/>
          <w:b w:val="0"/>
          <w:noProof/>
          <w:color w:val="auto"/>
          <w:sz w:val="22"/>
          <w:szCs w:val="22"/>
          <w:lang w:eastAsia="zh-CN"/>
        </w:rPr>
      </w:pPr>
      <w:hyperlink w:anchor="_Toc89966405" w:history="1">
        <w:r w:rsidR="00D87410" w:rsidRPr="009D1A9D">
          <w:rPr>
            <w:rStyle w:val="Hyperlink"/>
            <w:rFonts w:ascii="Arial Bold" w:hAnsi="Arial Bold"/>
            <w:noProof/>
          </w:rPr>
          <w:t>5</w:t>
        </w:r>
        <w:r w:rsidR="00D87410">
          <w:rPr>
            <w:rFonts w:asciiTheme="minorHAnsi" w:eastAsiaTheme="minorEastAsia" w:hAnsiTheme="minorHAnsi"/>
            <w:b w:val="0"/>
            <w:noProof/>
            <w:color w:val="auto"/>
            <w:sz w:val="22"/>
            <w:szCs w:val="22"/>
            <w:lang w:eastAsia="zh-CN"/>
          </w:rPr>
          <w:tab/>
        </w:r>
        <w:r w:rsidR="00D87410" w:rsidRPr="009D1A9D">
          <w:rPr>
            <w:rStyle w:val="Hyperlink"/>
            <w:noProof/>
          </w:rPr>
          <w:t>Results and Analysis</w:t>
        </w:r>
        <w:r w:rsidR="00D87410">
          <w:rPr>
            <w:noProof/>
            <w:webHidden/>
          </w:rPr>
          <w:tab/>
        </w:r>
        <w:r w:rsidR="00D87410">
          <w:rPr>
            <w:noProof/>
            <w:webHidden/>
          </w:rPr>
          <w:fldChar w:fldCharType="begin"/>
        </w:r>
        <w:r w:rsidR="00D87410">
          <w:rPr>
            <w:noProof/>
            <w:webHidden/>
          </w:rPr>
          <w:instrText xml:space="preserve"> PAGEREF _Toc89966405 \h </w:instrText>
        </w:r>
        <w:r w:rsidR="00D87410">
          <w:rPr>
            <w:noProof/>
            <w:webHidden/>
          </w:rPr>
        </w:r>
        <w:r w:rsidR="00D87410">
          <w:rPr>
            <w:noProof/>
            <w:webHidden/>
          </w:rPr>
          <w:fldChar w:fldCharType="separate"/>
        </w:r>
        <w:r w:rsidR="00D87410">
          <w:rPr>
            <w:noProof/>
            <w:webHidden/>
          </w:rPr>
          <w:t>27</w:t>
        </w:r>
        <w:r w:rsidR="00D87410">
          <w:rPr>
            <w:noProof/>
            <w:webHidden/>
          </w:rPr>
          <w:fldChar w:fldCharType="end"/>
        </w:r>
      </w:hyperlink>
    </w:p>
    <w:p w14:paraId="76D0F618" w14:textId="1A81FCAF" w:rsidR="00D87410" w:rsidRDefault="00E1738F">
      <w:pPr>
        <w:pStyle w:val="TOC2"/>
        <w:rPr>
          <w:rFonts w:eastAsiaTheme="minorEastAsia"/>
          <w:b w:val="0"/>
          <w:noProof/>
          <w:color w:val="auto"/>
          <w:sz w:val="22"/>
          <w:szCs w:val="22"/>
          <w:lang w:eastAsia="zh-CN"/>
        </w:rPr>
      </w:pPr>
      <w:hyperlink w:anchor="_Toc89966406" w:history="1">
        <w:r w:rsidR="00D87410" w:rsidRPr="009D1A9D">
          <w:rPr>
            <w:rStyle w:val="Hyperlink"/>
            <w:rFonts w:ascii="Arial Bold" w:hAnsi="Arial Bold"/>
            <w:noProof/>
          </w:rPr>
          <w:t>5.1</w:t>
        </w:r>
        <w:r w:rsidR="00D87410">
          <w:rPr>
            <w:rFonts w:eastAsiaTheme="minorEastAsia"/>
            <w:b w:val="0"/>
            <w:noProof/>
            <w:color w:val="auto"/>
            <w:sz w:val="22"/>
            <w:szCs w:val="22"/>
            <w:lang w:eastAsia="zh-CN"/>
          </w:rPr>
          <w:tab/>
        </w:r>
        <w:r w:rsidR="00D87410" w:rsidRPr="009D1A9D">
          <w:rPr>
            <w:rStyle w:val="Hyperlink"/>
            <w:noProof/>
          </w:rPr>
          <w:t>Is there a cliff-edge effect when considering precipitation?</w:t>
        </w:r>
        <w:r w:rsidR="00D87410">
          <w:rPr>
            <w:noProof/>
            <w:webHidden/>
          </w:rPr>
          <w:tab/>
        </w:r>
        <w:r w:rsidR="00D87410">
          <w:rPr>
            <w:noProof/>
            <w:webHidden/>
          </w:rPr>
          <w:fldChar w:fldCharType="begin"/>
        </w:r>
        <w:r w:rsidR="00D87410">
          <w:rPr>
            <w:noProof/>
            <w:webHidden/>
          </w:rPr>
          <w:instrText xml:space="preserve"> PAGEREF _Toc89966406 \h </w:instrText>
        </w:r>
        <w:r w:rsidR="00D87410">
          <w:rPr>
            <w:noProof/>
            <w:webHidden/>
          </w:rPr>
        </w:r>
        <w:r w:rsidR="00D87410">
          <w:rPr>
            <w:noProof/>
            <w:webHidden/>
          </w:rPr>
          <w:fldChar w:fldCharType="separate"/>
        </w:r>
        <w:r w:rsidR="00D87410">
          <w:rPr>
            <w:noProof/>
            <w:webHidden/>
          </w:rPr>
          <w:t>28</w:t>
        </w:r>
        <w:r w:rsidR="00D87410">
          <w:rPr>
            <w:noProof/>
            <w:webHidden/>
          </w:rPr>
          <w:fldChar w:fldCharType="end"/>
        </w:r>
      </w:hyperlink>
    </w:p>
    <w:p w14:paraId="497DE9BC" w14:textId="71E076BA" w:rsidR="00D87410" w:rsidRDefault="00E1738F">
      <w:pPr>
        <w:pStyle w:val="TOC3"/>
        <w:rPr>
          <w:rFonts w:eastAsiaTheme="minorEastAsia"/>
          <w:noProof/>
          <w:sz w:val="22"/>
          <w:szCs w:val="22"/>
          <w:lang w:eastAsia="zh-CN"/>
        </w:rPr>
      </w:pPr>
      <w:hyperlink w:anchor="_Toc89966407" w:history="1">
        <w:r w:rsidR="00D87410" w:rsidRPr="009D1A9D">
          <w:rPr>
            <w:rStyle w:val="Hyperlink"/>
            <w:rFonts w:ascii="Arial Bold" w:hAnsi="Arial Bold"/>
            <w:noProof/>
          </w:rPr>
          <w:t>5.1.1</w:t>
        </w:r>
        <w:r w:rsidR="00D87410">
          <w:rPr>
            <w:rFonts w:eastAsiaTheme="minorEastAsia"/>
            <w:noProof/>
            <w:sz w:val="22"/>
            <w:szCs w:val="22"/>
            <w:lang w:eastAsia="zh-CN"/>
          </w:rPr>
          <w:tab/>
        </w:r>
        <w:r w:rsidR="00D87410" w:rsidRPr="009D1A9D">
          <w:rPr>
            <w:rStyle w:val="Hyperlink"/>
            <w:noProof/>
          </w:rPr>
          <w:t>Results derived using ADEPT</w:t>
        </w:r>
        <w:r w:rsidR="00D87410">
          <w:rPr>
            <w:noProof/>
            <w:webHidden/>
          </w:rPr>
          <w:tab/>
        </w:r>
        <w:r w:rsidR="00D87410">
          <w:rPr>
            <w:noProof/>
            <w:webHidden/>
          </w:rPr>
          <w:fldChar w:fldCharType="begin"/>
        </w:r>
        <w:r w:rsidR="00D87410">
          <w:rPr>
            <w:noProof/>
            <w:webHidden/>
          </w:rPr>
          <w:instrText xml:space="preserve"> PAGEREF _Toc89966407 \h </w:instrText>
        </w:r>
        <w:r w:rsidR="00D87410">
          <w:rPr>
            <w:noProof/>
            <w:webHidden/>
          </w:rPr>
        </w:r>
        <w:r w:rsidR="00D87410">
          <w:rPr>
            <w:noProof/>
            <w:webHidden/>
          </w:rPr>
          <w:fldChar w:fldCharType="separate"/>
        </w:r>
        <w:r w:rsidR="00D87410">
          <w:rPr>
            <w:noProof/>
            <w:webHidden/>
          </w:rPr>
          <w:t>29</w:t>
        </w:r>
        <w:r w:rsidR="00D87410">
          <w:rPr>
            <w:noProof/>
            <w:webHidden/>
          </w:rPr>
          <w:fldChar w:fldCharType="end"/>
        </w:r>
      </w:hyperlink>
    </w:p>
    <w:p w14:paraId="7E7CA43D" w14:textId="46982CC9" w:rsidR="00D87410" w:rsidRDefault="00E1738F">
      <w:pPr>
        <w:pStyle w:val="TOC3"/>
        <w:rPr>
          <w:rFonts w:eastAsiaTheme="minorEastAsia"/>
          <w:noProof/>
          <w:sz w:val="22"/>
          <w:szCs w:val="22"/>
          <w:lang w:eastAsia="zh-CN"/>
        </w:rPr>
      </w:pPr>
      <w:hyperlink w:anchor="_Toc89966408" w:history="1">
        <w:r w:rsidR="00D87410" w:rsidRPr="009D1A9D">
          <w:rPr>
            <w:rStyle w:val="Hyperlink"/>
            <w:rFonts w:ascii="Arial Bold" w:hAnsi="Arial Bold"/>
            <w:noProof/>
          </w:rPr>
          <w:t>5.1.2</w:t>
        </w:r>
        <w:r w:rsidR="00D87410">
          <w:rPr>
            <w:rFonts w:eastAsiaTheme="minorEastAsia"/>
            <w:noProof/>
            <w:sz w:val="22"/>
            <w:szCs w:val="22"/>
            <w:lang w:eastAsia="zh-CN"/>
          </w:rPr>
          <w:tab/>
        </w:r>
        <w:r w:rsidR="00D87410" w:rsidRPr="009D1A9D">
          <w:rPr>
            <w:rStyle w:val="Hyperlink"/>
            <w:noProof/>
          </w:rPr>
          <w:t>Results derived using ADMS</w:t>
        </w:r>
        <w:r w:rsidR="00D87410">
          <w:rPr>
            <w:noProof/>
            <w:webHidden/>
          </w:rPr>
          <w:tab/>
        </w:r>
        <w:r w:rsidR="00D87410">
          <w:rPr>
            <w:noProof/>
            <w:webHidden/>
          </w:rPr>
          <w:fldChar w:fldCharType="begin"/>
        </w:r>
        <w:r w:rsidR="00D87410">
          <w:rPr>
            <w:noProof/>
            <w:webHidden/>
          </w:rPr>
          <w:instrText xml:space="preserve"> PAGEREF _Toc89966408 \h </w:instrText>
        </w:r>
        <w:r w:rsidR="00D87410">
          <w:rPr>
            <w:noProof/>
            <w:webHidden/>
          </w:rPr>
        </w:r>
        <w:r w:rsidR="00D87410">
          <w:rPr>
            <w:noProof/>
            <w:webHidden/>
          </w:rPr>
          <w:fldChar w:fldCharType="separate"/>
        </w:r>
        <w:r w:rsidR="00D87410">
          <w:rPr>
            <w:noProof/>
            <w:webHidden/>
          </w:rPr>
          <w:t>31</w:t>
        </w:r>
        <w:r w:rsidR="00D87410">
          <w:rPr>
            <w:noProof/>
            <w:webHidden/>
          </w:rPr>
          <w:fldChar w:fldCharType="end"/>
        </w:r>
      </w:hyperlink>
    </w:p>
    <w:p w14:paraId="0EB5BB4A" w14:textId="1876EF2F" w:rsidR="00D87410" w:rsidRDefault="00E1738F">
      <w:pPr>
        <w:pStyle w:val="TOC3"/>
        <w:rPr>
          <w:rFonts w:eastAsiaTheme="minorEastAsia"/>
          <w:noProof/>
          <w:sz w:val="22"/>
          <w:szCs w:val="22"/>
          <w:lang w:eastAsia="zh-CN"/>
        </w:rPr>
      </w:pPr>
      <w:hyperlink w:anchor="_Toc89966409" w:history="1">
        <w:r w:rsidR="00D87410" w:rsidRPr="009D1A9D">
          <w:rPr>
            <w:rStyle w:val="Hyperlink"/>
            <w:rFonts w:ascii="Arial Bold" w:hAnsi="Arial Bold"/>
            <w:noProof/>
          </w:rPr>
          <w:t>5.1.3</w:t>
        </w:r>
        <w:r w:rsidR="00D87410">
          <w:rPr>
            <w:rFonts w:eastAsiaTheme="minorEastAsia"/>
            <w:noProof/>
            <w:sz w:val="22"/>
            <w:szCs w:val="22"/>
            <w:lang w:eastAsia="zh-CN"/>
          </w:rPr>
          <w:tab/>
        </w:r>
        <w:r w:rsidR="00D87410" w:rsidRPr="009D1A9D">
          <w:rPr>
            <w:rStyle w:val="Hyperlink"/>
            <w:noProof/>
          </w:rPr>
          <w:t>Discussion</w:t>
        </w:r>
        <w:r w:rsidR="00D87410">
          <w:rPr>
            <w:noProof/>
            <w:webHidden/>
          </w:rPr>
          <w:tab/>
        </w:r>
        <w:r w:rsidR="00D87410">
          <w:rPr>
            <w:noProof/>
            <w:webHidden/>
          </w:rPr>
          <w:fldChar w:fldCharType="begin"/>
        </w:r>
        <w:r w:rsidR="00D87410">
          <w:rPr>
            <w:noProof/>
            <w:webHidden/>
          </w:rPr>
          <w:instrText xml:space="preserve"> PAGEREF _Toc89966409 \h </w:instrText>
        </w:r>
        <w:r w:rsidR="00D87410">
          <w:rPr>
            <w:noProof/>
            <w:webHidden/>
          </w:rPr>
        </w:r>
        <w:r w:rsidR="00D87410">
          <w:rPr>
            <w:noProof/>
            <w:webHidden/>
          </w:rPr>
          <w:fldChar w:fldCharType="separate"/>
        </w:r>
        <w:r w:rsidR="00D87410">
          <w:rPr>
            <w:noProof/>
            <w:webHidden/>
          </w:rPr>
          <w:t>32</w:t>
        </w:r>
        <w:r w:rsidR="00D87410">
          <w:rPr>
            <w:noProof/>
            <w:webHidden/>
          </w:rPr>
          <w:fldChar w:fldCharType="end"/>
        </w:r>
      </w:hyperlink>
    </w:p>
    <w:p w14:paraId="6CDEB490" w14:textId="05742C52" w:rsidR="00D87410" w:rsidRDefault="00E1738F">
      <w:pPr>
        <w:pStyle w:val="TOC2"/>
        <w:rPr>
          <w:rFonts w:eastAsiaTheme="minorEastAsia"/>
          <w:b w:val="0"/>
          <w:noProof/>
          <w:color w:val="auto"/>
          <w:sz w:val="22"/>
          <w:szCs w:val="22"/>
          <w:lang w:eastAsia="zh-CN"/>
        </w:rPr>
      </w:pPr>
      <w:hyperlink w:anchor="_Toc89966410" w:history="1">
        <w:r w:rsidR="00D87410" w:rsidRPr="009D1A9D">
          <w:rPr>
            <w:rStyle w:val="Hyperlink"/>
            <w:rFonts w:ascii="Arial Bold" w:hAnsi="Arial Bold"/>
            <w:noProof/>
          </w:rPr>
          <w:t>5.2</w:t>
        </w:r>
        <w:r w:rsidR="00D87410">
          <w:rPr>
            <w:rFonts w:eastAsiaTheme="minorEastAsia"/>
            <w:b w:val="0"/>
            <w:noProof/>
            <w:color w:val="auto"/>
            <w:sz w:val="22"/>
            <w:szCs w:val="22"/>
            <w:lang w:eastAsia="zh-CN"/>
          </w:rPr>
          <w:tab/>
        </w:r>
        <w:r w:rsidR="00D87410" w:rsidRPr="009D1A9D">
          <w:rPr>
            <w:rStyle w:val="Hyperlink"/>
            <w:noProof/>
          </w:rPr>
          <w:t>Is there a lack of conservatism in the current DBA methodology?</w:t>
        </w:r>
        <w:r w:rsidR="00D87410">
          <w:rPr>
            <w:noProof/>
            <w:webHidden/>
          </w:rPr>
          <w:tab/>
        </w:r>
        <w:r w:rsidR="00D87410">
          <w:rPr>
            <w:noProof/>
            <w:webHidden/>
          </w:rPr>
          <w:fldChar w:fldCharType="begin"/>
        </w:r>
        <w:r w:rsidR="00D87410">
          <w:rPr>
            <w:noProof/>
            <w:webHidden/>
          </w:rPr>
          <w:instrText xml:space="preserve"> PAGEREF _Toc89966410 \h </w:instrText>
        </w:r>
        <w:r w:rsidR="00D87410">
          <w:rPr>
            <w:noProof/>
            <w:webHidden/>
          </w:rPr>
        </w:r>
        <w:r w:rsidR="00D87410">
          <w:rPr>
            <w:noProof/>
            <w:webHidden/>
          </w:rPr>
          <w:fldChar w:fldCharType="separate"/>
        </w:r>
        <w:r w:rsidR="00D87410">
          <w:rPr>
            <w:noProof/>
            <w:webHidden/>
          </w:rPr>
          <w:t>33</w:t>
        </w:r>
        <w:r w:rsidR="00D87410">
          <w:rPr>
            <w:noProof/>
            <w:webHidden/>
          </w:rPr>
          <w:fldChar w:fldCharType="end"/>
        </w:r>
      </w:hyperlink>
    </w:p>
    <w:p w14:paraId="36C1D85F" w14:textId="7C0823BA" w:rsidR="00D87410" w:rsidRDefault="00E1738F">
      <w:pPr>
        <w:pStyle w:val="TOC3"/>
        <w:rPr>
          <w:rFonts w:eastAsiaTheme="minorEastAsia"/>
          <w:noProof/>
          <w:sz w:val="22"/>
          <w:szCs w:val="22"/>
          <w:lang w:eastAsia="zh-CN"/>
        </w:rPr>
      </w:pPr>
      <w:hyperlink w:anchor="_Toc89966411" w:history="1">
        <w:r w:rsidR="00D87410" w:rsidRPr="009D1A9D">
          <w:rPr>
            <w:rStyle w:val="Hyperlink"/>
            <w:rFonts w:ascii="Arial Bold" w:hAnsi="Arial Bold"/>
            <w:noProof/>
          </w:rPr>
          <w:t>5.2.1</w:t>
        </w:r>
        <w:r w:rsidR="00D87410">
          <w:rPr>
            <w:rFonts w:eastAsiaTheme="minorEastAsia"/>
            <w:noProof/>
            <w:sz w:val="22"/>
            <w:szCs w:val="22"/>
            <w:lang w:eastAsia="zh-CN"/>
          </w:rPr>
          <w:tab/>
        </w:r>
        <w:r w:rsidR="00D87410" w:rsidRPr="009D1A9D">
          <w:rPr>
            <w:rStyle w:val="Hyperlink"/>
            <w:noProof/>
          </w:rPr>
          <w:t>Pasquill Stability Category F versus Pasquill Stability Category D conditions</w:t>
        </w:r>
        <w:r w:rsidR="00D87410">
          <w:rPr>
            <w:noProof/>
            <w:webHidden/>
          </w:rPr>
          <w:tab/>
        </w:r>
        <w:r w:rsidR="00D87410">
          <w:rPr>
            <w:noProof/>
            <w:webHidden/>
          </w:rPr>
          <w:fldChar w:fldCharType="begin"/>
        </w:r>
        <w:r w:rsidR="00D87410">
          <w:rPr>
            <w:noProof/>
            <w:webHidden/>
          </w:rPr>
          <w:instrText xml:space="preserve"> PAGEREF _Toc89966411 \h </w:instrText>
        </w:r>
        <w:r w:rsidR="00D87410">
          <w:rPr>
            <w:noProof/>
            <w:webHidden/>
          </w:rPr>
        </w:r>
        <w:r w:rsidR="00D87410">
          <w:rPr>
            <w:noProof/>
            <w:webHidden/>
          </w:rPr>
          <w:fldChar w:fldCharType="separate"/>
        </w:r>
        <w:r w:rsidR="00D87410">
          <w:rPr>
            <w:noProof/>
            <w:webHidden/>
          </w:rPr>
          <w:t>33</w:t>
        </w:r>
        <w:r w:rsidR="00D87410">
          <w:rPr>
            <w:noProof/>
            <w:webHidden/>
          </w:rPr>
          <w:fldChar w:fldCharType="end"/>
        </w:r>
      </w:hyperlink>
    </w:p>
    <w:p w14:paraId="45968941" w14:textId="5A700940" w:rsidR="00D87410" w:rsidRDefault="00E1738F">
      <w:pPr>
        <w:pStyle w:val="TOC4"/>
        <w:rPr>
          <w:rFonts w:eastAsiaTheme="minorEastAsia"/>
          <w:i w:val="0"/>
          <w:noProof/>
          <w:sz w:val="22"/>
          <w:szCs w:val="22"/>
          <w:lang w:eastAsia="zh-CN"/>
        </w:rPr>
      </w:pPr>
      <w:hyperlink w:anchor="_Toc89966412" w:history="1">
        <w:r w:rsidR="00D87410" w:rsidRPr="009D1A9D">
          <w:rPr>
            <w:rStyle w:val="Hyperlink"/>
            <w:rFonts w:ascii="Arial Bold" w:hAnsi="Arial Bold"/>
            <w:noProof/>
          </w:rPr>
          <w:t>5.2.1.1</w:t>
        </w:r>
        <w:r w:rsidR="00D87410">
          <w:rPr>
            <w:rFonts w:eastAsiaTheme="minorEastAsia"/>
            <w:i w:val="0"/>
            <w:noProof/>
            <w:sz w:val="22"/>
            <w:szCs w:val="22"/>
            <w:lang w:eastAsia="zh-CN"/>
          </w:rPr>
          <w:tab/>
        </w:r>
        <w:r w:rsidR="00D87410" w:rsidRPr="009D1A9D">
          <w:rPr>
            <w:rStyle w:val="Hyperlink"/>
            <w:noProof/>
          </w:rPr>
          <w:t>Short dose integration period results and discussion</w:t>
        </w:r>
        <w:r w:rsidR="00D87410">
          <w:rPr>
            <w:noProof/>
            <w:webHidden/>
          </w:rPr>
          <w:tab/>
        </w:r>
        <w:r w:rsidR="00D87410">
          <w:rPr>
            <w:noProof/>
            <w:webHidden/>
          </w:rPr>
          <w:fldChar w:fldCharType="begin"/>
        </w:r>
        <w:r w:rsidR="00D87410">
          <w:rPr>
            <w:noProof/>
            <w:webHidden/>
          </w:rPr>
          <w:instrText xml:space="preserve"> PAGEREF _Toc89966412 \h </w:instrText>
        </w:r>
        <w:r w:rsidR="00D87410">
          <w:rPr>
            <w:noProof/>
            <w:webHidden/>
          </w:rPr>
        </w:r>
        <w:r w:rsidR="00D87410">
          <w:rPr>
            <w:noProof/>
            <w:webHidden/>
          </w:rPr>
          <w:fldChar w:fldCharType="separate"/>
        </w:r>
        <w:r w:rsidR="00D87410">
          <w:rPr>
            <w:noProof/>
            <w:webHidden/>
          </w:rPr>
          <w:t>33</w:t>
        </w:r>
        <w:r w:rsidR="00D87410">
          <w:rPr>
            <w:noProof/>
            <w:webHidden/>
          </w:rPr>
          <w:fldChar w:fldCharType="end"/>
        </w:r>
      </w:hyperlink>
    </w:p>
    <w:p w14:paraId="3B1C6D29" w14:textId="3B9E6615" w:rsidR="00D87410" w:rsidRDefault="00E1738F">
      <w:pPr>
        <w:pStyle w:val="TOC4"/>
        <w:rPr>
          <w:rFonts w:eastAsiaTheme="minorEastAsia"/>
          <w:i w:val="0"/>
          <w:noProof/>
          <w:sz w:val="22"/>
          <w:szCs w:val="22"/>
          <w:lang w:eastAsia="zh-CN"/>
        </w:rPr>
      </w:pPr>
      <w:hyperlink w:anchor="_Toc89966413" w:history="1">
        <w:r w:rsidR="00D87410" w:rsidRPr="009D1A9D">
          <w:rPr>
            <w:rStyle w:val="Hyperlink"/>
            <w:rFonts w:ascii="Arial Bold" w:hAnsi="Arial Bold"/>
            <w:noProof/>
          </w:rPr>
          <w:t>5.2.1.2</w:t>
        </w:r>
        <w:r w:rsidR="00D87410">
          <w:rPr>
            <w:rFonts w:eastAsiaTheme="minorEastAsia"/>
            <w:i w:val="0"/>
            <w:noProof/>
            <w:sz w:val="22"/>
            <w:szCs w:val="22"/>
            <w:lang w:eastAsia="zh-CN"/>
          </w:rPr>
          <w:tab/>
        </w:r>
        <w:r w:rsidR="00D87410" w:rsidRPr="009D1A9D">
          <w:rPr>
            <w:rStyle w:val="Hyperlink"/>
            <w:noProof/>
          </w:rPr>
          <w:t>Lifetime dose integration period results and discussion</w:t>
        </w:r>
        <w:r w:rsidR="00D87410">
          <w:rPr>
            <w:noProof/>
            <w:webHidden/>
          </w:rPr>
          <w:tab/>
        </w:r>
        <w:r w:rsidR="00D87410">
          <w:rPr>
            <w:noProof/>
            <w:webHidden/>
          </w:rPr>
          <w:fldChar w:fldCharType="begin"/>
        </w:r>
        <w:r w:rsidR="00D87410">
          <w:rPr>
            <w:noProof/>
            <w:webHidden/>
          </w:rPr>
          <w:instrText xml:space="preserve"> PAGEREF _Toc89966413 \h </w:instrText>
        </w:r>
        <w:r w:rsidR="00D87410">
          <w:rPr>
            <w:noProof/>
            <w:webHidden/>
          </w:rPr>
        </w:r>
        <w:r w:rsidR="00D87410">
          <w:rPr>
            <w:noProof/>
            <w:webHidden/>
          </w:rPr>
          <w:fldChar w:fldCharType="separate"/>
        </w:r>
        <w:r w:rsidR="00D87410">
          <w:rPr>
            <w:noProof/>
            <w:webHidden/>
          </w:rPr>
          <w:t>35</w:t>
        </w:r>
        <w:r w:rsidR="00D87410">
          <w:rPr>
            <w:noProof/>
            <w:webHidden/>
          </w:rPr>
          <w:fldChar w:fldCharType="end"/>
        </w:r>
      </w:hyperlink>
    </w:p>
    <w:p w14:paraId="4C94A2F9" w14:textId="4F263433" w:rsidR="00D87410" w:rsidRDefault="00E1738F">
      <w:pPr>
        <w:pStyle w:val="TOC3"/>
        <w:rPr>
          <w:rFonts w:eastAsiaTheme="minorEastAsia"/>
          <w:noProof/>
          <w:sz w:val="22"/>
          <w:szCs w:val="22"/>
          <w:lang w:eastAsia="zh-CN"/>
        </w:rPr>
      </w:pPr>
      <w:hyperlink w:anchor="_Toc89966414" w:history="1">
        <w:r w:rsidR="00D87410" w:rsidRPr="009D1A9D">
          <w:rPr>
            <w:rStyle w:val="Hyperlink"/>
            <w:rFonts w:ascii="Arial Bold" w:hAnsi="Arial Bold"/>
            <w:noProof/>
          </w:rPr>
          <w:t>5.2.2</w:t>
        </w:r>
        <w:r w:rsidR="00D87410">
          <w:rPr>
            <w:rFonts w:eastAsiaTheme="minorEastAsia"/>
            <w:noProof/>
            <w:sz w:val="22"/>
            <w:szCs w:val="22"/>
            <w:lang w:eastAsia="zh-CN"/>
          </w:rPr>
          <w:tab/>
        </w:r>
        <w:r w:rsidR="00D87410" w:rsidRPr="009D1A9D">
          <w:rPr>
            <w:rStyle w:val="Hyperlink"/>
            <w:noProof/>
          </w:rPr>
          <w:t>Pasquill Stability Category F and a Gaussian Plume Approach versus more representative meteorological conditions and a Lagrangian Particle Approach</w:t>
        </w:r>
        <w:r w:rsidR="00D87410">
          <w:rPr>
            <w:noProof/>
            <w:webHidden/>
          </w:rPr>
          <w:tab/>
        </w:r>
        <w:r w:rsidR="00D87410">
          <w:rPr>
            <w:noProof/>
            <w:webHidden/>
          </w:rPr>
          <w:fldChar w:fldCharType="begin"/>
        </w:r>
        <w:r w:rsidR="00D87410">
          <w:rPr>
            <w:noProof/>
            <w:webHidden/>
          </w:rPr>
          <w:instrText xml:space="preserve"> PAGEREF _Toc89966414 \h </w:instrText>
        </w:r>
        <w:r w:rsidR="00D87410">
          <w:rPr>
            <w:noProof/>
            <w:webHidden/>
          </w:rPr>
        </w:r>
        <w:r w:rsidR="00D87410">
          <w:rPr>
            <w:noProof/>
            <w:webHidden/>
          </w:rPr>
          <w:fldChar w:fldCharType="separate"/>
        </w:r>
        <w:r w:rsidR="00D87410">
          <w:rPr>
            <w:noProof/>
            <w:webHidden/>
          </w:rPr>
          <w:t>37</w:t>
        </w:r>
        <w:r w:rsidR="00D87410">
          <w:rPr>
            <w:noProof/>
            <w:webHidden/>
          </w:rPr>
          <w:fldChar w:fldCharType="end"/>
        </w:r>
      </w:hyperlink>
    </w:p>
    <w:p w14:paraId="7D3D0591" w14:textId="2970238D" w:rsidR="00D87410" w:rsidRDefault="00E1738F">
      <w:pPr>
        <w:pStyle w:val="TOC3"/>
        <w:rPr>
          <w:rFonts w:eastAsiaTheme="minorEastAsia"/>
          <w:noProof/>
          <w:sz w:val="22"/>
          <w:szCs w:val="22"/>
          <w:lang w:eastAsia="zh-CN"/>
        </w:rPr>
      </w:pPr>
      <w:hyperlink w:anchor="_Toc89966415" w:history="1">
        <w:r w:rsidR="00D87410" w:rsidRPr="009D1A9D">
          <w:rPr>
            <w:rStyle w:val="Hyperlink"/>
            <w:rFonts w:ascii="Arial Bold" w:hAnsi="Arial Bold"/>
            <w:noProof/>
          </w:rPr>
          <w:t>5.2.3</w:t>
        </w:r>
        <w:r w:rsidR="00D87410">
          <w:rPr>
            <w:rFonts w:eastAsiaTheme="minorEastAsia"/>
            <w:noProof/>
            <w:sz w:val="22"/>
            <w:szCs w:val="22"/>
            <w:lang w:eastAsia="zh-CN"/>
          </w:rPr>
          <w:tab/>
        </w:r>
        <w:r w:rsidR="00D87410" w:rsidRPr="009D1A9D">
          <w:rPr>
            <w:rStyle w:val="Hyperlink"/>
            <w:noProof/>
          </w:rPr>
          <w:t>Discussion</w:t>
        </w:r>
        <w:r w:rsidR="00D87410">
          <w:rPr>
            <w:noProof/>
            <w:webHidden/>
          </w:rPr>
          <w:tab/>
        </w:r>
        <w:r w:rsidR="00D87410">
          <w:rPr>
            <w:noProof/>
            <w:webHidden/>
          </w:rPr>
          <w:fldChar w:fldCharType="begin"/>
        </w:r>
        <w:r w:rsidR="00D87410">
          <w:rPr>
            <w:noProof/>
            <w:webHidden/>
          </w:rPr>
          <w:instrText xml:space="preserve"> PAGEREF _Toc89966415 \h </w:instrText>
        </w:r>
        <w:r w:rsidR="00D87410">
          <w:rPr>
            <w:noProof/>
            <w:webHidden/>
          </w:rPr>
        </w:r>
        <w:r w:rsidR="00D87410">
          <w:rPr>
            <w:noProof/>
            <w:webHidden/>
          </w:rPr>
          <w:fldChar w:fldCharType="separate"/>
        </w:r>
        <w:r w:rsidR="00D87410">
          <w:rPr>
            <w:noProof/>
            <w:webHidden/>
          </w:rPr>
          <w:t>40</w:t>
        </w:r>
        <w:r w:rsidR="00D87410">
          <w:rPr>
            <w:noProof/>
            <w:webHidden/>
          </w:rPr>
          <w:fldChar w:fldCharType="end"/>
        </w:r>
      </w:hyperlink>
    </w:p>
    <w:p w14:paraId="290B8716" w14:textId="1D61B810" w:rsidR="00D87410" w:rsidRDefault="00E1738F">
      <w:pPr>
        <w:pStyle w:val="TOC2"/>
        <w:rPr>
          <w:rFonts w:eastAsiaTheme="minorEastAsia"/>
          <w:b w:val="0"/>
          <w:noProof/>
          <w:color w:val="auto"/>
          <w:sz w:val="22"/>
          <w:szCs w:val="22"/>
          <w:lang w:eastAsia="zh-CN"/>
        </w:rPr>
      </w:pPr>
      <w:hyperlink w:anchor="_Toc89966416" w:history="1">
        <w:r w:rsidR="00D87410" w:rsidRPr="009D1A9D">
          <w:rPr>
            <w:rStyle w:val="Hyperlink"/>
            <w:rFonts w:ascii="Arial Bold" w:hAnsi="Arial Bold"/>
            <w:noProof/>
          </w:rPr>
          <w:t>5.3</w:t>
        </w:r>
        <w:r w:rsidR="00D87410">
          <w:rPr>
            <w:rFonts w:eastAsiaTheme="minorEastAsia"/>
            <w:b w:val="0"/>
            <w:noProof/>
            <w:color w:val="auto"/>
            <w:sz w:val="22"/>
            <w:szCs w:val="22"/>
            <w:lang w:eastAsia="zh-CN"/>
          </w:rPr>
          <w:tab/>
        </w:r>
        <w:r w:rsidR="00D87410" w:rsidRPr="009D1A9D">
          <w:rPr>
            <w:rStyle w:val="Hyperlink"/>
            <w:noProof/>
          </w:rPr>
          <w:t>Are the current modelling approaches appropriate?</w:t>
        </w:r>
        <w:r w:rsidR="00D87410">
          <w:rPr>
            <w:noProof/>
            <w:webHidden/>
          </w:rPr>
          <w:tab/>
        </w:r>
        <w:r w:rsidR="00D87410">
          <w:rPr>
            <w:noProof/>
            <w:webHidden/>
          </w:rPr>
          <w:fldChar w:fldCharType="begin"/>
        </w:r>
        <w:r w:rsidR="00D87410">
          <w:rPr>
            <w:noProof/>
            <w:webHidden/>
          </w:rPr>
          <w:instrText xml:space="preserve"> PAGEREF _Toc89966416 \h </w:instrText>
        </w:r>
        <w:r w:rsidR="00D87410">
          <w:rPr>
            <w:noProof/>
            <w:webHidden/>
          </w:rPr>
        </w:r>
        <w:r w:rsidR="00D87410">
          <w:rPr>
            <w:noProof/>
            <w:webHidden/>
          </w:rPr>
          <w:fldChar w:fldCharType="separate"/>
        </w:r>
        <w:r w:rsidR="00D87410">
          <w:rPr>
            <w:noProof/>
            <w:webHidden/>
          </w:rPr>
          <w:t>42</w:t>
        </w:r>
        <w:r w:rsidR="00D87410">
          <w:rPr>
            <w:noProof/>
            <w:webHidden/>
          </w:rPr>
          <w:fldChar w:fldCharType="end"/>
        </w:r>
      </w:hyperlink>
    </w:p>
    <w:p w14:paraId="3A4A10C3" w14:textId="68C89CD9" w:rsidR="00D87410" w:rsidRDefault="00E1738F">
      <w:pPr>
        <w:pStyle w:val="TOC3"/>
        <w:rPr>
          <w:rFonts w:eastAsiaTheme="minorEastAsia"/>
          <w:noProof/>
          <w:sz w:val="22"/>
          <w:szCs w:val="22"/>
          <w:lang w:eastAsia="zh-CN"/>
        </w:rPr>
      </w:pPr>
      <w:hyperlink w:anchor="_Toc89966417" w:history="1">
        <w:r w:rsidR="00D87410" w:rsidRPr="009D1A9D">
          <w:rPr>
            <w:rStyle w:val="Hyperlink"/>
            <w:rFonts w:ascii="Arial Bold" w:hAnsi="Arial Bold"/>
            <w:noProof/>
          </w:rPr>
          <w:t>5.3.1</w:t>
        </w:r>
        <w:r w:rsidR="00D87410">
          <w:rPr>
            <w:rFonts w:eastAsiaTheme="minorEastAsia"/>
            <w:noProof/>
            <w:sz w:val="22"/>
            <w:szCs w:val="22"/>
            <w:lang w:eastAsia="zh-CN"/>
          </w:rPr>
          <w:tab/>
        </w:r>
        <w:r w:rsidR="00D87410" w:rsidRPr="009D1A9D">
          <w:rPr>
            <w:rStyle w:val="Hyperlink"/>
            <w:noProof/>
          </w:rPr>
          <w:t>Intercomparison of models and their application</w:t>
        </w:r>
        <w:r w:rsidR="00D87410">
          <w:rPr>
            <w:noProof/>
            <w:webHidden/>
          </w:rPr>
          <w:tab/>
        </w:r>
        <w:r w:rsidR="00D87410">
          <w:rPr>
            <w:noProof/>
            <w:webHidden/>
          </w:rPr>
          <w:fldChar w:fldCharType="begin"/>
        </w:r>
        <w:r w:rsidR="00D87410">
          <w:rPr>
            <w:noProof/>
            <w:webHidden/>
          </w:rPr>
          <w:instrText xml:space="preserve"> PAGEREF _Toc89966417 \h </w:instrText>
        </w:r>
        <w:r w:rsidR="00D87410">
          <w:rPr>
            <w:noProof/>
            <w:webHidden/>
          </w:rPr>
        </w:r>
        <w:r w:rsidR="00D87410">
          <w:rPr>
            <w:noProof/>
            <w:webHidden/>
          </w:rPr>
          <w:fldChar w:fldCharType="separate"/>
        </w:r>
        <w:r w:rsidR="00D87410">
          <w:rPr>
            <w:noProof/>
            <w:webHidden/>
          </w:rPr>
          <w:t>42</w:t>
        </w:r>
        <w:r w:rsidR="00D87410">
          <w:rPr>
            <w:noProof/>
            <w:webHidden/>
          </w:rPr>
          <w:fldChar w:fldCharType="end"/>
        </w:r>
      </w:hyperlink>
    </w:p>
    <w:p w14:paraId="4671E467" w14:textId="5970ED45" w:rsidR="00D87410" w:rsidRDefault="00E1738F">
      <w:pPr>
        <w:pStyle w:val="TOC4"/>
        <w:rPr>
          <w:rFonts w:eastAsiaTheme="minorEastAsia"/>
          <w:i w:val="0"/>
          <w:noProof/>
          <w:sz w:val="22"/>
          <w:szCs w:val="22"/>
          <w:lang w:eastAsia="zh-CN"/>
        </w:rPr>
      </w:pPr>
      <w:hyperlink w:anchor="_Toc89966418" w:history="1">
        <w:r w:rsidR="00D87410" w:rsidRPr="009D1A9D">
          <w:rPr>
            <w:rStyle w:val="Hyperlink"/>
            <w:rFonts w:ascii="Arial Bold" w:hAnsi="Arial Bold"/>
            <w:noProof/>
          </w:rPr>
          <w:t>5.3.1.1</w:t>
        </w:r>
        <w:r w:rsidR="00D87410">
          <w:rPr>
            <w:rFonts w:eastAsiaTheme="minorEastAsia"/>
            <w:i w:val="0"/>
            <w:noProof/>
            <w:sz w:val="22"/>
            <w:szCs w:val="22"/>
            <w:lang w:eastAsia="zh-CN"/>
          </w:rPr>
          <w:tab/>
        </w:r>
        <w:r w:rsidR="00D87410" w:rsidRPr="009D1A9D">
          <w:rPr>
            <w:rStyle w:val="Hyperlink"/>
            <w:noProof/>
          </w:rPr>
          <w:t>Strategy for comparing models of different types</w:t>
        </w:r>
        <w:r w:rsidR="00D87410">
          <w:rPr>
            <w:noProof/>
            <w:webHidden/>
          </w:rPr>
          <w:tab/>
        </w:r>
        <w:r w:rsidR="00D87410">
          <w:rPr>
            <w:noProof/>
            <w:webHidden/>
          </w:rPr>
          <w:fldChar w:fldCharType="begin"/>
        </w:r>
        <w:r w:rsidR="00D87410">
          <w:rPr>
            <w:noProof/>
            <w:webHidden/>
          </w:rPr>
          <w:instrText xml:space="preserve"> PAGEREF _Toc89966418 \h </w:instrText>
        </w:r>
        <w:r w:rsidR="00D87410">
          <w:rPr>
            <w:noProof/>
            <w:webHidden/>
          </w:rPr>
        </w:r>
        <w:r w:rsidR="00D87410">
          <w:rPr>
            <w:noProof/>
            <w:webHidden/>
          </w:rPr>
          <w:fldChar w:fldCharType="separate"/>
        </w:r>
        <w:r w:rsidR="00D87410">
          <w:rPr>
            <w:noProof/>
            <w:webHidden/>
          </w:rPr>
          <w:t>42</w:t>
        </w:r>
        <w:r w:rsidR="00D87410">
          <w:rPr>
            <w:noProof/>
            <w:webHidden/>
          </w:rPr>
          <w:fldChar w:fldCharType="end"/>
        </w:r>
      </w:hyperlink>
    </w:p>
    <w:p w14:paraId="1A541BE9" w14:textId="51CE8830" w:rsidR="00D87410" w:rsidRDefault="00E1738F">
      <w:pPr>
        <w:pStyle w:val="TOC4"/>
        <w:rPr>
          <w:rFonts w:eastAsiaTheme="minorEastAsia"/>
          <w:i w:val="0"/>
          <w:noProof/>
          <w:sz w:val="22"/>
          <w:szCs w:val="22"/>
          <w:lang w:eastAsia="zh-CN"/>
        </w:rPr>
      </w:pPr>
      <w:hyperlink w:anchor="_Toc89966419" w:history="1">
        <w:r w:rsidR="00D87410" w:rsidRPr="009D1A9D">
          <w:rPr>
            <w:rStyle w:val="Hyperlink"/>
            <w:rFonts w:ascii="Arial Bold" w:hAnsi="Arial Bold"/>
            <w:noProof/>
          </w:rPr>
          <w:t>5.3.1.2</w:t>
        </w:r>
        <w:r w:rsidR="00D87410">
          <w:rPr>
            <w:rFonts w:eastAsiaTheme="minorEastAsia"/>
            <w:i w:val="0"/>
            <w:noProof/>
            <w:sz w:val="22"/>
            <w:szCs w:val="22"/>
            <w:lang w:eastAsia="zh-CN"/>
          </w:rPr>
          <w:tab/>
        </w:r>
        <w:r w:rsidR="00D87410" w:rsidRPr="009D1A9D">
          <w:rPr>
            <w:rStyle w:val="Hyperlink"/>
            <w:noProof/>
          </w:rPr>
          <w:t>Results</w:t>
        </w:r>
        <w:r w:rsidR="00D87410">
          <w:rPr>
            <w:noProof/>
            <w:webHidden/>
          </w:rPr>
          <w:tab/>
        </w:r>
        <w:r w:rsidR="00D87410">
          <w:rPr>
            <w:noProof/>
            <w:webHidden/>
          </w:rPr>
          <w:fldChar w:fldCharType="begin"/>
        </w:r>
        <w:r w:rsidR="00D87410">
          <w:rPr>
            <w:noProof/>
            <w:webHidden/>
          </w:rPr>
          <w:instrText xml:space="preserve"> PAGEREF _Toc89966419 \h </w:instrText>
        </w:r>
        <w:r w:rsidR="00D87410">
          <w:rPr>
            <w:noProof/>
            <w:webHidden/>
          </w:rPr>
        </w:r>
        <w:r w:rsidR="00D87410">
          <w:rPr>
            <w:noProof/>
            <w:webHidden/>
          </w:rPr>
          <w:fldChar w:fldCharType="separate"/>
        </w:r>
        <w:r w:rsidR="00D87410">
          <w:rPr>
            <w:noProof/>
            <w:webHidden/>
          </w:rPr>
          <w:t>43</w:t>
        </w:r>
        <w:r w:rsidR="00D87410">
          <w:rPr>
            <w:noProof/>
            <w:webHidden/>
          </w:rPr>
          <w:fldChar w:fldCharType="end"/>
        </w:r>
      </w:hyperlink>
    </w:p>
    <w:p w14:paraId="27BF80FA" w14:textId="32A2150C" w:rsidR="00D87410" w:rsidRDefault="00E1738F">
      <w:pPr>
        <w:pStyle w:val="TOC5"/>
        <w:rPr>
          <w:rFonts w:asciiTheme="minorHAnsi" w:eastAsiaTheme="minorEastAsia" w:hAnsiTheme="minorHAnsi"/>
          <w:i w:val="0"/>
          <w:noProof/>
          <w:spacing w:val="0"/>
          <w:sz w:val="22"/>
          <w:szCs w:val="22"/>
          <w:lang w:eastAsia="zh-CN"/>
        </w:rPr>
      </w:pPr>
      <w:hyperlink w:anchor="_Toc89966420" w:history="1">
        <w:r w:rsidR="00D87410" w:rsidRPr="009D1A9D">
          <w:rPr>
            <w:rStyle w:val="Hyperlink"/>
            <w:noProof/>
          </w:rPr>
          <w:t>Results for the Large Break LOCA source term</w:t>
        </w:r>
        <w:r w:rsidR="00D87410">
          <w:rPr>
            <w:noProof/>
            <w:webHidden/>
          </w:rPr>
          <w:tab/>
        </w:r>
        <w:r w:rsidR="00D87410">
          <w:rPr>
            <w:noProof/>
            <w:webHidden/>
          </w:rPr>
          <w:fldChar w:fldCharType="begin"/>
        </w:r>
        <w:r w:rsidR="00D87410">
          <w:rPr>
            <w:noProof/>
            <w:webHidden/>
          </w:rPr>
          <w:instrText xml:space="preserve"> PAGEREF _Toc89966420 \h </w:instrText>
        </w:r>
        <w:r w:rsidR="00D87410">
          <w:rPr>
            <w:noProof/>
            <w:webHidden/>
          </w:rPr>
        </w:r>
        <w:r w:rsidR="00D87410">
          <w:rPr>
            <w:noProof/>
            <w:webHidden/>
          </w:rPr>
          <w:fldChar w:fldCharType="separate"/>
        </w:r>
        <w:r w:rsidR="00D87410">
          <w:rPr>
            <w:noProof/>
            <w:webHidden/>
          </w:rPr>
          <w:t>43</w:t>
        </w:r>
        <w:r w:rsidR="00D87410">
          <w:rPr>
            <w:noProof/>
            <w:webHidden/>
          </w:rPr>
          <w:fldChar w:fldCharType="end"/>
        </w:r>
      </w:hyperlink>
    </w:p>
    <w:p w14:paraId="78C3CDA9" w14:textId="2664BA45" w:rsidR="00D87410" w:rsidRDefault="00E1738F">
      <w:pPr>
        <w:pStyle w:val="TOC5"/>
        <w:rPr>
          <w:rFonts w:asciiTheme="minorHAnsi" w:eastAsiaTheme="minorEastAsia" w:hAnsiTheme="minorHAnsi"/>
          <w:i w:val="0"/>
          <w:noProof/>
          <w:spacing w:val="0"/>
          <w:sz w:val="22"/>
          <w:szCs w:val="22"/>
          <w:lang w:eastAsia="zh-CN"/>
        </w:rPr>
      </w:pPr>
      <w:hyperlink w:anchor="_Toc89966421" w:history="1">
        <w:r w:rsidR="00D87410" w:rsidRPr="009D1A9D">
          <w:rPr>
            <w:rStyle w:val="Hyperlink"/>
            <w:noProof/>
          </w:rPr>
          <w:t>Results for the Fuel Handling source term</w:t>
        </w:r>
        <w:r w:rsidR="00D87410">
          <w:rPr>
            <w:noProof/>
            <w:webHidden/>
          </w:rPr>
          <w:tab/>
        </w:r>
        <w:r w:rsidR="00D87410">
          <w:rPr>
            <w:noProof/>
            <w:webHidden/>
          </w:rPr>
          <w:fldChar w:fldCharType="begin"/>
        </w:r>
        <w:r w:rsidR="00D87410">
          <w:rPr>
            <w:noProof/>
            <w:webHidden/>
          </w:rPr>
          <w:instrText xml:space="preserve"> PAGEREF _Toc89966421 \h </w:instrText>
        </w:r>
        <w:r w:rsidR="00D87410">
          <w:rPr>
            <w:noProof/>
            <w:webHidden/>
          </w:rPr>
        </w:r>
        <w:r w:rsidR="00D87410">
          <w:rPr>
            <w:noProof/>
            <w:webHidden/>
          </w:rPr>
          <w:fldChar w:fldCharType="separate"/>
        </w:r>
        <w:r w:rsidR="00D87410">
          <w:rPr>
            <w:noProof/>
            <w:webHidden/>
          </w:rPr>
          <w:t>46</w:t>
        </w:r>
        <w:r w:rsidR="00D87410">
          <w:rPr>
            <w:noProof/>
            <w:webHidden/>
          </w:rPr>
          <w:fldChar w:fldCharType="end"/>
        </w:r>
      </w:hyperlink>
    </w:p>
    <w:p w14:paraId="0AB5BA3E" w14:textId="3859E054" w:rsidR="00D87410" w:rsidRDefault="00E1738F">
      <w:pPr>
        <w:pStyle w:val="TOC5"/>
        <w:rPr>
          <w:rFonts w:asciiTheme="minorHAnsi" w:eastAsiaTheme="minorEastAsia" w:hAnsiTheme="minorHAnsi"/>
          <w:i w:val="0"/>
          <w:noProof/>
          <w:spacing w:val="0"/>
          <w:sz w:val="22"/>
          <w:szCs w:val="22"/>
          <w:lang w:eastAsia="zh-CN"/>
        </w:rPr>
      </w:pPr>
      <w:hyperlink w:anchor="_Toc89966422" w:history="1">
        <w:r w:rsidR="00D87410" w:rsidRPr="009D1A9D">
          <w:rPr>
            <w:rStyle w:val="Hyperlink"/>
            <w:noProof/>
          </w:rPr>
          <w:t>Results for the Steam Generator Tube Rupture source term</w:t>
        </w:r>
        <w:r w:rsidR="00D87410">
          <w:rPr>
            <w:noProof/>
            <w:webHidden/>
          </w:rPr>
          <w:tab/>
        </w:r>
        <w:r w:rsidR="00D87410">
          <w:rPr>
            <w:noProof/>
            <w:webHidden/>
          </w:rPr>
          <w:fldChar w:fldCharType="begin"/>
        </w:r>
        <w:r w:rsidR="00D87410">
          <w:rPr>
            <w:noProof/>
            <w:webHidden/>
          </w:rPr>
          <w:instrText xml:space="preserve"> PAGEREF _Toc89966422 \h </w:instrText>
        </w:r>
        <w:r w:rsidR="00D87410">
          <w:rPr>
            <w:noProof/>
            <w:webHidden/>
          </w:rPr>
        </w:r>
        <w:r w:rsidR="00D87410">
          <w:rPr>
            <w:noProof/>
            <w:webHidden/>
          </w:rPr>
          <w:fldChar w:fldCharType="separate"/>
        </w:r>
        <w:r w:rsidR="00D87410">
          <w:rPr>
            <w:noProof/>
            <w:webHidden/>
          </w:rPr>
          <w:t>48</w:t>
        </w:r>
        <w:r w:rsidR="00D87410">
          <w:rPr>
            <w:noProof/>
            <w:webHidden/>
          </w:rPr>
          <w:fldChar w:fldCharType="end"/>
        </w:r>
      </w:hyperlink>
    </w:p>
    <w:p w14:paraId="78B69B16" w14:textId="43D90EBD" w:rsidR="00D87410" w:rsidRDefault="00E1738F">
      <w:pPr>
        <w:pStyle w:val="TOC5"/>
        <w:rPr>
          <w:rFonts w:asciiTheme="minorHAnsi" w:eastAsiaTheme="minorEastAsia" w:hAnsiTheme="minorHAnsi"/>
          <w:i w:val="0"/>
          <w:noProof/>
          <w:spacing w:val="0"/>
          <w:sz w:val="22"/>
          <w:szCs w:val="22"/>
          <w:lang w:eastAsia="zh-CN"/>
        </w:rPr>
      </w:pPr>
      <w:hyperlink w:anchor="_Toc89966423" w:history="1">
        <w:r w:rsidR="00D87410" w:rsidRPr="009D1A9D">
          <w:rPr>
            <w:rStyle w:val="Hyperlink"/>
            <w:noProof/>
          </w:rPr>
          <w:t>Results for the RCCAE source term</w:t>
        </w:r>
        <w:r w:rsidR="00D87410">
          <w:rPr>
            <w:noProof/>
            <w:webHidden/>
          </w:rPr>
          <w:tab/>
        </w:r>
        <w:r w:rsidR="00D87410">
          <w:rPr>
            <w:noProof/>
            <w:webHidden/>
          </w:rPr>
          <w:fldChar w:fldCharType="begin"/>
        </w:r>
        <w:r w:rsidR="00D87410">
          <w:rPr>
            <w:noProof/>
            <w:webHidden/>
          </w:rPr>
          <w:instrText xml:space="preserve"> PAGEREF _Toc89966423 \h </w:instrText>
        </w:r>
        <w:r w:rsidR="00D87410">
          <w:rPr>
            <w:noProof/>
            <w:webHidden/>
          </w:rPr>
        </w:r>
        <w:r w:rsidR="00D87410">
          <w:rPr>
            <w:noProof/>
            <w:webHidden/>
          </w:rPr>
          <w:fldChar w:fldCharType="separate"/>
        </w:r>
        <w:r w:rsidR="00D87410">
          <w:rPr>
            <w:noProof/>
            <w:webHidden/>
          </w:rPr>
          <w:t>50</w:t>
        </w:r>
        <w:r w:rsidR="00D87410">
          <w:rPr>
            <w:noProof/>
            <w:webHidden/>
          </w:rPr>
          <w:fldChar w:fldCharType="end"/>
        </w:r>
      </w:hyperlink>
    </w:p>
    <w:p w14:paraId="10688E89" w14:textId="76365EBC" w:rsidR="00D87410" w:rsidRDefault="00E1738F">
      <w:pPr>
        <w:pStyle w:val="TOC4"/>
        <w:rPr>
          <w:rFonts w:eastAsiaTheme="minorEastAsia"/>
          <w:i w:val="0"/>
          <w:noProof/>
          <w:sz w:val="22"/>
          <w:szCs w:val="22"/>
          <w:lang w:eastAsia="zh-CN"/>
        </w:rPr>
      </w:pPr>
      <w:hyperlink w:anchor="_Toc89966424" w:history="1">
        <w:r w:rsidR="00D87410" w:rsidRPr="009D1A9D">
          <w:rPr>
            <w:rStyle w:val="Hyperlink"/>
            <w:rFonts w:ascii="Arial Bold" w:hAnsi="Arial Bold"/>
            <w:noProof/>
          </w:rPr>
          <w:t>5.3.1.3</w:t>
        </w:r>
        <w:r w:rsidR="00D87410">
          <w:rPr>
            <w:rFonts w:eastAsiaTheme="minorEastAsia"/>
            <w:i w:val="0"/>
            <w:noProof/>
            <w:sz w:val="22"/>
            <w:szCs w:val="22"/>
            <w:lang w:eastAsia="zh-CN"/>
          </w:rPr>
          <w:tab/>
        </w:r>
        <w:r w:rsidR="00D87410" w:rsidRPr="009D1A9D">
          <w:rPr>
            <w:rStyle w:val="Hyperlink"/>
            <w:noProof/>
          </w:rPr>
          <w:t>Discussion</w:t>
        </w:r>
        <w:r w:rsidR="00D87410">
          <w:rPr>
            <w:noProof/>
            <w:webHidden/>
          </w:rPr>
          <w:tab/>
        </w:r>
        <w:r w:rsidR="00D87410">
          <w:rPr>
            <w:noProof/>
            <w:webHidden/>
          </w:rPr>
          <w:fldChar w:fldCharType="begin"/>
        </w:r>
        <w:r w:rsidR="00D87410">
          <w:rPr>
            <w:noProof/>
            <w:webHidden/>
          </w:rPr>
          <w:instrText xml:space="preserve"> PAGEREF _Toc89966424 \h </w:instrText>
        </w:r>
        <w:r w:rsidR="00D87410">
          <w:rPr>
            <w:noProof/>
            <w:webHidden/>
          </w:rPr>
        </w:r>
        <w:r w:rsidR="00D87410">
          <w:rPr>
            <w:noProof/>
            <w:webHidden/>
          </w:rPr>
          <w:fldChar w:fldCharType="separate"/>
        </w:r>
        <w:r w:rsidR="00D87410">
          <w:rPr>
            <w:noProof/>
            <w:webHidden/>
          </w:rPr>
          <w:t>52</w:t>
        </w:r>
        <w:r w:rsidR="00D87410">
          <w:rPr>
            <w:noProof/>
            <w:webHidden/>
          </w:rPr>
          <w:fldChar w:fldCharType="end"/>
        </w:r>
      </w:hyperlink>
    </w:p>
    <w:p w14:paraId="1630D4D8" w14:textId="60C60D46" w:rsidR="00D87410" w:rsidRDefault="00E1738F">
      <w:pPr>
        <w:pStyle w:val="TOC3"/>
        <w:rPr>
          <w:rFonts w:eastAsiaTheme="minorEastAsia"/>
          <w:noProof/>
          <w:sz w:val="22"/>
          <w:szCs w:val="22"/>
          <w:lang w:eastAsia="zh-CN"/>
        </w:rPr>
      </w:pPr>
      <w:hyperlink w:anchor="_Toc89966425" w:history="1">
        <w:r w:rsidR="00D87410" w:rsidRPr="009D1A9D">
          <w:rPr>
            <w:rStyle w:val="Hyperlink"/>
            <w:rFonts w:ascii="Arial Bold" w:hAnsi="Arial Bold"/>
            <w:noProof/>
          </w:rPr>
          <w:t>5.3.2</w:t>
        </w:r>
        <w:r w:rsidR="00D87410">
          <w:rPr>
            <w:rFonts w:eastAsiaTheme="minorEastAsia"/>
            <w:noProof/>
            <w:sz w:val="22"/>
            <w:szCs w:val="22"/>
            <w:lang w:eastAsia="zh-CN"/>
          </w:rPr>
          <w:tab/>
        </w:r>
        <w:r w:rsidR="00D87410" w:rsidRPr="009D1A9D">
          <w:rPr>
            <w:rStyle w:val="Hyperlink"/>
            <w:noProof/>
          </w:rPr>
          <w:t>Differences between ADEPT-in-PACE and ADMS results</w:t>
        </w:r>
        <w:r w:rsidR="00D87410">
          <w:rPr>
            <w:noProof/>
            <w:webHidden/>
          </w:rPr>
          <w:tab/>
        </w:r>
        <w:r w:rsidR="00D87410">
          <w:rPr>
            <w:noProof/>
            <w:webHidden/>
          </w:rPr>
          <w:fldChar w:fldCharType="begin"/>
        </w:r>
        <w:r w:rsidR="00D87410">
          <w:rPr>
            <w:noProof/>
            <w:webHidden/>
          </w:rPr>
          <w:instrText xml:space="preserve"> PAGEREF _Toc89966425 \h </w:instrText>
        </w:r>
        <w:r w:rsidR="00D87410">
          <w:rPr>
            <w:noProof/>
            <w:webHidden/>
          </w:rPr>
        </w:r>
        <w:r w:rsidR="00D87410">
          <w:rPr>
            <w:noProof/>
            <w:webHidden/>
          </w:rPr>
          <w:fldChar w:fldCharType="separate"/>
        </w:r>
        <w:r w:rsidR="00D87410">
          <w:rPr>
            <w:noProof/>
            <w:webHidden/>
          </w:rPr>
          <w:t>53</w:t>
        </w:r>
        <w:r w:rsidR="00D87410">
          <w:rPr>
            <w:noProof/>
            <w:webHidden/>
          </w:rPr>
          <w:fldChar w:fldCharType="end"/>
        </w:r>
      </w:hyperlink>
    </w:p>
    <w:p w14:paraId="6A622959" w14:textId="35DCD868" w:rsidR="00D87410" w:rsidRDefault="00E1738F">
      <w:pPr>
        <w:pStyle w:val="TOC4"/>
        <w:rPr>
          <w:rFonts w:eastAsiaTheme="minorEastAsia"/>
          <w:i w:val="0"/>
          <w:noProof/>
          <w:sz w:val="22"/>
          <w:szCs w:val="22"/>
          <w:lang w:eastAsia="zh-CN"/>
        </w:rPr>
      </w:pPr>
      <w:hyperlink w:anchor="_Toc89966426" w:history="1">
        <w:r w:rsidR="00D87410" w:rsidRPr="009D1A9D">
          <w:rPr>
            <w:rStyle w:val="Hyperlink"/>
            <w:rFonts w:ascii="Arial Bold" w:hAnsi="Arial Bold"/>
            <w:noProof/>
          </w:rPr>
          <w:t>5.3.2.1</w:t>
        </w:r>
        <w:r w:rsidR="00D87410">
          <w:rPr>
            <w:rFonts w:eastAsiaTheme="minorEastAsia"/>
            <w:i w:val="0"/>
            <w:noProof/>
            <w:sz w:val="22"/>
            <w:szCs w:val="22"/>
            <w:lang w:eastAsia="zh-CN"/>
          </w:rPr>
          <w:tab/>
        </w:r>
        <w:r w:rsidR="00D87410" w:rsidRPr="009D1A9D">
          <w:rPr>
            <w:rStyle w:val="Hyperlink"/>
            <w:noProof/>
          </w:rPr>
          <w:t>Results</w:t>
        </w:r>
        <w:r w:rsidR="00D87410">
          <w:rPr>
            <w:noProof/>
            <w:webHidden/>
          </w:rPr>
          <w:tab/>
        </w:r>
        <w:r w:rsidR="00D87410">
          <w:rPr>
            <w:noProof/>
            <w:webHidden/>
          </w:rPr>
          <w:fldChar w:fldCharType="begin"/>
        </w:r>
        <w:r w:rsidR="00D87410">
          <w:rPr>
            <w:noProof/>
            <w:webHidden/>
          </w:rPr>
          <w:instrText xml:space="preserve"> PAGEREF _Toc89966426 \h </w:instrText>
        </w:r>
        <w:r w:rsidR="00D87410">
          <w:rPr>
            <w:noProof/>
            <w:webHidden/>
          </w:rPr>
        </w:r>
        <w:r w:rsidR="00D87410">
          <w:rPr>
            <w:noProof/>
            <w:webHidden/>
          </w:rPr>
          <w:fldChar w:fldCharType="separate"/>
        </w:r>
        <w:r w:rsidR="00D87410">
          <w:rPr>
            <w:noProof/>
            <w:webHidden/>
          </w:rPr>
          <w:t>54</w:t>
        </w:r>
        <w:r w:rsidR="00D87410">
          <w:rPr>
            <w:noProof/>
            <w:webHidden/>
          </w:rPr>
          <w:fldChar w:fldCharType="end"/>
        </w:r>
      </w:hyperlink>
    </w:p>
    <w:p w14:paraId="52D93517" w14:textId="3116FAF6" w:rsidR="00D87410" w:rsidRDefault="00E1738F">
      <w:pPr>
        <w:pStyle w:val="TOC5"/>
        <w:rPr>
          <w:rFonts w:asciiTheme="minorHAnsi" w:eastAsiaTheme="minorEastAsia" w:hAnsiTheme="minorHAnsi"/>
          <w:i w:val="0"/>
          <w:noProof/>
          <w:spacing w:val="0"/>
          <w:sz w:val="22"/>
          <w:szCs w:val="22"/>
          <w:lang w:eastAsia="zh-CN"/>
        </w:rPr>
      </w:pPr>
      <w:hyperlink w:anchor="_Toc89966427" w:history="1">
        <w:r w:rsidR="00D87410" w:rsidRPr="009D1A9D">
          <w:rPr>
            <w:rStyle w:val="Hyperlink"/>
            <w:noProof/>
          </w:rPr>
          <w:t>Results for the Large Break LOCA source term</w:t>
        </w:r>
        <w:r w:rsidR="00D87410">
          <w:rPr>
            <w:noProof/>
            <w:webHidden/>
          </w:rPr>
          <w:tab/>
        </w:r>
        <w:r w:rsidR="00D87410">
          <w:rPr>
            <w:noProof/>
            <w:webHidden/>
          </w:rPr>
          <w:fldChar w:fldCharType="begin"/>
        </w:r>
        <w:r w:rsidR="00D87410">
          <w:rPr>
            <w:noProof/>
            <w:webHidden/>
          </w:rPr>
          <w:instrText xml:space="preserve"> PAGEREF _Toc89966427 \h </w:instrText>
        </w:r>
        <w:r w:rsidR="00D87410">
          <w:rPr>
            <w:noProof/>
            <w:webHidden/>
          </w:rPr>
        </w:r>
        <w:r w:rsidR="00D87410">
          <w:rPr>
            <w:noProof/>
            <w:webHidden/>
          </w:rPr>
          <w:fldChar w:fldCharType="separate"/>
        </w:r>
        <w:r w:rsidR="00D87410">
          <w:rPr>
            <w:noProof/>
            <w:webHidden/>
          </w:rPr>
          <w:t>54</w:t>
        </w:r>
        <w:r w:rsidR="00D87410">
          <w:rPr>
            <w:noProof/>
            <w:webHidden/>
          </w:rPr>
          <w:fldChar w:fldCharType="end"/>
        </w:r>
      </w:hyperlink>
    </w:p>
    <w:p w14:paraId="71D69390" w14:textId="1C8F9149" w:rsidR="00D87410" w:rsidRDefault="00E1738F">
      <w:pPr>
        <w:pStyle w:val="TOC5"/>
        <w:rPr>
          <w:rFonts w:asciiTheme="minorHAnsi" w:eastAsiaTheme="minorEastAsia" w:hAnsiTheme="minorHAnsi"/>
          <w:i w:val="0"/>
          <w:noProof/>
          <w:spacing w:val="0"/>
          <w:sz w:val="22"/>
          <w:szCs w:val="22"/>
          <w:lang w:eastAsia="zh-CN"/>
        </w:rPr>
      </w:pPr>
      <w:hyperlink w:anchor="_Toc89966428" w:history="1">
        <w:r w:rsidR="00D87410" w:rsidRPr="009D1A9D">
          <w:rPr>
            <w:rStyle w:val="Hyperlink"/>
            <w:noProof/>
          </w:rPr>
          <w:t>Results for the Steam Generator Tube Rupture source term</w:t>
        </w:r>
        <w:r w:rsidR="00D87410">
          <w:rPr>
            <w:noProof/>
            <w:webHidden/>
          </w:rPr>
          <w:tab/>
        </w:r>
        <w:r w:rsidR="00D87410">
          <w:rPr>
            <w:noProof/>
            <w:webHidden/>
          </w:rPr>
          <w:fldChar w:fldCharType="begin"/>
        </w:r>
        <w:r w:rsidR="00D87410">
          <w:rPr>
            <w:noProof/>
            <w:webHidden/>
          </w:rPr>
          <w:instrText xml:space="preserve"> PAGEREF _Toc89966428 \h </w:instrText>
        </w:r>
        <w:r w:rsidR="00D87410">
          <w:rPr>
            <w:noProof/>
            <w:webHidden/>
          </w:rPr>
        </w:r>
        <w:r w:rsidR="00D87410">
          <w:rPr>
            <w:noProof/>
            <w:webHidden/>
          </w:rPr>
          <w:fldChar w:fldCharType="separate"/>
        </w:r>
        <w:r w:rsidR="00D87410">
          <w:rPr>
            <w:noProof/>
            <w:webHidden/>
          </w:rPr>
          <w:t>56</w:t>
        </w:r>
        <w:r w:rsidR="00D87410">
          <w:rPr>
            <w:noProof/>
            <w:webHidden/>
          </w:rPr>
          <w:fldChar w:fldCharType="end"/>
        </w:r>
      </w:hyperlink>
    </w:p>
    <w:p w14:paraId="4FE7DDD8" w14:textId="4538B6DE" w:rsidR="00D87410" w:rsidRDefault="00E1738F">
      <w:pPr>
        <w:pStyle w:val="TOC4"/>
        <w:rPr>
          <w:rFonts w:eastAsiaTheme="minorEastAsia"/>
          <w:i w:val="0"/>
          <w:noProof/>
          <w:sz w:val="22"/>
          <w:szCs w:val="22"/>
          <w:lang w:eastAsia="zh-CN"/>
        </w:rPr>
      </w:pPr>
      <w:hyperlink w:anchor="_Toc89966429" w:history="1">
        <w:r w:rsidR="00D87410" w:rsidRPr="009D1A9D">
          <w:rPr>
            <w:rStyle w:val="Hyperlink"/>
            <w:rFonts w:ascii="Arial Bold" w:hAnsi="Arial Bold"/>
            <w:noProof/>
          </w:rPr>
          <w:t>5.3.2.2</w:t>
        </w:r>
        <w:r w:rsidR="00D87410">
          <w:rPr>
            <w:rFonts w:eastAsiaTheme="minorEastAsia"/>
            <w:i w:val="0"/>
            <w:noProof/>
            <w:sz w:val="22"/>
            <w:szCs w:val="22"/>
            <w:lang w:eastAsia="zh-CN"/>
          </w:rPr>
          <w:tab/>
        </w:r>
        <w:r w:rsidR="00D87410" w:rsidRPr="009D1A9D">
          <w:rPr>
            <w:rStyle w:val="Hyperlink"/>
            <w:noProof/>
          </w:rPr>
          <w:t>Discussion</w:t>
        </w:r>
        <w:r w:rsidR="00D87410">
          <w:rPr>
            <w:noProof/>
            <w:webHidden/>
          </w:rPr>
          <w:tab/>
        </w:r>
        <w:r w:rsidR="00D87410">
          <w:rPr>
            <w:noProof/>
            <w:webHidden/>
          </w:rPr>
          <w:fldChar w:fldCharType="begin"/>
        </w:r>
        <w:r w:rsidR="00D87410">
          <w:rPr>
            <w:noProof/>
            <w:webHidden/>
          </w:rPr>
          <w:instrText xml:space="preserve"> PAGEREF _Toc89966429 \h </w:instrText>
        </w:r>
        <w:r w:rsidR="00D87410">
          <w:rPr>
            <w:noProof/>
            <w:webHidden/>
          </w:rPr>
        </w:r>
        <w:r w:rsidR="00D87410">
          <w:rPr>
            <w:noProof/>
            <w:webHidden/>
          </w:rPr>
          <w:fldChar w:fldCharType="separate"/>
        </w:r>
        <w:r w:rsidR="00D87410">
          <w:rPr>
            <w:noProof/>
            <w:webHidden/>
          </w:rPr>
          <w:t>58</w:t>
        </w:r>
        <w:r w:rsidR="00D87410">
          <w:rPr>
            <w:noProof/>
            <w:webHidden/>
          </w:rPr>
          <w:fldChar w:fldCharType="end"/>
        </w:r>
      </w:hyperlink>
    </w:p>
    <w:p w14:paraId="0D367BEB" w14:textId="74923416" w:rsidR="00D87410" w:rsidRDefault="00E1738F">
      <w:pPr>
        <w:pStyle w:val="TOC3"/>
        <w:rPr>
          <w:rFonts w:eastAsiaTheme="minorEastAsia"/>
          <w:noProof/>
          <w:sz w:val="22"/>
          <w:szCs w:val="22"/>
          <w:lang w:eastAsia="zh-CN"/>
        </w:rPr>
      </w:pPr>
      <w:hyperlink w:anchor="_Toc89966430" w:history="1">
        <w:r w:rsidR="00D87410" w:rsidRPr="009D1A9D">
          <w:rPr>
            <w:rStyle w:val="Hyperlink"/>
            <w:rFonts w:ascii="Arial Bold" w:hAnsi="Arial Bold"/>
            <w:noProof/>
          </w:rPr>
          <w:t>5.3.3</w:t>
        </w:r>
        <w:r w:rsidR="00D87410">
          <w:rPr>
            <w:rFonts w:eastAsiaTheme="minorEastAsia"/>
            <w:noProof/>
            <w:sz w:val="22"/>
            <w:szCs w:val="22"/>
            <w:lang w:eastAsia="zh-CN"/>
          </w:rPr>
          <w:tab/>
        </w:r>
        <w:r w:rsidR="00D87410" w:rsidRPr="009D1A9D">
          <w:rPr>
            <w:rStyle w:val="Hyperlink"/>
            <w:noProof/>
          </w:rPr>
          <w:t>Calculation of external dose in ADMS</w:t>
        </w:r>
        <w:r w:rsidR="00D87410">
          <w:rPr>
            <w:noProof/>
            <w:webHidden/>
          </w:rPr>
          <w:tab/>
        </w:r>
        <w:r w:rsidR="00D87410">
          <w:rPr>
            <w:noProof/>
            <w:webHidden/>
          </w:rPr>
          <w:fldChar w:fldCharType="begin"/>
        </w:r>
        <w:r w:rsidR="00D87410">
          <w:rPr>
            <w:noProof/>
            <w:webHidden/>
          </w:rPr>
          <w:instrText xml:space="preserve"> PAGEREF _Toc89966430 \h </w:instrText>
        </w:r>
        <w:r w:rsidR="00D87410">
          <w:rPr>
            <w:noProof/>
            <w:webHidden/>
          </w:rPr>
        </w:r>
        <w:r w:rsidR="00D87410">
          <w:rPr>
            <w:noProof/>
            <w:webHidden/>
          </w:rPr>
          <w:fldChar w:fldCharType="separate"/>
        </w:r>
        <w:r w:rsidR="00D87410">
          <w:rPr>
            <w:noProof/>
            <w:webHidden/>
          </w:rPr>
          <w:t>59</w:t>
        </w:r>
        <w:r w:rsidR="00D87410">
          <w:rPr>
            <w:noProof/>
            <w:webHidden/>
          </w:rPr>
          <w:fldChar w:fldCharType="end"/>
        </w:r>
      </w:hyperlink>
    </w:p>
    <w:p w14:paraId="7E3C8EAE" w14:textId="0B45E390" w:rsidR="00D87410" w:rsidRDefault="00E1738F">
      <w:pPr>
        <w:pStyle w:val="TOC3"/>
        <w:rPr>
          <w:rFonts w:eastAsiaTheme="minorEastAsia"/>
          <w:noProof/>
          <w:sz w:val="22"/>
          <w:szCs w:val="22"/>
          <w:lang w:eastAsia="zh-CN"/>
        </w:rPr>
      </w:pPr>
      <w:hyperlink w:anchor="_Toc89966431" w:history="1">
        <w:r w:rsidR="00D87410" w:rsidRPr="009D1A9D">
          <w:rPr>
            <w:rStyle w:val="Hyperlink"/>
            <w:rFonts w:ascii="Arial Bold" w:hAnsi="Arial Bold"/>
            <w:noProof/>
          </w:rPr>
          <w:t>5.3.4</w:t>
        </w:r>
        <w:r w:rsidR="00D87410">
          <w:rPr>
            <w:rFonts w:eastAsiaTheme="minorEastAsia"/>
            <w:noProof/>
            <w:sz w:val="22"/>
            <w:szCs w:val="22"/>
            <w:lang w:eastAsia="zh-CN"/>
          </w:rPr>
          <w:tab/>
        </w:r>
        <w:r w:rsidR="00D87410" w:rsidRPr="009D1A9D">
          <w:rPr>
            <w:rStyle w:val="Hyperlink"/>
            <w:noProof/>
          </w:rPr>
          <w:t>Iodine chemical form</w:t>
        </w:r>
        <w:r w:rsidR="00D87410">
          <w:rPr>
            <w:noProof/>
            <w:webHidden/>
          </w:rPr>
          <w:tab/>
        </w:r>
        <w:r w:rsidR="00D87410">
          <w:rPr>
            <w:noProof/>
            <w:webHidden/>
          </w:rPr>
          <w:fldChar w:fldCharType="begin"/>
        </w:r>
        <w:r w:rsidR="00D87410">
          <w:rPr>
            <w:noProof/>
            <w:webHidden/>
          </w:rPr>
          <w:instrText xml:space="preserve"> PAGEREF _Toc89966431 \h </w:instrText>
        </w:r>
        <w:r w:rsidR="00D87410">
          <w:rPr>
            <w:noProof/>
            <w:webHidden/>
          </w:rPr>
        </w:r>
        <w:r w:rsidR="00D87410">
          <w:rPr>
            <w:noProof/>
            <w:webHidden/>
          </w:rPr>
          <w:fldChar w:fldCharType="separate"/>
        </w:r>
        <w:r w:rsidR="00D87410">
          <w:rPr>
            <w:noProof/>
            <w:webHidden/>
          </w:rPr>
          <w:t>61</w:t>
        </w:r>
        <w:r w:rsidR="00D87410">
          <w:rPr>
            <w:noProof/>
            <w:webHidden/>
          </w:rPr>
          <w:fldChar w:fldCharType="end"/>
        </w:r>
      </w:hyperlink>
    </w:p>
    <w:p w14:paraId="743A9EC5" w14:textId="1A4CFB57" w:rsidR="00D87410" w:rsidRDefault="00E1738F">
      <w:pPr>
        <w:pStyle w:val="TOC4"/>
        <w:rPr>
          <w:rFonts w:eastAsiaTheme="minorEastAsia"/>
          <w:i w:val="0"/>
          <w:noProof/>
          <w:sz w:val="22"/>
          <w:szCs w:val="22"/>
          <w:lang w:eastAsia="zh-CN"/>
        </w:rPr>
      </w:pPr>
      <w:hyperlink w:anchor="_Toc89966432" w:history="1">
        <w:r w:rsidR="00D87410" w:rsidRPr="009D1A9D">
          <w:rPr>
            <w:rStyle w:val="Hyperlink"/>
            <w:rFonts w:ascii="Arial Bold" w:hAnsi="Arial Bold"/>
            <w:noProof/>
          </w:rPr>
          <w:t>5.3.4.1</w:t>
        </w:r>
        <w:r w:rsidR="00D87410">
          <w:rPr>
            <w:rFonts w:eastAsiaTheme="minorEastAsia"/>
            <w:i w:val="0"/>
            <w:noProof/>
            <w:sz w:val="22"/>
            <w:szCs w:val="22"/>
            <w:lang w:eastAsia="zh-CN"/>
          </w:rPr>
          <w:tab/>
        </w:r>
        <w:r w:rsidR="00D87410" w:rsidRPr="009D1A9D">
          <w:rPr>
            <w:rStyle w:val="Hyperlink"/>
            <w:noProof/>
          </w:rPr>
          <w:t>Results</w:t>
        </w:r>
        <w:r w:rsidR="00D87410">
          <w:rPr>
            <w:noProof/>
            <w:webHidden/>
          </w:rPr>
          <w:tab/>
        </w:r>
        <w:r w:rsidR="00D87410">
          <w:rPr>
            <w:noProof/>
            <w:webHidden/>
          </w:rPr>
          <w:fldChar w:fldCharType="begin"/>
        </w:r>
        <w:r w:rsidR="00D87410">
          <w:rPr>
            <w:noProof/>
            <w:webHidden/>
          </w:rPr>
          <w:instrText xml:space="preserve"> PAGEREF _Toc89966432 \h </w:instrText>
        </w:r>
        <w:r w:rsidR="00D87410">
          <w:rPr>
            <w:noProof/>
            <w:webHidden/>
          </w:rPr>
        </w:r>
        <w:r w:rsidR="00D87410">
          <w:rPr>
            <w:noProof/>
            <w:webHidden/>
          </w:rPr>
          <w:fldChar w:fldCharType="separate"/>
        </w:r>
        <w:r w:rsidR="00D87410">
          <w:rPr>
            <w:noProof/>
            <w:webHidden/>
          </w:rPr>
          <w:t>62</w:t>
        </w:r>
        <w:r w:rsidR="00D87410">
          <w:rPr>
            <w:noProof/>
            <w:webHidden/>
          </w:rPr>
          <w:fldChar w:fldCharType="end"/>
        </w:r>
      </w:hyperlink>
    </w:p>
    <w:p w14:paraId="07E9EB9F" w14:textId="17C0D8D3" w:rsidR="00D87410" w:rsidRDefault="00E1738F">
      <w:pPr>
        <w:pStyle w:val="TOC4"/>
        <w:rPr>
          <w:rFonts w:eastAsiaTheme="minorEastAsia"/>
          <w:i w:val="0"/>
          <w:noProof/>
          <w:sz w:val="22"/>
          <w:szCs w:val="22"/>
          <w:lang w:eastAsia="zh-CN"/>
        </w:rPr>
      </w:pPr>
      <w:hyperlink w:anchor="_Toc89966433" w:history="1">
        <w:r w:rsidR="00D87410" w:rsidRPr="009D1A9D">
          <w:rPr>
            <w:rStyle w:val="Hyperlink"/>
            <w:rFonts w:ascii="Arial Bold" w:hAnsi="Arial Bold"/>
            <w:noProof/>
          </w:rPr>
          <w:t>5.3.4.2</w:t>
        </w:r>
        <w:r w:rsidR="00D87410">
          <w:rPr>
            <w:rFonts w:eastAsiaTheme="minorEastAsia"/>
            <w:i w:val="0"/>
            <w:noProof/>
            <w:sz w:val="22"/>
            <w:szCs w:val="22"/>
            <w:lang w:eastAsia="zh-CN"/>
          </w:rPr>
          <w:tab/>
        </w:r>
        <w:r w:rsidR="00D87410" w:rsidRPr="009D1A9D">
          <w:rPr>
            <w:rStyle w:val="Hyperlink"/>
            <w:noProof/>
          </w:rPr>
          <w:t>Discussion</w:t>
        </w:r>
        <w:r w:rsidR="00D87410">
          <w:rPr>
            <w:noProof/>
            <w:webHidden/>
          </w:rPr>
          <w:tab/>
        </w:r>
        <w:r w:rsidR="00D87410">
          <w:rPr>
            <w:noProof/>
            <w:webHidden/>
          </w:rPr>
          <w:fldChar w:fldCharType="begin"/>
        </w:r>
        <w:r w:rsidR="00D87410">
          <w:rPr>
            <w:noProof/>
            <w:webHidden/>
          </w:rPr>
          <w:instrText xml:space="preserve"> PAGEREF _Toc89966433 \h </w:instrText>
        </w:r>
        <w:r w:rsidR="00D87410">
          <w:rPr>
            <w:noProof/>
            <w:webHidden/>
          </w:rPr>
        </w:r>
        <w:r w:rsidR="00D87410">
          <w:rPr>
            <w:noProof/>
            <w:webHidden/>
          </w:rPr>
          <w:fldChar w:fldCharType="separate"/>
        </w:r>
        <w:r w:rsidR="00D87410">
          <w:rPr>
            <w:noProof/>
            <w:webHidden/>
          </w:rPr>
          <w:t>63</w:t>
        </w:r>
        <w:r w:rsidR="00D87410">
          <w:rPr>
            <w:noProof/>
            <w:webHidden/>
          </w:rPr>
          <w:fldChar w:fldCharType="end"/>
        </w:r>
      </w:hyperlink>
    </w:p>
    <w:p w14:paraId="3400F693" w14:textId="115D15C5" w:rsidR="00D87410" w:rsidRDefault="00E1738F">
      <w:pPr>
        <w:pStyle w:val="TOC3"/>
        <w:rPr>
          <w:rFonts w:eastAsiaTheme="minorEastAsia"/>
          <w:noProof/>
          <w:sz w:val="22"/>
          <w:szCs w:val="22"/>
          <w:lang w:eastAsia="zh-CN"/>
        </w:rPr>
      </w:pPr>
      <w:hyperlink w:anchor="_Toc89966434" w:history="1">
        <w:r w:rsidR="00D87410" w:rsidRPr="009D1A9D">
          <w:rPr>
            <w:rStyle w:val="Hyperlink"/>
            <w:rFonts w:ascii="Arial Bold" w:hAnsi="Arial Bold"/>
            <w:noProof/>
          </w:rPr>
          <w:t>5.3.5</w:t>
        </w:r>
        <w:r w:rsidR="00D87410">
          <w:rPr>
            <w:rFonts w:eastAsiaTheme="minorEastAsia"/>
            <w:noProof/>
            <w:sz w:val="22"/>
            <w:szCs w:val="22"/>
            <w:lang w:eastAsia="zh-CN"/>
          </w:rPr>
          <w:tab/>
        </w:r>
        <w:r w:rsidR="00D87410" w:rsidRPr="009D1A9D">
          <w:rPr>
            <w:rStyle w:val="Hyperlink"/>
            <w:noProof/>
          </w:rPr>
          <w:t>Summary</w:t>
        </w:r>
        <w:r w:rsidR="00D87410">
          <w:rPr>
            <w:noProof/>
            <w:webHidden/>
          </w:rPr>
          <w:tab/>
        </w:r>
        <w:r w:rsidR="00D87410">
          <w:rPr>
            <w:noProof/>
            <w:webHidden/>
          </w:rPr>
          <w:fldChar w:fldCharType="begin"/>
        </w:r>
        <w:r w:rsidR="00D87410">
          <w:rPr>
            <w:noProof/>
            <w:webHidden/>
          </w:rPr>
          <w:instrText xml:space="preserve"> PAGEREF _Toc89966434 \h </w:instrText>
        </w:r>
        <w:r w:rsidR="00D87410">
          <w:rPr>
            <w:noProof/>
            <w:webHidden/>
          </w:rPr>
        </w:r>
        <w:r w:rsidR="00D87410">
          <w:rPr>
            <w:noProof/>
            <w:webHidden/>
          </w:rPr>
          <w:fldChar w:fldCharType="separate"/>
        </w:r>
        <w:r w:rsidR="00D87410">
          <w:rPr>
            <w:noProof/>
            <w:webHidden/>
          </w:rPr>
          <w:t>64</w:t>
        </w:r>
        <w:r w:rsidR="00D87410">
          <w:rPr>
            <w:noProof/>
            <w:webHidden/>
          </w:rPr>
          <w:fldChar w:fldCharType="end"/>
        </w:r>
      </w:hyperlink>
    </w:p>
    <w:p w14:paraId="240027A4" w14:textId="7BB2D31D" w:rsidR="00D87410" w:rsidRDefault="00E1738F">
      <w:pPr>
        <w:pStyle w:val="TOC1"/>
        <w:tabs>
          <w:tab w:val="left" w:pos="1344"/>
        </w:tabs>
        <w:rPr>
          <w:rFonts w:asciiTheme="minorHAnsi" w:eastAsiaTheme="minorEastAsia" w:hAnsiTheme="minorHAnsi"/>
          <w:b w:val="0"/>
          <w:noProof/>
          <w:color w:val="auto"/>
          <w:sz w:val="22"/>
          <w:szCs w:val="22"/>
          <w:lang w:eastAsia="zh-CN"/>
        </w:rPr>
      </w:pPr>
      <w:hyperlink w:anchor="_Toc89966435" w:history="1">
        <w:r w:rsidR="00D87410" w:rsidRPr="009D1A9D">
          <w:rPr>
            <w:rStyle w:val="Hyperlink"/>
            <w:rFonts w:ascii="Arial Bold" w:hAnsi="Arial Bold"/>
            <w:noProof/>
          </w:rPr>
          <w:t>6</w:t>
        </w:r>
        <w:r w:rsidR="00D87410">
          <w:rPr>
            <w:rFonts w:asciiTheme="minorHAnsi" w:eastAsiaTheme="minorEastAsia" w:hAnsiTheme="minorHAnsi"/>
            <w:b w:val="0"/>
            <w:noProof/>
            <w:color w:val="auto"/>
            <w:sz w:val="22"/>
            <w:szCs w:val="22"/>
            <w:lang w:eastAsia="zh-CN"/>
          </w:rPr>
          <w:tab/>
        </w:r>
        <w:r w:rsidR="00D87410" w:rsidRPr="009D1A9D">
          <w:rPr>
            <w:rStyle w:val="Hyperlink"/>
            <w:noProof/>
          </w:rPr>
          <w:t>Conclusions</w:t>
        </w:r>
        <w:r w:rsidR="00D87410">
          <w:rPr>
            <w:noProof/>
            <w:webHidden/>
          </w:rPr>
          <w:tab/>
        </w:r>
        <w:r w:rsidR="00D87410">
          <w:rPr>
            <w:noProof/>
            <w:webHidden/>
          </w:rPr>
          <w:fldChar w:fldCharType="begin"/>
        </w:r>
        <w:r w:rsidR="00D87410">
          <w:rPr>
            <w:noProof/>
            <w:webHidden/>
          </w:rPr>
          <w:instrText xml:space="preserve"> PAGEREF _Toc89966435 \h </w:instrText>
        </w:r>
        <w:r w:rsidR="00D87410">
          <w:rPr>
            <w:noProof/>
            <w:webHidden/>
          </w:rPr>
        </w:r>
        <w:r w:rsidR="00D87410">
          <w:rPr>
            <w:noProof/>
            <w:webHidden/>
          </w:rPr>
          <w:fldChar w:fldCharType="separate"/>
        </w:r>
        <w:r w:rsidR="00D87410">
          <w:rPr>
            <w:noProof/>
            <w:webHidden/>
          </w:rPr>
          <w:t>65</w:t>
        </w:r>
        <w:r w:rsidR="00D87410">
          <w:rPr>
            <w:noProof/>
            <w:webHidden/>
          </w:rPr>
          <w:fldChar w:fldCharType="end"/>
        </w:r>
      </w:hyperlink>
    </w:p>
    <w:p w14:paraId="34FD87EF" w14:textId="7F5A66FC" w:rsidR="00D87410" w:rsidRDefault="00E1738F">
      <w:pPr>
        <w:pStyle w:val="TOC1"/>
        <w:tabs>
          <w:tab w:val="left" w:pos="1344"/>
        </w:tabs>
        <w:rPr>
          <w:rFonts w:asciiTheme="minorHAnsi" w:eastAsiaTheme="minorEastAsia" w:hAnsiTheme="minorHAnsi"/>
          <w:b w:val="0"/>
          <w:noProof/>
          <w:color w:val="auto"/>
          <w:sz w:val="22"/>
          <w:szCs w:val="22"/>
          <w:lang w:eastAsia="zh-CN"/>
        </w:rPr>
      </w:pPr>
      <w:hyperlink w:anchor="_Toc89966436" w:history="1">
        <w:r w:rsidR="00D87410" w:rsidRPr="009D1A9D">
          <w:rPr>
            <w:rStyle w:val="Hyperlink"/>
            <w:rFonts w:ascii="Arial Bold" w:hAnsi="Arial Bold"/>
            <w:noProof/>
          </w:rPr>
          <w:t>7</w:t>
        </w:r>
        <w:r w:rsidR="00D87410">
          <w:rPr>
            <w:rFonts w:asciiTheme="minorHAnsi" w:eastAsiaTheme="minorEastAsia" w:hAnsiTheme="minorHAnsi"/>
            <w:b w:val="0"/>
            <w:noProof/>
            <w:color w:val="auto"/>
            <w:sz w:val="22"/>
            <w:szCs w:val="22"/>
            <w:lang w:eastAsia="zh-CN"/>
          </w:rPr>
          <w:tab/>
        </w:r>
        <w:r w:rsidR="00D87410" w:rsidRPr="009D1A9D">
          <w:rPr>
            <w:rStyle w:val="Hyperlink"/>
            <w:noProof/>
          </w:rPr>
          <w:t>References</w:t>
        </w:r>
        <w:r w:rsidR="00D87410">
          <w:rPr>
            <w:noProof/>
            <w:webHidden/>
          </w:rPr>
          <w:tab/>
        </w:r>
        <w:r w:rsidR="00D87410">
          <w:rPr>
            <w:noProof/>
            <w:webHidden/>
          </w:rPr>
          <w:fldChar w:fldCharType="begin"/>
        </w:r>
        <w:r w:rsidR="00D87410">
          <w:rPr>
            <w:noProof/>
            <w:webHidden/>
          </w:rPr>
          <w:instrText xml:space="preserve"> PAGEREF _Toc89966436 \h </w:instrText>
        </w:r>
        <w:r w:rsidR="00D87410">
          <w:rPr>
            <w:noProof/>
            <w:webHidden/>
          </w:rPr>
        </w:r>
        <w:r w:rsidR="00D87410">
          <w:rPr>
            <w:noProof/>
            <w:webHidden/>
          </w:rPr>
          <w:fldChar w:fldCharType="separate"/>
        </w:r>
        <w:r w:rsidR="00D87410">
          <w:rPr>
            <w:noProof/>
            <w:webHidden/>
          </w:rPr>
          <w:t>66</w:t>
        </w:r>
        <w:r w:rsidR="00D87410">
          <w:rPr>
            <w:noProof/>
            <w:webHidden/>
          </w:rPr>
          <w:fldChar w:fldCharType="end"/>
        </w:r>
      </w:hyperlink>
    </w:p>
    <w:p w14:paraId="7D54AEFE" w14:textId="2C49D71C" w:rsidR="00D87410" w:rsidRDefault="00E1738F">
      <w:pPr>
        <w:pStyle w:val="TOC6"/>
        <w:rPr>
          <w:rFonts w:asciiTheme="minorHAnsi" w:eastAsiaTheme="minorEastAsia" w:hAnsiTheme="minorHAnsi"/>
          <w:b w:val="0"/>
          <w:noProof/>
          <w:color w:val="auto"/>
          <w:sz w:val="22"/>
          <w:szCs w:val="22"/>
          <w:lang w:eastAsia="zh-CN"/>
        </w:rPr>
      </w:pPr>
      <w:hyperlink w:anchor="_Toc89966437" w:history="1">
        <w:r w:rsidR="00D87410" w:rsidRPr="009D1A9D">
          <w:rPr>
            <w:rStyle w:val="Hyperlink"/>
            <w:rFonts w:ascii="Arial Bold" w:hAnsi="Arial Bold"/>
            <w:noProof/>
          </w:rPr>
          <w:t>Appendix A</w:t>
        </w:r>
        <w:r w:rsidR="00D87410">
          <w:rPr>
            <w:rFonts w:asciiTheme="minorHAnsi" w:eastAsiaTheme="minorEastAsia" w:hAnsiTheme="minorHAnsi"/>
            <w:b w:val="0"/>
            <w:noProof/>
            <w:color w:val="auto"/>
            <w:sz w:val="22"/>
            <w:szCs w:val="22"/>
            <w:lang w:eastAsia="zh-CN"/>
          </w:rPr>
          <w:tab/>
        </w:r>
        <w:r w:rsidR="00D87410" w:rsidRPr="009D1A9D">
          <w:rPr>
            <w:rStyle w:val="Hyperlink"/>
            <w:noProof/>
          </w:rPr>
          <w:t>Validation of wet deposition approaches</w:t>
        </w:r>
        <w:r w:rsidR="00D87410">
          <w:rPr>
            <w:noProof/>
            <w:webHidden/>
          </w:rPr>
          <w:tab/>
        </w:r>
        <w:r w:rsidR="00D87410">
          <w:rPr>
            <w:noProof/>
            <w:webHidden/>
          </w:rPr>
          <w:fldChar w:fldCharType="begin"/>
        </w:r>
        <w:r w:rsidR="00D87410">
          <w:rPr>
            <w:noProof/>
            <w:webHidden/>
          </w:rPr>
          <w:instrText xml:space="preserve"> PAGEREF _Toc89966437 \h </w:instrText>
        </w:r>
        <w:r w:rsidR="00D87410">
          <w:rPr>
            <w:noProof/>
            <w:webHidden/>
          </w:rPr>
        </w:r>
        <w:r w:rsidR="00D87410">
          <w:rPr>
            <w:noProof/>
            <w:webHidden/>
          </w:rPr>
          <w:fldChar w:fldCharType="separate"/>
        </w:r>
        <w:r w:rsidR="00D87410">
          <w:rPr>
            <w:noProof/>
            <w:webHidden/>
          </w:rPr>
          <w:t>69</w:t>
        </w:r>
        <w:r w:rsidR="00D87410">
          <w:rPr>
            <w:noProof/>
            <w:webHidden/>
          </w:rPr>
          <w:fldChar w:fldCharType="end"/>
        </w:r>
      </w:hyperlink>
    </w:p>
    <w:p w14:paraId="34CA37F1" w14:textId="3F546520" w:rsidR="00D87410" w:rsidRDefault="00E1738F">
      <w:pPr>
        <w:pStyle w:val="TOC6"/>
        <w:rPr>
          <w:rFonts w:asciiTheme="minorHAnsi" w:eastAsiaTheme="minorEastAsia" w:hAnsiTheme="minorHAnsi"/>
          <w:b w:val="0"/>
          <w:noProof/>
          <w:color w:val="auto"/>
          <w:sz w:val="22"/>
          <w:szCs w:val="22"/>
          <w:lang w:eastAsia="zh-CN"/>
        </w:rPr>
      </w:pPr>
      <w:hyperlink w:anchor="_Toc89966438" w:history="1">
        <w:r w:rsidR="00D87410" w:rsidRPr="009D1A9D">
          <w:rPr>
            <w:rStyle w:val="Hyperlink"/>
            <w:rFonts w:ascii="Arial Bold" w:hAnsi="Arial Bold"/>
            <w:noProof/>
          </w:rPr>
          <w:t>Appendix B</w:t>
        </w:r>
        <w:r w:rsidR="00D87410">
          <w:rPr>
            <w:rFonts w:asciiTheme="minorHAnsi" w:eastAsiaTheme="minorEastAsia" w:hAnsiTheme="minorHAnsi"/>
            <w:b w:val="0"/>
            <w:noProof/>
            <w:color w:val="auto"/>
            <w:sz w:val="22"/>
            <w:szCs w:val="22"/>
            <w:lang w:eastAsia="zh-CN"/>
          </w:rPr>
          <w:tab/>
        </w:r>
        <w:r w:rsidR="00D87410" w:rsidRPr="009D1A9D">
          <w:rPr>
            <w:rStyle w:val="Hyperlink"/>
            <w:noProof/>
          </w:rPr>
          <w:t>Symbiose</w:t>
        </w:r>
        <w:r w:rsidR="00D87410">
          <w:rPr>
            <w:noProof/>
            <w:webHidden/>
          </w:rPr>
          <w:tab/>
        </w:r>
        <w:r w:rsidR="00D87410">
          <w:rPr>
            <w:noProof/>
            <w:webHidden/>
          </w:rPr>
          <w:fldChar w:fldCharType="begin"/>
        </w:r>
        <w:r w:rsidR="00D87410">
          <w:rPr>
            <w:noProof/>
            <w:webHidden/>
          </w:rPr>
          <w:instrText xml:space="preserve"> PAGEREF _Toc89966438 \h </w:instrText>
        </w:r>
        <w:r w:rsidR="00D87410">
          <w:rPr>
            <w:noProof/>
            <w:webHidden/>
          </w:rPr>
        </w:r>
        <w:r w:rsidR="00D87410">
          <w:rPr>
            <w:noProof/>
            <w:webHidden/>
          </w:rPr>
          <w:fldChar w:fldCharType="separate"/>
        </w:r>
        <w:r w:rsidR="00D87410">
          <w:rPr>
            <w:noProof/>
            <w:webHidden/>
          </w:rPr>
          <w:t>74</w:t>
        </w:r>
        <w:r w:rsidR="00D87410">
          <w:rPr>
            <w:noProof/>
            <w:webHidden/>
          </w:rPr>
          <w:fldChar w:fldCharType="end"/>
        </w:r>
      </w:hyperlink>
    </w:p>
    <w:p w14:paraId="4CD0E128" w14:textId="25F7B87D" w:rsidR="00D87410" w:rsidRDefault="00D87410">
      <w:pPr>
        <w:pStyle w:val="TOC2"/>
        <w:rPr>
          <w:rFonts w:eastAsiaTheme="minorEastAsia"/>
          <w:b w:val="0"/>
          <w:noProof/>
          <w:color w:val="auto"/>
          <w:sz w:val="22"/>
          <w:szCs w:val="22"/>
          <w:lang w:eastAsia="zh-CN"/>
        </w:rPr>
      </w:pPr>
    </w:p>
    <w:p w14:paraId="6AB9A89C" w14:textId="045A95C0" w:rsidR="007D3077" w:rsidRDefault="007E2ABB" w:rsidP="007D3077">
      <w:pPr>
        <w:pStyle w:val="BodyText"/>
      </w:pPr>
      <w:r>
        <w:fldChar w:fldCharType="end"/>
      </w:r>
    </w:p>
    <w:p w14:paraId="7E4E2903" w14:textId="4F05E104" w:rsidR="007D3077" w:rsidRPr="003C7BC4" w:rsidRDefault="007D3077" w:rsidP="007D3077">
      <w:pPr>
        <w:pStyle w:val="BodyText"/>
      </w:pPr>
    </w:p>
    <w:p w14:paraId="17886269" w14:textId="77777777" w:rsidR="00CF6A7C" w:rsidRPr="003C7BC4" w:rsidRDefault="00CF6A7C" w:rsidP="007D3077">
      <w:pPr>
        <w:pStyle w:val="BodyText"/>
      </w:pPr>
    </w:p>
    <w:p w14:paraId="6634159B" w14:textId="77777777" w:rsidR="007D3077" w:rsidRPr="003C7BC4" w:rsidRDefault="007D3077" w:rsidP="007D3077">
      <w:pPr>
        <w:pStyle w:val="BodyText"/>
        <w:sectPr w:rsidR="007D3077" w:rsidRPr="003C7BC4" w:rsidSect="00020A67">
          <w:headerReference w:type="default" r:id="rId16"/>
          <w:footerReference w:type="default" r:id="rId17"/>
          <w:headerReference w:type="first" r:id="rId18"/>
          <w:footerReference w:type="first" r:id="rId19"/>
          <w:type w:val="oddPage"/>
          <w:pgSz w:w="11906" w:h="16838" w:code="9"/>
          <w:pgMar w:top="1985" w:right="1531" w:bottom="1418" w:left="1304" w:header="851" w:footer="851" w:gutter="0"/>
          <w:pgNumType w:fmt="lowerRoman"/>
          <w:cols w:space="708"/>
          <w:titlePg/>
          <w:docGrid w:linePitch="360"/>
        </w:sectPr>
      </w:pPr>
    </w:p>
    <w:p w14:paraId="772DD5BD" w14:textId="77777777" w:rsidR="007D3077" w:rsidRPr="003C7BC4" w:rsidRDefault="007D3077" w:rsidP="005A66BB">
      <w:pPr>
        <w:pStyle w:val="Heading1"/>
      </w:pPr>
      <w:bookmarkStart w:id="6" w:name="_Toc342379371"/>
      <w:bookmarkStart w:id="7" w:name="_Ref80364879"/>
      <w:bookmarkStart w:id="8" w:name="_Ref83204791"/>
      <w:bookmarkStart w:id="9" w:name="_Toc89966358"/>
      <w:r w:rsidRPr="00E27A65">
        <w:t>Introduction</w:t>
      </w:r>
      <w:bookmarkEnd w:id="6"/>
      <w:bookmarkEnd w:id="7"/>
      <w:bookmarkEnd w:id="8"/>
      <w:bookmarkEnd w:id="9"/>
    </w:p>
    <w:p w14:paraId="129891B1" w14:textId="47A90E4C" w:rsidR="007D3077" w:rsidRDefault="007D4263" w:rsidP="00E272FD">
      <w:pPr>
        <w:pStyle w:val="BodyTextNOSPACE"/>
        <w:spacing w:after="120"/>
        <w:jc w:val="both"/>
      </w:pPr>
      <w:r>
        <w:t xml:space="preserve">As part of the </w:t>
      </w:r>
      <w:r w:rsidR="005227A0">
        <w:t xml:space="preserve">safety </w:t>
      </w:r>
      <w:r>
        <w:t xml:space="preserve">assessment of the design of a nuclear </w:t>
      </w:r>
      <w:r w:rsidR="005227A0">
        <w:t>facility, a design basis analysis (DBA) is typically undertaken.</w:t>
      </w:r>
      <w:r w:rsidR="0058153A">
        <w:t xml:space="preserve"> DBA is not a legal requirement set out in the </w:t>
      </w:r>
      <w:r w:rsidR="002B654C">
        <w:t>license conditions, but DBA tends to play an integral role in the safety case for demonstrating the safety of operations within a nuclear licensed site.</w:t>
      </w:r>
      <w:r>
        <w:t xml:space="preserve"> </w:t>
      </w:r>
      <w:r w:rsidR="005227A0">
        <w:t>A DBA is a deterministic analysis, with the aim of providing a robust demonstration of the fault tolerance of the facility and the effectiveness of its safety measures</w:t>
      </w:r>
      <w:r w:rsidR="00B43E4C">
        <w:t xml:space="preserve"> </w:t>
      </w:r>
      <w:r w:rsidR="00B43E4C">
        <w:fldChar w:fldCharType="begin"/>
      </w:r>
      <w:r w:rsidR="005F6DC6">
        <w:instrText xml:space="preserve"> ADDIN EN.CITE &lt;EndNote&gt;&lt;Cite&gt;&lt;Author&gt;ONR&lt;/Author&gt;&lt;Year&gt;2020&lt;/Year&gt;&lt;RecNum&gt;7328&lt;/RecNum&gt;&lt;DisplayText&gt;(ONR, 2020)&lt;/DisplayText&gt;&lt;record&gt;&lt;rec-number&gt;7328&lt;/rec-number&gt;&lt;foreign-keys&gt;&lt;key app="EN" db-id="r5f5xrrfzavsr7easp0pz0v5xxsaspratxsv" timestamp="1631792162" guid="923b40a9-1c3b-4d0a-a807-799741450c88"&gt;7328&lt;/key&gt;&lt;key app="ENWeb" db-id=""&gt;0&lt;/key&gt;&lt;/foreign-keys&gt;&lt;ref-type name="Report"&gt;27&lt;/ref-type&gt;&lt;contributors&gt;&lt;authors&gt;&lt;author&gt;ONR&lt;/author&gt;&lt;/authors&gt;&lt;tertiary-authors&gt;&lt;author&gt;Office for Nuclear Regulation,,&lt;/author&gt;&lt;/tertiary-authors&gt;&lt;/contributors&gt;&lt;titles&gt;&lt;title&gt;ONR Guide - Design Basis Analysis&lt;/title&gt;&lt;secondary-title&gt;Nuclear Safety Technical Assessment Guide&lt;/secondary-title&gt;&lt;/titles&gt;&lt;dates&gt;&lt;year&gt;2020&lt;/year&gt;&lt;/dates&gt;&lt;pub-location&gt;Bootle, Merseyside&lt;/pub-location&gt;&lt;publisher&gt;Office for Nuclear Regulation&lt;/publisher&gt;&lt;urls&gt;&lt;related-urls&gt;&lt;url&gt;https://www.onr.org.uk/operational/tech_asst_guides/ns-tast-gd-006.pdf&lt;/url&gt;&lt;/related-urls&gt;&lt;/urls&gt;&lt;/record&gt;&lt;/Cite&gt;&lt;/EndNote&gt;</w:instrText>
      </w:r>
      <w:r w:rsidR="00B43E4C">
        <w:fldChar w:fldCharType="separate"/>
      </w:r>
      <w:r w:rsidR="00B43E4C">
        <w:rPr>
          <w:noProof/>
        </w:rPr>
        <w:t>(ONR, 2020)</w:t>
      </w:r>
      <w:r w:rsidR="00B43E4C">
        <w:fldChar w:fldCharType="end"/>
      </w:r>
      <w:r w:rsidR="005227A0">
        <w:t xml:space="preserve">. Notable conservatism is typically applied within the source term and meteorological assumptions </w:t>
      </w:r>
      <w:r w:rsidR="0047443A">
        <w:t xml:space="preserve">to ensure that such assessments are suitably protective. </w:t>
      </w:r>
      <w:r w:rsidR="00E76CCC">
        <w:t>To date</w:t>
      </w:r>
      <w:r w:rsidR="007219FC">
        <w:t>,</w:t>
      </w:r>
      <w:r w:rsidR="0047443A">
        <w:t xml:space="preserve"> </w:t>
      </w:r>
      <w:r w:rsidR="00E76CCC">
        <w:t>the meteorological conditions</w:t>
      </w:r>
      <w:r w:rsidR="008750D5">
        <w:t xml:space="preserve"> primarily</w:t>
      </w:r>
      <w:r w:rsidR="00E76CCC">
        <w:t xml:space="preserve"> assumed in such assessments are </w:t>
      </w:r>
      <w:r w:rsidR="0047443A">
        <w:t xml:space="preserve">Pasquill </w:t>
      </w:r>
      <w:r w:rsidR="007219FC">
        <w:t>Stability</w:t>
      </w:r>
      <w:r w:rsidR="0047443A">
        <w:t xml:space="preserve"> Category F </w:t>
      </w:r>
      <w:r w:rsidR="00E272FD">
        <w:t>and no precipitation</w:t>
      </w:r>
      <w:r w:rsidR="0047443A">
        <w:t xml:space="preserve">. However, the impact of </w:t>
      </w:r>
      <w:r w:rsidR="00E272FD">
        <w:t>precipitation</w:t>
      </w:r>
      <w:r w:rsidR="0047443A">
        <w:t xml:space="preserve"> within such assessments is not well understood. This project </w:t>
      </w:r>
      <w:r w:rsidR="00C06559">
        <w:t xml:space="preserve">aimed </w:t>
      </w:r>
      <w:r w:rsidR="0047443A">
        <w:t xml:space="preserve">to address three </w:t>
      </w:r>
      <w:r w:rsidR="00E272FD">
        <w:t xml:space="preserve">primary </w:t>
      </w:r>
      <w:r w:rsidR="0047443A">
        <w:t>questions:</w:t>
      </w:r>
    </w:p>
    <w:p w14:paraId="635ACABC" w14:textId="0BD20AD7" w:rsidR="0047443A" w:rsidRDefault="00E272FD" w:rsidP="006D6FEA">
      <w:pPr>
        <w:pStyle w:val="BodyText"/>
        <w:numPr>
          <w:ilvl w:val="0"/>
          <w:numId w:val="7"/>
        </w:numPr>
        <w:rPr>
          <w:rFonts w:ascii="Arial" w:hAnsi="Arial" w:cs="Arial"/>
          <w:i/>
          <w:iCs/>
        </w:rPr>
      </w:pPr>
      <w:r>
        <w:rPr>
          <w:rFonts w:ascii="Arial" w:hAnsi="Arial" w:cs="Arial"/>
          <w:i/>
          <w:iCs/>
        </w:rPr>
        <w:t>When considering precipitation at different precipitation rates</w:t>
      </w:r>
      <w:r w:rsidR="008F7DE5">
        <w:rPr>
          <w:rFonts w:ascii="Arial" w:hAnsi="Arial" w:cs="Arial"/>
          <w:i/>
          <w:iCs/>
        </w:rPr>
        <w:t>,</w:t>
      </w:r>
      <w:r>
        <w:rPr>
          <w:rFonts w:ascii="Arial" w:hAnsi="Arial" w:cs="Arial"/>
          <w:i/>
          <w:iCs/>
        </w:rPr>
        <w:t xml:space="preserve"> in </w:t>
      </w:r>
      <w:r w:rsidR="00B84547">
        <w:rPr>
          <w:rFonts w:ascii="Arial" w:hAnsi="Arial" w:cs="Arial"/>
          <w:i/>
          <w:iCs/>
        </w:rPr>
        <w:t xml:space="preserve">a </w:t>
      </w:r>
      <w:r>
        <w:rPr>
          <w:rFonts w:ascii="Arial" w:hAnsi="Arial" w:cs="Arial"/>
          <w:i/>
          <w:iCs/>
        </w:rPr>
        <w:t>DBA</w:t>
      </w:r>
      <w:r w:rsidR="00B84547">
        <w:rPr>
          <w:rFonts w:ascii="Arial" w:hAnsi="Arial" w:cs="Arial"/>
          <w:i/>
          <w:iCs/>
        </w:rPr>
        <w:t xml:space="preserve"> assessment</w:t>
      </w:r>
      <w:r w:rsidR="008F7DE5">
        <w:rPr>
          <w:rFonts w:ascii="Arial" w:hAnsi="Arial" w:cs="Arial"/>
          <w:i/>
          <w:iCs/>
        </w:rPr>
        <w:t>,</w:t>
      </w:r>
      <w:r>
        <w:rPr>
          <w:rFonts w:ascii="Arial" w:hAnsi="Arial" w:cs="Arial"/>
          <w:i/>
          <w:iCs/>
        </w:rPr>
        <w:t xml:space="preserve"> i</w:t>
      </w:r>
      <w:r w:rsidR="0047443A">
        <w:rPr>
          <w:rFonts w:ascii="Arial" w:hAnsi="Arial" w:cs="Arial"/>
          <w:i/>
          <w:iCs/>
        </w:rPr>
        <w:t xml:space="preserve">s there a cliff-edge effect </w:t>
      </w:r>
      <w:r w:rsidR="00BD42E3">
        <w:rPr>
          <w:rFonts w:ascii="Arial" w:hAnsi="Arial" w:cs="Arial"/>
          <w:i/>
          <w:iCs/>
        </w:rPr>
        <w:t xml:space="preserve">(or a sharp increase) </w:t>
      </w:r>
      <w:r>
        <w:rPr>
          <w:rFonts w:ascii="Arial" w:hAnsi="Arial" w:cs="Arial"/>
          <w:i/>
          <w:iCs/>
        </w:rPr>
        <w:t>in the estimates of dose</w:t>
      </w:r>
      <w:r w:rsidR="0047443A">
        <w:rPr>
          <w:rFonts w:ascii="Arial" w:hAnsi="Arial" w:cs="Arial"/>
          <w:i/>
          <w:iCs/>
        </w:rPr>
        <w:t>?</w:t>
      </w:r>
    </w:p>
    <w:p w14:paraId="46EA5336" w14:textId="753A6B7F" w:rsidR="00E272FD" w:rsidRPr="00E272FD" w:rsidRDefault="0047443A" w:rsidP="006D6FEA">
      <w:pPr>
        <w:pStyle w:val="NoSpacing"/>
        <w:numPr>
          <w:ilvl w:val="0"/>
          <w:numId w:val="7"/>
        </w:numPr>
        <w:spacing w:after="120"/>
        <w:ind w:left="1434" w:hanging="357"/>
        <w:rPr>
          <w:rFonts w:ascii="Arial" w:hAnsi="Arial" w:cs="Arial"/>
          <w:i/>
          <w:iCs/>
          <w:sz w:val="20"/>
        </w:rPr>
      </w:pPr>
      <w:r w:rsidRPr="00E272FD">
        <w:rPr>
          <w:rFonts w:ascii="Arial" w:hAnsi="Arial" w:cs="Arial"/>
          <w:i/>
          <w:iCs/>
          <w:sz w:val="20"/>
        </w:rPr>
        <w:t xml:space="preserve">Is there a lack of conservatism in the current DBA </w:t>
      </w:r>
      <w:bookmarkStart w:id="10" w:name="_Hlk59545431"/>
      <w:r w:rsidR="00E272FD" w:rsidRPr="00E272FD">
        <w:rPr>
          <w:i/>
          <w:sz w:val="20"/>
        </w:rPr>
        <w:t xml:space="preserve">methodology (for off-site radiological consequences) </w:t>
      </w:r>
      <w:r w:rsidR="008F7DE5">
        <w:rPr>
          <w:i/>
          <w:sz w:val="20"/>
        </w:rPr>
        <w:t>as a result of</w:t>
      </w:r>
      <w:r w:rsidR="00E272FD" w:rsidRPr="00E272FD">
        <w:rPr>
          <w:i/>
          <w:sz w:val="20"/>
        </w:rPr>
        <w:t xml:space="preserve"> typically assum</w:t>
      </w:r>
      <w:r w:rsidR="008F7DE5">
        <w:rPr>
          <w:i/>
          <w:sz w:val="20"/>
        </w:rPr>
        <w:t>ing</w:t>
      </w:r>
      <w:r w:rsidR="00E272FD" w:rsidRPr="00E272FD">
        <w:rPr>
          <w:i/>
          <w:sz w:val="20"/>
        </w:rPr>
        <w:t xml:space="preserve"> no precipitation</w:t>
      </w:r>
      <w:bookmarkEnd w:id="10"/>
      <w:r w:rsidR="008F7DE5">
        <w:rPr>
          <w:i/>
          <w:sz w:val="20"/>
        </w:rPr>
        <w:t>?</w:t>
      </w:r>
    </w:p>
    <w:p w14:paraId="247B1A57" w14:textId="066C2FC0" w:rsidR="00E272FD" w:rsidRDefault="00C417C6" w:rsidP="006D6FEA">
      <w:pPr>
        <w:pStyle w:val="ListParagraph"/>
        <w:numPr>
          <w:ilvl w:val="0"/>
          <w:numId w:val="7"/>
        </w:numPr>
        <w:rPr>
          <w:i/>
        </w:rPr>
      </w:pPr>
      <w:r w:rsidRPr="00C417C6">
        <w:rPr>
          <w:i/>
        </w:rPr>
        <w:t xml:space="preserve">Are the current default </w:t>
      </w:r>
      <w:r w:rsidR="00E76CCC">
        <w:rPr>
          <w:i/>
        </w:rPr>
        <w:t xml:space="preserve">atmospheric dispersion </w:t>
      </w:r>
      <w:r w:rsidRPr="00C417C6">
        <w:rPr>
          <w:i/>
        </w:rPr>
        <w:t>modelling approaches used by licensees appropriate for DBA use?</w:t>
      </w:r>
    </w:p>
    <w:p w14:paraId="31B0E388" w14:textId="01D8418B" w:rsidR="00B84547" w:rsidRDefault="00B84547" w:rsidP="006B6BA7">
      <w:pPr>
        <w:pStyle w:val="BodyTextNOSPACE"/>
        <w:spacing w:after="120"/>
        <w:jc w:val="both"/>
      </w:pPr>
      <w:r>
        <w:t>The study also assess</w:t>
      </w:r>
      <w:r w:rsidR="000B52E9">
        <w:t>es</w:t>
      </w:r>
      <w:r>
        <w:t xml:space="preserve"> the probability of </w:t>
      </w:r>
      <w:r w:rsidR="008136A8">
        <w:t xml:space="preserve">various rates of </w:t>
      </w:r>
      <w:r>
        <w:t xml:space="preserve">precipitation occurring in the UK and the likelihood of precipitation coinciding with releases across a range </w:t>
      </w:r>
      <w:r w:rsidR="007219FC">
        <w:t xml:space="preserve">of </w:t>
      </w:r>
      <w:r>
        <w:t>durations</w:t>
      </w:r>
      <w:r w:rsidR="008F7DE5">
        <w:t xml:space="preserve"> typical of those assumed in DBA assessments.</w:t>
      </w:r>
    </w:p>
    <w:p w14:paraId="0681BA7C" w14:textId="17F30673" w:rsidR="00E20FA3" w:rsidRPr="00E20FA3" w:rsidRDefault="00E20FA3" w:rsidP="000B52E9">
      <w:pPr>
        <w:pStyle w:val="BodyTextEND"/>
        <w:jc w:val="both"/>
      </w:pPr>
      <w:r>
        <w:t xml:space="preserve">The aims of this project </w:t>
      </w:r>
      <w:r w:rsidR="000B52E9">
        <w:t>were</w:t>
      </w:r>
      <w:r>
        <w:t xml:space="preserve"> </w:t>
      </w:r>
      <w:r w:rsidR="007C1BF1">
        <w:t xml:space="preserve">addressed by running a number of models used to describe atmospheric dispersion processes and </w:t>
      </w:r>
      <w:r w:rsidR="000B52E9">
        <w:t xml:space="preserve">to </w:t>
      </w:r>
      <w:r w:rsidR="007C1BF1">
        <w:t xml:space="preserve">estimate radiation doses. The atmospheric dispersion models considered </w:t>
      </w:r>
      <w:r w:rsidR="008F0CC0">
        <w:t>include</w:t>
      </w:r>
      <w:r w:rsidR="000B52E9">
        <w:t>d</w:t>
      </w:r>
      <w:r w:rsidR="008F0CC0">
        <w:t xml:space="preserve"> two Gaussian Plume Models, ADEPT and ADMS, representative of those typically used by operators of nuclear licensed sites in DBA assessments. The NAME model </w:t>
      </w:r>
      <w:r w:rsidR="000B52E9">
        <w:t>was also</w:t>
      </w:r>
      <w:r w:rsidR="008F0CC0">
        <w:t xml:space="preserve"> considered; this is an Lagrangian Particle atmospheric dispersion model and provide</w:t>
      </w:r>
      <w:r w:rsidR="000B52E9">
        <w:t>d</w:t>
      </w:r>
      <w:r w:rsidR="008F0CC0">
        <w:t xml:space="preserve"> a benchmark against which all Gaussian approaches </w:t>
      </w:r>
      <w:r w:rsidR="000B52E9">
        <w:t>were</w:t>
      </w:r>
      <w:r w:rsidR="008F0CC0">
        <w:t xml:space="preserve"> compared. </w:t>
      </w:r>
      <w:r w:rsidR="00647F43">
        <w:t xml:space="preserve">The ADEPT and NAME model runs </w:t>
      </w:r>
      <w:r w:rsidR="00602123">
        <w:t xml:space="preserve">were </w:t>
      </w:r>
      <w:r w:rsidR="00647F43">
        <w:t xml:space="preserve">performed within </w:t>
      </w:r>
      <w:r w:rsidR="009916BD">
        <w:t>UKHSA</w:t>
      </w:r>
      <w:r w:rsidR="00647F43">
        <w:t>’s Probabilistic Accident Consequence Evaluation (PACE) software</w:t>
      </w:r>
      <w:r w:rsidR="00602123">
        <w:t>.</w:t>
      </w:r>
      <w:r w:rsidR="00DC225B">
        <w:t xml:space="preserve"> </w:t>
      </w:r>
      <w:r w:rsidR="008F0CC0">
        <w:t>By deriving and c</w:t>
      </w:r>
      <w:r w:rsidR="006B6BA7">
        <w:t xml:space="preserve">omparing doses on the basis of </w:t>
      </w:r>
      <w:r w:rsidR="008F0CC0">
        <w:t xml:space="preserve">different modelling approaches applied, across different meteorological and </w:t>
      </w:r>
      <w:r w:rsidR="000B52E9">
        <w:t xml:space="preserve">DBA </w:t>
      </w:r>
      <w:r w:rsidR="008F0CC0">
        <w:t xml:space="preserve">source term </w:t>
      </w:r>
      <w:r w:rsidR="000B52E9">
        <w:t>scenarios,</w:t>
      </w:r>
      <w:r w:rsidR="008F0CC0">
        <w:t xml:space="preserve"> answers to the three primary questions </w:t>
      </w:r>
      <w:r w:rsidR="000B52E9">
        <w:t>were</w:t>
      </w:r>
      <w:r w:rsidR="008F0CC0">
        <w:t xml:space="preserve"> determined.</w:t>
      </w:r>
    </w:p>
    <w:p w14:paraId="5BFE5B71" w14:textId="77777777" w:rsidR="00323D29" w:rsidRDefault="00323D29" w:rsidP="00323D29">
      <w:pPr>
        <w:pStyle w:val="Heading1"/>
      </w:pPr>
      <w:bookmarkStart w:id="11" w:name="_Toc79679407"/>
      <w:bookmarkStart w:id="12" w:name="_Toc89966359"/>
      <w:r w:rsidRPr="00340C45">
        <w:t xml:space="preserve">Probability of </w:t>
      </w:r>
      <w:r>
        <w:t>radioactive releases encountering precipitation</w:t>
      </w:r>
      <w:bookmarkEnd w:id="11"/>
      <w:bookmarkEnd w:id="12"/>
    </w:p>
    <w:p w14:paraId="3EFC97C2" w14:textId="17BF6A7B" w:rsidR="00323D29" w:rsidRDefault="00323D29" w:rsidP="007D4263">
      <w:pPr>
        <w:pStyle w:val="BodyText"/>
        <w:jc w:val="both"/>
      </w:pPr>
      <w:r>
        <w:t xml:space="preserve">An investigation was carried out into the distribution of precipitation rates over the course of a representative year in each of six UK locations. </w:t>
      </w:r>
      <w:r w:rsidR="0047151F">
        <w:t xml:space="preserve">The locations selected </w:t>
      </w:r>
      <w:r w:rsidR="00647F43">
        <w:t xml:space="preserve">were Ardlui, Bradwell, Ely, Hinkley Point, Seathwaite and Trawsfynydd. </w:t>
      </w:r>
      <w:r>
        <w:t>The</w:t>
      </w:r>
      <w:r w:rsidR="0047151F">
        <w:t>se</w:t>
      </w:r>
      <w:r>
        <w:t xml:space="preserve"> locations were chosen with the intention of covering as wide a range as possible of the precipitation rates likely to be found in the UK</w:t>
      </w:r>
      <w:r w:rsidR="00647F43">
        <w:t>.</w:t>
      </w:r>
      <w:r w:rsidR="006A0AA2">
        <w:t xml:space="preserve"> </w:t>
      </w:r>
      <w:r w:rsidR="00680B1F">
        <w:t>To inform</w:t>
      </w:r>
      <w:r w:rsidR="004136FE">
        <w:t xml:space="preserve"> this choice t</w:t>
      </w:r>
      <w:r w:rsidR="006A0AA2">
        <w:t xml:space="preserve">he geographical variability of UK annual precipitation rates </w:t>
      </w:r>
      <w:r w:rsidR="00647F43">
        <w:t xml:space="preserve">was </w:t>
      </w:r>
      <w:r w:rsidR="006A0AA2">
        <w:t>assessed</w:t>
      </w:r>
      <w:r w:rsidR="00647F43">
        <w:t xml:space="preserve"> </w:t>
      </w:r>
      <w:r w:rsidR="00FB7496">
        <w:t xml:space="preserve">using the </w:t>
      </w:r>
      <w:r w:rsidR="00FB7496" w:rsidRPr="00FB7496">
        <w:rPr>
          <w:i/>
          <w:iCs/>
        </w:rPr>
        <w:t>UK actual and anomaly maps</w:t>
      </w:r>
      <w:r w:rsidR="00FB7496">
        <w:t xml:space="preserve"> resource available via the Met Office website</w:t>
      </w:r>
      <w:r w:rsidR="00FB7496">
        <w:rPr>
          <w:rStyle w:val="FootnoteReference"/>
        </w:rPr>
        <w:footnoteReference w:id="2"/>
      </w:r>
      <w:r w:rsidR="00FB7496">
        <w:t xml:space="preserve">. </w:t>
      </w:r>
      <w:r w:rsidR="009B6886">
        <w:t>T</w:t>
      </w:r>
      <w:r>
        <w:t>hree of the selected locations corresponded to nuclear sites. Rather than selecting a single year to act as a representative year, three years were chosen, and average results were calculated.</w:t>
      </w:r>
    </w:p>
    <w:p w14:paraId="7B56C7B0" w14:textId="24207505" w:rsidR="00323D29" w:rsidRDefault="00323D29" w:rsidP="007D4263">
      <w:pPr>
        <w:pStyle w:val="BodyTextEND"/>
        <w:jc w:val="both"/>
      </w:pPr>
      <w:r>
        <w:t xml:space="preserve">A particular aim of the analysis was to estimate the likelihood of </w:t>
      </w:r>
      <w:r w:rsidR="00FF396D">
        <w:t xml:space="preserve">postulated </w:t>
      </w:r>
      <w:r>
        <w:t>releases of radioactive material encountering precipitation and, more specifically, precipitation of various different rates.</w:t>
      </w:r>
    </w:p>
    <w:p w14:paraId="4B379F73" w14:textId="77777777" w:rsidR="00323D29" w:rsidRDefault="00323D29" w:rsidP="00323D29">
      <w:pPr>
        <w:pStyle w:val="Heading2"/>
      </w:pPr>
      <w:bookmarkStart w:id="13" w:name="_Toc79679408"/>
      <w:bookmarkStart w:id="14" w:name="_Toc89966360"/>
      <w:r>
        <w:t>Method</w:t>
      </w:r>
      <w:bookmarkEnd w:id="13"/>
      <w:bookmarkEnd w:id="14"/>
    </w:p>
    <w:p w14:paraId="2FECEA00" w14:textId="19D3C06E" w:rsidR="00323D29" w:rsidRDefault="00323D29" w:rsidP="007D4263">
      <w:pPr>
        <w:pStyle w:val="BodyText"/>
        <w:jc w:val="both"/>
      </w:pPr>
      <w:r>
        <w:t xml:space="preserve">The three years considered were 2018, 2019 and 2020. Hourly </w:t>
      </w:r>
      <w:r w:rsidR="00490E88">
        <w:rPr>
          <w:rFonts w:ascii="Arial" w:hAnsi="Arial" w:cs="Arial"/>
          <w:color w:val="202124"/>
          <w:shd w:val="clear" w:color="auto" w:fill="FFFFFF"/>
        </w:rPr>
        <w:t>N</w:t>
      </w:r>
      <w:r w:rsidR="00D532CB">
        <w:rPr>
          <w:rFonts w:ascii="Arial" w:hAnsi="Arial" w:cs="Arial"/>
          <w:color w:val="202124"/>
          <w:shd w:val="clear" w:color="auto" w:fill="FFFFFF"/>
        </w:rPr>
        <w:t xml:space="preserve">umerical </w:t>
      </w:r>
      <w:r w:rsidR="00490E88">
        <w:rPr>
          <w:rFonts w:ascii="Arial" w:hAnsi="Arial" w:cs="Arial"/>
          <w:color w:val="202124"/>
          <w:shd w:val="clear" w:color="auto" w:fill="FFFFFF"/>
        </w:rPr>
        <w:t>W</w:t>
      </w:r>
      <w:r w:rsidR="00D532CB">
        <w:rPr>
          <w:rFonts w:ascii="Arial" w:hAnsi="Arial" w:cs="Arial"/>
          <w:color w:val="202124"/>
          <w:shd w:val="clear" w:color="auto" w:fill="FFFFFF"/>
        </w:rPr>
        <w:t xml:space="preserve">eather </w:t>
      </w:r>
      <w:r w:rsidR="00490E88">
        <w:rPr>
          <w:rFonts w:ascii="Arial" w:hAnsi="Arial" w:cs="Arial"/>
          <w:color w:val="202124"/>
          <w:shd w:val="clear" w:color="auto" w:fill="FFFFFF"/>
        </w:rPr>
        <w:t>P</w:t>
      </w:r>
      <w:r w:rsidR="00D532CB">
        <w:rPr>
          <w:rFonts w:ascii="Arial" w:hAnsi="Arial" w:cs="Arial"/>
          <w:color w:val="202124"/>
          <w:shd w:val="clear" w:color="auto" w:fill="FFFFFF"/>
        </w:rPr>
        <w:t>rediction</w:t>
      </w:r>
      <w:r w:rsidR="00D532CB">
        <w:t xml:space="preserve"> (</w:t>
      </w:r>
      <w:r>
        <w:t>NWP</w:t>
      </w:r>
      <w:r w:rsidR="00D532CB">
        <w:t>)</w:t>
      </w:r>
      <w:r>
        <w:t xml:space="preserve"> met</w:t>
      </w:r>
      <w:r w:rsidR="00490E88">
        <w:t>eorological (met)</w:t>
      </w:r>
      <w:r>
        <w:t xml:space="preserve"> data for those three years was obtained from the UK Met Office. It was also necessary to obtain the first month of met data for 2021. That was required in order to complete modelling runs for hypothetical releases that began at the end of 2020 and which had a release duration of up to thirty days.</w:t>
      </w:r>
    </w:p>
    <w:p w14:paraId="2ED9D911" w14:textId="7EAA7DCA" w:rsidR="00323D29" w:rsidRDefault="00323D29" w:rsidP="007D4263">
      <w:pPr>
        <w:pStyle w:val="BodyTextEND"/>
        <w:jc w:val="both"/>
      </w:pPr>
      <w:r>
        <w:t xml:space="preserve">The met data obtained from </w:t>
      </w:r>
      <w:r w:rsidR="00D532CB">
        <w:t xml:space="preserve">the </w:t>
      </w:r>
      <w:r>
        <w:t>Met Office was analysis data taken from the Unified Model run in the UKV configuration. The UKV meteorological data has a horizontal resolution of approximately 1.5 km by 1.5 km. The NWP met data was then used with the Met Office’s NAME model to extract single-site met data for the specific locations of the six relevant sites.</w:t>
      </w:r>
    </w:p>
    <w:p w14:paraId="7A8068C9" w14:textId="77777777" w:rsidR="00323D29" w:rsidRDefault="00323D29" w:rsidP="00323D29">
      <w:pPr>
        <w:pStyle w:val="Heading2"/>
      </w:pPr>
      <w:bookmarkStart w:id="15" w:name="_Toc79679409"/>
      <w:bookmarkStart w:id="16" w:name="_Toc89966361"/>
      <w:r>
        <w:t>Results</w:t>
      </w:r>
      <w:bookmarkEnd w:id="15"/>
      <w:bookmarkEnd w:id="16"/>
    </w:p>
    <w:p w14:paraId="2B40F370" w14:textId="7C25D22B" w:rsidR="00323D29" w:rsidRDefault="00323D29" w:rsidP="00323D29">
      <w:pPr>
        <w:pStyle w:val="Heading3"/>
      </w:pPr>
      <w:bookmarkStart w:id="17" w:name="_Toc79679410"/>
      <w:bookmarkStart w:id="18" w:name="_Toc89966362"/>
      <w:r>
        <w:t>Distribution of precipitation rates</w:t>
      </w:r>
      <w:bookmarkEnd w:id="17"/>
      <w:bookmarkEnd w:id="18"/>
    </w:p>
    <w:p w14:paraId="75C7D272" w14:textId="77777777" w:rsidR="00323D29" w:rsidRDefault="00323D29" w:rsidP="00DD754C">
      <w:pPr>
        <w:pStyle w:val="BodyText"/>
        <w:jc w:val="both"/>
      </w:pPr>
      <w:r>
        <w:t>The key results are summarised in the tables below.</w:t>
      </w:r>
    </w:p>
    <w:p w14:paraId="0DE1598D" w14:textId="424EDFE6" w:rsidR="00323D29" w:rsidRDefault="00323D29" w:rsidP="00DD754C">
      <w:pPr>
        <w:pStyle w:val="BodyTextEND"/>
        <w:jc w:val="both"/>
      </w:pPr>
      <w:r>
        <w:rPr>
          <w:highlight w:val="yellow"/>
        </w:rPr>
        <w:fldChar w:fldCharType="begin"/>
      </w:r>
      <w:r>
        <w:rPr>
          <w:highlight w:val="yellow"/>
        </w:rPr>
        <w:instrText xml:space="preserve"> REF _Ref79590253 \h </w:instrText>
      </w:r>
      <w:r w:rsidR="00DD754C">
        <w:rPr>
          <w:highlight w:val="yellow"/>
        </w:rPr>
        <w:instrText xml:space="preserve"> \* MERGEFORMAT </w:instrText>
      </w:r>
      <w:r>
        <w:rPr>
          <w:highlight w:val="yellow"/>
        </w:rPr>
      </w:r>
      <w:r>
        <w:rPr>
          <w:highlight w:val="yellow"/>
        </w:rPr>
        <w:fldChar w:fldCharType="separate"/>
      </w:r>
      <w:r w:rsidR="00926FE3" w:rsidRPr="006A5655">
        <w:t xml:space="preserve">Table </w:t>
      </w:r>
      <w:r w:rsidR="00926FE3">
        <w:rPr>
          <w:noProof/>
        </w:rPr>
        <w:t>1</w:t>
      </w:r>
      <w:r>
        <w:rPr>
          <w:highlight w:val="yellow"/>
        </w:rPr>
        <w:fldChar w:fldCharType="end"/>
      </w:r>
      <w:r>
        <w:t xml:space="preserve"> shows how the individual hourly precipitation rates were distributed over the three years for each of the six sites. Specifically, an instantaneous precipitation rate was obtained at hourly intervals over the whole of the period 2018-2020 (this means that there were 26,304 results per site). Each of those results was categorised into one of the bins shown in </w:t>
      </w:r>
      <w:r>
        <w:rPr>
          <w:highlight w:val="yellow"/>
        </w:rPr>
        <w:fldChar w:fldCharType="begin"/>
      </w:r>
      <w:r>
        <w:rPr>
          <w:highlight w:val="yellow"/>
        </w:rPr>
        <w:instrText xml:space="preserve"> REF _Ref79590253 \h </w:instrText>
      </w:r>
      <w:r w:rsidR="00DD754C">
        <w:rPr>
          <w:highlight w:val="yellow"/>
        </w:rPr>
        <w:instrText xml:space="preserve"> \* MERGEFORMAT </w:instrText>
      </w:r>
      <w:r>
        <w:rPr>
          <w:highlight w:val="yellow"/>
        </w:rPr>
      </w:r>
      <w:r>
        <w:rPr>
          <w:highlight w:val="yellow"/>
        </w:rPr>
        <w:fldChar w:fldCharType="separate"/>
      </w:r>
      <w:r w:rsidR="00926FE3" w:rsidRPr="006A5655">
        <w:t xml:space="preserve">Table </w:t>
      </w:r>
      <w:r w:rsidR="00926FE3">
        <w:rPr>
          <w:noProof/>
        </w:rPr>
        <w:t>1</w:t>
      </w:r>
      <w:r>
        <w:rPr>
          <w:highlight w:val="yellow"/>
        </w:rPr>
        <w:fldChar w:fldCharType="end"/>
      </w:r>
      <w:r>
        <w:t xml:space="preserve">. The total in each bin was then divided by 26,304 and multiplied by 100 in order to calculate the percentages presented in </w:t>
      </w:r>
      <w:r>
        <w:rPr>
          <w:highlight w:val="yellow"/>
        </w:rPr>
        <w:fldChar w:fldCharType="begin"/>
      </w:r>
      <w:r>
        <w:rPr>
          <w:highlight w:val="yellow"/>
        </w:rPr>
        <w:instrText xml:space="preserve"> REF _Ref79590253 \h </w:instrText>
      </w:r>
      <w:r w:rsidR="00DD754C">
        <w:rPr>
          <w:highlight w:val="yellow"/>
        </w:rPr>
        <w:instrText xml:space="preserve"> \* MERGEFORMAT </w:instrText>
      </w:r>
      <w:r>
        <w:rPr>
          <w:highlight w:val="yellow"/>
        </w:rPr>
      </w:r>
      <w:r>
        <w:rPr>
          <w:highlight w:val="yellow"/>
        </w:rPr>
        <w:fldChar w:fldCharType="separate"/>
      </w:r>
      <w:r w:rsidR="00926FE3" w:rsidRPr="006A5655">
        <w:t xml:space="preserve">Table </w:t>
      </w:r>
      <w:r w:rsidR="00926FE3">
        <w:rPr>
          <w:noProof/>
        </w:rPr>
        <w:t>1</w:t>
      </w:r>
      <w:r>
        <w:rPr>
          <w:highlight w:val="yellow"/>
        </w:rPr>
        <w:fldChar w:fldCharType="end"/>
      </w:r>
      <w:r>
        <w:t>.</w:t>
      </w:r>
    </w:p>
    <w:p w14:paraId="19352CB3" w14:textId="72911F06" w:rsidR="00323D29" w:rsidRPr="006A5655" w:rsidRDefault="00323D29" w:rsidP="00323D29">
      <w:pPr>
        <w:pStyle w:val="Tablecaption"/>
      </w:pPr>
      <w:bookmarkStart w:id="19" w:name="_Ref79590253"/>
      <w:bookmarkStart w:id="20" w:name="_Ref79591068"/>
      <w:r w:rsidRPr="006A5655">
        <w:t xml:space="preserve">Table </w:t>
      </w:r>
      <w:fldSimple w:instr=" SEQ Table \* ARABIC ">
        <w:r w:rsidR="00926FE3">
          <w:rPr>
            <w:noProof/>
          </w:rPr>
          <w:t>1</w:t>
        </w:r>
      </w:fldSimple>
      <w:bookmarkEnd w:id="19"/>
      <w:r w:rsidRPr="006A5655">
        <w:t>: Percentage of hourly precipitation rates in each precipitation rate bin for each site for the whole period 2018-2020</w:t>
      </w:r>
      <w:bookmarkEnd w:id="20"/>
    </w:p>
    <w:tbl>
      <w:tblPr>
        <w:tblStyle w:val="CRCEReportTable"/>
        <w:tblW w:w="0" w:type="auto"/>
        <w:tblBorders>
          <w:bottom w:val="single" w:sz="4" w:space="0" w:color="auto"/>
        </w:tblBorders>
        <w:tblLook w:val="04A0" w:firstRow="1" w:lastRow="0" w:firstColumn="1" w:lastColumn="0" w:noHBand="0" w:noVBand="1"/>
      </w:tblPr>
      <w:tblGrid>
        <w:gridCol w:w="965"/>
        <w:gridCol w:w="924"/>
        <w:gridCol w:w="924"/>
        <w:gridCol w:w="923"/>
        <w:gridCol w:w="923"/>
        <w:gridCol w:w="923"/>
        <w:gridCol w:w="923"/>
        <w:gridCol w:w="923"/>
        <w:gridCol w:w="923"/>
      </w:tblGrid>
      <w:tr w:rsidR="00323D29" w14:paraId="23406C35"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Merge w:val="restart"/>
            <w:vAlign w:val="center"/>
          </w:tcPr>
          <w:p w14:paraId="28008487" w14:textId="77777777" w:rsidR="00323D29" w:rsidRDefault="00323D29" w:rsidP="00324721">
            <w:pPr>
              <w:pStyle w:val="Tableentry"/>
              <w:jc w:val="center"/>
            </w:pPr>
            <w:r w:rsidRPr="00EB1793">
              <w:rPr>
                <w:b/>
                <w:color w:val="007C91"/>
                <w:sz w:val="18"/>
              </w:rPr>
              <w:t>Site</w:t>
            </w:r>
          </w:p>
        </w:tc>
        <w:tc>
          <w:tcPr>
            <w:tcW w:w="7386" w:type="dxa"/>
            <w:gridSpan w:val="8"/>
            <w:vAlign w:val="center"/>
          </w:tcPr>
          <w:p w14:paraId="36E8FD0B" w14:textId="264944B9" w:rsidR="00323D29" w:rsidRDefault="00323D29" w:rsidP="00324721">
            <w:pPr>
              <w:pStyle w:val="Tableentry"/>
              <w:jc w:val="center"/>
            </w:pPr>
            <w:r w:rsidRPr="00EB1793">
              <w:rPr>
                <w:b/>
                <w:color w:val="007C91"/>
                <w:sz w:val="18"/>
              </w:rPr>
              <w:t>Precipitation rate bin (mm</w:t>
            </w:r>
            <w:bookmarkStart w:id="21" w:name="_Hlk81581683"/>
            <w:r w:rsidR="00F8290C" w:rsidRPr="00EB1793">
              <w:rPr>
                <w:b/>
                <w:color w:val="007C91"/>
                <w:sz w:val="18"/>
              </w:rPr>
              <w:t xml:space="preserve"> </w:t>
            </w:r>
            <w:r w:rsidRPr="00EB1793">
              <w:rPr>
                <w:b/>
                <w:color w:val="007C91"/>
                <w:sz w:val="18"/>
              </w:rPr>
              <w:t>h</w:t>
            </w:r>
            <w:r w:rsidR="00F8290C" w:rsidRPr="00EB1793">
              <w:rPr>
                <w:b/>
                <w:color w:val="007C91"/>
                <w:sz w:val="18"/>
                <w:vertAlign w:val="superscript"/>
              </w:rPr>
              <w:t>-1</w:t>
            </w:r>
            <w:bookmarkEnd w:id="21"/>
            <w:r w:rsidRPr="00EB1793">
              <w:rPr>
                <w:b/>
                <w:color w:val="007C91"/>
                <w:sz w:val="18"/>
              </w:rPr>
              <w:t>)**</w:t>
            </w:r>
          </w:p>
        </w:tc>
      </w:tr>
      <w:tr w:rsidR="00323D29" w14:paraId="28C76BBC"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Merge/>
            <w:vAlign w:val="center"/>
          </w:tcPr>
          <w:p w14:paraId="79840597" w14:textId="77777777" w:rsidR="00323D29" w:rsidRDefault="00323D29" w:rsidP="00324721">
            <w:pPr>
              <w:pStyle w:val="Tableentry"/>
              <w:jc w:val="center"/>
            </w:pPr>
          </w:p>
        </w:tc>
        <w:tc>
          <w:tcPr>
            <w:tcW w:w="924" w:type="dxa"/>
            <w:vAlign w:val="center"/>
          </w:tcPr>
          <w:p w14:paraId="58D777FA" w14:textId="77777777" w:rsidR="00323D29" w:rsidRDefault="00323D29" w:rsidP="00324721">
            <w:pPr>
              <w:pStyle w:val="Tableentry"/>
              <w:jc w:val="center"/>
            </w:pPr>
            <w:r w:rsidRPr="005809C5">
              <w:t>0</w:t>
            </w:r>
          </w:p>
        </w:tc>
        <w:tc>
          <w:tcPr>
            <w:tcW w:w="924" w:type="dxa"/>
            <w:vAlign w:val="center"/>
          </w:tcPr>
          <w:p w14:paraId="5D22910D" w14:textId="77777777" w:rsidR="00323D29" w:rsidRDefault="00323D29" w:rsidP="00324721">
            <w:pPr>
              <w:pStyle w:val="Tableentry"/>
              <w:jc w:val="center"/>
            </w:pPr>
            <w:r w:rsidRPr="005809C5">
              <w:t>0 - 0.01</w:t>
            </w:r>
          </w:p>
        </w:tc>
        <w:tc>
          <w:tcPr>
            <w:tcW w:w="923" w:type="dxa"/>
            <w:vAlign w:val="center"/>
          </w:tcPr>
          <w:p w14:paraId="12239AC2" w14:textId="77777777" w:rsidR="00323D29" w:rsidRDefault="00323D29" w:rsidP="00324721">
            <w:pPr>
              <w:pStyle w:val="Tableentry"/>
              <w:jc w:val="center"/>
            </w:pPr>
            <w:r w:rsidRPr="005809C5">
              <w:t>0.01 - 0.1</w:t>
            </w:r>
          </w:p>
        </w:tc>
        <w:tc>
          <w:tcPr>
            <w:tcW w:w="923" w:type="dxa"/>
            <w:vAlign w:val="center"/>
          </w:tcPr>
          <w:p w14:paraId="7AF4C1B1" w14:textId="77777777" w:rsidR="00323D29" w:rsidRDefault="00323D29" w:rsidP="00324721">
            <w:pPr>
              <w:pStyle w:val="Tableentry"/>
              <w:jc w:val="center"/>
            </w:pPr>
            <w:r w:rsidRPr="005809C5">
              <w:t>0.1 - 1</w:t>
            </w:r>
          </w:p>
        </w:tc>
        <w:tc>
          <w:tcPr>
            <w:tcW w:w="923" w:type="dxa"/>
            <w:vAlign w:val="center"/>
          </w:tcPr>
          <w:p w14:paraId="1AB78C81" w14:textId="77777777" w:rsidR="00323D29" w:rsidRDefault="00323D29" w:rsidP="00324721">
            <w:pPr>
              <w:pStyle w:val="Tableentry"/>
              <w:jc w:val="center"/>
            </w:pPr>
            <w:r w:rsidRPr="005809C5">
              <w:t>1 - 2</w:t>
            </w:r>
          </w:p>
        </w:tc>
        <w:tc>
          <w:tcPr>
            <w:tcW w:w="923" w:type="dxa"/>
            <w:vAlign w:val="center"/>
          </w:tcPr>
          <w:p w14:paraId="0E95E53E" w14:textId="77777777" w:rsidR="00323D29" w:rsidRDefault="00323D29" w:rsidP="00324721">
            <w:pPr>
              <w:pStyle w:val="Tableentry"/>
              <w:jc w:val="center"/>
            </w:pPr>
            <w:r w:rsidRPr="005809C5">
              <w:t>2 - 4</w:t>
            </w:r>
          </w:p>
        </w:tc>
        <w:tc>
          <w:tcPr>
            <w:tcW w:w="923" w:type="dxa"/>
            <w:vAlign w:val="center"/>
          </w:tcPr>
          <w:p w14:paraId="27882DBA" w14:textId="77777777" w:rsidR="00323D29" w:rsidRDefault="00323D29" w:rsidP="00324721">
            <w:pPr>
              <w:pStyle w:val="Tableentry"/>
              <w:jc w:val="center"/>
            </w:pPr>
            <w:r w:rsidRPr="005809C5">
              <w:t>4 - 8</w:t>
            </w:r>
          </w:p>
        </w:tc>
        <w:tc>
          <w:tcPr>
            <w:tcW w:w="923" w:type="dxa"/>
            <w:vAlign w:val="center"/>
          </w:tcPr>
          <w:p w14:paraId="2E4F06DF" w14:textId="77777777" w:rsidR="00323D29" w:rsidRDefault="00323D29" w:rsidP="00324721">
            <w:pPr>
              <w:pStyle w:val="Tableentry"/>
              <w:jc w:val="center"/>
            </w:pPr>
            <w:r w:rsidRPr="005809C5">
              <w:t>&gt; 8</w:t>
            </w:r>
          </w:p>
        </w:tc>
      </w:tr>
      <w:tr w:rsidR="00323D29" w14:paraId="4705F7D1"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057CD328" w14:textId="77777777" w:rsidR="00323D29" w:rsidRDefault="00323D29" w:rsidP="00324721">
            <w:pPr>
              <w:pStyle w:val="Tableentry"/>
              <w:jc w:val="center"/>
            </w:pPr>
            <w:r w:rsidRPr="00571AE6">
              <w:t>Ardlui</w:t>
            </w:r>
          </w:p>
        </w:tc>
        <w:tc>
          <w:tcPr>
            <w:tcW w:w="924" w:type="dxa"/>
            <w:vAlign w:val="center"/>
          </w:tcPr>
          <w:p w14:paraId="20BD606D" w14:textId="77777777" w:rsidR="00323D29" w:rsidRDefault="00323D29" w:rsidP="00324721">
            <w:pPr>
              <w:pStyle w:val="Tableentry"/>
              <w:jc w:val="center"/>
            </w:pPr>
            <w:r w:rsidRPr="00E55F01">
              <w:t>60.5</w:t>
            </w:r>
          </w:p>
        </w:tc>
        <w:tc>
          <w:tcPr>
            <w:tcW w:w="924" w:type="dxa"/>
            <w:vAlign w:val="center"/>
          </w:tcPr>
          <w:p w14:paraId="1C290699" w14:textId="77777777" w:rsidR="00323D29" w:rsidRDefault="00323D29" w:rsidP="00324721">
            <w:pPr>
              <w:pStyle w:val="Tableentry"/>
              <w:jc w:val="center"/>
            </w:pPr>
            <w:r w:rsidRPr="00E55F01">
              <w:t>2.5</w:t>
            </w:r>
          </w:p>
        </w:tc>
        <w:tc>
          <w:tcPr>
            <w:tcW w:w="923" w:type="dxa"/>
            <w:vAlign w:val="center"/>
          </w:tcPr>
          <w:p w14:paraId="6CEEDC9E" w14:textId="77777777" w:rsidR="00323D29" w:rsidRDefault="00323D29" w:rsidP="00324721">
            <w:pPr>
              <w:pStyle w:val="Tableentry"/>
              <w:jc w:val="center"/>
            </w:pPr>
            <w:r w:rsidRPr="00E55F01">
              <w:t>9.1</w:t>
            </w:r>
          </w:p>
        </w:tc>
        <w:tc>
          <w:tcPr>
            <w:tcW w:w="923" w:type="dxa"/>
            <w:vAlign w:val="center"/>
          </w:tcPr>
          <w:p w14:paraId="22928CB7" w14:textId="77777777" w:rsidR="00323D29" w:rsidRDefault="00323D29" w:rsidP="00324721">
            <w:pPr>
              <w:pStyle w:val="Tableentry"/>
              <w:jc w:val="center"/>
            </w:pPr>
            <w:r w:rsidRPr="00E55F01">
              <w:t>16.1</w:t>
            </w:r>
          </w:p>
        </w:tc>
        <w:tc>
          <w:tcPr>
            <w:tcW w:w="923" w:type="dxa"/>
            <w:vAlign w:val="center"/>
          </w:tcPr>
          <w:p w14:paraId="6B2D10EF" w14:textId="77777777" w:rsidR="00323D29" w:rsidRDefault="00323D29" w:rsidP="00324721">
            <w:pPr>
              <w:pStyle w:val="Tableentry"/>
              <w:jc w:val="center"/>
            </w:pPr>
            <w:r w:rsidRPr="00E55F01">
              <w:t>5.7</w:t>
            </w:r>
          </w:p>
        </w:tc>
        <w:tc>
          <w:tcPr>
            <w:tcW w:w="923" w:type="dxa"/>
            <w:vAlign w:val="center"/>
          </w:tcPr>
          <w:p w14:paraId="3AEF9377" w14:textId="77777777" w:rsidR="00323D29" w:rsidRDefault="00323D29" w:rsidP="00324721">
            <w:pPr>
              <w:pStyle w:val="Tableentry"/>
              <w:jc w:val="center"/>
            </w:pPr>
            <w:r w:rsidRPr="00E55F01">
              <w:t>4.4</w:t>
            </w:r>
          </w:p>
        </w:tc>
        <w:tc>
          <w:tcPr>
            <w:tcW w:w="923" w:type="dxa"/>
            <w:vAlign w:val="center"/>
          </w:tcPr>
          <w:p w14:paraId="13F912C7" w14:textId="77777777" w:rsidR="00323D29" w:rsidRDefault="00323D29" w:rsidP="00324721">
            <w:pPr>
              <w:pStyle w:val="Tableentry"/>
              <w:jc w:val="center"/>
            </w:pPr>
            <w:r w:rsidRPr="00E55F01">
              <w:t>1.6</w:t>
            </w:r>
          </w:p>
        </w:tc>
        <w:tc>
          <w:tcPr>
            <w:tcW w:w="923" w:type="dxa"/>
            <w:vAlign w:val="center"/>
          </w:tcPr>
          <w:p w14:paraId="555207E6" w14:textId="77777777" w:rsidR="00323D29" w:rsidRDefault="00323D29" w:rsidP="00324721">
            <w:pPr>
              <w:pStyle w:val="Tableentry"/>
              <w:jc w:val="center"/>
            </w:pPr>
            <w:r w:rsidRPr="00E55F01">
              <w:t>0.0*</w:t>
            </w:r>
          </w:p>
        </w:tc>
      </w:tr>
      <w:tr w:rsidR="00323D29" w14:paraId="1EC94FD2"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4B00F108" w14:textId="77777777" w:rsidR="00323D29" w:rsidRDefault="00323D29" w:rsidP="00324721">
            <w:pPr>
              <w:pStyle w:val="Tableentry"/>
              <w:jc w:val="center"/>
            </w:pPr>
            <w:r w:rsidRPr="00571AE6">
              <w:t>Bradwell</w:t>
            </w:r>
          </w:p>
        </w:tc>
        <w:tc>
          <w:tcPr>
            <w:tcW w:w="924" w:type="dxa"/>
            <w:vAlign w:val="center"/>
          </w:tcPr>
          <w:p w14:paraId="7E2B8D27" w14:textId="77777777" w:rsidR="00323D29" w:rsidRDefault="00323D29" w:rsidP="00324721">
            <w:pPr>
              <w:pStyle w:val="Tableentry"/>
              <w:jc w:val="center"/>
            </w:pPr>
            <w:r w:rsidRPr="00E55F01">
              <w:t>85.3</w:t>
            </w:r>
          </w:p>
        </w:tc>
        <w:tc>
          <w:tcPr>
            <w:tcW w:w="924" w:type="dxa"/>
            <w:vAlign w:val="center"/>
          </w:tcPr>
          <w:p w14:paraId="67D31BC9" w14:textId="77777777" w:rsidR="00323D29" w:rsidRDefault="00323D29" w:rsidP="00324721">
            <w:pPr>
              <w:pStyle w:val="Tableentry"/>
              <w:jc w:val="center"/>
            </w:pPr>
            <w:r w:rsidRPr="00E55F01">
              <w:t>1.1</w:t>
            </w:r>
          </w:p>
        </w:tc>
        <w:tc>
          <w:tcPr>
            <w:tcW w:w="923" w:type="dxa"/>
            <w:vAlign w:val="center"/>
          </w:tcPr>
          <w:p w14:paraId="28DDC95C" w14:textId="77777777" w:rsidR="00323D29" w:rsidRDefault="00323D29" w:rsidP="00324721">
            <w:pPr>
              <w:pStyle w:val="Tableentry"/>
              <w:jc w:val="center"/>
            </w:pPr>
            <w:r w:rsidRPr="00E55F01">
              <w:t>4.0</w:t>
            </w:r>
          </w:p>
        </w:tc>
        <w:tc>
          <w:tcPr>
            <w:tcW w:w="923" w:type="dxa"/>
            <w:vAlign w:val="center"/>
          </w:tcPr>
          <w:p w14:paraId="5F829201" w14:textId="77777777" w:rsidR="00323D29" w:rsidRDefault="00323D29" w:rsidP="00324721">
            <w:pPr>
              <w:pStyle w:val="Tableentry"/>
              <w:jc w:val="center"/>
            </w:pPr>
            <w:r w:rsidRPr="00E55F01">
              <w:t>6.5</w:t>
            </w:r>
          </w:p>
        </w:tc>
        <w:tc>
          <w:tcPr>
            <w:tcW w:w="923" w:type="dxa"/>
            <w:vAlign w:val="center"/>
          </w:tcPr>
          <w:p w14:paraId="2F282A6C" w14:textId="77777777" w:rsidR="00323D29" w:rsidRDefault="00323D29" w:rsidP="00324721">
            <w:pPr>
              <w:pStyle w:val="Tableentry"/>
              <w:jc w:val="center"/>
            </w:pPr>
            <w:r w:rsidRPr="00E55F01">
              <w:t>1.9</w:t>
            </w:r>
          </w:p>
        </w:tc>
        <w:tc>
          <w:tcPr>
            <w:tcW w:w="923" w:type="dxa"/>
            <w:vAlign w:val="center"/>
          </w:tcPr>
          <w:p w14:paraId="32F046F4" w14:textId="77777777" w:rsidR="00323D29" w:rsidRDefault="00323D29" w:rsidP="00324721">
            <w:pPr>
              <w:pStyle w:val="Tableentry"/>
              <w:jc w:val="center"/>
            </w:pPr>
            <w:r w:rsidRPr="00E55F01">
              <w:t>1.0</w:t>
            </w:r>
          </w:p>
        </w:tc>
        <w:tc>
          <w:tcPr>
            <w:tcW w:w="923" w:type="dxa"/>
            <w:vAlign w:val="center"/>
          </w:tcPr>
          <w:p w14:paraId="46DED0B0" w14:textId="77777777" w:rsidR="00323D29" w:rsidRDefault="00323D29" w:rsidP="00324721">
            <w:pPr>
              <w:pStyle w:val="Tableentry"/>
              <w:jc w:val="center"/>
            </w:pPr>
            <w:r w:rsidRPr="00E55F01">
              <w:t>0.1</w:t>
            </w:r>
          </w:p>
        </w:tc>
        <w:tc>
          <w:tcPr>
            <w:tcW w:w="923" w:type="dxa"/>
            <w:vAlign w:val="center"/>
          </w:tcPr>
          <w:p w14:paraId="6CF8C5CE" w14:textId="77777777" w:rsidR="00323D29" w:rsidRDefault="00323D29" w:rsidP="00324721">
            <w:pPr>
              <w:pStyle w:val="Tableentry"/>
              <w:jc w:val="center"/>
            </w:pPr>
            <w:r w:rsidRPr="00E55F01">
              <w:t>0.0*</w:t>
            </w:r>
          </w:p>
        </w:tc>
      </w:tr>
      <w:tr w:rsidR="00323D29" w14:paraId="2A2808C6"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2C07F8FE" w14:textId="77777777" w:rsidR="00323D29" w:rsidRDefault="00323D29" w:rsidP="00324721">
            <w:pPr>
              <w:pStyle w:val="Tableentry"/>
              <w:jc w:val="center"/>
            </w:pPr>
            <w:r w:rsidRPr="00571AE6">
              <w:t>Ely</w:t>
            </w:r>
          </w:p>
        </w:tc>
        <w:tc>
          <w:tcPr>
            <w:tcW w:w="924" w:type="dxa"/>
            <w:vAlign w:val="center"/>
          </w:tcPr>
          <w:p w14:paraId="48E7E99C" w14:textId="77777777" w:rsidR="00323D29" w:rsidRDefault="00323D29" w:rsidP="00324721">
            <w:pPr>
              <w:pStyle w:val="Tableentry"/>
              <w:jc w:val="center"/>
            </w:pPr>
            <w:r w:rsidRPr="00E55F01">
              <w:t>85.0</w:t>
            </w:r>
          </w:p>
        </w:tc>
        <w:tc>
          <w:tcPr>
            <w:tcW w:w="924" w:type="dxa"/>
            <w:vAlign w:val="center"/>
          </w:tcPr>
          <w:p w14:paraId="03F9EE80" w14:textId="77777777" w:rsidR="00323D29" w:rsidRDefault="00323D29" w:rsidP="00324721">
            <w:pPr>
              <w:pStyle w:val="Tableentry"/>
              <w:jc w:val="center"/>
            </w:pPr>
            <w:r w:rsidRPr="00E55F01">
              <w:t>1.0</w:t>
            </w:r>
          </w:p>
        </w:tc>
        <w:tc>
          <w:tcPr>
            <w:tcW w:w="923" w:type="dxa"/>
            <w:vAlign w:val="center"/>
          </w:tcPr>
          <w:p w14:paraId="263F5C66" w14:textId="77777777" w:rsidR="00323D29" w:rsidRDefault="00323D29" w:rsidP="00324721">
            <w:pPr>
              <w:pStyle w:val="Tableentry"/>
              <w:jc w:val="center"/>
            </w:pPr>
            <w:r w:rsidRPr="00E55F01">
              <w:t>4.0</w:t>
            </w:r>
          </w:p>
        </w:tc>
        <w:tc>
          <w:tcPr>
            <w:tcW w:w="923" w:type="dxa"/>
            <w:vAlign w:val="center"/>
          </w:tcPr>
          <w:p w14:paraId="67C87BDC" w14:textId="77777777" w:rsidR="00323D29" w:rsidRDefault="00323D29" w:rsidP="00324721">
            <w:pPr>
              <w:pStyle w:val="Tableentry"/>
              <w:jc w:val="center"/>
            </w:pPr>
            <w:r w:rsidRPr="00E55F01">
              <w:t>6.4</w:t>
            </w:r>
          </w:p>
        </w:tc>
        <w:tc>
          <w:tcPr>
            <w:tcW w:w="923" w:type="dxa"/>
            <w:vAlign w:val="center"/>
          </w:tcPr>
          <w:p w14:paraId="114499B7" w14:textId="77777777" w:rsidR="00323D29" w:rsidRDefault="00323D29" w:rsidP="00324721">
            <w:pPr>
              <w:pStyle w:val="Tableentry"/>
              <w:jc w:val="center"/>
            </w:pPr>
            <w:r w:rsidRPr="00E55F01">
              <w:t>2.3</w:t>
            </w:r>
          </w:p>
        </w:tc>
        <w:tc>
          <w:tcPr>
            <w:tcW w:w="923" w:type="dxa"/>
            <w:vAlign w:val="center"/>
          </w:tcPr>
          <w:p w14:paraId="0FC9BF73" w14:textId="77777777" w:rsidR="00323D29" w:rsidRDefault="00323D29" w:rsidP="00324721">
            <w:pPr>
              <w:pStyle w:val="Tableentry"/>
              <w:jc w:val="center"/>
            </w:pPr>
            <w:r w:rsidRPr="00E55F01">
              <w:t>1.1</w:t>
            </w:r>
          </w:p>
        </w:tc>
        <w:tc>
          <w:tcPr>
            <w:tcW w:w="923" w:type="dxa"/>
            <w:vAlign w:val="center"/>
          </w:tcPr>
          <w:p w14:paraId="49C25A92" w14:textId="77777777" w:rsidR="00323D29" w:rsidRDefault="00323D29" w:rsidP="00324721">
            <w:pPr>
              <w:pStyle w:val="Tableentry"/>
              <w:jc w:val="center"/>
            </w:pPr>
            <w:r w:rsidRPr="00E55F01">
              <w:t>0.1</w:t>
            </w:r>
          </w:p>
        </w:tc>
        <w:tc>
          <w:tcPr>
            <w:tcW w:w="923" w:type="dxa"/>
            <w:vAlign w:val="center"/>
          </w:tcPr>
          <w:p w14:paraId="40196AEE" w14:textId="77777777" w:rsidR="00323D29" w:rsidRDefault="00323D29" w:rsidP="00324721">
            <w:pPr>
              <w:pStyle w:val="Tableentry"/>
              <w:jc w:val="center"/>
            </w:pPr>
            <w:r w:rsidRPr="00E55F01">
              <w:t>0.0*</w:t>
            </w:r>
          </w:p>
        </w:tc>
      </w:tr>
      <w:tr w:rsidR="00323D29" w14:paraId="01F81108"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5CE56560" w14:textId="77777777" w:rsidR="00323D29" w:rsidRDefault="00323D29" w:rsidP="00324721">
            <w:pPr>
              <w:pStyle w:val="Tableentry"/>
              <w:jc w:val="center"/>
            </w:pPr>
            <w:r w:rsidRPr="00571AE6">
              <w:t>Hinkley</w:t>
            </w:r>
          </w:p>
        </w:tc>
        <w:tc>
          <w:tcPr>
            <w:tcW w:w="924" w:type="dxa"/>
            <w:vAlign w:val="center"/>
          </w:tcPr>
          <w:p w14:paraId="676EFEB8" w14:textId="77777777" w:rsidR="00323D29" w:rsidRDefault="00323D29" w:rsidP="00324721">
            <w:pPr>
              <w:pStyle w:val="Tableentry"/>
              <w:jc w:val="center"/>
            </w:pPr>
            <w:r w:rsidRPr="00E55F01">
              <w:t>80.4</w:t>
            </w:r>
          </w:p>
        </w:tc>
        <w:tc>
          <w:tcPr>
            <w:tcW w:w="924" w:type="dxa"/>
            <w:vAlign w:val="center"/>
          </w:tcPr>
          <w:p w14:paraId="282ED9CC" w14:textId="77777777" w:rsidR="00323D29" w:rsidRDefault="00323D29" w:rsidP="00324721">
            <w:pPr>
              <w:pStyle w:val="Tableentry"/>
              <w:jc w:val="center"/>
            </w:pPr>
            <w:r w:rsidRPr="00E55F01">
              <w:t>1.8</w:t>
            </w:r>
          </w:p>
        </w:tc>
        <w:tc>
          <w:tcPr>
            <w:tcW w:w="923" w:type="dxa"/>
            <w:vAlign w:val="center"/>
          </w:tcPr>
          <w:p w14:paraId="286631BD" w14:textId="77777777" w:rsidR="00323D29" w:rsidRDefault="00323D29" w:rsidP="00324721">
            <w:pPr>
              <w:pStyle w:val="Tableentry"/>
              <w:jc w:val="center"/>
            </w:pPr>
            <w:r w:rsidRPr="00E55F01">
              <w:t>5.5</w:t>
            </w:r>
          </w:p>
        </w:tc>
        <w:tc>
          <w:tcPr>
            <w:tcW w:w="923" w:type="dxa"/>
            <w:vAlign w:val="center"/>
          </w:tcPr>
          <w:p w14:paraId="738EF633" w14:textId="77777777" w:rsidR="00323D29" w:rsidRDefault="00323D29" w:rsidP="00324721">
            <w:pPr>
              <w:pStyle w:val="Tableentry"/>
              <w:jc w:val="center"/>
            </w:pPr>
            <w:r w:rsidRPr="00E55F01">
              <w:t>8.3</w:t>
            </w:r>
          </w:p>
        </w:tc>
        <w:tc>
          <w:tcPr>
            <w:tcW w:w="923" w:type="dxa"/>
            <w:vAlign w:val="center"/>
          </w:tcPr>
          <w:p w14:paraId="4E87FADD" w14:textId="77777777" w:rsidR="00323D29" w:rsidRDefault="00323D29" w:rsidP="00324721">
            <w:pPr>
              <w:pStyle w:val="Tableentry"/>
              <w:jc w:val="center"/>
            </w:pPr>
            <w:r w:rsidRPr="00E55F01">
              <w:t>2.4</w:t>
            </w:r>
          </w:p>
        </w:tc>
        <w:tc>
          <w:tcPr>
            <w:tcW w:w="923" w:type="dxa"/>
            <w:vAlign w:val="center"/>
          </w:tcPr>
          <w:p w14:paraId="51AFBF55" w14:textId="77777777" w:rsidR="00323D29" w:rsidRDefault="00323D29" w:rsidP="00324721">
            <w:pPr>
              <w:pStyle w:val="Tableentry"/>
              <w:jc w:val="center"/>
            </w:pPr>
            <w:r w:rsidRPr="00E55F01">
              <w:t>1.3</w:t>
            </w:r>
          </w:p>
        </w:tc>
        <w:tc>
          <w:tcPr>
            <w:tcW w:w="923" w:type="dxa"/>
            <w:vAlign w:val="center"/>
          </w:tcPr>
          <w:p w14:paraId="5E4C11EB" w14:textId="77777777" w:rsidR="00323D29" w:rsidRDefault="00323D29" w:rsidP="00324721">
            <w:pPr>
              <w:pStyle w:val="Tableentry"/>
              <w:jc w:val="center"/>
            </w:pPr>
            <w:r w:rsidRPr="00E55F01">
              <w:t>0.2</w:t>
            </w:r>
          </w:p>
        </w:tc>
        <w:tc>
          <w:tcPr>
            <w:tcW w:w="923" w:type="dxa"/>
            <w:vAlign w:val="center"/>
          </w:tcPr>
          <w:p w14:paraId="27584FBF" w14:textId="77777777" w:rsidR="00323D29" w:rsidRDefault="00323D29" w:rsidP="00324721">
            <w:pPr>
              <w:pStyle w:val="Tableentry"/>
              <w:jc w:val="center"/>
            </w:pPr>
            <w:r w:rsidRPr="00E55F01">
              <w:t>0.0*</w:t>
            </w:r>
          </w:p>
        </w:tc>
      </w:tr>
      <w:tr w:rsidR="00323D29" w14:paraId="63D5A6C9"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24B20DB0" w14:textId="77777777" w:rsidR="00323D29" w:rsidRDefault="00323D29" w:rsidP="00324721">
            <w:pPr>
              <w:pStyle w:val="Tableentry"/>
              <w:jc w:val="center"/>
            </w:pPr>
            <w:r w:rsidRPr="00571AE6">
              <w:t>Seathwaite</w:t>
            </w:r>
          </w:p>
        </w:tc>
        <w:tc>
          <w:tcPr>
            <w:tcW w:w="924" w:type="dxa"/>
            <w:vAlign w:val="center"/>
          </w:tcPr>
          <w:p w14:paraId="5DC3F21A" w14:textId="77777777" w:rsidR="00323D29" w:rsidRDefault="00323D29" w:rsidP="00324721">
            <w:pPr>
              <w:pStyle w:val="Tableentry"/>
              <w:jc w:val="center"/>
            </w:pPr>
            <w:r w:rsidRPr="00E55F01">
              <w:t>65.0</w:t>
            </w:r>
          </w:p>
        </w:tc>
        <w:tc>
          <w:tcPr>
            <w:tcW w:w="924" w:type="dxa"/>
            <w:vAlign w:val="center"/>
          </w:tcPr>
          <w:p w14:paraId="412BC622" w14:textId="77777777" w:rsidR="00323D29" w:rsidRDefault="00323D29" w:rsidP="00324721">
            <w:pPr>
              <w:pStyle w:val="Tableentry"/>
              <w:jc w:val="center"/>
            </w:pPr>
            <w:r w:rsidRPr="00E55F01">
              <w:t>2.2</w:t>
            </w:r>
          </w:p>
        </w:tc>
        <w:tc>
          <w:tcPr>
            <w:tcW w:w="923" w:type="dxa"/>
            <w:vAlign w:val="center"/>
          </w:tcPr>
          <w:p w14:paraId="475CD567" w14:textId="77777777" w:rsidR="00323D29" w:rsidRDefault="00323D29" w:rsidP="00324721">
            <w:pPr>
              <w:pStyle w:val="Tableentry"/>
              <w:jc w:val="center"/>
            </w:pPr>
            <w:r w:rsidRPr="00E55F01">
              <w:t>9.6</w:t>
            </w:r>
          </w:p>
        </w:tc>
        <w:tc>
          <w:tcPr>
            <w:tcW w:w="923" w:type="dxa"/>
            <w:vAlign w:val="center"/>
          </w:tcPr>
          <w:p w14:paraId="4F739C18" w14:textId="77777777" w:rsidR="00323D29" w:rsidRDefault="00323D29" w:rsidP="00324721">
            <w:pPr>
              <w:pStyle w:val="Tableentry"/>
              <w:jc w:val="center"/>
            </w:pPr>
            <w:r w:rsidRPr="00E55F01">
              <w:t>12.3</w:t>
            </w:r>
          </w:p>
        </w:tc>
        <w:tc>
          <w:tcPr>
            <w:tcW w:w="923" w:type="dxa"/>
            <w:vAlign w:val="center"/>
          </w:tcPr>
          <w:p w14:paraId="21383018" w14:textId="77777777" w:rsidR="00323D29" w:rsidRDefault="00323D29" w:rsidP="00324721">
            <w:pPr>
              <w:pStyle w:val="Tableentry"/>
              <w:jc w:val="center"/>
            </w:pPr>
            <w:r w:rsidRPr="00E55F01">
              <w:t>4.5</w:t>
            </w:r>
          </w:p>
        </w:tc>
        <w:tc>
          <w:tcPr>
            <w:tcW w:w="923" w:type="dxa"/>
            <w:vAlign w:val="center"/>
          </w:tcPr>
          <w:p w14:paraId="0399C75D" w14:textId="77777777" w:rsidR="00323D29" w:rsidRDefault="00323D29" w:rsidP="00324721">
            <w:pPr>
              <w:pStyle w:val="Tableentry"/>
              <w:jc w:val="center"/>
            </w:pPr>
            <w:r w:rsidRPr="00E55F01">
              <w:t>4.2</w:t>
            </w:r>
          </w:p>
        </w:tc>
        <w:tc>
          <w:tcPr>
            <w:tcW w:w="923" w:type="dxa"/>
            <w:vAlign w:val="center"/>
          </w:tcPr>
          <w:p w14:paraId="3D81E891" w14:textId="77777777" w:rsidR="00323D29" w:rsidRDefault="00323D29" w:rsidP="00324721">
            <w:pPr>
              <w:pStyle w:val="Tableentry"/>
              <w:jc w:val="center"/>
            </w:pPr>
            <w:r w:rsidRPr="00E55F01">
              <w:t>1.9</w:t>
            </w:r>
          </w:p>
        </w:tc>
        <w:tc>
          <w:tcPr>
            <w:tcW w:w="923" w:type="dxa"/>
            <w:vAlign w:val="center"/>
          </w:tcPr>
          <w:p w14:paraId="3BC3DBD7" w14:textId="77777777" w:rsidR="00323D29" w:rsidRDefault="00323D29" w:rsidP="00324721">
            <w:pPr>
              <w:pStyle w:val="Tableentry"/>
              <w:jc w:val="center"/>
            </w:pPr>
            <w:r w:rsidRPr="00E55F01">
              <w:t>0.3</w:t>
            </w:r>
          </w:p>
        </w:tc>
      </w:tr>
      <w:tr w:rsidR="00323D29" w14:paraId="72E9F65A"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166C6B80" w14:textId="77777777" w:rsidR="00323D29" w:rsidRDefault="00323D29" w:rsidP="00324721">
            <w:pPr>
              <w:pStyle w:val="Tableentry"/>
              <w:jc w:val="center"/>
            </w:pPr>
            <w:r w:rsidRPr="00571AE6">
              <w:t>Trawsfynydd</w:t>
            </w:r>
          </w:p>
        </w:tc>
        <w:tc>
          <w:tcPr>
            <w:tcW w:w="924" w:type="dxa"/>
            <w:vAlign w:val="center"/>
          </w:tcPr>
          <w:p w14:paraId="5864D85A" w14:textId="77777777" w:rsidR="00323D29" w:rsidRDefault="00323D29" w:rsidP="00324721">
            <w:pPr>
              <w:pStyle w:val="Tableentry"/>
              <w:jc w:val="center"/>
            </w:pPr>
            <w:r w:rsidRPr="00E55F01">
              <w:t>73.5</w:t>
            </w:r>
          </w:p>
        </w:tc>
        <w:tc>
          <w:tcPr>
            <w:tcW w:w="924" w:type="dxa"/>
            <w:vAlign w:val="center"/>
          </w:tcPr>
          <w:p w14:paraId="2FCCE025" w14:textId="77777777" w:rsidR="00323D29" w:rsidRDefault="00323D29" w:rsidP="00324721">
            <w:pPr>
              <w:pStyle w:val="Tableentry"/>
              <w:jc w:val="center"/>
            </w:pPr>
            <w:r w:rsidRPr="00E55F01">
              <w:t>2.2</w:t>
            </w:r>
          </w:p>
        </w:tc>
        <w:tc>
          <w:tcPr>
            <w:tcW w:w="923" w:type="dxa"/>
            <w:vAlign w:val="center"/>
          </w:tcPr>
          <w:p w14:paraId="61BFB10C" w14:textId="77777777" w:rsidR="00323D29" w:rsidRDefault="00323D29" w:rsidP="00324721">
            <w:pPr>
              <w:pStyle w:val="Tableentry"/>
              <w:jc w:val="center"/>
            </w:pPr>
            <w:r w:rsidRPr="00E55F01">
              <w:t>6.6</w:t>
            </w:r>
          </w:p>
        </w:tc>
        <w:tc>
          <w:tcPr>
            <w:tcW w:w="923" w:type="dxa"/>
            <w:vAlign w:val="center"/>
          </w:tcPr>
          <w:p w14:paraId="11F80FC0" w14:textId="77777777" w:rsidR="00323D29" w:rsidRDefault="00323D29" w:rsidP="00324721">
            <w:pPr>
              <w:pStyle w:val="Tableentry"/>
              <w:jc w:val="center"/>
            </w:pPr>
            <w:r w:rsidRPr="00E55F01">
              <w:t>10.2</w:t>
            </w:r>
          </w:p>
        </w:tc>
        <w:tc>
          <w:tcPr>
            <w:tcW w:w="923" w:type="dxa"/>
            <w:vAlign w:val="center"/>
          </w:tcPr>
          <w:p w14:paraId="7480EBEC" w14:textId="77777777" w:rsidR="00323D29" w:rsidRDefault="00323D29" w:rsidP="00324721">
            <w:pPr>
              <w:pStyle w:val="Tableentry"/>
              <w:jc w:val="center"/>
            </w:pPr>
            <w:r w:rsidRPr="00E55F01">
              <w:t>3.6</w:t>
            </w:r>
          </w:p>
        </w:tc>
        <w:tc>
          <w:tcPr>
            <w:tcW w:w="923" w:type="dxa"/>
            <w:vAlign w:val="center"/>
          </w:tcPr>
          <w:p w14:paraId="10E7BF43" w14:textId="77777777" w:rsidR="00323D29" w:rsidRDefault="00323D29" w:rsidP="00324721">
            <w:pPr>
              <w:pStyle w:val="Tableentry"/>
              <w:jc w:val="center"/>
            </w:pPr>
            <w:r w:rsidRPr="00E55F01">
              <w:t>2.9</w:t>
            </w:r>
          </w:p>
        </w:tc>
        <w:tc>
          <w:tcPr>
            <w:tcW w:w="923" w:type="dxa"/>
            <w:vAlign w:val="center"/>
          </w:tcPr>
          <w:p w14:paraId="25A13101" w14:textId="77777777" w:rsidR="00323D29" w:rsidRDefault="00323D29" w:rsidP="00324721">
            <w:pPr>
              <w:pStyle w:val="Tableentry"/>
              <w:jc w:val="center"/>
            </w:pPr>
            <w:r w:rsidRPr="00E55F01">
              <w:t>1.0</w:t>
            </w:r>
          </w:p>
        </w:tc>
        <w:tc>
          <w:tcPr>
            <w:tcW w:w="923" w:type="dxa"/>
            <w:vAlign w:val="center"/>
          </w:tcPr>
          <w:p w14:paraId="33E1A7AA" w14:textId="77777777" w:rsidR="00323D29" w:rsidRDefault="00323D29" w:rsidP="00324721">
            <w:pPr>
              <w:pStyle w:val="Tableentry"/>
              <w:jc w:val="center"/>
            </w:pPr>
            <w:r w:rsidRPr="00E55F01">
              <w:t>0.1</w:t>
            </w:r>
          </w:p>
        </w:tc>
      </w:tr>
      <w:tr w:rsidR="00323D29" w14:paraId="7CF74648" w14:textId="77777777" w:rsidTr="00324721">
        <w:trPr>
          <w:cnfStyle w:val="100000000000" w:firstRow="1" w:lastRow="0" w:firstColumn="0" w:lastColumn="0" w:oddVBand="0" w:evenVBand="0" w:oddHBand="0" w:evenHBand="0" w:firstRowFirstColumn="0" w:firstRowLastColumn="0" w:lastRowFirstColumn="0" w:lastRowLastColumn="0"/>
        </w:trPr>
        <w:tc>
          <w:tcPr>
            <w:tcW w:w="8351" w:type="dxa"/>
            <w:gridSpan w:val="9"/>
            <w:vAlign w:val="center"/>
          </w:tcPr>
          <w:p w14:paraId="149CD37C" w14:textId="77777777" w:rsidR="00323D29" w:rsidRDefault="00323D29" w:rsidP="00324721">
            <w:pPr>
              <w:pStyle w:val="Tableentry"/>
            </w:pPr>
            <w:r>
              <w:t xml:space="preserve">* Values shown as </w:t>
            </w:r>
            <w:r w:rsidRPr="00DA695E">
              <w:rPr>
                <w:i/>
                <w:iCs/>
              </w:rPr>
              <w:t>0.0*</w:t>
            </w:r>
            <w:r>
              <w:t xml:space="preserve"> are small but non-zero (i.e. in the range </w:t>
            </w:r>
            <w:r w:rsidRPr="00DA695E">
              <w:rPr>
                <w:i/>
                <w:iCs/>
              </w:rPr>
              <w:t>0 &lt; x &lt; 0.05</w:t>
            </w:r>
            <w:r>
              <w:t xml:space="preserve">). Only entries shown as </w:t>
            </w:r>
            <w:r w:rsidRPr="00DA695E">
              <w:rPr>
                <w:i/>
                <w:iCs/>
              </w:rPr>
              <w:t>0.0</w:t>
            </w:r>
            <w:r>
              <w:t xml:space="preserve"> or </w:t>
            </w:r>
            <w:r w:rsidRPr="00DA695E">
              <w:rPr>
                <w:i/>
                <w:iCs/>
              </w:rPr>
              <w:t>0</w:t>
            </w:r>
            <w:r>
              <w:t xml:space="preserve"> are truly zero.</w:t>
            </w:r>
          </w:p>
          <w:p w14:paraId="5F69E807" w14:textId="77777777" w:rsidR="00323D29" w:rsidRDefault="00323D29" w:rsidP="00324721">
            <w:pPr>
              <w:pStyle w:val="Tableentry"/>
            </w:pPr>
            <w:r>
              <w:t xml:space="preserve">** In the column headers, the ranges </w:t>
            </w:r>
            <w:r w:rsidRPr="00DA695E">
              <w:rPr>
                <w:i/>
                <w:iCs/>
              </w:rPr>
              <w:t>A - B</w:t>
            </w:r>
            <w:r>
              <w:t xml:space="preserve"> should be interpreted as </w:t>
            </w:r>
            <w:r w:rsidRPr="00DA695E">
              <w:rPr>
                <w:i/>
                <w:iCs/>
              </w:rPr>
              <w:t>A &lt; x ≤ B</w:t>
            </w:r>
            <w:r>
              <w:t xml:space="preserve">. For example, </w:t>
            </w:r>
            <w:r w:rsidRPr="00DA695E">
              <w:rPr>
                <w:i/>
                <w:iCs/>
              </w:rPr>
              <w:t>0 - 0.01</w:t>
            </w:r>
            <w:r>
              <w:t xml:space="preserve"> only includes values in the range </w:t>
            </w:r>
            <w:r w:rsidRPr="00DA695E">
              <w:rPr>
                <w:i/>
                <w:iCs/>
              </w:rPr>
              <w:t>0 &lt; x ≤ 0.01</w:t>
            </w:r>
            <w:r>
              <w:t>.</w:t>
            </w:r>
          </w:p>
        </w:tc>
      </w:tr>
    </w:tbl>
    <w:p w14:paraId="35502E05" w14:textId="77777777" w:rsidR="00323D29" w:rsidRDefault="00323D29" w:rsidP="00323D29">
      <w:pPr>
        <w:pStyle w:val="BodyText"/>
      </w:pPr>
    </w:p>
    <w:p w14:paraId="60024504" w14:textId="5E1C74C7" w:rsidR="00323D29" w:rsidRDefault="00323D29" w:rsidP="00DD754C">
      <w:pPr>
        <w:pStyle w:val="BodyTextEND"/>
        <w:jc w:val="both"/>
      </w:pPr>
      <w:r>
        <w:rPr>
          <w:highlight w:val="yellow"/>
        </w:rPr>
        <w:fldChar w:fldCharType="begin"/>
      </w:r>
      <w:r>
        <w:rPr>
          <w:highlight w:val="yellow"/>
        </w:rPr>
        <w:instrText xml:space="preserve"> REF _Ref79590253 \h </w:instrText>
      </w:r>
      <w:r w:rsidR="00DD754C">
        <w:rPr>
          <w:highlight w:val="yellow"/>
        </w:rPr>
        <w:instrText xml:space="preserve"> \* MERGEFORMAT </w:instrText>
      </w:r>
      <w:r>
        <w:rPr>
          <w:highlight w:val="yellow"/>
        </w:rPr>
      </w:r>
      <w:r>
        <w:rPr>
          <w:highlight w:val="yellow"/>
        </w:rPr>
        <w:fldChar w:fldCharType="separate"/>
      </w:r>
      <w:r w:rsidR="00926FE3" w:rsidRPr="006A5655">
        <w:t xml:space="preserve">Table </w:t>
      </w:r>
      <w:r w:rsidR="00926FE3">
        <w:rPr>
          <w:noProof/>
        </w:rPr>
        <w:t>1</w:t>
      </w:r>
      <w:r>
        <w:rPr>
          <w:highlight w:val="yellow"/>
        </w:rPr>
        <w:fldChar w:fldCharType="end"/>
      </w:r>
      <w:r>
        <w:t xml:space="preserve"> shows that </w:t>
      </w:r>
      <w:r w:rsidRPr="00B02A8B">
        <w:t>for all sites</w:t>
      </w:r>
      <w:r>
        <w:t>,</w:t>
      </w:r>
      <w:r w:rsidRPr="00B02A8B">
        <w:t xml:space="preserve"> the</w:t>
      </w:r>
      <w:r>
        <w:t xml:space="preserve"> majority of hours have no precipitation. Nonetheless, the proportion of hours in which precipitation does occur is significant for all sites (between 15% and 40%). Among the non-zero-precipitation-rate</w:t>
      </w:r>
      <w:r w:rsidRPr="00B02A8B">
        <w:t xml:space="preserve"> bins considered in this study</w:t>
      </w:r>
      <w:r>
        <w:t xml:space="preserve">, the </w:t>
      </w:r>
      <w:r w:rsidRPr="00CB7E9C">
        <w:rPr>
          <w:i/>
          <w:iCs/>
        </w:rPr>
        <w:t>0.1</w:t>
      </w:r>
      <w:r w:rsidR="00F8290C">
        <w:rPr>
          <w:i/>
          <w:iCs/>
        </w:rPr>
        <w:t> </w:t>
      </w:r>
      <w:r w:rsidR="00F8290C">
        <w:rPr>
          <w:i/>
          <w:iCs/>
        </w:rPr>
        <w:noBreakHyphen/>
        <w:t> </w:t>
      </w:r>
      <w:r w:rsidRPr="00CB7E9C">
        <w:rPr>
          <w:i/>
          <w:iCs/>
        </w:rPr>
        <w:t>1</w:t>
      </w:r>
      <w:r w:rsidR="00F8290C">
        <w:rPr>
          <w:i/>
          <w:iCs/>
        </w:rPr>
        <w:t> </w:t>
      </w:r>
      <w:r w:rsidRPr="00CB7E9C">
        <w:rPr>
          <w:i/>
          <w:iCs/>
        </w:rPr>
        <w:t>mm</w:t>
      </w:r>
      <w:r w:rsidR="00F8290C">
        <w:rPr>
          <w:b/>
          <w:i/>
          <w:iCs/>
        </w:rPr>
        <w:t> </w:t>
      </w:r>
      <w:r w:rsidR="00F8290C" w:rsidRPr="00F8290C">
        <w:rPr>
          <w:bCs/>
          <w:i/>
          <w:iCs/>
        </w:rPr>
        <w:t>h</w:t>
      </w:r>
      <w:r w:rsidR="00F8290C" w:rsidRPr="00F8290C">
        <w:rPr>
          <w:bCs/>
          <w:i/>
          <w:iCs/>
          <w:vertAlign w:val="superscript"/>
        </w:rPr>
        <w:t>-1</w:t>
      </w:r>
      <w:r w:rsidRPr="00B02A8B">
        <w:t xml:space="preserve"> bin</w:t>
      </w:r>
      <w:r>
        <w:t xml:space="preserve"> was the most populated for all sites. No bin is completely unpopulated for any site.</w:t>
      </w:r>
    </w:p>
    <w:p w14:paraId="521E8411" w14:textId="77777777" w:rsidR="00323D29" w:rsidRDefault="00323D29" w:rsidP="00323D29">
      <w:pPr>
        <w:pStyle w:val="Heading3"/>
      </w:pPr>
      <w:bookmarkStart w:id="22" w:name="_Toc79679411"/>
      <w:bookmarkStart w:id="23" w:name="_Toc89966363"/>
      <w:r>
        <w:t>Probabilities of precipitation rates during a release</w:t>
      </w:r>
      <w:bookmarkEnd w:id="22"/>
      <w:bookmarkEnd w:id="23"/>
    </w:p>
    <w:p w14:paraId="77BD634E" w14:textId="0239413D" w:rsidR="00323D29" w:rsidRDefault="00323D29" w:rsidP="00DD754C">
      <w:pPr>
        <w:pStyle w:val="BodyText"/>
        <w:jc w:val="both"/>
      </w:pPr>
      <w:r w:rsidRPr="00614821">
        <w:fldChar w:fldCharType="begin"/>
      </w:r>
      <w:r w:rsidRPr="00614821">
        <w:instrText xml:space="preserve"> REF _Ref79590667 \h </w:instrText>
      </w:r>
      <w:r>
        <w:instrText xml:space="preserve"> \* MERGEFORMAT </w:instrText>
      </w:r>
      <w:r w:rsidRPr="00614821">
        <w:fldChar w:fldCharType="separate"/>
      </w:r>
      <w:r w:rsidR="00926FE3" w:rsidRPr="00BD67F0">
        <w:t xml:space="preserve">Table </w:t>
      </w:r>
      <w:r w:rsidR="00926FE3">
        <w:rPr>
          <w:noProof/>
        </w:rPr>
        <w:t>2</w:t>
      </w:r>
      <w:r w:rsidRPr="00614821">
        <w:fldChar w:fldCharType="end"/>
      </w:r>
      <w:r w:rsidRPr="00614821">
        <w:t xml:space="preserve"> to </w:t>
      </w:r>
      <w:r w:rsidRPr="00614821">
        <w:fldChar w:fldCharType="begin"/>
      </w:r>
      <w:r w:rsidRPr="00614821">
        <w:instrText xml:space="preserve"> REF _Ref79590743 \h </w:instrText>
      </w:r>
      <w:r>
        <w:instrText xml:space="preserve"> \* MERGEFORMAT </w:instrText>
      </w:r>
      <w:r w:rsidRPr="00614821">
        <w:fldChar w:fldCharType="separate"/>
      </w:r>
      <w:r w:rsidR="00926FE3" w:rsidRPr="00BD67F0">
        <w:t xml:space="preserve">Table </w:t>
      </w:r>
      <w:r w:rsidR="00926FE3">
        <w:rPr>
          <w:noProof/>
        </w:rPr>
        <w:t>4</w:t>
      </w:r>
      <w:r w:rsidRPr="00614821">
        <w:fldChar w:fldCharType="end"/>
      </w:r>
      <w:r w:rsidRPr="00614821">
        <w:t xml:space="preserve"> are the result of considering what precipitation rates might occur during </w:t>
      </w:r>
      <w:r>
        <w:t>releases of various durations (thirty days, 48 hours and eight hours). In each case, 26,304 hypothetical releases were considered. The 26,304 hypothetical releases started at hourly intervals over the whole period of 2018-2020. For example, in the case of a thirty-day release duration, the first release was considered to start at 00:00 on 01/01/2018 and to last for thirty days; the second release was considered to start at 01:00 on 01/01/2018 and to last for thirty days; … the 26,304</w:t>
      </w:r>
      <w:r w:rsidR="00792E6A" w:rsidRPr="00792E6A">
        <w:rPr>
          <w:vertAlign w:val="superscript"/>
        </w:rPr>
        <w:t>th</w:t>
      </w:r>
      <w:r w:rsidR="00792E6A">
        <w:t xml:space="preserve"> </w:t>
      </w:r>
      <w:r>
        <w:t>release was considered to start at 23:00 on 31/12/2020 and to last for thirty days. Consequently, the releases that started near the end of 2020 continued into the first month of 2021. Nonetheless, these were considered to be 2020 releases, on account of having a start date in 2020.</w:t>
      </w:r>
      <w:r w:rsidR="00D02960">
        <w:t xml:space="preserve"> Note that the likelihood of different precipitation rates occurring during a release duration of one hour are reflected in the results detailed in </w:t>
      </w:r>
      <w:r w:rsidR="00D02960">
        <w:fldChar w:fldCharType="begin"/>
      </w:r>
      <w:r w:rsidR="00D02960">
        <w:instrText xml:space="preserve"> REF _Ref79590253 \h </w:instrText>
      </w:r>
      <w:r w:rsidR="00D02960">
        <w:fldChar w:fldCharType="separate"/>
      </w:r>
      <w:r w:rsidR="00926FE3" w:rsidRPr="006A5655">
        <w:t xml:space="preserve">Table </w:t>
      </w:r>
      <w:r w:rsidR="00926FE3">
        <w:rPr>
          <w:noProof/>
        </w:rPr>
        <w:t>1</w:t>
      </w:r>
      <w:r w:rsidR="00D02960">
        <w:fldChar w:fldCharType="end"/>
      </w:r>
      <w:r w:rsidR="00D02960">
        <w:t>.</w:t>
      </w:r>
    </w:p>
    <w:p w14:paraId="37978D17" w14:textId="77777777" w:rsidR="00323D29" w:rsidRDefault="00323D29" w:rsidP="00DD754C">
      <w:pPr>
        <w:pStyle w:val="BodyTextEND"/>
        <w:jc w:val="both"/>
      </w:pPr>
      <w:r>
        <w:t>The maximum precipitation rate occurring during each of the releases was determined. The resulting 26,304 “maximum” values for each site were then categorised into the same bins as were used above. The total in each bin was then divided by 26,304 and multiplied by 100 in order to calculate the percentages presented in Tables 2-4.</w:t>
      </w:r>
    </w:p>
    <w:p w14:paraId="4C0C789B" w14:textId="0AB49D1E" w:rsidR="00323D29" w:rsidRDefault="00323D29" w:rsidP="00EB1793">
      <w:pPr>
        <w:pStyle w:val="Tablecaption"/>
      </w:pPr>
      <w:bookmarkStart w:id="24" w:name="_Ref79590667"/>
      <w:bookmarkStart w:id="25" w:name="_Hlk81907580"/>
      <w:r w:rsidRPr="00BD67F0">
        <w:t xml:space="preserve">Table </w:t>
      </w:r>
      <w:fldSimple w:instr=" SEQ Table \* ARABIC ">
        <w:r w:rsidR="00926FE3">
          <w:rPr>
            <w:noProof/>
          </w:rPr>
          <w:t>2</w:t>
        </w:r>
      </w:fldSimple>
      <w:bookmarkEnd w:id="24"/>
      <w:r w:rsidRPr="00BD67F0">
        <w:t xml:space="preserve">: </w:t>
      </w:r>
      <w:r w:rsidR="004877FD">
        <w:t xml:space="preserve">The </w:t>
      </w:r>
      <w:r w:rsidRPr="00BD67F0">
        <w:t>maximum precipitation rate</w:t>
      </w:r>
      <w:r w:rsidR="00BF0397">
        <w:t xml:space="preserve"> </w:t>
      </w:r>
      <w:r w:rsidRPr="00BD67F0">
        <w:t xml:space="preserve">bin </w:t>
      </w:r>
      <w:r w:rsidR="004877FD">
        <w:t xml:space="preserve">(as a percentage) </w:t>
      </w:r>
      <w:r w:rsidRPr="00BD67F0">
        <w:t>occurring during each potential release (“Potential release” means each of 26,304 hypothetical releases starting at hourly intervals over the whole period 2018-2020, where each release has a thirty-day duration)</w:t>
      </w:r>
    </w:p>
    <w:tbl>
      <w:tblPr>
        <w:tblStyle w:val="CRCEReportTable"/>
        <w:tblW w:w="0" w:type="auto"/>
        <w:tblBorders>
          <w:bottom w:val="single" w:sz="4" w:space="0" w:color="auto"/>
        </w:tblBorders>
        <w:tblLook w:val="04A0" w:firstRow="1" w:lastRow="0" w:firstColumn="1" w:lastColumn="0" w:noHBand="0" w:noVBand="1"/>
      </w:tblPr>
      <w:tblGrid>
        <w:gridCol w:w="965"/>
        <w:gridCol w:w="924"/>
        <w:gridCol w:w="924"/>
        <w:gridCol w:w="923"/>
        <w:gridCol w:w="923"/>
        <w:gridCol w:w="923"/>
        <w:gridCol w:w="923"/>
        <w:gridCol w:w="923"/>
        <w:gridCol w:w="923"/>
      </w:tblGrid>
      <w:tr w:rsidR="00323D29" w14:paraId="109C4384"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Merge w:val="restart"/>
            <w:vAlign w:val="center"/>
          </w:tcPr>
          <w:p w14:paraId="157BB691" w14:textId="77777777" w:rsidR="00323D29" w:rsidRDefault="00323D29" w:rsidP="00324721">
            <w:pPr>
              <w:pStyle w:val="Tableentry"/>
              <w:jc w:val="center"/>
            </w:pPr>
            <w:r w:rsidRPr="00EB1793">
              <w:rPr>
                <w:b/>
                <w:color w:val="007C91"/>
                <w:sz w:val="18"/>
              </w:rPr>
              <w:t>Site</w:t>
            </w:r>
          </w:p>
        </w:tc>
        <w:tc>
          <w:tcPr>
            <w:tcW w:w="7386" w:type="dxa"/>
            <w:gridSpan w:val="8"/>
            <w:vAlign w:val="center"/>
          </w:tcPr>
          <w:p w14:paraId="46178D80" w14:textId="28196331" w:rsidR="00323D29" w:rsidRDefault="00323D29" w:rsidP="00324721">
            <w:pPr>
              <w:pStyle w:val="Tableentry"/>
              <w:jc w:val="center"/>
            </w:pPr>
            <w:r w:rsidRPr="00EB1793">
              <w:rPr>
                <w:b/>
                <w:color w:val="007C91"/>
                <w:sz w:val="18"/>
              </w:rPr>
              <w:t>Maximum precipitation rate bin during 30-day releases (mm</w:t>
            </w:r>
            <w:r w:rsidR="00F8290C" w:rsidRPr="00EB1793">
              <w:rPr>
                <w:b/>
                <w:color w:val="007C91"/>
                <w:sz w:val="18"/>
              </w:rPr>
              <w:t xml:space="preserve"> h</w:t>
            </w:r>
            <w:r w:rsidR="00F8290C" w:rsidRPr="00EB1793">
              <w:rPr>
                <w:b/>
                <w:color w:val="007C91"/>
                <w:sz w:val="18"/>
                <w:vertAlign w:val="superscript"/>
              </w:rPr>
              <w:t>-1</w:t>
            </w:r>
            <w:r w:rsidRPr="00EB1793">
              <w:rPr>
                <w:b/>
                <w:color w:val="007C91"/>
                <w:sz w:val="18"/>
              </w:rPr>
              <w:t>)**</w:t>
            </w:r>
          </w:p>
        </w:tc>
      </w:tr>
      <w:tr w:rsidR="00323D29" w14:paraId="5A7F2B96"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Merge/>
            <w:vAlign w:val="center"/>
          </w:tcPr>
          <w:p w14:paraId="55D6D487" w14:textId="77777777" w:rsidR="00323D29" w:rsidRDefault="00323D29" w:rsidP="00324721">
            <w:pPr>
              <w:pStyle w:val="Tableentry"/>
              <w:jc w:val="center"/>
            </w:pPr>
            <w:bookmarkStart w:id="26" w:name="_Hlk77948568"/>
          </w:p>
        </w:tc>
        <w:tc>
          <w:tcPr>
            <w:tcW w:w="924" w:type="dxa"/>
            <w:vAlign w:val="center"/>
          </w:tcPr>
          <w:p w14:paraId="2DA41403" w14:textId="77777777" w:rsidR="00323D29" w:rsidRDefault="00323D29" w:rsidP="00324721">
            <w:pPr>
              <w:pStyle w:val="Tableentry"/>
              <w:jc w:val="center"/>
            </w:pPr>
            <w:r w:rsidRPr="005809C5">
              <w:t>0</w:t>
            </w:r>
          </w:p>
        </w:tc>
        <w:tc>
          <w:tcPr>
            <w:tcW w:w="924" w:type="dxa"/>
            <w:vAlign w:val="center"/>
          </w:tcPr>
          <w:p w14:paraId="0AA0902F" w14:textId="77777777" w:rsidR="00323D29" w:rsidRDefault="00323D29" w:rsidP="00324721">
            <w:pPr>
              <w:pStyle w:val="Tableentry"/>
              <w:jc w:val="center"/>
            </w:pPr>
            <w:r w:rsidRPr="005809C5">
              <w:t>0 - 0.01</w:t>
            </w:r>
          </w:p>
        </w:tc>
        <w:tc>
          <w:tcPr>
            <w:tcW w:w="923" w:type="dxa"/>
            <w:vAlign w:val="center"/>
          </w:tcPr>
          <w:p w14:paraId="4CC80D6D" w14:textId="77777777" w:rsidR="00323D29" w:rsidRDefault="00323D29" w:rsidP="00324721">
            <w:pPr>
              <w:pStyle w:val="Tableentry"/>
              <w:jc w:val="center"/>
            </w:pPr>
            <w:r w:rsidRPr="005809C5">
              <w:t>0.01 - 0.1</w:t>
            </w:r>
          </w:p>
        </w:tc>
        <w:tc>
          <w:tcPr>
            <w:tcW w:w="923" w:type="dxa"/>
            <w:vAlign w:val="center"/>
          </w:tcPr>
          <w:p w14:paraId="31B7EAD6" w14:textId="77777777" w:rsidR="00323D29" w:rsidRDefault="00323D29" w:rsidP="00324721">
            <w:pPr>
              <w:pStyle w:val="Tableentry"/>
              <w:jc w:val="center"/>
            </w:pPr>
            <w:r w:rsidRPr="005809C5">
              <w:t>0.1 - 1</w:t>
            </w:r>
          </w:p>
        </w:tc>
        <w:tc>
          <w:tcPr>
            <w:tcW w:w="923" w:type="dxa"/>
            <w:vAlign w:val="center"/>
          </w:tcPr>
          <w:p w14:paraId="77B8DE38" w14:textId="77777777" w:rsidR="00323D29" w:rsidRDefault="00323D29" w:rsidP="00324721">
            <w:pPr>
              <w:pStyle w:val="Tableentry"/>
              <w:jc w:val="center"/>
            </w:pPr>
            <w:r w:rsidRPr="005809C5">
              <w:t>1 - 2</w:t>
            </w:r>
          </w:p>
        </w:tc>
        <w:tc>
          <w:tcPr>
            <w:tcW w:w="923" w:type="dxa"/>
            <w:vAlign w:val="center"/>
          </w:tcPr>
          <w:p w14:paraId="0A31F951" w14:textId="77777777" w:rsidR="00323D29" w:rsidRDefault="00323D29" w:rsidP="00324721">
            <w:pPr>
              <w:pStyle w:val="Tableentry"/>
              <w:jc w:val="center"/>
            </w:pPr>
            <w:r w:rsidRPr="005809C5">
              <w:t>2 - 4</w:t>
            </w:r>
          </w:p>
        </w:tc>
        <w:tc>
          <w:tcPr>
            <w:tcW w:w="923" w:type="dxa"/>
            <w:vAlign w:val="center"/>
          </w:tcPr>
          <w:p w14:paraId="3A364C5A" w14:textId="77777777" w:rsidR="00323D29" w:rsidRDefault="00323D29" w:rsidP="00324721">
            <w:pPr>
              <w:pStyle w:val="Tableentry"/>
              <w:jc w:val="center"/>
            </w:pPr>
            <w:r w:rsidRPr="005809C5">
              <w:t>4 - 8</w:t>
            </w:r>
          </w:p>
        </w:tc>
        <w:tc>
          <w:tcPr>
            <w:tcW w:w="923" w:type="dxa"/>
            <w:vAlign w:val="center"/>
          </w:tcPr>
          <w:p w14:paraId="501BEDD0" w14:textId="77777777" w:rsidR="00323D29" w:rsidRDefault="00323D29" w:rsidP="00324721">
            <w:pPr>
              <w:pStyle w:val="Tableentry"/>
              <w:jc w:val="center"/>
            </w:pPr>
            <w:r w:rsidRPr="005809C5">
              <w:t>&gt; 8</w:t>
            </w:r>
          </w:p>
        </w:tc>
      </w:tr>
      <w:bookmarkEnd w:id="26"/>
      <w:tr w:rsidR="00323D29" w14:paraId="4617B92A"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5BB81054" w14:textId="77777777" w:rsidR="00323D29" w:rsidRDefault="00323D29" w:rsidP="00324721">
            <w:pPr>
              <w:pStyle w:val="Tableentry"/>
              <w:jc w:val="center"/>
            </w:pPr>
            <w:r w:rsidRPr="00571AE6">
              <w:t>Ardlui</w:t>
            </w:r>
          </w:p>
        </w:tc>
        <w:tc>
          <w:tcPr>
            <w:tcW w:w="924" w:type="dxa"/>
          </w:tcPr>
          <w:p w14:paraId="3F574381" w14:textId="77777777" w:rsidR="00323D29" w:rsidRDefault="00323D29" w:rsidP="00324721">
            <w:pPr>
              <w:pStyle w:val="Tableentry"/>
              <w:jc w:val="center"/>
            </w:pPr>
            <w:r w:rsidRPr="00E33BA3">
              <w:t>0.0</w:t>
            </w:r>
          </w:p>
        </w:tc>
        <w:tc>
          <w:tcPr>
            <w:tcW w:w="924" w:type="dxa"/>
          </w:tcPr>
          <w:p w14:paraId="11C56F4D" w14:textId="77777777" w:rsidR="00323D29" w:rsidRDefault="00323D29" w:rsidP="00324721">
            <w:pPr>
              <w:pStyle w:val="Tableentry"/>
              <w:jc w:val="center"/>
            </w:pPr>
            <w:r w:rsidRPr="00E33BA3">
              <w:t>0.0</w:t>
            </w:r>
          </w:p>
        </w:tc>
        <w:tc>
          <w:tcPr>
            <w:tcW w:w="923" w:type="dxa"/>
          </w:tcPr>
          <w:p w14:paraId="5E4BA2BB" w14:textId="77777777" w:rsidR="00323D29" w:rsidRDefault="00323D29" w:rsidP="00324721">
            <w:pPr>
              <w:pStyle w:val="Tableentry"/>
              <w:jc w:val="center"/>
            </w:pPr>
            <w:r w:rsidRPr="00E33BA3">
              <w:t>0.0</w:t>
            </w:r>
          </w:p>
        </w:tc>
        <w:tc>
          <w:tcPr>
            <w:tcW w:w="923" w:type="dxa"/>
          </w:tcPr>
          <w:p w14:paraId="16AEBDE6" w14:textId="77777777" w:rsidR="00323D29" w:rsidRDefault="00323D29" w:rsidP="00324721">
            <w:pPr>
              <w:pStyle w:val="Tableentry"/>
              <w:jc w:val="center"/>
            </w:pPr>
            <w:r w:rsidRPr="00E33BA3">
              <w:t>0.0</w:t>
            </w:r>
          </w:p>
        </w:tc>
        <w:tc>
          <w:tcPr>
            <w:tcW w:w="923" w:type="dxa"/>
          </w:tcPr>
          <w:p w14:paraId="48B7CB7D" w14:textId="77777777" w:rsidR="00323D29" w:rsidRDefault="00323D29" w:rsidP="00324721">
            <w:pPr>
              <w:pStyle w:val="Tableentry"/>
              <w:jc w:val="center"/>
            </w:pPr>
            <w:r w:rsidRPr="00E33BA3">
              <w:t>0.3</w:t>
            </w:r>
          </w:p>
        </w:tc>
        <w:tc>
          <w:tcPr>
            <w:tcW w:w="923" w:type="dxa"/>
          </w:tcPr>
          <w:p w14:paraId="4E065752" w14:textId="77777777" w:rsidR="00323D29" w:rsidRDefault="00323D29" w:rsidP="00324721">
            <w:pPr>
              <w:pStyle w:val="Tableentry"/>
              <w:jc w:val="center"/>
            </w:pPr>
            <w:r w:rsidRPr="00E33BA3">
              <w:t>6.9</w:t>
            </w:r>
          </w:p>
        </w:tc>
        <w:tc>
          <w:tcPr>
            <w:tcW w:w="923" w:type="dxa"/>
          </w:tcPr>
          <w:p w14:paraId="6450C79E" w14:textId="77777777" w:rsidR="00323D29" w:rsidRDefault="00323D29" w:rsidP="00324721">
            <w:pPr>
              <w:pStyle w:val="Tableentry"/>
              <w:jc w:val="center"/>
            </w:pPr>
            <w:r w:rsidRPr="00E33BA3">
              <w:t>65.6</w:t>
            </w:r>
          </w:p>
        </w:tc>
        <w:tc>
          <w:tcPr>
            <w:tcW w:w="923" w:type="dxa"/>
          </w:tcPr>
          <w:p w14:paraId="0A06E8A5" w14:textId="77777777" w:rsidR="00323D29" w:rsidRDefault="00323D29" w:rsidP="00324721">
            <w:pPr>
              <w:pStyle w:val="Tableentry"/>
              <w:jc w:val="center"/>
            </w:pPr>
            <w:r w:rsidRPr="00E33BA3">
              <w:t>27.2</w:t>
            </w:r>
          </w:p>
        </w:tc>
      </w:tr>
      <w:tr w:rsidR="00323D29" w14:paraId="7A2386E6"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17275514" w14:textId="77777777" w:rsidR="00323D29" w:rsidRDefault="00323D29" w:rsidP="00324721">
            <w:pPr>
              <w:pStyle w:val="Tableentry"/>
              <w:jc w:val="center"/>
            </w:pPr>
            <w:r w:rsidRPr="00571AE6">
              <w:t>Bradwell</w:t>
            </w:r>
          </w:p>
        </w:tc>
        <w:tc>
          <w:tcPr>
            <w:tcW w:w="924" w:type="dxa"/>
          </w:tcPr>
          <w:p w14:paraId="5AF7AB6B" w14:textId="77777777" w:rsidR="00323D29" w:rsidRDefault="00323D29" w:rsidP="00324721">
            <w:pPr>
              <w:pStyle w:val="Tableentry"/>
              <w:jc w:val="center"/>
            </w:pPr>
            <w:r w:rsidRPr="00E33BA3">
              <w:t>0.0</w:t>
            </w:r>
          </w:p>
        </w:tc>
        <w:tc>
          <w:tcPr>
            <w:tcW w:w="924" w:type="dxa"/>
          </w:tcPr>
          <w:p w14:paraId="6A7808D3" w14:textId="77777777" w:rsidR="00323D29" w:rsidRDefault="00323D29" w:rsidP="00324721">
            <w:pPr>
              <w:pStyle w:val="Tableentry"/>
              <w:jc w:val="center"/>
            </w:pPr>
            <w:r w:rsidRPr="00E33BA3">
              <w:t>0.0</w:t>
            </w:r>
          </w:p>
        </w:tc>
        <w:tc>
          <w:tcPr>
            <w:tcW w:w="923" w:type="dxa"/>
          </w:tcPr>
          <w:p w14:paraId="19F78881" w14:textId="77777777" w:rsidR="00323D29" w:rsidRDefault="00323D29" w:rsidP="00324721">
            <w:pPr>
              <w:pStyle w:val="Tableentry"/>
              <w:jc w:val="center"/>
            </w:pPr>
            <w:r w:rsidRPr="00E33BA3">
              <w:t>0.0</w:t>
            </w:r>
          </w:p>
        </w:tc>
        <w:tc>
          <w:tcPr>
            <w:tcW w:w="923" w:type="dxa"/>
          </w:tcPr>
          <w:p w14:paraId="483C8E63" w14:textId="77777777" w:rsidR="00323D29" w:rsidRDefault="00323D29" w:rsidP="00324721">
            <w:pPr>
              <w:pStyle w:val="Tableentry"/>
              <w:jc w:val="center"/>
            </w:pPr>
            <w:r w:rsidRPr="00E33BA3">
              <w:t>1.0</w:t>
            </w:r>
          </w:p>
        </w:tc>
        <w:tc>
          <w:tcPr>
            <w:tcW w:w="923" w:type="dxa"/>
          </w:tcPr>
          <w:p w14:paraId="562F376B" w14:textId="77777777" w:rsidR="00323D29" w:rsidRDefault="00323D29" w:rsidP="00324721">
            <w:pPr>
              <w:pStyle w:val="Tableentry"/>
              <w:jc w:val="center"/>
            </w:pPr>
            <w:r w:rsidRPr="00E33BA3">
              <w:t>5.3</w:t>
            </w:r>
          </w:p>
        </w:tc>
        <w:tc>
          <w:tcPr>
            <w:tcW w:w="923" w:type="dxa"/>
          </w:tcPr>
          <w:p w14:paraId="6C6DDA56" w14:textId="77777777" w:rsidR="00323D29" w:rsidRDefault="00323D29" w:rsidP="00324721">
            <w:pPr>
              <w:pStyle w:val="Tableentry"/>
              <w:jc w:val="center"/>
            </w:pPr>
            <w:r w:rsidRPr="00E33BA3">
              <w:t>39.7</w:t>
            </w:r>
          </w:p>
        </w:tc>
        <w:tc>
          <w:tcPr>
            <w:tcW w:w="923" w:type="dxa"/>
          </w:tcPr>
          <w:p w14:paraId="4D5E069C" w14:textId="77777777" w:rsidR="00323D29" w:rsidRDefault="00323D29" w:rsidP="00324721">
            <w:pPr>
              <w:pStyle w:val="Tableentry"/>
              <w:jc w:val="center"/>
            </w:pPr>
            <w:r w:rsidRPr="00E33BA3">
              <w:t>45.5</w:t>
            </w:r>
          </w:p>
        </w:tc>
        <w:tc>
          <w:tcPr>
            <w:tcW w:w="923" w:type="dxa"/>
          </w:tcPr>
          <w:p w14:paraId="2B3061C5" w14:textId="77777777" w:rsidR="00323D29" w:rsidRDefault="00323D29" w:rsidP="00324721">
            <w:pPr>
              <w:pStyle w:val="Tableentry"/>
              <w:jc w:val="center"/>
            </w:pPr>
            <w:r w:rsidRPr="00E33BA3">
              <w:t>8.5</w:t>
            </w:r>
          </w:p>
        </w:tc>
      </w:tr>
      <w:tr w:rsidR="00323D29" w14:paraId="1E414688"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3FFB1892" w14:textId="77777777" w:rsidR="00323D29" w:rsidRDefault="00323D29" w:rsidP="00324721">
            <w:pPr>
              <w:pStyle w:val="Tableentry"/>
              <w:jc w:val="center"/>
            </w:pPr>
            <w:r w:rsidRPr="00571AE6">
              <w:t>Ely</w:t>
            </w:r>
          </w:p>
        </w:tc>
        <w:tc>
          <w:tcPr>
            <w:tcW w:w="924" w:type="dxa"/>
          </w:tcPr>
          <w:p w14:paraId="1EEA6BFD" w14:textId="77777777" w:rsidR="00323D29" w:rsidRDefault="00323D29" w:rsidP="00324721">
            <w:pPr>
              <w:pStyle w:val="Tableentry"/>
              <w:jc w:val="center"/>
            </w:pPr>
            <w:r w:rsidRPr="00E33BA3">
              <w:t>0.0</w:t>
            </w:r>
          </w:p>
        </w:tc>
        <w:tc>
          <w:tcPr>
            <w:tcW w:w="924" w:type="dxa"/>
          </w:tcPr>
          <w:p w14:paraId="223D7F4F" w14:textId="77777777" w:rsidR="00323D29" w:rsidRDefault="00323D29" w:rsidP="00324721">
            <w:pPr>
              <w:pStyle w:val="Tableentry"/>
              <w:jc w:val="center"/>
            </w:pPr>
            <w:r w:rsidRPr="00E33BA3">
              <w:t>0.0</w:t>
            </w:r>
          </w:p>
        </w:tc>
        <w:tc>
          <w:tcPr>
            <w:tcW w:w="923" w:type="dxa"/>
          </w:tcPr>
          <w:p w14:paraId="2C49CE98" w14:textId="77777777" w:rsidR="00323D29" w:rsidRDefault="00323D29" w:rsidP="00324721">
            <w:pPr>
              <w:pStyle w:val="Tableentry"/>
              <w:jc w:val="center"/>
            </w:pPr>
            <w:r w:rsidRPr="00E33BA3">
              <w:t>0.0</w:t>
            </w:r>
          </w:p>
        </w:tc>
        <w:tc>
          <w:tcPr>
            <w:tcW w:w="923" w:type="dxa"/>
          </w:tcPr>
          <w:p w14:paraId="26876F58" w14:textId="77777777" w:rsidR="00323D29" w:rsidRDefault="00323D29" w:rsidP="00324721">
            <w:pPr>
              <w:pStyle w:val="Tableentry"/>
              <w:jc w:val="center"/>
            </w:pPr>
            <w:r w:rsidRPr="00E33BA3">
              <w:t>2.2</w:t>
            </w:r>
          </w:p>
        </w:tc>
        <w:tc>
          <w:tcPr>
            <w:tcW w:w="923" w:type="dxa"/>
          </w:tcPr>
          <w:p w14:paraId="34C73971" w14:textId="77777777" w:rsidR="00323D29" w:rsidRDefault="00323D29" w:rsidP="00324721">
            <w:pPr>
              <w:pStyle w:val="Tableentry"/>
              <w:jc w:val="center"/>
            </w:pPr>
            <w:r w:rsidRPr="00E33BA3">
              <w:t>4.4</w:t>
            </w:r>
          </w:p>
        </w:tc>
        <w:tc>
          <w:tcPr>
            <w:tcW w:w="923" w:type="dxa"/>
          </w:tcPr>
          <w:p w14:paraId="59F37FE9" w14:textId="77777777" w:rsidR="00323D29" w:rsidRDefault="00323D29" w:rsidP="00324721">
            <w:pPr>
              <w:pStyle w:val="Tableentry"/>
              <w:jc w:val="center"/>
            </w:pPr>
            <w:r w:rsidRPr="00E33BA3">
              <w:t>42.0</w:t>
            </w:r>
          </w:p>
        </w:tc>
        <w:tc>
          <w:tcPr>
            <w:tcW w:w="923" w:type="dxa"/>
          </w:tcPr>
          <w:p w14:paraId="6D7F0201" w14:textId="77777777" w:rsidR="00323D29" w:rsidRDefault="00323D29" w:rsidP="00324721">
            <w:pPr>
              <w:pStyle w:val="Tableentry"/>
              <w:jc w:val="center"/>
            </w:pPr>
            <w:r w:rsidRPr="00E33BA3">
              <w:t>33.7</w:t>
            </w:r>
          </w:p>
        </w:tc>
        <w:tc>
          <w:tcPr>
            <w:tcW w:w="923" w:type="dxa"/>
          </w:tcPr>
          <w:p w14:paraId="3C7CE3F0" w14:textId="77777777" w:rsidR="00323D29" w:rsidRDefault="00323D29" w:rsidP="00324721">
            <w:pPr>
              <w:pStyle w:val="Tableentry"/>
              <w:jc w:val="center"/>
            </w:pPr>
            <w:r w:rsidRPr="00E33BA3">
              <w:t>17.6</w:t>
            </w:r>
          </w:p>
        </w:tc>
      </w:tr>
      <w:tr w:rsidR="00323D29" w14:paraId="71ED8695"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493B88CD" w14:textId="77777777" w:rsidR="00323D29" w:rsidRDefault="00323D29" w:rsidP="00324721">
            <w:pPr>
              <w:pStyle w:val="Tableentry"/>
              <w:jc w:val="center"/>
            </w:pPr>
            <w:r w:rsidRPr="00571AE6">
              <w:t>Hinkley</w:t>
            </w:r>
          </w:p>
        </w:tc>
        <w:tc>
          <w:tcPr>
            <w:tcW w:w="924" w:type="dxa"/>
          </w:tcPr>
          <w:p w14:paraId="0BFBFF8F" w14:textId="77777777" w:rsidR="00323D29" w:rsidRDefault="00323D29" w:rsidP="00324721">
            <w:pPr>
              <w:pStyle w:val="Tableentry"/>
              <w:jc w:val="center"/>
            </w:pPr>
            <w:r w:rsidRPr="00E33BA3">
              <w:t>0.0</w:t>
            </w:r>
          </w:p>
        </w:tc>
        <w:tc>
          <w:tcPr>
            <w:tcW w:w="924" w:type="dxa"/>
          </w:tcPr>
          <w:p w14:paraId="5D87D7AE" w14:textId="77777777" w:rsidR="00323D29" w:rsidRDefault="00323D29" w:rsidP="00324721">
            <w:pPr>
              <w:pStyle w:val="Tableentry"/>
              <w:jc w:val="center"/>
            </w:pPr>
            <w:r w:rsidRPr="00E33BA3">
              <w:t>0.0</w:t>
            </w:r>
          </w:p>
        </w:tc>
        <w:tc>
          <w:tcPr>
            <w:tcW w:w="923" w:type="dxa"/>
          </w:tcPr>
          <w:p w14:paraId="3F6A1A08" w14:textId="77777777" w:rsidR="00323D29" w:rsidRDefault="00323D29" w:rsidP="00324721">
            <w:pPr>
              <w:pStyle w:val="Tableentry"/>
              <w:jc w:val="center"/>
            </w:pPr>
            <w:r w:rsidRPr="00E33BA3">
              <w:t>0.0</w:t>
            </w:r>
          </w:p>
        </w:tc>
        <w:tc>
          <w:tcPr>
            <w:tcW w:w="923" w:type="dxa"/>
          </w:tcPr>
          <w:p w14:paraId="64758D5B" w14:textId="77777777" w:rsidR="00323D29" w:rsidRDefault="00323D29" w:rsidP="00324721">
            <w:pPr>
              <w:pStyle w:val="Tableentry"/>
              <w:jc w:val="center"/>
            </w:pPr>
            <w:r w:rsidRPr="00E33BA3">
              <w:t>0.0</w:t>
            </w:r>
          </w:p>
        </w:tc>
        <w:tc>
          <w:tcPr>
            <w:tcW w:w="923" w:type="dxa"/>
          </w:tcPr>
          <w:p w14:paraId="0CBCBDD8" w14:textId="77777777" w:rsidR="00323D29" w:rsidRDefault="00323D29" w:rsidP="00324721">
            <w:pPr>
              <w:pStyle w:val="Tableentry"/>
              <w:jc w:val="center"/>
            </w:pPr>
            <w:r w:rsidRPr="00E33BA3">
              <w:t>1.5</w:t>
            </w:r>
          </w:p>
        </w:tc>
        <w:tc>
          <w:tcPr>
            <w:tcW w:w="923" w:type="dxa"/>
          </w:tcPr>
          <w:p w14:paraId="3FCBBC85" w14:textId="77777777" w:rsidR="00323D29" w:rsidRDefault="00323D29" w:rsidP="00324721">
            <w:pPr>
              <w:pStyle w:val="Tableentry"/>
              <w:jc w:val="center"/>
            </w:pPr>
            <w:r w:rsidRPr="00E33BA3">
              <w:t>31.6</w:t>
            </w:r>
          </w:p>
        </w:tc>
        <w:tc>
          <w:tcPr>
            <w:tcW w:w="923" w:type="dxa"/>
          </w:tcPr>
          <w:p w14:paraId="060C04E0" w14:textId="77777777" w:rsidR="00323D29" w:rsidRDefault="00323D29" w:rsidP="00324721">
            <w:pPr>
              <w:pStyle w:val="Tableentry"/>
              <w:jc w:val="center"/>
            </w:pPr>
            <w:r w:rsidRPr="00E33BA3">
              <w:t>58.6</w:t>
            </w:r>
          </w:p>
        </w:tc>
        <w:tc>
          <w:tcPr>
            <w:tcW w:w="923" w:type="dxa"/>
          </w:tcPr>
          <w:p w14:paraId="1623AE97" w14:textId="77777777" w:rsidR="00323D29" w:rsidRDefault="00323D29" w:rsidP="00324721">
            <w:pPr>
              <w:pStyle w:val="Tableentry"/>
              <w:jc w:val="center"/>
            </w:pPr>
            <w:r w:rsidRPr="00E33BA3">
              <w:t>8.3</w:t>
            </w:r>
          </w:p>
        </w:tc>
      </w:tr>
      <w:tr w:rsidR="00323D29" w14:paraId="0D60179D"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4050F704" w14:textId="77777777" w:rsidR="00323D29" w:rsidRDefault="00323D29" w:rsidP="00324721">
            <w:pPr>
              <w:pStyle w:val="Tableentry"/>
              <w:jc w:val="center"/>
            </w:pPr>
            <w:r w:rsidRPr="00571AE6">
              <w:t>Seathwaite</w:t>
            </w:r>
          </w:p>
        </w:tc>
        <w:tc>
          <w:tcPr>
            <w:tcW w:w="924" w:type="dxa"/>
          </w:tcPr>
          <w:p w14:paraId="7D213C13" w14:textId="77777777" w:rsidR="00323D29" w:rsidRDefault="00323D29" w:rsidP="00324721">
            <w:pPr>
              <w:pStyle w:val="Tableentry"/>
              <w:jc w:val="center"/>
            </w:pPr>
            <w:r w:rsidRPr="00E33BA3">
              <w:t>0.0</w:t>
            </w:r>
          </w:p>
        </w:tc>
        <w:tc>
          <w:tcPr>
            <w:tcW w:w="924" w:type="dxa"/>
          </w:tcPr>
          <w:p w14:paraId="7F0AAD1E" w14:textId="77777777" w:rsidR="00323D29" w:rsidRDefault="00323D29" w:rsidP="00324721">
            <w:pPr>
              <w:pStyle w:val="Tableentry"/>
              <w:jc w:val="center"/>
            </w:pPr>
            <w:r w:rsidRPr="00E33BA3">
              <w:t>0.0</w:t>
            </w:r>
          </w:p>
        </w:tc>
        <w:tc>
          <w:tcPr>
            <w:tcW w:w="923" w:type="dxa"/>
          </w:tcPr>
          <w:p w14:paraId="57A060CB" w14:textId="77777777" w:rsidR="00323D29" w:rsidRDefault="00323D29" w:rsidP="00324721">
            <w:pPr>
              <w:pStyle w:val="Tableentry"/>
              <w:jc w:val="center"/>
            </w:pPr>
            <w:r w:rsidRPr="00E33BA3">
              <w:t>0.0</w:t>
            </w:r>
          </w:p>
        </w:tc>
        <w:tc>
          <w:tcPr>
            <w:tcW w:w="923" w:type="dxa"/>
          </w:tcPr>
          <w:p w14:paraId="3EAE2031" w14:textId="77777777" w:rsidR="00323D29" w:rsidRDefault="00323D29" w:rsidP="00324721">
            <w:pPr>
              <w:pStyle w:val="Tableentry"/>
              <w:jc w:val="center"/>
            </w:pPr>
            <w:r w:rsidRPr="00E33BA3">
              <w:t>0.0</w:t>
            </w:r>
          </w:p>
        </w:tc>
        <w:tc>
          <w:tcPr>
            <w:tcW w:w="923" w:type="dxa"/>
          </w:tcPr>
          <w:p w14:paraId="3915C67A" w14:textId="77777777" w:rsidR="00323D29" w:rsidRDefault="00323D29" w:rsidP="00324721">
            <w:pPr>
              <w:pStyle w:val="Tableentry"/>
              <w:jc w:val="center"/>
            </w:pPr>
            <w:r w:rsidRPr="00E33BA3">
              <w:t>0.0</w:t>
            </w:r>
          </w:p>
        </w:tc>
        <w:tc>
          <w:tcPr>
            <w:tcW w:w="923" w:type="dxa"/>
          </w:tcPr>
          <w:p w14:paraId="136C0586" w14:textId="77777777" w:rsidR="00323D29" w:rsidRDefault="00323D29" w:rsidP="00324721">
            <w:pPr>
              <w:pStyle w:val="Tableentry"/>
              <w:jc w:val="center"/>
            </w:pPr>
            <w:r w:rsidRPr="00E33BA3">
              <w:t>2.9</w:t>
            </w:r>
          </w:p>
        </w:tc>
        <w:tc>
          <w:tcPr>
            <w:tcW w:w="923" w:type="dxa"/>
          </w:tcPr>
          <w:p w14:paraId="321C98EF" w14:textId="77777777" w:rsidR="00323D29" w:rsidRDefault="00323D29" w:rsidP="00324721">
            <w:pPr>
              <w:pStyle w:val="Tableentry"/>
              <w:jc w:val="center"/>
            </w:pPr>
            <w:r w:rsidRPr="00E33BA3">
              <w:t>41.2</w:t>
            </w:r>
          </w:p>
        </w:tc>
        <w:tc>
          <w:tcPr>
            <w:tcW w:w="923" w:type="dxa"/>
          </w:tcPr>
          <w:p w14:paraId="0E23C598" w14:textId="77777777" w:rsidR="00323D29" w:rsidRDefault="00323D29" w:rsidP="00324721">
            <w:pPr>
              <w:pStyle w:val="Tableentry"/>
              <w:jc w:val="center"/>
            </w:pPr>
            <w:r w:rsidRPr="00E33BA3">
              <w:t>56.0</w:t>
            </w:r>
          </w:p>
        </w:tc>
      </w:tr>
      <w:tr w:rsidR="00323D29" w14:paraId="07CB14FB"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3A7688C6" w14:textId="77777777" w:rsidR="00323D29" w:rsidRDefault="00323D29" w:rsidP="00324721">
            <w:pPr>
              <w:pStyle w:val="Tableentry"/>
              <w:jc w:val="center"/>
            </w:pPr>
            <w:r w:rsidRPr="00571AE6">
              <w:t>Trawsfynydd</w:t>
            </w:r>
          </w:p>
        </w:tc>
        <w:tc>
          <w:tcPr>
            <w:tcW w:w="924" w:type="dxa"/>
          </w:tcPr>
          <w:p w14:paraId="7069EA3F" w14:textId="77777777" w:rsidR="00323D29" w:rsidRDefault="00323D29" w:rsidP="00324721">
            <w:pPr>
              <w:pStyle w:val="Tableentry"/>
              <w:jc w:val="center"/>
            </w:pPr>
            <w:r w:rsidRPr="00E33BA3">
              <w:t>0.0</w:t>
            </w:r>
          </w:p>
        </w:tc>
        <w:tc>
          <w:tcPr>
            <w:tcW w:w="924" w:type="dxa"/>
          </w:tcPr>
          <w:p w14:paraId="2A4C5651" w14:textId="77777777" w:rsidR="00323D29" w:rsidRDefault="00323D29" w:rsidP="00324721">
            <w:pPr>
              <w:pStyle w:val="Tableentry"/>
              <w:jc w:val="center"/>
            </w:pPr>
            <w:r w:rsidRPr="00E33BA3">
              <w:t>0.0</w:t>
            </w:r>
          </w:p>
        </w:tc>
        <w:tc>
          <w:tcPr>
            <w:tcW w:w="923" w:type="dxa"/>
          </w:tcPr>
          <w:p w14:paraId="4D983CC3" w14:textId="77777777" w:rsidR="00323D29" w:rsidRDefault="00323D29" w:rsidP="00324721">
            <w:pPr>
              <w:pStyle w:val="Tableentry"/>
              <w:jc w:val="center"/>
            </w:pPr>
            <w:r w:rsidRPr="00E33BA3">
              <w:t>0.0</w:t>
            </w:r>
          </w:p>
        </w:tc>
        <w:tc>
          <w:tcPr>
            <w:tcW w:w="923" w:type="dxa"/>
          </w:tcPr>
          <w:p w14:paraId="645FEEC9" w14:textId="77777777" w:rsidR="00323D29" w:rsidRDefault="00323D29" w:rsidP="00324721">
            <w:pPr>
              <w:pStyle w:val="Tableentry"/>
              <w:jc w:val="center"/>
            </w:pPr>
            <w:r w:rsidRPr="00E33BA3">
              <w:t>0.0</w:t>
            </w:r>
          </w:p>
        </w:tc>
        <w:tc>
          <w:tcPr>
            <w:tcW w:w="923" w:type="dxa"/>
          </w:tcPr>
          <w:p w14:paraId="4F588F14" w14:textId="77777777" w:rsidR="00323D29" w:rsidRDefault="00323D29" w:rsidP="00324721">
            <w:pPr>
              <w:pStyle w:val="Tableentry"/>
              <w:jc w:val="center"/>
            </w:pPr>
            <w:r w:rsidRPr="00E33BA3">
              <w:t>0.1</w:t>
            </w:r>
          </w:p>
        </w:tc>
        <w:tc>
          <w:tcPr>
            <w:tcW w:w="923" w:type="dxa"/>
          </w:tcPr>
          <w:p w14:paraId="1375C7FD" w14:textId="77777777" w:rsidR="00323D29" w:rsidRDefault="00323D29" w:rsidP="00324721">
            <w:pPr>
              <w:pStyle w:val="Tableentry"/>
              <w:jc w:val="center"/>
            </w:pPr>
            <w:r w:rsidRPr="00E33BA3">
              <w:t>11.3</w:t>
            </w:r>
          </w:p>
        </w:tc>
        <w:tc>
          <w:tcPr>
            <w:tcW w:w="923" w:type="dxa"/>
          </w:tcPr>
          <w:p w14:paraId="2885E098" w14:textId="77777777" w:rsidR="00323D29" w:rsidRDefault="00323D29" w:rsidP="00324721">
            <w:pPr>
              <w:pStyle w:val="Tableentry"/>
              <w:jc w:val="center"/>
            </w:pPr>
            <w:r w:rsidRPr="00E33BA3">
              <w:t>59.2</w:t>
            </w:r>
          </w:p>
        </w:tc>
        <w:tc>
          <w:tcPr>
            <w:tcW w:w="923" w:type="dxa"/>
          </w:tcPr>
          <w:p w14:paraId="3305FD16" w14:textId="77777777" w:rsidR="00323D29" w:rsidRDefault="00323D29" w:rsidP="00324721">
            <w:pPr>
              <w:pStyle w:val="Tableentry"/>
              <w:jc w:val="center"/>
            </w:pPr>
            <w:r w:rsidRPr="00E33BA3">
              <w:t>29.4</w:t>
            </w:r>
          </w:p>
        </w:tc>
      </w:tr>
      <w:tr w:rsidR="00323D29" w14:paraId="64BB9E63" w14:textId="77777777" w:rsidTr="00324721">
        <w:trPr>
          <w:cnfStyle w:val="100000000000" w:firstRow="1" w:lastRow="0" w:firstColumn="0" w:lastColumn="0" w:oddVBand="0" w:evenVBand="0" w:oddHBand="0" w:evenHBand="0" w:firstRowFirstColumn="0" w:firstRowLastColumn="0" w:lastRowFirstColumn="0" w:lastRowLastColumn="0"/>
        </w:trPr>
        <w:tc>
          <w:tcPr>
            <w:tcW w:w="8351" w:type="dxa"/>
            <w:gridSpan w:val="9"/>
            <w:vAlign w:val="center"/>
          </w:tcPr>
          <w:p w14:paraId="14F08873" w14:textId="77777777" w:rsidR="00323D29" w:rsidRPr="005E1D97" w:rsidRDefault="00323D29" w:rsidP="00324721">
            <w:pPr>
              <w:pStyle w:val="Tableentry"/>
            </w:pPr>
            <w:r w:rsidRPr="005E1D97">
              <w:t xml:space="preserve">NB: All values shown as </w:t>
            </w:r>
            <w:r w:rsidRPr="005E1D97">
              <w:rPr>
                <w:i/>
                <w:iCs/>
              </w:rPr>
              <w:t>0.0</w:t>
            </w:r>
            <w:r w:rsidRPr="005E1D97">
              <w:t xml:space="preserve"> are truly zero. They are not small non-zero values rounded to zero.</w:t>
            </w:r>
          </w:p>
          <w:p w14:paraId="6AAF5E25" w14:textId="77777777" w:rsidR="00323D29" w:rsidRDefault="00323D29" w:rsidP="00324721">
            <w:pPr>
              <w:pStyle w:val="Tableentry"/>
            </w:pPr>
            <w:r w:rsidRPr="005E1D97">
              <w:t xml:space="preserve">** In the column headers, the ranges </w:t>
            </w:r>
            <w:r w:rsidRPr="005E1D97">
              <w:rPr>
                <w:i/>
                <w:iCs/>
              </w:rPr>
              <w:t>A - B</w:t>
            </w:r>
            <w:r w:rsidRPr="005E1D97">
              <w:t xml:space="preserve"> should be interpreted as </w:t>
            </w:r>
            <w:r w:rsidRPr="005E1D97">
              <w:rPr>
                <w:i/>
                <w:iCs/>
              </w:rPr>
              <w:t>A &lt; x ≤ B</w:t>
            </w:r>
            <w:r w:rsidRPr="005E1D97">
              <w:t xml:space="preserve">. For example, </w:t>
            </w:r>
            <w:r w:rsidRPr="005E1D97">
              <w:rPr>
                <w:i/>
                <w:iCs/>
              </w:rPr>
              <w:t>0 - 0.01</w:t>
            </w:r>
            <w:r w:rsidRPr="005E1D97">
              <w:t xml:space="preserve"> only includes values in the range </w:t>
            </w:r>
            <w:r w:rsidRPr="005E1D97">
              <w:rPr>
                <w:i/>
                <w:iCs/>
              </w:rPr>
              <w:t>0 &lt; x ≤ 0.01</w:t>
            </w:r>
            <w:r w:rsidRPr="005E1D97">
              <w:t>.</w:t>
            </w:r>
          </w:p>
        </w:tc>
      </w:tr>
    </w:tbl>
    <w:p w14:paraId="0CB819DA" w14:textId="77777777" w:rsidR="00323D29" w:rsidRDefault="00323D29" w:rsidP="00323D29">
      <w:pPr>
        <w:pStyle w:val="BodyTextEND"/>
      </w:pPr>
    </w:p>
    <w:p w14:paraId="0DC48A87" w14:textId="42E942DC" w:rsidR="00323D29" w:rsidRPr="00BD67F0" w:rsidRDefault="00323D29" w:rsidP="00F64945">
      <w:pPr>
        <w:pStyle w:val="Tablecaption"/>
      </w:pPr>
      <w:bookmarkStart w:id="27" w:name="_Ref79590715"/>
      <w:bookmarkStart w:id="28" w:name="_Hlk81907930"/>
      <w:bookmarkEnd w:id="25"/>
      <w:r w:rsidRPr="00BD67F0">
        <w:t xml:space="preserve">Table </w:t>
      </w:r>
      <w:fldSimple w:instr=" SEQ Table \* ARABIC ">
        <w:r w:rsidR="00926FE3">
          <w:rPr>
            <w:noProof/>
          </w:rPr>
          <w:t>3</w:t>
        </w:r>
      </w:fldSimple>
      <w:bookmarkEnd w:id="27"/>
      <w:r w:rsidRPr="00BD67F0">
        <w:t xml:space="preserve">: The maximum precipitation rate bin </w:t>
      </w:r>
      <w:r w:rsidR="0030707D">
        <w:t xml:space="preserve">(as a percentage) </w:t>
      </w:r>
      <w:r w:rsidRPr="00BD67F0">
        <w:t>occurring during each potential release (“Potential release” means each of 26,304 hypothetical releases starting at hourly intervals over the whole period 2018-2020, where each release has a 48-hour duration)</w:t>
      </w:r>
    </w:p>
    <w:tbl>
      <w:tblPr>
        <w:tblStyle w:val="CRCEReportTable"/>
        <w:tblW w:w="0" w:type="auto"/>
        <w:tblBorders>
          <w:bottom w:val="single" w:sz="4" w:space="0" w:color="auto"/>
        </w:tblBorders>
        <w:tblLook w:val="04A0" w:firstRow="1" w:lastRow="0" w:firstColumn="1" w:lastColumn="0" w:noHBand="0" w:noVBand="1"/>
      </w:tblPr>
      <w:tblGrid>
        <w:gridCol w:w="965"/>
        <w:gridCol w:w="924"/>
        <w:gridCol w:w="924"/>
        <w:gridCol w:w="923"/>
        <w:gridCol w:w="923"/>
        <w:gridCol w:w="923"/>
        <w:gridCol w:w="923"/>
        <w:gridCol w:w="923"/>
        <w:gridCol w:w="923"/>
      </w:tblGrid>
      <w:tr w:rsidR="00323D29" w14:paraId="6A116BCD"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Merge w:val="restart"/>
            <w:vAlign w:val="center"/>
          </w:tcPr>
          <w:p w14:paraId="480317B6" w14:textId="77777777" w:rsidR="00323D29" w:rsidRDefault="00323D29" w:rsidP="00324721">
            <w:pPr>
              <w:pStyle w:val="Tableentry"/>
              <w:jc w:val="center"/>
            </w:pPr>
            <w:r w:rsidRPr="00F64945">
              <w:rPr>
                <w:b/>
                <w:color w:val="007C91"/>
                <w:sz w:val="18"/>
              </w:rPr>
              <w:t>Site</w:t>
            </w:r>
          </w:p>
        </w:tc>
        <w:tc>
          <w:tcPr>
            <w:tcW w:w="7386" w:type="dxa"/>
            <w:gridSpan w:val="8"/>
            <w:vAlign w:val="center"/>
          </w:tcPr>
          <w:p w14:paraId="39B18393" w14:textId="35A96FC3" w:rsidR="00323D29" w:rsidRDefault="00323D29" w:rsidP="00324721">
            <w:pPr>
              <w:pStyle w:val="Tableentry"/>
              <w:jc w:val="center"/>
            </w:pPr>
            <w:r w:rsidRPr="00F64945">
              <w:rPr>
                <w:b/>
                <w:color w:val="007C91"/>
                <w:sz w:val="18"/>
              </w:rPr>
              <w:t>Maximum precipitation rate bin during 48-hour releases (mm</w:t>
            </w:r>
            <w:r w:rsidR="00F8290C" w:rsidRPr="00F64945">
              <w:rPr>
                <w:b/>
                <w:color w:val="007C91"/>
                <w:sz w:val="18"/>
              </w:rPr>
              <w:t xml:space="preserve"> h</w:t>
            </w:r>
            <w:r w:rsidR="00F8290C" w:rsidRPr="00F64945">
              <w:rPr>
                <w:b/>
                <w:color w:val="007C91"/>
                <w:sz w:val="18"/>
                <w:vertAlign w:val="superscript"/>
              </w:rPr>
              <w:t>-1</w:t>
            </w:r>
            <w:r w:rsidRPr="00F64945">
              <w:rPr>
                <w:b/>
                <w:color w:val="007C91"/>
                <w:sz w:val="18"/>
              </w:rPr>
              <w:t>)**</w:t>
            </w:r>
          </w:p>
        </w:tc>
      </w:tr>
      <w:tr w:rsidR="00323D29" w14:paraId="7D048289"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Merge/>
            <w:vAlign w:val="center"/>
          </w:tcPr>
          <w:p w14:paraId="396189AA" w14:textId="77777777" w:rsidR="00323D29" w:rsidRDefault="00323D29" w:rsidP="00324721">
            <w:pPr>
              <w:pStyle w:val="Tableentry"/>
              <w:jc w:val="center"/>
            </w:pPr>
          </w:p>
        </w:tc>
        <w:tc>
          <w:tcPr>
            <w:tcW w:w="924" w:type="dxa"/>
            <w:vAlign w:val="center"/>
          </w:tcPr>
          <w:p w14:paraId="6DEB11B3" w14:textId="77777777" w:rsidR="00323D29" w:rsidRDefault="00323D29" w:rsidP="00324721">
            <w:pPr>
              <w:pStyle w:val="Tableentry"/>
              <w:jc w:val="center"/>
            </w:pPr>
            <w:r w:rsidRPr="005809C5">
              <w:t>0</w:t>
            </w:r>
          </w:p>
        </w:tc>
        <w:tc>
          <w:tcPr>
            <w:tcW w:w="924" w:type="dxa"/>
            <w:vAlign w:val="center"/>
          </w:tcPr>
          <w:p w14:paraId="6E130326" w14:textId="77777777" w:rsidR="00323D29" w:rsidRDefault="00323D29" w:rsidP="00324721">
            <w:pPr>
              <w:pStyle w:val="Tableentry"/>
              <w:jc w:val="center"/>
            </w:pPr>
            <w:r w:rsidRPr="005809C5">
              <w:t>0 - 0.01</w:t>
            </w:r>
          </w:p>
        </w:tc>
        <w:tc>
          <w:tcPr>
            <w:tcW w:w="923" w:type="dxa"/>
            <w:vAlign w:val="center"/>
          </w:tcPr>
          <w:p w14:paraId="6A6CC436" w14:textId="77777777" w:rsidR="00323D29" w:rsidRDefault="00323D29" w:rsidP="00324721">
            <w:pPr>
              <w:pStyle w:val="Tableentry"/>
              <w:jc w:val="center"/>
            </w:pPr>
            <w:r w:rsidRPr="005809C5">
              <w:t>0.01 - 0.1</w:t>
            </w:r>
          </w:p>
        </w:tc>
        <w:tc>
          <w:tcPr>
            <w:tcW w:w="923" w:type="dxa"/>
            <w:vAlign w:val="center"/>
          </w:tcPr>
          <w:p w14:paraId="69B02BBF" w14:textId="77777777" w:rsidR="00323D29" w:rsidRDefault="00323D29" w:rsidP="00324721">
            <w:pPr>
              <w:pStyle w:val="Tableentry"/>
              <w:jc w:val="center"/>
            </w:pPr>
            <w:r w:rsidRPr="005809C5">
              <w:t>0.1 - 1</w:t>
            </w:r>
          </w:p>
        </w:tc>
        <w:tc>
          <w:tcPr>
            <w:tcW w:w="923" w:type="dxa"/>
            <w:vAlign w:val="center"/>
          </w:tcPr>
          <w:p w14:paraId="268B4050" w14:textId="77777777" w:rsidR="00323D29" w:rsidRDefault="00323D29" w:rsidP="00324721">
            <w:pPr>
              <w:pStyle w:val="Tableentry"/>
              <w:jc w:val="center"/>
            </w:pPr>
            <w:r w:rsidRPr="005809C5">
              <w:t>1 - 2</w:t>
            </w:r>
          </w:p>
        </w:tc>
        <w:tc>
          <w:tcPr>
            <w:tcW w:w="923" w:type="dxa"/>
            <w:vAlign w:val="center"/>
          </w:tcPr>
          <w:p w14:paraId="472F158D" w14:textId="77777777" w:rsidR="00323D29" w:rsidRDefault="00323D29" w:rsidP="00324721">
            <w:pPr>
              <w:pStyle w:val="Tableentry"/>
              <w:jc w:val="center"/>
            </w:pPr>
            <w:r w:rsidRPr="005809C5">
              <w:t>2 - 4</w:t>
            </w:r>
          </w:p>
        </w:tc>
        <w:tc>
          <w:tcPr>
            <w:tcW w:w="923" w:type="dxa"/>
            <w:vAlign w:val="center"/>
          </w:tcPr>
          <w:p w14:paraId="745AAFEA" w14:textId="77777777" w:rsidR="00323D29" w:rsidRDefault="00323D29" w:rsidP="00324721">
            <w:pPr>
              <w:pStyle w:val="Tableentry"/>
              <w:jc w:val="center"/>
            </w:pPr>
            <w:r w:rsidRPr="005809C5">
              <w:t>4 - 8</w:t>
            </w:r>
          </w:p>
        </w:tc>
        <w:tc>
          <w:tcPr>
            <w:tcW w:w="923" w:type="dxa"/>
            <w:vAlign w:val="center"/>
          </w:tcPr>
          <w:p w14:paraId="561BA136" w14:textId="77777777" w:rsidR="00323D29" w:rsidRDefault="00323D29" w:rsidP="00324721">
            <w:pPr>
              <w:pStyle w:val="Tableentry"/>
              <w:jc w:val="center"/>
            </w:pPr>
            <w:r w:rsidRPr="005809C5">
              <w:t>&gt; 8</w:t>
            </w:r>
          </w:p>
        </w:tc>
      </w:tr>
      <w:tr w:rsidR="00323D29" w14:paraId="50462D74"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3110AD85" w14:textId="77777777" w:rsidR="00323D29" w:rsidRDefault="00323D29" w:rsidP="00324721">
            <w:pPr>
              <w:pStyle w:val="Tableentry"/>
              <w:jc w:val="center"/>
            </w:pPr>
            <w:r w:rsidRPr="00571AE6">
              <w:t>Ardlui</w:t>
            </w:r>
          </w:p>
        </w:tc>
        <w:tc>
          <w:tcPr>
            <w:tcW w:w="924" w:type="dxa"/>
          </w:tcPr>
          <w:p w14:paraId="67DD8295" w14:textId="77777777" w:rsidR="00323D29" w:rsidRDefault="00323D29" w:rsidP="00324721">
            <w:pPr>
              <w:pStyle w:val="Tableentry"/>
              <w:jc w:val="center"/>
            </w:pPr>
            <w:r w:rsidRPr="00AA56D9">
              <w:t>10.4</w:t>
            </w:r>
          </w:p>
        </w:tc>
        <w:tc>
          <w:tcPr>
            <w:tcW w:w="924" w:type="dxa"/>
          </w:tcPr>
          <w:p w14:paraId="37E781F8" w14:textId="77777777" w:rsidR="00323D29" w:rsidRDefault="00323D29" w:rsidP="00324721">
            <w:pPr>
              <w:pStyle w:val="Tableentry"/>
              <w:jc w:val="center"/>
            </w:pPr>
            <w:r w:rsidRPr="00AA56D9">
              <w:t>2.2</w:t>
            </w:r>
          </w:p>
        </w:tc>
        <w:tc>
          <w:tcPr>
            <w:tcW w:w="923" w:type="dxa"/>
          </w:tcPr>
          <w:p w14:paraId="4771D9E4" w14:textId="77777777" w:rsidR="00323D29" w:rsidRDefault="00323D29" w:rsidP="00324721">
            <w:pPr>
              <w:pStyle w:val="Tableentry"/>
              <w:jc w:val="center"/>
            </w:pPr>
            <w:r w:rsidRPr="00AA56D9">
              <w:t>4.1</w:t>
            </w:r>
          </w:p>
        </w:tc>
        <w:tc>
          <w:tcPr>
            <w:tcW w:w="923" w:type="dxa"/>
          </w:tcPr>
          <w:p w14:paraId="75C0CEA6" w14:textId="77777777" w:rsidR="00323D29" w:rsidRDefault="00323D29" w:rsidP="00324721">
            <w:pPr>
              <w:pStyle w:val="Tableentry"/>
              <w:jc w:val="center"/>
            </w:pPr>
            <w:r w:rsidRPr="00AA56D9">
              <w:t>16.9</w:t>
            </w:r>
          </w:p>
        </w:tc>
        <w:tc>
          <w:tcPr>
            <w:tcW w:w="923" w:type="dxa"/>
          </w:tcPr>
          <w:p w14:paraId="00C4B9CF" w14:textId="77777777" w:rsidR="00323D29" w:rsidRDefault="00323D29" w:rsidP="00324721">
            <w:pPr>
              <w:pStyle w:val="Tableentry"/>
              <w:jc w:val="center"/>
            </w:pPr>
            <w:r w:rsidRPr="00AA56D9">
              <w:t>14.7</w:t>
            </w:r>
          </w:p>
        </w:tc>
        <w:tc>
          <w:tcPr>
            <w:tcW w:w="923" w:type="dxa"/>
          </w:tcPr>
          <w:p w14:paraId="1618E549" w14:textId="77777777" w:rsidR="00323D29" w:rsidRDefault="00323D29" w:rsidP="00324721">
            <w:pPr>
              <w:pStyle w:val="Tableentry"/>
              <w:jc w:val="center"/>
            </w:pPr>
            <w:r w:rsidRPr="00AA56D9">
              <w:t>25.6</w:t>
            </w:r>
          </w:p>
        </w:tc>
        <w:tc>
          <w:tcPr>
            <w:tcW w:w="923" w:type="dxa"/>
          </w:tcPr>
          <w:p w14:paraId="5420E601" w14:textId="77777777" w:rsidR="00323D29" w:rsidRDefault="00323D29" w:rsidP="00324721">
            <w:pPr>
              <w:pStyle w:val="Tableentry"/>
              <w:jc w:val="center"/>
            </w:pPr>
            <w:r w:rsidRPr="00AA56D9">
              <w:t>24.1</w:t>
            </w:r>
          </w:p>
        </w:tc>
        <w:tc>
          <w:tcPr>
            <w:tcW w:w="923" w:type="dxa"/>
          </w:tcPr>
          <w:p w14:paraId="0D249A75" w14:textId="77777777" w:rsidR="00323D29" w:rsidRDefault="00323D29" w:rsidP="00324721">
            <w:pPr>
              <w:pStyle w:val="Tableentry"/>
              <w:jc w:val="center"/>
            </w:pPr>
            <w:r w:rsidRPr="00AA56D9">
              <w:t>2.0</w:t>
            </w:r>
          </w:p>
        </w:tc>
      </w:tr>
      <w:tr w:rsidR="00323D29" w14:paraId="1552D01D"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2F4AA8C3" w14:textId="77777777" w:rsidR="00323D29" w:rsidRDefault="00323D29" w:rsidP="00324721">
            <w:pPr>
              <w:pStyle w:val="Tableentry"/>
              <w:jc w:val="center"/>
            </w:pPr>
            <w:r w:rsidRPr="00571AE6">
              <w:t>Bradwell</w:t>
            </w:r>
          </w:p>
        </w:tc>
        <w:tc>
          <w:tcPr>
            <w:tcW w:w="924" w:type="dxa"/>
          </w:tcPr>
          <w:p w14:paraId="5E3910B6" w14:textId="77777777" w:rsidR="00323D29" w:rsidRDefault="00323D29" w:rsidP="00324721">
            <w:pPr>
              <w:pStyle w:val="Tableentry"/>
              <w:jc w:val="center"/>
            </w:pPr>
            <w:r w:rsidRPr="00AA56D9">
              <w:t>28.1</w:t>
            </w:r>
          </w:p>
        </w:tc>
        <w:tc>
          <w:tcPr>
            <w:tcW w:w="924" w:type="dxa"/>
          </w:tcPr>
          <w:p w14:paraId="4E430815" w14:textId="77777777" w:rsidR="00323D29" w:rsidRDefault="00323D29" w:rsidP="00324721">
            <w:pPr>
              <w:pStyle w:val="Tableentry"/>
              <w:jc w:val="center"/>
            </w:pPr>
            <w:r w:rsidRPr="00AA56D9">
              <w:t>1.2</w:t>
            </w:r>
          </w:p>
        </w:tc>
        <w:tc>
          <w:tcPr>
            <w:tcW w:w="923" w:type="dxa"/>
          </w:tcPr>
          <w:p w14:paraId="7C99F208" w14:textId="77777777" w:rsidR="00323D29" w:rsidRDefault="00323D29" w:rsidP="00324721">
            <w:pPr>
              <w:pStyle w:val="Tableentry"/>
              <w:jc w:val="center"/>
            </w:pPr>
            <w:r w:rsidRPr="00AA56D9">
              <w:t>7.1</w:t>
            </w:r>
          </w:p>
        </w:tc>
        <w:tc>
          <w:tcPr>
            <w:tcW w:w="923" w:type="dxa"/>
          </w:tcPr>
          <w:p w14:paraId="38E70608" w14:textId="77777777" w:rsidR="00323D29" w:rsidRDefault="00323D29" w:rsidP="00324721">
            <w:pPr>
              <w:pStyle w:val="Tableentry"/>
              <w:jc w:val="center"/>
            </w:pPr>
            <w:r w:rsidRPr="00AA56D9">
              <w:t>20.9</w:t>
            </w:r>
          </w:p>
        </w:tc>
        <w:tc>
          <w:tcPr>
            <w:tcW w:w="923" w:type="dxa"/>
          </w:tcPr>
          <w:p w14:paraId="11DF34C1" w14:textId="77777777" w:rsidR="00323D29" w:rsidRDefault="00323D29" w:rsidP="00324721">
            <w:pPr>
              <w:pStyle w:val="Tableentry"/>
              <w:jc w:val="center"/>
            </w:pPr>
            <w:r w:rsidRPr="00AA56D9">
              <w:t>18.7</w:t>
            </w:r>
          </w:p>
        </w:tc>
        <w:tc>
          <w:tcPr>
            <w:tcW w:w="923" w:type="dxa"/>
          </w:tcPr>
          <w:p w14:paraId="3AF78D68" w14:textId="77777777" w:rsidR="00323D29" w:rsidRDefault="00323D29" w:rsidP="00324721">
            <w:pPr>
              <w:pStyle w:val="Tableentry"/>
              <w:jc w:val="center"/>
            </w:pPr>
            <w:r w:rsidRPr="00AA56D9">
              <w:t>17.9</w:t>
            </w:r>
          </w:p>
        </w:tc>
        <w:tc>
          <w:tcPr>
            <w:tcW w:w="923" w:type="dxa"/>
          </w:tcPr>
          <w:p w14:paraId="45F89896" w14:textId="77777777" w:rsidR="00323D29" w:rsidRDefault="00323D29" w:rsidP="00324721">
            <w:pPr>
              <w:pStyle w:val="Tableentry"/>
              <w:jc w:val="center"/>
            </w:pPr>
            <w:r w:rsidRPr="00AA56D9">
              <w:t>5.4</w:t>
            </w:r>
          </w:p>
        </w:tc>
        <w:tc>
          <w:tcPr>
            <w:tcW w:w="923" w:type="dxa"/>
          </w:tcPr>
          <w:p w14:paraId="6D02891B" w14:textId="77777777" w:rsidR="00323D29" w:rsidRDefault="00323D29" w:rsidP="00324721">
            <w:pPr>
              <w:pStyle w:val="Tableentry"/>
              <w:jc w:val="center"/>
            </w:pPr>
            <w:r w:rsidRPr="00AA56D9">
              <w:t>0.7</w:t>
            </w:r>
          </w:p>
        </w:tc>
      </w:tr>
      <w:tr w:rsidR="00323D29" w14:paraId="4ADD55D6"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2506B364" w14:textId="77777777" w:rsidR="00323D29" w:rsidRDefault="00323D29" w:rsidP="00324721">
            <w:pPr>
              <w:pStyle w:val="Tableentry"/>
              <w:jc w:val="center"/>
            </w:pPr>
            <w:r w:rsidRPr="00571AE6">
              <w:t>Ely</w:t>
            </w:r>
          </w:p>
        </w:tc>
        <w:tc>
          <w:tcPr>
            <w:tcW w:w="924" w:type="dxa"/>
          </w:tcPr>
          <w:p w14:paraId="0D1CC86A" w14:textId="77777777" w:rsidR="00323D29" w:rsidRDefault="00323D29" w:rsidP="00324721">
            <w:pPr>
              <w:pStyle w:val="Tableentry"/>
              <w:jc w:val="center"/>
            </w:pPr>
            <w:r w:rsidRPr="00AA56D9">
              <w:t>26.9</w:t>
            </w:r>
          </w:p>
        </w:tc>
        <w:tc>
          <w:tcPr>
            <w:tcW w:w="924" w:type="dxa"/>
          </w:tcPr>
          <w:p w14:paraId="2441501E" w14:textId="77777777" w:rsidR="00323D29" w:rsidRDefault="00323D29" w:rsidP="00324721">
            <w:pPr>
              <w:pStyle w:val="Tableentry"/>
              <w:jc w:val="center"/>
            </w:pPr>
            <w:r w:rsidRPr="00AA56D9">
              <w:t>2.2</w:t>
            </w:r>
          </w:p>
        </w:tc>
        <w:tc>
          <w:tcPr>
            <w:tcW w:w="923" w:type="dxa"/>
          </w:tcPr>
          <w:p w14:paraId="78AB5EEB" w14:textId="77777777" w:rsidR="00323D29" w:rsidRDefault="00323D29" w:rsidP="00324721">
            <w:pPr>
              <w:pStyle w:val="Tableentry"/>
              <w:jc w:val="center"/>
            </w:pPr>
            <w:r w:rsidRPr="00AA56D9">
              <w:t>6.1</w:t>
            </w:r>
          </w:p>
        </w:tc>
        <w:tc>
          <w:tcPr>
            <w:tcW w:w="923" w:type="dxa"/>
          </w:tcPr>
          <w:p w14:paraId="61655D46" w14:textId="77777777" w:rsidR="00323D29" w:rsidRDefault="00323D29" w:rsidP="00324721">
            <w:pPr>
              <w:pStyle w:val="Tableentry"/>
              <w:jc w:val="center"/>
            </w:pPr>
            <w:r w:rsidRPr="00AA56D9">
              <w:t>20.6</w:t>
            </w:r>
          </w:p>
        </w:tc>
        <w:tc>
          <w:tcPr>
            <w:tcW w:w="923" w:type="dxa"/>
          </w:tcPr>
          <w:p w14:paraId="08B822AC" w14:textId="77777777" w:rsidR="00323D29" w:rsidRDefault="00323D29" w:rsidP="00324721">
            <w:pPr>
              <w:pStyle w:val="Tableentry"/>
              <w:jc w:val="center"/>
            </w:pPr>
            <w:r w:rsidRPr="00AA56D9">
              <w:t>16.8</w:t>
            </w:r>
          </w:p>
        </w:tc>
        <w:tc>
          <w:tcPr>
            <w:tcW w:w="923" w:type="dxa"/>
          </w:tcPr>
          <w:p w14:paraId="1B16C49A" w14:textId="77777777" w:rsidR="00323D29" w:rsidRDefault="00323D29" w:rsidP="00324721">
            <w:pPr>
              <w:pStyle w:val="Tableentry"/>
              <w:jc w:val="center"/>
            </w:pPr>
            <w:r w:rsidRPr="00AA56D9">
              <w:t>20.8</w:t>
            </w:r>
          </w:p>
        </w:tc>
        <w:tc>
          <w:tcPr>
            <w:tcW w:w="923" w:type="dxa"/>
          </w:tcPr>
          <w:p w14:paraId="5381108D" w14:textId="77777777" w:rsidR="00323D29" w:rsidRDefault="00323D29" w:rsidP="00324721">
            <w:pPr>
              <w:pStyle w:val="Tableentry"/>
              <w:jc w:val="center"/>
            </w:pPr>
            <w:r w:rsidRPr="00AA56D9">
              <w:t>4.9</w:t>
            </w:r>
          </w:p>
        </w:tc>
        <w:tc>
          <w:tcPr>
            <w:tcW w:w="923" w:type="dxa"/>
          </w:tcPr>
          <w:p w14:paraId="1964CB70" w14:textId="77777777" w:rsidR="00323D29" w:rsidRDefault="00323D29" w:rsidP="00324721">
            <w:pPr>
              <w:pStyle w:val="Tableentry"/>
              <w:jc w:val="center"/>
            </w:pPr>
            <w:r w:rsidRPr="00AA56D9">
              <w:t>1.6</w:t>
            </w:r>
          </w:p>
        </w:tc>
      </w:tr>
      <w:tr w:rsidR="00323D29" w14:paraId="03477629"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2832DDE4" w14:textId="77777777" w:rsidR="00323D29" w:rsidRDefault="00323D29" w:rsidP="00324721">
            <w:pPr>
              <w:pStyle w:val="Tableentry"/>
              <w:jc w:val="center"/>
            </w:pPr>
            <w:r w:rsidRPr="00571AE6">
              <w:t>Hinkley</w:t>
            </w:r>
          </w:p>
        </w:tc>
        <w:tc>
          <w:tcPr>
            <w:tcW w:w="924" w:type="dxa"/>
          </w:tcPr>
          <w:p w14:paraId="427743ED" w14:textId="77777777" w:rsidR="00323D29" w:rsidRDefault="00323D29" w:rsidP="00324721">
            <w:pPr>
              <w:pStyle w:val="Tableentry"/>
              <w:jc w:val="center"/>
            </w:pPr>
            <w:r w:rsidRPr="00AA56D9">
              <w:t>23.8</w:t>
            </w:r>
          </w:p>
        </w:tc>
        <w:tc>
          <w:tcPr>
            <w:tcW w:w="924" w:type="dxa"/>
          </w:tcPr>
          <w:p w14:paraId="7475BB9A" w14:textId="77777777" w:rsidR="00323D29" w:rsidRDefault="00323D29" w:rsidP="00324721">
            <w:pPr>
              <w:pStyle w:val="Tableentry"/>
              <w:jc w:val="center"/>
            </w:pPr>
            <w:r w:rsidRPr="00AA56D9">
              <w:t>2.6</w:t>
            </w:r>
          </w:p>
        </w:tc>
        <w:tc>
          <w:tcPr>
            <w:tcW w:w="923" w:type="dxa"/>
          </w:tcPr>
          <w:p w14:paraId="63AB0159" w14:textId="77777777" w:rsidR="00323D29" w:rsidRDefault="00323D29" w:rsidP="00324721">
            <w:pPr>
              <w:pStyle w:val="Tableentry"/>
              <w:jc w:val="center"/>
            </w:pPr>
            <w:r w:rsidRPr="00AA56D9">
              <w:t>7.2</w:t>
            </w:r>
          </w:p>
        </w:tc>
        <w:tc>
          <w:tcPr>
            <w:tcW w:w="923" w:type="dxa"/>
          </w:tcPr>
          <w:p w14:paraId="325F9DA8" w14:textId="77777777" w:rsidR="00323D29" w:rsidRDefault="00323D29" w:rsidP="00324721">
            <w:pPr>
              <w:pStyle w:val="Tableentry"/>
              <w:jc w:val="center"/>
            </w:pPr>
            <w:r w:rsidRPr="00AA56D9">
              <w:t>19.8</w:t>
            </w:r>
          </w:p>
        </w:tc>
        <w:tc>
          <w:tcPr>
            <w:tcW w:w="923" w:type="dxa"/>
          </w:tcPr>
          <w:p w14:paraId="19300635" w14:textId="77777777" w:rsidR="00323D29" w:rsidRDefault="00323D29" w:rsidP="00324721">
            <w:pPr>
              <w:pStyle w:val="Tableentry"/>
              <w:jc w:val="center"/>
            </w:pPr>
            <w:r w:rsidRPr="00AA56D9">
              <w:t>16.2</w:t>
            </w:r>
          </w:p>
        </w:tc>
        <w:tc>
          <w:tcPr>
            <w:tcW w:w="923" w:type="dxa"/>
          </w:tcPr>
          <w:p w14:paraId="626AE05D" w14:textId="77777777" w:rsidR="00323D29" w:rsidRDefault="00323D29" w:rsidP="00324721">
            <w:pPr>
              <w:pStyle w:val="Tableentry"/>
              <w:jc w:val="center"/>
            </w:pPr>
            <w:r w:rsidRPr="00AA56D9">
              <w:t>22.9</w:t>
            </w:r>
          </w:p>
        </w:tc>
        <w:tc>
          <w:tcPr>
            <w:tcW w:w="923" w:type="dxa"/>
          </w:tcPr>
          <w:p w14:paraId="392E4A12" w14:textId="77777777" w:rsidR="00323D29" w:rsidRDefault="00323D29" w:rsidP="00324721">
            <w:pPr>
              <w:pStyle w:val="Tableentry"/>
              <w:jc w:val="center"/>
            </w:pPr>
            <w:r w:rsidRPr="00AA56D9">
              <w:t>7.1</w:t>
            </w:r>
          </w:p>
        </w:tc>
        <w:tc>
          <w:tcPr>
            <w:tcW w:w="923" w:type="dxa"/>
          </w:tcPr>
          <w:p w14:paraId="3FDC58CD" w14:textId="77777777" w:rsidR="00323D29" w:rsidRDefault="00323D29" w:rsidP="00324721">
            <w:pPr>
              <w:pStyle w:val="Tableentry"/>
              <w:jc w:val="center"/>
            </w:pPr>
            <w:r w:rsidRPr="00AA56D9">
              <w:t>0.6</w:t>
            </w:r>
          </w:p>
        </w:tc>
      </w:tr>
      <w:tr w:rsidR="00323D29" w14:paraId="42E91E98"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678CB385" w14:textId="77777777" w:rsidR="00323D29" w:rsidRDefault="00323D29" w:rsidP="00324721">
            <w:pPr>
              <w:pStyle w:val="Tableentry"/>
              <w:jc w:val="center"/>
            </w:pPr>
            <w:r w:rsidRPr="00571AE6">
              <w:t>Seathwaite</w:t>
            </w:r>
          </w:p>
        </w:tc>
        <w:tc>
          <w:tcPr>
            <w:tcW w:w="924" w:type="dxa"/>
          </w:tcPr>
          <w:p w14:paraId="1BCFF11A" w14:textId="77777777" w:rsidR="00323D29" w:rsidRDefault="00323D29" w:rsidP="00324721">
            <w:pPr>
              <w:pStyle w:val="Tableentry"/>
              <w:jc w:val="center"/>
            </w:pPr>
            <w:r w:rsidRPr="00AA56D9">
              <w:t>13.8</w:t>
            </w:r>
          </w:p>
        </w:tc>
        <w:tc>
          <w:tcPr>
            <w:tcW w:w="924" w:type="dxa"/>
          </w:tcPr>
          <w:p w14:paraId="13613FA0" w14:textId="77777777" w:rsidR="00323D29" w:rsidRDefault="00323D29" w:rsidP="00324721">
            <w:pPr>
              <w:pStyle w:val="Tableentry"/>
              <w:jc w:val="center"/>
            </w:pPr>
            <w:r w:rsidRPr="00AA56D9">
              <w:t>0.8</w:t>
            </w:r>
          </w:p>
        </w:tc>
        <w:tc>
          <w:tcPr>
            <w:tcW w:w="923" w:type="dxa"/>
          </w:tcPr>
          <w:p w14:paraId="14D2940D" w14:textId="77777777" w:rsidR="00323D29" w:rsidRDefault="00323D29" w:rsidP="00324721">
            <w:pPr>
              <w:pStyle w:val="Tableentry"/>
              <w:jc w:val="center"/>
            </w:pPr>
            <w:r w:rsidRPr="00AA56D9">
              <w:t>6.0</w:t>
            </w:r>
          </w:p>
        </w:tc>
        <w:tc>
          <w:tcPr>
            <w:tcW w:w="923" w:type="dxa"/>
          </w:tcPr>
          <w:p w14:paraId="6D866FAA" w14:textId="77777777" w:rsidR="00323D29" w:rsidRDefault="00323D29" w:rsidP="00324721">
            <w:pPr>
              <w:pStyle w:val="Tableentry"/>
              <w:jc w:val="center"/>
            </w:pPr>
            <w:r w:rsidRPr="00AA56D9">
              <w:t>15.6</w:t>
            </w:r>
          </w:p>
        </w:tc>
        <w:tc>
          <w:tcPr>
            <w:tcW w:w="923" w:type="dxa"/>
          </w:tcPr>
          <w:p w14:paraId="5976CEC2" w14:textId="77777777" w:rsidR="00323D29" w:rsidRDefault="00323D29" w:rsidP="00324721">
            <w:pPr>
              <w:pStyle w:val="Tableentry"/>
              <w:jc w:val="center"/>
            </w:pPr>
            <w:r w:rsidRPr="00AA56D9">
              <w:t>11.8</w:t>
            </w:r>
          </w:p>
        </w:tc>
        <w:tc>
          <w:tcPr>
            <w:tcW w:w="923" w:type="dxa"/>
          </w:tcPr>
          <w:p w14:paraId="3DE6C803" w14:textId="77777777" w:rsidR="00323D29" w:rsidRDefault="00323D29" w:rsidP="00324721">
            <w:pPr>
              <w:pStyle w:val="Tableentry"/>
              <w:jc w:val="center"/>
            </w:pPr>
            <w:r w:rsidRPr="00AA56D9">
              <w:t>21.4</w:t>
            </w:r>
          </w:p>
        </w:tc>
        <w:tc>
          <w:tcPr>
            <w:tcW w:w="923" w:type="dxa"/>
          </w:tcPr>
          <w:p w14:paraId="5993E545" w14:textId="77777777" w:rsidR="00323D29" w:rsidRDefault="00323D29" w:rsidP="00324721">
            <w:pPr>
              <w:pStyle w:val="Tableentry"/>
              <w:jc w:val="center"/>
            </w:pPr>
            <w:r w:rsidRPr="00AA56D9">
              <w:t>23.9</w:t>
            </w:r>
          </w:p>
        </w:tc>
        <w:tc>
          <w:tcPr>
            <w:tcW w:w="923" w:type="dxa"/>
          </w:tcPr>
          <w:p w14:paraId="19CF5B2A" w14:textId="77777777" w:rsidR="00323D29" w:rsidRDefault="00323D29" w:rsidP="00324721">
            <w:pPr>
              <w:pStyle w:val="Tableentry"/>
              <w:jc w:val="center"/>
            </w:pPr>
            <w:r w:rsidRPr="00AA56D9">
              <w:t>6.6</w:t>
            </w:r>
          </w:p>
        </w:tc>
      </w:tr>
      <w:tr w:rsidR="00323D29" w14:paraId="06049B55"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044779E0" w14:textId="77777777" w:rsidR="00323D29" w:rsidRDefault="00323D29" w:rsidP="00324721">
            <w:pPr>
              <w:pStyle w:val="Tableentry"/>
              <w:jc w:val="center"/>
            </w:pPr>
            <w:r w:rsidRPr="00571AE6">
              <w:t>Trawsfynydd</w:t>
            </w:r>
          </w:p>
        </w:tc>
        <w:tc>
          <w:tcPr>
            <w:tcW w:w="924" w:type="dxa"/>
          </w:tcPr>
          <w:p w14:paraId="451B32E2" w14:textId="77777777" w:rsidR="00323D29" w:rsidRDefault="00323D29" w:rsidP="00324721">
            <w:pPr>
              <w:pStyle w:val="Tableentry"/>
              <w:jc w:val="center"/>
            </w:pPr>
            <w:r w:rsidRPr="00AA56D9">
              <w:t>15.3</w:t>
            </w:r>
          </w:p>
        </w:tc>
        <w:tc>
          <w:tcPr>
            <w:tcW w:w="924" w:type="dxa"/>
          </w:tcPr>
          <w:p w14:paraId="3F7BDDE5" w14:textId="77777777" w:rsidR="00323D29" w:rsidRDefault="00323D29" w:rsidP="00324721">
            <w:pPr>
              <w:pStyle w:val="Tableentry"/>
              <w:jc w:val="center"/>
            </w:pPr>
            <w:r w:rsidRPr="00AA56D9">
              <w:t>2.1</w:t>
            </w:r>
          </w:p>
        </w:tc>
        <w:tc>
          <w:tcPr>
            <w:tcW w:w="923" w:type="dxa"/>
          </w:tcPr>
          <w:p w14:paraId="0DFC7336" w14:textId="77777777" w:rsidR="00323D29" w:rsidRDefault="00323D29" w:rsidP="00324721">
            <w:pPr>
              <w:pStyle w:val="Tableentry"/>
              <w:jc w:val="center"/>
            </w:pPr>
            <w:r w:rsidRPr="00AA56D9">
              <w:t>5.3</w:t>
            </w:r>
          </w:p>
        </w:tc>
        <w:tc>
          <w:tcPr>
            <w:tcW w:w="923" w:type="dxa"/>
          </w:tcPr>
          <w:p w14:paraId="28DC8A01" w14:textId="77777777" w:rsidR="00323D29" w:rsidRDefault="00323D29" w:rsidP="00324721">
            <w:pPr>
              <w:pStyle w:val="Tableentry"/>
              <w:jc w:val="center"/>
            </w:pPr>
            <w:r w:rsidRPr="00AA56D9">
              <w:t>16.5</w:t>
            </w:r>
          </w:p>
        </w:tc>
        <w:tc>
          <w:tcPr>
            <w:tcW w:w="923" w:type="dxa"/>
          </w:tcPr>
          <w:p w14:paraId="2FA7025C" w14:textId="77777777" w:rsidR="00323D29" w:rsidRDefault="00323D29" w:rsidP="00324721">
            <w:pPr>
              <w:pStyle w:val="Tableentry"/>
              <w:jc w:val="center"/>
            </w:pPr>
            <w:r w:rsidRPr="00AA56D9">
              <w:t>14.0</w:t>
            </w:r>
          </w:p>
        </w:tc>
        <w:tc>
          <w:tcPr>
            <w:tcW w:w="923" w:type="dxa"/>
          </w:tcPr>
          <w:p w14:paraId="35124D87" w14:textId="77777777" w:rsidR="00323D29" w:rsidRDefault="00323D29" w:rsidP="00324721">
            <w:pPr>
              <w:pStyle w:val="Tableentry"/>
              <w:jc w:val="center"/>
            </w:pPr>
            <w:r w:rsidRPr="00AA56D9">
              <w:t>24.8</w:t>
            </w:r>
          </w:p>
        </w:tc>
        <w:tc>
          <w:tcPr>
            <w:tcW w:w="923" w:type="dxa"/>
          </w:tcPr>
          <w:p w14:paraId="1A35002C" w14:textId="77777777" w:rsidR="00323D29" w:rsidRDefault="00323D29" w:rsidP="00324721">
            <w:pPr>
              <w:pStyle w:val="Tableentry"/>
              <w:jc w:val="center"/>
            </w:pPr>
            <w:r w:rsidRPr="00AA56D9">
              <w:t>19.5</w:t>
            </w:r>
          </w:p>
        </w:tc>
        <w:tc>
          <w:tcPr>
            <w:tcW w:w="923" w:type="dxa"/>
          </w:tcPr>
          <w:p w14:paraId="7E546070" w14:textId="77777777" w:rsidR="00323D29" w:rsidRDefault="00323D29" w:rsidP="00324721">
            <w:pPr>
              <w:pStyle w:val="Tableentry"/>
              <w:jc w:val="center"/>
            </w:pPr>
            <w:r w:rsidRPr="00AA56D9">
              <w:t>2.6</w:t>
            </w:r>
          </w:p>
        </w:tc>
      </w:tr>
      <w:tr w:rsidR="00323D29" w14:paraId="7E865D6B" w14:textId="77777777" w:rsidTr="00324721">
        <w:trPr>
          <w:cnfStyle w:val="100000000000" w:firstRow="1" w:lastRow="0" w:firstColumn="0" w:lastColumn="0" w:oddVBand="0" w:evenVBand="0" w:oddHBand="0" w:evenHBand="0" w:firstRowFirstColumn="0" w:firstRowLastColumn="0" w:lastRowFirstColumn="0" w:lastRowLastColumn="0"/>
        </w:trPr>
        <w:tc>
          <w:tcPr>
            <w:tcW w:w="8351" w:type="dxa"/>
            <w:gridSpan w:val="9"/>
            <w:vAlign w:val="center"/>
          </w:tcPr>
          <w:p w14:paraId="79C7BC0E" w14:textId="77777777" w:rsidR="00323D29" w:rsidRDefault="00323D29" w:rsidP="00324721">
            <w:pPr>
              <w:pStyle w:val="Tableentry"/>
            </w:pPr>
            <w:r w:rsidRPr="005E1D97">
              <w:t xml:space="preserve">** In the column headers, the ranges </w:t>
            </w:r>
            <w:r w:rsidRPr="005E1D97">
              <w:rPr>
                <w:i/>
                <w:iCs/>
              </w:rPr>
              <w:t>A - B</w:t>
            </w:r>
            <w:r w:rsidRPr="005E1D97">
              <w:t xml:space="preserve"> should be interpreted as </w:t>
            </w:r>
            <w:r w:rsidRPr="005E1D97">
              <w:rPr>
                <w:i/>
                <w:iCs/>
              </w:rPr>
              <w:t>A &lt; x ≤ B</w:t>
            </w:r>
            <w:r w:rsidRPr="005E1D97">
              <w:t xml:space="preserve">. For example, </w:t>
            </w:r>
            <w:r w:rsidRPr="005E1D97">
              <w:rPr>
                <w:i/>
                <w:iCs/>
              </w:rPr>
              <w:t>0 - 0.01</w:t>
            </w:r>
            <w:r w:rsidRPr="005E1D97">
              <w:t xml:space="preserve"> only includes values in the range </w:t>
            </w:r>
            <w:r w:rsidRPr="005E1D97">
              <w:rPr>
                <w:i/>
                <w:iCs/>
              </w:rPr>
              <w:t>0 &lt; x ≤ 0.01</w:t>
            </w:r>
            <w:r w:rsidRPr="005E1D97">
              <w:t>.</w:t>
            </w:r>
          </w:p>
        </w:tc>
      </w:tr>
    </w:tbl>
    <w:p w14:paraId="03BAC74A" w14:textId="77777777" w:rsidR="00323D29" w:rsidRDefault="00323D29" w:rsidP="00323D29">
      <w:pPr>
        <w:pStyle w:val="BodyTextEND"/>
      </w:pPr>
    </w:p>
    <w:p w14:paraId="2F7C0746" w14:textId="63E8E08D" w:rsidR="00323D29" w:rsidRPr="00BD67F0" w:rsidRDefault="00323D29" w:rsidP="00F64945">
      <w:pPr>
        <w:pStyle w:val="Tablecaption"/>
      </w:pPr>
      <w:bookmarkStart w:id="29" w:name="_Ref79590743"/>
      <w:bookmarkEnd w:id="28"/>
      <w:r w:rsidRPr="00BD67F0">
        <w:t xml:space="preserve">Table </w:t>
      </w:r>
      <w:fldSimple w:instr=" SEQ Table \* ARABIC ">
        <w:r w:rsidR="00926FE3">
          <w:rPr>
            <w:noProof/>
          </w:rPr>
          <w:t>4</w:t>
        </w:r>
      </w:fldSimple>
      <w:bookmarkEnd w:id="29"/>
      <w:r w:rsidRPr="00BD67F0">
        <w:t xml:space="preserve">: The maximum precipitation rate bin </w:t>
      </w:r>
      <w:r w:rsidR="0030707D">
        <w:t xml:space="preserve">(as a percentage) </w:t>
      </w:r>
      <w:r w:rsidRPr="00BD67F0">
        <w:t>occurring during each potential release (“Potential release” means each of 26,304 hypothetical releases starting at hourly intervals over the whole period 2018-2020, where each release has an eight-hour duration)</w:t>
      </w:r>
    </w:p>
    <w:tbl>
      <w:tblPr>
        <w:tblStyle w:val="CRCEReportTable"/>
        <w:tblW w:w="0" w:type="auto"/>
        <w:tblBorders>
          <w:bottom w:val="single" w:sz="4" w:space="0" w:color="auto"/>
        </w:tblBorders>
        <w:tblLook w:val="04A0" w:firstRow="1" w:lastRow="0" w:firstColumn="1" w:lastColumn="0" w:noHBand="0" w:noVBand="1"/>
      </w:tblPr>
      <w:tblGrid>
        <w:gridCol w:w="965"/>
        <w:gridCol w:w="924"/>
        <w:gridCol w:w="924"/>
        <w:gridCol w:w="923"/>
        <w:gridCol w:w="923"/>
        <w:gridCol w:w="923"/>
        <w:gridCol w:w="923"/>
        <w:gridCol w:w="923"/>
        <w:gridCol w:w="923"/>
      </w:tblGrid>
      <w:tr w:rsidR="00323D29" w14:paraId="3312A047"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Merge w:val="restart"/>
            <w:vAlign w:val="center"/>
          </w:tcPr>
          <w:p w14:paraId="442FD468" w14:textId="77777777" w:rsidR="00323D29" w:rsidRDefault="00323D29" w:rsidP="00324721">
            <w:pPr>
              <w:pStyle w:val="Tableentry"/>
              <w:jc w:val="center"/>
            </w:pPr>
            <w:r w:rsidRPr="00F64945">
              <w:rPr>
                <w:b/>
                <w:color w:val="007C91"/>
                <w:sz w:val="18"/>
              </w:rPr>
              <w:t>Site</w:t>
            </w:r>
          </w:p>
        </w:tc>
        <w:tc>
          <w:tcPr>
            <w:tcW w:w="7386" w:type="dxa"/>
            <w:gridSpan w:val="8"/>
            <w:vAlign w:val="center"/>
          </w:tcPr>
          <w:p w14:paraId="79F47AA9" w14:textId="0DCC5B99" w:rsidR="00323D29" w:rsidRDefault="00323D29" w:rsidP="00324721">
            <w:pPr>
              <w:pStyle w:val="Tableentry"/>
              <w:jc w:val="center"/>
            </w:pPr>
            <w:r w:rsidRPr="00F64945">
              <w:rPr>
                <w:b/>
                <w:color w:val="007C91"/>
                <w:sz w:val="18"/>
              </w:rPr>
              <w:t>Maximum precipitation rate bin during 8-hour releases (mm</w:t>
            </w:r>
            <w:r w:rsidR="00F8290C" w:rsidRPr="00F64945">
              <w:rPr>
                <w:b/>
                <w:color w:val="007C91"/>
                <w:sz w:val="18"/>
              </w:rPr>
              <w:t xml:space="preserve"> h</w:t>
            </w:r>
            <w:r w:rsidR="00F8290C" w:rsidRPr="00F64945">
              <w:rPr>
                <w:b/>
                <w:color w:val="007C91"/>
                <w:sz w:val="18"/>
                <w:vertAlign w:val="superscript"/>
              </w:rPr>
              <w:t>-1</w:t>
            </w:r>
            <w:r w:rsidRPr="00F64945">
              <w:rPr>
                <w:b/>
                <w:color w:val="007C91"/>
                <w:sz w:val="18"/>
              </w:rPr>
              <w:t>)**</w:t>
            </w:r>
          </w:p>
        </w:tc>
      </w:tr>
      <w:tr w:rsidR="00323D29" w14:paraId="6B331C00"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Merge/>
            <w:vAlign w:val="center"/>
          </w:tcPr>
          <w:p w14:paraId="6C9B996F" w14:textId="77777777" w:rsidR="00323D29" w:rsidRDefault="00323D29" w:rsidP="00324721">
            <w:pPr>
              <w:pStyle w:val="Tableentry"/>
              <w:jc w:val="center"/>
            </w:pPr>
          </w:p>
        </w:tc>
        <w:tc>
          <w:tcPr>
            <w:tcW w:w="924" w:type="dxa"/>
            <w:vAlign w:val="center"/>
          </w:tcPr>
          <w:p w14:paraId="285A28C4" w14:textId="77777777" w:rsidR="00323D29" w:rsidRDefault="00323D29" w:rsidP="00324721">
            <w:pPr>
              <w:pStyle w:val="Tableentry"/>
              <w:jc w:val="center"/>
            </w:pPr>
            <w:r w:rsidRPr="005809C5">
              <w:t>0</w:t>
            </w:r>
          </w:p>
        </w:tc>
        <w:tc>
          <w:tcPr>
            <w:tcW w:w="924" w:type="dxa"/>
            <w:vAlign w:val="center"/>
          </w:tcPr>
          <w:p w14:paraId="25DAC158" w14:textId="77777777" w:rsidR="00323D29" w:rsidRDefault="00323D29" w:rsidP="00324721">
            <w:pPr>
              <w:pStyle w:val="Tableentry"/>
              <w:jc w:val="center"/>
            </w:pPr>
            <w:r w:rsidRPr="005809C5">
              <w:t>0 - 0.01</w:t>
            </w:r>
          </w:p>
        </w:tc>
        <w:tc>
          <w:tcPr>
            <w:tcW w:w="923" w:type="dxa"/>
            <w:vAlign w:val="center"/>
          </w:tcPr>
          <w:p w14:paraId="54381426" w14:textId="77777777" w:rsidR="00323D29" w:rsidRDefault="00323D29" w:rsidP="00324721">
            <w:pPr>
              <w:pStyle w:val="Tableentry"/>
              <w:jc w:val="center"/>
            </w:pPr>
            <w:r w:rsidRPr="005809C5">
              <w:t>0.01 - 0.1</w:t>
            </w:r>
          </w:p>
        </w:tc>
        <w:tc>
          <w:tcPr>
            <w:tcW w:w="923" w:type="dxa"/>
            <w:vAlign w:val="center"/>
          </w:tcPr>
          <w:p w14:paraId="0669E514" w14:textId="77777777" w:rsidR="00323D29" w:rsidRDefault="00323D29" w:rsidP="00324721">
            <w:pPr>
              <w:pStyle w:val="Tableentry"/>
              <w:jc w:val="center"/>
            </w:pPr>
            <w:r w:rsidRPr="005809C5">
              <w:t>0.1 - 1</w:t>
            </w:r>
          </w:p>
        </w:tc>
        <w:tc>
          <w:tcPr>
            <w:tcW w:w="923" w:type="dxa"/>
            <w:vAlign w:val="center"/>
          </w:tcPr>
          <w:p w14:paraId="2785D9A1" w14:textId="77777777" w:rsidR="00323D29" w:rsidRDefault="00323D29" w:rsidP="00324721">
            <w:pPr>
              <w:pStyle w:val="Tableentry"/>
              <w:jc w:val="center"/>
            </w:pPr>
            <w:r w:rsidRPr="005809C5">
              <w:t>1 - 2</w:t>
            </w:r>
          </w:p>
        </w:tc>
        <w:tc>
          <w:tcPr>
            <w:tcW w:w="923" w:type="dxa"/>
            <w:vAlign w:val="center"/>
          </w:tcPr>
          <w:p w14:paraId="54FAB327" w14:textId="77777777" w:rsidR="00323D29" w:rsidRDefault="00323D29" w:rsidP="00324721">
            <w:pPr>
              <w:pStyle w:val="Tableentry"/>
              <w:jc w:val="center"/>
            </w:pPr>
            <w:r w:rsidRPr="005809C5">
              <w:t>2 - 4</w:t>
            </w:r>
          </w:p>
        </w:tc>
        <w:tc>
          <w:tcPr>
            <w:tcW w:w="923" w:type="dxa"/>
            <w:vAlign w:val="center"/>
          </w:tcPr>
          <w:p w14:paraId="30B7CBD1" w14:textId="77777777" w:rsidR="00323D29" w:rsidRDefault="00323D29" w:rsidP="00324721">
            <w:pPr>
              <w:pStyle w:val="Tableentry"/>
              <w:jc w:val="center"/>
            </w:pPr>
            <w:r w:rsidRPr="005809C5">
              <w:t>4 - 8</w:t>
            </w:r>
          </w:p>
        </w:tc>
        <w:tc>
          <w:tcPr>
            <w:tcW w:w="923" w:type="dxa"/>
            <w:vAlign w:val="center"/>
          </w:tcPr>
          <w:p w14:paraId="1612D2F1" w14:textId="77777777" w:rsidR="00323D29" w:rsidRDefault="00323D29" w:rsidP="00324721">
            <w:pPr>
              <w:pStyle w:val="Tableentry"/>
              <w:jc w:val="center"/>
            </w:pPr>
            <w:r w:rsidRPr="005809C5">
              <w:t>&gt; 8</w:t>
            </w:r>
          </w:p>
        </w:tc>
      </w:tr>
      <w:tr w:rsidR="00323D29" w14:paraId="7DADC0DC"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22C60B89" w14:textId="77777777" w:rsidR="00323D29" w:rsidRDefault="00323D29" w:rsidP="00324721">
            <w:pPr>
              <w:pStyle w:val="Tableentry"/>
              <w:jc w:val="center"/>
            </w:pPr>
            <w:r w:rsidRPr="00571AE6">
              <w:t>Ardlui</w:t>
            </w:r>
          </w:p>
        </w:tc>
        <w:tc>
          <w:tcPr>
            <w:tcW w:w="924" w:type="dxa"/>
          </w:tcPr>
          <w:p w14:paraId="22B55107" w14:textId="77777777" w:rsidR="00323D29" w:rsidRDefault="00323D29" w:rsidP="00324721">
            <w:pPr>
              <w:pStyle w:val="Tableentry"/>
              <w:jc w:val="center"/>
            </w:pPr>
            <w:r w:rsidRPr="008E6F04">
              <w:t>37.6</w:t>
            </w:r>
          </w:p>
        </w:tc>
        <w:tc>
          <w:tcPr>
            <w:tcW w:w="924" w:type="dxa"/>
          </w:tcPr>
          <w:p w14:paraId="20F22D3F" w14:textId="77777777" w:rsidR="00323D29" w:rsidRDefault="00323D29" w:rsidP="00324721">
            <w:pPr>
              <w:pStyle w:val="Tableentry"/>
              <w:jc w:val="center"/>
            </w:pPr>
            <w:r w:rsidRPr="008E6F04">
              <w:t>2.5</w:t>
            </w:r>
          </w:p>
        </w:tc>
        <w:tc>
          <w:tcPr>
            <w:tcW w:w="923" w:type="dxa"/>
          </w:tcPr>
          <w:p w14:paraId="05BE8A1B" w14:textId="77777777" w:rsidR="00323D29" w:rsidRDefault="00323D29" w:rsidP="00324721">
            <w:pPr>
              <w:pStyle w:val="Tableentry"/>
              <w:jc w:val="center"/>
            </w:pPr>
            <w:r w:rsidRPr="008E6F04">
              <w:t>8.5</w:t>
            </w:r>
          </w:p>
        </w:tc>
        <w:tc>
          <w:tcPr>
            <w:tcW w:w="923" w:type="dxa"/>
          </w:tcPr>
          <w:p w14:paraId="79C4D478" w14:textId="77777777" w:rsidR="00323D29" w:rsidRDefault="00323D29" w:rsidP="00324721">
            <w:pPr>
              <w:pStyle w:val="Tableentry"/>
              <w:jc w:val="center"/>
            </w:pPr>
            <w:r w:rsidRPr="008E6F04">
              <w:t>21.6</w:t>
            </w:r>
          </w:p>
        </w:tc>
        <w:tc>
          <w:tcPr>
            <w:tcW w:w="923" w:type="dxa"/>
          </w:tcPr>
          <w:p w14:paraId="0F17F54F" w14:textId="77777777" w:rsidR="00323D29" w:rsidRDefault="00323D29" w:rsidP="00324721">
            <w:pPr>
              <w:pStyle w:val="Tableentry"/>
              <w:jc w:val="center"/>
            </w:pPr>
            <w:r w:rsidRPr="008E6F04">
              <w:t>11.2</w:t>
            </w:r>
          </w:p>
        </w:tc>
        <w:tc>
          <w:tcPr>
            <w:tcW w:w="923" w:type="dxa"/>
          </w:tcPr>
          <w:p w14:paraId="252A98F7" w14:textId="77777777" w:rsidR="00323D29" w:rsidRDefault="00323D29" w:rsidP="00324721">
            <w:pPr>
              <w:pStyle w:val="Tableentry"/>
              <w:jc w:val="center"/>
            </w:pPr>
            <w:r w:rsidRPr="008E6F04">
              <w:t>11.9</w:t>
            </w:r>
          </w:p>
        </w:tc>
        <w:tc>
          <w:tcPr>
            <w:tcW w:w="923" w:type="dxa"/>
          </w:tcPr>
          <w:p w14:paraId="6E3AF739" w14:textId="77777777" w:rsidR="00323D29" w:rsidRDefault="00323D29" w:rsidP="00324721">
            <w:pPr>
              <w:pStyle w:val="Tableentry"/>
              <w:jc w:val="center"/>
            </w:pPr>
            <w:r w:rsidRPr="008E6F04">
              <w:t>6.4</w:t>
            </w:r>
          </w:p>
        </w:tc>
        <w:tc>
          <w:tcPr>
            <w:tcW w:w="923" w:type="dxa"/>
          </w:tcPr>
          <w:p w14:paraId="672B2816" w14:textId="77777777" w:rsidR="00323D29" w:rsidRDefault="00323D29" w:rsidP="00324721">
            <w:pPr>
              <w:pStyle w:val="Tableentry"/>
              <w:jc w:val="center"/>
            </w:pPr>
            <w:r w:rsidRPr="008E6F04">
              <w:t>0.3</w:t>
            </w:r>
          </w:p>
        </w:tc>
      </w:tr>
      <w:tr w:rsidR="00323D29" w14:paraId="1D0A594E"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0DCCB535" w14:textId="77777777" w:rsidR="00323D29" w:rsidRDefault="00323D29" w:rsidP="00324721">
            <w:pPr>
              <w:pStyle w:val="Tableentry"/>
              <w:jc w:val="center"/>
            </w:pPr>
            <w:r w:rsidRPr="00571AE6">
              <w:t>Bradwell</w:t>
            </w:r>
          </w:p>
        </w:tc>
        <w:tc>
          <w:tcPr>
            <w:tcW w:w="924" w:type="dxa"/>
          </w:tcPr>
          <w:p w14:paraId="01505A58" w14:textId="77777777" w:rsidR="00323D29" w:rsidRDefault="00323D29" w:rsidP="00324721">
            <w:pPr>
              <w:pStyle w:val="Tableentry"/>
              <w:jc w:val="center"/>
            </w:pPr>
            <w:r w:rsidRPr="008E6F04">
              <w:t>65.6</w:t>
            </w:r>
          </w:p>
        </w:tc>
        <w:tc>
          <w:tcPr>
            <w:tcW w:w="924" w:type="dxa"/>
          </w:tcPr>
          <w:p w14:paraId="02A69C44" w14:textId="77777777" w:rsidR="00323D29" w:rsidRDefault="00323D29" w:rsidP="00324721">
            <w:pPr>
              <w:pStyle w:val="Tableentry"/>
              <w:jc w:val="center"/>
            </w:pPr>
            <w:r w:rsidRPr="008E6F04">
              <w:t>1.6</w:t>
            </w:r>
          </w:p>
        </w:tc>
        <w:tc>
          <w:tcPr>
            <w:tcW w:w="923" w:type="dxa"/>
          </w:tcPr>
          <w:p w14:paraId="4CC59C51" w14:textId="77777777" w:rsidR="00323D29" w:rsidRDefault="00323D29" w:rsidP="00324721">
            <w:pPr>
              <w:pStyle w:val="Tableentry"/>
              <w:jc w:val="center"/>
            </w:pPr>
            <w:r w:rsidRPr="008E6F04">
              <w:t>6.4</w:t>
            </w:r>
          </w:p>
        </w:tc>
        <w:tc>
          <w:tcPr>
            <w:tcW w:w="923" w:type="dxa"/>
          </w:tcPr>
          <w:p w14:paraId="540ABCEE" w14:textId="77777777" w:rsidR="00323D29" w:rsidRDefault="00323D29" w:rsidP="00324721">
            <w:pPr>
              <w:pStyle w:val="Tableentry"/>
              <w:jc w:val="center"/>
            </w:pPr>
            <w:r w:rsidRPr="008E6F04">
              <w:t>14.0</w:t>
            </w:r>
          </w:p>
        </w:tc>
        <w:tc>
          <w:tcPr>
            <w:tcW w:w="923" w:type="dxa"/>
          </w:tcPr>
          <w:p w14:paraId="3AFEDE76" w14:textId="77777777" w:rsidR="00323D29" w:rsidRDefault="00323D29" w:rsidP="00324721">
            <w:pPr>
              <w:pStyle w:val="Tableentry"/>
              <w:jc w:val="center"/>
            </w:pPr>
            <w:r w:rsidRPr="008E6F04">
              <w:t>6.8</w:t>
            </w:r>
          </w:p>
        </w:tc>
        <w:tc>
          <w:tcPr>
            <w:tcW w:w="923" w:type="dxa"/>
          </w:tcPr>
          <w:p w14:paraId="5EA93333" w14:textId="77777777" w:rsidR="00323D29" w:rsidRDefault="00323D29" w:rsidP="00324721">
            <w:pPr>
              <w:pStyle w:val="Tableentry"/>
              <w:jc w:val="center"/>
            </w:pPr>
            <w:r w:rsidRPr="008E6F04">
              <w:t>4.5</w:t>
            </w:r>
          </w:p>
        </w:tc>
        <w:tc>
          <w:tcPr>
            <w:tcW w:w="923" w:type="dxa"/>
          </w:tcPr>
          <w:p w14:paraId="1C1E1FAB" w14:textId="77777777" w:rsidR="00323D29" w:rsidRDefault="00323D29" w:rsidP="00324721">
            <w:pPr>
              <w:pStyle w:val="Tableentry"/>
              <w:jc w:val="center"/>
            </w:pPr>
            <w:r w:rsidRPr="008E6F04">
              <w:t>1.0</w:t>
            </w:r>
          </w:p>
        </w:tc>
        <w:tc>
          <w:tcPr>
            <w:tcW w:w="923" w:type="dxa"/>
          </w:tcPr>
          <w:p w14:paraId="4AB1AB6D" w14:textId="77777777" w:rsidR="00323D29" w:rsidRDefault="00323D29" w:rsidP="00324721">
            <w:pPr>
              <w:pStyle w:val="Tableentry"/>
              <w:jc w:val="center"/>
            </w:pPr>
            <w:r w:rsidRPr="008E6F04">
              <w:t>0.1</w:t>
            </w:r>
          </w:p>
        </w:tc>
      </w:tr>
      <w:tr w:rsidR="00323D29" w14:paraId="64E730AA"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3110BD9C" w14:textId="77777777" w:rsidR="00323D29" w:rsidRDefault="00323D29" w:rsidP="00324721">
            <w:pPr>
              <w:pStyle w:val="Tableentry"/>
              <w:jc w:val="center"/>
            </w:pPr>
            <w:r w:rsidRPr="00571AE6">
              <w:t>Ely</w:t>
            </w:r>
          </w:p>
        </w:tc>
        <w:tc>
          <w:tcPr>
            <w:tcW w:w="924" w:type="dxa"/>
          </w:tcPr>
          <w:p w14:paraId="6A46CCF5" w14:textId="77777777" w:rsidR="00323D29" w:rsidRDefault="00323D29" w:rsidP="00324721">
            <w:pPr>
              <w:pStyle w:val="Tableentry"/>
              <w:jc w:val="center"/>
            </w:pPr>
            <w:r w:rsidRPr="008E6F04">
              <w:t>64.8</w:t>
            </w:r>
          </w:p>
        </w:tc>
        <w:tc>
          <w:tcPr>
            <w:tcW w:w="924" w:type="dxa"/>
          </w:tcPr>
          <w:p w14:paraId="3931B131" w14:textId="77777777" w:rsidR="00323D29" w:rsidRDefault="00323D29" w:rsidP="00324721">
            <w:pPr>
              <w:pStyle w:val="Tableentry"/>
              <w:jc w:val="center"/>
            </w:pPr>
            <w:r w:rsidRPr="008E6F04">
              <w:t>1.9</w:t>
            </w:r>
          </w:p>
        </w:tc>
        <w:tc>
          <w:tcPr>
            <w:tcW w:w="923" w:type="dxa"/>
          </w:tcPr>
          <w:p w14:paraId="426764A4" w14:textId="77777777" w:rsidR="00323D29" w:rsidRDefault="00323D29" w:rsidP="00324721">
            <w:pPr>
              <w:pStyle w:val="Tableentry"/>
              <w:jc w:val="center"/>
            </w:pPr>
            <w:r w:rsidRPr="008E6F04">
              <w:t>6.4</w:t>
            </w:r>
          </w:p>
        </w:tc>
        <w:tc>
          <w:tcPr>
            <w:tcW w:w="923" w:type="dxa"/>
          </w:tcPr>
          <w:p w14:paraId="138CB821" w14:textId="77777777" w:rsidR="00323D29" w:rsidRDefault="00323D29" w:rsidP="00324721">
            <w:pPr>
              <w:pStyle w:val="Tableentry"/>
              <w:jc w:val="center"/>
            </w:pPr>
            <w:r w:rsidRPr="008E6F04">
              <w:t>13.6</w:t>
            </w:r>
          </w:p>
        </w:tc>
        <w:tc>
          <w:tcPr>
            <w:tcW w:w="923" w:type="dxa"/>
          </w:tcPr>
          <w:p w14:paraId="18808795" w14:textId="77777777" w:rsidR="00323D29" w:rsidRDefault="00323D29" w:rsidP="00324721">
            <w:pPr>
              <w:pStyle w:val="Tableentry"/>
              <w:jc w:val="center"/>
            </w:pPr>
            <w:r w:rsidRPr="008E6F04">
              <w:t>6.8</w:t>
            </w:r>
          </w:p>
        </w:tc>
        <w:tc>
          <w:tcPr>
            <w:tcW w:w="923" w:type="dxa"/>
          </w:tcPr>
          <w:p w14:paraId="15DE1E72" w14:textId="77777777" w:rsidR="00323D29" w:rsidRDefault="00323D29" w:rsidP="00324721">
            <w:pPr>
              <w:pStyle w:val="Tableentry"/>
              <w:jc w:val="center"/>
            </w:pPr>
            <w:r w:rsidRPr="008E6F04">
              <w:t>5.2</w:t>
            </w:r>
          </w:p>
        </w:tc>
        <w:tc>
          <w:tcPr>
            <w:tcW w:w="923" w:type="dxa"/>
          </w:tcPr>
          <w:p w14:paraId="0542C18D" w14:textId="77777777" w:rsidR="00323D29" w:rsidRDefault="00323D29" w:rsidP="00324721">
            <w:pPr>
              <w:pStyle w:val="Tableentry"/>
              <w:jc w:val="center"/>
            </w:pPr>
            <w:r w:rsidRPr="008E6F04">
              <w:t>0.9</w:t>
            </w:r>
          </w:p>
        </w:tc>
        <w:tc>
          <w:tcPr>
            <w:tcW w:w="923" w:type="dxa"/>
          </w:tcPr>
          <w:p w14:paraId="6D07F24C" w14:textId="77777777" w:rsidR="00323D29" w:rsidRDefault="00323D29" w:rsidP="00324721">
            <w:pPr>
              <w:pStyle w:val="Tableentry"/>
              <w:jc w:val="center"/>
            </w:pPr>
            <w:r w:rsidRPr="008E6F04">
              <w:t>0.3</w:t>
            </w:r>
          </w:p>
        </w:tc>
      </w:tr>
      <w:tr w:rsidR="00323D29" w14:paraId="688FFEB5"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1442C8B2" w14:textId="77777777" w:rsidR="00323D29" w:rsidRDefault="00323D29" w:rsidP="00324721">
            <w:pPr>
              <w:pStyle w:val="Tableentry"/>
              <w:jc w:val="center"/>
            </w:pPr>
            <w:r w:rsidRPr="00571AE6">
              <w:t>Hinkley</w:t>
            </w:r>
          </w:p>
        </w:tc>
        <w:tc>
          <w:tcPr>
            <w:tcW w:w="924" w:type="dxa"/>
          </w:tcPr>
          <w:p w14:paraId="611A0D75" w14:textId="77777777" w:rsidR="00323D29" w:rsidRDefault="00323D29" w:rsidP="00324721">
            <w:pPr>
              <w:pStyle w:val="Tableentry"/>
              <w:jc w:val="center"/>
            </w:pPr>
            <w:r w:rsidRPr="008E6F04">
              <w:t>57.6</w:t>
            </w:r>
          </w:p>
        </w:tc>
        <w:tc>
          <w:tcPr>
            <w:tcW w:w="924" w:type="dxa"/>
          </w:tcPr>
          <w:p w14:paraId="3F833591" w14:textId="77777777" w:rsidR="00323D29" w:rsidRDefault="00323D29" w:rsidP="00324721">
            <w:pPr>
              <w:pStyle w:val="Tableentry"/>
              <w:jc w:val="center"/>
            </w:pPr>
            <w:r w:rsidRPr="008E6F04">
              <w:t>2.4</w:t>
            </w:r>
          </w:p>
        </w:tc>
        <w:tc>
          <w:tcPr>
            <w:tcW w:w="923" w:type="dxa"/>
          </w:tcPr>
          <w:p w14:paraId="27AAE361" w14:textId="77777777" w:rsidR="00323D29" w:rsidRDefault="00323D29" w:rsidP="00324721">
            <w:pPr>
              <w:pStyle w:val="Tableentry"/>
              <w:jc w:val="center"/>
            </w:pPr>
            <w:r w:rsidRPr="008E6F04">
              <w:t>8.1</w:t>
            </w:r>
          </w:p>
        </w:tc>
        <w:tc>
          <w:tcPr>
            <w:tcW w:w="923" w:type="dxa"/>
          </w:tcPr>
          <w:p w14:paraId="61E1C2B3" w14:textId="77777777" w:rsidR="00323D29" w:rsidRDefault="00323D29" w:rsidP="00324721">
            <w:pPr>
              <w:pStyle w:val="Tableentry"/>
              <w:jc w:val="center"/>
            </w:pPr>
            <w:r w:rsidRPr="008E6F04">
              <w:t>17.0</w:t>
            </w:r>
          </w:p>
        </w:tc>
        <w:tc>
          <w:tcPr>
            <w:tcW w:w="923" w:type="dxa"/>
          </w:tcPr>
          <w:p w14:paraId="2CF72B4A" w14:textId="77777777" w:rsidR="00323D29" w:rsidRDefault="00323D29" w:rsidP="00324721">
            <w:pPr>
              <w:pStyle w:val="Tableentry"/>
              <w:jc w:val="center"/>
            </w:pPr>
            <w:r w:rsidRPr="008E6F04">
              <w:t>7.5</w:t>
            </w:r>
          </w:p>
        </w:tc>
        <w:tc>
          <w:tcPr>
            <w:tcW w:w="923" w:type="dxa"/>
          </w:tcPr>
          <w:p w14:paraId="21447CB1" w14:textId="77777777" w:rsidR="00323D29" w:rsidRDefault="00323D29" w:rsidP="00324721">
            <w:pPr>
              <w:pStyle w:val="Tableentry"/>
              <w:jc w:val="center"/>
            </w:pPr>
            <w:r w:rsidRPr="008E6F04">
              <w:t>5.9</w:t>
            </w:r>
          </w:p>
        </w:tc>
        <w:tc>
          <w:tcPr>
            <w:tcW w:w="923" w:type="dxa"/>
          </w:tcPr>
          <w:p w14:paraId="5B705EBA" w14:textId="77777777" w:rsidR="00323D29" w:rsidRDefault="00323D29" w:rsidP="00324721">
            <w:pPr>
              <w:pStyle w:val="Tableentry"/>
              <w:jc w:val="center"/>
            </w:pPr>
            <w:r w:rsidRPr="008E6F04">
              <w:t>1.4</w:t>
            </w:r>
          </w:p>
        </w:tc>
        <w:tc>
          <w:tcPr>
            <w:tcW w:w="923" w:type="dxa"/>
          </w:tcPr>
          <w:p w14:paraId="00EEE9E7" w14:textId="77777777" w:rsidR="00323D29" w:rsidRDefault="00323D29" w:rsidP="00324721">
            <w:pPr>
              <w:pStyle w:val="Tableentry"/>
              <w:jc w:val="center"/>
            </w:pPr>
            <w:r w:rsidRPr="008E6F04">
              <w:t>0.1</w:t>
            </w:r>
          </w:p>
        </w:tc>
      </w:tr>
      <w:tr w:rsidR="00323D29" w14:paraId="3F61D503"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772B6402" w14:textId="77777777" w:rsidR="00323D29" w:rsidRDefault="00323D29" w:rsidP="00324721">
            <w:pPr>
              <w:pStyle w:val="Tableentry"/>
              <w:jc w:val="center"/>
            </w:pPr>
            <w:r w:rsidRPr="00571AE6">
              <w:t>Seathwaite</w:t>
            </w:r>
          </w:p>
        </w:tc>
        <w:tc>
          <w:tcPr>
            <w:tcW w:w="924" w:type="dxa"/>
          </w:tcPr>
          <w:p w14:paraId="56A88880" w14:textId="77777777" w:rsidR="00323D29" w:rsidRDefault="00323D29" w:rsidP="00324721">
            <w:pPr>
              <w:pStyle w:val="Tableentry"/>
              <w:jc w:val="center"/>
            </w:pPr>
            <w:r w:rsidRPr="008E6F04">
              <w:t>40.5</w:t>
            </w:r>
          </w:p>
        </w:tc>
        <w:tc>
          <w:tcPr>
            <w:tcW w:w="924" w:type="dxa"/>
          </w:tcPr>
          <w:p w14:paraId="1A89865F" w14:textId="77777777" w:rsidR="00323D29" w:rsidRDefault="00323D29" w:rsidP="00324721">
            <w:pPr>
              <w:pStyle w:val="Tableentry"/>
              <w:jc w:val="center"/>
            </w:pPr>
            <w:r w:rsidRPr="008E6F04">
              <w:t>2.2</w:t>
            </w:r>
          </w:p>
        </w:tc>
        <w:tc>
          <w:tcPr>
            <w:tcW w:w="923" w:type="dxa"/>
          </w:tcPr>
          <w:p w14:paraId="28F4A542" w14:textId="77777777" w:rsidR="00323D29" w:rsidRDefault="00323D29" w:rsidP="00324721">
            <w:pPr>
              <w:pStyle w:val="Tableentry"/>
              <w:jc w:val="center"/>
            </w:pPr>
            <w:r w:rsidRPr="008E6F04">
              <w:t>11.5</w:t>
            </w:r>
          </w:p>
        </w:tc>
        <w:tc>
          <w:tcPr>
            <w:tcW w:w="923" w:type="dxa"/>
          </w:tcPr>
          <w:p w14:paraId="4C749809" w14:textId="77777777" w:rsidR="00323D29" w:rsidRDefault="00323D29" w:rsidP="00324721">
            <w:pPr>
              <w:pStyle w:val="Tableentry"/>
              <w:jc w:val="center"/>
            </w:pPr>
            <w:r w:rsidRPr="008E6F04">
              <w:t>17.9</w:t>
            </w:r>
          </w:p>
        </w:tc>
        <w:tc>
          <w:tcPr>
            <w:tcW w:w="923" w:type="dxa"/>
          </w:tcPr>
          <w:p w14:paraId="2FF980EA" w14:textId="77777777" w:rsidR="00323D29" w:rsidRDefault="00323D29" w:rsidP="00324721">
            <w:pPr>
              <w:pStyle w:val="Tableentry"/>
              <w:jc w:val="center"/>
            </w:pPr>
            <w:r w:rsidRPr="008E6F04">
              <w:t>9.0</w:t>
            </w:r>
          </w:p>
        </w:tc>
        <w:tc>
          <w:tcPr>
            <w:tcW w:w="923" w:type="dxa"/>
          </w:tcPr>
          <w:p w14:paraId="11D35D37" w14:textId="77777777" w:rsidR="00323D29" w:rsidRDefault="00323D29" w:rsidP="00324721">
            <w:pPr>
              <w:pStyle w:val="Tableentry"/>
              <w:jc w:val="center"/>
            </w:pPr>
            <w:r w:rsidRPr="008E6F04">
              <w:t>10.6</w:t>
            </w:r>
          </w:p>
        </w:tc>
        <w:tc>
          <w:tcPr>
            <w:tcW w:w="923" w:type="dxa"/>
          </w:tcPr>
          <w:p w14:paraId="74ABB00A" w14:textId="77777777" w:rsidR="00323D29" w:rsidRDefault="00323D29" w:rsidP="00324721">
            <w:pPr>
              <w:pStyle w:val="Tableentry"/>
              <w:jc w:val="center"/>
            </w:pPr>
            <w:r w:rsidRPr="008E6F04">
              <w:t>6.8</w:t>
            </w:r>
          </w:p>
        </w:tc>
        <w:tc>
          <w:tcPr>
            <w:tcW w:w="923" w:type="dxa"/>
          </w:tcPr>
          <w:p w14:paraId="798D5E26" w14:textId="77777777" w:rsidR="00323D29" w:rsidRDefault="00323D29" w:rsidP="00324721">
            <w:pPr>
              <w:pStyle w:val="Tableentry"/>
              <w:jc w:val="center"/>
            </w:pPr>
            <w:r w:rsidRPr="008E6F04">
              <w:t>1.4</w:t>
            </w:r>
          </w:p>
        </w:tc>
      </w:tr>
      <w:tr w:rsidR="00323D29" w14:paraId="756D4E4A" w14:textId="77777777" w:rsidTr="00324721">
        <w:trPr>
          <w:cnfStyle w:val="100000000000" w:firstRow="1" w:lastRow="0" w:firstColumn="0" w:lastColumn="0" w:oddVBand="0" w:evenVBand="0" w:oddHBand="0" w:evenHBand="0" w:firstRowFirstColumn="0" w:firstRowLastColumn="0" w:lastRowFirstColumn="0" w:lastRowLastColumn="0"/>
        </w:trPr>
        <w:tc>
          <w:tcPr>
            <w:tcW w:w="965" w:type="dxa"/>
            <w:vAlign w:val="center"/>
          </w:tcPr>
          <w:p w14:paraId="27359BA6" w14:textId="77777777" w:rsidR="00323D29" w:rsidRDefault="00323D29" w:rsidP="00324721">
            <w:pPr>
              <w:pStyle w:val="Tableentry"/>
              <w:jc w:val="center"/>
            </w:pPr>
            <w:r w:rsidRPr="00571AE6">
              <w:t>Trawsfynydd</w:t>
            </w:r>
          </w:p>
        </w:tc>
        <w:tc>
          <w:tcPr>
            <w:tcW w:w="924" w:type="dxa"/>
          </w:tcPr>
          <w:p w14:paraId="4EA0F4B0" w14:textId="77777777" w:rsidR="00323D29" w:rsidRDefault="00323D29" w:rsidP="00324721">
            <w:pPr>
              <w:pStyle w:val="Tableentry"/>
              <w:jc w:val="center"/>
            </w:pPr>
            <w:r w:rsidRPr="008E6F04">
              <w:t>48.1</w:t>
            </w:r>
          </w:p>
        </w:tc>
        <w:tc>
          <w:tcPr>
            <w:tcW w:w="924" w:type="dxa"/>
          </w:tcPr>
          <w:p w14:paraId="0FD7E56C" w14:textId="77777777" w:rsidR="00323D29" w:rsidRDefault="00323D29" w:rsidP="00324721">
            <w:pPr>
              <w:pStyle w:val="Tableentry"/>
              <w:jc w:val="center"/>
            </w:pPr>
            <w:r w:rsidRPr="008E6F04">
              <w:t>2.7</w:t>
            </w:r>
          </w:p>
        </w:tc>
        <w:tc>
          <w:tcPr>
            <w:tcW w:w="923" w:type="dxa"/>
          </w:tcPr>
          <w:p w14:paraId="68891FC5" w14:textId="77777777" w:rsidR="00323D29" w:rsidRDefault="00323D29" w:rsidP="00324721">
            <w:pPr>
              <w:pStyle w:val="Tableentry"/>
              <w:jc w:val="center"/>
            </w:pPr>
            <w:r w:rsidRPr="008E6F04">
              <w:t>8.9</w:t>
            </w:r>
          </w:p>
        </w:tc>
        <w:tc>
          <w:tcPr>
            <w:tcW w:w="923" w:type="dxa"/>
          </w:tcPr>
          <w:p w14:paraId="6F94C9F7" w14:textId="77777777" w:rsidR="00323D29" w:rsidRDefault="00323D29" w:rsidP="00324721">
            <w:pPr>
              <w:pStyle w:val="Tableentry"/>
              <w:jc w:val="center"/>
            </w:pPr>
            <w:r w:rsidRPr="008E6F04">
              <w:t>17.4</w:t>
            </w:r>
          </w:p>
        </w:tc>
        <w:tc>
          <w:tcPr>
            <w:tcW w:w="923" w:type="dxa"/>
          </w:tcPr>
          <w:p w14:paraId="3A14FD2B" w14:textId="77777777" w:rsidR="00323D29" w:rsidRDefault="00323D29" w:rsidP="00324721">
            <w:pPr>
              <w:pStyle w:val="Tableentry"/>
              <w:jc w:val="center"/>
            </w:pPr>
            <w:r w:rsidRPr="008E6F04">
              <w:t>8.8</w:t>
            </w:r>
          </w:p>
        </w:tc>
        <w:tc>
          <w:tcPr>
            <w:tcW w:w="923" w:type="dxa"/>
          </w:tcPr>
          <w:p w14:paraId="52413EF3" w14:textId="77777777" w:rsidR="00323D29" w:rsidRDefault="00323D29" w:rsidP="00324721">
            <w:pPr>
              <w:pStyle w:val="Tableentry"/>
              <w:jc w:val="center"/>
            </w:pPr>
            <w:r w:rsidRPr="008E6F04">
              <w:t>9.0</w:t>
            </w:r>
          </w:p>
        </w:tc>
        <w:tc>
          <w:tcPr>
            <w:tcW w:w="923" w:type="dxa"/>
          </w:tcPr>
          <w:p w14:paraId="2C18D26F" w14:textId="77777777" w:rsidR="00323D29" w:rsidRDefault="00323D29" w:rsidP="00324721">
            <w:pPr>
              <w:pStyle w:val="Tableentry"/>
              <w:jc w:val="center"/>
            </w:pPr>
            <w:r w:rsidRPr="008E6F04">
              <w:t>4.7</w:t>
            </w:r>
          </w:p>
        </w:tc>
        <w:tc>
          <w:tcPr>
            <w:tcW w:w="923" w:type="dxa"/>
          </w:tcPr>
          <w:p w14:paraId="4F4DC437" w14:textId="77777777" w:rsidR="00323D29" w:rsidRDefault="00323D29" w:rsidP="00324721">
            <w:pPr>
              <w:pStyle w:val="Tableentry"/>
              <w:jc w:val="center"/>
            </w:pPr>
            <w:r w:rsidRPr="008E6F04">
              <w:t>0.4</w:t>
            </w:r>
          </w:p>
        </w:tc>
      </w:tr>
      <w:tr w:rsidR="00323D29" w14:paraId="1C60C53A" w14:textId="77777777" w:rsidTr="00324721">
        <w:trPr>
          <w:cnfStyle w:val="100000000000" w:firstRow="1" w:lastRow="0" w:firstColumn="0" w:lastColumn="0" w:oddVBand="0" w:evenVBand="0" w:oddHBand="0" w:evenHBand="0" w:firstRowFirstColumn="0" w:firstRowLastColumn="0" w:lastRowFirstColumn="0" w:lastRowLastColumn="0"/>
        </w:trPr>
        <w:tc>
          <w:tcPr>
            <w:tcW w:w="8351" w:type="dxa"/>
            <w:gridSpan w:val="9"/>
            <w:vAlign w:val="center"/>
          </w:tcPr>
          <w:p w14:paraId="7D6164B1" w14:textId="77777777" w:rsidR="00323D29" w:rsidRDefault="00323D29" w:rsidP="00324721">
            <w:pPr>
              <w:pStyle w:val="Tableentry"/>
            </w:pPr>
            <w:r w:rsidRPr="005E1D97">
              <w:t xml:space="preserve">** In the column headers, the ranges </w:t>
            </w:r>
            <w:r w:rsidRPr="005E1D97">
              <w:rPr>
                <w:i/>
                <w:iCs/>
              </w:rPr>
              <w:t>A - B</w:t>
            </w:r>
            <w:r w:rsidRPr="005E1D97">
              <w:t xml:space="preserve"> should be interpreted as </w:t>
            </w:r>
            <w:r w:rsidRPr="005E1D97">
              <w:rPr>
                <w:i/>
                <w:iCs/>
              </w:rPr>
              <w:t>A &lt; x ≤ B</w:t>
            </w:r>
            <w:r w:rsidRPr="005E1D97">
              <w:t xml:space="preserve">. For example, </w:t>
            </w:r>
            <w:r w:rsidRPr="005E1D97">
              <w:rPr>
                <w:i/>
                <w:iCs/>
              </w:rPr>
              <w:t>0 - 0.01</w:t>
            </w:r>
            <w:r w:rsidRPr="005E1D97">
              <w:t xml:space="preserve"> only includes values in the range </w:t>
            </w:r>
            <w:r w:rsidRPr="005E1D97">
              <w:rPr>
                <w:i/>
                <w:iCs/>
              </w:rPr>
              <w:t>0 &lt; x ≤ 0.01</w:t>
            </w:r>
            <w:r w:rsidRPr="005E1D97">
              <w:t>.</w:t>
            </w:r>
          </w:p>
        </w:tc>
      </w:tr>
    </w:tbl>
    <w:p w14:paraId="477AFD57" w14:textId="77777777" w:rsidR="00323D29" w:rsidRPr="00CB624A" w:rsidRDefault="00323D29" w:rsidP="00323D29">
      <w:pPr>
        <w:pStyle w:val="BodyText"/>
      </w:pPr>
    </w:p>
    <w:p w14:paraId="5455C015" w14:textId="0211F0D9" w:rsidR="00323D29" w:rsidRDefault="00323D29" w:rsidP="00DD754C">
      <w:pPr>
        <w:pStyle w:val="BodyText"/>
        <w:jc w:val="both"/>
      </w:pPr>
      <w:r w:rsidRPr="00792E6A">
        <w:rPr>
          <w:highlight w:val="yellow"/>
        </w:rPr>
        <w:fldChar w:fldCharType="begin"/>
      </w:r>
      <w:r w:rsidRPr="00792E6A">
        <w:rPr>
          <w:highlight w:val="yellow"/>
        </w:rPr>
        <w:instrText xml:space="preserve"> REF _Ref79590667 \h </w:instrText>
      </w:r>
      <w:r w:rsidR="00DD754C" w:rsidRPr="00792E6A">
        <w:rPr>
          <w:highlight w:val="yellow"/>
        </w:rPr>
        <w:instrText xml:space="preserve"> \* MERGEFORMAT </w:instrText>
      </w:r>
      <w:r w:rsidRPr="00792E6A">
        <w:rPr>
          <w:highlight w:val="yellow"/>
        </w:rPr>
      </w:r>
      <w:r w:rsidRPr="00792E6A">
        <w:rPr>
          <w:highlight w:val="yellow"/>
        </w:rPr>
        <w:fldChar w:fldCharType="separate"/>
      </w:r>
      <w:r w:rsidR="00926FE3" w:rsidRPr="00BD67F0">
        <w:t xml:space="preserve">Table </w:t>
      </w:r>
      <w:r w:rsidR="00926FE3">
        <w:rPr>
          <w:noProof/>
        </w:rPr>
        <w:t>2</w:t>
      </w:r>
      <w:r w:rsidRPr="00792E6A">
        <w:rPr>
          <w:highlight w:val="yellow"/>
        </w:rPr>
        <w:fldChar w:fldCharType="end"/>
      </w:r>
      <w:r w:rsidRPr="00792E6A">
        <w:t xml:space="preserve"> shows </w:t>
      </w:r>
      <w:r w:rsidRPr="00BD67F0">
        <w:t xml:space="preserve">that, even for the driest site, every hypothetical thirty-day-duration release </w:t>
      </w:r>
      <w:r w:rsidRPr="005E1D97">
        <w:t xml:space="preserve">would be expected to encounter some precipitation. As </w:t>
      </w:r>
      <w:r>
        <w:t xml:space="preserve">an example of the more specific information provided by </w:t>
      </w:r>
      <w:r w:rsidRPr="00792E6A">
        <w:rPr>
          <w:highlight w:val="yellow"/>
        </w:rPr>
        <w:fldChar w:fldCharType="begin"/>
      </w:r>
      <w:r w:rsidRPr="00792E6A">
        <w:rPr>
          <w:highlight w:val="yellow"/>
        </w:rPr>
        <w:instrText xml:space="preserve"> REF _Ref79590667 \h </w:instrText>
      </w:r>
      <w:r w:rsidR="00DD754C" w:rsidRPr="00792E6A">
        <w:rPr>
          <w:highlight w:val="yellow"/>
        </w:rPr>
        <w:instrText xml:space="preserve"> \* MERGEFORMAT </w:instrText>
      </w:r>
      <w:r w:rsidRPr="00792E6A">
        <w:rPr>
          <w:highlight w:val="yellow"/>
        </w:rPr>
      </w:r>
      <w:r w:rsidRPr="00792E6A">
        <w:rPr>
          <w:highlight w:val="yellow"/>
        </w:rPr>
        <w:fldChar w:fldCharType="separate"/>
      </w:r>
      <w:r w:rsidR="00926FE3" w:rsidRPr="00BD67F0">
        <w:t xml:space="preserve">Table </w:t>
      </w:r>
      <w:r w:rsidR="00926FE3">
        <w:rPr>
          <w:noProof/>
        </w:rPr>
        <w:t>2</w:t>
      </w:r>
      <w:r w:rsidRPr="00792E6A">
        <w:rPr>
          <w:highlight w:val="yellow"/>
        </w:rPr>
        <w:fldChar w:fldCharType="end"/>
      </w:r>
      <w:r w:rsidRPr="00792E6A">
        <w:t xml:space="preserve">, it </w:t>
      </w:r>
      <w:r>
        <w:t>can be seen that in the case of</w:t>
      </w:r>
      <w:r w:rsidRPr="005E1D97">
        <w:t xml:space="preserve"> Ardlui, 0.3% of the thirty-day releases over a three-year period encountered </w:t>
      </w:r>
      <w:r>
        <w:t xml:space="preserve">at least some precipitation that was in the </w:t>
      </w:r>
      <w:r w:rsidRPr="00035A10">
        <w:rPr>
          <w:i/>
          <w:iCs/>
        </w:rPr>
        <w:t>1 - 2</w:t>
      </w:r>
      <w:r>
        <w:t xml:space="preserve"> </w:t>
      </w:r>
      <w:r w:rsidRPr="00035A10">
        <w:rPr>
          <w:i/>
          <w:iCs/>
        </w:rPr>
        <w:t>mm</w:t>
      </w:r>
      <w:r w:rsidR="00F8290C" w:rsidRPr="00F8290C">
        <w:rPr>
          <w:i/>
          <w:iCs/>
        </w:rPr>
        <w:t xml:space="preserve"> h</w:t>
      </w:r>
      <w:r w:rsidR="00F8290C" w:rsidRPr="00F8290C">
        <w:rPr>
          <w:i/>
          <w:iCs/>
          <w:vertAlign w:val="superscript"/>
        </w:rPr>
        <w:t>-1</w:t>
      </w:r>
      <w:r>
        <w:t xml:space="preserve"> bin but did not encounter any precipitation that had a rate greater than 2 mm</w:t>
      </w:r>
      <w:r w:rsidR="00F8290C">
        <w:t xml:space="preserve"> </w:t>
      </w:r>
      <w:r>
        <w:t>h</w:t>
      </w:r>
      <w:r w:rsidR="00F8290C" w:rsidRPr="00F8290C">
        <w:rPr>
          <w:vertAlign w:val="superscript"/>
        </w:rPr>
        <w:t>-1</w:t>
      </w:r>
      <w:r w:rsidR="00624298">
        <w:t xml:space="preserve"> (i.e. the maximum rate encountered was in the </w:t>
      </w:r>
      <w:r w:rsidR="00624298" w:rsidRPr="00624298">
        <w:rPr>
          <w:i/>
        </w:rPr>
        <w:t>1 - 2 mm h</w:t>
      </w:r>
      <w:r w:rsidR="00624298" w:rsidRPr="00624298">
        <w:rPr>
          <w:i/>
          <w:vertAlign w:val="superscript"/>
        </w:rPr>
        <w:t>-1</w:t>
      </w:r>
      <w:r w:rsidR="00624298">
        <w:t xml:space="preserve"> band)</w:t>
      </w:r>
      <w:r>
        <w:t xml:space="preserve">. By contrast, </w:t>
      </w:r>
      <w:r w:rsidRPr="005E1D97">
        <w:t xml:space="preserve">6.9% of the </w:t>
      </w:r>
      <w:r>
        <w:t xml:space="preserve">Ardlui </w:t>
      </w:r>
      <w:r w:rsidRPr="005E1D97">
        <w:t xml:space="preserve">thirty-day releases encountered </w:t>
      </w:r>
      <w:r>
        <w:t xml:space="preserve">at least some precipitation that was in the </w:t>
      </w:r>
      <w:r>
        <w:rPr>
          <w:i/>
          <w:iCs/>
        </w:rPr>
        <w:t>2</w:t>
      </w:r>
      <w:r w:rsidRPr="00035A10">
        <w:rPr>
          <w:i/>
          <w:iCs/>
        </w:rPr>
        <w:t xml:space="preserve"> </w:t>
      </w:r>
      <w:r>
        <w:rPr>
          <w:i/>
          <w:iCs/>
        </w:rPr>
        <w:t>-</w:t>
      </w:r>
      <w:r w:rsidRPr="00035A10">
        <w:rPr>
          <w:i/>
          <w:iCs/>
        </w:rPr>
        <w:t xml:space="preserve"> </w:t>
      </w:r>
      <w:r>
        <w:rPr>
          <w:i/>
          <w:iCs/>
        </w:rPr>
        <w:t xml:space="preserve">4 </w:t>
      </w:r>
      <w:r w:rsidR="00F8290C" w:rsidRPr="00035A10">
        <w:rPr>
          <w:i/>
          <w:iCs/>
        </w:rPr>
        <w:t>mm</w:t>
      </w:r>
      <w:r w:rsidR="00F8290C" w:rsidRPr="00F8290C">
        <w:rPr>
          <w:i/>
          <w:iCs/>
        </w:rPr>
        <w:t xml:space="preserve"> h</w:t>
      </w:r>
      <w:r w:rsidR="00F8290C" w:rsidRPr="00F8290C">
        <w:rPr>
          <w:i/>
          <w:iCs/>
          <w:vertAlign w:val="superscript"/>
        </w:rPr>
        <w:t>-1</w:t>
      </w:r>
      <w:r w:rsidR="00F8290C">
        <w:t xml:space="preserve"> </w:t>
      </w:r>
      <w:r>
        <w:t>bin but did not encounter any precipitation that had a rate greater than 4</w:t>
      </w:r>
      <w:r w:rsidRPr="00F8290C">
        <w:t xml:space="preserve"> </w:t>
      </w:r>
      <w:r w:rsidR="00F8290C" w:rsidRPr="00F8290C">
        <w:t>mm h</w:t>
      </w:r>
      <w:r w:rsidR="00F8290C" w:rsidRPr="00F8290C">
        <w:rPr>
          <w:vertAlign w:val="superscript"/>
        </w:rPr>
        <w:t>-1</w:t>
      </w:r>
      <w:r>
        <w:t>.</w:t>
      </w:r>
    </w:p>
    <w:p w14:paraId="78B6B86C" w14:textId="413A7F79" w:rsidR="00323D29" w:rsidRDefault="00323D29" w:rsidP="00DD754C">
      <w:pPr>
        <w:pStyle w:val="BodyText"/>
        <w:jc w:val="both"/>
      </w:pPr>
      <w:r w:rsidRPr="00792E6A">
        <w:rPr>
          <w:highlight w:val="yellow"/>
        </w:rPr>
        <w:fldChar w:fldCharType="begin"/>
      </w:r>
      <w:r w:rsidRPr="00792E6A">
        <w:rPr>
          <w:highlight w:val="yellow"/>
        </w:rPr>
        <w:instrText xml:space="preserve"> REF _Ref79590715 \h </w:instrText>
      </w:r>
      <w:r w:rsidR="00DD754C" w:rsidRPr="00792E6A">
        <w:rPr>
          <w:highlight w:val="yellow"/>
        </w:rPr>
        <w:instrText xml:space="preserve"> \* MERGEFORMAT </w:instrText>
      </w:r>
      <w:r w:rsidRPr="00792E6A">
        <w:rPr>
          <w:highlight w:val="yellow"/>
        </w:rPr>
      </w:r>
      <w:r w:rsidRPr="00792E6A">
        <w:rPr>
          <w:highlight w:val="yellow"/>
        </w:rPr>
        <w:fldChar w:fldCharType="separate"/>
      </w:r>
      <w:r w:rsidR="00926FE3" w:rsidRPr="00BD67F0">
        <w:t xml:space="preserve">Table </w:t>
      </w:r>
      <w:r w:rsidR="00926FE3">
        <w:rPr>
          <w:noProof/>
        </w:rPr>
        <w:t>3</w:t>
      </w:r>
      <w:r w:rsidRPr="00792E6A">
        <w:rPr>
          <w:highlight w:val="yellow"/>
        </w:rPr>
        <w:fldChar w:fldCharType="end"/>
      </w:r>
      <w:r w:rsidRPr="00792E6A">
        <w:t xml:space="preserve"> shows </w:t>
      </w:r>
      <w:r w:rsidRPr="00BD67F0">
        <w:t xml:space="preserve">that for hypothetical two-day releases, all sites have non-zero values in all the </w:t>
      </w:r>
      <w:r w:rsidRPr="005E1D97">
        <w:t xml:space="preserve">precipitation-rate bins. When looking at the value in the highest-rate bin </w:t>
      </w:r>
      <w:r w:rsidRPr="005E1D97">
        <w:rPr>
          <w:i/>
          <w:iCs/>
        </w:rPr>
        <w:t>(&gt; 8 mm</w:t>
      </w:r>
      <w:r w:rsidR="00F8290C" w:rsidRPr="00F8290C">
        <w:rPr>
          <w:i/>
          <w:iCs/>
        </w:rPr>
        <w:t xml:space="preserve"> h</w:t>
      </w:r>
      <w:r w:rsidR="00F8290C" w:rsidRPr="00F8290C">
        <w:rPr>
          <w:i/>
          <w:iCs/>
          <w:vertAlign w:val="superscript"/>
        </w:rPr>
        <w:t>-1</w:t>
      </w:r>
      <w:r w:rsidRPr="005E1D97">
        <w:t xml:space="preserve">), it is notable that the value for Seathwaite is significantly greater than for any other site. On the other hand, when looking at the </w:t>
      </w:r>
      <w:r w:rsidRPr="005E1D97">
        <w:rPr>
          <w:i/>
          <w:iCs/>
        </w:rPr>
        <w:t xml:space="preserve">0 </w:t>
      </w:r>
      <w:r w:rsidR="00F8290C" w:rsidRPr="00035A10">
        <w:rPr>
          <w:i/>
          <w:iCs/>
        </w:rPr>
        <w:t>mm</w:t>
      </w:r>
      <w:r w:rsidR="00F8290C" w:rsidRPr="00F8290C">
        <w:rPr>
          <w:i/>
          <w:iCs/>
        </w:rPr>
        <w:t xml:space="preserve"> h</w:t>
      </w:r>
      <w:r w:rsidR="00F8290C" w:rsidRPr="00F8290C">
        <w:rPr>
          <w:i/>
          <w:iCs/>
          <w:vertAlign w:val="superscript"/>
        </w:rPr>
        <w:t>-1</w:t>
      </w:r>
      <w:r w:rsidR="00F8290C">
        <w:t xml:space="preserve"> </w:t>
      </w:r>
      <w:r w:rsidRPr="005E1D97">
        <w:t>bin, the value for Ardlui is lower than for any other site.</w:t>
      </w:r>
    </w:p>
    <w:p w14:paraId="30C3E927" w14:textId="38B8B7B5" w:rsidR="00323D29" w:rsidRDefault="00323D29" w:rsidP="00DD754C">
      <w:pPr>
        <w:pStyle w:val="BodyTextEND"/>
        <w:jc w:val="both"/>
      </w:pPr>
      <w:r w:rsidRPr="00792E6A">
        <w:rPr>
          <w:highlight w:val="yellow"/>
        </w:rPr>
        <w:fldChar w:fldCharType="begin"/>
      </w:r>
      <w:r w:rsidRPr="00792E6A">
        <w:rPr>
          <w:highlight w:val="yellow"/>
        </w:rPr>
        <w:instrText xml:space="preserve"> REF _Ref79590743 \h </w:instrText>
      </w:r>
      <w:r w:rsidR="00DD754C" w:rsidRPr="00792E6A">
        <w:rPr>
          <w:highlight w:val="yellow"/>
        </w:rPr>
        <w:instrText xml:space="preserve"> \* MERGEFORMAT </w:instrText>
      </w:r>
      <w:r w:rsidRPr="00792E6A">
        <w:rPr>
          <w:highlight w:val="yellow"/>
        </w:rPr>
      </w:r>
      <w:r w:rsidRPr="00792E6A">
        <w:rPr>
          <w:highlight w:val="yellow"/>
        </w:rPr>
        <w:fldChar w:fldCharType="separate"/>
      </w:r>
      <w:r w:rsidR="00926FE3" w:rsidRPr="00BD67F0">
        <w:t xml:space="preserve">Table </w:t>
      </w:r>
      <w:r w:rsidR="00926FE3">
        <w:rPr>
          <w:noProof/>
        </w:rPr>
        <w:t>4</w:t>
      </w:r>
      <w:r w:rsidRPr="00792E6A">
        <w:rPr>
          <w:highlight w:val="yellow"/>
        </w:rPr>
        <w:fldChar w:fldCharType="end"/>
      </w:r>
      <w:r w:rsidRPr="00792E6A">
        <w:t xml:space="preserve"> shows </w:t>
      </w:r>
      <w:r w:rsidRPr="00BD67F0">
        <w:t xml:space="preserve">that for hypothetical eight-hour releases, it is still the case that all sites have </w:t>
      </w:r>
      <w:r w:rsidRPr="005E1D97">
        <w:t xml:space="preserve">non-zero values in all the precipitation-rate bins. It is also still the case that the highest value in the </w:t>
      </w:r>
      <w:r w:rsidRPr="005E1D97">
        <w:rPr>
          <w:i/>
          <w:iCs/>
        </w:rPr>
        <w:t xml:space="preserve">&gt; 8 </w:t>
      </w:r>
      <w:r w:rsidR="00F8290C" w:rsidRPr="00035A10">
        <w:rPr>
          <w:i/>
          <w:iCs/>
        </w:rPr>
        <w:t>mm</w:t>
      </w:r>
      <w:r w:rsidR="00F8290C" w:rsidRPr="00F8290C">
        <w:rPr>
          <w:i/>
          <w:iCs/>
        </w:rPr>
        <w:t xml:space="preserve"> h</w:t>
      </w:r>
      <w:r w:rsidR="00F8290C" w:rsidRPr="00F8290C">
        <w:rPr>
          <w:i/>
          <w:iCs/>
          <w:vertAlign w:val="superscript"/>
        </w:rPr>
        <w:t>-1</w:t>
      </w:r>
      <w:r w:rsidR="00F8290C">
        <w:t xml:space="preserve"> </w:t>
      </w:r>
      <w:r w:rsidRPr="005E1D97">
        <w:t xml:space="preserve">bin occurs for Seathwaite and the lowest value in the </w:t>
      </w:r>
      <w:r w:rsidRPr="005E1D97">
        <w:rPr>
          <w:i/>
          <w:iCs/>
        </w:rPr>
        <w:t xml:space="preserve">0 </w:t>
      </w:r>
      <w:r w:rsidR="00F8290C" w:rsidRPr="00035A10">
        <w:rPr>
          <w:i/>
          <w:iCs/>
        </w:rPr>
        <w:t>mm</w:t>
      </w:r>
      <w:r w:rsidR="00F8290C" w:rsidRPr="00F8290C">
        <w:rPr>
          <w:i/>
          <w:iCs/>
        </w:rPr>
        <w:t xml:space="preserve"> h</w:t>
      </w:r>
      <w:r w:rsidR="00F8290C" w:rsidRPr="00F8290C">
        <w:rPr>
          <w:i/>
          <w:iCs/>
          <w:vertAlign w:val="superscript"/>
        </w:rPr>
        <w:t>-1</w:t>
      </w:r>
      <w:r w:rsidR="00F8290C">
        <w:t xml:space="preserve"> </w:t>
      </w:r>
      <w:r w:rsidRPr="005E1D97">
        <w:t>bin occurs for Ardlui.</w:t>
      </w:r>
    </w:p>
    <w:p w14:paraId="2AC0C43E" w14:textId="6EF46E38" w:rsidR="00D03F53" w:rsidRDefault="00D03F53" w:rsidP="00D03F53">
      <w:pPr>
        <w:pStyle w:val="Heading3"/>
      </w:pPr>
      <w:bookmarkStart w:id="30" w:name="_Ref88635080"/>
      <w:bookmarkStart w:id="31" w:name="_Toc89966364"/>
      <w:r w:rsidRPr="00D03F53">
        <w:t>Precipitation during Pasquill Stability Category F conditions</w:t>
      </w:r>
      <w:bookmarkEnd w:id="30"/>
      <w:bookmarkEnd w:id="31"/>
    </w:p>
    <w:p w14:paraId="0E2F5741" w14:textId="52442C6C" w:rsidR="00D03F53" w:rsidRPr="00D03F53" w:rsidRDefault="00D03F53" w:rsidP="00BD1581">
      <w:pPr>
        <w:pStyle w:val="BodyText"/>
        <w:jc w:val="both"/>
      </w:pPr>
      <w:r w:rsidRPr="00D03F53">
        <w:t xml:space="preserve">As presented in the </w:t>
      </w:r>
      <w:r w:rsidR="00BD1581">
        <w:t xml:space="preserve">following </w:t>
      </w:r>
      <w:r w:rsidRPr="00D03F53">
        <w:t xml:space="preserve">sections, parts of the present study specifically considered Pasquill Stability Category D wet conditions and Pasquill Stability Category F dry conditions. </w:t>
      </w:r>
      <w:r w:rsidR="00BD1581">
        <w:t>L</w:t>
      </w:r>
      <w:r w:rsidRPr="00D03F53">
        <w:t>icensees typically assume Category F dry conditions when carrying out Design Basis Analysis. Those conditions are chosen because they are generally considered to represent a conservative assumption. Category D wet conditions were considered in the present study, as those also represent a potentially conservative assumption.</w:t>
      </w:r>
    </w:p>
    <w:p w14:paraId="44753645" w14:textId="69AA6F8A" w:rsidR="00D03F53" w:rsidRPr="00D03F53" w:rsidRDefault="00D03F53" w:rsidP="00BD1581">
      <w:pPr>
        <w:pStyle w:val="BodyText"/>
        <w:jc w:val="both"/>
      </w:pPr>
      <w:r w:rsidRPr="00D03F53">
        <w:t xml:space="preserve">In principle, it would also have been possible to consider Category F wet conditions. Such conditions may be even more conservative than the ones considered; however, they were assumed to be rare enough that including them in the study would not have been </w:t>
      </w:r>
      <w:r w:rsidR="00F95988">
        <w:t>warranted</w:t>
      </w:r>
      <w:r w:rsidRPr="00D03F53">
        <w:t xml:space="preserve">. An illustration of the likelihood of encountering such conditions in reality </w:t>
      </w:r>
      <w:r w:rsidR="00FF396D">
        <w:t>was considered in this study</w:t>
      </w:r>
      <w:r w:rsidRPr="00D03F53">
        <w:t>.</w:t>
      </w:r>
    </w:p>
    <w:p w14:paraId="5FAFE0BD" w14:textId="6412D991" w:rsidR="00D03F53" w:rsidRDefault="00D03F53" w:rsidP="00BD1581">
      <w:pPr>
        <w:pStyle w:val="BodyTextEND"/>
        <w:jc w:val="both"/>
      </w:pPr>
      <w:r w:rsidRPr="00D03F53">
        <w:t xml:space="preserve">Pasquill Stability Category information was extracted from the NWP met data described above. For each of the six locations considered in the present study, the number of occurrences of Category F wet conditions during 2018-2020 was calculated. Specifically, the period 2018-2020 consisted of 26,304 hours, with each individual hour assigned a single Pasquill Stability Category. The results for each </w:t>
      </w:r>
      <w:r w:rsidR="00BD1581">
        <w:t>location</w:t>
      </w:r>
      <w:r w:rsidRPr="00D03F53">
        <w:t xml:space="preserve"> are shown in the following table.</w:t>
      </w:r>
    </w:p>
    <w:p w14:paraId="6976F217" w14:textId="066ACD06" w:rsidR="00D03F53" w:rsidRDefault="002A1ED3" w:rsidP="002A1ED3">
      <w:pPr>
        <w:pStyle w:val="Tablecaption"/>
      </w:pPr>
      <w:r>
        <w:t xml:space="preserve">Table </w:t>
      </w:r>
      <w:fldSimple w:instr=" SEQ Table \* ARABIC ">
        <w:r w:rsidR="00926FE3">
          <w:rPr>
            <w:noProof/>
          </w:rPr>
          <w:t>5</w:t>
        </w:r>
      </w:fldSimple>
      <w:r>
        <w:t xml:space="preserve">: </w:t>
      </w:r>
      <w:r w:rsidR="00D03F53">
        <w:t>Likelihood of Pasquill Stability Category F (PSC F) and likelihood of PSC F wet conditions</w:t>
      </w:r>
    </w:p>
    <w:tbl>
      <w:tblPr>
        <w:tblStyle w:val="CRCEReportTable"/>
        <w:tblW w:w="0" w:type="auto"/>
        <w:jc w:val="center"/>
        <w:tblInd w:w="0" w:type="dxa"/>
        <w:tblLook w:val="04A0" w:firstRow="1" w:lastRow="0" w:firstColumn="1" w:lastColumn="0" w:noHBand="0" w:noVBand="1"/>
      </w:tblPr>
      <w:tblGrid>
        <w:gridCol w:w="1701"/>
        <w:gridCol w:w="1021"/>
        <w:gridCol w:w="1021"/>
        <w:gridCol w:w="1021"/>
        <w:gridCol w:w="1021"/>
        <w:gridCol w:w="1021"/>
        <w:gridCol w:w="1021"/>
      </w:tblGrid>
      <w:tr w:rsidR="002A1ED3" w14:paraId="6DB7B598" w14:textId="77777777" w:rsidTr="002A1ED3">
        <w:trPr>
          <w:cnfStyle w:val="100000000000" w:firstRow="1" w:lastRow="0" w:firstColumn="0" w:lastColumn="0" w:oddVBand="0" w:evenVBand="0" w:oddHBand="0" w:evenHBand="0" w:firstRowFirstColumn="0" w:firstRowLastColumn="0" w:lastRowFirstColumn="0" w:lastRowLastColumn="0"/>
          <w:jc w:val="center"/>
        </w:trPr>
        <w:tc>
          <w:tcPr>
            <w:tcW w:w="1701" w:type="dxa"/>
            <w:vAlign w:val="center"/>
          </w:tcPr>
          <w:p w14:paraId="29A20E67" w14:textId="77777777" w:rsidR="002A1ED3" w:rsidRDefault="002A1ED3" w:rsidP="002A1ED3">
            <w:pPr>
              <w:pStyle w:val="Tableentry"/>
              <w:jc w:val="center"/>
            </w:pPr>
          </w:p>
        </w:tc>
        <w:tc>
          <w:tcPr>
            <w:tcW w:w="1021" w:type="dxa"/>
            <w:vAlign w:val="center"/>
          </w:tcPr>
          <w:p w14:paraId="490F5750" w14:textId="08A3DE8C" w:rsidR="002A1ED3" w:rsidRDefault="002A1ED3" w:rsidP="002A1ED3">
            <w:pPr>
              <w:pStyle w:val="Tableentry"/>
              <w:jc w:val="center"/>
            </w:pPr>
            <w:r w:rsidRPr="00C22958">
              <w:t>Ardlui</w:t>
            </w:r>
          </w:p>
        </w:tc>
        <w:tc>
          <w:tcPr>
            <w:tcW w:w="1021" w:type="dxa"/>
            <w:vAlign w:val="center"/>
          </w:tcPr>
          <w:p w14:paraId="6C95865B" w14:textId="119D5CCE" w:rsidR="002A1ED3" w:rsidRDefault="002A1ED3" w:rsidP="002A1ED3">
            <w:pPr>
              <w:pStyle w:val="Tableentry"/>
              <w:jc w:val="center"/>
            </w:pPr>
            <w:r w:rsidRPr="00C22958">
              <w:t>Bradwell</w:t>
            </w:r>
          </w:p>
        </w:tc>
        <w:tc>
          <w:tcPr>
            <w:tcW w:w="1021" w:type="dxa"/>
            <w:vAlign w:val="center"/>
          </w:tcPr>
          <w:p w14:paraId="3F503949" w14:textId="5CFE0A4C" w:rsidR="002A1ED3" w:rsidRDefault="002A1ED3" w:rsidP="002A1ED3">
            <w:pPr>
              <w:pStyle w:val="Tableentry"/>
              <w:jc w:val="center"/>
            </w:pPr>
            <w:r w:rsidRPr="00C22958">
              <w:t>Ely</w:t>
            </w:r>
          </w:p>
        </w:tc>
        <w:tc>
          <w:tcPr>
            <w:tcW w:w="1021" w:type="dxa"/>
            <w:vAlign w:val="center"/>
          </w:tcPr>
          <w:p w14:paraId="03B2727A" w14:textId="18DE000B" w:rsidR="002A1ED3" w:rsidRDefault="002A1ED3" w:rsidP="002A1ED3">
            <w:pPr>
              <w:pStyle w:val="Tableentry"/>
              <w:jc w:val="center"/>
            </w:pPr>
            <w:r w:rsidRPr="00C22958">
              <w:t>Hinkley</w:t>
            </w:r>
          </w:p>
        </w:tc>
        <w:tc>
          <w:tcPr>
            <w:tcW w:w="1021" w:type="dxa"/>
            <w:vAlign w:val="center"/>
          </w:tcPr>
          <w:p w14:paraId="6FDE5456" w14:textId="17B47832" w:rsidR="002A1ED3" w:rsidRDefault="002A1ED3" w:rsidP="002A1ED3">
            <w:pPr>
              <w:pStyle w:val="Tableentry"/>
              <w:jc w:val="center"/>
            </w:pPr>
            <w:r w:rsidRPr="00C22958">
              <w:t>Seathwaite</w:t>
            </w:r>
          </w:p>
        </w:tc>
        <w:tc>
          <w:tcPr>
            <w:tcW w:w="1021" w:type="dxa"/>
            <w:vAlign w:val="center"/>
          </w:tcPr>
          <w:p w14:paraId="3F5652EA" w14:textId="0173D39C" w:rsidR="002A1ED3" w:rsidRDefault="002A1ED3" w:rsidP="002A1ED3">
            <w:pPr>
              <w:pStyle w:val="Tableentry"/>
              <w:jc w:val="center"/>
            </w:pPr>
            <w:r w:rsidRPr="00C22958">
              <w:t>Trawsfynydd</w:t>
            </w:r>
          </w:p>
        </w:tc>
      </w:tr>
      <w:tr w:rsidR="002A1ED3" w14:paraId="093C92E1" w14:textId="77777777" w:rsidTr="002A1ED3">
        <w:trPr>
          <w:cnfStyle w:val="100000000000" w:firstRow="1" w:lastRow="0" w:firstColumn="0" w:lastColumn="0" w:oddVBand="0" w:evenVBand="0" w:oddHBand="0" w:evenHBand="0" w:firstRowFirstColumn="0" w:firstRowLastColumn="0" w:lastRowFirstColumn="0" w:lastRowLastColumn="0"/>
          <w:jc w:val="center"/>
        </w:trPr>
        <w:tc>
          <w:tcPr>
            <w:tcW w:w="1701" w:type="dxa"/>
            <w:vAlign w:val="center"/>
          </w:tcPr>
          <w:p w14:paraId="3BBE7936" w14:textId="7ED2BFE7" w:rsidR="002A1ED3" w:rsidRDefault="002A1ED3" w:rsidP="002A1ED3">
            <w:pPr>
              <w:pStyle w:val="Tableentry"/>
              <w:jc w:val="center"/>
            </w:pPr>
            <w:r w:rsidRPr="00764256">
              <w:t>Number of hours that are PSC F</w:t>
            </w:r>
          </w:p>
        </w:tc>
        <w:tc>
          <w:tcPr>
            <w:tcW w:w="1021" w:type="dxa"/>
            <w:vAlign w:val="center"/>
          </w:tcPr>
          <w:p w14:paraId="153CE32A" w14:textId="6F2E8F74" w:rsidR="002A1ED3" w:rsidRDefault="002A1ED3" w:rsidP="002A1ED3">
            <w:pPr>
              <w:pStyle w:val="Tableentry"/>
              <w:jc w:val="center"/>
            </w:pPr>
            <w:r w:rsidRPr="00D57995">
              <w:t>2392</w:t>
            </w:r>
          </w:p>
        </w:tc>
        <w:tc>
          <w:tcPr>
            <w:tcW w:w="1021" w:type="dxa"/>
            <w:vAlign w:val="center"/>
          </w:tcPr>
          <w:p w14:paraId="5BE36DDD" w14:textId="6842387E" w:rsidR="002A1ED3" w:rsidRDefault="002A1ED3" w:rsidP="002A1ED3">
            <w:pPr>
              <w:pStyle w:val="Tableentry"/>
              <w:jc w:val="center"/>
            </w:pPr>
            <w:r w:rsidRPr="00D57995">
              <w:t>765</w:t>
            </w:r>
          </w:p>
        </w:tc>
        <w:tc>
          <w:tcPr>
            <w:tcW w:w="1021" w:type="dxa"/>
            <w:vAlign w:val="center"/>
          </w:tcPr>
          <w:p w14:paraId="3EFAAC8C" w14:textId="4F7E3495" w:rsidR="002A1ED3" w:rsidRDefault="002A1ED3" w:rsidP="002A1ED3">
            <w:pPr>
              <w:pStyle w:val="Tableentry"/>
              <w:jc w:val="center"/>
            </w:pPr>
            <w:r w:rsidRPr="00D57995">
              <w:t>2161</w:t>
            </w:r>
          </w:p>
        </w:tc>
        <w:tc>
          <w:tcPr>
            <w:tcW w:w="1021" w:type="dxa"/>
            <w:vAlign w:val="center"/>
          </w:tcPr>
          <w:p w14:paraId="31BA5AF7" w14:textId="37B406CE" w:rsidR="002A1ED3" w:rsidRDefault="002A1ED3" w:rsidP="002A1ED3">
            <w:pPr>
              <w:pStyle w:val="Tableentry"/>
              <w:jc w:val="center"/>
            </w:pPr>
            <w:r w:rsidRPr="00D57995">
              <w:t>574</w:t>
            </w:r>
          </w:p>
        </w:tc>
        <w:tc>
          <w:tcPr>
            <w:tcW w:w="1021" w:type="dxa"/>
            <w:vAlign w:val="center"/>
          </w:tcPr>
          <w:p w14:paraId="554082FB" w14:textId="1075DC0A" w:rsidR="002A1ED3" w:rsidRDefault="002A1ED3" w:rsidP="002A1ED3">
            <w:pPr>
              <w:pStyle w:val="Tableentry"/>
              <w:jc w:val="center"/>
            </w:pPr>
            <w:r w:rsidRPr="00D57995">
              <w:t>1428</w:t>
            </w:r>
          </w:p>
        </w:tc>
        <w:tc>
          <w:tcPr>
            <w:tcW w:w="1021" w:type="dxa"/>
            <w:vAlign w:val="center"/>
          </w:tcPr>
          <w:p w14:paraId="26EDBB71" w14:textId="14871EE3" w:rsidR="002A1ED3" w:rsidRDefault="002A1ED3" w:rsidP="002A1ED3">
            <w:pPr>
              <w:pStyle w:val="Tableentry"/>
              <w:jc w:val="center"/>
            </w:pPr>
            <w:r w:rsidRPr="00D57995">
              <w:t>2453</w:t>
            </w:r>
          </w:p>
        </w:tc>
      </w:tr>
      <w:tr w:rsidR="002A1ED3" w14:paraId="47C99D98" w14:textId="77777777" w:rsidTr="002A1ED3">
        <w:trPr>
          <w:cnfStyle w:val="100000000000" w:firstRow="1" w:lastRow="0" w:firstColumn="0" w:lastColumn="0" w:oddVBand="0" w:evenVBand="0" w:oddHBand="0" w:evenHBand="0" w:firstRowFirstColumn="0" w:firstRowLastColumn="0" w:lastRowFirstColumn="0" w:lastRowLastColumn="0"/>
          <w:jc w:val="center"/>
        </w:trPr>
        <w:tc>
          <w:tcPr>
            <w:tcW w:w="1701" w:type="dxa"/>
            <w:vAlign w:val="center"/>
          </w:tcPr>
          <w:p w14:paraId="73DB7762" w14:textId="76190C5B" w:rsidR="002A1ED3" w:rsidRDefault="002A1ED3" w:rsidP="002A1ED3">
            <w:pPr>
              <w:pStyle w:val="Tableentry"/>
              <w:jc w:val="center"/>
            </w:pPr>
            <w:r w:rsidRPr="00764256">
              <w:t>Percentage of hours that are PSC F</w:t>
            </w:r>
          </w:p>
        </w:tc>
        <w:tc>
          <w:tcPr>
            <w:tcW w:w="1021" w:type="dxa"/>
            <w:vAlign w:val="center"/>
          </w:tcPr>
          <w:p w14:paraId="457FECE7" w14:textId="1EB8A73C" w:rsidR="002A1ED3" w:rsidRDefault="002A1ED3" w:rsidP="002A1ED3">
            <w:pPr>
              <w:pStyle w:val="Tableentry"/>
              <w:jc w:val="center"/>
            </w:pPr>
            <w:r w:rsidRPr="00D57995">
              <w:t>9.1</w:t>
            </w:r>
          </w:p>
        </w:tc>
        <w:tc>
          <w:tcPr>
            <w:tcW w:w="1021" w:type="dxa"/>
            <w:vAlign w:val="center"/>
          </w:tcPr>
          <w:p w14:paraId="57B02EF6" w14:textId="2CF46830" w:rsidR="002A1ED3" w:rsidRDefault="002A1ED3" w:rsidP="002A1ED3">
            <w:pPr>
              <w:pStyle w:val="Tableentry"/>
              <w:jc w:val="center"/>
            </w:pPr>
            <w:r w:rsidRPr="00D57995">
              <w:t>2.9</w:t>
            </w:r>
          </w:p>
        </w:tc>
        <w:tc>
          <w:tcPr>
            <w:tcW w:w="1021" w:type="dxa"/>
            <w:vAlign w:val="center"/>
          </w:tcPr>
          <w:p w14:paraId="1D06736D" w14:textId="374DC68A" w:rsidR="002A1ED3" w:rsidRDefault="002A1ED3" w:rsidP="002A1ED3">
            <w:pPr>
              <w:pStyle w:val="Tableentry"/>
              <w:jc w:val="center"/>
            </w:pPr>
            <w:r w:rsidRPr="00D57995">
              <w:t>8.2</w:t>
            </w:r>
          </w:p>
        </w:tc>
        <w:tc>
          <w:tcPr>
            <w:tcW w:w="1021" w:type="dxa"/>
            <w:vAlign w:val="center"/>
          </w:tcPr>
          <w:p w14:paraId="1B86F132" w14:textId="3DC67273" w:rsidR="002A1ED3" w:rsidRDefault="002A1ED3" w:rsidP="002A1ED3">
            <w:pPr>
              <w:pStyle w:val="Tableentry"/>
              <w:jc w:val="center"/>
            </w:pPr>
            <w:r w:rsidRPr="00D57995">
              <w:t>2.2</w:t>
            </w:r>
          </w:p>
        </w:tc>
        <w:tc>
          <w:tcPr>
            <w:tcW w:w="1021" w:type="dxa"/>
            <w:vAlign w:val="center"/>
          </w:tcPr>
          <w:p w14:paraId="22DFC16A" w14:textId="01218936" w:rsidR="002A1ED3" w:rsidRDefault="002A1ED3" w:rsidP="002A1ED3">
            <w:pPr>
              <w:pStyle w:val="Tableentry"/>
              <w:jc w:val="center"/>
            </w:pPr>
            <w:r w:rsidRPr="00D57995">
              <w:t>5.4</w:t>
            </w:r>
          </w:p>
        </w:tc>
        <w:tc>
          <w:tcPr>
            <w:tcW w:w="1021" w:type="dxa"/>
            <w:vAlign w:val="center"/>
          </w:tcPr>
          <w:p w14:paraId="7D0BC676" w14:textId="7E999183" w:rsidR="002A1ED3" w:rsidRDefault="002A1ED3" w:rsidP="002A1ED3">
            <w:pPr>
              <w:pStyle w:val="Tableentry"/>
              <w:jc w:val="center"/>
            </w:pPr>
            <w:r w:rsidRPr="00D57995">
              <w:t>9.3</w:t>
            </w:r>
          </w:p>
        </w:tc>
      </w:tr>
      <w:tr w:rsidR="002A1ED3" w14:paraId="225EA873" w14:textId="77777777" w:rsidTr="002A1ED3">
        <w:trPr>
          <w:cnfStyle w:val="100000000000" w:firstRow="1" w:lastRow="0" w:firstColumn="0" w:lastColumn="0" w:oddVBand="0" w:evenVBand="0" w:oddHBand="0" w:evenHBand="0" w:firstRowFirstColumn="0" w:firstRowLastColumn="0" w:lastRowFirstColumn="0" w:lastRowLastColumn="0"/>
          <w:jc w:val="center"/>
        </w:trPr>
        <w:tc>
          <w:tcPr>
            <w:tcW w:w="1701" w:type="dxa"/>
            <w:vAlign w:val="center"/>
          </w:tcPr>
          <w:p w14:paraId="1CAFAC75" w14:textId="39FC009C" w:rsidR="002A1ED3" w:rsidRDefault="002A1ED3" w:rsidP="002A1ED3">
            <w:pPr>
              <w:pStyle w:val="Tableentry"/>
              <w:jc w:val="center"/>
            </w:pPr>
            <w:r w:rsidRPr="00764256">
              <w:t>Number of hours that are PSC F wet</w:t>
            </w:r>
          </w:p>
        </w:tc>
        <w:tc>
          <w:tcPr>
            <w:tcW w:w="1021" w:type="dxa"/>
            <w:vAlign w:val="center"/>
          </w:tcPr>
          <w:p w14:paraId="1A77CEFC" w14:textId="647057EF" w:rsidR="002A1ED3" w:rsidRDefault="002A1ED3" w:rsidP="002A1ED3">
            <w:pPr>
              <w:pStyle w:val="Tableentry"/>
              <w:jc w:val="center"/>
            </w:pPr>
            <w:r w:rsidRPr="00D57995">
              <w:t>95</w:t>
            </w:r>
          </w:p>
        </w:tc>
        <w:tc>
          <w:tcPr>
            <w:tcW w:w="1021" w:type="dxa"/>
            <w:vAlign w:val="center"/>
          </w:tcPr>
          <w:p w14:paraId="014C6228" w14:textId="44EA4F41" w:rsidR="002A1ED3" w:rsidRDefault="002A1ED3" w:rsidP="002A1ED3">
            <w:pPr>
              <w:pStyle w:val="Tableentry"/>
              <w:jc w:val="center"/>
            </w:pPr>
            <w:r w:rsidRPr="00D57995">
              <w:t>0</w:t>
            </w:r>
          </w:p>
        </w:tc>
        <w:tc>
          <w:tcPr>
            <w:tcW w:w="1021" w:type="dxa"/>
            <w:vAlign w:val="center"/>
          </w:tcPr>
          <w:p w14:paraId="6A5E4C61" w14:textId="6BEF4BE0" w:rsidR="002A1ED3" w:rsidRDefault="002A1ED3" w:rsidP="002A1ED3">
            <w:pPr>
              <w:pStyle w:val="Tableentry"/>
              <w:jc w:val="center"/>
            </w:pPr>
            <w:r w:rsidRPr="00D57995">
              <w:t>3</w:t>
            </w:r>
          </w:p>
        </w:tc>
        <w:tc>
          <w:tcPr>
            <w:tcW w:w="1021" w:type="dxa"/>
            <w:vAlign w:val="center"/>
          </w:tcPr>
          <w:p w14:paraId="3EA519C1" w14:textId="563EB35B" w:rsidR="002A1ED3" w:rsidRDefault="002A1ED3" w:rsidP="002A1ED3">
            <w:pPr>
              <w:pStyle w:val="Tableentry"/>
              <w:jc w:val="center"/>
            </w:pPr>
            <w:r w:rsidRPr="00D57995">
              <w:t>2</w:t>
            </w:r>
          </w:p>
        </w:tc>
        <w:tc>
          <w:tcPr>
            <w:tcW w:w="1021" w:type="dxa"/>
            <w:vAlign w:val="center"/>
          </w:tcPr>
          <w:p w14:paraId="5ED9D15C" w14:textId="3E7381F3" w:rsidR="002A1ED3" w:rsidRDefault="002A1ED3" w:rsidP="002A1ED3">
            <w:pPr>
              <w:pStyle w:val="Tableentry"/>
              <w:jc w:val="center"/>
            </w:pPr>
            <w:r w:rsidRPr="00D57995">
              <w:t>11</w:t>
            </w:r>
          </w:p>
        </w:tc>
        <w:tc>
          <w:tcPr>
            <w:tcW w:w="1021" w:type="dxa"/>
            <w:vAlign w:val="center"/>
          </w:tcPr>
          <w:p w14:paraId="6541A4DD" w14:textId="704D2396" w:rsidR="002A1ED3" w:rsidRDefault="002A1ED3" w:rsidP="002A1ED3">
            <w:pPr>
              <w:pStyle w:val="Tableentry"/>
              <w:jc w:val="center"/>
            </w:pPr>
            <w:r w:rsidRPr="00D57995">
              <w:t>42</w:t>
            </w:r>
          </w:p>
        </w:tc>
      </w:tr>
      <w:tr w:rsidR="002A1ED3" w14:paraId="62073420" w14:textId="77777777" w:rsidTr="002A1ED3">
        <w:trPr>
          <w:cnfStyle w:val="100000000000" w:firstRow="1" w:lastRow="0" w:firstColumn="0" w:lastColumn="0" w:oddVBand="0" w:evenVBand="0" w:oddHBand="0" w:evenHBand="0" w:firstRowFirstColumn="0" w:firstRowLastColumn="0" w:lastRowFirstColumn="0" w:lastRowLastColumn="0"/>
          <w:jc w:val="center"/>
        </w:trPr>
        <w:tc>
          <w:tcPr>
            <w:tcW w:w="1701" w:type="dxa"/>
            <w:vAlign w:val="center"/>
          </w:tcPr>
          <w:p w14:paraId="2471086A" w14:textId="13B03CC3" w:rsidR="002A1ED3" w:rsidRDefault="002A1ED3" w:rsidP="002A1ED3">
            <w:pPr>
              <w:pStyle w:val="Tableentry"/>
              <w:jc w:val="center"/>
            </w:pPr>
            <w:r w:rsidRPr="00764256">
              <w:t>Percentage of hours that are PSC F wet</w:t>
            </w:r>
          </w:p>
        </w:tc>
        <w:tc>
          <w:tcPr>
            <w:tcW w:w="1021" w:type="dxa"/>
            <w:vAlign w:val="center"/>
          </w:tcPr>
          <w:p w14:paraId="1F5C8CAC" w14:textId="5A5B294D" w:rsidR="002A1ED3" w:rsidRDefault="002A1ED3" w:rsidP="002A1ED3">
            <w:pPr>
              <w:pStyle w:val="Tableentry"/>
              <w:jc w:val="center"/>
            </w:pPr>
            <w:r w:rsidRPr="00D57995">
              <w:t>0.36</w:t>
            </w:r>
          </w:p>
        </w:tc>
        <w:tc>
          <w:tcPr>
            <w:tcW w:w="1021" w:type="dxa"/>
            <w:vAlign w:val="center"/>
          </w:tcPr>
          <w:p w14:paraId="3C8D64DF" w14:textId="764C59E4" w:rsidR="002A1ED3" w:rsidRDefault="002A1ED3" w:rsidP="002A1ED3">
            <w:pPr>
              <w:pStyle w:val="Tableentry"/>
              <w:jc w:val="center"/>
            </w:pPr>
            <w:r w:rsidRPr="00D57995">
              <w:t>0.00</w:t>
            </w:r>
          </w:p>
        </w:tc>
        <w:tc>
          <w:tcPr>
            <w:tcW w:w="1021" w:type="dxa"/>
            <w:vAlign w:val="center"/>
          </w:tcPr>
          <w:p w14:paraId="1763964E" w14:textId="6A2187BF" w:rsidR="002A1ED3" w:rsidRDefault="002A1ED3" w:rsidP="002A1ED3">
            <w:pPr>
              <w:pStyle w:val="Tableentry"/>
              <w:jc w:val="center"/>
            </w:pPr>
            <w:r w:rsidRPr="00D57995">
              <w:t>0.01</w:t>
            </w:r>
          </w:p>
        </w:tc>
        <w:tc>
          <w:tcPr>
            <w:tcW w:w="1021" w:type="dxa"/>
            <w:vAlign w:val="center"/>
          </w:tcPr>
          <w:p w14:paraId="6289F943" w14:textId="23619769" w:rsidR="002A1ED3" w:rsidRDefault="002A1ED3" w:rsidP="002A1ED3">
            <w:pPr>
              <w:pStyle w:val="Tableentry"/>
              <w:jc w:val="center"/>
            </w:pPr>
            <w:r w:rsidRPr="00D57995">
              <w:t>0.01</w:t>
            </w:r>
          </w:p>
        </w:tc>
        <w:tc>
          <w:tcPr>
            <w:tcW w:w="1021" w:type="dxa"/>
            <w:vAlign w:val="center"/>
          </w:tcPr>
          <w:p w14:paraId="622C71C1" w14:textId="71FA55A2" w:rsidR="002A1ED3" w:rsidRDefault="002A1ED3" w:rsidP="002A1ED3">
            <w:pPr>
              <w:pStyle w:val="Tableentry"/>
              <w:jc w:val="center"/>
            </w:pPr>
            <w:r w:rsidRPr="00D57995">
              <w:t>0.04</w:t>
            </w:r>
          </w:p>
        </w:tc>
        <w:tc>
          <w:tcPr>
            <w:tcW w:w="1021" w:type="dxa"/>
            <w:vAlign w:val="center"/>
          </w:tcPr>
          <w:p w14:paraId="5E14E0F6" w14:textId="2BB4146D" w:rsidR="002A1ED3" w:rsidRDefault="002A1ED3" w:rsidP="002A1ED3">
            <w:pPr>
              <w:pStyle w:val="Tableentry"/>
              <w:jc w:val="center"/>
            </w:pPr>
            <w:r w:rsidRPr="00D57995">
              <w:t>0.16</w:t>
            </w:r>
          </w:p>
        </w:tc>
      </w:tr>
      <w:tr w:rsidR="002A1ED3" w14:paraId="489492B8" w14:textId="77777777" w:rsidTr="002A1ED3">
        <w:trPr>
          <w:cnfStyle w:val="100000000000" w:firstRow="1" w:lastRow="0" w:firstColumn="0" w:lastColumn="0" w:oddVBand="0" w:evenVBand="0" w:oddHBand="0" w:evenHBand="0" w:firstRowFirstColumn="0" w:firstRowLastColumn="0" w:lastRowFirstColumn="0" w:lastRowLastColumn="0"/>
          <w:jc w:val="center"/>
        </w:trPr>
        <w:tc>
          <w:tcPr>
            <w:tcW w:w="1701" w:type="dxa"/>
            <w:vAlign w:val="center"/>
          </w:tcPr>
          <w:p w14:paraId="4967AC01" w14:textId="6B17C161" w:rsidR="002A1ED3" w:rsidRDefault="002A1ED3" w:rsidP="002A1ED3">
            <w:pPr>
              <w:pStyle w:val="Tableentry"/>
              <w:jc w:val="center"/>
            </w:pPr>
            <w:r w:rsidRPr="00764256">
              <w:t>Percentage of PSC F hours that are wet</w:t>
            </w:r>
          </w:p>
        </w:tc>
        <w:tc>
          <w:tcPr>
            <w:tcW w:w="1021" w:type="dxa"/>
            <w:vAlign w:val="center"/>
          </w:tcPr>
          <w:p w14:paraId="293E9049" w14:textId="368054B8" w:rsidR="002A1ED3" w:rsidRDefault="002A1ED3" w:rsidP="002A1ED3">
            <w:pPr>
              <w:pStyle w:val="Tableentry"/>
              <w:jc w:val="center"/>
            </w:pPr>
            <w:r w:rsidRPr="00D57995">
              <w:t>3.97</w:t>
            </w:r>
          </w:p>
        </w:tc>
        <w:tc>
          <w:tcPr>
            <w:tcW w:w="1021" w:type="dxa"/>
            <w:vAlign w:val="center"/>
          </w:tcPr>
          <w:p w14:paraId="603205E7" w14:textId="743ED661" w:rsidR="002A1ED3" w:rsidRDefault="002A1ED3" w:rsidP="002A1ED3">
            <w:pPr>
              <w:pStyle w:val="Tableentry"/>
              <w:jc w:val="center"/>
            </w:pPr>
            <w:r w:rsidRPr="00D57995">
              <w:t>0.00</w:t>
            </w:r>
          </w:p>
        </w:tc>
        <w:tc>
          <w:tcPr>
            <w:tcW w:w="1021" w:type="dxa"/>
            <w:vAlign w:val="center"/>
          </w:tcPr>
          <w:p w14:paraId="7A195065" w14:textId="29B348A4" w:rsidR="002A1ED3" w:rsidRDefault="002A1ED3" w:rsidP="002A1ED3">
            <w:pPr>
              <w:pStyle w:val="Tableentry"/>
              <w:jc w:val="center"/>
            </w:pPr>
            <w:r w:rsidRPr="00D57995">
              <w:t>0.14</w:t>
            </w:r>
          </w:p>
        </w:tc>
        <w:tc>
          <w:tcPr>
            <w:tcW w:w="1021" w:type="dxa"/>
            <w:vAlign w:val="center"/>
          </w:tcPr>
          <w:p w14:paraId="382E3EF5" w14:textId="5DF689BA" w:rsidR="002A1ED3" w:rsidRDefault="002A1ED3" w:rsidP="002A1ED3">
            <w:pPr>
              <w:pStyle w:val="Tableentry"/>
              <w:jc w:val="center"/>
            </w:pPr>
            <w:r w:rsidRPr="00D57995">
              <w:t>0.35</w:t>
            </w:r>
          </w:p>
        </w:tc>
        <w:tc>
          <w:tcPr>
            <w:tcW w:w="1021" w:type="dxa"/>
            <w:vAlign w:val="center"/>
          </w:tcPr>
          <w:p w14:paraId="6132180A" w14:textId="560E8FB7" w:rsidR="002A1ED3" w:rsidRDefault="002A1ED3" w:rsidP="002A1ED3">
            <w:pPr>
              <w:pStyle w:val="Tableentry"/>
              <w:jc w:val="center"/>
            </w:pPr>
            <w:r w:rsidRPr="00D57995">
              <w:t>0.77</w:t>
            </w:r>
          </w:p>
        </w:tc>
        <w:tc>
          <w:tcPr>
            <w:tcW w:w="1021" w:type="dxa"/>
            <w:vAlign w:val="center"/>
          </w:tcPr>
          <w:p w14:paraId="59D12C12" w14:textId="07AC55F2" w:rsidR="002A1ED3" w:rsidRDefault="002A1ED3" w:rsidP="002A1ED3">
            <w:pPr>
              <w:pStyle w:val="Tableentry"/>
              <w:jc w:val="center"/>
            </w:pPr>
            <w:r w:rsidRPr="00D57995">
              <w:t>1.71</w:t>
            </w:r>
          </w:p>
        </w:tc>
      </w:tr>
    </w:tbl>
    <w:p w14:paraId="09B2EE7B" w14:textId="2E3A3409" w:rsidR="00D03F53" w:rsidRDefault="00D03F53" w:rsidP="002A1ED3">
      <w:pPr>
        <w:pStyle w:val="BodyText"/>
      </w:pPr>
    </w:p>
    <w:p w14:paraId="0019F778" w14:textId="5124BFEC" w:rsidR="00D03F53" w:rsidRDefault="00D03F53" w:rsidP="00BD1581">
      <w:pPr>
        <w:pStyle w:val="BodyTextEND"/>
        <w:jc w:val="both"/>
      </w:pPr>
      <w:r w:rsidRPr="00D03F53">
        <w:t>Whilst the above table shows how often precipitation occurred during Category F conditions, it does not show how heavy the precipitation was. The following table provides more detailed results by allocating each Category F wet hour into a precipitation rate bin.</w:t>
      </w:r>
    </w:p>
    <w:p w14:paraId="09E3B194" w14:textId="21CFF541" w:rsidR="002A1ED3" w:rsidRDefault="000E26DA" w:rsidP="000E26DA">
      <w:pPr>
        <w:pStyle w:val="Tablecaption"/>
      </w:pPr>
      <w:r>
        <w:t xml:space="preserve">Table </w:t>
      </w:r>
      <w:fldSimple w:instr=" SEQ Table \* ARABIC ">
        <w:r w:rsidR="00926FE3">
          <w:rPr>
            <w:noProof/>
          </w:rPr>
          <w:t>6</w:t>
        </w:r>
      </w:fldSimple>
      <w:r>
        <w:t xml:space="preserve">: </w:t>
      </w:r>
      <w:r w:rsidRPr="007509E1">
        <w:t>Number of P</w:t>
      </w:r>
      <w:r>
        <w:t xml:space="preserve">asquill </w:t>
      </w:r>
      <w:r w:rsidRPr="007509E1">
        <w:t>S</w:t>
      </w:r>
      <w:r>
        <w:t xml:space="preserve">tability </w:t>
      </w:r>
      <w:r w:rsidRPr="007509E1">
        <w:t>C</w:t>
      </w:r>
      <w:r>
        <w:t>ategory</w:t>
      </w:r>
      <w:r w:rsidRPr="007509E1">
        <w:t xml:space="preserve"> F wet hours in each precip</w:t>
      </w:r>
      <w:r>
        <w:t>itation</w:t>
      </w:r>
      <w:r w:rsidRPr="007509E1">
        <w:t xml:space="preserve"> rate bin</w:t>
      </w:r>
    </w:p>
    <w:tbl>
      <w:tblPr>
        <w:tblStyle w:val="CRCEReportTable"/>
        <w:tblW w:w="0" w:type="auto"/>
        <w:jc w:val="center"/>
        <w:tblInd w:w="0" w:type="dxa"/>
        <w:tblLook w:val="04A0" w:firstRow="1" w:lastRow="0" w:firstColumn="1" w:lastColumn="0" w:noHBand="0" w:noVBand="1"/>
      </w:tblPr>
      <w:tblGrid>
        <w:gridCol w:w="1192"/>
        <w:gridCol w:w="1021"/>
        <w:gridCol w:w="1021"/>
        <w:gridCol w:w="1021"/>
        <w:gridCol w:w="1021"/>
        <w:gridCol w:w="1021"/>
        <w:gridCol w:w="1021"/>
      </w:tblGrid>
      <w:tr w:rsidR="000E26DA" w14:paraId="755FC48D" w14:textId="77777777" w:rsidTr="000E26DA">
        <w:trPr>
          <w:cnfStyle w:val="100000000000" w:firstRow="1" w:lastRow="0" w:firstColumn="0" w:lastColumn="0" w:oddVBand="0" w:evenVBand="0" w:oddHBand="0" w:evenHBand="0" w:firstRowFirstColumn="0" w:firstRowLastColumn="0" w:lastRowFirstColumn="0" w:lastRowLastColumn="0"/>
          <w:jc w:val="center"/>
        </w:trPr>
        <w:tc>
          <w:tcPr>
            <w:tcW w:w="1192" w:type="dxa"/>
            <w:vAlign w:val="center"/>
          </w:tcPr>
          <w:p w14:paraId="5F78D39D" w14:textId="20EC4AF4" w:rsidR="000E26DA" w:rsidRPr="000E26DA" w:rsidRDefault="000E26DA" w:rsidP="000E26DA">
            <w:pPr>
              <w:pStyle w:val="Tableentry"/>
              <w:jc w:val="center"/>
            </w:pPr>
            <w:r w:rsidRPr="00BF720F">
              <w:t>Precip</w:t>
            </w:r>
            <w:r>
              <w:t xml:space="preserve">itation </w:t>
            </w:r>
            <w:r w:rsidRPr="00BF720F">
              <w:t>rate</w:t>
            </w:r>
            <w:r>
              <w:t xml:space="preserve"> (mm h</w:t>
            </w:r>
            <w:r>
              <w:rPr>
                <w:vertAlign w:val="superscript"/>
              </w:rPr>
              <w:t>-1</w:t>
            </w:r>
            <w:r>
              <w:t>)</w:t>
            </w:r>
          </w:p>
        </w:tc>
        <w:tc>
          <w:tcPr>
            <w:tcW w:w="1021" w:type="dxa"/>
            <w:vAlign w:val="center"/>
          </w:tcPr>
          <w:p w14:paraId="395B1AE8" w14:textId="11AEBDD6" w:rsidR="000E26DA" w:rsidRDefault="000E26DA" w:rsidP="000E26DA">
            <w:pPr>
              <w:pStyle w:val="Tableentry"/>
              <w:jc w:val="center"/>
            </w:pPr>
            <w:r w:rsidRPr="00BF720F">
              <w:t>Ardlui</w:t>
            </w:r>
          </w:p>
        </w:tc>
        <w:tc>
          <w:tcPr>
            <w:tcW w:w="1021" w:type="dxa"/>
            <w:vAlign w:val="center"/>
          </w:tcPr>
          <w:p w14:paraId="77240D32" w14:textId="77B57F73" w:rsidR="000E26DA" w:rsidRDefault="000E26DA" w:rsidP="000E26DA">
            <w:pPr>
              <w:pStyle w:val="Tableentry"/>
              <w:jc w:val="center"/>
            </w:pPr>
            <w:r w:rsidRPr="00BF720F">
              <w:t>Bradwell</w:t>
            </w:r>
          </w:p>
        </w:tc>
        <w:tc>
          <w:tcPr>
            <w:tcW w:w="1021" w:type="dxa"/>
            <w:vAlign w:val="center"/>
          </w:tcPr>
          <w:p w14:paraId="3D1B2BFA" w14:textId="08E74E46" w:rsidR="000E26DA" w:rsidRDefault="000E26DA" w:rsidP="000E26DA">
            <w:pPr>
              <w:pStyle w:val="Tableentry"/>
              <w:jc w:val="center"/>
            </w:pPr>
            <w:r w:rsidRPr="00BF720F">
              <w:t>Ely</w:t>
            </w:r>
          </w:p>
        </w:tc>
        <w:tc>
          <w:tcPr>
            <w:tcW w:w="1021" w:type="dxa"/>
            <w:vAlign w:val="center"/>
          </w:tcPr>
          <w:p w14:paraId="5672F68D" w14:textId="2CB291B2" w:rsidR="000E26DA" w:rsidRDefault="000E26DA" w:rsidP="000E26DA">
            <w:pPr>
              <w:pStyle w:val="Tableentry"/>
              <w:jc w:val="center"/>
            </w:pPr>
            <w:r w:rsidRPr="00BF720F">
              <w:t>Hinkley</w:t>
            </w:r>
          </w:p>
        </w:tc>
        <w:tc>
          <w:tcPr>
            <w:tcW w:w="1021" w:type="dxa"/>
            <w:vAlign w:val="center"/>
          </w:tcPr>
          <w:p w14:paraId="13696C2C" w14:textId="598C3154" w:rsidR="000E26DA" w:rsidRDefault="000E26DA" w:rsidP="000E26DA">
            <w:pPr>
              <w:pStyle w:val="Tableentry"/>
              <w:jc w:val="center"/>
            </w:pPr>
            <w:r w:rsidRPr="00BF720F">
              <w:t>Seathwaite</w:t>
            </w:r>
          </w:p>
        </w:tc>
        <w:tc>
          <w:tcPr>
            <w:tcW w:w="1021" w:type="dxa"/>
            <w:vAlign w:val="center"/>
          </w:tcPr>
          <w:p w14:paraId="4E678B81" w14:textId="724D5148" w:rsidR="000E26DA" w:rsidRDefault="000E26DA" w:rsidP="000E26DA">
            <w:pPr>
              <w:pStyle w:val="Tableentry"/>
              <w:jc w:val="center"/>
            </w:pPr>
            <w:r w:rsidRPr="00BF720F">
              <w:t>Trawsfynydd</w:t>
            </w:r>
          </w:p>
        </w:tc>
      </w:tr>
      <w:tr w:rsidR="000E26DA" w14:paraId="7383AE06" w14:textId="77777777" w:rsidTr="000E26DA">
        <w:trPr>
          <w:cnfStyle w:val="100000000000" w:firstRow="1" w:lastRow="0" w:firstColumn="0" w:lastColumn="0" w:oddVBand="0" w:evenVBand="0" w:oddHBand="0" w:evenHBand="0" w:firstRowFirstColumn="0" w:firstRowLastColumn="0" w:lastRowFirstColumn="0" w:lastRowLastColumn="0"/>
          <w:jc w:val="center"/>
        </w:trPr>
        <w:tc>
          <w:tcPr>
            <w:tcW w:w="1192" w:type="dxa"/>
            <w:vAlign w:val="center"/>
          </w:tcPr>
          <w:p w14:paraId="76045C9D" w14:textId="39CC24FC" w:rsidR="000E26DA" w:rsidRPr="000E26DA" w:rsidRDefault="000E26DA" w:rsidP="000E26DA">
            <w:pPr>
              <w:pStyle w:val="BodyText"/>
              <w:ind w:left="0"/>
              <w:jc w:val="center"/>
              <w:rPr>
                <w:bCs/>
                <w:color w:val="auto"/>
                <w:sz w:val="16"/>
                <w:szCs w:val="18"/>
              </w:rPr>
            </w:pPr>
            <w:r w:rsidRPr="000E26DA">
              <w:rPr>
                <w:bCs/>
                <w:color w:val="auto"/>
                <w:sz w:val="16"/>
                <w:szCs w:val="18"/>
              </w:rPr>
              <w:t>0 - 0.01</w:t>
            </w:r>
          </w:p>
        </w:tc>
        <w:tc>
          <w:tcPr>
            <w:tcW w:w="1021" w:type="dxa"/>
            <w:vAlign w:val="center"/>
          </w:tcPr>
          <w:p w14:paraId="2061FBEE" w14:textId="2007C926" w:rsidR="000E26DA" w:rsidRPr="000E26DA" w:rsidRDefault="000E26DA" w:rsidP="000E26DA">
            <w:pPr>
              <w:pStyle w:val="BodyText"/>
              <w:ind w:left="0"/>
              <w:jc w:val="center"/>
              <w:rPr>
                <w:bCs/>
                <w:color w:val="auto"/>
                <w:sz w:val="16"/>
                <w:szCs w:val="18"/>
              </w:rPr>
            </w:pPr>
            <w:r w:rsidRPr="000E26DA">
              <w:rPr>
                <w:bCs/>
                <w:color w:val="auto"/>
                <w:sz w:val="16"/>
                <w:szCs w:val="18"/>
              </w:rPr>
              <w:t>30</w:t>
            </w:r>
          </w:p>
        </w:tc>
        <w:tc>
          <w:tcPr>
            <w:tcW w:w="1021" w:type="dxa"/>
            <w:vAlign w:val="center"/>
          </w:tcPr>
          <w:p w14:paraId="6A0AADE7" w14:textId="65BC8D0C"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36BE6BF5" w14:textId="0D7BE1D3" w:rsidR="000E26DA" w:rsidRPr="000E26DA" w:rsidRDefault="000E26DA" w:rsidP="000E26DA">
            <w:pPr>
              <w:pStyle w:val="BodyText"/>
              <w:ind w:left="0"/>
              <w:jc w:val="center"/>
              <w:rPr>
                <w:bCs/>
                <w:color w:val="auto"/>
                <w:sz w:val="16"/>
                <w:szCs w:val="18"/>
              </w:rPr>
            </w:pPr>
            <w:r w:rsidRPr="000E26DA">
              <w:rPr>
                <w:bCs/>
                <w:color w:val="auto"/>
                <w:sz w:val="16"/>
                <w:szCs w:val="18"/>
              </w:rPr>
              <w:t>1</w:t>
            </w:r>
          </w:p>
        </w:tc>
        <w:tc>
          <w:tcPr>
            <w:tcW w:w="1021" w:type="dxa"/>
            <w:vAlign w:val="center"/>
          </w:tcPr>
          <w:p w14:paraId="42406534" w14:textId="649314AC" w:rsidR="000E26DA" w:rsidRPr="000E26DA" w:rsidRDefault="000E26DA" w:rsidP="000E26DA">
            <w:pPr>
              <w:pStyle w:val="BodyText"/>
              <w:ind w:left="0"/>
              <w:jc w:val="center"/>
              <w:rPr>
                <w:bCs/>
                <w:color w:val="auto"/>
                <w:sz w:val="16"/>
                <w:szCs w:val="18"/>
              </w:rPr>
            </w:pPr>
            <w:r w:rsidRPr="000E26DA">
              <w:rPr>
                <w:bCs/>
                <w:color w:val="auto"/>
                <w:sz w:val="16"/>
                <w:szCs w:val="18"/>
              </w:rPr>
              <w:t>1</w:t>
            </w:r>
          </w:p>
        </w:tc>
        <w:tc>
          <w:tcPr>
            <w:tcW w:w="1021" w:type="dxa"/>
            <w:vAlign w:val="center"/>
          </w:tcPr>
          <w:p w14:paraId="3B775581" w14:textId="798CED16" w:rsidR="000E26DA" w:rsidRPr="000E26DA" w:rsidRDefault="000E26DA" w:rsidP="000E26DA">
            <w:pPr>
              <w:pStyle w:val="BodyText"/>
              <w:ind w:left="0"/>
              <w:jc w:val="center"/>
              <w:rPr>
                <w:bCs/>
                <w:color w:val="auto"/>
                <w:sz w:val="16"/>
                <w:szCs w:val="18"/>
              </w:rPr>
            </w:pPr>
            <w:r w:rsidRPr="000E26DA">
              <w:rPr>
                <w:bCs/>
                <w:color w:val="auto"/>
                <w:sz w:val="16"/>
                <w:szCs w:val="18"/>
              </w:rPr>
              <w:t>1</w:t>
            </w:r>
          </w:p>
        </w:tc>
        <w:tc>
          <w:tcPr>
            <w:tcW w:w="1021" w:type="dxa"/>
            <w:vAlign w:val="center"/>
          </w:tcPr>
          <w:p w14:paraId="6C1818FE" w14:textId="2E7066B2" w:rsidR="000E26DA" w:rsidRPr="000E26DA" w:rsidRDefault="000E26DA" w:rsidP="000E26DA">
            <w:pPr>
              <w:pStyle w:val="BodyText"/>
              <w:ind w:left="0"/>
              <w:jc w:val="center"/>
              <w:rPr>
                <w:bCs/>
                <w:color w:val="auto"/>
                <w:sz w:val="16"/>
                <w:szCs w:val="18"/>
              </w:rPr>
            </w:pPr>
            <w:r w:rsidRPr="000E26DA">
              <w:rPr>
                <w:bCs/>
                <w:color w:val="auto"/>
                <w:sz w:val="16"/>
                <w:szCs w:val="18"/>
              </w:rPr>
              <w:t>15</w:t>
            </w:r>
          </w:p>
        </w:tc>
      </w:tr>
      <w:tr w:rsidR="000E26DA" w14:paraId="3A0A7CD1" w14:textId="77777777" w:rsidTr="000E26DA">
        <w:trPr>
          <w:cnfStyle w:val="100000000000" w:firstRow="1" w:lastRow="0" w:firstColumn="0" w:lastColumn="0" w:oddVBand="0" w:evenVBand="0" w:oddHBand="0" w:evenHBand="0" w:firstRowFirstColumn="0" w:firstRowLastColumn="0" w:lastRowFirstColumn="0" w:lastRowLastColumn="0"/>
          <w:jc w:val="center"/>
        </w:trPr>
        <w:tc>
          <w:tcPr>
            <w:tcW w:w="1192" w:type="dxa"/>
            <w:vAlign w:val="center"/>
          </w:tcPr>
          <w:p w14:paraId="1DB80FCC" w14:textId="67B3B462" w:rsidR="000E26DA" w:rsidRPr="000E26DA" w:rsidRDefault="000E26DA" w:rsidP="000E26DA">
            <w:pPr>
              <w:pStyle w:val="BodyText"/>
              <w:ind w:left="0"/>
              <w:jc w:val="center"/>
              <w:rPr>
                <w:bCs/>
                <w:color w:val="auto"/>
                <w:sz w:val="16"/>
                <w:szCs w:val="18"/>
              </w:rPr>
            </w:pPr>
            <w:r w:rsidRPr="000E26DA">
              <w:rPr>
                <w:bCs/>
                <w:color w:val="auto"/>
                <w:sz w:val="16"/>
                <w:szCs w:val="18"/>
              </w:rPr>
              <w:t>0.01 - 0.1</w:t>
            </w:r>
          </w:p>
        </w:tc>
        <w:tc>
          <w:tcPr>
            <w:tcW w:w="1021" w:type="dxa"/>
            <w:vAlign w:val="center"/>
          </w:tcPr>
          <w:p w14:paraId="3942C313" w14:textId="29207E53" w:rsidR="000E26DA" w:rsidRPr="000E26DA" w:rsidRDefault="000E26DA" w:rsidP="000E26DA">
            <w:pPr>
              <w:pStyle w:val="BodyText"/>
              <w:ind w:left="0"/>
              <w:jc w:val="center"/>
              <w:rPr>
                <w:bCs/>
                <w:color w:val="auto"/>
                <w:sz w:val="16"/>
                <w:szCs w:val="18"/>
              </w:rPr>
            </w:pPr>
            <w:r w:rsidRPr="000E26DA">
              <w:rPr>
                <w:bCs/>
                <w:color w:val="auto"/>
                <w:sz w:val="16"/>
                <w:szCs w:val="18"/>
              </w:rPr>
              <w:t>38</w:t>
            </w:r>
          </w:p>
        </w:tc>
        <w:tc>
          <w:tcPr>
            <w:tcW w:w="1021" w:type="dxa"/>
            <w:vAlign w:val="center"/>
          </w:tcPr>
          <w:p w14:paraId="5142920F" w14:textId="5E9B10D0"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01EA2158" w14:textId="7DE0F385" w:rsidR="000E26DA" w:rsidRPr="000E26DA" w:rsidRDefault="000E26DA" w:rsidP="000E26DA">
            <w:pPr>
              <w:pStyle w:val="BodyText"/>
              <w:ind w:left="0"/>
              <w:jc w:val="center"/>
              <w:rPr>
                <w:bCs/>
                <w:color w:val="auto"/>
                <w:sz w:val="16"/>
                <w:szCs w:val="18"/>
              </w:rPr>
            </w:pPr>
            <w:r w:rsidRPr="000E26DA">
              <w:rPr>
                <w:bCs/>
                <w:color w:val="auto"/>
                <w:sz w:val="16"/>
                <w:szCs w:val="18"/>
              </w:rPr>
              <w:t>1</w:t>
            </w:r>
          </w:p>
        </w:tc>
        <w:tc>
          <w:tcPr>
            <w:tcW w:w="1021" w:type="dxa"/>
            <w:vAlign w:val="center"/>
          </w:tcPr>
          <w:p w14:paraId="0E0DE2EC" w14:textId="39EB2E1A" w:rsidR="000E26DA" w:rsidRPr="000E26DA" w:rsidRDefault="000E26DA" w:rsidP="000E26DA">
            <w:pPr>
              <w:pStyle w:val="BodyText"/>
              <w:ind w:left="0"/>
              <w:jc w:val="center"/>
              <w:rPr>
                <w:bCs/>
                <w:color w:val="auto"/>
                <w:sz w:val="16"/>
                <w:szCs w:val="18"/>
              </w:rPr>
            </w:pPr>
            <w:r w:rsidRPr="000E26DA">
              <w:rPr>
                <w:bCs/>
                <w:color w:val="auto"/>
                <w:sz w:val="16"/>
                <w:szCs w:val="18"/>
              </w:rPr>
              <w:t>1</w:t>
            </w:r>
          </w:p>
        </w:tc>
        <w:tc>
          <w:tcPr>
            <w:tcW w:w="1021" w:type="dxa"/>
            <w:vAlign w:val="center"/>
          </w:tcPr>
          <w:p w14:paraId="45C722D2" w14:textId="0E546DCB" w:rsidR="000E26DA" w:rsidRPr="000E26DA" w:rsidRDefault="000E26DA" w:rsidP="000E26DA">
            <w:pPr>
              <w:pStyle w:val="BodyText"/>
              <w:ind w:left="0"/>
              <w:jc w:val="center"/>
              <w:rPr>
                <w:bCs/>
                <w:color w:val="auto"/>
                <w:sz w:val="16"/>
                <w:szCs w:val="18"/>
              </w:rPr>
            </w:pPr>
            <w:r w:rsidRPr="000E26DA">
              <w:rPr>
                <w:bCs/>
                <w:color w:val="auto"/>
                <w:sz w:val="16"/>
                <w:szCs w:val="18"/>
              </w:rPr>
              <w:t>3</w:t>
            </w:r>
          </w:p>
        </w:tc>
        <w:tc>
          <w:tcPr>
            <w:tcW w:w="1021" w:type="dxa"/>
            <w:vAlign w:val="center"/>
          </w:tcPr>
          <w:p w14:paraId="038FADC8" w14:textId="5804D01F" w:rsidR="000E26DA" w:rsidRPr="000E26DA" w:rsidRDefault="000E26DA" w:rsidP="000E26DA">
            <w:pPr>
              <w:pStyle w:val="BodyText"/>
              <w:ind w:left="0"/>
              <w:jc w:val="center"/>
              <w:rPr>
                <w:bCs/>
                <w:color w:val="auto"/>
                <w:sz w:val="16"/>
                <w:szCs w:val="18"/>
              </w:rPr>
            </w:pPr>
            <w:r w:rsidRPr="000E26DA">
              <w:rPr>
                <w:bCs/>
                <w:color w:val="auto"/>
                <w:sz w:val="16"/>
                <w:szCs w:val="18"/>
              </w:rPr>
              <w:t>15</w:t>
            </w:r>
          </w:p>
        </w:tc>
      </w:tr>
      <w:tr w:rsidR="000E26DA" w14:paraId="25878B40" w14:textId="77777777" w:rsidTr="000E26DA">
        <w:trPr>
          <w:cnfStyle w:val="100000000000" w:firstRow="1" w:lastRow="0" w:firstColumn="0" w:lastColumn="0" w:oddVBand="0" w:evenVBand="0" w:oddHBand="0" w:evenHBand="0" w:firstRowFirstColumn="0" w:firstRowLastColumn="0" w:lastRowFirstColumn="0" w:lastRowLastColumn="0"/>
          <w:jc w:val="center"/>
        </w:trPr>
        <w:tc>
          <w:tcPr>
            <w:tcW w:w="1192" w:type="dxa"/>
            <w:vAlign w:val="center"/>
          </w:tcPr>
          <w:p w14:paraId="3F632961" w14:textId="741BEF76" w:rsidR="000E26DA" w:rsidRPr="000E26DA" w:rsidRDefault="000E26DA" w:rsidP="000E26DA">
            <w:pPr>
              <w:pStyle w:val="BodyText"/>
              <w:ind w:left="0"/>
              <w:jc w:val="center"/>
              <w:rPr>
                <w:bCs/>
                <w:color w:val="auto"/>
                <w:sz w:val="16"/>
                <w:szCs w:val="18"/>
              </w:rPr>
            </w:pPr>
            <w:r w:rsidRPr="000E26DA">
              <w:rPr>
                <w:bCs/>
                <w:color w:val="auto"/>
                <w:sz w:val="16"/>
                <w:szCs w:val="18"/>
              </w:rPr>
              <w:t>0.1 - 1</w:t>
            </w:r>
          </w:p>
        </w:tc>
        <w:tc>
          <w:tcPr>
            <w:tcW w:w="1021" w:type="dxa"/>
            <w:vAlign w:val="center"/>
          </w:tcPr>
          <w:p w14:paraId="5A3744B4" w14:textId="4BB12B20" w:rsidR="000E26DA" w:rsidRPr="000E26DA" w:rsidRDefault="000E26DA" w:rsidP="000E26DA">
            <w:pPr>
              <w:pStyle w:val="BodyText"/>
              <w:ind w:left="0"/>
              <w:jc w:val="center"/>
              <w:rPr>
                <w:bCs/>
                <w:color w:val="auto"/>
                <w:sz w:val="16"/>
                <w:szCs w:val="18"/>
              </w:rPr>
            </w:pPr>
            <w:r w:rsidRPr="000E26DA">
              <w:rPr>
                <w:bCs/>
                <w:color w:val="auto"/>
                <w:sz w:val="16"/>
                <w:szCs w:val="18"/>
              </w:rPr>
              <w:t>21</w:t>
            </w:r>
          </w:p>
        </w:tc>
        <w:tc>
          <w:tcPr>
            <w:tcW w:w="1021" w:type="dxa"/>
            <w:vAlign w:val="center"/>
          </w:tcPr>
          <w:p w14:paraId="15539EC3" w14:textId="66D039BF"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43FE4B7F" w14:textId="5D444D65"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0DA32ADF" w14:textId="205A02F2"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47B0576C" w14:textId="382FBCEE" w:rsidR="000E26DA" w:rsidRPr="000E26DA" w:rsidRDefault="000E26DA" w:rsidP="000E26DA">
            <w:pPr>
              <w:pStyle w:val="BodyText"/>
              <w:ind w:left="0"/>
              <w:jc w:val="center"/>
              <w:rPr>
                <w:bCs/>
                <w:color w:val="auto"/>
                <w:sz w:val="16"/>
                <w:szCs w:val="18"/>
              </w:rPr>
            </w:pPr>
            <w:r w:rsidRPr="000E26DA">
              <w:rPr>
                <w:bCs/>
                <w:color w:val="auto"/>
                <w:sz w:val="16"/>
                <w:szCs w:val="18"/>
              </w:rPr>
              <w:t>5</w:t>
            </w:r>
          </w:p>
        </w:tc>
        <w:tc>
          <w:tcPr>
            <w:tcW w:w="1021" w:type="dxa"/>
            <w:vAlign w:val="center"/>
          </w:tcPr>
          <w:p w14:paraId="53169CBB" w14:textId="1A6FC716" w:rsidR="000E26DA" w:rsidRPr="000E26DA" w:rsidRDefault="000E26DA" w:rsidP="000E26DA">
            <w:pPr>
              <w:pStyle w:val="BodyText"/>
              <w:ind w:left="0"/>
              <w:jc w:val="center"/>
              <w:rPr>
                <w:bCs/>
                <w:color w:val="auto"/>
                <w:sz w:val="16"/>
                <w:szCs w:val="18"/>
              </w:rPr>
            </w:pPr>
            <w:r w:rsidRPr="000E26DA">
              <w:rPr>
                <w:bCs/>
                <w:color w:val="auto"/>
                <w:sz w:val="16"/>
                <w:szCs w:val="18"/>
              </w:rPr>
              <w:t>11</w:t>
            </w:r>
          </w:p>
        </w:tc>
      </w:tr>
      <w:tr w:rsidR="000E26DA" w14:paraId="420B817C" w14:textId="77777777" w:rsidTr="000E26DA">
        <w:trPr>
          <w:cnfStyle w:val="100000000000" w:firstRow="1" w:lastRow="0" w:firstColumn="0" w:lastColumn="0" w:oddVBand="0" w:evenVBand="0" w:oddHBand="0" w:evenHBand="0" w:firstRowFirstColumn="0" w:firstRowLastColumn="0" w:lastRowFirstColumn="0" w:lastRowLastColumn="0"/>
          <w:jc w:val="center"/>
        </w:trPr>
        <w:tc>
          <w:tcPr>
            <w:tcW w:w="1192" w:type="dxa"/>
            <w:vAlign w:val="center"/>
          </w:tcPr>
          <w:p w14:paraId="5BF5DD81" w14:textId="6EBE763A" w:rsidR="000E26DA" w:rsidRPr="000E26DA" w:rsidRDefault="000E26DA" w:rsidP="000E26DA">
            <w:pPr>
              <w:pStyle w:val="BodyText"/>
              <w:ind w:left="0"/>
              <w:jc w:val="center"/>
              <w:rPr>
                <w:bCs/>
                <w:color w:val="auto"/>
                <w:sz w:val="16"/>
                <w:szCs w:val="18"/>
              </w:rPr>
            </w:pPr>
            <w:r w:rsidRPr="000E26DA">
              <w:rPr>
                <w:bCs/>
                <w:color w:val="auto"/>
                <w:sz w:val="16"/>
                <w:szCs w:val="18"/>
              </w:rPr>
              <w:t>1 - 2</w:t>
            </w:r>
          </w:p>
        </w:tc>
        <w:tc>
          <w:tcPr>
            <w:tcW w:w="1021" w:type="dxa"/>
            <w:vAlign w:val="center"/>
          </w:tcPr>
          <w:p w14:paraId="023F941B" w14:textId="4D355B8D" w:rsidR="000E26DA" w:rsidRPr="000E26DA" w:rsidRDefault="000E26DA" w:rsidP="000E26DA">
            <w:pPr>
              <w:pStyle w:val="BodyText"/>
              <w:ind w:left="0"/>
              <w:jc w:val="center"/>
              <w:rPr>
                <w:bCs/>
                <w:color w:val="auto"/>
                <w:sz w:val="16"/>
                <w:szCs w:val="18"/>
              </w:rPr>
            </w:pPr>
            <w:r w:rsidRPr="000E26DA">
              <w:rPr>
                <w:bCs/>
                <w:color w:val="auto"/>
                <w:sz w:val="16"/>
                <w:szCs w:val="18"/>
              </w:rPr>
              <w:t>5</w:t>
            </w:r>
          </w:p>
        </w:tc>
        <w:tc>
          <w:tcPr>
            <w:tcW w:w="1021" w:type="dxa"/>
            <w:vAlign w:val="center"/>
          </w:tcPr>
          <w:p w14:paraId="5C21750C" w14:textId="130611C8"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0A9431C5" w14:textId="6AE4EC29" w:rsidR="000E26DA" w:rsidRPr="000E26DA" w:rsidRDefault="000E26DA" w:rsidP="000E26DA">
            <w:pPr>
              <w:pStyle w:val="BodyText"/>
              <w:ind w:left="0"/>
              <w:jc w:val="center"/>
              <w:rPr>
                <w:bCs/>
                <w:color w:val="auto"/>
                <w:sz w:val="16"/>
                <w:szCs w:val="18"/>
              </w:rPr>
            </w:pPr>
            <w:r w:rsidRPr="000E26DA">
              <w:rPr>
                <w:bCs/>
                <w:color w:val="auto"/>
                <w:sz w:val="16"/>
                <w:szCs w:val="18"/>
              </w:rPr>
              <w:t>1</w:t>
            </w:r>
          </w:p>
        </w:tc>
        <w:tc>
          <w:tcPr>
            <w:tcW w:w="1021" w:type="dxa"/>
            <w:vAlign w:val="center"/>
          </w:tcPr>
          <w:p w14:paraId="724605F7" w14:textId="6B44DE2C"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035FC5CD" w14:textId="4C0C32CC" w:rsidR="000E26DA" w:rsidRPr="000E26DA" w:rsidRDefault="000E26DA" w:rsidP="000E26DA">
            <w:pPr>
              <w:pStyle w:val="BodyText"/>
              <w:ind w:left="0"/>
              <w:jc w:val="center"/>
              <w:rPr>
                <w:bCs/>
                <w:color w:val="auto"/>
                <w:sz w:val="16"/>
                <w:szCs w:val="18"/>
              </w:rPr>
            </w:pPr>
            <w:r w:rsidRPr="000E26DA">
              <w:rPr>
                <w:bCs/>
                <w:color w:val="auto"/>
                <w:sz w:val="16"/>
                <w:szCs w:val="18"/>
              </w:rPr>
              <w:t>2</w:t>
            </w:r>
          </w:p>
        </w:tc>
        <w:tc>
          <w:tcPr>
            <w:tcW w:w="1021" w:type="dxa"/>
            <w:vAlign w:val="center"/>
          </w:tcPr>
          <w:p w14:paraId="0C3400B3" w14:textId="0B059CD8" w:rsidR="000E26DA" w:rsidRPr="000E26DA" w:rsidRDefault="000E26DA" w:rsidP="000E26DA">
            <w:pPr>
              <w:pStyle w:val="BodyText"/>
              <w:ind w:left="0"/>
              <w:jc w:val="center"/>
              <w:rPr>
                <w:bCs/>
                <w:color w:val="auto"/>
                <w:sz w:val="16"/>
                <w:szCs w:val="18"/>
              </w:rPr>
            </w:pPr>
            <w:r w:rsidRPr="000E26DA">
              <w:rPr>
                <w:bCs/>
                <w:color w:val="auto"/>
                <w:sz w:val="16"/>
                <w:szCs w:val="18"/>
              </w:rPr>
              <w:t>0</w:t>
            </w:r>
          </w:p>
        </w:tc>
      </w:tr>
      <w:tr w:rsidR="000E26DA" w14:paraId="32500F2D" w14:textId="77777777" w:rsidTr="000E26DA">
        <w:trPr>
          <w:cnfStyle w:val="100000000000" w:firstRow="1" w:lastRow="0" w:firstColumn="0" w:lastColumn="0" w:oddVBand="0" w:evenVBand="0" w:oddHBand="0" w:evenHBand="0" w:firstRowFirstColumn="0" w:firstRowLastColumn="0" w:lastRowFirstColumn="0" w:lastRowLastColumn="0"/>
          <w:jc w:val="center"/>
        </w:trPr>
        <w:tc>
          <w:tcPr>
            <w:tcW w:w="1192" w:type="dxa"/>
            <w:vAlign w:val="center"/>
          </w:tcPr>
          <w:p w14:paraId="4E733D33" w14:textId="1BCA92B9" w:rsidR="000E26DA" w:rsidRPr="000E26DA" w:rsidRDefault="000E26DA" w:rsidP="000E26DA">
            <w:pPr>
              <w:pStyle w:val="BodyText"/>
              <w:ind w:left="0"/>
              <w:jc w:val="center"/>
              <w:rPr>
                <w:bCs/>
                <w:color w:val="auto"/>
                <w:sz w:val="16"/>
                <w:szCs w:val="18"/>
              </w:rPr>
            </w:pPr>
            <w:r w:rsidRPr="000E26DA">
              <w:rPr>
                <w:bCs/>
                <w:color w:val="auto"/>
                <w:sz w:val="16"/>
                <w:szCs w:val="18"/>
              </w:rPr>
              <w:t>2 - 4</w:t>
            </w:r>
          </w:p>
        </w:tc>
        <w:tc>
          <w:tcPr>
            <w:tcW w:w="1021" w:type="dxa"/>
            <w:vAlign w:val="center"/>
          </w:tcPr>
          <w:p w14:paraId="35FFAE7C" w14:textId="715ED10C" w:rsidR="000E26DA" w:rsidRPr="000E26DA" w:rsidRDefault="000E26DA" w:rsidP="000E26DA">
            <w:pPr>
              <w:pStyle w:val="BodyText"/>
              <w:ind w:left="0"/>
              <w:jc w:val="center"/>
              <w:rPr>
                <w:bCs/>
                <w:color w:val="auto"/>
                <w:sz w:val="16"/>
                <w:szCs w:val="18"/>
              </w:rPr>
            </w:pPr>
            <w:r w:rsidRPr="000E26DA">
              <w:rPr>
                <w:bCs/>
                <w:color w:val="auto"/>
                <w:sz w:val="16"/>
                <w:szCs w:val="18"/>
              </w:rPr>
              <w:t>1</w:t>
            </w:r>
          </w:p>
        </w:tc>
        <w:tc>
          <w:tcPr>
            <w:tcW w:w="1021" w:type="dxa"/>
            <w:vAlign w:val="center"/>
          </w:tcPr>
          <w:p w14:paraId="2CD5A689" w14:textId="5D86BD9B"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1B62A74B" w14:textId="1524D414"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32B8B3B3" w14:textId="40E8C4E7"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72D2B07E" w14:textId="3CD6B041"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17C9C325" w14:textId="13347B64" w:rsidR="000E26DA" w:rsidRPr="000E26DA" w:rsidRDefault="000E26DA" w:rsidP="000E26DA">
            <w:pPr>
              <w:pStyle w:val="BodyText"/>
              <w:ind w:left="0"/>
              <w:jc w:val="center"/>
              <w:rPr>
                <w:bCs/>
                <w:color w:val="auto"/>
                <w:sz w:val="16"/>
                <w:szCs w:val="18"/>
              </w:rPr>
            </w:pPr>
            <w:r w:rsidRPr="000E26DA">
              <w:rPr>
                <w:bCs/>
                <w:color w:val="auto"/>
                <w:sz w:val="16"/>
                <w:szCs w:val="18"/>
              </w:rPr>
              <w:t>1</w:t>
            </w:r>
          </w:p>
        </w:tc>
      </w:tr>
      <w:tr w:rsidR="000E26DA" w14:paraId="27F10B6A" w14:textId="77777777" w:rsidTr="000E26DA">
        <w:trPr>
          <w:cnfStyle w:val="100000000000" w:firstRow="1" w:lastRow="0" w:firstColumn="0" w:lastColumn="0" w:oddVBand="0" w:evenVBand="0" w:oddHBand="0" w:evenHBand="0" w:firstRowFirstColumn="0" w:firstRowLastColumn="0" w:lastRowFirstColumn="0" w:lastRowLastColumn="0"/>
          <w:jc w:val="center"/>
        </w:trPr>
        <w:tc>
          <w:tcPr>
            <w:tcW w:w="1192" w:type="dxa"/>
            <w:vAlign w:val="center"/>
          </w:tcPr>
          <w:p w14:paraId="4462F5AF" w14:textId="456B7C3A" w:rsidR="000E26DA" w:rsidRPr="000E26DA" w:rsidRDefault="000E26DA" w:rsidP="000E26DA">
            <w:pPr>
              <w:pStyle w:val="BodyText"/>
              <w:ind w:left="0"/>
              <w:jc w:val="center"/>
              <w:rPr>
                <w:bCs/>
                <w:color w:val="auto"/>
                <w:sz w:val="16"/>
                <w:szCs w:val="18"/>
              </w:rPr>
            </w:pPr>
            <w:r w:rsidRPr="000E26DA">
              <w:rPr>
                <w:bCs/>
                <w:color w:val="auto"/>
                <w:sz w:val="16"/>
                <w:szCs w:val="18"/>
              </w:rPr>
              <w:t>4 - 8</w:t>
            </w:r>
          </w:p>
        </w:tc>
        <w:tc>
          <w:tcPr>
            <w:tcW w:w="1021" w:type="dxa"/>
            <w:vAlign w:val="center"/>
          </w:tcPr>
          <w:p w14:paraId="2378073A" w14:textId="5F6E73A2"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4EBA0EF1" w14:textId="2B56F28F"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52DC0958" w14:textId="41A41038"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5E5F4DFB" w14:textId="4E0F1DFE"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093F8E4C" w14:textId="34FE7776"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6642B39A" w14:textId="2139A9B5" w:rsidR="000E26DA" w:rsidRPr="000E26DA" w:rsidRDefault="000E26DA" w:rsidP="000E26DA">
            <w:pPr>
              <w:pStyle w:val="BodyText"/>
              <w:ind w:left="0"/>
              <w:jc w:val="center"/>
              <w:rPr>
                <w:bCs/>
                <w:color w:val="auto"/>
                <w:sz w:val="16"/>
                <w:szCs w:val="18"/>
              </w:rPr>
            </w:pPr>
            <w:r w:rsidRPr="000E26DA">
              <w:rPr>
                <w:bCs/>
                <w:color w:val="auto"/>
                <w:sz w:val="16"/>
                <w:szCs w:val="18"/>
              </w:rPr>
              <w:t>0</w:t>
            </w:r>
          </w:p>
        </w:tc>
      </w:tr>
      <w:tr w:rsidR="000E26DA" w14:paraId="0CE2B5FC" w14:textId="77777777" w:rsidTr="000E26DA">
        <w:trPr>
          <w:cnfStyle w:val="100000000000" w:firstRow="1" w:lastRow="0" w:firstColumn="0" w:lastColumn="0" w:oddVBand="0" w:evenVBand="0" w:oddHBand="0" w:evenHBand="0" w:firstRowFirstColumn="0" w:firstRowLastColumn="0" w:lastRowFirstColumn="0" w:lastRowLastColumn="0"/>
          <w:jc w:val="center"/>
        </w:trPr>
        <w:tc>
          <w:tcPr>
            <w:tcW w:w="1192" w:type="dxa"/>
            <w:vAlign w:val="center"/>
          </w:tcPr>
          <w:p w14:paraId="654FADA2" w14:textId="47899FAD" w:rsidR="000E26DA" w:rsidRPr="000E26DA" w:rsidRDefault="000E26DA" w:rsidP="000E26DA">
            <w:pPr>
              <w:pStyle w:val="BodyText"/>
              <w:ind w:left="0"/>
              <w:jc w:val="center"/>
              <w:rPr>
                <w:bCs/>
                <w:color w:val="auto"/>
                <w:sz w:val="16"/>
                <w:szCs w:val="18"/>
              </w:rPr>
            </w:pPr>
            <w:r w:rsidRPr="000E26DA">
              <w:rPr>
                <w:bCs/>
                <w:color w:val="auto"/>
                <w:sz w:val="16"/>
                <w:szCs w:val="18"/>
              </w:rPr>
              <w:t>&gt; 8</w:t>
            </w:r>
          </w:p>
        </w:tc>
        <w:tc>
          <w:tcPr>
            <w:tcW w:w="1021" w:type="dxa"/>
            <w:vAlign w:val="center"/>
          </w:tcPr>
          <w:p w14:paraId="3CC50EAC" w14:textId="3C30554D"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6ED0A8C2" w14:textId="25454EEE"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55E7173B" w14:textId="6EF1BFC6"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1D731CE9" w14:textId="4B56FB6D"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6428CE64" w14:textId="62F85F09" w:rsidR="000E26DA" w:rsidRPr="000E26DA" w:rsidRDefault="000E26DA" w:rsidP="000E26DA">
            <w:pPr>
              <w:pStyle w:val="BodyText"/>
              <w:ind w:left="0"/>
              <w:jc w:val="center"/>
              <w:rPr>
                <w:bCs/>
                <w:color w:val="auto"/>
                <w:sz w:val="16"/>
                <w:szCs w:val="18"/>
              </w:rPr>
            </w:pPr>
            <w:r w:rsidRPr="000E26DA">
              <w:rPr>
                <w:bCs/>
                <w:color w:val="auto"/>
                <w:sz w:val="16"/>
                <w:szCs w:val="18"/>
              </w:rPr>
              <w:t>0</w:t>
            </w:r>
          </w:p>
        </w:tc>
        <w:tc>
          <w:tcPr>
            <w:tcW w:w="1021" w:type="dxa"/>
            <w:vAlign w:val="center"/>
          </w:tcPr>
          <w:p w14:paraId="0C82B191" w14:textId="6D62BF53" w:rsidR="000E26DA" w:rsidRPr="000E26DA" w:rsidRDefault="000E26DA" w:rsidP="000E26DA">
            <w:pPr>
              <w:pStyle w:val="BodyText"/>
              <w:ind w:left="0"/>
              <w:jc w:val="center"/>
              <w:rPr>
                <w:bCs/>
                <w:color w:val="auto"/>
                <w:sz w:val="16"/>
                <w:szCs w:val="18"/>
              </w:rPr>
            </w:pPr>
            <w:r w:rsidRPr="000E26DA">
              <w:rPr>
                <w:bCs/>
                <w:color w:val="auto"/>
                <w:sz w:val="16"/>
                <w:szCs w:val="18"/>
              </w:rPr>
              <w:t>0</w:t>
            </w:r>
          </w:p>
        </w:tc>
      </w:tr>
    </w:tbl>
    <w:p w14:paraId="097F6EDD" w14:textId="77777777" w:rsidR="000E26DA" w:rsidRPr="000E26DA" w:rsidRDefault="000E26DA" w:rsidP="000E26DA">
      <w:pPr>
        <w:pStyle w:val="BodyText"/>
      </w:pPr>
    </w:p>
    <w:p w14:paraId="4DC5258E" w14:textId="23C6552D" w:rsidR="00D03F53" w:rsidRPr="00D03F53" w:rsidRDefault="00D03F53" w:rsidP="00BD1581">
      <w:pPr>
        <w:pStyle w:val="BodyText"/>
        <w:jc w:val="both"/>
      </w:pPr>
      <w:r w:rsidRPr="00D03F53">
        <w:t>The results in the two tables above confirm that Category F wet conditions are rare. Even for Ardlui, which is the location at which such conditions were least rare, less than 0.4% of the hours during 2018-2020 were both Category F and wet.</w:t>
      </w:r>
    </w:p>
    <w:p w14:paraId="3E871124" w14:textId="2B41D1F9" w:rsidR="00D03F53" w:rsidRPr="00D03F53" w:rsidRDefault="00A272C5" w:rsidP="00BD1581">
      <w:pPr>
        <w:pStyle w:val="BodyText"/>
        <w:jc w:val="both"/>
      </w:pPr>
      <w:r>
        <w:t>E</w:t>
      </w:r>
      <w:r w:rsidR="00D03F53" w:rsidRPr="00D03F53">
        <w:t xml:space="preserve">ven when Category F wet conditions did occur, such occurrences tended to be scattered throughout the year, and did not occur in a single block. So even if a release </w:t>
      </w:r>
      <w:r w:rsidR="001C0455">
        <w:t>were to</w:t>
      </w:r>
      <w:r w:rsidR="00D03F53" w:rsidRPr="00D03F53">
        <w:t xml:space="preserve"> encounter Category F wet conditions, it is likely that most of the hours of the release would not be both Category F and wet. This can be illustrated by considering the two largest clusters of Category F wet hours</w:t>
      </w:r>
      <w:r w:rsidR="001C0455">
        <w:t>, as follows</w:t>
      </w:r>
      <w:r w:rsidR="00D03F53" w:rsidRPr="00D03F53">
        <w:t>.</w:t>
      </w:r>
    </w:p>
    <w:p w14:paraId="23EE8FEF" w14:textId="7D34876A" w:rsidR="00D03F53" w:rsidRPr="00D03F53" w:rsidRDefault="00D03F53" w:rsidP="00BD1581">
      <w:pPr>
        <w:pStyle w:val="BodyText"/>
        <w:jc w:val="both"/>
      </w:pPr>
      <w:r w:rsidRPr="00D03F53">
        <w:t>The largest cluster occurred for Ardlui. There was a period of 219 hours during which Category F wet conditions occurred 18 times. Within that cluster, there was a period of 22 hours during which Category F wet conditions occurred ten times. All hours within that 22-hour period had a precipitation rate of less than 0.2 mm h</w:t>
      </w:r>
      <w:r w:rsidRPr="00D03F53">
        <w:rPr>
          <w:vertAlign w:val="superscript"/>
        </w:rPr>
        <w:t>-1</w:t>
      </w:r>
      <w:r w:rsidRPr="00D03F53">
        <w:t>.</w:t>
      </w:r>
    </w:p>
    <w:p w14:paraId="66299954" w14:textId="7C9E4E4B" w:rsidR="00D03F53" w:rsidRDefault="00D03F53" w:rsidP="00836436">
      <w:pPr>
        <w:pStyle w:val="BodyText"/>
        <w:jc w:val="both"/>
      </w:pPr>
      <w:r w:rsidRPr="00D03F53">
        <w:t>The second largest cluster occurred for Trawsfynydd. There was a period of 247 hours during which Category F wet conditions occurred 11 times. Within that cluster, there was a period of five hours during which Category F wet conditions occurred four times. All hours within that five-hour period had a precipitation rate of less than 0.5 mm h</w:t>
      </w:r>
      <w:r w:rsidRPr="00D03F53">
        <w:rPr>
          <w:vertAlign w:val="superscript"/>
        </w:rPr>
        <w:t>-1</w:t>
      </w:r>
      <w:r w:rsidRPr="00D03F53">
        <w:t>.</w:t>
      </w:r>
    </w:p>
    <w:p w14:paraId="526BBF1D" w14:textId="639B2B39" w:rsidR="00B27FA0" w:rsidRPr="00D03F53" w:rsidRDefault="00B27FA0" w:rsidP="00836436">
      <w:pPr>
        <w:pStyle w:val="BodyTextEND"/>
        <w:jc w:val="both"/>
      </w:pPr>
      <w:r>
        <w:t xml:space="preserve">It is acknowledged that Pasquill Stability Category E wet conditions have not been considered. It might be expected that an assumption of such conditions would be less conservative but more common than Category F wet conditions, and more conservative but less common than Category D wet conditions. Analysis of the data for the years 2018-2020 indicates that </w:t>
      </w:r>
      <w:r w:rsidR="009559D0">
        <w:t xml:space="preserve">the likelihood of encountering Category E wet conditions varies </w:t>
      </w:r>
      <w:r w:rsidR="000F6425">
        <w:t>greatly</w:t>
      </w:r>
      <w:r w:rsidR="009559D0">
        <w:t xml:space="preserve"> depending on the </w:t>
      </w:r>
      <w:r w:rsidR="000F6425">
        <w:t xml:space="preserve">location of the </w:t>
      </w:r>
      <w:r w:rsidR="009559D0">
        <w:t>site, but it is significantly more likely than encountering Category F wet conditions. In practice, it is not feasible to carry out modelling runs for all conceivable combinations</w:t>
      </w:r>
      <w:r w:rsidR="00F95988">
        <w:rPr>
          <w:rStyle w:val="FootnoteReference"/>
        </w:rPr>
        <w:footnoteReference w:id="3"/>
      </w:r>
      <w:r w:rsidR="009559D0">
        <w:t xml:space="preserve"> of met conditions. This illustrates </w:t>
      </w:r>
      <w:r w:rsidR="000F6425">
        <w:t>an important</w:t>
      </w:r>
      <w:r w:rsidR="009559D0">
        <w:t xml:space="preserve"> advantage of using a probabilistic modelling approach, which does not require arbitrary </w:t>
      </w:r>
      <w:r w:rsidR="000F6425">
        <w:t>input of met parameters</w:t>
      </w:r>
      <w:r w:rsidR="009559D0">
        <w:t xml:space="preserve"> by the modeller.</w:t>
      </w:r>
    </w:p>
    <w:p w14:paraId="5DD91C73" w14:textId="77777777" w:rsidR="00323D29" w:rsidRDefault="00323D29" w:rsidP="00323D29">
      <w:pPr>
        <w:pStyle w:val="Heading2"/>
      </w:pPr>
      <w:bookmarkStart w:id="32" w:name="_Toc79679412"/>
      <w:bookmarkStart w:id="33" w:name="_Toc89966365"/>
      <w:r>
        <w:t>Ensuring representative met data</w:t>
      </w:r>
      <w:bookmarkEnd w:id="32"/>
      <w:bookmarkEnd w:id="33"/>
    </w:p>
    <w:p w14:paraId="6D254BF4" w14:textId="77777777" w:rsidR="00323D29" w:rsidRDefault="00323D29" w:rsidP="00DD754C">
      <w:pPr>
        <w:pStyle w:val="BodyText"/>
        <w:jc w:val="both"/>
      </w:pPr>
      <w:r>
        <w:t>When seeking to accurately represent long-term trends, a large sample-size is required. In the context of met data, this means a large number of samples taken over a long period of time, where that period of time is as relevant as possible.</w:t>
      </w:r>
    </w:p>
    <w:p w14:paraId="4ADFCA39" w14:textId="77777777" w:rsidR="00323D29" w:rsidRDefault="00323D29" w:rsidP="00DD754C">
      <w:pPr>
        <w:pStyle w:val="BodyText"/>
        <w:jc w:val="both"/>
      </w:pPr>
      <w:r>
        <w:t>In the present study, hourly samples were taken over the course of three years. This corresponds to 26,304 samples. The three most recent complete years were used (2018-2020). NWP met data is very demanding in terms of processing duration and storage capacity, so the decision to use three years of met data was the result of balancing the desire for representative results against practical computational considerations.</w:t>
      </w:r>
    </w:p>
    <w:p w14:paraId="065DCCD8" w14:textId="77777777" w:rsidR="00323D29" w:rsidRDefault="00323D29" w:rsidP="00DD754C">
      <w:pPr>
        <w:pStyle w:val="BodyTextEND"/>
        <w:jc w:val="both"/>
      </w:pPr>
      <w:r>
        <w:t xml:space="preserve">A potential pitfall of using only three years of met data is that if one of those years had a particularly unusual pattern of precipitation, it could have a significant effect on the overall results. A sensitivity assessment was carried out to check whether this was the case. Specifically, the distributions of precipitation rate bins for each year were calculated and presented separately. This meant that for each site, the results could be considered for each year in isolation, to see whether there were any anomalies. The results for each of the three years were found to be broadly similar. That </w:t>
      </w:r>
      <w:r w:rsidRPr="009A02B4">
        <w:t>provide</w:t>
      </w:r>
      <w:r>
        <w:t>d</w:t>
      </w:r>
      <w:r w:rsidRPr="009A02B4">
        <w:t xml:space="preserve"> reassurance that the </w:t>
      </w:r>
      <w:r>
        <w:t xml:space="preserve">met </w:t>
      </w:r>
      <w:r w:rsidRPr="009A02B4">
        <w:t xml:space="preserve">data </w:t>
      </w:r>
      <w:r>
        <w:t>did</w:t>
      </w:r>
      <w:r w:rsidRPr="009A02B4">
        <w:t xml:space="preserve"> not vary significantly as a function of year </w:t>
      </w:r>
      <w:r>
        <w:t>(at least, not over the period 2018-2020)</w:t>
      </w:r>
      <w:r w:rsidRPr="009A02B4">
        <w:t xml:space="preserve">, and therefore there was no single year which </w:t>
      </w:r>
      <w:r>
        <w:t>could unduly affect</w:t>
      </w:r>
      <w:r w:rsidRPr="009A02B4">
        <w:t xml:space="preserve"> the 3</w:t>
      </w:r>
      <w:r>
        <w:t>-</w:t>
      </w:r>
      <w:r w:rsidRPr="009A02B4">
        <w:t>year average values.</w:t>
      </w:r>
    </w:p>
    <w:p w14:paraId="57882FAB" w14:textId="77777777" w:rsidR="00323D29" w:rsidRPr="00793ED6" w:rsidRDefault="00323D29" w:rsidP="00323D29">
      <w:pPr>
        <w:pStyle w:val="Heading2"/>
      </w:pPr>
      <w:bookmarkStart w:id="34" w:name="_Toc79679413"/>
      <w:bookmarkStart w:id="35" w:name="_Toc89966366"/>
      <w:r>
        <w:t>Conclusions</w:t>
      </w:r>
      <w:bookmarkEnd w:id="34"/>
      <w:bookmarkEnd w:id="35"/>
    </w:p>
    <w:p w14:paraId="1E998B9D" w14:textId="77777777" w:rsidR="00323D29" w:rsidRDefault="00323D29" w:rsidP="00DD754C">
      <w:pPr>
        <w:pStyle w:val="BodyText"/>
        <w:jc w:val="both"/>
      </w:pPr>
      <w:r>
        <w:t>The likelihood of a radioactive release encountering precipitation depends on the duration and location of the release. The investigation described above indicated that a thirty-day release in the UK is virtually certain to encounter some precipitation. Even for an eight-hour release, the probability is between 34% and 62%, depending on the location.</w:t>
      </w:r>
    </w:p>
    <w:p w14:paraId="79455807" w14:textId="4E130F72" w:rsidR="001C0455" w:rsidRDefault="00323D29" w:rsidP="0014203E">
      <w:pPr>
        <w:pStyle w:val="BodyText"/>
        <w:jc w:val="both"/>
      </w:pPr>
      <w:r>
        <w:t>It can be concluded that radioactive releases in the UK have a significant chance of encountering precipitation, even for relatively short releases in relatively dry locations.</w:t>
      </w:r>
    </w:p>
    <w:p w14:paraId="4C445B36" w14:textId="50A3DA10" w:rsidR="0014203E" w:rsidRPr="001C0455" w:rsidRDefault="0014203E" w:rsidP="00A272C5">
      <w:pPr>
        <w:pStyle w:val="BodyTextEND"/>
        <w:jc w:val="both"/>
      </w:pPr>
      <w:r w:rsidRPr="00B01492">
        <w:t>It can also be concluded that</w:t>
      </w:r>
      <w:r w:rsidR="00A272C5">
        <w:t>,</w:t>
      </w:r>
      <w:r w:rsidRPr="00B01492">
        <w:t xml:space="preserve"> </w:t>
      </w:r>
      <w:r>
        <w:t xml:space="preserve">although precipitation does sometimes occur during </w:t>
      </w:r>
      <w:r w:rsidRPr="00B01492">
        <w:t>Pasquill Stability Category F conditions</w:t>
      </w:r>
      <w:r>
        <w:t>, such occurrences are not common</w:t>
      </w:r>
      <w:r w:rsidRPr="00B01492">
        <w:t>.</w:t>
      </w:r>
    </w:p>
    <w:p w14:paraId="573B4247" w14:textId="7FE6C914" w:rsidR="00323D29" w:rsidRPr="001E0772" w:rsidRDefault="00323D29" w:rsidP="00323D29">
      <w:pPr>
        <w:pStyle w:val="Heading1"/>
      </w:pPr>
      <w:bookmarkStart w:id="36" w:name="_Toc79679414"/>
      <w:bookmarkStart w:id="37" w:name="_Toc89966367"/>
      <w:r w:rsidRPr="001E0772">
        <w:t>Source Terms</w:t>
      </w:r>
      <w:bookmarkEnd w:id="36"/>
      <w:bookmarkEnd w:id="37"/>
    </w:p>
    <w:p w14:paraId="176A70F8" w14:textId="77777777" w:rsidR="00323D29" w:rsidRDefault="00323D29" w:rsidP="00323D29">
      <w:pPr>
        <w:pStyle w:val="BodyText"/>
        <w:jc w:val="both"/>
      </w:pPr>
      <w:r>
        <w:t>The source term information used in this study was provided by ONR. Note that only notional source terms are considered in this study i.e. they are not replicas of those considered by operators but are indicative of such source terms.</w:t>
      </w:r>
    </w:p>
    <w:p w14:paraId="697C9609" w14:textId="56935C2A" w:rsidR="00323D29" w:rsidRDefault="00323D29" w:rsidP="00AE7C2F">
      <w:pPr>
        <w:pStyle w:val="BodyTextNOSPACE"/>
        <w:spacing w:after="120"/>
        <w:jc w:val="both"/>
      </w:pPr>
      <w:r>
        <w:t>For the purposes of this study, it was</w:t>
      </w:r>
      <w:r w:rsidRPr="008F73EC">
        <w:t xml:space="preserve"> assumed</w:t>
      </w:r>
      <w:r>
        <w:t xml:space="preserve"> that all particles are of a size that is respirable. Specifically, a particle size of 1 </w:t>
      </w:r>
      <w:r>
        <w:rPr>
          <w:rFonts w:cstheme="minorHAnsi"/>
        </w:rPr>
        <w:t>µ</w:t>
      </w:r>
      <w:r>
        <w:t>m was assumed, except for gases (notably noble gases and gaseous chemical forms of iodine). All release heights were assumed to be 10 metres. In each case, a passive release was assumed (i.e. no momentum or buoyancy).</w:t>
      </w:r>
    </w:p>
    <w:p w14:paraId="667885D5" w14:textId="62D15DA8" w:rsidR="00AC360A" w:rsidRPr="00AC360A" w:rsidRDefault="007E1884" w:rsidP="007E1884">
      <w:pPr>
        <w:pStyle w:val="BodyTextEND"/>
        <w:jc w:val="both"/>
      </w:pPr>
      <w:r>
        <w:fldChar w:fldCharType="begin"/>
      </w:r>
      <w:r>
        <w:instrText xml:space="preserve"> REF _Ref79590853 \h  \* MERGEFORMAT </w:instrText>
      </w:r>
      <w:r>
        <w:fldChar w:fldCharType="separate"/>
      </w:r>
      <w:r w:rsidR="00926FE3" w:rsidRPr="00BD67F0">
        <w:t xml:space="preserve">Table </w:t>
      </w:r>
      <w:r w:rsidR="00926FE3">
        <w:rPr>
          <w:noProof/>
        </w:rPr>
        <w:t>7</w:t>
      </w:r>
      <w:r>
        <w:fldChar w:fldCharType="end"/>
      </w:r>
      <w:r>
        <w:t xml:space="preserve">, </w:t>
      </w:r>
      <w:r>
        <w:fldChar w:fldCharType="begin"/>
      </w:r>
      <w:r>
        <w:instrText xml:space="preserve"> REF _Ref88654402 \h  \* MERGEFORMAT </w:instrText>
      </w:r>
      <w:r>
        <w:fldChar w:fldCharType="separate"/>
      </w:r>
      <w:r w:rsidR="00926FE3" w:rsidRPr="00BD67F0">
        <w:t xml:space="preserve">Table </w:t>
      </w:r>
      <w:r w:rsidR="00926FE3">
        <w:rPr>
          <w:noProof/>
        </w:rPr>
        <w:t>9</w:t>
      </w:r>
      <w:r>
        <w:fldChar w:fldCharType="end"/>
      </w:r>
      <w:r>
        <w:t xml:space="preserve">, </w:t>
      </w:r>
      <w:r>
        <w:fldChar w:fldCharType="begin"/>
      </w:r>
      <w:r>
        <w:instrText xml:space="preserve"> REF _Ref87543029 \h  \* MERGEFORMAT </w:instrText>
      </w:r>
      <w:r>
        <w:fldChar w:fldCharType="separate"/>
      </w:r>
      <w:r w:rsidR="00926FE3" w:rsidRPr="00BD67F0">
        <w:t xml:space="preserve">Table </w:t>
      </w:r>
      <w:r w:rsidR="00926FE3">
        <w:rPr>
          <w:noProof/>
        </w:rPr>
        <w:t>11</w:t>
      </w:r>
      <w:r>
        <w:fldChar w:fldCharType="end"/>
      </w:r>
      <w:r>
        <w:t xml:space="preserve"> and </w:t>
      </w:r>
      <w:r>
        <w:fldChar w:fldCharType="begin"/>
      </w:r>
      <w:r>
        <w:instrText xml:space="preserve"> REF _Ref87543131 \h  \* MERGEFORMAT </w:instrText>
      </w:r>
      <w:r>
        <w:fldChar w:fldCharType="separate"/>
      </w:r>
      <w:r w:rsidR="00926FE3" w:rsidRPr="00BD67F0">
        <w:t xml:space="preserve">Table </w:t>
      </w:r>
      <w:r w:rsidR="00926FE3">
        <w:rPr>
          <w:noProof/>
        </w:rPr>
        <w:t>12</w:t>
      </w:r>
      <w:r>
        <w:fldChar w:fldCharType="end"/>
      </w:r>
      <w:r w:rsidR="00B827DB">
        <w:t xml:space="preserve"> detail</w:t>
      </w:r>
      <w:r>
        <w:t xml:space="preserve"> the activity (in Bq) released as a function of different phases across the release duration of the respective source term</w:t>
      </w:r>
      <w:r w:rsidR="00B827DB">
        <w:t>s</w:t>
      </w:r>
      <w:r>
        <w:t>. The duration</w:t>
      </w:r>
      <w:r w:rsidR="00797E6F">
        <w:t>s</w:t>
      </w:r>
      <w:r>
        <w:t xml:space="preserve"> of the phases vary significantly, as detailed in the table footers. Thus</w:t>
      </w:r>
      <w:r w:rsidR="00B827DB">
        <w:t>,</w:t>
      </w:r>
      <w:r>
        <w:t xml:space="preserve"> the release rate (not presented) often varies widely</w:t>
      </w:r>
      <w:r w:rsidR="00B827DB">
        <w:t xml:space="preserve"> between phases</w:t>
      </w:r>
      <w:r>
        <w:t xml:space="preserve"> (over the lifetime of the release). H</w:t>
      </w:r>
      <w:r w:rsidR="00B827DB">
        <w:t xml:space="preserve">owever, for </w:t>
      </w:r>
      <w:r>
        <w:t xml:space="preserve">Gaussian plume modelling (considered in this study) at least, such variable release rates </w:t>
      </w:r>
      <w:r w:rsidR="00B827DB">
        <w:t xml:space="preserve">would </w:t>
      </w:r>
      <w:r>
        <w:t xml:space="preserve">have no discernible impact on the model endpoints derived, because the meteorological conditions over the period of the release </w:t>
      </w:r>
      <w:r w:rsidR="00B827DB">
        <w:t>we</w:t>
      </w:r>
      <w:r>
        <w:t>re assumed to remain constant.</w:t>
      </w:r>
    </w:p>
    <w:p w14:paraId="6B94BD18" w14:textId="77777777" w:rsidR="00323D29" w:rsidRDefault="00323D29" w:rsidP="00323D29">
      <w:pPr>
        <w:pStyle w:val="Heading2"/>
        <w:jc w:val="both"/>
      </w:pPr>
      <w:bookmarkStart w:id="38" w:name="_Toc79679415"/>
      <w:bookmarkStart w:id="39" w:name="_Toc89966368"/>
      <w:r>
        <w:t>Large Break Loss of Coolant Accident Source Term</w:t>
      </w:r>
      <w:bookmarkEnd w:id="38"/>
      <w:bookmarkEnd w:id="39"/>
    </w:p>
    <w:p w14:paraId="44273C27" w14:textId="0431753A" w:rsidR="00323D29" w:rsidRDefault="00323D29" w:rsidP="00323D29">
      <w:pPr>
        <w:pStyle w:val="BodyText"/>
        <w:jc w:val="both"/>
      </w:pPr>
      <w:r>
        <w:t>A description of the Large Break LOCA (Loss of Coolant Accident) source term (</w:t>
      </w:r>
      <w:r w:rsidR="002821FF">
        <w:t xml:space="preserve">which will </w:t>
      </w:r>
      <w:r w:rsidR="00792E6A">
        <w:t xml:space="preserve">henceforth </w:t>
      </w:r>
      <w:r w:rsidR="002821FF">
        <w:t>be referred to as the LBL source term</w:t>
      </w:r>
      <w:r>
        <w:t xml:space="preserve">) considered in this study is detailed in the text and </w:t>
      </w:r>
      <w:r>
        <w:fldChar w:fldCharType="begin"/>
      </w:r>
      <w:r>
        <w:instrText xml:space="preserve"> REF _Ref79590853 \h </w:instrText>
      </w:r>
      <w:r>
        <w:fldChar w:fldCharType="separate"/>
      </w:r>
      <w:r w:rsidR="00926FE3" w:rsidRPr="00BD67F0">
        <w:t xml:space="preserve">Table </w:t>
      </w:r>
      <w:r w:rsidR="00926FE3">
        <w:rPr>
          <w:noProof/>
        </w:rPr>
        <w:t>7</w:t>
      </w:r>
      <w:r>
        <w:fldChar w:fldCharType="end"/>
      </w:r>
      <w:r>
        <w:t xml:space="preserve"> and </w:t>
      </w:r>
      <w:r>
        <w:fldChar w:fldCharType="begin"/>
      </w:r>
      <w:r>
        <w:instrText xml:space="preserve"> REF _Ref79590903 \h </w:instrText>
      </w:r>
      <w:r>
        <w:fldChar w:fldCharType="separate"/>
      </w:r>
      <w:r w:rsidR="00926FE3">
        <w:t xml:space="preserve">Table </w:t>
      </w:r>
      <w:r w:rsidR="00926FE3">
        <w:rPr>
          <w:noProof/>
        </w:rPr>
        <w:t>8</w:t>
      </w:r>
      <w:r>
        <w:fldChar w:fldCharType="end"/>
      </w:r>
      <w:r>
        <w:t xml:space="preserve"> below. The number of radionuclides in the LBL source term was too great for them all to be </w:t>
      </w:r>
      <w:r w:rsidR="00DC225B">
        <w:t xml:space="preserve">considered </w:t>
      </w:r>
      <w:r>
        <w:t xml:space="preserve">in PACE and would have significantly increased the number of model runs in ADMS (where a single run is limited to a maximum of 10 radionuclides), so the number was reduced. Further information about this is given in Section </w:t>
      </w:r>
      <w:r>
        <w:fldChar w:fldCharType="begin"/>
      </w:r>
      <w:r>
        <w:instrText xml:space="preserve"> REF _Ref52872895 \r \h  \* MERGEFORMAT </w:instrText>
      </w:r>
      <w:r>
        <w:fldChar w:fldCharType="separate"/>
      </w:r>
      <w:r w:rsidR="00926FE3">
        <w:t>3.1.1</w:t>
      </w:r>
      <w:r>
        <w:fldChar w:fldCharType="end"/>
      </w:r>
      <w:r>
        <w:t>.</w:t>
      </w:r>
    </w:p>
    <w:p w14:paraId="303B7684" w14:textId="77777777" w:rsidR="00323D29" w:rsidRPr="003D2909" w:rsidRDefault="00323D29" w:rsidP="00323D29">
      <w:pPr>
        <w:pStyle w:val="BodyTextEND"/>
        <w:jc w:val="both"/>
      </w:pPr>
      <w:r>
        <w:t>The LBL source term release duration was 30 days.</w:t>
      </w:r>
    </w:p>
    <w:p w14:paraId="743E7154" w14:textId="4E57C17F" w:rsidR="00323D29" w:rsidRPr="00BD67F0" w:rsidRDefault="00323D29" w:rsidP="008F6405">
      <w:pPr>
        <w:pStyle w:val="Tablecaption"/>
      </w:pPr>
      <w:bookmarkStart w:id="40" w:name="_Ref79590853"/>
      <w:bookmarkStart w:id="41" w:name="_Ref79591088"/>
      <w:r w:rsidRPr="00BD67F0">
        <w:t xml:space="preserve">Table </w:t>
      </w:r>
      <w:fldSimple w:instr=" SEQ Table \* ARABIC ">
        <w:r w:rsidR="00926FE3">
          <w:rPr>
            <w:noProof/>
          </w:rPr>
          <w:t>7</w:t>
        </w:r>
      </w:fldSimple>
      <w:bookmarkEnd w:id="40"/>
      <w:r w:rsidRPr="00BD67F0">
        <w:t>: LBL source term - radionuclides modelled (Bq)</w:t>
      </w:r>
      <w:bookmarkEnd w:id="41"/>
    </w:p>
    <w:tbl>
      <w:tblPr>
        <w:tblW w:w="9249" w:type="dxa"/>
        <w:jc w:val="center"/>
        <w:tblLayout w:type="fixed"/>
        <w:tblLook w:val="00A0" w:firstRow="1" w:lastRow="0" w:firstColumn="1" w:lastColumn="0" w:noHBand="0" w:noVBand="0"/>
      </w:tblPr>
      <w:tblGrid>
        <w:gridCol w:w="1453"/>
        <w:gridCol w:w="974"/>
        <w:gridCol w:w="975"/>
        <w:gridCol w:w="974"/>
        <w:gridCol w:w="975"/>
        <w:gridCol w:w="974"/>
        <w:gridCol w:w="975"/>
        <w:gridCol w:w="974"/>
        <w:gridCol w:w="975"/>
      </w:tblGrid>
      <w:tr w:rsidR="00323D29" w14:paraId="7740BE9B" w14:textId="77777777" w:rsidTr="00D77B43">
        <w:trPr>
          <w:cantSplit/>
          <w:jc w:val="center"/>
        </w:trPr>
        <w:tc>
          <w:tcPr>
            <w:tcW w:w="1453" w:type="dxa"/>
            <w:tcBorders>
              <w:top w:val="single" w:sz="4" w:space="0" w:color="002060"/>
              <w:bottom w:val="single" w:sz="4" w:space="0" w:color="002060"/>
            </w:tcBorders>
          </w:tcPr>
          <w:p w14:paraId="02A95C1B" w14:textId="77777777" w:rsidR="00323D29" w:rsidRDefault="00323D29" w:rsidP="008F6405">
            <w:pPr>
              <w:pStyle w:val="TableColumnHeader"/>
              <w:keepNext/>
              <w:jc w:val="center"/>
            </w:pPr>
            <w:r>
              <w:t>Radionuclide</w:t>
            </w:r>
          </w:p>
        </w:tc>
        <w:tc>
          <w:tcPr>
            <w:tcW w:w="974" w:type="dxa"/>
            <w:tcBorders>
              <w:top w:val="single" w:sz="4" w:space="0" w:color="002060"/>
              <w:bottom w:val="single" w:sz="4" w:space="0" w:color="002060"/>
            </w:tcBorders>
          </w:tcPr>
          <w:p w14:paraId="363F3733" w14:textId="77777777" w:rsidR="00323D29" w:rsidRDefault="00323D29" w:rsidP="008F6405">
            <w:pPr>
              <w:pStyle w:val="TableColumnHeader"/>
              <w:keepNext/>
              <w:jc w:val="center"/>
            </w:pPr>
            <w:r>
              <w:t>Phase 1</w:t>
            </w:r>
          </w:p>
        </w:tc>
        <w:tc>
          <w:tcPr>
            <w:tcW w:w="975" w:type="dxa"/>
            <w:tcBorders>
              <w:top w:val="single" w:sz="4" w:space="0" w:color="002060"/>
              <w:bottom w:val="single" w:sz="4" w:space="0" w:color="002060"/>
            </w:tcBorders>
          </w:tcPr>
          <w:p w14:paraId="32356CA2" w14:textId="77777777" w:rsidR="00323D29" w:rsidRDefault="00323D29" w:rsidP="008F6405">
            <w:pPr>
              <w:pStyle w:val="TableColumnHeader"/>
              <w:keepNext/>
              <w:jc w:val="center"/>
            </w:pPr>
            <w:r>
              <w:t>Phase 2</w:t>
            </w:r>
          </w:p>
        </w:tc>
        <w:tc>
          <w:tcPr>
            <w:tcW w:w="974" w:type="dxa"/>
            <w:tcBorders>
              <w:top w:val="single" w:sz="4" w:space="0" w:color="002060"/>
              <w:bottom w:val="single" w:sz="4" w:space="0" w:color="002060"/>
            </w:tcBorders>
          </w:tcPr>
          <w:p w14:paraId="469549CF" w14:textId="77777777" w:rsidR="00323D29" w:rsidRDefault="00323D29" w:rsidP="008F6405">
            <w:pPr>
              <w:pStyle w:val="TableColumnHeader"/>
              <w:keepNext/>
              <w:jc w:val="center"/>
            </w:pPr>
            <w:r>
              <w:t>Phase 3</w:t>
            </w:r>
          </w:p>
        </w:tc>
        <w:tc>
          <w:tcPr>
            <w:tcW w:w="975" w:type="dxa"/>
            <w:tcBorders>
              <w:top w:val="single" w:sz="4" w:space="0" w:color="002060"/>
              <w:bottom w:val="single" w:sz="4" w:space="0" w:color="002060"/>
            </w:tcBorders>
          </w:tcPr>
          <w:p w14:paraId="683D6490" w14:textId="77777777" w:rsidR="00323D29" w:rsidRDefault="00323D29" w:rsidP="008F6405">
            <w:pPr>
              <w:pStyle w:val="TableColumnHeader"/>
              <w:keepNext/>
              <w:jc w:val="center"/>
            </w:pPr>
            <w:r>
              <w:t>Phase 4</w:t>
            </w:r>
          </w:p>
        </w:tc>
        <w:tc>
          <w:tcPr>
            <w:tcW w:w="974" w:type="dxa"/>
            <w:tcBorders>
              <w:top w:val="single" w:sz="4" w:space="0" w:color="002060"/>
              <w:bottom w:val="single" w:sz="4" w:space="0" w:color="002060"/>
            </w:tcBorders>
          </w:tcPr>
          <w:p w14:paraId="1647C467" w14:textId="77777777" w:rsidR="00323D29" w:rsidRDefault="00323D29" w:rsidP="008F6405">
            <w:pPr>
              <w:pStyle w:val="TableColumnHeader"/>
              <w:keepNext/>
              <w:jc w:val="center"/>
            </w:pPr>
            <w:r>
              <w:t>Phase 5</w:t>
            </w:r>
          </w:p>
        </w:tc>
        <w:tc>
          <w:tcPr>
            <w:tcW w:w="975" w:type="dxa"/>
            <w:tcBorders>
              <w:top w:val="single" w:sz="4" w:space="0" w:color="002060"/>
              <w:bottom w:val="single" w:sz="4" w:space="0" w:color="002060"/>
            </w:tcBorders>
          </w:tcPr>
          <w:p w14:paraId="5A465FF5" w14:textId="77777777" w:rsidR="00323D29" w:rsidRDefault="00323D29" w:rsidP="008F6405">
            <w:pPr>
              <w:pStyle w:val="TableColumnHeader"/>
              <w:keepNext/>
              <w:jc w:val="center"/>
            </w:pPr>
            <w:r>
              <w:t>Phase 6</w:t>
            </w:r>
          </w:p>
        </w:tc>
        <w:tc>
          <w:tcPr>
            <w:tcW w:w="974" w:type="dxa"/>
            <w:tcBorders>
              <w:top w:val="single" w:sz="4" w:space="0" w:color="002060"/>
              <w:bottom w:val="single" w:sz="4" w:space="0" w:color="002060"/>
            </w:tcBorders>
          </w:tcPr>
          <w:p w14:paraId="58DC3137" w14:textId="77777777" w:rsidR="00323D29" w:rsidRDefault="00323D29" w:rsidP="008F6405">
            <w:pPr>
              <w:pStyle w:val="TableColumnHeader"/>
              <w:keepNext/>
              <w:jc w:val="center"/>
            </w:pPr>
            <w:r>
              <w:t>Phase 7</w:t>
            </w:r>
          </w:p>
        </w:tc>
        <w:tc>
          <w:tcPr>
            <w:tcW w:w="975" w:type="dxa"/>
            <w:tcBorders>
              <w:top w:val="single" w:sz="4" w:space="0" w:color="002060"/>
              <w:bottom w:val="single" w:sz="4" w:space="0" w:color="002060"/>
            </w:tcBorders>
          </w:tcPr>
          <w:p w14:paraId="1258E473" w14:textId="77777777" w:rsidR="00323D29" w:rsidRDefault="00323D29" w:rsidP="008F6405">
            <w:pPr>
              <w:pStyle w:val="TableColumnHeader"/>
              <w:keepNext/>
              <w:jc w:val="center"/>
            </w:pPr>
            <w:r>
              <w:t>Phase 8</w:t>
            </w:r>
          </w:p>
        </w:tc>
      </w:tr>
      <w:tr w:rsidR="00D77B43" w14:paraId="2D89C475" w14:textId="77777777" w:rsidTr="00D77B43">
        <w:trPr>
          <w:cantSplit/>
          <w:jc w:val="center"/>
        </w:trPr>
        <w:tc>
          <w:tcPr>
            <w:tcW w:w="1453" w:type="dxa"/>
            <w:tcBorders>
              <w:top w:val="single" w:sz="4" w:space="0" w:color="002060"/>
              <w:bottom w:val="single" w:sz="4" w:space="0" w:color="808080"/>
            </w:tcBorders>
            <w:vAlign w:val="center"/>
          </w:tcPr>
          <w:p w14:paraId="09DD2E4F" w14:textId="77777777" w:rsidR="00D77B43" w:rsidRPr="0080407A" w:rsidRDefault="00D77B43" w:rsidP="008F6405">
            <w:pPr>
              <w:pStyle w:val="TableRow"/>
              <w:keepLines/>
              <w:jc w:val="center"/>
              <w:rPr>
                <w:color w:val="000000"/>
              </w:rPr>
            </w:pPr>
            <w:r w:rsidRPr="00195B8A">
              <w:rPr>
                <w:color w:val="000000"/>
                <w:vertAlign w:val="superscript"/>
              </w:rPr>
              <w:t>134</w:t>
            </w:r>
            <w:r>
              <w:rPr>
                <w:color w:val="000000"/>
              </w:rPr>
              <w:t>Cs</w:t>
            </w:r>
          </w:p>
        </w:tc>
        <w:tc>
          <w:tcPr>
            <w:tcW w:w="974" w:type="dxa"/>
            <w:tcBorders>
              <w:top w:val="single" w:sz="4" w:space="0" w:color="002060"/>
              <w:bottom w:val="single" w:sz="4" w:space="0" w:color="808080"/>
            </w:tcBorders>
          </w:tcPr>
          <w:p w14:paraId="054632B1" w14:textId="56426F2D" w:rsidR="00D77B43" w:rsidRPr="00D77B43" w:rsidRDefault="00D77B43" w:rsidP="008F6405">
            <w:pPr>
              <w:pStyle w:val="TableRow"/>
              <w:keepLines/>
              <w:jc w:val="center"/>
              <w:rPr>
                <w:color w:val="000000"/>
                <w:sz w:val="14"/>
                <w:szCs w:val="14"/>
              </w:rPr>
            </w:pPr>
            <w:r w:rsidRPr="00D77B43">
              <w:rPr>
                <w:sz w:val="14"/>
                <w:szCs w:val="14"/>
              </w:rPr>
              <w:t>2.15E+07</w:t>
            </w:r>
          </w:p>
        </w:tc>
        <w:tc>
          <w:tcPr>
            <w:tcW w:w="975" w:type="dxa"/>
            <w:tcBorders>
              <w:top w:val="single" w:sz="4" w:space="0" w:color="002060"/>
              <w:bottom w:val="single" w:sz="4" w:space="0" w:color="808080"/>
            </w:tcBorders>
          </w:tcPr>
          <w:p w14:paraId="7113674C" w14:textId="4DAFEC29" w:rsidR="00D77B43" w:rsidRPr="00D77B43" w:rsidRDefault="00D77B43" w:rsidP="008F6405">
            <w:pPr>
              <w:pStyle w:val="TableRow"/>
              <w:keepLines/>
              <w:jc w:val="center"/>
              <w:rPr>
                <w:color w:val="000000"/>
                <w:sz w:val="14"/>
                <w:szCs w:val="14"/>
              </w:rPr>
            </w:pPr>
            <w:r w:rsidRPr="00D77B43">
              <w:rPr>
                <w:sz w:val="14"/>
                <w:szCs w:val="14"/>
              </w:rPr>
              <w:t>4.85E+07</w:t>
            </w:r>
          </w:p>
        </w:tc>
        <w:tc>
          <w:tcPr>
            <w:tcW w:w="974" w:type="dxa"/>
            <w:tcBorders>
              <w:top w:val="single" w:sz="4" w:space="0" w:color="002060"/>
              <w:bottom w:val="single" w:sz="4" w:space="0" w:color="808080"/>
            </w:tcBorders>
          </w:tcPr>
          <w:p w14:paraId="106EB4E4" w14:textId="7103C06D" w:rsidR="00D77B43" w:rsidRPr="00D77B43" w:rsidRDefault="00D77B43" w:rsidP="008F6405">
            <w:pPr>
              <w:pStyle w:val="TableRow"/>
              <w:keepLines/>
              <w:jc w:val="center"/>
              <w:rPr>
                <w:color w:val="000000"/>
                <w:sz w:val="14"/>
                <w:szCs w:val="14"/>
              </w:rPr>
            </w:pPr>
            <w:r w:rsidRPr="00D77B43">
              <w:rPr>
                <w:sz w:val="14"/>
                <w:szCs w:val="14"/>
              </w:rPr>
              <w:t>6.80E+08</w:t>
            </w:r>
          </w:p>
        </w:tc>
        <w:tc>
          <w:tcPr>
            <w:tcW w:w="975" w:type="dxa"/>
            <w:tcBorders>
              <w:top w:val="single" w:sz="4" w:space="0" w:color="002060"/>
              <w:bottom w:val="single" w:sz="4" w:space="0" w:color="808080"/>
            </w:tcBorders>
          </w:tcPr>
          <w:p w14:paraId="021E400F" w14:textId="37FA0624" w:rsidR="00D77B43" w:rsidRPr="00D77B43" w:rsidRDefault="00D77B43" w:rsidP="008F6405">
            <w:pPr>
              <w:pStyle w:val="TableRow"/>
              <w:keepLines/>
              <w:jc w:val="center"/>
              <w:rPr>
                <w:color w:val="000000"/>
                <w:sz w:val="14"/>
                <w:szCs w:val="14"/>
              </w:rPr>
            </w:pPr>
            <w:r w:rsidRPr="00D77B43">
              <w:rPr>
                <w:sz w:val="14"/>
                <w:szCs w:val="14"/>
              </w:rPr>
              <w:t>4.00E+08</w:t>
            </w:r>
          </w:p>
        </w:tc>
        <w:tc>
          <w:tcPr>
            <w:tcW w:w="974" w:type="dxa"/>
            <w:tcBorders>
              <w:top w:val="single" w:sz="4" w:space="0" w:color="002060"/>
              <w:bottom w:val="single" w:sz="4" w:space="0" w:color="808080"/>
            </w:tcBorders>
          </w:tcPr>
          <w:p w14:paraId="5D8C3FE3" w14:textId="0DCA6654" w:rsidR="00D77B43" w:rsidRPr="00D77B43" w:rsidRDefault="00D77B43" w:rsidP="008F6405">
            <w:pPr>
              <w:pStyle w:val="TableRow"/>
              <w:keepLines/>
              <w:jc w:val="center"/>
              <w:rPr>
                <w:color w:val="000000"/>
                <w:sz w:val="14"/>
                <w:szCs w:val="14"/>
              </w:rPr>
            </w:pPr>
            <w:r w:rsidRPr="00D77B43">
              <w:rPr>
                <w:sz w:val="14"/>
                <w:szCs w:val="14"/>
              </w:rPr>
              <w:t>5.00E+07</w:t>
            </w:r>
          </w:p>
        </w:tc>
        <w:tc>
          <w:tcPr>
            <w:tcW w:w="975" w:type="dxa"/>
            <w:tcBorders>
              <w:top w:val="single" w:sz="4" w:space="0" w:color="002060"/>
              <w:bottom w:val="single" w:sz="4" w:space="0" w:color="808080"/>
            </w:tcBorders>
          </w:tcPr>
          <w:p w14:paraId="687BC965" w14:textId="28C4506D" w:rsidR="00D77B43" w:rsidRPr="00D77B43" w:rsidRDefault="00D77B43" w:rsidP="008F6405">
            <w:pPr>
              <w:pStyle w:val="TableRow"/>
              <w:keepLines/>
              <w:jc w:val="center"/>
              <w:rPr>
                <w:color w:val="000000"/>
                <w:sz w:val="14"/>
                <w:szCs w:val="14"/>
              </w:rPr>
            </w:pPr>
            <w:r w:rsidRPr="00D77B43">
              <w:rPr>
                <w:sz w:val="14"/>
                <w:szCs w:val="14"/>
              </w:rPr>
              <w:t>8.80E+09</w:t>
            </w:r>
          </w:p>
        </w:tc>
        <w:tc>
          <w:tcPr>
            <w:tcW w:w="974" w:type="dxa"/>
            <w:tcBorders>
              <w:top w:val="single" w:sz="4" w:space="0" w:color="002060"/>
              <w:bottom w:val="single" w:sz="4" w:space="0" w:color="808080"/>
            </w:tcBorders>
          </w:tcPr>
          <w:p w14:paraId="6FEA280A" w14:textId="0E4E2A03" w:rsidR="00D77B43" w:rsidRPr="00D77B43" w:rsidRDefault="00D77B43" w:rsidP="008F6405">
            <w:pPr>
              <w:pStyle w:val="TableRow"/>
              <w:keepLines/>
              <w:jc w:val="center"/>
              <w:rPr>
                <w:color w:val="000000"/>
                <w:sz w:val="14"/>
                <w:szCs w:val="14"/>
              </w:rPr>
            </w:pPr>
            <w:r w:rsidRPr="00D77B43">
              <w:rPr>
                <w:sz w:val="14"/>
                <w:szCs w:val="14"/>
              </w:rPr>
              <w:t>1.05E+10</w:t>
            </w:r>
          </w:p>
        </w:tc>
        <w:tc>
          <w:tcPr>
            <w:tcW w:w="975" w:type="dxa"/>
            <w:tcBorders>
              <w:top w:val="single" w:sz="4" w:space="0" w:color="002060"/>
              <w:bottom w:val="single" w:sz="4" w:space="0" w:color="808080"/>
            </w:tcBorders>
          </w:tcPr>
          <w:p w14:paraId="050F0D9C" w14:textId="67AE6258" w:rsidR="00D77B43" w:rsidRPr="00D77B43" w:rsidRDefault="00D77B43" w:rsidP="008F6405">
            <w:pPr>
              <w:pStyle w:val="TableRow"/>
              <w:keepLines/>
              <w:jc w:val="center"/>
              <w:rPr>
                <w:color w:val="000000"/>
                <w:sz w:val="14"/>
                <w:szCs w:val="14"/>
              </w:rPr>
            </w:pPr>
            <w:r w:rsidRPr="00D77B43">
              <w:rPr>
                <w:sz w:val="14"/>
                <w:szCs w:val="14"/>
              </w:rPr>
              <w:t>1.95E+10</w:t>
            </w:r>
          </w:p>
        </w:tc>
      </w:tr>
      <w:tr w:rsidR="00D77B43" w14:paraId="733E74CF" w14:textId="77777777" w:rsidTr="00D77B43">
        <w:trPr>
          <w:cantSplit/>
          <w:jc w:val="center"/>
        </w:trPr>
        <w:tc>
          <w:tcPr>
            <w:tcW w:w="1453" w:type="dxa"/>
            <w:tcBorders>
              <w:top w:val="single" w:sz="4" w:space="0" w:color="808080"/>
              <w:bottom w:val="single" w:sz="4" w:space="0" w:color="808080"/>
            </w:tcBorders>
            <w:vAlign w:val="center"/>
          </w:tcPr>
          <w:p w14:paraId="19428B7B" w14:textId="77777777" w:rsidR="00D77B43" w:rsidRPr="0080407A" w:rsidRDefault="00D77B43" w:rsidP="008F6405">
            <w:pPr>
              <w:pStyle w:val="TableRow"/>
              <w:keepLines/>
              <w:jc w:val="center"/>
              <w:rPr>
                <w:color w:val="000000"/>
              </w:rPr>
            </w:pPr>
            <w:r w:rsidRPr="00195B8A">
              <w:rPr>
                <w:color w:val="000000"/>
                <w:vertAlign w:val="superscript"/>
              </w:rPr>
              <w:t>137</w:t>
            </w:r>
            <w:r>
              <w:rPr>
                <w:color w:val="000000"/>
              </w:rPr>
              <w:t>Cs</w:t>
            </w:r>
          </w:p>
        </w:tc>
        <w:tc>
          <w:tcPr>
            <w:tcW w:w="974" w:type="dxa"/>
            <w:tcBorders>
              <w:top w:val="single" w:sz="4" w:space="0" w:color="808080"/>
              <w:bottom w:val="single" w:sz="4" w:space="0" w:color="808080"/>
            </w:tcBorders>
          </w:tcPr>
          <w:p w14:paraId="28EDB265" w14:textId="67750153" w:rsidR="00D77B43" w:rsidRPr="00D77B43" w:rsidRDefault="00D77B43" w:rsidP="008F6405">
            <w:pPr>
              <w:pStyle w:val="TableRow"/>
              <w:keepLines/>
              <w:jc w:val="center"/>
              <w:rPr>
                <w:color w:val="000000"/>
                <w:sz w:val="14"/>
                <w:szCs w:val="14"/>
              </w:rPr>
            </w:pPr>
            <w:r w:rsidRPr="00D77B43">
              <w:rPr>
                <w:sz w:val="14"/>
                <w:szCs w:val="14"/>
              </w:rPr>
              <w:t>1.35E+07</w:t>
            </w:r>
          </w:p>
        </w:tc>
        <w:tc>
          <w:tcPr>
            <w:tcW w:w="975" w:type="dxa"/>
            <w:tcBorders>
              <w:top w:val="single" w:sz="4" w:space="0" w:color="808080"/>
              <w:bottom w:val="single" w:sz="4" w:space="0" w:color="808080"/>
            </w:tcBorders>
          </w:tcPr>
          <w:p w14:paraId="41E195D2" w14:textId="0EC0BD53" w:rsidR="00D77B43" w:rsidRPr="00D77B43" w:rsidRDefault="00D77B43" w:rsidP="008F6405">
            <w:pPr>
              <w:pStyle w:val="TableRow"/>
              <w:keepLines/>
              <w:jc w:val="center"/>
              <w:rPr>
                <w:color w:val="000000"/>
                <w:sz w:val="14"/>
                <w:szCs w:val="14"/>
              </w:rPr>
            </w:pPr>
            <w:r w:rsidRPr="00D77B43">
              <w:rPr>
                <w:sz w:val="14"/>
                <w:szCs w:val="14"/>
              </w:rPr>
              <w:t>3.05E+07</w:t>
            </w:r>
          </w:p>
        </w:tc>
        <w:tc>
          <w:tcPr>
            <w:tcW w:w="974" w:type="dxa"/>
            <w:tcBorders>
              <w:top w:val="single" w:sz="4" w:space="0" w:color="808080"/>
              <w:bottom w:val="single" w:sz="4" w:space="0" w:color="808080"/>
            </w:tcBorders>
          </w:tcPr>
          <w:p w14:paraId="063D7DEC" w14:textId="132BC969" w:rsidR="00D77B43" w:rsidRPr="00D77B43" w:rsidRDefault="00D77B43" w:rsidP="008F6405">
            <w:pPr>
              <w:pStyle w:val="TableRow"/>
              <w:keepLines/>
              <w:jc w:val="center"/>
              <w:rPr>
                <w:color w:val="000000"/>
                <w:sz w:val="14"/>
                <w:szCs w:val="14"/>
              </w:rPr>
            </w:pPr>
            <w:r w:rsidRPr="00D77B43">
              <w:rPr>
                <w:sz w:val="14"/>
                <w:szCs w:val="14"/>
              </w:rPr>
              <w:t>4.26E+08</w:t>
            </w:r>
          </w:p>
        </w:tc>
        <w:tc>
          <w:tcPr>
            <w:tcW w:w="975" w:type="dxa"/>
            <w:tcBorders>
              <w:top w:val="single" w:sz="4" w:space="0" w:color="808080"/>
              <w:bottom w:val="single" w:sz="4" w:space="0" w:color="808080"/>
            </w:tcBorders>
          </w:tcPr>
          <w:p w14:paraId="0014780B" w14:textId="11DA73B9" w:rsidR="00D77B43" w:rsidRPr="00D77B43" w:rsidRDefault="00D77B43" w:rsidP="008F6405">
            <w:pPr>
              <w:pStyle w:val="TableRow"/>
              <w:keepLines/>
              <w:jc w:val="center"/>
              <w:rPr>
                <w:color w:val="000000"/>
                <w:sz w:val="14"/>
                <w:szCs w:val="14"/>
              </w:rPr>
            </w:pPr>
            <w:r w:rsidRPr="00D77B43">
              <w:rPr>
                <w:sz w:val="14"/>
                <w:szCs w:val="14"/>
              </w:rPr>
              <w:t>2.30E+08</w:t>
            </w:r>
          </w:p>
        </w:tc>
        <w:tc>
          <w:tcPr>
            <w:tcW w:w="974" w:type="dxa"/>
            <w:tcBorders>
              <w:top w:val="single" w:sz="4" w:space="0" w:color="808080"/>
              <w:bottom w:val="single" w:sz="4" w:space="0" w:color="808080"/>
            </w:tcBorders>
          </w:tcPr>
          <w:p w14:paraId="2C4DDF0A" w14:textId="04964AFD" w:rsidR="00D77B43" w:rsidRPr="00D77B43" w:rsidRDefault="00D77B43" w:rsidP="008F6405">
            <w:pPr>
              <w:pStyle w:val="TableRow"/>
              <w:keepLines/>
              <w:jc w:val="center"/>
              <w:rPr>
                <w:color w:val="000000"/>
                <w:sz w:val="14"/>
                <w:szCs w:val="14"/>
              </w:rPr>
            </w:pPr>
            <w:r w:rsidRPr="00D77B43">
              <w:rPr>
                <w:sz w:val="14"/>
                <w:szCs w:val="14"/>
              </w:rPr>
              <w:t>5.00E+07</w:t>
            </w:r>
          </w:p>
        </w:tc>
        <w:tc>
          <w:tcPr>
            <w:tcW w:w="975" w:type="dxa"/>
            <w:tcBorders>
              <w:top w:val="single" w:sz="4" w:space="0" w:color="808080"/>
              <w:bottom w:val="single" w:sz="4" w:space="0" w:color="808080"/>
            </w:tcBorders>
          </w:tcPr>
          <w:p w14:paraId="42726072" w14:textId="14C78A07" w:rsidR="00D77B43" w:rsidRPr="00D77B43" w:rsidRDefault="00D77B43" w:rsidP="008F6405">
            <w:pPr>
              <w:pStyle w:val="TableRow"/>
              <w:keepLines/>
              <w:jc w:val="center"/>
              <w:rPr>
                <w:color w:val="000000"/>
                <w:sz w:val="14"/>
                <w:szCs w:val="14"/>
              </w:rPr>
            </w:pPr>
            <w:r w:rsidRPr="00D77B43">
              <w:rPr>
                <w:sz w:val="14"/>
                <w:szCs w:val="14"/>
              </w:rPr>
              <w:t>5.25E+09</w:t>
            </w:r>
          </w:p>
        </w:tc>
        <w:tc>
          <w:tcPr>
            <w:tcW w:w="974" w:type="dxa"/>
            <w:tcBorders>
              <w:top w:val="single" w:sz="4" w:space="0" w:color="808080"/>
              <w:bottom w:val="single" w:sz="4" w:space="0" w:color="808080"/>
            </w:tcBorders>
          </w:tcPr>
          <w:p w14:paraId="38EAC66A" w14:textId="4606F846" w:rsidR="00D77B43" w:rsidRPr="00D77B43" w:rsidRDefault="00D77B43" w:rsidP="008F6405">
            <w:pPr>
              <w:pStyle w:val="TableRow"/>
              <w:keepLines/>
              <w:jc w:val="center"/>
              <w:rPr>
                <w:color w:val="000000"/>
                <w:sz w:val="14"/>
                <w:szCs w:val="14"/>
              </w:rPr>
            </w:pPr>
            <w:r w:rsidRPr="00D77B43">
              <w:rPr>
                <w:sz w:val="14"/>
                <w:szCs w:val="14"/>
              </w:rPr>
              <w:t>6.50E+09</w:t>
            </w:r>
          </w:p>
        </w:tc>
        <w:tc>
          <w:tcPr>
            <w:tcW w:w="975" w:type="dxa"/>
            <w:tcBorders>
              <w:top w:val="single" w:sz="4" w:space="0" w:color="808080"/>
              <w:bottom w:val="single" w:sz="4" w:space="0" w:color="808080"/>
            </w:tcBorders>
          </w:tcPr>
          <w:p w14:paraId="21CA918C" w14:textId="146F6515" w:rsidR="00D77B43" w:rsidRPr="00D77B43" w:rsidRDefault="00D77B43" w:rsidP="008F6405">
            <w:pPr>
              <w:pStyle w:val="TableRow"/>
              <w:keepLines/>
              <w:jc w:val="center"/>
              <w:rPr>
                <w:color w:val="000000"/>
                <w:sz w:val="14"/>
                <w:szCs w:val="14"/>
              </w:rPr>
            </w:pPr>
            <w:r w:rsidRPr="00D77B43">
              <w:rPr>
                <w:sz w:val="14"/>
                <w:szCs w:val="14"/>
              </w:rPr>
              <w:t>1.25E+10</w:t>
            </w:r>
          </w:p>
        </w:tc>
      </w:tr>
      <w:tr w:rsidR="00D77B43" w14:paraId="104BA7B4" w14:textId="77777777" w:rsidTr="00D77B43">
        <w:trPr>
          <w:cantSplit/>
          <w:jc w:val="center"/>
        </w:trPr>
        <w:tc>
          <w:tcPr>
            <w:tcW w:w="1453" w:type="dxa"/>
            <w:tcBorders>
              <w:top w:val="single" w:sz="4" w:space="0" w:color="808080"/>
              <w:bottom w:val="single" w:sz="4" w:space="0" w:color="808080"/>
            </w:tcBorders>
            <w:vAlign w:val="center"/>
          </w:tcPr>
          <w:p w14:paraId="3E1417F2" w14:textId="1AB982E7" w:rsidR="00D77B43" w:rsidRDefault="00D77B43" w:rsidP="008F6405">
            <w:pPr>
              <w:pStyle w:val="TableRow"/>
              <w:keepLines/>
              <w:jc w:val="center"/>
              <w:rPr>
                <w:color w:val="000000"/>
              </w:rPr>
            </w:pPr>
            <w:r w:rsidRPr="00195B8A">
              <w:rPr>
                <w:color w:val="000000"/>
                <w:vertAlign w:val="superscript"/>
              </w:rPr>
              <w:t>131</w:t>
            </w:r>
            <w:r>
              <w:rPr>
                <w:color w:val="000000"/>
              </w:rPr>
              <w:t>I</w:t>
            </w:r>
          </w:p>
        </w:tc>
        <w:tc>
          <w:tcPr>
            <w:tcW w:w="974" w:type="dxa"/>
            <w:tcBorders>
              <w:top w:val="single" w:sz="4" w:space="0" w:color="808080"/>
              <w:bottom w:val="single" w:sz="4" w:space="0" w:color="808080"/>
            </w:tcBorders>
          </w:tcPr>
          <w:p w14:paraId="23E76460" w14:textId="54F42EE1" w:rsidR="00D77B43" w:rsidRPr="00D77B43" w:rsidRDefault="00D77B43" w:rsidP="008F6405">
            <w:pPr>
              <w:pStyle w:val="TableRow"/>
              <w:keepLines/>
              <w:jc w:val="center"/>
              <w:rPr>
                <w:color w:val="000000"/>
                <w:sz w:val="14"/>
                <w:szCs w:val="14"/>
              </w:rPr>
            </w:pPr>
            <w:r w:rsidRPr="00D77B43">
              <w:rPr>
                <w:sz w:val="14"/>
                <w:szCs w:val="14"/>
              </w:rPr>
              <w:t>3.20E+08</w:t>
            </w:r>
          </w:p>
        </w:tc>
        <w:tc>
          <w:tcPr>
            <w:tcW w:w="975" w:type="dxa"/>
            <w:tcBorders>
              <w:top w:val="single" w:sz="4" w:space="0" w:color="808080"/>
              <w:bottom w:val="single" w:sz="4" w:space="0" w:color="808080"/>
            </w:tcBorders>
          </w:tcPr>
          <w:p w14:paraId="7F0278F5" w14:textId="36B762ED" w:rsidR="00D77B43" w:rsidRPr="00D77B43" w:rsidRDefault="00D77B43" w:rsidP="008F6405">
            <w:pPr>
              <w:pStyle w:val="TableRow"/>
              <w:keepLines/>
              <w:jc w:val="center"/>
              <w:rPr>
                <w:color w:val="000000"/>
                <w:sz w:val="14"/>
                <w:szCs w:val="14"/>
              </w:rPr>
            </w:pPr>
            <w:r w:rsidRPr="00D77B43">
              <w:rPr>
                <w:sz w:val="14"/>
                <w:szCs w:val="14"/>
              </w:rPr>
              <w:t>8.30E+08</w:t>
            </w:r>
          </w:p>
        </w:tc>
        <w:tc>
          <w:tcPr>
            <w:tcW w:w="974" w:type="dxa"/>
            <w:tcBorders>
              <w:top w:val="single" w:sz="4" w:space="0" w:color="808080"/>
              <w:bottom w:val="single" w:sz="4" w:space="0" w:color="808080"/>
            </w:tcBorders>
          </w:tcPr>
          <w:p w14:paraId="1CE75727" w14:textId="345AFB3C" w:rsidR="00D77B43" w:rsidRPr="00D77B43" w:rsidRDefault="00D77B43" w:rsidP="008F6405">
            <w:pPr>
              <w:pStyle w:val="TableRow"/>
              <w:keepLines/>
              <w:jc w:val="center"/>
              <w:rPr>
                <w:color w:val="000000"/>
                <w:sz w:val="14"/>
                <w:szCs w:val="14"/>
              </w:rPr>
            </w:pPr>
            <w:r w:rsidRPr="00D77B43">
              <w:rPr>
                <w:sz w:val="14"/>
                <w:szCs w:val="14"/>
              </w:rPr>
              <w:t>2.24E+10</w:t>
            </w:r>
          </w:p>
        </w:tc>
        <w:tc>
          <w:tcPr>
            <w:tcW w:w="975" w:type="dxa"/>
            <w:tcBorders>
              <w:top w:val="single" w:sz="4" w:space="0" w:color="808080"/>
              <w:bottom w:val="single" w:sz="4" w:space="0" w:color="808080"/>
            </w:tcBorders>
          </w:tcPr>
          <w:p w14:paraId="7207284A" w14:textId="2164FE2C" w:rsidR="00D77B43" w:rsidRPr="00D77B43" w:rsidRDefault="00D77B43" w:rsidP="008F6405">
            <w:pPr>
              <w:pStyle w:val="TableRow"/>
              <w:keepLines/>
              <w:jc w:val="center"/>
              <w:rPr>
                <w:color w:val="000000"/>
                <w:sz w:val="14"/>
                <w:szCs w:val="14"/>
              </w:rPr>
            </w:pPr>
            <w:r w:rsidRPr="00D77B43">
              <w:rPr>
                <w:sz w:val="14"/>
                <w:szCs w:val="14"/>
              </w:rPr>
              <w:t>3.65E+10</w:t>
            </w:r>
          </w:p>
        </w:tc>
        <w:tc>
          <w:tcPr>
            <w:tcW w:w="974" w:type="dxa"/>
            <w:tcBorders>
              <w:top w:val="single" w:sz="4" w:space="0" w:color="808080"/>
              <w:bottom w:val="single" w:sz="4" w:space="0" w:color="808080"/>
            </w:tcBorders>
          </w:tcPr>
          <w:p w14:paraId="17A196C5" w14:textId="3A779B80" w:rsidR="00D77B43" w:rsidRPr="00D77B43" w:rsidRDefault="00D77B43" w:rsidP="008F6405">
            <w:pPr>
              <w:pStyle w:val="TableRow"/>
              <w:keepLines/>
              <w:jc w:val="center"/>
              <w:rPr>
                <w:color w:val="000000"/>
                <w:sz w:val="14"/>
                <w:szCs w:val="14"/>
              </w:rPr>
            </w:pPr>
            <w:r w:rsidRPr="00D77B43">
              <w:rPr>
                <w:sz w:val="14"/>
                <w:szCs w:val="14"/>
              </w:rPr>
              <w:t>5.00E+09</w:t>
            </w:r>
          </w:p>
        </w:tc>
        <w:tc>
          <w:tcPr>
            <w:tcW w:w="975" w:type="dxa"/>
            <w:tcBorders>
              <w:top w:val="single" w:sz="4" w:space="0" w:color="808080"/>
              <w:bottom w:val="single" w:sz="4" w:space="0" w:color="808080"/>
            </w:tcBorders>
          </w:tcPr>
          <w:p w14:paraId="2D21CF05" w14:textId="19955C36" w:rsidR="00D77B43" w:rsidRPr="00D77B43" w:rsidRDefault="00D77B43" w:rsidP="008F6405">
            <w:pPr>
              <w:pStyle w:val="TableRow"/>
              <w:keepLines/>
              <w:jc w:val="center"/>
              <w:rPr>
                <w:color w:val="000000"/>
                <w:sz w:val="14"/>
                <w:szCs w:val="14"/>
              </w:rPr>
            </w:pPr>
            <w:r w:rsidRPr="00D77B43">
              <w:rPr>
                <w:sz w:val="14"/>
                <w:szCs w:val="14"/>
              </w:rPr>
              <w:t>4.35E+11</w:t>
            </w:r>
          </w:p>
        </w:tc>
        <w:tc>
          <w:tcPr>
            <w:tcW w:w="974" w:type="dxa"/>
            <w:tcBorders>
              <w:top w:val="single" w:sz="4" w:space="0" w:color="808080"/>
              <w:bottom w:val="single" w:sz="4" w:space="0" w:color="808080"/>
            </w:tcBorders>
          </w:tcPr>
          <w:p w14:paraId="050FC94A" w14:textId="11FF4DE0" w:rsidR="00D77B43" w:rsidRPr="00D77B43" w:rsidRDefault="00D77B43" w:rsidP="008F6405">
            <w:pPr>
              <w:pStyle w:val="TableRow"/>
              <w:keepLines/>
              <w:jc w:val="center"/>
              <w:rPr>
                <w:color w:val="000000"/>
                <w:sz w:val="14"/>
                <w:szCs w:val="14"/>
              </w:rPr>
            </w:pPr>
            <w:r w:rsidRPr="00D77B43">
              <w:rPr>
                <w:sz w:val="14"/>
                <w:szCs w:val="14"/>
              </w:rPr>
              <w:t>3.00E+11</w:t>
            </w:r>
          </w:p>
        </w:tc>
        <w:tc>
          <w:tcPr>
            <w:tcW w:w="975" w:type="dxa"/>
            <w:tcBorders>
              <w:top w:val="single" w:sz="4" w:space="0" w:color="808080"/>
              <w:bottom w:val="single" w:sz="4" w:space="0" w:color="808080"/>
            </w:tcBorders>
          </w:tcPr>
          <w:p w14:paraId="49A9C086" w14:textId="0A5B3E14" w:rsidR="00D77B43" w:rsidRPr="00D77B43" w:rsidRDefault="00D77B43" w:rsidP="008F6405">
            <w:pPr>
              <w:pStyle w:val="TableRow"/>
              <w:keepLines/>
              <w:jc w:val="center"/>
              <w:rPr>
                <w:color w:val="000000"/>
                <w:sz w:val="14"/>
                <w:szCs w:val="14"/>
              </w:rPr>
            </w:pPr>
            <w:r w:rsidRPr="00D77B43">
              <w:rPr>
                <w:sz w:val="14"/>
                <w:szCs w:val="14"/>
              </w:rPr>
              <w:t>2.00E+11</w:t>
            </w:r>
          </w:p>
        </w:tc>
      </w:tr>
      <w:tr w:rsidR="00D77B43" w14:paraId="6343E5F7" w14:textId="77777777" w:rsidTr="00D77B43">
        <w:trPr>
          <w:cantSplit/>
          <w:jc w:val="center"/>
        </w:trPr>
        <w:tc>
          <w:tcPr>
            <w:tcW w:w="1453" w:type="dxa"/>
            <w:tcBorders>
              <w:top w:val="single" w:sz="4" w:space="0" w:color="808080"/>
              <w:bottom w:val="single" w:sz="4" w:space="0" w:color="808080"/>
            </w:tcBorders>
            <w:vAlign w:val="center"/>
          </w:tcPr>
          <w:p w14:paraId="64C22BE4" w14:textId="2A9FA6DB" w:rsidR="00D77B43" w:rsidRDefault="00D77B43" w:rsidP="008F6405">
            <w:pPr>
              <w:pStyle w:val="TableRow"/>
              <w:keepLines/>
              <w:jc w:val="center"/>
              <w:rPr>
                <w:color w:val="000000"/>
              </w:rPr>
            </w:pPr>
            <w:r w:rsidRPr="00195B8A">
              <w:rPr>
                <w:color w:val="000000"/>
                <w:vertAlign w:val="superscript"/>
              </w:rPr>
              <w:t>133</w:t>
            </w:r>
            <w:r>
              <w:rPr>
                <w:color w:val="000000"/>
              </w:rPr>
              <w:t>I</w:t>
            </w:r>
          </w:p>
        </w:tc>
        <w:tc>
          <w:tcPr>
            <w:tcW w:w="974" w:type="dxa"/>
            <w:tcBorders>
              <w:top w:val="single" w:sz="4" w:space="0" w:color="808080"/>
              <w:bottom w:val="single" w:sz="4" w:space="0" w:color="808080"/>
            </w:tcBorders>
          </w:tcPr>
          <w:p w14:paraId="081AC623" w14:textId="5455E69E" w:rsidR="00D77B43" w:rsidRPr="00D77B43" w:rsidRDefault="00D77B43" w:rsidP="008F6405">
            <w:pPr>
              <w:pStyle w:val="TableRow"/>
              <w:keepLines/>
              <w:jc w:val="center"/>
              <w:rPr>
                <w:color w:val="000000"/>
                <w:sz w:val="14"/>
                <w:szCs w:val="14"/>
              </w:rPr>
            </w:pPr>
            <w:r w:rsidRPr="00D77B43">
              <w:rPr>
                <w:sz w:val="14"/>
                <w:szCs w:val="14"/>
              </w:rPr>
              <w:t>6.50E+08</w:t>
            </w:r>
          </w:p>
        </w:tc>
        <w:tc>
          <w:tcPr>
            <w:tcW w:w="975" w:type="dxa"/>
            <w:tcBorders>
              <w:top w:val="single" w:sz="4" w:space="0" w:color="808080"/>
              <w:bottom w:val="single" w:sz="4" w:space="0" w:color="808080"/>
            </w:tcBorders>
          </w:tcPr>
          <w:p w14:paraId="062FED4F" w14:textId="7E7D1D1A" w:rsidR="00D77B43" w:rsidRPr="00D77B43" w:rsidRDefault="00D77B43" w:rsidP="008F6405">
            <w:pPr>
              <w:pStyle w:val="TableRow"/>
              <w:keepLines/>
              <w:jc w:val="center"/>
              <w:rPr>
                <w:color w:val="000000"/>
                <w:sz w:val="14"/>
                <w:szCs w:val="14"/>
              </w:rPr>
            </w:pPr>
            <w:r w:rsidRPr="00D77B43">
              <w:rPr>
                <w:sz w:val="14"/>
                <w:szCs w:val="14"/>
              </w:rPr>
              <w:t>1.65E+09</w:t>
            </w:r>
          </w:p>
        </w:tc>
        <w:tc>
          <w:tcPr>
            <w:tcW w:w="974" w:type="dxa"/>
            <w:tcBorders>
              <w:top w:val="single" w:sz="4" w:space="0" w:color="808080"/>
              <w:bottom w:val="single" w:sz="4" w:space="0" w:color="808080"/>
            </w:tcBorders>
          </w:tcPr>
          <w:p w14:paraId="77AF92D6" w14:textId="20D26941" w:rsidR="00D77B43" w:rsidRPr="00D77B43" w:rsidRDefault="00D77B43" w:rsidP="008F6405">
            <w:pPr>
              <w:pStyle w:val="TableRow"/>
              <w:keepLines/>
              <w:jc w:val="center"/>
              <w:rPr>
                <w:color w:val="000000"/>
                <w:sz w:val="14"/>
                <w:szCs w:val="14"/>
              </w:rPr>
            </w:pPr>
            <w:r w:rsidRPr="00D77B43">
              <w:rPr>
                <w:sz w:val="14"/>
                <w:szCs w:val="14"/>
              </w:rPr>
              <w:t>3.67E+10</w:t>
            </w:r>
          </w:p>
        </w:tc>
        <w:tc>
          <w:tcPr>
            <w:tcW w:w="975" w:type="dxa"/>
            <w:tcBorders>
              <w:top w:val="single" w:sz="4" w:space="0" w:color="808080"/>
              <w:bottom w:val="single" w:sz="4" w:space="0" w:color="808080"/>
            </w:tcBorders>
          </w:tcPr>
          <w:p w14:paraId="25A12337" w14:textId="431CB15D" w:rsidR="00D77B43" w:rsidRPr="00D77B43" w:rsidRDefault="00D77B43" w:rsidP="008F6405">
            <w:pPr>
              <w:pStyle w:val="TableRow"/>
              <w:keepLines/>
              <w:jc w:val="center"/>
              <w:rPr>
                <w:color w:val="000000"/>
                <w:sz w:val="14"/>
                <w:szCs w:val="14"/>
              </w:rPr>
            </w:pPr>
            <w:r w:rsidRPr="00D77B43">
              <w:rPr>
                <w:sz w:val="14"/>
                <w:szCs w:val="14"/>
              </w:rPr>
              <w:t>4.60E+10</w:t>
            </w:r>
          </w:p>
        </w:tc>
        <w:tc>
          <w:tcPr>
            <w:tcW w:w="974" w:type="dxa"/>
            <w:tcBorders>
              <w:top w:val="single" w:sz="4" w:space="0" w:color="808080"/>
              <w:bottom w:val="single" w:sz="4" w:space="0" w:color="808080"/>
            </w:tcBorders>
          </w:tcPr>
          <w:p w14:paraId="31D0B80B" w14:textId="3ECD12F4" w:rsidR="00D77B43" w:rsidRPr="00D77B43" w:rsidRDefault="00D77B43" w:rsidP="008F6405">
            <w:pPr>
              <w:pStyle w:val="TableRow"/>
              <w:keepLines/>
              <w:jc w:val="center"/>
              <w:rPr>
                <w:color w:val="000000"/>
                <w:sz w:val="14"/>
                <w:szCs w:val="14"/>
              </w:rPr>
            </w:pPr>
            <w:r w:rsidRPr="00D77B43">
              <w:rPr>
                <w:sz w:val="14"/>
                <w:szCs w:val="14"/>
              </w:rPr>
              <w:t>0.00E+00</w:t>
            </w:r>
          </w:p>
        </w:tc>
        <w:tc>
          <w:tcPr>
            <w:tcW w:w="975" w:type="dxa"/>
            <w:tcBorders>
              <w:top w:val="single" w:sz="4" w:space="0" w:color="808080"/>
              <w:bottom w:val="single" w:sz="4" w:space="0" w:color="808080"/>
            </w:tcBorders>
          </w:tcPr>
          <w:p w14:paraId="2F314747" w14:textId="5C5CF022" w:rsidR="00D77B43" w:rsidRPr="00D77B43" w:rsidRDefault="00D77B43" w:rsidP="008F6405">
            <w:pPr>
              <w:pStyle w:val="TableRow"/>
              <w:keepLines/>
              <w:jc w:val="center"/>
              <w:rPr>
                <w:color w:val="000000"/>
                <w:sz w:val="14"/>
                <w:szCs w:val="14"/>
              </w:rPr>
            </w:pPr>
            <w:r w:rsidRPr="00D77B43">
              <w:rPr>
                <w:sz w:val="14"/>
                <w:szCs w:val="14"/>
              </w:rPr>
              <w:t>1.10E+11</w:t>
            </w:r>
          </w:p>
        </w:tc>
        <w:tc>
          <w:tcPr>
            <w:tcW w:w="974" w:type="dxa"/>
            <w:tcBorders>
              <w:top w:val="single" w:sz="4" w:space="0" w:color="808080"/>
              <w:bottom w:val="single" w:sz="4" w:space="0" w:color="808080"/>
            </w:tcBorders>
          </w:tcPr>
          <w:p w14:paraId="10883B00" w14:textId="74752BDA" w:rsidR="00D77B43" w:rsidRPr="00D77B43" w:rsidRDefault="00D77B43" w:rsidP="008F6405">
            <w:pPr>
              <w:pStyle w:val="TableRow"/>
              <w:keepLines/>
              <w:jc w:val="center"/>
              <w:rPr>
                <w:color w:val="000000"/>
                <w:sz w:val="14"/>
                <w:szCs w:val="14"/>
              </w:rPr>
            </w:pPr>
            <w:r w:rsidRPr="00D77B43">
              <w:rPr>
                <w:sz w:val="14"/>
                <w:szCs w:val="14"/>
              </w:rPr>
              <w:t>5.00E+09</w:t>
            </w:r>
          </w:p>
        </w:tc>
        <w:tc>
          <w:tcPr>
            <w:tcW w:w="975" w:type="dxa"/>
            <w:tcBorders>
              <w:top w:val="single" w:sz="4" w:space="0" w:color="808080"/>
              <w:bottom w:val="single" w:sz="4" w:space="0" w:color="808080"/>
            </w:tcBorders>
          </w:tcPr>
          <w:p w14:paraId="554C180F" w14:textId="4E2052CA" w:rsidR="00D77B43" w:rsidRPr="00D77B43" w:rsidRDefault="00D77B43" w:rsidP="008F6405">
            <w:pPr>
              <w:pStyle w:val="TableRow"/>
              <w:keepLines/>
              <w:jc w:val="center"/>
              <w:rPr>
                <w:color w:val="000000"/>
                <w:sz w:val="14"/>
                <w:szCs w:val="14"/>
              </w:rPr>
            </w:pPr>
            <w:r w:rsidRPr="00D77B43">
              <w:rPr>
                <w:sz w:val="14"/>
                <w:szCs w:val="14"/>
              </w:rPr>
              <w:t>0.00E+00</w:t>
            </w:r>
          </w:p>
        </w:tc>
      </w:tr>
      <w:tr w:rsidR="00D77B43" w14:paraId="0CDEDF18" w14:textId="77777777" w:rsidTr="00D77B43">
        <w:trPr>
          <w:cantSplit/>
          <w:jc w:val="center"/>
        </w:trPr>
        <w:tc>
          <w:tcPr>
            <w:tcW w:w="1453" w:type="dxa"/>
            <w:tcBorders>
              <w:top w:val="single" w:sz="4" w:space="0" w:color="808080"/>
              <w:bottom w:val="single" w:sz="4" w:space="0" w:color="808080"/>
            </w:tcBorders>
            <w:vAlign w:val="center"/>
          </w:tcPr>
          <w:p w14:paraId="202107F0" w14:textId="77777777" w:rsidR="00D77B43" w:rsidRDefault="00D77B43" w:rsidP="008F6405">
            <w:pPr>
              <w:pStyle w:val="TableRow"/>
              <w:keepLines/>
              <w:jc w:val="center"/>
              <w:rPr>
                <w:color w:val="000000"/>
              </w:rPr>
            </w:pPr>
            <w:r w:rsidRPr="00195B8A">
              <w:rPr>
                <w:color w:val="000000"/>
                <w:vertAlign w:val="superscript"/>
              </w:rPr>
              <w:t>88</w:t>
            </w:r>
            <w:r>
              <w:rPr>
                <w:color w:val="000000"/>
              </w:rPr>
              <w:t>Kr</w:t>
            </w:r>
          </w:p>
        </w:tc>
        <w:tc>
          <w:tcPr>
            <w:tcW w:w="974" w:type="dxa"/>
            <w:tcBorders>
              <w:top w:val="single" w:sz="4" w:space="0" w:color="808080"/>
              <w:bottom w:val="single" w:sz="4" w:space="0" w:color="808080"/>
            </w:tcBorders>
          </w:tcPr>
          <w:p w14:paraId="2E3A4E9E" w14:textId="3582032C" w:rsidR="00D77B43" w:rsidRPr="00D77B43" w:rsidRDefault="00D77B43" w:rsidP="008F6405">
            <w:pPr>
              <w:pStyle w:val="TableRow"/>
              <w:keepLines/>
              <w:jc w:val="center"/>
              <w:rPr>
                <w:color w:val="000000"/>
                <w:sz w:val="14"/>
                <w:szCs w:val="14"/>
              </w:rPr>
            </w:pPr>
            <w:r w:rsidRPr="00D77B43">
              <w:rPr>
                <w:sz w:val="14"/>
                <w:szCs w:val="14"/>
              </w:rPr>
              <w:t>2.70E+11</w:t>
            </w:r>
          </w:p>
        </w:tc>
        <w:tc>
          <w:tcPr>
            <w:tcW w:w="975" w:type="dxa"/>
            <w:tcBorders>
              <w:top w:val="single" w:sz="4" w:space="0" w:color="808080"/>
              <w:bottom w:val="single" w:sz="4" w:space="0" w:color="808080"/>
            </w:tcBorders>
          </w:tcPr>
          <w:p w14:paraId="0DE6C15E" w14:textId="57C08F44" w:rsidR="00D77B43" w:rsidRPr="00D77B43" w:rsidRDefault="00D77B43" w:rsidP="008F6405">
            <w:pPr>
              <w:pStyle w:val="TableRow"/>
              <w:keepLines/>
              <w:jc w:val="center"/>
              <w:rPr>
                <w:color w:val="000000"/>
                <w:sz w:val="14"/>
                <w:szCs w:val="14"/>
              </w:rPr>
            </w:pPr>
            <w:r w:rsidRPr="00D77B43">
              <w:rPr>
                <w:sz w:val="14"/>
                <w:szCs w:val="14"/>
              </w:rPr>
              <w:t>5.80E+11</w:t>
            </w:r>
          </w:p>
        </w:tc>
        <w:tc>
          <w:tcPr>
            <w:tcW w:w="974" w:type="dxa"/>
            <w:tcBorders>
              <w:top w:val="single" w:sz="4" w:space="0" w:color="808080"/>
              <w:bottom w:val="single" w:sz="4" w:space="0" w:color="808080"/>
            </w:tcBorders>
          </w:tcPr>
          <w:p w14:paraId="6894EEF0" w14:textId="11450D35" w:rsidR="00D77B43" w:rsidRPr="00D77B43" w:rsidRDefault="00D77B43" w:rsidP="008F6405">
            <w:pPr>
              <w:pStyle w:val="TableRow"/>
              <w:keepLines/>
              <w:jc w:val="center"/>
              <w:rPr>
                <w:color w:val="000000"/>
                <w:sz w:val="14"/>
                <w:szCs w:val="14"/>
              </w:rPr>
            </w:pPr>
            <w:r w:rsidRPr="00D77B43">
              <w:rPr>
                <w:sz w:val="14"/>
                <w:szCs w:val="14"/>
              </w:rPr>
              <w:t>5.15E+12</w:t>
            </w:r>
          </w:p>
        </w:tc>
        <w:tc>
          <w:tcPr>
            <w:tcW w:w="975" w:type="dxa"/>
            <w:tcBorders>
              <w:top w:val="single" w:sz="4" w:space="0" w:color="808080"/>
              <w:bottom w:val="single" w:sz="4" w:space="0" w:color="808080"/>
            </w:tcBorders>
          </w:tcPr>
          <w:p w14:paraId="349F6B71" w14:textId="21185424" w:rsidR="00D77B43" w:rsidRPr="00D77B43" w:rsidRDefault="00D77B43" w:rsidP="008F6405">
            <w:pPr>
              <w:pStyle w:val="TableRow"/>
              <w:keepLines/>
              <w:jc w:val="center"/>
              <w:rPr>
                <w:color w:val="000000"/>
                <w:sz w:val="14"/>
                <w:szCs w:val="14"/>
              </w:rPr>
            </w:pPr>
            <w:r w:rsidRPr="00D77B43">
              <w:rPr>
                <w:sz w:val="14"/>
                <w:szCs w:val="14"/>
              </w:rPr>
              <w:t>5.00E+11</w:t>
            </w:r>
          </w:p>
        </w:tc>
        <w:tc>
          <w:tcPr>
            <w:tcW w:w="974" w:type="dxa"/>
            <w:tcBorders>
              <w:top w:val="single" w:sz="4" w:space="0" w:color="808080"/>
              <w:bottom w:val="single" w:sz="4" w:space="0" w:color="808080"/>
            </w:tcBorders>
          </w:tcPr>
          <w:p w14:paraId="62E9AA5C" w14:textId="3D60B129" w:rsidR="00D77B43" w:rsidRPr="00D77B43" w:rsidRDefault="00D77B43" w:rsidP="008F6405">
            <w:pPr>
              <w:pStyle w:val="TableRow"/>
              <w:keepLines/>
              <w:jc w:val="center"/>
              <w:rPr>
                <w:color w:val="000000"/>
                <w:sz w:val="14"/>
                <w:szCs w:val="14"/>
              </w:rPr>
            </w:pPr>
            <w:r w:rsidRPr="00D77B43">
              <w:rPr>
                <w:sz w:val="14"/>
                <w:szCs w:val="14"/>
              </w:rPr>
              <w:t>0.00E+00</w:t>
            </w:r>
          </w:p>
        </w:tc>
        <w:tc>
          <w:tcPr>
            <w:tcW w:w="975" w:type="dxa"/>
            <w:tcBorders>
              <w:top w:val="single" w:sz="4" w:space="0" w:color="808080"/>
              <w:bottom w:val="single" w:sz="4" w:space="0" w:color="808080"/>
            </w:tcBorders>
          </w:tcPr>
          <w:p w14:paraId="3939833C" w14:textId="417941B2" w:rsidR="00D77B43" w:rsidRPr="00D77B43" w:rsidRDefault="00D77B43" w:rsidP="008F6405">
            <w:pPr>
              <w:pStyle w:val="TableRow"/>
              <w:keepLines/>
              <w:jc w:val="center"/>
              <w:rPr>
                <w:color w:val="000000"/>
                <w:sz w:val="14"/>
                <w:szCs w:val="14"/>
              </w:rPr>
            </w:pPr>
            <w:r w:rsidRPr="00D77B43">
              <w:rPr>
                <w:sz w:val="14"/>
                <w:szCs w:val="14"/>
              </w:rPr>
              <w:t>5.00E+11</w:t>
            </w:r>
          </w:p>
        </w:tc>
        <w:tc>
          <w:tcPr>
            <w:tcW w:w="974" w:type="dxa"/>
            <w:tcBorders>
              <w:top w:val="single" w:sz="4" w:space="0" w:color="808080"/>
              <w:bottom w:val="single" w:sz="4" w:space="0" w:color="808080"/>
            </w:tcBorders>
          </w:tcPr>
          <w:p w14:paraId="6E6C5947" w14:textId="63DA0E4C" w:rsidR="00D77B43" w:rsidRPr="00D77B43" w:rsidRDefault="00D77B43" w:rsidP="008F6405">
            <w:pPr>
              <w:pStyle w:val="TableRow"/>
              <w:keepLines/>
              <w:jc w:val="center"/>
              <w:rPr>
                <w:color w:val="000000"/>
                <w:sz w:val="14"/>
                <w:szCs w:val="14"/>
              </w:rPr>
            </w:pPr>
            <w:r w:rsidRPr="00D77B43">
              <w:rPr>
                <w:sz w:val="14"/>
                <w:szCs w:val="14"/>
              </w:rPr>
              <w:t>0.00E+00</w:t>
            </w:r>
          </w:p>
        </w:tc>
        <w:tc>
          <w:tcPr>
            <w:tcW w:w="975" w:type="dxa"/>
            <w:tcBorders>
              <w:top w:val="single" w:sz="4" w:space="0" w:color="808080"/>
              <w:bottom w:val="single" w:sz="4" w:space="0" w:color="808080"/>
            </w:tcBorders>
          </w:tcPr>
          <w:p w14:paraId="4DA9F9BE" w14:textId="3F636222" w:rsidR="00D77B43" w:rsidRPr="00D77B43" w:rsidRDefault="00D77B43" w:rsidP="008F6405">
            <w:pPr>
              <w:pStyle w:val="TableRow"/>
              <w:keepLines/>
              <w:jc w:val="center"/>
              <w:rPr>
                <w:color w:val="000000"/>
                <w:sz w:val="14"/>
                <w:szCs w:val="14"/>
              </w:rPr>
            </w:pPr>
            <w:r w:rsidRPr="00D77B43">
              <w:rPr>
                <w:sz w:val="14"/>
                <w:szCs w:val="14"/>
              </w:rPr>
              <w:t>0.00E+00</w:t>
            </w:r>
          </w:p>
        </w:tc>
      </w:tr>
      <w:tr w:rsidR="00D77B43" w14:paraId="16ACA72B" w14:textId="77777777" w:rsidTr="00D77B43">
        <w:trPr>
          <w:cantSplit/>
          <w:jc w:val="center"/>
        </w:trPr>
        <w:tc>
          <w:tcPr>
            <w:tcW w:w="1453" w:type="dxa"/>
            <w:tcBorders>
              <w:top w:val="single" w:sz="4" w:space="0" w:color="808080"/>
              <w:bottom w:val="single" w:sz="4" w:space="0" w:color="808080"/>
            </w:tcBorders>
            <w:vAlign w:val="center"/>
          </w:tcPr>
          <w:p w14:paraId="5D2152DD" w14:textId="77777777" w:rsidR="00D77B43" w:rsidRDefault="00D77B43" w:rsidP="008F6405">
            <w:pPr>
              <w:pStyle w:val="TableRow"/>
              <w:keepLines/>
              <w:jc w:val="center"/>
              <w:rPr>
                <w:color w:val="000000"/>
              </w:rPr>
            </w:pPr>
            <w:r w:rsidRPr="00195B8A">
              <w:rPr>
                <w:color w:val="000000"/>
                <w:vertAlign w:val="superscript"/>
              </w:rPr>
              <w:t>133</w:t>
            </w:r>
            <w:r>
              <w:rPr>
                <w:color w:val="000000"/>
              </w:rPr>
              <w:t>Xe</w:t>
            </w:r>
          </w:p>
        </w:tc>
        <w:tc>
          <w:tcPr>
            <w:tcW w:w="974" w:type="dxa"/>
            <w:tcBorders>
              <w:top w:val="single" w:sz="4" w:space="0" w:color="808080"/>
              <w:bottom w:val="single" w:sz="4" w:space="0" w:color="808080"/>
            </w:tcBorders>
          </w:tcPr>
          <w:p w14:paraId="6274DC7F" w14:textId="0684C942" w:rsidR="00D77B43" w:rsidRPr="00D77B43" w:rsidRDefault="00D77B43" w:rsidP="008F6405">
            <w:pPr>
              <w:pStyle w:val="TableRow"/>
              <w:keepLines/>
              <w:jc w:val="center"/>
              <w:rPr>
                <w:color w:val="000000"/>
                <w:sz w:val="14"/>
                <w:szCs w:val="14"/>
              </w:rPr>
            </w:pPr>
            <w:r w:rsidRPr="00D77B43">
              <w:rPr>
                <w:sz w:val="14"/>
                <w:szCs w:val="14"/>
              </w:rPr>
              <w:t>1.00E+12</w:t>
            </w:r>
          </w:p>
        </w:tc>
        <w:tc>
          <w:tcPr>
            <w:tcW w:w="975" w:type="dxa"/>
            <w:tcBorders>
              <w:top w:val="single" w:sz="4" w:space="0" w:color="808080"/>
              <w:bottom w:val="single" w:sz="4" w:space="0" w:color="808080"/>
            </w:tcBorders>
          </w:tcPr>
          <w:p w14:paraId="383BE9C6" w14:textId="2F299111" w:rsidR="00D77B43" w:rsidRPr="00D77B43" w:rsidRDefault="00D77B43" w:rsidP="008F6405">
            <w:pPr>
              <w:pStyle w:val="TableRow"/>
              <w:keepLines/>
              <w:jc w:val="center"/>
              <w:rPr>
                <w:color w:val="000000"/>
                <w:sz w:val="14"/>
                <w:szCs w:val="14"/>
              </w:rPr>
            </w:pPr>
            <w:r w:rsidRPr="00D77B43">
              <w:rPr>
                <w:sz w:val="14"/>
                <w:szCs w:val="14"/>
              </w:rPr>
              <w:t>2.70E+12</w:t>
            </w:r>
          </w:p>
        </w:tc>
        <w:tc>
          <w:tcPr>
            <w:tcW w:w="974" w:type="dxa"/>
            <w:tcBorders>
              <w:top w:val="single" w:sz="4" w:space="0" w:color="808080"/>
              <w:bottom w:val="single" w:sz="4" w:space="0" w:color="808080"/>
            </w:tcBorders>
          </w:tcPr>
          <w:p w14:paraId="6D843183" w14:textId="68AEF378" w:rsidR="00D77B43" w:rsidRPr="00D77B43" w:rsidRDefault="00D77B43" w:rsidP="008F6405">
            <w:pPr>
              <w:pStyle w:val="TableRow"/>
              <w:keepLines/>
              <w:jc w:val="center"/>
              <w:rPr>
                <w:color w:val="000000"/>
                <w:sz w:val="14"/>
                <w:szCs w:val="14"/>
              </w:rPr>
            </w:pPr>
            <w:r w:rsidRPr="00D77B43">
              <w:rPr>
                <w:sz w:val="14"/>
                <w:szCs w:val="14"/>
              </w:rPr>
              <w:t>8.13E+13</w:t>
            </w:r>
          </w:p>
        </w:tc>
        <w:tc>
          <w:tcPr>
            <w:tcW w:w="975" w:type="dxa"/>
            <w:tcBorders>
              <w:top w:val="single" w:sz="4" w:space="0" w:color="808080"/>
              <w:bottom w:val="single" w:sz="4" w:space="0" w:color="808080"/>
            </w:tcBorders>
          </w:tcPr>
          <w:p w14:paraId="036C4D9A" w14:textId="1ABF2893" w:rsidR="00D77B43" w:rsidRPr="00D77B43" w:rsidRDefault="00D77B43" w:rsidP="008F6405">
            <w:pPr>
              <w:pStyle w:val="TableRow"/>
              <w:keepLines/>
              <w:jc w:val="center"/>
              <w:rPr>
                <w:color w:val="000000"/>
                <w:sz w:val="14"/>
                <w:szCs w:val="14"/>
              </w:rPr>
            </w:pPr>
            <w:r w:rsidRPr="00D77B43">
              <w:rPr>
                <w:sz w:val="14"/>
                <w:szCs w:val="14"/>
              </w:rPr>
              <w:t>1.55E+14</w:t>
            </w:r>
          </w:p>
        </w:tc>
        <w:tc>
          <w:tcPr>
            <w:tcW w:w="974" w:type="dxa"/>
            <w:tcBorders>
              <w:top w:val="single" w:sz="4" w:space="0" w:color="808080"/>
              <w:bottom w:val="single" w:sz="4" w:space="0" w:color="808080"/>
            </w:tcBorders>
          </w:tcPr>
          <w:p w14:paraId="6CE9CCB5" w14:textId="32844B0C" w:rsidR="00D77B43" w:rsidRPr="00D77B43" w:rsidRDefault="00D77B43" w:rsidP="008F6405">
            <w:pPr>
              <w:pStyle w:val="TableRow"/>
              <w:keepLines/>
              <w:jc w:val="center"/>
              <w:rPr>
                <w:color w:val="000000"/>
                <w:sz w:val="14"/>
                <w:szCs w:val="14"/>
              </w:rPr>
            </w:pPr>
            <w:r w:rsidRPr="00D77B43">
              <w:rPr>
                <w:sz w:val="14"/>
                <w:szCs w:val="14"/>
              </w:rPr>
              <w:t>5.00E+12</w:t>
            </w:r>
          </w:p>
        </w:tc>
        <w:tc>
          <w:tcPr>
            <w:tcW w:w="975" w:type="dxa"/>
            <w:tcBorders>
              <w:top w:val="single" w:sz="4" w:space="0" w:color="808080"/>
              <w:bottom w:val="single" w:sz="4" w:space="0" w:color="808080"/>
            </w:tcBorders>
          </w:tcPr>
          <w:p w14:paraId="605F2BB2" w14:textId="183FD551" w:rsidR="00D77B43" w:rsidRPr="00D77B43" w:rsidRDefault="00D77B43" w:rsidP="008F6405">
            <w:pPr>
              <w:pStyle w:val="TableRow"/>
              <w:keepLines/>
              <w:jc w:val="center"/>
              <w:rPr>
                <w:color w:val="000000"/>
                <w:sz w:val="14"/>
                <w:szCs w:val="14"/>
              </w:rPr>
            </w:pPr>
            <w:r w:rsidRPr="00D77B43">
              <w:rPr>
                <w:sz w:val="14"/>
                <w:szCs w:val="14"/>
              </w:rPr>
              <w:t>1.61E+15</w:t>
            </w:r>
          </w:p>
        </w:tc>
        <w:tc>
          <w:tcPr>
            <w:tcW w:w="974" w:type="dxa"/>
            <w:tcBorders>
              <w:top w:val="single" w:sz="4" w:space="0" w:color="808080"/>
              <w:bottom w:val="single" w:sz="4" w:space="0" w:color="808080"/>
            </w:tcBorders>
          </w:tcPr>
          <w:p w14:paraId="3E1C33E4" w14:textId="63E7429D" w:rsidR="00D77B43" w:rsidRPr="00D77B43" w:rsidRDefault="00D77B43" w:rsidP="008F6405">
            <w:pPr>
              <w:pStyle w:val="TableRow"/>
              <w:keepLines/>
              <w:jc w:val="center"/>
              <w:rPr>
                <w:color w:val="000000"/>
                <w:sz w:val="14"/>
                <w:szCs w:val="14"/>
              </w:rPr>
            </w:pPr>
            <w:r w:rsidRPr="00D77B43">
              <w:rPr>
                <w:sz w:val="14"/>
                <w:szCs w:val="14"/>
              </w:rPr>
              <w:t>9.00E+14</w:t>
            </w:r>
          </w:p>
        </w:tc>
        <w:tc>
          <w:tcPr>
            <w:tcW w:w="975" w:type="dxa"/>
            <w:tcBorders>
              <w:top w:val="single" w:sz="4" w:space="0" w:color="808080"/>
              <w:bottom w:val="single" w:sz="4" w:space="0" w:color="808080"/>
            </w:tcBorders>
          </w:tcPr>
          <w:p w14:paraId="5AFF7EB4" w14:textId="39F37819" w:rsidR="00D77B43" w:rsidRPr="00D77B43" w:rsidRDefault="00D77B43" w:rsidP="008F6405">
            <w:pPr>
              <w:pStyle w:val="TableRow"/>
              <w:keepLines/>
              <w:jc w:val="center"/>
              <w:rPr>
                <w:color w:val="000000"/>
                <w:sz w:val="14"/>
                <w:szCs w:val="14"/>
              </w:rPr>
            </w:pPr>
            <w:r w:rsidRPr="00D77B43">
              <w:rPr>
                <w:sz w:val="14"/>
                <w:szCs w:val="14"/>
              </w:rPr>
              <w:t>4.00E+14</w:t>
            </w:r>
          </w:p>
        </w:tc>
      </w:tr>
      <w:tr w:rsidR="00D77B43" w14:paraId="6D477D19" w14:textId="77777777" w:rsidTr="00D77B43">
        <w:trPr>
          <w:cantSplit/>
          <w:jc w:val="center"/>
        </w:trPr>
        <w:tc>
          <w:tcPr>
            <w:tcW w:w="1453" w:type="dxa"/>
            <w:tcBorders>
              <w:top w:val="single" w:sz="4" w:space="0" w:color="808080"/>
              <w:bottom w:val="single" w:sz="4" w:space="0" w:color="808080"/>
            </w:tcBorders>
            <w:vAlign w:val="center"/>
          </w:tcPr>
          <w:p w14:paraId="7895E60C" w14:textId="77777777" w:rsidR="00D77B43" w:rsidRDefault="00D77B43" w:rsidP="008F6405">
            <w:pPr>
              <w:pStyle w:val="TableRow"/>
              <w:keepLines/>
              <w:jc w:val="center"/>
              <w:rPr>
                <w:color w:val="000000"/>
              </w:rPr>
            </w:pPr>
            <w:r w:rsidRPr="00195B8A">
              <w:rPr>
                <w:color w:val="000000"/>
                <w:vertAlign w:val="superscript"/>
              </w:rPr>
              <w:t>135</w:t>
            </w:r>
            <w:r>
              <w:rPr>
                <w:color w:val="000000"/>
              </w:rPr>
              <w:t>Xe</w:t>
            </w:r>
          </w:p>
        </w:tc>
        <w:tc>
          <w:tcPr>
            <w:tcW w:w="974" w:type="dxa"/>
            <w:tcBorders>
              <w:top w:val="single" w:sz="4" w:space="0" w:color="808080"/>
              <w:bottom w:val="single" w:sz="4" w:space="0" w:color="808080"/>
            </w:tcBorders>
          </w:tcPr>
          <w:p w14:paraId="29A75ADD" w14:textId="636DB7D1" w:rsidR="00D77B43" w:rsidRPr="00D77B43" w:rsidRDefault="00D77B43" w:rsidP="008F6405">
            <w:pPr>
              <w:pStyle w:val="TableRow"/>
              <w:keepLines/>
              <w:jc w:val="center"/>
              <w:rPr>
                <w:color w:val="000000"/>
                <w:sz w:val="14"/>
                <w:szCs w:val="14"/>
              </w:rPr>
            </w:pPr>
            <w:r w:rsidRPr="00D77B43">
              <w:rPr>
                <w:sz w:val="14"/>
                <w:szCs w:val="14"/>
              </w:rPr>
              <w:t>3.15E+11</w:t>
            </w:r>
          </w:p>
        </w:tc>
        <w:tc>
          <w:tcPr>
            <w:tcW w:w="975" w:type="dxa"/>
            <w:tcBorders>
              <w:top w:val="single" w:sz="4" w:space="0" w:color="808080"/>
              <w:bottom w:val="single" w:sz="4" w:space="0" w:color="808080"/>
            </w:tcBorders>
          </w:tcPr>
          <w:p w14:paraId="1455978C" w14:textId="0331C4BD" w:rsidR="00D77B43" w:rsidRPr="00D77B43" w:rsidRDefault="00D77B43" w:rsidP="008F6405">
            <w:pPr>
              <w:pStyle w:val="TableRow"/>
              <w:keepLines/>
              <w:jc w:val="center"/>
              <w:rPr>
                <w:color w:val="000000"/>
                <w:sz w:val="14"/>
                <w:szCs w:val="14"/>
              </w:rPr>
            </w:pPr>
            <w:r w:rsidRPr="00D77B43">
              <w:rPr>
                <w:sz w:val="14"/>
                <w:szCs w:val="14"/>
              </w:rPr>
              <w:t>9.35E+11</w:t>
            </w:r>
          </w:p>
        </w:tc>
        <w:tc>
          <w:tcPr>
            <w:tcW w:w="974" w:type="dxa"/>
            <w:tcBorders>
              <w:top w:val="single" w:sz="4" w:space="0" w:color="808080"/>
              <w:bottom w:val="single" w:sz="4" w:space="0" w:color="808080"/>
            </w:tcBorders>
          </w:tcPr>
          <w:p w14:paraId="32A37F5F" w14:textId="27554B25" w:rsidR="00D77B43" w:rsidRPr="00D77B43" w:rsidRDefault="00D77B43" w:rsidP="008F6405">
            <w:pPr>
              <w:pStyle w:val="TableRow"/>
              <w:keepLines/>
              <w:jc w:val="center"/>
              <w:rPr>
                <w:color w:val="000000"/>
                <w:sz w:val="14"/>
                <w:szCs w:val="14"/>
              </w:rPr>
            </w:pPr>
            <w:r w:rsidRPr="00D77B43">
              <w:rPr>
                <w:sz w:val="14"/>
                <w:szCs w:val="14"/>
              </w:rPr>
              <w:t>3.13E+13</w:t>
            </w:r>
          </w:p>
        </w:tc>
        <w:tc>
          <w:tcPr>
            <w:tcW w:w="975" w:type="dxa"/>
            <w:tcBorders>
              <w:top w:val="single" w:sz="4" w:space="0" w:color="808080"/>
              <w:bottom w:val="single" w:sz="4" w:space="0" w:color="808080"/>
            </w:tcBorders>
          </w:tcPr>
          <w:p w14:paraId="455A2B1D" w14:textId="0E30A509" w:rsidR="00D77B43" w:rsidRPr="00D77B43" w:rsidRDefault="00D77B43" w:rsidP="008F6405">
            <w:pPr>
              <w:pStyle w:val="TableRow"/>
              <w:keepLines/>
              <w:jc w:val="center"/>
              <w:rPr>
                <w:color w:val="000000"/>
                <w:sz w:val="14"/>
                <w:szCs w:val="14"/>
              </w:rPr>
            </w:pPr>
            <w:r w:rsidRPr="00D77B43">
              <w:rPr>
                <w:sz w:val="14"/>
                <w:szCs w:val="14"/>
              </w:rPr>
              <w:t>4.25E+13</w:t>
            </w:r>
          </w:p>
        </w:tc>
        <w:tc>
          <w:tcPr>
            <w:tcW w:w="974" w:type="dxa"/>
            <w:tcBorders>
              <w:top w:val="single" w:sz="4" w:space="0" w:color="808080"/>
              <w:bottom w:val="single" w:sz="4" w:space="0" w:color="808080"/>
            </w:tcBorders>
          </w:tcPr>
          <w:p w14:paraId="2F34DBF1" w14:textId="7B380589" w:rsidR="00D77B43" w:rsidRPr="00D77B43" w:rsidRDefault="00D77B43" w:rsidP="008F6405">
            <w:pPr>
              <w:pStyle w:val="TableRow"/>
              <w:keepLines/>
              <w:jc w:val="center"/>
              <w:rPr>
                <w:color w:val="000000"/>
                <w:sz w:val="14"/>
                <w:szCs w:val="14"/>
              </w:rPr>
            </w:pPr>
            <w:r w:rsidRPr="00D77B43">
              <w:rPr>
                <w:sz w:val="14"/>
                <w:szCs w:val="14"/>
              </w:rPr>
              <w:t>0.00E+00</w:t>
            </w:r>
          </w:p>
        </w:tc>
        <w:tc>
          <w:tcPr>
            <w:tcW w:w="975" w:type="dxa"/>
            <w:tcBorders>
              <w:top w:val="single" w:sz="4" w:space="0" w:color="808080"/>
              <w:bottom w:val="single" w:sz="4" w:space="0" w:color="808080"/>
            </w:tcBorders>
          </w:tcPr>
          <w:p w14:paraId="19E66F51" w14:textId="2F394C9C" w:rsidR="00D77B43" w:rsidRPr="00D77B43" w:rsidRDefault="00D77B43" w:rsidP="008F6405">
            <w:pPr>
              <w:pStyle w:val="TableRow"/>
              <w:keepLines/>
              <w:jc w:val="center"/>
              <w:rPr>
                <w:color w:val="000000"/>
                <w:sz w:val="14"/>
                <w:szCs w:val="14"/>
              </w:rPr>
            </w:pPr>
            <w:r w:rsidRPr="00D77B43">
              <w:rPr>
                <w:sz w:val="14"/>
                <w:szCs w:val="14"/>
              </w:rPr>
              <w:t>6.00E+13</w:t>
            </w:r>
          </w:p>
        </w:tc>
        <w:tc>
          <w:tcPr>
            <w:tcW w:w="974" w:type="dxa"/>
            <w:tcBorders>
              <w:top w:val="single" w:sz="4" w:space="0" w:color="808080"/>
              <w:bottom w:val="single" w:sz="4" w:space="0" w:color="808080"/>
            </w:tcBorders>
          </w:tcPr>
          <w:p w14:paraId="384923D5" w14:textId="443CCF9E" w:rsidR="00D77B43" w:rsidRPr="00D77B43" w:rsidRDefault="00D77B43" w:rsidP="008F6405">
            <w:pPr>
              <w:pStyle w:val="TableRow"/>
              <w:keepLines/>
              <w:jc w:val="center"/>
              <w:rPr>
                <w:color w:val="000000"/>
                <w:sz w:val="14"/>
                <w:szCs w:val="14"/>
              </w:rPr>
            </w:pPr>
            <w:r w:rsidRPr="00D77B43">
              <w:rPr>
                <w:sz w:val="14"/>
                <w:szCs w:val="14"/>
              </w:rPr>
              <w:t>0.00E+00</w:t>
            </w:r>
          </w:p>
        </w:tc>
        <w:tc>
          <w:tcPr>
            <w:tcW w:w="975" w:type="dxa"/>
            <w:tcBorders>
              <w:top w:val="single" w:sz="4" w:space="0" w:color="808080"/>
              <w:bottom w:val="single" w:sz="4" w:space="0" w:color="808080"/>
            </w:tcBorders>
          </w:tcPr>
          <w:p w14:paraId="68F07F10" w14:textId="6BF5BD28" w:rsidR="00D77B43" w:rsidRPr="00D77B43" w:rsidRDefault="00D77B43" w:rsidP="008F6405">
            <w:pPr>
              <w:pStyle w:val="TableRow"/>
              <w:keepLines/>
              <w:jc w:val="center"/>
              <w:rPr>
                <w:color w:val="000000"/>
                <w:sz w:val="14"/>
                <w:szCs w:val="14"/>
              </w:rPr>
            </w:pPr>
            <w:r w:rsidRPr="00D77B43">
              <w:rPr>
                <w:sz w:val="14"/>
                <w:szCs w:val="14"/>
              </w:rPr>
              <w:t>0.00E+00</w:t>
            </w:r>
          </w:p>
        </w:tc>
      </w:tr>
      <w:tr w:rsidR="00323D29" w14:paraId="43675079" w14:textId="77777777" w:rsidTr="00D77B43">
        <w:trPr>
          <w:cantSplit/>
          <w:jc w:val="center"/>
        </w:trPr>
        <w:tc>
          <w:tcPr>
            <w:tcW w:w="9249" w:type="dxa"/>
            <w:gridSpan w:val="9"/>
            <w:tcBorders>
              <w:top w:val="single" w:sz="4" w:space="0" w:color="808080"/>
              <w:bottom w:val="single" w:sz="4" w:space="0" w:color="808080"/>
            </w:tcBorders>
          </w:tcPr>
          <w:p w14:paraId="6A9724AF" w14:textId="77777777" w:rsidR="00323D29" w:rsidRDefault="00323D29" w:rsidP="008F6405">
            <w:pPr>
              <w:pStyle w:val="TableRow"/>
              <w:keepLines/>
              <w:rPr>
                <w:color w:val="000000"/>
              </w:rPr>
            </w:pPr>
            <w:r>
              <w:rPr>
                <w:color w:val="000000"/>
              </w:rPr>
              <w:t>Phase 1 = 0-1h; Phase 2 = 1-2h; Phase 3 = 2-12h; Phase 4 = 12h-1d; Phase 5 = 1-2d; Phase 6 = 2-7d; Phase 7 = 7-15d; Phase 8 = 15-30d.</w:t>
            </w:r>
          </w:p>
        </w:tc>
      </w:tr>
      <w:tr w:rsidR="00323D29" w14:paraId="72BC6D2E" w14:textId="77777777" w:rsidTr="00D77B43">
        <w:trPr>
          <w:cantSplit/>
          <w:jc w:val="center"/>
        </w:trPr>
        <w:tc>
          <w:tcPr>
            <w:tcW w:w="9249" w:type="dxa"/>
            <w:gridSpan w:val="9"/>
            <w:tcBorders>
              <w:top w:val="single" w:sz="4" w:space="0" w:color="808080"/>
              <w:bottom w:val="single" w:sz="4" w:space="0" w:color="002060"/>
            </w:tcBorders>
          </w:tcPr>
          <w:p w14:paraId="6D87184E" w14:textId="365CCFE5" w:rsidR="00323D29" w:rsidRDefault="00323D29" w:rsidP="00426920">
            <w:pPr>
              <w:pStyle w:val="TableRow"/>
              <w:keepLines/>
              <w:rPr>
                <w:color w:val="000000"/>
              </w:rPr>
            </w:pPr>
            <w:r>
              <w:rPr>
                <w:color w:val="000000"/>
              </w:rPr>
              <w:t xml:space="preserve">The LBL source term does not include all radionuclides that are listed in the original LBL source term provided by ONR. This is explained in Section </w:t>
            </w:r>
            <w:r>
              <w:rPr>
                <w:color w:val="000000"/>
              </w:rPr>
              <w:fldChar w:fldCharType="begin"/>
            </w:r>
            <w:r>
              <w:rPr>
                <w:color w:val="000000"/>
              </w:rPr>
              <w:instrText xml:space="preserve"> REF _Ref52872895 \n \h  \* MERGEFORMAT </w:instrText>
            </w:r>
            <w:r>
              <w:rPr>
                <w:color w:val="000000"/>
              </w:rPr>
            </w:r>
            <w:r>
              <w:rPr>
                <w:color w:val="000000"/>
              </w:rPr>
              <w:fldChar w:fldCharType="separate"/>
            </w:r>
            <w:r w:rsidR="00926FE3">
              <w:rPr>
                <w:color w:val="000000"/>
              </w:rPr>
              <w:t>3.1.1</w:t>
            </w:r>
            <w:r>
              <w:rPr>
                <w:color w:val="000000"/>
              </w:rPr>
              <w:fldChar w:fldCharType="end"/>
            </w:r>
            <w:r>
              <w:rPr>
                <w:color w:val="000000"/>
              </w:rPr>
              <w:t>.</w:t>
            </w:r>
          </w:p>
        </w:tc>
      </w:tr>
    </w:tbl>
    <w:p w14:paraId="3D988040" w14:textId="0CA97786" w:rsidR="00E8751C" w:rsidRDefault="00E8751C" w:rsidP="002613EA">
      <w:pPr>
        <w:pStyle w:val="Tablecaption"/>
        <w:spacing w:before="480"/>
      </w:pPr>
      <w:bookmarkStart w:id="42" w:name="_Ref79590903"/>
      <w:r>
        <w:t xml:space="preserve">Table </w:t>
      </w:r>
      <w:fldSimple w:instr=" SEQ Table \* ARABIC ">
        <w:r w:rsidR="00926FE3">
          <w:rPr>
            <w:noProof/>
          </w:rPr>
          <w:t>8</w:t>
        </w:r>
      </w:fldSimple>
      <w:bookmarkEnd w:id="42"/>
      <w:r>
        <w:t xml:space="preserve">: LBL source term - iodine chemical form percentage </w:t>
      </w:r>
      <w:r w:rsidR="003B1B6F">
        <w:t>b</w:t>
      </w:r>
      <w:r>
        <w:t>reakdown</w:t>
      </w:r>
    </w:p>
    <w:tbl>
      <w:tblPr>
        <w:tblW w:w="9249" w:type="dxa"/>
        <w:tblLayout w:type="fixed"/>
        <w:tblLook w:val="00A0" w:firstRow="1" w:lastRow="0" w:firstColumn="1" w:lastColumn="0" w:noHBand="0" w:noVBand="0"/>
      </w:tblPr>
      <w:tblGrid>
        <w:gridCol w:w="1453"/>
        <w:gridCol w:w="974"/>
        <w:gridCol w:w="975"/>
        <w:gridCol w:w="974"/>
        <w:gridCol w:w="975"/>
        <w:gridCol w:w="974"/>
        <w:gridCol w:w="975"/>
        <w:gridCol w:w="974"/>
        <w:gridCol w:w="975"/>
      </w:tblGrid>
      <w:tr w:rsidR="00E8751C" w14:paraId="485B6B60" w14:textId="77777777" w:rsidTr="00792E6A">
        <w:trPr>
          <w:cantSplit/>
        </w:trPr>
        <w:tc>
          <w:tcPr>
            <w:tcW w:w="1453" w:type="dxa"/>
            <w:tcBorders>
              <w:top w:val="single" w:sz="4" w:space="0" w:color="002060"/>
              <w:bottom w:val="single" w:sz="4" w:space="0" w:color="002060"/>
            </w:tcBorders>
            <w:vAlign w:val="center"/>
          </w:tcPr>
          <w:p w14:paraId="5D66312D" w14:textId="507CD85D" w:rsidR="00E8751C" w:rsidRDefault="00792E6A" w:rsidP="00324721">
            <w:pPr>
              <w:pStyle w:val="TableColumnHeader"/>
              <w:keepNext/>
              <w:jc w:val="center"/>
            </w:pPr>
            <w:r>
              <w:t>Chemical form</w:t>
            </w:r>
          </w:p>
        </w:tc>
        <w:tc>
          <w:tcPr>
            <w:tcW w:w="974" w:type="dxa"/>
            <w:tcBorders>
              <w:top w:val="single" w:sz="4" w:space="0" w:color="002060"/>
              <w:bottom w:val="single" w:sz="4" w:space="0" w:color="002060"/>
            </w:tcBorders>
            <w:vAlign w:val="center"/>
          </w:tcPr>
          <w:p w14:paraId="34798063" w14:textId="77777777" w:rsidR="00E8751C" w:rsidRDefault="00E8751C" w:rsidP="00324721">
            <w:pPr>
              <w:pStyle w:val="TableColumnHeader"/>
              <w:keepNext/>
              <w:jc w:val="center"/>
            </w:pPr>
            <w:r>
              <w:t>Phase 1</w:t>
            </w:r>
          </w:p>
        </w:tc>
        <w:tc>
          <w:tcPr>
            <w:tcW w:w="975" w:type="dxa"/>
            <w:tcBorders>
              <w:top w:val="single" w:sz="4" w:space="0" w:color="002060"/>
              <w:bottom w:val="single" w:sz="4" w:space="0" w:color="002060"/>
            </w:tcBorders>
            <w:vAlign w:val="center"/>
          </w:tcPr>
          <w:p w14:paraId="343F252A" w14:textId="77777777" w:rsidR="00E8751C" w:rsidRDefault="00E8751C" w:rsidP="00324721">
            <w:pPr>
              <w:pStyle w:val="TableColumnHeader"/>
              <w:keepNext/>
              <w:jc w:val="center"/>
            </w:pPr>
            <w:r>
              <w:t>Phase 2</w:t>
            </w:r>
          </w:p>
        </w:tc>
        <w:tc>
          <w:tcPr>
            <w:tcW w:w="974" w:type="dxa"/>
            <w:tcBorders>
              <w:top w:val="single" w:sz="4" w:space="0" w:color="002060"/>
              <w:bottom w:val="single" w:sz="4" w:space="0" w:color="002060"/>
            </w:tcBorders>
            <w:vAlign w:val="center"/>
          </w:tcPr>
          <w:p w14:paraId="758195DE" w14:textId="77777777" w:rsidR="00E8751C" w:rsidRDefault="00E8751C" w:rsidP="00324721">
            <w:pPr>
              <w:pStyle w:val="TableColumnHeader"/>
              <w:keepNext/>
              <w:jc w:val="center"/>
            </w:pPr>
            <w:r>
              <w:t>Phase 3</w:t>
            </w:r>
          </w:p>
        </w:tc>
        <w:tc>
          <w:tcPr>
            <w:tcW w:w="975" w:type="dxa"/>
            <w:tcBorders>
              <w:top w:val="single" w:sz="4" w:space="0" w:color="002060"/>
              <w:bottom w:val="single" w:sz="4" w:space="0" w:color="002060"/>
            </w:tcBorders>
            <w:vAlign w:val="center"/>
          </w:tcPr>
          <w:p w14:paraId="075F6F25" w14:textId="77777777" w:rsidR="00E8751C" w:rsidRDefault="00E8751C" w:rsidP="00324721">
            <w:pPr>
              <w:pStyle w:val="TableColumnHeader"/>
              <w:keepNext/>
              <w:jc w:val="center"/>
            </w:pPr>
            <w:r>
              <w:t>Phase 4</w:t>
            </w:r>
          </w:p>
        </w:tc>
        <w:tc>
          <w:tcPr>
            <w:tcW w:w="974" w:type="dxa"/>
            <w:tcBorders>
              <w:top w:val="single" w:sz="4" w:space="0" w:color="002060"/>
              <w:bottom w:val="single" w:sz="4" w:space="0" w:color="002060"/>
            </w:tcBorders>
            <w:vAlign w:val="center"/>
          </w:tcPr>
          <w:p w14:paraId="73379DE7" w14:textId="77777777" w:rsidR="00E8751C" w:rsidRDefault="00E8751C" w:rsidP="00324721">
            <w:pPr>
              <w:pStyle w:val="TableColumnHeader"/>
              <w:keepNext/>
              <w:jc w:val="center"/>
            </w:pPr>
            <w:r>
              <w:t>Phase 5</w:t>
            </w:r>
          </w:p>
        </w:tc>
        <w:tc>
          <w:tcPr>
            <w:tcW w:w="975" w:type="dxa"/>
            <w:tcBorders>
              <w:top w:val="single" w:sz="4" w:space="0" w:color="002060"/>
              <w:bottom w:val="single" w:sz="4" w:space="0" w:color="002060"/>
            </w:tcBorders>
            <w:vAlign w:val="center"/>
          </w:tcPr>
          <w:p w14:paraId="37B1A15A" w14:textId="77777777" w:rsidR="00E8751C" w:rsidRDefault="00E8751C" w:rsidP="00324721">
            <w:pPr>
              <w:pStyle w:val="TableColumnHeader"/>
              <w:keepNext/>
              <w:jc w:val="center"/>
            </w:pPr>
            <w:r>
              <w:t>Phase 6</w:t>
            </w:r>
          </w:p>
        </w:tc>
        <w:tc>
          <w:tcPr>
            <w:tcW w:w="974" w:type="dxa"/>
            <w:tcBorders>
              <w:top w:val="single" w:sz="4" w:space="0" w:color="002060"/>
              <w:bottom w:val="single" w:sz="4" w:space="0" w:color="002060"/>
            </w:tcBorders>
            <w:vAlign w:val="center"/>
          </w:tcPr>
          <w:p w14:paraId="3487CC0B" w14:textId="77777777" w:rsidR="00E8751C" w:rsidRDefault="00E8751C" w:rsidP="00324721">
            <w:pPr>
              <w:pStyle w:val="TableColumnHeader"/>
              <w:keepNext/>
              <w:jc w:val="center"/>
            </w:pPr>
            <w:r>
              <w:t>Phase 7</w:t>
            </w:r>
          </w:p>
        </w:tc>
        <w:tc>
          <w:tcPr>
            <w:tcW w:w="975" w:type="dxa"/>
            <w:tcBorders>
              <w:top w:val="single" w:sz="4" w:space="0" w:color="002060"/>
              <w:bottom w:val="single" w:sz="4" w:space="0" w:color="002060"/>
            </w:tcBorders>
            <w:vAlign w:val="center"/>
          </w:tcPr>
          <w:p w14:paraId="58AB8D5F" w14:textId="77777777" w:rsidR="00E8751C" w:rsidRDefault="00E8751C" w:rsidP="00324721">
            <w:pPr>
              <w:pStyle w:val="TableColumnHeader"/>
              <w:keepNext/>
              <w:jc w:val="center"/>
            </w:pPr>
            <w:r>
              <w:t>Phase 8</w:t>
            </w:r>
          </w:p>
        </w:tc>
      </w:tr>
      <w:tr w:rsidR="00E8751C" w14:paraId="39ECF9F9" w14:textId="77777777" w:rsidTr="00324721">
        <w:trPr>
          <w:cantSplit/>
        </w:trPr>
        <w:tc>
          <w:tcPr>
            <w:tcW w:w="1453" w:type="dxa"/>
            <w:tcBorders>
              <w:top w:val="single" w:sz="4" w:space="0" w:color="808080"/>
              <w:bottom w:val="single" w:sz="4" w:space="0" w:color="808080"/>
            </w:tcBorders>
            <w:vAlign w:val="center"/>
          </w:tcPr>
          <w:p w14:paraId="763310FF" w14:textId="66BFD4B3" w:rsidR="00E8751C" w:rsidRDefault="00792E6A" w:rsidP="00324721">
            <w:pPr>
              <w:pStyle w:val="TableRow"/>
              <w:keepLines/>
              <w:jc w:val="center"/>
              <w:rPr>
                <w:color w:val="000000"/>
              </w:rPr>
            </w:pPr>
            <w:r>
              <w:rPr>
                <w:color w:val="000000"/>
              </w:rPr>
              <w:t>Elemental</w:t>
            </w:r>
          </w:p>
        </w:tc>
        <w:tc>
          <w:tcPr>
            <w:tcW w:w="974" w:type="dxa"/>
            <w:tcBorders>
              <w:top w:val="single" w:sz="4" w:space="0" w:color="808080"/>
              <w:bottom w:val="single" w:sz="4" w:space="0" w:color="808080"/>
            </w:tcBorders>
            <w:vAlign w:val="center"/>
          </w:tcPr>
          <w:p w14:paraId="201FFFA6" w14:textId="77777777" w:rsidR="00E8751C" w:rsidRPr="00DA46B4" w:rsidRDefault="00E8751C" w:rsidP="00324721">
            <w:pPr>
              <w:pStyle w:val="TableRow"/>
              <w:keepLines/>
              <w:jc w:val="center"/>
              <w:rPr>
                <w:color w:val="000000"/>
              </w:rPr>
            </w:pPr>
            <w:r>
              <w:rPr>
                <w:color w:val="000000"/>
              </w:rPr>
              <w:t>72.60</w:t>
            </w:r>
          </w:p>
        </w:tc>
        <w:tc>
          <w:tcPr>
            <w:tcW w:w="975" w:type="dxa"/>
            <w:tcBorders>
              <w:top w:val="single" w:sz="4" w:space="0" w:color="808080"/>
              <w:bottom w:val="single" w:sz="4" w:space="0" w:color="808080"/>
            </w:tcBorders>
          </w:tcPr>
          <w:p w14:paraId="069F4445" w14:textId="77777777" w:rsidR="00E8751C" w:rsidRPr="00DA46B4" w:rsidRDefault="00E8751C" w:rsidP="00324721">
            <w:pPr>
              <w:pStyle w:val="TableRow"/>
              <w:keepLines/>
              <w:jc w:val="center"/>
              <w:rPr>
                <w:color w:val="000000"/>
              </w:rPr>
            </w:pPr>
            <w:r>
              <w:rPr>
                <w:color w:val="000000"/>
              </w:rPr>
              <w:t>72.55</w:t>
            </w:r>
          </w:p>
        </w:tc>
        <w:tc>
          <w:tcPr>
            <w:tcW w:w="974" w:type="dxa"/>
            <w:tcBorders>
              <w:top w:val="single" w:sz="4" w:space="0" w:color="808080"/>
              <w:bottom w:val="single" w:sz="4" w:space="0" w:color="808080"/>
            </w:tcBorders>
          </w:tcPr>
          <w:p w14:paraId="270AD10D" w14:textId="77777777" w:rsidR="00E8751C" w:rsidRPr="00DA46B4" w:rsidRDefault="00E8751C" w:rsidP="00324721">
            <w:pPr>
              <w:pStyle w:val="TableRow"/>
              <w:keepLines/>
              <w:jc w:val="center"/>
              <w:rPr>
                <w:color w:val="000000"/>
              </w:rPr>
            </w:pPr>
            <w:r>
              <w:rPr>
                <w:color w:val="000000"/>
              </w:rPr>
              <w:t>61.65</w:t>
            </w:r>
          </w:p>
        </w:tc>
        <w:tc>
          <w:tcPr>
            <w:tcW w:w="975" w:type="dxa"/>
            <w:tcBorders>
              <w:top w:val="single" w:sz="4" w:space="0" w:color="808080"/>
              <w:bottom w:val="single" w:sz="4" w:space="0" w:color="808080"/>
            </w:tcBorders>
            <w:vAlign w:val="center"/>
          </w:tcPr>
          <w:p w14:paraId="6502AC39" w14:textId="77777777" w:rsidR="00E8751C" w:rsidRPr="00DA46B4" w:rsidRDefault="00E8751C" w:rsidP="00324721">
            <w:pPr>
              <w:pStyle w:val="TableRow"/>
              <w:keepLines/>
              <w:jc w:val="center"/>
              <w:rPr>
                <w:color w:val="000000"/>
              </w:rPr>
            </w:pPr>
            <w:r>
              <w:rPr>
                <w:color w:val="000000"/>
              </w:rPr>
              <w:t>48.75</w:t>
            </w:r>
          </w:p>
        </w:tc>
        <w:tc>
          <w:tcPr>
            <w:tcW w:w="974" w:type="dxa"/>
            <w:tcBorders>
              <w:top w:val="single" w:sz="4" w:space="0" w:color="808080"/>
              <w:bottom w:val="single" w:sz="4" w:space="0" w:color="808080"/>
            </w:tcBorders>
          </w:tcPr>
          <w:p w14:paraId="3295F201" w14:textId="77777777" w:rsidR="00E8751C" w:rsidRPr="00DA46B4" w:rsidRDefault="00E8751C" w:rsidP="00324721">
            <w:pPr>
              <w:pStyle w:val="TableRow"/>
              <w:keepLines/>
              <w:jc w:val="center"/>
              <w:rPr>
                <w:color w:val="000000"/>
              </w:rPr>
            </w:pPr>
            <w:r>
              <w:rPr>
                <w:color w:val="000000"/>
              </w:rPr>
              <w:t>48.30</w:t>
            </w:r>
          </w:p>
        </w:tc>
        <w:tc>
          <w:tcPr>
            <w:tcW w:w="975" w:type="dxa"/>
            <w:tcBorders>
              <w:top w:val="single" w:sz="4" w:space="0" w:color="808080"/>
              <w:bottom w:val="single" w:sz="4" w:space="0" w:color="808080"/>
            </w:tcBorders>
            <w:vAlign w:val="center"/>
          </w:tcPr>
          <w:p w14:paraId="3D71EE66" w14:textId="77777777" w:rsidR="00E8751C" w:rsidRPr="00DA46B4" w:rsidRDefault="00E8751C" w:rsidP="00324721">
            <w:pPr>
              <w:pStyle w:val="TableRow"/>
              <w:keepLines/>
              <w:jc w:val="center"/>
              <w:rPr>
                <w:color w:val="000000"/>
              </w:rPr>
            </w:pPr>
            <w:r>
              <w:rPr>
                <w:color w:val="000000"/>
              </w:rPr>
              <w:t>18.10</w:t>
            </w:r>
          </w:p>
        </w:tc>
        <w:tc>
          <w:tcPr>
            <w:tcW w:w="974" w:type="dxa"/>
            <w:tcBorders>
              <w:top w:val="single" w:sz="4" w:space="0" w:color="808080"/>
              <w:bottom w:val="single" w:sz="4" w:space="0" w:color="808080"/>
            </w:tcBorders>
          </w:tcPr>
          <w:p w14:paraId="56D39752" w14:textId="77777777" w:rsidR="00E8751C" w:rsidRPr="00DA46B4" w:rsidRDefault="00E8751C" w:rsidP="00324721">
            <w:pPr>
              <w:pStyle w:val="TableRow"/>
              <w:keepLines/>
              <w:jc w:val="center"/>
              <w:rPr>
                <w:color w:val="000000"/>
              </w:rPr>
            </w:pPr>
            <w:r>
              <w:rPr>
                <w:color w:val="000000"/>
              </w:rPr>
              <w:t>13.70</w:t>
            </w:r>
          </w:p>
        </w:tc>
        <w:tc>
          <w:tcPr>
            <w:tcW w:w="975" w:type="dxa"/>
            <w:tcBorders>
              <w:top w:val="single" w:sz="4" w:space="0" w:color="808080"/>
              <w:bottom w:val="single" w:sz="4" w:space="0" w:color="808080"/>
            </w:tcBorders>
          </w:tcPr>
          <w:p w14:paraId="0E60FD95" w14:textId="77777777" w:rsidR="00E8751C" w:rsidRPr="00DA46B4" w:rsidRDefault="00E8751C" w:rsidP="00324721">
            <w:pPr>
              <w:pStyle w:val="TableRow"/>
              <w:keepLines/>
              <w:jc w:val="center"/>
              <w:rPr>
                <w:color w:val="000000"/>
              </w:rPr>
            </w:pPr>
            <w:r>
              <w:rPr>
                <w:color w:val="000000"/>
              </w:rPr>
              <w:t>11.80</w:t>
            </w:r>
          </w:p>
        </w:tc>
      </w:tr>
      <w:tr w:rsidR="00D275C4" w14:paraId="2618EC96" w14:textId="77777777" w:rsidTr="00324721">
        <w:trPr>
          <w:cantSplit/>
        </w:trPr>
        <w:tc>
          <w:tcPr>
            <w:tcW w:w="1453" w:type="dxa"/>
            <w:tcBorders>
              <w:top w:val="single" w:sz="4" w:space="0" w:color="808080"/>
              <w:bottom w:val="single" w:sz="4" w:space="0" w:color="808080"/>
            </w:tcBorders>
            <w:vAlign w:val="center"/>
          </w:tcPr>
          <w:p w14:paraId="4F3EFAE8" w14:textId="26811F5D" w:rsidR="00D275C4" w:rsidRDefault="00D275C4" w:rsidP="00D275C4">
            <w:pPr>
              <w:pStyle w:val="TableRow"/>
              <w:keepLines/>
              <w:jc w:val="center"/>
              <w:rPr>
                <w:color w:val="000000"/>
              </w:rPr>
            </w:pPr>
            <w:r w:rsidRPr="00AC65A1">
              <w:rPr>
                <w:color w:val="000000"/>
              </w:rPr>
              <w:t>P</w:t>
            </w:r>
            <w:r>
              <w:rPr>
                <w:color w:val="000000"/>
              </w:rPr>
              <w:t>articulate</w:t>
            </w:r>
          </w:p>
        </w:tc>
        <w:tc>
          <w:tcPr>
            <w:tcW w:w="974" w:type="dxa"/>
            <w:tcBorders>
              <w:top w:val="single" w:sz="4" w:space="0" w:color="808080"/>
              <w:bottom w:val="single" w:sz="4" w:space="0" w:color="808080"/>
            </w:tcBorders>
            <w:vAlign w:val="center"/>
          </w:tcPr>
          <w:p w14:paraId="3E2C66FB" w14:textId="09056778" w:rsidR="00D275C4" w:rsidRDefault="00D275C4" w:rsidP="00D275C4">
            <w:pPr>
              <w:pStyle w:val="TableRow"/>
              <w:keepLines/>
              <w:jc w:val="center"/>
              <w:rPr>
                <w:color w:val="000000"/>
              </w:rPr>
            </w:pPr>
            <w:r>
              <w:rPr>
                <w:color w:val="000000"/>
              </w:rPr>
              <w:t>25.00</w:t>
            </w:r>
          </w:p>
        </w:tc>
        <w:tc>
          <w:tcPr>
            <w:tcW w:w="975" w:type="dxa"/>
            <w:tcBorders>
              <w:top w:val="single" w:sz="4" w:space="0" w:color="808080"/>
              <w:bottom w:val="single" w:sz="4" w:space="0" w:color="808080"/>
            </w:tcBorders>
          </w:tcPr>
          <w:p w14:paraId="487776B6" w14:textId="2F5F1DAB" w:rsidR="00D275C4" w:rsidRDefault="00D275C4" w:rsidP="00D275C4">
            <w:pPr>
              <w:pStyle w:val="TableRow"/>
              <w:keepLines/>
              <w:jc w:val="center"/>
              <w:rPr>
                <w:color w:val="000000"/>
              </w:rPr>
            </w:pPr>
            <w:r>
              <w:rPr>
                <w:color w:val="000000"/>
              </w:rPr>
              <w:t>23.35</w:t>
            </w:r>
          </w:p>
        </w:tc>
        <w:tc>
          <w:tcPr>
            <w:tcW w:w="974" w:type="dxa"/>
            <w:tcBorders>
              <w:top w:val="single" w:sz="4" w:space="0" w:color="808080"/>
              <w:bottom w:val="single" w:sz="4" w:space="0" w:color="808080"/>
            </w:tcBorders>
          </w:tcPr>
          <w:p w14:paraId="2A12018E" w14:textId="6F01F000" w:rsidR="00D275C4" w:rsidRDefault="00D275C4" w:rsidP="00D275C4">
            <w:pPr>
              <w:pStyle w:val="TableRow"/>
              <w:keepLines/>
              <w:jc w:val="center"/>
              <w:rPr>
                <w:color w:val="000000"/>
              </w:rPr>
            </w:pPr>
            <w:r>
              <w:rPr>
                <w:color w:val="000000"/>
              </w:rPr>
              <w:t>12.70</w:t>
            </w:r>
          </w:p>
        </w:tc>
        <w:tc>
          <w:tcPr>
            <w:tcW w:w="975" w:type="dxa"/>
            <w:tcBorders>
              <w:top w:val="single" w:sz="4" w:space="0" w:color="808080"/>
              <w:bottom w:val="single" w:sz="4" w:space="0" w:color="808080"/>
            </w:tcBorders>
            <w:vAlign w:val="center"/>
          </w:tcPr>
          <w:p w14:paraId="0FD26B79" w14:textId="386129C2" w:rsidR="00D275C4" w:rsidRDefault="00D275C4" w:rsidP="00D275C4">
            <w:pPr>
              <w:pStyle w:val="TableRow"/>
              <w:keepLines/>
              <w:jc w:val="center"/>
              <w:rPr>
                <w:color w:val="000000"/>
              </w:rPr>
            </w:pPr>
            <w:r>
              <w:rPr>
                <w:color w:val="000000"/>
              </w:rPr>
              <w:t>8.20</w:t>
            </w:r>
          </w:p>
        </w:tc>
        <w:tc>
          <w:tcPr>
            <w:tcW w:w="974" w:type="dxa"/>
            <w:tcBorders>
              <w:top w:val="single" w:sz="4" w:space="0" w:color="808080"/>
              <w:bottom w:val="single" w:sz="4" w:space="0" w:color="808080"/>
            </w:tcBorders>
          </w:tcPr>
          <w:p w14:paraId="1671ADFE" w14:textId="028BD7C3" w:rsidR="00D275C4" w:rsidRDefault="00D275C4" w:rsidP="00D275C4">
            <w:pPr>
              <w:pStyle w:val="TableRow"/>
              <w:keepLines/>
              <w:jc w:val="center"/>
              <w:rPr>
                <w:color w:val="000000"/>
              </w:rPr>
            </w:pPr>
            <w:r>
              <w:rPr>
                <w:color w:val="000000"/>
              </w:rPr>
              <w:t>8.10</w:t>
            </w:r>
          </w:p>
        </w:tc>
        <w:tc>
          <w:tcPr>
            <w:tcW w:w="975" w:type="dxa"/>
            <w:tcBorders>
              <w:top w:val="single" w:sz="4" w:space="0" w:color="808080"/>
              <w:bottom w:val="single" w:sz="4" w:space="0" w:color="808080"/>
            </w:tcBorders>
            <w:vAlign w:val="center"/>
          </w:tcPr>
          <w:p w14:paraId="222CA31F" w14:textId="49E116FA" w:rsidR="00D275C4" w:rsidRDefault="00D275C4" w:rsidP="00D275C4">
            <w:pPr>
              <w:pStyle w:val="TableRow"/>
              <w:keepLines/>
              <w:jc w:val="center"/>
              <w:rPr>
                <w:color w:val="000000"/>
              </w:rPr>
            </w:pPr>
            <w:r>
              <w:rPr>
                <w:color w:val="000000"/>
              </w:rPr>
              <w:t>6.00</w:t>
            </w:r>
          </w:p>
        </w:tc>
        <w:tc>
          <w:tcPr>
            <w:tcW w:w="974" w:type="dxa"/>
            <w:tcBorders>
              <w:top w:val="single" w:sz="4" w:space="0" w:color="808080"/>
              <w:bottom w:val="single" w:sz="4" w:space="0" w:color="808080"/>
            </w:tcBorders>
          </w:tcPr>
          <w:p w14:paraId="257A986E" w14:textId="5B3B4512" w:rsidR="00D275C4" w:rsidRDefault="00D275C4" w:rsidP="00D275C4">
            <w:pPr>
              <w:pStyle w:val="TableRow"/>
              <w:keepLines/>
              <w:jc w:val="center"/>
              <w:rPr>
                <w:color w:val="000000"/>
              </w:rPr>
            </w:pPr>
            <w:r>
              <w:rPr>
                <w:color w:val="000000"/>
              </w:rPr>
              <w:t>5.60</w:t>
            </w:r>
          </w:p>
        </w:tc>
        <w:tc>
          <w:tcPr>
            <w:tcW w:w="975" w:type="dxa"/>
            <w:tcBorders>
              <w:top w:val="single" w:sz="4" w:space="0" w:color="808080"/>
              <w:bottom w:val="single" w:sz="4" w:space="0" w:color="808080"/>
            </w:tcBorders>
          </w:tcPr>
          <w:p w14:paraId="6B368854" w14:textId="0BD5A2A0" w:rsidR="00D275C4" w:rsidRDefault="00D275C4" w:rsidP="00D275C4">
            <w:pPr>
              <w:pStyle w:val="TableRow"/>
              <w:keepLines/>
              <w:jc w:val="center"/>
              <w:rPr>
                <w:color w:val="000000"/>
              </w:rPr>
            </w:pPr>
            <w:r>
              <w:rPr>
                <w:color w:val="000000"/>
              </w:rPr>
              <w:t>5.50</w:t>
            </w:r>
          </w:p>
        </w:tc>
      </w:tr>
      <w:tr w:rsidR="00D275C4" w14:paraId="4298DAF1" w14:textId="77777777" w:rsidTr="00324721">
        <w:trPr>
          <w:cantSplit/>
        </w:trPr>
        <w:tc>
          <w:tcPr>
            <w:tcW w:w="1453" w:type="dxa"/>
            <w:tcBorders>
              <w:top w:val="single" w:sz="4" w:space="0" w:color="808080"/>
              <w:bottom w:val="single" w:sz="4" w:space="0" w:color="808080"/>
            </w:tcBorders>
            <w:vAlign w:val="center"/>
          </w:tcPr>
          <w:p w14:paraId="533E8BD0" w14:textId="699FE0BB" w:rsidR="00D275C4" w:rsidRPr="00B370C7" w:rsidRDefault="00D275C4" w:rsidP="00D275C4">
            <w:pPr>
              <w:pStyle w:val="TableRow"/>
              <w:keepLines/>
              <w:jc w:val="center"/>
              <w:rPr>
                <w:color w:val="000000"/>
              </w:rPr>
            </w:pPr>
            <w:r>
              <w:rPr>
                <w:color w:val="000000"/>
              </w:rPr>
              <w:t>Organic</w:t>
            </w:r>
          </w:p>
        </w:tc>
        <w:tc>
          <w:tcPr>
            <w:tcW w:w="974" w:type="dxa"/>
            <w:tcBorders>
              <w:top w:val="single" w:sz="4" w:space="0" w:color="808080"/>
              <w:bottom w:val="single" w:sz="4" w:space="0" w:color="808080"/>
            </w:tcBorders>
            <w:vAlign w:val="center"/>
          </w:tcPr>
          <w:p w14:paraId="218699E8" w14:textId="77777777" w:rsidR="00D275C4" w:rsidRPr="00DA46B4" w:rsidRDefault="00D275C4" w:rsidP="00D275C4">
            <w:pPr>
              <w:pStyle w:val="TableRow"/>
              <w:keepLines/>
              <w:jc w:val="center"/>
              <w:rPr>
                <w:color w:val="000000"/>
              </w:rPr>
            </w:pPr>
            <w:r>
              <w:rPr>
                <w:color w:val="000000"/>
              </w:rPr>
              <w:t>2.40</w:t>
            </w:r>
          </w:p>
        </w:tc>
        <w:tc>
          <w:tcPr>
            <w:tcW w:w="975" w:type="dxa"/>
            <w:tcBorders>
              <w:top w:val="single" w:sz="4" w:space="0" w:color="808080"/>
              <w:bottom w:val="single" w:sz="4" w:space="0" w:color="808080"/>
            </w:tcBorders>
          </w:tcPr>
          <w:p w14:paraId="43CB2FF9" w14:textId="77777777" w:rsidR="00D275C4" w:rsidRPr="00DA46B4" w:rsidRDefault="00D275C4" w:rsidP="00D275C4">
            <w:pPr>
              <w:pStyle w:val="TableRow"/>
              <w:keepLines/>
              <w:jc w:val="center"/>
              <w:rPr>
                <w:color w:val="000000"/>
              </w:rPr>
            </w:pPr>
            <w:r>
              <w:rPr>
                <w:color w:val="000000"/>
              </w:rPr>
              <w:t>4.10</w:t>
            </w:r>
          </w:p>
        </w:tc>
        <w:tc>
          <w:tcPr>
            <w:tcW w:w="974" w:type="dxa"/>
            <w:tcBorders>
              <w:top w:val="single" w:sz="4" w:space="0" w:color="808080"/>
              <w:bottom w:val="single" w:sz="4" w:space="0" w:color="808080"/>
            </w:tcBorders>
          </w:tcPr>
          <w:p w14:paraId="64FC435D" w14:textId="77777777" w:rsidR="00D275C4" w:rsidRPr="00DA46B4" w:rsidRDefault="00D275C4" w:rsidP="00D275C4">
            <w:pPr>
              <w:pStyle w:val="TableRow"/>
              <w:keepLines/>
              <w:jc w:val="center"/>
              <w:rPr>
                <w:color w:val="000000"/>
              </w:rPr>
            </w:pPr>
            <w:r>
              <w:rPr>
                <w:color w:val="000000"/>
              </w:rPr>
              <w:t>25.65</w:t>
            </w:r>
          </w:p>
        </w:tc>
        <w:tc>
          <w:tcPr>
            <w:tcW w:w="975" w:type="dxa"/>
            <w:tcBorders>
              <w:top w:val="single" w:sz="4" w:space="0" w:color="808080"/>
              <w:bottom w:val="single" w:sz="4" w:space="0" w:color="808080"/>
            </w:tcBorders>
            <w:vAlign w:val="center"/>
          </w:tcPr>
          <w:p w14:paraId="3CB133CE" w14:textId="77777777" w:rsidR="00D275C4" w:rsidRPr="00DA46B4" w:rsidRDefault="00D275C4" w:rsidP="00D275C4">
            <w:pPr>
              <w:pStyle w:val="TableRow"/>
              <w:keepLines/>
              <w:jc w:val="center"/>
              <w:rPr>
                <w:color w:val="000000"/>
              </w:rPr>
            </w:pPr>
            <w:r>
              <w:rPr>
                <w:color w:val="000000"/>
              </w:rPr>
              <w:t>43.05</w:t>
            </w:r>
          </w:p>
        </w:tc>
        <w:tc>
          <w:tcPr>
            <w:tcW w:w="974" w:type="dxa"/>
            <w:tcBorders>
              <w:top w:val="single" w:sz="4" w:space="0" w:color="808080"/>
              <w:bottom w:val="single" w:sz="4" w:space="0" w:color="808080"/>
            </w:tcBorders>
          </w:tcPr>
          <w:p w14:paraId="751D4AB0" w14:textId="77777777" w:rsidR="00D275C4" w:rsidRPr="00DA46B4" w:rsidRDefault="00D275C4" w:rsidP="00D275C4">
            <w:pPr>
              <w:pStyle w:val="TableRow"/>
              <w:keepLines/>
              <w:jc w:val="center"/>
              <w:rPr>
                <w:color w:val="000000"/>
              </w:rPr>
            </w:pPr>
            <w:r>
              <w:rPr>
                <w:color w:val="000000"/>
              </w:rPr>
              <w:t>43.60</w:t>
            </w:r>
          </w:p>
        </w:tc>
        <w:tc>
          <w:tcPr>
            <w:tcW w:w="975" w:type="dxa"/>
            <w:tcBorders>
              <w:top w:val="single" w:sz="4" w:space="0" w:color="808080"/>
              <w:bottom w:val="single" w:sz="4" w:space="0" w:color="808080"/>
            </w:tcBorders>
            <w:vAlign w:val="center"/>
          </w:tcPr>
          <w:p w14:paraId="7FC72E81" w14:textId="77777777" w:rsidR="00D275C4" w:rsidRPr="00DA46B4" w:rsidRDefault="00D275C4" w:rsidP="00D275C4">
            <w:pPr>
              <w:pStyle w:val="TableRow"/>
              <w:keepLines/>
              <w:jc w:val="center"/>
              <w:rPr>
                <w:color w:val="000000"/>
              </w:rPr>
            </w:pPr>
            <w:r>
              <w:rPr>
                <w:color w:val="000000"/>
              </w:rPr>
              <w:t>75.90</w:t>
            </w:r>
          </w:p>
        </w:tc>
        <w:tc>
          <w:tcPr>
            <w:tcW w:w="974" w:type="dxa"/>
            <w:tcBorders>
              <w:top w:val="single" w:sz="4" w:space="0" w:color="808080"/>
              <w:bottom w:val="single" w:sz="4" w:space="0" w:color="808080"/>
            </w:tcBorders>
          </w:tcPr>
          <w:p w14:paraId="175012B6" w14:textId="77777777" w:rsidR="00D275C4" w:rsidRPr="00DA46B4" w:rsidRDefault="00D275C4" w:rsidP="00D275C4">
            <w:pPr>
              <w:pStyle w:val="TableRow"/>
              <w:keepLines/>
              <w:jc w:val="center"/>
              <w:rPr>
                <w:color w:val="000000"/>
              </w:rPr>
            </w:pPr>
            <w:r>
              <w:rPr>
                <w:color w:val="000000"/>
              </w:rPr>
              <w:t>80.70</w:t>
            </w:r>
          </w:p>
        </w:tc>
        <w:tc>
          <w:tcPr>
            <w:tcW w:w="975" w:type="dxa"/>
            <w:tcBorders>
              <w:top w:val="single" w:sz="4" w:space="0" w:color="808080"/>
              <w:bottom w:val="single" w:sz="4" w:space="0" w:color="808080"/>
            </w:tcBorders>
          </w:tcPr>
          <w:p w14:paraId="75EA8FBA" w14:textId="77777777" w:rsidR="00D275C4" w:rsidRPr="00DA46B4" w:rsidRDefault="00D275C4" w:rsidP="00D275C4">
            <w:pPr>
              <w:pStyle w:val="TableRow"/>
              <w:keepLines/>
              <w:jc w:val="center"/>
              <w:rPr>
                <w:color w:val="000000"/>
              </w:rPr>
            </w:pPr>
            <w:r>
              <w:rPr>
                <w:color w:val="000000"/>
              </w:rPr>
              <w:t>82.70</w:t>
            </w:r>
          </w:p>
        </w:tc>
      </w:tr>
      <w:tr w:rsidR="00D275C4" w14:paraId="6B6F2672" w14:textId="77777777" w:rsidTr="00324721">
        <w:trPr>
          <w:cantSplit/>
        </w:trPr>
        <w:tc>
          <w:tcPr>
            <w:tcW w:w="9249" w:type="dxa"/>
            <w:gridSpan w:val="9"/>
            <w:tcBorders>
              <w:top w:val="single" w:sz="4" w:space="0" w:color="808080"/>
              <w:bottom w:val="single" w:sz="4" w:space="0" w:color="002060"/>
            </w:tcBorders>
          </w:tcPr>
          <w:p w14:paraId="76C129D7" w14:textId="77777777" w:rsidR="00D275C4" w:rsidRDefault="00D275C4" w:rsidP="00D275C4">
            <w:pPr>
              <w:pStyle w:val="TableRow"/>
              <w:keepLines/>
              <w:rPr>
                <w:color w:val="000000"/>
              </w:rPr>
            </w:pPr>
            <w:r>
              <w:rPr>
                <w:color w:val="000000"/>
              </w:rPr>
              <w:t>Phase 1 = 0-1h; Phase 2 = 1-2h; Phase 3 = 2-12h; Phase 4 = 12h-1d; Phase 5 = 1-2d; Phase 6 = 2-7d; Phase 7 = 7-15d; Phase 8 = 15-30d.</w:t>
            </w:r>
          </w:p>
        </w:tc>
      </w:tr>
    </w:tbl>
    <w:p w14:paraId="2222E1AC" w14:textId="77777777" w:rsidR="00E8751C" w:rsidRPr="00AC65A1" w:rsidRDefault="00E8751C" w:rsidP="00E8751C">
      <w:pPr>
        <w:pStyle w:val="BodyText"/>
      </w:pPr>
    </w:p>
    <w:p w14:paraId="2F383982" w14:textId="77777777" w:rsidR="00E8751C" w:rsidRDefault="00E8751C" w:rsidP="00E8751C">
      <w:pPr>
        <w:pStyle w:val="Heading3"/>
      </w:pPr>
      <w:bookmarkStart w:id="43" w:name="_Ref52872895"/>
      <w:bookmarkStart w:id="44" w:name="_Toc79679416"/>
      <w:bookmarkStart w:id="45" w:name="_Toc89966369"/>
      <w:r>
        <w:t>Selection of radionuclides for LBL source term</w:t>
      </w:r>
      <w:bookmarkEnd w:id="43"/>
      <w:bookmarkEnd w:id="44"/>
      <w:bookmarkEnd w:id="45"/>
    </w:p>
    <w:p w14:paraId="1B0308A5" w14:textId="77777777" w:rsidR="00E8751C" w:rsidRDefault="00E8751C" w:rsidP="00E8751C">
      <w:pPr>
        <w:pStyle w:val="BodyText"/>
        <w:jc w:val="both"/>
      </w:pPr>
      <w:r>
        <w:t>The full LBL source term included 40 radionuclides. This number of radionuclides cannot be modelled in PACE, owing to data and processing limitations. Three of the 40 are not available in PACE, and so had to be excluded. Of the remaining 37, the most relevant seven were identified and included in the LBL source term.</w:t>
      </w:r>
    </w:p>
    <w:p w14:paraId="5E6F624E" w14:textId="7506B40E" w:rsidR="00E8751C" w:rsidRDefault="00E8751C" w:rsidP="00E8751C">
      <w:pPr>
        <w:pStyle w:val="BodyText"/>
        <w:jc w:val="both"/>
      </w:pPr>
      <w:r>
        <w:t xml:space="preserve">The PACE tool’s Source Term function was used to identify the most relevant radionuclides. This gives an approximate breakdown of the proportion of the dose that is attributable to each radionuclide and is able to produce a ranked list. This </w:t>
      </w:r>
      <w:r w:rsidR="00B87733">
        <w:t xml:space="preserve">was </w:t>
      </w:r>
      <w:r w:rsidR="001B078B">
        <w:t xml:space="preserve">undertaken </w:t>
      </w:r>
      <w:r>
        <w:t>for a range of scenario conditions. A baseline scenario, plus two variations of meteorological conditions, two variations of release location to receptor distances and two variations of dose integration periods were all considered (seven scenarios in total). The seven radionuclides that were most highly ranked</w:t>
      </w:r>
      <w:r w:rsidR="001B078B">
        <w:t>,</w:t>
      </w:r>
      <w:r w:rsidR="00B87733">
        <w:t xml:space="preserve"> in terms of dose</w:t>
      </w:r>
      <w:r w:rsidR="001B078B">
        <w:t>,</w:t>
      </w:r>
      <w:r>
        <w:t xml:space="preserve"> over the </w:t>
      </w:r>
      <w:r w:rsidR="001B078B">
        <w:t xml:space="preserve">conditions </w:t>
      </w:r>
      <w:r>
        <w:t>considered</w:t>
      </w:r>
      <w:r w:rsidR="001B078B">
        <w:t>,</w:t>
      </w:r>
      <w:r>
        <w:t xml:space="preserve"> were included in the LBL source term. In addition to those, </w:t>
      </w:r>
      <w:r w:rsidRPr="009371D8">
        <w:rPr>
          <w:vertAlign w:val="superscript"/>
        </w:rPr>
        <w:t>137m</w:t>
      </w:r>
      <w:r>
        <w:t>Ba was included</w:t>
      </w:r>
      <w:r w:rsidRPr="004C3A9E">
        <w:t xml:space="preserve"> because of its </w:t>
      </w:r>
      <w:r>
        <w:t xml:space="preserve">potential </w:t>
      </w:r>
      <w:r w:rsidRPr="004C3A9E">
        <w:t xml:space="preserve">importance as the progeny of </w:t>
      </w:r>
      <w:r w:rsidRPr="009371D8">
        <w:rPr>
          <w:vertAlign w:val="superscript"/>
        </w:rPr>
        <w:t>137</w:t>
      </w:r>
      <w:r w:rsidRPr="004C3A9E">
        <w:t>Cs</w:t>
      </w:r>
      <w:r>
        <w:t>.</w:t>
      </w:r>
    </w:p>
    <w:p w14:paraId="721B254C" w14:textId="77777777" w:rsidR="00E8751C" w:rsidRDefault="00E8751C" w:rsidP="00E8751C">
      <w:pPr>
        <w:pStyle w:val="BodyTextEND"/>
        <w:jc w:val="both"/>
      </w:pPr>
      <w:r>
        <w:t>The source term tool showed that across the range of scenarios considered, the seven selected radionuclides always contributed at least 97% of the dose</w:t>
      </w:r>
      <w:r>
        <w:rPr>
          <w:rStyle w:val="FootnoteReference"/>
        </w:rPr>
        <w:footnoteReference w:id="4"/>
      </w:r>
      <w:r>
        <w:t>.</w:t>
      </w:r>
    </w:p>
    <w:p w14:paraId="1672C215" w14:textId="77777777" w:rsidR="00E8751C" w:rsidRDefault="00E8751C" w:rsidP="00E8751C">
      <w:pPr>
        <w:pStyle w:val="Heading2"/>
      </w:pPr>
      <w:bookmarkStart w:id="46" w:name="_Ref79594007"/>
      <w:bookmarkStart w:id="47" w:name="_Toc79679417"/>
      <w:bookmarkStart w:id="48" w:name="_Toc89966370"/>
      <w:r>
        <w:t>Fuel Handling Source Term</w:t>
      </w:r>
      <w:bookmarkEnd w:id="46"/>
      <w:bookmarkEnd w:id="47"/>
      <w:bookmarkEnd w:id="48"/>
    </w:p>
    <w:p w14:paraId="4B8C61A4" w14:textId="77777777" w:rsidR="00E8751C" w:rsidRDefault="00E8751C" w:rsidP="00E8751C">
      <w:pPr>
        <w:pStyle w:val="BodyText"/>
        <w:jc w:val="both"/>
      </w:pPr>
      <w:r>
        <w:t>The number of radionuclides in the Fuel Handling (FH) source term was too great for them all to be used in PACE and would also have been impractical for ADMS. The number was reduced in a manner similar to the method used for the LBL source term (see above).</w:t>
      </w:r>
    </w:p>
    <w:p w14:paraId="638AAB64" w14:textId="77777777" w:rsidR="00E8751C" w:rsidRPr="003D2909" w:rsidRDefault="00E8751C" w:rsidP="00E8751C">
      <w:pPr>
        <w:pStyle w:val="BodyTextEND"/>
        <w:jc w:val="both"/>
      </w:pPr>
      <w:r>
        <w:t>The FH source term release duration was 30 days; however, the vast majority of the activity was released during the first 48 hours. Consequently, only the first 48 hours of the release was included in the FH source term that was used in the model runs.</w:t>
      </w:r>
    </w:p>
    <w:p w14:paraId="59DDFADC" w14:textId="7FE7A14C" w:rsidR="00E8751C" w:rsidRPr="00BD67F0" w:rsidRDefault="00E8751C" w:rsidP="00E8751C">
      <w:pPr>
        <w:pStyle w:val="Tablecaption"/>
        <w:keepNext w:val="0"/>
        <w:keepLines w:val="0"/>
      </w:pPr>
      <w:bookmarkStart w:id="49" w:name="_Ref88654402"/>
      <w:r w:rsidRPr="00BD67F0">
        <w:t xml:space="preserve">Table </w:t>
      </w:r>
      <w:fldSimple w:instr=" SEQ Table \* ARABIC ">
        <w:r w:rsidR="00926FE3">
          <w:rPr>
            <w:noProof/>
          </w:rPr>
          <w:t>9</w:t>
        </w:r>
      </w:fldSimple>
      <w:bookmarkEnd w:id="49"/>
      <w:r w:rsidRPr="00BD67F0">
        <w:t xml:space="preserve">: </w:t>
      </w:r>
      <w:r>
        <w:t>FH</w:t>
      </w:r>
      <w:r w:rsidRPr="00BD67F0">
        <w:t xml:space="preserve"> source term - radionuclides modelled (Bq)</w:t>
      </w:r>
    </w:p>
    <w:tbl>
      <w:tblPr>
        <w:tblW w:w="6992" w:type="dxa"/>
        <w:jc w:val="center"/>
        <w:tblLayout w:type="fixed"/>
        <w:tblLook w:val="00A0" w:firstRow="1" w:lastRow="0" w:firstColumn="1" w:lastColumn="0" w:noHBand="0" w:noVBand="0"/>
      </w:tblPr>
      <w:tblGrid>
        <w:gridCol w:w="1453"/>
        <w:gridCol w:w="1107"/>
        <w:gridCol w:w="1108"/>
        <w:gridCol w:w="1108"/>
        <w:gridCol w:w="1108"/>
        <w:gridCol w:w="1108"/>
      </w:tblGrid>
      <w:tr w:rsidR="00E8751C" w14:paraId="78F4E516" w14:textId="77777777" w:rsidTr="002613EA">
        <w:trPr>
          <w:cantSplit/>
          <w:jc w:val="center"/>
        </w:trPr>
        <w:tc>
          <w:tcPr>
            <w:tcW w:w="1453" w:type="dxa"/>
            <w:tcBorders>
              <w:top w:val="single" w:sz="4" w:space="0" w:color="002060"/>
              <w:bottom w:val="single" w:sz="4" w:space="0" w:color="002060"/>
            </w:tcBorders>
          </w:tcPr>
          <w:p w14:paraId="33EDBA77" w14:textId="77777777" w:rsidR="00E8751C" w:rsidRDefault="00E8751C" w:rsidP="00324721">
            <w:pPr>
              <w:pStyle w:val="TableColumnHeader"/>
              <w:keepLines w:val="0"/>
              <w:jc w:val="center"/>
            </w:pPr>
            <w:r>
              <w:t>Radionuclide</w:t>
            </w:r>
          </w:p>
        </w:tc>
        <w:tc>
          <w:tcPr>
            <w:tcW w:w="1107" w:type="dxa"/>
            <w:tcBorders>
              <w:top w:val="single" w:sz="4" w:space="0" w:color="002060"/>
              <w:bottom w:val="single" w:sz="4" w:space="0" w:color="002060"/>
            </w:tcBorders>
          </w:tcPr>
          <w:p w14:paraId="42173A53" w14:textId="77777777" w:rsidR="00E8751C" w:rsidRDefault="00E8751C" w:rsidP="00324721">
            <w:pPr>
              <w:pStyle w:val="TableColumnHeader"/>
              <w:keepLines w:val="0"/>
              <w:jc w:val="center"/>
            </w:pPr>
            <w:r>
              <w:t>Phase 1</w:t>
            </w:r>
          </w:p>
        </w:tc>
        <w:tc>
          <w:tcPr>
            <w:tcW w:w="1108" w:type="dxa"/>
            <w:tcBorders>
              <w:top w:val="single" w:sz="4" w:space="0" w:color="002060"/>
              <w:bottom w:val="single" w:sz="4" w:space="0" w:color="002060"/>
            </w:tcBorders>
          </w:tcPr>
          <w:p w14:paraId="10256CDA" w14:textId="77777777" w:rsidR="00E8751C" w:rsidRDefault="00E8751C" w:rsidP="00324721">
            <w:pPr>
              <w:pStyle w:val="TableColumnHeader"/>
              <w:keepLines w:val="0"/>
              <w:jc w:val="center"/>
            </w:pPr>
            <w:r>
              <w:t>Phase 2</w:t>
            </w:r>
          </w:p>
        </w:tc>
        <w:tc>
          <w:tcPr>
            <w:tcW w:w="1108" w:type="dxa"/>
            <w:tcBorders>
              <w:top w:val="single" w:sz="4" w:space="0" w:color="002060"/>
              <w:bottom w:val="single" w:sz="4" w:space="0" w:color="002060"/>
            </w:tcBorders>
          </w:tcPr>
          <w:p w14:paraId="06CDB3DA" w14:textId="77777777" w:rsidR="00E8751C" w:rsidRDefault="00E8751C" w:rsidP="00324721">
            <w:pPr>
              <w:pStyle w:val="TableColumnHeader"/>
              <w:keepLines w:val="0"/>
              <w:jc w:val="center"/>
            </w:pPr>
            <w:r>
              <w:t>Phase 3</w:t>
            </w:r>
          </w:p>
        </w:tc>
        <w:tc>
          <w:tcPr>
            <w:tcW w:w="1108" w:type="dxa"/>
            <w:tcBorders>
              <w:top w:val="single" w:sz="4" w:space="0" w:color="002060"/>
              <w:bottom w:val="single" w:sz="4" w:space="0" w:color="002060"/>
            </w:tcBorders>
          </w:tcPr>
          <w:p w14:paraId="1C795EB5" w14:textId="77777777" w:rsidR="00E8751C" w:rsidRDefault="00E8751C" w:rsidP="00324721">
            <w:pPr>
              <w:pStyle w:val="TableColumnHeader"/>
              <w:keepLines w:val="0"/>
              <w:jc w:val="center"/>
            </w:pPr>
            <w:r>
              <w:t>Phase 4</w:t>
            </w:r>
          </w:p>
        </w:tc>
        <w:tc>
          <w:tcPr>
            <w:tcW w:w="1108" w:type="dxa"/>
            <w:tcBorders>
              <w:top w:val="single" w:sz="4" w:space="0" w:color="002060"/>
              <w:bottom w:val="single" w:sz="4" w:space="0" w:color="002060"/>
            </w:tcBorders>
          </w:tcPr>
          <w:p w14:paraId="7732F52E" w14:textId="77777777" w:rsidR="00E8751C" w:rsidRDefault="00E8751C" w:rsidP="00324721">
            <w:pPr>
              <w:pStyle w:val="TableColumnHeader"/>
              <w:keepLines w:val="0"/>
              <w:jc w:val="center"/>
            </w:pPr>
            <w:r>
              <w:t>Phase 5</w:t>
            </w:r>
          </w:p>
        </w:tc>
      </w:tr>
      <w:tr w:rsidR="00E8751C" w14:paraId="5D4CB4C2" w14:textId="77777777" w:rsidTr="002613EA">
        <w:trPr>
          <w:cantSplit/>
          <w:jc w:val="center"/>
        </w:trPr>
        <w:tc>
          <w:tcPr>
            <w:tcW w:w="1453" w:type="dxa"/>
            <w:tcBorders>
              <w:top w:val="single" w:sz="4" w:space="0" w:color="002060"/>
              <w:bottom w:val="single" w:sz="4" w:space="0" w:color="808080"/>
            </w:tcBorders>
            <w:vAlign w:val="center"/>
          </w:tcPr>
          <w:p w14:paraId="6605751A" w14:textId="77777777" w:rsidR="00E8751C" w:rsidRPr="0080407A" w:rsidRDefault="00E8751C" w:rsidP="00324721">
            <w:pPr>
              <w:pStyle w:val="TableRow"/>
              <w:keepNext w:val="0"/>
              <w:jc w:val="center"/>
              <w:rPr>
                <w:color w:val="000000"/>
              </w:rPr>
            </w:pPr>
            <w:r w:rsidRPr="00195B8A">
              <w:rPr>
                <w:color w:val="000000"/>
                <w:vertAlign w:val="superscript"/>
              </w:rPr>
              <w:t>13</w:t>
            </w:r>
            <w:r>
              <w:rPr>
                <w:color w:val="000000"/>
                <w:vertAlign w:val="superscript"/>
              </w:rPr>
              <w:t>7m</w:t>
            </w:r>
            <w:r>
              <w:rPr>
                <w:color w:val="000000"/>
              </w:rPr>
              <w:t>Ba</w:t>
            </w:r>
          </w:p>
        </w:tc>
        <w:tc>
          <w:tcPr>
            <w:tcW w:w="1107" w:type="dxa"/>
            <w:tcBorders>
              <w:top w:val="single" w:sz="4" w:space="0" w:color="002060"/>
              <w:bottom w:val="single" w:sz="4" w:space="0" w:color="808080"/>
            </w:tcBorders>
          </w:tcPr>
          <w:p w14:paraId="7A6A46E0" w14:textId="77777777" w:rsidR="00E8751C" w:rsidRPr="00DA46B4" w:rsidRDefault="00E8751C" w:rsidP="00324721">
            <w:pPr>
              <w:pStyle w:val="TableRow"/>
              <w:keepNext w:val="0"/>
              <w:jc w:val="center"/>
              <w:rPr>
                <w:color w:val="000000"/>
              </w:rPr>
            </w:pPr>
            <w:r>
              <w:t>6</w:t>
            </w:r>
            <w:r w:rsidRPr="00CF485A">
              <w:t>.</w:t>
            </w:r>
            <w:r>
              <w:t>2</w:t>
            </w:r>
            <w:r w:rsidRPr="00CF485A">
              <w:t>0E+0</w:t>
            </w:r>
            <w:r>
              <w:t>8</w:t>
            </w:r>
          </w:p>
        </w:tc>
        <w:tc>
          <w:tcPr>
            <w:tcW w:w="1108" w:type="dxa"/>
            <w:tcBorders>
              <w:top w:val="single" w:sz="4" w:space="0" w:color="002060"/>
              <w:bottom w:val="single" w:sz="4" w:space="0" w:color="808080"/>
            </w:tcBorders>
          </w:tcPr>
          <w:p w14:paraId="5A2DF6CF" w14:textId="77777777" w:rsidR="00E8751C" w:rsidRPr="00DA46B4" w:rsidRDefault="00E8751C" w:rsidP="00324721">
            <w:pPr>
              <w:pStyle w:val="TableRow"/>
              <w:keepNext w:val="0"/>
              <w:jc w:val="center"/>
              <w:rPr>
                <w:color w:val="000000"/>
              </w:rPr>
            </w:pPr>
            <w:r w:rsidRPr="002144CA">
              <w:t>3.50E+08</w:t>
            </w:r>
          </w:p>
        </w:tc>
        <w:tc>
          <w:tcPr>
            <w:tcW w:w="1108" w:type="dxa"/>
            <w:tcBorders>
              <w:top w:val="single" w:sz="4" w:space="0" w:color="002060"/>
              <w:bottom w:val="single" w:sz="4" w:space="0" w:color="808080"/>
            </w:tcBorders>
          </w:tcPr>
          <w:p w14:paraId="306251B8" w14:textId="77777777" w:rsidR="00E8751C" w:rsidRPr="00DA46B4" w:rsidRDefault="00E8751C" w:rsidP="00324721">
            <w:pPr>
              <w:pStyle w:val="TableRow"/>
              <w:keepNext w:val="0"/>
              <w:jc w:val="center"/>
              <w:rPr>
                <w:color w:val="000000"/>
              </w:rPr>
            </w:pPr>
            <w:r w:rsidRPr="002144CA">
              <w:t>3.00E+07</w:t>
            </w:r>
          </w:p>
        </w:tc>
        <w:tc>
          <w:tcPr>
            <w:tcW w:w="1108" w:type="dxa"/>
            <w:tcBorders>
              <w:top w:val="single" w:sz="4" w:space="0" w:color="002060"/>
              <w:bottom w:val="single" w:sz="4" w:space="0" w:color="808080"/>
            </w:tcBorders>
          </w:tcPr>
          <w:p w14:paraId="46E5D69C" w14:textId="77777777" w:rsidR="00E8751C" w:rsidRPr="00DA46B4" w:rsidRDefault="00E8751C" w:rsidP="00324721">
            <w:pPr>
              <w:pStyle w:val="TableRow"/>
              <w:keepNext w:val="0"/>
              <w:jc w:val="center"/>
              <w:rPr>
                <w:color w:val="000000"/>
              </w:rPr>
            </w:pPr>
            <w:r w:rsidRPr="002144CA">
              <w:t>0.00E+00</w:t>
            </w:r>
          </w:p>
        </w:tc>
        <w:tc>
          <w:tcPr>
            <w:tcW w:w="1108" w:type="dxa"/>
            <w:tcBorders>
              <w:top w:val="single" w:sz="4" w:space="0" w:color="002060"/>
              <w:bottom w:val="single" w:sz="4" w:space="0" w:color="808080"/>
            </w:tcBorders>
          </w:tcPr>
          <w:p w14:paraId="7A67058C" w14:textId="77777777" w:rsidR="00E8751C" w:rsidRPr="00DA46B4" w:rsidRDefault="00E8751C" w:rsidP="00324721">
            <w:pPr>
              <w:pStyle w:val="TableRow"/>
              <w:keepNext w:val="0"/>
              <w:jc w:val="center"/>
              <w:rPr>
                <w:color w:val="000000"/>
              </w:rPr>
            </w:pPr>
            <w:r w:rsidRPr="002144CA">
              <w:t>0.00E+00</w:t>
            </w:r>
          </w:p>
        </w:tc>
      </w:tr>
      <w:tr w:rsidR="00E8751C" w14:paraId="1C2AC7C9" w14:textId="77777777" w:rsidTr="002613EA">
        <w:trPr>
          <w:cantSplit/>
          <w:jc w:val="center"/>
        </w:trPr>
        <w:tc>
          <w:tcPr>
            <w:tcW w:w="1453" w:type="dxa"/>
            <w:tcBorders>
              <w:top w:val="single" w:sz="4" w:space="0" w:color="002060"/>
              <w:bottom w:val="single" w:sz="4" w:space="0" w:color="808080"/>
            </w:tcBorders>
            <w:vAlign w:val="center"/>
          </w:tcPr>
          <w:p w14:paraId="62BF5BB4" w14:textId="77777777" w:rsidR="00E8751C" w:rsidRPr="00195B8A" w:rsidRDefault="00E8751C" w:rsidP="00324721">
            <w:pPr>
              <w:pStyle w:val="TableRow"/>
              <w:keepNext w:val="0"/>
              <w:jc w:val="center"/>
              <w:rPr>
                <w:color w:val="000000"/>
                <w:vertAlign w:val="superscript"/>
              </w:rPr>
            </w:pPr>
            <w:r w:rsidRPr="00195B8A">
              <w:rPr>
                <w:color w:val="000000"/>
                <w:vertAlign w:val="superscript"/>
              </w:rPr>
              <w:t>134</w:t>
            </w:r>
            <w:r>
              <w:rPr>
                <w:color w:val="000000"/>
              </w:rPr>
              <w:t>Cs</w:t>
            </w:r>
          </w:p>
        </w:tc>
        <w:tc>
          <w:tcPr>
            <w:tcW w:w="1107" w:type="dxa"/>
            <w:tcBorders>
              <w:top w:val="single" w:sz="4" w:space="0" w:color="002060"/>
              <w:bottom w:val="single" w:sz="4" w:space="0" w:color="808080"/>
            </w:tcBorders>
          </w:tcPr>
          <w:p w14:paraId="622DF170" w14:textId="77777777" w:rsidR="00E8751C" w:rsidRPr="00CF485A" w:rsidRDefault="00E8751C" w:rsidP="00324721">
            <w:pPr>
              <w:pStyle w:val="TableRow"/>
              <w:keepNext w:val="0"/>
              <w:jc w:val="center"/>
            </w:pPr>
            <w:r w:rsidRPr="00CF485A">
              <w:t>3.00E+09</w:t>
            </w:r>
          </w:p>
        </w:tc>
        <w:tc>
          <w:tcPr>
            <w:tcW w:w="1108" w:type="dxa"/>
            <w:tcBorders>
              <w:top w:val="single" w:sz="4" w:space="0" w:color="002060"/>
              <w:bottom w:val="single" w:sz="4" w:space="0" w:color="808080"/>
            </w:tcBorders>
          </w:tcPr>
          <w:p w14:paraId="179448DB" w14:textId="77777777" w:rsidR="00E8751C" w:rsidRPr="00CF485A" w:rsidRDefault="00E8751C" w:rsidP="00324721">
            <w:pPr>
              <w:pStyle w:val="TableRow"/>
              <w:keepNext w:val="0"/>
              <w:jc w:val="center"/>
            </w:pPr>
            <w:r w:rsidRPr="00CF485A">
              <w:t>8.00E+08</w:t>
            </w:r>
          </w:p>
        </w:tc>
        <w:tc>
          <w:tcPr>
            <w:tcW w:w="1108" w:type="dxa"/>
            <w:tcBorders>
              <w:top w:val="single" w:sz="4" w:space="0" w:color="002060"/>
              <w:bottom w:val="single" w:sz="4" w:space="0" w:color="808080"/>
            </w:tcBorders>
          </w:tcPr>
          <w:p w14:paraId="2EBBB401" w14:textId="77777777" w:rsidR="00E8751C" w:rsidRPr="00CF485A" w:rsidRDefault="00E8751C" w:rsidP="00324721">
            <w:pPr>
              <w:pStyle w:val="TableRow"/>
              <w:keepNext w:val="0"/>
              <w:jc w:val="center"/>
            </w:pPr>
            <w:r w:rsidRPr="00CF485A">
              <w:t>2.00E+08</w:t>
            </w:r>
          </w:p>
        </w:tc>
        <w:tc>
          <w:tcPr>
            <w:tcW w:w="1108" w:type="dxa"/>
            <w:tcBorders>
              <w:top w:val="single" w:sz="4" w:space="0" w:color="002060"/>
              <w:bottom w:val="single" w:sz="4" w:space="0" w:color="808080"/>
            </w:tcBorders>
          </w:tcPr>
          <w:p w14:paraId="71F557E9" w14:textId="77777777" w:rsidR="00E8751C" w:rsidRPr="00CF485A" w:rsidRDefault="00E8751C" w:rsidP="00324721">
            <w:pPr>
              <w:pStyle w:val="TableRow"/>
              <w:keepNext w:val="0"/>
              <w:jc w:val="center"/>
            </w:pPr>
            <w:r w:rsidRPr="00CF485A">
              <w:t>0.00E+00</w:t>
            </w:r>
          </w:p>
        </w:tc>
        <w:tc>
          <w:tcPr>
            <w:tcW w:w="1108" w:type="dxa"/>
            <w:tcBorders>
              <w:top w:val="single" w:sz="4" w:space="0" w:color="002060"/>
              <w:bottom w:val="single" w:sz="4" w:space="0" w:color="808080"/>
            </w:tcBorders>
          </w:tcPr>
          <w:p w14:paraId="6C3A85C5" w14:textId="77777777" w:rsidR="00E8751C" w:rsidRPr="00CF485A" w:rsidRDefault="00E8751C" w:rsidP="00324721">
            <w:pPr>
              <w:pStyle w:val="TableRow"/>
              <w:keepNext w:val="0"/>
              <w:jc w:val="center"/>
            </w:pPr>
            <w:r w:rsidRPr="00CF485A">
              <w:t>0.00E+00</w:t>
            </w:r>
          </w:p>
        </w:tc>
      </w:tr>
      <w:tr w:rsidR="00E8751C" w14:paraId="54C7A46C" w14:textId="77777777" w:rsidTr="002613EA">
        <w:trPr>
          <w:cantSplit/>
          <w:jc w:val="center"/>
        </w:trPr>
        <w:tc>
          <w:tcPr>
            <w:tcW w:w="1453" w:type="dxa"/>
            <w:tcBorders>
              <w:top w:val="single" w:sz="4" w:space="0" w:color="808080"/>
              <w:bottom w:val="single" w:sz="4" w:space="0" w:color="808080"/>
            </w:tcBorders>
            <w:vAlign w:val="center"/>
          </w:tcPr>
          <w:p w14:paraId="303F2F2E" w14:textId="77777777" w:rsidR="00E8751C" w:rsidRPr="0080407A" w:rsidRDefault="00E8751C" w:rsidP="00324721">
            <w:pPr>
              <w:pStyle w:val="TableRow"/>
              <w:keepNext w:val="0"/>
              <w:jc w:val="center"/>
              <w:rPr>
                <w:color w:val="000000"/>
              </w:rPr>
            </w:pPr>
            <w:r w:rsidRPr="00195B8A">
              <w:rPr>
                <w:color w:val="000000"/>
                <w:vertAlign w:val="superscript"/>
              </w:rPr>
              <w:t>137</w:t>
            </w:r>
            <w:r>
              <w:rPr>
                <w:color w:val="000000"/>
              </w:rPr>
              <w:t>Cs</w:t>
            </w:r>
          </w:p>
        </w:tc>
        <w:tc>
          <w:tcPr>
            <w:tcW w:w="1107" w:type="dxa"/>
            <w:tcBorders>
              <w:top w:val="single" w:sz="4" w:space="0" w:color="808080"/>
              <w:bottom w:val="single" w:sz="4" w:space="0" w:color="808080"/>
            </w:tcBorders>
          </w:tcPr>
          <w:p w14:paraId="0301C44B" w14:textId="77777777" w:rsidR="00E8751C" w:rsidRPr="00DA46B4" w:rsidRDefault="00E8751C" w:rsidP="00324721">
            <w:pPr>
              <w:pStyle w:val="TableRow"/>
              <w:keepNext w:val="0"/>
              <w:jc w:val="center"/>
              <w:rPr>
                <w:color w:val="000000"/>
              </w:rPr>
            </w:pPr>
            <w:r w:rsidRPr="00766314">
              <w:t>1.20E+09</w:t>
            </w:r>
          </w:p>
        </w:tc>
        <w:tc>
          <w:tcPr>
            <w:tcW w:w="1108" w:type="dxa"/>
            <w:tcBorders>
              <w:top w:val="single" w:sz="4" w:space="0" w:color="808080"/>
              <w:bottom w:val="single" w:sz="4" w:space="0" w:color="808080"/>
            </w:tcBorders>
          </w:tcPr>
          <w:p w14:paraId="75D416C8" w14:textId="77777777" w:rsidR="00E8751C" w:rsidRPr="00DA46B4" w:rsidRDefault="00E8751C" w:rsidP="00324721">
            <w:pPr>
              <w:pStyle w:val="TableRow"/>
              <w:keepNext w:val="0"/>
              <w:jc w:val="center"/>
              <w:rPr>
                <w:color w:val="000000"/>
              </w:rPr>
            </w:pPr>
            <w:r w:rsidRPr="00766314">
              <w:t>4.00E+08</w:t>
            </w:r>
          </w:p>
        </w:tc>
        <w:tc>
          <w:tcPr>
            <w:tcW w:w="1108" w:type="dxa"/>
            <w:tcBorders>
              <w:top w:val="single" w:sz="4" w:space="0" w:color="808080"/>
              <w:bottom w:val="single" w:sz="4" w:space="0" w:color="808080"/>
            </w:tcBorders>
          </w:tcPr>
          <w:p w14:paraId="647AF6EF" w14:textId="77777777" w:rsidR="00E8751C" w:rsidRPr="00DA46B4" w:rsidRDefault="00E8751C" w:rsidP="00324721">
            <w:pPr>
              <w:pStyle w:val="TableRow"/>
              <w:keepNext w:val="0"/>
              <w:jc w:val="center"/>
              <w:rPr>
                <w:color w:val="000000"/>
              </w:rPr>
            </w:pPr>
            <w:r w:rsidRPr="00766314">
              <w:t>1.00E+08</w:t>
            </w:r>
          </w:p>
        </w:tc>
        <w:tc>
          <w:tcPr>
            <w:tcW w:w="1108" w:type="dxa"/>
            <w:tcBorders>
              <w:top w:val="single" w:sz="4" w:space="0" w:color="808080"/>
              <w:bottom w:val="single" w:sz="4" w:space="0" w:color="808080"/>
            </w:tcBorders>
          </w:tcPr>
          <w:p w14:paraId="5C601E8A" w14:textId="77777777" w:rsidR="00E8751C" w:rsidRPr="00DA46B4" w:rsidRDefault="00E8751C" w:rsidP="00324721">
            <w:pPr>
              <w:pStyle w:val="TableRow"/>
              <w:keepNext w:val="0"/>
              <w:jc w:val="center"/>
              <w:rPr>
                <w:color w:val="000000"/>
              </w:rPr>
            </w:pPr>
            <w:r w:rsidRPr="00766314">
              <w:t>0.00E+00</w:t>
            </w:r>
          </w:p>
        </w:tc>
        <w:tc>
          <w:tcPr>
            <w:tcW w:w="1108" w:type="dxa"/>
            <w:tcBorders>
              <w:top w:val="single" w:sz="4" w:space="0" w:color="808080"/>
              <w:bottom w:val="single" w:sz="4" w:space="0" w:color="808080"/>
            </w:tcBorders>
          </w:tcPr>
          <w:p w14:paraId="6E808DAA" w14:textId="77777777" w:rsidR="00E8751C" w:rsidRPr="00DA46B4" w:rsidRDefault="00E8751C" w:rsidP="00324721">
            <w:pPr>
              <w:pStyle w:val="TableRow"/>
              <w:keepNext w:val="0"/>
              <w:jc w:val="center"/>
              <w:rPr>
                <w:color w:val="000000"/>
              </w:rPr>
            </w:pPr>
            <w:r w:rsidRPr="00766314">
              <w:t>0.00E+00</w:t>
            </w:r>
          </w:p>
        </w:tc>
      </w:tr>
      <w:tr w:rsidR="00E8751C" w14:paraId="454C4E70" w14:textId="77777777" w:rsidTr="002613EA">
        <w:trPr>
          <w:cantSplit/>
          <w:jc w:val="center"/>
        </w:trPr>
        <w:tc>
          <w:tcPr>
            <w:tcW w:w="1453" w:type="dxa"/>
            <w:tcBorders>
              <w:top w:val="single" w:sz="4" w:space="0" w:color="808080"/>
              <w:bottom w:val="single" w:sz="4" w:space="0" w:color="808080"/>
            </w:tcBorders>
            <w:vAlign w:val="center"/>
          </w:tcPr>
          <w:p w14:paraId="09FBB235" w14:textId="77777777" w:rsidR="00E8751C" w:rsidRDefault="00E8751C" w:rsidP="00324721">
            <w:pPr>
              <w:pStyle w:val="TableRow"/>
              <w:keepNext w:val="0"/>
              <w:jc w:val="center"/>
              <w:rPr>
                <w:color w:val="000000"/>
              </w:rPr>
            </w:pPr>
            <w:r w:rsidRPr="00195B8A">
              <w:rPr>
                <w:color w:val="000000"/>
                <w:vertAlign w:val="superscript"/>
              </w:rPr>
              <w:t>131</w:t>
            </w:r>
            <w:r>
              <w:rPr>
                <w:color w:val="000000"/>
              </w:rPr>
              <w:t>I</w:t>
            </w:r>
          </w:p>
        </w:tc>
        <w:tc>
          <w:tcPr>
            <w:tcW w:w="1107" w:type="dxa"/>
            <w:tcBorders>
              <w:top w:val="single" w:sz="4" w:space="0" w:color="808080"/>
              <w:bottom w:val="single" w:sz="4" w:space="0" w:color="808080"/>
            </w:tcBorders>
          </w:tcPr>
          <w:p w14:paraId="17F04F1B" w14:textId="77777777" w:rsidR="00E8751C" w:rsidRPr="00DA46B4" w:rsidRDefault="00E8751C" w:rsidP="00324721">
            <w:pPr>
              <w:pStyle w:val="TableRow"/>
              <w:keepNext w:val="0"/>
              <w:jc w:val="center"/>
              <w:rPr>
                <w:color w:val="000000"/>
              </w:rPr>
            </w:pPr>
            <w:r w:rsidRPr="00746C4B">
              <w:t>7.70E+09</w:t>
            </w:r>
          </w:p>
        </w:tc>
        <w:tc>
          <w:tcPr>
            <w:tcW w:w="1108" w:type="dxa"/>
            <w:tcBorders>
              <w:top w:val="single" w:sz="4" w:space="0" w:color="808080"/>
              <w:bottom w:val="single" w:sz="4" w:space="0" w:color="808080"/>
            </w:tcBorders>
          </w:tcPr>
          <w:p w14:paraId="79178CF5" w14:textId="77777777" w:rsidR="00E8751C" w:rsidRPr="00DA46B4" w:rsidRDefault="00E8751C" w:rsidP="00324721">
            <w:pPr>
              <w:pStyle w:val="TableRow"/>
              <w:keepNext w:val="0"/>
              <w:jc w:val="center"/>
              <w:rPr>
                <w:color w:val="000000"/>
              </w:rPr>
            </w:pPr>
            <w:r w:rsidRPr="00746C4B">
              <w:t>2.20E+09</w:t>
            </w:r>
          </w:p>
        </w:tc>
        <w:tc>
          <w:tcPr>
            <w:tcW w:w="1108" w:type="dxa"/>
            <w:tcBorders>
              <w:top w:val="single" w:sz="4" w:space="0" w:color="808080"/>
              <w:bottom w:val="single" w:sz="4" w:space="0" w:color="808080"/>
            </w:tcBorders>
          </w:tcPr>
          <w:p w14:paraId="17877E27" w14:textId="77777777" w:rsidR="00E8751C" w:rsidRPr="00DA46B4" w:rsidRDefault="00E8751C" w:rsidP="00324721">
            <w:pPr>
              <w:pStyle w:val="TableRow"/>
              <w:keepNext w:val="0"/>
              <w:jc w:val="center"/>
              <w:rPr>
                <w:color w:val="000000"/>
              </w:rPr>
            </w:pPr>
            <w:r w:rsidRPr="00746C4B">
              <w:t>1.00E+08</w:t>
            </w:r>
          </w:p>
        </w:tc>
        <w:tc>
          <w:tcPr>
            <w:tcW w:w="1108" w:type="dxa"/>
            <w:tcBorders>
              <w:top w:val="single" w:sz="4" w:space="0" w:color="808080"/>
              <w:bottom w:val="single" w:sz="4" w:space="0" w:color="808080"/>
            </w:tcBorders>
          </w:tcPr>
          <w:p w14:paraId="43FF6E6B" w14:textId="77777777" w:rsidR="00E8751C" w:rsidRPr="00DA46B4" w:rsidRDefault="00E8751C" w:rsidP="00324721">
            <w:pPr>
              <w:pStyle w:val="TableRow"/>
              <w:keepNext w:val="0"/>
              <w:jc w:val="center"/>
              <w:rPr>
                <w:color w:val="000000"/>
              </w:rPr>
            </w:pPr>
            <w:r w:rsidRPr="00746C4B">
              <w:t>0.00E+00</w:t>
            </w:r>
          </w:p>
        </w:tc>
        <w:tc>
          <w:tcPr>
            <w:tcW w:w="1108" w:type="dxa"/>
            <w:tcBorders>
              <w:top w:val="single" w:sz="4" w:space="0" w:color="808080"/>
              <w:bottom w:val="single" w:sz="4" w:space="0" w:color="808080"/>
            </w:tcBorders>
          </w:tcPr>
          <w:p w14:paraId="393BC6F4" w14:textId="77777777" w:rsidR="00E8751C" w:rsidRPr="00DA46B4" w:rsidRDefault="00E8751C" w:rsidP="00324721">
            <w:pPr>
              <w:pStyle w:val="TableRow"/>
              <w:keepNext w:val="0"/>
              <w:jc w:val="center"/>
              <w:rPr>
                <w:color w:val="000000"/>
              </w:rPr>
            </w:pPr>
            <w:r w:rsidRPr="00746C4B">
              <w:t>1.00E+09</w:t>
            </w:r>
          </w:p>
        </w:tc>
      </w:tr>
      <w:tr w:rsidR="00E8751C" w14:paraId="3ECCE0CD" w14:textId="77777777" w:rsidTr="002613EA">
        <w:trPr>
          <w:cantSplit/>
          <w:jc w:val="center"/>
        </w:trPr>
        <w:tc>
          <w:tcPr>
            <w:tcW w:w="1453" w:type="dxa"/>
            <w:tcBorders>
              <w:top w:val="single" w:sz="4" w:space="0" w:color="808080"/>
              <w:bottom w:val="single" w:sz="4" w:space="0" w:color="808080"/>
            </w:tcBorders>
            <w:vAlign w:val="center"/>
          </w:tcPr>
          <w:p w14:paraId="1B6A09B0" w14:textId="77777777" w:rsidR="00E8751C" w:rsidRDefault="00E8751C" w:rsidP="00324721">
            <w:pPr>
              <w:pStyle w:val="TableRow"/>
              <w:keepNext w:val="0"/>
              <w:jc w:val="center"/>
              <w:rPr>
                <w:color w:val="000000"/>
              </w:rPr>
            </w:pPr>
            <w:r w:rsidRPr="00195B8A">
              <w:rPr>
                <w:color w:val="000000"/>
                <w:vertAlign w:val="superscript"/>
              </w:rPr>
              <w:t>133</w:t>
            </w:r>
            <w:r>
              <w:rPr>
                <w:color w:val="000000"/>
              </w:rPr>
              <w:t>I</w:t>
            </w:r>
          </w:p>
        </w:tc>
        <w:tc>
          <w:tcPr>
            <w:tcW w:w="1107" w:type="dxa"/>
            <w:tcBorders>
              <w:top w:val="single" w:sz="4" w:space="0" w:color="808080"/>
              <w:bottom w:val="single" w:sz="4" w:space="0" w:color="808080"/>
            </w:tcBorders>
          </w:tcPr>
          <w:p w14:paraId="4E026719" w14:textId="77777777" w:rsidR="00E8751C" w:rsidRPr="00DA46B4" w:rsidRDefault="00E8751C" w:rsidP="00324721">
            <w:pPr>
              <w:pStyle w:val="TableRow"/>
              <w:keepNext w:val="0"/>
              <w:jc w:val="center"/>
              <w:rPr>
                <w:color w:val="000000"/>
              </w:rPr>
            </w:pPr>
            <w:r w:rsidRPr="00EF63DF">
              <w:t>2.60E+09</w:t>
            </w:r>
          </w:p>
        </w:tc>
        <w:tc>
          <w:tcPr>
            <w:tcW w:w="1108" w:type="dxa"/>
            <w:tcBorders>
              <w:top w:val="single" w:sz="4" w:space="0" w:color="808080"/>
              <w:bottom w:val="single" w:sz="4" w:space="0" w:color="808080"/>
            </w:tcBorders>
          </w:tcPr>
          <w:p w14:paraId="4D3A12D5" w14:textId="77777777" w:rsidR="00E8751C" w:rsidRPr="00DA46B4" w:rsidRDefault="00E8751C" w:rsidP="00324721">
            <w:pPr>
              <w:pStyle w:val="TableRow"/>
              <w:keepNext w:val="0"/>
              <w:jc w:val="center"/>
              <w:rPr>
                <w:color w:val="000000"/>
              </w:rPr>
            </w:pPr>
            <w:r w:rsidRPr="00EF63DF">
              <w:t>7.00E+08</w:t>
            </w:r>
          </w:p>
        </w:tc>
        <w:tc>
          <w:tcPr>
            <w:tcW w:w="1108" w:type="dxa"/>
            <w:tcBorders>
              <w:top w:val="single" w:sz="4" w:space="0" w:color="808080"/>
              <w:bottom w:val="single" w:sz="4" w:space="0" w:color="808080"/>
            </w:tcBorders>
          </w:tcPr>
          <w:p w14:paraId="47F14CAC" w14:textId="77777777" w:rsidR="00E8751C" w:rsidRPr="00DA46B4" w:rsidRDefault="00E8751C" w:rsidP="00324721">
            <w:pPr>
              <w:pStyle w:val="TableRow"/>
              <w:keepNext w:val="0"/>
              <w:jc w:val="center"/>
              <w:rPr>
                <w:color w:val="000000"/>
              </w:rPr>
            </w:pPr>
            <w:r w:rsidRPr="00EF63DF">
              <w:t>1.00E+08</w:t>
            </w:r>
          </w:p>
        </w:tc>
        <w:tc>
          <w:tcPr>
            <w:tcW w:w="1108" w:type="dxa"/>
            <w:tcBorders>
              <w:top w:val="single" w:sz="4" w:space="0" w:color="808080"/>
              <w:bottom w:val="single" w:sz="4" w:space="0" w:color="808080"/>
            </w:tcBorders>
          </w:tcPr>
          <w:p w14:paraId="0F172D6A" w14:textId="77777777" w:rsidR="00E8751C" w:rsidRPr="00DA46B4" w:rsidRDefault="00E8751C" w:rsidP="00324721">
            <w:pPr>
              <w:pStyle w:val="TableRow"/>
              <w:keepNext w:val="0"/>
              <w:jc w:val="center"/>
              <w:rPr>
                <w:color w:val="000000"/>
              </w:rPr>
            </w:pPr>
            <w:r w:rsidRPr="00EF63DF">
              <w:t>0.00E+00</w:t>
            </w:r>
          </w:p>
        </w:tc>
        <w:tc>
          <w:tcPr>
            <w:tcW w:w="1108" w:type="dxa"/>
            <w:tcBorders>
              <w:top w:val="single" w:sz="4" w:space="0" w:color="808080"/>
              <w:bottom w:val="single" w:sz="4" w:space="0" w:color="808080"/>
            </w:tcBorders>
          </w:tcPr>
          <w:p w14:paraId="07360790" w14:textId="77777777" w:rsidR="00E8751C" w:rsidRPr="00DA46B4" w:rsidRDefault="00E8751C" w:rsidP="00324721">
            <w:pPr>
              <w:pStyle w:val="TableRow"/>
              <w:keepNext w:val="0"/>
              <w:jc w:val="center"/>
              <w:rPr>
                <w:color w:val="000000"/>
              </w:rPr>
            </w:pPr>
            <w:r w:rsidRPr="00EF63DF">
              <w:t>0.00E+00</w:t>
            </w:r>
          </w:p>
        </w:tc>
      </w:tr>
      <w:tr w:rsidR="006648E6" w14:paraId="493D1E99" w14:textId="77777777" w:rsidTr="002613EA">
        <w:trPr>
          <w:cantSplit/>
          <w:jc w:val="center"/>
        </w:trPr>
        <w:tc>
          <w:tcPr>
            <w:tcW w:w="1453" w:type="dxa"/>
            <w:tcBorders>
              <w:top w:val="single" w:sz="4" w:space="0" w:color="808080"/>
              <w:bottom w:val="single" w:sz="4" w:space="0" w:color="808080"/>
            </w:tcBorders>
            <w:vAlign w:val="center"/>
          </w:tcPr>
          <w:p w14:paraId="54D8E8DF" w14:textId="5279DFDD" w:rsidR="006648E6" w:rsidRDefault="006648E6" w:rsidP="006648E6">
            <w:pPr>
              <w:pStyle w:val="TableRow"/>
              <w:keepNext w:val="0"/>
              <w:jc w:val="center"/>
              <w:rPr>
                <w:color w:val="000000"/>
              </w:rPr>
            </w:pPr>
            <w:r w:rsidRPr="00195B8A">
              <w:rPr>
                <w:color w:val="000000"/>
                <w:vertAlign w:val="superscript"/>
              </w:rPr>
              <w:t>8</w:t>
            </w:r>
            <w:r>
              <w:rPr>
                <w:color w:val="000000"/>
                <w:vertAlign w:val="superscript"/>
              </w:rPr>
              <w:t>5</w:t>
            </w:r>
            <w:r>
              <w:rPr>
                <w:color w:val="000000"/>
              </w:rPr>
              <w:t>Kr</w:t>
            </w:r>
          </w:p>
        </w:tc>
        <w:tc>
          <w:tcPr>
            <w:tcW w:w="1107" w:type="dxa"/>
            <w:tcBorders>
              <w:top w:val="single" w:sz="4" w:space="0" w:color="808080"/>
              <w:bottom w:val="single" w:sz="4" w:space="0" w:color="808080"/>
            </w:tcBorders>
          </w:tcPr>
          <w:p w14:paraId="206A8908" w14:textId="25536D8E" w:rsidR="006648E6" w:rsidRPr="00DA46B4" w:rsidRDefault="006648E6" w:rsidP="006648E6">
            <w:pPr>
              <w:pStyle w:val="TableRow"/>
              <w:keepNext w:val="0"/>
              <w:jc w:val="center"/>
              <w:rPr>
                <w:color w:val="000000"/>
              </w:rPr>
            </w:pPr>
            <w:r w:rsidRPr="009D195E">
              <w:t>2.40E+13</w:t>
            </w:r>
          </w:p>
        </w:tc>
        <w:tc>
          <w:tcPr>
            <w:tcW w:w="1108" w:type="dxa"/>
            <w:tcBorders>
              <w:top w:val="single" w:sz="4" w:space="0" w:color="808080"/>
              <w:bottom w:val="single" w:sz="4" w:space="0" w:color="808080"/>
            </w:tcBorders>
          </w:tcPr>
          <w:p w14:paraId="3217BF77" w14:textId="3E1293E9" w:rsidR="006648E6" w:rsidRPr="00DA46B4" w:rsidRDefault="006648E6" w:rsidP="006648E6">
            <w:pPr>
              <w:pStyle w:val="TableRow"/>
              <w:keepNext w:val="0"/>
              <w:jc w:val="center"/>
              <w:rPr>
                <w:color w:val="000000"/>
              </w:rPr>
            </w:pPr>
            <w:r w:rsidRPr="009D195E">
              <w:t>5.20E+13</w:t>
            </w:r>
          </w:p>
        </w:tc>
        <w:tc>
          <w:tcPr>
            <w:tcW w:w="1108" w:type="dxa"/>
            <w:tcBorders>
              <w:top w:val="single" w:sz="4" w:space="0" w:color="808080"/>
              <w:bottom w:val="single" w:sz="4" w:space="0" w:color="808080"/>
            </w:tcBorders>
          </w:tcPr>
          <w:p w14:paraId="5418FD9D" w14:textId="335A7DF6" w:rsidR="006648E6" w:rsidRPr="00DA46B4" w:rsidRDefault="006648E6" w:rsidP="006648E6">
            <w:pPr>
              <w:pStyle w:val="TableRow"/>
              <w:keepNext w:val="0"/>
              <w:jc w:val="center"/>
              <w:rPr>
                <w:color w:val="000000"/>
              </w:rPr>
            </w:pPr>
            <w:r w:rsidRPr="009D195E">
              <w:t>1.00E+13</w:t>
            </w:r>
          </w:p>
        </w:tc>
        <w:tc>
          <w:tcPr>
            <w:tcW w:w="1108" w:type="dxa"/>
            <w:tcBorders>
              <w:top w:val="single" w:sz="4" w:space="0" w:color="808080"/>
              <w:bottom w:val="single" w:sz="4" w:space="0" w:color="808080"/>
            </w:tcBorders>
          </w:tcPr>
          <w:p w14:paraId="5DC65184" w14:textId="3E02C130" w:rsidR="006648E6" w:rsidRPr="00DA46B4" w:rsidRDefault="006648E6" w:rsidP="006648E6">
            <w:pPr>
              <w:pStyle w:val="TableRow"/>
              <w:keepNext w:val="0"/>
              <w:jc w:val="center"/>
              <w:rPr>
                <w:color w:val="000000"/>
              </w:rPr>
            </w:pPr>
            <w:r w:rsidRPr="009D195E">
              <w:t>1.00E+12</w:t>
            </w:r>
          </w:p>
        </w:tc>
        <w:tc>
          <w:tcPr>
            <w:tcW w:w="1108" w:type="dxa"/>
            <w:tcBorders>
              <w:top w:val="single" w:sz="4" w:space="0" w:color="808080"/>
              <w:bottom w:val="single" w:sz="4" w:space="0" w:color="808080"/>
            </w:tcBorders>
          </w:tcPr>
          <w:p w14:paraId="1C321ADC" w14:textId="235FF531" w:rsidR="006648E6" w:rsidRPr="00DA46B4" w:rsidRDefault="006648E6" w:rsidP="006648E6">
            <w:pPr>
              <w:pStyle w:val="TableRow"/>
              <w:keepNext w:val="0"/>
              <w:jc w:val="center"/>
              <w:rPr>
                <w:color w:val="000000"/>
              </w:rPr>
            </w:pPr>
            <w:r w:rsidRPr="009D195E">
              <w:t>0.00E+00</w:t>
            </w:r>
          </w:p>
        </w:tc>
      </w:tr>
      <w:tr w:rsidR="00E8751C" w14:paraId="7200DF9D" w14:textId="77777777" w:rsidTr="002613EA">
        <w:trPr>
          <w:cantSplit/>
          <w:jc w:val="center"/>
        </w:trPr>
        <w:tc>
          <w:tcPr>
            <w:tcW w:w="1453" w:type="dxa"/>
            <w:tcBorders>
              <w:top w:val="single" w:sz="4" w:space="0" w:color="808080"/>
              <w:bottom w:val="single" w:sz="4" w:space="0" w:color="808080"/>
            </w:tcBorders>
            <w:vAlign w:val="center"/>
          </w:tcPr>
          <w:p w14:paraId="48CBA1A8" w14:textId="77777777" w:rsidR="00E8751C" w:rsidRDefault="00E8751C" w:rsidP="00324721">
            <w:pPr>
              <w:pStyle w:val="TableRow"/>
              <w:keepNext w:val="0"/>
              <w:jc w:val="center"/>
              <w:rPr>
                <w:color w:val="000000"/>
              </w:rPr>
            </w:pPr>
            <w:r w:rsidRPr="00195B8A">
              <w:rPr>
                <w:color w:val="000000"/>
                <w:vertAlign w:val="superscript"/>
              </w:rPr>
              <w:t>133</w:t>
            </w:r>
            <w:r>
              <w:rPr>
                <w:color w:val="000000"/>
              </w:rPr>
              <w:t>Xe</w:t>
            </w:r>
          </w:p>
        </w:tc>
        <w:tc>
          <w:tcPr>
            <w:tcW w:w="1107" w:type="dxa"/>
            <w:tcBorders>
              <w:top w:val="single" w:sz="4" w:space="0" w:color="808080"/>
              <w:bottom w:val="single" w:sz="4" w:space="0" w:color="808080"/>
            </w:tcBorders>
          </w:tcPr>
          <w:p w14:paraId="47058E36" w14:textId="77777777" w:rsidR="00E8751C" w:rsidRPr="00DA46B4" w:rsidRDefault="00E8751C" w:rsidP="00324721">
            <w:pPr>
              <w:pStyle w:val="TableRow"/>
              <w:keepNext w:val="0"/>
              <w:jc w:val="center"/>
              <w:rPr>
                <w:color w:val="000000"/>
              </w:rPr>
            </w:pPr>
            <w:r w:rsidRPr="00EA7C24">
              <w:t>1.10E+15</w:t>
            </w:r>
          </w:p>
        </w:tc>
        <w:tc>
          <w:tcPr>
            <w:tcW w:w="1108" w:type="dxa"/>
            <w:tcBorders>
              <w:top w:val="single" w:sz="4" w:space="0" w:color="808080"/>
              <w:bottom w:val="single" w:sz="4" w:space="0" w:color="808080"/>
            </w:tcBorders>
          </w:tcPr>
          <w:p w14:paraId="3B2D81D6" w14:textId="77777777" w:rsidR="00E8751C" w:rsidRPr="00DA46B4" w:rsidRDefault="00E8751C" w:rsidP="00324721">
            <w:pPr>
              <w:pStyle w:val="TableRow"/>
              <w:keepNext w:val="0"/>
              <w:jc w:val="center"/>
              <w:rPr>
                <w:color w:val="000000"/>
              </w:rPr>
            </w:pPr>
            <w:r w:rsidRPr="00EA7C24">
              <w:t>2.30E+15</w:t>
            </w:r>
          </w:p>
        </w:tc>
        <w:tc>
          <w:tcPr>
            <w:tcW w:w="1108" w:type="dxa"/>
            <w:tcBorders>
              <w:top w:val="single" w:sz="4" w:space="0" w:color="808080"/>
              <w:bottom w:val="single" w:sz="4" w:space="0" w:color="808080"/>
            </w:tcBorders>
          </w:tcPr>
          <w:p w14:paraId="5BDACEE0" w14:textId="77777777" w:rsidR="00E8751C" w:rsidRPr="00DA46B4" w:rsidRDefault="00E8751C" w:rsidP="00324721">
            <w:pPr>
              <w:pStyle w:val="TableRow"/>
              <w:keepNext w:val="0"/>
              <w:jc w:val="center"/>
              <w:rPr>
                <w:color w:val="000000"/>
              </w:rPr>
            </w:pPr>
            <w:r w:rsidRPr="00EA7C24">
              <w:t>4.00E+14</w:t>
            </w:r>
          </w:p>
        </w:tc>
        <w:tc>
          <w:tcPr>
            <w:tcW w:w="1108" w:type="dxa"/>
            <w:tcBorders>
              <w:top w:val="single" w:sz="4" w:space="0" w:color="808080"/>
              <w:bottom w:val="single" w:sz="4" w:space="0" w:color="808080"/>
            </w:tcBorders>
          </w:tcPr>
          <w:p w14:paraId="743F42EF" w14:textId="77777777" w:rsidR="00E8751C" w:rsidRPr="00DA46B4" w:rsidRDefault="00E8751C" w:rsidP="00324721">
            <w:pPr>
              <w:pStyle w:val="TableRow"/>
              <w:keepNext w:val="0"/>
              <w:jc w:val="center"/>
              <w:rPr>
                <w:color w:val="000000"/>
              </w:rPr>
            </w:pPr>
            <w:r w:rsidRPr="00EA7C24">
              <w:t>1.00E+14</w:t>
            </w:r>
          </w:p>
        </w:tc>
        <w:tc>
          <w:tcPr>
            <w:tcW w:w="1108" w:type="dxa"/>
            <w:tcBorders>
              <w:top w:val="single" w:sz="4" w:space="0" w:color="808080"/>
              <w:bottom w:val="single" w:sz="4" w:space="0" w:color="808080"/>
            </w:tcBorders>
          </w:tcPr>
          <w:p w14:paraId="39F7C9AE" w14:textId="77777777" w:rsidR="00E8751C" w:rsidRPr="00DA46B4" w:rsidRDefault="00E8751C" w:rsidP="00324721">
            <w:pPr>
              <w:pStyle w:val="TableRow"/>
              <w:keepNext w:val="0"/>
              <w:jc w:val="center"/>
              <w:rPr>
                <w:color w:val="000000"/>
              </w:rPr>
            </w:pPr>
            <w:r w:rsidRPr="00EA7C24">
              <w:t>0.00E+00</w:t>
            </w:r>
          </w:p>
        </w:tc>
      </w:tr>
      <w:tr w:rsidR="006648E6" w14:paraId="630ED0FE" w14:textId="77777777" w:rsidTr="002613EA">
        <w:trPr>
          <w:cantSplit/>
          <w:jc w:val="center"/>
        </w:trPr>
        <w:tc>
          <w:tcPr>
            <w:tcW w:w="1453" w:type="dxa"/>
            <w:tcBorders>
              <w:top w:val="single" w:sz="4" w:space="0" w:color="808080"/>
              <w:bottom w:val="single" w:sz="4" w:space="0" w:color="808080"/>
            </w:tcBorders>
            <w:vAlign w:val="center"/>
          </w:tcPr>
          <w:p w14:paraId="474B2F11" w14:textId="6BAD57A1" w:rsidR="006648E6" w:rsidRPr="00195B8A" w:rsidRDefault="006648E6" w:rsidP="006648E6">
            <w:pPr>
              <w:pStyle w:val="TableRow"/>
              <w:keepNext w:val="0"/>
              <w:jc w:val="center"/>
              <w:rPr>
                <w:color w:val="000000"/>
                <w:vertAlign w:val="superscript"/>
              </w:rPr>
            </w:pPr>
            <w:r w:rsidRPr="00195B8A">
              <w:rPr>
                <w:color w:val="000000"/>
                <w:vertAlign w:val="superscript"/>
              </w:rPr>
              <w:t>133</w:t>
            </w:r>
            <w:r>
              <w:rPr>
                <w:color w:val="000000"/>
                <w:vertAlign w:val="superscript"/>
              </w:rPr>
              <w:t>m</w:t>
            </w:r>
            <w:r>
              <w:rPr>
                <w:color w:val="000000"/>
              </w:rPr>
              <w:t>Xe</w:t>
            </w:r>
          </w:p>
        </w:tc>
        <w:tc>
          <w:tcPr>
            <w:tcW w:w="1107" w:type="dxa"/>
            <w:tcBorders>
              <w:top w:val="single" w:sz="4" w:space="0" w:color="808080"/>
              <w:bottom w:val="single" w:sz="4" w:space="0" w:color="808080"/>
            </w:tcBorders>
          </w:tcPr>
          <w:p w14:paraId="2A596E60" w14:textId="07104DB0" w:rsidR="006648E6" w:rsidRPr="00EA7C24" w:rsidRDefault="006648E6" w:rsidP="006648E6">
            <w:pPr>
              <w:pStyle w:val="TableRow"/>
              <w:keepNext w:val="0"/>
              <w:jc w:val="center"/>
            </w:pPr>
            <w:r w:rsidRPr="004E60B5">
              <w:t>2.50E+13</w:t>
            </w:r>
          </w:p>
        </w:tc>
        <w:tc>
          <w:tcPr>
            <w:tcW w:w="1108" w:type="dxa"/>
            <w:tcBorders>
              <w:top w:val="single" w:sz="4" w:space="0" w:color="808080"/>
              <w:bottom w:val="single" w:sz="4" w:space="0" w:color="808080"/>
            </w:tcBorders>
          </w:tcPr>
          <w:p w14:paraId="43EC327D" w14:textId="17810CA4" w:rsidR="006648E6" w:rsidRPr="00EA7C24" w:rsidRDefault="006648E6" w:rsidP="006648E6">
            <w:pPr>
              <w:pStyle w:val="TableRow"/>
              <w:keepNext w:val="0"/>
              <w:jc w:val="center"/>
            </w:pPr>
            <w:r w:rsidRPr="004E60B5">
              <w:t>5.40E+13</w:t>
            </w:r>
          </w:p>
        </w:tc>
        <w:tc>
          <w:tcPr>
            <w:tcW w:w="1108" w:type="dxa"/>
            <w:tcBorders>
              <w:top w:val="single" w:sz="4" w:space="0" w:color="808080"/>
              <w:bottom w:val="single" w:sz="4" w:space="0" w:color="808080"/>
            </w:tcBorders>
          </w:tcPr>
          <w:p w14:paraId="5759C88A" w14:textId="4CCEAFCB" w:rsidR="006648E6" w:rsidRPr="00EA7C24" w:rsidRDefault="006648E6" w:rsidP="006648E6">
            <w:pPr>
              <w:pStyle w:val="TableRow"/>
              <w:keepNext w:val="0"/>
              <w:jc w:val="center"/>
            </w:pPr>
            <w:r w:rsidRPr="004E60B5">
              <w:t>1.00E+13</w:t>
            </w:r>
          </w:p>
        </w:tc>
        <w:tc>
          <w:tcPr>
            <w:tcW w:w="1108" w:type="dxa"/>
            <w:tcBorders>
              <w:top w:val="single" w:sz="4" w:space="0" w:color="808080"/>
              <w:bottom w:val="single" w:sz="4" w:space="0" w:color="808080"/>
            </w:tcBorders>
          </w:tcPr>
          <w:p w14:paraId="2A6F3BE3" w14:textId="303ACBC6" w:rsidR="006648E6" w:rsidRPr="00EA7C24" w:rsidRDefault="006648E6" w:rsidP="006648E6">
            <w:pPr>
              <w:pStyle w:val="TableRow"/>
              <w:keepNext w:val="0"/>
              <w:jc w:val="center"/>
            </w:pPr>
            <w:r w:rsidRPr="004E60B5">
              <w:t>3.00E+12</w:t>
            </w:r>
          </w:p>
        </w:tc>
        <w:tc>
          <w:tcPr>
            <w:tcW w:w="1108" w:type="dxa"/>
            <w:tcBorders>
              <w:top w:val="single" w:sz="4" w:space="0" w:color="808080"/>
              <w:bottom w:val="single" w:sz="4" w:space="0" w:color="808080"/>
            </w:tcBorders>
          </w:tcPr>
          <w:p w14:paraId="08594092" w14:textId="5AA83A47" w:rsidR="006648E6" w:rsidRPr="00EA7C24" w:rsidRDefault="006648E6" w:rsidP="006648E6">
            <w:pPr>
              <w:pStyle w:val="TableRow"/>
              <w:keepNext w:val="0"/>
              <w:jc w:val="center"/>
            </w:pPr>
            <w:r w:rsidRPr="004E60B5">
              <w:t>2.00E+12</w:t>
            </w:r>
          </w:p>
        </w:tc>
      </w:tr>
      <w:tr w:rsidR="00E8751C" w14:paraId="7FBE80CA" w14:textId="77777777" w:rsidTr="002613EA">
        <w:trPr>
          <w:cantSplit/>
          <w:jc w:val="center"/>
        </w:trPr>
        <w:tc>
          <w:tcPr>
            <w:tcW w:w="1453" w:type="dxa"/>
            <w:tcBorders>
              <w:top w:val="single" w:sz="4" w:space="0" w:color="808080"/>
              <w:bottom w:val="single" w:sz="4" w:space="0" w:color="808080"/>
            </w:tcBorders>
            <w:vAlign w:val="center"/>
          </w:tcPr>
          <w:p w14:paraId="268F8E36" w14:textId="77777777" w:rsidR="00E8751C" w:rsidRDefault="00E8751C" w:rsidP="00324721">
            <w:pPr>
              <w:pStyle w:val="TableRow"/>
              <w:keepNext w:val="0"/>
              <w:jc w:val="center"/>
              <w:rPr>
                <w:color w:val="000000"/>
              </w:rPr>
            </w:pPr>
            <w:r w:rsidRPr="00195B8A">
              <w:rPr>
                <w:color w:val="000000"/>
                <w:vertAlign w:val="superscript"/>
              </w:rPr>
              <w:t>135</w:t>
            </w:r>
            <w:r>
              <w:rPr>
                <w:color w:val="000000"/>
              </w:rPr>
              <w:t>Xe</w:t>
            </w:r>
          </w:p>
        </w:tc>
        <w:tc>
          <w:tcPr>
            <w:tcW w:w="1107" w:type="dxa"/>
            <w:tcBorders>
              <w:top w:val="single" w:sz="4" w:space="0" w:color="808080"/>
              <w:bottom w:val="single" w:sz="4" w:space="0" w:color="808080"/>
            </w:tcBorders>
          </w:tcPr>
          <w:p w14:paraId="6C4F70FA" w14:textId="77777777" w:rsidR="00E8751C" w:rsidRPr="00DA46B4" w:rsidRDefault="00E8751C" w:rsidP="00324721">
            <w:pPr>
              <w:pStyle w:val="TableRow"/>
              <w:keepNext w:val="0"/>
              <w:jc w:val="center"/>
              <w:rPr>
                <w:color w:val="000000"/>
              </w:rPr>
            </w:pPr>
            <w:r w:rsidRPr="005270A7">
              <w:t>2.80E+13</w:t>
            </w:r>
          </w:p>
        </w:tc>
        <w:tc>
          <w:tcPr>
            <w:tcW w:w="1108" w:type="dxa"/>
            <w:tcBorders>
              <w:top w:val="single" w:sz="4" w:space="0" w:color="808080"/>
              <w:bottom w:val="single" w:sz="4" w:space="0" w:color="808080"/>
            </w:tcBorders>
          </w:tcPr>
          <w:p w14:paraId="3EAE0BF9" w14:textId="77777777" w:rsidR="00E8751C" w:rsidRPr="00DA46B4" w:rsidRDefault="00E8751C" w:rsidP="00324721">
            <w:pPr>
              <w:pStyle w:val="TableRow"/>
              <w:keepNext w:val="0"/>
              <w:jc w:val="center"/>
              <w:rPr>
                <w:color w:val="000000"/>
              </w:rPr>
            </w:pPr>
            <w:r w:rsidRPr="005270A7">
              <w:t>5.40E+13</w:t>
            </w:r>
          </w:p>
        </w:tc>
        <w:tc>
          <w:tcPr>
            <w:tcW w:w="1108" w:type="dxa"/>
            <w:tcBorders>
              <w:top w:val="single" w:sz="4" w:space="0" w:color="808080"/>
              <w:bottom w:val="single" w:sz="4" w:space="0" w:color="808080"/>
            </w:tcBorders>
          </w:tcPr>
          <w:p w14:paraId="360E31B0" w14:textId="77777777" w:rsidR="00E8751C" w:rsidRPr="00DA46B4" w:rsidRDefault="00E8751C" w:rsidP="00324721">
            <w:pPr>
              <w:pStyle w:val="TableRow"/>
              <w:keepNext w:val="0"/>
              <w:jc w:val="center"/>
              <w:rPr>
                <w:color w:val="000000"/>
              </w:rPr>
            </w:pPr>
            <w:r w:rsidRPr="005270A7">
              <w:t>8.00E+12</w:t>
            </w:r>
          </w:p>
        </w:tc>
        <w:tc>
          <w:tcPr>
            <w:tcW w:w="1108" w:type="dxa"/>
            <w:tcBorders>
              <w:top w:val="single" w:sz="4" w:space="0" w:color="808080"/>
              <w:bottom w:val="single" w:sz="4" w:space="0" w:color="808080"/>
            </w:tcBorders>
          </w:tcPr>
          <w:p w14:paraId="59950BCC" w14:textId="77777777" w:rsidR="00E8751C" w:rsidRPr="00DA46B4" w:rsidRDefault="00E8751C" w:rsidP="00324721">
            <w:pPr>
              <w:pStyle w:val="TableRow"/>
              <w:keepNext w:val="0"/>
              <w:jc w:val="center"/>
              <w:rPr>
                <w:color w:val="000000"/>
              </w:rPr>
            </w:pPr>
            <w:r w:rsidRPr="005270A7">
              <w:t>2.00E+12</w:t>
            </w:r>
          </w:p>
        </w:tc>
        <w:tc>
          <w:tcPr>
            <w:tcW w:w="1108" w:type="dxa"/>
            <w:tcBorders>
              <w:top w:val="single" w:sz="4" w:space="0" w:color="808080"/>
              <w:bottom w:val="single" w:sz="4" w:space="0" w:color="808080"/>
            </w:tcBorders>
          </w:tcPr>
          <w:p w14:paraId="45F2694D" w14:textId="77777777" w:rsidR="00E8751C" w:rsidRPr="00DA46B4" w:rsidRDefault="00E8751C" w:rsidP="00324721">
            <w:pPr>
              <w:pStyle w:val="TableRow"/>
              <w:keepNext w:val="0"/>
              <w:jc w:val="center"/>
              <w:rPr>
                <w:color w:val="000000"/>
              </w:rPr>
            </w:pPr>
            <w:r w:rsidRPr="005270A7">
              <w:t>0.00E+00</w:t>
            </w:r>
          </w:p>
        </w:tc>
      </w:tr>
      <w:tr w:rsidR="00E8751C" w14:paraId="593145F6" w14:textId="77777777" w:rsidTr="002613EA">
        <w:trPr>
          <w:cantSplit/>
          <w:jc w:val="center"/>
        </w:trPr>
        <w:tc>
          <w:tcPr>
            <w:tcW w:w="6992" w:type="dxa"/>
            <w:gridSpan w:val="6"/>
            <w:tcBorders>
              <w:top w:val="single" w:sz="4" w:space="0" w:color="808080"/>
              <w:bottom w:val="single" w:sz="4" w:space="0" w:color="808080"/>
            </w:tcBorders>
            <w:vAlign w:val="center"/>
          </w:tcPr>
          <w:p w14:paraId="4A5FD312" w14:textId="77777777" w:rsidR="00E8751C" w:rsidRPr="00DA46B4" w:rsidRDefault="00E8751C" w:rsidP="00324721">
            <w:pPr>
              <w:pStyle w:val="TableRow"/>
              <w:keepNext w:val="0"/>
              <w:rPr>
                <w:color w:val="000000"/>
              </w:rPr>
            </w:pPr>
            <w:r>
              <w:rPr>
                <w:color w:val="000000"/>
              </w:rPr>
              <w:t>Phase 1 = 0-1h;  Phase 2 = 1-6h;  Phase 3 = 6-12h;  Phase 4 = 12-24h;  Phase 5 = 24-48h.</w:t>
            </w:r>
          </w:p>
        </w:tc>
      </w:tr>
      <w:tr w:rsidR="00E8751C" w14:paraId="3EFA15EB" w14:textId="77777777" w:rsidTr="002613EA">
        <w:trPr>
          <w:cantSplit/>
          <w:jc w:val="center"/>
        </w:trPr>
        <w:tc>
          <w:tcPr>
            <w:tcW w:w="6992" w:type="dxa"/>
            <w:gridSpan w:val="6"/>
            <w:tcBorders>
              <w:top w:val="single" w:sz="4" w:space="0" w:color="808080"/>
              <w:bottom w:val="single" w:sz="4" w:space="0" w:color="808080"/>
            </w:tcBorders>
            <w:vAlign w:val="center"/>
          </w:tcPr>
          <w:p w14:paraId="5255C1D6" w14:textId="21A89A8B" w:rsidR="00E8751C" w:rsidRPr="00DA46B4" w:rsidRDefault="00E8751C" w:rsidP="00324721">
            <w:pPr>
              <w:pStyle w:val="TableRow"/>
              <w:keepNext w:val="0"/>
              <w:rPr>
                <w:color w:val="000000"/>
              </w:rPr>
            </w:pPr>
            <w:r>
              <w:rPr>
                <w:color w:val="000000"/>
              </w:rPr>
              <w:t xml:space="preserve">The FH source term used in the model runs does not include all the radionuclides or release phases that were listed in the original FH source term provided by ONR. This is explained in Section </w:t>
            </w:r>
            <w:r>
              <w:rPr>
                <w:color w:val="000000"/>
              </w:rPr>
              <w:fldChar w:fldCharType="begin"/>
            </w:r>
            <w:r>
              <w:rPr>
                <w:color w:val="000000"/>
              </w:rPr>
              <w:instrText xml:space="preserve"> REF _Ref79594007 \r \h </w:instrText>
            </w:r>
            <w:r>
              <w:rPr>
                <w:color w:val="000000"/>
              </w:rPr>
            </w:r>
            <w:r>
              <w:rPr>
                <w:color w:val="000000"/>
              </w:rPr>
              <w:fldChar w:fldCharType="separate"/>
            </w:r>
            <w:r w:rsidR="00926FE3">
              <w:rPr>
                <w:color w:val="000000"/>
              </w:rPr>
              <w:t>3.2</w:t>
            </w:r>
            <w:r>
              <w:rPr>
                <w:color w:val="000000"/>
              </w:rPr>
              <w:fldChar w:fldCharType="end"/>
            </w:r>
          </w:p>
        </w:tc>
      </w:tr>
    </w:tbl>
    <w:p w14:paraId="1B27B6C9" w14:textId="77777777" w:rsidR="00E8751C" w:rsidRDefault="00E8751C" w:rsidP="00E8751C">
      <w:pPr>
        <w:pStyle w:val="Tablecaption"/>
        <w:keepNext w:val="0"/>
        <w:keepLines w:val="0"/>
      </w:pPr>
    </w:p>
    <w:p w14:paraId="5D9BEB66" w14:textId="46D94ACF" w:rsidR="00E8751C" w:rsidRDefault="00E8751C" w:rsidP="00E8751C">
      <w:pPr>
        <w:pStyle w:val="Tablecaption"/>
      </w:pPr>
      <w:r>
        <w:t xml:space="preserve">Table </w:t>
      </w:r>
      <w:fldSimple w:instr=" SEQ Table \* ARABIC ">
        <w:r w:rsidR="00926FE3">
          <w:rPr>
            <w:noProof/>
          </w:rPr>
          <w:t>10</w:t>
        </w:r>
      </w:fldSimple>
      <w:r>
        <w:t xml:space="preserve">: </w:t>
      </w:r>
      <w:r w:rsidR="006648E6">
        <w:t>FH</w:t>
      </w:r>
      <w:r>
        <w:t xml:space="preserve"> source term - iodine chemical form percentage breakdown</w:t>
      </w:r>
    </w:p>
    <w:tbl>
      <w:tblPr>
        <w:tblW w:w="6325" w:type="dxa"/>
        <w:jc w:val="center"/>
        <w:tblLayout w:type="fixed"/>
        <w:tblLook w:val="00A0" w:firstRow="1" w:lastRow="0" w:firstColumn="1" w:lastColumn="0" w:noHBand="0" w:noVBand="0"/>
      </w:tblPr>
      <w:tblGrid>
        <w:gridCol w:w="1453"/>
        <w:gridCol w:w="974"/>
        <w:gridCol w:w="975"/>
        <w:gridCol w:w="974"/>
        <w:gridCol w:w="975"/>
        <w:gridCol w:w="974"/>
      </w:tblGrid>
      <w:tr w:rsidR="00E8751C" w14:paraId="71A5D782" w14:textId="77777777" w:rsidTr="002D3581">
        <w:trPr>
          <w:cantSplit/>
          <w:jc w:val="center"/>
        </w:trPr>
        <w:tc>
          <w:tcPr>
            <w:tcW w:w="1453" w:type="dxa"/>
            <w:tcBorders>
              <w:top w:val="single" w:sz="4" w:space="0" w:color="002060"/>
              <w:bottom w:val="single" w:sz="4" w:space="0" w:color="002060"/>
            </w:tcBorders>
            <w:vAlign w:val="center"/>
          </w:tcPr>
          <w:p w14:paraId="3F0D8A4A" w14:textId="51D26C2F" w:rsidR="00E8751C" w:rsidRDefault="00792E6A" w:rsidP="00324721">
            <w:pPr>
              <w:pStyle w:val="TableColumnHeader"/>
              <w:keepNext/>
              <w:jc w:val="center"/>
            </w:pPr>
            <w:r>
              <w:t>Chemical form</w:t>
            </w:r>
          </w:p>
        </w:tc>
        <w:tc>
          <w:tcPr>
            <w:tcW w:w="974" w:type="dxa"/>
            <w:tcBorders>
              <w:top w:val="single" w:sz="4" w:space="0" w:color="002060"/>
              <w:bottom w:val="single" w:sz="4" w:space="0" w:color="002060"/>
            </w:tcBorders>
            <w:vAlign w:val="center"/>
          </w:tcPr>
          <w:p w14:paraId="057F18F2" w14:textId="77777777" w:rsidR="00E8751C" w:rsidRDefault="00E8751C" w:rsidP="00324721">
            <w:pPr>
              <w:pStyle w:val="TableColumnHeader"/>
              <w:keepNext/>
              <w:jc w:val="center"/>
            </w:pPr>
            <w:r>
              <w:t>Phase 1</w:t>
            </w:r>
          </w:p>
        </w:tc>
        <w:tc>
          <w:tcPr>
            <w:tcW w:w="975" w:type="dxa"/>
            <w:tcBorders>
              <w:top w:val="single" w:sz="4" w:space="0" w:color="002060"/>
              <w:bottom w:val="single" w:sz="4" w:space="0" w:color="002060"/>
            </w:tcBorders>
            <w:vAlign w:val="center"/>
          </w:tcPr>
          <w:p w14:paraId="77ECAA24" w14:textId="77777777" w:rsidR="00E8751C" w:rsidRDefault="00E8751C" w:rsidP="00324721">
            <w:pPr>
              <w:pStyle w:val="TableColumnHeader"/>
              <w:keepNext/>
              <w:jc w:val="center"/>
            </w:pPr>
            <w:r>
              <w:t>Phase 2</w:t>
            </w:r>
          </w:p>
        </w:tc>
        <w:tc>
          <w:tcPr>
            <w:tcW w:w="974" w:type="dxa"/>
            <w:tcBorders>
              <w:top w:val="single" w:sz="4" w:space="0" w:color="002060"/>
              <w:bottom w:val="single" w:sz="4" w:space="0" w:color="002060"/>
            </w:tcBorders>
            <w:vAlign w:val="center"/>
          </w:tcPr>
          <w:p w14:paraId="4D482A0D" w14:textId="77777777" w:rsidR="00E8751C" w:rsidRDefault="00E8751C" w:rsidP="00324721">
            <w:pPr>
              <w:pStyle w:val="TableColumnHeader"/>
              <w:keepNext/>
              <w:jc w:val="center"/>
            </w:pPr>
            <w:r>
              <w:t>Phase 3</w:t>
            </w:r>
          </w:p>
        </w:tc>
        <w:tc>
          <w:tcPr>
            <w:tcW w:w="975" w:type="dxa"/>
            <w:tcBorders>
              <w:top w:val="single" w:sz="4" w:space="0" w:color="002060"/>
              <w:bottom w:val="single" w:sz="4" w:space="0" w:color="002060"/>
            </w:tcBorders>
            <w:vAlign w:val="center"/>
          </w:tcPr>
          <w:p w14:paraId="6482220B" w14:textId="77777777" w:rsidR="00E8751C" w:rsidRDefault="00E8751C" w:rsidP="00324721">
            <w:pPr>
              <w:pStyle w:val="TableColumnHeader"/>
              <w:keepNext/>
              <w:jc w:val="center"/>
            </w:pPr>
            <w:r>
              <w:t>Phase 4</w:t>
            </w:r>
          </w:p>
        </w:tc>
        <w:tc>
          <w:tcPr>
            <w:tcW w:w="974" w:type="dxa"/>
            <w:tcBorders>
              <w:top w:val="single" w:sz="4" w:space="0" w:color="002060"/>
              <w:bottom w:val="single" w:sz="4" w:space="0" w:color="002060"/>
            </w:tcBorders>
            <w:vAlign w:val="center"/>
          </w:tcPr>
          <w:p w14:paraId="6F60DA5B" w14:textId="77777777" w:rsidR="00E8751C" w:rsidRDefault="00E8751C" w:rsidP="00324721">
            <w:pPr>
              <w:pStyle w:val="TableColumnHeader"/>
              <w:keepNext/>
              <w:jc w:val="center"/>
            </w:pPr>
            <w:r>
              <w:t>Phase 5</w:t>
            </w:r>
          </w:p>
        </w:tc>
      </w:tr>
      <w:tr w:rsidR="00E8751C" w:rsidRPr="00F14734" w14:paraId="39B2ADC7" w14:textId="77777777" w:rsidTr="00324721">
        <w:trPr>
          <w:cantSplit/>
          <w:jc w:val="center"/>
        </w:trPr>
        <w:tc>
          <w:tcPr>
            <w:tcW w:w="1453" w:type="dxa"/>
            <w:tcBorders>
              <w:top w:val="single" w:sz="4" w:space="0" w:color="808080"/>
              <w:bottom w:val="single" w:sz="4" w:space="0" w:color="808080"/>
            </w:tcBorders>
            <w:vAlign w:val="center"/>
          </w:tcPr>
          <w:p w14:paraId="02497936" w14:textId="64B17B08" w:rsidR="00E8751C" w:rsidRDefault="00792E6A" w:rsidP="00324721">
            <w:pPr>
              <w:pStyle w:val="TableRow"/>
              <w:keepLines/>
              <w:jc w:val="center"/>
              <w:rPr>
                <w:color w:val="000000"/>
              </w:rPr>
            </w:pPr>
            <w:r>
              <w:rPr>
                <w:color w:val="000000"/>
              </w:rPr>
              <w:t>Elemental</w:t>
            </w:r>
          </w:p>
        </w:tc>
        <w:tc>
          <w:tcPr>
            <w:tcW w:w="974" w:type="dxa"/>
            <w:tcBorders>
              <w:top w:val="single" w:sz="4" w:space="0" w:color="808080"/>
              <w:bottom w:val="single" w:sz="4" w:space="0" w:color="808080"/>
            </w:tcBorders>
            <w:vAlign w:val="bottom"/>
          </w:tcPr>
          <w:p w14:paraId="57BBBE25" w14:textId="77777777" w:rsidR="00E8751C" w:rsidRPr="00DA46B4" w:rsidRDefault="00E8751C" w:rsidP="00324721">
            <w:pPr>
              <w:pStyle w:val="TableRow"/>
              <w:keepLines/>
              <w:jc w:val="center"/>
              <w:rPr>
                <w:color w:val="000000"/>
              </w:rPr>
            </w:pPr>
            <w:r w:rsidRPr="00F14734">
              <w:rPr>
                <w:color w:val="000000"/>
              </w:rPr>
              <w:t>0.00</w:t>
            </w:r>
          </w:p>
        </w:tc>
        <w:tc>
          <w:tcPr>
            <w:tcW w:w="975" w:type="dxa"/>
            <w:tcBorders>
              <w:top w:val="single" w:sz="4" w:space="0" w:color="808080"/>
              <w:bottom w:val="single" w:sz="4" w:space="0" w:color="808080"/>
            </w:tcBorders>
            <w:vAlign w:val="bottom"/>
          </w:tcPr>
          <w:p w14:paraId="587A6DC1" w14:textId="77777777" w:rsidR="00E8751C" w:rsidRPr="00DA46B4" w:rsidRDefault="00E8751C" w:rsidP="00324721">
            <w:pPr>
              <w:pStyle w:val="TableRow"/>
              <w:keepLines/>
              <w:jc w:val="center"/>
              <w:rPr>
                <w:color w:val="000000"/>
              </w:rPr>
            </w:pPr>
            <w:r w:rsidRPr="00F14734">
              <w:rPr>
                <w:color w:val="000000"/>
              </w:rPr>
              <w:t>0.10</w:t>
            </w:r>
          </w:p>
        </w:tc>
        <w:tc>
          <w:tcPr>
            <w:tcW w:w="974" w:type="dxa"/>
            <w:tcBorders>
              <w:top w:val="single" w:sz="4" w:space="0" w:color="808080"/>
              <w:bottom w:val="single" w:sz="4" w:space="0" w:color="808080"/>
            </w:tcBorders>
            <w:vAlign w:val="bottom"/>
          </w:tcPr>
          <w:p w14:paraId="6BD16D90" w14:textId="77777777" w:rsidR="00E8751C" w:rsidRPr="00DA46B4" w:rsidRDefault="00E8751C" w:rsidP="00324721">
            <w:pPr>
              <w:pStyle w:val="TableRow"/>
              <w:keepLines/>
              <w:jc w:val="center"/>
              <w:rPr>
                <w:color w:val="000000"/>
              </w:rPr>
            </w:pPr>
            <w:r w:rsidRPr="00F14734">
              <w:rPr>
                <w:color w:val="000000"/>
              </w:rPr>
              <w:t>0.10</w:t>
            </w:r>
          </w:p>
        </w:tc>
        <w:tc>
          <w:tcPr>
            <w:tcW w:w="975" w:type="dxa"/>
            <w:tcBorders>
              <w:top w:val="single" w:sz="4" w:space="0" w:color="808080"/>
              <w:bottom w:val="single" w:sz="4" w:space="0" w:color="808080"/>
            </w:tcBorders>
            <w:vAlign w:val="bottom"/>
          </w:tcPr>
          <w:p w14:paraId="5C650F18" w14:textId="77777777" w:rsidR="00E8751C" w:rsidRPr="00DA46B4" w:rsidRDefault="00E8751C" w:rsidP="00324721">
            <w:pPr>
              <w:pStyle w:val="TableRow"/>
              <w:keepLines/>
              <w:jc w:val="center"/>
              <w:rPr>
                <w:color w:val="000000"/>
              </w:rPr>
            </w:pPr>
            <w:r w:rsidRPr="00F14734">
              <w:rPr>
                <w:color w:val="000000"/>
              </w:rPr>
              <w:t>0.30</w:t>
            </w:r>
          </w:p>
        </w:tc>
        <w:tc>
          <w:tcPr>
            <w:tcW w:w="974" w:type="dxa"/>
            <w:tcBorders>
              <w:top w:val="single" w:sz="4" w:space="0" w:color="808080"/>
              <w:bottom w:val="single" w:sz="4" w:space="0" w:color="808080"/>
            </w:tcBorders>
            <w:vAlign w:val="bottom"/>
          </w:tcPr>
          <w:p w14:paraId="2C00E735" w14:textId="77777777" w:rsidR="00E8751C" w:rsidRPr="00DA46B4" w:rsidRDefault="00E8751C" w:rsidP="00324721">
            <w:pPr>
              <w:pStyle w:val="TableRow"/>
              <w:keepLines/>
              <w:jc w:val="center"/>
              <w:rPr>
                <w:color w:val="000000"/>
              </w:rPr>
            </w:pPr>
            <w:r w:rsidRPr="00F14734">
              <w:rPr>
                <w:color w:val="000000"/>
              </w:rPr>
              <w:t>0.50</w:t>
            </w:r>
          </w:p>
        </w:tc>
      </w:tr>
      <w:tr w:rsidR="00E8751C" w:rsidRPr="00F14734" w14:paraId="13FE8B10" w14:textId="77777777" w:rsidTr="00324721">
        <w:trPr>
          <w:cantSplit/>
          <w:jc w:val="center"/>
        </w:trPr>
        <w:tc>
          <w:tcPr>
            <w:tcW w:w="1453" w:type="dxa"/>
            <w:tcBorders>
              <w:top w:val="single" w:sz="4" w:space="0" w:color="808080"/>
              <w:bottom w:val="single" w:sz="4" w:space="0" w:color="808080"/>
            </w:tcBorders>
            <w:vAlign w:val="center"/>
          </w:tcPr>
          <w:p w14:paraId="16C176C0" w14:textId="77777777" w:rsidR="00E8751C" w:rsidRPr="00B370C7" w:rsidRDefault="00E8751C" w:rsidP="00324721">
            <w:pPr>
              <w:pStyle w:val="TableRow"/>
              <w:keepLines/>
              <w:jc w:val="center"/>
              <w:rPr>
                <w:color w:val="000000"/>
              </w:rPr>
            </w:pPr>
            <w:r w:rsidRPr="00AC65A1">
              <w:rPr>
                <w:color w:val="000000"/>
              </w:rPr>
              <w:t>P</w:t>
            </w:r>
            <w:r>
              <w:rPr>
                <w:color w:val="000000"/>
              </w:rPr>
              <w:t>articulate</w:t>
            </w:r>
          </w:p>
        </w:tc>
        <w:tc>
          <w:tcPr>
            <w:tcW w:w="974" w:type="dxa"/>
            <w:tcBorders>
              <w:top w:val="single" w:sz="4" w:space="0" w:color="808080"/>
              <w:bottom w:val="single" w:sz="4" w:space="0" w:color="808080"/>
            </w:tcBorders>
            <w:vAlign w:val="bottom"/>
          </w:tcPr>
          <w:p w14:paraId="16F553DB" w14:textId="77777777" w:rsidR="00E8751C" w:rsidRPr="00DA46B4" w:rsidRDefault="00E8751C" w:rsidP="00324721">
            <w:pPr>
              <w:pStyle w:val="TableRow"/>
              <w:keepLines/>
              <w:jc w:val="center"/>
              <w:rPr>
                <w:color w:val="000000"/>
              </w:rPr>
            </w:pPr>
            <w:r w:rsidRPr="00F14734">
              <w:rPr>
                <w:color w:val="000000"/>
              </w:rPr>
              <w:t>100.00</w:t>
            </w:r>
          </w:p>
        </w:tc>
        <w:tc>
          <w:tcPr>
            <w:tcW w:w="975" w:type="dxa"/>
            <w:tcBorders>
              <w:top w:val="single" w:sz="4" w:space="0" w:color="808080"/>
              <w:bottom w:val="single" w:sz="4" w:space="0" w:color="808080"/>
            </w:tcBorders>
            <w:vAlign w:val="bottom"/>
          </w:tcPr>
          <w:p w14:paraId="5C9EC38F" w14:textId="77777777" w:rsidR="00E8751C" w:rsidRPr="00DA46B4" w:rsidRDefault="00E8751C" w:rsidP="00324721">
            <w:pPr>
              <w:pStyle w:val="TableRow"/>
              <w:keepLines/>
              <w:jc w:val="center"/>
              <w:rPr>
                <w:color w:val="000000"/>
              </w:rPr>
            </w:pPr>
            <w:r w:rsidRPr="00F14734">
              <w:rPr>
                <w:color w:val="000000"/>
              </w:rPr>
              <w:t>99.90</w:t>
            </w:r>
          </w:p>
        </w:tc>
        <w:tc>
          <w:tcPr>
            <w:tcW w:w="974" w:type="dxa"/>
            <w:tcBorders>
              <w:top w:val="single" w:sz="4" w:space="0" w:color="808080"/>
              <w:bottom w:val="single" w:sz="4" w:space="0" w:color="808080"/>
            </w:tcBorders>
            <w:vAlign w:val="bottom"/>
          </w:tcPr>
          <w:p w14:paraId="51C13E55" w14:textId="77777777" w:rsidR="00E8751C" w:rsidRPr="00DA46B4" w:rsidRDefault="00E8751C" w:rsidP="00324721">
            <w:pPr>
              <w:pStyle w:val="TableRow"/>
              <w:keepLines/>
              <w:jc w:val="center"/>
              <w:rPr>
                <w:color w:val="000000"/>
              </w:rPr>
            </w:pPr>
            <w:r w:rsidRPr="00F14734">
              <w:rPr>
                <w:color w:val="000000"/>
              </w:rPr>
              <w:t>99.90</w:t>
            </w:r>
          </w:p>
        </w:tc>
        <w:tc>
          <w:tcPr>
            <w:tcW w:w="975" w:type="dxa"/>
            <w:tcBorders>
              <w:top w:val="single" w:sz="4" w:space="0" w:color="808080"/>
              <w:bottom w:val="single" w:sz="4" w:space="0" w:color="808080"/>
            </w:tcBorders>
            <w:vAlign w:val="bottom"/>
          </w:tcPr>
          <w:p w14:paraId="7D81269B" w14:textId="77777777" w:rsidR="00E8751C" w:rsidRPr="00DA46B4" w:rsidRDefault="00E8751C" w:rsidP="00324721">
            <w:pPr>
              <w:pStyle w:val="TableRow"/>
              <w:keepLines/>
              <w:jc w:val="center"/>
              <w:rPr>
                <w:color w:val="000000"/>
              </w:rPr>
            </w:pPr>
            <w:r w:rsidRPr="00F14734">
              <w:rPr>
                <w:color w:val="000000"/>
              </w:rPr>
              <w:t>99.70</w:t>
            </w:r>
          </w:p>
        </w:tc>
        <w:tc>
          <w:tcPr>
            <w:tcW w:w="974" w:type="dxa"/>
            <w:tcBorders>
              <w:top w:val="single" w:sz="4" w:space="0" w:color="808080"/>
              <w:bottom w:val="single" w:sz="4" w:space="0" w:color="808080"/>
            </w:tcBorders>
            <w:vAlign w:val="bottom"/>
          </w:tcPr>
          <w:p w14:paraId="5EB2FF71" w14:textId="77777777" w:rsidR="00E8751C" w:rsidRPr="00DA46B4" w:rsidRDefault="00E8751C" w:rsidP="00324721">
            <w:pPr>
              <w:pStyle w:val="TableRow"/>
              <w:keepLines/>
              <w:jc w:val="center"/>
              <w:rPr>
                <w:color w:val="000000"/>
              </w:rPr>
            </w:pPr>
            <w:r w:rsidRPr="00F14734">
              <w:rPr>
                <w:color w:val="000000"/>
              </w:rPr>
              <w:t>99.50</w:t>
            </w:r>
          </w:p>
        </w:tc>
      </w:tr>
      <w:tr w:rsidR="00E8751C" w14:paraId="5ED9CD02" w14:textId="77777777" w:rsidTr="00324721">
        <w:trPr>
          <w:cantSplit/>
          <w:jc w:val="center"/>
        </w:trPr>
        <w:tc>
          <w:tcPr>
            <w:tcW w:w="1453" w:type="dxa"/>
            <w:tcBorders>
              <w:top w:val="single" w:sz="4" w:space="0" w:color="808080"/>
              <w:bottom w:val="single" w:sz="4" w:space="0" w:color="808080"/>
            </w:tcBorders>
            <w:vAlign w:val="center"/>
          </w:tcPr>
          <w:p w14:paraId="2729A5B4" w14:textId="77777777" w:rsidR="00E8751C" w:rsidRDefault="00E8751C" w:rsidP="00324721">
            <w:pPr>
              <w:pStyle w:val="TableRow"/>
              <w:keepLines/>
              <w:jc w:val="center"/>
              <w:rPr>
                <w:color w:val="000000"/>
              </w:rPr>
            </w:pPr>
            <w:r>
              <w:rPr>
                <w:color w:val="000000"/>
              </w:rPr>
              <w:t>Organic</w:t>
            </w:r>
          </w:p>
        </w:tc>
        <w:tc>
          <w:tcPr>
            <w:tcW w:w="974" w:type="dxa"/>
            <w:tcBorders>
              <w:top w:val="single" w:sz="4" w:space="0" w:color="808080"/>
              <w:bottom w:val="single" w:sz="4" w:space="0" w:color="808080"/>
            </w:tcBorders>
            <w:vAlign w:val="center"/>
          </w:tcPr>
          <w:p w14:paraId="03C6A969" w14:textId="77777777" w:rsidR="00E8751C" w:rsidRPr="00DA46B4" w:rsidRDefault="00E8751C" w:rsidP="00324721">
            <w:pPr>
              <w:pStyle w:val="TableRow"/>
              <w:keepLines/>
              <w:jc w:val="center"/>
              <w:rPr>
                <w:color w:val="000000"/>
              </w:rPr>
            </w:pPr>
            <w:r>
              <w:rPr>
                <w:color w:val="000000"/>
              </w:rPr>
              <w:t>0.00</w:t>
            </w:r>
          </w:p>
        </w:tc>
        <w:tc>
          <w:tcPr>
            <w:tcW w:w="975" w:type="dxa"/>
            <w:tcBorders>
              <w:top w:val="single" w:sz="4" w:space="0" w:color="808080"/>
              <w:bottom w:val="single" w:sz="4" w:space="0" w:color="808080"/>
            </w:tcBorders>
          </w:tcPr>
          <w:p w14:paraId="775DCB67" w14:textId="77777777" w:rsidR="00E8751C" w:rsidRPr="00DA46B4" w:rsidRDefault="00E8751C" w:rsidP="00324721">
            <w:pPr>
              <w:pStyle w:val="TableRow"/>
              <w:keepLines/>
              <w:jc w:val="center"/>
              <w:rPr>
                <w:color w:val="000000"/>
              </w:rPr>
            </w:pPr>
            <w:r>
              <w:rPr>
                <w:color w:val="000000"/>
              </w:rPr>
              <w:t>0.00</w:t>
            </w:r>
          </w:p>
        </w:tc>
        <w:tc>
          <w:tcPr>
            <w:tcW w:w="974" w:type="dxa"/>
            <w:tcBorders>
              <w:top w:val="single" w:sz="4" w:space="0" w:color="808080"/>
              <w:bottom w:val="single" w:sz="4" w:space="0" w:color="808080"/>
            </w:tcBorders>
          </w:tcPr>
          <w:p w14:paraId="64511957" w14:textId="77777777" w:rsidR="00E8751C" w:rsidRPr="00DA46B4" w:rsidRDefault="00E8751C" w:rsidP="00324721">
            <w:pPr>
              <w:pStyle w:val="TableRow"/>
              <w:keepLines/>
              <w:jc w:val="center"/>
              <w:rPr>
                <w:color w:val="000000"/>
              </w:rPr>
            </w:pPr>
            <w:r>
              <w:rPr>
                <w:color w:val="000000"/>
              </w:rPr>
              <w:t>0.00</w:t>
            </w:r>
          </w:p>
        </w:tc>
        <w:tc>
          <w:tcPr>
            <w:tcW w:w="975" w:type="dxa"/>
            <w:tcBorders>
              <w:top w:val="single" w:sz="4" w:space="0" w:color="808080"/>
              <w:bottom w:val="single" w:sz="4" w:space="0" w:color="808080"/>
            </w:tcBorders>
            <w:vAlign w:val="center"/>
          </w:tcPr>
          <w:p w14:paraId="1646003D" w14:textId="77777777" w:rsidR="00E8751C" w:rsidRPr="00DA46B4" w:rsidRDefault="00E8751C" w:rsidP="00324721">
            <w:pPr>
              <w:pStyle w:val="TableRow"/>
              <w:keepLines/>
              <w:jc w:val="center"/>
              <w:rPr>
                <w:color w:val="000000"/>
              </w:rPr>
            </w:pPr>
            <w:r>
              <w:rPr>
                <w:color w:val="000000"/>
              </w:rPr>
              <w:t>0.00</w:t>
            </w:r>
          </w:p>
        </w:tc>
        <w:tc>
          <w:tcPr>
            <w:tcW w:w="974" w:type="dxa"/>
            <w:tcBorders>
              <w:top w:val="single" w:sz="4" w:space="0" w:color="808080"/>
              <w:bottom w:val="single" w:sz="4" w:space="0" w:color="808080"/>
            </w:tcBorders>
          </w:tcPr>
          <w:p w14:paraId="1683F1A4" w14:textId="77777777" w:rsidR="00E8751C" w:rsidRPr="00DA46B4" w:rsidRDefault="00E8751C" w:rsidP="00324721">
            <w:pPr>
              <w:pStyle w:val="TableRow"/>
              <w:keepLines/>
              <w:jc w:val="center"/>
              <w:rPr>
                <w:color w:val="000000"/>
              </w:rPr>
            </w:pPr>
            <w:r>
              <w:rPr>
                <w:color w:val="000000"/>
              </w:rPr>
              <w:t>0.00</w:t>
            </w:r>
          </w:p>
        </w:tc>
      </w:tr>
      <w:tr w:rsidR="00E8751C" w14:paraId="1F018025" w14:textId="77777777" w:rsidTr="00324721">
        <w:trPr>
          <w:cantSplit/>
          <w:jc w:val="center"/>
        </w:trPr>
        <w:tc>
          <w:tcPr>
            <w:tcW w:w="6325" w:type="dxa"/>
            <w:gridSpan w:val="6"/>
            <w:tcBorders>
              <w:top w:val="single" w:sz="4" w:space="0" w:color="808080"/>
              <w:bottom w:val="single" w:sz="4" w:space="0" w:color="808080"/>
            </w:tcBorders>
            <w:vAlign w:val="center"/>
          </w:tcPr>
          <w:p w14:paraId="649ABAEA" w14:textId="77777777" w:rsidR="00E8751C" w:rsidRPr="00DA46B4" w:rsidRDefault="00E8751C" w:rsidP="00324721">
            <w:pPr>
              <w:pStyle w:val="TableRow"/>
              <w:keepLines/>
              <w:rPr>
                <w:color w:val="000000"/>
              </w:rPr>
            </w:pPr>
            <w:r>
              <w:rPr>
                <w:color w:val="000000"/>
              </w:rPr>
              <w:t>Phase 1 = 0-1h;  Phase 2 = 1-6h;  Phase 3 = 6-12h;  Phase 4 = 12-24h;  Phase 5 = 24-48h.</w:t>
            </w:r>
          </w:p>
        </w:tc>
      </w:tr>
    </w:tbl>
    <w:p w14:paraId="179DDCD1" w14:textId="77777777" w:rsidR="00E8751C" w:rsidRPr="00AC65A1" w:rsidRDefault="00E8751C" w:rsidP="00E8751C">
      <w:pPr>
        <w:pStyle w:val="BodyText"/>
      </w:pPr>
    </w:p>
    <w:p w14:paraId="1E2CFB72" w14:textId="77777777" w:rsidR="00E8751C" w:rsidRDefault="00E8751C" w:rsidP="00E8751C">
      <w:pPr>
        <w:pStyle w:val="Heading2"/>
      </w:pPr>
      <w:bookmarkStart w:id="50" w:name="_Toc79679418"/>
      <w:bookmarkStart w:id="51" w:name="_Toc89966371"/>
      <w:r>
        <w:t>RCCA Ejection Source Term</w:t>
      </w:r>
      <w:bookmarkEnd w:id="50"/>
      <w:bookmarkEnd w:id="51"/>
    </w:p>
    <w:p w14:paraId="3EB6FCC3" w14:textId="49A4E5D9" w:rsidR="00E8751C" w:rsidRDefault="00E8751C" w:rsidP="00E8751C">
      <w:pPr>
        <w:pStyle w:val="BodyText"/>
        <w:jc w:val="both"/>
      </w:pPr>
      <w:r>
        <w:t xml:space="preserve">The number of radionuclides in the RCCA Ejection (RCCAE) source term was small enough that they could all be used in the PACE model runs. </w:t>
      </w:r>
      <w:r w:rsidR="00A85E04">
        <w:t xml:space="preserve">To ensure a manageable number of ADMS </w:t>
      </w:r>
      <w:r w:rsidR="003C14CC">
        <w:t>model runs, a subset of</w:t>
      </w:r>
      <w:r w:rsidR="00885BC3">
        <w:t xml:space="preserve"> six</w:t>
      </w:r>
      <w:r w:rsidR="003C14CC">
        <w:t xml:space="preserve"> </w:t>
      </w:r>
      <w:r w:rsidR="00A85E04">
        <w:t>radionuclides</w:t>
      </w:r>
      <w:r w:rsidR="007F05B2">
        <w:t xml:space="preserve"> were considered, as indicated </w:t>
      </w:r>
      <w:r w:rsidR="00792E6A">
        <w:t xml:space="preserve">by the asterisks </w:t>
      </w:r>
      <w:r w:rsidR="007F05B2">
        <w:t>in</w:t>
      </w:r>
      <w:r w:rsidR="00836436">
        <w:t xml:space="preserve"> </w:t>
      </w:r>
      <w:r w:rsidR="00836436">
        <w:fldChar w:fldCharType="begin"/>
      </w:r>
      <w:r w:rsidR="00836436">
        <w:instrText xml:space="preserve"> REF _Ref87543029 \h </w:instrText>
      </w:r>
      <w:r w:rsidR="00836436">
        <w:fldChar w:fldCharType="separate"/>
      </w:r>
      <w:r w:rsidR="00926FE3" w:rsidRPr="00BD67F0">
        <w:t xml:space="preserve">Table </w:t>
      </w:r>
      <w:r w:rsidR="00926FE3">
        <w:rPr>
          <w:noProof/>
        </w:rPr>
        <w:t>11</w:t>
      </w:r>
      <w:r w:rsidR="00836436">
        <w:fldChar w:fldCharType="end"/>
      </w:r>
      <w:r w:rsidR="003C14CC">
        <w:t>; the number of radionuclides was reduced in a manner similar to the method used for the LBL source term (see above)</w:t>
      </w:r>
      <w:r w:rsidR="007F05B2">
        <w:t xml:space="preserve">. </w:t>
      </w:r>
      <w:r w:rsidR="007F05B2" w:rsidRPr="004B300B">
        <w:t xml:space="preserve">All iodine was assumed to be in </w:t>
      </w:r>
      <w:r w:rsidR="00792E6A">
        <w:t>elemental</w:t>
      </w:r>
      <w:r w:rsidR="007F05B2" w:rsidRPr="004B300B">
        <w:t xml:space="preserve"> form.</w:t>
      </w:r>
    </w:p>
    <w:p w14:paraId="0D0B8F19" w14:textId="77777777" w:rsidR="00E8751C" w:rsidRPr="003D2909" w:rsidRDefault="00E8751C" w:rsidP="00E8751C">
      <w:pPr>
        <w:pStyle w:val="BodyTextEND"/>
      </w:pPr>
      <w:r>
        <w:t>The RCCAE source term release duration was 30 days.</w:t>
      </w:r>
    </w:p>
    <w:p w14:paraId="0F7D65C9" w14:textId="5C6B68AF" w:rsidR="00E8751C" w:rsidRPr="00BD67F0" w:rsidRDefault="00E8751C" w:rsidP="00E8751C">
      <w:pPr>
        <w:pStyle w:val="Tablecaption"/>
        <w:keepNext w:val="0"/>
        <w:keepLines w:val="0"/>
      </w:pPr>
      <w:bookmarkStart w:id="52" w:name="_Ref87543029"/>
      <w:r w:rsidRPr="00BD67F0">
        <w:t xml:space="preserve">Table </w:t>
      </w:r>
      <w:fldSimple w:instr=" SEQ Table \* ARABIC ">
        <w:r w:rsidR="00926FE3">
          <w:rPr>
            <w:noProof/>
          </w:rPr>
          <w:t>11</w:t>
        </w:r>
      </w:fldSimple>
      <w:bookmarkEnd w:id="52"/>
      <w:r w:rsidRPr="00BD67F0">
        <w:t xml:space="preserve">: </w:t>
      </w:r>
      <w:r>
        <w:t>RCCAE</w:t>
      </w:r>
      <w:r w:rsidRPr="00BD67F0">
        <w:t xml:space="preserve"> source term - radionuclides modelled (Bq)</w:t>
      </w:r>
    </w:p>
    <w:tbl>
      <w:tblPr>
        <w:tblW w:w="9251" w:type="dxa"/>
        <w:tblLayout w:type="fixed"/>
        <w:tblLook w:val="00A0" w:firstRow="1" w:lastRow="0" w:firstColumn="1" w:lastColumn="0" w:noHBand="0" w:noVBand="0"/>
      </w:tblPr>
      <w:tblGrid>
        <w:gridCol w:w="1404"/>
        <w:gridCol w:w="1309"/>
        <w:gridCol w:w="1307"/>
        <w:gridCol w:w="1308"/>
        <w:gridCol w:w="1307"/>
        <w:gridCol w:w="1308"/>
        <w:gridCol w:w="1308"/>
      </w:tblGrid>
      <w:tr w:rsidR="008505A8" w14:paraId="6909B3FD" w14:textId="01F0A41A" w:rsidTr="0001411D">
        <w:trPr>
          <w:cantSplit/>
        </w:trPr>
        <w:tc>
          <w:tcPr>
            <w:tcW w:w="1418" w:type="dxa"/>
            <w:tcBorders>
              <w:top w:val="single" w:sz="4" w:space="0" w:color="002060"/>
              <w:bottom w:val="single" w:sz="4" w:space="0" w:color="002060"/>
            </w:tcBorders>
          </w:tcPr>
          <w:p w14:paraId="58B6903B" w14:textId="77777777" w:rsidR="008505A8" w:rsidRDefault="008505A8" w:rsidP="00324721">
            <w:pPr>
              <w:pStyle w:val="TableColumnHeader"/>
              <w:keepLines w:val="0"/>
              <w:jc w:val="center"/>
            </w:pPr>
            <w:r>
              <w:t>Radionuclide</w:t>
            </w:r>
          </w:p>
        </w:tc>
        <w:tc>
          <w:tcPr>
            <w:tcW w:w="1322" w:type="dxa"/>
            <w:tcBorders>
              <w:top w:val="single" w:sz="4" w:space="0" w:color="002060"/>
              <w:bottom w:val="single" w:sz="4" w:space="0" w:color="002060"/>
            </w:tcBorders>
          </w:tcPr>
          <w:p w14:paraId="6EC81AD2" w14:textId="77777777" w:rsidR="008505A8" w:rsidRDefault="008505A8" w:rsidP="00324721">
            <w:pPr>
              <w:pStyle w:val="TableColumnHeader"/>
              <w:keepLines w:val="0"/>
              <w:jc w:val="center"/>
            </w:pPr>
            <w:r>
              <w:t>Phase 1</w:t>
            </w:r>
          </w:p>
        </w:tc>
        <w:tc>
          <w:tcPr>
            <w:tcW w:w="1321" w:type="dxa"/>
            <w:tcBorders>
              <w:top w:val="single" w:sz="4" w:space="0" w:color="002060"/>
              <w:bottom w:val="single" w:sz="4" w:space="0" w:color="002060"/>
            </w:tcBorders>
          </w:tcPr>
          <w:p w14:paraId="0DB9E001" w14:textId="77777777" w:rsidR="008505A8" w:rsidRDefault="008505A8" w:rsidP="00324721">
            <w:pPr>
              <w:pStyle w:val="TableColumnHeader"/>
              <w:keepLines w:val="0"/>
              <w:jc w:val="center"/>
            </w:pPr>
            <w:r>
              <w:t>Phase 2</w:t>
            </w:r>
          </w:p>
        </w:tc>
        <w:tc>
          <w:tcPr>
            <w:tcW w:w="1322" w:type="dxa"/>
            <w:tcBorders>
              <w:top w:val="single" w:sz="4" w:space="0" w:color="002060"/>
              <w:bottom w:val="single" w:sz="4" w:space="0" w:color="002060"/>
            </w:tcBorders>
          </w:tcPr>
          <w:p w14:paraId="2ED347A1" w14:textId="77777777" w:rsidR="008505A8" w:rsidRDefault="008505A8" w:rsidP="00324721">
            <w:pPr>
              <w:pStyle w:val="TableColumnHeader"/>
              <w:keepLines w:val="0"/>
              <w:jc w:val="center"/>
            </w:pPr>
            <w:r>
              <w:t>Phase 3</w:t>
            </w:r>
          </w:p>
        </w:tc>
        <w:tc>
          <w:tcPr>
            <w:tcW w:w="1321" w:type="dxa"/>
            <w:tcBorders>
              <w:top w:val="single" w:sz="4" w:space="0" w:color="002060"/>
              <w:bottom w:val="single" w:sz="4" w:space="0" w:color="002060"/>
            </w:tcBorders>
          </w:tcPr>
          <w:p w14:paraId="7A6FA6FA" w14:textId="77777777" w:rsidR="008505A8" w:rsidRDefault="008505A8" w:rsidP="00324721">
            <w:pPr>
              <w:pStyle w:val="TableColumnHeader"/>
              <w:keepLines w:val="0"/>
              <w:jc w:val="center"/>
            </w:pPr>
            <w:r>
              <w:t>Phase 4</w:t>
            </w:r>
          </w:p>
        </w:tc>
        <w:tc>
          <w:tcPr>
            <w:tcW w:w="1322" w:type="dxa"/>
            <w:tcBorders>
              <w:top w:val="single" w:sz="4" w:space="0" w:color="002060"/>
              <w:bottom w:val="single" w:sz="4" w:space="0" w:color="002060"/>
            </w:tcBorders>
          </w:tcPr>
          <w:p w14:paraId="2865CD91" w14:textId="77777777" w:rsidR="008505A8" w:rsidRDefault="008505A8" w:rsidP="00324721">
            <w:pPr>
              <w:pStyle w:val="TableColumnHeader"/>
              <w:keepLines w:val="0"/>
              <w:jc w:val="center"/>
            </w:pPr>
            <w:r>
              <w:t>Phase 5</w:t>
            </w:r>
          </w:p>
        </w:tc>
        <w:tc>
          <w:tcPr>
            <w:tcW w:w="1322" w:type="dxa"/>
            <w:tcBorders>
              <w:top w:val="single" w:sz="4" w:space="0" w:color="002060"/>
              <w:bottom w:val="single" w:sz="4" w:space="0" w:color="002060"/>
            </w:tcBorders>
          </w:tcPr>
          <w:p w14:paraId="7164B010" w14:textId="4B560553" w:rsidR="008505A8" w:rsidRDefault="008505A8" w:rsidP="00324721">
            <w:pPr>
              <w:pStyle w:val="TableColumnHeader"/>
              <w:keepLines w:val="0"/>
              <w:jc w:val="center"/>
            </w:pPr>
            <w:r>
              <w:t>Phase 6</w:t>
            </w:r>
          </w:p>
        </w:tc>
      </w:tr>
      <w:tr w:rsidR="008505A8" w14:paraId="66B4FB36" w14:textId="3EC3411A" w:rsidTr="0001411D">
        <w:trPr>
          <w:cantSplit/>
        </w:trPr>
        <w:tc>
          <w:tcPr>
            <w:tcW w:w="1418" w:type="dxa"/>
            <w:tcBorders>
              <w:top w:val="single" w:sz="4" w:space="0" w:color="002060"/>
              <w:bottom w:val="single" w:sz="4" w:space="0" w:color="808080"/>
            </w:tcBorders>
            <w:vAlign w:val="center"/>
          </w:tcPr>
          <w:p w14:paraId="344AE5B9" w14:textId="1FBD3C9E" w:rsidR="008505A8" w:rsidRPr="0080407A" w:rsidRDefault="008505A8" w:rsidP="00324721">
            <w:pPr>
              <w:pStyle w:val="TableRow"/>
              <w:keepNext w:val="0"/>
              <w:jc w:val="center"/>
              <w:rPr>
                <w:color w:val="000000"/>
              </w:rPr>
            </w:pPr>
            <w:r w:rsidRPr="00195B8A">
              <w:rPr>
                <w:color w:val="000000"/>
                <w:vertAlign w:val="superscript"/>
              </w:rPr>
              <w:t>134</w:t>
            </w:r>
            <w:r>
              <w:rPr>
                <w:color w:val="000000"/>
              </w:rPr>
              <w:t>Cs</w:t>
            </w:r>
            <w:r w:rsidR="00A85E04">
              <w:rPr>
                <w:color w:val="000000"/>
              </w:rPr>
              <w:t xml:space="preserve"> *</w:t>
            </w:r>
          </w:p>
        </w:tc>
        <w:tc>
          <w:tcPr>
            <w:tcW w:w="1322" w:type="dxa"/>
            <w:tcBorders>
              <w:top w:val="single" w:sz="4" w:space="0" w:color="002060"/>
              <w:bottom w:val="single" w:sz="4" w:space="0" w:color="808080"/>
            </w:tcBorders>
          </w:tcPr>
          <w:p w14:paraId="385BCADE" w14:textId="77777777" w:rsidR="008505A8" w:rsidRPr="00DA46B4" w:rsidRDefault="008505A8" w:rsidP="00324721">
            <w:pPr>
              <w:pStyle w:val="TableRow"/>
              <w:keepNext w:val="0"/>
              <w:jc w:val="center"/>
              <w:rPr>
                <w:color w:val="000000"/>
              </w:rPr>
            </w:pPr>
            <w:r w:rsidRPr="00D20B5C">
              <w:t>1.75E+12</w:t>
            </w:r>
          </w:p>
        </w:tc>
        <w:tc>
          <w:tcPr>
            <w:tcW w:w="1321" w:type="dxa"/>
            <w:tcBorders>
              <w:top w:val="single" w:sz="4" w:space="0" w:color="002060"/>
              <w:bottom w:val="single" w:sz="4" w:space="0" w:color="808080"/>
            </w:tcBorders>
          </w:tcPr>
          <w:p w14:paraId="34826643" w14:textId="77777777" w:rsidR="008505A8" w:rsidRPr="00DA46B4" w:rsidRDefault="008505A8" w:rsidP="00324721">
            <w:pPr>
              <w:pStyle w:val="TableRow"/>
              <w:keepNext w:val="0"/>
              <w:jc w:val="center"/>
              <w:rPr>
                <w:color w:val="000000"/>
              </w:rPr>
            </w:pPr>
            <w:r w:rsidRPr="00D20B5C">
              <w:t>2.51E+11</w:t>
            </w:r>
          </w:p>
        </w:tc>
        <w:tc>
          <w:tcPr>
            <w:tcW w:w="1322" w:type="dxa"/>
            <w:tcBorders>
              <w:top w:val="single" w:sz="4" w:space="0" w:color="002060"/>
              <w:bottom w:val="single" w:sz="4" w:space="0" w:color="808080"/>
            </w:tcBorders>
          </w:tcPr>
          <w:p w14:paraId="0999FA5A" w14:textId="77777777" w:rsidR="008505A8" w:rsidRPr="00DA46B4" w:rsidRDefault="008505A8" w:rsidP="00324721">
            <w:pPr>
              <w:pStyle w:val="TableRow"/>
              <w:keepNext w:val="0"/>
              <w:jc w:val="center"/>
              <w:rPr>
                <w:color w:val="000000"/>
              </w:rPr>
            </w:pPr>
            <w:r w:rsidRPr="00D20B5C">
              <w:t>3.41E+10</w:t>
            </w:r>
          </w:p>
        </w:tc>
        <w:tc>
          <w:tcPr>
            <w:tcW w:w="1321" w:type="dxa"/>
            <w:tcBorders>
              <w:top w:val="single" w:sz="4" w:space="0" w:color="002060"/>
              <w:bottom w:val="single" w:sz="4" w:space="0" w:color="808080"/>
            </w:tcBorders>
          </w:tcPr>
          <w:p w14:paraId="7325F249" w14:textId="77777777" w:rsidR="008505A8" w:rsidRPr="00DA46B4" w:rsidRDefault="008505A8" w:rsidP="00324721">
            <w:pPr>
              <w:pStyle w:val="TableRow"/>
              <w:keepNext w:val="0"/>
              <w:jc w:val="center"/>
              <w:rPr>
                <w:color w:val="000000"/>
              </w:rPr>
            </w:pPr>
            <w:r w:rsidRPr="00D20B5C">
              <w:t>1.32E+11</w:t>
            </w:r>
          </w:p>
        </w:tc>
        <w:tc>
          <w:tcPr>
            <w:tcW w:w="1322" w:type="dxa"/>
            <w:tcBorders>
              <w:top w:val="single" w:sz="4" w:space="0" w:color="002060"/>
              <w:bottom w:val="single" w:sz="4" w:space="0" w:color="808080"/>
            </w:tcBorders>
          </w:tcPr>
          <w:p w14:paraId="11CCBF14" w14:textId="77777777" w:rsidR="008505A8" w:rsidRPr="00CF485A" w:rsidRDefault="008505A8" w:rsidP="00324721">
            <w:pPr>
              <w:pStyle w:val="TableRow"/>
              <w:keepNext w:val="0"/>
              <w:jc w:val="center"/>
            </w:pPr>
            <w:r w:rsidRPr="00D20B5C">
              <w:t>9.66E+10</w:t>
            </w:r>
          </w:p>
        </w:tc>
        <w:tc>
          <w:tcPr>
            <w:tcW w:w="1322" w:type="dxa"/>
            <w:tcBorders>
              <w:top w:val="single" w:sz="4" w:space="0" w:color="002060"/>
              <w:bottom w:val="single" w:sz="4" w:space="0" w:color="808080"/>
            </w:tcBorders>
          </w:tcPr>
          <w:p w14:paraId="582E8112" w14:textId="2BEBC9AD" w:rsidR="008505A8" w:rsidRPr="00D20B5C" w:rsidRDefault="008505A8" w:rsidP="00324721">
            <w:pPr>
              <w:pStyle w:val="TableRow"/>
              <w:keepNext w:val="0"/>
              <w:jc w:val="center"/>
            </w:pPr>
            <w:r w:rsidRPr="00D20B5C">
              <w:t>7.16E+11</w:t>
            </w:r>
          </w:p>
        </w:tc>
      </w:tr>
      <w:tr w:rsidR="008505A8" w14:paraId="16F24353" w14:textId="0B1A8328" w:rsidTr="0001411D">
        <w:trPr>
          <w:cantSplit/>
        </w:trPr>
        <w:tc>
          <w:tcPr>
            <w:tcW w:w="1418" w:type="dxa"/>
            <w:tcBorders>
              <w:top w:val="single" w:sz="4" w:space="0" w:color="808080"/>
              <w:bottom w:val="single" w:sz="4" w:space="0" w:color="808080"/>
            </w:tcBorders>
            <w:vAlign w:val="center"/>
          </w:tcPr>
          <w:p w14:paraId="48164253" w14:textId="7855CDB6" w:rsidR="008505A8" w:rsidRPr="0080407A" w:rsidRDefault="008505A8" w:rsidP="00324721">
            <w:pPr>
              <w:pStyle w:val="TableRow"/>
              <w:keepNext w:val="0"/>
              <w:jc w:val="center"/>
              <w:rPr>
                <w:color w:val="000000"/>
              </w:rPr>
            </w:pPr>
            <w:r w:rsidRPr="00195B8A">
              <w:rPr>
                <w:color w:val="000000"/>
                <w:vertAlign w:val="superscript"/>
              </w:rPr>
              <w:t>13</w:t>
            </w:r>
            <w:r w:rsidR="00C67AC0">
              <w:rPr>
                <w:color w:val="000000"/>
                <w:vertAlign w:val="superscript"/>
              </w:rPr>
              <w:t>6</w:t>
            </w:r>
            <w:r>
              <w:rPr>
                <w:color w:val="000000"/>
              </w:rPr>
              <w:t>Cs</w:t>
            </w:r>
          </w:p>
        </w:tc>
        <w:tc>
          <w:tcPr>
            <w:tcW w:w="1322" w:type="dxa"/>
            <w:tcBorders>
              <w:top w:val="single" w:sz="4" w:space="0" w:color="808080"/>
              <w:bottom w:val="single" w:sz="4" w:space="0" w:color="808080"/>
            </w:tcBorders>
          </w:tcPr>
          <w:p w14:paraId="18FB3FB9" w14:textId="77777777" w:rsidR="008505A8" w:rsidRPr="00DA46B4" w:rsidRDefault="008505A8" w:rsidP="00324721">
            <w:pPr>
              <w:pStyle w:val="TableRow"/>
              <w:keepNext w:val="0"/>
              <w:jc w:val="center"/>
              <w:rPr>
                <w:color w:val="000000"/>
              </w:rPr>
            </w:pPr>
            <w:r w:rsidRPr="00D20B5C">
              <w:t>4.13E+11</w:t>
            </w:r>
          </w:p>
        </w:tc>
        <w:tc>
          <w:tcPr>
            <w:tcW w:w="1321" w:type="dxa"/>
            <w:tcBorders>
              <w:top w:val="single" w:sz="4" w:space="0" w:color="808080"/>
              <w:bottom w:val="single" w:sz="4" w:space="0" w:color="808080"/>
            </w:tcBorders>
          </w:tcPr>
          <w:p w14:paraId="79C86050" w14:textId="77777777" w:rsidR="008505A8" w:rsidRPr="00DA46B4" w:rsidRDefault="008505A8" w:rsidP="00324721">
            <w:pPr>
              <w:pStyle w:val="TableRow"/>
              <w:keepNext w:val="0"/>
              <w:jc w:val="center"/>
              <w:rPr>
                <w:color w:val="000000"/>
              </w:rPr>
            </w:pPr>
            <w:r w:rsidRPr="00D20B5C">
              <w:t>5.87E+10</w:t>
            </w:r>
          </w:p>
        </w:tc>
        <w:tc>
          <w:tcPr>
            <w:tcW w:w="1322" w:type="dxa"/>
            <w:tcBorders>
              <w:top w:val="single" w:sz="4" w:space="0" w:color="808080"/>
              <w:bottom w:val="single" w:sz="4" w:space="0" w:color="808080"/>
            </w:tcBorders>
          </w:tcPr>
          <w:p w14:paraId="1723E18A" w14:textId="77777777" w:rsidR="008505A8" w:rsidRPr="00DA46B4" w:rsidRDefault="008505A8" w:rsidP="00324721">
            <w:pPr>
              <w:pStyle w:val="TableRow"/>
              <w:keepNext w:val="0"/>
              <w:jc w:val="center"/>
              <w:rPr>
                <w:color w:val="000000"/>
              </w:rPr>
            </w:pPr>
            <w:r w:rsidRPr="00D20B5C">
              <w:t>7.76E+09</w:t>
            </w:r>
          </w:p>
        </w:tc>
        <w:tc>
          <w:tcPr>
            <w:tcW w:w="1321" w:type="dxa"/>
            <w:tcBorders>
              <w:top w:val="single" w:sz="4" w:space="0" w:color="808080"/>
              <w:bottom w:val="single" w:sz="4" w:space="0" w:color="808080"/>
            </w:tcBorders>
          </w:tcPr>
          <w:p w14:paraId="56902401" w14:textId="77777777" w:rsidR="008505A8" w:rsidRPr="00DA46B4" w:rsidRDefault="008505A8" w:rsidP="00324721">
            <w:pPr>
              <w:pStyle w:val="TableRow"/>
              <w:keepNext w:val="0"/>
              <w:jc w:val="center"/>
              <w:rPr>
                <w:color w:val="000000"/>
              </w:rPr>
            </w:pPr>
            <w:r w:rsidRPr="00D20B5C">
              <w:t>2.79E+10</w:t>
            </w:r>
          </w:p>
        </w:tc>
        <w:tc>
          <w:tcPr>
            <w:tcW w:w="1322" w:type="dxa"/>
            <w:tcBorders>
              <w:top w:val="single" w:sz="4" w:space="0" w:color="808080"/>
              <w:bottom w:val="single" w:sz="4" w:space="0" w:color="808080"/>
            </w:tcBorders>
          </w:tcPr>
          <w:p w14:paraId="72C20F08" w14:textId="77777777" w:rsidR="008505A8" w:rsidRPr="00766314" w:rsidRDefault="008505A8" w:rsidP="00324721">
            <w:pPr>
              <w:pStyle w:val="TableRow"/>
              <w:keepNext w:val="0"/>
              <w:jc w:val="center"/>
            </w:pPr>
            <w:r w:rsidRPr="00D20B5C">
              <w:t>1.72E+10</w:t>
            </w:r>
          </w:p>
        </w:tc>
        <w:tc>
          <w:tcPr>
            <w:tcW w:w="1322" w:type="dxa"/>
            <w:tcBorders>
              <w:top w:val="single" w:sz="4" w:space="0" w:color="808080"/>
              <w:bottom w:val="single" w:sz="4" w:space="0" w:color="808080"/>
            </w:tcBorders>
          </w:tcPr>
          <w:p w14:paraId="405B316C" w14:textId="2A835430" w:rsidR="008505A8" w:rsidRPr="00D20B5C" w:rsidRDefault="008505A8" w:rsidP="00324721">
            <w:pPr>
              <w:pStyle w:val="TableRow"/>
              <w:keepNext w:val="0"/>
              <w:jc w:val="center"/>
            </w:pPr>
            <w:r w:rsidRPr="00D20B5C">
              <w:t>7.76E+10</w:t>
            </w:r>
          </w:p>
        </w:tc>
      </w:tr>
      <w:tr w:rsidR="008505A8" w14:paraId="59D0D88A" w14:textId="0583D840" w:rsidTr="0001411D">
        <w:trPr>
          <w:cantSplit/>
        </w:trPr>
        <w:tc>
          <w:tcPr>
            <w:tcW w:w="1418" w:type="dxa"/>
            <w:tcBorders>
              <w:top w:val="single" w:sz="4" w:space="0" w:color="808080"/>
              <w:bottom w:val="single" w:sz="4" w:space="0" w:color="808080"/>
            </w:tcBorders>
            <w:vAlign w:val="center"/>
          </w:tcPr>
          <w:p w14:paraId="670D827E" w14:textId="26C8D0B8" w:rsidR="008505A8" w:rsidRPr="00195B8A" w:rsidRDefault="008505A8" w:rsidP="00324721">
            <w:pPr>
              <w:pStyle w:val="TableRow"/>
              <w:keepNext w:val="0"/>
              <w:jc w:val="center"/>
              <w:rPr>
                <w:color w:val="000000"/>
                <w:vertAlign w:val="superscript"/>
              </w:rPr>
            </w:pPr>
            <w:r w:rsidRPr="00195B8A">
              <w:rPr>
                <w:color w:val="000000"/>
                <w:vertAlign w:val="superscript"/>
              </w:rPr>
              <w:t>13</w:t>
            </w:r>
            <w:r w:rsidR="00C67AC0">
              <w:rPr>
                <w:color w:val="000000"/>
                <w:vertAlign w:val="superscript"/>
              </w:rPr>
              <w:t>7</w:t>
            </w:r>
            <w:r>
              <w:rPr>
                <w:color w:val="000000"/>
              </w:rPr>
              <w:t>Cs</w:t>
            </w:r>
            <w:r w:rsidR="00C67AC0">
              <w:rPr>
                <w:color w:val="000000"/>
              </w:rPr>
              <w:t xml:space="preserve"> *</w:t>
            </w:r>
          </w:p>
        </w:tc>
        <w:tc>
          <w:tcPr>
            <w:tcW w:w="1322" w:type="dxa"/>
            <w:tcBorders>
              <w:top w:val="single" w:sz="4" w:space="0" w:color="808080"/>
              <w:bottom w:val="single" w:sz="4" w:space="0" w:color="808080"/>
            </w:tcBorders>
          </w:tcPr>
          <w:p w14:paraId="0C541696" w14:textId="77777777" w:rsidR="008505A8" w:rsidRPr="00DA46B4" w:rsidRDefault="008505A8" w:rsidP="00324721">
            <w:pPr>
              <w:pStyle w:val="TableRow"/>
              <w:keepNext w:val="0"/>
              <w:jc w:val="center"/>
              <w:rPr>
                <w:color w:val="000000"/>
              </w:rPr>
            </w:pPr>
            <w:r w:rsidRPr="00D20B5C">
              <w:t>8.61E+11</w:t>
            </w:r>
          </w:p>
        </w:tc>
        <w:tc>
          <w:tcPr>
            <w:tcW w:w="1321" w:type="dxa"/>
            <w:tcBorders>
              <w:top w:val="single" w:sz="4" w:space="0" w:color="808080"/>
              <w:bottom w:val="single" w:sz="4" w:space="0" w:color="808080"/>
            </w:tcBorders>
          </w:tcPr>
          <w:p w14:paraId="10F320CF" w14:textId="77777777" w:rsidR="008505A8" w:rsidRPr="00DA46B4" w:rsidRDefault="008505A8" w:rsidP="00324721">
            <w:pPr>
              <w:pStyle w:val="TableRow"/>
              <w:keepNext w:val="0"/>
              <w:jc w:val="center"/>
              <w:rPr>
                <w:color w:val="000000"/>
              </w:rPr>
            </w:pPr>
            <w:r w:rsidRPr="00D20B5C">
              <w:t>1.24E+11</w:t>
            </w:r>
          </w:p>
        </w:tc>
        <w:tc>
          <w:tcPr>
            <w:tcW w:w="1322" w:type="dxa"/>
            <w:tcBorders>
              <w:top w:val="single" w:sz="4" w:space="0" w:color="808080"/>
              <w:bottom w:val="single" w:sz="4" w:space="0" w:color="808080"/>
            </w:tcBorders>
          </w:tcPr>
          <w:p w14:paraId="5A3E4E09" w14:textId="77777777" w:rsidR="008505A8" w:rsidRPr="00DA46B4" w:rsidRDefault="008505A8" w:rsidP="00324721">
            <w:pPr>
              <w:pStyle w:val="TableRow"/>
              <w:keepNext w:val="0"/>
              <w:jc w:val="center"/>
              <w:rPr>
                <w:color w:val="000000"/>
              </w:rPr>
            </w:pPr>
            <w:r w:rsidRPr="00D20B5C">
              <w:t>1.68E+10</w:t>
            </w:r>
          </w:p>
        </w:tc>
        <w:tc>
          <w:tcPr>
            <w:tcW w:w="1321" w:type="dxa"/>
            <w:tcBorders>
              <w:top w:val="single" w:sz="4" w:space="0" w:color="808080"/>
              <w:bottom w:val="single" w:sz="4" w:space="0" w:color="808080"/>
            </w:tcBorders>
          </w:tcPr>
          <w:p w14:paraId="234488E3" w14:textId="77777777" w:rsidR="008505A8" w:rsidRPr="00DA46B4" w:rsidRDefault="008505A8" w:rsidP="00324721">
            <w:pPr>
              <w:pStyle w:val="TableRow"/>
              <w:keepNext w:val="0"/>
              <w:jc w:val="center"/>
              <w:rPr>
                <w:color w:val="000000"/>
              </w:rPr>
            </w:pPr>
            <w:r w:rsidRPr="00D20B5C">
              <w:t>6.48E+10</w:t>
            </w:r>
          </w:p>
        </w:tc>
        <w:tc>
          <w:tcPr>
            <w:tcW w:w="1322" w:type="dxa"/>
            <w:tcBorders>
              <w:top w:val="single" w:sz="4" w:space="0" w:color="808080"/>
              <w:bottom w:val="single" w:sz="4" w:space="0" w:color="808080"/>
            </w:tcBorders>
          </w:tcPr>
          <w:p w14:paraId="1744293C" w14:textId="77777777" w:rsidR="008505A8" w:rsidRPr="00766314" w:rsidRDefault="008505A8" w:rsidP="00324721">
            <w:pPr>
              <w:pStyle w:val="TableRow"/>
              <w:keepNext w:val="0"/>
              <w:jc w:val="center"/>
            </w:pPr>
            <w:r w:rsidRPr="00D20B5C">
              <w:t>4.77E+10</w:t>
            </w:r>
          </w:p>
        </w:tc>
        <w:tc>
          <w:tcPr>
            <w:tcW w:w="1322" w:type="dxa"/>
            <w:tcBorders>
              <w:top w:val="single" w:sz="4" w:space="0" w:color="808080"/>
              <w:bottom w:val="single" w:sz="4" w:space="0" w:color="808080"/>
            </w:tcBorders>
          </w:tcPr>
          <w:p w14:paraId="148AA7A0" w14:textId="2FCCABAD" w:rsidR="008505A8" w:rsidRPr="00D20B5C" w:rsidRDefault="008505A8" w:rsidP="00324721">
            <w:pPr>
              <w:pStyle w:val="TableRow"/>
              <w:keepNext w:val="0"/>
              <w:jc w:val="center"/>
            </w:pPr>
            <w:r w:rsidRPr="00D20B5C">
              <w:t>3.58E+11</w:t>
            </w:r>
          </w:p>
        </w:tc>
      </w:tr>
      <w:tr w:rsidR="008505A8" w14:paraId="4CDD4472" w14:textId="264D57DA" w:rsidTr="0001411D">
        <w:trPr>
          <w:cantSplit/>
        </w:trPr>
        <w:tc>
          <w:tcPr>
            <w:tcW w:w="1418" w:type="dxa"/>
            <w:tcBorders>
              <w:top w:val="single" w:sz="4" w:space="0" w:color="808080"/>
              <w:bottom w:val="single" w:sz="4" w:space="0" w:color="808080"/>
            </w:tcBorders>
            <w:vAlign w:val="center"/>
          </w:tcPr>
          <w:p w14:paraId="3C0FFC73" w14:textId="7160C025" w:rsidR="008505A8" w:rsidRPr="00195B8A" w:rsidRDefault="008505A8" w:rsidP="00324721">
            <w:pPr>
              <w:pStyle w:val="TableRow"/>
              <w:keepNext w:val="0"/>
              <w:jc w:val="center"/>
              <w:rPr>
                <w:color w:val="000000"/>
                <w:vertAlign w:val="superscript"/>
              </w:rPr>
            </w:pPr>
            <w:r w:rsidRPr="00195B8A">
              <w:rPr>
                <w:color w:val="000000"/>
                <w:vertAlign w:val="superscript"/>
              </w:rPr>
              <w:t>13</w:t>
            </w:r>
            <w:r w:rsidR="00C67AC0">
              <w:rPr>
                <w:color w:val="000000"/>
                <w:vertAlign w:val="superscript"/>
              </w:rPr>
              <w:t>8</w:t>
            </w:r>
            <w:r>
              <w:rPr>
                <w:color w:val="000000"/>
              </w:rPr>
              <w:t>Cs</w:t>
            </w:r>
          </w:p>
        </w:tc>
        <w:tc>
          <w:tcPr>
            <w:tcW w:w="1322" w:type="dxa"/>
            <w:tcBorders>
              <w:top w:val="single" w:sz="4" w:space="0" w:color="808080"/>
              <w:bottom w:val="single" w:sz="4" w:space="0" w:color="808080"/>
            </w:tcBorders>
          </w:tcPr>
          <w:p w14:paraId="4C54AB35" w14:textId="77777777" w:rsidR="008505A8" w:rsidRPr="00DA46B4" w:rsidRDefault="008505A8" w:rsidP="00324721">
            <w:pPr>
              <w:pStyle w:val="TableRow"/>
              <w:keepNext w:val="0"/>
              <w:jc w:val="center"/>
              <w:rPr>
                <w:color w:val="000000"/>
              </w:rPr>
            </w:pPr>
            <w:r w:rsidRPr="00D20B5C">
              <w:t>9.78E+12</w:t>
            </w:r>
          </w:p>
        </w:tc>
        <w:tc>
          <w:tcPr>
            <w:tcW w:w="1321" w:type="dxa"/>
            <w:tcBorders>
              <w:top w:val="single" w:sz="4" w:space="0" w:color="808080"/>
              <w:bottom w:val="single" w:sz="4" w:space="0" w:color="808080"/>
            </w:tcBorders>
          </w:tcPr>
          <w:p w14:paraId="6738EB84" w14:textId="77777777" w:rsidR="008505A8" w:rsidRPr="00DA46B4" w:rsidRDefault="008505A8" w:rsidP="00324721">
            <w:pPr>
              <w:pStyle w:val="TableRow"/>
              <w:keepNext w:val="0"/>
              <w:jc w:val="center"/>
              <w:rPr>
                <w:color w:val="000000"/>
              </w:rPr>
            </w:pPr>
            <w:r w:rsidRPr="00D20B5C">
              <w:t>1.08E+10</w:t>
            </w:r>
          </w:p>
        </w:tc>
        <w:tc>
          <w:tcPr>
            <w:tcW w:w="1322" w:type="dxa"/>
            <w:tcBorders>
              <w:top w:val="single" w:sz="4" w:space="0" w:color="808080"/>
              <w:bottom w:val="single" w:sz="4" w:space="0" w:color="808080"/>
            </w:tcBorders>
          </w:tcPr>
          <w:p w14:paraId="0DB009F0" w14:textId="77777777" w:rsidR="008505A8" w:rsidRPr="00DA46B4" w:rsidRDefault="008505A8" w:rsidP="00324721">
            <w:pPr>
              <w:pStyle w:val="TableRow"/>
              <w:keepNext w:val="0"/>
              <w:jc w:val="center"/>
              <w:rPr>
                <w:color w:val="000000"/>
              </w:rPr>
            </w:pPr>
            <w:r w:rsidRPr="00D20B5C">
              <w:t>8.44E+05</w:t>
            </w:r>
          </w:p>
        </w:tc>
        <w:tc>
          <w:tcPr>
            <w:tcW w:w="1321" w:type="dxa"/>
            <w:tcBorders>
              <w:top w:val="single" w:sz="4" w:space="0" w:color="808080"/>
              <w:bottom w:val="single" w:sz="4" w:space="0" w:color="808080"/>
            </w:tcBorders>
          </w:tcPr>
          <w:p w14:paraId="3579EDA4" w14:textId="77777777" w:rsidR="008505A8" w:rsidRPr="00DA46B4" w:rsidRDefault="008505A8" w:rsidP="00324721">
            <w:pPr>
              <w:pStyle w:val="TableRow"/>
              <w:keepNext w:val="0"/>
              <w:jc w:val="center"/>
              <w:rPr>
                <w:color w:val="000000"/>
              </w:rPr>
            </w:pPr>
            <w:r w:rsidRPr="00D20B5C">
              <w:t>0.00E+00</w:t>
            </w:r>
          </w:p>
        </w:tc>
        <w:tc>
          <w:tcPr>
            <w:tcW w:w="1322" w:type="dxa"/>
            <w:tcBorders>
              <w:top w:val="single" w:sz="4" w:space="0" w:color="808080"/>
              <w:bottom w:val="single" w:sz="4" w:space="0" w:color="808080"/>
            </w:tcBorders>
          </w:tcPr>
          <w:p w14:paraId="219E81EC" w14:textId="77777777" w:rsidR="008505A8" w:rsidRPr="00766314" w:rsidRDefault="008505A8" w:rsidP="00324721">
            <w:pPr>
              <w:pStyle w:val="TableRow"/>
              <w:keepNext w:val="0"/>
              <w:jc w:val="center"/>
            </w:pPr>
            <w:r w:rsidRPr="00D20B5C">
              <w:t>0.00E+00</w:t>
            </w:r>
          </w:p>
        </w:tc>
        <w:tc>
          <w:tcPr>
            <w:tcW w:w="1322" w:type="dxa"/>
            <w:tcBorders>
              <w:top w:val="single" w:sz="4" w:space="0" w:color="808080"/>
              <w:bottom w:val="single" w:sz="4" w:space="0" w:color="808080"/>
            </w:tcBorders>
          </w:tcPr>
          <w:p w14:paraId="511EACE1" w14:textId="684348F6" w:rsidR="008505A8" w:rsidRPr="00D20B5C" w:rsidRDefault="008505A8" w:rsidP="00324721">
            <w:pPr>
              <w:pStyle w:val="TableRow"/>
              <w:keepNext w:val="0"/>
              <w:jc w:val="center"/>
            </w:pPr>
            <w:r w:rsidRPr="00D20B5C">
              <w:t>0.00E+00</w:t>
            </w:r>
          </w:p>
        </w:tc>
      </w:tr>
      <w:tr w:rsidR="008505A8" w14:paraId="437DE9DB" w14:textId="20DB2495" w:rsidTr="0001411D">
        <w:trPr>
          <w:cantSplit/>
        </w:trPr>
        <w:tc>
          <w:tcPr>
            <w:tcW w:w="1418" w:type="dxa"/>
            <w:tcBorders>
              <w:top w:val="single" w:sz="4" w:space="0" w:color="808080"/>
              <w:bottom w:val="single" w:sz="4" w:space="0" w:color="808080"/>
            </w:tcBorders>
            <w:vAlign w:val="center"/>
          </w:tcPr>
          <w:p w14:paraId="5F97A786" w14:textId="2D1180C4" w:rsidR="008505A8" w:rsidRPr="00195B8A" w:rsidRDefault="008505A8" w:rsidP="00324721">
            <w:pPr>
              <w:pStyle w:val="TableRow"/>
              <w:keepNext w:val="0"/>
              <w:jc w:val="center"/>
              <w:rPr>
                <w:color w:val="000000"/>
                <w:vertAlign w:val="superscript"/>
              </w:rPr>
            </w:pPr>
            <w:r w:rsidRPr="00195B8A">
              <w:rPr>
                <w:color w:val="000000"/>
                <w:vertAlign w:val="superscript"/>
              </w:rPr>
              <w:t>131</w:t>
            </w:r>
            <w:r>
              <w:rPr>
                <w:color w:val="000000"/>
              </w:rPr>
              <w:t>I</w:t>
            </w:r>
            <w:r w:rsidR="00A85E04">
              <w:rPr>
                <w:color w:val="000000"/>
              </w:rPr>
              <w:t xml:space="preserve"> *</w:t>
            </w:r>
          </w:p>
        </w:tc>
        <w:tc>
          <w:tcPr>
            <w:tcW w:w="1322" w:type="dxa"/>
            <w:tcBorders>
              <w:top w:val="single" w:sz="4" w:space="0" w:color="808080"/>
              <w:bottom w:val="single" w:sz="4" w:space="0" w:color="808080"/>
            </w:tcBorders>
          </w:tcPr>
          <w:p w14:paraId="58029EEA" w14:textId="77777777" w:rsidR="008505A8" w:rsidRPr="00DA46B4" w:rsidRDefault="008505A8" w:rsidP="00324721">
            <w:pPr>
              <w:pStyle w:val="TableRow"/>
              <w:keepNext w:val="0"/>
              <w:jc w:val="center"/>
              <w:rPr>
                <w:color w:val="000000"/>
              </w:rPr>
            </w:pPr>
            <w:r w:rsidRPr="00D20B5C">
              <w:t>5.50E+12</w:t>
            </w:r>
          </w:p>
        </w:tc>
        <w:tc>
          <w:tcPr>
            <w:tcW w:w="1321" w:type="dxa"/>
            <w:tcBorders>
              <w:top w:val="single" w:sz="4" w:space="0" w:color="808080"/>
              <w:bottom w:val="single" w:sz="4" w:space="0" w:color="808080"/>
            </w:tcBorders>
          </w:tcPr>
          <w:p w14:paraId="77974BAC" w14:textId="77777777" w:rsidR="008505A8" w:rsidRPr="00DA46B4" w:rsidRDefault="008505A8" w:rsidP="00324721">
            <w:pPr>
              <w:pStyle w:val="TableRow"/>
              <w:keepNext w:val="0"/>
              <w:jc w:val="center"/>
              <w:rPr>
                <w:color w:val="000000"/>
              </w:rPr>
            </w:pPr>
            <w:r w:rsidRPr="00D20B5C">
              <w:t>2.92E+12</w:t>
            </w:r>
          </w:p>
        </w:tc>
        <w:tc>
          <w:tcPr>
            <w:tcW w:w="1322" w:type="dxa"/>
            <w:tcBorders>
              <w:top w:val="single" w:sz="4" w:space="0" w:color="808080"/>
              <w:bottom w:val="single" w:sz="4" w:space="0" w:color="808080"/>
            </w:tcBorders>
          </w:tcPr>
          <w:p w14:paraId="023F0F6E" w14:textId="77777777" w:rsidR="008505A8" w:rsidRPr="00DA46B4" w:rsidRDefault="008505A8" w:rsidP="00324721">
            <w:pPr>
              <w:pStyle w:val="TableRow"/>
              <w:keepNext w:val="0"/>
              <w:jc w:val="center"/>
              <w:rPr>
                <w:color w:val="000000"/>
              </w:rPr>
            </w:pPr>
            <w:r w:rsidRPr="00D20B5C">
              <w:t>1.40E+11</w:t>
            </w:r>
          </w:p>
        </w:tc>
        <w:tc>
          <w:tcPr>
            <w:tcW w:w="1321" w:type="dxa"/>
            <w:tcBorders>
              <w:top w:val="single" w:sz="4" w:space="0" w:color="808080"/>
              <w:bottom w:val="single" w:sz="4" w:space="0" w:color="808080"/>
            </w:tcBorders>
          </w:tcPr>
          <w:p w14:paraId="483FB1DF" w14:textId="77777777" w:rsidR="008505A8" w:rsidRPr="00DA46B4" w:rsidRDefault="008505A8" w:rsidP="00324721">
            <w:pPr>
              <w:pStyle w:val="TableRow"/>
              <w:keepNext w:val="0"/>
              <w:jc w:val="center"/>
              <w:rPr>
                <w:color w:val="000000"/>
              </w:rPr>
            </w:pPr>
            <w:r w:rsidRPr="00D20B5C">
              <w:t>4.81E+11</w:t>
            </w:r>
          </w:p>
        </w:tc>
        <w:tc>
          <w:tcPr>
            <w:tcW w:w="1322" w:type="dxa"/>
            <w:tcBorders>
              <w:top w:val="single" w:sz="4" w:space="0" w:color="808080"/>
              <w:bottom w:val="single" w:sz="4" w:space="0" w:color="808080"/>
            </w:tcBorders>
          </w:tcPr>
          <w:p w14:paraId="4E9799B8" w14:textId="77777777" w:rsidR="008505A8" w:rsidRPr="00766314" w:rsidRDefault="008505A8" w:rsidP="00324721">
            <w:pPr>
              <w:pStyle w:val="TableRow"/>
              <w:keepNext w:val="0"/>
              <w:jc w:val="center"/>
            </w:pPr>
            <w:r w:rsidRPr="00D20B5C">
              <w:t>2.65E+11</w:t>
            </w:r>
          </w:p>
        </w:tc>
        <w:tc>
          <w:tcPr>
            <w:tcW w:w="1322" w:type="dxa"/>
            <w:tcBorders>
              <w:top w:val="single" w:sz="4" w:space="0" w:color="808080"/>
              <w:bottom w:val="single" w:sz="4" w:space="0" w:color="808080"/>
            </w:tcBorders>
          </w:tcPr>
          <w:p w14:paraId="20DD5DAF" w14:textId="2DFCC000" w:rsidR="008505A8" w:rsidRPr="00D20B5C" w:rsidRDefault="008505A8" w:rsidP="00324721">
            <w:pPr>
              <w:pStyle w:val="TableRow"/>
              <w:keepNext w:val="0"/>
              <w:jc w:val="center"/>
            </w:pPr>
            <w:r w:rsidRPr="00D20B5C">
              <w:t>9.97E+11</w:t>
            </w:r>
          </w:p>
        </w:tc>
      </w:tr>
      <w:tr w:rsidR="008505A8" w14:paraId="7C55C2D8" w14:textId="675FB8BF" w:rsidTr="0001411D">
        <w:trPr>
          <w:cantSplit/>
        </w:trPr>
        <w:tc>
          <w:tcPr>
            <w:tcW w:w="1418" w:type="dxa"/>
            <w:tcBorders>
              <w:top w:val="single" w:sz="4" w:space="0" w:color="808080"/>
              <w:bottom w:val="single" w:sz="4" w:space="0" w:color="808080"/>
            </w:tcBorders>
            <w:vAlign w:val="center"/>
          </w:tcPr>
          <w:p w14:paraId="50814695" w14:textId="77777777" w:rsidR="008505A8" w:rsidRPr="00195B8A" w:rsidRDefault="008505A8" w:rsidP="00324721">
            <w:pPr>
              <w:pStyle w:val="TableRow"/>
              <w:keepNext w:val="0"/>
              <w:jc w:val="center"/>
              <w:rPr>
                <w:color w:val="000000"/>
                <w:vertAlign w:val="superscript"/>
              </w:rPr>
            </w:pPr>
            <w:r w:rsidRPr="00195B8A">
              <w:rPr>
                <w:color w:val="000000"/>
                <w:vertAlign w:val="superscript"/>
              </w:rPr>
              <w:t>13</w:t>
            </w:r>
            <w:r>
              <w:rPr>
                <w:color w:val="000000"/>
                <w:vertAlign w:val="superscript"/>
              </w:rPr>
              <w:t>2</w:t>
            </w:r>
            <w:r>
              <w:rPr>
                <w:color w:val="000000"/>
              </w:rPr>
              <w:t>I</w:t>
            </w:r>
          </w:p>
        </w:tc>
        <w:tc>
          <w:tcPr>
            <w:tcW w:w="1322" w:type="dxa"/>
            <w:tcBorders>
              <w:top w:val="single" w:sz="4" w:space="0" w:color="808080"/>
              <w:bottom w:val="single" w:sz="4" w:space="0" w:color="808080"/>
            </w:tcBorders>
          </w:tcPr>
          <w:p w14:paraId="0A7D9BAC" w14:textId="77777777" w:rsidR="008505A8" w:rsidRPr="00DA46B4" w:rsidRDefault="008505A8" w:rsidP="00324721">
            <w:pPr>
              <w:pStyle w:val="TableRow"/>
              <w:keepNext w:val="0"/>
              <w:jc w:val="center"/>
              <w:rPr>
                <w:color w:val="000000"/>
              </w:rPr>
            </w:pPr>
            <w:r w:rsidRPr="00D20B5C">
              <w:t>7.14E+12</w:t>
            </w:r>
          </w:p>
        </w:tc>
        <w:tc>
          <w:tcPr>
            <w:tcW w:w="1321" w:type="dxa"/>
            <w:tcBorders>
              <w:top w:val="single" w:sz="4" w:space="0" w:color="808080"/>
              <w:bottom w:val="single" w:sz="4" w:space="0" w:color="808080"/>
            </w:tcBorders>
          </w:tcPr>
          <w:p w14:paraId="0FC9CB49" w14:textId="77777777" w:rsidR="008505A8" w:rsidRPr="00DA46B4" w:rsidRDefault="008505A8" w:rsidP="00324721">
            <w:pPr>
              <w:pStyle w:val="TableRow"/>
              <w:keepNext w:val="0"/>
              <w:jc w:val="center"/>
              <w:rPr>
                <w:color w:val="000000"/>
              </w:rPr>
            </w:pPr>
            <w:r w:rsidRPr="00D20B5C">
              <w:t>8.58E+11</w:t>
            </w:r>
          </w:p>
        </w:tc>
        <w:tc>
          <w:tcPr>
            <w:tcW w:w="1322" w:type="dxa"/>
            <w:tcBorders>
              <w:top w:val="single" w:sz="4" w:space="0" w:color="808080"/>
              <w:bottom w:val="single" w:sz="4" w:space="0" w:color="808080"/>
            </w:tcBorders>
          </w:tcPr>
          <w:p w14:paraId="4B887308" w14:textId="77777777" w:rsidR="008505A8" w:rsidRPr="00DA46B4" w:rsidRDefault="008505A8" w:rsidP="00324721">
            <w:pPr>
              <w:pStyle w:val="TableRow"/>
              <w:keepNext w:val="0"/>
              <w:jc w:val="center"/>
              <w:rPr>
                <w:color w:val="000000"/>
              </w:rPr>
            </w:pPr>
            <w:r w:rsidRPr="00D20B5C">
              <w:t>4.75E+09</w:t>
            </w:r>
          </w:p>
        </w:tc>
        <w:tc>
          <w:tcPr>
            <w:tcW w:w="1321" w:type="dxa"/>
            <w:tcBorders>
              <w:top w:val="single" w:sz="4" w:space="0" w:color="808080"/>
              <w:bottom w:val="single" w:sz="4" w:space="0" w:color="808080"/>
            </w:tcBorders>
          </w:tcPr>
          <w:p w14:paraId="4CB1C6A2" w14:textId="77777777" w:rsidR="008505A8" w:rsidRPr="00DA46B4" w:rsidRDefault="008505A8" w:rsidP="00324721">
            <w:pPr>
              <w:pStyle w:val="TableRow"/>
              <w:keepNext w:val="0"/>
              <w:jc w:val="center"/>
              <w:rPr>
                <w:color w:val="000000"/>
              </w:rPr>
            </w:pPr>
            <w:r w:rsidRPr="00D20B5C">
              <w:t>3.59E+08</w:t>
            </w:r>
          </w:p>
        </w:tc>
        <w:tc>
          <w:tcPr>
            <w:tcW w:w="1322" w:type="dxa"/>
            <w:tcBorders>
              <w:top w:val="single" w:sz="4" w:space="0" w:color="808080"/>
              <w:bottom w:val="single" w:sz="4" w:space="0" w:color="808080"/>
            </w:tcBorders>
          </w:tcPr>
          <w:p w14:paraId="5B1E0EB0" w14:textId="77777777" w:rsidR="008505A8" w:rsidRPr="00766314" w:rsidRDefault="008505A8" w:rsidP="00324721">
            <w:pPr>
              <w:pStyle w:val="TableRow"/>
              <w:keepNext w:val="0"/>
              <w:jc w:val="center"/>
            </w:pPr>
            <w:r w:rsidRPr="00D20B5C">
              <w:t>0.00E+00</w:t>
            </w:r>
          </w:p>
        </w:tc>
        <w:tc>
          <w:tcPr>
            <w:tcW w:w="1322" w:type="dxa"/>
            <w:tcBorders>
              <w:top w:val="single" w:sz="4" w:space="0" w:color="808080"/>
              <w:bottom w:val="single" w:sz="4" w:space="0" w:color="808080"/>
            </w:tcBorders>
          </w:tcPr>
          <w:p w14:paraId="3FFBFA25" w14:textId="208EDCEE" w:rsidR="008505A8" w:rsidRPr="00D20B5C" w:rsidRDefault="008505A8" w:rsidP="00324721">
            <w:pPr>
              <w:pStyle w:val="TableRow"/>
              <w:keepNext w:val="0"/>
              <w:jc w:val="center"/>
            </w:pPr>
            <w:r w:rsidRPr="00D20B5C">
              <w:t>0.00E+00</w:t>
            </w:r>
          </w:p>
        </w:tc>
      </w:tr>
      <w:tr w:rsidR="008505A8" w14:paraId="7A220BE3" w14:textId="40B83927" w:rsidTr="0001411D">
        <w:trPr>
          <w:cantSplit/>
        </w:trPr>
        <w:tc>
          <w:tcPr>
            <w:tcW w:w="1418" w:type="dxa"/>
            <w:tcBorders>
              <w:top w:val="single" w:sz="4" w:space="0" w:color="808080"/>
              <w:bottom w:val="single" w:sz="4" w:space="0" w:color="808080"/>
            </w:tcBorders>
            <w:vAlign w:val="center"/>
          </w:tcPr>
          <w:p w14:paraId="0120CD10" w14:textId="7A451F20" w:rsidR="008505A8" w:rsidRPr="00195B8A" w:rsidRDefault="008505A8" w:rsidP="00324721">
            <w:pPr>
              <w:pStyle w:val="TableRow"/>
              <w:keepNext w:val="0"/>
              <w:jc w:val="center"/>
              <w:rPr>
                <w:color w:val="000000"/>
                <w:vertAlign w:val="superscript"/>
              </w:rPr>
            </w:pPr>
            <w:r w:rsidRPr="00195B8A">
              <w:rPr>
                <w:color w:val="000000"/>
                <w:vertAlign w:val="superscript"/>
              </w:rPr>
              <w:t>13</w:t>
            </w:r>
            <w:r>
              <w:rPr>
                <w:color w:val="000000"/>
                <w:vertAlign w:val="superscript"/>
              </w:rPr>
              <w:t>3</w:t>
            </w:r>
            <w:r>
              <w:rPr>
                <w:color w:val="000000"/>
              </w:rPr>
              <w:t>I</w:t>
            </w:r>
            <w:r w:rsidR="00A85E04">
              <w:rPr>
                <w:color w:val="000000"/>
              </w:rPr>
              <w:t xml:space="preserve"> *</w:t>
            </w:r>
          </w:p>
        </w:tc>
        <w:tc>
          <w:tcPr>
            <w:tcW w:w="1322" w:type="dxa"/>
            <w:tcBorders>
              <w:top w:val="single" w:sz="4" w:space="0" w:color="808080"/>
              <w:bottom w:val="single" w:sz="4" w:space="0" w:color="808080"/>
            </w:tcBorders>
          </w:tcPr>
          <w:p w14:paraId="62678433" w14:textId="77777777" w:rsidR="008505A8" w:rsidRPr="00DA46B4" w:rsidRDefault="008505A8" w:rsidP="00324721">
            <w:pPr>
              <w:pStyle w:val="TableRow"/>
              <w:keepNext w:val="0"/>
              <w:jc w:val="center"/>
              <w:rPr>
                <w:color w:val="000000"/>
              </w:rPr>
            </w:pPr>
            <w:r w:rsidRPr="00D20B5C">
              <w:t>1.06E+13</w:t>
            </w:r>
          </w:p>
        </w:tc>
        <w:tc>
          <w:tcPr>
            <w:tcW w:w="1321" w:type="dxa"/>
            <w:tcBorders>
              <w:top w:val="single" w:sz="4" w:space="0" w:color="808080"/>
              <w:bottom w:val="single" w:sz="4" w:space="0" w:color="808080"/>
            </w:tcBorders>
          </w:tcPr>
          <w:p w14:paraId="38478ADF" w14:textId="77777777" w:rsidR="008505A8" w:rsidRPr="00DA46B4" w:rsidRDefault="008505A8" w:rsidP="00324721">
            <w:pPr>
              <w:pStyle w:val="TableRow"/>
              <w:keepNext w:val="0"/>
              <w:jc w:val="center"/>
              <w:rPr>
                <w:color w:val="000000"/>
              </w:rPr>
            </w:pPr>
            <w:r w:rsidRPr="00D20B5C">
              <w:t>4.80E+12</w:t>
            </w:r>
          </w:p>
        </w:tc>
        <w:tc>
          <w:tcPr>
            <w:tcW w:w="1322" w:type="dxa"/>
            <w:tcBorders>
              <w:top w:val="single" w:sz="4" w:space="0" w:color="808080"/>
              <w:bottom w:val="single" w:sz="4" w:space="0" w:color="808080"/>
            </w:tcBorders>
          </w:tcPr>
          <w:p w14:paraId="2BA752FF" w14:textId="77777777" w:rsidR="008505A8" w:rsidRPr="00DA46B4" w:rsidRDefault="008505A8" w:rsidP="00324721">
            <w:pPr>
              <w:pStyle w:val="TableRow"/>
              <w:keepNext w:val="0"/>
              <w:jc w:val="center"/>
              <w:rPr>
                <w:color w:val="000000"/>
              </w:rPr>
            </w:pPr>
            <w:r w:rsidRPr="00D20B5C">
              <w:t>1.70E+11</w:t>
            </w:r>
          </w:p>
        </w:tc>
        <w:tc>
          <w:tcPr>
            <w:tcW w:w="1321" w:type="dxa"/>
            <w:tcBorders>
              <w:top w:val="single" w:sz="4" w:space="0" w:color="808080"/>
              <w:bottom w:val="single" w:sz="4" w:space="0" w:color="808080"/>
            </w:tcBorders>
          </w:tcPr>
          <w:p w14:paraId="4D27CD23" w14:textId="77777777" w:rsidR="008505A8" w:rsidRPr="00DA46B4" w:rsidRDefault="008505A8" w:rsidP="00324721">
            <w:pPr>
              <w:pStyle w:val="TableRow"/>
              <w:keepNext w:val="0"/>
              <w:jc w:val="center"/>
              <w:rPr>
                <w:color w:val="000000"/>
              </w:rPr>
            </w:pPr>
            <w:r w:rsidRPr="00D20B5C">
              <w:t>3.32E+11</w:t>
            </w:r>
          </w:p>
        </w:tc>
        <w:tc>
          <w:tcPr>
            <w:tcW w:w="1322" w:type="dxa"/>
            <w:tcBorders>
              <w:top w:val="single" w:sz="4" w:space="0" w:color="808080"/>
              <w:bottom w:val="single" w:sz="4" w:space="0" w:color="808080"/>
            </w:tcBorders>
          </w:tcPr>
          <w:p w14:paraId="0AF5A304" w14:textId="77777777" w:rsidR="008505A8" w:rsidRPr="00766314" w:rsidRDefault="008505A8" w:rsidP="00324721">
            <w:pPr>
              <w:pStyle w:val="TableRow"/>
              <w:keepNext w:val="0"/>
              <w:jc w:val="center"/>
            </w:pPr>
            <w:r w:rsidRPr="00D20B5C">
              <w:t>1.83E+10</w:t>
            </w:r>
          </w:p>
        </w:tc>
        <w:tc>
          <w:tcPr>
            <w:tcW w:w="1322" w:type="dxa"/>
            <w:tcBorders>
              <w:top w:val="single" w:sz="4" w:space="0" w:color="808080"/>
              <w:bottom w:val="single" w:sz="4" w:space="0" w:color="808080"/>
            </w:tcBorders>
          </w:tcPr>
          <w:p w14:paraId="12E073AD" w14:textId="450A2B45" w:rsidR="008505A8" w:rsidRPr="00D20B5C" w:rsidRDefault="008505A8" w:rsidP="00324721">
            <w:pPr>
              <w:pStyle w:val="TableRow"/>
              <w:keepNext w:val="0"/>
              <w:jc w:val="center"/>
            </w:pPr>
            <w:r w:rsidRPr="00D20B5C">
              <w:t>1.16E+10</w:t>
            </w:r>
          </w:p>
        </w:tc>
      </w:tr>
      <w:tr w:rsidR="008505A8" w14:paraId="68335E72" w14:textId="47C2653A" w:rsidTr="0001411D">
        <w:trPr>
          <w:cantSplit/>
        </w:trPr>
        <w:tc>
          <w:tcPr>
            <w:tcW w:w="1418" w:type="dxa"/>
            <w:tcBorders>
              <w:top w:val="single" w:sz="4" w:space="0" w:color="808080"/>
              <w:bottom w:val="single" w:sz="4" w:space="0" w:color="808080"/>
            </w:tcBorders>
            <w:vAlign w:val="center"/>
          </w:tcPr>
          <w:p w14:paraId="072F029F" w14:textId="77777777" w:rsidR="008505A8" w:rsidRPr="00195B8A" w:rsidRDefault="008505A8" w:rsidP="00324721">
            <w:pPr>
              <w:pStyle w:val="TableRow"/>
              <w:keepNext w:val="0"/>
              <w:jc w:val="center"/>
              <w:rPr>
                <w:color w:val="000000"/>
                <w:vertAlign w:val="superscript"/>
              </w:rPr>
            </w:pPr>
            <w:r w:rsidRPr="00195B8A">
              <w:rPr>
                <w:color w:val="000000"/>
                <w:vertAlign w:val="superscript"/>
              </w:rPr>
              <w:t>13</w:t>
            </w:r>
            <w:r>
              <w:rPr>
                <w:color w:val="000000"/>
                <w:vertAlign w:val="superscript"/>
              </w:rPr>
              <w:t>4</w:t>
            </w:r>
            <w:r>
              <w:rPr>
                <w:color w:val="000000"/>
              </w:rPr>
              <w:t>I</w:t>
            </w:r>
          </w:p>
        </w:tc>
        <w:tc>
          <w:tcPr>
            <w:tcW w:w="1322" w:type="dxa"/>
            <w:tcBorders>
              <w:top w:val="single" w:sz="4" w:space="0" w:color="808080"/>
              <w:bottom w:val="single" w:sz="4" w:space="0" w:color="808080"/>
            </w:tcBorders>
          </w:tcPr>
          <w:p w14:paraId="31844AAE" w14:textId="77777777" w:rsidR="008505A8" w:rsidRPr="00DA46B4" w:rsidRDefault="008505A8" w:rsidP="00324721">
            <w:pPr>
              <w:pStyle w:val="TableRow"/>
              <w:keepNext w:val="0"/>
              <w:jc w:val="center"/>
              <w:rPr>
                <w:color w:val="000000"/>
              </w:rPr>
            </w:pPr>
            <w:r w:rsidRPr="00D20B5C">
              <w:t>1.07E+13</w:t>
            </w:r>
          </w:p>
        </w:tc>
        <w:tc>
          <w:tcPr>
            <w:tcW w:w="1321" w:type="dxa"/>
            <w:tcBorders>
              <w:top w:val="single" w:sz="4" w:space="0" w:color="808080"/>
              <w:bottom w:val="single" w:sz="4" w:space="0" w:color="808080"/>
            </w:tcBorders>
          </w:tcPr>
          <w:p w14:paraId="3B31C28A" w14:textId="77777777" w:rsidR="008505A8" w:rsidRPr="00DA46B4" w:rsidRDefault="008505A8" w:rsidP="00324721">
            <w:pPr>
              <w:pStyle w:val="TableRow"/>
              <w:keepNext w:val="0"/>
              <w:jc w:val="center"/>
              <w:rPr>
                <w:color w:val="000000"/>
              </w:rPr>
            </w:pPr>
            <w:r w:rsidRPr="00D20B5C">
              <w:t>1.89E+11</w:t>
            </w:r>
          </w:p>
        </w:tc>
        <w:tc>
          <w:tcPr>
            <w:tcW w:w="1322" w:type="dxa"/>
            <w:tcBorders>
              <w:top w:val="single" w:sz="4" w:space="0" w:color="808080"/>
              <w:bottom w:val="single" w:sz="4" w:space="0" w:color="808080"/>
            </w:tcBorders>
          </w:tcPr>
          <w:p w14:paraId="7F00ECFD" w14:textId="77777777" w:rsidR="008505A8" w:rsidRPr="00DA46B4" w:rsidRDefault="008505A8" w:rsidP="00324721">
            <w:pPr>
              <w:pStyle w:val="TableRow"/>
              <w:keepNext w:val="0"/>
              <w:jc w:val="center"/>
              <w:rPr>
                <w:color w:val="000000"/>
              </w:rPr>
            </w:pPr>
            <w:r w:rsidRPr="00D20B5C">
              <w:t>7.84E+07</w:t>
            </w:r>
          </w:p>
        </w:tc>
        <w:tc>
          <w:tcPr>
            <w:tcW w:w="1321" w:type="dxa"/>
            <w:tcBorders>
              <w:top w:val="single" w:sz="4" w:space="0" w:color="808080"/>
              <w:bottom w:val="single" w:sz="4" w:space="0" w:color="808080"/>
            </w:tcBorders>
          </w:tcPr>
          <w:p w14:paraId="6190A357" w14:textId="77777777" w:rsidR="008505A8" w:rsidRPr="00DA46B4" w:rsidRDefault="008505A8" w:rsidP="00324721">
            <w:pPr>
              <w:pStyle w:val="TableRow"/>
              <w:keepNext w:val="0"/>
              <w:jc w:val="center"/>
              <w:rPr>
                <w:color w:val="000000"/>
              </w:rPr>
            </w:pPr>
            <w:r w:rsidRPr="00D20B5C">
              <w:t>4.60E+03</w:t>
            </w:r>
          </w:p>
        </w:tc>
        <w:tc>
          <w:tcPr>
            <w:tcW w:w="1322" w:type="dxa"/>
            <w:tcBorders>
              <w:top w:val="single" w:sz="4" w:space="0" w:color="808080"/>
              <w:bottom w:val="single" w:sz="4" w:space="0" w:color="808080"/>
            </w:tcBorders>
          </w:tcPr>
          <w:p w14:paraId="04D71D25" w14:textId="77777777" w:rsidR="008505A8" w:rsidRPr="00766314" w:rsidRDefault="008505A8" w:rsidP="00324721">
            <w:pPr>
              <w:pStyle w:val="TableRow"/>
              <w:keepNext w:val="0"/>
              <w:jc w:val="center"/>
            </w:pPr>
            <w:r w:rsidRPr="00D20B5C">
              <w:t>0.00E+00</w:t>
            </w:r>
          </w:p>
        </w:tc>
        <w:tc>
          <w:tcPr>
            <w:tcW w:w="1322" w:type="dxa"/>
            <w:tcBorders>
              <w:top w:val="single" w:sz="4" w:space="0" w:color="808080"/>
              <w:bottom w:val="single" w:sz="4" w:space="0" w:color="808080"/>
            </w:tcBorders>
          </w:tcPr>
          <w:p w14:paraId="59F95F1A" w14:textId="45D0A225" w:rsidR="008505A8" w:rsidRPr="00D20B5C" w:rsidRDefault="008505A8" w:rsidP="00324721">
            <w:pPr>
              <w:pStyle w:val="TableRow"/>
              <w:keepNext w:val="0"/>
              <w:jc w:val="center"/>
            </w:pPr>
            <w:r w:rsidRPr="00D20B5C">
              <w:t>0.00E+00</w:t>
            </w:r>
          </w:p>
        </w:tc>
      </w:tr>
      <w:tr w:rsidR="008505A8" w14:paraId="3BDFDDD1" w14:textId="4EC2528B" w:rsidTr="0001411D">
        <w:trPr>
          <w:cantSplit/>
        </w:trPr>
        <w:tc>
          <w:tcPr>
            <w:tcW w:w="1418" w:type="dxa"/>
            <w:tcBorders>
              <w:top w:val="single" w:sz="4" w:space="0" w:color="808080"/>
              <w:bottom w:val="single" w:sz="4" w:space="0" w:color="808080"/>
            </w:tcBorders>
            <w:vAlign w:val="center"/>
          </w:tcPr>
          <w:p w14:paraId="15BB1721" w14:textId="65650CC6" w:rsidR="008505A8" w:rsidRPr="00195B8A" w:rsidRDefault="008505A8" w:rsidP="00324721">
            <w:pPr>
              <w:pStyle w:val="TableRow"/>
              <w:keepNext w:val="0"/>
              <w:jc w:val="center"/>
              <w:rPr>
                <w:color w:val="000000"/>
                <w:vertAlign w:val="superscript"/>
              </w:rPr>
            </w:pPr>
            <w:r w:rsidRPr="00195B8A">
              <w:rPr>
                <w:color w:val="000000"/>
                <w:vertAlign w:val="superscript"/>
              </w:rPr>
              <w:t>13</w:t>
            </w:r>
            <w:r>
              <w:rPr>
                <w:color w:val="000000"/>
                <w:vertAlign w:val="superscript"/>
              </w:rPr>
              <w:t>5</w:t>
            </w:r>
            <w:r>
              <w:rPr>
                <w:color w:val="000000"/>
              </w:rPr>
              <w:t>I</w:t>
            </w:r>
            <w:r w:rsidR="00A85E04">
              <w:rPr>
                <w:color w:val="000000"/>
              </w:rPr>
              <w:t xml:space="preserve"> *</w:t>
            </w:r>
          </w:p>
        </w:tc>
        <w:tc>
          <w:tcPr>
            <w:tcW w:w="1322" w:type="dxa"/>
            <w:tcBorders>
              <w:top w:val="single" w:sz="4" w:space="0" w:color="808080"/>
              <w:bottom w:val="single" w:sz="4" w:space="0" w:color="808080"/>
            </w:tcBorders>
          </w:tcPr>
          <w:p w14:paraId="45730D0D" w14:textId="77777777" w:rsidR="008505A8" w:rsidRPr="00DA46B4" w:rsidRDefault="008505A8" w:rsidP="00324721">
            <w:pPr>
              <w:pStyle w:val="TableRow"/>
              <w:keepNext w:val="0"/>
              <w:jc w:val="center"/>
              <w:rPr>
                <w:color w:val="000000"/>
              </w:rPr>
            </w:pPr>
            <w:r w:rsidRPr="00D20B5C">
              <w:t>9.69E+12</w:t>
            </w:r>
          </w:p>
        </w:tc>
        <w:tc>
          <w:tcPr>
            <w:tcW w:w="1321" w:type="dxa"/>
            <w:tcBorders>
              <w:top w:val="single" w:sz="4" w:space="0" w:color="808080"/>
              <w:bottom w:val="single" w:sz="4" w:space="0" w:color="808080"/>
            </w:tcBorders>
          </w:tcPr>
          <w:p w14:paraId="69C8912C" w14:textId="77777777" w:rsidR="008505A8" w:rsidRPr="00DA46B4" w:rsidRDefault="008505A8" w:rsidP="00324721">
            <w:pPr>
              <w:pStyle w:val="TableRow"/>
              <w:keepNext w:val="0"/>
              <w:jc w:val="center"/>
              <w:rPr>
                <w:color w:val="000000"/>
              </w:rPr>
            </w:pPr>
            <w:r w:rsidRPr="00D20B5C">
              <w:t>3.02E+12</w:t>
            </w:r>
          </w:p>
        </w:tc>
        <w:tc>
          <w:tcPr>
            <w:tcW w:w="1322" w:type="dxa"/>
            <w:tcBorders>
              <w:top w:val="single" w:sz="4" w:space="0" w:color="808080"/>
              <w:bottom w:val="single" w:sz="4" w:space="0" w:color="808080"/>
            </w:tcBorders>
          </w:tcPr>
          <w:p w14:paraId="4E7642F0" w14:textId="77777777" w:rsidR="008505A8" w:rsidRPr="00DA46B4" w:rsidRDefault="008505A8" w:rsidP="00324721">
            <w:pPr>
              <w:pStyle w:val="TableRow"/>
              <w:keepNext w:val="0"/>
              <w:jc w:val="center"/>
              <w:rPr>
                <w:color w:val="000000"/>
              </w:rPr>
            </w:pPr>
            <w:r w:rsidRPr="00D20B5C">
              <w:t>5.81E+10</w:t>
            </w:r>
          </w:p>
        </w:tc>
        <w:tc>
          <w:tcPr>
            <w:tcW w:w="1321" w:type="dxa"/>
            <w:tcBorders>
              <w:top w:val="single" w:sz="4" w:space="0" w:color="808080"/>
              <w:bottom w:val="single" w:sz="4" w:space="0" w:color="808080"/>
            </w:tcBorders>
          </w:tcPr>
          <w:p w14:paraId="29F2D7FE" w14:textId="77777777" w:rsidR="008505A8" w:rsidRPr="00DA46B4" w:rsidRDefault="008505A8" w:rsidP="00324721">
            <w:pPr>
              <w:pStyle w:val="TableRow"/>
              <w:keepNext w:val="0"/>
              <w:jc w:val="center"/>
              <w:rPr>
                <w:color w:val="000000"/>
              </w:rPr>
            </w:pPr>
            <w:r w:rsidRPr="00D20B5C">
              <w:t>5.24E+10</w:t>
            </w:r>
          </w:p>
        </w:tc>
        <w:tc>
          <w:tcPr>
            <w:tcW w:w="1322" w:type="dxa"/>
            <w:tcBorders>
              <w:top w:val="single" w:sz="4" w:space="0" w:color="808080"/>
              <w:bottom w:val="single" w:sz="4" w:space="0" w:color="808080"/>
            </w:tcBorders>
          </w:tcPr>
          <w:p w14:paraId="6454E6D7" w14:textId="77777777" w:rsidR="008505A8" w:rsidRPr="00766314" w:rsidRDefault="008505A8" w:rsidP="00324721">
            <w:pPr>
              <w:pStyle w:val="TableRow"/>
              <w:keepNext w:val="0"/>
              <w:jc w:val="center"/>
            </w:pPr>
            <w:r w:rsidRPr="00D20B5C">
              <w:t>1.62E+07</w:t>
            </w:r>
          </w:p>
        </w:tc>
        <w:tc>
          <w:tcPr>
            <w:tcW w:w="1322" w:type="dxa"/>
            <w:tcBorders>
              <w:top w:val="single" w:sz="4" w:space="0" w:color="808080"/>
              <w:bottom w:val="single" w:sz="4" w:space="0" w:color="808080"/>
            </w:tcBorders>
          </w:tcPr>
          <w:p w14:paraId="72713F76" w14:textId="6F466150" w:rsidR="008505A8" w:rsidRPr="00D20B5C" w:rsidRDefault="008505A8" w:rsidP="00324721">
            <w:pPr>
              <w:pStyle w:val="TableRow"/>
              <w:keepNext w:val="0"/>
              <w:jc w:val="center"/>
            </w:pPr>
            <w:r w:rsidRPr="00D20B5C">
              <w:t>6.46E+04</w:t>
            </w:r>
          </w:p>
        </w:tc>
      </w:tr>
      <w:tr w:rsidR="008505A8" w14:paraId="1E8C7441" w14:textId="7D9C8B06" w:rsidTr="0001411D">
        <w:trPr>
          <w:cantSplit/>
        </w:trPr>
        <w:tc>
          <w:tcPr>
            <w:tcW w:w="1418" w:type="dxa"/>
            <w:tcBorders>
              <w:top w:val="single" w:sz="4" w:space="0" w:color="808080"/>
              <w:bottom w:val="single" w:sz="4" w:space="0" w:color="808080"/>
            </w:tcBorders>
            <w:vAlign w:val="center"/>
          </w:tcPr>
          <w:p w14:paraId="164D6B40" w14:textId="77777777" w:rsidR="008505A8" w:rsidRPr="00195B8A" w:rsidRDefault="008505A8" w:rsidP="00324721">
            <w:pPr>
              <w:pStyle w:val="TableRow"/>
              <w:keepNext w:val="0"/>
              <w:jc w:val="center"/>
              <w:rPr>
                <w:color w:val="000000"/>
                <w:vertAlign w:val="superscript"/>
              </w:rPr>
            </w:pPr>
            <w:r w:rsidRPr="00195B8A">
              <w:rPr>
                <w:color w:val="000000"/>
                <w:vertAlign w:val="superscript"/>
              </w:rPr>
              <w:t>8</w:t>
            </w:r>
            <w:r>
              <w:rPr>
                <w:color w:val="000000"/>
                <w:vertAlign w:val="superscript"/>
              </w:rPr>
              <w:t>3m</w:t>
            </w:r>
            <w:r>
              <w:rPr>
                <w:color w:val="000000"/>
              </w:rPr>
              <w:t>Kr</w:t>
            </w:r>
          </w:p>
        </w:tc>
        <w:tc>
          <w:tcPr>
            <w:tcW w:w="1322" w:type="dxa"/>
            <w:tcBorders>
              <w:top w:val="single" w:sz="4" w:space="0" w:color="808080"/>
              <w:bottom w:val="single" w:sz="4" w:space="0" w:color="808080"/>
            </w:tcBorders>
          </w:tcPr>
          <w:p w14:paraId="3318454D" w14:textId="77777777" w:rsidR="008505A8" w:rsidRPr="00DA46B4" w:rsidRDefault="008505A8" w:rsidP="00324721">
            <w:pPr>
              <w:pStyle w:val="TableRow"/>
              <w:keepNext w:val="0"/>
              <w:jc w:val="center"/>
              <w:rPr>
                <w:color w:val="000000"/>
              </w:rPr>
            </w:pPr>
            <w:r w:rsidRPr="00D20B5C">
              <w:t>8.30E+12</w:t>
            </w:r>
          </w:p>
        </w:tc>
        <w:tc>
          <w:tcPr>
            <w:tcW w:w="1321" w:type="dxa"/>
            <w:tcBorders>
              <w:top w:val="single" w:sz="4" w:space="0" w:color="808080"/>
              <w:bottom w:val="single" w:sz="4" w:space="0" w:color="808080"/>
            </w:tcBorders>
          </w:tcPr>
          <w:p w14:paraId="452766A6" w14:textId="77777777" w:rsidR="008505A8" w:rsidRPr="00DA46B4" w:rsidRDefault="008505A8" w:rsidP="00324721">
            <w:pPr>
              <w:pStyle w:val="TableRow"/>
              <w:keepNext w:val="0"/>
              <w:jc w:val="center"/>
              <w:rPr>
                <w:color w:val="000000"/>
              </w:rPr>
            </w:pPr>
            <w:r w:rsidRPr="00D20B5C">
              <w:t>6.75E+12</w:t>
            </w:r>
          </w:p>
        </w:tc>
        <w:tc>
          <w:tcPr>
            <w:tcW w:w="1322" w:type="dxa"/>
            <w:tcBorders>
              <w:top w:val="single" w:sz="4" w:space="0" w:color="808080"/>
              <w:bottom w:val="single" w:sz="4" w:space="0" w:color="808080"/>
            </w:tcBorders>
          </w:tcPr>
          <w:p w14:paraId="1399D9AE" w14:textId="77777777" w:rsidR="008505A8" w:rsidRPr="00DA46B4" w:rsidRDefault="008505A8" w:rsidP="00324721">
            <w:pPr>
              <w:pStyle w:val="TableRow"/>
              <w:keepNext w:val="0"/>
              <w:jc w:val="center"/>
              <w:rPr>
                <w:color w:val="000000"/>
              </w:rPr>
            </w:pPr>
            <w:r w:rsidRPr="00D20B5C">
              <w:t>2.96E+11</w:t>
            </w:r>
          </w:p>
        </w:tc>
        <w:tc>
          <w:tcPr>
            <w:tcW w:w="1321" w:type="dxa"/>
            <w:tcBorders>
              <w:top w:val="single" w:sz="4" w:space="0" w:color="808080"/>
              <w:bottom w:val="single" w:sz="4" w:space="0" w:color="808080"/>
            </w:tcBorders>
          </w:tcPr>
          <w:p w14:paraId="1040A6DB" w14:textId="77777777" w:rsidR="008505A8" w:rsidRPr="00DA46B4" w:rsidRDefault="008505A8" w:rsidP="00324721">
            <w:pPr>
              <w:pStyle w:val="TableRow"/>
              <w:keepNext w:val="0"/>
              <w:jc w:val="center"/>
              <w:rPr>
                <w:color w:val="000000"/>
              </w:rPr>
            </w:pPr>
            <w:r w:rsidRPr="00D20B5C">
              <w:t>7.68E+09</w:t>
            </w:r>
          </w:p>
        </w:tc>
        <w:tc>
          <w:tcPr>
            <w:tcW w:w="1322" w:type="dxa"/>
            <w:tcBorders>
              <w:top w:val="single" w:sz="4" w:space="0" w:color="808080"/>
              <w:bottom w:val="single" w:sz="4" w:space="0" w:color="808080"/>
            </w:tcBorders>
          </w:tcPr>
          <w:p w14:paraId="1B4DCD58" w14:textId="77777777" w:rsidR="008505A8" w:rsidRPr="00766314" w:rsidRDefault="008505A8" w:rsidP="00324721">
            <w:pPr>
              <w:pStyle w:val="TableRow"/>
              <w:keepNext w:val="0"/>
              <w:jc w:val="center"/>
            </w:pPr>
            <w:r w:rsidRPr="00D20B5C">
              <w:t>0.00E+00</w:t>
            </w:r>
          </w:p>
        </w:tc>
        <w:tc>
          <w:tcPr>
            <w:tcW w:w="1322" w:type="dxa"/>
            <w:tcBorders>
              <w:top w:val="single" w:sz="4" w:space="0" w:color="808080"/>
              <w:bottom w:val="single" w:sz="4" w:space="0" w:color="808080"/>
            </w:tcBorders>
          </w:tcPr>
          <w:p w14:paraId="6530853A" w14:textId="311854A3" w:rsidR="008505A8" w:rsidRPr="00D20B5C" w:rsidRDefault="008505A8" w:rsidP="00324721">
            <w:pPr>
              <w:pStyle w:val="TableRow"/>
              <w:keepNext w:val="0"/>
              <w:jc w:val="center"/>
            </w:pPr>
            <w:r w:rsidRPr="00D20B5C">
              <w:t>0.00E+00</w:t>
            </w:r>
          </w:p>
        </w:tc>
      </w:tr>
      <w:tr w:rsidR="008505A8" w14:paraId="7C7D4B43" w14:textId="1173FCBB" w:rsidTr="0001411D">
        <w:trPr>
          <w:cantSplit/>
        </w:trPr>
        <w:tc>
          <w:tcPr>
            <w:tcW w:w="1418" w:type="dxa"/>
            <w:tcBorders>
              <w:top w:val="single" w:sz="4" w:space="0" w:color="808080"/>
              <w:bottom w:val="single" w:sz="4" w:space="0" w:color="808080"/>
            </w:tcBorders>
            <w:vAlign w:val="center"/>
          </w:tcPr>
          <w:p w14:paraId="0D54935E" w14:textId="77777777" w:rsidR="008505A8" w:rsidRPr="00195B8A" w:rsidRDefault="008505A8" w:rsidP="00324721">
            <w:pPr>
              <w:pStyle w:val="TableRow"/>
              <w:keepNext w:val="0"/>
              <w:jc w:val="center"/>
              <w:rPr>
                <w:color w:val="000000"/>
                <w:vertAlign w:val="superscript"/>
              </w:rPr>
            </w:pPr>
            <w:r w:rsidRPr="00195B8A">
              <w:rPr>
                <w:color w:val="000000"/>
                <w:vertAlign w:val="superscript"/>
              </w:rPr>
              <w:t>8</w:t>
            </w:r>
            <w:r>
              <w:rPr>
                <w:color w:val="000000"/>
                <w:vertAlign w:val="superscript"/>
              </w:rPr>
              <w:t>5</w:t>
            </w:r>
            <w:r>
              <w:rPr>
                <w:color w:val="000000"/>
              </w:rPr>
              <w:t>Kr</w:t>
            </w:r>
          </w:p>
        </w:tc>
        <w:tc>
          <w:tcPr>
            <w:tcW w:w="1322" w:type="dxa"/>
            <w:tcBorders>
              <w:top w:val="single" w:sz="4" w:space="0" w:color="808080"/>
              <w:bottom w:val="single" w:sz="4" w:space="0" w:color="808080"/>
            </w:tcBorders>
          </w:tcPr>
          <w:p w14:paraId="00A64802" w14:textId="77777777" w:rsidR="008505A8" w:rsidRPr="00DA46B4" w:rsidRDefault="008505A8" w:rsidP="00324721">
            <w:pPr>
              <w:pStyle w:val="TableRow"/>
              <w:keepNext w:val="0"/>
              <w:jc w:val="center"/>
              <w:rPr>
                <w:color w:val="000000"/>
              </w:rPr>
            </w:pPr>
            <w:r w:rsidRPr="00D20B5C">
              <w:t>9.32E+11</w:t>
            </w:r>
          </w:p>
        </w:tc>
        <w:tc>
          <w:tcPr>
            <w:tcW w:w="1321" w:type="dxa"/>
            <w:tcBorders>
              <w:top w:val="single" w:sz="4" w:space="0" w:color="808080"/>
              <w:bottom w:val="single" w:sz="4" w:space="0" w:color="808080"/>
            </w:tcBorders>
          </w:tcPr>
          <w:p w14:paraId="06251373" w14:textId="77777777" w:rsidR="008505A8" w:rsidRPr="00DA46B4" w:rsidRDefault="008505A8" w:rsidP="00324721">
            <w:pPr>
              <w:pStyle w:val="TableRow"/>
              <w:keepNext w:val="0"/>
              <w:jc w:val="center"/>
              <w:rPr>
                <w:color w:val="000000"/>
              </w:rPr>
            </w:pPr>
            <w:r w:rsidRPr="00D20B5C">
              <w:t>2.86E+12</w:t>
            </w:r>
          </w:p>
        </w:tc>
        <w:tc>
          <w:tcPr>
            <w:tcW w:w="1322" w:type="dxa"/>
            <w:tcBorders>
              <w:top w:val="single" w:sz="4" w:space="0" w:color="808080"/>
              <w:bottom w:val="single" w:sz="4" w:space="0" w:color="808080"/>
            </w:tcBorders>
          </w:tcPr>
          <w:p w14:paraId="5767E863" w14:textId="77777777" w:rsidR="008505A8" w:rsidRPr="00DA46B4" w:rsidRDefault="008505A8" w:rsidP="00324721">
            <w:pPr>
              <w:pStyle w:val="TableRow"/>
              <w:keepNext w:val="0"/>
              <w:jc w:val="center"/>
              <w:rPr>
                <w:color w:val="000000"/>
              </w:rPr>
            </w:pPr>
            <w:r w:rsidRPr="00D20B5C">
              <w:t>2.26E+12</w:t>
            </w:r>
          </w:p>
        </w:tc>
        <w:tc>
          <w:tcPr>
            <w:tcW w:w="1321" w:type="dxa"/>
            <w:tcBorders>
              <w:top w:val="single" w:sz="4" w:space="0" w:color="808080"/>
              <w:bottom w:val="single" w:sz="4" w:space="0" w:color="808080"/>
            </w:tcBorders>
          </w:tcPr>
          <w:p w14:paraId="484AF97C" w14:textId="77777777" w:rsidR="008505A8" w:rsidRPr="00DA46B4" w:rsidRDefault="008505A8" w:rsidP="00324721">
            <w:pPr>
              <w:pStyle w:val="TableRow"/>
              <w:keepNext w:val="0"/>
              <w:jc w:val="center"/>
              <w:rPr>
                <w:color w:val="000000"/>
              </w:rPr>
            </w:pPr>
            <w:r w:rsidRPr="00D20B5C">
              <w:t>8.75E+12</w:t>
            </w:r>
          </w:p>
        </w:tc>
        <w:tc>
          <w:tcPr>
            <w:tcW w:w="1322" w:type="dxa"/>
            <w:tcBorders>
              <w:top w:val="single" w:sz="4" w:space="0" w:color="808080"/>
              <w:bottom w:val="single" w:sz="4" w:space="0" w:color="808080"/>
            </w:tcBorders>
          </w:tcPr>
          <w:p w14:paraId="7F51EAA0" w14:textId="77777777" w:rsidR="008505A8" w:rsidRPr="00766314" w:rsidRDefault="008505A8" w:rsidP="00324721">
            <w:pPr>
              <w:pStyle w:val="TableRow"/>
              <w:keepNext w:val="0"/>
              <w:jc w:val="center"/>
            </w:pPr>
            <w:r w:rsidRPr="00D20B5C">
              <w:t>6.44E+12</w:t>
            </w:r>
          </w:p>
        </w:tc>
        <w:tc>
          <w:tcPr>
            <w:tcW w:w="1322" w:type="dxa"/>
            <w:tcBorders>
              <w:top w:val="single" w:sz="4" w:space="0" w:color="808080"/>
              <w:bottom w:val="single" w:sz="4" w:space="0" w:color="808080"/>
            </w:tcBorders>
          </w:tcPr>
          <w:p w14:paraId="5F7767ED" w14:textId="1BA37160" w:rsidR="008505A8" w:rsidRPr="00D20B5C" w:rsidRDefault="008505A8" w:rsidP="00324721">
            <w:pPr>
              <w:pStyle w:val="TableRow"/>
              <w:keepNext w:val="0"/>
              <w:jc w:val="center"/>
            </w:pPr>
            <w:r w:rsidRPr="00D20B5C">
              <w:t>4.82E+13</w:t>
            </w:r>
          </w:p>
        </w:tc>
      </w:tr>
      <w:tr w:rsidR="008505A8" w14:paraId="6AEF49C8" w14:textId="02DAC7F7" w:rsidTr="0001411D">
        <w:trPr>
          <w:cantSplit/>
        </w:trPr>
        <w:tc>
          <w:tcPr>
            <w:tcW w:w="1418" w:type="dxa"/>
            <w:tcBorders>
              <w:top w:val="single" w:sz="4" w:space="0" w:color="808080"/>
              <w:bottom w:val="single" w:sz="4" w:space="0" w:color="808080"/>
            </w:tcBorders>
            <w:vAlign w:val="center"/>
          </w:tcPr>
          <w:p w14:paraId="6DBD3948" w14:textId="77777777" w:rsidR="008505A8" w:rsidRPr="00195B8A" w:rsidRDefault="008505A8" w:rsidP="00324721">
            <w:pPr>
              <w:pStyle w:val="TableRow"/>
              <w:keepNext w:val="0"/>
              <w:jc w:val="center"/>
              <w:rPr>
                <w:color w:val="000000"/>
                <w:vertAlign w:val="superscript"/>
              </w:rPr>
            </w:pPr>
            <w:r w:rsidRPr="00195B8A">
              <w:rPr>
                <w:color w:val="000000"/>
                <w:vertAlign w:val="superscript"/>
              </w:rPr>
              <w:t>8</w:t>
            </w:r>
            <w:r>
              <w:rPr>
                <w:color w:val="000000"/>
                <w:vertAlign w:val="superscript"/>
              </w:rPr>
              <w:t>5m</w:t>
            </w:r>
            <w:r>
              <w:rPr>
                <w:color w:val="000000"/>
              </w:rPr>
              <w:t>Kr</w:t>
            </w:r>
          </w:p>
        </w:tc>
        <w:tc>
          <w:tcPr>
            <w:tcW w:w="1322" w:type="dxa"/>
            <w:tcBorders>
              <w:top w:val="single" w:sz="4" w:space="0" w:color="808080"/>
              <w:bottom w:val="single" w:sz="4" w:space="0" w:color="808080"/>
            </w:tcBorders>
          </w:tcPr>
          <w:p w14:paraId="0F4B6763" w14:textId="77777777" w:rsidR="008505A8" w:rsidRPr="00DA46B4" w:rsidRDefault="008505A8" w:rsidP="00324721">
            <w:pPr>
              <w:pStyle w:val="TableRow"/>
              <w:keepNext w:val="0"/>
              <w:jc w:val="center"/>
              <w:rPr>
                <w:color w:val="000000"/>
              </w:rPr>
            </w:pPr>
            <w:r w:rsidRPr="00D20B5C">
              <w:t>2.28E+13</w:t>
            </w:r>
          </w:p>
        </w:tc>
        <w:tc>
          <w:tcPr>
            <w:tcW w:w="1321" w:type="dxa"/>
            <w:tcBorders>
              <w:top w:val="single" w:sz="4" w:space="0" w:color="808080"/>
              <w:bottom w:val="single" w:sz="4" w:space="0" w:color="808080"/>
            </w:tcBorders>
          </w:tcPr>
          <w:p w14:paraId="5AC9E78D" w14:textId="77777777" w:rsidR="008505A8" w:rsidRPr="00DA46B4" w:rsidRDefault="008505A8" w:rsidP="00324721">
            <w:pPr>
              <w:pStyle w:val="TableRow"/>
              <w:keepNext w:val="0"/>
              <w:jc w:val="center"/>
              <w:rPr>
                <w:color w:val="000000"/>
              </w:rPr>
            </w:pPr>
            <w:r w:rsidRPr="00D20B5C">
              <w:t>3.83E+13</w:t>
            </w:r>
          </w:p>
        </w:tc>
        <w:tc>
          <w:tcPr>
            <w:tcW w:w="1322" w:type="dxa"/>
            <w:tcBorders>
              <w:top w:val="single" w:sz="4" w:space="0" w:color="808080"/>
              <w:bottom w:val="single" w:sz="4" w:space="0" w:color="808080"/>
            </w:tcBorders>
          </w:tcPr>
          <w:p w14:paraId="0EC4FAF8" w14:textId="77777777" w:rsidR="008505A8" w:rsidRPr="00DA46B4" w:rsidRDefault="008505A8" w:rsidP="00324721">
            <w:pPr>
              <w:pStyle w:val="TableRow"/>
              <w:keepNext w:val="0"/>
              <w:jc w:val="center"/>
              <w:rPr>
                <w:color w:val="000000"/>
              </w:rPr>
            </w:pPr>
            <w:r w:rsidRPr="00D20B5C">
              <w:t>7.52E+12</w:t>
            </w:r>
          </w:p>
        </w:tc>
        <w:tc>
          <w:tcPr>
            <w:tcW w:w="1321" w:type="dxa"/>
            <w:tcBorders>
              <w:top w:val="single" w:sz="4" w:space="0" w:color="808080"/>
              <w:bottom w:val="single" w:sz="4" w:space="0" w:color="808080"/>
            </w:tcBorders>
          </w:tcPr>
          <w:p w14:paraId="35DCC167" w14:textId="77777777" w:rsidR="008505A8" w:rsidRPr="00DA46B4" w:rsidRDefault="008505A8" w:rsidP="00324721">
            <w:pPr>
              <w:pStyle w:val="TableRow"/>
              <w:keepNext w:val="0"/>
              <w:jc w:val="center"/>
              <w:rPr>
                <w:color w:val="000000"/>
              </w:rPr>
            </w:pPr>
            <w:r w:rsidRPr="00D20B5C">
              <w:t>3.80E+12</w:t>
            </w:r>
          </w:p>
        </w:tc>
        <w:tc>
          <w:tcPr>
            <w:tcW w:w="1322" w:type="dxa"/>
            <w:tcBorders>
              <w:top w:val="single" w:sz="4" w:space="0" w:color="808080"/>
              <w:bottom w:val="single" w:sz="4" w:space="0" w:color="808080"/>
            </w:tcBorders>
          </w:tcPr>
          <w:p w14:paraId="70F466EE" w14:textId="77777777" w:rsidR="008505A8" w:rsidRPr="00766314" w:rsidRDefault="008505A8" w:rsidP="00324721">
            <w:pPr>
              <w:pStyle w:val="TableRow"/>
              <w:keepNext w:val="0"/>
              <w:jc w:val="center"/>
            </w:pPr>
            <w:r w:rsidRPr="00D20B5C">
              <w:t>3.24E+07</w:t>
            </w:r>
          </w:p>
        </w:tc>
        <w:tc>
          <w:tcPr>
            <w:tcW w:w="1322" w:type="dxa"/>
            <w:tcBorders>
              <w:top w:val="single" w:sz="4" w:space="0" w:color="808080"/>
              <w:bottom w:val="single" w:sz="4" w:space="0" w:color="808080"/>
            </w:tcBorders>
          </w:tcPr>
          <w:p w14:paraId="1B7220BD" w14:textId="0779F369" w:rsidR="008505A8" w:rsidRPr="00D20B5C" w:rsidRDefault="008505A8" w:rsidP="00324721">
            <w:pPr>
              <w:pStyle w:val="TableRow"/>
              <w:keepNext w:val="0"/>
              <w:jc w:val="center"/>
            </w:pPr>
            <w:r w:rsidRPr="00D20B5C">
              <w:t>3.57E+03</w:t>
            </w:r>
          </w:p>
        </w:tc>
      </w:tr>
      <w:tr w:rsidR="008505A8" w14:paraId="2178701D" w14:textId="045EACA9" w:rsidTr="0001411D">
        <w:trPr>
          <w:cantSplit/>
        </w:trPr>
        <w:tc>
          <w:tcPr>
            <w:tcW w:w="1418" w:type="dxa"/>
            <w:tcBorders>
              <w:top w:val="single" w:sz="4" w:space="0" w:color="808080"/>
              <w:bottom w:val="single" w:sz="4" w:space="0" w:color="808080"/>
            </w:tcBorders>
            <w:vAlign w:val="center"/>
          </w:tcPr>
          <w:p w14:paraId="78EE7CA8" w14:textId="77777777" w:rsidR="008505A8" w:rsidRPr="00195B8A" w:rsidRDefault="008505A8" w:rsidP="00324721">
            <w:pPr>
              <w:pStyle w:val="TableRow"/>
              <w:keepNext w:val="0"/>
              <w:jc w:val="center"/>
              <w:rPr>
                <w:color w:val="000000"/>
                <w:vertAlign w:val="superscript"/>
              </w:rPr>
            </w:pPr>
            <w:r w:rsidRPr="00195B8A">
              <w:rPr>
                <w:color w:val="000000"/>
                <w:vertAlign w:val="superscript"/>
              </w:rPr>
              <w:t>8</w:t>
            </w:r>
            <w:r>
              <w:rPr>
                <w:color w:val="000000"/>
                <w:vertAlign w:val="superscript"/>
              </w:rPr>
              <w:t>7</w:t>
            </w:r>
            <w:r>
              <w:rPr>
                <w:color w:val="000000"/>
              </w:rPr>
              <w:t>Kr</w:t>
            </w:r>
          </w:p>
        </w:tc>
        <w:tc>
          <w:tcPr>
            <w:tcW w:w="1322" w:type="dxa"/>
            <w:tcBorders>
              <w:top w:val="single" w:sz="4" w:space="0" w:color="808080"/>
              <w:bottom w:val="single" w:sz="4" w:space="0" w:color="808080"/>
            </w:tcBorders>
          </w:tcPr>
          <w:p w14:paraId="703134BC" w14:textId="77777777" w:rsidR="008505A8" w:rsidRPr="00DA46B4" w:rsidRDefault="008505A8" w:rsidP="00324721">
            <w:pPr>
              <w:pStyle w:val="TableRow"/>
              <w:keepNext w:val="0"/>
              <w:jc w:val="center"/>
              <w:rPr>
                <w:color w:val="000000"/>
              </w:rPr>
            </w:pPr>
            <w:r w:rsidRPr="00D20B5C">
              <w:t>3.31E+13</w:t>
            </w:r>
          </w:p>
        </w:tc>
        <w:tc>
          <w:tcPr>
            <w:tcW w:w="1321" w:type="dxa"/>
            <w:tcBorders>
              <w:top w:val="single" w:sz="4" w:space="0" w:color="808080"/>
              <w:bottom w:val="single" w:sz="4" w:space="0" w:color="808080"/>
            </w:tcBorders>
          </w:tcPr>
          <w:p w14:paraId="2AC10C4E" w14:textId="77777777" w:rsidR="008505A8" w:rsidRPr="00DA46B4" w:rsidRDefault="008505A8" w:rsidP="00324721">
            <w:pPr>
              <w:pStyle w:val="TableRow"/>
              <w:keepNext w:val="0"/>
              <w:jc w:val="center"/>
              <w:rPr>
                <w:color w:val="000000"/>
              </w:rPr>
            </w:pPr>
            <w:r w:rsidRPr="00D20B5C">
              <w:t>1.73E+13</w:t>
            </w:r>
          </w:p>
        </w:tc>
        <w:tc>
          <w:tcPr>
            <w:tcW w:w="1322" w:type="dxa"/>
            <w:tcBorders>
              <w:top w:val="single" w:sz="4" w:space="0" w:color="808080"/>
              <w:bottom w:val="single" w:sz="4" w:space="0" w:color="808080"/>
            </w:tcBorders>
          </w:tcPr>
          <w:p w14:paraId="4B01D77D" w14:textId="77777777" w:rsidR="008505A8" w:rsidRPr="00DA46B4" w:rsidRDefault="008505A8" w:rsidP="00324721">
            <w:pPr>
              <w:pStyle w:val="TableRow"/>
              <w:keepNext w:val="0"/>
              <w:jc w:val="center"/>
              <w:rPr>
                <w:color w:val="000000"/>
              </w:rPr>
            </w:pPr>
            <w:r w:rsidRPr="00D20B5C">
              <w:t>2.69E+11</w:t>
            </w:r>
          </w:p>
        </w:tc>
        <w:tc>
          <w:tcPr>
            <w:tcW w:w="1321" w:type="dxa"/>
            <w:tcBorders>
              <w:top w:val="single" w:sz="4" w:space="0" w:color="808080"/>
              <w:bottom w:val="single" w:sz="4" w:space="0" w:color="808080"/>
            </w:tcBorders>
          </w:tcPr>
          <w:p w14:paraId="20B4B75F" w14:textId="77777777" w:rsidR="008505A8" w:rsidRPr="00DA46B4" w:rsidRDefault="008505A8" w:rsidP="00324721">
            <w:pPr>
              <w:pStyle w:val="TableRow"/>
              <w:keepNext w:val="0"/>
              <w:jc w:val="center"/>
              <w:rPr>
                <w:color w:val="000000"/>
              </w:rPr>
            </w:pPr>
            <w:r w:rsidRPr="00D20B5C">
              <w:t>6.40E+08</w:t>
            </w:r>
          </w:p>
        </w:tc>
        <w:tc>
          <w:tcPr>
            <w:tcW w:w="1322" w:type="dxa"/>
            <w:tcBorders>
              <w:top w:val="single" w:sz="4" w:space="0" w:color="808080"/>
              <w:bottom w:val="single" w:sz="4" w:space="0" w:color="808080"/>
            </w:tcBorders>
          </w:tcPr>
          <w:p w14:paraId="4FEB6CA3" w14:textId="77777777" w:rsidR="008505A8" w:rsidRPr="00766314" w:rsidRDefault="008505A8" w:rsidP="00324721">
            <w:pPr>
              <w:pStyle w:val="TableRow"/>
              <w:keepNext w:val="0"/>
              <w:jc w:val="center"/>
            </w:pPr>
            <w:r w:rsidRPr="00D20B5C">
              <w:t>0.00E+00</w:t>
            </w:r>
          </w:p>
        </w:tc>
        <w:tc>
          <w:tcPr>
            <w:tcW w:w="1322" w:type="dxa"/>
            <w:tcBorders>
              <w:top w:val="single" w:sz="4" w:space="0" w:color="808080"/>
              <w:bottom w:val="single" w:sz="4" w:space="0" w:color="808080"/>
            </w:tcBorders>
          </w:tcPr>
          <w:p w14:paraId="41D7D1D8" w14:textId="7FB12F15" w:rsidR="008505A8" w:rsidRPr="00D20B5C" w:rsidRDefault="008505A8" w:rsidP="00324721">
            <w:pPr>
              <w:pStyle w:val="TableRow"/>
              <w:keepNext w:val="0"/>
              <w:jc w:val="center"/>
            </w:pPr>
            <w:r w:rsidRPr="00D20B5C">
              <w:t>0.00E+00</w:t>
            </w:r>
          </w:p>
        </w:tc>
      </w:tr>
      <w:tr w:rsidR="008505A8" w14:paraId="5A61F9BD" w14:textId="0F9A13ED" w:rsidTr="0001411D">
        <w:trPr>
          <w:cantSplit/>
        </w:trPr>
        <w:tc>
          <w:tcPr>
            <w:tcW w:w="1418" w:type="dxa"/>
            <w:tcBorders>
              <w:top w:val="single" w:sz="4" w:space="0" w:color="808080"/>
              <w:bottom w:val="single" w:sz="4" w:space="0" w:color="808080"/>
            </w:tcBorders>
            <w:vAlign w:val="center"/>
          </w:tcPr>
          <w:p w14:paraId="2471DF01" w14:textId="5A8CFE2C" w:rsidR="008505A8" w:rsidRPr="00195B8A" w:rsidRDefault="008505A8" w:rsidP="00324721">
            <w:pPr>
              <w:pStyle w:val="TableRow"/>
              <w:keepNext w:val="0"/>
              <w:jc w:val="center"/>
              <w:rPr>
                <w:color w:val="000000"/>
                <w:vertAlign w:val="superscript"/>
              </w:rPr>
            </w:pPr>
            <w:r w:rsidRPr="00195B8A">
              <w:rPr>
                <w:color w:val="000000"/>
                <w:vertAlign w:val="superscript"/>
              </w:rPr>
              <w:t>88</w:t>
            </w:r>
            <w:r>
              <w:rPr>
                <w:color w:val="000000"/>
              </w:rPr>
              <w:t>Kr</w:t>
            </w:r>
            <w:r w:rsidR="00A85E04">
              <w:rPr>
                <w:color w:val="000000"/>
              </w:rPr>
              <w:t xml:space="preserve"> *</w:t>
            </w:r>
          </w:p>
        </w:tc>
        <w:tc>
          <w:tcPr>
            <w:tcW w:w="1322" w:type="dxa"/>
            <w:tcBorders>
              <w:top w:val="single" w:sz="4" w:space="0" w:color="808080"/>
              <w:bottom w:val="single" w:sz="4" w:space="0" w:color="808080"/>
            </w:tcBorders>
          </w:tcPr>
          <w:p w14:paraId="3F84F45E" w14:textId="77777777" w:rsidR="008505A8" w:rsidRPr="00DA46B4" w:rsidRDefault="008505A8" w:rsidP="00324721">
            <w:pPr>
              <w:pStyle w:val="TableRow"/>
              <w:keepNext w:val="0"/>
              <w:jc w:val="center"/>
              <w:rPr>
                <w:color w:val="000000"/>
              </w:rPr>
            </w:pPr>
            <w:r w:rsidRPr="00D20B5C">
              <w:t>5.70E+13</w:t>
            </w:r>
          </w:p>
        </w:tc>
        <w:tc>
          <w:tcPr>
            <w:tcW w:w="1321" w:type="dxa"/>
            <w:tcBorders>
              <w:top w:val="single" w:sz="4" w:space="0" w:color="808080"/>
              <w:bottom w:val="single" w:sz="4" w:space="0" w:color="808080"/>
            </w:tcBorders>
          </w:tcPr>
          <w:p w14:paraId="6A9F8D2B" w14:textId="77777777" w:rsidR="008505A8" w:rsidRPr="00DA46B4" w:rsidRDefault="008505A8" w:rsidP="00324721">
            <w:pPr>
              <w:pStyle w:val="TableRow"/>
              <w:keepNext w:val="0"/>
              <w:jc w:val="center"/>
              <w:rPr>
                <w:color w:val="000000"/>
              </w:rPr>
            </w:pPr>
            <w:r w:rsidRPr="00D20B5C">
              <w:t>7.02E+13</w:t>
            </w:r>
          </w:p>
        </w:tc>
        <w:tc>
          <w:tcPr>
            <w:tcW w:w="1322" w:type="dxa"/>
            <w:tcBorders>
              <w:top w:val="single" w:sz="4" w:space="0" w:color="808080"/>
              <w:bottom w:val="single" w:sz="4" w:space="0" w:color="808080"/>
            </w:tcBorders>
          </w:tcPr>
          <w:p w14:paraId="05F78E5B" w14:textId="77777777" w:rsidR="008505A8" w:rsidRPr="00DA46B4" w:rsidRDefault="008505A8" w:rsidP="00324721">
            <w:pPr>
              <w:pStyle w:val="TableRow"/>
              <w:keepNext w:val="0"/>
              <w:jc w:val="center"/>
              <w:rPr>
                <w:color w:val="000000"/>
              </w:rPr>
            </w:pPr>
            <w:r w:rsidRPr="00D20B5C">
              <w:t>7.38E+12</w:t>
            </w:r>
          </w:p>
        </w:tc>
        <w:tc>
          <w:tcPr>
            <w:tcW w:w="1321" w:type="dxa"/>
            <w:tcBorders>
              <w:top w:val="single" w:sz="4" w:space="0" w:color="808080"/>
              <w:bottom w:val="single" w:sz="4" w:space="0" w:color="808080"/>
            </w:tcBorders>
          </w:tcPr>
          <w:p w14:paraId="051CE379" w14:textId="77777777" w:rsidR="008505A8" w:rsidRPr="00DA46B4" w:rsidRDefault="008505A8" w:rsidP="00324721">
            <w:pPr>
              <w:pStyle w:val="TableRow"/>
              <w:keepNext w:val="0"/>
              <w:jc w:val="center"/>
              <w:rPr>
                <w:color w:val="000000"/>
              </w:rPr>
            </w:pPr>
            <w:r w:rsidRPr="00D20B5C">
              <w:t>1.20E+12</w:t>
            </w:r>
          </w:p>
        </w:tc>
        <w:tc>
          <w:tcPr>
            <w:tcW w:w="1322" w:type="dxa"/>
            <w:tcBorders>
              <w:top w:val="single" w:sz="4" w:space="0" w:color="808080"/>
              <w:bottom w:val="single" w:sz="4" w:space="0" w:color="808080"/>
            </w:tcBorders>
          </w:tcPr>
          <w:p w14:paraId="404F4517" w14:textId="77777777" w:rsidR="008505A8" w:rsidRPr="00766314" w:rsidRDefault="008505A8" w:rsidP="00324721">
            <w:pPr>
              <w:pStyle w:val="TableRow"/>
              <w:keepNext w:val="0"/>
              <w:jc w:val="center"/>
            </w:pPr>
            <w:r w:rsidRPr="00D20B5C">
              <w:t>1.64E+04</w:t>
            </w:r>
          </w:p>
        </w:tc>
        <w:tc>
          <w:tcPr>
            <w:tcW w:w="1322" w:type="dxa"/>
            <w:tcBorders>
              <w:top w:val="single" w:sz="4" w:space="0" w:color="808080"/>
              <w:bottom w:val="single" w:sz="4" w:space="0" w:color="808080"/>
            </w:tcBorders>
          </w:tcPr>
          <w:p w14:paraId="54883444" w14:textId="28E06B8C" w:rsidR="008505A8" w:rsidRPr="00D20B5C" w:rsidRDefault="008505A8" w:rsidP="00324721">
            <w:pPr>
              <w:pStyle w:val="TableRow"/>
              <w:keepNext w:val="0"/>
              <w:jc w:val="center"/>
            </w:pPr>
            <w:r w:rsidRPr="00D20B5C">
              <w:t>0.00E+00</w:t>
            </w:r>
          </w:p>
        </w:tc>
      </w:tr>
      <w:tr w:rsidR="00A85E04" w14:paraId="72A39BB5" w14:textId="0849FF1B" w:rsidTr="0001411D">
        <w:trPr>
          <w:cantSplit/>
        </w:trPr>
        <w:tc>
          <w:tcPr>
            <w:tcW w:w="1418" w:type="dxa"/>
            <w:tcBorders>
              <w:top w:val="single" w:sz="4" w:space="0" w:color="808080"/>
              <w:bottom w:val="single" w:sz="4" w:space="0" w:color="808080"/>
            </w:tcBorders>
            <w:vAlign w:val="center"/>
          </w:tcPr>
          <w:p w14:paraId="7BB6BDE5" w14:textId="77777777" w:rsidR="00A85E04" w:rsidRPr="00195B8A" w:rsidRDefault="00A85E04" w:rsidP="00324721">
            <w:pPr>
              <w:pStyle w:val="TableRow"/>
              <w:keepNext w:val="0"/>
              <w:jc w:val="center"/>
              <w:rPr>
                <w:color w:val="000000"/>
                <w:vertAlign w:val="superscript"/>
              </w:rPr>
            </w:pPr>
            <w:r>
              <w:rPr>
                <w:color w:val="000000"/>
                <w:vertAlign w:val="superscript"/>
              </w:rPr>
              <w:t>88</w:t>
            </w:r>
            <w:r>
              <w:rPr>
                <w:color w:val="000000"/>
              </w:rPr>
              <w:t>Rb</w:t>
            </w:r>
          </w:p>
        </w:tc>
        <w:tc>
          <w:tcPr>
            <w:tcW w:w="1322" w:type="dxa"/>
            <w:tcBorders>
              <w:top w:val="single" w:sz="4" w:space="0" w:color="808080"/>
              <w:bottom w:val="single" w:sz="4" w:space="0" w:color="808080"/>
            </w:tcBorders>
          </w:tcPr>
          <w:p w14:paraId="2C9FEC29" w14:textId="77777777" w:rsidR="00A85E04" w:rsidRPr="00DA46B4" w:rsidRDefault="00A85E04" w:rsidP="00324721">
            <w:pPr>
              <w:pStyle w:val="TableRow"/>
              <w:keepNext w:val="0"/>
              <w:jc w:val="center"/>
              <w:rPr>
                <w:color w:val="000000"/>
              </w:rPr>
            </w:pPr>
            <w:r w:rsidRPr="00D20B5C">
              <w:t>4.89E+12</w:t>
            </w:r>
          </w:p>
        </w:tc>
        <w:tc>
          <w:tcPr>
            <w:tcW w:w="1321" w:type="dxa"/>
            <w:tcBorders>
              <w:top w:val="single" w:sz="4" w:space="0" w:color="808080"/>
              <w:bottom w:val="single" w:sz="4" w:space="0" w:color="808080"/>
            </w:tcBorders>
          </w:tcPr>
          <w:p w14:paraId="0E339F03" w14:textId="77777777" w:rsidR="00A85E04" w:rsidRPr="00DA46B4" w:rsidRDefault="00A85E04" w:rsidP="00324721">
            <w:pPr>
              <w:pStyle w:val="TableRow"/>
              <w:keepNext w:val="0"/>
              <w:jc w:val="center"/>
              <w:rPr>
                <w:color w:val="000000"/>
              </w:rPr>
            </w:pPr>
            <w:r w:rsidRPr="00D20B5C">
              <w:t>4.77E+08</w:t>
            </w:r>
          </w:p>
        </w:tc>
        <w:tc>
          <w:tcPr>
            <w:tcW w:w="1322" w:type="dxa"/>
            <w:tcBorders>
              <w:top w:val="single" w:sz="4" w:space="0" w:color="808080"/>
              <w:bottom w:val="single" w:sz="4" w:space="0" w:color="808080"/>
            </w:tcBorders>
          </w:tcPr>
          <w:p w14:paraId="6D67FFD1" w14:textId="77777777" w:rsidR="00A85E04" w:rsidRPr="00DA46B4" w:rsidRDefault="00A85E04" w:rsidP="00324721">
            <w:pPr>
              <w:pStyle w:val="TableRow"/>
              <w:keepNext w:val="0"/>
              <w:jc w:val="center"/>
              <w:rPr>
                <w:color w:val="000000"/>
              </w:rPr>
            </w:pPr>
            <w:r w:rsidRPr="00D20B5C">
              <w:t>1.07E+02</w:t>
            </w:r>
          </w:p>
        </w:tc>
        <w:tc>
          <w:tcPr>
            <w:tcW w:w="1321" w:type="dxa"/>
            <w:tcBorders>
              <w:top w:val="single" w:sz="4" w:space="0" w:color="808080"/>
              <w:bottom w:val="single" w:sz="4" w:space="0" w:color="808080"/>
            </w:tcBorders>
          </w:tcPr>
          <w:p w14:paraId="49CDEAF0" w14:textId="77777777" w:rsidR="00A85E04" w:rsidRPr="00DA46B4" w:rsidRDefault="00A85E04" w:rsidP="00324721">
            <w:pPr>
              <w:pStyle w:val="TableRow"/>
              <w:keepNext w:val="0"/>
              <w:jc w:val="center"/>
              <w:rPr>
                <w:color w:val="000000"/>
              </w:rPr>
            </w:pPr>
            <w:r w:rsidRPr="00D20B5C">
              <w:t>0.00E+00</w:t>
            </w:r>
          </w:p>
        </w:tc>
        <w:tc>
          <w:tcPr>
            <w:tcW w:w="1322" w:type="dxa"/>
            <w:tcBorders>
              <w:top w:val="single" w:sz="4" w:space="0" w:color="808080"/>
              <w:bottom w:val="single" w:sz="4" w:space="0" w:color="808080"/>
            </w:tcBorders>
          </w:tcPr>
          <w:p w14:paraId="7BBAD652" w14:textId="77777777" w:rsidR="00A85E04" w:rsidRPr="00766314" w:rsidRDefault="00A85E04" w:rsidP="00324721">
            <w:pPr>
              <w:pStyle w:val="TableRow"/>
              <w:keepNext w:val="0"/>
              <w:jc w:val="center"/>
            </w:pPr>
            <w:r w:rsidRPr="00D20B5C">
              <w:t>0.00E+00</w:t>
            </w:r>
          </w:p>
        </w:tc>
        <w:tc>
          <w:tcPr>
            <w:tcW w:w="1322" w:type="dxa"/>
            <w:tcBorders>
              <w:top w:val="single" w:sz="4" w:space="0" w:color="808080"/>
              <w:bottom w:val="single" w:sz="4" w:space="0" w:color="808080"/>
            </w:tcBorders>
          </w:tcPr>
          <w:p w14:paraId="507BE0D9" w14:textId="2FE63C3A" w:rsidR="00A85E04" w:rsidRPr="00D20B5C" w:rsidRDefault="00A85E04" w:rsidP="00324721">
            <w:pPr>
              <w:pStyle w:val="TableRow"/>
              <w:keepNext w:val="0"/>
              <w:jc w:val="center"/>
            </w:pPr>
            <w:r w:rsidRPr="00D20B5C">
              <w:t>0.00E+00</w:t>
            </w:r>
          </w:p>
        </w:tc>
      </w:tr>
      <w:tr w:rsidR="00A85E04" w14:paraId="237215E2" w14:textId="3B6DB921" w:rsidTr="0001411D">
        <w:trPr>
          <w:cantSplit/>
        </w:trPr>
        <w:tc>
          <w:tcPr>
            <w:tcW w:w="1418" w:type="dxa"/>
            <w:tcBorders>
              <w:top w:val="single" w:sz="4" w:space="0" w:color="808080"/>
              <w:bottom w:val="single" w:sz="4" w:space="0" w:color="808080"/>
            </w:tcBorders>
            <w:vAlign w:val="center"/>
          </w:tcPr>
          <w:p w14:paraId="09995B67" w14:textId="77777777" w:rsidR="00A85E04" w:rsidRPr="00195B8A" w:rsidRDefault="00A85E04" w:rsidP="00324721">
            <w:pPr>
              <w:pStyle w:val="TableRow"/>
              <w:keepNext w:val="0"/>
              <w:jc w:val="center"/>
              <w:rPr>
                <w:color w:val="000000"/>
                <w:vertAlign w:val="superscript"/>
              </w:rPr>
            </w:pPr>
            <w:r>
              <w:rPr>
                <w:color w:val="000000"/>
                <w:vertAlign w:val="superscript"/>
              </w:rPr>
              <w:t>89</w:t>
            </w:r>
            <w:r>
              <w:rPr>
                <w:color w:val="000000"/>
              </w:rPr>
              <w:t>Rb</w:t>
            </w:r>
          </w:p>
        </w:tc>
        <w:tc>
          <w:tcPr>
            <w:tcW w:w="1322" w:type="dxa"/>
            <w:tcBorders>
              <w:top w:val="single" w:sz="4" w:space="0" w:color="808080"/>
              <w:bottom w:val="single" w:sz="4" w:space="0" w:color="808080"/>
            </w:tcBorders>
          </w:tcPr>
          <w:p w14:paraId="5B544094" w14:textId="77777777" w:rsidR="00A85E04" w:rsidRPr="00DA46B4" w:rsidRDefault="00A85E04" w:rsidP="00324721">
            <w:pPr>
              <w:pStyle w:val="TableRow"/>
              <w:keepNext w:val="0"/>
              <w:jc w:val="center"/>
              <w:rPr>
                <w:color w:val="000000"/>
              </w:rPr>
            </w:pPr>
            <w:r w:rsidRPr="00D20B5C">
              <w:t>6.05E+12</w:t>
            </w:r>
          </w:p>
        </w:tc>
        <w:tc>
          <w:tcPr>
            <w:tcW w:w="1321" w:type="dxa"/>
            <w:tcBorders>
              <w:top w:val="single" w:sz="4" w:space="0" w:color="808080"/>
              <w:bottom w:val="single" w:sz="4" w:space="0" w:color="808080"/>
            </w:tcBorders>
          </w:tcPr>
          <w:p w14:paraId="4A3E5684" w14:textId="77777777" w:rsidR="00A85E04" w:rsidRPr="00DA46B4" w:rsidRDefault="00A85E04" w:rsidP="00324721">
            <w:pPr>
              <w:pStyle w:val="TableRow"/>
              <w:keepNext w:val="0"/>
              <w:jc w:val="center"/>
              <w:rPr>
                <w:color w:val="000000"/>
              </w:rPr>
            </w:pPr>
            <w:r w:rsidRPr="00D20B5C">
              <w:t>2.55E+08</w:t>
            </w:r>
          </w:p>
        </w:tc>
        <w:tc>
          <w:tcPr>
            <w:tcW w:w="1322" w:type="dxa"/>
            <w:tcBorders>
              <w:top w:val="single" w:sz="4" w:space="0" w:color="808080"/>
              <w:bottom w:val="single" w:sz="4" w:space="0" w:color="808080"/>
            </w:tcBorders>
          </w:tcPr>
          <w:p w14:paraId="5489DD3E" w14:textId="77777777" w:rsidR="00A85E04" w:rsidRPr="00DA46B4" w:rsidRDefault="00A85E04" w:rsidP="00324721">
            <w:pPr>
              <w:pStyle w:val="TableRow"/>
              <w:keepNext w:val="0"/>
              <w:jc w:val="center"/>
              <w:rPr>
                <w:color w:val="000000"/>
              </w:rPr>
            </w:pPr>
            <w:r w:rsidRPr="00D20B5C">
              <w:t>5.58E+00</w:t>
            </w:r>
          </w:p>
        </w:tc>
        <w:tc>
          <w:tcPr>
            <w:tcW w:w="1321" w:type="dxa"/>
            <w:tcBorders>
              <w:top w:val="single" w:sz="4" w:space="0" w:color="808080"/>
              <w:bottom w:val="single" w:sz="4" w:space="0" w:color="808080"/>
            </w:tcBorders>
          </w:tcPr>
          <w:p w14:paraId="47F984D1" w14:textId="77777777" w:rsidR="00A85E04" w:rsidRPr="00DA46B4" w:rsidRDefault="00A85E04" w:rsidP="00324721">
            <w:pPr>
              <w:pStyle w:val="TableRow"/>
              <w:keepNext w:val="0"/>
              <w:jc w:val="center"/>
              <w:rPr>
                <w:color w:val="000000"/>
              </w:rPr>
            </w:pPr>
            <w:r w:rsidRPr="00D20B5C">
              <w:t>0.00E+00</w:t>
            </w:r>
          </w:p>
        </w:tc>
        <w:tc>
          <w:tcPr>
            <w:tcW w:w="1322" w:type="dxa"/>
            <w:tcBorders>
              <w:top w:val="single" w:sz="4" w:space="0" w:color="808080"/>
              <w:bottom w:val="single" w:sz="4" w:space="0" w:color="808080"/>
            </w:tcBorders>
          </w:tcPr>
          <w:p w14:paraId="4A6911FA" w14:textId="77777777" w:rsidR="00A85E04" w:rsidRPr="00766314" w:rsidRDefault="00A85E04" w:rsidP="00324721">
            <w:pPr>
              <w:pStyle w:val="TableRow"/>
              <w:keepNext w:val="0"/>
              <w:jc w:val="center"/>
            </w:pPr>
            <w:r w:rsidRPr="00D20B5C">
              <w:t>0.00E+00</w:t>
            </w:r>
          </w:p>
        </w:tc>
        <w:tc>
          <w:tcPr>
            <w:tcW w:w="1322" w:type="dxa"/>
            <w:tcBorders>
              <w:top w:val="single" w:sz="4" w:space="0" w:color="808080"/>
              <w:bottom w:val="single" w:sz="4" w:space="0" w:color="808080"/>
            </w:tcBorders>
          </w:tcPr>
          <w:p w14:paraId="42BDA203" w14:textId="09C93FEB" w:rsidR="00A85E04" w:rsidRPr="00D20B5C" w:rsidRDefault="00A85E04" w:rsidP="00324721">
            <w:pPr>
              <w:pStyle w:val="TableRow"/>
              <w:keepNext w:val="0"/>
              <w:jc w:val="center"/>
            </w:pPr>
            <w:r w:rsidRPr="00D20B5C">
              <w:t>0.00E+00</w:t>
            </w:r>
          </w:p>
        </w:tc>
      </w:tr>
      <w:tr w:rsidR="00A85E04" w14:paraId="76606518" w14:textId="7FFD2607" w:rsidTr="0001411D">
        <w:trPr>
          <w:cantSplit/>
        </w:trPr>
        <w:tc>
          <w:tcPr>
            <w:tcW w:w="1418" w:type="dxa"/>
            <w:tcBorders>
              <w:top w:val="single" w:sz="4" w:space="0" w:color="808080"/>
              <w:bottom w:val="single" w:sz="4" w:space="0" w:color="808080"/>
            </w:tcBorders>
            <w:vAlign w:val="center"/>
          </w:tcPr>
          <w:p w14:paraId="6ABE551E" w14:textId="77777777" w:rsidR="00A85E04" w:rsidRPr="00195B8A" w:rsidRDefault="00A85E04" w:rsidP="00324721">
            <w:pPr>
              <w:pStyle w:val="TableRow"/>
              <w:keepNext w:val="0"/>
              <w:jc w:val="center"/>
              <w:rPr>
                <w:color w:val="000000"/>
                <w:vertAlign w:val="superscript"/>
              </w:rPr>
            </w:pPr>
            <w:r w:rsidRPr="00195B8A">
              <w:rPr>
                <w:color w:val="000000"/>
                <w:vertAlign w:val="superscript"/>
              </w:rPr>
              <w:t>13</w:t>
            </w:r>
            <w:r>
              <w:rPr>
                <w:color w:val="000000"/>
                <w:vertAlign w:val="superscript"/>
              </w:rPr>
              <w:t>1m</w:t>
            </w:r>
            <w:r>
              <w:rPr>
                <w:color w:val="000000"/>
              </w:rPr>
              <w:t>Xe</w:t>
            </w:r>
          </w:p>
        </w:tc>
        <w:tc>
          <w:tcPr>
            <w:tcW w:w="1322" w:type="dxa"/>
            <w:tcBorders>
              <w:top w:val="single" w:sz="4" w:space="0" w:color="808080"/>
              <w:bottom w:val="single" w:sz="4" w:space="0" w:color="808080"/>
            </w:tcBorders>
          </w:tcPr>
          <w:p w14:paraId="22D44DD2" w14:textId="77777777" w:rsidR="00A85E04" w:rsidRPr="00DA46B4" w:rsidRDefault="00A85E04" w:rsidP="00324721">
            <w:pPr>
              <w:pStyle w:val="TableRow"/>
              <w:keepNext w:val="0"/>
              <w:jc w:val="center"/>
              <w:rPr>
                <w:color w:val="000000"/>
              </w:rPr>
            </w:pPr>
            <w:r w:rsidRPr="00D20B5C">
              <w:t>7.58E+11</w:t>
            </w:r>
          </w:p>
        </w:tc>
        <w:tc>
          <w:tcPr>
            <w:tcW w:w="1321" w:type="dxa"/>
            <w:tcBorders>
              <w:top w:val="single" w:sz="4" w:space="0" w:color="808080"/>
              <w:bottom w:val="single" w:sz="4" w:space="0" w:color="808080"/>
            </w:tcBorders>
          </w:tcPr>
          <w:p w14:paraId="45BA36AC" w14:textId="77777777" w:rsidR="00A85E04" w:rsidRPr="00DA46B4" w:rsidRDefault="00A85E04" w:rsidP="00324721">
            <w:pPr>
              <w:pStyle w:val="TableRow"/>
              <w:keepNext w:val="0"/>
              <w:jc w:val="center"/>
              <w:rPr>
                <w:color w:val="000000"/>
              </w:rPr>
            </w:pPr>
            <w:r w:rsidRPr="00D20B5C">
              <w:t>2.31E+12</w:t>
            </w:r>
          </w:p>
        </w:tc>
        <w:tc>
          <w:tcPr>
            <w:tcW w:w="1322" w:type="dxa"/>
            <w:tcBorders>
              <w:top w:val="single" w:sz="4" w:space="0" w:color="808080"/>
              <w:bottom w:val="single" w:sz="4" w:space="0" w:color="808080"/>
            </w:tcBorders>
          </w:tcPr>
          <w:p w14:paraId="13D045F8" w14:textId="77777777" w:rsidR="00A85E04" w:rsidRPr="00DA46B4" w:rsidRDefault="00A85E04" w:rsidP="00324721">
            <w:pPr>
              <w:pStyle w:val="TableRow"/>
              <w:keepNext w:val="0"/>
              <w:jc w:val="center"/>
              <w:rPr>
                <w:color w:val="000000"/>
              </w:rPr>
            </w:pPr>
            <w:r w:rsidRPr="00D20B5C">
              <w:t>1.77E+12</w:t>
            </w:r>
          </w:p>
        </w:tc>
        <w:tc>
          <w:tcPr>
            <w:tcW w:w="1321" w:type="dxa"/>
            <w:tcBorders>
              <w:top w:val="single" w:sz="4" w:space="0" w:color="808080"/>
              <w:bottom w:val="single" w:sz="4" w:space="0" w:color="808080"/>
            </w:tcBorders>
          </w:tcPr>
          <w:p w14:paraId="3818FAA2" w14:textId="77777777" w:rsidR="00A85E04" w:rsidRPr="00DA46B4" w:rsidRDefault="00A85E04" w:rsidP="00324721">
            <w:pPr>
              <w:pStyle w:val="TableRow"/>
              <w:keepNext w:val="0"/>
              <w:jc w:val="center"/>
              <w:rPr>
                <w:color w:val="000000"/>
              </w:rPr>
            </w:pPr>
            <w:r w:rsidRPr="00D20B5C">
              <w:t>6.34E+12</w:t>
            </w:r>
          </w:p>
        </w:tc>
        <w:tc>
          <w:tcPr>
            <w:tcW w:w="1322" w:type="dxa"/>
            <w:tcBorders>
              <w:top w:val="single" w:sz="4" w:space="0" w:color="808080"/>
              <w:bottom w:val="single" w:sz="4" w:space="0" w:color="808080"/>
            </w:tcBorders>
          </w:tcPr>
          <w:p w14:paraId="3153F3E4" w14:textId="77777777" w:rsidR="00A85E04" w:rsidRPr="00766314" w:rsidRDefault="00A85E04" w:rsidP="00324721">
            <w:pPr>
              <w:pStyle w:val="TableRow"/>
              <w:keepNext w:val="0"/>
              <w:jc w:val="center"/>
            </w:pPr>
            <w:r w:rsidRPr="00D20B5C">
              <w:t>3.83E+12</w:t>
            </w:r>
          </w:p>
        </w:tc>
        <w:tc>
          <w:tcPr>
            <w:tcW w:w="1322" w:type="dxa"/>
            <w:tcBorders>
              <w:top w:val="single" w:sz="4" w:space="0" w:color="808080"/>
              <w:bottom w:val="single" w:sz="4" w:space="0" w:color="808080"/>
            </w:tcBorders>
          </w:tcPr>
          <w:p w14:paraId="3F9ADD34" w14:textId="7C748F3B" w:rsidR="00A85E04" w:rsidRPr="00D20B5C" w:rsidRDefault="00A85E04" w:rsidP="00324721">
            <w:pPr>
              <w:pStyle w:val="TableRow"/>
              <w:keepNext w:val="0"/>
              <w:jc w:val="center"/>
            </w:pPr>
            <w:r w:rsidRPr="00D20B5C">
              <w:t>1.67E+13</w:t>
            </w:r>
          </w:p>
        </w:tc>
      </w:tr>
      <w:tr w:rsidR="00A85E04" w14:paraId="578E828E" w14:textId="3324EB8F" w:rsidTr="0001411D">
        <w:trPr>
          <w:cantSplit/>
        </w:trPr>
        <w:tc>
          <w:tcPr>
            <w:tcW w:w="1418" w:type="dxa"/>
            <w:tcBorders>
              <w:top w:val="single" w:sz="4" w:space="0" w:color="808080"/>
              <w:bottom w:val="single" w:sz="4" w:space="0" w:color="808080"/>
            </w:tcBorders>
            <w:vAlign w:val="center"/>
          </w:tcPr>
          <w:p w14:paraId="6B134460" w14:textId="77777777" w:rsidR="00A85E04" w:rsidRDefault="00A85E04" w:rsidP="00324721">
            <w:pPr>
              <w:pStyle w:val="TableRow"/>
              <w:keepNext w:val="0"/>
              <w:jc w:val="center"/>
              <w:rPr>
                <w:color w:val="000000"/>
              </w:rPr>
            </w:pPr>
            <w:r w:rsidRPr="00195B8A">
              <w:rPr>
                <w:color w:val="000000"/>
                <w:vertAlign w:val="superscript"/>
              </w:rPr>
              <w:t>13</w:t>
            </w:r>
            <w:r>
              <w:rPr>
                <w:color w:val="000000"/>
                <w:vertAlign w:val="superscript"/>
              </w:rPr>
              <w:t>3</w:t>
            </w:r>
            <w:r>
              <w:rPr>
                <w:color w:val="000000"/>
              </w:rPr>
              <w:t>Xe</w:t>
            </w:r>
          </w:p>
        </w:tc>
        <w:tc>
          <w:tcPr>
            <w:tcW w:w="1322" w:type="dxa"/>
            <w:tcBorders>
              <w:top w:val="single" w:sz="4" w:space="0" w:color="808080"/>
              <w:bottom w:val="single" w:sz="4" w:space="0" w:color="808080"/>
            </w:tcBorders>
          </w:tcPr>
          <w:p w14:paraId="5D32FE0D" w14:textId="77777777" w:rsidR="00A85E04" w:rsidRPr="00DA46B4" w:rsidRDefault="00A85E04" w:rsidP="00324721">
            <w:pPr>
              <w:pStyle w:val="TableRow"/>
              <w:keepNext w:val="0"/>
              <w:jc w:val="center"/>
              <w:rPr>
                <w:color w:val="000000"/>
              </w:rPr>
            </w:pPr>
            <w:r w:rsidRPr="00D20B5C">
              <w:t>1.34E+14</w:t>
            </w:r>
          </w:p>
        </w:tc>
        <w:tc>
          <w:tcPr>
            <w:tcW w:w="1321" w:type="dxa"/>
            <w:tcBorders>
              <w:top w:val="single" w:sz="4" w:space="0" w:color="808080"/>
              <w:bottom w:val="single" w:sz="4" w:space="0" w:color="808080"/>
            </w:tcBorders>
          </w:tcPr>
          <w:p w14:paraId="08491736" w14:textId="77777777" w:rsidR="00A85E04" w:rsidRPr="00DA46B4" w:rsidRDefault="00A85E04" w:rsidP="00324721">
            <w:pPr>
              <w:pStyle w:val="TableRow"/>
              <w:keepNext w:val="0"/>
              <w:jc w:val="center"/>
              <w:rPr>
                <w:color w:val="000000"/>
              </w:rPr>
            </w:pPr>
            <w:r w:rsidRPr="00D20B5C">
              <w:t>4.03E+14</w:t>
            </w:r>
          </w:p>
        </w:tc>
        <w:tc>
          <w:tcPr>
            <w:tcW w:w="1322" w:type="dxa"/>
            <w:tcBorders>
              <w:top w:val="single" w:sz="4" w:space="0" w:color="808080"/>
              <w:bottom w:val="single" w:sz="4" w:space="0" w:color="808080"/>
            </w:tcBorders>
          </w:tcPr>
          <w:p w14:paraId="770C27F7" w14:textId="77777777" w:rsidR="00A85E04" w:rsidRPr="00DA46B4" w:rsidRDefault="00A85E04" w:rsidP="00324721">
            <w:pPr>
              <w:pStyle w:val="TableRow"/>
              <w:keepNext w:val="0"/>
              <w:jc w:val="center"/>
              <w:rPr>
                <w:color w:val="000000"/>
              </w:rPr>
            </w:pPr>
            <w:r w:rsidRPr="00D20B5C">
              <w:t>3.00E+14</w:t>
            </w:r>
          </w:p>
        </w:tc>
        <w:tc>
          <w:tcPr>
            <w:tcW w:w="1321" w:type="dxa"/>
            <w:tcBorders>
              <w:top w:val="single" w:sz="4" w:space="0" w:color="808080"/>
              <w:bottom w:val="single" w:sz="4" w:space="0" w:color="808080"/>
            </w:tcBorders>
          </w:tcPr>
          <w:p w14:paraId="28661529" w14:textId="77777777" w:rsidR="00A85E04" w:rsidRPr="00DA46B4" w:rsidRDefault="00A85E04" w:rsidP="00324721">
            <w:pPr>
              <w:pStyle w:val="TableRow"/>
              <w:keepNext w:val="0"/>
              <w:jc w:val="center"/>
              <w:rPr>
                <w:color w:val="000000"/>
              </w:rPr>
            </w:pPr>
            <w:r w:rsidRPr="00D20B5C">
              <w:t>9.76E+14</w:t>
            </w:r>
          </w:p>
        </w:tc>
        <w:tc>
          <w:tcPr>
            <w:tcW w:w="1322" w:type="dxa"/>
            <w:tcBorders>
              <w:top w:val="single" w:sz="4" w:space="0" w:color="808080"/>
              <w:bottom w:val="single" w:sz="4" w:space="0" w:color="808080"/>
            </w:tcBorders>
          </w:tcPr>
          <w:p w14:paraId="6F46850E" w14:textId="77777777" w:rsidR="00A85E04" w:rsidRPr="00746C4B" w:rsidRDefault="00A85E04" w:rsidP="00324721">
            <w:pPr>
              <w:pStyle w:val="TableRow"/>
              <w:keepNext w:val="0"/>
              <w:jc w:val="center"/>
            </w:pPr>
            <w:r w:rsidRPr="00D20B5C">
              <w:t>4.61E+14</w:t>
            </w:r>
          </w:p>
        </w:tc>
        <w:tc>
          <w:tcPr>
            <w:tcW w:w="1322" w:type="dxa"/>
            <w:tcBorders>
              <w:top w:val="single" w:sz="4" w:space="0" w:color="808080"/>
              <w:bottom w:val="single" w:sz="4" w:space="0" w:color="808080"/>
            </w:tcBorders>
          </w:tcPr>
          <w:p w14:paraId="48E144DE" w14:textId="7CBC4332" w:rsidR="00A85E04" w:rsidRPr="00D20B5C" w:rsidRDefault="00A85E04" w:rsidP="00324721">
            <w:pPr>
              <w:pStyle w:val="TableRow"/>
              <w:keepNext w:val="0"/>
              <w:jc w:val="center"/>
            </w:pPr>
            <w:r w:rsidRPr="00D20B5C">
              <w:t>1.48E+15</w:t>
            </w:r>
          </w:p>
        </w:tc>
      </w:tr>
      <w:tr w:rsidR="00A85E04" w14:paraId="44DFAC85" w14:textId="051BE260" w:rsidTr="0001411D">
        <w:trPr>
          <w:cantSplit/>
        </w:trPr>
        <w:tc>
          <w:tcPr>
            <w:tcW w:w="1418" w:type="dxa"/>
            <w:tcBorders>
              <w:top w:val="single" w:sz="4" w:space="0" w:color="808080"/>
              <w:bottom w:val="single" w:sz="4" w:space="0" w:color="808080"/>
            </w:tcBorders>
            <w:vAlign w:val="center"/>
          </w:tcPr>
          <w:p w14:paraId="113371E8" w14:textId="77777777" w:rsidR="00A85E04" w:rsidRDefault="00A85E04" w:rsidP="00324721">
            <w:pPr>
              <w:pStyle w:val="TableRow"/>
              <w:keepNext w:val="0"/>
              <w:jc w:val="center"/>
              <w:rPr>
                <w:color w:val="000000"/>
              </w:rPr>
            </w:pPr>
            <w:r w:rsidRPr="00195B8A">
              <w:rPr>
                <w:color w:val="000000"/>
                <w:vertAlign w:val="superscript"/>
              </w:rPr>
              <w:t>133</w:t>
            </w:r>
            <w:r>
              <w:rPr>
                <w:color w:val="000000"/>
                <w:vertAlign w:val="superscript"/>
              </w:rPr>
              <w:t>m</w:t>
            </w:r>
            <w:r>
              <w:rPr>
                <w:color w:val="000000"/>
              </w:rPr>
              <w:t>Xe</w:t>
            </w:r>
          </w:p>
        </w:tc>
        <w:tc>
          <w:tcPr>
            <w:tcW w:w="1322" w:type="dxa"/>
            <w:tcBorders>
              <w:top w:val="single" w:sz="4" w:space="0" w:color="808080"/>
              <w:bottom w:val="single" w:sz="4" w:space="0" w:color="808080"/>
            </w:tcBorders>
          </w:tcPr>
          <w:p w14:paraId="7DA58F78" w14:textId="77777777" w:rsidR="00A85E04" w:rsidRPr="00DA46B4" w:rsidRDefault="00A85E04" w:rsidP="00324721">
            <w:pPr>
              <w:pStyle w:val="TableRow"/>
              <w:keepNext w:val="0"/>
              <w:jc w:val="center"/>
              <w:rPr>
                <w:color w:val="000000"/>
              </w:rPr>
            </w:pPr>
            <w:r w:rsidRPr="00D20B5C">
              <w:t>4.00E+12</w:t>
            </w:r>
          </w:p>
        </w:tc>
        <w:tc>
          <w:tcPr>
            <w:tcW w:w="1321" w:type="dxa"/>
            <w:tcBorders>
              <w:top w:val="single" w:sz="4" w:space="0" w:color="808080"/>
              <w:bottom w:val="single" w:sz="4" w:space="0" w:color="808080"/>
            </w:tcBorders>
          </w:tcPr>
          <w:p w14:paraId="537DE5A7" w14:textId="77777777" w:rsidR="00A85E04" w:rsidRPr="00DA46B4" w:rsidRDefault="00A85E04" w:rsidP="00324721">
            <w:pPr>
              <w:pStyle w:val="TableRow"/>
              <w:keepNext w:val="0"/>
              <w:jc w:val="center"/>
              <w:rPr>
                <w:color w:val="000000"/>
              </w:rPr>
            </w:pPr>
            <w:r w:rsidRPr="00D20B5C">
              <w:t>1.17E+13</w:t>
            </w:r>
          </w:p>
        </w:tc>
        <w:tc>
          <w:tcPr>
            <w:tcW w:w="1322" w:type="dxa"/>
            <w:tcBorders>
              <w:top w:val="single" w:sz="4" w:space="0" w:color="808080"/>
              <w:bottom w:val="single" w:sz="4" w:space="0" w:color="808080"/>
            </w:tcBorders>
          </w:tcPr>
          <w:p w14:paraId="1FE029A3" w14:textId="77777777" w:rsidR="00A85E04" w:rsidRPr="00DA46B4" w:rsidRDefault="00A85E04" w:rsidP="00324721">
            <w:pPr>
              <w:pStyle w:val="TableRow"/>
              <w:keepNext w:val="0"/>
              <w:jc w:val="center"/>
              <w:rPr>
                <w:color w:val="000000"/>
              </w:rPr>
            </w:pPr>
            <w:r w:rsidRPr="00D20B5C">
              <w:t>7.96E+12</w:t>
            </w:r>
          </w:p>
        </w:tc>
        <w:tc>
          <w:tcPr>
            <w:tcW w:w="1321" w:type="dxa"/>
            <w:tcBorders>
              <w:top w:val="single" w:sz="4" w:space="0" w:color="808080"/>
              <w:bottom w:val="single" w:sz="4" w:space="0" w:color="808080"/>
            </w:tcBorders>
          </w:tcPr>
          <w:p w14:paraId="75AA1041" w14:textId="77777777" w:rsidR="00A85E04" w:rsidRPr="00DA46B4" w:rsidRDefault="00A85E04" w:rsidP="00324721">
            <w:pPr>
              <w:pStyle w:val="TableRow"/>
              <w:keepNext w:val="0"/>
              <w:jc w:val="center"/>
              <w:rPr>
                <w:color w:val="000000"/>
              </w:rPr>
            </w:pPr>
            <w:r w:rsidRPr="00D20B5C">
              <w:t>2.15E+13</w:t>
            </w:r>
          </w:p>
        </w:tc>
        <w:tc>
          <w:tcPr>
            <w:tcW w:w="1322" w:type="dxa"/>
            <w:tcBorders>
              <w:top w:val="single" w:sz="4" w:space="0" w:color="808080"/>
              <w:bottom w:val="single" w:sz="4" w:space="0" w:color="808080"/>
            </w:tcBorders>
          </w:tcPr>
          <w:p w14:paraId="183E76BE" w14:textId="77777777" w:rsidR="00A85E04" w:rsidRPr="00EF63DF" w:rsidRDefault="00A85E04" w:rsidP="00324721">
            <w:pPr>
              <w:pStyle w:val="TableRow"/>
              <w:keepNext w:val="0"/>
              <w:jc w:val="center"/>
            </w:pPr>
            <w:r w:rsidRPr="00D20B5C">
              <w:t>5.49E+12</w:t>
            </w:r>
          </w:p>
        </w:tc>
        <w:tc>
          <w:tcPr>
            <w:tcW w:w="1322" w:type="dxa"/>
            <w:tcBorders>
              <w:top w:val="single" w:sz="4" w:space="0" w:color="808080"/>
              <w:bottom w:val="single" w:sz="4" w:space="0" w:color="808080"/>
            </w:tcBorders>
          </w:tcPr>
          <w:p w14:paraId="31A5CAD7" w14:textId="4769B2D4" w:rsidR="00A85E04" w:rsidRPr="00D20B5C" w:rsidRDefault="00A85E04" w:rsidP="00324721">
            <w:pPr>
              <w:pStyle w:val="TableRow"/>
              <w:keepNext w:val="0"/>
              <w:jc w:val="center"/>
            </w:pPr>
            <w:r w:rsidRPr="00D20B5C">
              <w:t>1.17E+13</w:t>
            </w:r>
          </w:p>
        </w:tc>
      </w:tr>
      <w:tr w:rsidR="00A85E04" w14:paraId="44158F25" w14:textId="40636B07" w:rsidTr="0001411D">
        <w:trPr>
          <w:cantSplit/>
        </w:trPr>
        <w:tc>
          <w:tcPr>
            <w:tcW w:w="1418" w:type="dxa"/>
            <w:tcBorders>
              <w:top w:val="single" w:sz="4" w:space="0" w:color="808080"/>
              <w:bottom w:val="single" w:sz="4" w:space="0" w:color="808080"/>
            </w:tcBorders>
            <w:vAlign w:val="center"/>
          </w:tcPr>
          <w:p w14:paraId="53EA341F" w14:textId="77777777" w:rsidR="00A85E04" w:rsidRDefault="00A85E04" w:rsidP="00324721">
            <w:pPr>
              <w:pStyle w:val="TableRow"/>
              <w:keepNext w:val="0"/>
              <w:jc w:val="center"/>
              <w:rPr>
                <w:color w:val="000000"/>
              </w:rPr>
            </w:pPr>
            <w:r w:rsidRPr="00195B8A">
              <w:rPr>
                <w:color w:val="000000"/>
                <w:vertAlign w:val="superscript"/>
              </w:rPr>
              <w:t>135</w:t>
            </w:r>
            <w:r>
              <w:rPr>
                <w:color w:val="000000"/>
              </w:rPr>
              <w:t>Xe</w:t>
            </w:r>
          </w:p>
        </w:tc>
        <w:tc>
          <w:tcPr>
            <w:tcW w:w="1322" w:type="dxa"/>
            <w:tcBorders>
              <w:top w:val="single" w:sz="4" w:space="0" w:color="808080"/>
              <w:bottom w:val="single" w:sz="4" w:space="0" w:color="808080"/>
            </w:tcBorders>
          </w:tcPr>
          <w:p w14:paraId="5ADE5FE1" w14:textId="77777777" w:rsidR="00A85E04" w:rsidRPr="00DA46B4" w:rsidRDefault="00A85E04" w:rsidP="00324721">
            <w:pPr>
              <w:pStyle w:val="TableRow"/>
              <w:keepNext w:val="0"/>
              <w:jc w:val="center"/>
              <w:rPr>
                <w:color w:val="000000"/>
              </w:rPr>
            </w:pPr>
            <w:r w:rsidRPr="00D20B5C">
              <w:t>4.18E+13</w:t>
            </w:r>
          </w:p>
        </w:tc>
        <w:tc>
          <w:tcPr>
            <w:tcW w:w="1321" w:type="dxa"/>
            <w:tcBorders>
              <w:top w:val="single" w:sz="4" w:space="0" w:color="808080"/>
              <w:bottom w:val="single" w:sz="4" w:space="0" w:color="808080"/>
            </w:tcBorders>
          </w:tcPr>
          <w:p w14:paraId="201113AE" w14:textId="77777777" w:rsidR="00A85E04" w:rsidRPr="00DA46B4" w:rsidRDefault="00A85E04" w:rsidP="00324721">
            <w:pPr>
              <w:pStyle w:val="TableRow"/>
              <w:keepNext w:val="0"/>
              <w:jc w:val="center"/>
              <w:rPr>
                <w:color w:val="000000"/>
              </w:rPr>
            </w:pPr>
            <w:r w:rsidRPr="00D20B5C">
              <w:t>9.43E+13</w:t>
            </w:r>
          </w:p>
        </w:tc>
        <w:tc>
          <w:tcPr>
            <w:tcW w:w="1322" w:type="dxa"/>
            <w:tcBorders>
              <w:top w:val="single" w:sz="4" w:space="0" w:color="808080"/>
              <w:bottom w:val="single" w:sz="4" w:space="0" w:color="808080"/>
            </w:tcBorders>
          </w:tcPr>
          <w:p w14:paraId="4A2CC4FD" w14:textId="77777777" w:rsidR="00A85E04" w:rsidRPr="00DA46B4" w:rsidRDefault="00A85E04" w:rsidP="00324721">
            <w:pPr>
              <w:pStyle w:val="TableRow"/>
              <w:keepNext w:val="0"/>
              <w:jc w:val="center"/>
              <w:rPr>
                <w:color w:val="000000"/>
              </w:rPr>
            </w:pPr>
            <w:r w:rsidRPr="00D20B5C">
              <w:t>3.48E+13</w:t>
            </w:r>
          </w:p>
        </w:tc>
        <w:tc>
          <w:tcPr>
            <w:tcW w:w="1321" w:type="dxa"/>
            <w:tcBorders>
              <w:top w:val="single" w:sz="4" w:space="0" w:color="808080"/>
              <w:bottom w:val="single" w:sz="4" w:space="0" w:color="808080"/>
            </w:tcBorders>
          </w:tcPr>
          <w:p w14:paraId="328E0264" w14:textId="77777777" w:rsidR="00A85E04" w:rsidRPr="00DA46B4" w:rsidRDefault="00A85E04" w:rsidP="00324721">
            <w:pPr>
              <w:pStyle w:val="TableRow"/>
              <w:keepNext w:val="0"/>
              <w:jc w:val="center"/>
              <w:rPr>
                <w:color w:val="000000"/>
              </w:rPr>
            </w:pPr>
            <w:r w:rsidRPr="00D20B5C">
              <w:t>4.27E+13</w:t>
            </w:r>
          </w:p>
        </w:tc>
        <w:tc>
          <w:tcPr>
            <w:tcW w:w="1322" w:type="dxa"/>
            <w:tcBorders>
              <w:top w:val="single" w:sz="4" w:space="0" w:color="808080"/>
              <w:bottom w:val="single" w:sz="4" w:space="0" w:color="808080"/>
            </w:tcBorders>
          </w:tcPr>
          <w:p w14:paraId="0CFE8010" w14:textId="77777777" w:rsidR="00A85E04" w:rsidRPr="008A4057" w:rsidRDefault="00A85E04" w:rsidP="00324721">
            <w:pPr>
              <w:pStyle w:val="TableRow"/>
              <w:keepNext w:val="0"/>
              <w:jc w:val="center"/>
            </w:pPr>
            <w:r w:rsidRPr="00D20B5C">
              <w:t>1.04E+11</w:t>
            </w:r>
          </w:p>
        </w:tc>
        <w:tc>
          <w:tcPr>
            <w:tcW w:w="1322" w:type="dxa"/>
            <w:tcBorders>
              <w:top w:val="single" w:sz="4" w:space="0" w:color="808080"/>
              <w:bottom w:val="single" w:sz="4" w:space="0" w:color="808080"/>
            </w:tcBorders>
          </w:tcPr>
          <w:p w14:paraId="495706E4" w14:textId="4D25AA23" w:rsidR="00A85E04" w:rsidRPr="00D20B5C" w:rsidRDefault="00A85E04" w:rsidP="00324721">
            <w:pPr>
              <w:pStyle w:val="TableRow"/>
              <w:keepNext w:val="0"/>
              <w:jc w:val="center"/>
            </w:pPr>
            <w:r w:rsidRPr="00D20B5C">
              <w:t>3.24E+09</w:t>
            </w:r>
          </w:p>
        </w:tc>
      </w:tr>
      <w:tr w:rsidR="00A85E04" w14:paraId="44E61D8F" w14:textId="2AB04733" w:rsidTr="0001411D">
        <w:trPr>
          <w:cantSplit/>
        </w:trPr>
        <w:tc>
          <w:tcPr>
            <w:tcW w:w="1418" w:type="dxa"/>
            <w:tcBorders>
              <w:top w:val="single" w:sz="4" w:space="0" w:color="808080"/>
              <w:bottom w:val="single" w:sz="4" w:space="0" w:color="808080"/>
            </w:tcBorders>
            <w:vAlign w:val="center"/>
          </w:tcPr>
          <w:p w14:paraId="0A2148D9" w14:textId="77777777" w:rsidR="00A85E04" w:rsidRDefault="00A85E04" w:rsidP="00324721">
            <w:pPr>
              <w:pStyle w:val="TableRow"/>
              <w:keepNext w:val="0"/>
              <w:jc w:val="center"/>
              <w:rPr>
                <w:color w:val="000000"/>
              </w:rPr>
            </w:pPr>
            <w:r w:rsidRPr="00195B8A">
              <w:rPr>
                <w:color w:val="000000"/>
                <w:vertAlign w:val="superscript"/>
              </w:rPr>
              <w:t>13</w:t>
            </w:r>
            <w:r>
              <w:rPr>
                <w:color w:val="000000"/>
                <w:vertAlign w:val="superscript"/>
              </w:rPr>
              <w:t>5m</w:t>
            </w:r>
            <w:r>
              <w:rPr>
                <w:color w:val="000000"/>
              </w:rPr>
              <w:t>Xe</w:t>
            </w:r>
          </w:p>
        </w:tc>
        <w:tc>
          <w:tcPr>
            <w:tcW w:w="1322" w:type="dxa"/>
            <w:tcBorders>
              <w:top w:val="single" w:sz="4" w:space="0" w:color="808080"/>
              <w:bottom w:val="single" w:sz="4" w:space="0" w:color="808080"/>
            </w:tcBorders>
          </w:tcPr>
          <w:p w14:paraId="39F46E78" w14:textId="77777777" w:rsidR="00A85E04" w:rsidRPr="00DA46B4" w:rsidRDefault="00A85E04" w:rsidP="00324721">
            <w:pPr>
              <w:pStyle w:val="TableRow"/>
              <w:keepNext w:val="0"/>
              <w:jc w:val="center"/>
              <w:rPr>
                <w:color w:val="000000"/>
              </w:rPr>
            </w:pPr>
            <w:r w:rsidRPr="00D20B5C">
              <w:t>6.56E+12</w:t>
            </w:r>
          </w:p>
        </w:tc>
        <w:tc>
          <w:tcPr>
            <w:tcW w:w="1321" w:type="dxa"/>
            <w:tcBorders>
              <w:top w:val="single" w:sz="4" w:space="0" w:color="808080"/>
              <w:bottom w:val="single" w:sz="4" w:space="0" w:color="808080"/>
            </w:tcBorders>
          </w:tcPr>
          <w:p w14:paraId="713ECFED" w14:textId="77777777" w:rsidR="00A85E04" w:rsidRPr="00DA46B4" w:rsidRDefault="00A85E04" w:rsidP="00324721">
            <w:pPr>
              <w:pStyle w:val="TableRow"/>
              <w:keepNext w:val="0"/>
              <w:jc w:val="center"/>
              <w:rPr>
                <w:color w:val="000000"/>
              </w:rPr>
            </w:pPr>
            <w:r w:rsidRPr="00D20B5C">
              <w:t>5.13E+10</w:t>
            </w:r>
          </w:p>
        </w:tc>
        <w:tc>
          <w:tcPr>
            <w:tcW w:w="1322" w:type="dxa"/>
            <w:tcBorders>
              <w:top w:val="single" w:sz="4" w:space="0" w:color="808080"/>
              <w:bottom w:val="single" w:sz="4" w:space="0" w:color="808080"/>
            </w:tcBorders>
          </w:tcPr>
          <w:p w14:paraId="11BBAB3D" w14:textId="77777777" w:rsidR="00A85E04" w:rsidRPr="00DA46B4" w:rsidRDefault="00A85E04" w:rsidP="00324721">
            <w:pPr>
              <w:pStyle w:val="TableRow"/>
              <w:keepNext w:val="0"/>
              <w:jc w:val="center"/>
              <w:rPr>
                <w:color w:val="000000"/>
              </w:rPr>
            </w:pPr>
            <w:r w:rsidRPr="00D20B5C">
              <w:t>2.44E+03</w:t>
            </w:r>
          </w:p>
        </w:tc>
        <w:tc>
          <w:tcPr>
            <w:tcW w:w="1321" w:type="dxa"/>
            <w:tcBorders>
              <w:top w:val="single" w:sz="4" w:space="0" w:color="808080"/>
              <w:bottom w:val="single" w:sz="4" w:space="0" w:color="808080"/>
            </w:tcBorders>
          </w:tcPr>
          <w:p w14:paraId="67A50B9D" w14:textId="77777777" w:rsidR="00A85E04" w:rsidRPr="00DA46B4" w:rsidRDefault="00A85E04" w:rsidP="00324721">
            <w:pPr>
              <w:pStyle w:val="TableRow"/>
              <w:keepNext w:val="0"/>
              <w:jc w:val="center"/>
              <w:rPr>
                <w:color w:val="000000"/>
              </w:rPr>
            </w:pPr>
            <w:r w:rsidRPr="00D20B5C">
              <w:t>0.00E+00</w:t>
            </w:r>
          </w:p>
        </w:tc>
        <w:tc>
          <w:tcPr>
            <w:tcW w:w="1322" w:type="dxa"/>
            <w:tcBorders>
              <w:top w:val="single" w:sz="4" w:space="0" w:color="808080"/>
              <w:bottom w:val="single" w:sz="4" w:space="0" w:color="808080"/>
            </w:tcBorders>
          </w:tcPr>
          <w:p w14:paraId="41BB78AD" w14:textId="77777777" w:rsidR="00A85E04" w:rsidRPr="00EA7C24" w:rsidRDefault="00A85E04" w:rsidP="00324721">
            <w:pPr>
              <w:pStyle w:val="TableRow"/>
              <w:keepNext w:val="0"/>
              <w:jc w:val="center"/>
            </w:pPr>
            <w:r w:rsidRPr="00D20B5C">
              <w:t>0.00E+00</w:t>
            </w:r>
          </w:p>
        </w:tc>
        <w:tc>
          <w:tcPr>
            <w:tcW w:w="1322" w:type="dxa"/>
            <w:tcBorders>
              <w:top w:val="single" w:sz="4" w:space="0" w:color="808080"/>
              <w:bottom w:val="single" w:sz="4" w:space="0" w:color="808080"/>
            </w:tcBorders>
          </w:tcPr>
          <w:p w14:paraId="1B86EA2E" w14:textId="601EE4F9" w:rsidR="00A85E04" w:rsidRPr="00D20B5C" w:rsidRDefault="00A85E04" w:rsidP="00324721">
            <w:pPr>
              <w:pStyle w:val="TableRow"/>
              <w:keepNext w:val="0"/>
              <w:jc w:val="center"/>
            </w:pPr>
            <w:r w:rsidRPr="00D20B5C">
              <w:t>0.00E+00</w:t>
            </w:r>
          </w:p>
        </w:tc>
      </w:tr>
      <w:tr w:rsidR="00A85E04" w14:paraId="6AE9127C" w14:textId="21D2A880" w:rsidTr="0001411D">
        <w:trPr>
          <w:cantSplit/>
        </w:trPr>
        <w:tc>
          <w:tcPr>
            <w:tcW w:w="1418" w:type="dxa"/>
            <w:tcBorders>
              <w:top w:val="single" w:sz="4" w:space="0" w:color="808080"/>
              <w:bottom w:val="single" w:sz="4" w:space="0" w:color="808080"/>
            </w:tcBorders>
            <w:vAlign w:val="center"/>
          </w:tcPr>
          <w:p w14:paraId="4B08CE17" w14:textId="77777777" w:rsidR="00A85E04" w:rsidRDefault="00A85E04" w:rsidP="00324721">
            <w:pPr>
              <w:pStyle w:val="TableRow"/>
              <w:keepNext w:val="0"/>
              <w:jc w:val="center"/>
              <w:rPr>
                <w:color w:val="000000"/>
              </w:rPr>
            </w:pPr>
            <w:r w:rsidRPr="00195B8A">
              <w:rPr>
                <w:color w:val="000000"/>
                <w:vertAlign w:val="superscript"/>
              </w:rPr>
              <w:t>13</w:t>
            </w:r>
            <w:r>
              <w:rPr>
                <w:color w:val="000000"/>
                <w:vertAlign w:val="superscript"/>
              </w:rPr>
              <w:t>8</w:t>
            </w:r>
            <w:r>
              <w:rPr>
                <w:color w:val="000000"/>
              </w:rPr>
              <w:t>Xe</w:t>
            </w:r>
          </w:p>
        </w:tc>
        <w:tc>
          <w:tcPr>
            <w:tcW w:w="1322" w:type="dxa"/>
            <w:tcBorders>
              <w:top w:val="single" w:sz="4" w:space="0" w:color="808080"/>
              <w:bottom w:val="single" w:sz="4" w:space="0" w:color="808080"/>
            </w:tcBorders>
          </w:tcPr>
          <w:p w14:paraId="2BD72BB6" w14:textId="77777777" w:rsidR="00A85E04" w:rsidRPr="00DA46B4" w:rsidRDefault="00A85E04" w:rsidP="00324721">
            <w:pPr>
              <w:pStyle w:val="TableRow"/>
              <w:keepNext w:val="0"/>
              <w:jc w:val="center"/>
              <w:rPr>
                <w:color w:val="000000"/>
              </w:rPr>
            </w:pPr>
            <w:r w:rsidRPr="00D20B5C">
              <w:t>3.18E+13</w:t>
            </w:r>
          </w:p>
        </w:tc>
        <w:tc>
          <w:tcPr>
            <w:tcW w:w="1321" w:type="dxa"/>
            <w:tcBorders>
              <w:top w:val="single" w:sz="4" w:space="0" w:color="808080"/>
              <w:bottom w:val="single" w:sz="4" w:space="0" w:color="808080"/>
            </w:tcBorders>
          </w:tcPr>
          <w:p w14:paraId="78B4B969" w14:textId="77777777" w:rsidR="00A85E04" w:rsidRPr="00DA46B4" w:rsidRDefault="00A85E04" w:rsidP="00324721">
            <w:pPr>
              <w:pStyle w:val="TableRow"/>
              <w:keepNext w:val="0"/>
              <w:jc w:val="center"/>
              <w:rPr>
                <w:color w:val="000000"/>
              </w:rPr>
            </w:pPr>
            <w:r w:rsidRPr="00D20B5C">
              <w:t>1.67E+11</w:t>
            </w:r>
          </w:p>
        </w:tc>
        <w:tc>
          <w:tcPr>
            <w:tcW w:w="1322" w:type="dxa"/>
            <w:tcBorders>
              <w:top w:val="single" w:sz="4" w:space="0" w:color="808080"/>
              <w:bottom w:val="single" w:sz="4" w:space="0" w:color="808080"/>
            </w:tcBorders>
          </w:tcPr>
          <w:p w14:paraId="4839D83F" w14:textId="77777777" w:rsidR="00A85E04" w:rsidRPr="00DA46B4" w:rsidRDefault="00A85E04" w:rsidP="00324721">
            <w:pPr>
              <w:pStyle w:val="TableRow"/>
              <w:keepNext w:val="0"/>
              <w:jc w:val="center"/>
              <w:rPr>
                <w:color w:val="000000"/>
              </w:rPr>
            </w:pPr>
            <w:r w:rsidRPr="00D20B5C">
              <w:t>2.21E+03</w:t>
            </w:r>
          </w:p>
        </w:tc>
        <w:tc>
          <w:tcPr>
            <w:tcW w:w="1321" w:type="dxa"/>
            <w:tcBorders>
              <w:top w:val="single" w:sz="4" w:space="0" w:color="808080"/>
              <w:bottom w:val="single" w:sz="4" w:space="0" w:color="808080"/>
            </w:tcBorders>
          </w:tcPr>
          <w:p w14:paraId="6E29C053" w14:textId="77777777" w:rsidR="00A85E04" w:rsidRPr="00DA46B4" w:rsidRDefault="00A85E04" w:rsidP="00324721">
            <w:pPr>
              <w:pStyle w:val="TableRow"/>
              <w:keepNext w:val="0"/>
              <w:jc w:val="center"/>
              <w:rPr>
                <w:color w:val="000000"/>
              </w:rPr>
            </w:pPr>
            <w:r w:rsidRPr="00D20B5C">
              <w:t>0.00E+00</w:t>
            </w:r>
          </w:p>
        </w:tc>
        <w:tc>
          <w:tcPr>
            <w:tcW w:w="1322" w:type="dxa"/>
            <w:tcBorders>
              <w:top w:val="single" w:sz="4" w:space="0" w:color="808080"/>
              <w:bottom w:val="single" w:sz="4" w:space="0" w:color="808080"/>
            </w:tcBorders>
          </w:tcPr>
          <w:p w14:paraId="52C42F61" w14:textId="77777777" w:rsidR="00A85E04" w:rsidRPr="005270A7" w:rsidRDefault="00A85E04" w:rsidP="00324721">
            <w:pPr>
              <w:pStyle w:val="TableRow"/>
              <w:keepNext w:val="0"/>
              <w:jc w:val="center"/>
            </w:pPr>
            <w:r w:rsidRPr="00D20B5C">
              <w:t>0.00E+00</w:t>
            </w:r>
          </w:p>
        </w:tc>
        <w:tc>
          <w:tcPr>
            <w:tcW w:w="1322" w:type="dxa"/>
            <w:tcBorders>
              <w:top w:val="single" w:sz="4" w:space="0" w:color="808080"/>
              <w:bottom w:val="single" w:sz="4" w:space="0" w:color="808080"/>
            </w:tcBorders>
          </w:tcPr>
          <w:p w14:paraId="205E0DAE" w14:textId="25DEAFD3" w:rsidR="00A85E04" w:rsidRPr="00D20B5C" w:rsidRDefault="00A85E04" w:rsidP="00324721">
            <w:pPr>
              <w:pStyle w:val="TableRow"/>
              <w:keepNext w:val="0"/>
              <w:jc w:val="center"/>
            </w:pPr>
            <w:r w:rsidRPr="00D20B5C">
              <w:t>0.00E+00</w:t>
            </w:r>
          </w:p>
        </w:tc>
      </w:tr>
      <w:tr w:rsidR="00A85E04" w14:paraId="134216AD" w14:textId="533F9544" w:rsidTr="0001411D">
        <w:trPr>
          <w:cantSplit/>
        </w:trPr>
        <w:tc>
          <w:tcPr>
            <w:tcW w:w="1418" w:type="dxa"/>
            <w:gridSpan w:val="7"/>
            <w:tcBorders>
              <w:top w:val="single" w:sz="4" w:space="0" w:color="808080"/>
              <w:bottom w:val="single" w:sz="4" w:space="0" w:color="808080"/>
            </w:tcBorders>
          </w:tcPr>
          <w:p w14:paraId="577BDE92" w14:textId="4A7D6F46" w:rsidR="00A85E04" w:rsidRDefault="00A85E04" w:rsidP="00324721">
            <w:pPr>
              <w:pStyle w:val="TableRow"/>
              <w:keepNext w:val="0"/>
              <w:rPr>
                <w:color w:val="000000"/>
              </w:rPr>
            </w:pPr>
            <w:r>
              <w:rPr>
                <w:color w:val="000000"/>
              </w:rPr>
              <w:t xml:space="preserve">Phase 1 = 0-2h; </w:t>
            </w:r>
            <w:r w:rsidR="00EA552E">
              <w:rPr>
                <w:color w:val="000000"/>
              </w:rPr>
              <w:t xml:space="preserve"> </w:t>
            </w:r>
            <w:r>
              <w:rPr>
                <w:color w:val="000000"/>
              </w:rPr>
              <w:t>Phase 2 = 2-8h;  Phase 3 = 8-24h;  Phase 4 = 1-4d;  Phase 5 = 4-7d;  Phase 6 = 7-30d.</w:t>
            </w:r>
          </w:p>
        </w:tc>
      </w:tr>
      <w:tr w:rsidR="008505A8" w14:paraId="0A91DED5" w14:textId="4616746F" w:rsidTr="0001411D">
        <w:trPr>
          <w:cantSplit/>
        </w:trPr>
        <w:tc>
          <w:tcPr>
            <w:tcW w:w="1418" w:type="dxa"/>
            <w:gridSpan w:val="5"/>
            <w:tcBorders>
              <w:top w:val="single" w:sz="4" w:space="0" w:color="808080"/>
              <w:bottom w:val="single" w:sz="4" w:space="0" w:color="808080"/>
            </w:tcBorders>
          </w:tcPr>
          <w:p w14:paraId="696CB613" w14:textId="5E55C0E6" w:rsidR="008505A8" w:rsidRPr="00DA46B4" w:rsidRDefault="008505A8" w:rsidP="00324721">
            <w:pPr>
              <w:pStyle w:val="TableRow"/>
              <w:keepNext w:val="0"/>
              <w:rPr>
                <w:color w:val="000000"/>
              </w:rPr>
            </w:pPr>
            <w:r>
              <w:rPr>
                <w:color w:val="000000"/>
              </w:rPr>
              <w:t xml:space="preserve">All iodine was assumed to be in </w:t>
            </w:r>
            <w:r w:rsidR="00792E6A">
              <w:rPr>
                <w:color w:val="000000"/>
              </w:rPr>
              <w:t>elemental</w:t>
            </w:r>
            <w:r>
              <w:rPr>
                <w:color w:val="000000"/>
              </w:rPr>
              <w:t xml:space="preserve"> form.</w:t>
            </w:r>
          </w:p>
        </w:tc>
        <w:tc>
          <w:tcPr>
            <w:tcW w:w="975" w:type="dxa"/>
            <w:tcBorders>
              <w:top w:val="single" w:sz="4" w:space="0" w:color="808080"/>
              <w:bottom w:val="single" w:sz="4" w:space="0" w:color="808080"/>
            </w:tcBorders>
          </w:tcPr>
          <w:p w14:paraId="667DA7A7" w14:textId="77777777" w:rsidR="008505A8" w:rsidRDefault="008505A8" w:rsidP="00324721">
            <w:pPr>
              <w:pStyle w:val="TableRow"/>
              <w:keepNext w:val="0"/>
              <w:rPr>
                <w:color w:val="000000"/>
              </w:rPr>
            </w:pPr>
          </w:p>
        </w:tc>
        <w:tc>
          <w:tcPr>
            <w:tcW w:w="975" w:type="dxa"/>
            <w:tcBorders>
              <w:top w:val="single" w:sz="4" w:space="0" w:color="808080"/>
              <w:bottom w:val="single" w:sz="4" w:space="0" w:color="808080"/>
            </w:tcBorders>
          </w:tcPr>
          <w:p w14:paraId="7D95AFFE" w14:textId="77777777" w:rsidR="008505A8" w:rsidRDefault="008505A8" w:rsidP="00324721">
            <w:pPr>
              <w:pStyle w:val="TableRow"/>
              <w:keepNext w:val="0"/>
              <w:rPr>
                <w:color w:val="000000"/>
              </w:rPr>
            </w:pPr>
          </w:p>
        </w:tc>
      </w:tr>
      <w:tr w:rsidR="00A85E04" w14:paraId="34F6690C" w14:textId="77777777" w:rsidTr="0001411D">
        <w:trPr>
          <w:cantSplit/>
        </w:trPr>
        <w:tc>
          <w:tcPr>
            <w:tcW w:w="1418" w:type="dxa"/>
            <w:gridSpan w:val="5"/>
            <w:tcBorders>
              <w:top w:val="single" w:sz="4" w:space="0" w:color="808080"/>
              <w:bottom w:val="single" w:sz="4" w:space="0" w:color="808080"/>
            </w:tcBorders>
          </w:tcPr>
          <w:p w14:paraId="7F01B877" w14:textId="299579CC" w:rsidR="00A85E04" w:rsidRDefault="00A85E04" w:rsidP="00324721">
            <w:pPr>
              <w:pStyle w:val="TableRow"/>
              <w:keepNext w:val="0"/>
              <w:rPr>
                <w:color w:val="000000"/>
              </w:rPr>
            </w:pPr>
            <w:r>
              <w:rPr>
                <w:color w:val="000000"/>
              </w:rPr>
              <w:t>* indicates radionuclides included in ADMS model runs</w:t>
            </w:r>
          </w:p>
        </w:tc>
        <w:tc>
          <w:tcPr>
            <w:tcW w:w="975" w:type="dxa"/>
            <w:tcBorders>
              <w:top w:val="single" w:sz="4" w:space="0" w:color="808080"/>
              <w:bottom w:val="single" w:sz="4" w:space="0" w:color="808080"/>
            </w:tcBorders>
          </w:tcPr>
          <w:p w14:paraId="000E9C34" w14:textId="77777777" w:rsidR="00A85E04" w:rsidRDefault="00A85E04" w:rsidP="00324721">
            <w:pPr>
              <w:pStyle w:val="TableRow"/>
              <w:keepNext w:val="0"/>
              <w:rPr>
                <w:color w:val="000000"/>
              </w:rPr>
            </w:pPr>
          </w:p>
        </w:tc>
        <w:tc>
          <w:tcPr>
            <w:tcW w:w="975" w:type="dxa"/>
            <w:tcBorders>
              <w:top w:val="single" w:sz="4" w:space="0" w:color="808080"/>
              <w:bottom w:val="single" w:sz="4" w:space="0" w:color="808080"/>
            </w:tcBorders>
          </w:tcPr>
          <w:p w14:paraId="4B8B2AD1" w14:textId="77777777" w:rsidR="00A85E04" w:rsidRDefault="00A85E04" w:rsidP="00324721">
            <w:pPr>
              <w:pStyle w:val="TableRow"/>
              <w:keepNext w:val="0"/>
              <w:rPr>
                <w:color w:val="000000"/>
              </w:rPr>
            </w:pPr>
          </w:p>
        </w:tc>
      </w:tr>
    </w:tbl>
    <w:p w14:paraId="191E4262" w14:textId="77777777" w:rsidR="00E8751C" w:rsidRDefault="00E8751C" w:rsidP="00C54CFB">
      <w:pPr>
        <w:pStyle w:val="BodyText"/>
      </w:pPr>
    </w:p>
    <w:p w14:paraId="38E57B80" w14:textId="71885BC6" w:rsidR="00E8751C" w:rsidRDefault="00E8751C" w:rsidP="00E8751C">
      <w:pPr>
        <w:pStyle w:val="Heading2"/>
      </w:pPr>
      <w:bookmarkStart w:id="53" w:name="_Toc79679419"/>
      <w:bookmarkStart w:id="54" w:name="_Toc89966372"/>
      <w:r>
        <w:t>S</w:t>
      </w:r>
      <w:r w:rsidR="00AC5912">
        <w:t xml:space="preserve">team </w:t>
      </w:r>
      <w:r>
        <w:t>G</w:t>
      </w:r>
      <w:r w:rsidR="00AC5912">
        <w:t xml:space="preserve">enerator </w:t>
      </w:r>
      <w:r>
        <w:t>T</w:t>
      </w:r>
      <w:r w:rsidR="00AC5912">
        <w:t xml:space="preserve">ube </w:t>
      </w:r>
      <w:r>
        <w:t>R</w:t>
      </w:r>
      <w:r w:rsidR="00AC5912">
        <w:t xml:space="preserve">upture </w:t>
      </w:r>
      <w:r>
        <w:t>Source Term</w:t>
      </w:r>
      <w:bookmarkEnd w:id="53"/>
      <w:bookmarkEnd w:id="54"/>
    </w:p>
    <w:p w14:paraId="56BFA56E" w14:textId="5DB81894" w:rsidR="00E8751C" w:rsidRDefault="00E8751C" w:rsidP="00E8751C">
      <w:pPr>
        <w:pStyle w:val="BodyText"/>
        <w:jc w:val="both"/>
      </w:pPr>
      <w:r>
        <w:t xml:space="preserve">The number of radionuclides in the </w:t>
      </w:r>
      <w:r w:rsidR="00E84050">
        <w:t xml:space="preserve">Steam Generator Tube Rupture, </w:t>
      </w:r>
      <w:r>
        <w:t>SGTR</w:t>
      </w:r>
      <w:r w:rsidR="00E84050">
        <w:t>,</w:t>
      </w:r>
      <w:r>
        <w:t xml:space="preserve"> source term was small enough that they could all be used in the PACE model runs. </w:t>
      </w:r>
      <w:r w:rsidR="004904E1">
        <w:t xml:space="preserve">To ensure a manageable number of ADMS model runs, a subset of </w:t>
      </w:r>
      <w:r w:rsidR="00E84050">
        <w:t xml:space="preserve">nine </w:t>
      </w:r>
      <w:r w:rsidR="004904E1">
        <w:t xml:space="preserve">radionuclides were considered, as indicated </w:t>
      </w:r>
      <w:r w:rsidR="00836436">
        <w:t xml:space="preserve">by asterisks </w:t>
      </w:r>
      <w:r w:rsidR="004904E1">
        <w:t>in</w:t>
      </w:r>
      <w:r w:rsidR="00836436">
        <w:t xml:space="preserve"> </w:t>
      </w:r>
      <w:r w:rsidR="00836436">
        <w:fldChar w:fldCharType="begin"/>
      </w:r>
      <w:r w:rsidR="00836436">
        <w:instrText xml:space="preserve"> REF _Ref87543131 \h </w:instrText>
      </w:r>
      <w:r w:rsidR="00836436">
        <w:fldChar w:fldCharType="separate"/>
      </w:r>
      <w:r w:rsidR="00926FE3" w:rsidRPr="00BD67F0">
        <w:t xml:space="preserve">Table </w:t>
      </w:r>
      <w:r w:rsidR="00926FE3">
        <w:rPr>
          <w:noProof/>
        </w:rPr>
        <w:t>12</w:t>
      </w:r>
      <w:r w:rsidR="00836436">
        <w:fldChar w:fldCharType="end"/>
      </w:r>
      <w:r w:rsidR="004904E1">
        <w:t xml:space="preserve">; the number of radionuclides was reduced in a manner similar to the method used for the LBL source term (see above). </w:t>
      </w:r>
      <w:r w:rsidRPr="004B300B">
        <w:t xml:space="preserve">All iodine was assumed to be in </w:t>
      </w:r>
      <w:r w:rsidR="00792E6A">
        <w:t>elemental</w:t>
      </w:r>
      <w:r w:rsidRPr="004B300B">
        <w:t xml:space="preserve"> form.</w:t>
      </w:r>
    </w:p>
    <w:p w14:paraId="113A5530" w14:textId="5C7B171C" w:rsidR="00E8751C" w:rsidRDefault="00E8751C" w:rsidP="00E8751C">
      <w:pPr>
        <w:pStyle w:val="BodyTextEND"/>
      </w:pPr>
      <w:r>
        <w:t xml:space="preserve">The </w:t>
      </w:r>
      <w:r w:rsidR="00E84050">
        <w:t>SGTR</w:t>
      </w:r>
      <w:r>
        <w:t xml:space="preserve"> source term release duration was 8 hours.</w:t>
      </w:r>
    </w:p>
    <w:p w14:paraId="05E2DF51" w14:textId="7E52186F" w:rsidR="00E8751C" w:rsidRPr="00BD67F0" w:rsidRDefault="00E8751C" w:rsidP="00EA552E">
      <w:pPr>
        <w:pStyle w:val="Tablecaption"/>
      </w:pPr>
      <w:bookmarkStart w:id="55" w:name="_Ref87543131"/>
      <w:r w:rsidRPr="00BD67F0">
        <w:t xml:space="preserve">Table </w:t>
      </w:r>
      <w:fldSimple w:instr=" SEQ Table \* ARABIC ">
        <w:r w:rsidR="00926FE3">
          <w:rPr>
            <w:noProof/>
          </w:rPr>
          <w:t>12</w:t>
        </w:r>
      </w:fldSimple>
      <w:bookmarkEnd w:id="55"/>
      <w:r w:rsidRPr="00BD67F0">
        <w:t xml:space="preserve">: </w:t>
      </w:r>
      <w:r>
        <w:t>SGTR</w:t>
      </w:r>
      <w:r w:rsidRPr="00BD67F0">
        <w:t xml:space="preserve"> source term - radionuclides modelled (Bq)</w:t>
      </w:r>
    </w:p>
    <w:tbl>
      <w:tblPr>
        <w:tblW w:w="3970" w:type="dxa"/>
        <w:jc w:val="center"/>
        <w:tblLayout w:type="fixed"/>
        <w:tblLook w:val="00A0" w:firstRow="1" w:lastRow="0" w:firstColumn="1" w:lastColumn="0" w:noHBand="0" w:noVBand="0"/>
      </w:tblPr>
      <w:tblGrid>
        <w:gridCol w:w="1453"/>
        <w:gridCol w:w="1258"/>
        <w:gridCol w:w="1259"/>
      </w:tblGrid>
      <w:tr w:rsidR="00E8751C" w14:paraId="15563AD4" w14:textId="77777777" w:rsidTr="00885BC3">
        <w:trPr>
          <w:cantSplit/>
          <w:jc w:val="center"/>
        </w:trPr>
        <w:tc>
          <w:tcPr>
            <w:tcW w:w="1453" w:type="dxa"/>
            <w:tcBorders>
              <w:top w:val="single" w:sz="4" w:space="0" w:color="002060"/>
              <w:bottom w:val="single" w:sz="4" w:space="0" w:color="002060"/>
            </w:tcBorders>
          </w:tcPr>
          <w:p w14:paraId="6B9DE7D6" w14:textId="77777777" w:rsidR="00E8751C" w:rsidRDefault="00E8751C" w:rsidP="00EA552E">
            <w:pPr>
              <w:pStyle w:val="TableColumnHeader"/>
              <w:keepNext/>
              <w:jc w:val="center"/>
            </w:pPr>
            <w:r>
              <w:t>Radionuclide</w:t>
            </w:r>
          </w:p>
        </w:tc>
        <w:tc>
          <w:tcPr>
            <w:tcW w:w="1258" w:type="dxa"/>
            <w:tcBorders>
              <w:top w:val="single" w:sz="4" w:space="0" w:color="002060"/>
              <w:bottom w:val="single" w:sz="4" w:space="0" w:color="002060"/>
            </w:tcBorders>
          </w:tcPr>
          <w:p w14:paraId="23D3EC8A" w14:textId="77777777" w:rsidR="00E8751C" w:rsidRDefault="00E8751C" w:rsidP="00EA552E">
            <w:pPr>
              <w:pStyle w:val="TableColumnHeader"/>
              <w:keepNext/>
              <w:jc w:val="center"/>
            </w:pPr>
            <w:r>
              <w:t>Phase 1</w:t>
            </w:r>
          </w:p>
        </w:tc>
        <w:tc>
          <w:tcPr>
            <w:tcW w:w="1259" w:type="dxa"/>
            <w:tcBorders>
              <w:top w:val="single" w:sz="4" w:space="0" w:color="002060"/>
              <w:bottom w:val="single" w:sz="4" w:space="0" w:color="002060"/>
            </w:tcBorders>
          </w:tcPr>
          <w:p w14:paraId="14261DE9" w14:textId="77777777" w:rsidR="00E8751C" w:rsidRDefault="00E8751C" w:rsidP="00EA552E">
            <w:pPr>
              <w:pStyle w:val="TableColumnHeader"/>
              <w:keepNext/>
              <w:jc w:val="center"/>
            </w:pPr>
            <w:r>
              <w:t>Phase 2</w:t>
            </w:r>
          </w:p>
        </w:tc>
      </w:tr>
      <w:tr w:rsidR="00C54CFB" w14:paraId="6004FA0D" w14:textId="77777777" w:rsidTr="00885BC3">
        <w:trPr>
          <w:cantSplit/>
          <w:jc w:val="center"/>
        </w:trPr>
        <w:tc>
          <w:tcPr>
            <w:tcW w:w="1453" w:type="dxa"/>
            <w:tcBorders>
              <w:top w:val="single" w:sz="4" w:space="0" w:color="002060"/>
              <w:bottom w:val="single" w:sz="4" w:space="0" w:color="808080"/>
            </w:tcBorders>
            <w:vAlign w:val="center"/>
          </w:tcPr>
          <w:p w14:paraId="281B9FEC" w14:textId="174CC309" w:rsidR="00C54CFB" w:rsidRPr="0080407A" w:rsidRDefault="00C54CFB" w:rsidP="00EA552E">
            <w:pPr>
              <w:pStyle w:val="TableRow"/>
              <w:keepLines/>
              <w:jc w:val="center"/>
              <w:rPr>
                <w:color w:val="000000"/>
              </w:rPr>
            </w:pPr>
            <w:r w:rsidRPr="00195B8A">
              <w:rPr>
                <w:color w:val="000000"/>
                <w:vertAlign w:val="superscript"/>
              </w:rPr>
              <w:t>134</w:t>
            </w:r>
            <w:r>
              <w:rPr>
                <w:color w:val="000000"/>
              </w:rPr>
              <w:t>Cs *</w:t>
            </w:r>
          </w:p>
        </w:tc>
        <w:tc>
          <w:tcPr>
            <w:tcW w:w="1258" w:type="dxa"/>
            <w:tcBorders>
              <w:top w:val="single" w:sz="4" w:space="0" w:color="002060"/>
              <w:bottom w:val="single" w:sz="4" w:space="0" w:color="808080"/>
            </w:tcBorders>
          </w:tcPr>
          <w:p w14:paraId="46D2F075" w14:textId="77777777" w:rsidR="00C54CFB" w:rsidRPr="00DA46B4" w:rsidRDefault="00C54CFB" w:rsidP="00EA552E">
            <w:pPr>
              <w:pStyle w:val="TableRow"/>
              <w:keepLines/>
              <w:jc w:val="center"/>
              <w:rPr>
                <w:color w:val="000000"/>
              </w:rPr>
            </w:pPr>
            <w:r w:rsidRPr="007B1C91">
              <w:t>2.67E+09</w:t>
            </w:r>
          </w:p>
        </w:tc>
        <w:tc>
          <w:tcPr>
            <w:tcW w:w="1259" w:type="dxa"/>
            <w:tcBorders>
              <w:top w:val="single" w:sz="4" w:space="0" w:color="002060"/>
              <w:bottom w:val="single" w:sz="4" w:space="0" w:color="808080"/>
            </w:tcBorders>
          </w:tcPr>
          <w:p w14:paraId="255F9C89" w14:textId="77777777" w:rsidR="00C54CFB" w:rsidRPr="00DA46B4" w:rsidRDefault="00C54CFB" w:rsidP="00EA552E">
            <w:pPr>
              <w:pStyle w:val="TableRow"/>
              <w:keepLines/>
              <w:jc w:val="center"/>
              <w:rPr>
                <w:color w:val="000000"/>
              </w:rPr>
            </w:pPr>
            <w:r w:rsidRPr="007B1C91">
              <w:t>1.23E+08</w:t>
            </w:r>
          </w:p>
        </w:tc>
      </w:tr>
      <w:tr w:rsidR="00C54CFB" w14:paraId="6C729BBF" w14:textId="77777777" w:rsidTr="00885BC3">
        <w:trPr>
          <w:cantSplit/>
          <w:jc w:val="center"/>
        </w:trPr>
        <w:tc>
          <w:tcPr>
            <w:tcW w:w="1453" w:type="dxa"/>
            <w:tcBorders>
              <w:top w:val="single" w:sz="4" w:space="0" w:color="808080"/>
              <w:bottom w:val="single" w:sz="4" w:space="0" w:color="808080"/>
            </w:tcBorders>
            <w:vAlign w:val="center"/>
          </w:tcPr>
          <w:p w14:paraId="39F9AD19" w14:textId="7D4FD9A1" w:rsidR="00C54CFB" w:rsidRPr="0080407A" w:rsidRDefault="00C54CFB" w:rsidP="00EA552E">
            <w:pPr>
              <w:pStyle w:val="TableRow"/>
              <w:keepLines/>
              <w:jc w:val="center"/>
              <w:rPr>
                <w:color w:val="000000"/>
              </w:rPr>
            </w:pPr>
            <w:r w:rsidRPr="00195B8A">
              <w:rPr>
                <w:color w:val="000000"/>
                <w:vertAlign w:val="superscript"/>
              </w:rPr>
              <w:t>13</w:t>
            </w:r>
            <w:r>
              <w:rPr>
                <w:color w:val="000000"/>
                <w:vertAlign w:val="superscript"/>
              </w:rPr>
              <w:t>6</w:t>
            </w:r>
            <w:r>
              <w:rPr>
                <w:color w:val="000000"/>
              </w:rPr>
              <w:t>Cs</w:t>
            </w:r>
          </w:p>
        </w:tc>
        <w:tc>
          <w:tcPr>
            <w:tcW w:w="1258" w:type="dxa"/>
            <w:tcBorders>
              <w:top w:val="single" w:sz="4" w:space="0" w:color="808080"/>
              <w:bottom w:val="single" w:sz="4" w:space="0" w:color="808080"/>
            </w:tcBorders>
          </w:tcPr>
          <w:p w14:paraId="3A7272E5" w14:textId="77777777" w:rsidR="00C54CFB" w:rsidRPr="00DA46B4" w:rsidRDefault="00C54CFB" w:rsidP="00EA552E">
            <w:pPr>
              <w:pStyle w:val="TableRow"/>
              <w:keepLines/>
              <w:jc w:val="center"/>
              <w:rPr>
                <w:color w:val="000000"/>
              </w:rPr>
            </w:pPr>
            <w:r w:rsidRPr="007B1C91">
              <w:t>7.42E+08</w:t>
            </w:r>
          </w:p>
        </w:tc>
        <w:tc>
          <w:tcPr>
            <w:tcW w:w="1259" w:type="dxa"/>
            <w:tcBorders>
              <w:top w:val="single" w:sz="4" w:space="0" w:color="808080"/>
              <w:bottom w:val="single" w:sz="4" w:space="0" w:color="808080"/>
            </w:tcBorders>
          </w:tcPr>
          <w:p w14:paraId="53AE9AB9" w14:textId="77777777" w:rsidR="00C54CFB" w:rsidRPr="00DA46B4" w:rsidRDefault="00C54CFB" w:rsidP="00EA552E">
            <w:pPr>
              <w:pStyle w:val="TableRow"/>
              <w:keepLines/>
              <w:jc w:val="center"/>
              <w:rPr>
                <w:color w:val="000000"/>
              </w:rPr>
            </w:pPr>
            <w:r w:rsidRPr="007B1C91">
              <w:t>3.40E+07</w:t>
            </w:r>
          </w:p>
        </w:tc>
      </w:tr>
      <w:tr w:rsidR="00C54CFB" w14:paraId="4B801431" w14:textId="77777777" w:rsidTr="00885BC3">
        <w:trPr>
          <w:cantSplit/>
          <w:jc w:val="center"/>
        </w:trPr>
        <w:tc>
          <w:tcPr>
            <w:tcW w:w="1453" w:type="dxa"/>
            <w:tcBorders>
              <w:top w:val="single" w:sz="4" w:space="0" w:color="808080"/>
              <w:bottom w:val="single" w:sz="4" w:space="0" w:color="808080"/>
            </w:tcBorders>
            <w:vAlign w:val="center"/>
          </w:tcPr>
          <w:p w14:paraId="03CDE7D9" w14:textId="34FD3F12" w:rsidR="00C54CFB" w:rsidRPr="00195B8A" w:rsidRDefault="00C54CFB" w:rsidP="00EA552E">
            <w:pPr>
              <w:pStyle w:val="TableRow"/>
              <w:keepLines/>
              <w:jc w:val="center"/>
              <w:rPr>
                <w:color w:val="000000"/>
                <w:vertAlign w:val="superscript"/>
              </w:rPr>
            </w:pPr>
            <w:r w:rsidRPr="00195B8A">
              <w:rPr>
                <w:color w:val="000000"/>
                <w:vertAlign w:val="superscript"/>
              </w:rPr>
              <w:t>13</w:t>
            </w:r>
            <w:r>
              <w:rPr>
                <w:color w:val="000000"/>
                <w:vertAlign w:val="superscript"/>
              </w:rPr>
              <w:t>7</w:t>
            </w:r>
            <w:r>
              <w:rPr>
                <w:color w:val="000000"/>
              </w:rPr>
              <w:t>Cs *</w:t>
            </w:r>
          </w:p>
        </w:tc>
        <w:tc>
          <w:tcPr>
            <w:tcW w:w="1258" w:type="dxa"/>
            <w:tcBorders>
              <w:top w:val="single" w:sz="4" w:space="0" w:color="808080"/>
              <w:bottom w:val="single" w:sz="4" w:space="0" w:color="808080"/>
            </w:tcBorders>
          </w:tcPr>
          <w:p w14:paraId="0D44343F" w14:textId="77777777" w:rsidR="00C54CFB" w:rsidRPr="00DA46B4" w:rsidRDefault="00C54CFB" w:rsidP="00EA552E">
            <w:pPr>
              <w:pStyle w:val="TableRow"/>
              <w:keepLines/>
              <w:jc w:val="center"/>
              <w:rPr>
                <w:color w:val="000000"/>
              </w:rPr>
            </w:pPr>
            <w:r w:rsidRPr="007B1C91">
              <w:t>1.63E+09</w:t>
            </w:r>
          </w:p>
        </w:tc>
        <w:tc>
          <w:tcPr>
            <w:tcW w:w="1259" w:type="dxa"/>
            <w:tcBorders>
              <w:top w:val="single" w:sz="4" w:space="0" w:color="808080"/>
              <w:bottom w:val="single" w:sz="4" w:space="0" w:color="808080"/>
            </w:tcBorders>
          </w:tcPr>
          <w:p w14:paraId="0C950226" w14:textId="77777777" w:rsidR="00C54CFB" w:rsidRPr="00DA46B4" w:rsidRDefault="00C54CFB" w:rsidP="00EA552E">
            <w:pPr>
              <w:pStyle w:val="TableRow"/>
              <w:keepLines/>
              <w:jc w:val="center"/>
              <w:rPr>
                <w:color w:val="000000"/>
              </w:rPr>
            </w:pPr>
            <w:r w:rsidRPr="007B1C91">
              <w:t>7.53E+07</w:t>
            </w:r>
          </w:p>
        </w:tc>
      </w:tr>
      <w:tr w:rsidR="00C54CFB" w14:paraId="48874DDE" w14:textId="77777777" w:rsidTr="00885BC3">
        <w:trPr>
          <w:cantSplit/>
          <w:jc w:val="center"/>
        </w:trPr>
        <w:tc>
          <w:tcPr>
            <w:tcW w:w="1453" w:type="dxa"/>
            <w:tcBorders>
              <w:top w:val="single" w:sz="4" w:space="0" w:color="808080"/>
              <w:bottom w:val="single" w:sz="4" w:space="0" w:color="808080"/>
            </w:tcBorders>
            <w:vAlign w:val="center"/>
          </w:tcPr>
          <w:p w14:paraId="0B9371F9" w14:textId="50787E34" w:rsidR="00C54CFB" w:rsidRPr="00195B8A" w:rsidRDefault="00C54CFB" w:rsidP="00EA552E">
            <w:pPr>
              <w:pStyle w:val="TableRow"/>
              <w:keepLines/>
              <w:jc w:val="center"/>
              <w:rPr>
                <w:color w:val="000000"/>
                <w:vertAlign w:val="superscript"/>
              </w:rPr>
            </w:pPr>
            <w:r w:rsidRPr="00195B8A">
              <w:rPr>
                <w:color w:val="000000"/>
                <w:vertAlign w:val="superscript"/>
              </w:rPr>
              <w:t>13</w:t>
            </w:r>
            <w:r>
              <w:rPr>
                <w:color w:val="000000"/>
                <w:vertAlign w:val="superscript"/>
              </w:rPr>
              <w:t>8</w:t>
            </w:r>
            <w:r>
              <w:rPr>
                <w:color w:val="000000"/>
              </w:rPr>
              <w:t>Cs</w:t>
            </w:r>
          </w:p>
        </w:tc>
        <w:tc>
          <w:tcPr>
            <w:tcW w:w="1258" w:type="dxa"/>
            <w:tcBorders>
              <w:top w:val="single" w:sz="4" w:space="0" w:color="808080"/>
              <w:bottom w:val="single" w:sz="4" w:space="0" w:color="808080"/>
            </w:tcBorders>
          </w:tcPr>
          <w:p w14:paraId="32880C97" w14:textId="77777777" w:rsidR="00C54CFB" w:rsidRPr="00DA46B4" w:rsidRDefault="00C54CFB" w:rsidP="00EA552E">
            <w:pPr>
              <w:pStyle w:val="TableRow"/>
              <w:keepLines/>
              <w:jc w:val="center"/>
              <w:rPr>
                <w:color w:val="000000"/>
              </w:rPr>
            </w:pPr>
            <w:r w:rsidRPr="007B1C91">
              <w:t>5.88E+09</w:t>
            </w:r>
          </w:p>
        </w:tc>
        <w:tc>
          <w:tcPr>
            <w:tcW w:w="1259" w:type="dxa"/>
            <w:tcBorders>
              <w:top w:val="single" w:sz="4" w:space="0" w:color="808080"/>
              <w:bottom w:val="single" w:sz="4" w:space="0" w:color="808080"/>
            </w:tcBorders>
          </w:tcPr>
          <w:p w14:paraId="2857BA00" w14:textId="77777777" w:rsidR="00C54CFB" w:rsidRPr="00DA46B4" w:rsidRDefault="00C54CFB" w:rsidP="00EA552E">
            <w:pPr>
              <w:pStyle w:val="TableRow"/>
              <w:keepLines/>
              <w:jc w:val="center"/>
              <w:rPr>
                <w:color w:val="000000"/>
              </w:rPr>
            </w:pPr>
            <w:r w:rsidRPr="007B1C91">
              <w:t>2.32E+07</w:t>
            </w:r>
          </w:p>
        </w:tc>
      </w:tr>
      <w:tr w:rsidR="00E8751C" w14:paraId="065656A1" w14:textId="77777777" w:rsidTr="00885BC3">
        <w:trPr>
          <w:cantSplit/>
          <w:jc w:val="center"/>
        </w:trPr>
        <w:tc>
          <w:tcPr>
            <w:tcW w:w="1453" w:type="dxa"/>
            <w:tcBorders>
              <w:top w:val="single" w:sz="4" w:space="0" w:color="808080"/>
              <w:bottom w:val="single" w:sz="4" w:space="0" w:color="808080"/>
            </w:tcBorders>
            <w:vAlign w:val="center"/>
          </w:tcPr>
          <w:p w14:paraId="09C31C83" w14:textId="0F7A5A63" w:rsidR="00E8751C" w:rsidRPr="00195B8A" w:rsidRDefault="00E8751C" w:rsidP="00EA552E">
            <w:pPr>
              <w:pStyle w:val="TableRow"/>
              <w:keepLines/>
              <w:jc w:val="center"/>
              <w:rPr>
                <w:color w:val="000000"/>
                <w:vertAlign w:val="superscript"/>
              </w:rPr>
            </w:pPr>
            <w:r w:rsidRPr="00195B8A">
              <w:rPr>
                <w:color w:val="000000"/>
                <w:vertAlign w:val="superscript"/>
              </w:rPr>
              <w:t>131</w:t>
            </w:r>
            <w:r>
              <w:rPr>
                <w:color w:val="000000"/>
              </w:rPr>
              <w:t>I</w:t>
            </w:r>
            <w:r w:rsidR="00E84050">
              <w:rPr>
                <w:color w:val="000000"/>
              </w:rPr>
              <w:t xml:space="preserve"> *</w:t>
            </w:r>
          </w:p>
        </w:tc>
        <w:tc>
          <w:tcPr>
            <w:tcW w:w="1258" w:type="dxa"/>
            <w:tcBorders>
              <w:top w:val="single" w:sz="4" w:space="0" w:color="808080"/>
              <w:bottom w:val="single" w:sz="4" w:space="0" w:color="808080"/>
            </w:tcBorders>
          </w:tcPr>
          <w:p w14:paraId="1D297F6B" w14:textId="77777777" w:rsidR="00E8751C" w:rsidRPr="00DA46B4" w:rsidRDefault="00E8751C" w:rsidP="00EA552E">
            <w:pPr>
              <w:pStyle w:val="TableRow"/>
              <w:keepLines/>
              <w:jc w:val="center"/>
              <w:rPr>
                <w:color w:val="000000"/>
              </w:rPr>
            </w:pPr>
            <w:r w:rsidRPr="007B1C91">
              <w:t>2.59E+11</w:t>
            </w:r>
          </w:p>
        </w:tc>
        <w:tc>
          <w:tcPr>
            <w:tcW w:w="1259" w:type="dxa"/>
            <w:tcBorders>
              <w:top w:val="single" w:sz="4" w:space="0" w:color="808080"/>
              <w:bottom w:val="single" w:sz="4" w:space="0" w:color="808080"/>
            </w:tcBorders>
          </w:tcPr>
          <w:p w14:paraId="5C09FDB1" w14:textId="77777777" w:rsidR="00E8751C" w:rsidRPr="00DA46B4" w:rsidRDefault="00E8751C" w:rsidP="00EA552E">
            <w:pPr>
              <w:pStyle w:val="TableRow"/>
              <w:keepLines/>
              <w:jc w:val="center"/>
              <w:rPr>
                <w:color w:val="000000"/>
              </w:rPr>
            </w:pPr>
            <w:r w:rsidRPr="007B1C91">
              <w:t>9.77E+10</w:t>
            </w:r>
          </w:p>
        </w:tc>
      </w:tr>
      <w:tr w:rsidR="00E8751C" w14:paraId="43CAEF82" w14:textId="77777777" w:rsidTr="00885BC3">
        <w:trPr>
          <w:cantSplit/>
          <w:jc w:val="center"/>
        </w:trPr>
        <w:tc>
          <w:tcPr>
            <w:tcW w:w="1453" w:type="dxa"/>
            <w:tcBorders>
              <w:top w:val="single" w:sz="4" w:space="0" w:color="808080"/>
              <w:bottom w:val="single" w:sz="4" w:space="0" w:color="808080"/>
            </w:tcBorders>
            <w:vAlign w:val="center"/>
          </w:tcPr>
          <w:p w14:paraId="39462479" w14:textId="654EFDA3" w:rsidR="00E8751C" w:rsidRPr="00195B8A" w:rsidRDefault="00E8751C" w:rsidP="00EA552E">
            <w:pPr>
              <w:pStyle w:val="TableRow"/>
              <w:keepLines/>
              <w:jc w:val="center"/>
              <w:rPr>
                <w:color w:val="000000"/>
                <w:vertAlign w:val="superscript"/>
              </w:rPr>
            </w:pPr>
            <w:r w:rsidRPr="00195B8A">
              <w:rPr>
                <w:color w:val="000000"/>
                <w:vertAlign w:val="superscript"/>
              </w:rPr>
              <w:t>13</w:t>
            </w:r>
            <w:r>
              <w:rPr>
                <w:color w:val="000000"/>
                <w:vertAlign w:val="superscript"/>
              </w:rPr>
              <w:t>2</w:t>
            </w:r>
            <w:r>
              <w:rPr>
                <w:color w:val="000000"/>
              </w:rPr>
              <w:t>I</w:t>
            </w:r>
            <w:r w:rsidR="00E84050">
              <w:rPr>
                <w:color w:val="000000"/>
              </w:rPr>
              <w:t xml:space="preserve"> *</w:t>
            </w:r>
          </w:p>
        </w:tc>
        <w:tc>
          <w:tcPr>
            <w:tcW w:w="1258" w:type="dxa"/>
            <w:tcBorders>
              <w:top w:val="single" w:sz="4" w:space="0" w:color="808080"/>
              <w:bottom w:val="single" w:sz="4" w:space="0" w:color="808080"/>
            </w:tcBorders>
          </w:tcPr>
          <w:p w14:paraId="52F20275" w14:textId="77777777" w:rsidR="00E8751C" w:rsidRPr="00DA46B4" w:rsidRDefault="00E8751C" w:rsidP="00EA552E">
            <w:pPr>
              <w:pStyle w:val="TableRow"/>
              <w:keepLines/>
              <w:jc w:val="center"/>
              <w:rPr>
                <w:color w:val="000000"/>
              </w:rPr>
            </w:pPr>
            <w:r w:rsidRPr="007B1C91">
              <w:t>3.27E+11</w:t>
            </w:r>
          </w:p>
        </w:tc>
        <w:tc>
          <w:tcPr>
            <w:tcW w:w="1259" w:type="dxa"/>
            <w:tcBorders>
              <w:top w:val="single" w:sz="4" w:space="0" w:color="808080"/>
              <w:bottom w:val="single" w:sz="4" w:space="0" w:color="808080"/>
            </w:tcBorders>
          </w:tcPr>
          <w:p w14:paraId="29552DCE" w14:textId="77777777" w:rsidR="00E8751C" w:rsidRPr="00DA46B4" w:rsidRDefault="00E8751C" w:rsidP="00EA552E">
            <w:pPr>
              <w:pStyle w:val="TableRow"/>
              <w:keepLines/>
              <w:jc w:val="center"/>
              <w:rPr>
                <w:color w:val="000000"/>
              </w:rPr>
            </w:pPr>
            <w:r w:rsidRPr="007B1C91">
              <w:t>6.35E+10</w:t>
            </w:r>
          </w:p>
        </w:tc>
      </w:tr>
      <w:tr w:rsidR="00E8751C" w14:paraId="22DAB7AD" w14:textId="77777777" w:rsidTr="00885BC3">
        <w:trPr>
          <w:cantSplit/>
          <w:jc w:val="center"/>
        </w:trPr>
        <w:tc>
          <w:tcPr>
            <w:tcW w:w="1453" w:type="dxa"/>
            <w:tcBorders>
              <w:top w:val="single" w:sz="4" w:space="0" w:color="808080"/>
              <w:bottom w:val="single" w:sz="4" w:space="0" w:color="808080"/>
            </w:tcBorders>
            <w:vAlign w:val="center"/>
          </w:tcPr>
          <w:p w14:paraId="5B53267E" w14:textId="4D49B96E" w:rsidR="00E8751C" w:rsidRPr="00195B8A" w:rsidRDefault="00E8751C" w:rsidP="00EA552E">
            <w:pPr>
              <w:pStyle w:val="TableRow"/>
              <w:keepLines/>
              <w:jc w:val="center"/>
              <w:rPr>
                <w:color w:val="000000"/>
                <w:vertAlign w:val="superscript"/>
              </w:rPr>
            </w:pPr>
            <w:r w:rsidRPr="00195B8A">
              <w:rPr>
                <w:color w:val="000000"/>
                <w:vertAlign w:val="superscript"/>
              </w:rPr>
              <w:t>13</w:t>
            </w:r>
            <w:r>
              <w:rPr>
                <w:color w:val="000000"/>
                <w:vertAlign w:val="superscript"/>
              </w:rPr>
              <w:t>3</w:t>
            </w:r>
            <w:r>
              <w:rPr>
                <w:color w:val="000000"/>
              </w:rPr>
              <w:t>I</w:t>
            </w:r>
            <w:r w:rsidR="00E84050">
              <w:rPr>
                <w:color w:val="000000"/>
              </w:rPr>
              <w:t xml:space="preserve"> *</w:t>
            </w:r>
          </w:p>
        </w:tc>
        <w:tc>
          <w:tcPr>
            <w:tcW w:w="1258" w:type="dxa"/>
            <w:tcBorders>
              <w:top w:val="single" w:sz="4" w:space="0" w:color="808080"/>
              <w:bottom w:val="single" w:sz="4" w:space="0" w:color="808080"/>
            </w:tcBorders>
          </w:tcPr>
          <w:p w14:paraId="1FF88891" w14:textId="77777777" w:rsidR="00E8751C" w:rsidRPr="00DA46B4" w:rsidRDefault="00E8751C" w:rsidP="00EA552E">
            <w:pPr>
              <w:pStyle w:val="TableRow"/>
              <w:keepLines/>
              <w:jc w:val="center"/>
              <w:rPr>
                <w:color w:val="000000"/>
              </w:rPr>
            </w:pPr>
            <w:r w:rsidRPr="007B1C91">
              <w:t>4.60E+11</w:t>
            </w:r>
          </w:p>
        </w:tc>
        <w:tc>
          <w:tcPr>
            <w:tcW w:w="1259" w:type="dxa"/>
            <w:tcBorders>
              <w:top w:val="single" w:sz="4" w:space="0" w:color="808080"/>
              <w:bottom w:val="single" w:sz="4" w:space="0" w:color="808080"/>
            </w:tcBorders>
          </w:tcPr>
          <w:p w14:paraId="1C9BDF85" w14:textId="77777777" w:rsidR="00E8751C" w:rsidRPr="00DA46B4" w:rsidRDefault="00E8751C" w:rsidP="00EA552E">
            <w:pPr>
              <w:pStyle w:val="TableRow"/>
              <w:keepLines/>
              <w:jc w:val="center"/>
              <w:rPr>
                <w:color w:val="000000"/>
              </w:rPr>
            </w:pPr>
            <w:r w:rsidRPr="007B1C91">
              <w:t>1.63E+11</w:t>
            </w:r>
          </w:p>
        </w:tc>
      </w:tr>
      <w:tr w:rsidR="00E8751C" w14:paraId="1A56866B" w14:textId="77777777" w:rsidTr="00885BC3">
        <w:trPr>
          <w:cantSplit/>
          <w:jc w:val="center"/>
        </w:trPr>
        <w:tc>
          <w:tcPr>
            <w:tcW w:w="1453" w:type="dxa"/>
            <w:tcBorders>
              <w:top w:val="single" w:sz="4" w:space="0" w:color="808080"/>
              <w:bottom w:val="single" w:sz="4" w:space="0" w:color="808080"/>
            </w:tcBorders>
            <w:vAlign w:val="center"/>
          </w:tcPr>
          <w:p w14:paraId="3BC530D4" w14:textId="2C4571A8" w:rsidR="00E8751C" w:rsidRPr="00195B8A" w:rsidRDefault="00E8751C" w:rsidP="00EA552E">
            <w:pPr>
              <w:pStyle w:val="TableRow"/>
              <w:keepLines/>
              <w:jc w:val="center"/>
              <w:rPr>
                <w:color w:val="000000"/>
                <w:vertAlign w:val="superscript"/>
              </w:rPr>
            </w:pPr>
            <w:r w:rsidRPr="00195B8A">
              <w:rPr>
                <w:color w:val="000000"/>
                <w:vertAlign w:val="superscript"/>
              </w:rPr>
              <w:t>13</w:t>
            </w:r>
            <w:r>
              <w:rPr>
                <w:color w:val="000000"/>
                <w:vertAlign w:val="superscript"/>
              </w:rPr>
              <w:t>4</w:t>
            </w:r>
            <w:r>
              <w:rPr>
                <w:color w:val="000000"/>
              </w:rPr>
              <w:t>I</w:t>
            </w:r>
            <w:r w:rsidR="00E84050">
              <w:rPr>
                <w:color w:val="000000"/>
              </w:rPr>
              <w:t xml:space="preserve"> *</w:t>
            </w:r>
          </w:p>
        </w:tc>
        <w:tc>
          <w:tcPr>
            <w:tcW w:w="1258" w:type="dxa"/>
            <w:tcBorders>
              <w:top w:val="single" w:sz="4" w:space="0" w:color="808080"/>
              <w:bottom w:val="single" w:sz="4" w:space="0" w:color="808080"/>
            </w:tcBorders>
          </w:tcPr>
          <w:p w14:paraId="16EF0BB6" w14:textId="77777777" w:rsidR="00E8751C" w:rsidRPr="00DA46B4" w:rsidRDefault="00E8751C" w:rsidP="00EA552E">
            <w:pPr>
              <w:pStyle w:val="TableRow"/>
              <w:keepLines/>
              <w:jc w:val="center"/>
              <w:rPr>
                <w:color w:val="000000"/>
              </w:rPr>
            </w:pPr>
            <w:r w:rsidRPr="007B1C91">
              <w:t>3.53E+11</w:t>
            </w:r>
          </w:p>
        </w:tc>
        <w:tc>
          <w:tcPr>
            <w:tcW w:w="1259" w:type="dxa"/>
            <w:tcBorders>
              <w:top w:val="single" w:sz="4" w:space="0" w:color="808080"/>
              <w:bottom w:val="single" w:sz="4" w:space="0" w:color="808080"/>
            </w:tcBorders>
          </w:tcPr>
          <w:p w14:paraId="6BA0FEA9" w14:textId="77777777" w:rsidR="00E8751C" w:rsidRPr="00DA46B4" w:rsidRDefault="00E8751C" w:rsidP="00EA552E">
            <w:pPr>
              <w:pStyle w:val="TableRow"/>
              <w:keepLines/>
              <w:jc w:val="center"/>
              <w:rPr>
                <w:color w:val="000000"/>
              </w:rPr>
            </w:pPr>
            <w:r w:rsidRPr="007B1C91">
              <w:t>2.54E+10</w:t>
            </w:r>
          </w:p>
        </w:tc>
      </w:tr>
      <w:tr w:rsidR="00E8751C" w14:paraId="32E93559" w14:textId="77777777" w:rsidTr="00885BC3">
        <w:trPr>
          <w:cantSplit/>
          <w:jc w:val="center"/>
        </w:trPr>
        <w:tc>
          <w:tcPr>
            <w:tcW w:w="1453" w:type="dxa"/>
            <w:tcBorders>
              <w:top w:val="single" w:sz="4" w:space="0" w:color="808080"/>
              <w:bottom w:val="single" w:sz="4" w:space="0" w:color="808080"/>
            </w:tcBorders>
            <w:vAlign w:val="center"/>
          </w:tcPr>
          <w:p w14:paraId="046F7571" w14:textId="33BB416E" w:rsidR="00E8751C" w:rsidRPr="00195B8A" w:rsidRDefault="00E8751C" w:rsidP="00EA552E">
            <w:pPr>
              <w:pStyle w:val="TableRow"/>
              <w:keepLines/>
              <w:jc w:val="center"/>
              <w:rPr>
                <w:color w:val="000000"/>
                <w:vertAlign w:val="superscript"/>
              </w:rPr>
            </w:pPr>
            <w:r w:rsidRPr="00195B8A">
              <w:rPr>
                <w:color w:val="000000"/>
                <w:vertAlign w:val="superscript"/>
              </w:rPr>
              <w:t>13</w:t>
            </w:r>
            <w:r>
              <w:rPr>
                <w:color w:val="000000"/>
                <w:vertAlign w:val="superscript"/>
              </w:rPr>
              <w:t>5</w:t>
            </w:r>
            <w:r>
              <w:rPr>
                <w:color w:val="000000"/>
              </w:rPr>
              <w:t>I</w:t>
            </w:r>
            <w:r w:rsidR="00E84050">
              <w:rPr>
                <w:color w:val="000000"/>
              </w:rPr>
              <w:t xml:space="preserve"> *</w:t>
            </w:r>
          </w:p>
        </w:tc>
        <w:tc>
          <w:tcPr>
            <w:tcW w:w="1258" w:type="dxa"/>
            <w:tcBorders>
              <w:top w:val="single" w:sz="4" w:space="0" w:color="808080"/>
              <w:bottom w:val="single" w:sz="4" w:space="0" w:color="808080"/>
            </w:tcBorders>
          </w:tcPr>
          <w:p w14:paraId="42F916DD" w14:textId="77777777" w:rsidR="00E8751C" w:rsidRPr="00DA46B4" w:rsidRDefault="00E8751C" w:rsidP="00EA552E">
            <w:pPr>
              <w:pStyle w:val="TableRow"/>
              <w:keepLines/>
              <w:jc w:val="center"/>
              <w:rPr>
                <w:color w:val="000000"/>
              </w:rPr>
            </w:pPr>
            <w:r w:rsidRPr="007B1C91">
              <w:t>3.93E+11</w:t>
            </w:r>
          </w:p>
        </w:tc>
        <w:tc>
          <w:tcPr>
            <w:tcW w:w="1259" w:type="dxa"/>
            <w:tcBorders>
              <w:top w:val="single" w:sz="4" w:space="0" w:color="808080"/>
              <w:bottom w:val="single" w:sz="4" w:space="0" w:color="808080"/>
            </w:tcBorders>
          </w:tcPr>
          <w:p w14:paraId="68EEF992" w14:textId="77777777" w:rsidR="00E8751C" w:rsidRPr="00DA46B4" w:rsidRDefault="00E8751C" w:rsidP="00EA552E">
            <w:pPr>
              <w:pStyle w:val="TableRow"/>
              <w:keepLines/>
              <w:jc w:val="center"/>
              <w:rPr>
                <w:color w:val="000000"/>
              </w:rPr>
            </w:pPr>
            <w:r w:rsidRPr="007B1C91">
              <w:t>1.18E+11</w:t>
            </w:r>
          </w:p>
        </w:tc>
      </w:tr>
      <w:tr w:rsidR="00E8751C" w14:paraId="6B755653" w14:textId="77777777" w:rsidTr="00885BC3">
        <w:trPr>
          <w:cantSplit/>
          <w:jc w:val="center"/>
        </w:trPr>
        <w:tc>
          <w:tcPr>
            <w:tcW w:w="1453" w:type="dxa"/>
            <w:tcBorders>
              <w:top w:val="single" w:sz="4" w:space="0" w:color="808080"/>
              <w:bottom w:val="single" w:sz="4" w:space="0" w:color="808080"/>
            </w:tcBorders>
            <w:vAlign w:val="center"/>
          </w:tcPr>
          <w:p w14:paraId="37B072F8" w14:textId="77777777" w:rsidR="00E8751C" w:rsidRPr="00195B8A" w:rsidRDefault="00E8751C" w:rsidP="00EA552E">
            <w:pPr>
              <w:pStyle w:val="TableRow"/>
              <w:keepLines/>
              <w:jc w:val="center"/>
              <w:rPr>
                <w:color w:val="000000"/>
                <w:vertAlign w:val="superscript"/>
              </w:rPr>
            </w:pPr>
            <w:r w:rsidRPr="00195B8A">
              <w:rPr>
                <w:color w:val="000000"/>
                <w:vertAlign w:val="superscript"/>
              </w:rPr>
              <w:t>8</w:t>
            </w:r>
            <w:r>
              <w:rPr>
                <w:color w:val="000000"/>
                <w:vertAlign w:val="superscript"/>
              </w:rPr>
              <w:t>3m</w:t>
            </w:r>
            <w:r>
              <w:rPr>
                <w:color w:val="000000"/>
              </w:rPr>
              <w:t>Kr</w:t>
            </w:r>
          </w:p>
        </w:tc>
        <w:tc>
          <w:tcPr>
            <w:tcW w:w="1258" w:type="dxa"/>
            <w:tcBorders>
              <w:top w:val="single" w:sz="4" w:space="0" w:color="808080"/>
              <w:bottom w:val="single" w:sz="4" w:space="0" w:color="808080"/>
            </w:tcBorders>
          </w:tcPr>
          <w:p w14:paraId="0737738E" w14:textId="77777777" w:rsidR="00E8751C" w:rsidRPr="00DA46B4" w:rsidRDefault="00E8751C" w:rsidP="00EA552E">
            <w:pPr>
              <w:pStyle w:val="TableRow"/>
              <w:keepLines/>
              <w:jc w:val="center"/>
              <w:rPr>
                <w:color w:val="000000"/>
              </w:rPr>
            </w:pPr>
            <w:r w:rsidRPr="007B1C91">
              <w:t>1.32E+11</w:t>
            </w:r>
          </w:p>
        </w:tc>
        <w:tc>
          <w:tcPr>
            <w:tcW w:w="1259" w:type="dxa"/>
            <w:tcBorders>
              <w:top w:val="single" w:sz="4" w:space="0" w:color="808080"/>
              <w:bottom w:val="single" w:sz="4" w:space="0" w:color="808080"/>
            </w:tcBorders>
          </w:tcPr>
          <w:p w14:paraId="7558D1CB" w14:textId="77777777" w:rsidR="00E8751C" w:rsidRPr="00DA46B4" w:rsidRDefault="00E8751C" w:rsidP="00EA552E">
            <w:pPr>
              <w:pStyle w:val="TableRow"/>
              <w:keepLines/>
              <w:jc w:val="center"/>
              <w:rPr>
                <w:color w:val="000000"/>
              </w:rPr>
            </w:pPr>
            <w:r w:rsidRPr="007B1C91">
              <w:t>2.78E+10</w:t>
            </w:r>
          </w:p>
        </w:tc>
      </w:tr>
      <w:tr w:rsidR="00E8751C" w14:paraId="7814AA0F" w14:textId="77777777" w:rsidTr="00885BC3">
        <w:trPr>
          <w:cantSplit/>
          <w:jc w:val="center"/>
        </w:trPr>
        <w:tc>
          <w:tcPr>
            <w:tcW w:w="1453" w:type="dxa"/>
            <w:tcBorders>
              <w:top w:val="single" w:sz="4" w:space="0" w:color="808080"/>
              <w:bottom w:val="single" w:sz="4" w:space="0" w:color="808080"/>
            </w:tcBorders>
            <w:vAlign w:val="center"/>
          </w:tcPr>
          <w:p w14:paraId="0F7D987B" w14:textId="77777777" w:rsidR="00E8751C" w:rsidRPr="00195B8A" w:rsidRDefault="00E8751C" w:rsidP="00EA552E">
            <w:pPr>
              <w:pStyle w:val="TableRow"/>
              <w:keepLines/>
              <w:jc w:val="center"/>
              <w:rPr>
                <w:color w:val="000000"/>
                <w:vertAlign w:val="superscript"/>
              </w:rPr>
            </w:pPr>
            <w:r w:rsidRPr="00195B8A">
              <w:rPr>
                <w:color w:val="000000"/>
                <w:vertAlign w:val="superscript"/>
              </w:rPr>
              <w:t>8</w:t>
            </w:r>
            <w:r>
              <w:rPr>
                <w:color w:val="000000"/>
                <w:vertAlign w:val="superscript"/>
              </w:rPr>
              <w:t>5</w:t>
            </w:r>
            <w:r>
              <w:rPr>
                <w:color w:val="000000"/>
              </w:rPr>
              <w:t>Kr</w:t>
            </w:r>
          </w:p>
        </w:tc>
        <w:tc>
          <w:tcPr>
            <w:tcW w:w="1258" w:type="dxa"/>
            <w:tcBorders>
              <w:top w:val="single" w:sz="4" w:space="0" w:color="808080"/>
              <w:bottom w:val="single" w:sz="4" w:space="0" w:color="808080"/>
            </w:tcBorders>
          </w:tcPr>
          <w:p w14:paraId="604F5091" w14:textId="77777777" w:rsidR="00E8751C" w:rsidRPr="00DA46B4" w:rsidRDefault="00E8751C" w:rsidP="00EA552E">
            <w:pPr>
              <w:pStyle w:val="TableRow"/>
              <w:keepLines/>
              <w:jc w:val="center"/>
              <w:rPr>
                <w:color w:val="000000"/>
              </w:rPr>
            </w:pPr>
            <w:r w:rsidRPr="007B1C91">
              <w:t>7.67E+11</w:t>
            </w:r>
          </w:p>
        </w:tc>
        <w:tc>
          <w:tcPr>
            <w:tcW w:w="1259" w:type="dxa"/>
            <w:tcBorders>
              <w:top w:val="single" w:sz="4" w:space="0" w:color="808080"/>
              <w:bottom w:val="single" w:sz="4" w:space="0" w:color="808080"/>
            </w:tcBorders>
          </w:tcPr>
          <w:p w14:paraId="5DD2B91E" w14:textId="77777777" w:rsidR="00E8751C" w:rsidRPr="00DA46B4" w:rsidRDefault="00E8751C" w:rsidP="00EA552E">
            <w:pPr>
              <w:pStyle w:val="TableRow"/>
              <w:keepLines/>
              <w:jc w:val="center"/>
              <w:rPr>
                <w:color w:val="000000"/>
              </w:rPr>
            </w:pPr>
            <w:r w:rsidRPr="007B1C91">
              <w:t>1.61E+11</w:t>
            </w:r>
          </w:p>
        </w:tc>
      </w:tr>
      <w:tr w:rsidR="00E8751C" w14:paraId="05C1127C" w14:textId="77777777" w:rsidTr="00885BC3">
        <w:trPr>
          <w:cantSplit/>
          <w:jc w:val="center"/>
        </w:trPr>
        <w:tc>
          <w:tcPr>
            <w:tcW w:w="1453" w:type="dxa"/>
            <w:tcBorders>
              <w:top w:val="single" w:sz="4" w:space="0" w:color="808080"/>
              <w:bottom w:val="single" w:sz="4" w:space="0" w:color="808080"/>
            </w:tcBorders>
            <w:vAlign w:val="center"/>
          </w:tcPr>
          <w:p w14:paraId="4BCCEC72" w14:textId="77777777" w:rsidR="00E8751C" w:rsidRPr="00195B8A" w:rsidRDefault="00E8751C" w:rsidP="00EA552E">
            <w:pPr>
              <w:pStyle w:val="TableRow"/>
              <w:keepLines/>
              <w:jc w:val="center"/>
              <w:rPr>
                <w:color w:val="000000"/>
                <w:vertAlign w:val="superscript"/>
              </w:rPr>
            </w:pPr>
            <w:r w:rsidRPr="00195B8A">
              <w:rPr>
                <w:color w:val="000000"/>
                <w:vertAlign w:val="superscript"/>
              </w:rPr>
              <w:t>8</w:t>
            </w:r>
            <w:r>
              <w:rPr>
                <w:color w:val="000000"/>
                <w:vertAlign w:val="superscript"/>
              </w:rPr>
              <w:t>5m</w:t>
            </w:r>
            <w:r>
              <w:rPr>
                <w:color w:val="000000"/>
              </w:rPr>
              <w:t>Kr</w:t>
            </w:r>
          </w:p>
        </w:tc>
        <w:tc>
          <w:tcPr>
            <w:tcW w:w="1258" w:type="dxa"/>
            <w:tcBorders>
              <w:top w:val="single" w:sz="4" w:space="0" w:color="808080"/>
              <w:bottom w:val="single" w:sz="4" w:space="0" w:color="808080"/>
            </w:tcBorders>
          </w:tcPr>
          <w:p w14:paraId="0F97B9F1" w14:textId="77777777" w:rsidR="00E8751C" w:rsidRPr="00DA46B4" w:rsidRDefault="00E8751C" w:rsidP="00EA552E">
            <w:pPr>
              <w:pStyle w:val="TableRow"/>
              <w:keepLines/>
              <w:jc w:val="center"/>
              <w:rPr>
                <w:color w:val="000000"/>
              </w:rPr>
            </w:pPr>
            <w:r w:rsidRPr="007B1C91">
              <w:t>5.93E+11</w:t>
            </w:r>
          </w:p>
        </w:tc>
        <w:tc>
          <w:tcPr>
            <w:tcW w:w="1259" w:type="dxa"/>
            <w:tcBorders>
              <w:top w:val="single" w:sz="4" w:space="0" w:color="808080"/>
              <w:bottom w:val="single" w:sz="4" w:space="0" w:color="808080"/>
            </w:tcBorders>
          </w:tcPr>
          <w:p w14:paraId="4AC514F0" w14:textId="77777777" w:rsidR="00E8751C" w:rsidRPr="00DA46B4" w:rsidRDefault="00E8751C" w:rsidP="00EA552E">
            <w:pPr>
              <w:pStyle w:val="TableRow"/>
              <w:keepLines/>
              <w:jc w:val="center"/>
              <w:rPr>
                <w:color w:val="000000"/>
              </w:rPr>
            </w:pPr>
            <w:r w:rsidRPr="007B1C91">
              <w:t>1.25E+11</w:t>
            </w:r>
          </w:p>
        </w:tc>
      </w:tr>
      <w:tr w:rsidR="00E8751C" w14:paraId="6D6FAFDD" w14:textId="77777777" w:rsidTr="00885BC3">
        <w:trPr>
          <w:cantSplit/>
          <w:jc w:val="center"/>
        </w:trPr>
        <w:tc>
          <w:tcPr>
            <w:tcW w:w="1453" w:type="dxa"/>
            <w:tcBorders>
              <w:top w:val="single" w:sz="4" w:space="0" w:color="808080"/>
              <w:bottom w:val="single" w:sz="4" w:space="0" w:color="808080"/>
            </w:tcBorders>
            <w:vAlign w:val="center"/>
          </w:tcPr>
          <w:p w14:paraId="5AEEC39C" w14:textId="77777777" w:rsidR="00E8751C" w:rsidRPr="00195B8A" w:rsidRDefault="00E8751C" w:rsidP="00EA552E">
            <w:pPr>
              <w:pStyle w:val="TableRow"/>
              <w:keepLines/>
              <w:jc w:val="center"/>
              <w:rPr>
                <w:color w:val="000000"/>
                <w:vertAlign w:val="superscript"/>
              </w:rPr>
            </w:pPr>
            <w:r w:rsidRPr="00195B8A">
              <w:rPr>
                <w:color w:val="000000"/>
                <w:vertAlign w:val="superscript"/>
              </w:rPr>
              <w:t>8</w:t>
            </w:r>
            <w:r>
              <w:rPr>
                <w:color w:val="000000"/>
                <w:vertAlign w:val="superscript"/>
              </w:rPr>
              <w:t>7</w:t>
            </w:r>
            <w:r>
              <w:rPr>
                <w:color w:val="000000"/>
              </w:rPr>
              <w:t>Kr</w:t>
            </w:r>
          </w:p>
        </w:tc>
        <w:tc>
          <w:tcPr>
            <w:tcW w:w="1258" w:type="dxa"/>
            <w:tcBorders>
              <w:top w:val="single" w:sz="4" w:space="0" w:color="808080"/>
              <w:bottom w:val="single" w:sz="4" w:space="0" w:color="808080"/>
            </w:tcBorders>
          </w:tcPr>
          <w:p w14:paraId="14D32A17" w14:textId="77777777" w:rsidR="00E8751C" w:rsidRPr="00DA46B4" w:rsidRDefault="00E8751C" w:rsidP="00EA552E">
            <w:pPr>
              <w:pStyle w:val="TableRow"/>
              <w:keepLines/>
              <w:jc w:val="center"/>
              <w:rPr>
                <w:color w:val="000000"/>
              </w:rPr>
            </w:pPr>
            <w:r w:rsidRPr="007B1C91">
              <w:t>3.28E+11</w:t>
            </w:r>
          </w:p>
        </w:tc>
        <w:tc>
          <w:tcPr>
            <w:tcW w:w="1259" w:type="dxa"/>
            <w:tcBorders>
              <w:top w:val="single" w:sz="4" w:space="0" w:color="808080"/>
              <w:bottom w:val="single" w:sz="4" w:space="0" w:color="808080"/>
            </w:tcBorders>
          </w:tcPr>
          <w:p w14:paraId="040275D9" w14:textId="77777777" w:rsidR="00E8751C" w:rsidRPr="00DA46B4" w:rsidRDefault="00E8751C" w:rsidP="00EA552E">
            <w:pPr>
              <w:pStyle w:val="TableRow"/>
              <w:keepLines/>
              <w:jc w:val="center"/>
              <w:rPr>
                <w:color w:val="000000"/>
              </w:rPr>
            </w:pPr>
            <w:r w:rsidRPr="007B1C91">
              <w:t>6.89E+10</w:t>
            </w:r>
          </w:p>
        </w:tc>
      </w:tr>
      <w:tr w:rsidR="00E8751C" w14:paraId="62524092" w14:textId="77777777" w:rsidTr="00885BC3">
        <w:trPr>
          <w:cantSplit/>
          <w:jc w:val="center"/>
        </w:trPr>
        <w:tc>
          <w:tcPr>
            <w:tcW w:w="1453" w:type="dxa"/>
            <w:tcBorders>
              <w:top w:val="single" w:sz="4" w:space="0" w:color="808080"/>
              <w:bottom w:val="single" w:sz="4" w:space="0" w:color="808080"/>
            </w:tcBorders>
            <w:vAlign w:val="center"/>
          </w:tcPr>
          <w:p w14:paraId="70BAADAA" w14:textId="6983EE1C" w:rsidR="00E8751C" w:rsidRPr="00195B8A" w:rsidRDefault="00E8751C" w:rsidP="00EA552E">
            <w:pPr>
              <w:pStyle w:val="TableRow"/>
              <w:keepLines/>
              <w:jc w:val="center"/>
              <w:rPr>
                <w:color w:val="000000"/>
                <w:vertAlign w:val="superscript"/>
              </w:rPr>
            </w:pPr>
            <w:r w:rsidRPr="00195B8A">
              <w:rPr>
                <w:color w:val="000000"/>
                <w:vertAlign w:val="superscript"/>
              </w:rPr>
              <w:t>88</w:t>
            </w:r>
            <w:r>
              <w:rPr>
                <w:color w:val="000000"/>
              </w:rPr>
              <w:t>Kr</w:t>
            </w:r>
            <w:r w:rsidR="00E84050">
              <w:rPr>
                <w:color w:val="000000"/>
              </w:rPr>
              <w:t xml:space="preserve"> *</w:t>
            </w:r>
          </w:p>
        </w:tc>
        <w:tc>
          <w:tcPr>
            <w:tcW w:w="1258" w:type="dxa"/>
            <w:tcBorders>
              <w:top w:val="single" w:sz="4" w:space="0" w:color="808080"/>
              <w:bottom w:val="single" w:sz="4" w:space="0" w:color="808080"/>
            </w:tcBorders>
          </w:tcPr>
          <w:p w14:paraId="44A540AD" w14:textId="77777777" w:rsidR="00E8751C" w:rsidRPr="00DA46B4" w:rsidRDefault="00E8751C" w:rsidP="00EA552E">
            <w:pPr>
              <w:pStyle w:val="TableRow"/>
              <w:keepLines/>
              <w:jc w:val="center"/>
              <w:rPr>
                <w:color w:val="000000"/>
              </w:rPr>
            </w:pPr>
            <w:r w:rsidRPr="007B1C91">
              <w:t>9.76E+11</w:t>
            </w:r>
          </w:p>
        </w:tc>
        <w:tc>
          <w:tcPr>
            <w:tcW w:w="1259" w:type="dxa"/>
            <w:tcBorders>
              <w:top w:val="single" w:sz="4" w:space="0" w:color="808080"/>
              <w:bottom w:val="single" w:sz="4" w:space="0" w:color="808080"/>
            </w:tcBorders>
          </w:tcPr>
          <w:p w14:paraId="12AF18AC" w14:textId="77777777" w:rsidR="00E8751C" w:rsidRPr="00DA46B4" w:rsidRDefault="00E8751C" w:rsidP="00EA552E">
            <w:pPr>
              <w:pStyle w:val="TableRow"/>
              <w:keepLines/>
              <w:jc w:val="center"/>
              <w:rPr>
                <w:color w:val="000000"/>
              </w:rPr>
            </w:pPr>
            <w:r w:rsidRPr="007B1C91">
              <w:t>2.05E+11</w:t>
            </w:r>
          </w:p>
        </w:tc>
      </w:tr>
      <w:tr w:rsidR="00E8751C" w14:paraId="4DCD1F7D" w14:textId="77777777" w:rsidTr="00885BC3">
        <w:trPr>
          <w:cantSplit/>
          <w:jc w:val="center"/>
        </w:trPr>
        <w:tc>
          <w:tcPr>
            <w:tcW w:w="1453" w:type="dxa"/>
            <w:tcBorders>
              <w:top w:val="single" w:sz="4" w:space="0" w:color="808080"/>
              <w:bottom w:val="single" w:sz="4" w:space="0" w:color="808080"/>
            </w:tcBorders>
            <w:vAlign w:val="center"/>
          </w:tcPr>
          <w:p w14:paraId="088402D3" w14:textId="77777777" w:rsidR="00E8751C" w:rsidRPr="00195B8A" w:rsidRDefault="00E8751C" w:rsidP="00EA552E">
            <w:pPr>
              <w:pStyle w:val="TableRow"/>
              <w:keepLines/>
              <w:jc w:val="center"/>
              <w:rPr>
                <w:color w:val="000000"/>
                <w:vertAlign w:val="superscript"/>
              </w:rPr>
            </w:pPr>
            <w:r>
              <w:rPr>
                <w:color w:val="000000"/>
                <w:vertAlign w:val="superscript"/>
              </w:rPr>
              <w:t>88</w:t>
            </w:r>
            <w:r>
              <w:rPr>
                <w:color w:val="000000"/>
              </w:rPr>
              <w:t>Rb</w:t>
            </w:r>
          </w:p>
        </w:tc>
        <w:tc>
          <w:tcPr>
            <w:tcW w:w="1258" w:type="dxa"/>
            <w:tcBorders>
              <w:top w:val="single" w:sz="4" w:space="0" w:color="808080"/>
              <w:bottom w:val="single" w:sz="4" w:space="0" w:color="808080"/>
            </w:tcBorders>
          </w:tcPr>
          <w:p w14:paraId="4B6D0DB4" w14:textId="77777777" w:rsidR="00E8751C" w:rsidRPr="00DA46B4" w:rsidRDefault="00E8751C" w:rsidP="00EA552E">
            <w:pPr>
              <w:pStyle w:val="TableRow"/>
              <w:keepLines/>
              <w:jc w:val="center"/>
              <w:rPr>
                <w:color w:val="000000"/>
              </w:rPr>
            </w:pPr>
            <w:r w:rsidRPr="007B1C91">
              <w:t>2.05E+10</w:t>
            </w:r>
          </w:p>
        </w:tc>
        <w:tc>
          <w:tcPr>
            <w:tcW w:w="1259" w:type="dxa"/>
            <w:tcBorders>
              <w:top w:val="single" w:sz="4" w:space="0" w:color="808080"/>
              <w:bottom w:val="single" w:sz="4" w:space="0" w:color="808080"/>
            </w:tcBorders>
          </w:tcPr>
          <w:p w14:paraId="31B37CF2" w14:textId="77777777" w:rsidR="00E8751C" w:rsidRPr="00DA46B4" w:rsidRDefault="00E8751C" w:rsidP="00EA552E">
            <w:pPr>
              <w:pStyle w:val="TableRow"/>
              <w:keepLines/>
              <w:jc w:val="center"/>
              <w:rPr>
                <w:color w:val="000000"/>
              </w:rPr>
            </w:pPr>
            <w:r w:rsidRPr="007B1C91">
              <w:t>3.91E+07</w:t>
            </w:r>
          </w:p>
        </w:tc>
      </w:tr>
      <w:tr w:rsidR="00E8751C" w14:paraId="552CCAB6" w14:textId="77777777" w:rsidTr="00885BC3">
        <w:trPr>
          <w:cantSplit/>
          <w:jc w:val="center"/>
        </w:trPr>
        <w:tc>
          <w:tcPr>
            <w:tcW w:w="1453" w:type="dxa"/>
            <w:tcBorders>
              <w:top w:val="single" w:sz="4" w:space="0" w:color="808080"/>
              <w:bottom w:val="single" w:sz="4" w:space="0" w:color="808080"/>
            </w:tcBorders>
            <w:vAlign w:val="center"/>
          </w:tcPr>
          <w:p w14:paraId="513DD481" w14:textId="77777777" w:rsidR="00E8751C" w:rsidRPr="00195B8A" w:rsidRDefault="00E8751C" w:rsidP="00EA552E">
            <w:pPr>
              <w:pStyle w:val="TableRow"/>
              <w:keepLines/>
              <w:jc w:val="center"/>
              <w:rPr>
                <w:color w:val="000000"/>
                <w:vertAlign w:val="superscript"/>
              </w:rPr>
            </w:pPr>
            <w:r w:rsidRPr="00195B8A">
              <w:rPr>
                <w:color w:val="000000"/>
                <w:vertAlign w:val="superscript"/>
              </w:rPr>
              <w:t>13</w:t>
            </w:r>
            <w:r>
              <w:rPr>
                <w:color w:val="000000"/>
                <w:vertAlign w:val="superscript"/>
              </w:rPr>
              <w:t>1m</w:t>
            </w:r>
            <w:r>
              <w:rPr>
                <w:color w:val="000000"/>
              </w:rPr>
              <w:t>Xe</w:t>
            </w:r>
          </w:p>
        </w:tc>
        <w:tc>
          <w:tcPr>
            <w:tcW w:w="1258" w:type="dxa"/>
            <w:tcBorders>
              <w:top w:val="single" w:sz="4" w:space="0" w:color="808080"/>
              <w:bottom w:val="single" w:sz="4" w:space="0" w:color="808080"/>
            </w:tcBorders>
          </w:tcPr>
          <w:p w14:paraId="4C0E2763" w14:textId="77777777" w:rsidR="00E8751C" w:rsidRPr="00DA46B4" w:rsidRDefault="00E8751C" w:rsidP="00EA552E">
            <w:pPr>
              <w:pStyle w:val="TableRow"/>
              <w:keepLines/>
              <w:jc w:val="center"/>
              <w:rPr>
                <w:color w:val="000000"/>
              </w:rPr>
            </w:pPr>
            <w:r w:rsidRPr="007B1C91">
              <w:t>5.51E+11</w:t>
            </w:r>
          </w:p>
        </w:tc>
        <w:tc>
          <w:tcPr>
            <w:tcW w:w="1259" w:type="dxa"/>
            <w:tcBorders>
              <w:top w:val="single" w:sz="4" w:space="0" w:color="808080"/>
              <w:bottom w:val="single" w:sz="4" w:space="0" w:color="808080"/>
            </w:tcBorders>
          </w:tcPr>
          <w:p w14:paraId="5609E897" w14:textId="77777777" w:rsidR="00E8751C" w:rsidRPr="00DA46B4" w:rsidRDefault="00E8751C" w:rsidP="00EA552E">
            <w:pPr>
              <w:pStyle w:val="TableRow"/>
              <w:keepLines/>
              <w:jc w:val="center"/>
              <w:rPr>
                <w:color w:val="000000"/>
              </w:rPr>
            </w:pPr>
            <w:r w:rsidRPr="007B1C91">
              <w:t>1.16E+11</w:t>
            </w:r>
          </w:p>
        </w:tc>
      </w:tr>
      <w:tr w:rsidR="00E8751C" w14:paraId="50AEE480" w14:textId="77777777" w:rsidTr="00885BC3">
        <w:trPr>
          <w:cantSplit/>
          <w:jc w:val="center"/>
        </w:trPr>
        <w:tc>
          <w:tcPr>
            <w:tcW w:w="1453" w:type="dxa"/>
            <w:tcBorders>
              <w:top w:val="single" w:sz="4" w:space="0" w:color="808080"/>
              <w:bottom w:val="single" w:sz="4" w:space="0" w:color="808080"/>
            </w:tcBorders>
            <w:vAlign w:val="center"/>
          </w:tcPr>
          <w:p w14:paraId="32698A80" w14:textId="5C59B364" w:rsidR="00E8751C" w:rsidRDefault="00E8751C" w:rsidP="00EA552E">
            <w:pPr>
              <w:pStyle w:val="TableRow"/>
              <w:keepLines/>
              <w:jc w:val="center"/>
              <w:rPr>
                <w:color w:val="000000"/>
              </w:rPr>
            </w:pPr>
            <w:r w:rsidRPr="00195B8A">
              <w:rPr>
                <w:color w:val="000000"/>
                <w:vertAlign w:val="superscript"/>
              </w:rPr>
              <w:t>13</w:t>
            </w:r>
            <w:r>
              <w:rPr>
                <w:color w:val="000000"/>
                <w:vertAlign w:val="superscript"/>
              </w:rPr>
              <w:t>3</w:t>
            </w:r>
            <w:r>
              <w:rPr>
                <w:color w:val="000000"/>
              </w:rPr>
              <w:t>Xe</w:t>
            </w:r>
            <w:r w:rsidR="00E84050">
              <w:rPr>
                <w:color w:val="000000"/>
              </w:rPr>
              <w:t xml:space="preserve"> *</w:t>
            </w:r>
          </w:p>
        </w:tc>
        <w:tc>
          <w:tcPr>
            <w:tcW w:w="1258" w:type="dxa"/>
            <w:tcBorders>
              <w:top w:val="single" w:sz="4" w:space="0" w:color="808080"/>
              <w:bottom w:val="single" w:sz="4" w:space="0" w:color="808080"/>
            </w:tcBorders>
          </w:tcPr>
          <w:p w14:paraId="15F316EF" w14:textId="77777777" w:rsidR="00E8751C" w:rsidRPr="00DA46B4" w:rsidRDefault="00E8751C" w:rsidP="00EA552E">
            <w:pPr>
              <w:pStyle w:val="TableRow"/>
              <w:keepLines/>
              <w:jc w:val="center"/>
              <w:rPr>
                <w:color w:val="000000"/>
              </w:rPr>
            </w:pPr>
            <w:r w:rsidRPr="007B1C91">
              <w:t>6.97E+13</w:t>
            </w:r>
          </w:p>
        </w:tc>
        <w:tc>
          <w:tcPr>
            <w:tcW w:w="1259" w:type="dxa"/>
            <w:tcBorders>
              <w:top w:val="single" w:sz="4" w:space="0" w:color="808080"/>
              <w:bottom w:val="single" w:sz="4" w:space="0" w:color="808080"/>
            </w:tcBorders>
          </w:tcPr>
          <w:p w14:paraId="29C39EC6" w14:textId="77777777" w:rsidR="00E8751C" w:rsidRPr="00DA46B4" w:rsidRDefault="00E8751C" w:rsidP="00EA552E">
            <w:pPr>
              <w:pStyle w:val="TableRow"/>
              <w:keepLines/>
              <w:jc w:val="center"/>
              <w:rPr>
                <w:color w:val="000000"/>
              </w:rPr>
            </w:pPr>
            <w:r w:rsidRPr="007B1C91">
              <w:t>1.47E+13</w:t>
            </w:r>
          </w:p>
        </w:tc>
      </w:tr>
      <w:tr w:rsidR="00E8751C" w14:paraId="302D72BD" w14:textId="77777777" w:rsidTr="00885BC3">
        <w:trPr>
          <w:cantSplit/>
          <w:jc w:val="center"/>
        </w:trPr>
        <w:tc>
          <w:tcPr>
            <w:tcW w:w="1453" w:type="dxa"/>
            <w:tcBorders>
              <w:top w:val="single" w:sz="4" w:space="0" w:color="808080"/>
              <w:bottom w:val="single" w:sz="4" w:space="0" w:color="808080"/>
            </w:tcBorders>
            <w:vAlign w:val="center"/>
          </w:tcPr>
          <w:p w14:paraId="6080E2C8" w14:textId="77777777" w:rsidR="00E8751C" w:rsidRDefault="00E8751C" w:rsidP="00EA552E">
            <w:pPr>
              <w:pStyle w:val="TableRow"/>
              <w:keepLines/>
              <w:jc w:val="center"/>
              <w:rPr>
                <w:color w:val="000000"/>
              </w:rPr>
            </w:pPr>
            <w:r w:rsidRPr="00195B8A">
              <w:rPr>
                <w:color w:val="000000"/>
                <w:vertAlign w:val="superscript"/>
              </w:rPr>
              <w:t>133</w:t>
            </w:r>
            <w:r>
              <w:rPr>
                <w:color w:val="000000"/>
                <w:vertAlign w:val="superscript"/>
              </w:rPr>
              <w:t>m</w:t>
            </w:r>
            <w:r>
              <w:rPr>
                <w:color w:val="000000"/>
              </w:rPr>
              <w:t>Xe</w:t>
            </w:r>
          </w:p>
        </w:tc>
        <w:tc>
          <w:tcPr>
            <w:tcW w:w="1258" w:type="dxa"/>
            <w:tcBorders>
              <w:top w:val="single" w:sz="4" w:space="0" w:color="808080"/>
              <w:bottom w:val="single" w:sz="4" w:space="0" w:color="808080"/>
            </w:tcBorders>
          </w:tcPr>
          <w:p w14:paraId="4B88FC28" w14:textId="77777777" w:rsidR="00E8751C" w:rsidRPr="00DA46B4" w:rsidRDefault="00E8751C" w:rsidP="00EA552E">
            <w:pPr>
              <w:pStyle w:val="TableRow"/>
              <w:keepLines/>
              <w:jc w:val="center"/>
              <w:rPr>
                <w:color w:val="000000"/>
              </w:rPr>
            </w:pPr>
            <w:r w:rsidRPr="007B1C91">
              <w:t>1.26E+12</w:t>
            </w:r>
          </w:p>
        </w:tc>
        <w:tc>
          <w:tcPr>
            <w:tcW w:w="1259" w:type="dxa"/>
            <w:tcBorders>
              <w:top w:val="single" w:sz="4" w:space="0" w:color="808080"/>
              <w:bottom w:val="single" w:sz="4" w:space="0" w:color="808080"/>
            </w:tcBorders>
          </w:tcPr>
          <w:p w14:paraId="613E5AC7" w14:textId="77777777" w:rsidR="00E8751C" w:rsidRPr="00DA46B4" w:rsidRDefault="00E8751C" w:rsidP="00EA552E">
            <w:pPr>
              <w:pStyle w:val="TableRow"/>
              <w:keepLines/>
              <w:jc w:val="center"/>
              <w:rPr>
                <w:color w:val="000000"/>
              </w:rPr>
            </w:pPr>
            <w:r w:rsidRPr="007B1C91">
              <w:t>2.64E+11</w:t>
            </w:r>
          </w:p>
        </w:tc>
      </w:tr>
      <w:tr w:rsidR="00E8751C" w14:paraId="5A4530EE" w14:textId="77777777" w:rsidTr="00885BC3">
        <w:trPr>
          <w:cantSplit/>
          <w:jc w:val="center"/>
        </w:trPr>
        <w:tc>
          <w:tcPr>
            <w:tcW w:w="1453" w:type="dxa"/>
            <w:tcBorders>
              <w:top w:val="single" w:sz="4" w:space="0" w:color="808080"/>
              <w:bottom w:val="single" w:sz="4" w:space="0" w:color="808080"/>
            </w:tcBorders>
            <w:vAlign w:val="center"/>
          </w:tcPr>
          <w:p w14:paraId="5A978C75" w14:textId="77777777" w:rsidR="00E8751C" w:rsidRDefault="00E8751C" w:rsidP="00EA552E">
            <w:pPr>
              <w:pStyle w:val="TableRow"/>
              <w:keepLines/>
              <w:jc w:val="center"/>
              <w:rPr>
                <w:color w:val="000000"/>
              </w:rPr>
            </w:pPr>
            <w:r w:rsidRPr="00195B8A">
              <w:rPr>
                <w:color w:val="000000"/>
                <w:vertAlign w:val="superscript"/>
              </w:rPr>
              <w:t>135</w:t>
            </w:r>
            <w:r>
              <w:rPr>
                <w:color w:val="000000"/>
              </w:rPr>
              <w:t>Xe</w:t>
            </w:r>
          </w:p>
        </w:tc>
        <w:tc>
          <w:tcPr>
            <w:tcW w:w="1258" w:type="dxa"/>
            <w:tcBorders>
              <w:top w:val="single" w:sz="4" w:space="0" w:color="808080"/>
              <w:bottom w:val="single" w:sz="4" w:space="0" w:color="808080"/>
            </w:tcBorders>
          </w:tcPr>
          <w:p w14:paraId="02F44F81" w14:textId="77777777" w:rsidR="00E8751C" w:rsidRPr="00DA46B4" w:rsidRDefault="00E8751C" w:rsidP="00EA552E">
            <w:pPr>
              <w:pStyle w:val="TableRow"/>
              <w:keepLines/>
              <w:jc w:val="center"/>
              <w:rPr>
                <w:color w:val="000000"/>
              </w:rPr>
            </w:pPr>
            <w:r w:rsidRPr="007B1C91">
              <w:t>3.42E+12</w:t>
            </w:r>
          </w:p>
        </w:tc>
        <w:tc>
          <w:tcPr>
            <w:tcW w:w="1259" w:type="dxa"/>
            <w:tcBorders>
              <w:top w:val="single" w:sz="4" w:space="0" w:color="808080"/>
              <w:bottom w:val="single" w:sz="4" w:space="0" w:color="808080"/>
            </w:tcBorders>
          </w:tcPr>
          <w:p w14:paraId="719ACA06" w14:textId="77777777" w:rsidR="00E8751C" w:rsidRPr="00DA46B4" w:rsidRDefault="00E8751C" w:rsidP="00EA552E">
            <w:pPr>
              <w:pStyle w:val="TableRow"/>
              <w:keepLines/>
              <w:jc w:val="center"/>
              <w:rPr>
                <w:color w:val="000000"/>
              </w:rPr>
            </w:pPr>
            <w:r w:rsidRPr="007B1C91">
              <w:t>7.18E+11</w:t>
            </w:r>
          </w:p>
        </w:tc>
      </w:tr>
      <w:tr w:rsidR="00E8751C" w14:paraId="7D6D00BC" w14:textId="77777777" w:rsidTr="00885BC3">
        <w:trPr>
          <w:cantSplit/>
          <w:jc w:val="center"/>
        </w:trPr>
        <w:tc>
          <w:tcPr>
            <w:tcW w:w="1453" w:type="dxa"/>
            <w:tcBorders>
              <w:top w:val="single" w:sz="4" w:space="0" w:color="808080"/>
              <w:bottom w:val="single" w:sz="4" w:space="0" w:color="808080"/>
            </w:tcBorders>
            <w:vAlign w:val="center"/>
          </w:tcPr>
          <w:p w14:paraId="2B7308D5" w14:textId="77777777" w:rsidR="00E8751C" w:rsidRDefault="00E8751C" w:rsidP="00EA552E">
            <w:pPr>
              <w:pStyle w:val="TableRow"/>
              <w:keepLines/>
              <w:jc w:val="center"/>
              <w:rPr>
                <w:color w:val="000000"/>
              </w:rPr>
            </w:pPr>
            <w:r w:rsidRPr="00195B8A">
              <w:rPr>
                <w:color w:val="000000"/>
                <w:vertAlign w:val="superscript"/>
              </w:rPr>
              <w:t>13</w:t>
            </w:r>
            <w:r>
              <w:rPr>
                <w:color w:val="000000"/>
                <w:vertAlign w:val="superscript"/>
              </w:rPr>
              <w:t>8</w:t>
            </w:r>
            <w:r>
              <w:rPr>
                <w:color w:val="000000"/>
              </w:rPr>
              <w:t>Xe</w:t>
            </w:r>
          </w:p>
        </w:tc>
        <w:tc>
          <w:tcPr>
            <w:tcW w:w="1258" w:type="dxa"/>
            <w:tcBorders>
              <w:top w:val="single" w:sz="4" w:space="0" w:color="808080"/>
              <w:bottom w:val="single" w:sz="4" w:space="0" w:color="808080"/>
            </w:tcBorders>
          </w:tcPr>
          <w:p w14:paraId="77269C35" w14:textId="77777777" w:rsidR="00E8751C" w:rsidRPr="00DA46B4" w:rsidRDefault="00E8751C" w:rsidP="00EA552E">
            <w:pPr>
              <w:pStyle w:val="TableRow"/>
              <w:keepLines/>
              <w:jc w:val="center"/>
              <w:rPr>
                <w:color w:val="000000"/>
              </w:rPr>
            </w:pPr>
            <w:r w:rsidRPr="007B1C91">
              <w:t>2.02E+11</w:t>
            </w:r>
          </w:p>
        </w:tc>
        <w:tc>
          <w:tcPr>
            <w:tcW w:w="1259" w:type="dxa"/>
            <w:tcBorders>
              <w:top w:val="single" w:sz="4" w:space="0" w:color="808080"/>
              <w:bottom w:val="single" w:sz="4" w:space="0" w:color="808080"/>
            </w:tcBorders>
          </w:tcPr>
          <w:p w14:paraId="1F438C60" w14:textId="77777777" w:rsidR="00E8751C" w:rsidRPr="00DA46B4" w:rsidRDefault="00E8751C" w:rsidP="00EA552E">
            <w:pPr>
              <w:pStyle w:val="TableRow"/>
              <w:keepLines/>
              <w:jc w:val="center"/>
              <w:rPr>
                <w:color w:val="000000"/>
              </w:rPr>
            </w:pPr>
            <w:r w:rsidRPr="007B1C91">
              <w:t>4.25E+10</w:t>
            </w:r>
          </w:p>
        </w:tc>
      </w:tr>
      <w:tr w:rsidR="00E8751C" w14:paraId="0740B2B3" w14:textId="77777777" w:rsidTr="00885BC3">
        <w:trPr>
          <w:cantSplit/>
          <w:jc w:val="center"/>
        </w:trPr>
        <w:tc>
          <w:tcPr>
            <w:tcW w:w="3970" w:type="dxa"/>
            <w:gridSpan w:val="3"/>
            <w:tcBorders>
              <w:top w:val="single" w:sz="4" w:space="0" w:color="808080"/>
              <w:bottom w:val="single" w:sz="4" w:space="0" w:color="808080"/>
            </w:tcBorders>
            <w:vAlign w:val="center"/>
          </w:tcPr>
          <w:p w14:paraId="59C21F89" w14:textId="7D2A07E3" w:rsidR="00E8751C" w:rsidRPr="00DA46B4" w:rsidRDefault="00E8751C" w:rsidP="00EA552E">
            <w:pPr>
              <w:pStyle w:val="TableRow"/>
              <w:keepLines/>
              <w:rPr>
                <w:color w:val="000000"/>
              </w:rPr>
            </w:pPr>
            <w:r>
              <w:rPr>
                <w:color w:val="000000"/>
              </w:rPr>
              <w:t>Phase 1 = 0-2h;</w:t>
            </w:r>
            <w:r w:rsidR="00EA552E">
              <w:rPr>
                <w:color w:val="000000"/>
              </w:rPr>
              <w:t xml:space="preserve">  </w:t>
            </w:r>
            <w:r>
              <w:rPr>
                <w:color w:val="000000"/>
              </w:rPr>
              <w:t>Phase 2 = 2-8h.</w:t>
            </w:r>
          </w:p>
        </w:tc>
      </w:tr>
      <w:tr w:rsidR="00E8751C" w14:paraId="1936BACE" w14:textId="77777777" w:rsidTr="00885BC3">
        <w:trPr>
          <w:cantSplit/>
          <w:jc w:val="center"/>
        </w:trPr>
        <w:tc>
          <w:tcPr>
            <w:tcW w:w="3970" w:type="dxa"/>
            <w:gridSpan w:val="3"/>
            <w:tcBorders>
              <w:top w:val="single" w:sz="4" w:space="0" w:color="808080"/>
              <w:bottom w:val="single" w:sz="4" w:space="0" w:color="808080"/>
            </w:tcBorders>
            <w:vAlign w:val="center"/>
          </w:tcPr>
          <w:p w14:paraId="58142E08" w14:textId="3435AD09" w:rsidR="00E8751C" w:rsidRPr="00DA46B4" w:rsidRDefault="00E8751C" w:rsidP="00EA552E">
            <w:pPr>
              <w:pStyle w:val="TableRow"/>
              <w:keepLines/>
              <w:rPr>
                <w:color w:val="000000"/>
              </w:rPr>
            </w:pPr>
            <w:r>
              <w:rPr>
                <w:color w:val="000000"/>
              </w:rPr>
              <w:t xml:space="preserve">All iodine was assumed to be in </w:t>
            </w:r>
            <w:r w:rsidR="00792E6A">
              <w:rPr>
                <w:color w:val="000000"/>
              </w:rPr>
              <w:t>elemental</w:t>
            </w:r>
            <w:r>
              <w:rPr>
                <w:color w:val="000000"/>
              </w:rPr>
              <w:t xml:space="preserve"> form.</w:t>
            </w:r>
          </w:p>
        </w:tc>
      </w:tr>
      <w:tr w:rsidR="00E84050" w14:paraId="5E011A90" w14:textId="77777777" w:rsidTr="00885BC3">
        <w:trPr>
          <w:cantSplit/>
          <w:jc w:val="center"/>
        </w:trPr>
        <w:tc>
          <w:tcPr>
            <w:tcW w:w="3970" w:type="dxa"/>
            <w:gridSpan w:val="3"/>
            <w:tcBorders>
              <w:top w:val="single" w:sz="4" w:space="0" w:color="808080"/>
              <w:bottom w:val="single" w:sz="4" w:space="0" w:color="808080"/>
            </w:tcBorders>
            <w:vAlign w:val="center"/>
          </w:tcPr>
          <w:p w14:paraId="2E390EFF" w14:textId="64ECC49D" w:rsidR="00E84050" w:rsidRDefault="00E84050" w:rsidP="00EA552E">
            <w:pPr>
              <w:pStyle w:val="TableRow"/>
              <w:keepLines/>
              <w:rPr>
                <w:color w:val="000000"/>
              </w:rPr>
            </w:pPr>
            <w:r>
              <w:rPr>
                <w:color w:val="000000"/>
              </w:rPr>
              <w:t>* indicates radionuclides included in ADMS model runs</w:t>
            </w:r>
          </w:p>
        </w:tc>
      </w:tr>
    </w:tbl>
    <w:p w14:paraId="7E503FD3" w14:textId="75DD6BC5" w:rsidR="00885BC3" w:rsidRDefault="00885BC3" w:rsidP="00885BC3">
      <w:pPr>
        <w:pStyle w:val="BodyText"/>
      </w:pPr>
      <w:bookmarkStart w:id="56" w:name="_Toc79679420"/>
    </w:p>
    <w:p w14:paraId="4A7C5F13" w14:textId="77777777" w:rsidR="00885BC3" w:rsidRPr="00885BC3" w:rsidRDefault="00885BC3" w:rsidP="00885BC3">
      <w:pPr>
        <w:pStyle w:val="BodyText"/>
      </w:pPr>
    </w:p>
    <w:p w14:paraId="26579F3B" w14:textId="1AD668E1" w:rsidR="00257419" w:rsidRPr="001E0772" w:rsidRDefault="00257419" w:rsidP="00257419">
      <w:pPr>
        <w:pStyle w:val="Heading1"/>
      </w:pPr>
      <w:bookmarkStart w:id="57" w:name="_Toc89966373"/>
      <w:r w:rsidRPr="001E0772">
        <w:t>Methodology</w:t>
      </w:r>
      <w:bookmarkEnd w:id="56"/>
      <w:bookmarkEnd w:id="57"/>
    </w:p>
    <w:p w14:paraId="0A845ABA" w14:textId="40DA9B75" w:rsidR="00257419" w:rsidRDefault="00257419" w:rsidP="00257419">
      <w:pPr>
        <w:pStyle w:val="BodyTextEND"/>
        <w:spacing w:after="120"/>
        <w:jc w:val="both"/>
      </w:pPr>
      <w:r>
        <w:t xml:space="preserve">Calculations in this study were carried out using CERC’s atmospheric dispersion model called ADMS (alongside some post processing of ADMS model output), and </w:t>
      </w:r>
      <w:r w:rsidR="009916BD">
        <w:t>UKHSA</w:t>
      </w:r>
      <w:r>
        <w:t xml:space="preserve">’s </w:t>
      </w:r>
      <w:r w:rsidRPr="00F563B5">
        <w:t>Probabilistic Accident Consequence Evaluation tool</w:t>
      </w:r>
      <w:r>
        <w:t xml:space="preserve"> (</w:t>
      </w:r>
      <w:r w:rsidRPr="00F563B5">
        <w:t>PACE</w:t>
      </w:r>
      <w:r w:rsidRPr="00227974">
        <w:t>)</w:t>
      </w:r>
      <w:r>
        <w:t xml:space="preserve">. The UK Met Office’s </w:t>
      </w:r>
      <w:r w:rsidR="003E0641">
        <w:t xml:space="preserve">Lagrangian Particle </w:t>
      </w:r>
      <w:r>
        <w:t xml:space="preserve">NAME model, and the Gaussian plume model called ADEPT, both implemented within PACE, were both used, in addition to ADMS, for the modelling of the </w:t>
      </w:r>
      <w:r w:rsidRPr="00227974">
        <w:t>dispersion of</w:t>
      </w:r>
      <w:r>
        <w:t xml:space="preserve"> </w:t>
      </w:r>
      <w:r w:rsidRPr="00227974">
        <w:t>material in the atmosphere</w:t>
      </w:r>
      <w:r>
        <w:t>.</w:t>
      </w:r>
      <w:r w:rsidR="00405CD4">
        <w:t xml:space="preserve"> ADMS and </w:t>
      </w:r>
      <w:r w:rsidR="00792DDD">
        <w:t>ADEPT</w:t>
      </w:r>
      <w:r w:rsidR="00405CD4">
        <w:t xml:space="preserve"> were applied in this study, as they are representative of the types of Gaussian plume models used historically by operators of nuclear licensed sites. NAME </w:t>
      </w:r>
      <w:r w:rsidR="003E0641">
        <w:t xml:space="preserve">was </w:t>
      </w:r>
      <w:r w:rsidR="00405CD4">
        <w:t>considered here to be a validated advanced method and will provide a benchmark against which all Gaussian approaches can be compared.</w:t>
      </w:r>
    </w:p>
    <w:p w14:paraId="12993F34" w14:textId="0EF95456" w:rsidR="00257419" w:rsidRDefault="00CF741F" w:rsidP="00257419">
      <w:pPr>
        <w:pStyle w:val="BodyTextEND"/>
        <w:spacing w:after="360"/>
        <w:jc w:val="both"/>
      </w:pPr>
      <w:r>
        <w:t>During the course of the model runs, six hypothetical release locations in the UK were considered. These were Ardlui, Bradwell, Ely, Hinkley Point, Seathwaite and Trawsfynydd.</w:t>
      </w:r>
      <w:r w:rsidR="00257419">
        <w:t xml:space="preserve"> The release location has </w:t>
      </w:r>
      <w:r w:rsidR="00044FED">
        <w:t xml:space="preserve">the potential to </w:t>
      </w:r>
      <w:r w:rsidR="00257419">
        <w:t>significant</w:t>
      </w:r>
      <w:r w:rsidR="00044FED">
        <w:t>ly</w:t>
      </w:r>
      <w:r w:rsidR="00257419">
        <w:t xml:space="preserve"> impact the model results derived wh</w:t>
      </w:r>
      <w:r w:rsidR="00805843">
        <w:t>en running NAME</w:t>
      </w:r>
      <w:r w:rsidR="00257419">
        <w:t xml:space="preserve"> (which accounts for location specific spatially and temporally varying meteorology and location specific spatially varying agricultural production), </w:t>
      </w:r>
      <w:r w:rsidR="00E64953">
        <w:t xml:space="preserve">has </w:t>
      </w:r>
      <w:r w:rsidR="00257419">
        <w:t>a much lesser impact when running A</w:t>
      </w:r>
      <w:r w:rsidR="00805843">
        <w:t>DEPT</w:t>
      </w:r>
      <w:r w:rsidR="00257419">
        <w:t xml:space="preserve"> (which accounts for location specific spatially varying agricultural production only) and </w:t>
      </w:r>
      <w:r w:rsidR="00E64953">
        <w:t xml:space="preserve">has </w:t>
      </w:r>
      <w:r w:rsidR="00257419">
        <w:t>no impact when running ADMS (which considers no location specific input data</w:t>
      </w:r>
      <w:r w:rsidR="00CE2CF5">
        <w:t>, as applied in this study</w:t>
      </w:r>
      <w:r w:rsidR="00257419">
        <w:t>).</w:t>
      </w:r>
    </w:p>
    <w:p w14:paraId="1C1A791F" w14:textId="77777777" w:rsidR="00257419" w:rsidRDefault="00257419" w:rsidP="00257419">
      <w:pPr>
        <w:pStyle w:val="Heading2"/>
      </w:pPr>
      <w:bookmarkStart w:id="58" w:name="_Toc79679421"/>
      <w:bookmarkStart w:id="59" w:name="_Toc89966374"/>
      <w:r>
        <w:t>Model endpoints</w:t>
      </w:r>
      <w:bookmarkEnd w:id="58"/>
      <w:bookmarkEnd w:id="59"/>
    </w:p>
    <w:p w14:paraId="6DB4457D" w14:textId="3D115ECE" w:rsidR="00CF741F" w:rsidRDefault="007B03BB" w:rsidP="00257419">
      <w:pPr>
        <w:pStyle w:val="BodyText"/>
        <w:jc w:val="both"/>
      </w:pPr>
      <w:bookmarkStart w:id="60" w:name="_Hlk52792700"/>
      <w:r>
        <w:t>C</w:t>
      </w:r>
      <w:r w:rsidR="00257419">
        <w:t>ommitted effective dose</w:t>
      </w:r>
      <w:r w:rsidR="00CA751D">
        <w:t>s</w:t>
      </w:r>
      <w:r w:rsidR="00257419">
        <w:t xml:space="preserve"> at a range of radial distances from the release (0.5, 1, 2 and 5 km) </w:t>
      </w:r>
      <w:r>
        <w:t xml:space="preserve">were calculated </w:t>
      </w:r>
      <w:r w:rsidR="00257419">
        <w:t>for a one-year-old infant and an adult.</w:t>
      </w:r>
    </w:p>
    <w:p w14:paraId="0B495BD8" w14:textId="328CFC54" w:rsidR="007B03BB" w:rsidRDefault="007B03BB" w:rsidP="00257419">
      <w:pPr>
        <w:pStyle w:val="BodyText"/>
        <w:jc w:val="both"/>
      </w:pPr>
      <w:r>
        <w:t>PACE modelling is based on grid squares, so it does not, strictly speaking, output results “at” specific distances. For NAME</w:t>
      </w:r>
      <w:r w:rsidR="0072699A">
        <w:t xml:space="preserve"> </w:t>
      </w:r>
      <w:r w:rsidR="005F7B60">
        <w:t xml:space="preserve">runs </w:t>
      </w:r>
      <w:r>
        <w:t>in the present study, “at 0.5</w:t>
      </w:r>
      <w:r w:rsidR="00CA751D">
        <w:t> </w:t>
      </w:r>
      <w:r>
        <w:t xml:space="preserve">km” was interpreted as </w:t>
      </w:r>
      <w:r w:rsidR="009D3744">
        <w:t>including</w:t>
      </w:r>
      <w:r>
        <w:t xml:space="preserve"> every grid square that ha</w:t>
      </w:r>
      <w:r w:rsidR="009D3744">
        <w:t>d</w:t>
      </w:r>
      <w:r>
        <w:t xml:space="preserve"> a centre point that </w:t>
      </w:r>
      <w:r w:rsidR="009D3744">
        <w:t>wa</w:t>
      </w:r>
      <w:r>
        <w:t>s between 0.4 and 0.6 km from the release point. Similarly, “at 1 km” meant between 0.8 and 1.2 km, “at 2 km” meant between 1.6 and 2.4 km, and “at 5 km” meant between 4</w:t>
      </w:r>
      <w:r w:rsidR="009D3744">
        <w:t>.0</w:t>
      </w:r>
      <w:r>
        <w:t xml:space="preserve"> and 6</w:t>
      </w:r>
      <w:r w:rsidR="009D3744">
        <w:t>.0 </w:t>
      </w:r>
      <w:r>
        <w:t>km.</w:t>
      </w:r>
      <w:r w:rsidR="005F7B60">
        <w:t xml:space="preserve"> </w:t>
      </w:r>
      <w:r w:rsidR="00044FED">
        <w:t xml:space="preserve">An </w:t>
      </w:r>
      <w:r w:rsidR="005F7B60">
        <w:t xml:space="preserve">analogous approach was performed when applying ADEPT, for consistency with the NAME method and to acknowledge that there exists spatial variation in agricultural practices; it is recognised that as a result there is a degree of inconsistency between the ADEPT and ADMS approaches (where the latter is based </w:t>
      </w:r>
      <w:r w:rsidR="002A0EF7">
        <w:t>on</w:t>
      </w:r>
      <w:r w:rsidR="005F7B60">
        <w:t xml:space="preserve"> </w:t>
      </w:r>
      <w:r w:rsidR="00B83EEF">
        <w:t xml:space="preserve">uniform integer distance receptor point values along a </w:t>
      </w:r>
      <w:r w:rsidR="004E7C8F">
        <w:t>plume centre line</w:t>
      </w:r>
      <w:r w:rsidR="005F7B60">
        <w:t>).</w:t>
      </w:r>
      <w:r w:rsidR="004B5190">
        <w:t xml:space="preserve"> The sensitivity of th</w:t>
      </w:r>
      <w:r w:rsidR="00F55D61">
        <w:t xml:space="preserve">is </w:t>
      </w:r>
      <w:r w:rsidR="004B5190">
        <w:t>approach in ADEPT was briefly investigated</w:t>
      </w:r>
      <w:r w:rsidR="00F55D61">
        <w:t xml:space="preserve">. Specifically, the difference between considering </w:t>
      </w:r>
      <w:r w:rsidR="00EF51B3">
        <w:t xml:space="preserve">(the maximum dose across) </w:t>
      </w:r>
      <w:r w:rsidR="00F55D61">
        <w:t xml:space="preserve">every grid square that had a centre point between 0.4 and 0.6 km from the release point as a representation of the 0.5 km receptor point, compared to considering </w:t>
      </w:r>
      <w:r w:rsidR="00EF51B3">
        <w:t xml:space="preserve">(the maximum dose across) </w:t>
      </w:r>
      <w:r w:rsidR="00F55D61">
        <w:t>every grid square that had a centre point greater than 0.5 km from the release point as a representation of the 0.5 km receptor point.</w:t>
      </w:r>
      <w:r w:rsidR="00EF51B3">
        <w:t xml:space="preserve"> The sensitivity of this approach at other receptor distances was also considered in a similar way. </w:t>
      </w:r>
      <w:r w:rsidR="00F55D61">
        <w:t>The derived TIAC</w:t>
      </w:r>
      <w:r w:rsidR="004B5190">
        <w:t xml:space="preserve"> </w:t>
      </w:r>
      <w:r w:rsidR="00F55D61">
        <w:t xml:space="preserve">values varied by no more than a few tens of percent. </w:t>
      </w:r>
      <w:r w:rsidR="004B5190">
        <w:t>Whilst NAME derives average</w:t>
      </w:r>
      <w:r w:rsidR="00B83EEF">
        <w:t>d</w:t>
      </w:r>
      <w:r w:rsidR="004B5190">
        <w:t xml:space="preserve"> air (and deposition) concentrations over each grid box, ADEPT determines a point air (and deposition) concentration value at the centre of the grid box. </w:t>
      </w:r>
    </w:p>
    <w:p w14:paraId="2035D1EE" w14:textId="4A1E8B79" w:rsidR="00964C26" w:rsidRDefault="00257419" w:rsidP="006542A3">
      <w:pPr>
        <w:pStyle w:val="BodyText"/>
        <w:jc w:val="both"/>
      </w:pPr>
      <w:r>
        <w:t xml:space="preserve">In all cases, 1 year and lifetime dose integration periods were considered; and depending on the release duration, a 7 or 30 day dose integration period was also considered. For all three atmospheric dispersion modelling approaches applied in this study, ingestion dose was assessed whilst </w:t>
      </w:r>
      <w:r w:rsidRPr="00E31064">
        <w:t>omit</w:t>
      </w:r>
      <w:r>
        <w:t>ting the impact of</w:t>
      </w:r>
      <w:r w:rsidRPr="00E31064">
        <w:t xml:space="preserve"> food bans</w:t>
      </w:r>
      <w:r>
        <w:t xml:space="preserve">; for ingestion doses calculated using PACE, the impact of food restrictions </w:t>
      </w:r>
      <w:r w:rsidR="000D1FAC">
        <w:t>on</w:t>
      </w:r>
      <w:r>
        <w:t xml:space="preserve"> the activity concentrations exceeding the MPLs were also considered.</w:t>
      </w:r>
      <w:r w:rsidR="00964C26">
        <w:t xml:space="preserve"> Consideration of food restrictions was not possible in ADMS, and consideration in a post processing step would have added significant complexity to the approach applied, therefore food restrictions were not considered on the basis of any of the ADMS derived dose estimates.</w:t>
      </w:r>
      <w:bookmarkStart w:id="61" w:name="_Hlk85816615"/>
    </w:p>
    <w:p w14:paraId="6EE2B761" w14:textId="327D96AE" w:rsidR="00E024F0" w:rsidRPr="00E024F0" w:rsidRDefault="00E024F0" w:rsidP="00836436">
      <w:pPr>
        <w:pStyle w:val="BodyText"/>
        <w:jc w:val="both"/>
      </w:pPr>
      <w:r w:rsidRPr="00E024F0">
        <w:t xml:space="preserve">The ADEPT and ADMS model runs were deterministic in the sense that each input parameter in each run was assigned a single value, and each run calculated a single value for each endpoint. This means, for example, that each run assumed a single precipitation rate and a single Pasquill Stability Category. During each run, those parameter values remained constant. However, not all runs used the same parameter values. </w:t>
      </w:r>
      <w:r w:rsidR="00331997">
        <w:t>For</w:t>
      </w:r>
      <w:r w:rsidRPr="00E024F0">
        <w:t xml:space="preserve"> example</w:t>
      </w:r>
      <w:r w:rsidR="006542A3">
        <w:t>,</w:t>
      </w:r>
      <w:r w:rsidR="00331997">
        <w:t xml:space="preserve"> during </w:t>
      </w:r>
      <w:r w:rsidRPr="00E024F0">
        <w:t xml:space="preserve">a run </w:t>
      </w:r>
      <w:r w:rsidR="00331997">
        <w:t>it would be</w:t>
      </w:r>
      <w:r w:rsidRPr="00E024F0">
        <w:t xml:space="preserve"> assumed that the Pasquill Stability Category was Category D</w:t>
      </w:r>
      <w:r w:rsidR="00331997">
        <w:t xml:space="preserve"> and that would not change</w:t>
      </w:r>
      <w:r w:rsidR="006542A3">
        <w:t xml:space="preserve">. </w:t>
      </w:r>
      <w:r w:rsidRPr="00E024F0">
        <w:t xml:space="preserve">However, in a different run, the Category was assumed to be F (and to remain as F for the full duration of the run). Only a small </w:t>
      </w:r>
      <w:r w:rsidR="00F9655A">
        <w:t>number</w:t>
      </w:r>
      <w:r w:rsidRPr="00E024F0">
        <w:t xml:space="preserve"> of possible parameter values w</w:t>
      </w:r>
      <w:r w:rsidR="00F9655A">
        <w:t>ere</w:t>
      </w:r>
      <w:r w:rsidRPr="00E024F0">
        <w:t xml:space="preserve"> considered.</w:t>
      </w:r>
      <w:r w:rsidR="00AC4798">
        <w:t xml:space="preserve"> These were entered manually and were not directly extracted from any real-world dataset.</w:t>
      </w:r>
    </w:p>
    <w:p w14:paraId="5B07634A" w14:textId="3787D88A" w:rsidR="00C3293C" w:rsidRPr="00C3293C" w:rsidRDefault="00E024F0" w:rsidP="00836436">
      <w:pPr>
        <w:pStyle w:val="BodyTextEND"/>
        <w:jc w:val="both"/>
      </w:pPr>
      <w:r w:rsidRPr="00E024F0">
        <w:t>This can be contrasted with the NAME model runs, which did not use just one single set of user-defined values to describe the meteorological conditions, and did not produce just one single set of values for the modelled endpoints. Rather, each NAME run was “probabilistic” in the sense that it sampled a large range of representative meteorological conditions, calculated results for each set of conditions, and then presented the results in statistical form, including the mean, median, 95</w:t>
      </w:r>
      <w:r w:rsidRPr="00E024F0">
        <w:rPr>
          <w:vertAlign w:val="superscript"/>
        </w:rPr>
        <w:t>th</w:t>
      </w:r>
      <w:r w:rsidRPr="00E024F0">
        <w:t xml:space="preserve"> percentile, 97.5</w:t>
      </w:r>
      <w:r w:rsidRPr="00E024F0">
        <w:rPr>
          <w:vertAlign w:val="superscript"/>
        </w:rPr>
        <w:t>th</w:t>
      </w:r>
      <w:r w:rsidRPr="00E024F0">
        <w:t xml:space="preserve"> percentile and maximum values for the relevant endpoints.</w:t>
      </w:r>
    </w:p>
    <w:p w14:paraId="0EF54E6A" w14:textId="5F0D3A9A" w:rsidR="00257419" w:rsidRDefault="00257419" w:rsidP="00257419">
      <w:pPr>
        <w:pStyle w:val="Heading2"/>
      </w:pPr>
      <w:bookmarkStart w:id="62" w:name="_Toc79679422"/>
      <w:bookmarkStart w:id="63" w:name="_Toc89966375"/>
      <w:bookmarkEnd w:id="60"/>
      <w:bookmarkEnd w:id="61"/>
      <w:r>
        <w:t>Definitions and modelling assumptions</w:t>
      </w:r>
      <w:bookmarkEnd w:id="62"/>
      <w:bookmarkEnd w:id="63"/>
    </w:p>
    <w:p w14:paraId="73CDFA5E" w14:textId="77777777" w:rsidR="00257419" w:rsidRDefault="00257419" w:rsidP="00257419">
      <w:pPr>
        <w:pStyle w:val="BodyText"/>
        <w:jc w:val="both"/>
      </w:pPr>
      <w:r>
        <w:t>For clarity, key modelling approaches and assumptions, which apply irrespective of the atmospheric dispersion modelling approach being applied, are listed below. More detail is provided in the sections that follow.</w:t>
      </w:r>
    </w:p>
    <w:p w14:paraId="400ADB63" w14:textId="12336347" w:rsidR="00257419" w:rsidRPr="00AA0BAC" w:rsidRDefault="00257419" w:rsidP="006D6FEA">
      <w:pPr>
        <w:pStyle w:val="BodyText"/>
        <w:numPr>
          <w:ilvl w:val="0"/>
          <w:numId w:val="5"/>
        </w:numPr>
        <w:jc w:val="both"/>
      </w:pPr>
      <w:r w:rsidRPr="00AA0BAC">
        <w:t xml:space="preserve">Best estimate </w:t>
      </w:r>
      <w:r>
        <w:t xml:space="preserve">dry </w:t>
      </w:r>
      <w:r w:rsidRPr="00AA0BAC">
        <w:t>deposition velocities</w:t>
      </w:r>
      <w:r>
        <w:t xml:space="preserve"> applied: 1 10</w:t>
      </w:r>
      <w:r w:rsidRPr="00AA0BAC">
        <w:rPr>
          <w:vertAlign w:val="superscript"/>
        </w:rPr>
        <w:t>-3</w:t>
      </w:r>
      <w:r>
        <w:t xml:space="preserve"> for particulates</w:t>
      </w:r>
      <w:r w:rsidRPr="00AA0BAC">
        <w:t xml:space="preserve">, </w:t>
      </w:r>
      <w:r>
        <w:t>1 10</w:t>
      </w:r>
      <w:r w:rsidRPr="00EC2509">
        <w:rPr>
          <w:vertAlign w:val="superscript"/>
        </w:rPr>
        <w:t>-5</w:t>
      </w:r>
      <w:r>
        <w:t xml:space="preserve"> for organic iodine</w:t>
      </w:r>
      <w:r w:rsidRPr="00AA0BAC">
        <w:t xml:space="preserve">, </w:t>
      </w:r>
      <w:r>
        <w:t>1 10</w:t>
      </w:r>
      <w:r w:rsidRPr="00EC2509">
        <w:rPr>
          <w:vertAlign w:val="superscript"/>
        </w:rPr>
        <w:t>-2</w:t>
      </w:r>
      <w:r w:rsidRPr="00AA0BAC">
        <w:t xml:space="preserve"> for </w:t>
      </w:r>
      <w:r w:rsidR="00792E6A">
        <w:t>elemental</w:t>
      </w:r>
      <w:r w:rsidRPr="00AA0BAC">
        <w:t xml:space="preserve"> iodine, 0 for noble gases, all in units of m</w:t>
      </w:r>
      <w:r>
        <w:t xml:space="preserve"> s</w:t>
      </w:r>
      <w:r w:rsidRPr="00EC2509">
        <w:rPr>
          <w:vertAlign w:val="superscript"/>
        </w:rPr>
        <w:t>-1</w:t>
      </w:r>
    </w:p>
    <w:p w14:paraId="7B8F4CE3" w14:textId="77777777" w:rsidR="00257419" w:rsidRDefault="00257419" w:rsidP="006D6FEA">
      <w:pPr>
        <w:pStyle w:val="BodyText"/>
        <w:numPr>
          <w:ilvl w:val="0"/>
          <w:numId w:val="5"/>
        </w:numPr>
        <w:jc w:val="both"/>
      </w:pPr>
      <w:r>
        <w:t>A washout coefficient approach for modelling wet deposition</w:t>
      </w:r>
    </w:p>
    <w:p w14:paraId="43859E32" w14:textId="77777777" w:rsidR="00257419" w:rsidRDefault="00257419" w:rsidP="006D6FEA">
      <w:pPr>
        <w:pStyle w:val="BodyText"/>
        <w:numPr>
          <w:ilvl w:val="0"/>
          <w:numId w:val="5"/>
        </w:numPr>
        <w:jc w:val="both"/>
      </w:pPr>
      <w:r>
        <w:t xml:space="preserve">Inclusion of the following exposure pathways: inhalation, </w:t>
      </w:r>
      <w:r>
        <w:rPr>
          <w:color w:val="000000" w:themeColor="text1"/>
        </w:rPr>
        <w:t>external exposure from the plume (cloud gamma)</w:t>
      </w:r>
      <w:r w:rsidRPr="00F93A9F">
        <w:rPr>
          <w:color w:val="000000" w:themeColor="text1"/>
        </w:rPr>
        <w:t xml:space="preserve">, </w:t>
      </w:r>
      <w:r>
        <w:t>external exposure from deposited material (deposited gamma) and ingestion</w:t>
      </w:r>
    </w:p>
    <w:p w14:paraId="7812B635" w14:textId="67C073E3" w:rsidR="00257419" w:rsidRDefault="00257419" w:rsidP="006D6FEA">
      <w:pPr>
        <w:pStyle w:val="BodyText"/>
        <w:numPr>
          <w:ilvl w:val="0"/>
          <w:numId w:val="5"/>
        </w:numPr>
        <w:jc w:val="both"/>
      </w:pPr>
      <w:r>
        <w:t>Dose i</w:t>
      </w:r>
      <w:r w:rsidRPr="00AA0BAC">
        <w:t xml:space="preserve">ntegration times: 7 </w:t>
      </w:r>
      <w:r>
        <w:t xml:space="preserve">or 30 </w:t>
      </w:r>
      <w:r w:rsidRPr="00AA0BAC">
        <w:t>days</w:t>
      </w:r>
      <w:r w:rsidR="00E35E02">
        <w:t xml:space="preserve"> (as appropriate in respect of the release duration)</w:t>
      </w:r>
      <w:r w:rsidRPr="00AA0BAC">
        <w:t>, 1 year, lifetime</w:t>
      </w:r>
      <w:r>
        <w:t xml:space="preserve"> (to age 70 years)</w:t>
      </w:r>
    </w:p>
    <w:p w14:paraId="00E50B7D" w14:textId="2366B241" w:rsidR="00257419" w:rsidRDefault="00257419" w:rsidP="006D6FEA">
      <w:pPr>
        <w:pStyle w:val="BodyText"/>
        <w:numPr>
          <w:ilvl w:val="0"/>
          <w:numId w:val="5"/>
        </w:numPr>
        <w:jc w:val="both"/>
      </w:pPr>
      <w:r>
        <w:t>I</w:t>
      </w:r>
      <w:r w:rsidRPr="00FD2252">
        <w:t xml:space="preserve">nhalation </w:t>
      </w:r>
      <w:r>
        <w:t xml:space="preserve">and ingestion dose coefficients </w:t>
      </w:r>
      <w:r w:rsidRPr="00FD2252">
        <w:t>taken from</w:t>
      </w:r>
      <w:r w:rsidR="00825B2D">
        <w:t xml:space="preserve"> </w:t>
      </w:r>
      <w:r w:rsidR="00825B2D">
        <w:fldChar w:fldCharType="begin"/>
      </w:r>
      <w:r w:rsidR="00645742">
        <w:instrText xml:space="preserve"> ADDIN EN.CITE &lt;EndNote&gt;&lt;Cite AuthorYear="1"&gt;&lt;Author&gt;ICRP&lt;/Author&gt;&lt;Year&gt;2012&lt;/Year&gt;&lt;RecNum&gt;3774&lt;/RecNum&gt;&lt;DisplayText&gt;ICRP (2012)&lt;/DisplayText&gt;&lt;record&gt;&lt;rec-number&gt;3774&lt;/rec-number&gt;&lt;foreign-keys&gt;&lt;key app="EN" db-id="r5f5xrrfzavsr7easp0pz0v5xxsaspratxsv" timestamp="1594742852" guid="91fb63e7-b6cc-43fa-aca8-6980007aeb2c"&gt;3774&lt;/key&gt;&lt;key app="ENWeb" db-id=""&gt;0&lt;/key&gt;&lt;/foreign-keys&gt;&lt;ref-type name="Journal Article"&gt;17&lt;/ref-type&gt;&lt;contributors&gt;&lt;authors&gt;&lt;author&gt;ICRP&lt;/author&gt;&lt;/authors&gt;&lt;/contributors&gt;&lt;titles&gt;&lt;title&gt;Compendium of dose coefficients based on ICRP Publication 60. Publication 119&lt;/title&gt;&lt;secondary-title&gt;Annals of the ICRP&lt;/secondary-title&gt;&lt;/titles&gt;&lt;periodical&gt;&lt;full-title&gt;Annals of the ICRP&lt;/full-title&gt;&lt;/periodical&gt;&lt;volume&gt;41&lt;/volume&gt;&lt;number&gt;Suppl.&lt;/number&gt;&lt;keywords&gt;&lt;keyword&gt;Dose&lt;/keyword&gt;&lt;keyword&gt;Conversion&lt;/keyword&gt;&lt;keyword&gt;Coefficients&lt;/keyword&gt;&lt;/keywords&gt;&lt;dates&gt;&lt;year&gt;2012&lt;/year&gt;&lt;/dates&gt;&lt;urls&gt;&lt;/urls&gt;&lt;/record&gt;&lt;/Cite&gt;&lt;/EndNote&gt;</w:instrText>
      </w:r>
      <w:r w:rsidR="00825B2D">
        <w:fldChar w:fldCharType="separate"/>
      </w:r>
      <w:r w:rsidR="00825B2D">
        <w:rPr>
          <w:noProof/>
        </w:rPr>
        <w:t>ICRP (2012)</w:t>
      </w:r>
      <w:r w:rsidR="00825B2D">
        <w:fldChar w:fldCharType="end"/>
      </w:r>
      <w:r>
        <w:t xml:space="preserve"> represent the committed dose to age 70 years</w:t>
      </w:r>
    </w:p>
    <w:p w14:paraId="6DF6742D" w14:textId="599005B9" w:rsidR="00257419" w:rsidRPr="00AA0BAC" w:rsidRDefault="00257419" w:rsidP="006D6FEA">
      <w:pPr>
        <w:pStyle w:val="BodyText"/>
        <w:numPr>
          <w:ilvl w:val="0"/>
          <w:numId w:val="5"/>
        </w:numPr>
        <w:jc w:val="both"/>
      </w:pPr>
      <w:r>
        <w:t>I</w:t>
      </w:r>
      <w:r w:rsidRPr="009C5DB3">
        <w:t>nhalation rate</w:t>
      </w:r>
      <w:r>
        <w:t>s</w:t>
      </w:r>
      <w:r w:rsidRPr="009C5DB3">
        <w:t xml:space="preserve"> of</w:t>
      </w:r>
      <w:r>
        <w:t xml:space="preserve"> 2.57 10</w:t>
      </w:r>
      <w:r w:rsidRPr="009D30D4">
        <w:rPr>
          <w:vertAlign w:val="superscript"/>
        </w:rPr>
        <w:t>-4</w:t>
      </w:r>
      <w:r>
        <w:t xml:space="preserve"> </w:t>
      </w:r>
      <w:r w:rsidRPr="008D7E19">
        <w:t>m</w:t>
      </w:r>
      <w:r w:rsidRPr="008D7E19">
        <w:rPr>
          <w:vertAlign w:val="superscript"/>
        </w:rPr>
        <w:t>3</w:t>
      </w:r>
      <w:r>
        <w:t xml:space="preserve"> s</w:t>
      </w:r>
      <w:r w:rsidRPr="003C46DA">
        <w:rPr>
          <w:vertAlign w:val="superscript"/>
        </w:rPr>
        <w:t>-1</w:t>
      </w:r>
      <w:r>
        <w:t xml:space="preserve"> and </w:t>
      </w:r>
      <w:r w:rsidRPr="006D1864">
        <w:t>6.02</w:t>
      </w:r>
      <w:r>
        <w:t xml:space="preserve"> 10</w:t>
      </w:r>
      <w:r>
        <w:rPr>
          <w:vertAlign w:val="superscript"/>
        </w:rPr>
        <w:noBreakHyphen/>
        <w:t>5</w:t>
      </w:r>
      <w:r>
        <w:t> </w:t>
      </w:r>
      <w:r w:rsidRPr="008D7E19">
        <w:t>m</w:t>
      </w:r>
      <w:r w:rsidRPr="008D7E19">
        <w:rPr>
          <w:vertAlign w:val="superscript"/>
        </w:rPr>
        <w:t>3</w:t>
      </w:r>
      <w:r>
        <w:t xml:space="preserve"> s</w:t>
      </w:r>
      <w:r w:rsidRPr="003C46DA">
        <w:rPr>
          <w:vertAlign w:val="superscript"/>
        </w:rPr>
        <w:t>-1</w:t>
      </w:r>
      <w:r>
        <w:t xml:space="preserve"> were</w:t>
      </w:r>
      <w:r w:rsidRPr="009C5DB3">
        <w:t xml:space="preserve"> assumed for </w:t>
      </w:r>
      <w:r>
        <w:t xml:space="preserve">adults and one-year-old infants, respectively </w:t>
      </w:r>
      <w:r>
        <w:fldChar w:fldCharType="begin"/>
      </w:r>
      <w:r w:rsidR="00645742">
        <w:instrText xml:space="preserve"> ADDIN EN.CITE &lt;EndNote&gt;&lt;Cite&gt;&lt;Author&gt;ICRP&lt;/Author&gt;&lt;Year&gt;1994&lt;/Year&gt;&lt;RecNum&gt;5996&lt;/RecNum&gt;&lt;DisplayText&gt;(ICRP, 1994)&lt;/DisplayText&gt;&lt;record&gt;&lt;rec-number&gt;5996&lt;/rec-number&gt;&lt;foreign-keys&gt;&lt;key app="EN" db-id="r5f5xrrfzavsr7easp0pz0v5xxsaspratxsv" timestamp="1594750422" guid="6d9ad6a1-29f4-4f69-ba30-c6cc4e5310de"&gt;5996&lt;/key&gt;&lt;key app="ENWeb" db-id=""&gt;0&lt;/key&gt;&lt;/foreign-keys&gt;&lt;ref-type name="Journal Article"&gt;17&lt;/ref-type&gt;&lt;contributors&gt;&lt;authors&gt;&lt;author&gt;ICRP&lt;/author&gt;&lt;/authors&gt;&lt;/contributors&gt;&lt;titles&gt;&lt;title&gt;Human respiratory tract model for radiological protection. ICRP Publication 66&lt;/title&gt;&lt;secondary-title&gt;Annals of the ICRP&lt;/secondary-title&gt;&lt;/titles&gt;&lt;periodical&gt;&lt;full-title&gt;Annals of the ICRP&lt;/full-title&gt;&lt;/periodical&gt;&lt;volume&gt;24&lt;/volume&gt;&lt;number&gt;1-3&lt;/number&gt;&lt;keywords&gt;&lt;keyword&gt;ICRP66&lt;/keyword&gt;&lt;/keywords&gt;&lt;dates&gt;&lt;year&gt;1994&lt;/year&gt;&lt;pub-dates&gt;&lt;date&gt;1994&lt;/date&gt;&lt;/pub-dates&gt;&lt;/dates&gt;&lt;label&gt;7678&lt;/label&gt;&lt;urls&gt;&lt;/urls&gt;&lt;/record&gt;&lt;/Cite&gt;&lt;/EndNote&gt;</w:instrText>
      </w:r>
      <w:r>
        <w:fldChar w:fldCharType="separate"/>
      </w:r>
      <w:r>
        <w:rPr>
          <w:noProof/>
        </w:rPr>
        <w:t>(ICRP, 1994)</w:t>
      </w:r>
      <w:r>
        <w:fldChar w:fldCharType="end"/>
      </w:r>
    </w:p>
    <w:p w14:paraId="22D3E447" w14:textId="77777777" w:rsidR="00257419" w:rsidRPr="00AA0BAC" w:rsidRDefault="00257419" w:rsidP="006D6FEA">
      <w:pPr>
        <w:pStyle w:val="BodyText"/>
        <w:numPr>
          <w:ilvl w:val="0"/>
          <w:numId w:val="5"/>
        </w:numPr>
        <w:jc w:val="both"/>
      </w:pPr>
      <w:r>
        <w:t>Deposited gamma</w:t>
      </w:r>
      <w:r w:rsidRPr="00AA0BAC">
        <w:t xml:space="preserve"> </w:t>
      </w:r>
      <w:r>
        <w:t xml:space="preserve">and cloud gamma calculations assumed an individual spends </w:t>
      </w:r>
      <w:r w:rsidRPr="00AA0BAC">
        <w:t xml:space="preserve">10% </w:t>
      </w:r>
      <w:r>
        <w:t xml:space="preserve">of their time </w:t>
      </w:r>
      <w:r w:rsidRPr="00AA0BAC">
        <w:t>outdoor</w:t>
      </w:r>
      <w:r>
        <w:t>s</w:t>
      </w:r>
      <w:r w:rsidRPr="00AA0BAC">
        <w:t xml:space="preserve"> and 90% </w:t>
      </w:r>
      <w:r>
        <w:t xml:space="preserve">of their time </w:t>
      </w:r>
      <w:r w:rsidRPr="00AA0BAC">
        <w:t>indoor</w:t>
      </w:r>
      <w:r>
        <w:t>s (for all considered dose integration periods)</w:t>
      </w:r>
    </w:p>
    <w:p w14:paraId="35E93576" w14:textId="77777777" w:rsidR="00257419" w:rsidRPr="00AA0BAC" w:rsidRDefault="00257419" w:rsidP="006D6FEA">
      <w:pPr>
        <w:pStyle w:val="BodyText"/>
        <w:numPr>
          <w:ilvl w:val="0"/>
          <w:numId w:val="5"/>
        </w:numPr>
        <w:ind w:left="1434" w:hanging="357"/>
        <w:jc w:val="both"/>
      </w:pPr>
      <w:r w:rsidRPr="00AA0BAC">
        <w:t>Assumed an individual spends 100% of the</w:t>
      </w:r>
      <w:r>
        <w:t>ir</w:t>
      </w:r>
      <w:r w:rsidRPr="00AA0BAC">
        <w:t xml:space="preserve"> time in one (receptor)</w:t>
      </w:r>
      <w:r>
        <w:t xml:space="preserve"> </w:t>
      </w:r>
      <w:r w:rsidRPr="00AA0BAC">
        <w:t xml:space="preserve">location </w:t>
      </w:r>
    </w:p>
    <w:p w14:paraId="4EB4B626" w14:textId="77777777" w:rsidR="00257419" w:rsidRDefault="00257419" w:rsidP="006D6FEA">
      <w:pPr>
        <w:pStyle w:val="BodyText"/>
        <w:numPr>
          <w:ilvl w:val="0"/>
          <w:numId w:val="5"/>
        </w:numPr>
        <w:ind w:left="1434" w:hanging="357"/>
        <w:jc w:val="both"/>
      </w:pPr>
      <w:bookmarkStart w:id="64" w:name="_Hlk68020045"/>
      <w:r>
        <w:t>C</w:t>
      </w:r>
      <w:r w:rsidRPr="00227269">
        <w:t>ontaminated foods include</w:t>
      </w:r>
      <w:r>
        <w:t>d</w:t>
      </w:r>
      <w:r w:rsidRPr="00227269">
        <w:t xml:space="preserve"> cows</w:t>
      </w:r>
      <w:r>
        <w:t xml:space="preserve">’ milk &amp; milk products and </w:t>
      </w:r>
      <w:r w:rsidRPr="00227269">
        <w:t xml:space="preserve">green </w:t>
      </w:r>
      <w:r>
        <w:t xml:space="preserve">&amp; domestic </w:t>
      </w:r>
      <w:r w:rsidRPr="00227269">
        <w:t>veg</w:t>
      </w:r>
      <w:r>
        <w:t>etables only</w:t>
      </w:r>
      <w:bookmarkEnd w:id="64"/>
    </w:p>
    <w:p w14:paraId="05BCB82F" w14:textId="4B9A9E2F" w:rsidR="00257419" w:rsidRDefault="00257419" w:rsidP="006D6FEA">
      <w:pPr>
        <w:pStyle w:val="BodyText"/>
        <w:numPr>
          <w:ilvl w:val="0"/>
          <w:numId w:val="5"/>
        </w:numPr>
        <w:ind w:left="1434" w:hanging="357"/>
        <w:jc w:val="both"/>
      </w:pPr>
      <w:r>
        <w:t xml:space="preserve">Assumed mean consumption rates </w:t>
      </w:r>
      <w:r>
        <w:fldChar w:fldCharType="begin"/>
      </w:r>
      <w:r w:rsidR="00645742">
        <w:instrText xml:space="preserve"> ADDIN EN.CITE &lt;EndNote&gt;&lt;Cite&gt;&lt;Author&gt;Smith&lt;/Author&gt;&lt;Year&gt;2003&lt;/Year&gt;&lt;RecNum&gt;6021&lt;/RecNum&gt;&lt;DisplayText&gt;(Smith and Jones, 2003)&lt;/DisplayText&gt;&lt;record&gt;&lt;rec-number&gt;6021&lt;/rec-number&gt;&lt;foreign-keys&gt;&lt;key app="EN" db-id="r5f5xrrfzavsr7easp0pz0v5xxsaspratxsv" timestamp="1594750567" guid="dbf75187-9fbe-43d8-9b97-215ddb9ae991"&gt;6021&lt;/key&gt;&lt;key app="ENWeb" db-id=""&gt;0&lt;/key&gt;&lt;/foreign-keys&gt;&lt;ref-type name="Report"&gt;27&lt;/ref-type&gt;&lt;contributors&gt;&lt;authors&gt;&lt;author&gt;Smith, K. Rachel,&lt;/author&gt;&lt;author&gt;Jones, A. L.&lt;/author&gt;&lt;/authors&gt;&lt;tertiary-authors&gt;&lt;author&gt;National Radiological Protection Board,&lt;/author&gt;&lt;/tertiary-authors&gt;&lt;/contributors&gt;&lt;titles&gt;&lt;title&gt;Generalised Habit Data for Radiological Assessments&lt;/title&gt;&lt;secondary-title&gt;NRPB W Series&lt;/secondary-title&gt;&lt;/titles&gt;&lt;volume&gt;NRPB-W41&lt;/volume&gt;&lt;number&gt;NRPB-W41&lt;/number&gt;&lt;dates&gt;&lt;year&gt;2003&lt;/year&gt;&lt;pub-dates&gt;&lt;date&gt;May 2003&lt;/date&gt;&lt;/pub-dates&gt;&lt;/dates&gt;&lt;pub-location&gt;Chilton (UK)&lt;/pub-location&gt;&lt;publisher&gt;National Radiological Protection Board&lt;/publisher&gt;&lt;isbn&gt;NRPB-W41&lt;/isbn&gt;&lt;label&gt;9228&lt;/label&gt;&lt;urls&gt;&lt;/urls&gt;&lt;/record&gt;&lt;/Cite&gt;&lt;/EndNote&gt;</w:instrText>
      </w:r>
      <w:r>
        <w:fldChar w:fldCharType="separate"/>
      </w:r>
      <w:r>
        <w:rPr>
          <w:noProof/>
        </w:rPr>
        <w:t>(Smith and Jones, 2003)</w:t>
      </w:r>
      <w:r>
        <w:fldChar w:fldCharType="end"/>
      </w:r>
    </w:p>
    <w:p w14:paraId="33F29786" w14:textId="4CC2D2F3" w:rsidR="00257419" w:rsidRDefault="00257419" w:rsidP="006D6FEA">
      <w:pPr>
        <w:pStyle w:val="BodyText"/>
        <w:numPr>
          <w:ilvl w:val="0"/>
          <w:numId w:val="5"/>
        </w:numPr>
        <w:spacing w:after="240"/>
        <w:ind w:left="1434" w:hanging="357"/>
        <w:jc w:val="both"/>
      </w:pPr>
      <w:r>
        <w:t xml:space="preserve">Assumed that 100% of the </w:t>
      </w:r>
      <w:r w:rsidRPr="00227269">
        <w:t>cows</w:t>
      </w:r>
      <w:r>
        <w:t xml:space="preserve">’ milk &amp; milk products and </w:t>
      </w:r>
      <w:r w:rsidRPr="00227269">
        <w:t xml:space="preserve">green </w:t>
      </w:r>
      <w:r>
        <w:t xml:space="preserve">&amp; domestic </w:t>
      </w:r>
      <w:r w:rsidRPr="00227269">
        <w:t>veg</w:t>
      </w:r>
      <w:r>
        <w:t>etables</w:t>
      </w:r>
      <w:r w:rsidRPr="00B15C7E">
        <w:t xml:space="preserve"> </w:t>
      </w:r>
      <w:r>
        <w:t xml:space="preserve">consumed </w:t>
      </w:r>
      <w:r w:rsidR="008D107A" w:rsidRPr="00B15C7E">
        <w:t>w</w:t>
      </w:r>
      <w:r w:rsidR="008D107A">
        <w:t>ere</w:t>
      </w:r>
      <w:r w:rsidR="008D107A" w:rsidRPr="00B15C7E">
        <w:t xml:space="preserve"> </w:t>
      </w:r>
      <w:r w:rsidRPr="00B15C7E">
        <w:t>produced locally</w:t>
      </w:r>
      <w:r>
        <w:t xml:space="preserve"> i.e. where the individual resides</w:t>
      </w:r>
    </w:p>
    <w:p w14:paraId="7CABCF36" w14:textId="77777777" w:rsidR="00257419" w:rsidRDefault="00257419" w:rsidP="00257419">
      <w:pPr>
        <w:pStyle w:val="BodyText"/>
        <w:spacing w:after="0"/>
        <w:jc w:val="both"/>
      </w:pPr>
      <w:r>
        <w:t xml:space="preserve">The </w:t>
      </w:r>
      <w:r w:rsidRPr="004B2D6C">
        <w:t>selection</w:t>
      </w:r>
      <w:r>
        <w:t xml:space="preserve"> of c</w:t>
      </w:r>
      <w:r w:rsidRPr="00227269">
        <w:t>ontaminated foods</w:t>
      </w:r>
      <w:r>
        <w:t xml:space="preserve"> to</w:t>
      </w:r>
      <w:r w:rsidRPr="00227269">
        <w:t xml:space="preserve"> include cows</w:t>
      </w:r>
      <w:r>
        <w:t xml:space="preserve">’ milk &amp; milk products and </w:t>
      </w:r>
      <w:r w:rsidRPr="00227269">
        <w:t xml:space="preserve">green </w:t>
      </w:r>
      <w:r>
        <w:t xml:space="preserve">&amp; domestic </w:t>
      </w:r>
      <w:r w:rsidRPr="00227269">
        <w:t>veg</w:t>
      </w:r>
      <w:r>
        <w:t>etables only</w:t>
      </w:r>
      <w:r w:rsidRPr="004B2D6C">
        <w:t xml:space="preserve"> </w:t>
      </w:r>
      <w:r>
        <w:t>wa</w:t>
      </w:r>
      <w:r w:rsidRPr="004B2D6C">
        <w:t>s based on</w:t>
      </w:r>
      <w:r>
        <w:t>:</w:t>
      </w:r>
    </w:p>
    <w:p w14:paraId="66393B28" w14:textId="77777777" w:rsidR="00257419" w:rsidRDefault="00257419" w:rsidP="00257419">
      <w:pPr>
        <w:pStyle w:val="BodyText"/>
        <w:spacing w:after="0"/>
        <w:jc w:val="both"/>
      </w:pPr>
      <w:r>
        <w:t>(</w:t>
      </w:r>
      <w:r w:rsidRPr="004B2D6C">
        <w:t xml:space="preserve">1) these </w:t>
      </w:r>
      <w:r>
        <w:t>two</w:t>
      </w:r>
      <w:r w:rsidRPr="004B2D6C">
        <w:t xml:space="preserve"> foodstuffs </w:t>
      </w:r>
      <w:r>
        <w:t>being the</w:t>
      </w:r>
      <w:r w:rsidRPr="004B2D6C">
        <w:t xml:space="preserve"> most likely to contribute </w:t>
      </w:r>
      <w:r>
        <w:t xml:space="preserve">to </w:t>
      </w:r>
      <w:r w:rsidRPr="004B2D6C">
        <w:t xml:space="preserve">dose in the short term, and </w:t>
      </w:r>
    </w:p>
    <w:p w14:paraId="3C9F6724" w14:textId="0C3D45B2" w:rsidR="00257419" w:rsidRDefault="00257419" w:rsidP="00257419">
      <w:pPr>
        <w:pStyle w:val="BodyText"/>
        <w:spacing w:after="360"/>
        <w:jc w:val="both"/>
      </w:pPr>
      <w:r w:rsidRPr="004B2D6C">
        <w:t xml:space="preserve">(2) it </w:t>
      </w:r>
      <w:r>
        <w:t>being</w:t>
      </w:r>
      <w:r w:rsidRPr="004B2D6C">
        <w:t xml:space="preserve"> unlikely that individuals will source all their grain, beef and sheep meat fr</w:t>
      </w:r>
      <w:r>
        <w:t>om specific and localised areas;</w:t>
      </w:r>
      <w:r w:rsidRPr="004B2D6C">
        <w:t xml:space="preserve"> in particular, there is no evidence to indicate that grain in the UK is grown, milled and </w:t>
      </w:r>
      <w:r>
        <w:t>consumed on a very local scale.</w:t>
      </w:r>
    </w:p>
    <w:p w14:paraId="25A775F0" w14:textId="6A5520F4" w:rsidR="00DE1FB9" w:rsidRDefault="00DE1FB9" w:rsidP="00DE1FB9">
      <w:pPr>
        <w:pStyle w:val="Heading3"/>
      </w:pPr>
      <w:bookmarkStart w:id="65" w:name="_Toc89966376"/>
      <w:r w:rsidRPr="00DE1FB9">
        <w:t>Importance of assumptions relating to cows’ milk and milk products</w:t>
      </w:r>
      <w:bookmarkEnd w:id="65"/>
    </w:p>
    <w:p w14:paraId="5EDE1545" w14:textId="6DC30CD9" w:rsidR="00DE1FB9" w:rsidRPr="00DE1FB9" w:rsidRDefault="00EA7DDB" w:rsidP="00DE1FB9">
      <w:pPr>
        <w:pStyle w:val="BodyTextEND"/>
        <w:jc w:val="both"/>
      </w:pPr>
      <w:r w:rsidRPr="00EA7DDB">
        <w:t>The proportion of milk produced locally can be a</w:t>
      </w:r>
      <w:r w:rsidR="00331997">
        <w:t>n important</w:t>
      </w:r>
      <w:r w:rsidRPr="00EA7DDB">
        <w:t xml:space="preserve"> modelling parameter</w:t>
      </w:r>
      <w:r w:rsidR="00331997">
        <w:t xml:space="preserve"> in terms of influence on the dose</w:t>
      </w:r>
      <w:r w:rsidRPr="00EA7DDB">
        <w:t xml:space="preserve">. The modelling in the present study assumed a value of 1.0 (which means 100% of the milk that was consumed locally had been produced locally). That is a conservative assumption. It should be noted that that assumption affects only the lifetime dose results. The 7-day and 30-day doses do not include ingestion, and so are unaffected by assumptions relating to milk consumption. The implications of this assumption are </w:t>
      </w:r>
      <w:r>
        <w:t xml:space="preserve">discussed </w:t>
      </w:r>
      <w:r w:rsidRPr="00EA7DDB">
        <w:t xml:space="preserve">in Section </w:t>
      </w:r>
      <w:r>
        <w:fldChar w:fldCharType="begin"/>
      </w:r>
      <w:r>
        <w:instrText xml:space="preserve"> REF _Ref87631629 \r \h </w:instrText>
      </w:r>
      <w:r>
        <w:fldChar w:fldCharType="separate"/>
      </w:r>
      <w:r w:rsidR="00926FE3">
        <w:t>5.3.4.2</w:t>
      </w:r>
      <w:r>
        <w:fldChar w:fldCharType="end"/>
      </w:r>
      <w:r w:rsidR="00DE1FB9" w:rsidRPr="00DE1FB9">
        <w:t>.</w:t>
      </w:r>
    </w:p>
    <w:p w14:paraId="4A44A259" w14:textId="77777777" w:rsidR="00257419" w:rsidRDefault="00257419" w:rsidP="00257419">
      <w:pPr>
        <w:pStyle w:val="Heading2"/>
      </w:pPr>
      <w:bookmarkStart w:id="66" w:name="_Toc79679423"/>
      <w:bookmarkStart w:id="67" w:name="_Toc89966377"/>
      <w:r>
        <w:t>PACE Modelling</w:t>
      </w:r>
      <w:bookmarkEnd w:id="66"/>
      <w:bookmarkEnd w:id="67"/>
    </w:p>
    <w:p w14:paraId="46151B1B" w14:textId="57D79D7D" w:rsidR="00257419" w:rsidRPr="00AF6AE4" w:rsidRDefault="00257419" w:rsidP="00257419">
      <w:pPr>
        <w:pStyle w:val="BodyText"/>
        <w:jc w:val="both"/>
      </w:pPr>
      <w:r>
        <w:t xml:space="preserve">Irrespective of whether the NAME or ADEPT atmospheric dispersion models were applied in PACE, many of the modelling assumptions, most notably the dose modelling assumptions, were identical – these assumptions are summarised in Section </w:t>
      </w:r>
      <w:r>
        <w:fldChar w:fldCharType="begin"/>
      </w:r>
      <w:r>
        <w:instrText xml:space="preserve"> REF _Ref71114969 \r \h </w:instrText>
      </w:r>
      <w:r>
        <w:fldChar w:fldCharType="separate"/>
      </w:r>
      <w:r w:rsidR="00926FE3">
        <w:t>4.3.1</w:t>
      </w:r>
      <w:r>
        <w:fldChar w:fldCharType="end"/>
      </w:r>
      <w:r>
        <w:t>. However, there existed some distinct differences between NAME and ADEPT in PACE model runs, notably in the dispersion modelling and application of meteorological data aspects, and these are highlighted in Sections</w:t>
      </w:r>
      <w:r w:rsidR="00C6154D">
        <w:t xml:space="preserve"> </w:t>
      </w:r>
      <w:r w:rsidR="00C6154D">
        <w:fldChar w:fldCharType="begin"/>
      </w:r>
      <w:r w:rsidR="00C6154D">
        <w:instrText xml:space="preserve"> REF _Ref81584047 \r \h </w:instrText>
      </w:r>
      <w:r w:rsidR="00C6154D">
        <w:fldChar w:fldCharType="separate"/>
      </w:r>
      <w:r w:rsidR="00926FE3">
        <w:t>4.3.2</w:t>
      </w:r>
      <w:r w:rsidR="00C6154D">
        <w:fldChar w:fldCharType="end"/>
      </w:r>
      <w:r>
        <w:t xml:space="preserve"> and </w:t>
      </w:r>
      <w:r>
        <w:fldChar w:fldCharType="begin"/>
      </w:r>
      <w:r>
        <w:instrText xml:space="preserve"> REF _Ref71115087 \r \h </w:instrText>
      </w:r>
      <w:r>
        <w:fldChar w:fldCharType="separate"/>
      </w:r>
      <w:r w:rsidR="00926FE3">
        <w:t>4.3.3</w:t>
      </w:r>
      <w:r>
        <w:fldChar w:fldCharType="end"/>
      </w:r>
      <w:r>
        <w:t>, respectively.</w:t>
      </w:r>
    </w:p>
    <w:p w14:paraId="32BDAE6E" w14:textId="77777777" w:rsidR="00257419" w:rsidRDefault="00257419" w:rsidP="00257419">
      <w:pPr>
        <w:pStyle w:val="Heading3"/>
      </w:pPr>
      <w:bookmarkStart w:id="68" w:name="_Ref71114969"/>
      <w:bookmarkStart w:id="69" w:name="_Toc79679424"/>
      <w:bookmarkStart w:id="70" w:name="_Toc89966378"/>
      <w:r>
        <w:t>PACE</w:t>
      </w:r>
      <w:bookmarkEnd w:id="68"/>
      <w:bookmarkEnd w:id="69"/>
      <w:bookmarkEnd w:id="70"/>
    </w:p>
    <w:p w14:paraId="31D980B6" w14:textId="617B795E" w:rsidR="00257419" w:rsidRDefault="00257419" w:rsidP="00257419">
      <w:pPr>
        <w:pStyle w:val="BodyText"/>
        <w:jc w:val="both"/>
      </w:pPr>
      <w:r>
        <w:t xml:space="preserve">PACE (Probabilistic Accident Consequence Evaluation) is a software tool developed by </w:t>
      </w:r>
      <w:r w:rsidR="009916BD">
        <w:t>UKHSA</w:t>
      </w:r>
      <w:r>
        <w:t xml:space="preserve"> for calculating the consequences of a short-term release of radionuclides to the atmosphere. It runs within a geographic information system (ESRI ArcGIS [TM]).</w:t>
      </w:r>
    </w:p>
    <w:p w14:paraId="002B9C4A" w14:textId="264BEC36" w:rsidR="00257419" w:rsidRDefault="00257419" w:rsidP="00257419">
      <w:pPr>
        <w:pStyle w:val="BodyText"/>
        <w:jc w:val="both"/>
      </w:pPr>
      <w:r>
        <w:t xml:space="preserve">PACE models the transfer of radionuclides through the environment, the subsequent dose distributions in the population, the impact of protective actions which might be introduced to reduce the doses, the health effects in the population, and the economic costs of the health effects and urgent protective actions. In the present study, PACE has been used to estimate doses and </w:t>
      </w:r>
      <w:r w:rsidR="00C71189">
        <w:t xml:space="preserve">to </w:t>
      </w:r>
      <w:r>
        <w:t xml:space="preserve">consider </w:t>
      </w:r>
      <w:r w:rsidR="00C71189">
        <w:t xml:space="preserve">the impact of </w:t>
      </w:r>
      <w:r>
        <w:t>food bans. Other endpoints have not been considered.</w:t>
      </w:r>
    </w:p>
    <w:p w14:paraId="24177204" w14:textId="08FC4F6D" w:rsidR="00257419" w:rsidRDefault="00257419" w:rsidP="00257419">
      <w:pPr>
        <w:pStyle w:val="BodyText"/>
        <w:jc w:val="both"/>
      </w:pPr>
      <w:r>
        <w:t xml:space="preserve">PACE allows the model user to consider either deterministic model runs, simulating a release under a single meteorological condition, or probabilistic model runs, simulating a release under many different meteorological conditions </w:t>
      </w:r>
      <w:r>
        <w:fldChar w:fldCharType="begin"/>
      </w:r>
      <w:r w:rsidR="00645742">
        <w:instrText xml:space="preserve"> ADDIN EN.CITE &lt;EndNote&gt;&lt;Cite&gt;&lt;Author&gt;Charnock&lt;/Author&gt;&lt;Year&gt;2013&lt;/Year&gt;&lt;RecNum&gt;5984&lt;/RecNum&gt;&lt;DisplayText&gt;(Charnock et al, 2013)&lt;/DisplayText&gt;&lt;record&gt;&lt;rec-number&gt;5984&lt;/rec-number&gt;&lt;foreign-keys&gt;&lt;key app="EN" db-id="r5f5xrrfzavsr7easp0pz0v5xxsaspratxsv" timestamp="1594750291" guid="74398cb0-1b78-4973-84fd-7579cc01d43a"&gt;5984&lt;/key&gt;&lt;key app="ENWeb" db-id=""&gt;0&lt;/key&gt;&lt;/foreign-keys&gt;&lt;ref-type name="Conference Paper"&gt;47&lt;/ref-type&gt;&lt;contributors&gt;&lt;authors&gt;&lt;author&gt;Charnock, Tom W.&lt;/author&gt;&lt;author&gt;Bexon, Antony&lt;/author&gt;&lt;author&gt;Sherwood, J. C.&lt;/author&gt;&lt;author&gt;Higgins, N. A.&lt;/author&gt;&lt;author&gt;Field, Simon J.&lt;/author&gt;&lt;/authors&gt;&lt;/contributors&gt;&lt;titles&gt;&lt;title&gt;PACE: A geographic information system based level 3 probabilistic accident consequence evaluation program&lt;/title&gt;&lt;secondary-title&gt;ANS PSA 2013 International Topic Meeting on Probabilisitic Safety Assessment and Analysis&lt;/secondary-title&gt;&lt;/titles&gt;&lt;keywords&gt;&lt;keyword&gt;PACE&lt;/keyword&gt;&lt;/keywords&gt;&lt;dates&gt;&lt;year&gt;2013&lt;/year&gt;&lt;pub-dates&gt;&lt;date&gt;September 22-26, 2013&lt;/date&gt;&lt;/pub-dates&gt;&lt;/dates&gt;&lt;pub-location&gt;Columbia, SC&lt;/pub-location&gt;&lt;publisher&gt;American Nuclear Society&lt;/publisher&gt;&lt;urls&gt;&lt;/urls&gt;&lt;/record&gt;&lt;/Cite&gt;&lt;/EndNote&gt;</w:instrText>
      </w:r>
      <w:r>
        <w:fldChar w:fldCharType="separate"/>
      </w:r>
      <w:r>
        <w:rPr>
          <w:noProof/>
        </w:rPr>
        <w:t>(Charnock et al, 2013)</w:t>
      </w:r>
      <w:r>
        <w:fldChar w:fldCharType="end"/>
      </w:r>
      <w:r>
        <w:t xml:space="preserve">; both approaches have been considered in this study. Within the probabilistic approach, </w:t>
      </w:r>
      <w:r w:rsidRPr="00166E6B">
        <w:t>PACE builds up a picture of the possible ranges of consequences by repeatedly modelling the atmospheric dispersion and deposition of radionuclides for a given accident scenario using meteorological sequences drawn from a large historical dataset of weather conditions.</w:t>
      </w:r>
    </w:p>
    <w:p w14:paraId="327DC099" w14:textId="2663756B" w:rsidR="00257419" w:rsidRDefault="00257419" w:rsidP="00257419">
      <w:pPr>
        <w:pStyle w:val="BodyText"/>
        <w:jc w:val="both"/>
      </w:pPr>
      <w:r>
        <w:t>The calculation of the dispersion of radionuclides in the atmosphere is performed using either the NAME (</w:t>
      </w:r>
      <w:r w:rsidRPr="00093E3B">
        <w:t>Numerical Atmospheric-dispersion Modelling Environment</w:t>
      </w:r>
      <w:r>
        <w:t>) model or the ADEPT model.</w:t>
      </w:r>
      <w:bookmarkStart w:id="71" w:name="_Hlk52529726"/>
      <w:r>
        <w:t xml:space="preserve"> More details about</w:t>
      </w:r>
      <w:r w:rsidRPr="00093E3B">
        <w:t xml:space="preserve"> </w:t>
      </w:r>
      <w:r>
        <w:t>NAME and ADEPT</w:t>
      </w:r>
      <w:r w:rsidRPr="00093E3B">
        <w:t xml:space="preserve"> </w:t>
      </w:r>
      <w:r>
        <w:t>are given in the Sections</w:t>
      </w:r>
      <w:r w:rsidR="00D579ED">
        <w:t xml:space="preserve"> </w:t>
      </w:r>
      <w:r w:rsidR="00D579ED">
        <w:fldChar w:fldCharType="begin"/>
      </w:r>
      <w:r w:rsidR="00D579ED">
        <w:instrText xml:space="preserve"> REF _Ref82688945 \r \h </w:instrText>
      </w:r>
      <w:r w:rsidR="00D579ED">
        <w:fldChar w:fldCharType="separate"/>
      </w:r>
      <w:r w:rsidR="00926FE3">
        <w:t>4.3.2</w:t>
      </w:r>
      <w:r w:rsidR="00D579ED">
        <w:fldChar w:fldCharType="end"/>
      </w:r>
      <w:r>
        <w:t xml:space="preserve"> and </w:t>
      </w:r>
      <w:r>
        <w:fldChar w:fldCharType="begin"/>
      </w:r>
      <w:r>
        <w:instrText xml:space="preserve"> REF _Ref71115462 \r \h </w:instrText>
      </w:r>
      <w:r>
        <w:fldChar w:fldCharType="separate"/>
      </w:r>
      <w:r w:rsidR="00926FE3">
        <w:t>4.3.3</w:t>
      </w:r>
      <w:r>
        <w:fldChar w:fldCharType="end"/>
      </w:r>
      <w:r>
        <w:t>, respectively. These atmospheric dispersion models estimate activity concentrations in air which are subsequently used by PACE to calculate doses from direct inhalation of the dispersing plume and external exposure to gamma radiation from the plume. NAME and ADEPT also calculate deposition of material onto the ground which is used for input to PACE’s calculation of dose from ingestion of foods and exposure to gamma emitters deposited on the ground.</w:t>
      </w:r>
      <w:bookmarkEnd w:id="71"/>
    </w:p>
    <w:p w14:paraId="1D5277D7" w14:textId="01E6B655" w:rsidR="00257419" w:rsidRDefault="00257419" w:rsidP="00257419">
      <w:pPr>
        <w:pStyle w:val="BodyTextEND"/>
        <w:spacing w:after="120"/>
        <w:jc w:val="both"/>
      </w:pPr>
      <w:r>
        <w:t>In PACE a model grid must be defined. In this study, for each site, three grids were considered, each with a different resolution (i.e. two nested grids). The grids were all approximately symmetrical about the release point (even if this meant including squares that were entirely sea). The inclusion of grid squares that are entirely sea, as assumed in this study, avoids anomalous statistical effects that would be caused by assigning zero dose results to such grid squares. This is a conservative approach, because a quoted “maximum dose” result may correspond to a square that is entirely sea.</w:t>
      </w:r>
    </w:p>
    <w:p w14:paraId="7FCC26CD" w14:textId="4CEC01F1" w:rsidR="00257419" w:rsidRPr="009140B6" w:rsidRDefault="00257419" w:rsidP="00257419">
      <w:pPr>
        <w:pStyle w:val="BodyText"/>
        <w:jc w:val="both"/>
      </w:pPr>
      <w:r>
        <w:t>A “</w:t>
      </w:r>
      <w:r w:rsidRPr="00096F10">
        <w:rPr>
          <w:i/>
        </w:rPr>
        <w:t>brick house (env1) normal living</w:t>
      </w:r>
      <w:r>
        <w:t xml:space="preserve">” environment was assumed across all PACE model runs. This assumption influences the methodologies used to calculate dose arising from the external exposure pathways (from the plume and deposited material). Such a selected environment was representative of a street of semi-detached houses (where an individual was assumed to spend 90% of their time) and a large open space characteristic of a park (where an individual was assumed to spend 10% of their time). Corresponding location factors were derived using the ERMIN model </w:t>
      </w:r>
      <w:r>
        <w:fldChar w:fldCharType="begin"/>
      </w:r>
      <w:r w:rsidR="00645742">
        <w:instrText xml:space="preserve"> ADDIN EN.CITE &lt;EndNote&gt;&lt;Cite&gt;&lt;Author&gt;Jones&lt;/Author&gt;&lt;Year&gt;2007&lt;/Year&gt;&lt;RecNum&gt;944&lt;/RecNum&gt;&lt;DisplayText&gt;(Jones et al, 2007b)&lt;/DisplayText&gt;&lt;record&gt;&lt;rec-number&gt;944&lt;/rec-number&gt;&lt;foreign-keys&gt;&lt;key app="EN" db-id="r5f5xrrfzavsr7easp0pz0v5xxsaspratxsv" timestamp="1594734945" guid="9285b836-0c79-4244-92d7-fe4731037a66"&gt;944&lt;/key&gt;&lt;/foreign-keys&gt;&lt;ref-type name="Report"&gt;27&lt;/ref-type&gt;&lt;contributors&gt;&lt;authors&gt;&lt;author&gt;Jones, J. Arthur&lt;/author&gt;&lt;author&gt;Charnock, Tom W.&lt;/author&gt;&lt;author&gt;Singer, Lucia N.&lt;/author&gt;&lt;author&gt;Roed, J.&lt;/author&gt;&lt;author&gt;Andersson, K. G.&lt;/author&gt;&lt;author&gt;Thykier-Nielsen, S.&lt;/author&gt;&lt;author&gt;Mikkelsen, T.&lt;/author&gt;&lt;author&gt;Astrup, P.&lt;/author&gt;&lt;author&gt;Kaiser, J. C.&lt;/author&gt;&lt;author&gt;Müller, Heinz&lt;/author&gt;&lt;author&gt;Pröhl, Gerhard&lt;/author&gt;&lt;author&gt;Raskob, W.&lt;/author&gt;&lt;author&gt;Hoe, S. C.&lt;/author&gt;&lt;author&gt;Jacobsen, L. H.&lt;/author&gt;&lt;author&gt;Schou-Jensen, F.&lt;/author&gt;&lt;author&gt;Gering, F.&lt;/author&gt;&lt;/authors&gt;&lt;/contributors&gt;&lt;titles&gt;&lt;title&gt;Description of the Modelling of Transfer and Dose Calculations within ERMIN v1.0 and associated Data Libraries&lt;/title&gt;&lt;/titles&gt;&lt;volume&gt;EURANOS(CAT2)-TN(05)-04&lt;/volume&gt;&lt;number&gt;EURANOS(CAT2)-TN(05)-04&lt;/number&gt;&lt;dates&gt;&lt;year&gt;2007&lt;/year&gt;&lt;pub-dates&gt;&lt;date&gt;2007&lt;/date&gt;&lt;/pub-dates&gt;&lt;/dates&gt;&lt;pub-location&gt;Chilton (UK)&lt;/pub-location&gt;&lt;publisher&gt;Health Protection Agency&lt;/publisher&gt;&lt;isbn&gt;EURANOS(CAT2)-TN(05)-04&lt;/isbn&gt;&lt;label&gt;11618&lt;/label&gt;&lt;urls&gt;&lt;/urls&gt;&lt;/record&gt;&lt;/Cite&gt;&lt;/EndNote&gt;</w:instrText>
      </w:r>
      <w:r>
        <w:fldChar w:fldCharType="separate"/>
      </w:r>
      <w:r>
        <w:rPr>
          <w:noProof/>
        </w:rPr>
        <w:t>(Jones et al, 2007b)</w:t>
      </w:r>
      <w:r>
        <w:fldChar w:fldCharType="end"/>
      </w:r>
      <w:r>
        <w:t>.</w:t>
      </w:r>
    </w:p>
    <w:p w14:paraId="55F99369" w14:textId="24C3E4C8" w:rsidR="00257419" w:rsidRDefault="00257419" w:rsidP="00257419">
      <w:pPr>
        <w:pStyle w:val="BodyText"/>
        <w:jc w:val="both"/>
      </w:pPr>
      <w:r>
        <w:t xml:space="preserve">Transfer of radionuclides through the terrestrial foodchain was modelled using FARMLAND </w:t>
      </w:r>
      <w:r>
        <w:fldChar w:fldCharType="begin"/>
      </w:r>
      <w:r w:rsidR="00645742">
        <w:instrText xml:space="preserve"> ADDIN EN.CITE &lt;EndNote&gt;&lt;Cite&gt;&lt;Author&gt;Brown&lt;/Author&gt;&lt;Year&gt;1995&lt;/Year&gt;&lt;RecNum&gt;1936&lt;/RecNum&gt;&lt;DisplayText&gt;(Brown and Simmonds, 1995)&lt;/DisplayText&gt;&lt;record&gt;&lt;rec-number&gt;1936&lt;/rec-number&gt;&lt;foreign-keys&gt;&lt;key app="EN" db-id="r5f5xrrfzavsr7easp0pz0v5xxsaspratxsv" timestamp="1594738243" guid="cdec8a76-02f6-4d4e-9a4e-28c5ee177756"&gt;1936&lt;/key&gt;&lt;key app="ENWeb" db-id=""&gt;0&lt;/key&gt;&lt;/foreign-keys&gt;&lt;ref-type name="Report"&gt;27&lt;/ref-type&gt;&lt;contributors&gt;&lt;authors&gt;&lt;author&gt;Brown, Joanne&lt;/author&gt;&lt;author&gt;Simmonds, Jane R.&lt;/author&gt;&lt;/authors&gt;&lt;tertiary-authors&gt;&lt;author&gt;NRPB&lt;/author&gt;&lt;/tertiary-authors&gt;&lt;/contributors&gt;&lt;titles&gt;&lt;title&gt;FARMLAND: A Dynamic Model for the Transfer of Radionuclides through Terrestrial Foodchains&lt;/title&gt;&lt;secondary-title&gt;NRPB R Series&lt;/secondary-title&gt;&lt;/titles&gt;&lt;volume&gt;NRPB-R273&lt;/volume&gt;&lt;number&gt;NRPB-R273&lt;/number&gt;&lt;dates&gt;&lt;year&gt;1995&lt;/year&gt;&lt;pub-dates&gt;&lt;date&gt;1995&lt;/date&gt;&lt;/pub-dates&gt;&lt;/dates&gt;&lt;pub-location&gt;Chilton (UK)&lt;/pub-location&gt;&lt;publisher&gt;National Radiological Protection Board&lt;/publisher&gt;&lt;isbn&gt;NRPB-R273&lt;/isbn&gt;&lt;label&gt;12808&lt;/label&gt;&lt;urls&gt;&lt;/urls&gt;&lt;/record&gt;&lt;/Cite&gt;&lt;/EndNote&gt;</w:instrText>
      </w:r>
      <w:r>
        <w:fldChar w:fldCharType="separate"/>
      </w:r>
      <w:r>
        <w:rPr>
          <w:noProof/>
        </w:rPr>
        <w:t>(Brown and Simmonds, 1995)</w:t>
      </w:r>
      <w:r>
        <w:fldChar w:fldCharType="end"/>
      </w:r>
      <w:r>
        <w:t xml:space="preserve"> for spike releases occurring in January and June and results stored in datasets of time dependent activity concentration in foods per unit deposition. These datasets </w:t>
      </w:r>
      <w:r w:rsidR="00F23FCA">
        <w:t xml:space="preserve">were </w:t>
      </w:r>
      <w:r>
        <w:t xml:space="preserve">based on an implementation of FARMLAND that takes account of detailed agricultural practices. Consequently, the time of the year when </w:t>
      </w:r>
      <w:r w:rsidR="001B34A7">
        <w:t xml:space="preserve">an </w:t>
      </w:r>
      <w:r>
        <w:t xml:space="preserve">accident occurs will influence the activity concentrations in food and, therefore, data </w:t>
      </w:r>
      <w:r w:rsidR="00F23FCA">
        <w:t xml:space="preserve">was </w:t>
      </w:r>
      <w:r>
        <w:t xml:space="preserve">available for accidents occurring in both summer and winter. </w:t>
      </w:r>
      <w:r w:rsidRPr="00E87C80">
        <w:t xml:space="preserve">Datasets </w:t>
      </w:r>
      <w:r w:rsidR="00F23FCA">
        <w:t xml:space="preserve">were </w:t>
      </w:r>
      <w:r>
        <w:t xml:space="preserve">also included for exposure to gamma emitters from material deposited on the ground. This data was derived using the GRANIS model </w:t>
      </w:r>
      <w:r>
        <w:fldChar w:fldCharType="begin"/>
      </w:r>
      <w:r w:rsidR="00645742">
        <w:instrText xml:space="preserve"> ADDIN EN.CITE &lt;EndNote&gt;&lt;Cite&gt;&lt;Author&gt;Kowe&lt;/Author&gt;&lt;Year&gt;2007&lt;/Year&gt;&lt;RecNum&gt;1581&lt;/RecNum&gt;&lt;DisplayText&gt;(Kowe et al, 2007)&lt;/DisplayText&gt;&lt;record&gt;&lt;rec-number&gt;1581&lt;/rec-number&gt;&lt;foreign-keys&gt;&lt;key app="EN" db-id="r5f5xrrfzavsr7easp0pz0v5xxsaspratxsv" timestamp="1594736601" guid="986a95d6-0a2c-46fd-87a1-8b6952bf9159"&gt;1581&lt;/key&gt;&lt;key app="ENWeb" db-id=""&gt;0&lt;/key&gt;&lt;/foreign-keys&gt;&lt;ref-type name="Report"&gt;27&lt;/ref-type&gt;&lt;contributors&gt;&lt;authors&gt;&lt;author&gt;Kowe, R.&lt;/author&gt;&lt;author&gt;Carey, A. D.&lt;/author&gt;&lt;author&gt;Jones, J. A.&lt;/author&gt;&lt;author&gt;Mobbs, S. F.&lt;/author&gt;&lt;/authors&gt;&lt;tertiary-authors&gt;&lt;author&gt;Health Protection Agency,&lt;/author&gt;&lt;/tertiary-authors&gt;&lt;/contributors&gt;&lt;titles&gt;&lt;title&gt;GRANIS: A Model for the Assessment of External Photon Irradiation from Contaminated Media of Infinite Lateral Extent&lt;/title&gt;&lt;secondary-title&gt;HPA-RPD Series&lt;/secondary-title&gt;&lt;/titles&gt;&lt;volume&gt;HPA-RPD-032&lt;/volume&gt;&lt;number&gt;HPA-RPD-032&lt;/number&gt;&lt;dates&gt;&lt;year&gt;2007&lt;/year&gt;&lt;pub-dates&gt;&lt;date&gt;2007&lt;/date&gt;&lt;/pub-dates&gt;&lt;/dates&gt;&lt;pub-location&gt;Chilton (UK)&lt;/pub-location&gt;&lt;publisher&gt;Health Protection Agency&lt;/publisher&gt;&lt;isbn&gt;HPA-RPD-032&lt;/isbn&gt;&lt;label&gt;8058&lt;/label&gt;&lt;urls&gt;&lt;/urls&gt;&lt;/record&gt;&lt;/Cite&gt;&lt;/EndNote&gt;</w:instrText>
      </w:r>
      <w:r>
        <w:fldChar w:fldCharType="separate"/>
      </w:r>
      <w:r>
        <w:rPr>
          <w:noProof/>
        </w:rPr>
        <w:t>(Kowe et al, 2007)</w:t>
      </w:r>
      <w:r>
        <w:fldChar w:fldCharType="end"/>
      </w:r>
      <w:r>
        <w:t>.</w:t>
      </w:r>
    </w:p>
    <w:p w14:paraId="6299169B" w14:textId="77777777" w:rsidR="00257419" w:rsidRDefault="00257419" w:rsidP="00257419">
      <w:pPr>
        <w:pStyle w:val="BodyText"/>
        <w:jc w:val="both"/>
      </w:pPr>
      <w:r>
        <w:t xml:space="preserve">PACE was developed under the </w:t>
      </w:r>
      <w:r w:rsidRPr="00826FE7">
        <w:t>ISO9001:</w:t>
      </w:r>
      <w:r>
        <w:t>2015</w:t>
      </w:r>
      <w:r w:rsidRPr="00826FE7">
        <w:t xml:space="preserve"> certificated quality management system </w:t>
      </w:r>
      <w:r>
        <w:t>and verification of the software package itself has focused primarily on extensive software testing and peer review while the environmental transfer models included in the programme have been subject to their own separate verification and validation.</w:t>
      </w:r>
    </w:p>
    <w:p w14:paraId="260534FE" w14:textId="77777777" w:rsidR="00257419" w:rsidRPr="004C3B4B" w:rsidRDefault="00257419" w:rsidP="00257419">
      <w:pPr>
        <w:pStyle w:val="BodyText"/>
        <w:jc w:val="both"/>
      </w:pPr>
      <w:r w:rsidRPr="004C3B4B">
        <w:t xml:space="preserve">A modified version of </w:t>
      </w:r>
      <w:r w:rsidRPr="004C3B4B">
        <w:rPr>
          <w:iCs/>
        </w:rPr>
        <w:t xml:space="preserve">PACE </w:t>
      </w:r>
      <w:r w:rsidRPr="004C3B4B">
        <w:rPr>
          <w:rFonts w:eastAsia="Times New Roman"/>
        </w:rPr>
        <w:t xml:space="preserve">3.3.4.0, with additional functionality for analysing </w:t>
      </w:r>
      <w:r>
        <w:rPr>
          <w:rFonts w:eastAsia="Times New Roman"/>
        </w:rPr>
        <w:t>relative amounts of</w:t>
      </w:r>
      <w:r w:rsidRPr="004C3B4B">
        <w:rPr>
          <w:rFonts w:eastAsia="Times New Roman"/>
        </w:rPr>
        <w:t xml:space="preserve"> wet deposition associated with probabilistic assessment</w:t>
      </w:r>
      <w:r>
        <w:rPr>
          <w:rFonts w:eastAsia="Times New Roman"/>
        </w:rPr>
        <w:t>s</w:t>
      </w:r>
      <w:r w:rsidRPr="004C3B4B">
        <w:rPr>
          <w:rFonts w:eastAsia="Times New Roman"/>
        </w:rPr>
        <w:t xml:space="preserve"> of dose, </w:t>
      </w:r>
      <w:r w:rsidRPr="004C3B4B">
        <w:t>was applied in this study.</w:t>
      </w:r>
    </w:p>
    <w:p w14:paraId="30CEB157" w14:textId="77777777" w:rsidR="00257419" w:rsidRDefault="00257419" w:rsidP="00257419">
      <w:pPr>
        <w:pStyle w:val="Heading4"/>
      </w:pPr>
      <w:bookmarkStart w:id="72" w:name="_Toc79679425"/>
      <w:bookmarkStart w:id="73" w:name="_Toc89966379"/>
      <w:r w:rsidRPr="00AE2583">
        <w:t>Internal exposure from the inhalation of material from the plume</w:t>
      </w:r>
      <w:bookmarkEnd w:id="72"/>
      <w:bookmarkEnd w:id="73"/>
    </w:p>
    <w:p w14:paraId="047631DF" w14:textId="521E3C3D" w:rsidR="00257419" w:rsidRDefault="00257419" w:rsidP="00257419">
      <w:pPr>
        <w:pStyle w:val="BodyText"/>
        <w:jc w:val="both"/>
      </w:pPr>
      <w:r w:rsidRPr="00FD2252">
        <w:t xml:space="preserve">Values of inhalation dose coefficients </w:t>
      </w:r>
      <w:r>
        <w:t>we</w:t>
      </w:r>
      <w:r w:rsidRPr="00FD2252">
        <w:t>re taken from ICRP Publication 119</w:t>
      </w:r>
      <w:r>
        <w:t xml:space="preserve"> </w:t>
      </w:r>
      <w:r>
        <w:fldChar w:fldCharType="begin"/>
      </w:r>
      <w:r w:rsidR="00645742">
        <w:instrText xml:space="preserve"> ADDIN EN.CITE &lt;EndNote&gt;&lt;Cite&gt;&lt;Author&gt;ICRP&lt;/Author&gt;&lt;Year&gt;2012&lt;/Year&gt;&lt;RecNum&gt;3774&lt;/RecNum&gt;&lt;DisplayText&gt;(ICRP, 2012)&lt;/DisplayText&gt;&lt;record&gt;&lt;rec-number&gt;3774&lt;/rec-number&gt;&lt;foreign-keys&gt;&lt;key app="EN" db-id="r5f5xrrfzavsr7easp0pz0v5xxsaspratxsv" timestamp="1594742852" guid="91fb63e7-b6cc-43fa-aca8-6980007aeb2c"&gt;3774&lt;/key&gt;&lt;key app="ENWeb" db-id=""&gt;0&lt;/key&gt;&lt;/foreign-keys&gt;&lt;ref-type name="Journal Article"&gt;17&lt;/ref-type&gt;&lt;contributors&gt;&lt;authors&gt;&lt;author&gt;ICRP&lt;/author&gt;&lt;/authors&gt;&lt;/contributors&gt;&lt;titles&gt;&lt;title&gt;Compendium of dose coefficients based on ICRP Publication 60. Publication 119&lt;/title&gt;&lt;secondary-title&gt;Annals of the ICRP&lt;/secondary-title&gt;&lt;/titles&gt;&lt;periodical&gt;&lt;full-title&gt;Annals of the ICRP&lt;/full-title&gt;&lt;/periodical&gt;&lt;volume&gt;41&lt;/volume&gt;&lt;number&gt;Suppl.&lt;/number&gt;&lt;keywords&gt;&lt;keyword&gt;Dose&lt;/keyword&gt;&lt;keyword&gt;Conversion&lt;/keyword&gt;&lt;keyword&gt;Coefficients&lt;/keyword&gt;&lt;/keywords&gt;&lt;dates&gt;&lt;year&gt;2012&lt;/year&gt;&lt;/dates&gt;&lt;urls&gt;&lt;/urls&gt;&lt;/record&gt;&lt;/Cite&gt;&lt;/EndNote&gt;</w:instrText>
      </w:r>
      <w:r>
        <w:fldChar w:fldCharType="separate"/>
      </w:r>
      <w:r>
        <w:rPr>
          <w:noProof/>
        </w:rPr>
        <w:t>(ICRP, 2012)</w:t>
      </w:r>
      <w:r>
        <w:fldChar w:fldCharType="end"/>
      </w:r>
      <w:r w:rsidRPr="00FD2252">
        <w:t xml:space="preserve">. </w:t>
      </w:r>
      <w:r>
        <w:t xml:space="preserve">Assumed lung absorption types were in accordance with advice provided in </w:t>
      </w:r>
      <w:r>
        <w:fldChar w:fldCharType="begin"/>
      </w:r>
      <w:r w:rsidR="00645742">
        <w:instrText xml:space="preserve"> ADDIN EN.CITE &lt;EndNote&gt;&lt;Cite AuthorYear="1"&gt;&lt;Author&gt;NRPB&lt;/Author&gt;&lt;Year&gt;1999&lt;/Year&gt;&lt;RecNum&gt;459&lt;/RecNum&gt;&lt;DisplayText&gt;NRPB (1999)&lt;/DisplayText&gt;&lt;record&gt;&lt;rec-number&gt;459&lt;/rec-number&gt;&lt;foreign-keys&gt;&lt;key app="EN" db-id="r5f5xrrfzavsr7easp0pz0v5xxsaspratxsv" timestamp="1594734180" guid="c87dcd83-e005-48cf-b7e0-dc203aad71aa"&gt;459&lt;/key&gt;&lt;/foreign-keys&gt;&lt;ref-type name="Report"&gt;27&lt;/ref-type&gt;&lt;contributors&gt;&lt;authors&gt;&lt;author&gt;NRPB&lt;/author&gt;&lt;/authors&gt;&lt;/contributors&gt;&lt;titles&gt;&lt;title&gt;Guide to Dose Coefficients&lt;/title&gt;&lt;/titles&gt;&lt;dates&gt;&lt;year&gt;1999&lt;/year&gt;&lt;/dates&gt;&lt;pub-location&gt;Chilton (UK)&lt;/pub-location&gt;&lt;publisher&gt;National Radiological Protection Board&lt;/publisher&gt;&lt;urls&gt;&lt;/urls&gt;&lt;/record&gt;&lt;/Cite&gt;&lt;/EndNote&gt;</w:instrText>
      </w:r>
      <w:r>
        <w:fldChar w:fldCharType="separate"/>
      </w:r>
      <w:r w:rsidR="00825B2D">
        <w:rPr>
          <w:noProof/>
        </w:rPr>
        <w:t>NRPB (1999)</w:t>
      </w:r>
      <w:r>
        <w:fldChar w:fldCharType="end"/>
      </w:r>
      <w:r>
        <w:t>. I</w:t>
      </w:r>
      <w:r w:rsidRPr="009C5DB3">
        <w:t>nhalation rate</w:t>
      </w:r>
      <w:r>
        <w:t>s</w:t>
      </w:r>
      <w:r w:rsidRPr="009C5DB3">
        <w:t xml:space="preserve"> </w:t>
      </w:r>
      <w:r>
        <w:t xml:space="preserve">were taken from ICRP Publication 66 </w:t>
      </w:r>
      <w:r>
        <w:fldChar w:fldCharType="begin"/>
      </w:r>
      <w:r w:rsidR="00645742">
        <w:instrText xml:space="preserve"> ADDIN EN.CITE &lt;EndNote&gt;&lt;Cite&gt;&lt;Author&gt;ICRP&lt;/Author&gt;&lt;Year&gt;1994&lt;/Year&gt;&lt;RecNum&gt;5996&lt;/RecNum&gt;&lt;DisplayText&gt;(ICRP, 1994)&lt;/DisplayText&gt;&lt;record&gt;&lt;rec-number&gt;5996&lt;/rec-number&gt;&lt;foreign-keys&gt;&lt;key app="EN" db-id="r5f5xrrfzavsr7easp0pz0v5xxsaspratxsv" timestamp="1594750422" guid="6d9ad6a1-29f4-4f69-ba30-c6cc4e5310de"&gt;5996&lt;/key&gt;&lt;key app="ENWeb" db-id=""&gt;0&lt;/key&gt;&lt;/foreign-keys&gt;&lt;ref-type name="Journal Article"&gt;17&lt;/ref-type&gt;&lt;contributors&gt;&lt;authors&gt;&lt;author&gt;ICRP&lt;/author&gt;&lt;/authors&gt;&lt;/contributors&gt;&lt;titles&gt;&lt;title&gt;Human respiratory tract model for radiological protection. ICRP Publication 66&lt;/title&gt;&lt;secondary-title&gt;Annals of the ICRP&lt;/secondary-title&gt;&lt;/titles&gt;&lt;periodical&gt;&lt;full-title&gt;Annals of the ICRP&lt;/full-title&gt;&lt;/periodical&gt;&lt;volume&gt;24&lt;/volume&gt;&lt;number&gt;1-3&lt;/number&gt;&lt;keywords&gt;&lt;keyword&gt;ICRP66&lt;/keyword&gt;&lt;/keywords&gt;&lt;dates&gt;&lt;year&gt;1994&lt;/year&gt;&lt;pub-dates&gt;&lt;date&gt;1994&lt;/date&gt;&lt;/pub-dates&gt;&lt;/dates&gt;&lt;label&gt;7678&lt;/label&gt;&lt;urls&gt;&lt;/urls&gt;&lt;/record&gt;&lt;/Cite&gt;&lt;/EndNote&gt;</w:instrText>
      </w:r>
      <w:r>
        <w:fldChar w:fldCharType="separate"/>
      </w:r>
      <w:r>
        <w:rPr>
          <w:noProof/>
        </w:rPr>
        <w:t>(ICRP, 1994)</w:t>
      </w:r>
      <w:r>
        <w:fldChar w:fldCharType="end"/>
      </w:r>
      <w:r w:rsidRPr="00443F3C">
        <w:t xml:space="preserve">. </w:t>
      </w:r>
      <w:r>
        <w:t>No dose reduction was assumed as a result of time spent indoors.</w:t>
      </w:r>
    </w:p>
    <w:p w14:paraId="4563F4A1" w14:textId="77777777" w:rsidR="00257419" w:rsidRDefault="00257419" w:rsidP="00257419">
      <w:pPr>
        <w:pStyle w:val="Heading4"/>
      </w:pPr>
      <w:bookmarkStart w:id="74" w:name="_Toc79679426"/>
      <w:bookmarkStart w:id="75" w:name="_Toc89966380"/>
      <w:r w:rsidRPr="00546757">
        <w:t>External exposure from material in the radioactive plume</w:t>
      </w:r>
      <w:bookmarkEnd w:id="74"/>
      <w:bookmarkEnd w:id="75"/>
    </w:p>
    <w:p w14:paraId="26AC9C4E" w14:textId="77777777" w:rsidR="00257419" w:rsidRDefault="00257419" w:rsidP="00257419">
      <w:pPr>
        <w:pStyle w:val="BodyText"/>
        <w:jc w:val="both"/>
      </w:pPr>
      <w:r>
        <w:t>NAME has the capability to calculate the effective dose arising from e</w:t>
      </w:r>
      <w:r w:rsidRPr="000A7D7E">
        <w:t>xternal exposure from material in the radioactive plume</w:t>
      </w:r>
      <w:r>
        <w:t xml:space="preserve"> (cloud gamma dose) using a finite or semi-infinite cloud model. The finite cloud model involves simulating the plume by a series of model particles (point sources) and then integrating over these sources to estimate the dose at a point. The semi-infinite cloud model is much simpler and uses the activity concentration in air at the point of exposure to calculate dose. Implicit in this approach is the assumption that the activity concentration in air is uniform over the volume of the plume from which photons can reach the point at which the dose is delivered and that the cloud is in radiative equilibrium. Because the finite cloud model is more computationally expensive it was not practicable to use that approach in this study; furthermore, the semi-infinite cloud model was identified as being fit for purpose.</w:t>
      </w:r>
    </w:p>
    <w:p w14:paraId="46F531AE" w14:textId="58398330" w:rsidR="00257419" w:rsidRPr="00A14B97" w:rsidRDefault="00257419" w:rsidP="00257419">
      <w:pPr>
        <w:pStyle w:val="Default"/>
        <w:spacing w:after="120" w:line="280" w:lineRule="atLeast"/>
        <w:ind w:left="720"/>
        <w:jc w:val="both"/>
        <w:rPr>
          <w:sz w:val="20"/>
          <w:szCs w:val="20"/>
        </w:rPr>
      </w:pPr>
      <w:r>
        <w:rPr>
          <w:sz w:val="20"/>
          <w:szCs w:val="20"/>
        </w:rPr>
        <w:t>ADEPT does not calculate cloud gamma dose. Therefore, PACE calculates cloud gamma dose using ADEPT</w:t>
      </w:r>
      <w:r w:rsidR="00E71A63">
        <w:rPr>
          <w:sz w:val="20"/>
          <w:szCs w:val="20"/>
        </w:rPr>
        <w:t>’s</w:t>
      </w:r>
      <w:r>
        <w:rPr>
          <w:sz w:val="20"/>
          <w:szCs w:val="20"/>
        </w:rPr>
        <w:t xml:space="preserve"> derived t</w:t>
      </w:r>
      <w:r w:rsidRPr="00F703F2">
        <w:rPr>
          <w:sz w:val="20"/>
          <w:szCs w:val="20"/>
        </w:rPr>
        <w:t>ime integrated activity concentration in air</w:t>
      </w:r>
      <w:r>
        <w:t xml:space="preserve"> </w:t>
      </w:r>
      <w:r w:rsidRPr="00CE1C8F">
        <w:rPr>
          <w:sz w:val="20"/>
          <w:szCs w:val="20"/>
        </w:rPr>
        <w:t>(</w:t>
      </w:r>
      <w:r>
        <w:rPr>
          <w:sz w:val="20"/>
          <w:szCs w:val="20"/>
        </w:rPr>
        <w:t xml:space="preserve">TIACs) at the point of exposure and factors based on a semi-infinite cloud model (akin to the approach applied in NAME). To reduce the potential for error under circumstances of an inhomogeneous plume, the user can choose to apply cloud gamma correction factors to ADEPT. PACE cloud gamma correction factors were calculated using a Monte Carlo approach for 2 roughness categories, 4 stability classes, 4 release heights, ten angles from the plume centre line and 8 distances from the point of release. These factors used at a given point for a given release, roughness category and stability class need to be interpolated horizontally and vertically. The cloud gamma correction factors were developed for PC Cosyma </w:t>
      </w:r>
      <w:r>
        <w:rPr>
          <w:sz w:val="20"/>
          <w:szCs w:val="20"/>
        </w:rPr>
        <w:fldChar w:fldCharType="begin"/>
      </w:r>
      <w:r>
        <w:rPr>
          <w:sz w:val="20"/>
          <w:szCs w:val="20"/>
        </w:rPr>
        <w:instrText xml:space="preserve"> ADDIN EN.CITE &lt;EndNote&gt;&lt;Cite&gt;&lt;Author&gt;Jones&lt;/Author&gt;&lt;Year&gt;1995&lt;/Year&gt;&lt;RecNum&gt;3&lt;/RecNum&gt;&lt;DisplayText&gt;(Jones et al, 1995)&lt;/DisplayText&gt;&lt;record&gt;&lt;rec-number&gt;3&lt;/rec-number&gt;&lt;foreign-keys&gt;&lt;key app="EN" db-id="9atx2a25wrdv0jezz035vwt85a9d55w5s090" timestamp="1620803972"&gt;3&lt;/key&gt;&lt;/foreign-keys&gt;&lt;ref-type name="Journal Article"&gt;17&lt;/ref-type&gt;&lt;contributors&gt;&lt;authors&gt;&lt;author&gt;Jones, J. Arthur&lt;/author&gt;&lt;author&gt;Mansfield, P. A.&lt;/author&gt;&lt;author&gt;Haywood, Stephanie M.&lt;/author&gt;&lt;author&gt;Hasemann, I.&lt;/author&gt;&lt;author&gt;Steinhauer, C.&lt;/author&gt;&lt;author&gt;Ehrhardt, J.&lt;/author&gt;&lt;author&gt;Faude, D.&lt;/author&gt;&lt;/authors&gt;&lt;/contributors&gt;&lt;auth-address&gt;Luxembourg, EC&lt;/auth-address&gt;&lt;titles&gt;&lt;title&gt;PC COSYMA (Version 2): An Accident Consequence Assessment Package for use on a PC&lt;/title&gt;&lt;secondary-title&gt;EUR 16239&lt;/secondary-title&gt;&lt;/titles&gt;&lt;dates&gt;&lt;year&gt;1995&lt;/year&gt;&lt;/dates&gt;&lt;urls&gt;&lt;/urls&gt;&lt;/record&gt;&lt;/Cite&gt;&lt;/EndNote&gt;</w:instrText>
      </w:r>
      <w:r>
        <w:rPr>
          <w:sz w:val="20"/>
          <w:szCs w:val="20"/>
        </w:rPr>
        <w:fldChar w:fldCharType="separate"/>
      </w:r>
      <w:r>
        <w:rPr>
          <w:noProof/>
          <w:sz w:val="20"/>
          <w:szCs w:val="20"/>
        </w:rPr>
        <w:t>(Jones et al, 1995)</w:t>
      </w:r>
      <w:r>
        <w:rPr>
          <w:sz w:val="20"/>
          <w:szCs w:val="20"/>
        </w:rPr>
        <w:fldChar w:fldCharType="end"/>
      </w:r>
      <w:r>
        <w:rPr>
          <w:sz w:val="20"/>
          <w:szCs w:val="20"/>
        </w:rPr>
        <w:t xml:space="preserve"> and cause a noticeable narrowing of the plume cloud shine out to 20 km when viewed on a map. Such correction factors were applied in this study.</w:t>
      </w:r>
    </w:p>
    <w:p w14:paraId="477FB5C7" w14:textId="77777777" w:rsidR="00257419" w:rsidRDefault="00257419" w:rsidP="00257419">
      <w:pPr>
        <w:pStyle w:val="Heading4"/>
      </w:pPr>
      <w:bookmarkStart w:id="76" w:name="_Toc79679427"/>
      <w:bookmarkStart w:id="77" w:name="_Toc89966381"/>
      <w:r w:rsidRPr="00546757">
        <w:t>External exposure from material deposited on the ground</w:t>
      </w:r>
      <w:bookmarkEnd w:id="76"/>
      <w:bookmarkEnd w:id="77"/>
    </w:p>
    <w:p w14:paraId="096D7DC5" w14:textId="606F9C32" w:rsidR="00257419" w:rsidRDefault="00257419" w:rsidP="00257419">
      <w:pPr>
        <w:pStyle w:val="BodyText"/>
        <w:jc w:val="both"/>
      </w:pPr>
      <w:r>
        <w:t>External gamma dose from deposited material (or deposited gamma dose) was calculated by multiplying the amount of material deposited by the dose per unit deposition, where the latter was obtained from a data library. The library contained dose per unit deposit values for a series of times and a large number of radionuclides. The contribution from progeny products formed after deposition was also included. This library was generated by combining information from different sources, and so included doses calculated using three different models. The values for the radionuclides which typically make the most significant contributions to deposited gamma dose from typical accidental releases from nuclear fission reactors (</w:t>
      </w:r>
      <w:r w:rsidRPr="007E4974">
        <w:rPr>
          <w:vertAlign w:val="superscript"/>
        </w:rPr>
        <w:t>103</w:t>
      </w:r>
      <w:r>
        <w:t xml:space="preserve">Ru, </w:t>
      </w:r>
      <w:r w:rsidRPr="007E4974">
        <w:rPr>
          <w:vertAlign w:val="superscript"/>
        </w:rPr>
        <w:t>106</w:t>
      </w:r>
      <w:r>
        <w:t xml:space="preserve">Ru, </w:t>
      </w:r>
      <w:r w:rsidRPr="007E4974">
        <w:rPr>
          <w:vertAlign w:val="superscript"/>
        </w:rPr>
        <w:t>131</w:t>
      </w:r>
      <w:r>
        <w:t xml:space="preserve">I, </w:t>
      </w:r>
      <w:r w:rsidRPr="007E4974">
        <w:rPr>
          <w:vertAlign w:val="superscript"/>
        </w:rPr>
        <w:t>132</w:t>
      </w:r>
      <w:r>
        <w:t xml:space="preserve">Te, </w:t>
      </w:r>
      <w:r w:rsidRPr="007E4974">
        <w:rPr>
          <w:vertAlign w:val="superscript"/>
        </w:rPr>
        <w:t>134</w:t>
      </w:r>
      <w:r>
        <w:t xml:space="preserve">Cs, </w:t>
      </w:r>
      <w:r w:rsidRPr="007E4974">
        <w:rPr>
          <w:vertAlign w:val="superscript"/>
        </w:rPr>
        <w:t>137</w:t>
      </w:r>
      <w:r>
        <w:t xml:space="preserve">Cs, and </w:t>
      </w:r>
      <w:r w:rsidRPr="007E4974">
        <w:rPr>
          <w:vertAlign w:val="superscript"/>
        </w:rPr>
        <w:t>140</w:t>
      </w:r>
      <w:r>
        <w:t xml:space="preserve">Ba) were calculated using the NRPB model EXPURT </w:t>
      </w:r>
      <w:r>
        <w:fldChar w:fldCharType="begin"/>
      </w:r>
      <w:r w:rsidR="00645742">
        <w:instrText xml:space="preserve"> ADDIN EN.CITE &lt;EndNote&gt;&lt;Cite&gt;&lt;Author&gt;Crick&lt;/Author&gt;&lt;Year&gt;1990&lt;/Year&gt;&lt;RecNum&gt;4463&lt;/RecNum&gt;&lt;DisplayText&gt;(Crick and Brown, 1990)&lt;/DisplayText&gt;&lt;record&gt;&lt;rec-number&gt;4463&lt;/rec-number&gt;&lt;foreign-keys&gt;&lt;key app="EN" db-id="r5f5xrrfzavsr7easp0pz0v5xxsaspratxsv" timestamp="1594744900" guid="dea69a4b-25db-4ae0-8aba-d3a78e9ac826"&gt;4463&lt;/key&gt;&lt;/foreign-keys&gt;&lt;ref-type name="Report"&gt;27&lt;/ref-type&gt;&lt;contributors&gt;&lt;authors&gt;&lt;author&gt;Crick, M. J.&lt;/author&gt;&lt;author&gt;Brown, Joanne&lt;/author&gt;&lt;/authors&gt;&lt;/contributors&gt;&lt;titles&gt;&lt;title&gt;EXPURT: A model for evaluating exposure from radioactive material deposited in the urban environment&lt;/title&gt;&lt;secondary-title&gt;NRPB R Series&lt;/secondary-title&gt;&lt;/titles&gt;&lt;volume&gt;NRPB-R235&lt;/volume&gt;&lt;number&gt;NRPB-R235&lt;/number&gt;&lt;dates&gt;&lt;year&gt;1990&lt;/year&gt;&lt;pub-dates&gt;&lt;date&gt;1990&lt;/date&gt;&lt;/pub-dates&gt;&lt;/dates&gt;&lt;pub-location&gt;Chilton (UK)&lt;/pub-location&gt;&lt;publisher&gt;National Radiological Protection Board&lt;/publisher&gt;&lt;isbn&gt;NRPB-R235&lt;/isbn&gt;&lt;label&gt;7558&lt;/label&gt;&lt;urls&gt;&lt;/urls&gt;&lt;/record&gt;&lt;/Cite&gt;&lt;/EndNote&gt;</w:instrText>
      </w:r>
      <w:r>
        <w:fldChar w:fldCharType="separate"/>
      </w:r>
      <w:r>
        <w:rPr>
          <w:noProof/>
        </w:rPr>
        <w:t>(Crick and Brown, 1990)</w:t>
      </w:r>
      <w:r>
        <w:fldChar w:fldCharType="end"/>
      </w:r>
      <w:r>
        <w:t xml:space="preserve">. This considers the amounts of material deposited on different surfaces in residential areas, the movement of material between these surfaces and into the soil column, and the dose from material deposited on the different surfaces. The doses for other radionuclides were calculated using a simpler model which assumes that the dose in the area where people live can be represented by the dose received over an open field </w:t>
      </w:r>
      <w:r>
        <w:fldChar w:fldCharType="begin"/>
      </w:r>
      <w:r w:rsidR="00645742">
        <w:instrText xml:space="preserve"> ADDIN EN.CITE &lt;EndNote&gt;&lt;Cite&gt;&lt;Author&gt;Charles&lt;/Author&gt;&lt;Year&gt;1982&lt;/Year&gt;&lt;RecNum&gt;4459&lt;/RecNum&gt;&lt;DisplayText&gt;(Charles et al, 1982)&lt;/DisplayText&gt;&lt;record&gt;&lt;rec-number&gt;4459&lt;/rec-number&gt;&lt;foreign-keys&gt;&lt;key app="EN" db-id="r5f5xrrfzavsr7easp0pz0v5xxsaspratxsv" timestamp="1594744900" guid="8f9c79be-2a82-4086-bf82-ae8977bda11d"&gt;4459&lt;/key&gt;&lt;/foreign-keys&gt;&lt;ref-type name="Report"&gt;27&lt;/ref-type&gt;&lt;contributors&gt;&lt;authors&gt;&lt;author&gt;Charles, D.&lt;/author&gt;&lt;author&gt;Crick, M. J.&lt;/author&gt;&lt;author&gt;Fell, Tim P.&lt;/author&gt;&lt;author&gt;Greenhalgh, J. R.&lt;/author&gt;&lt;/authors&gt;&lt;/contributors&gt;&lt;titles&gt;&lt;title&gt;DOSE-MARC: The dosimetric module in the methodology for assessing the radiological consequences of accidental releases&lt;/title&gt;&lt;secondary-title&gt;NRPB M Series&lt;/secondary-title&gt;&lt;/titles&gt;&lt;volume&gt;NRPB-M74&lt;/volume&gt;&lt;number&gt;NRPB-M74&lt;/number&gt;&lt;dates&gt;&lt;year&gt;1982&lt;/year&gt;&lt;/dates&gt;&lt;pub-location&gt;Chilton (UK)&lt;/pub-location&gt;&lt;publisher&gt;National Radiological Protection Board&lt;/publisher&gt;&lt;isbn&gt;NRPB-M74&lt;/isbn&gt;&lt;urls&gt;&lt;/urls&gt;&lt;/record&gt;&lt;/Cite&gt;&lt;/EndNote&gt;</w:instrText>
      </w:r>
      <w:r>
        <w:fldChar w:fldCharType="separate"/>
      </w:r>
      <w:r>
        <w:rPr>
          <w:noProof/>
        </w:rPr>
        <w:t>(Charles et al, 1982)</w:t>
      </w:r>
      <w:r>
        <w:fldChar w:fldCharType="end"/>
      </w:r>
      <w:r>
        <w:t xml:space="preserve"> </w:t>
      </w:r>
      <w:r>
        <w:fldChar w:fldCharType="begin"/>
      </w:r>
      <w:r w:rsidR="00645742">
        <w:instrText xml:space="preserve"> ADDIN EN.CITE &lt;EndNote&gt;&lt;Cite&gt;&lt;Author&gt;Hill&lt;/Author&gt;&lt;Year&gt;1988&lt;/Year&gt;&lt;RecNum&gt;5856&lt;/RecNum&gt;&lt;DisplayText&gt;(Hill et al, 1988)&lt;/DisplayText&gt;&lt;record&gt;&lt;rec-number&gt;5856&lt;/rec-number&gt;&lt;foreign-keys&gt;&lt;key app="EN" db-id="r5f5xrrfzavsr7easp0pz0v5xxsaspratxsv" timestamp="1594749887" guid="ed393f78-b633-4278-aa9c-da8acd0ce5aa"&gt;5856&lt;/key&gt;&lt;/foreign-keys&gt;&lt;ref-type name="Report"&gt;27&lt;/ref-type&gt;&lt;contributors&gt;&lt;authors&gt;&lt;author&gt;Hill, M. D.&lt;/author&gt;&lt;author&gt;Simmonds, Jane R.&lt;/author&gt;&lt;author&gt;Jones, J. Arthur&lt;/author&gt;&lt;/authors&gt;&lt;tertiary-authors&gt;&lt;author&gt;HMSO&lt;/author&gt;&lt;/tertiary-authors&gt;&lt;/contributors&gt;&lt;titles&gt;&lt;title&gt;NRPB Methodology for assess radiological consequences of accidental releases of radionuclides to atmosphere - MARC-1&lt;/title&gt;&lt;secondary-title&gt;NRPB R Series&lt;/secondary-title&gt;&lt;/titles&gt;&lt;volume&gt;NRPB-R224&lt;/volume&gt;&lt;number&gt;NRPB-R224&lt;/number&gt;&lt;dates&gt;&lt;year&gt;1988&lt;/year&gt;&lt;/dates&gt;&lt;pub-location&gt;Chilton (UK)&lt;/pub-location&gt;&lt;publisher&gt;National Radiological Protection Board&lt;/publisher&gt;&lt;urls&gt;&lt;/urls&gt;&lt;/record&gt;&lt;/Cite&gt;&lt;/EndNote&gt;</w:instrText>
      </w:r>
      <w:r>
        <w:fldChar w:fldCharType="separate"/>
      </w:r>
      <w:r>
        <w:rPr>
          <w:noProof/>
        </w:rPr>
        <w:t>(Hill et al, 1988)</w:t>
      </w:r>
      <w:r>
        <w:fldChar w:fldCharType="end"/>
      </w:r>
      <w:r>
        <w:t>. The doses were calculated allowing for material to move into the soil column. The anterior-posterior (AP) irradiation geometry was used for calculating the effective dose from the air dose.</w:t>
      </w:r>
    </w:p>
    <w:p w14:paraId="487EA650" w14:textId="77777777" w:rsidR="00257419" w:rsidRDefault="00257419" w:rsidP="00257419">
      <w:pPr>
        <w:pStyle w:val="Heading4"/>
      </w:pPr>
      <w:bookmarkStart w:id="78" w:name="_Ref71702846"/>
      <w:bookmarkStart w:id="79" w:name="_Toc79679428"/>
      <w:bookmarkStart w:id="80" w:name="_Toc89966382"/>
      <w:r w:rsidRPr="00AE2583">
        <w:t>Internal exposure from ingested material</w:t>
      </w:r>
      <w:bookmarkEnd w:id="78"/>
      <w:bookmarkEnd w:id="79"/>
      <w:bookmarkEnd w:id="80"/>
    </w:p>
    <w:p w14:paraId="3DBF2A4C" w14:textId="60985074" w:rsidR="00257419" w:rsidRDefault="00257419" w:rsidP="00257419">
      <w:pPr>
        <w:pStyle w:val="BodyText"/>
        <w:jc w:val="both"/>
      </w:pPr>
      <w:r>
        <w:t xml:space="preserve">Underpinning the ingestion dose calculations in PACE are libraries of food contamination factors created using the </w:t>
      </w:r>
      <w:r w:rsidRPr="004A1C80">
        <w:t>terrestrial food</w:t>
      </w:r>
      <w:r>
        <w:t xml:space="preserve"> </w:t>
      </w:r>
      <w:r w:rsidRPr="004A1C80">
        <w:t>chain model FARMLAND</w:t>
      </w:r>
      <w:r>
        <w:t xml:space="preserve"> </w:t>
      </w:r>
      <w:r>
        <w:fldChar w:fldCharType="begin"/>
      </w:r>
      <w:r w:rsidR="00645742">
        <w:instrText xml:space="preserve"> ADDIN EN.CITE &lt;EndNote&gt;&lt;Cite&gt;&lt;Author&gt;Brown&lt;/Author&gt;&lt;Year&gt;1995&lt;/Year&gt;&lt;RecNum&gt;1936&lt;/RecNum&gt;&lt;DisplayText&gt;(Brown and Simmonds, 1995)&lt;/DisplayText&gt;&lt;record&gt;&lt;rec-number&gt;1936&lt;/rec-number&gt;&lt;foreign-keys&gt;&lt;key app="EN" db-id="r5f5xrrfzavsr7easp0pz0v5xxsaspratxsv" timestamp="1594738243" guid="cdec8a76-02f6-4d4e-9a4e-28c5ee177756"&gt;1936&lt;/key&gt;&lt;key app="ENWeb" db-id=""&gt;0&lt;/key&gt;&lt;/foreign-keys&gt;&lt;ref-type name="Report"&gt;27&lt;/ref-type&gt;&lt;contributors&gt;&lt;authors&gt;&lt;author&gt;Brown, Joanne&lt;/author&gt;&lt;author&gt;Simmonds, Jane R.&lt;/author&gt;&lt;/authors&gt;&lt;tertiary-authors&gt;&lt;author&gt;NRPB&lt;/author&gt;&lt;/tertiary-authors&gt;&lt;/contributors&gt;&lt;titles&gt;&lt;title&gt;FARMLAND: A Dynamic Model for the Transfer of Radionuclides through Terrestrial Foodchains&lt;/title&gt;&lt;secondary-title&gt;NRPB R Series&lt;/secondary-title&gt;&lt;/titles&gt;&lt;volume&gt;NRPB-R273&lt;/volume&gt;&lt;number&gt;NRPB-R273&lt;/number&gt;&lt;dates&gt;&lt;year&gt;1995&lt;/year&gt;&lt;pub-dates&gt;&lt;date&gt;1995&lt;/date&gt;&lt;/pub-dates&gt;&lt;/dates&gt;&lt;pub-location&gt;Chilton (UK)&lt;/pub-location&gt;&lt;publisher&gt;National Radiological Protection Board&lt;/publisher&gt;&lt;isbn&gt;NRPB-R273&lt;/isbn&gt;&lt;label&gt;12808&lt;/label&gt;&lt;urls&gt;&lt;/urls&gt;&lt;/record&gt;&lt;/Cite&gt;&lt;/EndNote&gt;</w:instrText>
      </w:r>
      <w:r>
        <w:fldChar w:fldCharType="separate"/>
      </w:r>
      <w:r>
        <w:rPr>
          <w:noProof/>
        </w:rPr>
        <w:t>(Brown and Simmonds, 1995)</w:t>
      </w:r>
      <w:r>
        <w:fldChar w:fldCharType="end"/>
      </w:r>
      <w:r w:rsidRPr="004A1C80">
        <w:t>. Activity concentrations</w:t>
      </w:r>
      <w:r>
        <w:t xml:space="preserve"> and integrated activities</w:t>
      </w:r>
      <w:r w:rsidRPr="004A1C80">
        <w:t xml:space="preserve"> per unit mass of food for a </w:t>
      </w:r>
      <w:r>
        <w:t>unit</w:t>
      </w:r>
      <w:r w:rsidRPr="004A1C80">
        <w:t xml:space="preserve"> deposition onto the ground (Bq kg</w:t>
      </w:r>
      <w:r w:rsidRPr="009C52A8">
        <w:rPr>
          <w:vertAlign w:val="superscript"/>
        </w:rPr>
        <w:t>-1</w:t>
      </w:r>
      <w:r w:rsidRPr="004A1C80">
        <w:t xml:space="preserve"> per Bq m</w:t>
      </w:r>
      <w:r w:rsidRPr="009C52A8">
        <w:rPr>
          <w:vertAlign w:val="superscript"/>
        </w:rPr>
        <w:t>-2</w:t>
      </w:r>
      <w:r>
        <w:t xml:space="preserve"> and </w:t>
      </w:r>
      <w:r w:rsidRPr="004A1C80">
        <w:t xml:space="preserve">Bq </w:t>
      </w:r>
      <w:r>
        <w:t xml:space="preserve">y </w:t>
      </w:r>
      <w:r w:rsidRPr="004A1C80">
        <w:t>kg</w:t>
      </w:r>
      <w:r w:rsidRPr="009C52A8">
        <w:rPr>
          <w:vertAlign w:val="superscript"/>
        </w:rPr>
        <w:t>-1</w:t>
      </w:r>
      <w:r w:rsidRPr="004A1C80">
        <w:t xml:space="preserve"> per Bq m</w:t>
      </w:r>
      <w:r w:rsidRPr="009C52A8">
        <w:rPr>
          <w:vertAlign w:val="superscript"/>
        </w:rPr>
        <w:t>-2</w:t>
      </w:r>
      <w:r>
        <w:t>)</w:t>
      </w:r>
      <w:r w:rsidRPr="004A1C80">
        <w:t xml:space="preserve"> </w:t>
      </w:r>
      <w:r>
        <w:t>were</w:t>
      </w:r>
      <w:r w:rsidRPr="004A1C80">
        <w:t xml:space="preserve"> calculated for </w:t>
      </w:r>
      <w:r>
        <w:t>a broad range</w:t>
      </w:r>
      <w:r w:rsidRPr="004A1C80">
        <w:t xml:space="preserve"> </w:t>
      </w:r>
      <w:r>
        <w:t xml:space="preserve">of terrestrial </w:t>
      </w:r>
      <w:r w:rsidRPr="004A1C80">
        <w:t>food groups that are important in the UK diet</w:t>
      </w:r>
      <w:r>
        <w:t xml:space="preserve">.  However only </w:t>
      </w:r>
      <w:r w:rsidRPr="004A1C80">
        <w:t xml:space="preserve">cow </w:t>
      </w:r>
      <w:r>
        <w:t xml:space="preserve">milk &amp; </w:t>
      </w:r>
      <w:r w:rsidRPr="004A1C80">
        <w:t>milk</w:t>
      </w:r>
      <w:r>
        <w:t xml:space="preserve"> products and green &amp; domestic vegetables were considered in this study</w:t>
      </w:r>
      <w:r w:rsidRPr="004A1C80">
        <w:t xml:space="preserve">. </w:t>
      </w:r>
    </w:p>
    <w:p w14:paraId="69C67A47" w14:textId="77777777" w:rsidR="00257419" w:rsidRDefault="00257419" w:rsidP="00257419">
      <w:pPr>
        <w:pStyle w:val="BodyText"/>
        <w:jc w:val="both"/>
      </w:pPr>
      <w:r>
        <w:t xml:space="preserve">The </w:t>
      </w:r>
      <w:r w:rsidRPr="00D92D5B">
        <w:t>individual dose calculation is the sum of two components; the first representing local production</w:t>
      </w:r>
      <w:r>
        <w:t>,</w:t>
      </w:r>
      <w:r w:rsidRPr="00D92D5B">
        <w:t xml:space="preserve"> i.e. the consumption of food grown in the vicinity of the individual</w:t>
      </w:r>
      <w:r>
        <w:t>,</w:t>
      </w:r>
      <w:r w:rsidRPr="00D92D5B">
        <w:t xml:space="preserve"> and the second representing the consumption of food drawn from national production</w:t>
      </w:r>
      <w:r>
        <w:t xml:space="preserve">. </w:t>
      </w:r>
      <w:r w:rsidRPr="00B15C7E">
        <w:t xml:space="preserve">However, in the present study, it was assumed that all </w:t>
      </w:r>
      <w:r>
        <w:t>(contaminated) milk and green vegetables were</w:t>
      </w:r>
      <w:r w:rsidRPr="00B15C7E">
        <w:t xml:space="preserve"> produced locally.</w:t>
      </w:r>
    </w:p>
    <w:p w14:paraId="7E4DD95F" w14:textId="77777777" w:rsidR="00257419" w:rsidRDefault="00257419" w:rsidP="00257419">
      <w:pPr>
        <w:pStyle w:val="BodyText"/>
        <w:jc w:val="both"/>
      </w:pPr>
      <w:r>
        <w:t>The calculation assumed that all deposition occurred</w:t>
      </w:r>
      <w:r w:rsidRPr="00334DA5">
        <w:t xml:space="preserve"> at time zero.</w:t>
      </w:r>
    </w:p>
    <w:p w14:paraId="0B98FAB7" w14:textId="77777777" w:rsidR="00257419" w:rsidRPr="00972FC9" w:rsidRDefault="00257419" w:rsidP="00257419">
      <w:pPr>
        <w:pStyle w:val="BodyText"/>
        <w:jc w:val="both"/>
      </w:pPr>
      <w:r>
        <w:t xml:space="preserve">Corrections for delay times from harvest to consumption (for fresh and processed </w:t>
      </w:r>
      <w:r w:rsidRPr="00972FC9">
        <w:t xml:space="preserve">products) </w:t>
      </w:r>
      <w:r>
        <w:t>we</w:t>
      </w:r>
      <w:r w:rsidRPr="00972FC9">
        <w:t>re included</w:t>
      </w:r>
      <w:r>
        <w:t xml:space="preserve"> and</w:t>
      </w:r>
      <w:r w:rsidRPr="00972FC9">
        <w:t xml:space="preserve"> doses </w:t>
      </w:r>
      <w:r>
        <w:t>we</w:t>
      </w:r>
      <w:r w:rsidRPr="00972FC9">
        <w:t xml:space="preserve">re truncated to 100 years. </w:t>
      </w:r>
      <w:r>
        <w:t>The fraction of food consumed fresh (0.5 for milk and 1 for green vegetables) and the fraction processed (0.5 for milk and 0 for green vegetables) were specified in the PACE interface.</w:t>
      </w:r>
    </w:p>
    <w:p w14:paraId="06D6F2DC" w14:textId="77777777" w:rsidR="00257419" w:rsidRDefault="00257419" w:rsidP="00257419">
      <w:pPr>
        <w:jc w:val="both"/>
        <w:rPr>
          <w:rFonts w:eastAsia="Times New Roman"/>
        </w:rPr>
      </w:pPr>
      <w:r w:rsidRPr="00171383">
        <w:t xml:space="preserve">PACE considers </w:t>
      </w:r>
      <w:r>
        <w:t>two</w:t>
      </w:r>
      <w:r w:rsidRPr="00171383">
        <w:t xml:space="preserve"> time</w:t>
      </w:r>
      <w:r>
        <w:t>s</w:t>
      </w:r>
      <w:r w:rsidRPr="00171383">
        <w:t xml:space="preserve"> of year</w:t>
      </w:r>
      <w:r>
        <w:t xml:space="preserve"> in respect to the modelling of the transfer of deposited radioactive material to food:</w:t>
      </w:r>
      <w:r w:rsidRPr="00171383">
        <w:t xml:space="preserve"> summer </w:t>
      </w:r>
      <w:r>
        <w:t xml:space="preserve">(June) </w:t>
      </w:r>
      <w:r w:rsidRPr="00171383">
        <w:t>and winter</w:t>
      </w:r>
      <w:r>
        <w:t xml:space="preserve"> (January). S</w:t>
      </w:r>
      <w:r w:rsidRPr="00171383">
        <w:t xml:space="preserve">ummer is the most conservative for all food types. </w:t>
      </w:r>
      <w:r>
        <w:rPr>
          <w:rFonts w:eastAsia="Times New Roman"/>
        </w:rPr>
        <w:t xml:space="preserve">The “June” FARMLAND results are applied for releases from mid-April to the start of November; the “January” FARMLAND results are applied for releases from the start of November to mid-April. NAME in PACE runs, sampling over annual variations in meteorology, will account for the two times of year accordingly. The deterministic ADEPT model runs conservatively assumed </w:t>
      </w:r>
      <w:r>
        <w:t>a release start date of 1</w:t>
      </w:r>
      <w:r>
        <w:rPr>
          <w:vertAlign w:val="superscript"/>
        </w:rPr>
        <w:t>st</w:t>
      </w:r>
      <w:r>
        <w:t xml:space="preserve"> June.</w:t>
      </w:r>
    </w:p>
    <w:p w14:paraId="7F2F941F" w14:textId="77777777" w:rsidR="00257419" w:rsidRDefault="00257419" w:rsidP="00257419">
      <w:pPr>
        <w:jc w:val="both"/>
      </w:pPr>
      <w:r>
        <w:t xml:space="preserve">Note that in the </w:t>
      </w:r>
      <w:r w:rsidRPr="004A1C80">
        <w:t>terrestrial food</w:t>
      </w:r>
      <w:r>
        <w:t xml:space="preserve"> </w:t>
      </w:r>
      <w:r w:rsidRPr="004A1C80">
        <w:t>chain model FARMLAND</w:t>
      </w:r>
      <w:r>
        <w:t xml:space="preserve"> there is no option to truncate individual ingestion dose to 69 years. Thus, whilst for the deposited gamma exposure pathway one year old infant doses can be integrated to 69 years, for the ingestion exposure pathway one year old infant doses can only be truncated to 50 years. However, this will have only a minimal impact on the doses estimated in this study.</w:t>
      </w:r>
    </w:p>
    <w:p w14:paraId="5F525DEC" w14:textId="77777777" w:rsidR="00257419" w:rsidRDefault="00257419" w:rsidP="00257419">
      <w:pPr>
        <w:jc w:val="both"/>
      </w:pPr>
      <w:r>
        <w:t>Furthermore, there is no option in PACE to consider individual ingestion dose truncated to less than 1 year. Therefore only 1 year and lifetime integrated doses will include doses from the ingestion exposure pathway. Doses from the ingestion exposure pathway will be omitted from the assessment for 7 and 30 day dose integration periods.</w:t>
      </w:r>
    </w:p>
    <w:p w14:paraId="75EA1FE4" w14:textId="3300C37F" w:rsidR="00257419" w:rsidRDefault="00257419" w:rsidP="00257419">
      <w:pPr>
        <w:pStyle w:val="BodyTextEND"/>
        <w:spacing w:after="120"/>
        <w:jc w:val="both"/>
      </w:pPr>
      <w:r>
        <w:t xml:space="preserve">The values used for individual consumption rates were based on </w:t>
      </w:r>
      <w:r w:rsidRPr="00D92D5B">
        <w:t>NRPB-W41</w:t>
      </w:r>
      <w:r>
        <w:t xml:space="preserve"> </w:t>
      </w:r>
      <w:r>
        <w:fldChar w:fldCharType="begin"/>
      </w:r>
      <w:r w:rsidR="00645742">
        <w:instrText xml:space="preserve"> ADDIN EN.CITE &lt;EndNote&gt;&lt;Cite&gt;&lt;Author&gt;Smith&lt;/Author&gt;&lt;Year&gt;2003&lt;/Year&gt;&lt;RecNum&gt;6021&lt;/RecNum&gt;&lt;DisplayText&gt;(Smith and Jones, 2003)&lt;/DisplayText&gt;&lt;record&gt;&lt;rec-number&gt;6021&lt;/rec-number&gt;&lt;foreign-keys&gt;&lt;key app="EN" db-id="r5f5xrrfzavsr7easp0pz0v5xxsaspratxsv" timestamp="1594750567" guid="dbf75187-9fbe-43d8-9b97-215ddb9ae991"&gt;6021&lt;/key&gt;&lt;key app="ENWeb" db-id=""&gt;0&lt;/key&gt;&lt;/foreign-keys&gt;&lt;ref-type name="Report"&gt;27&lt;/ref-type&gt;&lt;contributors&gt;&lt;authors&gt;&lt;author&gt;Smith, K. Rachel,&lt;/author&gt;&lt;author&gt;Jones, A. L.&lt;/author&gt;&lt;/authors&gt;&lt;tertiary-authors&gt;&lt;author&gt;National Radiological Protection Board,&lt;/author&gt;&lt;/tertiary-authors&gt;&lt;/contributors&gt;&lt;titles&gt;&lt;title&gt;Generalised Habit Data for Radiological Assessments&lt;/title&gt;&lt;secondary-title&gt;NRPB W Series&lt;/secondary-title&gt;&lt;/titles&gt;&lt;volume&gt;NRPB-W41&lt;/volume&gt;&lt;number&gt;NRPB-W41&lt;/number&gt;&lt;dates&gt;&lt;year&gt;2003&lt;/year&gt;&lt;pub-dates&gt;&lt;date&gt;May 2003&lt;/date&gt;&lt;/pub-dates&gt;&lt;/dates&gt;&lt;pub-location&gt;Chilton (UK)&lt;/pub-location&gt;&lt;publisher&gt;National Radiological Protection Board&lt;/publisher&gt;&lt;isbn&gt;NRPB-W41&lt;/isbn&gt;&lt;label&gt;9228&lt;/label&gt;&lt;urls&gt;&lt;/urls&gt;&lt;/record&gt;&lt;/Cite&gt;&lt;/EndNote&gt;</w:instrText>
      </w:r>
      <w:r>
        <w:fldChar w:fldCharType="separate"/>
      </w:r>
      <w:r>
        <w:rPr>
          <w:noProof/>
        </w:rPr>
        <w:t>(Smith and Jones, 2003)</w:t>
      </w:r>
      <w:r>
        <w:fldChar w:fldCharType="end"/>
      </w:r>
      <w:r w:rsidRPr="00D92D5B">
        <w:t xml:space="preserve"> </w:t>
      </w:r>
      <w:r>
        <w:t xml:space="preserve">and on </w:t>
      </w:r>
      <w:r>
        <w:fldChar w:fldCharType="begin"/>
      </w:r>
      <w:r w:rsidR="00645742">
        <w:instrText xml:space="preserve"> ADDIN EN.CITE &lt;EndNote&gt;&lt;Cite AuthorYear="1"&gt;&lt;Author&gt;Brown&lt;/Author&gt;&lt;Year&gt;2012&lt;/Year&gt;&lt;RecNum&gt;2732&lt;/RecNum&gt;&lt;DisplayText&gt;Brown and Sherwood (2012)&lt;/DisplayText&gt;&lt;record&gt;&lt;rec-number&gt;2732&lt;/rec-number&gt;&lt;foreign-keys&gt;&lt;key app="EN" db-id="r5f5xrrfzavsr7easp0pz0v5xxsaspratxsv" timestamp="1594740446" guid="1e4c9703-26b6-4576-b005-a9bbbe105a8a"&gt;2732&lt;/key&gt;&lt;key app="ENWeb" db-id=""&gt;0&lt;/key&gt;&lt;/foreign-keys&gt;&lt;ref-type name="Report"&gt;27&lt;/ref-type&gt;&lt;contributors&gt;&lt;authors&gt;&lt;author&gt;Brown, Joanne&lt;/author&gt;&lt;author&gt;Sherwood, Jon C.&lt;/author&gt;&lt;/authors&gt;&lt;tertiary-authors&gt;&lt;author&gt;HPA&lt;/author&gt;&lt;/tertiary-authors&gt;&lt;/contributors&gt;&lt;titles&gt;&lt;title&gt;Modelling approach for the transfer of radionuclides to fruit species of importance in the UK&lt;/title&gt;&lt;secondary-title&gt;HPA-CRCE Series&lt;/secondary-title&gt;&lt;/titles&gt;&lt;volume&gt;HPA-CRCE-039&lt;/volume&gt;&lt;number&gt;HPA-CRCE-039&lt;/number&gt;&lt;dates&gt;&lt;year&gt;2012&lt;/year&gt;&lt;/dates&gt;&lt;pub-location&gt;Chilton (UK)&lt;/pub-location&gt;&lt;publisher&gt;Health Protection Agency&lt;/publisher&gt;&lt;urls&gt;&lt;/urls&gt;&lt;/record&gt;&lt;/Cite&gt;&lt;/EndNote&gt;</w:instrText>
      </w:r>
      <w:r>
        <w:fldChar w:fldCharType="separate"/>
      </w:r>
      <w:r w:rsidR="00825B2D">
        <w:rPr>
          <w:noProof/>
        </w:rPr>
        <w:t>Brown and Sherwood (2012)</w:t>
      </w:r>
      <w:r>
        <w:fldChar w:fldCharType="end"/>
      </w:r>
      <w:r>
        <w:t>. Individual consumption rates of cow milk and cow milk products for adults and one year old infants were assumed to be 115 kg y</w:t>
      </w:r>
      <w:r w:rsidRPr="0033562A">
        <w:rPr>
          <w:vertAlign w:val="superscript"/>
        </w:rPr>
        <w:t>-1</w:t>
      </w:r>
      <w:r>
        <w:t xml:space="preserve"> and 145 kg y</w:t>
      </w:r>
      <w:r w:rsidR="0038194B">
        <w:rPr>
          <w:vertAlign w:val="superscript"/>
        </w:rPr>
        <w:noBreakHyphen/>
      </w:r>
      <w:r w:rsidRPr="0033562A">
        <w:rPr>
          <w:vertAlign w:val="superscript"/>
        </w:rPr>
        <w:t>1</w:t>
      </w:r>
      <w:r>
        <w:t>, respectively. Individual consumption rates of green and other domestic vegetables for adults and one year old infants were assumed to be 35 kg y</w:t>
      </w:r>
      <w:r w:rsidRPr="0033562A">
        <w:rPr>
          <w:vertAlign w:val="superscript"/>
        </w:rPr>
        <w:t>-1</w:t>
      </w:r>
      <w:r>
        <w:t xml:space="preserve"> and 5 kg y</w:t>
      </w:r>
      <w:r w:rsidRPr="0033562A">
        <w:rPr>
          <w:vertAlign w:val="superscript"/>
        </w:rPr>
        <w:t>-1</w:t>
      </w:r>
      <w:r>
        <w:t>, respectively. These values assumed a mean consumer of these foodstuffs.</w:t>
      </w:r>
    </w:p>
    <w:p w14:paraId="31D66304" w14:textId="77777777" w:rsidR="00257419" w:rsidRDefault="00257419" w:rsidP="00257419">
      <w:pPr>
        <w:pStyle w:val="BodyText"/>
        <w:jc w:val="both"/>
      </w:pPr>
      <w:r w:rsidRPr="00334DA5">
        <w:t xml:space="preserve">The calculation accounts for food restrictions by removing the integrated activity up to the time of the end of the restriction from the calculation of activity consumed. If the restriction time does not correspond to an exact time </w:t>
      </w:r>
      <w:r>
        <w:t>in the food concentration factor library then</w:t>
      </w:r>
      <w:r w:rsidRPr="00334DA5">
        <w:t xml:space="preserve"> a linear adjustment is made</w:t>
      </w:r>
      <w:r>
        <w:t>.</w:t>
      </w:r>
    </w:p>
    <w:p w14:paraId="08A16D98" w14:textId="77777777" w:rsidR="00257419" w:rsidRPr="002F3C3B" w:rsidRDefault="00257419" w:rsidP="00257419">
      <w:pPr>
        <w:pStyle w:val="Heading4"/>
      </w:pPr>
      <w:bookmarkStart w:id="81" w:name="_Toc79679429"/>
      <w:bookmarkStart w:id="82" w:name="_Toc89966383"/>
      <w:r>
        <w:t>Food restrictions</w:t>
      </w:r>
      <w:bookmarkEnd w:id="81"/>
      <w:bookmarkEnd w:id="82"/>
    </w:p>
    <w:p w14:paraId="33F60B3B" w14:textId="5AE45F3F" w:rsidR="00257419" w:rsidRDefault="00257419" w:rsidP="00257419">
      <w:pPr>
        <w:pStyle w:val="BodyText"/>
        <w:jc w:val="both"/>
      </w:pPr>
      <w:r>
        <w:t xml:space="preserve">The method used to determine the amount of activity estimated in foodstuffs is described in Section </w:t>
      </w:r>
      <w:r>
        <w:fldChar w:fldCharType="begin"/>
      </w:r>
      <w:r>
        <w:instrText xml:space="preserve"> REF _Ref71702846 \r \h </w:instrText>
      </w:r>
      <w:r>
        <w:fldChar w:fldCharType="separate"/>
      </w:r>
      <w:r w:rsidR="00926FE3">
        <w:t>4.3.1.4</w:t>
      </w:r>
      <w:r>
        <w:fldChar w:fldCharType="end"/>
      </w:r>
      <w:r>
        <w:t xml:space="preserve">, noting that such activity concentrations </w:t>
      </w:r>
      <w:r w:rsidRPr="00110E6E">
        <w:t xml:space="preserve">do not include any preparation losses, </w:t>
      </w:r>
      <w:r>
        <w:t>and</w:t>
      </w:r>
      <w:r w:rsidRPr="00110E6E">
        <w:t xml:space="preserve"> the total deposition</w:t>
      </w:r>
      <w:r>
        <w:t xml:space="preserve"> value was always assumed</w:t>
      </w:r>
      <w:r w:rsidRPr="00110E6E">
        <w:t>.</w:t>
      </w:r>
    </w:p>
    <w:p w14:paraId="011993F4" w14:textId="26C3406C" w:rsidR="00257419" w:rsidRDefault="00257419" w:rsidP="00257419">
      <w:pPr>
        <w:pStyle w:val="BodyTextEND"/>
        <w:jc w:val="both"/>
      </w:pPr>
      <w:r w:rsidRPr="00110E6E">
        <w:t xml:space="preserve">The duration and extent of food restrictions </w:t>
      </w:r>
      <w:r>
        <w:t>we</w:t>
      </w:r>
      <w:r w:rsidRPr="00110E6E">
        <w:t>re calculated by comparing the estimated activity concentrations in foods against the EURATOM Maximum Permitted Levels (MPLs)</w:t>
      </w:r>
      <w:r>
        <w:t xml:space="preserve"> </w:t>
      </w:r>
      <w:r>
        <w:fldChar w:fldCharType="begin"/>
      </w:r>
      <w:r w:rsidR="00645742">
        <w:instrText xml:space="preserve"> ADDIN EN.CITE &lt;EndNote&gt;&lt;Cite&gt;&lt;Author&gt;CEC&lt;/Author&gt;&lt;Year&gt;2016&lt;/Year&gt;&lt;RecNum&gt;2277&lt;/RecNum&gt;&lt;DisplayText&gt;(CEC, 2016)&lt;/DisplayText&gt;&lt;record&gt;&lt;rec-number&gt;2277&lt;/rec-number&gt;&lt;foreign-keys&gt;&lt;key app="EN" db-id="r5f5xrrfzavsr7easp0pz0v5xxsaspratxsv" timestamp="1594739165" guid="9a2c9b15-511f-4c23-a44d-71e620bbd221"&gt;2277&lt;/key&gt;&lt;key app="ENWeb" db-id=""&gt;0&lt;/key&gt;&lt;/foreign-keys&gt;&lt;ref-type name="Journal Article"&gt;17&lt;/ref-type&gt;&lt;contributors&gt;&lt;authors&gt;&lt;author&gt;CEC&lt;/author&gt;&lt;/authors&gt;&lt;/contributors&gt;&lt;titles&gt;&lt;title&gt;Council Regulation (Euratom) 2016/52 of 15 January 2016 laying down maximum permitted levels of radioactive contamination of food and feed following a nuclear accident or any other case of radiological emergency, and repealing Regulation (Euratom) No 3954/87 and Commission Regulations (Euratom) No 944/89 and (Euratom) No 770/90&lt;/title&gt;&lt;secondary-title&gt;Official Journal of the European Union&lt;/secondary-title&gt;&lt;/titles&gt;&lt;periodical&gt;&lt;full-title&gt;Official Journal of the European Union&lt;/full-title&gt;&lt;/periodical&gt;&lt;volume&gt;59&lt;/volume&gt;&lt;dates&gt;&lt;year&gt;2016&lt;/year&gt;&lt;/dates&gt;&lt;urls&gt;&lt;related-urls&gt;&lt;url&gt;&lt;style face="underline" font="default" size="100%"&gt;https://eur-lex.europa.eu/legal-content/EN/TXT/HTML/?uri=CELEX:32016R0052&amp;amp;from=EN&lt;/style&gt;&lt;/url&gt;&lt;/related-urls&gt;&lt;/urls&gt;&lt;/record&gt;&lt;/Cite&gt;&lt;/EndNote&gt;</w:instrText>
      </w:r>
      <w:r>
        <w:fldChar w:fldCharType="separate"/>
      </w:r>
      <w:r>
        <w:rPr>
          <w:noProof/>
        </w:rPr>
        <w:t>(CEC, 2016)</w:t>
      </w:r>
      <w:r>
        <w:fldChar w:fldCharType="end"/>
      </w:r>
      <w:r>
        <w:t xml:space="preserve"> </w:t>
      </w:r>
      <w:r w:rsidRPr="00110E6E">
        <w:t>at a series of times. The MPLs are defined for specific radionuclide and food groups and are given in</w:t>
      </w:r>
      <w:r w:rsidR="008A48C1">
        <w:t xml:space="preserve"> </w:t>
      </w:r>
      <w:r w:rsidR="008A48C1">
        <w:fldChar w:fldCharType="begin"/>
      </w:r>
      <w:r w:rsidR="008A48C1">
        <w:instrText xml:space="preserve"> REF _Ref83122835 \h </w:instrText>
      </w:r>
      <w:r w:rsidR="008A48C1">
        <w:fldChar w:fldCharType="separate"/>
      </w:r>
      <w:r w:rsidR="00926FE3">
        <w:t xml:space="preserve">Table </w:t>
      </w:r>
      <w:r w:rsidR="00926FE3">
        <w:rPr>
          <w:noProof/>
        </w:rPr>
        <w:t>13</w:t>
      </w:r>
      <w:r w:rsidR="008A48C1">
        <w:fldChar w:fldCharType="end"/>
      </w:r>
      <w:r w:rsidRPr="004D6632">
        <w:t>.</w:t>
      </w:r>
      <w:r w:rsidRPr="00110E6E">
        <w:t xml:space="preserve"> PACE considers restrictions on most of the foodstuffs relevant for UK production but two key foods</w:t>
      </w:r>
      <w:r>
        <w:t>,</w:t>
      </w:r>
      <w:r w:rsidRPr="00110E6E">
        <w:t xml:space="preserve"> cows</w:t>
      </w:r>
      <w:r>
        <w:t>’</w:t>
      </w:r>
      <w:r w:rsidRPr="00110E6E">
        <w:t xml:space="preserve"> milk and green vegetables, </w:t>
      </w:r>
      <w:r>
        <w:t>we</w:t>
      </w:r>
      <w:r w:rsidRPr="00110E6E">
        <w:t>re presented in this study.</w:t>
      </w:r>
    </w:p>
    <w:p w14:paraId="2B8B2ACE" w14:textId="0B057FB9" w:rsidR="00AE438D" w:rsidRDefault="00AE438D" w:rsidP="00AE438D">
      <w:pPr>
        <w:pStyle w:val="BodyText"/>
      </w:pPr>
    </w:p>
    <w:p w14:paraId="6D018963" w14:textId="5E525E20" w:rsidR="00AE438D" w:rsidRDefault="00AE438D" w:rsidP="00AE438D">
      <w:pPr>
        <w:pStyle w:val="BodyText"/>
      </w:pPr>
    </w:p>
    <w:p w14:paraId="18F1CF4A" w14:textId="77777777" w:rsidR="00AE438D" w:rsidRPr="00AE438D" w:rsidRDefault="00AE438D" w:rsidP="00AE438D">
      <w:pPr>
        <w:pStyle w:val="BodyText"/>
      </w:pPr>
    </w:p>
    <w:p w14:paraId="4D4DAFFC" w14:textId="5CE4AB21" w:rsidR="00257419" w:rsidRDefault="00257419" w:rsidP="00257419">
      <w:pPr>
        <w:pStyle w:val="Tablecaption"/>
        <w:keepNext w:val="0"/>
        <w:keepLines w:val="0"/>
      </w:pPr>
      <w:bookmarkStart w:id="83" w:name="_Ref83122835"/>
      <w:r>
        <w:t xml:space="preserve">Table </w:t>
      </w:r>
      <w:fldSimple w:instr=" SEQ Table \* ARABIC ">
        <w:r w:rsidR="00926FE3">
          <w:rPr>
            <w:noProof/>
          </w:rPr>
          <w:t>13</w:t>
        </w:r>
      </w:fldSimple>
      <w:bookmarkEnd w:id="83"/>
      <w:r>
        <w:t>: EURATOM Maximum Permitted</w:t>
      </w:r>
      <w:r w:rsidRPr="00AC7E8E">
        <w:t xml:space="preserve"> Levels (</w:t>
      </w:r>
      <w:r>
        <w:t>MPLs)</w:t>
      </w:r>
    </w:p>
    <w:tbl>
      <w:tblPr>
        <w:tblW w:w="81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923"/>
        <w:gridCol w:w="1737"/>
      </w:tblGrid>
      <w:tr w:rsidR="00257419" w14:paraId="56420C72" w14:textId="77777777" w:rsidTr="00324721">
        <w:tc>
          <w:tcPr>
            <w:tcW w:w="1440" w:type="dxa"/>
            <w:tcBorders>
              <w:top w:val="single" w:sz="4" w:space="0" w:color="000080"/>
              <w:left w:val="nil"/>
              <w:bottom w:val="single" w:sz="4" w:space="0" w:color="000080"/>
              <w:right w:val="nil"/>
            </w:tcBorders>
          </w:tcPr>
          <w:p w14:paraId="3865472B" w14:textId="77777777" w:rsidR="00257419" w:rsidRPr="00C511A2" w:rsidRDefault="00257419" w:rsidP="00324721">
            <w:pPr>
              <w:pStyle w:val="Tablecolumnheadings"/>
              <w:keepLines w:val="0"/>
            </w:pPr>
            <w:r w:rsidRPr="00C511A2">
              <w:t>Control</w:t>
            </w:r>
          </w:p>
        </w:tc>
        <w:tc>
          <w:tcPr>
            <w:tcW w:w="4923" w:type="dxa"/>
            <w:tcBorders>
              <w:top w:val="single" w:sz="4" w:space="0" w:color="000080"/>
              <w:left w:val="nil"/>
              <w:bottom w:val="single" w:sz="4" w:space="0" w:color="000080"/>
              <w:right w:val="nil"/>
            </w:tcBorders>
          </w:tcPr>
          <w:p w14:paraId="2067FBCA" w14:textId="77777777" w:rsidR="00257419" w:rsidRPr="00C511A2" w:rsidRDefault="00257419" w:rsidP="00324721">
            <w:pPr>
              <w:pStyle w:val="Tablecolumnheadings"/>
              <w:keepLines w:val="0"/>
            </w:pPr>
            <w:r w:rsidRPr="00C511A2">
              <w:t>Description</w:t>
            </w:r>
          </w:p>
        </w:tc>
        <w:tc>
          <w:tcPr>
            <w:tcW w:w="1737" w:type="dxa"/>
            <w:tcBorders>
              <w:top w:val="single" w:sz="4" w:space="0" w:color="000080"/>
              <w:left w:val="nil"/>
              <w:bottom w:val="single" w:sz="4" w:space="0" w:color="000080"/>
              <w:right w:val="nil"/>
            </w:tcBorders>
          </w:tcPr>
          <w:p w14:paraId="50332C94" w14:textId="77777777" w:rsidR="00257419" w:rsidRPr="00C511A2" w:rsidRDefault="00257419" w:rsidP="00324721">
            <w:pPr>
              <w:pStyle w:val="Tablecolumnheadings"/>
              <w:keepLines w:val="0"/>
            </w:pPr>
            <w:r w:rsidRPr="00C511A2">
              <w:t>Default (Bq</w:t>
            </w:r>
            <w:r>
              <w:t xml:space="preserve"> </w:t>
            </w:r>
            <w:r w:rsidRPr="00C511A2">
              <w:t>kg</w:t>
            </w:r>
            <w:r w:rsidRPr="0008279D">
              <w:rPr>
                <w:vertAlign w:val="superscript"/>
              </w:rPr>
              <w:t>-1</w:t>
            </w:r>
            <w:r w:rsidRPr="00C511A2">
              <w:t>)</w:t>
            </w:r>
          </w:p>
        </w:tc>
      </w:tr>
      <w:tr w:rsidR="00257419" w14:paraId="586C9FAC" w14:textId="77777777" w:rsidTr="00324721">
        <w:tc>
          <w:tcPr>
            <w:tcW w:w="8100" w:type="dxa"/>
            <w:gridSpan w:val="3"/>
            <w:tcBorders>
              <w:top w:val="single" w:sz="4" w:space="0" w:color="000080"/>
              <w:left w:val="nil"/>
              <w:bottom w:val="single" w:sz="4" w:space="0" w:color="808080"/>
              <w:right w:val="nil"/>
            </w:tcBorders>
          </w:tcPr>
          <w:p w14:paraId="3EE453B8" w14:textId="77777777" w:rsidR="00257419" w:rsidRPr="00C511A2" w:rsidRDefault="00257419" w:rsidP="00324721">
            <w:pPr>
              <w:pStyle w:val="Tablecolumnheadings"/>
              <w:keepLines w:val="0"/>
            </w:pPr>
            <w:r w:rsidRPr="00C511A2">
              <w:t>Milk</w:t>
            </w:r>
          </w:p>
        </w:tc>
      </w:tr>
      <w:tr w:rsidR="00257419" w:rsidRPr="002928F1" w14:paraId="102915BF" w14:textId="77777777" w:rsidTr="00324721">
        <w:tc>
          <w:tcPr>
            <w:tcW w:w="1440" w:type="dxa"/>
            <w:tcBorders>
              <w:top w:val="single" w:sz="4" w:space="0" w:color="808080"/>
              <w:left w:val="nil"/>
              <w:bottom w:val="single" w:sz="4" w:space="0" w:color="808080"/>
              <w:right w:val="nil"/>
            </w:tcBorders>
          </w:tcPr>
          <w:p w14:paraId="5A365D8D" w14:textId="77777777" w:rsidR="00257419" w:rsidRPr="00C511A2" w:rsidRDefault="00257419" w:rsidP="00324721">
            <w:pPr>
              <w:pStyle w:val="TableRow"/>
              <w:keepNext w:val="0"/>
            </w:pPr>
            <w:r w:rsidRPr="00C511A2">
              <w:t>Strontium</w:t>
            </w:r>
          </w:p>
          <w:p w14:paraId="72AFE2C8" w14:textId="77777777" w:rsidR="00257419" w:rsidRPr="00C511A2" w:rsidRDefault="00257419" w:rsidP="00324721">
            <w:pPr>
              <w:pStyle w:val="TableRow"/>
              <w:keepNext w:val="0"/>
            </w:pPr>
            <w:r w:rsidRPr="00C511A2">
              <w:t>Iodine</w:t>
            </w:r>
          </w:p>
          <w:p w14:paraId="609BF676" w14:textId="77777777" w:rsidR="00257419" w:rsidRPr="00C511A2" w:rsidRDefault="00257419" w:rsidP="00324721">
            <w:pPr>
              <w:pStyle w:val="TableRow"/>
              <w:keepNext w:val="0"/>
            </w:pPr>
            <w:r w:rsidRPr="00C511A2">
              <w:t>Alpha emitter</w:t>
            </w:r>
          </w:p>
          <w:p w14:paraId="5A4AE49B" w14:textId="77777777" w:rsidR="00257419" w:rsidRPr="00C511A2" w:rsidRDefault="00257419" w:rsidP="00324721">
            <w:pPr>
              <w:pStyle w:val="TableRow"/>
              <w:keepNext w:val="0"/>
            </w:pPr>
            <w:r w:rsidRPr="00C511A2">
              <w:t>Caesium</w:t>
            </w:r>
          </w:p>
        </w:tc>
        <w:tc>
          <w:tcPr>
            <w:tcW w:w="4923" w:type="dxa"/>
            <w:tcBorders>
              <w:top w:val="single" w:sz="4" w:space="0" w:color="808080"/>
              <w:left w:val="nil"/>
              <w:bottom w:val="single" w:sz="4" w:space="0" w:color="808080"/>
              <w:right w:val="nil"/>
            </w:tcBorders>
          </w:tcPr>
          <w:p w14:paraId="0631030D" w14:textId="77777777" w:rsidR="00257419" w:rsidRPr="00C511A2" w:rsidRDefault="00257419" w:rsidP="00324721">
            <w:pPr>
              <w:pStyle w:val="TableRow"/>
              <w:keepNext w:val="0"/>
            </w:pPr>
            <w:r w:rsidRPr="00C511A2">
              <w:t>sum of all strontium isotopes</w:t>
            </w:r>
          </w:p>
          <w:p w14:paraId="214EBD0D" w14:textId="77777777" w:rsidR="00257419" w:rsidRPr="00C511A2" w:rsidRDefault="00257419" w:rsidP="00324721">
            <w:pPr>
              <w:pStyle w:val="TableRow"/>
              <w:keepNext w:val="0"/>
            </w:pPr>
            <w:r w:rsidRPr="00C511A2">
              <w:t>sum of all iodine isotopes</w:t>
            </w:r>
          </w:p>
          <w:p w14:paraId="64B75F75" w14:textId="77777777" w:rsidR="00257419" w:rsidRPr="00C511A2" w:rsidRDefault="00257419" w:rsidP="00324721">
            <w:pPr>
              <w:pStyle w:val="TableRow"/>
              <w:keepNext w:val="0"/>
            </w:pPr>
            <w:r w:rsidRPr="00C511A2">
              <w:t>sum of all alpha emitting plutonium and transplutonium isotopes</w:t>
            </w:r>
          </w:p>
          <w:p w14:paraId="69D5ED22" w14:textId="77777777" w:rsidR="00257419" w:rsidRPr="00C511A2" w:rsidRDefault="00257419" w:rsidP="00324721">
            <w:pPr>
              <w:pStyle w:val="TableRow"/>
              <w:keepNext w:val="0"/>
            </w:pPr>
            <w:r w:rsidRPr="00C511A2">
              <w:t xml:space="preserve">sum of all radionuclides with half-life greater than 10 days </w:t>
            </w:r>
          </w:p>
        </w:tc>
        <w:tc>
          <w:tcPr>
            <w:tcW w:w="1737" w:type="dxa"/>
            <w:tcBorders>
              <w:top w:val="single" w:sz="4" w:space="0" w:color="808080"/>
              <w:left w:val="nil"/>
              <w:bottom w:val="single" w:sz="4" w:space="0" w:color="808080"/>
              <w:right w:val="nil"/>
            </w:tcBorders>
          </w:tcPr>
          <w:p w14:paraId="4EF72531" w14:textId="77777777" w:rsidR="00257419" w:rsidRPr="00C511A2" w:rsidRDefault="00257419" w:rsidP="00324721">
            <w:pPr>
              <w:pStyle w:val="TableRow"/>
              <w:keepNext w:val="0"/>
            </w:pPr>
            <w:r w:rsidRPr="00C511A2">
              <w:t>125</w:t>
            </w:r>
          </w:p>
          <w:p w14:paraId="7A5A9B98" w14:textId="77777777" w:rsidR="00257419" w:rsidRPr="00C511A2" w:rsidRDefault="00257419" w:rsidP="00324721">
            <w:pPr>
              <w:pStyle w:val="TableRow"/>
              <w:keepNext w:val="0"/>
            </w:pPr>
            <w:r w:rsidRPr="00C511A2">
              <w:t>500</w:t>
            </w:r>
          </w:p>
          <w:p w14:paraId="01100B69" w14:textId="77777777" w:rsidR="00257419" w:rsidRPr="00C511A2" w:rsidRDefault="00257419" w:rsidP="00324721">
            <w:pPr>
              <w:pStyle w:val="TableRow"/>
              <w:keepNext w:val="0"/>
            </w:pPr>
            <w:r w:rsidRPr="00C511A2">
              <w:t>20</w:t>
            </w:r>
          </w:p>
          <w:p w14:paraId="5F9271EA" w14:textId="77777777" w:rsidR="00257419" w:rsidRPr="00C511A2" w:rsidRDefault="00257419" w:rsidP="00324721">
            <w:pPr>
              <w:pStyle w:val="TableRow"/>
              <w:keepNext w:val="0"/>
            </w:pPr>
            <w:r w:rsidRPr="00C511A2">
              <w:t>1000</w:t>
            </w:r>
          </w:p>
        </w:tc>
      </w:tr>
      <w:tr w:rsidR="00257419" w:rsidRPr="00C511A2" w14:paraId="4E5831D7" w14:textId="77777777" w:rsidTr="00324721">
        <w:tc>
          <w:tcPr>
            <w:tcW w:w="8100" w:type="dxa"/>
            <w:gridSpan w:val="3"/>
            <w:tcBorders>
              <w:top w:val="single" w:sz="4" w:space="0" w:color="808080"/>
              <w:left w:val="nil"/>
              <w:bottom w:val="single" w:sz="4" w:space="0" w:color="808080"/>
              <w:right w:val="nil"/>
            </w:tcBorders>
          </w:tcPr>
          <w:p w14:paraId="1334095F" w14:textId="77777777" w:rsidR="00257419" w:rsidRPr="00C511A2" w:rsidRDefault="00257419" w:rsidP="00324721">
            <w:pPr>
              <w:pStyle w:val="TableColumnHeader"/>
              <w:keepLines w:val="0"/>
            </w:pPr>
            <w:r w:rsidRPr="00C511A2">
              <w:t>Other foods</w:t>
            </w:r>
            <w:r>
              <w:t xml:space="preserve"> including green vegetables</w:t>
            </w:r>
          </w:p>
        </w:tc>
      </w:tr>
      <w:tr w:rsidR="00257419" w:rsidRPr="002928F1" w14:paraId="2232A7C9" w14:textId="77777777" w:rsidTr="00324721">
        <w:tc>
          <w:tcPr>
            <w:tcW w:w="1440" w:type="dxa"/>
            <w:tcBorders>
              <w:top w:val="single" w:sz="4" w:space="0" w:color="808080"/>
              <w:left w:val="nil"/>
              <w:bottom w:val="single" w:sz="4" w:space="0" w:color="000080"/>
              <w:right w:val="nil"/>
            </w:tcBorders>
          </w:tcPr>
          <w:p w14:paraId="287CE504" w14:textId="77777777" w:rsidR="00257419" w:rsidRPr="00C511A2" w:rsidRDefault="00257419" w:rsidP="00324721">
            <w:pPr>
              <w:pStyle w:val="TableRow"/>
              <w:keepNext w:val="0"/>
            </w:pPr>
            <w:r w:rsidRPr="00C511A2">
              <w:t>Strontium</w:t>
            </w:r>
          </w:p>
          <w:p w14:paraId="5A6A911C" w14:textId="77777777" w:rsidR="00257419" w:rsidRPr="00C511A2" w:rsidRDefault="00257419" w:rsidP="00324721">
            <w:pPr>
              <w:pStyle w:val="TableRow"/>
              <w:keepNext w:val="0"/>
            </w:pPr>
            <w:r w:rsidRPr="00C511A2">
              <w:t>Iodine</w:t>
            </w:r>
          </w:p>
          <w:p w14:paraId="454DC406" w14:textId="77777777" w:rsidR="00257419" w:rsidRPr="00C511A2" w:rsidRDefault="00257419" w:rsidP="00324721">
            <w:pPr>
              <w:pStyle w:val="TableRow"/>
              <w:keepNext w:val="0"/>
            </w:pPr>
            <w:r w:rsidRPr="00C511A2">
              <w:t>Alpha emitter</w:t>
            </w:r>
          </w:p>
          <w:p w14:paraId="536606C0" w14:textId="77777777" w:rsidR="00257419" w:rsidRPr="00C511A2" w:rsidRDefault="00257419" w:rsidP="00324721">
            <w:pPr>
              <w:pStyle w:val="TableRow"/>
              <w:keepNext w:val="0"/>
            </w:pPr>
            <w:r w:rsidRPr="00C511A2">
              <w:t>Caesium</w:t>
            </w:r>
          </w:p>
        </w:tc>
        <w:tc>
          <w:tcPr>
            <w:tcW w:w="4923" w:type="dxa"/>
            <w:tcBorders>
              <w:top w:val="single" w:sz="4" w:space="0" w:color="808080"/>
              <w:left w:val="nil"/>
              <w:bottom w:val="single" w:sz="4" w:space="0" w:color="000080"/>
              <w:right w:val="nil"/>
            </w:tcBorders>
          </w:tcPr>
          <w:p w14:paraId="0C1DD529" w14:textId="77777777" w:rsidR="00257419" w:rsidRPr="00C511A2" w:rsidRDefault="00257419" w:rsidP="00324721">
            <w:pPr>
              <w:pStyle w:val="TableRow"/>
              <w:keepNext w:val="0"/>
            </w:pPr>
            <w:r w:rsidRPr="00C511A2">
              <w:t>sum of all strontium isotopes</w:t>
            </w:r>
          </w:p>
          <w:p w14:paraId="6F873E76" w14:textId="77777777" w:rsidR="00257419" w:rsidRPr="00C511A2" w:rsidRDefault="00257419" w:rsidP="00324721">
            <w:pPr>
              <w:pStyle w:val="TableRow"/>
              <w:keepNext w:val="0"/>
            </w:pPr>
            <w:r w:rsidRPr="00C511A2">
              <w:t>sum of all iodine isotopes</w:t>
            </w:r>
          </w:p>
          <w:p w14:paraId="32743A64" w14:textId="77777777" w:rsidR="00257419" w:rsidRPr="00C511A2" w:rsidRDefault="00257419" w:rsidP="00324721">
            <w:pPr>
              <w:pStyle w:val="TableRow"/>
              <w:keepNext w:val="0"/>
            </w:pPr>
            <w:r w:rsidRPr="00C511A2">
              <w:t>sum of all alpha emitting plutonium and transplutonium isotopes</w:t>
            </w:r>
          </w:p>
          <w:p w14:paraId="2FF0DC2E" w14:textId="77777777" w:rsidR="00257419" w:rsidRPr="00C511A2" w:rsidRDefault="00257419" w:rsidP="00324721">
            <w:pPr>
              <w:pStyle w:val="TableRow"/>
              <w:keepNext w:val="0"/>
            </w:pPr>
            <w:r w:rsidRPr="00C511A2">
              <w:t>sum of all radionuclides with half-life greater than 10 days</w:t>
            </w:r>
          </w:p>
        </w:tc>
        <w:tc>
          <w:tcPr>
            <w:tcW w:w="1737" w:type="dxa"/>
            <w:tcBorders>
              <w:top w:val="single" w:sz="4" w:space="0" w:color="808080"/>
              <w:left w:val="nil"/>
              <w:bottom w:val="single" w:sz="4" w:space="0" w:color="000080"/>
              <w:right w:val="nil"/>
            </w:tcBorders>
          </w:tcPr>
          <w:p w14:paraId="463B9FFC" w14:textId="77777777" w:rsidR="00257419" w:rsidRPr="00C511A2" w:rsidRDefault="00257419" w:rsidP="00324721">
            <w:pPr>
              <w:pStyle w:val="TableRow"/>
              <w:keepNext w:val="0"/>
            </w:pPr>
            <w:r w:rsidRPr="00C511A2">
              <w:t>750</w:t>
            </w:r>
          </w:p>
          <w:p w14:paraId="78756720" w14:textId="77777777" w:rsidR="00257419" w:rsidRPr="00C511A2" w:rsidRDefault="00257419" w:rsidP="00324721">
            <w:pPr>
              <w:pStyle w:val="TableRow"/>
              <w:keepNext w:val="0"/>
            </w:pPr>
            <w:r w:rsidRPr="00C511A2">
              <w:t>2000</w:t>
            </w:r>
          </w:p>
          <w:p w14:paraId="4B023BFF" w14:textId="77777777" w:rsidR="00257419" w:rsidRPr="00C511A2" w:rsidRDefault="00257419" w:rsidP="00324721">
            <w:pPr>
              <w:pStyle w:val="TableRow"/>
              <w:keepNext w:val="0"/>
            </w:pPr>
            <w:r w:rsidRPr="00C511A2">
              <w:t>80</w:t>
            </w:r>
          </w:p>
          <w:p w14:paraId="2FC48BC4" w14:textId="77777777" w:rsidR="00257419" w:rsidRPr="00C511A2" w:rsidRDefault="00257419" w:rsidP="00324721">
            <w:pPr>
              <w:pStyle w:val="TableRow"/>
              <w:keepNext w:val="0"/>
            </w:pPr>
            <w:r w:rsidRPr="00C511A2">
              <w:t>1250</w:t>
            </w:r>
          </w:p>
        </w:tc>
      </w:tr>
    </w:tbl>
    <w:p w14:paraId="0C5B8BBC" w14:textId="77777777" w:rsidR="00257419" w:rsidRPr="002273DE" w:rsidRDefault="00257419" w:rsidP="00257419">
      <w:pPr>
        <w:pStyle w:val="BodyText"/>
      </w:pPr>
      <w:bookmarkStart w:id="84" w:name="_Ref52543920"/>
      <w:bookmarkStart w:id="85" w:name="_Ref52543935"/>
      <w:bookmarkStart w:id="86" w:name="_Ref52543946"/>
      <w:bookmarkStart w:id="87" w:name="_Ref52543953"/>
      <w:bookmarkStart w:id="88" w:name="_Ref52544042"/>
      <w:bookmarkStart w:id="89" w:name="_Ref71115078"/>
      <w:bookmarkStart w:id="90" w:name="_Ref71115449"/>
    </w:p>
    <w:p w14:paraId="2F0C6A3D" w14:textId="77777777" w:rsidR="00257419" w:rsidRDefault="00257419" w:rsidP="00257419">
      <w:pPr>
        <w:pStyle w:val="Heading3"/>
      </w:pPr>
      <w:bookmarkStart w:id="91" w:name="_Toc79679430"/>
      <w:bookmarkStart w:id="92" w:name="_Ref81584047"/>
      <w:bookmarkStart w:id="93" w:name="_Ref82688945"/>
      <w:bookmarkStart w:id="94" w:name="_Toc89966384"/>
      <w:r>
        <w:t>NAME</w:t>
      </w:r>
      <w:bookmarkEnd w:id="84"/>
      <w:bookmarkEnd w:id="85"/>
      <w:bookmarkEnd w:id="86"/>
      <w:bookmarkEnd w:id="87"/>
      <w:bookmarkEnd w:id="88"/>
      <w:r>
        <w:t xml:space="preserve"> in PACE Modelling</w:t>
      </w:r>
      <w:bookmarkEnd w:id="89"/>
      <w:bookmarkEnd w:id="90"/>
      <w:bookmarkEnd w:id="91"/>
      <w:bookmarkEnd w:id="92"/>
      <w:bookmarkEnd w:id="93"/>
      <w:bookmarkEnd w:id="94"/>
    </w:p>
    <w:p w14:paraId="0A546FD1" w14:textId="231BD3CC" w:rsidR="00257419" w:rsidRPr="00E507B8" w:rsidRDefault="00257419" w:rsidP="00257419">
      <w:pPr>
        <w:pStyle w:val="BodyText"/>
        <w:jc w:val="both"/>
      </w:pPr>
      <w:r w:rsidRPr="00E507B8">
        <w:t>The UK Met Office’s Numerical Atmospheric-dispersion Modelling Environment, NAME, is a Lagrangian particle-trajectory model designed to predict the atmospheric dispersion and deposition of gases and particulates</w:t>
      </w:r>
      <w:r>
        <w:t xml:space="preserve"> </w:t>
      </w:r>
      <w:r>
        <w:fldChar w:fldCharType="begin"/>
      </w:r>
      <w:r w:rsidR="00645742">
        <w:instrText xml:space="preserve"> ADDIN EN.CITE &lt;EndNote&gt;&lt;Cite&gt;&lt;Author&gt;Jones&lt;/Author&gt;&lt;Year&gt;2007&lt;/Year&gt;&lt;RecNum&gt;3283&lt;/RecNum&gt;&lt;DisplayText&gt;(Jones et al, 2007a)&lt;/DisplayText&gt;&lt;record&gt;&lt;rec-number&gt;3283&lt;/rec-number&gt;&lt;foreign-keys&gt;&lt;key app="EN" db-id="r5f5xrrfzavsr7easp0pz0v5xxsaspratxsv" timestamp="1594741663" guid="e3c36175-301e-4b1d-b1d5-b93a527604fa"&gt;3283&lt;/key&gt;&lt;key app="ENWeb" db-id=""&gt;0&lt;/key&gt;&lt;/foreign-keys&gt;&lt;ref-type name="Conference Paper"&gt;47&lt;/ref-type&gt;&lt;contributors&gt;&lt;authors&gt;&lt;author&gt;Jones, A. R.&lt;/author&gt;&lt;author&gt;Thomson, D. J.&lt;/author&gt;&lt;author&gt;Hort, M.&lt;/author&gt;&lt;author&gt;Devenish, B.&lt;/author&gt;&lt;/authors&gt;&lt;secondary-authors&gt;&lt;author&gt;Borrego, C.&lt;/author&gt;&lt;author&gt;Norman, A. L.&lt;/author&gt;&lt;/secondary-authors&gt;&lt;/contributors&gt;&lt;titles&gt;&lt;title&gt;The U.K. Met Office’s next generation atmospheric dispersion model, NAME III&lt;/title&gt;&lt;secondary-title&gt;27th NATO/CCMS International Technical Meeting on Air Pollution Modelling and its Application)&lt;/secondary-title&gt;&lt;/titles&gt;&lt;pages&gt;580-589&lt;/pages&gt;&lt;volume&gt;vol XVII&lt;/volume&gt;&lt;dates&gt;&lt;year&gt;2007&lt;/year&gt;&lt;/dates&gt;&lt;pub-location&gt;Berlin&lt;/pub-location&gt;&lt;publisher&gt;Springer&lt;/publisher&gt;&lt;urls&gt;&lt;/urls&gt;&lt;/record&gt;&lt;/Cite&gt;&lt;/EndNote&gt;</w:instrText>
      </w:r>
      <w:r>
        <w:fldChar w:fldCharType="separate"/>
      </w:r>
      <w:r>
        <w:rPr>
          <w:noProof/>
        </w:rPr>
        <w:t>(Jones et al, 2007a)</w:t>
      </w:r>
      <w:r>
        <w:fldChar w:fldCharType="end"/>
      </w:r>
      <w:r w:rsidRPr="00E507B8">
        <w:t>. The mean flow or advection of a particle is determined by the flow information, primarily the wind velocity, detailed in the required meteorological data. Diffusion is described by random walk (Monte Carlo) processes, determined by the turbulent velocity. Each particle carries a mass or activity of one or more pollutant species and evolves by various physical and chemical processes during its lifespan. A box-averaging scheme is used to derive activity concentrations in air from particle activities. The dry deposition scheme in NAME uses a deposition velocity, whereby the flux of a pollutant to the ground is proportional to the concentration</w:t>
      </w:r>
      <w:r w:rsidR="00985D60">
        <w:t xml:space="preserve"> in air</w:t>
      </w:r>
      <w:r w:rsidRPr="00E507B8">
        <w:t xml:space="preserve"> and deposition velocity. The wet deposition scheme in NAME uses scavenging coefficients (a function of the precipitation rate, type of precipitation and type of deposition process). For radiological releases, NAME incorporates both radioactive decay processes and estimates of external dose from the radioactive plume</w:t>
      </w:r>
      <w:r>
        <w:t xml:space="preserve"> </w:t>
      </w:r>
      <w:r>
        <w:fldChar w:fldCharType="begin"/>
      </w:r>
      <w:r w:rsidR="00645742">
        <w:instrText xml:space="preserve"> ADDIN EN.CITE &lt;EndNote&gt;&lt;Cite&gt;&lt;Author&gt;Bedwell&lt;/Author&gt;&lt;Year&gt;2010&lt;/Year&gt;&lt;RecNum&gt;466&lt;/RecNum&gt;&lt;DisplayText&gt;(Bedwell et al, 2010)&lt;/DisplayText&gt;&lt;record&gt;&lt;rec-number&gt;466&lt;/rec-number&gt;&lt;foreign-keys&gt;&lt;key app="EN" db-id="r5f5xrrfzavsr7easp0pz0v5xxsaspratxsv" timestamp="1594734180" guid="5e249f07-7f7d-4d4d-b7a7-821a4114ac01"&gt;466&lt;/key&gt;&lt;key app="ENWeb" db-id=""&gt;0&lt;/key&gt;&lt;/foreign-keys&gt;&lt;ref-type name="Conference Paper"&gt;47&lt;/ref-type&gt;&lt;contributors&gt;&lt;authors&gt;&lt;author&gt;Bedwell, Pete&lt;/author&gt;&lt;author&gt;Wellings, Joseph&lt;/author&gt;&lt;author&gt;Haywood, Stephanie M.&lt;/author&gt;&lt;author&gt;Hort, M.&lt;/author&gt;&lt;/authors&gt;&lt;secondary-authors&gt;&lt;author&gt;Albergel, A.&lt;/author&gt;&lt;/secondary-authors&gt;&lt;/contributors&gt;&lt;titles&gt;&lt;title&gt;Cloud gamma modelling in the UK Met Office&amp;apos;s NAME III model&lt;/title&gt;&lt;secondary-title&gt;13th International Conference on Harmonisation within Atmospheric Dispersion Modelling for Regulatory Purposes&lt;/secondary-title&gt;&lt;/titles&gt;&lt;dates&gt;&lt;year&gt;2010&lt;/year&gt;&lt;/dates&gt;&lt;pub-location&gt;Paris (France)&lt;/pub-location&gt;&lt;publisher&gt;ARIA Technologies&lt;/publisher&gt;&lt;urls&gt;&lt;/urls&gt;&lt;/record&gt;&lt;/Cite&gt;&lt;/EndNote&gt;</w:instrText>
      </w:r>
      <w:r>
        <w:fldChar w:fldCharType="separate"/>
      </w:r>
      <w:r>
        <w:rPr>
          <w:noProof/>
        </w:rPr>
        <w:t>(Bedwell et al, 2010)</w:t>
      </w:r>
      <w:r>
        <w:fldChar w:fldCharType="end"/>
      </w:r>
      <w:r w:rsidRPr="00E507B8">
        <w:t>.</w:t>
      </w:r>
      <w:r>
        <w:t xml:space="preserve"> </w:t>
      </w:r>
      <w:r w:rsidRPr="00354C6F">
        <w:t>NAME version 6.5 was applied in this study.</w:t>
      </w:r>
    </w:p>
    <w:p w14:paraId="64526D9B" w14:textId="77777777" w:rsidR="00257419" w:rsidRDefault="00257419" w:rsidP="00257419">
      <w:pPr>
        <w:pStyle w:val="Heading4"/>
      </w:pPr>
      <w:bookmarkStart w:id="95" w:name="_Ref52544062"/>
      <w:bookmarkStart w:id="96" w:name="_Toc79679431"/>
      <w:bookmarkStart w:id="97" w:name="_Toc89966385"/>
      <w:r>
        <w:t>Meteorological data</w:t>
      </w:r>
      <w:bookmarkEnd w:id="95"/>
      <w:bookmarkEnd w:id="96"/>
      <w:bookmarkEnd w:id="97"/>
    </w:p>
    <w:p w14:paraId="4943B47E" w14:textId="196FAE08" w:rsidR="00257419" w:rsidRDefault="00257419" w:rsidP="00257419">
      <w:pPr>
        <w:pStyle w:val="BodyText"/>
        <w:jc w:val="both"/>
        <w:rPr>
          <w:rFonts w:ascii="Arial" w:hAnsi="Arial" w:cs="Arial"/>
        </w:rPr>
      </w:pPr>
      <w:r>
        <w:t xml:space="preserve">The Met Office’s Unified Model (UM) is a Numerical Weather Prediction (NWP) meteorological model which is used for both weather prediction and long term climate modelling  </w:t>
      </w:r>
      <w:r>
        <w:fldChar w:fldCharType="begin">
          <w:fldData xml:space="preserve">PEVuZE5vdGU+PENpdGU+PEF1dGhvcj5TdGFuaWZvcnRoPC9BdXRob3I+PFllYXI+MjAwODwvWWVh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</w:fldData>
        </w:fldChar>
      </w:r>
      <w:r w:rsidR="00645742">
        <w:instrText xml:space="preserve"> ADDIN EN.CITE </w:instrText>
      </w:r>
      <w:r w:rsidR="00645742">
        <w:fldChar w:fldCharType="begin">
          <w:fldData xml:space="preserve">PEVuZE5vdGU+PENpdGU+PEF1dGhvcj5TdGFuaWZvcnRoPC9BdXRob3I+PFllYXI+MjAwODwvWWVh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</w:fldData>
        </w:fldChar>
      </w:r>
      <w:r w:rsidR="00645742">
        <w:instrText xml:space="preserve"> ADDIN EN.CITE.DATA </w:instrText>
      </w:r>
      <w:r w:rsidR="00645742">
        <w:fldChar w:fldCharType="end"/>
      </w:r>
      <w:r>
        <w:fldChar w:fldCharType="separate"/>
      </w:r>
      <w:r>
        <w:rPr>
          <w:noProof/>
        </w:rPr>
        <w:t>(Cullen, 1993; Staniforth and Wood, 2008)</w:t>
      </w:r>
      <w:r>
        <w:fldChar w:fldCharType="end"/>
      </w:r>
      <w:r>
        <w:t xml:space="preserve">. </w:t>
      </w:r>
      <w:r>
        <w:rPr>
          <w:rFonts w:ascii="Arial" w:hAnsi="Arial" w:cs="Arial"/>
        </w:rPr>
        <w:t>The meteorological data obtained from Met Office was</w:t>
      </w:r>
      <w:r w:rsidRPr="007924A6">
        <w:t xml:space="preserve"> </w:t>
      </w:r>
      <w:r w:rsidRPr="007924A6">
        <w:rPr>
          <w:rFonts w:ascii="Arial" w:hAnsi="Arial" w:cs="Arial"/>
        </w:rPr>
        <w:t>analysis data taken from the U</w:t>
      </w:r>
      <w:r>
        <w:rPr>
          <w:rFonts w:ascii="Arial" w:hAnsi="Arial" w:cs="Arial"/>
        </w:rPr>
        <w:t xml:space="preserve">nified </w:t>
      </w:r>
      <w:r w:rsidRPr="007924A6">
        <w:rPr>
          <w:rFonts w:ascii="Arial" w:hAnsi="Arial" w:cs="Arial"/>
        </w:rPr>
        <w:t>M</w:t>
      </w:r>
      <w:r>
        <w:rPr>
          <w:rFonts w:ascii="Arial" w:hAnsi="Arial" w:cs="Arial"/>
        </w:rPr>
        <w:t>odel</w:t>
      </w:r>
      <w:r w:rsidRPr="007924A6">
        <w:rPr>
          <w:rFonts w:ascii="Arial" w:hAnsi="Arial" w:cs="Arial"/>
        </w:rPr>
        <w:t xml:space="preserve"> run in </w:t>
      </w:r>
      <w:r>
        <w:rPr>
          <w:rFonts w:ascii="Arial" w:hAnsi="Arial" w:cs="Arial"/>
        </w:rPr>
        <w:t>the UKV configuration</w:t>
      </w:r>
      <w:r w:rsidRPr="007924A6">
        <w:rPr>
          <w:rFonts w:ascii="Arial" w:hAnsi="Arial" w:cs="Arial"/>
        </w:rPr>
        <w:t>. Th</w:t>
      </w:r>
      <w:r>
        <w:rPr>
          <w:rFonts w:ascii="Arial" w:hAnsi="Arial" w:cs="Arial"/>
        </w:rPr>
        <w:t>e UKV</w:t>
      </w:r>
      <w:r w:rsidRPr="007924A6">
        <w:rPr>
          <w:rFonts w:ascii="Arial" w:hAnsi="Arial" w:cs="Arial"/>
        </w:rPr>
        <w:t xml:space="preserve"> meteorological data has a horizontal resolution of approximately 1</w:t>
      </w:r>
      <w:r>
        <w:rPr>
          <w:rFonts w:ascii="Arial" w:hAnsi="Arial" w:cs="Arial"/>
        </w:rPr>
        <w:t xml:space="preserve">.5 </w:t>
      </w:r>
      <w:r w:rsidRPr="007924A6">
        <w:rPr>
          <w:rFonts w:ascii="Arial" w:hAnsi="Arial" w:cs="Arial"/>
        </w:rPr>
        <w:t>km by 1</w:t>
      </w:r>
      <w:r>
        <w:rPr>
          <w:rFonts w:ascii="Arial" w:hAnsi="Arial" w:cs="Arial"/>
        </w:rPr>
        <w:t>.5</w:t>
      </w:r>
      <w:r w:rsidRPr="007924A6">
        <w:rPr>
          <w:rFonts w:ascii="Arial" w:hAnsi="Arial" w:cs="Arial"/>
        </w:rPr>
        <w:t xml:space="preserve"> km</w:t>
      </w:r>
      <w:r>
        <w:rPr>
          <w:rFonts w:ascii="Arial" w:hAnsi="Arial" w:cs="Arial"/>
        </w:rPr>
        <w:t xml:space="preserve">. The total </w:t>
      </w:r>
      <w:r w:rsidRPr="007924A6">
        <w:rPr>
          <w:rFonts w:ascii="Arial" w:hAnsi="Arial" w:cs="Arial"/>
        </w:rPr>
        <w:t>spatial extent</w:t>
      </w:r>
      <w:r>
        <w:rPr>
          <w:rFonts w:ascii="Arial" w:hAnsi="Arial" w:cs="Arial"/>
        </w:rPr>
        <w:t xml:space="preserve"> of the UKV meteorological data</w:t>
      </w:r>
      <w:r w:rsidRPr="007924A6">
        <w:rPr>
          <w:rFonts w:ascii="Arial" w:hAnsi="Arial" w:cs="Arial"/>
        </w:rPr>
        <w:t xml:space="preserve"> cover</w:t>
      </w:r>
      <w:r>
        <w:rPr>
          <w:rFonts w:ascii="Arial" w:hAnsi="Arial" w:cs="Arial"/>
        </w:rPr>
        <w:t>s</w:t>
      </w:r>
      <w:r w:rsidRPr="007924A6">
        <w:rPr>
          <w:rFonts w:ascii="Arial" w:hAnsi="Arial" w:cs="Arial"/>
        </w:rPr>
        <w:t xml:space="preserve"> </w:t>
      </w:r>
      <w:r>
        <w:rPr>
          <w:rFonts w:ascii="Arial" w:hAnsi="Arial" w:cs="Arial"/>
        </w:rPr>
        <w:t>the</w:t>
      </w:r>
      <w:r w:rsidRPr="007924A6">
        <w:rPr>
          <w:rFonts w:ascii="Arial" w:hAnsi="Arial" w:cs="Arial"/>
        </w:rPr>
        <w:t xml:space="preserve"> UK, Ireland and </w:t>
      </w:r>
      <w:r>
        <w:rPr>
          <w:rFonts w:ascii="Arial" w:hAnsi="Arial" w:cs="Arial"/>
        </w:rPr>
        <w:t xml:space="preserve">small portions of neighbouring countries; however, the present study used geographical cut-outs of more limited extent, as appropriate for each of the six sites. Accounting </w:t>
      </w:r>
      <w:r w:rsidR="002351C1">
        <w:rPr>
          <w:rFonts w:ascii="Arial" w:hAnsi="Arial" w:cs="Arial"/>
        </w:rPr>
        <w:t xml:space="preserve">for </w:t>
      </w:r>
      <w:r>
        <w:rPr>
          <w:rFonts w:ascii="Arial" w:hAnsi="Arial" w:cs="Arial"/>
        </w:rPr>
        <w:t>the effects of terrain and surface roughness is implicit in the NWP data.</w:t>
      </w:r>
    </w:p>
    <w:p w14:paraId="45700FCD" w14:textId="38251635" w:rsidR="00257419" w:rsidRDefault="00257419" w:rsidP="00257419">
      <w:pPr>
        <w:pStyle w:val="Heading4"/>
      </w:pPr>
      <w:bookmarkStart w:id="98" w:name="_Ref58773730"/>
      <w:bookmarkStart w:id="99" w:name="_Toc79679432"/>
      <w:bookmarkStart w:id="100" w:name="_Toc89966386"/>
      <w:r>
        <w:t>Run</w:t>
      </w:r>
      <w:r w:rsidR="001B01B9">
        <w:t xml:space="preserve"> </w:t>
      </w:r>
      <w:r>
        <w:t>set-up</w:t>
      </w:r>
      <w:bookmarkEnd w:id="98"/>
      <w:bookmarkEnd w:id="99"/>
      <w:bookmarkEnd w:id="100"/>
    </w:p>
    <w:p w14:paraId="771B16FE" w14:textId="3D0C6CDA" w:rsidR="00257419" w:rsidRDefault="00257419" w:rsidP="00257419">
      <w:pPr>
        <w:pStyle w:val="BodyTextEND"/>
        <w:spacing w:after="240"/>
        <w:jc w:val="both"/>
      </w:pPr>
      <w:r w:rsidRPr="008C73AC">
        <w:t xml:space="preserve">The dispersion scenarios considered in this study were derived using </w:t>
      </w:r>
      <w:r>
        <w:t>three full years of meteorological data covering the period 2018</w:t>
      </w:r>
      <w:r w:rsidRPr="008C73AC">
        <w:t xml:space="preserve"> to 20</w:t>
      </w:r>
      <w:r>
        <w:t>20</w:t>
      </w:r>
      <w:r w:rsidRPr="008C73AC">
        <w:t>.</w:t>
      </w:r>
      <w:r w:rsidR="00D60C61" w:rsidRPr="00D60C61">
        <w:rPr>
          <w:rFonts w:ascii="Arial" w:hAnsi="Arial" w:cs="Arial"/>
        </w:rPr>
        <w:t xml:space="preserve"> </w:t>
      </w:r>
      <w:r w:rsidR="00D60C61">
        <w:rPr>
          <w:rFonts w:ascii="Arial" w:hAnsi="Arial" w:cs="Arial"/>
        </w:rPr>
        <w:t xml:space="preserve">A large number of meteorological sequences were sampled over that period. In general, sampling a larger number of met sequences gives greater statistical accuracy; however, it was necessary to balance that with the need for manageable run-times. The balance was different for the different source terms, in particular because of the differences in release durations. That meant that different sampling parameters had to be used in runs that used different source terms. In the case of runs using the LBL source term, </w:t>
      </w:r>
      <w:r w:rsidR="00D60C61" w:rsidRPr="009B2AB6">
        <w:rPr>
          <w:rFonts w:ascii="Arial" w:hAnsi="Arial" w:cs="Arial"/>
        </w:rPr>
        <w:t>152 different meteorological sequences were sampled</w:t>
      </w:r>
      <w:r w:rsidR="00D60C61">
        <w:rPr>
          <w:rFonts w:ascii="Arial" w:hAnsi="Arial" w:cs="Arial"/>
        </w:rPr>
        <w:t>, with e</w:t>
      </w:r>
      <w:r w:rsidR="00D60C61" w:rsidRPr="009B2AB6">
        <w:rPr>
          <w:rFonts w:ascii="Arial" w:hAnsi="Arial" w:cs="Arial"/>
        </w:rPr>
        <w:t>ach meteorological sequence ha</w:t>
      </w:r>
      <w:r w:rsidR="00D60C61">
        <w:rPr>
          <w:rFonts w:ascii="Arial" w:hAnsi="Arial" w:cs="Arial"/>
        </w:rPr>
        <w:t>ving</w:t>
      </w:r>
      <w:r w:rsidR="00D60C61" w:rsidRPr="009B2AB6">
        <w:rPr>
          <w:rFonts w:ascii="Arial" w:hAnsi="Arial" w:cs="Arial"/>
        </w:rPr>
        <w:t xml:space="preserve"> a duration of 732 hours and a start-time that was 168 hours later than the start-time of the previous sequence. This resulted in 152 overlapping met sequences equally distributed over the full three-year period.</w:t>
      </w:r>
      <w:r w:rsidR="00D60C61">
        <w:rPr>
          <w:rFonts w:ascii="Arial" w:hAnsi="Arial" w:cs="Arial"/>
        </w:rPr>
        <w:t xml:space="preserve"> The Fuel Handling source term runs sampled </w:t>
      </w:r>
      <w:r w:rsidR="00D60C61" w:rsidRPr="009B2AB6">
        <w:rPr>
          <w:rFonts w:ascii="Arial" w:hAnsi="Arial" w:cs="Arial"/>
        </w:rPr>
        <w:t xml:space="preserve">162 </w:t>
      </w:r>
      <w:r w:rsidR="00D60C61">
        <w:rPr>
          <w:rFonts w:ascii="Arial" w:hAnsi="Arial" w:cs="Arial"/>
        </w:rPr>
        <w:t>m</w:t>
      </w:r>
      <w:r w:rsidR="00D60C61" w:rsidRPr="009B2AB6">
        <w:rPr>
          <w:rFonts w:ascii="Arial" w:hAnsi="Arial" w:cs="Arial"/>
        </w:rPr>
        <w:t>et</w:t>
      </w:r>
      <w:r w:rsidR="00D60C61">
        <w:rPr>
          <w:rFonts w:ascii="Arial" w:hAnsi="Arial" w:cs="Arial"/>
        </w:rPr>
        <w:t xml:space="preserve"> </w:t>
      </w:r>
      <w:r w:rsidR="00D60C61" w:rsidRPr="009B2AB6">
        <w:rPr>
          <w:rFonts w:ascii="Arial" w:hAnsi="Arial" w:cs="Arial"/>
        </w:rPr>
        <w:t>sequences</w:t>
      </w:r>
      <w:r w:rsidR="00D60C61">
        <w:rPr>
          <w:rFonts w:ascii="Arial" w:hAnsi="Arial" w:cs="Arial"/>
        </w:rPr>
        <w:t xml:space="preserve"> of 54 hours </w:t>
      </w:r>
      <w:r w:rsidR="00D60C61" w:rsidRPr="009B2AB6">
        <w:rPr>
          <w:rFonts w:ascii="Arial" w:hAnsi="Arial" w:cs="Arial"/>
        </w:rPr>
        <w:t xml:space="preserve">duration </w:t>
      </w:r>
      <w:r w:rsidR="00D60C61">
        <w:rPr>
          <w:rFonts w:ascii="Arial" w:hAnsi="Arial" w:cs="Arial"/>
        </w:rPr>
        <w:t xml:space="preserve">with a gap between </w:t>
      </w:r>
      <w:r w:rsidR="00D60C61" w:rsidRPr="009B2AB6">
        <w:rPr>
          <w:rFonts w:ascii="Arial" w:hAnsi="Arial" w:cs="Arial"/>
        </w:rPr>
        <w:t>start-time</w:t>
      </w:r>
      <w:r w:rsidR="00D60C61">
        <w:rPr>
          <w:rFonts w:ascii="Arial" w:hAnsi="Arial" w:cs="Arial"/>
        </w:rPr>
        <w:t>s of 163</w:t>
      </w:r>
      <w:r w:rsidR="00D60C61" w:rsidRPr="009B2AB6">
        <w:rPr>
          <w:rFonts w:ascii="Arial" w:hAnsi="Arial" w:cs="Arial"/>
        </w:rPr>
        <w:t xml:space="preserve"> hours</w:t>
      </w:r>
      <w:r w:rsidR="00D60C61">
        <w:rPr>
          <w:rFonts w:ascii="Arial" w:hAnsi="Arial" w:cs="Arial"/>
        </w:rPr>
        <w:t xml:space="preserve">. The </w:t>
      </w:r>
      <w:r w:rsidR="00D60C61" w:rsidRPr="009B2AB6">
        <w:rPr>
          <w:rFonts w:ascii="Arial" w:hAnsi="Arial" w:cs="Arial"/>
        </w:rPr>
        <w:t xml:space="preserve">Steam Generator Tube Rupture </w:t>
      </w:r>
      <w:r w:rsidR="00D60C61">
        <w:rPr>
          <w:rFonts w:ascii="Arial" w:hAnsi="Arial" w:cs="Arial"/>
        </w:rPr>
        <w:t xml:space="preserve">source term runs sampled </w:t>
      </w:r>
      <w:r w:rsidR="00D60C61" w:rsidRPr="009B2AB6">
        <w:rPr>
          <w:rFonts w:ascii="Arial" w:hAnsi="Arial" w:cs="Arial"/>
        </w:rPr>
        <w:t xml:space="preserve">571 </w:t>
      </w:r>
      <w:r w:rsidR="00D60C61">
        <w:rPr>
          <w:rFonts w:ascii="Arial" w:hAnsi="Arial" w:cs="Arial"/>
        </w:rPr>
        <w:t>m</w:t>
      </w:r>
      <w:r w:rsidR="00D60C61" w:rsidRPr="009B2AB6">
        <w:rPr>
          <w:rFonts w:ascii="Arial" w:hAnsi="Arial" w:cs="Arial"/>
        </w:rPr>
        <w:t>et</w:t>
      </w:r>
      <w:r w:rsidR="00D60C61">
        <w:rPr>
          <w:rFonts w:ascii="Arial" w:hAnsi="Arial" w:cs="Arial"/>
        </w:rPr>
        <w:t xml:space="preserve"> </w:t>
      </w:r>
      <w:r w:rsidR="00D60C61" w:rsidRPr="009B2AB6">
        <w:rPr>
          <w:rFonts w:ascii="Arial" w:hAnsi="Arial" w:cs="Arial"/>
        </w:rPr>
        <w:t>sequences</w:t>
      </w:r>
      <w:r w:rsidR="00D60C61">
        <w:rPr>
          <w:rFonts w:ascii="Arial" w:hAnsi="Arial" w:cs="Arial"/>
        </w:rPr>
        <w:t xml:space="preserve"> of 54 hours </w:t>
      </w:r>
      <w:r w:rsidR="00D60C61" w:rsidRPr="009B2AB6">
        <w:rPr>
          <w:rFonts w:ascii="Arial" w:hAnsi="Arial" w:cs="Arial"/>
        </w:rPr>
        <w:t xml:space="preserve">duration </w:t>
      </w:r>
      <w:r w:rsidR="00D60C61">
        <w:rPr>
          <w:rFonts w:ascii="Arial" w:hAnsi="Arial" w:cs="Arial"/>
        </w:rPr>
        <w:t xml:space="preserve">with a gap between </w:t>
      </w:r>
      <w:r w:rsidR="00D60C61" w:rsidRPr="009B2AB6">
        <w:rPr>
          <w:rFonts w:ascii="Arial" w:hAnsi="Arial" w:cs="Arial"/>
        </w:rPr>
        <w:t>start-time</w:t>
      </w:r>
      <w:r w:rsidR="00D60C61">
        <w:rPr>
          <w:rFonts w:ascii="Arial" w:hAnsi="Arial" w:cs="Arial"/>
        </w:rPr>
        <w:t>s of 46</w:t>
      </w:r>
      <w:r w:rsidR="00D60C61" w:rsidRPr="009B2AB6">
        <w:rPr>
          <w:rFonts w:ascii="Arial" w:hAnsi="Arial" w:cs="Arial"/>
        </w:rPr>
        <w:t xml:space="preserve"> hours.</w:t>
      </w:r>
      <w:r w:rsidR="00D60C61">
        <w:rPr>
          <w:rFonts w:ascii="Arial" w:hAnsi="Arial" w:cs="Arial"/>
        </w:rPr>
        <w:t xml:space="preserve"> The </w:t>
      </w:r>
      <w:r w:rsidR="00D60C61" w:rsidRPr="009B2AB6">
        <w:rPr>
          <w:rFonts w:ascii="Arial" w:hAnsi="Arial" w:cs="Arial"/>
        </w:rPr>
        <w:t>RCCA Ejection</w:t>
      </w:r>
      <w:r w:rsidR="00D60C61">
        <w:rPr>
          <w:rFonts w:ascii="Arial" w:hAnsi="Arial" w:cs="Arial"/>
        </w:rPr>
        <w:t xml:space="preserve"> source term runs sampled </w:t>
      </w:r>
      <w:r w:rsidR="00D60C61" w:rsidRPr="009B2AB6">
        <w:rPr>
          <w:rFonts w:ascii="Arial" w:hAnsi="Arial" w:cs="Arial"/>
        </w:rPr>
        <w:t xml:space="preserve">152 </w:t>
      </w:r>
      <w:r w:rsidR="00D60C61">
        <w:rPr>
          <w:rFonts w:ascii="Arial" w:hAnsi="Arial" w:cs="Arial"/>
        </w:rPr>
        <w:t>m</w:t>
      </w:r>
      <w:r w:rsidR="00D60C61" w:rsidRPr="009B2AB6">
        <w:rPr>
          <w:rFonts w:ascii="Arial" w:hAnsi="Arial" w:cs="Arial"/>
        </w:rPr>
        <w:t>et</w:t>
      </w:r>
      <w:r w:rsidR="00D60C61">
        <w:rPr>
          <w:rFonts w:ascii="Arial" w:hAnsi="Arial" w:cs="Arial"/>
        </w:rPr>
        <w:t xml:space="preserve"> </w:t>
      </w:r>
      <w:r w:rsidR="00D60C61" w:rsidRPr="009B2AB6">
        <w:rPr>
          <w:rFonts w:ascii="Arial" w:hAnsi="Arial" w:cs="Arial"/>
        </w:rPr>
        <w:t>sequences</w:t>
      </w:r>
      <w:r w:rsidR="00D60C61">
        <w:rPr>
          <w:rFonts w:ascii="Arial" w:hAnsi="Arial" w:cs="Arial"/>
        </w:rPr>
        <w:t xml:space="preserve"> of 732 hours </w:t>
      </w:r>
      <w:r w:rsidR="00D60C61" w:rsidRPr="009B2AB6">
        <w:rPr>
          <w:rFonts w:ascii="Arial" w:hAnsi="Arial" w:cs="Arial"/>
        </w:rPr>
        <w:t xml:space="preserve">duration </w:t>
      </w:r>
      <w:r w:rsidR="00D60C61">
        <w:rPr>
          <w:rFonts w:ascii="Arial" w:hAnsi="Arial" w:cs="Arial"/>
        </w:rPr>
        <w:t xml:space="preserve">with a gap between </w:t>
      </w:r>
      <w:r w:rsidR="00D60C61" w:rsidRPr="009B2AB6">
        <w:rPr>
          <w:rFonts w:ascii="Arial" w:hAnsi="Arial" w:cs="Arial"/>
        </w:rPr>
        <w:t>start-time</w:t>
      </w:r>
      <w:r w:rsidR="00D60C61">
        <w:rPr>
          <w:rFonts w:ascii="Arial" w:hAnsi="Arial" w:cs="Arial"/>
        </w:rPr>
        <w:t>s of 168</w:t>
      </w:r>
      <w:r w:rsidR="00D60C61" w:rsidRPr="009B2AB6">
        <w:rPr>
          <w:rFonts w:ascii="Arial" w:hAnsi="Arial" w:cs="Arial"/>
        </w:rPr>
        <w:t xml:space="preserve"> hours.</w:t>
      </w:r>
      <w:r w:rsidR="00D60C61">
        <w:rPr>
          <w:rFonts w:ascii="Arial" w:hAnsi="Arial" w:cs="Arial"/>
        </w:rPr>
        <w:t xml:space="preserve"> In all cases, o</w:t>
      </w:r>
      <w:r w:rsidR="00D60C61" w:rsidRPr="009B2AB6">
        <w:rPr>
          <w:rFonts w:ascii="Arial" w:hAnsi="Arial" w:cs="Arial"/>
        </w:rPr>
        <w:t>ne thousand model particles were released per hour modelled.</w:t>
      </w:r>
    </w:p>
    <w:p w14:paraId="654E0136" w14:textId="73AC8ACA" w:rsidR="00257419" w:rsidRDefault="00257419" w:rsidP="00257419">
      <w:pPr>
        <w:pStyle w:val="BodyText"/>
        <w:jc w:val="both"/>
      </w:pPr>
      <w:r>
        <w:t xml:space="preserve">When modelling wet deposition, the NAME model default </w:t>
      </w:r>
      <w:r w:rsidR="00234CFA">
        <w:t>input parameters</w:t>
      </w:r>
      <w:r>
        <w:t xml:space="preserve"> were assumed, specifically Washout Coefficient A rain – BC = 8.4 10</w:t>
      </w:r>
      <w:r w:rsidRPr="005A5231">
        <w:rPr>
          <w:vertAlign w:val="superscript"/>
        </w:rPr>
        <w:t>-5</w:t>
      </w:r>
      <w:r>
        <w:t>, Washout Coefficient B rain – BC = 7.9 10</w:t>
      </w:r>
      <w:r w:rsidRPr="005A5231">
        <w:rPr>
          <w:vertAlign w:val="superscript"/>
        </w:rPr>
        <w:t>-1</w:t>
      </w:r>
      <w:r>
        <w:t>, Washout Coefficient A snow – BC = 8.0 10</w:t>
      </w:r>
      <w:r w:rsidRPr="005A5231">
        <w:rPr>
          <w:vertAlign w:val="superscript"/>
        </w:rPr>
        <w:t>-5</w:t>
      </w:r>
      <w:r>
        <w:t xml:space="preserve">, Washout Coefficient B </w:t>
      </w:r>
      <w:r w:rsidR="005030D8">
        <w:t xml:space="preserve">snow </w:t>
      </w:r>
      <w:r>
        <w:t>– BC = 3.05 10</w:t>
      </w:r>
      <w:r w:rsidRPr="005A5231">
        <w:rPr>
          <w:vertAlign w:val="superscript"/>
        </w:rPr>
        <w:t>-1</w:t>
      </w:r>
      <w:r>
        <w:t>, Washout Coefficient A rain – IC = 3.36 10</w:t>
      </w:r>
      <w:r w:rsidRPr="005A5231">
        <w:rPr>
          <w:vertAlign w:val="superscript"/>
        </w:rPr>
        <w:t>-</w:t>
      </w:r>
      <w:r>
        <w:rPr>
          <w:vertAlign w:val="superscript"/>
        </w:rPr>
        <w:t>4</w:t>
      </w:r>
      <w:r>
        <w:t>, Washout Coefficient B rain – IC = 7.9 10</w:t>
      </w:r>
      <w:r w:rsidRPr="005A5231">
        <w:rPr>
          <w:vertAlign w:val="superscript"/>
        </w:rPr>
        <w:t>-1</w:t>
      </w:r>
      <w:r>
        <w:t>, Washout Coefficient A snow – IC = 5.2 10</w:t>
      </w:r>
      <w:r w:rsidRPr="005A5231">
        <w:rPr>
          <w:vertAlign w:val="superscript"/>
        </w:rPr>
        <w:t>-5</w:t>
      </w:r>
      <w:r>
        <w:t xml:space="preserve">, and Washout Coefficient B </w:t>
      </w:r>
      <w:r w:rsidR="005030D8">
        <w:t xml:space="preserve">snow </w:t>
      </w:r>
      <w:r>
        <w:t>– IC = 7.9 10</w:t>
      </w:r>
      <w:r w:rsidRPr="005A5231">
        <w:rPr>
          <w:vertAlign w:val="superscript"/>
        </w:rPr>
        <w:t>-1</w:t>
      </w:r>
      <w:r>
        <w:t>. “BC” represents “below cloud” and “IC” represents “in cloud”. These assumptions applied to all radionuclides barring noble gases. Noble gases do not wet deposit, and therefore all washout coefficients were assumed to be 0.</w:t>
      </w:r>
    </w:p>
    <w:p w14:paraId="7C916708" w14:textId="77777777" w:rsidR="00257419" w:rsidRDefault="00257419" w:rsidP="00257419">
      <w:pPr>
        <w:pStyle w:val="Heading4"/>
      </w:pPr>
      <w:bookmarkStart w:id="101" w:name="_Toc79679433"/>
      <w:bookmarkStart w:id="102" w:name="_Ref81401085"/>
      <w:bookmarkStart w:id="103" w:name="_Toc89966387"/>
      <w:r>
        <w:t>PACE Analysis</w:t>
      </w:r>
      <w:bookmarkEnd w:id="101"/>
      <w:bookmarkEnd w:id="102"/>
      <w:bookmarkEnd w:id="103"/>
    </w:p>
    <w:p w14:paraId="712A85C1" w14:textId="5EBEC88A" w:rsidR="00257419" w:rsidRPr="002273DE" w:rsidRDefault="00257419" w:rsidP="00257419">
      <w:pPr>
        <w:pStyle w:val="BodyText"/>
        <w:jc w:val="both"/>
      </w:pPr>
      <w:r w:rsidRPr="00241D59">
        <w:t xml:space="preserve">After </w:t>
      </w:r>
      <w:r>
        <w:t xml:space="preserve">completing </w:t>
      </w:r>
      <w:r w:rsidRPr="00241D59">
        <w:t xml:space="preserve">the PACE modelling stage, the </w:t>
      </w:r>
      <w:r w:rsidRPr="00241D59">
        <w:rPr>
          <w:i/>
          <w:iCs/>
        </w:rPr>
        <w:t>PACE Analyse Results</w:t>
      </w:r>
      <w:r w:rsidRPr="00241D59">
        <w:t xml:space="preserve"> tool </w:t>
      </w:r>
      <w:r>
        <w:t>was</w:t>
      </w:r>
      <w:r w:rsidRPr="00241D59">
        <w:t xml:space="preserve"> used to produce a statistical analysis. The tool aggregates data extracted from each met</w:t>
      </w:r>
      <w:r>
        <w:t>eorological</w:t>
      </w:r>
      <w:r w:rsidRPr="00241D59">
        <w:t xml:space="preserve"> sequence to calculate the endpoint in each grid square. It then summarises the endpoint across the whole grid to generate a single value for each met</w:t>
      </w:r>
      <w:r>
        <w:t>eorological</w:t>
      </w:r>
      <w:r w:rsidRPr="00241D59">
        <w:t xml:space="preserve"> sequence. Finally, from this set of values, the tool </w:t>
      </w:r>
      <w:r>
        <w:t>is able to calculate</w:t>
      </w:r>
      <w:r w:rsidRPr="00241D59">
        <w:t xml:space="preserve"> </w:t>
      </w:r>
      <w:r>
        <w:t>mean</w:t>
      </w:r>
      <w:r w:rsidRPr="00241D59">
        <w:t xml:space="preserve">, maximum and minimum values as well as percentiles that indicate the likelihood of particular </w:t>
      </w:r>
      <w:r w:rsidR="000E2EA4">
        <w:t>(</w:t>
      </w:r>
      <w:r w:rsidRPr="00241D59">
        <w:t>overall</w:t>
      </w:r>
      <w:r w:rsidR="000E2EA4">
        <w:t>)</w:t>
      </w:r>
      <w:r w:rsidRPr="00241D59">
        <w:t xml:space="preserve"> outcomes.</w:t>
      </w:r>
    </w:p>
    <w:p w14:paraId="075A3407" w14:textId="74C90AE1" w:rsidR="00257419" w:rsidRDefault="00257419" w:rsidP="00257419">
      <w:pPr>
        <w:pStyle w:val="BodyText"/>
        <w:jc w:val="both"/>
      </w:pPr>
      <w:r w:rsidRPr="00241D59">
        <w:t xml:space="preserve">In the present study, statistical outputs </w:t>
      </w:r>
      <w:r>
        <w:t>were</w:t>
      </w:r>
      <w:r w:rsidRPr="00241D59">
        <w:t xml:space="preserve"> obtained by running over 152 met</w:t>
      </w:r>
      <w:r>
        <w:t>eorological</w:t>
      </w:r>
      <w:r w:rsidRPr="00241D59">
        <w:t xml:space="preserve"> sequences </w:t>
      </w:r>
      <w:r>
        <w:t>for the LBL source term (</w:t>
      </w:r>
      <w:r w:rsidRPr="00241D59">
        <w:t>using three years of met data</w:t>
      </w:r>
      <w:r>
        <w:t>)</w:t>
      </w:r>
      <w:r w:rsidRPr="00241D59">
        <w:t>. For each met</w:t>
      </w:r>
      <w:r>
        <w:t>eorological</w:t>
      </w:r>
      <w:r w:rsidRPr="00241D59">
        <w:t xml:space="preserve"> sequence, a set of endpoints </w:t>
      </w:r>
      <w:r>
        <w:t>were</w:t>
      </w:r>
      <w:r w:rsidRPr="00241D59">
        <w:t xml:space="preserve"> calculated. A statistical analysis of those results </w:t>
      </w:r>
      <w:r w:rsidR="00C2687B">
        <w:t>was</w:t>
      </w:r>
      <w:r w:rsidRPr="00241D59">
        <w:t xml:space="preserve"> carried out to determine mean, median, 95</w:t>
      </w:r>
      <w:r w:rsidRPr="00241D59">
        <w:rPr>
          <w:vertAlign w:val="superscript"/>
        </w:rPr>
        <w:t>th</w:t>
      </w:r>
      <w:r w:rsidRPr="00241D59">
        <w:t xml:space="preserve"> percentile, 97.5</w:t>
      </w:r>
      <w:r w:rsidRPr="00241D59">
        <w:rPr>
          <w:vertAlign w:val="superscript"/>
        </w:rPr>
        <w:t>th</w:t>
      </w:r>
      <w:r w:rsidRPr="00241D59">
        <w:t xml:space="preserve"> percentile and maximum </w:t>
      </w:r>
      <w:r w:rsidR="00830AC0">
        <w:t xml:space="preserve">values </w:t>
      </w:r>
      <w:r w:rsidRPr="00241D59">
        <w:t xml:space="preserve">for each model run. Note that where the relevant endpoint </w:t>
      </w:r>
      <w:r>
        <w:t>was</w:t>
      </w:r>
      <w:r w:rsidRPr="00241D59">
        <w:t xml:space="preserve"> maximum dose, this means that a single maximum dose value </w:t>
      </w:r>
      <w:r>
        <w:t>was</w:t>
      </w:r>
      <w:r w:rsidRPr="00241D59">
        <w:t xml:space="preserve"> identified for each met</w:t>
      </w:r>
      <w:r>
        <w:t>eorological</w:t>
      </w:r>
      <w:r w:rsidRPr="00241D59">
        <w:t xml:space="preserve"> sequence. That means 152 “maximum” values, one for each met sequence. </w:t>
      </w:r>
      <w:r>
        <w:t>S</w:t>
      </w:r>
      <w:r w:rsidRPr="00241D59">
        <w:t xml:space="preserve">tatistical analysis </w:t>
      </w:r>
      <w:r>
        <w:t>was</w:t>
      </w:r>
      <w:r w:rsidRPr="00241D59">
        <w:t xml:space="preserve"> then carried out on those 152 “maximum” values. When terms such as “mean”, “median”, etc, are applied to such endpoints, it must be remembered, that </w:t>
      </w:r>
      <w:r>
        <w:t xml:space="preserve">they are referring to the </w:t>
      </w:r>
      <w:r w:rsidRPr="00241D59">
        <w:t>mean, m</w:t>
      </w:r>
      <w:r>
        <w:t>edian</w:t>
      </w:r>
      <w:r w:rsidRPr="00241D59">
        <w:t xml:space="preserve">, etc, </w:t>
      </w:r>
      <w:r w:rsidRPr="00241D59">
        <w:rPr>
          <w:i/>
          <w:iCs/>
        </w:rPr>
        <w:t>of the 152 “maximum” values</w:t>
      </w:r>
      <w:r w:rsidRPr="00241D59">
        <w:t xml:space="preserve">. </w:t>
      </w:r>
      <w:r>
        <w:t xml:space="preserve">They are not referring to </w:t>
      </w:r>
      <w:r w:rsidRPr="00241D59">
        <w:t>the mean</w:t>
      </w:r>
      <w:r>
        <w:t xml:space="preserve">, median, etc, </w:t>
      </w:r>
      <w:r w:rsidRPr="00241D59">
        <w:t xml:space="preserve">of </w:t>
      </w:r>
      <w:r w:rsidRPr="00241D59">
        <w:rPr>
          <w:i/>
          <w:iCs/>
        </w:rPr>
        <w:t>all</w:t>
      </w:r>
      <w:r w:rsidRPr="00241D59">
        <w:t xml:space="preserve"> values. To make the meaning clear</w:t>
      </w:r>
      <w:r>
        <w:t>er</w:t>
      </w:r>
      <w:r w:rsidRPr="00241D59">
        <w:t>, terminology such as “mean maximum dose” may be used.</w:t>
      </w:r>
    </w:p>
    <w:p w14:paraId="2A8AAE36" w14:textId="36729DA4" w:rsidR="00257419" w:rsidRPr="005A5231" w:rsidRDefault="00631F1F" w:rsidP="000E2EA4">
      <w:pPr>
        <w:pStyle w:val="BodyTextEND"/>
        <w:jc w:val="both"/>
      </w:pPr>
      <w:r>
        <w:t xml:space="preserve">The same explanation applies to the runs carried out for the other source terms, except that the </w:t>
      </w:r>
      <w:r w:rsidR="00C417CA">
        <w:t xml:space="preserve">number of met sequences iterated over was different, depending on the requirements of the run. In the case of the Fuel Handling source term, 162 met sequences were iterated over, </w:t>
      </w:r>
      <w:r w:rsidR="005E676D">
        <w:t>for</w:t>
      </w:r>
      <w:r w:rsidR="00C417CA">
        <w:t xml:space="preserve"> the Steam Generator Tube Rupture source term, 571 met sequences were iterated over,</w:t>
      </w:r>
      <w:r w:rsidR="005E676D">
        <w:t xml:space="preserve"> and for</w:t>
      </w:r>
      <w:r w:rsidR="00C417CA">
        <w:t xml:space="preserve"> the RCCA Ejection source term, 152 met sequences were iterated over</w:t>
      </w:r>
      <w:r w:rsidR="005E676D">
        <w:t>.</w:t>
      </w:r>
    </w:p>
    <w:p w14:paraId="254A13E7" w14:textId="77777777" w:rsidR="00257419" w:rsidRDefault="00257419" w:rsidP="00257419">
      <w:pPr>
        <w:pStyle w:val="Heading3"/>
      </w:pPr>
      <w:bookmarkStart w:id="104" w:name="_Ref71115087"/>
      <w:bookmarkStart w:id="105" w:name="_Ref71115462"/>
      <w:bookmarkStart w:id="106" w:name="_Toc79679434"/>
      <w:bookmarkStart w:id="107" w:name="_Toc89966388"/>
      <w:r>
        <w:t>ADEPT in PACE Modelling</w:t>
      </w:r>
      <w:bookmarkEnd w:id="104"/>
      <w:bookmarkEnd w:id="105"/>
      <w:bookmarkEnd w:id="106"/>
      <w:bookmarkEnd w:id="107"/>
    </w:p>
    <w:p w14:paraId="25EA46EF" w14:textId="2EF0C123" w:rsidR="00257419" w:rsidRDefault="00257419" w:rsidP="00257419">
      <w:pPr>
        <w:pStyle w:val="BodyText"/>
        <w:jc w:val="both"/>
        <w:rPr>
          <w:rFonts w:cstheme="minorHAnsi"/>
        </w:rPr>
      </w:pPr>
      <w:r>
        <w:rPr>
          <w:rFonts w:cstheme="minorHAnsi"/>
        </w:rPr>
        <w:t xml:space="preserve">ADEPT </w:t>
      </w:r>
      <w:r w:rsidRPr="00E85786">
        <w:rPr>
          <w:rFonts w:cstheme="minorHAnsi"/>
        </w:rPr>
        <w:t>implements a Gaussian plume approach</w:t>
      </w:r>
      <w:r>
        <w:rPr>
          <w:rFonts w:cstheme="minorHAnsi"/>
        </w:rPr>
        <w:t xml:space="preserve"> </w:t>
      </w:r>
      <w:r>
        <w:rPr>
          <w:rFonts w:cstheme="minorHAnsi"/>
        </w:rPr>
        <w:fldChar w:fldCharType="begin"/>
      </w:r>
      <w:r w:rsidR="00645742">
        <w:rPr>
          <w:rFonts w:cstheme="minorHAnsi"/>
        </w:rPr>
        <w:instrText xml:space="preserve"> ADDIN EN.CITE &lt;EndNote&gt;&lt;Cite&gt;&lt;Author&gt;Clarke&lt;/Author&gt;&lt;Year&gt;1979&lt;/Year&gt;&lt;RecNum&gt;2846&lt;/RecNum&gt;&lt;DisplayText&gt;(Clarke, 1979)&lt;/DisplayText&gt;&lt;record&gt;&lt;rec-number&gt;2846&lt;/rec-number&gt;&lt;foreign-keys&gt;&lt;key app="EN" db-id="r5f5xrrfzavsr7easp0pz0v5xxsaspratxsv" timestamp="1594740739" guid="fb79d3a6-ac96-4653-bbba-9a4b9f4157df"&gt;2846&lt;/key&gt;&lt;key app="ENWeb" db-id=""&gt;0&lt;/key&gt;&lt;/foreign-keys&gt;&lt;ref-type name="Report"&gt;27&lt;/ref-type&gt;&lt;contributors&gt;&lt;authors&gt;&lt;author&gt;Clarke, Roger H.&lt;/author&gt;&lt;/authors&gt;&lt;tertiary-authors&gt;&lt;author&gt;National Radiological Protection Board,&lt;/author&gt;&lt;/tertiary-authors&gt;&lt;/contributors&gt;&lt;titles&gt;&lt;title&gt;The First Report of a Working Group on Atmospheric Dispersion: A Model for Short and Medium Range Dispersion of Radionuclides Released to the Atmosphere&lt;/title&gt;&lt;secondary-title&gt;NRPB R Series&lt;/secondary-title&gt;&lt;/titles&gt;&lt;volume&gt;NRPB-R91&lt;/volume&gt;&lt;number&gt;NRPB-R91&lt;/number&gt;&lt;keywords&gt;&lt;keyword&gt;Atmospheric Dispersion&lt;/keyword&gt;&lt;keyword&gt;ADMLC&lt;/keyword&gt;&lt;keyword&gt;R91&lt;/keyword&gt;&lt;/keywords&gt;&lt;dates&gt;&lt;year&gt;1979&lt;/year&gt;&lt;pub-dates&gt;&lt;date&gt;1979&lt;/date&gt;&lt;/pub-dates&gt;&lt;/dates&gt;&lt;pub-location&gt;Chilton (UK)&lt;/pub-location&gt;&lt;publisher&gt;National Radiological Protection Board&lt;/publisher&gt;&lt;isbn&gt;NRPB-R91&lt;/isbn&gt;&lt;label&gt;680&lt;/label&gt;&lt;urls&gt;&lt;/urls&gt;&lt;/record&gt;&lt;/Cite&gt;&lt;/EndNote&gt;</w:instrText>
      </w:r>
      <w:r>
        <w:rPr>
          <w:rFonts w:cstheme="minorHAnsi"/>
        </w:rPr>
        <w:fldChar w:fldCharType="separate"/>
      </w:r>
      <w:r>
        <w:rPr>
          <w:rFonts w:cstheme="minorHAnsi"/>
          <w:noProof/>
        </w:rPr>
        <w:t>(Clarke, 1979)</w:t>
      </w:r>
      <w:r>
        <w:rPr>
          <w:rFonts w:cstheme="minorHAnsi"/>
        </w:rPr>
        <w:fldChar w:fldCharType="end"/>
      </w:r>
      <w:r w:rsidRPr="00E85786">
        <w:rPr>
          <w:rFonts w:cstheme="minorHAnsi"/>
        </w:rPr>
        <w:t xml:space="preserve">. The approach assumes that the dispersion of material is described by a Gaussian distribution characterised by standard deviations in the horizontal (y axis) and vertical (z axis) directions (also known as the horizontal and vertical dispersion coefficients, respectively). The former accounts for both turbulent diffusion and a component due to fluctuations in wind direction. When the value of the </w:t>
      </w:r>
      <w:r>
        <w:rPr>
          <w:rFonts w:cstheme="minorHAnsi"/>
        </w:rPr>
        <w:t xml:space="preserve">latter </w:t>
      </w:r>
      <w:r w:rsidRPr="00E85786">
        <w:rPr>
          <w:rFonts w:cstheme="minorHAnsi"/>
        </w:rPr>
        <w:t xml:space="preserve">is less than the depth of the boundary layer, a term accounting for the reflections from the ground and inversion layer is considered. Conversely, when the value of the vertical dispersion coefficient becomes greater than the depth of the boundary layer, the vertical concentration distribution effectively becomes uniformly distributed through the mixing layer, and the formula is modified accordingly. Dry deposition is described by means of a source depletion model </w:t>
      </w:r>
      <w:r>
        <w:rPr>
          <w:rFonts w:cstheme="minorHAnsi"/>
        </w:rPr>
        <w:fldChar w:fldCharType="begin"/>
      </w:r>
      <w:r w:rsidR="00645742">
        <w:rPr>
          <w:rFonts w:cstheme="minorHAnsi"/>
        </w:rPr>
        <w:instrText xml:space="preserve"> ADDIN EN.CITE &lt;EndNote&gt;&lt;Cite&gt;&lt;Author&gt;Jones&lt;/Author&gt;&lt;Year&gt;1981&lt;/Year&gt;&lt;RecNum&gt;2843&lt;/RecNum&gt;&lt;DisplayText&gt;(Jones, 1981a)&lt;/DisplayText&gt;&lt;record&gt;&lt;rec-number&gt;2843&lt;/rec-number&gt;&lt;foreign-keys&gt;&lt;key app="EN" db-id="r5f5xrrfzavsr7easp0pz0v5xxsaspratxsv" timestamp="1594740727" guid="ce9a1360-e0fe-43d7-9a81-62ddf0d7d1d1"&gt;2843&lt;/key&gt;&lt;key app="ENWeb" db-id=""&gt;0&lt;/key&gt;&lt;/foreign-keys&gt;&lt;ref-type name="Report"&gt;27&lt;/ref-type&gt;&lt;contributors&gt;&lt;authors&gt;&lt;author&gt;Jones, J. Arthur&lt;/author&gt;&lt;/authors&gt;&lt;tertiary-authors&gt;&lt;author&gt;National Radiological Protection Board,&lt;/author&gt;&lt;/tertiary-authors&gt;&lt;/contributors&gt;&lt;titles&gt;&lt;title&gt;The Second Report of a Working Group on Atmospheric Dispersion: A Procedure to Include Deposition in the Model for Short and Medium Range Atmospheric Dispersion of Radionuclides&lt;/title&gt;&lt;secondary-title&gt;NRPB R Series&lt;/secondary-title&gt;&lt;/titles&gt;&lt;volume&gt;NRPB-R122&lt;/volume&gt;&lt;number&gt;NRPB-R122&lt;/number&gt;&lt;keywords&gt;&lt;keyword&gt;Atmospheric dispersion&lt;/keyword&gt;&lt;keyword&gt;ADMLC&lt;/keyword&gt;&lt;keyword&gt;deposition&lt;/keyword&gt;&lt;keyword&gt;R91&lt;/keyword&gt;&lt;/keywords&gt;&lt;dates&gt;&lt;year&gt;1981&lt;/year&gt;&lt;pub-dates&gt;&lt;date&gt;1981&lt;/date&gt;&lt;/pub-dates&gt;&lt;/dates&gt;&lt;pub-location&gt;Chilton (UK)&lt;/pub-location&gt;&lt;publisher&gt;National Radiological Protection Board&lt;/publisher&gt;&lt;isbn&gt;NRPB-R122&lt;/isbn&gt;&lt;label&gt;6098&lt;/label&gt;&lt;urls&gt;&lt;/urls&gt;&lt;/record&gt;&lt;/Cite&gt;&lt;/EndNote&gt;</w:instrText>
      </w:r>
      <w:r>
        <w:rPr>
          <w:rFonts w:cstheme="minorHAnsi"/>
        </w:rPr>
        <w:fldChar w:fldCharType="separate"/>
      </w:r>
      <w:r>
        <w:rPr>
          <w:rFonts w:cstheme="minorHAnsi"/>
          <w:noProof/>
        </w:rPr>
        <w:t>(Jones, 1981a)</w:t>
      </w:r>
      <w:r>
        <w:rPr>
          <w:rFonts w:cstheme="minorHAnsi"/>
        </w:rPr>
        <w:fldChar w:fldCharType="end"/>
      </w:r>
      <w:r>
        <w:rPr>
          <w:rFonts w:cstheme="minorHAnsi"/>
        </w:rPr>
        <w:t xml:space="preserve"> </w:t>
      </w:r>
      <w:r>
        <w:rPr>
          <w:rFonts w:cstheme="minorHAnsi"/>
        </w:rPr>
        <w:fldChar w:fldCharType="begin"/>
      </w:r>
      <w:r w:rsidR="00645742">
        <w:rPr>
          <w:rFonts w:cstheme="minorHAnsi"/>
        </w:rPr>
        <w:instrText xml:space="preserve"> ADDIN EN.CITE &lt;EndNote&gt;&lt;Cite&gt;&lt;Author&gt;Jones&lt;/Author&gt;&lt;Year&gt;1981&lt;/Year&gt;&lt;RecNum&gt;2845&lt;/RecNum&gt;&lt;DisplayText&gt;(Jones, 1981b)&lt;/DisplayText&gt;&lt;record&gt;&lt;rec-number&gt;2845&lt;/rec-number&gt;&lt;foreign-keys&gt;&lt;key app="EN" db-id="r5f5xrrfzavsr7easp0pz0v5xxsaspratxsv" timestamp="1594740736" guid="d2c07555-70b1-4e27-abe8-5e9f8c0e451b"&gt;2845&lt;/key&gt;&lt;key app="ENWeb" db-id=""&gt;0&lt;/key&gt;&lt;/foreign-keys&gt;&lt;ref-type name="Report"&gt;27&lt;/ref-type&gt;&lt;contributors&gt;&lt;authors&gt;&lt;author&gt;Jones, J. Arthur&lt;/author&gt;&lt;/authors&gt;&lt;tertiary-authors&gt;&lt;author&gt;National Radiological Protection Board,&lt;/author&gt;&lt;/tertiary-authors&gt;&lt;/contributors&gt;&lt;titles&gt;&lt;title&gt;The Third Report of a Working Group on Atmospheric Dispersion: The Estimation of Long Range Dispersion and Deposition of Continuous Releases of Radionuclides to Atmosphere&lt;/title&gt;&lt;secondary-title&gt;NRPB R Series&lt;/secondary-title&gt;&lt;/titles&gt;&lt;volume&gt;NRPB-R123&lt;/volume&gt;&lt;number&gt;NRPB-R123&lt;/number&gt;&lt;keywords&gt;&lt;keyword&gt;Atmospheric dispersion&lt;/keyword&gt;&lt;keyword&gt;ADMLC&lt;/keyword&gt;&lt;keyword&gt;R91&lt;/keyword&gt;&lt;/keywords&gt;&lt;dates&gt;&lt;year&gt;1981&lt;/year&gt;&lt;pub-dates&gt;&lt;date&gt;1981&lt;/date&gt;&lt;/pub-dates&gt;&lt;/dates&gt;&lt;pub-location&gt;Chilton (UK)&lt;/pub-location&gt;&lt;publisher&gt;National Radiological Protection Board&lt;/publisher&gt;&lt;isbn&gt;NRPB-R123&lt;/isbn&gt;&lt;label&gt;6108&lt;/label&gt;&lt;urls&gt;&lt;/urls&gt;&lt;/record&gt;&lt;/Cite&gt;&lt;/EndNote&gt;</w:instrText>
      </w:r>
      <w:r>
        <w:rPr>
          <w:rFonts w:cstheme="minorHAnsi"/>
        </w:rPr>
        <w:fldChar w:fldCharType="separate"/>
      </w:r>
      <w:r>
        <w:rPr>
          <w:rFonts w:cstheme="minorHAnsi"/>
          <w:noProof/>
        </w:rPr>
        <w:t>(Jones, 1981b)</w:t>
      </w:r>
      <w:r>
        <w:rPr>
          <w:rFonts w:cstheme="minorHAnsi"/>
        </w:rPr>
        <w:fldChar w:fldCharType="end"/>
      </w:r>
      <w:r>
        <w:rPr>
          <w:rFonts w:cstheme="minorHAnsi"/>
        </w:rPr>
        <w:t xml:space="preserve"> </w:t>
      </w:r>
      <w:r w:rsidRPr="00E85786">
        <w:rPr>
          <w:rFonts w:cstheme="minorHAnsi"/>
        </w:rPr>
        <w:t>and deposition velocities</w:t>
      </w:r>
      <w:r>
        <w:rPr>
          <w:rFonts w:cstheme="minorHAnsi"/>
        </w:rPr>
        <w:t xml:space="preserve"> </w:t>
      </w:r>
      <w:r>
        <w:rPr>
          <w:rFonts w:cstheme="minorHAnsi"/>
        </w:rPr>
        <w:fldChar w:fldCharType="begin"/>
      </w:r>
      <w:r w:rsidR="00645742">
        <w:rPr>
          <w:rFonts w:cstheme="minorHAnsi"/>
        </w:rPr>
        <w:instrText xml:space="preserve"> ADDIN EN.CITE &lt;EndNote&gt;&lt;Cite&gt;&lt;Author&gt;ADMLC&lt;/Author&gt;&lt;Year&gt;2000&lt;/Year&gt;&lt;RecNum&gt;2850&lt;/RecNum&gt;&lt;DisplayText&gt;(ADMLC, 2000)&lt;/DisplayText&gt;&lt;record&gt;&lt;rec-number&gt;2850&lt;/rec-number&gt;&lt;foreign-keys&gt;&lt;key app="EN" db-id="r5f5xrrfzavsr7easp0pz0v5xxsaspratxsv" timestamp="1594740775" guid="02bd8c04-faa6-44f1-bb35-25b8c21e7a64"&gt;2850&lt;/key&gt;&lt;key app="ENWeb" db-id=""&gt;0&lt;/key&gt;&lt;/foreign-keys&gt;&lt;ref-type name="Report"&gt;27&lt;/ref-type&gt;&lt;contributors&gt;&lt;authors&gt;&lt;author&gt;ADMLC&lt;/author&gt;&lt;/authors&gt;&lt;/contributors&gt;&lt;titles&gt;&lt;title&gt;Atmospheric Dispersion Modelling Liaison Committee. Annual Report 1997/1998&lt;/title&gt;&lt;secondary-title&gt;NRPB R Series&lt;/secondary-title&gt;&lt;/titles&gt;&lt;volume&gt;NRPB-R316&lt;/volume&gt;&lt;number&gt;NRPB-R316&lt;/number&gt;&lt;dates&gt;&lt;year&gt;2000&lt;/year&gt;&lt;pub-dates&gt;&lt;date&gt;2000&lt;/date&gt;&lt;/pub-dates&gt;&lt;/dates&gt;&lt;pub-location&gt;Chilton (UK)&lt;/pub-location&gt;&lt;publisher&gt;National Radiological Protection Board&lt;/publisher&gt;&lt;isbn&gt;NRPB-R316&lt;/isbn&gt;&lt;label&gt;6068&lt;/label&gt;&lt;urls&gt;&lt;/urls&gt;&lt;/record&gt;&lt;/Cite&gt;&lt;/EndNote&gt;</w:instrText>
      </w:r>
      <w:r>
        <w:rPr>
          <w:rFonts w:cstheme="minorHAnsi"/>
        </w:rPr>
        <w:fldChar w:fldCharType="separate"/>
      </w:r>
      <w:r>
        <w:rPr>
          <w:rFonts w:cstheme="minorHAnsi"/>
          <w:noProof/>
        </w:rPr>
        <w:t>(ADMLC, 2000)</w:t>
      </w:r>
      <w:r>
        <w:rPr>
          <w:rFonts w:cstheme="minorHAnsi"/>
        </w:rPr>
        <w:fldChar w:fldCharType="end"/>
      </w:r>
      <w:r>
        <w:rPr>
          <w:rFonts w:cstheme="minorHAnsi"/>
        </w:rPr>
        <w:t xml:space="preserve"> </w:t>
      </w:r>
      <w:r>
        <w:rPr>
          <w:rFonts w:cstheme="minorHAnsi"/>
        </w:rPr>
        <w:fldChar w:fldCharType="begin"/>
      </w:r>
      <w:r w:rsidR="00645742">
        <w:rPr>
          <w:rFonts w:cstheme="minorHAnsi"/>
        </w:rPr>
        <w:instrText xml:space="preserve"> ADDIN EN.CITE &lt;EndNote&gt;&lt;Cite&gt;&lt;Author&gt;Jones&lt;/Author&gt;&lt;Year&gt;1983&lt;/Year&gt;&lt;RecNum&gt;2844&lt;/RecNum&gt;&lt;DisplayText&gt;(Jones, 1983)&lt;/DisplayText&gt;&lt;record&gt;&lt;rec-number&gt;2844&lt;/rec-number&gt;&lt;foreign-keys&gt;&lt;key app="EN" db-id="r5f5xrrfzavsr7easp0pz0v5xxsaspratxsv" timestamp="1594740731" guid="d1932439-2dc4-4434-a9fa-f2ed1059951d"&gt;2844&lt;/key&gt;&lt;key app="ENWeb" db-id=""&gt;0&lt;/key&gt;&lt;/foreign-keys&gt;&lt;ref-type name="Report"&gt;27&lt;/ref-type&gt;&lt;contributors&gt;&lt;authors&gt;&lt;author&gt;Jones, J. Arthur&lt;/author&gt;&lt;/authors&gt;&lt;tertiary-authors&gt;&lt;author&gt;National Radiological Protection Board,&lt;/author&gt;&lt;/tertiary-authors&gt;&lt;/contributors&gt;&lt;titles&gt;&lt;title&gt;The Fifth Report of a Working Group on Atmospheric Dispersion: Models to Allow for the Effects of Coastal Sites, Plume Rise and Buildings on Dispersion of Radionuclides and Guidance on the Value of Deposition Velocity and Washout Coefficients&lt;/title&gt;&lt;secondary-title&gt;NRPB R Series&lt;/secondary-title&gt;&lt;/titles&gt;&lt;volume&gt;NRPB-R157&lt;/volume&gt;&lt;number&gt;NRPB-R157&lt;/number&gt;&lt;keywords&gt;&lt;keyword&gt;Atmospheric dispersion&lt;/keyword&gt;&lt;keyword&gt;ADMLC&lt;/keyword&gt;&lt;keyword&gt;Building wake&lt;/keyword&gt;&lt;keyword&gt;plume rise&lt;/keyword&gt;&lt;/keywords&gt;&lt;dates&gt;&lt;year&gt;1983&lt;/year&gt;&lt;pub-dates&gt;&lt;date&gt;1983&lt;/date&gt;&lt;/pub-dates&gt;&lt;/dates&gt;&lt;pub-location&gt;Chilton (UK)&lt;/pub-location&gt;&lt;publisher&gt;National Radiological Protection Board&lt;/publisher&gt;&lt;isbn&gt;NRPB-R157&lt;/isbn&gt;&lt;label&gt;6018&lt;/label&gt;&lt;urls&gt;&lt;/urls&gt;&lt;/record&gt;&lt;/Cite&gt;&lt;/EndNote&gt;</w:instrText>
      </w:r>
      <w:r>
        <w:rPr>
          <w:rFonts w:cstheme="minorHAnsi"/>
        </w:rPr>
        <w:fldChar w:fldCharType="separate"/>
      </w:r>
      <w:r>
        <w:rPr>
          <w:rFonts w:cstheme="minorHAnsi"/>
          <w:noProof/>
        </w:rPr>
        <w:t>(Jones, 1983)</w:t>
      </w:r>
      <w:r>
        <w:rPr>
          <w:rFonts w:cstheme="minorHAnsi"/>
        </w:rPr>
        <w:fldChar w:fldCharType="end"/>
      </w:r>
      <w:r>
        <w:rPr>
          <w:rFonts w:cstheme="minorHAnsi"/>
        </w:rPr>
        <w:t xml:space="preserve">. </w:t>
      </w:r>
      <w:r w:rsidRPr="00E85786">
        <w:rPr>
          <w:rFonts w:cstheme="minorHAnsi"/>
        </w:rPr>
        <w:t>Wet deposition is modelled using washout coefficients, applied to a plume depletion model accounting for wet deposition processes</w:t>
      </w:r>
      <w:r>
        <w:rPr>
          <w:rFonts w:cstheme="minorHAnsi"/>
        </w:rPr>
        <w:t xml:space="preserve"> </w:t>
      </w:r>
      <w:r>
        <w:rPr>
          <w:rFonts w:cstheme="minorHAnsi"/>
        </w:rPr>
        <w:fldChar w:fldCharType="begin"/>
      </w:r>
      <w:r w:rsidR="00645742">
        <w:rPr>
          <w:rFonts w:cstheme="minorHAnsi"/>
        </w:rPr>
        <w:instrText xml:space="preserve"> ADDIN EN.CITE &lt;EndNote&gt;&lt;Cite&gt;&lt;Author&gt;Jones&lt;/Author&gt;&lt;Year&gt;1981&lt;/Year&gt;&lt;RecNum&gt;2843&lt;/RecNum&gt;&lt;DisplayText&gt;(Jones, 1981a)&lt;/DisplayText&gt;&lt;record&gt;&lt;rec-number&gt;2843&lt;/rec-number&gt;&lt;foreign-keys&gt;&lt;key app="EN" db-id="r5f5xrrfzavsr7easp0pz0v5xxsaspratxsv" timestamp="1594740727" guid="ce9a1360-e0fe-43d7-9a81-62ddf0d7d1d1"&gt;2843&lt;/key&gt;&lt;key app="ENWeb" db-id=""&gt;0&lt;/key&gt;&lt;/foreign-keys&gt;&lt;ref-type name="Report"&gt;27&lt;/ref-type&gt;&lt;contributors&gt;&lt;authors&gt;&lt;author&gt;Jones, J. Arthur&lt;/author&gt;&lt;/authors&gt;&lt;tertiary-authors&gt;&lt;author&gt;National Radiological Protection Board,&lt;/author&gt;&lt;/tertiary-authors&gt;&lt;/contributors&gt;&lt;titles&gt;&lt;title&gt;The Second Report of a Working Group on Atmospheric Dispersion: A Procedure to Include Deposition in the Model for Short and Medium Range Atmospheric Dispersion of Radionuclides&lt;/title&gt;&lt;secondary-title&gt;NRPB R Series&lt;/secondary-title&gt;&lt;/titles&gt;&lt;volume&gt;NRPB-R122&lt;/volume&gt;&lt;number&gt;NRPB-R122&lt;/number&gt;&lt;keywords&gt;&lt;keyword&gt;Atmospheric dispersion&lt;/keyword&gt;&lt;keyword&gt;ADMLC&lt;/keyword&gt;&lt;keyword&gt;deposition&lt;/keyword&gt;&lt;keyword&gt;R91&lt;/keyword&gt;&lt;/keywords&gt;&lt;dates&gt;&lt;year&gt;1981&lt;/year&gt;&lt;pub-dates&gt;&lt;date&gt;1981&lt;/date&gt;&lt;/pub-dates&gt;&lt;/dates&gt;&lt;pub-location&gt;Chilton (UK)&lt;/pub-location&gt;&lt;publisher&gt;National Radiological Protection Board&lt;/publisher&gt;&lt;isbn&gt;NRPB-R122&lt;/isbn&gt;&lt;label&gt;6098&lt;/label&gt;&lt;urls&gt;&lt;/urls&gt;&lt;/record&gt;&lt;/Cite&gt;&lt;/EndNote&gt;</w:instrText>
      </w:r>
      <w:r>
        <w:rPr>
          <w:rFonts w:cstheme="minorHAnsi"/>
        </w:rPr>
        <w:fldChar w:fldCharType="separate"/>
      </w:r>
      <w:r>
        <w:rPr>
          <w:rFonts w:cstheme="minorHAnsi"/>
          <w:noProof/>
        </w:rPr>
        <w:t>(Jones, 1981a)</w:t>
      </w:r>
      <w:r>
        <w:rPr>
          <w:rFonts w:cstheme="minorHAnsi"/>
        </w:rPr>
        <w:fldChar w:fldCharType="end"/>
      </w:r>
      <w:r>
        <w:rPr>
          <w:rFonts w:cstheme="minorHAnsi"/>
        </w:rPr>
        <w:t xml:space="preserve"> </w:t>
      </w:r>
      <w:r>
        <w:rPr>
          <w:rFonts w:cstheme="minorHAnsi"/>
        </w:rPr>
        <w:fldChar w:fldCharType="begin"/>
      </w:r>
      <w:r w:rsidR="00645742">
        <w:rPr>
          <w:rFonts w:cstheme="minorHAnsi"/>
        </w:rPr>
        <w:instrText xml:space="preserve"> ADDIN EN.CITE &lt;EndNote&gt;&lt;Cite&gt;&lt;Author&gt;Jones&lt;/Author&gt;&lt;Year&gt;1981&lt;/Year&gt;&lt;RecNum&gt;2845&lt;/RecNum&gt;&lt;DisplayText&gt;(Jones, 1981b)&lt;/DisplayText&gt;&lt;record&gt;&lt;rec-number&gt;2845&lt;/rec-number&gt;&lt;foreign-keys&gt;&lt;key app="EN" db-id="r5f5xrrfzavsr7easp0pz0v5xxsaspratxsv" timestamp="1594740736" guid="d2c07555-70b1-4e27-abe8-5e9f8c0e451b"&gt;2845&lt;/key&gt;&lt;key app="ENWeb" db-id=""&gt;0&lt;/key&gt;&lt;/foreign-keys&gt;&lt;ref-type name="Report"&gt;27&lt;/ref-type&gt;&lt;contributors&gt;&lt;authors&gt;&lt;author&gt;Jones, J. Arthur&lt;/author&gt;&lt;/authors&gt;&lt;tertiary-authors&gt;&lt;author&gt;National Radiological Protection Board,&lt;/author&gt;&lt;/tertiary-authors&gt;&lt;/contributors&gt;&lt;titles&gt;&lt;title&gt;The Third Report of a Working Group on Atmospheric Dispersion: The Estimation of Long Range Dispersion and Deposition of Continuous Releases of Radionuclides to Atmosphere&lt;/title&gt;&lt;secondary-title&gt;NRPB R Series&lt;/secondary-title&gt;&lt;/titles&gt;&lt;volume&gt;NRPB-R123&lt;/volume&gt;&lt;number&gt;NRPB-R123&lt;/number&gt;&lt;keywords&gt;&lt;keyword&gt;Atmospheric dispersion&lt;/keyword&gt;&lt;keyword&gt;ADMLC&lt;/keyword&gt;&lt;keyword&gt;R91&lt;/keyword&gt;&lt;/keywords&gt;&lt;dates&gt;&lt;year&gt;1981&lt;/year&gt;&lt;pub-dates&gt;&lt;date&gt;1981&lt;/date&gt;&lt;/pub-dates&gt;&lt;/dates&gt;&lt;pub-location&gt;Chilton (UK)&lt;/pub-location&gt;&lt;publisher&gt;National Radiological Protection Board&lt;/publisher&gt;&lt;isbn&gt;NRPB-R123&lt;/isbn&gt;&lt;label&gt;6108&lt;/label&gt;&lt;urls&gt;&lt;/urls&gt;&lt;/record&gt;&lt;/Cite&gt;&lt;/EndNote&gt;</w:instrText>
      </w:r>
      <w:r>
        <w:rPr>
          <w:rFonts w:cstheme="minorHAnsi"/>
        </w:rPr>
        <w:fldChar w:fldCharType="separate"/>
      </w:r>
      <w:r>
        <w:rPr>
          <w:rFonts w:cstheme="minorHAnsi"/>
          <w:noProof/>
        </w:rPr>
        <w:t>(Jones, 1981b)</w:t>
      </w:r>
      <w:r>
        <w:rPr>
          <w:rFonts w:cstheme="minorHAnsi"/>
        </w:rPr>
        <w:fldChar w:fldCharType="end"/>
      </w:r>
      <w:r>
        <w:rPr>
          <w:rFonts w:cstheme="minorHAnsi"/>
        </w:rPr>
        <w:t>.</w:t>
      </w:r>
      <w:r w:rsidRPr="00E85786">
        <w:rPr>
          <w:rFonts w:cstheme="minorHAnsi"/>
        </w:rPr>
        <w:t xml:space="preserve"> The washout coefficients </w:t>
      </w:r>
      <w:r>
        <w:rPr>
          <w:rFonts w:cstheme="minorHAnsi"/>
        </w:rPr>
        <w:t>we</w:t>
      </w:r>
      <w:r w:rsidRPr="00E85786">
        <w:rPr>
          <w:rFonts w:cstheme="minorHAnsi"/>
        </w:rPr>
        <w:t>re derived by way of an approach detailed in</w:t>
      </w:r>
      <w:r>
        <w:rPr>
          <w:rFonts w:cstheme="minorHAnsi"/>
        </w:rPr>
        <w:t xml:space="preserve"> </w:t>
      </w:r>
      <w:r>
        <w:rPr>
          <w:rFonts w:cstheme="minorHAnsi"/>
        </w:rPr>
        <w:fldChar w:fldCharType="begin"/>
      </w:r>
      <w:r w:rsidR="00825B2D">
        <w:rPr>
          <w:rFonts w:cstheme="minorHAnsi"/>
        </w:rPr>
        <w:instrText xml:space="preserve"> ADDIN EN.CITE &lt;EndNote&gt;&lt;Cite AuthorYear="1"&gt;&lt;Author&gt;Jones&lt;/Author&gt;&lt;Year&gt;1995&lt;/Year&gt;&lt;RecNum&gt;3&lt;/RecNum&gt;&lt;DisplayText&gt;Jones et al (1995)&lt;/DisplayText&gt;&lt;record&gt;&lt;rec-number&gt;3&lt;/rec-number&gt;&lt;foreign-keys&gt;&lt;key app="EN" db-id="9atx2a25wrdv0jezz035vwt85a9d55w5s090" timestamp="1620803972"&gt;3&lt;/key&gt;&lt;/foreign-keys&gt;&lt;ref-type name="Journal Article"&gt;17&lt;/ref-type&gt;&lt;contributors&gt;&lt;authors&gt;&lt;author&gt;Jones, J. Arthur&lt;/author&gt;&lt;author&gt;Mansfield, P. A.&lt;/author&gt;&lt;author&gt;Haywood, Stephanie M.&lt;/author&gt;&lt;author&gt;Hasemann, I.&lt;/author&gt;&lt;author&gt;Steinhauer, C.&lt;/author&gt;&lt;author&gt;Ehrhardt, J.&lt;/author&gt;&lt;author&gt;Faude, D.&lt;/author&gt;&lt;/authors&gt;&lt;/contributors&gt;&lt;auth-address&gt;Luxembourg, EC&lt;/auth-address&gt;&lt;titles&gt;&lt;title&gt;PC COSYMA (Version 2): An Accident Consequence Assessment Package for use on a PC&lt;/title&gt;&lt;secondary-title&gt;EUR 16239&lt;/secondary-title&gt;&lt;/titles&gt;&lt;dates&gt;&lt;year&gt;1995&lt;/year&gt;&lt;/dates&gt;&lt;urls&gt;&lt;/urls&gt;&lt;/record&gt;&lt;/Cite&gt;&lt;/EndNote&gt;</w:instrText>
      </w:r>
      <w:r>
        <w:rPr>
          <w:rFonts w:cstheme="minorHAnsi"/>
        </w:rPr>
        <w:fldChar w:fldCharType="separate"/>
      </w:r>
      <w:r w:rsidR="00825B2D">
        <w:rPr>
          <w:rFonts w:cstheme="minorHAnsi"/>
          <w:noProof/>
        </w:rPr>
        <w:t>Jones et al (1995)</w:t>
      </w:r>
      <w:r>
        <w:rPr>
          <w:rFonts w:cstheme="minorHAnsi"/>
        </w:rPr>
        <w:fldChar w:fldCharType="end"/>
      </w:r>
      <w:r>
        <w:rPr>
          <w:rFonts w:cstheme="minorHAnsi"/>
        </w:rPr>
        <w:t xml:space="preserve"> </w:t>
      </w:r>
      <w:r w:rsidRPr="00E85786">
        <w:rPr>
          <w:rFonts w:cstheme="minorHAnsi"/>
        </w:rPr>
        <w:t xml:space="preserve">and are dependent on </w:t>
      </w:r>
      <w:r w:rsidRPr="00E85786">
        <w:rPr>
          <w:rFonts w:cstheme="minorHAnsi"/>
          <w:snapToGrid w:val="0"/>
        </w:rPr>
        <w:t xml:space="preserve">the precipitation rate and coefficients </w:t>
      </w:r>
      <w:r w:rsidRPr="00E85786">
        <w:rPr>
          <w:rFonts w:cstheme="minorHAnsi"/>
          <w:i/>
          <w:snapToGrid w:val="0"/>
        </w:rPr>
        <w:t xml:space="preserve">a </w:t>
      </w:r>
      <w:r w:rsidRPr="00E85786">
        <w:rPr>
          <w:rFonts w:cstheme="minorHAnsi"/>
          <w:snapToGrid w:val="0"/>
        </w:rPr>
        <w:t xml:space="preserve">and </w:t>
      </w:r>
      <w:r w:rsidRPr="00E85786">
        <w:rPr>
          <w:rFonts w:cstheme="minorHAnsi"/>
          <w:i/>
          <w:snapToGrid w:val="0"/>
        </w:rPr>
        <w:t xml:space="preserve">b. </w:t>
      </w:r>
      <w:r w:rsidRPr="00E85786">
        <w:rPr>
          <w:rFonts w:cstheme="minorHAnsi"/>
          <w:snapToGrid w:val="0"/>
        </w:rPr>
        <w:t xml:space="preserve">The coefficients </w:t>
      </w:r>
      <w:r w:rsidRPr="000E6D90">
        <w:rPr>
          <w:rFonts w:cstheme="minorHAnsi"/>
          <w:i/>
          <w:snapToGrid w:val="0"/>
        </w:rPr>
        <w:t>a</w:t>
      </w:r>
      <w:r>
        <w:rPr>
          <w:rFonts w:cstheme="minorHAnsi"/>
          <w:snapToGrid w:val="0"/>
        </w:rPr>
        <w:t xml:space="preserve"> and </w:t>
      </w:r>
      <w:r w:rsidRPr="000E6D90">
        <w:rPr>
          <w:rFonts w:cstheme="minorHAnsi"/>
          <w:i/>
          <w:snapToGrid w:val="0"/>
        </w:rPr>
        <w:t>b</w:t>
      </w:r>
      <w:r>
        <w:rPr>
          <w:rFonts w:cstheme="minorHAnsi"/>
          <w:snapToGrid w:val="0"/>
        </w:rPr>
        <w:t xml:space="preserve"> </w:t>
      </w:r>
      <w:r w:rsidRPr="00E85786">
        <w:rPr>
          <w:rFonts w:cstheme="minorHAnsi"/>
          <w:snapToGrid w:val="0"/>
        </w:rPr>
        <w:t xml:space="preserve">are dependent on the type of pollutant (notably they differentiate between particulates and elemental iodine vapour). </w:t>
      </w:r>
      <w:r>
        <w:rPr>
          <w:rFonts w:cstheme="minorHAnsi"/>
        </w:rPr>
        <w:t xml:space="preserve">ADEPT </w:t>
      </w:r>
      <w:r w:rsidRPr="00E85786">
        <w:rPr>
          <w:rFonts w:cstheme="minorHAnsi"/>
        </w:rPr>
        <w:t>assumes no radioactive decay during the plume’s passage.</w:t>
      </w:r>
    </w:p>
    <w:p w14:paraId="27AFF347" w14:textId="5CC6A923" w:rsidR="00257419" w:rsidRDefault="00257419" w:rsidP="00257419">
      <w:pPr>
        <w:jc w:val="both"/>
      </w:pPr>
      <w:r w:rsidRPr="00B61AC7">
        <w:t>A surface roughness (or roughness length) val</w:t>
      </w:r>
      <w:r>
        <w:t xml:space="preserve">ue of 0.3 m </w:t>
      </w:r>
      <w:r w:rsidR="0075247F">
        <w:t>is a hard-wired assumption</w:t>
      </w:r>
      <w:r>
        <w:t xml:space="preserve"> (representative of agricultural areas)</w:t>
      </w:r>
      <w:r w:rsidRPr="00B61AC7">
        <w:t>.</w:t>
      </w:r>
    </w:p>
    <w:p w14:paraId="2414A3F7" w14:textId="77777777" w:rsidR="00257419" w:rsidRDefault="00257419" w:rsidP="00257419">
      <w:pPr>
        <w:jc w:val="both"/>
      </w:pPr>
      <w:r>
        <w:rPr>
          <w:rFonts w:cstheme="minorHAnsi"/>
        </w:rPr>
        <w:t xml:space="preserve">ADEPT </w:t>
      </w:r>
      <w:r w:rsidRPr="00E85786">
        <w:t>does not account for meteorology changing as a function of space and accounts for the meteorology changing as a function of time in a simplistic manner. For example, consider a two hour release. Radioactivity released in the first hour will be dispersed in accordance with the respective meteorology in that same hour, and will continue to be dispersed in accordance with the meteorology that occurred during the first hour of the release for all subsequent hours modelled (thus no account of the second hour of meteorology and any subsequent changes in meteorology thereafter</w:t>
      </w:r>
      <w:r>
        <w:t xml:space="preserve"> is considered</w:t>
      </w:r>
      <w:r w:rsidRPr="00E85786">
        <w:t>). The radioactivity released in the second hour will be dispersed in accordance with the respective meteorology in that same hour, and will continue to be dispersed in accordance with the meteorology that occurred during the second hour of the release for all subsequent hours modelled.</w:t>
      </w:r>
    </w:p>
    <w:p w14:paraId="46E304E9" w14:textId="77777777" w:rsidR="00257419" w:rsidRDefault="00257419" w:rsidP="00257419">
      <w:pPr>
        <w:pStyle w:val="Heading4"/>
      </w:pPr>
      <w:bookmarkStart w:id="108" w:name="_Ref71131265"/>
      <w:bookmarkStart w:id="109" w:name="_Toc79679435"/>
      <w:bookmarkStart w:id="110" w:name="_Toc89966389"/>
      <w:r>
        <w:t>Meteorological data</w:t>
      </w:r>
      <w:bookmarkEnd w:id="108"/>
      <w:bookmarkEnd w:id="109"/>
      <w:bookmarkEnd w:id="110"/>
    </w:p>
    <w:p w14:paraId="0E4031BE" w14:textId="5C1356F2" w:rsidR="00257419" w:rsidRDefault="00257419" w:rsidP="00257419">
      <w:pPr>
        <w:jc w:val="both"/>
      </w:pPr>
      <w:r>
        <w:t xml:space="preserve">Constant meteorological conditions were assumed, </w:t>
      </w:r>
      <w:r w:rsidR="00314E66">
        <w:t xml:space="preserve">primarily </w:t>
      </w:r>
      <w:r>
        <w:t>comprising of Pasquill Stability Category D conditions, a mixing layer depth of 800 m, a single wind direction of 225 degrees from North (i.e. a south-westerly wind and the prevailing wind direction in the UK), a wind speed of 5</w:t>
      </w:r>
      <w:r w:rsidR="005266FC">
        <w:t> </w:t>
      </w:r>
      <w:r>
        <w:t>m</w:t>
      </w:r>
      <w:r w:rsidR="005266FC">
        <w:t> </w:t>
      </w:r>
      <w:r>
        <w:t>s</w:t>
      </w:r>
      <w:r>
        <w:rPr>
          <w:vertAlign w:val="superscript"/>
        </w:rPr>
        <w:noBreakHyphen/>
      </w:r>
      <w:r w:rsidRPr="00D87C51">
        <w:rPr>
          <w:vertAlign w:val="superscript"/>
        </w:rPr>
        <w:t>1</w:t>
      </w:r>
      <w:r>
        <w:t>, and precipitation rates of 0, 0.01, 0.1, 1, 2, 4 and 8 mm h</w:t>
      </w:r>
      <w:r w:rsidRPr="00D87C51">
        <w:rPr>
          <w:vertAlign w:val="superscript"/>
        </w:rPr>
        <w:t>-1</w:t>
      </w:r>
      <w:r>
        <w:t>.</w:t>
      </w:r>
      <w:r w:rsidR="00314E66">
        <w:t xml:space="preserve"> Further model runs assumed Pasquill Stability Category F conditions, a mixing layer depth of 100 m, a single wind direction of 225 degrees from North, a wind speed of 2 m s</w:t>
      </w:r>
      <w:r w:rsidR="00314E66">
        <w:rPr>
          <w:vertAlign w:val="superscript"/>
        </w:rPr>
        <w:noBreakHyphen/>
      </w:r>
      <w:r w:rsidR="00314E66" w:rsidRPr="00D87C51">
        <w:rPr>
          <w:vertAlign w:val="superscript"/>
        </w:rPr>
        <w:t>1</w:t>
      </w:r>
      <w:r w:rsidR="00314E66">
        <w:t>, and dry conditions (only).</w:t>
      </w:r>
    </w:p>
    <w:p w14:paraId="4FC10A5B" w14:textId="77777777" w:rsidR="00257419" w:rsidRDefault="00257419" w:rsidP="00257419">
      <w:pPr>
        <w:pStyle w:val="Heading4"/>
      </w:pPr>
      <w:bookmarkStart w:id="111" w:name="_Toc79679436"/>
      <w:bookmarkStart w:id="112" w:name="_Toc89966390"/>
      <w:r>
        <w:t>Run set-up</w:t>
      </w:r>
      <w:bookmarkEnd w:id="111"/>
      <w:bookmarkEnd w:id="112"/>
    </w:p>
    <w:p w14:paraId="3BB73813" w14:textId="43D97BFF" w:rsidR="00257419" w:rsidRDefault="00257419" w:rsidP="00257419">
      <w:pPr>
        <w:jc w:val="both"/>
      </w:pPr>
      <w:r>
        <w:t xml:space="preserve">The same meteorological conditions, as described in Section </w:t>
      </w:r>
      <w:r>
        <w:fldChar w:fldCharType="begin"/>
      </w:r>
      <w:r>
        <w:instrText xml:space="preserve"> REF _Ref71131265 \r \h </w:instrText>
      </w:r>
      <w:r>
        <w:fldChar w:fldCharType="separate"/>
      </w:r>
      <w:r w:rsidR="00926FE3">
        <w:t>4.3.3.1</w:t>
      </w:r>
      <w:r>
        <w:fldChar w:fldCharType="end"/>
      </w:r>
      <w:r>
        <w:t xml:space="preserve"> were assumed throughout a model run, for the entire release duration.</w:t>
      </w:r>
    </w:p>
    <w:p w14:paraId="7EEF03C5" w14:textId="4D630EDA" w:rsidR="00257419" w:rsidRDefault="00CF25EE" w:rsidP="00257419">
      <w:pPr>
        <w:jc w:val="both"/>
      </w:pPr>
      <w:r>
        <w:t xml:space="preserve">Fluctuations in the wind direction </w:t>
      </w:r>
      <w:r w:rsidR="00154D00">
        <w:t>a</w:t>
      </w:r>
      <w:r>
        <w:t xml:space="preserve">re </w:t>
      </w:r>
      <w:r w:rsidR="00154D00">
        <w:t xml:space="preserve">recognised to </w:t>
      </w:r>
      <w:r>
        <w:t>increas</w:t>
      </w:r>
      <w:r w:rsidR="00154D00">
        <w:t>e</w:t>
      </w:r>
      <w:r>
        <w:t>, with increasing release duration</w:t>
      </w:r>
      <w:r w:rsidR="00154D00">
        <w:t>.</w:t>
      </w:r>
      <w:r>
        <w:t xml:space="preserve"> </w:t>
      </w:r>
      <w:r w:rsidR="00154D00">
        <w:t xml:space="preserve">These fluctuations result in meander in the plume and therefore a broader plume. </w:t>
      </w:r>
      <w:r w:rsidR="00257419">
        <w:t xml:space="preserve">When running ADEPT in PACE the user has the option to account for </w:t>
      </w:r>
      <w:r w:rsidR="00154D00">
        <w:t xml:space="preserve">the cumulative </w:t>
      </w:r>
      <w:r w:rsidR="00257419">
        <w:t>fluctuations in the wind direction</w:t>
      </w:r>
      <w:r w:rsidR="00154D00">
        <w:t xml:space="preserve"> beyond a default period of one hour</w:t>
      </w:r>
      <w:r w:rsidR="00257419">
        <w:t xml:space="preserve">. </w:t>
      </w:r>
      <w:r>
        <w:t xml:space="preserve">The method employed is that detailed in equation 12 in the NRPB-R91 report </w:t>
      </w:r>
      <w:r>
        <w:rPr>
          <w:rFonts w:eastAsia="Times New Roman" w:cstheme="minorHAnsi"/>
          <w:color w:val="000000"/>
          <w:lang w:eastAsia="en-GB"/>
        </w:rPr>
        <w:fldChar w:fldCharType="begin"/>
      </w:r>
      <w:r>
        <w:rPr>
          <w:rFonts w:eastAsia="Times New Roman" w:cstheme="minorHAnsi"/>
          <w:color w:val="000000"/>
          <w:lang w:eastAsia="en-GB"/>
        </w:rPr>
        <w:instrText xml:space="preserve"> ADDIN EN.CITE &lt;EndNote&gt;&lt;Cite&gt;&lt;Author&gt;Clarke&lt;/Author&gt;&lt;Year&gt;1979&lt;/Year&gt;&lt;RecNum&gt;2846&lt;/RecNum&gt;&lt;DisplayText&gt;(Clarke, 1979)&lt;/DisplayText&gt;&lt;record&gt;&lt;rec-number&gt;2846&lt;/rec-number&gt;&lt;foreign-keys&gt;&lt;key app="EN" db-id="r5f5xrrfzavsr7easp0pz0v5xxsaspratxsv" timestamp="1594740739" guid="fb79d3a6-ac96-4653-bbba-9a4b9f4157df"&gt;2846&lt;/key&gt;&lt;key app="ENWeb" db-id=""&gt;0&lt;/key&gt;&lt;/foreign-keys&gt;&lt;ref-type name="Report"&gt;27&lt;/ref-type&gt;&lt;contributors&gt;&lt;authors&gt;&lt;author&gt;Clarke, Roger H.&lt;/author&gt;&lt;/authors&gt;&lt;tertiary-authors&gt;&lt;author&gt;National Radiological Protection Board,&lt;/author&gt;&lt;/tertiary-authors&gt;&lt;/contributors&gt;&lt;titles&gt;&lt;title&gt;The First Report of a Working Group on Atmospheric Dispersion: A Model for Short and Medium Range Dispersion of Radionuclides Released to the Atmosphere&lt;/title&gt;&lt;secondary-title&gt;NRPB R Series&lt;/secondary-title&gt;&lt;/titles&gt;&lt;volume&gt;NRPB-R91&lt;/volume&gt;&lt;number&gt;NRPB-R91&lt;/number&gt;&lt;keywords&gt;&lt;keyword&gt;Atmospheric Dispersion&lt;/keyword&gt;&lt;keyword&gt;ADMLC&lt;/keyword&gt;&lt;keyword&gt;R91&lt;/keyword&gt;&lt;/keywords&gt;&lt;dates&gt;&lt;year&gt;1979&lt;/year&gt;&lt;pub-dates&gt;&lt;date&gt;1979&lt;/date&gt;&lt;/pub-dates&gt;&lt;/dates&gt;&lt;pub-location&gt;Chilton (UK)&lt;/pub-location&gt;&lt;publisher&gt;National Radiological Protection Board&lt;/publisher&gt;&lt;isbn&gt;NRPB-R91&lt;/isbn&gt;&lt;label&gt;680&lt;/label&gt;&lt;urls&gt;&lt;/urls&gt;&lt;/record&gt;&lt;/Cite&gt;&lt;/EndNote&gt;</w:instrText>
      </w:r>
      <w:r>
        <w:rPr>
          <w:rFonts w:eastAsia="Times New Roman" w:cstheme="minorHAnsi"/>
          <w:color w:val="000000"/>
          <w:lang w:eastAsia="en-GB"/>
        </w:rPr>
        <w:fldChar w:fldCharType="separate"/>
      </w:r>
      <w:r>
        <w:rPr>
          <w:rFonts w:eastAsia="Times New Roman" w:cstheme="minorHAnsi"/>
          <w:noProof/>
          <w:color w:val="000000"/>
          <w:lang w:eastAsia="en-GB"/>
        </w:rPr>
        <w:t>(Clarke, 1979)</w:t>
      </w:r>
      <w:r>
        <w:rPr>
          <w:rFonts w:eastAsia="Times New Roman" w:cstheme="minorHAnsi"/>
          <w:color w:val="000000"/>
          <w:lang w:eastAsia="en-GB"/>
        </w:rPr>
        <w:fldChar w:fldCharType="end"/>
      </w:r>
      <w:r>
        <w:rPr>
          <w:rFonts w:eastAsia="Times New Roman" w:cstheme="minorHAnsi"/>
          <w:color w:val="000000"/>
          <w:lang w:eastAsia="en-GB"/>
        </w:rPr>
        <w:t>.</w:t>
      </w:r>
      <w:r>
        <w:t xml:space="preserve"> </w:t>
      </w:r>
      <w:r w:rsidR="00257419">
        <w:t>This option was included in all ADEPT model runs in this study. This resulted in a more representative description of the modelled plume, especially for the LBL</w:t>
      </w:r>
      <w:r w:rsidR="00CC3E2D">
        <w:t xml:space="preserve"> and RCCAE</w:t>
      </w:r>
      <w:r w:rsidR="00257419">
        <w:t xml:space="preserve"> source term</w:t>
      </w:r>
      <w:r w:rsidR="00CC3E2D">
        <w:t>s</w:t>
      </w:r>
      <w:r w:rsidR="00257419">
        <w:t>, which had exceptionally long (30 day) release duration</w:t>
      </w:r>
      <w:r w:rsidR="00CC3E2D">
        <w:t>s</w:t>
      </w:r>
      <w:r w:rsidR="00257419">
        <w:t>.</w:t>
      </w:r>
    </w:p>
    <w:p w14:paraId="31AAD293" w14:textId="6A6619F5" w:rsidR="00323D29" w:rsidRDefault="00257419" w:rsidP="00C753C4">
      <w:pPr>
        <w:pStyle w:val="BodyTextEND"/>
        <w:jc w:val="both"/>
      </w:pPr>
      <w:r>
        <w:t xml:space="preserve">When modelling wet deposition, the ADEPT model default </w:t>
      </w:r>
      <w:r w:rsidR="00234CFA">
        <w:t>input parameter</w:t>
      </w:r>
      <w:r>
        <w:t>s were assumed, specifically Washout Coefficient A = 8 10</w:t>
      </w:r>
      <w:r w:rsidRPr="005A5231">
        <w:rPr>
          <w:vertAlign w:val="superscript"/>
        </w:rPr>
        <w:t>-5</w:t>
      </w:r>
      <w:r>
        <w:t>, Washout Coefficient B (for all radionuclides barring elemental iodine) = 8 10</w:t>
      </w:r>
      <w:r w:rsidRPr="005A5231">
        <w:rPr>
          <w:vertAlign w:val="superscript"/>
        </w:rPr>
        <w:t>-1</w:t>
      </w:r>
      <w:r>
        <w:t xml:space="preserve"> and Washout Coefficient B (for elemental iodine only) = 6 10</w:t>
      </w:r>
      <w:r w:rsidRPr="005A5231">
        <w:rPr>
          <w:vertAlign w:val="superscript"/>
        </w:rPr>
        <w:t>-1</w:t>
      </w:r>
      <w:r>
        <w:t>. These assumptions applied to all radionuclides barring noble gases. Noble gases do not wet deposit, and therefore all washout coefficients were assumed to be 0.</w:t>
      </w:r>
    </w:p>
    <w:p w14:paraId="40053112" w14:textId="77777777" w:rsidR="00257419" w:rsidRDefault="00257419" w:rsidP="00257419">
      <w:pPr>
        <w:pStyle w:val="Heading2"/>
      </w:pPr>
      <w:bookmarkStart w:id="113" w:name="_Toc79679437"/>
      <w:bookmarkStart w:id="114" w:name="_Ref83204835"/>
      <w:bookmarkStart w:id="115" w:name="_Toc89966391"/>
      <w:r>
        <w:t>ADMS Modelling</w:t>
      </w:r>
      <w:bookmarkEnd w:id="113"/>
      <w:bookmarkEnd w:id="114"/>
      <w:bookmarkEnd w:id="115"/>
    </w:p>
    <w:p w14:paraId="223852DD" w14:textId="66A7A759" w:rsidR="00257419" w:rsidRPr="00381B9A" w:rsidRDefault="00257419" w:rsidP="00257419">
      <w:pPr>
        <w:jc w:val="both"/>
        <w:rPr>
          <w:rFonts w:eastAsia="Times New Roman" w:cstheme="minorHAnsi"/>
          <w:color w:val="000000"/>
          <w:lang w:eastAsia="en-GB"/>
        </w:rPr>
      </w:pPr>
      <w:r>
        <w:rPr>
          <w:rFonts w:eastAsia="Times New Roman" w:cstheme="minorHAnsi"/>
          <w:color w:val="000000"/>
          <w:lang w:eastAsia="en-GB"/>
        </w:rPr>
        <w:t xml:space="preserve">The </w:t>
      </w:r>
      <w:r w:rsidRPr="00381B9A">
        <w:rPr>
          <w:rFonts w:eastAsia="Times New Roman" w:cstheme="minorHAnsi"/>
          <w:color w:val="000000"/>
          <w:lang w:eastAsia="en-GB"/>
        </w:rPr>
        <w:t>ADMS</w:t>
      </w:r>
      <w:r>
        <w:rPr>
          <w:rFonts w:eastAsia="Times New Roman" w:cstheme="minorHAnsi"/>
          <w:color w:val="000000"/>
          <w:lang w:eastAsia="en-GB"/>
        </w:rPr>
        <w:t xml:space="preserve"> model </w:t>
      </w:r>
      <w:r>
        <w:rPr>
          <w:rFonts w:eastAsia="Times New Roman" w:cstheme="minorHAnsi"/>
          <w:color w:val="000000"/>
          <w:lang w:eastAsia="en-GB"/>
        </w:rPr>
        <w:fldChar w:fldCharType="begin"/>
      </w:r>
      <w:r w:rsidR="00645742">
        <w:rPr>
          <w:rFonts w:eastAsia="Times New Roman" w:cstheme="minorHAnsi"/>
          <w:color w:val="000000"/>
          <w:lang w:eastAsia="en-GB"/>
        </w:rPr>
        <w:instrText xml:space="preserve"> ADDIN EN.CITE &lt;EndNote&gt;&lt;Cite&gt;&lt;Author&gt;Carruthers&lt;/Author&gt;&lt;Year&gt;1994&lt;/Year&gt;&lt;RecNum&gt;3828&lt;/RecNum&gt;&lt;DisplayText&gt;(Carruthers et al, 1994)&lt;/DisplayText&gt;&lt;record&gt;&lt;rec-number&gt;3828&lt;/rec-number&gt;&lt;foreign-keys&gt;&lt;key app="EN" db-id="r5f5xrrfzavsr7easp0pz0v5xxsaspratxsv" timestamp="1594742919" guid="22fa79be-fd84-4a00-b03f-e4ddb27ceee8"&gt;3828&lt;/key&gt;&lt;/foreign-keys&gt;&lt;ref-type name="Journal Article"&gt;17&lt;/ref-type&gt;&lt;contributors&gt;&lt;authors&gt;&lt;author&gt;Carruthers, D. J.&lt;/author&gt;&lt;author&gt;Holroyd, R. C.&lt;/author&gt;&lt;author&gt;Hunt, J. C. R.&lt;/author&gt;&lt;author&gt;Weng, W. S.&lt;/author&gt;&lt;author&gt;Robins, A. G.&lt;/author&gt;&lt;author&gt;Apsley, D. D.&lt;/author&gt;&lt;author&gt;Thompson, D. J.&lt;/author&gt;&lt;author&gt;Smith, F. B.&lt;/author&gt;&lt;/authors&gt;&lt;/contributors&gt;&lt;titles&gt;&lt;title&gt;UK-ADMS: A new approach to modelling dispersion in the earth&amp;apos;s atmospheric boundary layer&lt;/title&gt;&lt;secondary-title&gt;Journal of Wind Engineering and Industrial Aerodynamics&lt;/secondary-title&gt;&lt;/titles&gt;&lt;periodical&gt;&lt;full-title&gt;Journal of Wind Engineering and Industrial Aerodynamics&lt;/full-title&gt;&lt;/periodical&gt;&lt;pages&gt;139-153&lt;/pages&gt;&lt;volume&gt;52&lt;/volume&gt;&lt;number&gt;1-3&lt;/number&gt;&lt;keywords&gt;&lt;keyword&gt;ADMS&lt;/keyword&gt;&lt;keyword&gt;Atmospheric Dispersion&lt;/keyword&gt;&lt;/keywords&gt;&lt;dates&gt;&lt;year&gt;1994&lt;/year&gt;&lt;pub-dates&gt;&lt;date&gt;1994&lt;/date&gt;&lt;/pub-dates&gt;&lt;/dates&gt;&lt;label&gt;730&lt;/label&gt;&lt;urls&gt;&lt;/urls&gt;&lt;/record&gt;&lt;/Cite&gt;&lt;/EndNote&gt;</w:instrText>
      </w:r>
      <w:r>
        <w:rPr>
          <w:rFonts w:eastAsia="Times New Roman" w:cstheme="minorHAnsi"/>
          <w:color w:val="000000"/>
          <w:lang w:eastAsia="en-GB"/>
        </w:rPr>
        <w:fldChar w:fldCharType="separate"/>
      </w:r>
      <w:r>
        <w:rPr>
          <w:rFonts w:eastAsia="Times New Roman" w:cstheme="minorHAnsi"/>
          <w:noProof/>
          <w:color w:val="000000"/>
          <w:lang w:eastAsia="en-GB"/>
        </w:rPr>
        <w:t>(Carruthers et al, 1994)</w:t>
      </w:r>
      <w:r>
        <w:rPr>
          <w:rFonts w:eastAsia="Times New Roman" w:cstheme="minorHAnsi"/>
          <w:color w:val="000000"/>
          <w:lang w:eastAsia="en-GB"/>
        </w:rPr>
        <w:fldChar w:fldCharType="end"/>
      </w:r>
      <w:r w:rsidRPr="00381B9A">
        <w:rPr>
          <w:rFonts w:eastAsia="Times New Roman" w:cstheme="minorHAnsi"/>
          <w:color w:val="000000"/>
          <w:lang w:eastAsia="en-GB"/>
        </w:rPr>
        <w:t xml:space="preserve"> is based on improvements in the understanding of both the structure of the atmospheric boundary layer and dispe</w:t>
      </w:r>
      <w:r>
        <w:rPr>
          <w:rFonts w:eastAsia="Times New Roman" w:cstheme="minorHAnsi"/>
          <w:color w:val="000000"/>
          <w:lang w:eastAsia="en-GB"/>
        </w:rPr>
        <w:t xml:space="preserve">rsion within the boundary layer, from that detailed in the R91 model </w:t>
      </w:r>
      <w:r>
        <w:rPr>
          <w:rFonts w:eastAsia="Times New Roman" w:cstheme="minorHAnsi"/>
          <w:color w:val="000000"/>
          <w:lang w:eastAsia="en-GB"/>
        </w:rPr>
        <w:fldChar w:fldCharType="begin"/>
      </w:r>
      <w:r w:rsidR="00645742">
        <w:rPr>
          <w:rFonts w:eastAsia="Times New Roman" w:cstheme="minorHAnsi"/>
          <w:color w:val="000000"/>
          <w:lang w:eastAsia="en-GB"/>
        </w:rPr>
        <w:instrText xml:space="preserve"> ADDIN EN.CITE &lt;EndNote&gt;&lt;Cite&gt;&lt;Author&gt;Clarke&lt;/Author&gt;&lt;Year&gt;1979&lt;/Year&gt;&lt;RecNum&gt;2846&lt;/RecNum&gt;&lt;DisplayText&gt;(Clarke, 1979)&lt;/DisplayText&gt;&lt;record&gt;&lt;rec-number&gt;2846&lt;/rec-number&gt;&lt;foreign-keys&gt;&lt;key app="EN" db-id="r5f5xrrfzavsr7easp0pz0v5xxsaspratxsv" timestamp="1594740739" guid="fb79d3a6-ac96-4653-bbba-9a4b9f4157df"&gt;2846&lt;/key&gt;&lt;key app="ENWeb" db-id=""&gt;0&lt;/key&gt;&lt;/foreign-keys&gt;&lt;ref-type name="Report"&gt;27&lt;/ref-type&gt;&lt;contributors&gt;&lt;authors&gt;&lt;author&gt;Clarke, Roger H.&lt;/author&gt;&lt;/authors&gt;&lt;tertiary-authors&gt;&lt;author&gt;National Radiological Protection Board,&lt;/author&gt;&lt;/tertiary-authors&gt;&lt;/contributors&gt;&lt;titles&gt;&lt;title&gt;The First Report of a Working Group on Atmospheric Dispersion: A Model for Short and Medium Range Dispersion of Radionuclides Released to the Atmosphere&lt;/title&gt;&lt;secondary-title&gt;NRPB R Series&lt;/secondary-title&gt;&lt;/titles&gt;&lt;volume&gt;NRPB-R91&lt;/volume&gt;&lt;number&gt;NRPB-R91&lt;/number&gt;&lt;keywords&gt;&lt;keyword&gt;Atmospheric Dispersion&lt;/keyword&gt;&lt;keyword&gt;ADMLC&lt;/keyword&gt;&lt;keyword&gt;R91&lt;/keyword&gt;&lt;/keywords&gt;&lt;dates&gt;&lt;year&gt;1979&lt;/year&gt;&lt;pub-dates&gt;&lt;date&gt;1979&lt;/date&gt;&lt;/pub-dates&gt;&lt;/dates&gt;&lt;pub-location&gt;Chilton (UK)&lt;/pub-location&gt;&lt;publisher&gt;National Radiological Protection Board&lt;/publisher&gt;&lt;isbn&gt;NRPB-R91&lt;/isbn&gt;&lt;label&gt;680&lt;/label&gt;&lt;urls&gt;&lt;/urls&gt;&lt;/record&gt;&lt;/Cite&gt;&lt;/EndNote&gt;</w:instrText>
      </w:r>
      <w:r>
        <w:rPr>
          <w:rFonts w:eastAsia="Times New Roman" w:cstheme="minorHAnsi"/>
          <w:color w:val="000000"/>
          <w:lang w:eastAsia="en-GB"/>
        </w:rPr>
        <w:fldChar w:fldCharType="separate"/>
      </w:r>
      <w:r>
        <w:rPr>
          <w:rFonts w:eastAsia="Times New Roman" w:cstheme="minorHAnsi"/>
          <w:noProof/>
          <w:color w:val="000000"/>
          <w:lang w:eastAsia="en-GB"/>
        </w:rPr>
        <w:t>(Clarke, 1979)</w:t>
      </w:r>
      <w:r>
        <w:rPr>
          <w:rFonts w:eastAsia="Times New Roman" w:cstheme="minorHAnsi"/>
          <w:color w:val="000000"/>
          <w:lang w:eastAsia="en-GB"/>
        </w:rPr>
        <w:fldChar w:fldCharType="end"/>
      </w:r>
      <w:r w:rsidRPr="00381B9A">
        <w:rPr>
          <w:rFonts w:eastAsia="Times New Roman" w:cstheme="minorHAnsi"/>
          <w:color w:val="000000"/>
          <w:lang w:eastAsia="en-GB"/>
        </w:rPr>
        <w:t>.</w:t>
      </w:r>
      <w:r>
        <w:rPr>
          <w:rFonts w:eastAsia="Times New Roman" w:cstheme="minorHAnsi"/>
          <w:color w:val="000000"/>
          <w:lang w:eastAsia="en-GB"/>
        </w:rPr>
        <w:t xml:space="preserve"> </w:t>
      </w:r>
      <w:r w:rsidRPr="00381B9A">
        <w:rPr>
          <w:rFonts w:eastAsia="Times New Roman" w:cstheme="minorHAnsi"/>
          <w:color w:val="000000"/>
          <w:lang w:eastAsia="en-GB"/>
        </w:rPr>
        <w:t xml:space="preserve">The improvements in </w:t>
      </w:r>
      <w:r>
        <w:rPr>
          <w:rFonts w:eastAsia="Times New Roman" w:cstheme="minorHAnsi"/>
          <w:color w:val="000000"/>
          <w:lang w:eastAsia="en-GB"/>
        </w:rPr>
        <w:t xml:space="preserve">the </w:t>
      </w:r>
      <w:r w:rsidRPr="00381B9A">
        <w:rPr>
          <w:rFonts w:eastAsia="Times New Roman" w:cstheme="minorHAnsi"/>
          <w:color w:val="000000"/>
          <w:lang w:eastAsia="en-GB"/>
        </w:rPr>
        <w:t xml:space="preserve">understanding </w:t>
      </w:r>
      <w:r>
        <w:rPr>
          <w:rFonts w:eastAsia="Times New Roman" w:cstheme="minorHAnsi"/>
          <w:color w:val="000000"/>
          <w:lang w:eastAsia="en-GB"/>
        </w:rPr>
        <w:t xml:space="preserve">of </w:t>
      </w:r>
      <w:r w:rsidRPr="00381B9A">
        <w:rPr>
          <w:rFonts w:eastAsia="Times New Roman" w:cstheme="minorHAnsi"/>
          <w:color w:val="000000"/>
          <w:lang w:eastAsia="en-GB"/>
        </w:rPr>
        <w:t>the structure of the boundary layer</w:t>
      </w:r>
      <w:r>
        <w:rPr>
          <w:rFonts w:eastAsia="Times New Roman" w:cstheme="minorHAnsi"/>
          <w:color w:val="000000"/>
          <w:lang w:eastAsia="en-GB"/>
        </w:rPr>
        <w:t>,</w:t>
      </w:r>
      <w:r w:rsidRPr="00381B9A">
        <w:rPr>
          <w:rFonts w:eastAsia="Times New Roman" w:cstheme="minorHAnsi"/>
          <w:color w:val="000000"/>
          <w:lang w:eastAsia="en-GB"/>
        </w:rPr>
        <w:t xml:space="preserve"> stem from the recognition that the state of the boundary layer can be represented in terms of a small number of dimensionless groups of parameters, the most important of which is the ratio h/LMO, where h is the boundary layer height and LMO is the Monin-Obukhov length. The boundary layer depth can be measured directly or calculated from other measured quantities. The Monin-Obukhov length can be calculated from other quantities that can be measured at or near the ground. The ratio h/LMO can be regarded as a measure of the stability of the atmosphere, and therefore a replacement </w:t>
      </w:r>
      <w:r w:rsidR="00060F2D">
        <w:rPr>
          <w:rFonts w:eastAsia="Times New Roman" w:cstheme="minorHAnsi"/>
          <w:color w:val="000000"/>
          <w:lang w:eastAsia="en-GB"/>
        </w:rPr>
        <w:t>and</w:t>
      </w:r>
      <w:r w:rsidR="00060F2D" w:rsidRPr="00381B9A">
        <w:rPr>
          <w:rFonts w:eastAsia="Times New Roman" w:cstheme="minorHAnsi"/>
          <w:color w:val="000000"/>
          <w:lang w:eastAsia="en-GB"/>
        </w:rPr>
        <w:t xml:space="preserve"> </w:t>
      </w:r>
      <w:r w:rsidRPr="00381B9A">
        <w:rPr>
          <w:rFonts w:eastAsia="Times New Roman" w:cstheme="minorHAnsi"/>
          <w:color w:val="000000"/>
          <w:lang w:eastAsia="en-GB"/>
        </w:rPr>
        <w:t>improvement for the original Pasquill stability categories.</w:t>
      </w:r>
    </w:p>
    <w:p w14:paraId="65CF9B29" w14:textId="77777777" w:rsidR="00257419" w:rsidRPr="00381B9A" w:rsidRDefault="00257419" w:rsidP="00257419">
      <w:pPr>
        <w:jc w:val="both"/>
        <w:rPr>
          <w:rFonts w:eastAsia="Times New Roman" w:cstheme="minorHAnsi"/>
          <w:color w:val="000000"/>
          <w:lang w:eastAsia="en-GB"/>
        </w:rPr>
      </w:pPr>
      <w:r w:rsidRPr="00381B9A">
        <w:rPr>
          <w:rFonts w:eastAsia="Times New Roman" w:cstheme="minorHAnsi"/>
          <w:color w:val="000000"/>
          <w:lang w:eastAsia="en-GB"/>
        </w:rPr>
        <w:t>ADMS is based on a simplification of the research grade models</w:t>
      </w:r>
      <w:r>
        <w:rPr>
          <w:rFonts w:eastAsia="Times New Roman" w:cstheme="minorHAnsi"/>
          <w:color w:val="000000"/>
          <w:lang w:eastAsia="en-GB"/>
        </w:rPr>
        <w:t>,</w:t>
      </w:r>
      <w:r w:rsidRPr="00381B9A">
        <w:rPr>
          <w:rFonts w:eastAsia="Times New Roman" w:cstheme="minorHAnsi"/>
          <w:color w:val="000000"/>
          <w:lang w:eastAsia="en-GB"/>
        </w:rPr>
        <w:t xml:space="preserve"> which has been achieved by separating the calculation into two steps, namely the determination of the mean plume height and the spread around that height. The approach uses ordinary differential equations for the variation of the mean plume height with distance downwind (for passive plumes) and formulae for the spread of the plume</w:t>
      </w:r>
      <w:r>
        <w:rPr>
          <w:rFonts w:eastAsia="Times New Roman" w:cstheme="minorHAnsi"/>
          <w:color w:val="000000"/>
          <w:lang w:eastAsia="en-GB"/>
        </w:rPr>
        <w:t xml:space="preserve"> </w:t>
      </w:r>
      <w:r w:rsidRPr="00381B9A">
        <w:rPr>
          <w:rFonts w:eastAsia="Times New Roman" w:cstheme="minorHAnsi"/>
          <w:color w:val="000000"/>
          <w:lang w:eastAsia="en-GB"/>
        </w:rPr>
        <w:t>which are based on the understandings developed in research grade dispersion models.</w:t>
      </w:r>
    </w:p>
    <w:p w14:paraId="68805A8B" w14:textId="77777777" w:rsidR="00257419" w:rsidRPr="00381B9A" w:rsidRDefault="00257419" w:rsidP="00257419">
      <w:pPr>
        <w:jc w:val="both"/>
        <w:rPr>
          <w:rFonts w:eastAsia="Times New Roman" w:cstheme="minorHAnsi"/>
          <w:color w:val="000000"/>
          <w:lang w:eastAsia="en-GB"/>
        </w:rPr>
      </w:pPr>
      <w:r w:rsidRPr="00381B9A">
        <w:rPr>
          <w:rFonts w:eastAsia="Times New Roman" w:cstheme="minorHAnsi"/>
          <w:color w:val="000000"/>
          <w:lang w:eastAsia="en-GB"/>
        </w:rPr>
        <w:t>Diffusion of gases and particulates and gravitational settling of particulates to ground (dry deposition) is calculated by using a dry deposition velocity that may be user defi</w:t>
      </w:r>
      <w:r>
        <w:rPr>
          <w:rFonts w:eastAsia="Times New Roman" w:cstheme="minorHAnsi"/>
          <w:color w:val="000000"/>
          <w:lang w:eastAsia="en-GB"/>
        </w:rPr>
        <w:t>ned or calculated by the model. The former approach was applied in this study.</w:t>
      </w:r>
    </w:p>
    <w:p w14:paraId="1F1E80DB" w14:textId="77777777" w:rsidR="00257419" w:rsidRDefault="00257419" w:rsidP="00257419">
      <w:pPr>
        <w:jc w:val="both"/>
        <w:rPr>
          <w:rFonts w:eastAsia="Times New Roman" w:cstheme="minorHAnsi"/>
          <w:color w:val="000000"/>
          <w:lang w:eastAsia="en-GB"/>
        </w:rPr>
      </w:pPr>
      <w:r w:rsidRPr="00381B9A">
        <w:rPr>
          <w:rFonts w:eastAsia="Times New Roman" w:cstheme="minorHAnsi"/>
          <w:color w:val="000000"/>
          <w:lang w:eastAsia="en-GB"/>
        </w:rPr>
        <w:t>I</w:t>
      </w:r>
      <w:r>
        <w:rPr>
          <w:rFonts w:eastAsia="Times New Roman" w:cstheme="minorHAnsi"/>
          <w:color w:val="000000"/>
          <w:lang w:eastAsia="en-GB"/>
        </w:rPr>
        <w:t>n ADMS, the washout coefficient</w:t>
      </w:r>
      <w:r w:rsidRPr="00381B9A">
        <w:rPr>
          <w:rFonts w:eastAsia="Times New Roman" w:cstheme="minorHAnsi"/>
          <w:color w:val="000000"/>
          <w:lang w:eastAsia="en-GB"/>
        </w:rPr>
        <w:t xml:space="preserve"> may be specified as a constant value by the user, in which case the wet deposition calculated would be independent of the</w:t>
      </w:r>
      <w:r>
        <w:rPr>
          <w:rFonts w:eastAsia="Times New Roman" w:cstheme="minorHAnsi"/>
          <w:color w:val="000000"/>
          <w:lang w:eastAsia="en-GB"/>
        </w:rPr>
        <w:t xml:space="preserve"> </w:t>
      </w:r>
      <w:r w:rsidRPr="00381B9A">
        <w:rPr>
          <w:rFonts w:eastAsia="Times New Roman" w:cstheme="minorHAnsi"/>
          <w:color w:val="000000"/>
          <w:lang w:eastAsia="en-GB"/>
        </w:rPr>
        <w:t xml:space="preserve">precipitation rate and, indeed, wet deposition will be predicted in the absence of precipitation. </w:t>
      </w:r>
      <w:r>
        <w:rPr>
          <w:rFonts w:eastAsia="Times New Roman" w:cstheme="minorHAnsi"/>
          <w:color w:val="000000"/>
          <w:lang w:eastAsia="en-GB"/>
        </w:rPr>
        <w:t>Alternatively</w:t>
      </w:r>
      <w:r w:rsidRPr="00381B9A">
        <w:rPr>
          <w:rFonts w:eastAsia="Times New Roman" w:cstheme="minorHAnsi"/>
          <w:color w:val="000000"/>
          <w:lang w:eastAsia="en-GB"/>
        </w:rPr>
        <w:t xml:space="preserve">, the user </w:t>
      </w:r>
      <w:r>
        <w:rPr>
          <w:rFonts w:eastAsia="Times New Roman" w:cstheme="minorHAnsi"/>
          <w:color w:val="000000"/>
          <w:lang w:eastAsia="en-GB"/>
        </w:rPr>
        <w:t>may specify</w:t>
      </w:r>
      <w:r w:rsidRPr="00381B9A">
        <w:rPr>
          <w:rFonts w:eastAsia="Times New Roman" w:cstheme="minorHAnsi"/>
          <w:color w:val="000000"/>
          <w:lang w:eastAsia="en-GB"/>
        </w:rPr>
        <w:t xml:space="preserve"> the washout coefficient parameters.</w:t>
      </w:r>
      <w:r>
        <w:rPr>
          <w:rFonts w:eastAsia="Times New Roman" w:cstheme="minorHAnsi"/>
          <w:color w:val="000000"/>
          <w:lang w:eastAsia="en-GB"/>
        </w:rPr>
        <w:t xml:space="preserve"> The latter approach was applied in this study.</w:t>
      </w:r>
    </w:p>
    <w:p w14:paraId="70421CC9" w14:textId="77777777" w:rsidR="00257419" w:rsidRPr="00637815" w:rsidRDefault="00257419" w:rsidP="00257419">
      <w:pPr>
        <w:jc w:val="both"/>
      </w:pPr>
      <w:r>
        <w:t>As well as estimating activity concentrations in air and activity concentrations on the ground, ADMS also estimates cloud gamma dose rates and the rate of change of deposited gamma dose rates.</w:t>
      </w:r>
    </w:p>
    <w:p w14:paraId="335732F2" w14:textId="1F7A05F2" w:rsidR="00257419" w:rsidRDefault="00257419" w:rsidP="00257419">
      <w:pPr>
        <w:jc w:val="both"/>
      </w:pPr>
      <w:r>
        <w:t xml:space="preserve">The method used to estimate cloud gamma dose is based on two calculation stages; the first stage estimates the effective flux of gamma rays at a point distance “r” from a monoenergetic source dispersed in air for a particular energy level, and is a function of the branching ratio, the average air concentration, the Berger build-up factor, and the linear attenuation coefficient; the second stage estimates the effective dose by multiplying the flux, by an absorption coefficient, a conversion coefficient, the gamma energy and then summing over all energy levels. </w:t>
      </w:r>
    </w:p>
    <w:p w14:paraId="334A455B" w14:textId="77777777" w:rsidR="00257419" w:rsidRDefault="00257419" w:rsidP="00257419">
      <w:pPr>
        <w:jc w:val="both"/>
      </w:pPr>
      <w:r>
        <w:t>The method used to estimate deposited gamma dose is very similar to the cloud gamma approach and is based on two calculation stages; the first stage estimates the effective flux of gamma rays at a point distance “r” from a monoenergetic source deposited on the ground for a particular energy level, and is a function of the branching ratio (which in turn is a function of the gamma energy), the deposition rate, the Berger build-up factor, and the linear attenuation coefficient; the second stage estimates the effective dose by multiplying the flux, by an absorption coefficient, a conversion coefficient, the gamma energy and then summing over all energy levels. The deposited gamma dose is based on the contribution from dry deposition only; there is no accounting of the contribution from wet deposition. Furthermore, the ADMS method does not account for the radioactive decay of material after it has been deposited.</w:t>
      </w:r>
    </w:p>
    <w:p w14:paraId="43538CEC" w14:textId="77777777" w:rsidR="00257419" w:rsidRDefault="00257419" w:rsidP="00257419">
      <w:pPr>
        <w:jc w:val="both"/>
      </w:pPr>
      <w:r>
        <w:t xml:space="preserve">There is no indication in any of the ADMS documentation which age group the cloud gamma and deposited gamma dose estimates apply to. </w:t>
      </w:r>
    </w:p>
    <w:p w14:paraId="775223E8" w14:textId="77777777" w:rsidR="00257419" w:rsidRPr="00381B9A" w:rsidRDefault="00257419" w:rsidP="007B6F3E">
      <w:pPr>
        <w:pStyle w:val="BodyTextEND"/>
      </w:pPr>
      <w:r>
        <w:t>ADMS version 4.2 was applied in this study.</w:t>
      </w:r>
    </w:p>
    <w:p w14:paraId="253863E2" w14:textId="77777777" w:rsidR="00257419" w:rsidRDefault="00257419" w:rsidP="00257419">
      <w:pPr>
        <w:pStyle w:val="Heading3"/>
      </w:pPr>
      <w:bookmarkStart w:id="116" w:name="_Toc79679438"/>
      <w:bookmarkStart w:id="117" w:name="_Toc89966392"/>
      <w:r w:rsidRPr="00EE2EAE">
        <w:t>ADMS Method and Input Parameters</w:t>
      </w:r>
      <w:bookmarkEnd w:id="116"/>
      <w:bookmarkEnd w:id="117"/>
    </w:p>
    <w:p w14:paraId="7F5C9E74" w14:textId="776F9CF0" w:rsidR="00257419" w:rsidRDefault="00257419" w:rsidP="00257419">
      <w:pPr>
        <w:pStyle w:val="Heading4"/>
      </w:pPr>
      <w:bookmarkStart w:id="118" w:name="_Toc79679439"/>
      <w:bookmarkStart w:id="119" w:name="_Toc89966393"/>
      <w:r>
        <w:t>Source Term</w:t>
      </w:r>
      <w:bookmarkEnd w:id="118"/>
      <w:bookmarkEnd w:id="119"/>
    </w:p>
    <w:p w14:paraId="1F37C1AD" w14:textId="7984A267" w:rsidR="00257419" w:rsidRPr="00C60895" w:rsidRDefault="00257419" w:rsidP="00257419">
      <w:pPr>
        <w:jc w:val="both"/>
        <w:rPr>
          <w:color w:val="FF0000"/>
        </w:rPr>
      </w:pPr>
      <w:r>
        <w:t xml:space="preserve">ADMS requires a number of additional source term input parameters to be defined. The </w:t>
      </w:r>
      <w:r w:rsidRPr="008F7B03">
        <w:t>specific heat capacity of the source material</w:t>
      </w:r>
      <w:r>
        <w:t xml:space="preserve"> and the </w:t>
      </w:r>
      <w:r w:rsidRPr="008F7B03">
        <w:t>molecular mass of the release material</w:t>
      </w:r>
      <w:r>
        <w:t xml:space="preserve"> were both set to the ADMS model default value</w:t>
      </w:r>
      <w:r w:rsidR="000B7121">
        <w:t>s</w:t>
      </w:r>
      <w:r>
        <w:t xml:space="preserve"> (typical value</w:t>
      </w:r>
      <w:r w:rsidR="000B7121">
        <w:t>s</w:t>
      </w:r>
      <w:r>
        <w:t xml:space="preserve"> for air). The release temperature and pressure were set to ambient values (defined as “</w:t>
      </w:r>
      <w:r w:rsidRPr="00FD315A">
        <w:t>NTP</w:t>
      </w:r>
      <w:r>
        <w:t>”</w:t>
      </w:r>
      <w:r w:rsidRPr="00FD315A">
        <w:t xml:space="preserve"> or normal temp and pressure </w:t>
      </w:r>
      <w:r>
        <w:t>in the model). A point source (P) was also assumed.</w:t>
      </w:r>
    </w:p>
    <w:p w14:paraId="390DD54D" w14:textId="77777777" w:rsidR="00257419" w:rsidRDefault="00257419" w:rsidP="00257419">
      <w:pPr>
        <w:pStyle w:val="Heading4"/>
      </w:pPr>
      <w:bookmarkStart w:id="120" w:name="_Ref71193587"/>
      <w:bookmarkStart w:id="121" w:name="_Toc79679440"/>
      <w:bookmarkStart w:id="122" w:name="_Toc89966394"/>
      <w:r>
        <w:t>Meteorological Data</w:t>
      </w:r>
      <w:bookmarkEnd w:id="120"/>
      <w:bookmarkEnd w:id="121"/>
      <w:bookmarkEnd w:id="122"/>
    </w:p>
    <w:p w14:paraId="62BCC170" w14:textId="62A31D60" w:rsidR="00257419" w:rsidRDefault="00257419" w:rsidP="00257419">
      <w:pPr>
        <w:pStyle w:val="BodyText"/>
        <w:jc w:val="both"/>
      </w:pPr>
      <w:r>
        <w:t>Constant meteorological conditions were assumed</w:t>
      </w:r>
      <w:r w:rsidR="00742B72">
        <w:t>. Pasquill Stability Category D conditions</w:t>
      </w:r>
      <w:r>
        <w:t xml:space="preserve"> </w:t>
      </w:r>
      <w:r w:rsidR="00742B72">
        <w:t xml:space="preserve">comprised </w:t>
      </w:r>
      <w:r>
        <w:t>of a mixing layer depth (or boundary layer height) of 800 m, a surface heat flux of 0 W m</w:t>
      </w:r>
      <w:r w:rsidRPr="00464793">
        <w:rPr>
          <w:vertAlign w:val="superscript"/>
        </w:rPr>
        <w:t>-2</w:t>
      </w:r>
      <w:r>
        <w:t>, a cloud amount of 8 oktas, a single wind direction (angle) of 270 degrees from North (noting that this selection has no bearing on the model results produced), a wind speed of 5 m s</w:t>
      </w:r>
      <w:r w:rsidRPr="00D87C51">
        <w:rPr>
          <w:vertAlign w:val="superscript"/>
        </w:rPr>
        <w:t>-1</w:t>
      </w:r>
      <w:r>
        <w:t>, and precipitation rates of 0, 0.01, 0.1, 1, 2, 4 and 8 mm h</w:t>
      </w:r>
      <w:r w:rsidRPr="00D87C51">
        <w:rPr>
          <w:vertAlign w:val="superscript"/>
        </w:rPr>
        <w:t>-1</w:t>
      </w:r>
      <w:r>
        <w:t xml:space="preserve">. </w:t>
      </w:r>
      <w:r w:rsidR="00742B72">
        <w:t>Pasquill Stability Category F conditions comprised of a mixing layer depth of 100 m, a surface heat flux of -16 W m</w:t>
      </w:r>
      <w:r w:rsidR="00742B72" w:rsidRPr="00464793">
        <w:rPr>
          <w:vertAlign w:val="superscript"/>
        </w:rPr>
        <w:t>-2</w:t>
      </w:r>
      <w:r w:rsidR="00742B72">
        <w:t>, a single wind direction of 270 degrees from North, a wind speed of 2 m s</w:t>
      </w:r>
      <w:r w:rsidR="00742B72" w:rsidRPr="00D87C51">
        <w:rPr>
          <w:vertAlign w:val="superscript"/>
        </w:rPr>
        <w:t>-1</w:t>
      </w:r>
      <w:r w:rsidR="00742B72">
        <w:t>, and dry conditions (only).</w:t>
      </w:r>
    </w:p>
    <w:p w14:paraId="7E55D70D" w14:textId="77777777" w:rsidR="00257419" w:rsidRDefault="00257419" w:rsidP="00257419">
      <w:pPr>
        <w:jc w:val="both"/>
      </w:pPr>
      <w:r>
        <w:t>A release location latitude and a time and date when the meteorological data begins must both be defined. The latitude and timing of the release can be used by the model to help determine the prevailing conditions (notably solar radiation and subsequently the stability of the atmosphere) depending on the availability of the data. However, in this instance, the relatively comprehensive nature of the meteorological data provided was sufficient to not warrant the consideration of the latitude, time and date.</w:t>
      </w:r>
    </w:p>
    <w:p w14:paraId="3E28071B" w14:textId="667C64E9" w:rsidR="00257419" w:rsidRDefault="007F43BD" w:rsidP="00257419">
      <w:pPr>
        <w:jc w:val="both"/>
      </w:pPr>
      <w:r>
        <w:t xml:space="preserve">An </w:t>
      </w:r>
      <w:r w:rsidR="00257419">
        <w:t>ADMS model default surface roughness</w:t>
      </w:r>
      <w:r w:rsidR="00257419" w:rsidRPr="009C25F6">
        <w:t xml:space="preserve"> </w:t>
      </w:r>
      <w:r w:rsidR="00257419">
        <w:t xml:space="preserve">value </w:t>
      </w:r>
      <w:r w:rsidR="00257419" w:rsidRPr="009C25F6">
        <w:t xml:space="preserve">at </w:t>
      </w:r>
      <w:r w:rsidR="00257419">
        <w:t>the dispersion site of</w:t>
      </w:r>
      <w:r w:rsidR="00257419" w:rsidRPr="009C25F6">
        <w:t xml:space="preserve"> 0.1</w:t>
      </w:r>
      <w:r w:rsidR="00257419">
        <w:t xml:space="preserve"> m was assumed </w:t>
      </w:r>
      <w:r w:rsidR="00257419" w:rsidRPr="009C25F6">
        <w:t xml:space="preserve">(corresponding to a region of root crops). </w:t>
      </w:r>
      <w:r w:rsidR="00257419">
        <w:t xml:space="preserve">It was further assumed that the surface roughness at </w:t>
      </w:r>
      <w:r w:rsidR="005872D5">
        <w:t xml:space="preserve">a </w:t>
      </w:r>
      <w:r w:rsidR="00D1099D">
        <w:t xml:space="preserve">possible </w:t>
      </w:r>
      <w:r w:rsidR="00257419">
        <w:t>meteorological measurement site was the same as at the dispersion site.</w:t>
      </w:r>
    </w:p>
    <w:p w14:paraId="20A57A8A" w14:textId="77777777" w:rsidR="00257419" w:rsidRDefault="00257419" w:rsidP="00257419">
      <w:pPr>
        <w:jc w:val="both"/>
      </w:pPr>
      <w:r>
        <w:t>The ADMS model default height (10 m) of the “recorded” wind was assumed.</w:t>
      </w:r>
    </w:p>
    <w:p w14:paraId="075AD0E9" w14:textId="77777777" w:rsidR="00257419" w:rsidRDefault="00257419" w:rsidP="00257419">
      <w:pPr>
        <w:pStyle w:val="Heading4"/>
      </w:pPr>
      <w:bookmarkStart w:id="123" w:name="_Toc79679441"/>
      <w:bookmarkStart w:id="124" w:name="_Toc89966395"/>
      <w:r>
        <w:t>Run set-up</w:t>
      </w:r>
      <w:bookmarkEnd w:id="123"/>
      <w:bookmarkEnd w:id="124"/>
    </w:p>
    <w:p w14:paraId="420D26C7" w14:textId="2A29ADAD" w:rsidR="00257419" w:rsidRDefault="00257419" w:rsidP="00257419">
      <w:pPr>
        <w:jc w:val="both"/>
      </w:pPr>
      <w:r>
        <w:t xml:space="preserve">The same meteorological conditions, as described in Section </w:t>
      </w:r>
      <w:r>
        <w:fldChar w:fldCharType="begin"/>
      </w:r>
      <w:r>
        <w:instrText xml:space="preserve"> REF _Ref71193587 \r \h </w:instrText>
      </w:r>
      <w:r>
        <w:fldChar w:fldCharType="separate"/>
      </w:r>
      <w:r w:rsidR="00926FE3">
        <w:t>4.4.1.2</w:t>
      </w:r>
      <w:r>
        <w:fldChar w:fldCharType="end"/>
      </w:r>
      <w:r>
        <w:t xml:space="preserve"> were assumed throughout a model run, for the entire release duration.</w:t>
      </w:r>
    </w:p>
    <w:p w14:paraId="0D95799C" w14:textId="6190C0A1" w:rsidR="00257419" w:rsidRDefault="00257419" w:rsidP="00257419">
      <w:pPr>
        <w:pStyle w:val="BodyText"/>
        <w:jc w:val="both"/>
      </w:pPr>
      <w:r>
        <w:t>When specifying t</w:t>
      </w:r>
      <w:r w:rsidRPr="00F15BA7">
        <w:t xml:space="preserve">ime varying emissions </w:t>
      </w:r>
      <w:r>
        <w:t xml:space="preserve">for a source term with multiple radionuclides, as was the case in this study, the source term length in hours and the number of hours of meteorology considered must be the same. </w:t>
      </w:r>
      <w:r w:rsidR="00D1099D">
        <w:t>For example</w:t>
      </w:r>
      <w:r>
        <w:t>, in the case of the LBL source term model run</w:t>
      </w:r>
      <w:r w:rsidR="00D1099D">
        <w:t>s</w:t>
      </w:r>
      <w:r>
        <w:t>, the source term length and the length of the meteorological dataset was programmed to be 30 days.</w:t>
      </w:r>
      <w:r w:rsidR="00D1099D">
        <w:t xml:space="preserve"> This is typical of Gaussian Plume modelling approaches, and</w:t>
      </w:r>
      <w:r>
        <w:t xml:space="preserve"> </w:t>
      </w:r>
      <w:r w:rsidR="00D1099D">
        <w:t xml:space="preserve">the same assumption was applied when running ADEPT. </w:t>
      </w:r>
      <w:r w:rsidR="008E2D25">
        <w:t>However,</w:t>
      </w:r>
      <w:r w:rsidR="00D1099D">
        <w:t xml:space="preserve"> when running the NAME model, to capture the “tail” of the plume, a suitable lag</w:t>
      </w:r>
      <w:r w:rsidR="0034008C">
        <w:t xml:space="preserve"> </w:t>
      </w:r>
      <w:r w:rsidR="003D481B">
        <w:t xml:space="preserve">in the meteorological data </w:t>
      </w:r>
      <w:r w:rsidR="0034008C">
        <w:t>was required</w:t>
      </w:r>
      <w:r w:rsidR="003D481B">
        <w:t xml:space="preserve"> (</w:t>
      </w:r>
      <w:r w:rsidR="00D1099D">
        <w:t>after the release was assumed to have ended</w:t>
      </w:r>
      <w:r w:rsidR="003D481B">
        <w:t>)</w:t>
      </w:r>
      <w:r w:rsidR="00D1099D">
        <w:t>.</w:t>
      </w:r>
    </w:p>
    <w:p w14:paraId="3A671CEE" w14:textId="7BD34EDE" w:rsidR="00257419" w:rsidRDefault="00257419" w:rsidP="00257419">
      <w:pPr>
        <w:jc w:val="both"/>
      </w:pPr>
      <w:r>
        <w:t xml:space="preserve">For </w:t>
      </w:r>
      <w:r w:rsidR="00306C5E">
        <w:t>all considered</w:t>
      </w:r>
      <w:r>
        <w:t xml:space="preserve"> source term</w:t>
      </w:r>
      <w:r w:rsidR="00306C5E">
        <w:t>s (where applicable)</w:t>
      </w:r>
      <w:r>
        <w:t xml:space="preserve"> it was assumed that </w:t>
      </w:r>
      <w:r w:rsidR="00306C5E">
        <w:t xml:space="preserve">all isotopes of Caesium and </w:t>
      </w:r>
      <w:r>
        <w:t>the particulate form of</w:t>
      </w:r>
      <w:r w:rsidR="00306C5E">
        <w:t xml:space="preserve"> isotopes of iodine were </w:t>
      </w:r>
      <w:r>
        <w:t xml:space="preserve">modelled as particles, and all </w:t>
      </w:r>
      <w:r w:rsidR="00306C5E">
        <w:t>noble gases</w:t>
      </w:r>
      <w:r>
        <w:t xml:space="preserve"> and </w:t>
      </w:r>
      <w:r w:rsidR="00306C5E">
        <w:t xml:space="preserve">elemental and organic </w:t>
      </w:r>
      <w:r>
        <w:t xml:space="preserve">forms of iodine </w:t>
      </w:r>
      <w:r w:rsidR="00306C5E">
        <w:t xml:space="preserve">were </w:t>
      </w:r>
      <w:r>
        <w:t>modelled as gases.</w:t>
      </w:r>
    </w:p>
    <w:p w14:paraId="20CDA656" w14:textId="307EE60E" w:rsidR="00257419" w:rsidRDefault="00257419" w:rsidP="00257419">
      <w:pPr>
        <w:jc w:val="both"/>
      </w:pPr>
      <w:r>
        <w:t xml:space="preserve">When modelling wet deposition, </w:t>
      </w:r>
      <w:r w:rsidR="00D83699">
        <w:t xml:space="preserve">model default input parameters </w:t>
      </w:r>
      <w:r>
        <w:t>were assumed, specifically Washout Coefficient A = 1 10</w:t>
      </w:r>
      <w:r w:rsidRPr="005A5231">
        <w:rPr>
          <w:vertAlign w:val="superscript"/>
        </w:rPr>
        <w:t>-</w:t>
      </w:r>
      <w:r>
        <w:rPr>
          <w:vertAlign w:val="superscript"/>
        </w:rPr>
        <w:t>4</w:t>
      </w:r>
      <w:r>
        <w:t xml:space="preserve"> and Washout Coefficient B = 6.4 10</w:t>
      </w:r>
      <w:r w:rsidRPr="005A5231">
        <w:rPr>
          <w:vertAlign w:val="superscript"/>
        </w:rPr>
        <w:t>-1</w:t>
      </w:r>
      <w:r>
        <w:t>. These assumptions were applied to all radionuclides barring noble gases. Nobles gases do not wet deposit, and therefore all washout coefficients were assumed to be 0.</w:t>
      </w:r>
    </w:p>
    <w:p w14:paraId="0C72FCD9" w14:textId="77777777" w:rsidR="00257419" w:rsidRDefault="00257419" w:rsidP="00257419">
      <w:pPr>
        <w:jc w:val="both"/>
      </w:pPr>
      <w:r>
        <w:t>The terminal velocity of modelled particles was assumed to be 0 m s</w:t>
      </w:r>
      <w:r w:rsidRPr="00A55E79">
        <w:rPr>
          <w:vertAlign w:val="superscript"/>
        </w:rPr>
        <w:t>-1</w:t>
      </w:r>
      <w:r>
        <w:t xml:space="preserve"> i.e. no gravitational settling; an appropriate assumption for particles of ~1 </w:t>
      </w:r>
      <w:r>
        <w:rPr>
          <w:rFonts w:cstheme="minorHAnsi"/>
        </w:rPr>
        <w:t>μ</w:t>
      </w:r>
      <w:r>
        <w:t xml:space="preserve">m in size. A model default mass fraction (used to consider particles of different sizes) of 1 was assumed. </w:t>
      </w:r>
    </w:p>
    <w:p w14:paraId="325ACEE0" w14:textId="3C2F9BF9" w:rsidR="00257419" w:rsidRDefault="00257419" w:rsidP="00257419">
      <w:pPr>
        <w:jc w:val="both"/>
      </w:pPr>
      <w:r>
        <w:t xml:space="preserve">Short term average </w:t>
      </w:r>
      <w:r w:rsidR="000D3711">
        <w:t xml:space="preserve">(i.e. hourly) </w:t>
      </w:r>
      <w:r>
        <w:t xml:space="preserve">output was assumed because it was necessary to determine a set of model endpoints for every line </w:t>
      </w:r>
      <w:r w:rsidR="000D3711">
        <w:t xml:space="preserve">(or hour) </w:t>
      </w:r>
      <w:r>
        <w:t>of meteorological data (as opposed to long term average output, which would include only a single set of model endpoints, averaged over all lines of meteorological data). Because of the very small number of receptor locations considered</w:t>
      </w:r>
      <w:r w:rsidR="00BC6E36">
        <w:t>,</w:t>
      </w:r>
      <w:r>
        <w:t xml:space="preserve"> an ad hoc specification of receptor points (rather than a formal grid) was assumed. A one hour model output averaging time was assumed. Output was produced via a *.pst text file. Model output included hourly values for all radionuclides specified </w:t>
      </w:r>
      <w:r w:rsidR="000D3711">
        <w:t>across considered</w:t>
      </w:r>
      <w:r>
        <w:t xml:space="preserve"> source term</w:t>
      </w:r>
      <w:r w:rsidR="000D3711">
        <w:t>s</w:t>
      </w:r>
      <w:r>
        <w:t xml:space="preserve">, plus progeny (including </w:t>
      </w:r>
      <w:r w:rsidRPr="00F436D4">
        <w:rPr>
          <w:vertAlign w:val="superscript"/>
        </w:rPr>
        <w:t>137m</w:t>
      </w:r>
      <w:r>
        <w:t>Ba). Model endpoints comprised of:</w:t>
      </w:r>
    </w:p>
    <w:p w14:paraId="60BF2A22" w14:textId="77777777" w:rsidR="00257419" w:rsidRDefault="00257419" w:rsidP="006D6FEA">
      <w:pPr>
        <w:pStyle w:val="ListParagraph"/>
        <w:numPr>
          <w:ilvl w:val="0"/>
          <w:numId w:val="6"/>
        </w:numPr>
        <w:jc w:val="both"/>
      </w:pPr>
      <w:r>
        <w:t>time averaged activity concentrations in air, in units of Bq m</w:t>
      </w:r>
      <w:r w:rsidRPr="00F436D4">
        <w:rPr>
          <w:vertAlign w:val="superscript"/>
        </w:rPr>
        <w:t>-3</w:t>
      </w:r>
    </w:p>
    <w:p w14:paraId="20C0547D" w14:textId="77777777" w:rsidR="00257419" w:rsidRPr="00F436D4" w:rsidRDefault="00257419" w:rsidP="006D6FEA">
      <w:pPr>
        <w:pStyle w:val="ListParagraph"/>
        <w:numPr>
          <w:ilvl w:val="0"/>
          <w:numId w:val="6"/>
        </w:numPr>
        <w:jc w:val="both"/>
      </w:pPr>
      <w:r>
        <w:t>deposition activity concentration rates, in units of Bq s</w:t>
      </w:r>
      <w:r w:rsidRPr="00B05B24">
        <w:rPr>
          <w:vertAlign w:val="superscript"/>
        </w:rPr>
        <w:t>-1</w:t>
      </w:r>
      <w:r>
        <w:t xml:space="preserve"> m</w:t>
      </w:r>
      <w:r w:rsidRPr="005A3627">
        <w:rPr>
          <w:vertAlign w:val="superscript"/>
        </w:rPr>
        <w:t>-</w:t>
      </w:r>
      <w:r>
        <w:rPr>
          <w:vertAlign w:val="superscript"/>
        </w:rPr>
        <w:t>2</w:t>
      </w:r>
    </w:p>
    <w:p w14:paraId="0D75F5BD" w14:textId="77777777" w:rsidR="00257419" w:rsidRDefault="00257419" w:rsidP="006D6FEA">
      <w:pPr>
        <w:pStyle w:val="ListParagraph"/>
        <w:numPr>
          <w:ilvl w:val="0"/>
          <w:numId w:val="6"/>
        </w:numPr>
        <w:jc w:val="both"/>
      </w:pPr>
      <w:r>
        <w:t>cloud gamma dose rates (represented by the term “Gam”), in units of Sv s</w:t>
      </w:r>
      <w:r w:rsidRPr="00B05B24">
        <w:rPr>
          <w:vertAlign w:val="superscript"/>
        </w:rPr>
        <w:t>-1</w:t>
      </w:r>
    </w:p>
    <w:p w14:paraId="0160FB3A" w14:textId="77777777" w:rsidR="00257419" w:rsidRDefault="00257419" w:rsidP="006D6FEA">
      <w:pPr>
        <w:pStyle w:val="ListParagraph"/>
        <w:numPr>
          <w:ilvl w:val="0"/>
          <w:numId w:val="6"/>
        </w:numPr>
        <w:jc w:val="both"/>
      </w:pPr>
      <w:r>
        <w:t>the rate of change of deposited gamma dose rates (represented by the term “GamD”), in units of Sv s</w:t>
      </w:r>
      <w:r w:rsidRPr="00B05B24">
        <w:rPr>
          <w:vertAlign w:val="superscript"/>
        </w:rPr>
        <w:t>-1</w:t>
      </w:r>
      <w:r w:rsidRPr="00B05B24">
        <w:t xml:space="preserve"> </w:t>
      </w:r>
      <w:r>
        <w:t>s</w:t>
      </w:r>
      <w:r w:rsidRPr="00B05B24">
        <w:rPr>
          <w:vertAlign w:val="superscript"/>
        </w:rPr>
        <w:t>-1</w:t>
      </w:r>
    </w:p>
    <w:p w14:paraId="00928FF4" w14:textId="77777777" w:rsidR="00257419" w:rsidRDefault="00257419" w:rsidP="00257419">
      <w:pPr>
        <w:pStyle w:val="Heading3"/>
      </w:pPr>
      <w:bookmarkStart w:id="125" w:name="_Ref71222456"/>
      <w:bookmarkStart w:id="126" w:name="_Toc79679442"/>
      <w:bookmarkStart w:id="127" w:name="_Toc89966396"/>
      <w:r>
        <w:t>Determining TIACs, integrated deposition concentrations, cloud gamma dose and deposited gamma dose</w:t>
      </w:r>
      <w:bookmarkEnd w:id="125"/>
      <w:bookmarkEnd w:id="126"/>
      <w:bookmarkEnd w:id="127"/>
    </w:p>
    <w:p w14:paraId="11A939BE" w14:textId="1466966D" w:rsidR="00257419" w:rsidRDefault="00D25730" w:rsidP="00257419">
      <w:pPr>
        <w:jc w:val="both"/>
      </w:pPr>
      <w:bookmarkStart w:id="128" w:name="_Hlk71197546"/>
      <w:r>
        <w:t>The t</w:t>
      </w:r>
      <w:r w:rsidR="00257419">
        <w:t>ime integrated activity concentration in air (TIAC) was estimated by scaling each hourly value of the time averaged activity concentrations in air by 3600 s h</w:t>
      </w:r>
      <w:r w:rsidR="00257419" w:rsidRPr="005A3627">
        <w:rPr>
          <w:vertAlign w:val="superscript"/>
        </w:rPr>
        <w:t>-1</w:t>
      </w:r>
      <w:r w:rsidR="00257419">
        <w:t>. The hourly TIAC values were then summed over all hours (of the release), to determine the total TIAC, in units of Bq s m</w:t>
      </w:r>
      <w:r w:rsidR="00257419" w:rsidRPr="005A3627">
        <w:rPr>
          <w:vertAlign w:val="superscript"/>
        </w:rPr>
        <w:t>-3</w:t>
      </w:r>
      <w:r w:rsidR="00257419">
        <w:t>.</w:t>
      </w:r>
    </w:p>
    <w:p w14:paraId="2418F28C" w14:textId="0A4C816C" w:rsidR="00257419" w:rsidRDefault="00D25730" w:rsidP="00257419">
      <w:pPr>
        <w:jc w:val="both"/>
      </w:pPr>
      <w:r>
        <w:t>The t</w:t>
      </w:r>
      <w:r w:rsidR="00257419">
        <w:t>ime integrated activity deposition concentration rates were estimated by multiplying each hourly value of the deposition activity concentration rate by 3600 s h</w:t>
      </w:r>
      <w:r w:rsidR="00257419" w:rsidRPr="005A3627">
        <w:rPr>
          <w:vertAlign w:val="superscript"/>
        </w:rPr>
        <w:t>-1</w:t>
      </w:r>
      <w:r w:rsidR="00257419">
        <w:t>. The hourly time integrated activity deposition concentration rate values were then summed over all hours (of the release), to determine the total deposition concentration, in units of Bq m</w:t>
      </w:r>
      <w:r w:rsidR="00257419" w:rsidRPr="005A3627">
        <w:rPr>
          <w:vertAlign w:val="superscript"/>
        </w:rPr>
        <w:t>-</w:t>
      </w:r>
      <w:r w:rsidR="00257419">
        <w:rPr>
          <w:vertAlign w:val="superscript"/>
        </w:rPr>
        <w:t>2</w:t>
      </w:r>
      <w:r w:rsidR="00257419">
        <w:t>.</w:t>
      </w:r>
    </w:p>
    <w:p w14:paraId="6C1D98BF" w14:textId="3BD4DB6A" w:rsidR="00257419" w:rsidRDefault="00B67FF7" w:rsidP="00257419">
      <w:pPr>
        <w:jc w:val="both"/>
      </w:pPr>
      <w:r>
        <w:t>The c</w:t>
      </w:r>
      <w:r w:rsidR="00257419">
        <w:t>loud gamma dose was estimated by scaling each hourly value of the cloud gamma dose rates by 3600 s h</w:t>
      </w:r>
      <w:r w:rsidR="00257419" w:rsidRPr="005A3627">
        <w:rPr>
          <w:vertAlign w:val="superscript"/>
        </w:rPr>
        <w:t>-1</w:t>
      </w:r>
      <w:r w:rsidR="00257419">
        <w:t>. The hourly cloud gamma dose values were then summed over all hours (of the release), to determine the total cloud gamma dose, in units of Sv.</w:t>
      </w:r>
    </w:p>
    <w:p w14:paraId="4679BC34" w14:textId="7375D8A3" w:rsidR="00257419" w:rsidRDefault="0019701C" w:rsidP="00257419">
      <w:pPr>
        <w:jc w:val="both"/>
      </w:pPr>
      <w:r>
        <w:t>The d</w:t>
      </w:r>
      <w:r w:rsidR="00257419">
        <w:t>eposited gamma dose for a single hour over the release period was estimated using the following approach:</w:t>
      </w:r>
    </w:p>
    <w:p w14:paraId="4735ECD5" w14:textId="77777777" w:rsidR="00257419" w:rsidRDefault="00257419" w:rsidP="00257419">
      <w:pPr>
        <w:ind w:firstLine="720"/>
      </w:pPr>
      <w:r>
        <w:t>Deposited Gamma Dose (Sv) = GamD x t</w:t>
      </w:r>
      <w:r w:rsidRPr="005052E5">
        <w:rPr>
          <w:vertAlign w:val="superscript"/>
        </w:rPr>
        <w:t>2</w:t>
      </w:r>
      <w:r>
        <w:t xml:space="preserve"> + D’</w:t>
      </w:r>
      <w:r>
        <w:rPr>
          <w:vertAlign w:val="subscript"/>
        </w:rPr>
        <w:t>1</w:t>
      </w:r>
      <w:r>
        <w:t xml:space="preserve"> x t + D’</w:t>
      </w:r>
      <w:r>
        <w:rPr>
          <w:vertAlign w:val="subscript"/>
        </w:rPr>
        <w:t>2</w:t>
      </w:r>
      <w:r>
        <w:t xml:space="preserve"> x (1 - e</w:t>
      </w:r>
      <w:r>
        <w:rPr>
          <w:vertAlign w:val="superscript"/>
        </w:rPr>
        <w:t>-λT</w:t>
      </w:r>
      <w:r>
        <w:t>) / λ</w:t>
      </w:r>
      <w:r>
        <w:tab/>
      </w:r>
      <w:r>
        <w:tab/>
        <w:t>(1)</w:t>
      </w:r>
    </w:p>
    <w:p w14:paraId="7ACB8E54" w14:textId="77777777" w:rsidR="00257419" w:rsidRDefault="00257419" w:rsidP="00257419">
      <w:pPr>
        <w:jc w:val="both"/>
      </w:pPr>
      <w:r>
        <w:t>Where t = time and is the number of seconds in one hour, 3600 s</w:t>
      </w:r>
    </w:p>
    <w:p w14:paraId="6E201C62" w14:textId="77777777" w:rsidR="00257419" w:rsidRDefault="00257419" w:rsidP="00257419">
      <w:pPr>
        <w:jc w:val="both"/>
      </w:pPr>
      <w:r>
        <w:t>D’</w:t>
      </w:r>
      <w:r>
        <w:rPr>
          <w:vertAlign w:val="subscript"/>
        </w:rPr>
        <w:t>1</w:t>
      </w:r>
      <w:r>
        <w:t xml:space="preserve"> is the dose rate at the beginning of each hour over the release period (Sv s</w:t>
      </w:r>
      <w:r w:rsidRPr="005052E5">
        <w:rPr>
          <w:vertAlign w:val="superscript"/>
        </w:rPr>
        <w:t>-1</w:t>
      </w:r>
      <w:r>
        <w:t>)</w:t>
      </w:r>
    </w:p>
    <w:p w14:paraId="60EDBCC8" w14:textId="77777777" w:rsidR="00257419" w:rsidRPr="005052E5" w:rsidRDefault="00257419" w:rsidP="00257419">
      <w:pPr>
        <w:jc w:val="both"/>
      </w:pPr>
      <w:r>
        <w:t>D’</w:t>
      </w:r>
      <w:r>
        <w:rPr>
          <w:vertAlign w:val="subscript"/>
        </w:rPr>
        <w:t>2</w:t>
      </w:r>
      <w:r>
        <w:t xml:space="preserve"> is the dose rate at the end of each hour over the release period (Sv s</w:t>
      </w:r>
      <w:r w:rsidRPr="005052E5">
        <w:rPr>
          <w:vertAlign w:val="superscript"/>
        </w:rPr>
        <w:t>-1</w:t>
      </w:r>
      <w:r>
        <w:t>)</w:t>
      </w:r>
    </w:p>
    <w:p w14:paraId="1B703520" w14:textId="77777777" w:rsidR="00257419" w:rsidRDefault="00257419" w:rsidP="00257419">
      <w:pPr>
        <w:jc w:val="both"/>
      </w:pPr>
      <w:r>
        <w:t>λ is the radionuclide decay constant (s</w:t>
      </w:r>
      <w:r w:rsidRPr="006B7201">
        <w:rPr>
          <w:vertAlign w:val="superscript"/>
        </w:rPr>
        <w:t>-1</w:t>
      </w:r>
      <w:r>
        <w:t>)</w:t>
      </w:r>
    </w:p>
    <w:p w14:paraId="3AB2D8C1" w14:textId="77777777" w:rsidR="00257419" w:rsidRDefault="00257419" w:rsidP="00257419">
      <w:pPr>
        <w:jc w:val="both"/>
      </w:pPr>
      <w:r>
        <w:t>T is the dose integration period (s), assuming that all of the deposition occurred at T = 0 (i.e. at the beginning of the release).</w:t>
      </w:r>
    </w:p>
    <w:p w14:paraId="7A322C91" w14:textId="77777777" w:rsidR="00257419" w:rsidRDefault="00257419" w:rsidP="00257419">
      <w:pPr>
        <w:spacing w:after="240"/>
        <w:jc w:val="both"/>
      </w:pPr>
      <w:r>
        <w:t>Subsequently the contribution to the deposited gamma dose from each hour over the release period was summed in order to determine the total deposited gamma dose.</w:t>
      </w:r>
    </w:p>
    <w:p w14:paraId="71E4A950" w14:textId="4433BCD6" w:rsidR="00257419" w:rsidRDefault="00257419" w:rsidP="00257419">
      <w:pPr>
        <w:pStyle w:val="Heading3"/>
      </w:pPr>
      <w:bookmarkStart w:id="129" w:name="_Toc79679443"/>
      <w:bookmarkStart w:id="130" w:name="_Ref81574383"/>
      <w:bookmarkStart w:id="131" w:name="_Toc89966397"/>
      <w:bookmarkEnd w:id="128"/>
      <w:r>
        <w:t>Dose a</w:t>
      </w:r>
      <w:r w:rsidRPr="00E455F9">
        <w:t>ssessment based on ADMS derived environmental concentrations</w:t>
      </w:r>
      <w:bookmarkEnd w:id="129"/>
      <w:bookmarkEnd w:id="130"/>
      <w:bookmarkEnd w:id="131"/>
    </w:p>
    <w:p w14:paraId="6C405EF7" w14:textId="77777777" w:rsidR="00257419" w:rsidRPr="00C16C9A" w:rsidRDefault="00257419" w:rsidP="00257419">
      <w:pPr>
        <w:jc w:val="both"/>
      </w:pPr>
      <w:r w:rsidRPr="00C16C9A">
        <w:t xml:space="preserve">The </w:t>
      </w:r>
      <w:r>
        <w:t>method for assessing the committed effective dose from four exposure pathways (inhalation, cloud gamma, deposited gamma and ingestion) based on environmental concentrations derived using ADMS is described below.</w:t>
      </w:r>
    </w:p>
    <w:p w14:paraId="7C882223" w14:textId="77777777" w:rsidR="00257419" w:rsidRDefault="00257419" w:rsidP="00257419">
      <w:pPr>
        <w:pStyle w:val="Heading4"/>
      </w:pPr>
      <w:bookmarkStart w:id="132" w:name="_Toc79679444"/>
      <w:bookmarkStart w:id="133" w:name="_Toc89966398"/>
      <w:r w:rsidRPr="00AE2583">
        <w:t>Internal exposure from the inhalation of material from the plume</w:t>
      </w:r>
      <w:bookmarkEnd w:id="132"/>
      <w:bookmarkEnd w:id="133"/>
    </w:p>
    <w:p w14:paraId="0D929506" w14:textId="0503F918" w:rsidR="00257419" w:rsidRDefault="00257419" w:rsidP="00257419">
      <w:pPr>
        <w:jc w:val="both"/>
      </w:pPr>
      <w:r>
        <w:t>The approach and data applied (barring the source of derived TIACs) was identical to that implemented in PACE. I</w:t>
      </w:r>
      <w:r w:rsidRPr="00FD2252">
        <w:t xml:space="preserve">nhalation dose coefficients </w:t>
      </w:r>
      <w:r>
        <w:t>we</w:t>
      </w:r>
      <w:r w:rsidRPr="00FD2252">
        <w:t>re taken from ICRP Publication 119</w:t>
      </w:r>
      <w:r>
        <w:t xml:space="preserve"> </w:t>
      </w:r>
      <w:r>
        <w:fldChar w:fldCharType="begin"/>
      </w:r>
      <w:r w:rsidR="00645742">
        <w:instrText xml:space="preserve"> ADDIN EN.CITE &lt;EndNote&gt;&lt;Cite&gt;&lt;Author&gt;ICRP&lt;/Author&gt;&lt;Year&gt;2012&lt;/Year&gt;&lt;RecNum&gt;3774&lt;/RecNum&gt;&lt;DisplayText&gt;(ICRP, 2012)&lt;/DisplayText&gt;&lt;record&gt;&lt;rec-number&gt;3774&lt;/rec-number&gt;&lt;foreign-keys&gt;&lt;key app="EN" db-id="r5f5xrrfzavsr7easp0pz0v5xxsaspratxsv" timestamp="1594742852" guid="91fb63e7-b6cc-43fa-aca8-6980007aeb2c"&gt;3774&lt;/key&gt;&lt;key app="ENWeb" db-id=""&gt;0&lt;/key&gt;&lt;/foreign-keys&gt;&lt;ref-type name="Journal Article"&gt;17&lt;/ref-type&gt;&lt;contributors&gt;&lt;authors&gt;&lt;author&gt;ICRP&lt;/author&gt;&lt;/authors&gt;&lt;/contributors&gt;&lt;titles&gt;&lt;title&gt;Compendium of dose coefficients based on ICRP Publication 60. Publication 119&lt;/title&gt;&lt;secondary-title&gt;Annals of the ICRP&lt;/secondary-title&gt;&lt;/titles&gt;&lt;periodical&gt;&lt;full-title&gt;Annals of the ICRP&lt;/full-title&gt;&lt;/periodical&gt;&lt;volume&gt;41&lt;/volume&gt;&lt;number&gt;Suppl.&lt;/number&gt;&lt;keywords&gt;&lt;keyword&gt;Dose&lt;/keyword&gt;&lt;keyword&gt;Conversion&lt;/keyword&gt;&lt;keyword&gt;Coefficients&lt;/keyword&gt;&lt;/keywords&gt;&lt;dates&gt;&lt;year&gt;2012&lt;/year&gt;&lt;/dates&gt;&lt;urls&gt;&lt;/urls&gt;&lt;/record&gt;&lt;/Cite&gt;&lt;/EndNote&gt;</w:instrText>
      </w:r>
      <w:r>
        <w:fldChar w:fldCharType="separate"/>
      </w:r>
      <w:r>
        <w:rPr>
          <w:noProof/>
        </w:rPr>
        <w:t>(ICRP, 2012)</w:t>
      </w:r>
      <w:r>
        <w:fldChar w:fldCharType="end"/>
      </w:r>
      <w:r>
        <w:t xml:space="preserve"> and</w:t>
      </w:r>
      <w:r w:rsidRPr="009C5DB3">
        <w:t xml:space="preserve"> inhalation rate</w:t>
      </w:r>
      <w:r>
        <w:t xml:space="preserve">s from </w:t>
      </w:r>
      <w:r w:rsidRPr="00FD2252">
        <w:t xml:space="preserve">ICRP Publication </w:t>
      </w:r>
      <w:r>
        <w:t xml:space="preserve">66 </w:t>
      </w:r>
      <w:r>
        <w:fldChar w:fldCharType="begin"/>
      </w:r>
      <w:r w:rsidR="00645742">
        <w:instrText xml:space="preserve"> ADDIN EN.CITE &lt;EndNote&gt;&lt;Cite&gt;&lt;Author&gt;ICRP&lt;/Author&gt;&lt;Year&gt;1994&lt;/Year&gt;&lt;RecNum&gt;5996&lt;/RecNum&gt;&lt;DisplayText&gt;(ICRP, 1994)&lt;/DisplayText&gt;&lt;record&gt;&lt;rec-number&gt;5996&lt;/rec-number&gt;&lt;foreign-keys&gt;&lt;key app="EN" db-id="r5f5xrrfzavsr7easp0pz0v5xxsaspratxsv" timestamp="1594750422" guid="6d9ad6a1-29f4-4f69-ba30-c6cc4e5310de"&gt;5996&lt;/key&gt;&lt;key app="ENWeb" db-id=""&gt;0&lt;/key&gt;&lt;/foreign-keys&gt;&lt;ref-type name="Journal Article"&gt;17&lt;/ref-type&gt;&lt;contributors&gt;&lt;authors&gt;&lt;author&gt;ICRP&lt;/author&gt;&lt;/authors&gt;&lt;/contributors&gt;&lt;titles&gt;&lt;title&gt;Human respiratory tract model for radiological protection. ICRP Publication 66&lt;/title&gt;&lt;secondary-title&gt;Annals of the ICRP&lt;/secondary-title&gt;&lt;/titles&gt;&lt;periodical&gt;&lt;full-title&gt;Annals of the ICRP&lt;/full-title&gt;&lt;/periodical&gt;&lt;volume&gt;24&lt;/volume&gt;&lt;number&gt;1-3&lt;/number&gt;&lt;keywords&gt;&lt;keyword&gt;ICRP66&lt;/keyword&gt;&lt;/keywords&gt;&lt;dates&gt;&lt;year&gt;1994&lt;/year&gt;&lt;pub-dates&gt;&lt;date&gt;1994&lt;/date&gt;&lt;/pub-dates&gt;&lt;/dates&gt;&lt;label&gt;7678&lt;/label&gt;&lt;urls&gt;&lt;/urls&gt;&lt;/record&gt;&lt;/Cite&gt;&lt;/EndNote&gt;</w:instrText>
      </w:r>
      <w:r>
        <w:fldChar w:fldCharType="separate"/>
      </w:r>
      <w:r>
        <w:rPr>
          <w:noProof/>
        </w:rPr>
        <w:t>(ICRP, 1994)</w:t>
      </w:r>
      <w:r>
        <w:fldChar w:fldCharType="end"/>
      </w:r>
      <w:r>
        <w:t>.</w:t>
      </w:r>
    </w:p>
    <w:p w14:paraId="4B6BC7D8" w14:textId="77777777" w:rsidR="00257419" w:rsidRDefault="00257419" w:rsidP="00257419">
      <w:pPr>
        <w:pStyle w:val="Heading4"/>
      </w:pPr>
      <w:bookmarkStart w:id="134" w:name="_Ref73086817"/>
      <w:bookmarkStart w:id="135" w:name="_Toc79679445"/>
      <w:bookmarkStart w:id="136" w:name="_Toc89966399"/>
      <w:r w:rsidRPr="00546757">
        <w:t>External exposure from material in the radioactive plume</w:t>
      </w:r>
      <w:bookmarkEnd w:id="134"/>
      <w:bookmarkEnd w:id="135"/>
      <w:bookmarkEnd w:id="136"/>
    </w:p>
    <w:p w14:paraId="00DE79F2" w14:textId="2B2FDED4" w:rsidR="00257419" w:rsidRDefault="00257419" w:rsidP="00257419">
      <w:pPr>
        <w:jc w:val="both"/>
        <w:rPr>
          <w:color w:val="000000"/>
        </w:rPr>
      </w:pPr>
      <w:r>
        <w:t xml:space="preserve">For all radionuclides considered barring </w:t>
      </w:r>
      <w:r w:rsidRPr="00D43B0E">
        <w:rPr>
          <w:vertAlign w:val="superscript"/>
        </w:rPr>
        <w:t>137m</w:t>
      </w:r>
      <w:r>
        <w:t>Ba, the approach applied was to multiply the external cloud gamma dose coefficients, with the TIAC</w:t>
      </w:r>
      <w:r w:rsidRPr="00D25820">
        <w:rPr>
          <w:color w:val="000000"/>
        </w:rPr>
        <w:t xml:space="preserve"> </w:t>
      </w:r>
      <w:r>
        <w:rPr>
          <w:color w:val="000000"/>
        </w:rPr>
        <w:t xml:space="preserve">values derived by manipulating ADMS model output as described in Section </w:t>
      </w:r>
      <w:r>
        <w:rPr>
          <w:color w:val="000000"/>
        </w:rPr>
        <w:fldChar w:fldCharType="begin"/>
      </w:r>
      <w:r>
        <w:rPr>
          <w:color w:val="000000"/>
        </w:rPr>
        <w:instrText xml:space="preserve"> REF _Ref71222456 \r \h </w:instrText>
      </w:r>
      <w:r>
        <w:rPr>
          <w:color w:val="000000"/>
        </w:rPr>
      </w:r>
      <w:r>
        <w:rPr>
          <w:color w:val="000000"/>
        </w:rPr>
        <w:fldChar w:fldCharType="separate"/>
      </w:r>
      <w:r w:rsidR="00926FE3">
        <w:rPr>
          <w:color w:val="000000"/>
        </w:rPr>
        <w:t>4.4.2</w:t>
      </w:r>
      <w:r>
        <w:rPr>
          <w:color w:val="000000"/>
        </w:rPr>
        <w:fldChar w:fldCharType="end"/>
      </w:r>
      <w:r>
        <w:rPr>
          <w:color w:val="000000"/>
        </w:rPr>
        <w:t xml:space="preserve">. </w:t>
      </w:r>
      <w:r>
        <w:t xml:space="preserve">The external cloud gamma dose coefficients represent the </w:t>
      </w:r>
      <w:r w:rsidRPr="005F3F89">
        <w:rPr>
          <w:color w:val="000000" w:themeColor="text1"/>
        </w:rPr>
        <w:t>effective d</w:t>
      </w:r>
      <w:r w:rsidRPr="005F3F89">
        <w:t xml:space="preserve">ose </w:t>
      </w:r>
      <w:r>
        <w:t xml:space="preserve">rate </w:t>
      </w:r>
      <w:r w:rsidRPr="005F3F89">
        <w:t xml:space="preserve">per unit </w:t>
      </w:r>
      <w:r>
        <w:t>activity concentration in air</w:t>
      </w:r>
      <w:r w:rsidRPr="005F3F89">
        <w:t xml:space="preserve"> </w:t>
      </w:r>
      <w:r>
        <w:t xml:space="preserve">(as a function of age) and were derived from </w:t>
      </w:r>
      <w:r>
        <w:fldChar w:fldCharType="begin"/>
      </w:r>
      <w:r w:rsidR="00645742">
        <w:instrText xml:space="preserve"> ADDIN EN.CITE &lt;EndNote&gt;&lt;Cite AuthorYear="1"&gt;&lt;Author&gt;Bellamy&lt;/Author&gt;&lt;Year&gt;2017&lt;/Year&gt;&lt;RecNum&gt;1274&lt;/RecNum&gt;&lt;DisplayText&gt;Bellamy et al (2017)&lt;/DisplayText&gt;&lt;record&gt;&lt;rec-number&gt;1274&lt;/rec-number&gt;&lt;foreign-keys&gt;&lt;key app="EN" db-id="r5f5xrrfzavsr7easp0pz0v5xxsaspratxsv" timestamp="1594735642" guid="173447bd-6fa0-465e-a9b3-c451bbde890e"&gt;1274&lt;/key&gt;&lt;key app="ENWeb" db-id=""&gt;0&lt;/key&gt;&lt;/foreign-keys&gt;&lt;ref-type name="Journal Article"&gt;17&lt;/ref-type&gt;&lt;contributors&gt;&lt;authors&gt;&lt;author&gt;Bellamy, M. B.&lt;/author&gt;&lt;author&gt;Veinot, K. G.&lt;/author&gt;&lt;author&gt;Hiller, M. M.&lt;/author&gt;&lt;author&gt;Dewji, S. A.&lt;/author&gt;&lt;author&gt;Eckerman, K. F.&lt;/author&gt;&lt;author&gt;Easterly, C. E.&lt;/author&gt;&lt;author&gt;Hertel, N. E.&lt;/author&gt;&lt;author&gt;Leggett, R. W.&lt;/author&gt;&lt;/authors&gt;&lt;/contributors&gt;&lt;auth-address&gt;Oak Ridge National Laboratory, Center for Radiation Protection Knowledge, P.O. Box 2008 MS 6335, Oak Ridge, TN 37831-6335, USA.&amp;#xD;Easterly Scientific, 6412 Westminster Road, Knoxville, TN 37919, USA.&amp;#xD;Y-12 National Security Complex, P.O. Box 2009 MS-8206, Oak Ridge, TN 37831-8206, USA.&amp;#xD;Georgia Institute of Technology, 770 State Street, Atlanta, GA 30332-0745, USA.&lt;/auth-address&gt;&lt;titles&gt;&lt;title&gt;Effective Dose Rate Coefficients for Immersions in Radioactive Air and Water&lt;/title&gt;&lt;secondary-title&gt;Radiation Protection Dosimetry&lt;/secondary-title&gt;&lt;alt-title&gt;Radiation protection dosimetry&lt;/alt-title&gt;&lt;/titles&gt;&lt;periodical&gt;&lt;full-title&gt;Radiation Protection Dosimetry&lt;/full-title&gt;&lt;/periodical&gt;&lt;alt-periodical&gt;&lt;full-title&gt;Radiation Protection Dosimetry&lt;/full-title&gt;&lt;/alt-periodical&gt;&lt;pages&gt;275-286&lt;/pages&gt;&lt;volume&gt;174&lt;/volume&gt;&lt;number&gt;2&lt;/number&gt;&lt;edition&gt;2016/05/07&lt;/edition&gt;&lt;dates&gt;&lt;year&gt;2017&lt;/year&gt;&lt;pub-dates&gt;&lt;date&gt;Apr 25&lt;/date&gt;&lt;/pub-dates&gt;&lt;/dates&gt;&lt;isbn&gt;0144-8420&lt;/isbn&gt;&lt;accession-num&gt;27150517&lt;/accession-num&gt;&lt;urls&gt;&lt;/urls&gt;&lt;electronic-resource-num&gt;10.1093/rpd/ncw103&lt;/electronic-resource-num&gt;&lt;remote-database-provider&gt;NLM&lt;/remote-database-provider&gt;&lt;language&gt;eng&lt;/language&gt;&lt;/record&gt;&lt;/Cite&gt;&lt;/EndNote&gt;</w:instrText>
      </w:r>
      <w:r>
        <w:fldChar w:fldCharType="separate"/>
      </w:r>
      <w:r w:rsidR="00825B2D">
        <w:rPr>
          <w:noProof/>
        </w:rPr>
        <w:t>Bellamy et al (2017)</w:t>
      </w:r>
      <w:r>
        <w:fldChar w:fldCharType="end"/>
      </w:r>
      <w:r>
        <w:t>.</w:t>
      </w:r>
    </w:p>
    <w:p w14:paraId="71F8EF89" w14:textId="455CC561" w:rsidR="00257419" w:rsidRDefault="00257419" w:rsidP="00257419">
      <w:pPr>
        <w:jc w:val="both"/>
        <w:rPr>
          <w:rFonts w:cstheme="minorHAnsi"/>
        </w:rPr>
      </w:pPr>
      <w:r>
        <w:t xml:space="preserve">For </w:t>
      </w:r>
      <w:r w:rsidRPr="00D43B0E">
        <w:rPr>
          <w:vertAlign w:val="superscript"/>
        </w:rPr>
        <w:t>137m</w:t>
      </w:r>
      <w:r>
        <w:t xml:space="preserve">Ba, the semi-infinite cloud approximation was applied (as in PACE). The semi-infinite cloud approximation is a two-staged approach. The first stage of the approach is to estimate the </w:t>
      </w:r>
      <w:r w:rsidRPr="008D6951">
        <w:rPr>
          <w:rFonts w:cstheme="minorHAnsi"/>
        </w:rPr>
        <w:t>absorbed dose rate in air</w:t>
      </w:r>
      <w:r>
        <w:rPr>
          <w:rFonts w:cstheme="minorHAnsi"/>
        </w:rPr>
        <w:t xml:space="preserve"> (Gy y</w:t>
      </w:r>
      <w:r w:rsidRPr="00D84F4A">
        <w:rPr>
          <w:rFonts w:cstheme="minorHAnsi"/>
          <w:vertAlign w:val="superscript"/>
        </w:rPr>
        <w:t>-1</w:t>
      </w:r>
      <w:r>
        <w:rPr>
          <w:rFonts w:cstheme="minorHAnsi"/>
        </w:rPr>
        <w:t xml:space="preserve">) </w:t>
      </w:r>
      <w:r>
        <w:rPr>
          <w:rFonts w:cstheme="minorHAnsi"/>
        </w:rPr>
        <w:fldChar w:fldCharType="begin"/>
      </w:r>
      <w:r w:rsidR="00645742">
        <w:rPr>
          <w:rFonts w:cstheme="minorHAnsi"/>
        </w:rPr>
        <w:instrText xml:space="preserve"> ADDIN EN.CITE &lt;EndNote&gt;&lt;Cite&gt;&lt;Author&gt;Simmonds&lt;/Author&gt;&lt;Year&gt;1995&lt;/Year&gt;&lt;RecNum&gt;1594&lt;/RecNum&gt;&lt;DisplayText&gt;(Simmonds et al, 1995)&lt;/DisplayText&gt;&lt;record&gt;&lt;rec-number&gt;1594&lt;/rec-number&gt;&lt;foreign-keys&gt;&lt;key app="EN" db-id="r5f5xrrfzavsr7easp0pz0v5xxsaspratxsv" timestamp="1594736672" guid="9da627e1-665e-4ab4-bce1-16522e7b3d6f"&gt;1594&lt;/key&gt;&lt;key app="ENWeb" db-id=""&gt;0&lt;/key&gt;&lt;/foreign-keys&gt;&lt;ref-type name="Report"&gt;27&lt;/ref-type&gt;&lt;contributors&gt;&lt;authors&gt;&lt;author&gt;Simmonds, Jane R.&lt;/author&gt;&lt;author&gt;Lawson, G.&lt;/author&gt;&lt;author&gt;Mayall, A.&lt;/author&gt;&lt;/authors&gt;&lt;tertiary-authors&gt;&lt;author&gt;European Commission,&lt;/author&gt;&lt;/tertiary-authors&gt;&lt;/contributors&gt;&lt;titles&gt;&lt;title&gt;Methodology for assessing the radiological consequences of routine releases of radionuclides to the environment&lt;/title&gt;&lt;/titles&gt;&lt;volume&gt;Radiation Protection 72&lt;/volume&gt;&lt;number&gt;Radiation Protection 72&lt;/number&gt;&lt;dates&gt;&lt;year&gt;1995&lt;/year&gt;&lt;pub-dates&gt;&lt;date&gt;1995&lt;/date&gt;&lt;/pub-dates&gt;&lt;/dates&gt;&lt;pub-location&gt;Luxembourg&lt;/pub-location&gt;&lt;publisher&gt;European Commission&lt;/publisher&gt;&lt;isbn&gt;Radiation Protection 72, EUR 15760&lt;/isbn&gt;&lt;label&gt;14078&lt;/label&gt;&lt;urls&gt;&lt;/urls&gt;&lt;/record&gt;&lt;/Cite&gt;&lt;/EndNote&gt;</w:instrText>
      </w:r>
      <w:r>
        <w:rPr>
          <w:rFonts w:cstheme="minorHAnsi"/>
        </w:rPr>
        <w:fldChar w:fldCharType="separate"/>
      </w:r>
      <w:r>
        <w:rPr>
          <w:rFonts w:cstheme="minorHAnsi"/>
          <w:noProof/>
        </w:rPr>
        <w:t>(Simmonds et al, 1995)</w:t>
      </w:r>
      <w:r>
        <w:rPr>
          <w:rFonts w:cstheme="minorHAnsi"/>
        </w:rPr>
        <w:fldChar w:fldCharType="end"/>
      </w:r>
      <w:r>
        <w:rPr>
          <w:rFonts w:cstheme="minorHAnsi"/>
        </w:rPr>
        <w:t xml:space="preserve">. It was assumed that the </w:t>
      </w:r>
      <w:r w:rsidRPr="008D6951">
        <w:rPr>
          <w:rFonts w:cstheme="minorHAnsi"/>
        </w:rPr>
        <w:t>conversion factor</w:t>
      </w:r>
      <w:r>
        <w:rPr>
          <w:rFonts w:cstheme="minorHAnsi"/>
        </w:rPr>
        <w:t xml:space="preserve">, </w:t>
      </w:r>
      <w:r w:rsidRPr="008D6951">
        <w:rPr>
          <w:rFonts w:cstheme="minorHAnsi"/>
        </w:rPr>
        <w:t>k</w:t>
      </w:r>
      <w:r w:rsidRPr="00D84F4A">
        <w:rPr>
          <w:rFonts w:cstheme="minorHAnsi"/>
          <w:vertAlign w:val="subscript"/>
        </w:rPr>
        <w:t>1</w:t>
      </w:r>
      <w:r>
        <w:rPr>
          <w:rFonts w:cstheme="minorHAnsi"/>
        </w:rPr>
        <w:t>,</w:t>
      </w:r>
      <w:r w:rsidRPr="008D6951">
        <w:rPr>
          <w:rFonts w:cstheme="minorHAnsi"/>
        </w:rPr>
        <w:t xml:space="preserve"> </w:t>
      </w:r>
      <w:r>
        <w:rPr>
          <w:rFonts w:cstheme="minorHAnsi"/>
        </w:rPr>
        <w:t xml:space="preserve">was </w:t>
      </w:r>
      <w:r w:rsidRPr="008D6951">
        <w:rPr>
          <w:rFonts w:cstheme="minorHAnsi"/>
        </w:rPr>
        <w:t>2.0 10</w:t>
      </w:r>
      <w:r w:rsidRPr="00D84F4A">
        <w:rPr>
          <w:rFonts w:cstheme="minorHAnsi"/>
          <w:vertAlign w:val="superscript"/>
        </w:rPr>
        <w:t>-6</w:t>
      </w:r>
      <w:r w:rsidRPr="008D6951">
        <w:rPr>
          <w:rFonts w:cstheme="minorHAnsi"/>
        </w:rPr>
        <w:t xml:space="preserve"> Gy y</w:t>
      </w:r>
      <w:r w:rsidRPr="00D84F4A">
        <w:rPr>
          <w:rFonts w:cstheme="minorHAnsi"/>
          <w:vertAlign w:val="superscript"/>
        </w:rPr>
        <w:t>-1</w:t>
      </w:r>
      <w:r w:rsidRPr="008D6951">
        <w:rPr>
          <w:rFonts w:cstheme="minorHAnsi"/>
        </w:rPr>
        <w:t xml:space="preserve"> per MeV m</w:t>
      </w:r>
      <w:r w:rsidRPr="00D84F4A">
        <w:rPr>
          <w:rFonts w:cstheme="minorHAnsi"/>
          <w:vertAlign w:val="superscript"/>
        </w:rPr>
        <w:t>-3</w:t>
      </w:r>
      <w:r w:rsidRPr="008D6951">
        <w:rPr>
          <w:rFonts w:cstheme="minorHAnsi"/>
        </w:rPr>
        <w:t xml:space="preserve"> s</w:t>
      </w:r>
      <w:r w:rsidRPr="00D84F4A">
        <w:rPr>
          <w:rFonts w:cstheme="minorHAnsi"/>
          <w:vertAlign w:val="superscript"/>
        </w:rPr>
        <w:t>-1</w:t>
      </w:r>
      <w:r w:rsidRPr="008D6951">
        <w:rPr>
          <w:rFonts w:cstheme="minorHAnsi"/>
        </w:rPr>
        <w:t>,</w:t>
      </w:r>
      <w:r>
        <w:rPr>
          <w:rFonts w:cstheme="minorHAnsi"/>
        </w:rPr>
        <w:t xml:space="preserve"> the number of photons of particular energies emitted per disintegration, n, was equal to</w:t>
      </w:r>
      <w:r w:rsidRPr="008D6951">
        <w:rPr>
          <w:rFonts w:cstheme="minorHAnsi"/>
        </w:rPr>
        <w:t xml:space="preserve"> 1,</w:t>
      </w:r>
      <w:r>
        <w:rPr>
          <w:rFonts w:cstheme="minorHAnsi"/>
        </w:rPr>
        <w:t xml:space="preserve"> the </w:t>
      </w:r>
      <w:r w:rsidRPr="008D6951">
        <w:rPr>
          <w:rFonts w:cstheme="minorHAnsi"/>
        </w:rPr>
        <w:t xml:space="preserve">photon </w:t>
      </w:r>
      <w:r>
        <w:rPr>
          <w:rFonts w:cstheme="minorHAnsi"/>
        </w:rPr>
        <w:t>i</w:t>
      </w:r>
      <w:r w:rsidRPr="008D6951">
        <w:rPr>
          <w:rFonts w:cstheme="minorHAnsi"/>
        </w:rPr>
        <w:t>ntensity</w:t>
      </w:r>
      <w:r>
        <w:rPr>
          <w:rFonts w:cstheme="minorHAnsi"/>
        </w:rPr>
        <w:t xml:space="preserve">, </w:t>
      </w:r>
      <w:r w:rsidRPr="008D6951">
        <w:rPr>
          <w:rFonts w:cstheme="minorHAnsi"/>
        </w:rPr>
        <w:t>I</w:t>
      </w:r>
      <w:r w:rsidRPr="00D84F4A">
        <w:rPr>
          <w:rFonts w:cstheme="minorHAnsi"/>
          <w:vertAlign w:val="subscript"/>
        </w:rPr>
        <w:t>j</w:t>
      </w:r>
      <w:r>
        <w:rPr>
          <w:rFonts w:cstheme="minorHAnsi"/>
        </w:rPr>
        <w:t>, was 8.98 10</w:t>
      </w:r>
      <w:r w:rsidRPr="00B62FB9">
        <w:rPr>
          <w:rFonts w:cstheme="minorHAnsi"/>
          <w:vertAlign w:val="superscript"/>
        </w:rPr>
        <w:t>-1</w:t>
      </w:r>
      <w:r>
        <w:rPr>
          <w:rFonts w:cstheme="minorHAnsi"/>
        </w:rPr>
        <w:t xml:space="preserve"> </w:t>
      </w:r>
      <w:r>
        <w:rPr>
          <w:rFonts w:cstheme="minorHAnsi"/>
        </w:rPr>
        <w:fldChar w:fldCharType="begin"/>
      </w:r>
      <w:r w:rsidR="00645742">
        <w:rPr>
          <w:rFonts w:cstheme="minorHAnsi"/>
        </w:rPr>
        <w:instrText xml:space="preserve"> ADDIN EN.CITE &lt;EndNote&gt;&lt;Cite&gt;&lt;Author&gt;Eckerman&lt;/Author&gt;&lt;Year&gt;1993&lt;/Year&gt;&lt;RecNum&gt;1586&lt;/RecNum&gt;&lt;DisplayText&gt;(Eckerman and Ryman, 1993)&lt;/DisplayText&gt;&lt;record&gt;&lt;rec-number&gt;1586&lt;/rec-number&gt;&lt;foreign-keys&gt;&lt;key app="EN" db-id="r5f5xrrfzavsr7easp0pz0v5xxsaspratxsv" timestamp="1594736616" guid="a7cd4783-cbf8-475c-9adb-97662ab3bb99"&gt;1586&lt;/key&gt;&lt;key app="ENWeb" db-id=""&gt;0&lt;/key&gt;&lt;/foreign-keys&gt;&lt;ref-type name="Report"&gt;27&lt;/ref-type&gt;&lt;contributors&gt;&lt;authors&gt;&lt;author&gt;Eckerman, K. F.&lt;/author&gt;&lt;author&gt;Ryman, J. C.&lt;/author&gt;&lt;/authors&gt;&lt;tertiary-authors&gt;&lt;author&gt;US EPA,&lt;/author&gt;&lt;/tertiary-authors&gt;&lt;subsidiary-authors&gt;&lt;author&gt;Office of Radiation and Indoor Air, US EPA&lt;/author&gt;&lt;/subsidiary-authors&gt;&lt;/contributors&gt;&lt;titles&gt;&lt;title&gt;External exposure to radionuclides in air, water and soil&lt;/title&gt;&lt;/titles&gt;&lt;volume&gt;Federal Guidance Report No 12&lt;/volume&gt;&lt;number&gt;Federal Guidance Report No 12&lt;/number&gt;&lt;dates&gt;&lt;year&gt;1993&lt;/year&gt;&lt;pub-dates&gt;&lt;date&gt;September 1993&lt;/date&gt;&lt;/pub-dates&gt;&lt;/dates&gt;&lt;pub-location&gt;Oak Ridge, Tennessee 37831&lt;/pub-location&gt;&lt;publisher&gt;Oak Ridge Natonal Laboratory&lt;/publisher&gt;&lt;isbn&gt;EPA-402-R-93-081&lt;/isbn&gt;&lt;label&gt;7588&lt;/label&gt;&lt;urls&gt;&lt;/urls&gt;&lt;/record&gt;&lt;/Cite&gt;&lt;/EndNote&gt;</w:instrText>
      </w:r>
      <w:r>
        <w:rPr>
          <w:rFonts w:cstheme="minorHAnsi"/>
        </w:rPr>
        <w:fldChar w:fldCharType="separate"/>
      </w:r>
      <w:r>
        <w:rPr>
          <w:rFonts w:cstheme="minorHAnsi"/>
          <w:noProof/>
        </w:rPr>
        <w:t>(Eckerman and Ryman, 1993)</w:t>
      </w:r>
      <w:r>
        <w:rPr>
          <w:rFonts w:cstheme="minorHAnsi"/>
        </w:rPr>
        <w:fldChar w:fldCharType="end"/>
      </w:r>
      <w:r>
        <w:rPr>
          <w:rFonts w:cstheme="minorHAnsi"/>
        </w:rPr>
        <w:t xml:space="preserve"> and the </w:t>
      </w:r>
      <w:r w:rsidRPr="008D6951">
        <w:rPr>
          <w:rFonts w:cstheme="minorHAnsi"/>
        </w:rPr>
        <w:t>photon energy</w:t>
      </w:r>
      <w:r>
        <w:rPr>
          <w:rFonts w:cstheme="minorHAnsi"/>
        </w:rPr>
        <w:t xml:space="preserve">, </w:t>
      </w:r>
      <w:r w:rsidRPr="008D6951">
        <w:rPr>
          <w:rFonts w:cstheme="minorHAnsi"/>
        </w:rPr>
        <w:t>E</w:t>
      </w:r>
      <w:r w:rsidRPr="00D84F4A">
        <w:rPr>
          <w:rFonts w:cstheme="minorHAnsi"/>
          <w:vertAlign w:val="subscript"/>
        </w:rPr>
        <w:t>j</w:t>
      </w:r>
      <w:r>
        <w:rPr>
          <w:rFonts w:cstheme="minorHAnsi"/>
        </w:rPr>
        <w:t>, was</w:t>
      </w:r>
      <w:r w:rsidRPr="008D6951">
        <w:rPr>
          <w:rFonts w:cstheme="minorHAnsi"/>
        </w:rPr>
        <w:t xml:space="preserve"> </w:t>
      </w:r>
      <w:r>
        <w:rPr>
          <w:rFonts w:cstheme="minorHAnsi"/>
        </w:rPr>
        <w:t>6.62 10</w:t>
      </w:r>
      <w:r w:rsidRPr="00B62FB9">
        <w:rPr>
          <w:rFonts w:cstheme="minorHAnsi"/>
          <w:vertAlign w:val="superscript"/>
        </w:rPr>
        <w:t>-1</w:t>
      </w:r>
      <w:r w:rsidRPr="008D6951">
        <w:rPr>
          <w:rFonts w:cstheme="minorHAnsi"/>
        </w:rPr>
        <w:t xml:space="preserve"> MeV</w:t>
      </w:r>
      <w:r>
        <w:rPr>
          <w:rFonts w:cstheme="minorHAnsi"/>
        </w:rPr>
        <w:t xml:space="preserve"> </w:t>
      </w:r>
      <w:r>
        <w:rPr>
          <w:rFonts w:cstheme="minorHAnsi"/>
        </w:rPr>
        <w:fldChar w:fldCharType="begin"/>
      </w:r>
      <w:r w:rsidR="00645742">
        <w:rPr>
          <w:rFonts w:cstheme="minorHAnsi"/>
        </w:rPr>
        <w:instrText xml:space="preserve"> ADDIN EN.CITE &lt;EndNote&gt;&lt;Cite&gt;&lt;Author&gt;Eckerman&lt;/Author&gt;&lt;Year&gt;1993&lt;/Year&gt;&lt;RecNum&gt;1586&lt;/RecNum&gt;&lt;DisplayText&gt;(Eckerman and Ryman, 1993)&lt;/DisplayText&gt;&lt;record&gt;&lt;rec-number&gt;1586&lt;/rec-number&gt;&lt;foreign-keys&gt;&lt;key app="EN" db-id="r5f5xrrfzavsr7easp0pz0v5xxsaspratxsv" timestamp="1594736616" guid="a7cd4783-cbf8-475c-9adb-97662ab3bb99"&gt;1586&lt;/key&gt;&lt;key app="ENWeb" db-id=""&gt;0&lt;/key&gt;&lt;/foreign-keys&gt;&lt;ref-type name="Report"&gt;27&lt;/ref-type&gt;&lt;contributors&gt;&lt;authors&gt;&lt;author&gt;Eckerman, K. F.&lt;/author&gt;&lt;author&gt;Ryman, J. C.&lt;/author&gt;&lt;/authors&gt;&lt;tertiary-authors&gt;&lt;author&gt;US EPA,&lt;/author&gt;&lt;/tertiary-authors&gt;&lt;subsidiary-authors&gt;&lt;author&gt;Office of Radiation and Indoor Air, US EPA&lt;/author&gt;&lt;/subsidiary-authors&gt;&lt;/contributors&gt;&lt;titles&gt;&lt;title&gt;External exposure to radionuclides in air, water and soil&lt;/title&gt;&lt;/titles&gt;&lt;volume&gt;Federal Guidance Report No 12&lt;/volume&gt;&lt;number&gt;Federal Guidance Report No 12&lt;/number&gt;&lt;dates&gt;&lt;year&gt;1993&lt;/year&gt;&lt;pub-dates&gt;&lt;date&gt;September 1993&lt;/date&gt;&lt;/pub-dates&gt;&lt;/dates&gt;&lt;pub-location&gt;Oak Ridge, Tennessee 37831&lt;/pub-location&gt;&lt;publisher&gt;Oak Ridge Natonal Laboratory&lt;/publisher&gt;&lt;isbn&gt;EPA-402-R-93-081&lt;/isbn&gt;&lt;label&gt;7588&lt;/label&gt;&lt;urls&gt;&lt;/urls&gt;&lt;/record&gt;&lt;/Cite&gt;&lt;/EndNote&gt;</w:instrText>
      </w:r>
      <w:r>
        <w:rPr>
          <w:rFonts w:cstheme="minorHAnsi"/>
        </w:rPr>
        <w:fldChar w:fldCharType="separate"/>
      </w:r>
      <w:r>
        <w:rPr>
          <w:rFonts w:cstheme="minorHAnsi"/>
          <w:noProof/>
        </w:rPr>
        <w:t>(Eckerman and Ryman, 1993)</w:t>
      </w:r>
      <w:r>
        <w:rPr>
          <w:rFonts w:cstheme="minorHAnsi"/>
        </w:rPr>
        <w:fldChar w:fldCharType="end"/>
      </w:r>
      <w:r>
        <w:rPr>
          <w:rFonts w:cstheme="minorHAnsi"/>
        </w:rPr>
        <w:t xml:space="preserve">. </w:t>
      </w:r>
      <w:r w:rsidRPr="008D6951">
        <w:rPr>
          <w:rFonts w:cstheme="minorHAnsi"/>
        </w:rPr>
        <w:t xml:space="preserve">The </w:t>
      </w:r>
      <w:r>
        <w:rPr>
          <w:rFonts w:cstheme="minorHAnsi"/>
        </w:rPr>
        <w:t xml:space="preserve">second stage of the approach is to multiply the </w:t>
      </w:r>
      <w:r w:rsidRPr="008D6951">
        <w:rPr>
          <w:rFonts w:cstheme="minorHAnsi"/>
        </w:rPr>
        <w:t>absorbed dose rate in air by the adult dose per unit air kerma to estimate the a</w:t>
      </w:r>
      <w:r>
        <w:rPr>
          <w:rFonts w:cstheme="minorHAnsi"/>
        </w:rPr>
        <w:t>dult effective cloud gamma dose</w:t>
      </w:r>
      <w:r w:rsidRPr="008D6951">
        <w:rPr>
          <w:rFonts w:cstheme="minorHAnsi"/>
        </w:rPr>
        <w:t>.</w:t>
      </w:r>
      <w:r>
        <w:rPr>
          <w:rFonts w:cstheme="minorHAnsi"/>
        </w:rPr>
        <w:t xml:space="preserve"> An</w:t>
      </w:r>
      <w:r w:rsidRPr="008D6951">
        <w:rPr>
          <w:rFonts w:cstheme="minorHAnsi"/>
        </w:rPr>
        <w:t xml:space="preserve"> adult dose per unit air kerma</w:t>
      </w:r>
      <w:r>
        <w:rPr>
          <w:rFonts w:cstheme="minorHAnsi"/>
        </w:rPr>
        <w:t xml:space="preserve"> of </w:t>
      </w:r>
      <w:r w:rsidRPr="00B70CB5">
        <w:rPr>
          <w:rFonts w:cstheme="minorHAnsi"/>
        </w:rPr>
        <w:t>6.90</w:t>
      </w:r>
      <w:r>
        <w:rPr>
          <w:rFonts w:cstheme="minorHAnsi"/>
        </w:rPr>
        <w:t xml:space="preserve"> 10</w:t>
      </w:r>
      <w:r w:rsidRPr="00544821">
        <w:rPr>
          <w:rFonts w:cstheme="minorHAnsi"/>
          <w:vertAlign w:val="superscript"/>
        </w:rPr>
        <w:t>-1</w:t>
      </w:r>
      <w:r>
        <w:rPr>
          <w:rFonts w:cstheme="minorHAnsi"/>
        </w:rPr>
        <w:t xml:space="preserve"> Sv Gy</w:t>
      </w:r>
      <w:r w:rsidRPr="00B70CB5">
        <w:rPr>
          <w:rFonts w:cstheme="minorHAnsi"/>
          <w:vertAlign w:val="superscript"/>
        </w:rPr>
        <w:t>-1</w:t>
      </w:r>
      <w:r>
        <w:rPr>
          <w:rFonts w:cstheme="minorHAnsi"/>
        </w:rPr>
        <w:t xml:space="preserve"> was assumed </w:t>
      </w:r>
      <w:r>
        <w:rPr>
          <w:rFonts w:cstheme="minorHAnsi"/>
        </w:rPr>
        <w:fldChar w:fldCharType="begin"/>
      </w:r>
      <w:r w:rsidR="00645742">
        <w:rPr>
          <w:rFonts w:cstheme="minorHAnsi"/>
        </w:rPr>
        <w:instrText xml:space="preserve"> ADDIN EN.CITE &lt;EndNote&gt;&lt;Cite&gt;&lt;Author&gt;ICRP&lt;/Author&gt;&lt;Year&gt;1996&lt;/Year&gt;&lt;RecNum&gt;23&lt;/RecNum&gt;&lt;DisplayText&gt;(ICRP, 1996)&lt;/DisplayText&gt;&lt;record&gt;&lt;rec-number&gt;23&lt;/rec-number&gt;&lt;foreign-keys&gt;&lt;key app="EN" db-id="r5f5xrrfzavsr7easp0pz0v5xxsaspratxsv" timestamp="1594733954" guid="91584c26-fc65-41c4-8e1b-81de77a486fb"&gt;23&lt;/key&gt;&lt;key app="ENWeb" db-id=""&gt;0&lt;/key&gt;&lt;/foreign-keys&gt;&lt;ref-type name="Journal Article"&gt;17&lt;/ref-type&gt;&lt;contributors&gt;&lt;authors&gt;&lt;author&gt;ICRP&lt;/author&gt;&lt;/authors&gt;&lt;/contributors&gt;&lt;titles&gt;&lt;title&gt;Conversion coefficients for use in radiological protection against external radiation. ICRP Publication 74&lt;/title&gt;&lt;secondary-title&gt;Annals of the ICRP&lt;/secondary-title&gt;&lt;/titles&gt;&lt;periodical&gt;&lt;full-title&gt;Annals of the ICRP&lt;/full-title&gt;&lt;/periodical&gt;&lt;volume&gt;26&lt;/volume&gt;&lt;number&gt;3-4&lt;/number&gt;&lt;keywords&gt;&lt;keyword&gt;Absorption&lt;/keyword&gt;&lt;keyword&gt;Anthropometry&lt;/keyword&gt;&lt;keyword&gt;Body Burden&lt;/keyword&gt;&lt;keyword&gt;Electrons&lt;/keyword&gt;&lt;keyword&gt;Female&lt;/keyword&gt;&lt;keyword&gt;Human&lt;/keyword&gt;&lt;keyword&gt;Linear Energy Transfer&lt;/keyword&gt;&lt;keyword&gt;Male&lt;/keyword&gt;&lt;keyword&gt;Neutrons&lt;/keyword&gt;&lt;keyword&gt;Phantoms, Imaging&lt;/keyword&gt;&lt;keyword&gt;Photons&lt;/keyword&gt;&lt;keyword&gt;Radiation: *classification&lt;/keyword&gt;&lt;keyword&gt;*Radiation Dosage&lt;/keyword&gt;&lt;keyword&gt;Radiation Monitoring: methods&lt;/keyword&gt;&lt;keyword&gt;Radiation Protection: *standards&lt;/keyword&gt;&lt;keyword&gt;Tissue Distribution&lt;/keyword&gt;&lt;/keywords&gt;&lt;dates&gt;&lt;year&gt;1996&lt;/year&gt;&lt;pub-dates&gt;&lt;date&gt;1996&lt;/date&gt;&lt;/pub-dates&gt;&lt;/dates&gt;&lt;label&gt;620&lt;/label&gt;&lt;urls&gt;&lt;/urls&gt;&lt;/record&gt;&lt;/Cite&gt;&lt;/EndNote&gt;</w:instrText>
      </w:r>
      <w:r>
        <w:rPr>
          <w:rFonts w:cstheme="minorHAnsi"/>
        </w:rPr>
        <w:fldChar w:fldCharType="separate"/>
      </w:r>
      <w:r>
        <w:rPr>
          <w:rFonts w:cstheme="minorHAnsi"/>
          <w:noProof/>
        </w:rPr>
        <w:t>(ICRP, 1996)</w:t>
      </w:r>
      <w:r>
        <w:rPr>
          <w:rFonts w:cstheme="minorHAnsi"/>
        </w:rPr>
        <w:fldChar w:fldCharType="end"/>
      </w:r>
      <w:r>
        <w:rPr>
          <w:rFonts w:cstheme="minorHAnsi"/>
        </w:rPr>
        <w:t xml:space="preserve">. </w:t>
      </w:r>
      <w:r w:rsidRPr="0037797A">
        <w:rPr>
          <w:rFonts w:cstheme="minorHAnsi"/>
        </w:rPr>
        <w:t xml:space="preserve">The cloud gamma dose rate (for each hour of the release) was then converted to cloud gamma dose. </w:t>
      </w:r>
      <w:r w:rsidR="00033C7B">
        <w:rPr>
          <w:rFonts w:cstheme="minorHAnsi"/>
        </w:rPr>
        <w:t>T</w:t>
      </w:r>
      <w:r w:rsidRPr="0037797A">
        <w:rPr>
          <w:rFonts w:cstheme="minorHAnsi"/>
        </w:rPr>
        <w:t xml:space="preserve">he contributions to dose from each hour over the entire release period were </w:t>
      </w:r>
      <w:r w:rsidR="00033C7B">
        <w:rPr>
          <w:rFonts w:cstheme="minorHAnsi"/>
        </w:rPr>
        <w:t xml:space="preserve">then </w:t>
      </w:r>
      <w:r w:rsidRPr="0037797A">
        <w:rPr>
          <w:rFonts w:cstheme="minorHAnsi"/>
        </w:rPr>
        <w:t xml:space="preserve">summed. </w:t>
      </w:r>
    </w:p>
    <w:p w14:paraId="760A4491" w14:textId="325F4480" w:rsidR="00257419" w:rsidRDefault="00257419" w:rsidP="00257419">
      <w:pPr>
        <w:autoSpaceDE w:val="0"/>
        <w:autoSpaceDN w:val="0"/>
        <w:adjustRightInd w:val="0"/>
        <w:jc w:val="both"/>
        <w:rPr>
          <w:rFonts w:cstheme="minorHAnsi"/>
        </w:rPr>
      </w:pPr>
      <w:r>
        <w:rPr>
          <w:rFonts w:cstheme="minorHAnsi"/>
        </w:rPr>
        <w:t xml:space="preserve">For both approaches described above, a reduction in the dose accounting for the effect of shielding was taken into account. It was assumed that an individual spends 10% of their time outdoors and 90% of their time indoors (during the passage of the plume), as agreed with ONR and applied in DBA assessments. Combined with an indoor location factor of 0.15 </w:t>
      </w:r>
      <w:r>
        <w:rPr>
          <w:rFonts w:cstheme="minorHAnsi"/>
        </w:rPr>
        <w:fldChar w:fldCharType="begin"/>
      </w:r>
      <w:r w:rsidR="00645742">
        <w:rPr>
          <w:rFonts w:cstheme="minorHAnsi"/>
        </w:rPr>
        <w:instrText xml:space="preserve"> ADDIN EN.CITE &lt;EndNote&gt;&lt;Cite&gt;&lt;Author&gt;Bexon&lt;/Author&gt;&lt;Year&gt;2019&lt;/Year&gt;&lt;RecNum&gt;6695&lt;/RecNum&gt;&lt;DisplayText&gt;(Bexon et al, 2019)&lt;/DisplayText&gt;&lt;record&gt;&lt;rec-number&gt;6695&lt;/rec-number&gt;&lt;foreign-keys&gt;&lt;key app="EN" db-id="r5f5xrrfzavsr7easp0pz0v5xxsaspratxsv" timestamp="1605086201" guid="54b3a69c-bcf2-466a-aca0-f9b8c4b87acf"&gt;6695&lt;/key&gt;&lt;key app="ENWeb" db-id=""&gt;0&lt;/key&gt;&lt;/foreign-keys&gt;&lt;ref-type name="Report"&gt;27&lt;/ref-type&gt;&lt;contributors&gt;&lt;authors&gt;&lt;author&gt;Bexon, Antony P.&lt;/author&gt;&lt;author&gt;Haywood, Stephanie M.&lt;/author&gt;&lt;author&gt;Mortimer, Keith&lt;/author&gt;&lt;author&gt;Bedwell, Peter&lt;/author&gt;&lt;/authors&gt;&lt;/contributors&gt;&lt;titles&gt;&lt;title&gt;REPPIR 2019 consequence assessment methodology&lt;/title&gt;&lt;secondary-title&gt;PHE-CRCE Series&lt;/secondary-title&gt;&lt;/titles&gt;&lt;volume&gt;PHE-CRCE-050&lt;/volume&gt;&lt;number&gt;PHE-CRCE-050&lt;/number&gt;&lt;dates&gt;&lt;year&gt;2019&lt;/year&gt;&lt;/dates&gt;&lt;pub-location&gt;Chilton (UK)&lt;/pub-location&gt;&lt;publisher&gt;Public Health England&lt;/publisher&gt;&lt;urls&gt;&lt;/urls&gt;&lt;/record&gt;&lt;/Cite&gt;&lt;/EndNote&gt;</w:instrText>
      </w:r>
      <w:r>
        <w:rPr>
          <w:rFonts w:cstheme="minorHAnsi"/>
        </w:rPr>
        <w:fldChar w:fldCharType="separate"/>
      </w:r>
      <w:r>
        <w:rPr>
          <w:rFonts w:cstheme="minorHAnsi"/>
          <w:noProof/>
        </w:rPr>
        <w:t>(Bexon et al, 2019)</w:t>
      </w:r>
      <w:r>
        <w:rPr>
          <w:rFonts w:cstheme="minorHAnsi"/>
        </w:rPr>
        <w:fldChar w:fldCharType="end"/>
      </w:r>
      <w:r>
        <w:rPr>
          <w:rFonts w:cstheme="minorHAnsi"/>
        </w:rPr>
        <w:t xml:space="preserve">, and an outdoor location factor of 1 </w:t>
      </w:r>
      <w:r>
        <w:rPr>
          <w:rFonts w:cstheme="minorHAnsi"/>
        </w:rPr>
        <w:fldChar w:fldCharType="begin"/>
      </w:r>
      <w:r w:rsidR="00645742">
        <w:rPr>
          <w:rFonts w:cstheme="minorHAnsi"/>
        </w:rPr>
        <w:instrText xml:space="preserve"> ADDIN EN.CITE &lt;EndNote&gt;&lt;Cite&gt;&lt;Author&gt;Bexon&lt;/Author&gt;&lt;Year&gt;2019&lt;/Year&gt;&lt;RecNum&gt;6695&lt;/RecNum&gt;&lt;DisplayText&gt;(Bexon et al, 2019)&lt;/DisplayText&gt;&lt;record&gt;&lt;rec-number&gt;6695&lt;/rec-number&gt;&lt;foreign-keys&gt;&lt;key app="EN" db-id="r5f5xrrfzavsr7easp0pz0v5xxsaspratxsv" timestamp="1605086201" guid="54b3a69c-bcf2-466a-aca0-f9b8c4b87acf"&gt;6695&lt;/key&gt;&lt;key app="ENWeb" db-id=""&gt;0&lt;/key&gt;&lt;/foreign-keys&gt;&lt;ref-type name="Report"&gt;27&lt;/ref-type&gt;&lt;contributors&gt;&lt;authors&gt;&lt;author&gt;Bexon, Antony P.&lt;/author&gt;&lt;author&gt;Haywood, Stephanie M.&lt;/author&gt;&lt;author&gt;Mortimer, Keith&lt;/author&gt;&lt;author&gt;Bedwell, Peter&lt;/author&gt;&lt;/authors&gt;&lt;/contributors&gt;&lt;titles&gt;&lt;title&gt;REPPIR 2019 consequence assessment methodology&lt;/title&gt;&lt;secondary-title&gt;PHE-CRCE Series&lt;/secondary-title&gt;&lt;/titles&gt;&lt;volume&gt;PHE-CRCE-050&lt;/volume&gt;&lt;number&gt;PHE-CRCE-050&lt;/number&gt;&lt;dates&gt;&lt;year&gt;2019&lt;/year&gt;&lt;/dates&gt;&lt;pub-location&gt;Chilton (UK)&lt;/pub-location&gt;&lt;publisher&gt;Public Health England&lt;/publisher&gt;&lt;urls&gt;&lt;/urls&gt;&lt;/record&gt;&lt;/Cite&gt;&lt;/EndNote&gt;</w:instrText>
      </w:r>
      <w:r>
        <w:rPr>
          <w:rFonts w:cstheme="minorHAnsi"/>
        </w:rPr>
        <w:fldChar w:fldCharType="separate"/>
      </w:r>
      <w:r>
        <w:rPr>
          <w:rFonts w:cstheme="minorHAnsi"/>
          <w:noProof/>
        </w:rPr>
        <w:t>(Bexon et al, 2019)</w:t>
      </w:r>
      <w:r>
        <w:rPr>
          <w:rFonts w:cstheme="minorHAnsi"/>
        </w:rPr>
        <w:fldChar w:fldCharType="end"/>
      </w:r>
      <w:r>
        <w:rPr>
          <w:rFonts w:cstheme="minorHAnsi"/>
        </w:rPr>
        <w:t xml:space="preserve">, an overall location factor of 0.235 was derived and applied in this study. This approach is deemed appropriate </w:t>
      </w:r>
      <w:r w:rsidR="00033C7B">
        <w:rPr>
          <w:rFonts w:cstheme="minorHAnsi"/>
        </w:rPr>
        <w:t xml:space="preserve">for </w:t>
      </w:r>
      <w:r>
        <w:rPr>
          <w:rFonts w:cstheme="minorHAnsi"/>
        </w:rPr>
        <w:t xml:space="preserve">the large (30 day) release duration of the LBL </w:t>
      </w:r>
      <w:r w:rsidR="00033C7B">
        <w:rPr>
          <w:rFonts w:cstheme="minorHAnsi"/>
        </w:rPr>
        <w:t xml:space="preserve">and RCCA Ejection </w:t>
      </w:r>
      <w:r>
        <w:rPr>
          <w:rFonts w:cstheme="minorHAnsi"/>
        </w:rPr>
        <w:t>source term</w:t>
      </w:r>
      <w:r w:rsidR="00033C7B">
        <w:rPr>
          <w:rFonts w:cstheme="minorHAnsi"/>
        </w:rPr>
        <w:t>s</w:t>
      </w:r>
      <w:r>
        <w:rPr>
          <w:rFonts w:cstheme="minorHAnsi"/>
        </w:rPr>
        <w:t xml:space="preserve"> (</w:t>
      </w:r>
      <w:r w:rsidR="00C04A3B">
        <w:rPr>
          <w:rFonts w:cstheme="minorHAnsi"/>
        </w:rPr>
        <w:t xml:space="preserve">noting </w:t>
      </w:r>
      <w:r>
        <w:rPr>
          <w:rFonts w:cstheme="minorHAnsi"/>
        </w:rPr>
        <w:t>that there is no accounting for protective actions in this assessment).</w:t>
      </w:r>
      <w:r w:rsidR="00033C7B">
        <w:rPr>
          <w:rFonts w:cstheme="minorHAnsi"/>
        </w:rPr>
        <w:t xml:space="preserve"> This approach is less appropriate for the source terms considered which assume a shorter release duration, notably the 8 hour SGTR source term</w:t>
      </w:r>
      <w:r w:rsidR="00C04A3B">
        <w:rPr>
          <w:rFonts w:cstheme="minorHAnsi"/>
        </w:rPr>
        <w:t>. H</w:t>
      </w:r>
      <w:r w:rsidR="00033C7B">
        <w:rPr>
          <w:rFonts w:cstheme="minorHAnsi"/>
        </w:rPr>
        <w:t>owever</w:t>
      </w:r>
      <w:r w:rsidR="00C04A3B">
        <w:rPr>
          <w:rFonts w:cstheme="minorHAnsi"/>
        </w:rPr>
        <w:t>, a consistent approach was applied throughout, and it is thought that this assumption does not significantly impact the total doses derived.</w:t>
      </w:r>
      <w:r w:rsidR="00033C7B">
        <w:rPr>
          <w:rFonts w:cstheme="minorHAnsi"/>
        </w:rPr>
        <w:t xml:space="preserve"> </w:t>
      </w:r>
    </w:p>
    <w:p w14:paraId="02F56657" w14:textId="77777777" w:rsidR="00257419" w:rsidRDefault="00257419" w:rsidP="00257419">
      <w:pPr>
        <w:jc w:val="both"/>
        <w:rPr>
          <w:rFonts w:cstheme="minorHAnsi"/>
        </w:rPr>
      </w:pPr>
      <w:r>
        <w:rPr>
          <w:rFonts w:cstheme="minorHAnsi"/>
        </w:rPr>
        <w:t xml:space="preserve">It was assumed that the cloud gamma dose to a 1 year old infant and an adult are the same. </w:t>
      </w:r>
    </w:p>
    <w:p w14:paraId="1B63CE3B" w14:textId="77777777" w:rsidR="00257419" w:rsidRDefault="00257419" w:rsidP="00257419">
      <w:pPr>
        <w:pStyle w:val="Heading4"/>
      </w:pPr>
      <w:bookmarkStart w:id="137" w:name="_Toc79679446"/>
      <w:bookmarkStart w:id="138" w:name="_Toc89966400"/>
      <w:r w:rsidRPr="00546757">
        <w:t>External exposure from material deposited on the ground</w:t>
      </w:r>
      <w:bookmarkEnd w:id="137"/>
      <w:bookmarkEnd w:id="138"/>
    </w:p>
    <w:p w14:paraId="5EEB70DF" w14:textId="39DE6556" w:rsidR="00257419" w:rsidRDefault="00257419" w:rsidP="00257419">
      <w:pPr>
        <w:jc w:val="both"/>
      </w:pPr>
      <w:r>
        <w:t xml:space="preserve">For all radionuclides barring </w:t>
      </w:r>
      <w:r w:rsidRPr="00F4450B">
        <w:rPr>
          <w:vertAlign w:val="superscript"/>
        </w:rPr>
        <w:t>137m</w:t>
      </w:r>
      <w:r>
        <w:t>Ba</w:t>
      </w:r>
      <w:r w:rsidR="00322A17">
        <w:t>,</w:t>
      </w:r>
      <w:r>
        <w:t xml:space="preserve"> the approach applied was based on effective dose rate per unit deposit coefficients</w:t>
      </w:r>
      <w:r w:rsidRPr="00F4450B">
        <w:t xml:space="preserve"> </w:t>
      </w:r>
      <w:r>
        <w:t xml:space="preserve">derived by </w:t>
      </w:r>
      <w:r>
        <w:fldChar w:fldCharType="begin">
          <w:fldData xml:space="preserve">PEVuZE5vdGU+PENpdGUgQXV0aG9yWWVhcj0iMSI+PEF1dGhvcj5WZWlub3Q8L0F1dGhvcj48WWVh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</w:fldData>
        </w:fldChar>
      </w:r>
      <w:r w:rsidR="00645742">
        <w:instrText xml:space="preserve"> ADDIN EN.CITE </w:instrText>
      </w:r>
      <w:r w:rsidR="00645742">
        <w:fldChar w:fldCharType="begin">
          <w:fldData xml:space="preserve">PEVuZE5vdGU+PENpdGUgQXV0aG9yWWVhcj0iMSI+PEF1dGhvcj5WZWlub3Q8L0F1dGhvcj48WWVh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</w:fldData>
        </w:fldChar>
      </w:r>
      <w:r w:rsidR="00645742">
        <w:instrText xml:space="preserve"> ADDIN EN.CITE.DATA </w:instrText>
      </w:r>
      <w:r w:rsidR="00645742">
        <w:fldChar w:fldCharType="end"/>
      </w:r>
      <w:r>
        <w:fldChar w:fldCharType="separate"/>
      </w:r>
      <w:r w:rsidR="00825B2D">
        <w:rPr>
          <w:noProof/>
        </w:rPr>
        <w:t>Veinot et al (2017)</w:t>
      </w:r>
      <w:r>
        <w:fldChar w:fldCharType="end"/>
      </w:r>
      <w:r>
        <w:t xml:space="preserve">. These values are a function of age (adult and 1 year old infant) and </w:t>
      </w:r>
      <w:r>
        <w:rPr>
          <w:color w:val="000000"/>
        </w:rPr>
        <w:t>are in units of Sv s</w:t>
      </w:r>
      <w:r w:rsidRPr="00220A1B">
        <w:rPr>
          <w:color w:val="000000"/>
          <w:vertAlign w:val="superscript"/>
        </w:rPr>
        <w:t>-1</w:t>
      </w:r>
      <w:r>
        <w:rPr>
          <w:color w:val="000000"/>
        </w:rPr>
        <w:t xml:space="preserve"> per Bq m</w:t>
      </w:r>
      <w:r w:rsidRPr="00220A1B">
        <w:rPr>
          <w:color w:val="000000"/>
          <w:vertAlign w:val="superscript"/>
        </w:rPr>
        <w:t>-2</w:t>
      </w:r>
      <w:r>
        <w:rPr>
          <w:color w:val="000000"/>
        </w:rPr>
        <w:t xml:space="preserve">. The </w:t>
      </w:r>
      <w:r>
        <w:t xml:space="preserve">effective dose rate per unit deposit coefficients were scaled by deposition concentration values </w:t>
      </w:r>
      <w:r>
        <w:rPr>
          <w:color w:val="000000"/>
        </w:rPr>
        <w:t xml:space="preserve">taken from the manipulated ADMS output as described in Section </w:t>
      </w:r>
      <w:r>
        <w:rPr>
          <w:color w:val="000000"/>
        </w:rPr>
        <w:fldChar w:fldCharType="begin"/>
      </w:r>
      <w:r>
        <w:rPr>
          <w:color w:val="000000"/>
        </w:rPr>
        <w:instrText xml:space="preserve"> REF _Ref71222456 \r \h </w:instrText>
      </w:r>
      <w:r>
        <w:rPr>
          <w:color w:val="000000"/>
        </w:rPr>
      </w:r>
      <w:r>
        <w:rPr>
          <w:color w:val="000000"/>
        </w:rPr>
        <w:fldChar w:fldCharType="separate"/>
      </w:r>
      <w:r w:rsidR="00926FE3">
        <w:rPr>
          <w:color w:val="000000"/>
        </w:rPr>
        <w:t>4.4.2</w:t>
      </w:r>
      <w:r>
        <w:rPr>
          <w:color w:val="000000"/>
        </w:rPr>
        <w:fldChar w:fldCharType="end"/>
      </w:r>
      <w:r>
        <w:rPr>
          <w:color w:val="000000"/>
        </w:rPr>
        <w:t xml:space="preserve">, </w:t>
      </w:r>
      <w:r>
        <w:t>the dose integration periods (</w:t>
      </w:r>
      <w:r w:rsidR="006151BE">
        <w:t xml:space="preserve">7 or </w:t>
      </w:r>
      <w:r>
        <w:t>30 days</w:t>
      </w:r>
      <w:r w:rsidR="006151BE">
        <w:t xml:space="preserve"> depending on the source term</w:t>
      </w:r>
      <w:r>
        <w:t xml:space="preserve">, 1 year and to age 70 years) in units of seconds, an overall location factor of 0.235 (see Section </w:t>
      </w:r>
      <w:r>
        <w:fldChar w:fldCharType="begin"/>
      </w:r>
      <w:r>
        <w:instrText xml:space="preserve"> REF _Ref73086817 \r \h </w:instrText>
      </w:r>
      <w:r>
        <w:fldChar w:fldCharType="separate"/>
      </w:r>
      <w:r w:rsidR="00926FE3">
        <w:t>4.4.3.2</w:t>
      </w:r>
      <w:r>
        <w:fldChar w:fldCharType="end"/>
      </w:r>
      <w:r>
        <w:t xml:space="preserve"> for details) and an integrated decay term, accounting for the radioactive decay that will occur after the process of deposition has occurred.</w:t>
      </w:r>
    </w:p>
    <w:p w14:paraId="0955F7C7" w14:textId="3CC639EB" w:rsidR="00257419" w:rsidRDefault="00257419" w:rsidP="00257419">
      <w:pPr>
        <w:jc w:val="both"/>
      </w:pPr>
      <w:r>
        <w:t xml:space="preserve">For </w:t>
      </w:r>
      <w:r w:rsidRPr="001E5A57">
        <w:rPr>
          <w:vertAlign w:val="superscript"/>
        </w:rPr>
        <w:t>137m</w:t>
      </w:r>
      <w:r>
        <w:t>Ba the approach applied was based on the integrated effective dose rate at 1 m above the ground after an instantaneous deposit of 1 Bq m</w:t>
      </w:r>
      <w:r w:rsidRPr="0064028D">
        <w:rPr>
          <w:vertAlign w:val="superscript"/>
        </w:rPr>
        <w:t>-2</w:t>
      </w:r>
      <w:r>
        <w:t xml:space="preserve"> on undisturbed soil values, derived by the GRANIS model </w:t>
      </w:r>
      <w:r>
        <w:fldChar w:fldCharType="begin"/>
      </w:r>
      <w:r w:rsidR="00645742">
        <w:instrText xml:space="preserve"> ADDIN EN.CITE &lt;EndNote&gt;&lt;Cite&gt;&lt;Author&gt;Kowe&lt;/Author&gt;&lt;Year&gt;2007&lt;/Year&gt;&lt;RecNum&gt;1581&lt;/RecNum&gt;&lt;DisplayText&gt;(Kowe et al, 2007)&lt;/DisplayText&gt;&lt;record&gt;&lt;rec-number&gt;1581&lt;/rec-number&gt;&lt;foreign-keys&gt;&lt;key app="EN" db-id="r5f5xrrfzavsr7easp0pz0v5xxsaspratxsv" timestamp="1594736601" guid="986a95d6-0a2c-46fd-87a1-8b6952bf9159"&gt;1581&lt;/key&gt;&lt;key app="ENWeb" db-id=""&gt;0&lt;/key&gt;&lt;/foreign-keys&gt;&lt;ref-type name="Report"&gt;27&lt;/ref-type&gt;&lt;contributors&gt;&lt;authors&gt;&lt;author&gt;Kowe, R.&lt;/author&gt;&lt;author&gt;Carey, A. D.&lt;/author&gt;&lt;author&gt;Jones, J. A.&lt;/author&gt;&lt;author&gt;Mobbs, S. F.&lt;/author&gt;&lt;/authors&gt;&lt;tertiary-authors&gt;&lt;author&gt;Health Protection Agency,&lt;/author&gt;&lt;/tertiary-authors&gt;&lt;/contributors&gt;&lt;titles&gt;&lt;title&gt;GRANIS: A Model for the Assessment of External Photon Irradiation from Contaminated Media of Infinite Lateral Extent&lt;/title&gt;&lt;secondary-title&gt;HPA-RPD Series&lt;/secondary-title&gt;&lt;/titles&gt;&lt;volume&gt;HPA-RPD-032&lt;/volume&gt;&lt;number&gt;HPA-RPD-032&lt;/number&gt;&lt;dates&gt;&lt;year&gt;2007&lt;/year&gt;&lt;pub-dates&gt;&lt;date&gt;2007&lt;/date&gt;&lt;/pub-dates&gt;&lt;/dates&gt;&lt;pub-location&gt;Chilton (UK)&lt;/pub-location&gt;&lt;publisher&gt;Health Protection Agency&lt;/publisher&gt;&lt;isbn&gt;HPA-RPD-032&lt;/isbn&gt;&lt;label&gt;8058&lt;/label&gt;&lt;urls&gt;&lt;/urls&gt;&lt;/record&gt;&lt;/Cite&gt;&lt;/EndNote&gt;</w:instrText>
      </w:r>
      <w:r>
        <w:fldChar w:fldCharType="separate"/>
      </w:r>
      <w:r>
        <w:rPr>
          <w:noProof/>
        </w:rPr>
        <w:t>(Kowe et al, 2007)</w:t>
      </w:r>
      <w:r>
        <w:fldChar w:fldCharType="end"/>
      </w:r>
      <w:r>
        <w:rPr>
          <w:color w:val="000000"/>
        </w:rPr>
        <w:t xml:space="preserve">. </w:t>
      </w:r>
      <w:r>
        <w:t>Values of 2.34 10</w:t>
      </w:r>
      <w:r w:rsidRPr="007408CF">
        <w:rPr>
          <w:vertAlign w:val="superscript"/>
        </w:rPr>
        <w:t>-10</w:t>
      </w:r>
      <w:r>
        <w:t xml:space="preserve"> Sv per Bq m</w:t>
      </w:r>
      <w:r w:rsidRPr="003C0BF1">
        <w:rPr>
          <w:vertAlign w:val="superscript"/>
        </w:rPr>
        <w:t>-2</w:t>
      </w:r>
      <w:r>
        <w:t xml:space="preserve"> at 7 days, 9.96 10</w:t>
      </w:r>
      <w:r>
        <w:rPr>
          <w:vertAlign w:val="superscript"/>
        </w:rPr>
        <w:noBreakHyphen/>
      </w:r>
      <w:r w:rsidRPr="007408CF">
        <w:rPr>
          <w:vertAlign w:val="superscript"/>
        </w:rPr>
        <w:t>10</w:t>
      </w:r>
      <w:r w:rsidRPr="003C0BF1">
        <w:t xml:space="preserve"> </w:t>
      </w:r>
      <w:r>
        <w:t>Sv per Bq m</w:t>
      </w:r>
      <w:r w:rsidRPr="003C0BF1">
        <w:rPr>
          <w:vertAlign w:val="superscript"/>
        </w:rPr>
        <w:t>-2</w:t>
      </w:r>
      <w:r>
        <w:t xml:space="preserve"> at 30 days, 1.14 10</w:t>
      </w:r>
      <w:r w:rsidRPr="007408CF">
        <w:rPr>
          <w:vertAlign w:val="superscript"/>
        </w:rPr>
        <w:t>-08</w:t>
      </w:r>
      <w:r>
        <w:t xml:space="preserve"> Sv per Bq m</w:t>
      </w:r>
      <w:r w:rsidRPr="003C0BF1">
        <w:rPr>
          <w:vertAlign w:val="superscript"/>
        </w:rPr>
        <w:t>-2</w:t>
      </w:r>
      <w:r>
        <w:t xml:space="preserve"> at 1 year and 1.30 10</w:t>
      </w:r>
      <w:r w:rsidRPr="007408CF">
        <w:rPr>
          <w:vertAlign w:val="superscript"/>
        </w:rPr>
        <w:t>-07</w:t>
      </w:r>
      <w:r>
        <w:t xml:space="preserve"> Sv per Bq m</w:t>
      </w:r>
      <w:r w:rsidRPr="003C0BF1">
        <w:rPr>
          <w:vertAlign w:val="superscript"/>
        </w:rPr>
        <w:t>-2</w:t>
      </w:r>
      <w:r>
        <w:t xml:space="preserve"> at 50 years were assumed. The tabulated value “to infinity” was very similar to the value at 50 years, therefore a value of 1.30 10</w:t>
      </w:r>
      <w:r w:rsidRPr="007408CF">
        <w:rPr>
          <w:vertAlign w:val="superscript"/>
        </w:rPr>
        <w:t>-07</w:t>
      </w:r>
      <w:r>
        <w:t xml:space="preserve"> Sv per Bq m</w:t>
      </w:r>
      <w:r w:rsidRPr="003C0BF1">
        <w:rPr>
          <w:vertAlign w:val="superscript"/>
        </w:rPr>
        <w:t>-2</w:t>
      </w:r>
      <w:r>
        <w:t xml:space="preserve"> was also assumed for a time period of 69 years (for one year old infant lifetime dose assessments). The external dose coefficients described were scaled by the deposition concentration values </w:t>
      </w:r>
      <w:r>
        <w:rPr>
          <w:color w:val="000000"/>
        </w:rPr>
        <w:t xml:space="preserve">taken from the manipulated ADMS output as described in Section </w:t>
      </w:r>
      <w:r>
        <w:rPr>
          <w:color w:val="000000"/>
        </w:rPr>
        <w:fldChar w:fldCharType="begin"/>
      </w:r>
      <w:r>
        <w:rPr>
          <w:color w:val="000000"/>
        </w:rPr>
        <w:instrText xml:space="preserve"> REF _Ref71222456 \r \h </w:instrText>
      </w:r>
      <w:r>
        <w:rPr>
          <w:color w:val="000000"/>
        </w:rPr>
      </w:r>
      <w:r>
        <w:rPr>
          <w:color w:val="000000"/>
        </w:rPr>
        <w:fldChar w:fldCharType="separate"/>
      </w:r>
      <w:r w:rsidR="00926FE3">
        <w:rPr>
          <w:color w:val="000000"/>
        </w:rPr>
        <w:t>4.4.2</w:t>
      </w:r>
      <w:r>
        <w:rPr>
          <w:color w:val="000000"/>
        </w:rPr>
        <w:fldChar w:fldCharType="end"/>
      </w:r>
      <w:r>
        <w:rPr>
          <w:color w:val="000000"/>
        </w:rPr>
        <w:t xml:space="preserve">. </w:t>
      </w:r>
      <w:r>
        <w:t>It was assumed, that all deposition occurred at time, t = 0 (therefore making the external dose coefficients relatively straightforward to apply). As for all other radionuclides considered, an overall location factor of 0.235 was assumed.</w:t>
      </w:r>
    </w:p>
    <w:p w14:paraId="420F3BD3" w14:textId="77777777" w:rsidR="00257419" w:rsidRDefault="00257419" w:rsidP="00257419">
      <w:pPr>
        <w:pStyle w:val="Heading4"/>
      </w:pPr>
      <w:bookmarkStart w:id="139" w:name="_Toc79679447"/>
      <w:bookmarkStart w:id="140" w:name="_Toc89966401"/>
      <w:r w:rsidRPr="00AE2583">
        <w:t>Internal exposure from ingested material</w:t>
      </w:r>
      <w:bookmarkEnd w:id="139"/>
      <w:bookmarkEnd w:id="140"/>
    </w:p>
    <w:p w14:paraId="5D76DFC6" w14:textId="3510B40F" w:rsidR="00257419" w:rsidRPr="0015221F" w:rsidRDefault="00257419" w:rsidP="00257419">
      <w:pPr>
        <w:jc w:val="both"/>
        <w:rPr>
          <w:color w:val="000000"/>
        </w:rPr>
      </w:pPr>
      <w:r>
        <w:t xml:space="preserve">The methodology applied for </w:t>
      </w:r>
      <w:r w:rsidRPr="0015221F">
        <w:t xml:space="preserve">estimating ingestion dose from the consumption of contaminated milk (and milk products) was based on </w:t>
      </w:r>
      <w:r w:rsidRPr="0015221F">
        <w:rPr>
          <w:color w:val="000000"/>
        </w:rPr>
        <w:t>time integrated activity concentration in food per unit deposit values</w:t>
      </w:r>
      <w:r w:rsidRPr="0015221F">
        <w:t xml:space="preserve"> derived using FARMLAND for accidents </w:t>
      </w:r>
      <w:r>
        <w:fldChar w:fldCharType="begin"/>
      </w:r>
      <w:r w:rsidR="00645742">
        <w:instrText xml:space="preserve"> ADDIN EN.CITE &lt;EndNote&gt;&lt;Cite&gt;&lt;Author&gt;Brown&lt;/Author&gt;&lt;Year&gt;1995&lt;/Year&gt;&lt;RecNum&gt;1936&lt;/RecNum&gt;&lt;DisplayText&gt;(Brown and Simmonds, 1995)&lt;/DisplayText&gt;&lt;record&gt;&lt;rec-number&gt;1936&lt;/rec-number&gt;&lt;foreign-keys&gt;&lt;key app="EN" db-id="r5f5xrrfzavsr7easp0pz0v5xxsaspratxsv" timestamp="1594738243" guid="cdec8a76-02f6-4d4e-9a4e-28c5ee177756"&gt;1936&lt;/key&gt;&lt;key app="ENWeb" db-id=""&gt;0&lt;/key&gt;&lt;/foreign-keys&gt;&lt;ref-type name="Report"&gt;27&lt;/ref-type&gt;&lt;contributors&gt;&lt;authors&gt;&lt;author&gt;Brown, Joanne&lt;/author&gt;&lt;author&gt;Simmonds, Jane R.&lt;/author&gt;&lt;/authors&gt;&lt;tertiary-authors&gt;&lt;author&gt;NRPB&lt;/author&gt;&lt;/tertiary-authors&gt;&lt;/contributors&gt;&lt;titles&gt;&lt;title&gt;FARMLAND: A Dynamic Model for the Transfer of Radionuclides through Terrestrial Foodchains&lt;/title&gt;&lt;secondary-title&gt;NRPB R Series&lt;/secondary-title&gt;&lt;/titles&gt;&lt;volume&gt;NRPB-R273&lt;/volume&gt;&lt;number&gt;NRPB-R273&lt;/number&gt;&lt;dates&gt;&lt;year&gt;1995&lt;/year&gt;&lt;pub-dates&gt;&lt;date&gt;1995&lt;/date&gt;&lt;/pub-dates&gt;&lt;/dates&gt;&lt;pub-location&gt;Chilton (UK)&lt;/pub-location&gt;&lt;publisher&gt;National Radiological Protection Board&lt;/publisher&gt;&lt;isbn&gt;NRPB-R273&lt;/isbn&gt;&lt;label&gt;12808&lt;/label&gt;&lt;urls&gt;&lt;/urls&gt;&lt;/record&gt;&lt;/Cite&gt;&lt;/EndNote&gt;</w:instrText>
      </w:r>
      <w:r>
        <w:fldChar w:fldCharType="separate"/>
      </w:r>
      <w:r>
        <w:rPr>
          <w:noProof/>
        </w:rPr>
        <w:t>(Brown and Simmonds, 1995)</w:t>
      </w:r>
      <w:r>
        <w:fldChar w:fldCharType="end"/>
      </w:r>
      <w:r w:rsidRPr="0015221F">
        <w:t xml:space="preserve">. The </w:t>
      </w:r>
      <w:r w:rsidRPr="0015221F">
        <w:rPr>
          <w:color w:val="000000"/>
        </w:rPr>
        <w:t xml:space="preserve">activity concentration in food per unit deposit values </w:t>
      </w:r>
      <w:r>
        <w:rPr>
          <w:color w:val="000000"/>
        </w:rPr>
        <w:t>a</w:t>
      </w:r>
      <w:r w:rsidRPr="0015221F">
        <w:rPr>
          <w:color w:val="000000"/>
        </w:rPr>
        <w:t xml:space="preserve">re a function of the integration period and are in units </w:t>
      </w:r>
      <w:r>
        <w:rPr>
          <w:color w:val="000000"/>
        </w:rPr>
        <w:t>of</w:t>
      </w:r>
      <w:r w:rsidRPr="0015221F">
        <w:rPr>
          <w:color w:val="000000"/>
        </w:rPr>
        <w:t xml:space="preserve"> Bq y kg</w:t>
      </w:r>
      <w:r w:rsidRPr="0015221F">
        <w:rPr>
          <w:color w:val="000000"/>
          <w:vertAlign w:val="superscript"/>
        </w:rPr>
        <w:t>-1</w:t>
      </w:r>
      <w:r w:rsidRPr="0015221F">
        <w:rPr>
          <w:color w:val="000000"/>
        </w:rPr>
        <w:t xml:space="preserve"> per Bq m</w:t>
      </w:r>
      <w:r w:rsidRPr="0015221F">
        <w:rPr>
          <w:color w:val="000000"/>
          <w:vertAlign w:val="superscript"/>
        </w:rPr>
        <w:t>-2</w:t>
      </w:r>
      <w:r w:rsidRPr="0015221F">
        <w:rPr>
          <w:color w:val="000000"/>
        </w:rPr>
        <w:t xml:space="preserve">. As for PACE, there </w:t>
      </w:r>
      <w:r>
        <w:rPr>
          <w:color w:val="000000"/>
        </w:rPr>
        <w:t>was</w:t>
      </w:r>
      <w:r w:rsidRPr="0015221F">
        <w:rPr>
          <w:color w:val="000000"/>
        </w:rPr>
        <w:t xml:space="preserve"> no estimated value </w:t>
      </w:r>
      <w:r w:rsidRPr="0015221F">
        <w:t>for a</w:t>
      </w:r>
      <w:r w:rsidRPr="0015221F">
        <w:rPr>
          <w:rStyle w:val="Hyperlink"/>
          <w:color w:val="auto"/>
        </w:rPr>
        <w:t xml:space="preserve"> 69 year integration period (which would be preferentially applie</w:t>
      </w:r>
      <w:r>
        <w:rPr>
          <w:rStyle w:val="Hyperlink"/>
          <w:color w:val="auto"/>
        </w:rPr>
        <w:t>d when estimating the dose to a one year old</w:t>
      </w:r>
      <w:r w:rsidRPr="0015221F">
        <w:rPr>
          <w:rStyle w:val="Hyperlink"/>
          <w:color w:val="auto"/>
        </w:rPr>
        <w:t xml:space="preserve"> infant and integrated to age 70 years); therefore the 50 year value was assumed</w:t>
      </w:r>
      <w:r>
        <w:rPr>
          <w:rStyle w:val="Hyperlink"/>
          <w:color w:val="auto"/>
        </w:rPr>
        <w:t xml:space="preserve"> (akin to PACE)</w:t>
      </w:r>
      <w:r w:rsidRPr="0015221F">
        <w:rPr>
          <w:rStyle w:val="Hyperlink"/>
          <w:color w:val="auto"/>
        </w:rPr>
        <w:t xml:space="preserve">. In the calculation of </w:t>
      </w:r>
      <w:r w:rsidRPr="0015221F">
        <w:t>effective ingestion dose</w:t>
      </w:r>
      <w:r>
        <w:t>,</w:t>
      </w:r>
      <w:r w:rsidRPr="0015221F">
        <w:rPr>
          <w:color w:val="000000"/>
        </w:rPr>
        <w:t xml:space="preserve"> the time integrated activity concentration in food per unit deposit values were scaled by </w:t>
      </w:r>
      <w:r w:rsidRPr="0015221F">
        <w:t xml:space="preserve">the integrated deposition concentration </w:t>
      </w:r>
      <w:r w:rsidRPr="0015221F">
        <w:rPr>
          <w:color w:val="000000"/>
        </w:rPr>
        <w:t xml:space="preserve">values taken from the manipulated ADMS output as described in Section </w:t>
      </w:r>
      <w:r w:rsidRPr="0015221F">
        <w:rPr>
          <w:color w:val="000000"/>
        </w:rPr>
        <w:fldChar w:fldCharType="begin"/>
      </w:r>
      <w:r w:rsidRPr="0015221F">
        <w:rPr>
          <w:color w:val="000000"/>
        </w:rPr>
        <w:instrText xml:space="preserve"> REF _Ref71222456 \r \h </w:instrText>
      </w:r>
      <w:r>
        <w:rPr>
          <w:color w:val="000000"/>
        </w:rPr>
        <w:instrText xml:space="preserve"> \* MERGEFORMAT </w:instrText>
      </w:r>
      <w:r w:rsidRPr="0015221F">
        <w:rPr>
          <w:color w:val="000000"/>
        </w:rPr>
      </w:r>
      <w:r w:rsidRPr="0015221F">
        <w:rPr>
          <w:color w:val="000000"/>
        </w:rPr>
        <w:fldChar w:fldCharType="separate"/>
      </w:r>
      <w:r w:rsidR="00926FE3">
        <w:rPr>
          <w:color w:val="000000"/>
        </w:rPr>
        <w:t>4.4.2</w:t>
      </w:r>
      <w:r w:rsidRPr="0015221F">
        <w:rPr>
          <w:color w:val="000000"/>
        </w:rPr>
        <w:fldChar w:fldCharType="end"/>
      </w:r>
      <w:r w:rsidRPr="0015221F">
        <w:rPr>
          <w:color w:val="000000"/>
        </w:rPr>
        <w:t>, the ingestion effective dose coefficient in u</w:t>
      </w:r>
      <w:r w:rsidRPr="0015221F">
        <w:t xml:space="preserve">nits </w:t>
      </w:r>
      <w:r>
        <w:t>of</w:t>
      </w:r>
      <w:r w:rsidRPr="0015221F">
        <w:t xml:space="preserve"> Sv Bq</w:t>
      </w:r>
      <w:r w:rsidRPr="0015221F">
        <w:rPr>
          <w:vertAlign w:val="superscript"/>
        </w:rPr>
        <w:t>-1</w:t>
      </w:r>
      <w:r w:rsidRPr="0015221F">
        <w:t xml:space="preserve"> </w:t>
      </w:r>
      <w:r>
        <w:fldChar w:fldCharType="begin"/>
      </w:r>
      <w:r w:rsidR="00645742">
        <w:instrText xml:space="preserve"> ADDIN EN.CITE &lt;EndNote&gt;&lt;Cite&gt;&lt;Author&gt;ICRP&lt;/Author&gt;&lt;Year&gt;2012&lt;/Year&gt;&lt;RecNum&gt;3774&lt;/RecNum&gt;&lt;DisplayText&gt;(ICRP, 2012)&lt;/DisplayText&gt;&lt;record&gt;&lt;rec-number&gt;3774&lt;/rec-number&gt;&lt;foreign-keys&gt;&lt;key app="EN" db-id="r5f5xrrfzavsr7easp0pz0v5xxsaspratxsv" timestamp="1594742852" guid="91fb63e7-b6cc-43fa-aca8-6980007aeb2c"&gt;3774&lt;/key&gt;&lt;key app="ENWeb" db-id=""&gt;0&lt;/key&gt;&lt;/foreign-keys&gt;&lt;ref-type name="Journal Article"&gt;17&lt;/ref-type&gt;&lt;contributors&gt;&lt;authors&gt;&lt;author&gt;ICRP&lt;/author&gt;&lt;/authors&gt;&lt;/contributors&gt;&lt;titles&gt;&lt;title&gt;Compendium of dose coefficients based on ICRP Publication 60. Publication 119&lt;/title&gt;&lt;secondary-title&gt;Annals of the ICRP&lt;/secondary-title&gt;&lt;/titles&gt;&lt;periodical&gt;&lt;full-title&gt;Annals of the ICRP&lt;/full-title&gt;&lt;/periodical&gt;&lt;volume&gt;41&lt;/volume&gt;&lt;number&gt;Suppl.&lt;/number&gt;&lt;keywords&gt;&lt;keyword&gt;Dose&lt;/keyword&gt;&lt;keyword&gt;Conversion&lt;/keyword&gt;&lt;keyword&gt;Coefficients&lt;/keyword&gt;&lt;/keywords&gt;&lt;dates&gt;&lt;year&gt;2012&lt;/year&gt;&lt;/dates&gt;&lt;urls&gt;&lt;/urls&gt;&lt;/record&gt;&lt;/Cite&gt;&lt;/EndNote&gt;</w:instrText>
      </w:r>
      <w:r>
        <w:fldChar w:fldCharType="separate"/>
      </w:r>
      <w:r>
        <w:rPr>
          <w:noProof/>
        </w:rPr>
        <w:t>(ICRP, 2012)</w:t>
      </w:r>
      <w:r>
        <w:fldChar w:fldCharType="end"/>
      </w:r>
      <w:r w:rsidRPr="0015221F">
        <w:t xml:space="preserve">, and the consumption rate of milk and milk products (which is a function of age) and in units </w:t>
      </w:r>
      <w:r>
        <w:t>of</w:t>
      </w:r>
      <w:r w:rsidRPr="0015221F">
        <w:t xml:space="preserve"> litres (or kg) per year</w:t>
      </w:r>
      <w:r>
        <w:t xml:space="preserve"> </w:t>
      </w:r>
      <w:r>
        <w:fldChar w:fldCharType="begin"/>
      </w:r>
      <w:r w:rsidR="00645742">
        <w:instrText xml:space="preserve"> ADDIN EN.CITE &lt;EndNote&gt;&lt;Cite&gt;&lt;Author&gt;Byrom&lt;/Author&gt;&lt;Year&gt;1995&lt;/Year&gt;&lt;RecNum&gt;8&lt;/RecNum&gt;&lt;DisplayText&gt;(Byrom et al, 1995)&lt;/DisplayText&gt;&lt;record&gt;&lt;rec-number&gt;8&lt;/rec-number&gt;&lt;foreign-keys&gt;&lt;key app="EN" db-id="r5f5xrrfzavsr7easp0pz0v5xxsaspratxsv" timestamp="1594733951" guid="bfedb348-b9c5-4c49-a9f2-ff230fb21672"&gt;8&lt;/key&gt;&lt;key app="ENWeb" db-id=""&gt;0&lt;/key&gt;&lt;/foreign-keys&gt;&lt;ref-type name="Journal Article"&gt;17&lt;/ref-type&gt;&lt;contributors&gt;&lt;authors&gt;&lt;author&gt;Byrom, J.&lt;/author&gt;&lt;author&gt;Robinson, Carol A.&lt;/author&gt;&lt;author&gt;Simmonds, Jane R.&lt;/author&gt;&lt;author&gt;Walters, B.&lt;/author&gt;&lt;author&gt;Taylor, R. R.&lt;/author&gt;&lt;/authors&gt;&lt;/contributors&gt;&lt;titles&gt;&lt;title&gt;Food Intake Rates for use in Generalised Radiological Dose Assessments&lt;/title&gt;&lt;secondary-title&gt;&lt;style face="italic" font="default" size="100%"&gt;Journal of Radiological Protection&lt;/style&gt;&lt;/secondary-title&gt;&lt;/titles&gt;&lt;periodical&gt;&lt;full-title&gt;Journal of Radiological Protection&lt;/full-title&gt;&lt;/periodical&gt;&lt;pages&gt;335-341&lt;/pages&gt;&lt;volume&gt;&lt;style face="bold" font="default" size="100%"&gt;15&lt;/style&gt;&lt;/volume&gt;&lt;number&gt;4&lt;/number&gt;&lt;dates&gt;&lt;year&gt;1995&lt;/year&gt;&lt;pub-dates&gt;&lt;date&gt;1995&lt;/date&gt;&lt;/pub-dates&gt;&lt;/dates&gt;&lt;label&gt;2568&lt;/label&gt;&lt;urls&gt;&lt;/urls&gt;&lt;/record&gt;&lt;/Cite&gt;&lt;/EndNote&gt;</w:instrText>
      </w:r>
      <w:r>
        <w:fldChar w:fldCharType="separate"/>
      </w:r>
      <w:r>
        <w:rPr>
          <w:noProof/>
        </w:rPr>
        <w:t>(Byrom et al, 1995)</w:t>
      </w:r>
      <w:r>
        <w:fldChar w:fldCharType="end"/>
      </w:r>
      <w:r w:rsidRPr="0015221F">
        <w:t>.</w:t>
      </w:r>
    </w:p>
    <w:p w14:paraId="4C8EF73D" w14:textId="3FE197CB" w:rsidR="00323D29" w:rsidRDefault="00257419" w:rsidP="0062664A">
      <w:pPr>
        <w:pStyle w:val="BodyTextEND"/>
        <w:jc w:val="both"/>
      </w:pPr>
      <w:r>
        <w:rPr>
          <w:color w:val="000000"/>
        </w:rPr>
        <w:t>The same approach, based on t</w:t>
      </w:r>
      <w:r w:rsidRPr="001D7AB0">
        <w:rPr>
          <w:color w:val="000000"/>
        </w:rPr>
        <w:t>ime integrated activity concentration in food per unit deposit</w:t>
      </w:r>
      <w:r>
        <w:rPr>
          <w:color w:val="000000"/>
        </w:rPr>
        <w:t xml:space="preserve"> values</w:t>
      </w:r>
      <w:r w:rsidRPr="001E5A57">
        <w:t xml:space="preserve"> </w:t>
      </w:r>
      <w:r w:rsidRPr="00F960E2">
        <w:t>derived using FARMLAND for accidents</w:t>
      </w:r>
      <w:r>
        <w:t xml:space="preserve">, was applied for estimating the ingestion dose from the consumption of green (and domestic) vegetables. And, as for milk, </w:t>
      </w:r>
      <w:r w:rsidRPr="003D489F">
        <w:t>the consumption rate of green and domestic vegetables was derived from</w:t>
      </w:r>
      <w:r>
        <w:rPr>
          <w:sz w:val="21"/>
          <w:szCs w:val="21"/>
        </w:rPr>
        <w:t xml:space="preserve"> </w:t>
      </w:r>
      <w:r>
        <w:fldChar w:fldCharType="begin"/>
      </w:r>
      <w:r w:rsidR="00645742">
        <w:instrText xml:space="preserve"> ADDIN EN.CITE &lt;EndNote&gt;&lt;Cite&gt;&lt;Author&gt;Byrom&lt;/Author&gt;&lt;Year&gt;1995&lt;/Year&gt;&lt;RecNum&gt;8&lt;/RecNum&gt;&lt;DisplayText&gt;(Byrom et al, 1995)&lt;/DisplayText&gt;&lt;record&gt;&lt;rec-number&gt;8&lt;/rec-number&gt;&lt;foreign-keys&gt;&lt;key app="EN" db-id="r5f5xrrfzavsr7easp0pz0v5xxsaspratxsv" timestamp="1594733951" guid="bfedb348-b9c5-4c49-a9f2-ff230fb21672"&gt;8&lt;/key&gt;&lt;key app="ENWeb" db-id=""&gt;0&lt;/key&gt;&lt;/foreign-keys&gt;&lt;ref-type name="Journal Article"&gt;17&lt;/ref-type&gt;&lt;contributors&gt;&lt;authors&gt;&lt;author&gt;Byrom, J.&lt;/author&gt;&lt;author&gt;Robinson, Carol A.&lt;/author&gt;&lt;author&gt;Simmonds, Jane R.&lt;/author&gt;&lt;author&gt;Walters, B.&lt;/author&gt;&lt;author&gt;Taylor, R. R.&lt;/author&gt;&lt;/authors&gt;&lt;/contributors&gt;&lt;titles&gt;&lt;title&gt;Food Intake Rates for use in Generalised Radiological Dose Assessments&lt;/title&gt;&lt;secondary-title&gt;&lt;style face="italic" font="default" size="100%"&gt;Journal of Radiological Protection&lt;/style&gt;&lt;/secondary-title&gt;&lt;/titles&gt;&lt;periodical&gt;&lt;full-title&gt;Journal of Radiological Protection&lt;/full-title&gt;&lt;/periodical&gt;&lt;pages&gt;335-341&lt;/pages&gt;&lt;volume&gt;&lt;style face="bold" font="default" size="100%"&gt;15&lt;/style&gt;&lt;/volume&gt;&lt;number&gt;4&lt;/number&gt;&lt;dates&gt;&lt;year&gt;1995&lt;/year&gt;&lt;pub-dates&gt;&lt;date&gt;1995&lt;/date&gt;&lt;/pub-dates&gt;&lt;/dates&gt;&lt;label&gt;2568&lt;/label&gt;&lt;urls&gt;&lt;/urls&gt;&lt;/record&gt;&lt;/Cite&gt;&lt;/EndNote&gt;</w:instrText>
      </w:r>
      <w:r>
        <w:fldChar w:fldCharType="separate"/>
      </w:r>
      <w:r>
        <w:rPr>
          <w:noProof/>
        </w:rPr>
        <w:t>(Byrom et al, 1995)</w:t>
      </w:r>
      <w:r>
        <w:fldChar w:fldCharType="end"/>
      </w:r>
      <w:r>
        <w:t>. The produce was assumed to be fresh from the “farm gate” and the release period was assumed to be June.</w:t>
      </w:r>
    </w:p>
    <w:p w14:paraId="093312BE" w14:textId="7CC7C9CD" w:rsidR="0060579F" w:rsidRDefault="0060579F" w:rsidP="00435419">
      <w:pPr>
        <w:pStyle w:val="Heading2"/>
      </w:pPr>
      <w:bookmarkStart w:id="141" w:name="_Toc89966402"/>
      <w:r>
        <w:t>Other modelling considered</w:t>
      </w:r>
      <w:bookmarkEnd w:id="141"/>
    </w:p>
    <w:p w14:paraId="1795B18A" w14:textId="3601A43E" w:rsidR="0060579F" w:rsidRPr="0060579F" w:rsidRDefault="00A12F57" w:rsidP="00CB5880">
      <w:pPr>
        <w:pStyle w:val="Heading3"/>
      </w:pPr>
      <w:bookmarkStart w:id="142" w:name="_Toc89966403"/>
      <w:r>
        <w:t>ADEPT, ADMS</w:t>
      </w:r>
      <w:r w:rsidR="001F14E1">
        <w:t xml:space="preserve"> and NAME model validation</w:t>
      </w:r>
      <w:bookmarkEnd w:id="142"/>
    </w:p>
    <w:p w14:paraId="4A8D0807" w14:textId="6E6D020B" w:rsidR="0060579F" w:rsidRDefault="0060579F" w:rsidP="00A92ECE">
      <w:pPr>
        <w:pStyle w:val="BodyText"/>
        <w:jc w:val="both"/>
      </w:pPr>
      <w:bookmarkStart w:id="143" w:name="_Hlk83797594"/>
      <w:r>
        <w:t>The fundamental approach of deriving a washout coefficient applied within wet deposition modelling across the three models (ADEPT, ADMS and NAME) considered in this study is essentially the same.</w:t>
      </w:r>
      <w:r w:rsidR="00A92ECE">
        <w:t xml:space="preserve"> </w:t>
      </w:r>
      <w:r w:rsidR="001F14E1">
        <w:rPr>
          <w:rFonts w:cstheme="minorHAnsi"/>
        </w:rPr>
        <w:t>H</w:t>
      </w:r>
      <w:r w:rsidR="00A92ECE">
        <w:rPr>
          <w:rFonts w:cstheme="minorHAnsi"/>
        </w:rPr>
        <w:t>owever</w:t>
      </w:r>
      <w:r w:rsidR="00A12F57">
        <w:rPr>
          <w:rFonts w:cstheme="minorHAnsi"/>
        </w:rPr>
        <w:t>,</w:t>
      </w:r>
      <w:r w:rsidR="00A92ECE">
        <w:rPr>
          <w:rFonts w:cstheme="minorHAnsi"/>
        </w:rPr>
        <w:t xml:space="preserve"> the </w:t>
      </w:r>
      <w:r w:rsidR="001F14E1">
        <w:rPr>
          <w:rFonts w:cstheme="minorHAnsi"/>
        </w:rPr>
        <w:t xml:space="preserve">application of the washout coefficient in the derivation of wet deposition </w:t>
      </w:r>
      <w:r w:rsidR="00A92ECE">
        <w:rPr>
          <w:rFonts w:cstheme="minorHAnsi"/>
        </w:rPr>
        <w:t>differ</w:t>
      </w:r>
      <w:r w:rsidR="001F14E1">
        <w:rPr>
          <w:rFonts w:cstheme="minorHAnsi"/>
        </w:rPr>
        <w:t>s across the different models, as does the assumed default washout coefficient constant input parameters.</w:t>
      </w:r>
      <w:r w:rsidR="00A92ECE">
        <w:rPr>
          <w:rFonts w:cstheme="minorHAnsi"/>
        </w:rPr>
        <w:t xml:space="preserve"> </w:t>
      </w:r>
      <w:r w:rsidR="001F14E1">
        <w:rPr>
          <w:rFonts w:cstheme="minorHAnsi"/>
        </w:rPr>
        <w:t xml:space="preserve">Appendix A </w:t>
      </w:r>
      <w:r w:rsidR="00A92ECE">
        <w:rPr>
          <w:rFonts w:cstheme="minorHAnsi"/>
        </w:rPr>
        <w:t xml:space="preserve">describes </w:t>
      </w:r>
      <w:r>
        <w:t xml:space="preserve">the </w:t>
      </w:r>
      <w:r w:rsidR="001F14E1">
        <w:t xml:space="preserve">wet deposition modelling approaches considered in this study and the </w:t>
      </w:r>
      <w:r>
        <w:t xml:space="preserve">validation performed in support of </w:t>
      </w:r>
      <w:r w:rsidR="001F14E1">
        <w:t xml:space="preserve">such </w:t>
      </w:r>
      <w:r>
        <w:t>modelling approaches. It was evident that there is a significant lack of such validation studies. That said, there does exist significant scientific justification for the implementation of the wet deposition methods applied</w:t>
      </w:r>
      <w:r w:rsidR="007F5840">
        <w:t>. In addition, there has been comprehensive validation of the atmospheric dispersion calculation</w:t>
      </w:r>
      <w:r w:rsidR="00A12F57">
        <w:t>s</w:t>
      </w:r>
      <w:r w:rsidR="007F5840">
        <w:t xml:space="preserve"> </w:t>
      </w:r>
      <w:r w:rsidR="00A12F57">
        <w:t>(</w:t>
      </w:r>
      <w:r w:rsidR="007F5840">
        <w:t>in the models considered</w:t>
      </w:r>
      <w:r w:rsidR="00A12F57">
        <w:t>)</w:t>
      </w:r>
      <w:r w:rsidR="001F14E1">
        <w:t>, upon which the wet deposition calculations</w:t>
      </w:r>
      <w:r w:rsidR="00A12F57">
        <w:t xml:space="preserve"> are dependent</w:t>
      </w:r>
      <w:r>
        <w:t xml:space="preserve">. </w:t>
      </w:r>
    </w:p>
    <w:p w14:paraId="126ECA58" w14:textId="2B977A8F" w:rsidR="00A92ECE" w:rsidRDefault="00A12F57" w:rsidP="00A92ECE">
      <w:pPr>
        <w:pStyle w:val="Heading3"/>
      </w:pPr>
      <w:bookmarkStart w:id="144" w:name="_Toc89966404"/>
      <w:bookmarkEnd w:id="143"/>
      <w:r>
        <w:t xml:space="preserve">The </w:t>
      </w:r>
      <w:r w:rsidR="00A92ECE">
        <w:t>Symbiose Model</w:t>
      </w:r>
      <w:bookmarkEnd w:id="144"/>
    </w:p>
    <w:p w14:paraId="73A6CF66" w14:textId="719229AC" w:rsidR="00A92ECE" w:rsidRDefault="00A92ECE" w:rsidP="00A92ECE">
      <w:pPr>
        <w:pStyle w:val="BodyText"/>
        <w:jc w:val="both"/>
      </w:pPr>
      <w:r>
        <w:t xml:space="preserve">The </w:t>
      </w:r>
      <w:r w:rsidRPr="00831D3C">
        <w:rPr>
          <w:i/>
          <w:iCs/>
        </w:rPr>
        <w:t>Symbiose</w:t>
      </w:r>
      <w:r>
        <w:t xml:space="preserve"> model was developed by IRSN and jointly funded by EDF Energy. It is relevant to the present study because the model might plausibly be used as </w:t>
      </w:r>
      <w:r w:rsidRPr="000D12F8">
        <w:t>part</w:t>
      </w:r>
      <w:r>
        <w:t xml:space="preserve"> of future DBA assessments. </w:t>
      </w:r>
      <w:r w:rsidR="009916BD">
        <w:t>UKHSA</w:t>
      </w:r>
      <w:r>
        <w:t xml:space="preserve"> does not have access to the Symbiose model itself, so no Symbiose runs were carried out during the present study. However, Symbiose model documentation was obtained, which gave an indication of the form of the model and the parameterisations and assumptions made within the model. This information was used to explain how the model might behave relative to the other models considered and is detailed in Appendix B.</w:t>
      </w:r>
    </w:p>
    <w:p w14:paraId="2679CECF" w14:textId="74491FB9" w:rsidR="00A92ECE" w:rsidRDefault="00A92ECE" w:rsidP="00A92ECE">
      <w:pPr>
        <w:pStyle w:val="BodyText"/>
        <w:jc w:val="both"/>
      </w:pPr>
      <w:r>
        <w:t xml:space="preserve">It was evident that the model is most similar to ADEPT. However, if the Symbiose model was run for the same scenarios as considered in this study, the model results may be more akin to ADMS (given that the majority of the ADEPT model results presented here include the option of “Full Duration Sigma” – see Section </w:t>
      </w:r>
      <w:r>
        <w:fldChar w:fldCharType="begin"/>
      </w:r>
      <w:r>
        <w:instrText xml:space="preserve"> REF _Ref80973325 \r \h  \* MERGEFORMAT </w:instrText>
      </w:r>
      <w:r>
        <w:fldChar w:fldCharType="separate"/>
      </w:r>
      <w:r w:rsidR="00926FE3">
        <w:t>5.3.2</w:t>
      </w:r>
      <w:r>
        <w:fldChar w:fldCharType="end"/>
      </w:r>
      <w:r>
        <w:t xml:space="preserve"> for details).</w:t>
      </w:r>
    </w:p>
    <w:p w14:paraId="3C5388C2" w14:textId="77777777" w:rsidR="00A92ECE" w:rsidRDefault="00A92ECE" w:rsidP="00A92ECE">
      <w:pPr>
        <w:pStyle w:val="BodyText"/>
        <w:jc w:val="both"/>
      </w:pPr>
    </w:p>
    <w:p w14:paraId="56008E2B" w14:textId="77777777" w:rsidR="00A92ECE" w:rsidRPr="00A92ECE" w:rsidRDefault="00A92ECE" w:rsidP="00CB5880">
      <w:pPr>
        <w:pStyle w:val="BodyText"/>
      </w:pPr>
    </w:p>
    <w:p w14:paraId="01BEF555" w14:textId="1BB9FB35" w:rsidR="00257419" w:rsidRDefault="00257419" w:rsidP="00257419">
      <w:pPr>
        <w:pStyle w:val="Heading1"/>
      </w:pPr>
      <w:bookmarkStart w:id="145" w:name="_Toc89966405"/>
      <w:r>
        <w:t>Results</w:t>
      </w:r>
      <w:r w:rsidR="00232573">
        <w:t xml:space="preserve"> and Analysis</w:t>
      </w:r>
      <w:bookmarkEnd w:id="145"/>
    </w:p>
    <w:p w14:paraId="5866B2A0" w14:textId="0EC66ADA" w:rsidR="004E5CF2" w:rsidRDefault="00232573" w:rsidP="0070564C">
      <w:pPr>
        <w:pStyle w:val="BodyText"/>
        <w:jc w:val="both"/>
      </w:pPr>
      <w:r>
        <w:t>The present study addressed three questions:</w:t>
      </w:r>
    </w:p>
    <w:p w14:paraId="3FF58B96" w14:textId="4D80B5C1" w:rsidR="00C417C6" w:rsidRPr="00A85EAB" w:rsidRDefault="00C417C6" w:rsidP="006D6FEA">
      <w:pPr>
        <w:pStyle w:val="BodyText"/>
        <w:numPr>
          <w:ilvl w:val="0"/>
          <w:numId w:val="8"/>
        </w:numPr>
        <w:jc w:val="both"/>
        <w:rPr>
          <w:i/>
          <w:iCs/>
        </w:rPr>
      </w:pPr>
      <w:r w:rsidRPr="00A85EAB">
        <w:rPr>
          <w:i/>
          <w:iCs/>
        </w:rPr>
        <w:t>When considering precipitation at different precipitation rates, in a DBA assessment, is there a cliff-edge effect in the estimates of dose?</w:t>
      </w:r>
    </w:p>
    <w:p w14:paraId="49F8D415" w14:textId="77777777" w:rsidR="00C417C6" w:rsidRPr="00A85EAB" w:rsidRDefault="00C417C6" w:rsidP="006D6FEA">
      <w:pPr>
        <w:pStyle w:val="BodyText"/>
        <w:numPr>
          <w:ilvl w:val="0"/>
          <w:numId w:val="8"/>
        </w:numPr>
        <w:jc w:val="both"/>
        <w:rPr>
          <w:i/>
          <w:iCs/>
        </w:rPr>
      </w:pPr>
      <w:r w:rsidRPr="00A85EAB">
        <w:rPr>
          <w:i/>
          <w:iCs/>
        </w:rPr>
        <w:t>Is there a lack of conservatism in the current DBA methodology (for off-site radiological consequences) as a result of typically assuming no precipitation?</w:t>
      </w:r>
    </w:p>
    <w:p w14:paraId="136207AF" w14:textId="22C355EE" w:rsidR="00232573" w:rsidRPr="00A85EAB" w:rsidRDefault="00C417C6" w:rsidP="006D6FEA">
      <w:pPr>
        <w:pStyle w:val="BodyText"/>
        <w:numPr>
          <w:ilvl w:val="0"/>
          <w:numId w:val="8"/>
        </w:numPr>
        <w:jc w:val="both"/>
        <w:rPr>
          <w:i/>
          <w:iCs/>
        </w:rPr>
      </w:pPr>
      <w:r w:rsidRPr="00A85EAB">
        <w:rPr>
          <w:i/>
          <w:iCs/>
        </w:rPr>
        <w:t xml:space="preserve">Are the </w:t>
      </w:r>
      <w:r w:rsidR="00232573" w:rsidRPr="00A85EAB">
        <w:rPr>
          <w:i/>
          <w:iCs/>
        </w:rPr>
        <w:t xml:space="preserve">current </w:t>
      </w:r>
      <w:r w:rsidRPr="00A85EAB">
        <w:rPr>
          <w:i/>
          <w:iCs/>
        </w:rPr>
        <w:t xml:space="preserve">default </w:t>
      </w:r>
      <w:r w:rsidR="00167AC4">
        <w:rPr>
          <w:i/>
          <w:iCs/>
        </w:rPr>
        <w:t xml:space="preserve">atmospheric dispersion </w:t>
      </w:r>
      <w:r w:rsidR="00232573" w:rsidRPr="00A85EAB">
        <w:rPr>
          <w:i/>
          <w:iCs/>
        </w:rPr>
        <w:t xml:space="preserve">modelling approaches </w:t>
      </w:r>
      <w:r w:rsidRPr="00A85EAB">
        <w:rPr>
          <w:i/>
          <w:iCs/>
        </w:rPr>
        <w:t xml:space="preserve">used by licensees </w:t>
      </w:r>
      <w:r w:rsidR="00232573" w:rsidRPr="00A85EAB">
        <w:rPr>
          <w:i/>
          <w:iCs/>
        </w:rPr>
        <w:t>appropriate</w:t>
      </w:r>
      <w:r w:rsidR="004E5CF2" w:rsidRPr="00A85EAB">
        <w:rPr>
          <w:i/>
          <w:iCs/>
        </w:rPr>
        <w:t xml:space="preserve"> for DBA use</w:t>
      </w:r>
      <w:r w:rsidRPr="00A85EAB">
        <w:rPr>
          <w:i/>
          <w:iCs/>
        </w:rPr>
        <w:t>?</w:t>
      </w:r>
    </w:p>
    <w:p w14:paraId="33061892" w14:textId="4C298036" w:rsidR="004E5CF2" w:rsidRDefault="004E5CF2" w:rsidP="0070564C">
      <w:pPr>
        <w:pStyle w:val="BodyTextEND"/>
        <w:jc w:val="both"/>
      </w:pPr>
      <w:r>
        <w:t>Each of th</w:t>
      </w:r>
      <w:r w:rsidR="00667466">
        <w:t>o</w:t>
      </w:r>
      <w:r>
        <w:t>se questions is dealt with in turn below</w:t>
      </w:r>
      <w:r w:rsidR="00C4587E">
        <w:t>,</w:t>
      </w:r>
      <w:r>
        <w:t xml:space="preserve"> and the relevant results are presented.</w:t>
      </w:r>
    </w:p>
    <w:p w14:paraId="4FBEFE5E" w14:textId="27F6E991" w:rsidR="004E5CF2" w:rsidRDefault="004E5CF2" w:rsidP="004E5CF2">
      <w:pPr>
        <w:pStyle w:val="Heading2"/>
      </w:pPr>
      <w:bookmarkStart w:id="146" w:name="_Ref80369746"/>
      <w:bookmarkStart w:id="147" w:name="_Toc89966406"/>
      <w:r>
        <w:t>Is there a</w:t>
      </w:r>
      <w:r w:rsidR="00A85EAB">
        <w:t xml:space="preserve"> </w:t>
      </w:r>
      <w:r>
        <w:t xml:space="preserve">cliff-edge effect </w:t>
      </w:r>
      <w:r w:rsidR="0070564C">
        <w:t xml:space="preserve">when considering </w:t>
      </w:r>
      <w:r>
        <w:t>precipitation?</w:t>
      </w:r>
      <w:bookmarkEnd w:id="146"/>
      <w:bookmarkEnd w:id="147"/>
    </w:p>
    <w:p w14:paraId="638F0327" w14:textId="77777777" w:rsidR="008E0C66" w:rsidRDefault="0080079E" w:rsidP="0070564C">
      <w:pPr>
        <w:pStyle w:val="BodyText"/>
        <w:jc w:val="both"/>
      </w:pPr>
      <w:r>
        <w:t>This question sought to investigate whether an increase in precipitation might lead to a sudden</w:t>
      </w:r>
      <w:r w:rsidR="006E5BE3">
        <w:t xml:space="preserve"> significant</w:t>
      </w:r>
      <w:r>
        <w:t xml:space="preserve"> increase in the </w:t>
      </w:r>
      <w:r w:rsidR="006E5BE3">
        <w:t xml:space="preserve">estimated </w:t>
      </w:r>
      <w:r>
        <w:t>dose.</w:t>
      </w:r>
    </w:p>
    <w:p w14:paraId="0343CDF9" w14:textId="6237289C" w:rsidR="008E0C66" w:rsidRPr="007874B5" w:rsidRDefault="008E0C66" w:rsidP="0070564C">
      <w:pPr>
        <w:pStyle w:val="BodyText"/>
        <w:jc w:val="both"/>
      </w:pPr>
      <w:r w:rsidRPr="008E0C66">
        <w:t xml:space="preserve">In </w:t>
      </w:r>
      <w:r w:rsidR="00AA4B5D">
        <w:t>this</w:t>
      </w:r>
      <w:r w:rsidRPr="008E0C66">
        <w:t xml:space="preserve"> study, the phrase “cliff-edge effect” has been interpreted in the conventional sense of a sudden large change in output caused by a small change in input. If the phrase is </w:t>
      </w:r>
      <w:r w:rsidR="00473B8F">
        <w:t>interpreted</w:t>
      </w:r>
      <w:r w:rsidRPr="008E0C66">
        <w:t xml:space="preserve"> more broadly to include a large difference in predicted dose between scenarios of moderate precipitation and zero precipitation, then it would be outside the scope of the investigation described. Whether a “cliff-edge effect” exists in that broader sense can be judged by reference to the subsequent sections. An example would be </w:t>
      </w:r>
      <w:r>
        <w:fldChar w:fldCharType="begin"/>
      </w:r>
      <w:r>
        <w:instrText xml:space="preserve"> REF _Ref81408042 \h </w:instrText>
      </w:r>
      <w:r>
        <w:fldChar w:fldCharType="separate"/>
      </w:r>
      <w:r w:rsidR="00926FE3">
        <w:t xml:space="preserve">Figure </w:t>
      </w:r>
      <w:r w:rsidR="00926FE3">
        <w:rPr>
          <w:noProof/>
        </w:rPr>
        <w:t>11</w:t>
      </w:r>
      <w:r>
        <w:fldChar w:fldCharType="end"/>
      </w:r>
      <w:r w:rsidR="00473B8F">
        <w:t>.</w:t>
      </w:r>
      <w:r w:rsidRPr="008E0C66">
        <w:t xml:space="preserve"> </w:t>
      </w:r>
      <w:r w:rsidR="00473B8F">
        <w:t>This</w:t>
      </w:r>
      <w:r w:rsidRPr="008E0C66">
        <w:t xml:space="preserve"> shows the modelled dose </w:t>
      </w:r>
      <w:r w:rsidR="00473B8F">
        <w:t>being</w:t>
      </w:r>
      <w:r w:rsidRPr="008E0C66">
        <w:t xml:space="preserve"> significantly greater </w:t>
      </w:r>
      <w:r w:rsidR="00473B8F">
        <w:t xml:space="preserve">for scenarios with light precipitation </w:t>
      </w:r>
      <w:r w:rsidRPr="008E0C66">
        <w:t xml:space="preserve">than </w:t>
      </w:r>
      <w:r w:rsidR="00473B8F">
        <w:t>those with</w:t>
      </w:r>
      <w:r w:rsidRPr="008E0C66">
        <w:t xml:space="preserve"> zero precipitation.</w:t>
      </w:r>
      <w:r w:rsidR="007874B5">
        <w:t xml:space="preserve"> Although </w:t>
      </w:r>
      <w:r w:rsidR="007874B5">
        <w:fldChar w:fldCharType="begin"/>
      </w:r>
      <w:r w:rsidR="007874B5">
        <w:instrText xml:space="preserve"> REF _Ref81408042 \h </w:instrText>
      </w:r>
      <w:r w:rsidR="007874B5">
        <w:fldChar w:fldCharType="separate"/>
      </w:r>
      <w:r w:rsidR="00926FE3">
        <w:t xml:space="preserve">Figure </w:t>
      </w:r>
      <w:r w:rsidR="00926FE3">
        <w:rPr>
          <w:noProof/>
        </w:rPr>
        <w:t>11</w:t>
      </w:r>
      <w:r w:rsidR="007874B5">
        <w:fldChar w:fldCharType="end"/>
      </w:r>
      <w:r w:rsidR="007874B5">
        <w:t xml:space="preserve"> may appear to show a cliff-edge effect in the broader sense, it is also important to remember that the doses shown</w:t>
      </w:r>
      <w:r w:rsidR="005D7002">
        <w:t xml:space="preserve"> in the figure</w:t>
      </w:r>
      <w:r w:rsidR="007874B5">
        <w:t xml:space="preserve"> were calculated on the assumption that </w:t>
      </w:r>
      <w:r w:rsidR="005D7002">
        <w:t>each</w:t>
      </w:r>
      <w:r w:rsidR="007874B5">
        <w:t xml:space="preserve"> given precipitation rate persisted for the full 30-day duration of the release. A change in precipitation rate from zero to 1 mm h</w:t>
      </w:r>
      <w:r w:rsidR="007874B5">
        <w:rPr>
          <w:vertAlign w:val="superscript"/>
        </w:rPr>
        <w:t>-1</w:t>
      </w:r>
      <w:r w:rsidR="007874B5">
        <w:t xml:space="preserve"> may at first sight seem relatively </w:t>
      </w:r>
      <w:r w:rsidR="008D23A5">
        <w:t>small</w:t>
      </w:r>
      <w:r w:rsidR="005D7002">
        <w:t xml:space="preserve">, but that is not what the figure is showing. </w:t>
      </w:r>
      <w:r w:rsidR="005D7002">
        <w:fldChar w:fldCharType="begin"/>
      </w:r>
      <w:r w:rsidR="005D7002">
        <w:instrText xml:space="preserve"> REF _Ref81408042 \h </w:instrText>
      </w:r>
      <w:r w:rsidR="005D7002">
        <w:fldChar w:fldCharType="separate"/>
      </w:r>
      <w:r w:rsidR="00926FE3">
        <w:t xml:space="preserve">Figure </w:t>
      </w:r>
      <w:r w:rsidR="00926FE3">
        <w:rPr>
          <w:noProof/>
        </w:rPr>
        <w:t>11</w:t>
      </w:r>
      <w:r w:rsidR="005D7002">
        <w:fldChar w:fldCharType="end"/>
      </w:r>
      <w:r w:rsidR="005D7002">
        <w:t xml:space="preserve"> is showing the effect of changing from a scenario of </w:t>
      </w:r>
      <w:r w:rsidR="007874B5">
        <w:t xml:space="preserve">zero </w:t>
      </w:r>
      <w:r w:rsidR="005D7002">
        <w:t xml:space="preserve">precipitation </w:t>
      </w:r>
      <w:r w:rsidR="007874B5">
        <w:t xml:space="preserve">to a </w:t>
      </w:r>
      <w:r w:rsidR="005D7002">
        <w:t>scenario</w:t>
      </w:r>
      <w:r w:rsidR="007874B5">
        <w:t xml:space="preserve"> in which there is constant</w:t>
      </w:r>
      <w:r w:rsidR="005D7002">
        <w:t xml:space="preserve"> 1 mm h</w:t>
      </w:r>
      <w:r w:rsidR="005D7002">
        <w:rPr>
          <w:vertAlign w:val="superscript"/>
        </w:rPr>
        <w:t>-1</w:t>
      </w:r>
      <w:r w:rsidR="007874B5">
        <w:t xml:space="preserve"> precipitation for 30 consecutive days</w:t>
      </w:r>
      <w:r w:rsidR="005D7002">
        <w:t xml:space="preserve">. Such sustained precipitation </w:t>
      </w:r>
      <w:r w:rsidR="008D23A5">
        <w:t>is unrealistic</w:t>
      </w:r>
      <w:r w:rsidR="005D7002">
        <w:t xml:space="preserve"> </w:t>
      </w:r>
      <w:r w:rsidR="008D23A5">
        <w:t>(</w:t>
      </w:r>
      <w:r w:rsidR="005D7002">
        <w:t>in the UK</w:t>
      </w:r>
      <w:r w:rsidR="008D23A5">
        <w:t>)</w:t>
      </w:r>
      <w:r w:rsidR="005D7002">
        <w:t xml:space="preserve">, so in </w:t>
      </w:r>
      <w:r w:rsidR="00AD580A">
        <w:t>reality</w:t>
      </w:r>
      <w:r w:rsidR="005D7002">
        <w:t xml:space="preserve"> the change in input between the two scenarios is very large.</w:t>
      </w:r>
      <w:r w:rsidR="00AD580A">
        <w:t xml:space="preserve"> That could be interpreted as </w:t>
      </w:r>
      <w:r w:rsidR="007C5D1B">
        <w:t>not indicative of</w:t>
      </w:r>
      <w:r w:rsidR="00AD580A">
        <w:t xml:space="preserve"> a cliff-edge effect. In practice, the term “cliff-edge effect” might need to be </w:t>
      </w:r>
      <w:r w:rsidR="007C5D1B">
        <w:t>carefully defined</w:t>
      </w:r>
      <w:r w:rsidR="00AD580A">
        <w:t xml:space="preserve"> if </w:t>
      </w:r>
      <w:r w:rsidR="007C5D1B">
        <w:t xml:space="preserve">it </w:t>
      </w:r>
      <w:r w:rsidR="00AD580A">
        <w:t>were to be used as part of a decision-making process.</w:t>
      </w:r>
    </w:p>
    <w:p w14:paraId="1D5C187C" w14:textId="11870126" w:rsidR="004E5CF2" w:rsidRDefault="0080079E" w:rsidP="0070564C">
      <w:pPr>
        <w:pStyle w:val="BodyText"/>
        <w:jc w:val="both"/>
      </w:pPr>
      <w:r>
        <w:t>Model runs were initially carried out assuming zero precipitation. The runs were then repeated with all parameters kept the same except that precipitation rate was increased in each successive run. The results were then plotted and the plots were examined to determine whether any sharp increases in dose were apparent.</w:t>
      </w:r>
    </w:p>
    <w:p w14:paraId="2B9C6660" w14:textId="1FF92FD1" w:rsidR="0080079E" w:rsidRDefault="002D3581" w:rsidP="0070564C">
      <w:pPr>
        <w:pStyle w:val="BodyText"/>
        <w:jc w:val="both"/>
      </w:pPr>
      <w:r>
        <w:t>ADEPT</w:t>
      </w:r>
      <w:r w:rsidR="0080079E">
        <w:t xml:space="preserve"> and ADMS</w:t>
      </w:r>
      <w:r w:rsidR="00854D4B">
        <w:t xml:space="preserve"> were used in the model runs, as </w:t>
      </w:r>
      <w:r w:rsidR="00667466">
        <w:t xml:space="preserve">those models </w:t>
      </w:r>
      <w:r w:rsidR="00AC5702">
        <w:t xml:space="preserve">are representative of the types </w:t>
      </w:r>
      <w:r w:rsidR="00501954">
        <w:t xml:space="preserve">of </w:t>
      </w:r>
      <w:r w:rsidR="00AC5702">
        <w:t xml:space="preserve">models historically applied </w:t>
      </w:r>
      <w:r w:rsidR="00870616">
        <w:t xml:space="preserve">by operators of nuclear </w:t>
      </w:r>
      <w:r w:rsidR="00CE2BEA">
        <w:t xml:space="preserve">licensed </w:t>
      </w:r>
      <w:r w:rsidR="00870616">
        <w:t>sites</w:t>
      </w:r>
      <w:r w:rsidR="00501954">
        <w:t>.</w:t>
      </w:r>
    </w:p>
    <w:p w14:paraId="38F6EAC0" w14:textId="5B03DB4B" w:rsidR="00BB5908" w:rsidRDefault="00BB5908" w:rsidP="009A1CAD">
      <w:pPr>
        <w:pStyle w:val="BodyTextEND"/>
        <w:spacing w:after="2160"/>
        <w:jc w:val="both"/>
      </w:pPr>
      <w:r>
        <w:t>All model runs discussed in this section relate to the Large Break LOCA source term, and Pasquill Stability Category D</w:t>
      </w:r>
      <w:r w:rsidR="00667466">
        <w:t xml:space="preserve"> conditions</w:t>
      </w:r>
      <w:r>
        <w:t>.</w:t>
      </w:r>
      <w:r w:rsidR="00501954">
        <w:t xml:space="preserve"> </w:t>
      </w:r>
      <w:r w:rsidR="00023CD5">
        <w:t>T</w:t>
      </w:r>
      <w:r w:rsidR="00501954">
        <w:t xml:space="preserve">he </w:t>
      </w:r>
      <w:r w:rsidR="00154F40">
        <w:t>ADEPT</w:t>
      </w:r>
      <w:r w:rsidR="00501954">
        <w:t xml:space="preserve"> model runs relate to the Seathwaite location</w:t>
      </w:r>
      <w:r w:rsidR="00023CD5">
        <w:t xml:space="preserve">; however, release location has relatively little impact on doses derived in </w:t>
      </w:r>
      <w:r w:rsidR="004E4A48">
        <w:t>the</w:t>
      </w:r>
      <w:r w:rsidR="00023CD5">
        <w:t xml:space="preserve"> </w:t>
      </w:r>
      <w:r w:rsidR="004E4A48">
        <w:t xml:space="preserve">ADEPT </w:t>
      </w:r>
      <w:r w:rsidR="00023CD5">
        <w:t>runs</w:t>
      </w:r>
      <w:r w:rsidR="004E4A48">
        <w:t xml:space="preserve"> performed in this study</w:t>
      </w:r>
      <w:r w:rsidR="00023CD5">
        <w:t>.</w:t>
      </w:r>
      <w:r w:rsidR="00501954">
        <w:t xml:space="preserve"> </w:t>
      </w:r>
      <w:r w:rsidR="00023CD5">
        <w:t>T</w:t>
      </w:r>
      <w:r w:rsidR="00501954">
        <w:t>he ADMS model runs are not dependent on location.</w:t>
      </w:r>
      <w:r>
        <w:t xml:space="preserve"> The </w:t>
      </w:r>
      <w:r w:rsidRPr="00BB5908">
        <w:rPr>
          <w:i/>
          <w:iCs/>
        </w:rPr>
        <w:t>30-day</w:t>
      </w:r>
      <w:r>
        <w:t xml:space="preserve"> doses are maximum 30</w:t>
      </w:r>
      <w:r>
        <w:noBreakHyphen/>
        <w:t xml:space="preserve">day </w:t>
      </w:r>
      <w:r w:rsidR="00667466">
        <w:t xml:space="preserve">effective </w:t>
      </w:r>
      <w:r>
        <w:t xml:space="preserve">dose assuming no ingestion, whereas the </w:t>
      </w:r>
      <w:r w:rsidRPr="00BB5908">
        <w:rPr>
          <w:i/>
          <w:iCs/>
        </w:rPr>
        <w:t>lifetime</w:t>
      </w:r>
      <w:r>
        <w:t xml:space="preserve"> doses are maximum lifetime </w:t>
      </w:r>
      <w:r w:rsidR="00667466">
        <w:t xml:space="preserve">effective </w:t>
      </w:r>
      <w:r>
        <w:t>dose including ingestion and assuming no food restrictions.</w:t>
      </w:r>
    </w:p>
    <w:p w14:paraId="18BAF31A" w14:textId="55370971" w:rsidR="00D065C0" w:rsidRDefault="00BB5908" w:rsidP="00D065C0">
      <w:pPr>
        <w:pStyle w:val="Heading3"/>
      </w:pPr>
      <w:bookmarkStart w:id="148" w:name="_Toc89966407"/>
      <w:r>
        <w:t xml:space="preserve">Results </w:t>
      </w:r>
      <w:r w:rsidR="00CE2BEA">
        <w:t xml:space="preserve">derived using </w:t>
      </w:r>
      <w:r w:rsidR="002D3581">
        <w:t>ADEPT</w:t>
      </w:r>
      <w:bookmarkEnd w:id="148"/>
    </w:p>
    <w:p w14:paraId="3F8E6EFB" w14:textId="77777777" w:rsidR="00DE295B" w:rsidRPr="00DE295B" w:rsidRDefault="00DE295B" w:rsidP="00167AC4">
      <w:pPr>
        <w:pStyle w:val="BodyText"/>
        <w:ind w:left="0"/>
      </w:pPr>
    </w:p>
    <w:p w14:paraId="14BD5E40" w14:textId="77777777" w:rsidR="00DA7609" w:rsidRDefault="00BB5908" w:rsidP="00DA7609">
      <w:pPr>
        <w:pStyle w:val="BodyText"/>
        <w:keepNext/>
      </w:pPr>
      <w:r>
        <w:rPr>
          <w:noProof/>
          <w:lang w:eastAsia="en-GB"/>
        </w:rPr>
        <w:drawing>
          <wp:inline distT="0" distB="0" distL="0" distR="0" wp14:anchorId="2FA0258D" wp14:editId="52A2F73A">
            <wp:extent cx="5305425" cy="2599055"/>
            <wp:effectExtent l="0" t="0" r="0" b="0"/>
            <wp:docPr id="6" name="Chart 6">
              <a:extLst xmlns:a="http://schemas.openxmlformats.org/drawingml/2006/main">
                <a:ext uri="{FF2B5EF4-FFF2-40B4-BE49-F238E27FC236}">
                  <a16:creationId xmlns:a16="http://schemas.microsoft.com/office/drawing/2014/main" id="{9560456E-1C68-4254-BDC0-D7BBF458B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77CC10" w14:textId="1D829A0B" w:rsidR="00BB5908" w:rsidRDefault="00DA7609" w:rsidP="00D065C0">
      <w:pPr>
        <w:pStyle w:val="Figurecaption"/>
      </w:pPr>
      <w:r w:rsidRPr="00D065C0">
        <w:t xml:space="preserve">Figure </w:t>
      </w:r>
      <w:fldSimple w:instr=" SEQ Figure \* ARABIC ">
        <w:r w:rsidR="00926FE3">
          <w:rPr>
            <w:noProof/>
          </w:rPr>
          <w:t>1</w:t>
        </w:r>
      </w:fldSimple>
      <w:r w:rsidRPr="00D065C0">
        <w:t xml:space="preserve">: Maximum 30-day </w:t>
      </w:r>
      <w:r w:rsidR="00667466" w:rsidRPr="00D065C0">
        <w:t xml:space="preserve">effective </w:t>
      </w:r>
      <w:r w:rsidRPr="00D065C0">
        <w:t>dose at 0.5 km assuming no ingestion</w:t>
      </w:r>
      <w:r w:rsidR="00D065C0">
        <w:t xml:space="preserve"> (</w:t>
      </w:r>
      <w:r w:rsidR="002D3581">
        <w:t>ADEPT</w:t>
      </w:r>
      <w:r w:rsidR="00D065C0">
        <w:t>)</w:t>
      </w:r>
    </w:p>
    <w:p w14:paraId="0FF4403A" w14:textId="77777777" w:rsidR="00DE295B" w:rsidRPr="00DE295B" w:rsidRDefault="00DE295B" w:rsidP="00DE295B">
      <w:pPr>
        <w:pStyle w:val="BodyText"/>
      </w:pPr>
    </w:p>
    <w:p w14:paraId="5E880D5C" w14:textId="77777777" w:rsidR="00D065C0" w:rsidRDefault="00BB5908" w:rsidP="00D065C0">
      <w:pPr>
        <w:pStyle w:val="BodyText"/>
        <w:keepNext/>
      </w:pPr>
      <w:r>
        <w:rPr>
          <w:noProof/>
          <w:lang w:eastAsia="en-GB"/>
        </w:rPr>
        <w:drawing>
          <wp:inline distT="0" distB="0" distL="0" distR="0" wp14:anchorId="68B39A42" wp14:editId="5322B1AD">
            <wp:extent cx="5305425" cy="2597150"/>
            <wp:effectExtent l="0" t="0" r="0" b="0"/>
            <wp:docPr id="7" name="Chart 7">
              <a:extLst xmlns:a="http://schemas.openxmlformats.org/drawingml/2006/main">
                <a:ext uri="{FF2B5EF4-FFF2-40B4-BE49-F238E27FC236}">
                  <a16:creationId xmlns:a16="http://schemas.microsoft.com/office/drawing/2014/main" id="{4AEAE886-ECD7-4151-A526-C2D5F90E0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F2B149" w14:textId="02A75EFF" w:rsidR="00BB5908" w:rsidRDefault="00D065C0" w:rsidP="00D065C0">
      <w:pPr>
        <w:pStyle w:val="Figurecaption"/>
      </w:pPr>
      <w:r>
        <w:t xml:space="preserve">Figure </w:t>
      </w:r>
      <w:fldSimple w:instr=" SEQ Figure \* ARABIC ">
        <w:r w:rsidR="00926FE3">
          <w:rPr>
            <w:noProof/>
          </w:rPr>
          <w:t>2</w:t>
        </w:r>
      </w:fldSimple>
      <w:r>
        <w:t xml:space="preserve">: </w:t>
      </w:r>
      <w:r w:rsidRPr="00831CBE">
        <w:t xml:space="preserve">Maximum 30-day </w:t>
      </w:r>
      <w:r w:rsidR="00667466" w:rsidRPr="00831CBE">
        <w:t xml:space="preserve">effective </w:t>
      </w:r>
      <w:r w:rsidRPr="00831CBE">
        <w:t>dose at 5 km assuming no ingestion (</w:t>
      </w:r>
      <w:r w:rsidR="002D3581">
        <w:t>ADEPT</w:t>
      </w:r>
      <w:r w:rsidRPr="00831CBE">
        <w:t>)</w:t>
      </w:r>
    </w:p>
    <w:p w14:paraId="70AD81B5" w14:textId="77777777" w:rsidR="00DE295B" w:rsidRPr="00DE295B" w:rsidRDefault="00DE295B" w:rsidP="00DE295B">
      <w:pPr>
        <w:pStyle w:val="BodyText"/>
      </w:pPr>
    </w:p>
    <w:p w14:paraId="016006EB" w14:textId="77777777" w:rsidR="00D065C0" w:rsidRDefault="00BB5908" w:rsidP="00D065C0">
      <w:pPr>
        <w:pStyle w:val="BodyText"/>
        <w:keepNext/>
      </w:pPr>
      <w:r>
        <w:rPr>
          <w:noProof/>
          <w:lang w:eastAsia="en-GB"/>
        </w:rPr>
        <w:drawing>
          <wp:inline distT="0" distB="0" distL="0" distR="0" wp14:anchorId="23318BD9" wp14:editId="3A86B118">
            <wp:extent cx="5295900" cy="2357755"/>
            <wp:effectExtent l="0" t="0" r="0" b="4445"/>
            <wp:docPr id="8" name="Chart 8">
              <a:extLst xmlns:a="http://schemas.openxmlformats.org/drawingml/2006/main">
                <a:ext uri="{FF2B5EF4-FFF2-40B4-BE49-F238E27FC236}">
                  <a16:creationId xmlns:a16="http://schemas.microsoft.com/office/drawing/2014/main" id="{E203F874-6072-4073-A86B-692D64FA60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E6D7286" w14:textId="5A5BEEDC" w:rsidR="00BB5908" w:rsidRDefault="00D065C0" w:rsidP="00D065C0">
      <w:pPr>
        <w:pStyle w:val="Figurecaption"/>
      </w:pPr>
      <w:r>
        <w:t xml:space="preserve">Figure </w:t>
      </w:r>
      <w:fldSimple w:instr=" SEQ Figure \* ARABIC ">
        <w:r w:rsidR="00926FE3">
          <w:rPr>
            <w:noProof/>
          </w:rPr>
          <w:t>3</w:t>
        </w:r>
      </w:fldSimple>
      <w:r>
        <w:t xml:space="preserve">: </w:t>
      </w:r>
      <w:r w:rsidRPr="00754D3D">
        <w:t xml:space="preserve">Maximum </w:t>
      </w:r>
      <w:r>
        <w:t>lifetime</w:t>
      </w:r>
      <w:r w:rsidRPr="00754D3D">
        <w:t xml:space="preserve"> </w:t>
      </w:r>
      <w:r w:rsidR="00667466" w:rsidRPr="00754D3D">
        <w:t xml:space="preserve">effective </w:t>
      </w:r>
      <w:r w:rsidRPr="00754D3D">
        <w:t xml:space="preserve">dose at 0.5 km assuming no </w:t>
      </w:r>
      <w:r>
        <w:t>food restrictions (</w:t>
      </w:r>
      <w:r w:rsidR="002D3581">
        <w:t>ADEPT</w:t>
      </w:r>
      <w:r>
        <w:t>)</w:t>
      </w:r>
    </w:p>
    <w:p w14:paraId="1AD3F4E3" w14:textId="77777777" w:rsidR="00DE295B" w:rsidRPr="00DE295B" w:rsidRDefault="00DE295B" w:rsidP="00DE295B">
      <w:pPr>
        <w:pStyle w:val="BodyText"/>
      </w:pPr>
    </w:p>
    <w:p w14:paraId="5F057731" w14:textId="77777777" w:rsidR="00D065C0" w:rsidRDefault="00BB5908" w:rsidP="00D065C0">
      <w:pPr>
        <w:pStyle w:val="BodyText"/>
        <w:keepNext/>
      </w:pPr>
      <w:r>
        <w:rPr>
          <w:noProof/>
          <w:lang w:eastAsia="en-GB"/>
        </w:rPr>
        <w:drawing>
          <wp:inline distT="0" distB="0" distL="0" distR="0" wp14:anchorId="7A5C3E32" wp14:editId="1F07B2D1">
            <wp:extent cx="5286375" cy="2354580"/>
            <wp:effectExtent l="0" t="0" r="0" b="7620"/>
            <wp:docPr id="9" name="Chart 9">
              <a:extLst xmlns:a="http://schemas.openxmlformats.org/drawingml/2006/main">
                <a:ext uri="{FF2B5EF4-FFF2-40B4-BE49-F238E27FC236}">
                  <a16:creationId xmlns:a16="http://schemas.microsoft.com/office/drawing/2014/main" id="{33DC25B2-1BC5-42F6-A65D-85D75A46EB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949D56E" w14:textId="1320104B" w:rsidR="00BB5908" w:rsidRDefault="00D065C0" w:rsidP="00D065C0">
      <w:pPr>
        <w:pStyle w:val="Figurecaption"/>
      </w:pPr>
      <w:r>
        <w:t xml:space="preserve">Figure </w:t>
      </w:r>
      <w:fldSimple w:instr=" SEQ Figure \* ARABIC ">
        <w:r w:rsidR="00926FE3">
          <w:rPr>
            <w:noProof/>
          </w:rPr>
          <w:t>4</w:t>
        </w:r>
      </w:fldSimple>
      <w:r>
        <w:t xml:space="preserve">: </w:t>
      </w:r>
      <w:r w:rsidRPr="00617DC1">
        <w:t xml:space="preserve">Maximum lifetime </w:t>
      </w:r>
      <w:r w:rsidR="00667466" w:rsidRPr="00617DC1">
        <w:t xml:space="preserve">effective </w:t>
      </w:r>
      <w:r w:rsidRPr="00617DC1">
        <w:t>dose at 5 km assuming no food restrictions (</w:t>
      </w:r>
      <w:r w:rsidR="002D3581">
        <w:t>ADEPT</w:t>
      </w:r>
      <w:r w:rsidRPr="00617DC1">
        <w:t>)</w:t>
      </w:r>
    </w:p>
    <w:p w14:paraId="144E1652" w14:textId="6461E2A3" w:rsidR="00BB5908" w:rsidRDefault="00BB5908" w:rsidP="00DE295B">
      <w:pPr>
        <w:pStyle w:val="BodyText"/>
      </w:pPr>
    </w:p>
    <w:p w14:paraId="1A40797C" w14:textId="1C49BBA8" w:rsidR="00BB5908" w:rsidRDefault="00BB5908" w:rsidP="00BB5908">
      <w:pPr>
        <w:pStyle w:val="Heading3"/>
      </w:pPr>
      <w:bookmarkStart w:id="149" w:name="_Toc89966408"/>
      <w:r>
        <w:t xml:space="preserve">Results </w:t>
      </w:r>
      <w:r w:rsidR="00CE2BEA">
        <w:t xml:space="preserve">derived using </w:t>
      </w:r>
      <w:r>
        <w:t>ADMS</w:t>
      </w:r>
      <w:bookmarkEnd w:id="149"/>
    </w:p>
    <w:p w14:paraId="27D273D3" w14:textId="53E8E646" w:rsidR="004A6E65" w:rsidRDefault="00F039E0" w:rsidP="004A6E65">
      <w:pPr>
        <w:pStyle w:val="BodyText"/>
        <w:keepNext/>
      </w:pPr>
      <w:r>
        <w:rPr>
          <w:noProof/>
          <w:lang w:eastAsia="en-GB"/>
        </w:rPr>
        <w:drawing>
          <wp:inline distT="0" distB="0" distL="0" distR="0" wp14:anchorId="448EF197" wp14:editId="0ADC02B7">
            <wp:extent cx="5295900" cy="2599055"/>
            <wp:effectExtent l="0" t="0" r="0" b="0"/>
            <wp:docPr id="23" name="Chart 23">
              <a:extLst xmlns:a="http://schemas.openxmlformats.org/drawingml/2006/main">
                <a:ext uri="{FF2B5EF4-FFF2-40B4-BE49-F238E27FC236}">
                  <a16:creationId xmlns:a16="http://schemas.microsoft.com/office/drawing/2014/main" id="{4BE38F99-2F49-4327-B691-8A1C648C85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3A5D62" w14:textId="7854D42B" w:rsidR="00DE295B" w:rsidRPr="00DE295B" w:rsidRDefault="004A6E65" w:rsidP="004A6E65">
      <w:pPr>
        <w:pStyle w:val="Figurecaption"/>
      </w:pPr>
      <w:r>
        <w:t xml:space="preserve">Figure </w:t>
      </w:r>
      <w:fldSimple w:instr=" SEQ Figure \* ARABIC ">
        <w:r w:rsidR="00926FE3">
          <w:rPr>
            <w:noProof/>
          </w:rPr>
          <w:t>5</w:t>
        </w:r>
      </w:fldSimple>
      <w:r w:rsidRPr="007C27B3">
        <w:t>: Maximum 30-day effective dose at 0.5 km assuming no ingestion (ADMS)</w:t>
      </w:r>
    </w:p>
    <w:p w14:paraId="4BB6FE18" w14:textId="483662C9" w:rsidR="00D065C0" w:rsidRDefault="00D065C0" w:rsidP="00D065C0">
      <w:pPr>
        <w:pStyle w:val="BodyText"/>
        <w:keepNext/>
      </w:pPr>
    </w:p>
    <w:p w14:paraId="73C00C20" w14:textId="4F37A56E" w:rsidR="004A6E65" w:rsidRDefault="00F039E0" w:rsidP="004A6E65">
      <w:pPr>
        <w:pStyle w:val="BodyText"/>
        <w:keepNext/>
      </w:pPr>
      <w:r>
        <w:rPr>
          <w:noProof/>
          <w:lang w:eastAsia="en-GB"/>
        </w:rPr>
        <w:drawing>
          <wp:inline distT="0" distB="0" distL="0" distR="0" wp14:anchorId="6D383CDD" wp14:editId="0D847450">
            <wp:extent cx="5305425" cy="2597150"/>
            <wp:effectExtent l="0" t="0" r="0" b="0"/>
            <wp:docPr id="24" name="Chart 24">
              <a:extLst xmlns:a="http://schemas.openxmlformats.org/drawingml/2006/main">
                <a:ext uri="{FF2B5EF4-FFF2-40B4-BE49-F238E27FC236}">
                  <a16:creationId xmlns:a16="http://schemas.microsoft.com/office/drawing/2014/main" id="{CB2DFD3A-F634-4356-9B2C-A9F95F78E5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978A357" w14:textId="326EF1BC" w:rsidR="004A6E65" w:rsidRDefault="004A6E65" w:rsidP="004A6E65">
      <w:pPr>
        <w:pStyle w:val="Figurecaption"/>
      </w:pPr>
      <w:r>
        <w:t xml:space="preserve">Figure </w:t>
      </w:r>
      <w:fldSimple w:instr=" SEQ Figure \* ARABIC ">
        <w:r w:rsidR="00926FE3">
          <w:rPr>
            <w:noProof/>
          </w:rPr>
          <w:t>6</w:t>
        </w:r>
      </w:fldSimple>
      <w:r w:rsidRPr="00787720">
        <w:t>: Maximum 30-day effective dose at 5 km assuming no ingestion (ADMS)</w:t>
      </w:r>
    </w:p>
    <w:p w14:paraId="58D54993" w14:textId="77777777" w:rsidR="00DE295B" w:rsidRPr="00DE295B" w:rsidRDefault="00DE295B" w:rsidP="00DE295B">
      <w:pPr>
        <w:pStyle w:val="BodyText"/>
      </w:pPr>
    </w:p>
    <w:p w14:paraId="233E0371" w14:textId="76F000CA" w:rsidR="004A6E65" w:rsidRDefault="00F039E0" w:rsidP="004A6E65">
      <w:pPr>
        <w:pStyle w:val="BodyText"/>
        <w:keepNext/>
      </w:pPr>
      <w:r>
        <w:rPr>
          <w:noProof/>
          <w:lang w:eastAsia="en-GB"/>
        </w:rPr>
        <w:drawing>
          <wp:inline distT="0" distB="0" distL="0" distR="0" wp14:anchorId="44297524" wp14:editId="65231552">
            <wp:extent cx="5295900" cy="2357755"/>
            <wp:effectExtent l="0" t="0" r="0" b="4445"/>
            <wp:docPr id="26" name="Chart 26">
              <a:extLst xmlns:a="http://schemas.openxmlformats.org/drawingml/2006/main">
                <a:ext uri="{FF2B5EF4-FFF2-40B4-BE49-F238E27FC236}">
                  <a16:creationId xmlns:a16="http://schemas.microsoft.com/office/drawing/2014/main" id="{EB1DD7A3-4F96-47BC-8C3B-2CB513B30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6325C1C" w14:textId="51EA437B" w:rsidR="00D065C0" w:rsidRDefault="004A6E65" w:rsidP="004A6E65">
      <w:pPr>
        <w:pStyle w:val="Figurecaption"/>
      </w:pPr>
      <w:r>
        <w:t xml:space="preserve">Figure </w:t>
      </w:r>
      <w:fldSimple w:instr=" SEQ Figure \* ARABIC ">
        <w:r w:rsidR="00926FE3">
          <w:rPr>
            <w:noProof/>
          </w:rPr>
          <w:t>7</w:t>
        </w:r>
      </w:fldSimple>
      <w:r w:rsidRPr="00AC3ACC">
        <w:t>: Maximum lifetime effective dose at 0.5 km assuming no food restrictions (ADMS)</w:t>
      </w:r>
    </w:p>
    <w:p w14:paraId="2246679B" w14:textId="77777777" w:rsidR="004A6E65" w:rsidRPr="004A6E65" w:rsidRDefault="004A6E65" w:rsidP="004A6E65">
      <w:pPr>
        <w:pStyle w:val="BodyText"/>
      </w:pPr>
    </w:p>
    <w:p w14:paraId="79D06C4A" w14:textId="16BA7AB8" w:rsidR="004A6E65" w:rsidRDefault="00BD2334" w:rsidP="004A6E65">
      <w:pPr>
        <w:pStyle w:val="BodyText"/>
        <w:keepNext/>
      </w:pPr>
      <w:r>
        <w:rPr>
          <w:noProof/>
          <w:lang w:eastAsia="en-GB"/>
        </w:rPr>
        <w:drawing>
          <wp:inline distT="0" distB="0" distL="0" distR="0" wp14:anchorId="405DBA0C" wp14:editId="50647272">
            <wp:extent cx="5305425" cy="2354580"/>
            <wp:effectExtent l="0" t="0" r="0" b="7620"/>
            <wp:docPr id="27" name="Chart 27">
              <a:extLst xmlns:a="http://schemas.openxmlformats.org/drawingml/2006/main">
                <a:ext uri="{FF2B5EF4-FFF2-40B4-BE49-F238E27FC236}">
                  <a16:creationId xmlns:a16="http://schemas.microsoft.com/office/drawing/2014/main" id="{4547C7B4-4729-4C7A-8B93-0B1B0CE84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0CA95ED" w14:textId="0F678399" w:rsidR="00DE295B" w:rsidRPr="00DE295B" w:rsidRDefault="004A6E65" w:rsidP="004A6E65">
      <w:pPr>
        <w:pStyle w:val="Figurecaption"/>
      </w:pPr>
      <w:r>
        <w:t xml:space="preserve">Figure </w:t>
      </w:r>
      <w:fldSimple w:instr=" SEQ Figure \* ARABIC ">
        <w:r w:rsidR="00926FE3">
          <w:rPr>
            <w:noProof/>
          </w:rPr>
          <w:t>8</w:t>
        </w:r>
      </w:fldSimple>
      <w:r w:rsidRPr="00FC7899">
        <w:t>: Maximum lifetime effective dose at 5 km assuming no food restrictions (ADMS)</w:t>
      </w:r>
    </w:p>
    <w:p w14:paraId="25159B0D" w14:textId="003858C3" w:rsidR="00BB5908" w:rsidRDefault="00BB5908" w:rsidP="00DE295B">
      <w:pPr>
        <w:pStyle w:val="BodyText"/>
      </w:pPr>
    </w:p>
    <w:p w14:paraId="0CB1F0AF" w14:textId="36FB6ACB" w:rsidR="00BB5908" w:rsidRDefault="00BB5908" w:rsidP="00BB5908">
      <w:pPr>
        <w:pStyle w:val="Heading3"/>
      </w:pPr>
      <w:bookmarkStart w:id="150" w:name="_Toc89966409"/>
      <w:r>
        <w:t>Discussion</w:t>
      </w:r>
      <w:bookmarkEnd w:id="150"/>
    </w:p>
    <w:p w14:paraId="3FDADE15" w14:textId="163898EE" w:rsidR="00BB5908" w:rsidRDefault="00590A50" w:rsidP="003106D4">
      <w:pPr>
        <w:pStyle w:val="BodyText"/>
        <w:jc w:val="both"/>
      </w:pPr>
      <w:r>
        <w:t>The figures above present results for 30-day and lifetime doses at 0.5 km and 5 km from the release. Results were also generated for one-year doses</w:t>
      </w:r>
      <w:r w:rsidR="00886093">
        <w:t xml:space="preserve"> and for distances of 1 km and 2 km, but those </w:t>
      </w:r>
      <w:r w:rsidR="00E336ED">
        <w:t>have</w:t>
      </w:r>
      <w:r w:rsidR="00886093">
        <w:t xml:space="preserve"> not </w:t>
      </w:r>
      <w:r w:rsidR="00E336ED">
        <w:t xml:space="preserve">been </w:t>
      </w:r>
      <w:r w:rsidR="00886093">
        <w:t>plotted</w:t>
      </w:r>
      <w:r w:rsidR="00E336ED">
        <w:t xml:space="preserve">, as they </w:t>
      </w:r>
      <w:r w:rsidR="000D5839">
        <w:t>are not thought</w:t>
      </w:r>
      <w:r w:rsidR="00E336ED">
        <w:t xml:space="preserve"> to give any additional useful information</w:t>
      </w:r>
      <w:r w:rsidR="00886093">
        <w:t>.</w:t>
      </w:r>
      <w:r>
        <w:t xml:space="preserve"> </w:t>
      </w:r>
      <w:r w:rsidR="007F1A5B">
        <w:t xml:space="preserve">Plots of results for </w:t>
      </w:r>
      <w:r w:rsidR="00886093">
        <w:t xml:space="preserve">one-year </w:t>
      </w:r>
      <w:r w:rsidR="003106D4">
        <w:t>(</w:t>
      </w:r>
      <w:r w:rsidR="005C68F0">
        <w:t>not shown</w:t>
      </w:r>
      <w:r w:rsidR="003106D4">
        <w:t>)</w:t>
      </w:r>
      <w:r w:rsidR="005C68F0">
        <w:t xml:space="preserve"> </w:t>
      </w:r>
      <w:r w:rsidR="007F1A5B">
        <w:t>looked</w:t>
      </w:r>
      <w:r w:rsidR="005C68F0">
        <w:t xml:space="preserve"> very</w:t>
      </w:r>
      <w:r w:rsidR="00886093">
        <w:t xml:space="preserve"> similar to the </w:t>
      </w:r>
      <w:r w:rsidR="007F1A5B">
        <w:t xml:space="preserve">plots for </w:t>
      </w:r>
      <w:r w:rsidR="00886093">
        <w:t>lifetime doses.</w:t>
      </w:r>
    </w:p>
    <w:p w14:paraId="263499DA" w14:textId="1F1A1179" w:rsidR="00E336ED" w:rsidRDefault="0000795D" w:rsidP="003106D4">
      <w:pPr>
        <w:pStyle w:val="BodyText"/>
        <w:jc w:val="both"/>
      </w:pPr>
      <w:r>
        <w:t>None of the eight figures above shows anything that could be described as a “cliff-edge”.</w:t>
      </w:r>
      <w:r w:rsidR="00384FB8">
        <w:t xml:space="preserve"> </w:t>
      </w:r>
      <w:r>
        <w:t xml:space="preserve">All show a relatively smooth </w:t>
      </w:r>
      <w:r w:rsidR="00AD2F2C">
        <w:t xml:space="preserve">and </w:t>
      </w:r>
      <w:r w:rsidR="004E4A48">
        <w:t>gradual</w:t>
      </w:r>
      <w:r w:rsidR="00AD2F2C">
        <w:t xml:space="preserve"> </w:t>
      </w:r>
      <w:r>
        <w:t xml:space="preserve">increase in dose as precipitation rate increases. This is consistent with what might be expected from an inspection of the </w:t>
      </w:r>
      <w:r w:rsidR="00D3404F">
        <w:t>washout coefficient</w:t>
      </w:r>
      <w:r>
        <w:t xml:space="preserve"> approaches implemented in the </w:t>
      </w:r>
      <w:r w:rsidR="00E80CD9">
        <w:t xml:space="preserve">two </w:t>
      </w:r>
      <w:r>
        <w:t>models</w:t>
      </w:r>
      <w:r w:rsidR="00D3404F">
        <w:t>.</w:t>
      </w:r>
      <w:r w:rsidR="00E80CD9">
        <w:t xml:space="preserve"> </w:t>
      </w:r>
      <w:r w:rsidR="00D3404F">
        <w:t xml:space="preserve">In the derivation of the washout coefficient, the precipitation rate is raised to the power of the </w:t>
      </w:r>
      <w:r w:rsidR="004E4A48">
        <w:t>constant</w:t>
      </w:r>
      <w:r w:rsidR="00D3404F">
        <w:t xml:space="preserve"> B, which varies between 0.6 and 0.8 depending on the model being applied. Thus</w:t>
      </w:r>
      <w:r w:rsidR="00826559">
        <w:t>,</w:t>
      </w:r>
      <w:r w:rsidR="00D3404F">
        <w:t xml:space="preserve"> for relatively large precipitation rates, th</w:t>
      </w:r>
      <w:r w:rsidR="004E4A48">
        <w:t xml:space="preserve">e washout coefficient </w:t>
      </w:r>
      <w:r w:rsidR="00D3404F">
        <w:t xml:space="preserve">varies relatively little. For relatively small precipitation rates, </w:t>
      </w:r>
      <w:r w:rsidR="004E4A48">
        <w:t>the washout coefficient</w:t>
      </w:r>
      <w:r w:rsidR="00D3404F">
        <w:t xml:space="preserve"> varies much more markedly but the dose from </w:t>
      </w:r>
      <w:r w:rsidR="00EC1B8A">
        <w:t xml:space="preserve">wet </w:t>
      </w:r>
      <w:r w:rsidR="00D3404F">
        <w:t xml:space="preserve">deposition exposure pathways is </w:t>
      </w:r>
      <w:r w:rsidR="000B79DE">
        <w:t>moderated</w:t>
      </w:r>
      <w:r w:rsidR="00D3404F">
        <w:t xml:space="preserve"> </w:t>
      </w:r>
      <w:r w:rsidR="000B79DE">
        <w:t xml:space="preserve">to a degree </w:t>
      </w:r>
      <w:r w:rsidR="00D3404F">
        <w:t xml:space="preserve">by the contribution from </w:t>
      </w:r>
      <w:r w:rsidR="00EC1B8A">
        <w:t>dry deposition and non-deposition exposure pathways.</w:t>
      </w:r>
    </w:p>
    <w:p w14:paraId="37B59665" w14:textId="081CFA45" w:rsidR="00F43DF6" w:rsidRPr="00F43DF6" w:rsidRDefault="0000795D" w:rsidP="008E0C66">
      <w:pPr>
        <w:pStyle w:val="BodyTextEND"/>
        <w:jc w:val="both"/>
      </w:pPr>
      <w:r>
        <w:t xml:space="preserve">Since the purpose of the present section is solely to investigate the possible presence of “cliff-edge” effects, no comment is made </w:t>
      </w:r>
      <w:r w:rsidR="00020FE1">
        <w:t xml:space="preserve">here </w:t>
      </w:r>
      <w:r>
        <w:t xml:space="preserve">about other notable features of the plots. </w:t>
      </w:r>
      <w:r w:rsidR="00081388">
        <w:t>However, further</w:t>
      </w:r>
      <w:r>
        <w:t xml:space="preserve"> discussion can be found in the </w:t>
      </w:r>
      <w:r w:rsidR="00020FE1">
        <w:t>sections that follow</w:t>
      </w:r>
      <w:r>
        <w:t>.</w:t>
      </w:r>
    </w:p>
    <w:p w14:paraId="1D150AC6" w14:textId="1590A2EB" w:rsidR="004E5CF2" w:rsidRDefault="004E5CF2" w:rsidP="004E5CF2">
      <w:pPr>
        <w:pStyle w:val="Heading2"/>
      </w:pPr>
      <w:bookmarkStart w:id="151" w:name="_Ref81494405"/>
      <w:bookmarkStart w:id="152" w:name="_Toc89966410"/>
      <w:r>
        <w:t xml:space="preserve">Is there a lack of conservatism in the current DBA </w:t>
      </w:r>
      <w:r w:rsidR="00C417C6">
        <w:t>methodology</w:t>
      </w:r>
      <w:r>
        <w:t>?</w:t>
      </w:r>
      <w:bookmarkEnd w:id="151"/>
      <w:bookmarkEnd w:id="152"/>
    </w:p>
    <w:p w14:paraId="7A3267BD" w14:textId="5CD6B877" w:rsidR="00E35525" w:rsidRDefault="002F6ECC" w:rsidP="00175439">
      <w:pPr>
        <w:pStyle w:val="BodyText"/>
        <w:jc w:val="both"/>
      </w:pPr>
      <w:r>
        <w:t xml:space="preserve">This question sought to investigate whether </w:t>
      </w:r>
      <w:r w:rsidR="00971A2C" w:rsidRPr="00971A2C">
        <w:rPr>
          <w:rFonts w:ascii="Arial" w:hAnsi="Arial" w:cs="Arial"/>
          <w:iCs/>
        </w:rPr>
        <w:t xml:space="preserve">there </w:t>
      </w:r>
      <w:r w:rsidR="00EA7350">
        <w:rPr>
          <w:rFonts w:ascii="Arial" w:hAnsi="Arial" w:cs="Arial"/>
          <w:iCs/>
        </w:rPr>
        <w:t xml:space="preserve">is </w:t>
      </w:r>
      <w:r w:rsidR="00971A2C" w:rsidRPr="00971A2C">
        <w:rPr>
          <w:rFonts w:ascii="Arial" w:hAnsi="Arial" w:cs="Arial"/>
          <w:iCs/>
        </w:rPr>
        <w:t xml:space="preserve">a lack of conservatism in the current DBA </w:t>
      </w:r>
      <w:r w:rsidR="00971A2C" w:rsidRPr="00971A2C">
        <w:t xml:space="preserve">methodology (for off-site radiological consequences) as a result of </w:t>
      </w:r>
      <w:r w:rsidR="00971A2C">
        <w:t xml:space="preserve">the operators of nuclear licensed sites </w:t>
      </w:r>
      <w:r w:rsidR="00971A2C" w:rsidRPr="00971A2C">
        <w:t>typically assuming no precipitation</w:t>
      </w:r>
      <w:r>
        <w:t>.</w:t>
      </w:r>
      <w:r w:rsidR="00971A2C">
        <w:t xml:space="preserve"> </w:t>
      </w:r>
      <w:r w:rsidR="000B7504">
        <w:t>O</w:t>
      </w:r>
      <w:r w:rsidR="00EA7350">
        <w:t xml:space="preserve">perators </w:t>
      </w:r>
      <w:r w:rsidR="000B7504">
        <w:t xml:space="preserve">commonly </w:t>
      </w:r>
      <w:r w:rsidR="00EA7350">
        <w:t xml:space="preserve">assume </w:t>
      </w:r>
      <w:r w:rsidR="00971A2C">
        <w:t>Pasquill Stability Category F conditions, alongside a 2 m s</w:t>
      </w:r>
      <w:r w:rsidR="00971A2C" w:rsidRPr="00971A2C">
        <w:rPr>
          <w:vertAlign w:val="superscript"/>
        </w:rPr>
        <w:t>-1</w:t>
      </w:r>
      <w:r w:rsidR="00971A2C">
        <w:t xml:space="preserve"> wind speed and no precipitation (precipitation </w:t>
      </w:r>
      <w:r w:rsidR="00242B57">
        <w:t xml:space="preserve">tends not to </w:t>
      </w:r>
      <w:r w:rsidR="00971A2C">
        <w:t xml:space="preserve">be considered alongside such a stability category because it is </w:t>
      </w:r>
      <w:r w:rsidR="00242B57">
        <w:t xml:space="preserve">typically recognised as </w:t>
      </w:r>
      <w:r w:rsidR="00971A2C">
        <w:t>not</w:t>
      </w:r>
      <w:r w:rsidR="00242B57">
        <w:t xml:space="preserve"> being</w:t>
      </w:r>
      <w:r w:rsidR="00971A2C">
        <w:t xml:space="preserve"> a physical representation of the state of the atmosphere</w:t>
      </w:r>
      <w:r w:rsidR="00EC3BD4">
        <w:t xml:space="preserve"> – see Section </w:t>
      </w:r>
      <w:r w:rsidR="00EC3BD4">
        <w:fldChar w:fldCharType="begin"/>
      </w:r>
      <w:r w:rsidR="00EC3BD4">
        <w:instrText xml:space="preserve"> REF _Ref88635080 \r \h </w:instrText>
      </w:r>
      <w:r w:rsidR="00EC3BD4">
        <w:fldChar w:fldCharType="separate"/>
      </w:r>
      <w:r w:rsidR="00926FE3">
        <w:t>2.2.3</w:t>
      </w:r>
      <w:r w:rsidR="00EC3BD4">
        <w:fldChar w:fldCharType="end"/>
      </w:r>
      <w:r w:rsidR="00EC3BD4">
        <w:t xml:space="preserve"> for details</w:t>
      </w:r>
      <w:r w:rsidR="00971A2C">
        <w:t>)</w:t>
      </w:r>
      <w:r w:rsidR="000B7504">
        <w:t>; such meteorological conditions</w:t>
      </w:r>
      <w:r w:rsidR="00EA7350">
        <w:t xml:space="preserve"> </w:t>
      </w:r>
      <w:r w:rsidR="002E577A">
        <w:t xml:space="preserve">have been considered </w:t>
      </w:r>
      <w:r w:rsidR="00EA7350">
        <w:t>to be</w:t>
      </w:r>
      <w:r w:rsidR="00971A2C">
        <w:t xml:space="preserve"> </w:t>
      </w:r>
      <w:r w:rsidR="002E577A">
        <w:t xml:space="preserve">sufficiently </w:t>
      </w:r>
      <w:r w:rsidR="00971A2C">
        <w:t>conservative</w:t>
      </w:r>
      <w:r w:rsidR="002E577A">
        <w:t xml:space="preserve"> by ONR</w:t>
      </w:r>
      <w:r w:rsidR="00971A2C">
        <w:t>.</w:t>
      </w:r>
      <w:r>
        <w:t xml:space="preserve"> </w:t>
      </w:r>
      <w:r w:rsidR="00971A2C">
        <w:t xml:space="preserve">To answer </w:t>
      </w:r>
      <w:r w:rsidR="000B7504">
        <w:t>the posed</w:t>
      </w:r>
      <w:r w:rsidR="00971A2C">
        <w:t xml:space="preserve"> question</w:t>
      </w:r>
      <w:r w:rsidR="00153167">
        <w:t>,</w:t>
      </w:r>
      <w:r w:rsidR="00971A2C">
        <w:t xml:space="preserve"> two sets of model </w:t>
      </w:r>
      <w:r w:rsidR="00E35525">
        <w:t>intercomparisons were performed, detailed in Sections</w:t>
      </w:r>
      <w:r w:rsidR="00153167">
        <w:t xml:space="preserve"> </w:t>
      </w:r>
      <w:r w:rsidR="00153167">
        <w:fldChar w:fldCharType="begin"/>
      </w:r>
      <w:r w:rsidR="00153167">
        <w:instrText xml:space="preserve"> REF _Ref81321789 \r \h </w:instrText>
      </w:r>
      <w:r w:rsidR="00175439">
        <w:instrText xml:space="preserve"> \* MERGEFORMAT </w:instrText>
      </w:r>
      <w:r w:rsidR="00153167">
        <w:fldChar w:fldCharType="separate"/>
      </w:r>
      <w:r w:rsidR="00926FE3">
        <w:t>5.2.1</w:t>
      </w:r>
      <w:r w:rsidR="00153167">
        <w:fldChar w:fldCharType="end"/>
      </w:r>
      <w:r w:rsidR="00E35525">
        <w:t xml:space="preserve"> and</w:t>
      </w:r>
      <w:r w:rsidR="00153167">
        <w:t xml:space="preserve"> </w:t>
      </w:r>
      <w:r w:rsidR="00153167">
        <w:fldChar w:fldCharType="begin"/>
      </w:r>
      <w:r w:rsidR="00153167">
        <w:instrText xml:space="preserve"> REF _Ref81321821 \r \h </w:instrText>
      </w:r>
      <w:r w:rsidR="00175439">
        <w:instrText xml:space="preserve"> \* MERGEFORMAT </w:instrText>
      </w:r>
      <w:r w:rsidR="00153167">
        <w:fldChar w:fldCharType="separate"/>
      </w:r>
      <w:r w:rsidR="00926FE3">
        <w:t>5.2.2</w:t>
      </w:r>
      <w:r w:rsidR="00153167">
        <w:fldChar w:fldCharType="end"/>
      </w:r>
      <w:r w:rsidR="00E35525">
        <w:t>.</w:t>
      </w:r>
    </w:p>
    <w:p w14:paraId="6C422C39" w14:textId="29349E10" w:rsidR="00E35525" w:rsidRDefault="00E35525" w:rsidP="00E35525">
      <w:pPr>
        <w:pStyle w:val="Heading3"/>
      </w:pPr>
      <w:bookmarkStart w:id="153" w:name="_Ref81321789"/>
      <w:bookmarkStart w:id="154" w:name="_Toc89966411"/>
      <w:r>
        <w:t>Pasquill Stability Category F versus Pasquill Stability Category D conditions</w:t>
      </w:r>
      <w:bookmarkEnd w:id="153"/>
      <w:bookmarkEnd w:id="154"/>
    </w:p>
    <w:p w14:paraId="3E324D83" w14:textId="0DC48879" w:rsidR="00586830" w:rsidRPr="00586830" w:rsidRDefault="00586830" w:rsidP="00175439">
      <w:pPr>
        <w:pStyle w:val="BodyText"/>
        <w:jc w:val="both"/>
      </w:pPr>
      <w:bookmarkStart w:id="155" w:name="_Hlk81383291"/>
      <w:r w:rsidRPr="00586830">
        <w:t xml:space="preserve">The Gaussian models ADMS and </w:t>
      </w:r>
      <w:r w:rsidR="00661548">
        <w:t>ADEPT</w:t>
      </w:r>
      <w:r w:rsidRPr="00586830">
        <w:t xml:space="preserve"> were </w:t>
      </w:r>
      <w:r w:rsidR="00175439">
        <w:t>both</w:t>
      </w:r>
      <w:r w:rsidR="00175439" w:rsidRPr="00586830">
        <w:t xml:space="preserve"> </w:t>
      </w:r>
      <w:r w:rsidRPr="00586830">
        <w:t>used to estimate doses for a range of precipitation rates in Pasquill Stability Category D conditions. Similar model runs were carried out for Pasquill Stability Category F conditions with no precipitation. The results were then compared.</w:t>
      </w:r>
    </w:p>
    <w:p w14:paraId="31A926F9" w14:textId="2F60CEE3" w:rsidR="00586830" w:rsidRPr="00586830" w:rsidRDefault="00586830" w:rsidP="00175439">
      <w:pPr>
        <w:pStyle w:val="BodyText"/>
        <w:jc w:val="both"/>
      </w:pPr>
      <w:bookmarkStart w:id="156" w:name="_Hlk81389729"/>
      <w:r w:rsidRPr="00586830">
        <w:t>The model runs were carried out for all four source terms considered in the present study (LBL, FH, SGT</w:t>
      </w:r>
      <w:r w:rsidR="00732920">
        <w:t>R</w:t>
      </w:r>
      <w:r w:rsidRPr="00586830">
        <w:t xml:space="preserve"> and RCCAE). In the case of the LBL source term, seven precipitation rates were considered: 0. 0.01, 0.1, 1, 2, 4 and 8 mm h</w:t>
      </w:r>
      <w:r w:rsidRPr="00586830">
        <w:rPr>
          <w:vertAlign w:val="superscript"/>
        </w:rPr>
        <w:t>-1</w:t>
      </w:r>
      <w:r w:rsidRPr="00586830">
        <w:t>. For the other three source terms, only three precipitation rates were considered: 0, 1 and 8 mm h</w:t>
      </w:r>
      <w:r w:rsidRPr="00586830">
        <w:rPr>
          <w:vertAlign w:val="superscript"/>
        </w:rPr>
        <w:t>-1</w:t>
      </w:r>
      <w:r w:rsidRPr="00586830">
        <w:t>. This was so as to keep to a manageable number of model runs.</w:t>
      </w:r>
    </w:p>
    <w:bookmarkEnd w:id="156"/>
    <w:p w14:paraId="25C3C04B" w14:textId="3D3F2AD3" w:rsidR="00586830" w:rsidRPr="00586830" w:rsidRDefault="00586830" w:rsidP="00175439">
      <w:pPr>
        <w:pStyle w:val="BodyText"/>
        <w:jc w:val="both"/>
      </w:pPr>
      <w:r w:rsidRPr="00586830">
        <w:t xml:space="preserve">The </w:t>
      </w:r>
      <w:r w:rsidR="002D3581">
        <w:t>ADEPT</w:t>
      </w:r>
      <w:r w:rsidRPr="00586830">
        <w:t xml:space="preserve"> model runs were carried out for the Seathwaite location, though location actually makes little difference to the doses calculated in </w:t>
      </w:r>
      <w:r w:rsidR="00661548">
        <w:t>such</w:t>
      </w:r>
      <w:r w:rsidRPr="00586830">
        <w:t xml:space="preserve"> </w:t>
      </w:r>
      <w:r w:rsidR="00661548">
        <w:t>ADEPT</w:t>
      </w:r>
      <w:r w:rsidRPr="00586830">
        <w:t xml:space="preserve"> runs. The ADMS model runs were </w:t>
      </w:r>
      <w:r w:rsidR="00175439">
        <w:t>in</w:t>
      </w:r>
      <w:r w:rsidRPr="00586830">
        <w:t xml:space="preserve">dependent </w:t>
      </w:r>
      <w:r w:rsidR="00175439">
        <w:t>of</w:t>
      </w:r>
      <w:r w:rsidR="00175439" w:rsidRPr="00586830">
        <w:t xml:space="preserve"> </w:t>
      </w:r>
      <w:r w:rsidRPr="00586830">
        <w:t>location.</w:t>
      </w:r>
    </w:p>
    <w:p w14:paraId="0AE7052F" w14:textId="61B4CE9E" w:rsidR="00586830" w:rsidRPr="00175439" w:rsidRDefault="00586830" w:rsidP="00175439">
      <w:pPr>
        <w:pStyle w:val="BodyTextNOSPACE"/>
        <w:spacing w:after="120"/>
        <w:jc w:val="both"/>
      </w:pPr>
      <w:r w:rsidRPr="00175439">
        <w:t>The 7-day and 30-day doses were maximum 7-day and 30-day effective dose assuming no ingestion, respectively, whereas the lifetime doses were maximum lifetime effective dose including ingestion and assuming no food restrictions.</w:t>
      </w:r>
    </w:p>
    <w:p w14:paraId="717C1238" w14:textId="755BD48F" w:rsidR="007437E9" w:rsidRDefault="007437E9" w:rsidP="007437E9">
      <w:pPr>
        <w:pStyle w:val="Heading4"/>
      </w:pPr>
      <w:bookmarkStart w:id="157" w:name="_Toc89966412"/>
      <w:bookmarkEnd w:id="155"/>
      <w:r>
        <w:t>Short dose integration period results</w:t>
      </w:r>
      <w:r w:rsidR="007256EC">
        <w:t xml:space="preserve"> </w:t>
      </w:r>
      <w:r w:rsidR="00C0485D">
        <w:t>and</w:t>
      </w:r>
      <w:r w:rsidR="007256EC">
        <w:t xml:space="preserve"> discussion</w:t>
      </w:r>
      <w:bookmarkEnd w:id="157"/>
    </w:p>
    <w:p w14:paraId="05308686" w14:textId="737621D7" w:rsidR="00DD43C9" w:rsidRPr="00DD43C9" w:rsidRDefault="00DD43C9" w:rsidP="00285F07">
      <w:pPr>
        <w:pStyle w:val="BodyText"/>
        <w:jc w:val="both"/>
      </w:pPr>
      <w:r w:rsidRPr="00DD43C9">
        <w:t xml:space="preserve">For the shorter integration periods (which in this context means 7- or 30-day doses), the doses estimated for </w:t>
      </w:r>
      <w:r w:rsidR="00CA4BFE">
        <w:t xml:space="preserve">Pasquill Stability </w:t>
      </w:r>
      <w:r w:rsidRPr="00DD43C9">
        <w:t xml:space="preserve">Category F dry conditions were nearly always greater than the doses estimated for any of the analogous runs carried out for </w:t>
      </w:r>
      <w:r w:rsidR="00CA4BFE">
        <w:t xml:space="preserve">Pasquill Stability </w:t>
      </w:r>
      <w:r w:rsidRPr="00DD43C9">
        <w:t xml:space="preserve">Category D conditions (including those in which there was non-zero precipitation). This was true for ADMS and </w:t>
      </w:r>
      <w:r w:rsidR="00AB1422">
        <w:t>ADEPT</w:t>
      </w:r>
      <w:r w:rsidRPr="00DD43C9">
        <w:t xml:space="preserve"> and for all four source terms considered. In some cases, the difference was large</w:t>
      </w:r>
      <w:r w:rsidR="00AB1422">
        <w:t>; a</w:t>
      </w:r>
      <w:r w:rsidRPr="00DD43C9">
        <w:t>n example is given in</w:t>
      </w:r>
      <w:r>
        <w:t xml:space="preserve"> </w:t>
      </w:r>
      <w:r w:rsidR="00F7599C">
        <w:fldChar w:fldCharType="begin"/>
      </w:r>
      <w:r w:rsidR="00F7599C">
        <w:instrText xml:space="preserve"> REF _Ref81385438 \h </w:instrText>
      </w:r>
      <w:r w:rsidR="00175439">
        <w:instrText xml:space="preserve"> \* MERGEFORMAT </w:instrText>
      </w:r>
      <w:r w:rsidR="00F7599C">
        <w:fldChar w:fldCharType="separate"/>
      </w:r>
      <w:r w:rsidR="00926FE3">
        <w:t xml:space="preserve">Figure </w:t>
      </w:r>
      <w:r w:rsidR="00926FE3">
        <w:rPr>
          <w:noProof/>
        </w:rPr>
        <w:t>9</w:t>
      </w:r>
      <w:r w:rsidR="00F7599C">
        <w:fldChar w:fldCharType="end"/>
      </w:r>
      <w:r w:rsidRPr="00DD43C9">
        <w:t>.</w:t>
      </w:r>
    </w:p>
    <w:p w14:paraId="33007639" w14:textId="05805E11" w:rsidR="00DD43C9" w:rsidRPr="00DD43C9" w:rsidRDefault="00DD43C9" w:rsidP="00285F07">
      <w:pPr>
        <w:pStyle w:val="BodyText"/>
        <w:jc w:val="both"/>
      </w:pPr>
      <w:r w:rsidRPr="00DD43C9">
        <w:t>For the</w:t>
      </w:r>
      <w:r w:rsidR="00F7599C">
        <w:t>se</w:t>
      </w:r>
      <w:r w:rsidRPr="00DD43C9">
        <w:t xml:space="preserve"> shorter integration periods, only one instance was found of </w:t>
      </w:r>
      <w:r w:rsidR="00CA4BFE">
        <w:t xml:space="preserve">Pasquill Stability </w:t>
      </w:r>
      <w:r w:rsidRPr="00DD43C9">
        <w:t xml:space="preserve">Category F conditions not </w:t>
      </w:r>
      <w:r w:rsidR="00285F07">
        <w:t>resulting in</w:t>
      </w:r>
      <w:r w:rsidR="00285F07" w:rsidRPr="00DD43C9">
        <w:t xml:space="preserve"> </w:t>
      </w:r>
      <w:r w:rsidRPr="00DD43C9">
        <w:t>the highest dose. Th</w:t>
      </w:r>
      <w:r w:rsidR="00F7599C">
        <w:t>at</w:t>
      </w:r>
      <w:r w:rsidRPr="00DD43C9">
        <w:t xml:space="preserve"> </w:t>
      </w:r>
      <w:r w:rsidR="00F7599C">
        <w:t>unique</w:t>
      </w:r>
      <w:r w:rsidRPr="00DD43C9">
        <w:t xml:space="preserve"> instance was the </w:t>
      </w:r>
      <w:r w:rsidR="00AB1422">
        <w:t>ADEPT</w:t>
      </w:r>
      <w:r w:rsidRPr="00DD43C9">
        <w:t xml:space="preserve"> model run for the RCCAE source term, and specifically the 30-day integrated effective dose to an adult at 0.5</w:t>
      </w:r>
      <w:r w:rsidR="00F7599C">
        <w:t> </w:t>
      </w:r>
      <w:r w:rsidRPr="00DD43C9">
        <w:t xml:space="preserve">km from the release. The results are shown in </w:t>
      </w:r>
      <w:r w:rsidR="00F7599C">
        <w:fldChar w:fldCharType="begin"/>
      </w:r>
      <w:r w:rsidR="00F7599C">
        <w:instrText xml:space="preserve"> REF _Ref81387513 \h </w:instrText>
      </w:r>
      <w:r w:rsidR="00175439">
        <w:instrText xml:space="preserve"> \* MERGEFORMAT </w:instrText>
      </w:r>
      <w:r w:rsidR="00F7599C">
        <w:fldChar w:fldCharType="separate"/>
      </w:r>
      <w:r w:rsidR="00926FE3">
        <w:t xml:space="preserve">Figure </w:t>
      </w:r>
      <w:r w:rsidR="00926FE3">
        <w:rPr>
          <w:noProof/>
        </w:rPr>
        <w:t>10</w:t>
      </w:r>
      <w:r w:rsidR="00F7599C">
        <w:fldChar w:fldCharType="end"/>
      </w:r>
      <w:r w:rsidRPr="00DD43C9">
        <w:t xml:space="preserve">. Even in that </w:t>
      </w:r>
      <w:r w:rsidR="00F7599C">
        <w:t>unique</w:t>
      </w:r>
      <w:r w:rsidRPr="00DD43C9">
        <w:t xml:space="preserve"> case, it was only for the 8 mm h</w:t>
      </w:r>
      <w:r w:rsidRPr="00DD43C9">
        <w:rPr>
          <w:vertAlign w:val="superscript"/>
        </w:rPr>
        <w:t>-1</w:t>
      </w:r>
      <w:r w:rsidRPr="00DD43C9">
        <w:t xml:space="preserve"> precipitation rate that the</w:t>
      </w:r>
      <w:r w:rsidR="00AB1422">
        <w:t xml:space="preserve"> Pasquill Stability</w:t>
      </w:r>
      <w:r w:rsidRPr="00DD43C9">
        <w:t xml:space="preserve"> Category D </w:t>
      </w:r>
      <w:r w:rsidR="00AB1422">
        <w:t xml:space="preserve">derived </w:t>
      </w:r>
      <w:r w:rsidRPr="00DD43C9">
        <w:t xml:space="preserve">dose was higher than the Category F </w:t>
      </w:r>
      <w:r w:rsidR="00AB1422">
        <w:t xml:space="preserve">derived </w:t>
      </w:r>
      <w:r w:rsidRPr="00DD43C9">
        <w:t>dose. In reality, a sustained precipitation rate of 8 mm h</w:t>
      </w:r>
      <w:r w:rsidRPr="00DD43C9">
        <w:rPr>
          <w:vertAlign w:val="superscript"/>
        </w:rPr>
        <w:t>-1</w:t>
      </w:r>
      <w:r w:rsidRPr="00DD43C9">
        <w:t xml:space="preserve"> </w:t>
      </w:r>
      <w:r w:rsidR="00D97A6F">
        <w:t xml:space="preserve">over a 30-day period </w:t>
      </w:r>
      <w:r w:rsidRPr="00DD43C9">
        <w:t xml:space="preserve">would be </w:t>
      </w:r>
      <w:r w:rsidR="00D97A6F">
        <w:t>unheard of</w:t>
      </w:r>
      <w:r w:rsidRPr="00DD43C9">
        <w:t>.</w:t>
      </w:r>
      <w:r w:rsidR="00242B57">
        <w:t xml:space="preserve"> That said, a</w:t>
      </w:r>
      <w:r w:rsidR="007E1674">
        <w:t>ny</w:t>
      </w:r>
      <w:r w:rsidR="00242B57">
        <w:t xml:space="preserve"> </w:t>
      </w:r>
      <w:r w:rsidR="007E1674">
        <w:t>“</w:t>
      </w:r>
      <w:r w:rsidR="00242B57">
        <w:t xml:space="preserve">single </w:t>
      </w:r>
      <w:r w:rsidR="007E1674">
        <w:t xml:space="preserve">description of the </w:t>
      </w:r>
      <w:r w:rsidR="00242B57">
        <w:t>meteorological condition</w:t>
      </w:r>
      <w:r w:rsidR="007E1674">
        <w:t>s”</w:t>
      </w:r>
      <w:r w:rsidR="00242B57">
        <w:t xml:space="preserve">, such as PSC F and dry conditions, persisting throughout a 30-day period, </w:t>
      </w:r>
      <w:r w:rsidR="00EC3BD4">
        <w:t>has never before been observed</w:t>
      </w:r>
      <w:r w:rsidR="00242B57">
        <w:t xml:space="preserve"> (in the UK).</w:t>
      </w:r>
    </w:p>
    <w:p w14:paraId="0FDA7364" w14:textId="2D149B9E" w:rsidR="007256EC" w:rsidRPr="007256EC" w:rsidRDefault="00DD43C9" w:rsidP="00285F07">
      <w:pPr>
        <w:pStyle w:val="BodyTextEND"/>
        <w:jc w:val="both"/>
      </w:pPr>
      <w:r w:rsidRPr="00DD43C9">
        <w:t>This indicates that when estimating doses for</w:t>
      </w:r>
      <w:r w:rsidR="00FF29EE">
        <w:t xml:space="preserve"> relatively short</w:t>
      </w:r>
      <w:r w:rsidRPr="00DD43C9">
        <w:t xml:space="preserve"> </w:t>
      </w:r>
      <w:r w:rsidR="00FF29EE">
        <w:t xml:space="preserve">dose </w:t>
      </w:r>
      <w:r w:rsidRPr="00DD43C9">
        <w:t>integration periods</w:t>
      </w:r>
      <w:r w:rsidR="00AB1422">
        <w:t xml:space="preserve"> and on the basis of a Gaussian Plume Model</w:t>
      </w:r>
      <w:r w:rsidRPr="00DD43C9">
        <w:t>, Pasquill Stability Category F is not necessarily the most conservative assumption, but will be in most cases.</w:t>
      </w:r>
    </w:p>
    <w:p w14:paraId="1E1821DF" w14:textId="53D93EAC" w:rsidR="0029024B" w:rsidRDefault="00FE0F8A" w:rsidP="0029024B">
      <w:pPr>
        <w:pStyle w:val="BodyText"/>
        <w:keepNext/>
        <w:jc w:val="both"/>
      </w:pPr>
      <w:r>
        <w:rPr>
          <w:noProof/>
          <w:lang w:eastAsia="en-GB"/>
        </w:rPr>
        <w:drawing>
          <wp:inline distT="0" distB="0" distL="0" distR="0" wp14:anchorId="4049FEA4" wp14:editId="5021C850">
            <wp:extent cx="4991100" cy="2743200"/>
            <wp:effectExtent l="0" t="0" r="0" b="0"/>
            <wp:docPr id="28" name="Chart 28">
              <a:extLst xmlns:a="http://schemas.openxmlformats.org/drawingml/2006/main">
                <a:ext uri="{FF2B5EF4-FFF2-40B4-BE49-F238E27FC236}">
                  <a16:creationId xmlns:a16="http://schemas.microsoft.com/office/drawing/2014/main" id="{5566792B-B51B-4D17-879F-345F5BD36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ED81FD6" w14:textId="15C1D513" w:rsidR="0029024B" w:rsidRDefault="0029024B" w:rsidP="0029024B">
      <w:pPr>
        <w:pStyle w:val="Tablecaption"/>
      </w:pPr>
      <w:bookmarkStart w:id="158" w:name="_Ref81385438"/>
      <w:r>
        <w:t xml:space="preserve">Figure </w:t>
      </w:r>
      <w:fldSimple w:instr=" SEQ Figure \* ARABIC ">
        <w:r w:rsidR="00926FE3">
          <w:rPr>
            <w:noProof/>
          </w:rPr>
          <w:t>9</w:t>
        </w:r>
      </w:fldSimple>
      <w:bookmarkEnd w:id="158"/>
      <w:r>
        <w:t xml:space="preserve">: </w:t>
      </w:r>
      <w:r w:rsidRPr="00CD1E67">
        <w:t>Maximum infant 30</w:t>
      </w:r>
      <w:r w:rsidR="005432A2">
        <w:t>-</w:t>
      </w:r>
      <w:r w:rsidRPr="00CD1E67">
        <w:t>day effective dose at 5 km on the basis of the LBL ST (ADMS)</w:t>
      </w:r>
    </w:p>
    <w:p w14:paraId="082CF7D2" w14:textId="23AD5C72" w:rsidR="007256EC" w:rsidRDefault="007256EC" w:rsidP="005C554B">
      <w:pPr>
        <w:pStyle w:val="BodyText"/>
        <w:jc w:val="both"/>
      </w:pPr>
    </w:p>
    <w:p w14:paraId="7A928BFF" w14:textId="77777777" w:rsidR="0029024B" w:rsidRDefault="007256EC" w:rsidP="0029024B">
      <w:pPr>
        <w:pStyle w:val="BodyText"/>
        <w:keepNext/>
        <w:jc w:val="both"/>
      </w:pPr>
      <w:r>
        <w:rPr>
          <w:noProof/>
          <w:lang w:eastAsia="en-GB"/>
        </w:rPr>
        <w:drawing>
          <wp:inline distT="0" distB="0" distL="0" distR="0" wp14:anchorId="1F62B415" wp14:editId="3B458A37">
            <wp:extent cx="4962159" cy="2612891"/>
            <wp:effectExtent l="0" t="0" r="0" b="0"/>
            <wp:docPr id="47" name="Chart 47">
              <a:extLst xmlns:a="http://schemas.openxmlformats.org/drawingml/2006/main">
                <a:ext uri="{FF2B5EF4-FFF2-40B4-BE49-F238E27FC236}">
                  <a16:creationId xmlns:a16="http://schemas.microsoft.com/office/drawing/2014/main" id="{F5FF5F47-5DCD-48A2-A50B-36A608A72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4E985DE" w14:textId="3EC99A35" w:rsidR="007437E9" w:rsidRDefault="0029024B" w:rsidP="0029024B">
      <w:pPr>
        <w:pStyle w:val="Tablecaption"/>
      </w:pPr>
      <w:bookmarkStart w:id="159" w:name="_Ref81387513"/>
      <w:r>
        <w:t xml:space="preserve">Figure </w:t>
      </w:r>
      <w:fldSimple w:instr=" SEQ Figure \* ARABIC ">
        <w:r w:rsidR="00926FE3">
          <w:rPr>
            <w:noProof/>
          </w:rPr>
          <w:t>10</w:t>
        </w:r>
      </w:fldSimple>
      <w:bookmarkEnd w:id="159"/>
      <w:r w:rsidRPr="00D35930">
        <w:t>: Maximum adult 30</w:t>
      </w:r>
      <w:r w:rsidR="00F7599C">
        <w:t>-</w:t>
      </w:r>
      <w:r w:rsidRPr="00D35930">
        <w:t>day effective dose at 0.5 km on the basis of the RCCAE ST (</w:t>
      </w:r>
      <w:r w:rsidR="002D3581">
        <w:t>ADEPT</w:t>
      </w:r>
      <w:r w:rsidRPr="00D35930">
        <w:t>)</w:t>
      </w:r>
    </w:p>
    <w:p w14:paraId="70314C07" w14:textId="77777777" w:rsidR="00017323" w:rsidRPr="00017323" w:rsidRDefault="00017323" w:rsidP="00017323">
      <w:pPr>
        <w:pStyle w:val="BodyText"/>
      </w:pPr>
    </w:p>
    <w:p w14:paraId="76AC8955" w14:textId="7F19364E" w:rsidR="007256EC" w:rsidRDefault="00FF71A7" w:rsidP="00FF71A7">
      <w:pPr>
        <w:pStyle w:val="Heading4"/>
      </w:pPr>
      <w:bookmarkStart w:id="160" w:name="_Toc89966413"/>
      <w:r>
        <w:t xml:space="preserve">Lifetime dose integration period results </w:t>
      </w:r>
      <w:r w:rsidR="00F7599C">
        <w:t>and</w:t>
      </w:r>
      <w:r>
        <w:t xml:space="preserve"> discussion</w:t>
      </w:r>
      <w:bookmarkEnd w:id="160"/>
    </w:p>
    <w:p w14:paraId="16C03767" w14:textId="4AEA97E5" w:rsidR="001A5C2D" w:rsidRDefault="003D0EEC" w:rsidP="00B4046E">
      <w:pPr>
        <w:pStyle w:val="BodyText"/>
        <w:jc w:val="both"/>
      </w:pPr>
      <w:r>
        <w:t xml:space="preserve">For a large proportion of the scenarios considered in this study, on the basis of lifetime integration periods, dose estimates derived assuming Pasquill Stability Category D and </w:t>
      </w:r>
      <w:r w:rsidR="001A5C2D">
        <w:t>an 8</w:t>
      </w:r>
      <w:r w:rsidR="00A7336C">
        <w:t> </w:t>
      </w:r>
      <w:r w:rsidR="001A5C2D">
        <w:t>mm h</w:t>
      </w:r>
      <w:r w:rsidR="001A5C2D" w:rsidRPr="001A5C2D">
        <w:rPr>
          <w:vertAlign w:val="superscript"/>
        </w:rPr>
        <w:t>-1</w:t>
      </w:r>
      <w:r w:rsidR="001A5C2D">
        <w:t xml:space="preserve"> precipitation rate</w:t>
      </w:r>
      <w:r>
        <w:t xml:space="preserve"> were greater than the respective dose estimates derived assuming Pasquill Stability Category </w:t>
      </w:r>
      <w:r w:rsidR="001A5C2D">
        <w:t>F</w:t>
      </w:r>
      <w:r>
        <w:t xml:space="preserve"> and </w:t>
      </w:r>
      <w:r w:rsidR="001A5C2D">
        <w:t>dry</w:t>
      </w:r>
      <w:r>
        <w:t xml:space="preserve"> conditions</w:t>
      </w:r>
      <w:r w:rsidR="00274A66">
        <w:t xml:space="preserve"> (</w:t>
      </w:r>
      <w:r w:rsidR="005432A2">
        <w:fldChar w:fldCharType="begin"/>
      </w:r>
      <w:r w:rsidR="005432A2">
        <w:instrText xml:space="preserve"> REF _Ref81408042 \h </w:instrText>
      </w:r>
      <w:r w:rsidR="00B4046E">
        <w:instrText xml:space="preserve"> \* MERGEFORMAT </w:instrText>
      </w:r>
      <w:r w:rsidR="005432A2">
        <w:fldChar w:fldCharType="separate"/>
      </w:r>
      <w:r w:rsidR="00926FE3">
        <w:t xml:space="preserve">Figure </w:t>
      </w:r>
      <w:r w:rsidR="00926FE3">
        <w:rPr>
          <w:noProof/>
        </w:rPr>
        <w:t>11</w:t>
      </w:r>
      <w:r w:rsidR="005432A2">
        <w:fldChar w:fldCharType="end"/>
      </w:r>
      <w:r w:rsidR="005432A2">
        <w:t xml:space="preserve"> </w:t>
      </w:r>
      <w:r w:rsidR="00274A66">
        <w:t>being an example)</w:t>
      </w:r>
      <w:r>
        <w:t>.</w:t>
      </w:r>
      <w:r w:rsidR="001A5C2D">
        <w:t xml:space="preserve"> The exception being for some RCCAE and SGTR ST scenarios.</w:t>
      </w:r>
    </w:p>
    <w:p w14:paraId="4F09E162" w14:textId="04CADE70" w:rsidR="00274A66" w:rsidRDefault="003D0EEC" w:rsidP="00B4046E">
      <w:pPr>
        <w:pStyle w:val="BodyText"/>
        <w:jc w:val="both"/>
      </w:pPr>
      <w:r>
        <w:t xml:space="preserve">In </w:t>
      </w:r>
      <w:r w:rsidR="001A5C2D">
        <w:t xml:space="preserve">a handful of </w:t>
      </w:r>
      <w:r>
        <w:t>cases, as demonstrated in</w:t>
      </w:r>
      <w:r w:rsidR="005432A2">
        <w:t xml:space="preserve"> </w:t>
      </w:r>
      <w:r w:rsidR="005432A2">
        <w:fldChar w:fldCharType="begin"/>
      </w:r>
      <w:r w:rsidR="005432A2">
        <w:instrText xml:space="preserve"> REF _Ref81408042 \h </w:instrText>
      </w:r>
      <w:r w:rsidR="00B4046E">
        <w:instrText xml:space="preserve"> \* MERGEFORMAT </w:instrText>
      </w:r>
      <w:r w:rsidR="005432A2">
        <w:fldChar w:fldCharType="separate"/>
      </w:r>
      <w:r w:rsidR="00926FE3">
        <w:t xml:space="preserve">Figure </w:t>
      </w:r>
      <w:r w:rsidR="00926FE3">
        <w:rPr>
          <w:noProof/>
        </w:rPr>
        <w:t>11</w:t>
      </w:r>
      <w:r w:rsidR="005432A2">
        <w:fldChar w:fldCharType="end"/>
      </w:r>
      <w:r>
        <w:t xml:space="preserve">, </w:t>
      </w:r>
      <w:r w:rsidR="00274A66">
        <w:t>dose estimates derived assuming Pasquill Stability Category D and a 1 mm h</w:t>
      </w:r>
      <w:r w:rsidR="00274A66" w:rsidRPr="001A5C2D">
        <w:rPr>
          <w:vertAlign w:val="superscript"/>
        </w:rPr>
        <w:t>-1</w:t>
      </w:r>
      <w:r w:rsidR="00274A66">
        <w:t xml:space="preserve"> precipitation rate were greater than the respective dose estimates derived </w:t>
      </w:r>
      <w:r w:rsidR="00274A66" w:rsidRPr="00AA69DA">
        <w:t>assuming</w:t>
      </w:r>
      <w:r w:rsidR="00274A66">
        <w:t xml:space="preserve"> Pasquill Stability Category F and dry conditions</w:t>
      </w:r>
      <w:r>
        <w:t>.</w:t>
      </w:r>
      <w:r w:rsidR="00274A66">
        <w:t xml:space="preserve"> There were no instances, for the scenarios considered in this study, </w:t>
      </w:r>
      <w:r w:rsidR="009917D6">
        <w:t xml:space="preserve">in which </w:t>
      </w:r>
      <w:r w:rsidR="00274A66">
        <w:t>dose estimates derived assuming Pasquill Stability Category D and a 0 mm h</w:t>
      </w:r>
      <w:r w:rsidR="00274A66" w:rsidRPr="001A5C2D">
        <w:rPr>
          <w:vertAlign w:val="superscript"/>
        </w:rPr>
        <w:t>-1</w:t>
      </w:r>
      <w:r w:rsidR="00274A66">
        <w:t xml:space="preserve"> precipitation rate were greater than the respective dose estimates derived assuming Pasquill Stability Category F and dry conditions.</w:t>
      </w:r>
    </w:p>
    <w:p w14:paraId="67C1EC65" w14:textId="342E67E0" w:rsidR="003D0EEC" w:rsidRDefault="00AA69DA" w:rsidP="00884119">
      <w:pPr>
        <w:pStyle w:val="BodyTextNOSPACE"/>
        <w:spacing w:after="120"/>
      </w:pPr>
      <w:r>
        <w:t>In a few cases, Pasquill Stability Category F remained the dominant meteorological condition, as presented in</w:t>
      </w:r>
      <w:r w:rsidR="005432A2">
        <w:t xml:space="preserve"> </w:t>
      </w:r>
      <w:r w:rsidR="005432A2">
        <w:fldChar w:fldCharType="begin"/>
      </w:r>
      <w:r w:rsidR="005432A2">
        <w:instrText xml:space="preserve"> REF _Ref81408184 \h </w:instrText>
      </w:r>
      <w:r w:rsidR="00B4046E">
        <w:instrText xml:space="preserve"> \* MERGEFORMAT </w:instrText>
      </w:r>
      <w:r w:rsidR="005432A2">
        <w:fldChar w:fldCharType="separate"/>
      </w:r>
      <w:r w:rsidR="00926FE3">
        <w:t xml:space="preserve">Figure </w:t>
      </w:r>
      <w:r w:rsidR="00926FE3">
        <w:rPr>
          <w:noProof/>
        </w:rPr>
        <w:t>12</w:t>
      </w:r>
      <w:r w:rsidR="005432A2">
        <w:fldChar w:fldCharType="end"/>
      </w:r>
      <w:r>
        <w:t>.</w:t>
      </w:r>
    </w:p>
    <w:p w14:paraId="401DC077" w14:textId="4E66E93A" w:rsidR="00EB3C55" w:rsidRDefault="00EB3C55" w:rsidP="00855B12">
      <w:pPr>
        <w:pStyle w:val="BodyTextEND"/>
        <w:jc w:val="both"/>
      </w:pPr>
      <w:r>
        <w:fldChar w:fldCharType="begin"/>
      </w:r>
      <w:r>
        <w:instrText xml:space="preserve"> REF _Ref81408042 \h  \* MERGEFORMAT </w:instrText>
      </w:r>
      <w:r>
        <w:fldChar w:fldCharType="separate"/>
      </w:r>
      <w:r w:rsidR="00926FE3">
        <w:t xml:space="preserve">Figure </w:t>
      </w:r>
      <w:r w:rsidR="00926FE3">
        <w:rPr>
          <w:noProof/>
        </w:rPr>
        <w:t>11</w:t>
      </w:r>
      <w:r>
        <w:fldChar w:fldCharType="end"/>
      </w:r>
      <w:r>
        <w:t xml:space="preserve"> and </w:t>
      </w:r>
      <w:r>
        <w:fldChar w:fldCharType="begin"/>
      </w:r>
      <w:r>
        <w:instrText xml:space="preserve"> REF _Ref81408184 \h  \* MERGEFORMAT </w:instrText>
      </w:r>
      <w:r>
        <w:fldChar w:fldCharType="separate"/>
      </w:r>
      <w:r w:rsidR="00926FE3">
        <w:t xml:space="preserve">Figure </w:t>
      </w:r>
      <w:r w:rsidR="00926FE3">
        <w:rPr>
          <w:noProof/>
        </w:rPr>
        <w:t>12</w:t>
      </w:r>
      <w:r>
        <w:fldChar w:fldCharType="end"/>
      </w:r>
      <w:r w:rsidR="007B3AE9">
        <w:t xml:space="preserve"> were included to demonstrate the relative differences in estimated dose when assuming PSC F (and dry) conditions compared to PSC D conditions </w:t>
      </w:r>
      <w:r w:rsidR="004D1568">
        <w:t xml:space="preserve">with varying rates of </w:t>
      </w:r>
      <w:r w:rsidR="007B3AE9">
        <w:t xml:space="preserve"> precipitation. </w:t>
      </w:r>
      <w:r w:rsidR="007E176C">
        <w:t xml:space="preserve">Irrespective of the source terms or the meteorological conditions, the dominant contribution to dose in </w:t>
      </w:r>
      <w:r w:rsidR="007E176C">
        <w:fldChar w:fldCharType="begin"/>
      </w:r>
      <w:r w:rsidR="007E176C">
        <w:instrText xml:space="preserve"> REF _Ref81408042 \h  \* MERGEFORMAT </w:instrText>
      </w:r>
      <w:r w:rsidR="007E176C">
        <w:fldChar w:fldCharType="separate"/>
      </w:r>
      <w:r w:rsidR="00926FE3">
        <w:t xml:space="preserve">Figure </w:t>
      </w:r>
      <w:r w:rsidR="00926FE3">
        <w:rPr>
          <w:noProof/>
        </w:rPr>
        <w:t>11</w:t>
      </w:r>
      <w:r w:rsidR="007E176C">
        <w:fldChar w:fldCharType="end"/>
      </w:r>
      <w:r w:rsidR="007E176C">
        <w:t xml:space="preserve"> and </w:t>
      </w:r>
      <w:r w:rsidR="007E176C">
        <w:fldChar w:fldCharType="begin"/>
      </w:r>
      <w:r w:rsidR="007E176C">
        <w:instrText xml:space="preserve"> REF _Ref81408184 \h  \* MERGEFORMAT </w:instrText>
      </w:r>
      <w:r w:rsidR="007E176C">
        <w:fldChar w:fldCharType="separate"/>
      </w:r>
      <w:r w:rsidR="00926FE3">
        <w:t xml:space="preserve">Figure </w:t>
      </w:r>
      <w:r w:rsidR="00926FE3">
        <w:rPr>
          <w:noProof/>
        </w:rPr>
        <w:t>12</w:t>
      </w:r>
      <w:r w:rsidR="007E176C">
        <w:fldChar w:fldCharType="end"/>
      </w:r>
      <w:r w:rsidR="007E176C">
        <w:t xml:space="preserve"> was from the ingestion of radioiodine in milk. </w:t>
      </w:r>
      <w:r w:rsidR="007B3AE9">
        <w:t>T</w:t>
      </w:r>
      <w:r w:rsidR="007E176C">
        <w:t>he differences</w:t>
      </w:r>
      <w:r w:rsidR="007B3AE9">
        <w:t xml:space="preserve"> </w:t>
      </w:r>
      <w:r w:rsidR="007E176C">
        <w:t>in the pattern</w:t>
      </w:r>
      <w:r w:rsidR="00013DBE">
        <w:t>s</w:t>
      </w:r>
      <w:r w:rsidR="007E176C">
        <w:t xml:space="preserve"> of estimate</w:t>
      </w:r>
      <w:r w:rsidR="00013DBE">
        <w:t>d</w:t>
      </w:r>
      <w:r w:rsidR="007E176C">
        <w:t xml:space="preserve"> doses as a function of meteorological condition between the two figures aro</w:t>
      </w:r>
      <w:r w:rsidR="007B3AE9">
        <w:t xml:space="preserve">se </w:t>
      </w:r>
      <w:r w:rsidR="007E176C">
        <w:t>because</w:t>
      </w:r>
      <w:r w:rsidR="007B3AE9">
        <w:t xml:space="preserve"> of differences in the makeup of the source terms</w:t>
      </w:r>
      <w:r w:rsidR="007E176C">
        <w:t xml:space="preserve"> and differ</w:t>
      </w:r>
      <w:r w:rsidR="00013DBE">
        <w:t xml:space="preserve">ences in </w:t>
      </w:r>
      <w:r w:rsidR="007E176C">
        <w:t>dry deposition velocities; specifically,</w:t>
      </w:r>
      <w:r w:rsidR="007B3AE9">
        <w:t xml:space="preserve"> the LBL </w:t>
      </w:r>
      <w:r w:rsidR="002979D7">
        <w:t>source term</w:t>
      </w:r>
      <w:r w:rsidR="007B3AE9">
        <w:t xml:space="preserve"> included iodine in all three common chemical forms</w:t>
      </w:r>
      <w:r w:rsidR="00013DBE">
        <w:t xml:space="preserve"> (released in differing amounts)</w:t>
      </w:r>
      <w:r w:rsidR="007B3AE9">
        <w:t xml:space="preserve">, whilst the SGTR </w:t>
      </w:r>
      <w:r w:rsidR="002979D7">
        <w:t>source term</w:t>
      </w:r>
      <w:r w:rsidR="007B3AE9">
        <w:t xml:space="preserve"> included iodine in only elemental vapour form</w:t>
      </w:r>
      <w:r w:rsidR="007E176C">
        <w:t xml:space="preserve">, and elemental iodine vapour was assumed to dry deposit </w:t>
      </w:r>
      <w:r w:rsidR="00013DBE">
        <w:t>one thousand times</w:t>
      </w:r>
      <w:r w:rsidR="007E176C">
        <w:t xml:space="preserve"> more readily than iodine in organic form</w:t>
      </w:r>
      <w:r w:rsidR="007B3AE9">
        <w:t>.</w:t>
      </w:r>
      <w:r w:rsidR="007E176C">
        <w:t xml:space="preserve"> A further key factor was the uniformity of the wet deposition as a function of the chemical form of iodine. Thus in </w:t>
      </w:r>
      <w:r w:rsidR="007D7B33">
        <w:fldChar w:fldCharType="begin"/>
      </w:r>
      <w:r w:rsidR="007D7B33">
        <w:instrText xml:space="preserve"> REF _Ref81408042 \h  \* MERGEFORMAT </w:instrText>
      </w:r>
      <w:r w:rsidR="007D7B33">
        <w:fldChar w:fldCharType="separate"/>
      </w:r>
      <w:r w:rsidR="00926FE3">
        <w:t xml:space="preserve">Figure </w:t>
      </w:r>
      <w:r w:rsidR="00926FE3">
        <w:rPr>
          <w:noProof/>
        </w:rPr>
        <w:t>11</w:t>
      </w:r>
      <w:r w:rsidR="007D7B33">
        <w:fldChar w:fldCharType="end"/>
      </w:r>
      <w:r w:rsidR="007E176C">
        <w:t xml:space="preserve">, for the LBL </w:t>
      </w:r>
      <w:r w:rsidR="002979D7">
        <w:t>source term</w:t>
      </w:r>
      <w:r w:rsidR="007E176C">
        <w:t>, the estimated dose derived assuming PSC F conditions was relatively small because</w:t>
      </w:r>
      <w:r w:rsidR="00950EA6">
        <w:t xml:space="preserve"> </w:t>
      </w:r>
      <w:r w:rsidR="00013DBE">
        <w:t>relatively</w:t>
      </w:r>
      <w:r w:rsidR="00950EA6">
        <w:t xml:space="preserve"> large quantities of iodine in </w:t>
      </w:r>
      <w:r w:rsidR="00013DBE">
        <w:t>organic</w:t>
      </w:r>
      <w:r w:rsidR="00950EA6">
        <w:t xml:space="preserve"> form were released</w:t>
      </w:r>
      <w:r w:rsidR="00855B12">
        <w:t xml:space="preserve">, leading to dominant </w:t>
      </w:r>
      <w:r w:rsidR="00013DBE">
        <w:t xml:space="preserve">organic iodine </w:t>
      </w:r>
      <w:r w:rsidR="00855B12">
        <w:t>air concentrations (relative to elemental iodine vapour), which wet deposits in significantly greater amounts than it dry deposits</w:t>
      </w:r>
      <w:r w:rsidR="007D7B33">
        <w:t xml:space="preserve">. </w:t>
      </w:r>
      <w:r w:rsidR="006F6BFF">
        <w:t>I</w:t>
      </w:r>
      <w:r w:rsidR="007D7B33">
        <w:t xml:space="preserve">n </w:t>
      </w:r>
      <w:r w:rsidR="007D7B33">
        <w:fldChar w:fldCharType="begin"/>
      </w:r>
      <w:r w:rsidR="007D7B33">
        <w:instrText xml:space="preserve"> REF _Ref81408184 \h  \* MERGEFORMAT </w:instrText>
      </w:r>
      <w:r w:rsidR="007D7B33">
        <w:fldChar w:fldCharType="separate"/>
      </w:r>
      <w:r w:rsidR="00926FE3">
        <w:t xml:space="preserve">Figure </w:t>
      </w:r>
      <w:r w:rsidR="00926FE3">
        <w:rPr>
          <w:noProof/>
        </w:rPr>
        <w:t>12</w:t>
      </w:r>
      <w:r w:rsidR="007D7B33">
        <w:fldChar w:fldCharType="end"/>
      </w:r>
      <w:r w:rsidR="007D7B33">
        <w:t xml:space="preserve">, for the SGTR </w:t>
      </w:r>
      <w:r w:rsidR="002979D7">
        <w:t>source term</w:t>
      </w:r>
      <w:r w:rsidR="007D7B33">
        <w:t>, the estimated dose derived assuming PSC F conditions was relatively large because</w:t>
      </w:r>
      <w:r w:rsidR="00950EA6">
        <w:t xml:space="preserve"> of the significantly greater air concentrations arising in stable </w:t>
      </w:r>
      <w:r w:rsidR="001B1B63">
        <w:t>(compared to neutral) conditions</w:t>
      </w:r>
      <w:r w:rsidR="00950EA6">
        <w:t xml:space="preserve">, resulting in </w:t>
      </w:r>
      <w:r w:rsidR="006F6BFF">
        <w:t>significant</w:t>
      </w:r>
      <w:r w:rsidR="001B1B63">
        <w:t>ly</w:t>
      </w:r>
      <w:r w:rsidR="00950EA6">
        <w:t xml:space="preserve"> </w:t>
      </w:r>
      <w:r w:rsidR="001B1B63">
        <w:t xml:space="preserve">greater </w:t>
      </w:r>
      <w:r w:rsidR="006F6BFF">
        <w:t>quantities of</w:t>
      </w:r>
      <w:r w:rsidR="00950EA6">
        <w:t xml:space="preserve"> dry deposition</w:t>
      </w:r>
      <w:r w:rsidR="006F6BFF">
        <w:t xml:space="preserve"> of elemental iodine vapour</w:t>
      </w:r>
      <w:r w:rsidR="001B1B63">
        <w:t xml:space="preserve"> (which wet deposits only moderately more than it dry deposits)</w:t>
      </w:r>
      <w:r w:rsidR="00950EA6">
        <w:t>.</w:t>
      </w:r>
    </w:p>
    <w:p w14:paraId="6B1CDA2F" w14:textId="77777777" w:rsidR="007D7B33" w:rsidRPr="00EB3C55" w:rsidRDefault="007D7B33" w:rsidP="00EB5B2C">
      <w:pPr>
        <w:pStyle w:val="BodyText"/>
      </w:pPr>
      <w:bookmarkStart w:id="161" w:name="_Hlk88552300"/>
    </w:p>
    <w:p w14:paraId="5DF44D41" w14:textId="390D429F" w:rsidR="00FF71A7" w:rsidRDefault="00C56DF3" w:rsidP="005C554B">
      <w:pPr>
        <w:pStyle w:val="BodyText"/>
        <w:jc w:val="both"/>
      </w:pPr>
      <w:r>
        <w:rPr>
          <w:noProof/>
          <w:lang w:eastAsia="en-GB"/>
        </w:rPr>
        <w:drawing>
          <wp:inline distT="0" distB="0" distL="0" distR="0" wp14:anchorId="270FDDF7" wp14:editId="360479C6">
            <wp:extent cx="4895850" cy="2743200"/>
            <wp:effectExtent l="0" t="0" r="0" b="0"/>
            <wp:docPr id="29" name="Chart 29">
              <a:extLst xmlns:a="http://schemas.openxmlformats.org/drawingml/2006/main">
                <a:ext uri="{FF2B5EF4-FFF2-40B4-BE49-F238E27FC236}">
                  <a16:creationId xmlns:a16="http://schemas.microsoft.com/office/drawing/2014/main" id="{7BBD8DA1-F294-4AAC-A773-ECD4E78F19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8728842" w14:textId="497AFD10" w:rsidR="003D0EEC" w:rsidRDefault="00215F6D" w:rsidP="00215F6D">
      <w:pPr>
        <w:pStyle w:val="Figurecaption"/>
      </w:pPr>
      <w:bookmarkStart w:id="162" w:name="_Ref81408042"/>
      <w:r>
        <w:t xml:space="preserve">Figure </w:t>
      </w:r>
      <w:fldSimple w:instr=" SEQ Figure \* ARABIC ">
        <w:r w:rsidR="00926FE3">
          <w:rPr>
            <w:noProof/>
          </w:rPr>
          <w:t>11</w:t>
        </w:r>
      </w:fldSimple>
      <w:bookmarkEnd w:id="162"/>
      <w:r w:rsidRPr="00BB09AC">
        <w:t>: Maximum infant lifetime effective dose at 5 km on the basis of the LBL ST (ADMS)</w:t>
      </w:r>
    </w:p>
    <w:p w14:paraId="472F2F9B" w14:textId="77777777" w:rsidR="00215F6D" w:rsidRPr="00215F6D" w:rsidRDefault="00215F6D" w:rsidP="00215F6D">
      <w:pPr>
        <w:pStyle w:val="BodyText"/>
      </w:pPr>
    </w:p>
    <w:p w14:paraId="71C3D45F" w14:textId="6E7AEDE6" w:rsidR="00215F6D" w:rsidRDefault="00C56DF3" w:rsidP="00215F6D">
      <w:pPr>
        <w:pStyle w:val="BodyText"/>
        <w:keepNext/>
        <w:jc w:val="both"/>
      </w:pPr>
      <w:r>
        <w:rPr>
          <w:noProof/>
          <w:lang w:eastAsia="en-GB"/>
        </w:rPr>
        <w:drawing>
          <wp:inline distT="0" distB="0" distL="0" distR="0" wp14:anchorId="60956F16" wp14:editId="12117651">
            <wp:extent cx="4905375" cy="2754630"/>
            <wp:effectExtent l="0" t="0" r="0" b="0"/>
            <wp:docPr id="30" name="Chart 30">
              <a:extLst xmlns:a="http://schemas.openxmlformats.org/drawingml/2006/main">
                <a:ext uri="{FF2B5EF4-FFF2-40B4-BE49-F238E27FC236}">
                  <a16:creationId xmlns:a16="http://schemas.microsoft.com/office/drawing/2014/main" id="{FA60AF10-3390-422B-AA5B-BD053B132A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B8DAE54" w14:textId="5A7E4370" w:rsidR="003D0EEC" w:rsidRDefault="00215F6D" w:rsidP="00215F6D">
      <w:pPr>
        <w:pStyle w:val="Figurecaption"/>
      </w:pPr>
      <w:bookmarkStart w:id="163" w:name="_Ref81408184"/>
      <w:r>
        <w:t xml:space="preserve">Figure </w:t>
      </w:r>
      <w:fldSimple w:instr=" SEQ Figure \* ARABIC ">
        <w:r w:rsidR="00926FE3">
          <w:rPr>
            <w:noProof/>
          </w:rPr>
          <w:t>12</w:t>
        </w:r>
      </w:fldSimple>
      <w:bookmarkEnd w:id="163"/>
      <w:r w:rsidRPr="00044D6B">
        <w:t>: Maximum infant lifetime effective dose at 0.5 km on the basis of the SGTR ST (ADMS)</w:t>
      </w:r>
    </w:p>
    <w:bookmarkEnd w:id="161"/>
    <w:p w14:paraId="660681E5" w14:textId="77777777" w:rsidR="00AA69DA" w:rsidRPr="00AA69DA" w:rsidRDefault="00AA69DA" w:rsidP="00AA69DA">
      <w:pPr>
        <w:pStyle w:val="BodyTextEND"/>
      </w:pPr>
    </w:p>
    <w:p w14:paraId="08CCBE07" w14:textId="188156A4" w:rsidR="000B7504" w:rsidRDefault="000B7504" w:rsidP="000B7504">
      <w:pPr>
        <w:pStyle w:val="Heading3"/>
      </w:pPr>
      <w:bookmarkStart w:id="164" w:name="_Ref81321821"/>
      <w:bookmarkStart w:id="165" w:name="_Toc89966414"/>
      <w:r>
        <w:t xml:space="preserve">Pasquill Stability Category F </w:t>
      </w:r>
      <w:r w:rsidR="00394D89">
        <w:t>and</w:t>
      </w:r>
      <w:r>
        <w:t xml:space="preserve"> </w:t>
      </w:r>
      <w:r w:rsidR="00321E37">
        <w:t xml:space="preserve">a </w:t>
      </w:r>
      <w:r>
        <w:t xml:space="preserve">Gaussian Plume Approach versus more representative meteorological conditions </w:t>
      </w:r>
      <w:r w:rsidR="00394D89">
        <w:t>and</w:t>
      </w:r>
      <w:r>
        <w:t xml:space="preserve"> </w:t>
      </w:r>
      <w:r w:rsidR="00B4046E">
        <w:t xml:space="preserve">a </w:t>
      </w:r>
      <w:r>
        <w:t>Lagrangian Particle Approach</w:t>
      </w:r>
      <w:bookmarkEnd w:id="164"/>
      <w:bookmarkEnd w:id="165"/>
    </w:p>
    <w:p w14:paraId="36D91F81" w14:textId="0287E041" w:rsidR="00EF52C3" w:rsidRDefault="00EF52C3" w:rsidP="008D23EA">
      <w:pPr>
        <w:pStyle w:val="BodyText"/>
        <w:jc w:val="both"/>
      </w:pPr>
      <w:r>
        <w:t xml:space="preserve">A comparison of estimates of dose on the basis of Pasquill Stability Category F and dry conditions, and </w:t>
      </w:r>
      <w:r w:rsidR="00880A28">
        <w:t>on the basis of a broad spectrum of representative meteorological conditions, including precipitation</w:t>
      </w:r>
      <w:r w:rsidR="00B4046E">
        <w:t>,</w:t>
      </w:r>
      <w:r w:rsidR="00880A28">
        <w:t xml:space="preserve"> for a range of UK locations</w:t>
      </w:r>
      <w:r w:rsidR="008D23EA">
        <w:t>,</w:t>
      </w:r>
      <w:r w:rsidR="00880A28">
        <w:t xml:space="preserve"> was performed, where the former utilise</w:t>
      </w:r>
      <w:r w:rsidR="0029066A">
        <w:t>d</w:t>
      </w:r>
      <w:r w:rsidR="00880A28">
        <w:t xml:space="preserve"> Gaussian Plume dispersion modelling (ADMS and A</w:t>
      </w:r>
      <w:r w:rsidR="00CD78A3">
        <w:t>DEPT</w:t>
      </w:r>
      <w:r w:rsidR="00880A28">
        <w:t>) and the latter utilise</w:t>
      </w:r>
      <w:r w:rsidR="0029066A">
        <w:t>d</w:t>
      </w:r>
      <w:r w:rsidR="00880A28">
        <w:t xml:space="preserve"> Lagrangian Particle modelling (NAME).</w:t>
      </w:r>
      <w:r w:rsidR="008D23EA">
        <w:t xml:space="preserve"> T</w:t>
      </w:r>
      <w:r>
        <w:t xml:space="preserve">he </w:t>
      </w:r>
      <w:r w:rsidR="008D23EA">
        <w:t xml:space="preserve">same </w:t>
      </w:r>
      <w:r>
        <w:t xml:space="preserve">range of source terms (LBL, FH, RCCAE and SGTR) </w:t>
      </w:r>
      <w:r w:rsidR="008D23EA">
        <w:t xml:space="preserve">was </w:t>
      </w:r>
      <w:r>
        <w:t xml:space="preserve">considered </w:t>
      </w:r>
      <w:r w:rsidR="008D23EA">
        <w:t>here</w:t>
      </w:r>
      <w:r>
        <w:t>.</w:t>
      </w:r>
    </w:p>
    <w:p w14:paraId="0A21209B" w14:textId="1632AE01" w:rsidR="00394D89" w:rsidRDefault="00394D89" w:rsidP="00EF52C3">
      <w:pPr>
        <w:pStyle w:val="BodyText"/>
        <w:jc w:val="both"/>
      </w:pPr>
      <w:r w:rsidRPr="00991FEE">
        <w:rPr>
          <w:rFonts w:ascii="Arial" w:hAnsi="Arial" w:cs="Arial"/>
        </w:rPr>
        <w:t>The A</w:t>
      </w:r>
      <w:r w:rsidR="00CD78A3">
        <w:rPr>
          <w:rFonts w:ascii="Arial" w:hAnsi="Arial" w:cs="Arial"/>
        </w:rPr>
        <w:t>DEPT</w:t>
      </w:r>
      <w:r w:rsidRPr="00991FEE">
        <w:rPr>
          <w:rFonts w:ascii="Arial" w:hAnsi="Arial" w:cs="Arial"/>
        </w:rPr>
        <w:t xml:space="preserve"> model runs were carried out for the Seathwaite location, though location actually makes little difference to the doses calculated in </w:t>
      </w:r>
      <w:r w:rsidR="00CD78A3">
        <w:rPr>
          <w:rFonts w:ascii="Arial" w:hAnsi="Arial" w:cs="Arial"/>
        </w:rPr>
        <w:t>such</w:t>
      </w:r>
      <w:r w:rsidRPr="00991FEE">
        <w:rPr>
          <w:rFonts w:ascii="Arial" w:hAnsi="Arial" w:cs="Arial"/>
        </w:rPr>
        <w:t xml:space="preserve"> runs.</w:t>
      </w:r>
      <w:r>
        <w:t xml:space="preserve"> </w:t>
      </w:r>
      <w:r w:rsidR="001B1947">
        <w:t>T</w:t>
      </w:r>
      <w:r w:rsidR="00EF52C3">
        <w:t xml:space="preserve">he ADMS model runs </w:t>
      </w:r>
      <w:r>
        <w:t xml:space="preserve">were </w:t>
      </w:r>
      <w:r w:rsidR="00F65618">
        <w:t>in</w:t>
      </w:r>
      <w:r w:rsidR="00EF52C3">
        <w:t xml:space="preserve">dependent </w:t>
      </w:r>
      <w:r w:rsidR="00F65618">
        <w:t xml:space="preserve">of </w:t>
      </w:r>
      <w:r w:rsidR="00EF52C3">
        <w:t>location.</w:t>
      </w:r>
    </w:p>
    <w:p w14:paraId="0F96770D" w14:textId="1BC25256" w:rsidR="00394D89" w:rsidRDefault="00EF52C3" w:rsidP="00EF52C3">
      <w:pPr>
        <w:pStyle w:val="BodyText"/>
        <w:jc w:val="both"/>
      </w:pPr>
      <w:r>
        <w:t xml:space="preserve">The </w:t>
      </w:r>
      <w:r w:rsidRPr="005C554B">
        <w:rPr>
          <w:i/>
        </w:rPr>
        <w:t>7-day</w:t>
      </w:r>
      <w:r>
        <w:t xml:space="preserve"> and </w:t>
      </w:r>
      <w:r w:rsidRPr="00BB5908">
        <w:rPr>
          <w:i/>
          <w:iCs/>
        </w:rPr>
        <w:t>30-day</w:t>
      </w:r>
      <w:r>
        <w:t xml:space="preserve"> doses </w:t>
      </w:r>
      <w:r w:rsidR="00394D89">
        <w:t xml:space="preserve">were </w:t>
      </w:r>
      <w:r>
        <w:t>maximum 7-day and 30</w:t>
      </w:r>
      <w:r>
        <w:noBreakHyphen/>
        <w:t xml:space="preserve">day effective dose assuming no ingestion, respectively, whereas the </w:t>
      </w:r>
      <w:r w:rsidRPr="00BB5908">
        <w:rPr>
          <w:i/>
          <w:iCs/>
        </w:rPr>
        <w:t>lifetime</w:t>
      </w:r>
      <w:r>
        <w:t xml:space="preserve"> doses </w:t>
      </w:r>
      <w:r w:rsidR="00394D89">
        <w:t xml:space="preserve">were </w:t>
      </w:r>
      <w:r>
        <w:t>maximum lifetime effective dose including ingestion and assuming no food restrictions.</w:t>
      </w:r>
    </w:p>
    <w:p w14:paraId="657FE670" w14:textId="3F6EEFEC" w:rsidR="00EF52C3" w:rsidRDefault="00EF52C3" w:rsidP="00EF52C3">
      <w:pPr>
        <w:pStyle w:val="BodyText"/>
        <w:jc w:val="both"/>
      </w:pPr>
      <w:r>
        <w:t>Note that for all source terms</w:t>
      </w:r>
      <w:r w:rsidR="00CD78A3">
        <w:t xml:space="preserve"> except</w:t>
      </w:r>
      <w:r>
        <w:t xml:space="preserve"> the LBL ST, the number of UK locations considered </w:t>
      </w:r>
      <w:r w:rsidR="0029066A">
        <w:t>when running</w:t>
      </w:r>
      <w:r>
        <w:t xml:space="preserve"> NAME was reduced (from six) to three (Ard</w:t>
      </w:r>
      <w:r w:rsidR="00886B63">
        <w:t>l</w:t>
      </w:r>
      <w:r>
        <w:t>ui, Ely and Seathwaite), to ensure a more manageable number of model runs.</w:t>
      </w:r>
    </w:p>
    <w:p w14:paraId="5964CB72" w14:textId="77777777" w:rsidR="00336F75" w:rsidRDefault="00336F75" w:rsidP="00EF52C3">
      <w:pPr>
        <w:pStyle w:val="BodyText"/>
        <w:jc w:val="both"/>
      </w:pPr>
    </w:p>
    <w:p w14:paraId="7C0F8424" w14:textId="554FAE9E" w:rsidR="00215F6D" w:rsidRDefault="00DC2F58" w:rsidP="00215F6D">
      <w:pPr>
        <w:pStyle w:val="BodyText"/>
        <w:keepNext/>
        <w:jc w:val="both"/>
      </w:pPr>
      <w:r>
        <w:rPr>
          <w:noProof/>
          <w:lang w:eastAsia="en-GB"/>
        </w:rPr>
        <w:drawing>
          <wp:inline distT="0" distB="0" distL="0" distR="0" wp14:anchorId="5B936CA2" wp14:editId="16E1E5CF">
            <wp:extent cx="4914265" cy="2754630"/>
            <wp:effectExtent l="0" t="0" r="635" b="7620"/>
            <wp:docPr id="31" name="Chart 31">
              <a:extLst xmlns:a="http://schemas.openxmlformats.org/drawingml/2006/main">
                <a:ext uri="{FF2B5EF4-FFF2-40B4-BE49-F238E27FC236}">
                  <a16:creationId xmlns:a16="http://schemas.microsoft.com/office/drawing/2014/main" id="{780021C0-4B5C-42E9-B56D-6E9B0EE153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C137AB4" w14:textId="2E961703" w:rsidR="00EF52C3" w:rsidRDefault="00215F6D" w:rsidP="00215F6D">
      <w:pPr>
        <w:pStyle w:val="Figurecaption"/>
      </w:pPr>
      <w:bookmarkStart w:id="166" w:name="_Ref81408285"/>
      <w:r>
        <w:t xml:space="preserve">Figure </w:t>
      </w:r>
      <w:fldSimple w:instr=" SEQ Figure \* ARABIC ">
        <w:r w:rsidR="00926FE3">
          <w:rPr>
            <w:noProof/>
          </w:rPr>
          <w:t>13</w:t>
        </w:r>
      </w:fldSimple>
      <w:bookmarkEnd w:id="166"/>
      <w:r w:rsidRPr="001425FA">
        <w:t xml:space="preserve">: Maximum Gaussian Plume and Mean of the Maximums NAME infant </w:t>
      </w:r>
      <w:r w:rsidR="00C56DF3">
        <w:t>lifetime</w:t>
      </w:r>
      <w:r w:rsidRPr="001425FA">
        <w:t xml:space="preserve"> effective dose at 0.5 km on the basis of the LBL ST</w:t>
      </w:r>
    </w:p>
    <w:p w14:paraId="11F1AD79" w14:textId="5490FBBE" w:rsidR="00E0642E" w:rsidRDefault="00E0642E" w:rsidP="00336F75">
      <w:pPr>
        <w:pStyle w:val="Figurecaption"/>
        <w:rPr>
          <w:color w:val="FF0000"/>
        </w:rPr>
      </w:pPr>
    </w:p>
    <w:p w14:paraId="1021F0B8" w14:textId="2BB07305" w:rsidR="00336F75" w:rsidRDefault="00336F75" w:rsidP="00336F75">
      <w:pPr>
        <w:pStyle w:val="BodyText"/>
        <w:jc w:val="both"/>
      </w:pPr>
      <w:r w:rsidRPr="00336F75">
        <w:t>In a large proportion of the cases</w:t>
      </w:r>
      <w:r>
        <w:t>, assuming Pasquill Stability Category F conditions applie</w:t>
      </w:r>
      <w:r w:rsidR="00724EFD">
        <w:t>d to a Gaussian Plume approach (</w:t>
      </w:r>
      <w:r>
        <w:t>such as ADMS</w:t>
      </w:r>
      <w:r w:rsidR="00724EFD">
        <w:t>)</w:t>
      </w:r>
      <w:r>
        <w:t>, result</w:t>
      </w:r>
      <w:r w:rsidR="00650DB3">
        <w:t>ed</w:t>
      </w:r>
      <w:r>
        <w:t xml:space="preserve"> in larger estimates of </w:t>
      </w:r>
      <w:r w:rsidR="007340D5">
        <w:t xml:space="preserve">effective </w:t>
      </w:r>
      <w:r>
        <w:t>dose, compared to probabilistically sampling over a representative (NWP) meteorological dataset and applying the resulting meteorological data to the NAME model, as demonstrated in</w:t>
      </w:r>
      <w:r w:rsidR="005432A2">
        <w:t xml:space="preserve"> </w:t>
      </w:r>
      <w:r w:rsidR="005432A2">
        <w:fldChar w:fldCharType="begin"/>
      </w:r>
      <w:r w:rsidR="005432A2">
        <w:instrText xml:space="preserve"> REF _Ref81408285 \h </w:instrText>
      </w:r>
      <w:r w:rsidR="005432A2">
        <w:fldChar w:fldCharType="separate"/>
      </w:r>
      <w:r w:rsidR="00926FE3">
        <w:t xml:space="preserve">Figure </w:t>
      </w:r>
      <w:r w:rsidR="00926FE3">
        <w:rPr>
          <w:noProof/>
        </w:rPr>
        <w:t>13</w:t>
      </w:r>
      <w:r w:rsidR="005432A2">
        <w:fldChar w:fldCharType="end"/>
      </w:r>
      <w:r>
        <w:t xml:space="preserve">. </w:t>
      </w:r>
      <w:r w:rsidR="00F65618">
        <w:t xml:space="preserve">Pasquill Stability Category F conditions resulted in larger estimates of dose across </w:t>
      </w:r>
      <w:r>
        <w:t>all LBL ST scenarios considered in this study</w:t>
      </w:r>
      <w:r w:rsidR="00F65618">
        <w:t>. Furthermore, Pasquill Stability Category F conditions resulted in larger estimates of dose</w:t>
      </w:r>
      <w:r w:rsidR="0072114D">
        <w:t xml:space="preserve"> at a</w:t>
      </w:r>
      <w:r>
        <w:t xml:space="preserve"> distance of 0.5 km from the release, irrespective of the source term</w:t>
      </w:r>
      <w:r w:rsidR="006B233C">
        <w:t xml:space="preserve"> assumed</w:t>
      </w:r>
      <w:r>
        <w:t xml:space="preserve"> </w:t>
      </w:r>
      <w:r w:rsidR="0072114D">
        <w:t xml:space="preserve">or </w:t>
      </w:r>
      <w:r w:rsidR="006B233C">
        <w:t xml:space="preserve">the dose </w:t>
      </w:r>
      <w:r w:rsidR="0072114D">
        <w:t xml:space="preserve">model endpoint </w:t>
      </w:r>
      <w:r w:rsidR="006B233C">
        <w:t>derived</w:t>
      </w:r>
      <w:r>
        <w:t>.</w:t>
      </w:r>
      <w:r w:rsidR="00250904">
        <w:t xml:space="preserve"> Some of the largest disparities </w:t>
      </w:r>
      <w:r w:rsidR="00167515">
        <w:t xml:space="preserve">in ADMS and NAME derived results occurred for lifetime dose model endpoints, </w:t>
      </w:r>
      <w:r w:rsidR="0092005C">
        <w:t xml:space="preserve">as demonstrated in </w:t>
      </w:r>
      <w:r w:rsidR="0092005C">
        <w:fldChar w:fldCharType="begin"/>
      </w:r>
      <w:r w:rsidR="0092005C">
        <w:instrText xml:space="preserve"> REF _Ref81408285 \h </w:instrText>
      </w:r>
      <w:r w:rsidR="0092005C">
        <w:fldChar w:fldCharType="separate"/>
      </w:r>
      <w:r w:rsidR="00926FE3">
        <w:t xml:space="preserve">Figure </w:t>
      </w:r>
      <w:r w:rsidR="00926FE3">
        <w:rPr>
          <w:noProof/>
        </w:rPr>
        <w:t>13</w:t>
      </w:r>
      <w:r w:rsidR="0092005C">
        <w:fldChar w:fldCharType="end"/>
      </w:r>
      <w:r w:rsidR="00167515">
        <w:t>.</w:t>
      </w:r>
    </w:p>
    <w:p w14:paraId="165C19C4" w14:textId="20F44E2D" w:rsidR="00C45D6D" w:rsidRDefault="007340D5" w:rsidP="00336F75">
      <w:pPr>
        <w:pStyle w:val="BodyText"/>
        <w:jc w:val="both"/>
      </w:pPr>
      <w:r>
        <w:t>However, for a handful of scenarios, spanning the FH, RCCAE and most notably the SGTR source terms, larger estimates of effective dose were determined when applying NAME compared to ADMS.</w:t>
      </w:r>
      <w:r w:rsidR="0072114D">
        <w:t xml:space="preserve"> </w:t>
      </w:r>
      <w:r w:rsidR="005D279B">
        <w:t>E</w:t>
      </w:r>
      <w:r w:rsidR="0072114D">
        <w:t>xample</w:t>
      </w:r>
      <w:r w:rsidR="005D279B">
        <w:t>s</w:t>
      </w:r>
      <w:r w:rsidR="0072114D">
        <w:t xml:space="preserve"> of this can be seen in</w:t>
      </w:r>
      <w:r w:rsidR="005D279B">
        <w:t xml:space="preserve"> </w:t>
      </w:r>
      <w:r w:rsidR="005D279B">
        <w:fldChar w:fldCharType="begin"/>
      </w:r>
      <w:r w:rsidR="005D279B">
        <w:instrText xml:space="preserve"> REF _Ref81408134 \h </w:instrText>
      </w:r>
      <w:r w:rsidR="005D279B">
        <w:fldChar w:fldCharType="separate"/>
      </w:r>
      <w:r w:rsidR="00926FE3">
        <w:t xml:space="preserve">Figure </w:t>
      </w:r>
      <w:r w:rsidR="00926FE3">
        <w:rPr>
          <w:noProof/>
        </w:rPr>
        <w:t>14</w:t>
      </w:r>
      <w:r w:rsidR="005D279B">
        <w:fldChar w:fldCharType="end"/>
      </w:r>
      <w:r w:rsidR="005D279B">
        <w:t xml:space="preserve"> to </w:t>
      </w:r>
      <w:r w:rsidR="005D279B">
        <w:fldChar w:fldCharType="begin"/>
      </w:r>
      <w:r w:rsidR="005D279B">
        <w:instrText xml:space="preserve"> REF _Ref81408472 \h </w:instrText>
      </w:r>
      <w:r w:rsidR="005D279B">
        <w:fldChar w:fldCharType="separate"/>
      </w:r>
      <w:r w:rsidR="00926FE3">
        <w:t xml:space="preserve">Figure </w:t>
      </w:r>
      <w:r w:rsidR="00926FE3">
        <w:rPr>
          <w:noProof/>
        </w:rPr>
        <w:t>16</w:t>
      </w:r>
      <w:r w:rsidR="005D279B">
        <w:fldChar w:fldCharType="end"/>
      </w:r>
      <w:r w:rsidR="005D279B">
        <w:t>.</w:t>
      </w:r>
    </w:p>
    <w:p w14:paraId="2DEE4318" w14:textId="597945E1" w:rsidR="00C45D6D" w:rsidRDefault="0072114D" w:rsidP="00336F75">
      <w:pPr>
        <w:pStyle w:val="BodyText"/>
        <w:jc w:val="both"/>
      </w:pPr>
      <w:r>
        <w:t>In</w:t>
      </w:r>
      <w:r w:rsidR="005D279B">
        <w:t xml:space="preserve"> </w:t>
      </w:r>
      <w:r w:rsidR="005D279B">
        <w:fldChar w:fldCharType="begin"/>
      </w:r>
      <w:r w:rsidR="005D279B">
        <w:instrText xml:space="preserve"> REF _Ref81408134 \h </w:instrText>
      </w:r>
      <w:r w:rsidR="005D279B">
        <w:fldChar w:fldCharType="separate"/>
      </w:r>
      <w:r w:rsidR="00926FE3">
        <w:t xml:space="preserve">Figure </w:t>
      </w:r>
      <w:r w:rsidR="00926FE3">
        <w:rPr>
          <w:noProof/>
        </w:rPr>
        <w:t>14</w:t>
      </w:r>
      <w:r w:rsidR="005D279B">
        <w:fldChar w:fldCharType="end"/>
      </w:r>
      <w:r>
        <w:t xml:space="preserve"> </w:t>
      </w:r>
      <w:r w:rsidR="005D279B">
        <w:t>i</w:t>
      </w:r>
      <w:r>
        <w:t>t is apparent that for all three of the UK locations considered in NAME</w:t>
      </w:r>
      <w:r w:rsidR="00C45D6D">
        <w:t>,</w:t>
      </w:r>
      <w:r>
        <w:t xml:space="preserve"> the estimated dose was greater than </w:t>
      </w:r>
      <w:r w:rsidR="00291A8C">
        <w:t xml:space="preserve">that </w:t>
      </w:r>
      <w:r>
        <w:t>derived assuming Pasquill Stability Category F conditions within a Gaussian Plume Model; the caveat being that</w:t>
      </w:r>
      <w:r w:rsidR="00291A8C">
        <w:t xml:space="preserve"> doses detailed in</w:t>
      </w:r>
      <w:r>
        <w:t xml:space="preserve"> </w:t>
      </w:r>
      <w:r w:rsidR="005D279B">
        <w:fldChar w:fldCharType="begin"/>
      </w:r>
      <w:r w:rsidR="005D279B">
        <w:instrText xml:space="preserve"> REF _Ref81408134 \h </w:instrText>
      </w:r>
      <w:r w:rsidR="005D279B">
        <w:fldChar w:fldCharType="separate"/>
      </w:r>
      <w:r w:rsidR="00926FE3">
        <w:t xml:space="preserve">Figure </w:t>
      </w:r>
      <w:r w:rsidR="00926FE3">
        <w:rPr>
          <w:noProof/>
        </w:rPr>
        <w:t>14</w:t>
      </w:r>
      <w:r w:rsidR="005D279B">
        <w:fldChar w:fldCharType="end"/>
      </w:r>
      <w:r w:rsidR="005D279B">
        <w:t xml:space="preserve"> </w:t>
      </w:r>
      <w:r w:rsidR="002D05C3">
        <w:t>are the Maximum Maximum</w:t>
      </w:r>
      <w:r w:rsidR="002D05C3">
        <w:rPr>
          <w:rStyle w:val="FootnoteReference"/>
        </w:rPr>
        <w:footnoteReference w:id="5"/>
      </w:r>
      <w:r w:rsidR="002D05C3">
        <w:t xml:space="preserve"> doses, which </w:t>
      </w:r>
      <w:r w:rsidR="00291A8C">
        <w:t>represent</w:t>
      </w:r>
      <w:r>
        <w:t xml:space="preserve"> the most conservative approach when applying the NAME model</w:t>
      </w:r>
      <w:r w:rsidR="00D83387">
        <w:t>.</w:t>
      </w:r>
    </w:p>
    <w:p w14:paraId="6A0F70AA" w14:textId="0EC7A6B5" w:rsidR="00C45D6D" w:rsidRDefault="00291A8C" w:rsidP="00336F75">
      <w:pPr>
        <w:pStyle w:val="BodyText"/>
        <w:jc w:val="both"/>
      </w:pPr>
      <w:r>
        <w:t xml:space="preserve">In </w:t>
      </w:r>
      <w:r w:rsidR="005D279B">
        <w:fldChar w:fldCharType="begin"/>
      </w:r>
      <w:r w:rsidR="005D279B">
        <w:instrText xml:space="preserve"> REF _Ref81408561 \h </w:instrText>
      </w:r>
      <w:r w:rsidR="005D279B">
        <w:fldChar w:fldCharType="separate"/>
      </w:r>
      <w:r w:rsidR="00926FE3">
        <w:t xml:space="preserve">Figure </w:t>
      </w:r>
      <w:r w:rsidR="00926FE3">
        <w:rPr>
          <w:noProof/>
        </w:rPr>
        <w:t>15</w:t>
      </w:r>
      <w:r w:rsidR="005D279B">
        <w:fldChar w:fldCharType="end"/>
      </w:r>
      <w:r w:rsidR="005D279B">
        <w:t xml:space="preserve"> </w:t>
      </w:r>
      <w:r>
        <w:t xml:space="preserve">it is apparent that for one of the UK locations (Ely) considered </w:t>
      </w:r>
      <w:r w:rsidR="00185429">
        <w:t>when running</w:t>
      </w:r>
      <w:r>
        <w:t xml:space="preserve"> NAME</w:t>
      </w:r>
      <w:r w:rsidR="00185429">
        <w:t>,</w:t>
      </w:r>
      <w:r>
        <w:t xml:space="preserve"> the estimated </w:t>
      </w:r>
      <w:r w:rsidR="00286C30">
        <w:t>97.5</w:t>
      </w:r>
      <w:r w:rsidR="00286C30" w:rsidRPr="00291A8C">
        <w:rPr>
          <w:vertAlign w:val="superscript"/>
        </w:rPr>
        <w:t>th</w:t>
      </w:r>
      <w:r w:rsidR="00286C30">
        <w:t xml:space="preserve"> percentile</w:t>
      </w:r>
      <w:r w:rsidR="00C45D6D">
        <w:t xml:space="preserve"> maximum</w:t>
      </w:r>
      <w:r w:rsidR="00286C30">
        <w:t xml:space="preserve"> </w:t>
      </w:r>
      <w:r>
        <w:t>dose was greater than th</w:t>
      </w:r>
      <w:r w:rsidR="00286C30">
        <w:t>e maximum dose</w:t>
      </w:r>
      <w:r>
        <w:t xml:space="preserve"> derived assuming Pasquill Stability Category F conditions </w:t>
      </w:r>
      <w:r w:rsidR="006B233C">
        <w:t xml:space="preserve">by way of </w:t>
      </w:r>
      <w:r>
        <w:t>either Gaussian Plume Model</w:t>
      </w:r>
      <w:r w:rsidR="00C45D6D">
        <w:t>.</w:t>
      </w:r>
      <w:r>
        <w:t xml:space="preserve"> </w:t>
      </w:r>
      <w:r w:rsidR="00C45D6D">
        <w:t>For</w:t>
      </w:r>
      <w:r>
        <w:t xml:space="preserve"> two of the UK locations (Ely</w:t>
      </w:r>
      <w:r w:rsidR="00C45D6D">
        <w:t xml:space="preserve"> and Seathwaite</w:t>
      </w:r>
      <w:r>
        <w:t>) considered in NAME</w:t>
      </w:r>
      <w:r w:rsidR="00C45D6D">
        <w:t>,</w:t>
      </w:r>
      <w:r>
        <w:t xml:space="preserve"> the estimated dose was greater than </w:t>
      </w:r>
      <w:r w:rsidR="00286C30">
        <w:t>that</w:t>
      </w:r>
      <w:r>
        <w:t xml:space="preserve"> derived assuming Pasquill Stability Category F conditions for at least one of the Gaussian Plume Models.</w:t>
      </w:r>
    </w:p>
    <w:p w14:paraId="75866C95" w14:textId="11C5E0BE" w:rsidR="00C45D6D" w:rsidRDefault="00291A8C" w:rsidP="006B233C">
      <w:pPr>
        <w:pStyle w:val="BodyText"/>
        <w:jc w:val="both"/>
      </w:pPr>
      <w:bookmarkStart w:id="167" w:name="_Hlk88553648"/>
      <w:r>
        <w:t xml:space="preserve">Likewise, in </w:t>
      </w:r>
      <w:r w:rsidR="005D279B">
        <w:fldChar w:fldCharType="begin"/>
      </w:r>
      <w:r w:rsidR="005D279B">
        <w:instrText xml:space="preserve"> REF _Ref81408472 \h </w:instrText>
      </w:r>
      <w:r w:rsidR="006B233C">
        <w:instrText xml:space="preserve"> \* MERGEFORMAT </w:instrText>
      </w:r>
      <w:r w:rsidR="005D279B">
        <w:fldChar w:fldCharType="separate"/>
      </w:r>
      <w:r w:rsidR="00926FE3">
        <w:t xml:space="preserve">Figure </w:t>
      </w:r>
      <w:r w:rsidR="00926FE3">
        <w:rPr>
          <w:noProof/>
        </w:rPr>
        <w:t>16</w:t>
      </w:r>
      <w:r w:rsidR="005D279B">
        <w:fldChar w:fldCharType="end"/>
      </w:r>
      <w:r w:rsidR="005D279B">
        <w:t xml:space="preserve"> </w:t>
      </w:r>
      <w:r>
        <w:t>it is apparent that for one of the UK locations (again Ely) considered in NAME</w:t>
      </w:r>
      <w:r w:rsidR="001B1947">
        <w:t>,</w:t>
      </w:r>
      <w:r>
        <w:t xml:space="preserve"> the estimated </w:t>
      </w:r>
      <w:r w:rsidR="00286C30">
        <w:t>95</w:t>
      </w:r>
      <w:r w:rsidR="00286C30" w:rsidRPr="00286C30">
        <w:rPr>
          <w:vertAlign w:val="superscript"/>
        </w:rPr>
        <w:t>th</w:t>
      </w:r>
      <w:r w:rsidR="00286C30">
        <w:t xml:space="preserve"> percentile</w:t>
      </w:r>
      <w:r w:rsidR="00C45D6D">
        <w:t xml:space="preserve"> maximum</w:t>
      </w:r>
      <w:r w:rsidR="00286C30">
        <w:t xml:space="preserve"> </w:t>
      </w:r>
      <w:r>
        <w:t>dose was greater than th</w:t>
      </w:r>
      <w:r w:rsidR="00286C30">
        <w:t>e maximum dose</w:t>
      </w:r>
      <w:r>
        <w:t xml:space="preserve"> derived assuming Pasquill Stability Category F conditions </w:t>
      </w:r>
      <w:r w:rsidR="006B233C">
        <w:t xml:space="preserve">by way of </w:t>
      </w:r>
      <w:r>
        <w:t>either Gaussian Plume Model.</w:t>
      </w:r>
    </w:p>
    <w:p w14:paraId="00728E67" w14:textId="1DEE7648" w:rsidR="0007530B" w:rsidRDefault="00286C30" w:rsidP="00086B40">
      <w:pPr>
        <w:pStyle w:val="BodyTextNOSPACE"/>
        <w:spacing w:after="120"/>
        <w:jc w:val="both"/>
      </w:pPr>
      <w:r>
        <w:t xml:space="preserve">Once the mean of the maximum doses derived using NAME in PACE </w:t>
      </w:r>
      <w:r w:rsidR="00676375">
        <w:t>are</w:t>
      </w:r>
      <w:r>
        <w:t xml:space="preserve"> considered </w:t>
      </w:r>
      <w:r w:rsidR="00102B91">
        <w:t>(</w:t>
      </w:r>
      <w:r w:rsidR="005D279B">
        <w:fldChar w:fldCharType="begin"/>
      </w:r>
      <w:r w:rsidR="005D279B">
        <w:instrText xml:space="preserve"> REF _Ref81408616 \h </w:instrText>
      </w:r>
      <w:r w:rsidR="006B233C">
        <w:instrText xml:space="preserve"> \* MERGEFORMAT </w:instrText>
      </w:r>
      <w:r w:rsidR="005D279B">
        <w:fldChar w:fldCharType="separate"/>
      </w:r>
      <w:r w:rsidR="00926FE3">
        <w:t xml:space="preserve">Figure </w:t>
      </w:r>
      <w:r w:rsidR="00926FE3">
        <w:rPr>
          <w:noProof/>
        </w:rPr>
        <w:t>17</w:t>
      </w:r>
      <w:r w:rsidR="005D279B">
        <w:fldChar w:fldCharType="end"/>
      </w:r>
      <w:r w:rsidR="00102B91">
        <w:t>)</w:t>
      </w:r>
      <w:r w:rsidR="00C45D6D">
        <w:t>,</w:t>
      </w:r>
      <w:r w:rsidR="00102B91">
        <w:t xml:space="preserve"> </w:t>
      </w:r>
      <w:r>
        <w:t xml:space="preserve">Pasquill Stability Category F conditions </w:t>
      </w:r>
      <w:r w:rsidR="00CF0353">
        <w:t xml:space="preserve">always </w:t>
      </w:r>
      <w:r>
        <w:t xml:space="preserve">result in larger estimates of effective dose </w:t>
      </w:r>
      <w:r w:rsidR="00676375">
        <w:t xml:space="preserve">than </w:t>
      </w:r>
      <w:r>
        <w:t xml:space="preserve">the </w:t>
      </w:r>
      <w:r w:rsidR="00676375">
        <w:t xml:space="preserve">respective </w:t>
      </w:r>
      <w:r>
        <w:t>NAME</w:t>
      </w:r>
      <w:r w:rsidR="003D166E">
        <w:t>-</w:t>
      </w:r>
      <w:r w:rsidR="00676375">
        <w:t>derived dose estimates</w:t>
      </w:r>
      <w:r w:rsidR="00CF0353">
        <w:t xml:space="preserve"> </w:t>
      </w:r>
      <w:r w:rsidR="00302562">
        <w:t>(</w:t>
      </w:r>
      <w:r w:rsidR="00CF0353">
        <w:t>for the scenarios considered in this study</w:t>
      </w:r>
      <w:r w:rsidR="00302562">
        <w:t>)</w:t>
      </w:r>
      <w:r w:rsidR="00676375">
        <w:t>.</w:t>
      </w:r>
    </w:p>
    <w:p w14:paraId="1D5D3CD6" w14:textId="0DB9BA66" w:rsidR="00B40B26" w:rsidRPr="00B40B26" w:rsidRDefault="00B40B26" w:rsidP="004D722A">
      <w:pPr>
        <w:pStyle w:val="BodyTextEND"/>
        <w:jc w:val="both"/>
      </w:pPr>
      <w:r>
        <w:fldChar w:fldCharType="begin"/>
      </w:r>
      <w:r>
        <w:instrText xml:space="preserve"> REF _Ref81408134 \h </w:instrText>
      </w:r>
      <w:r>
        <w:fldChar w:fldCharType="separate"/>
      </w:r>
      <w:r w:rsidR="00926FE3">
        <w:t xml:space="preserve">Figure </w:t>
      </w:r>
      <w:r w:rsidR="00926FE3">
        <w:rPr>
          <w:noProof/>
        </w:rPr>
        <w:t>14</w:t>
      </w:r>
      <w:r>
        <w:fldChar w:fldCharType="end"/>
      </w:r>
      <w:r>
        <w:t xml:space="preserve"> </w:t>
      </w:r>
      <w:r w:rsidR="007151F7">
        <w:t>to</w:t>
      </w:r>
      <w:r>
        <w:t xml:space="preserve"> </w:t>
      </w:r>
      <w:r>
        <w:fldChar w:fldCharType="begin"/>
      </w:r>
      <w:r>
        <w:instrText xml:space="preserve"> REF _Ref81408616 \h  \* MERGEFORMAT </w:instrText>
      </w:r>
      <w:r>
        <w:fldChar w:fldCharType="separate"/>
      </w:r>
      <w:r w:rsidR="00926FE3">
        <w:t xml:space="preserve">Figure </w:t>
      </w:r>
      <w:r w:rsidR="00926FE3">
        <w:rPr>
          <w:noProof/>
        </w:rPr>
        <w:t>17</w:t>
      </w:r>
      <w:r>
        <w:fldChar w:fldCharType="end"/>
      </w:r>
      <w:r>
        <w:t xml:space="preserve"> </w:t>
      </w:r>
      <w:r w:rsidR="004D722A">
        <w:t>we</w:t>
      </w:r>
      <w:r>
        <w:t xml:space="preserve">re included to demonstrate </w:t>
      </w:r>
      <w:r w:rsidR="00807152">
        <w:t>the existence of</w:t>
      </w:r>
      <w:r w:rsidRPr="00336F75">
        <w:t xml:space="preserve"> cases</w:t>
      </w:r>
      <w:r>
        <w:t xml:space="preserve"> whereby assuming Pasquill Stability Category F conditions applied to a Gaussian Plume approach (such as ADMS), resulted in smaller estimates of effective dose, compared to probabilistically sampling over a</w:t>
      </w:r>
      <w:r w:rsidR="00FB76D2">
        <w:t>n</w:t>
      </w:r>
      <w:r>
        <w:t xml:space="preserve"> (NWP) meteorological dataset and applying the resulting meteorological data to the NAME model. However</w:t>
      </w:r>
      <w:r w:rsidR="00EF7CF7">
        <w:t>,</w:t>
      </w:r>
      <w:r>
        <w:t xml:space="preserve"> it is recognised that such cases are in the minority. </w:t>
      </w:r>
      <w:r w:rsidR="007151F7">
        <w:t>In addition</w:t>
      </w:r>
      <w:r>
        <w:t xml:space="preserve"> it is further recognised that this case does not </w:t>
      </w:r>
      <w:r w:rsidR="004D722A">
        <w:t>align with</w:t>
      </w:r>
      <w:r>
        <w:t xml:space="preserve"> the conditions set for </w:t>
      </w:r>
      <w:r w:rsidR="00CB0310">
        <w:t xml:space="preserve">dose </w:t>
      </w:r>
      <w:r>
        <w:t>assessments</w:t>
      </w:r>
      <w:r w:rsidR="00CB0310">
        <w:t xml:space="preserve"> in SAPs T</w:t>
      </w:r>
      <w:r>
        <w:t xml:space="preserve">arget 4, notably that </w:t>
      </w:r>
      <w:r w:rsidR="00CB0310">
        <w:t xml:space="preserve">lifetime doses </w:t>
      </w:r>
      <w:r>
        <w:t xml:space="preserve">are considered </w:t>
      </w:r>
      <w:r w:rsidR="00CB0310">
        <w:t xml:space="preserve">at a distance from the release location </w:t>
      </w:r>
      <w:r>
        <w:t xml:space="preserve">more </w:t>
      </w:r>
      <w:r w:rsidR="00CB0310">
        <w:t>akin to 0.5 km.</w:t>
      </w:r>
      <w:r>
        <w:t xml:space="preserve"> Infant</w:t>
      </w:r>
      <w:r w:rsidR="004D722A">
        <w:t xml:space="preserve"> (and adult)</w:t>
      </w:r>
      <w:r>
        <w:t xml:space="preserve"> lifetime effective doses at 0.5 km on the basis of the SGTR ST were larger when assuming PSC F conditions in a Gaussian Plume Model compared to </w:t>
      </w:r>
      <w:r w:rsidR="004D722A">
        <w:t>more representative meteorological conditions in a Lagrangian Particle Model, but the respective figures were not presented here for reasons of brevity.</w:t>
      </w:r>
    </w:p>
    <w:p w14:paraId="7FE89FC9" w14:textId="2B2A4A05" w:rsidR="001F0C6F" w:rsidRDefault="00DC2F58" w:rsidP="001F0C6F">
      <w:pPr>
        <w:pStyle w:val="BodyText"/>
        <w:keepNext/>
      </w:pPr>
      <w:r>
        <w:rPr>
          <w:noProof/>
          <w:lang w:eastAsia="en-GB"/>
        </w:rPr>
        <w:drawing>
          <wp:inline distT="0" distB="0" distL="0" distR="0" wp14:anchorId="789AE8DC" wp14:editId="4C0D46AF">
            <wp:extent cx="4572000" cy="2743200"/>
            <wp:effectExtent l="0" t="0" r="0" b="0"/>
            <wp:docPr id="32" name="Chart 32">
              <a:extLst xmlns:a="http://schemas.openxmlformats.org/drawingml/2006/main">
                <a:ext uri="{FF2B5EF4-FFF2-40B4-BE49-F238E27FC236}">
                  <a16:creationId xmlns:a16="http://schemas.microsoft.com/office/drawing/2014/main" id="{FB76B613-A7EE-4602-B71B-A65F17613A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A251F29" w14:textId="0ADB2C70" w:rsidR="001F0C6F" w:rsidRPr="001F0C6F" w:rsidRDefault="001F0C6F" w:rsidP="001F0C6F">
      <w:pPr>
        <w:pStyle w:val="Figurecaption"/>
      </w:pPr>
      <w:bookmarkStart w:id="168" w:name="_Ref81408134"/>
      <w:r>
        <w:t xml:space="preserve">Figure </w:t>
      </w:r>
      <w:fldSimple w:instr=" SEQ Figure \* ARABIC ">
        <w:r w:rsidR="00926FE3">
          <w:rPr>
            <w:noProof/>
          </w:rPr>
          <w:t>14</w:t>
        </w:r>
      </w:fldSimple>
      <w:bookmarkEnd w:id="168"/>
      <w:r w:rsidRPr="00B4464E">
        <w:t>: Maximum Gaussian Plume and Maximum of the Maximums NAME infant 7</w:t>
      </w:r>
      <w:r>
        <w:t>-</w:t>
      </w:r>
      <w:r w:rsidRPr="00B4464E">
        <w:t>day effective dose at 5 km on the basis of the SGTR ST</w:t>
      </w:r>
    </w:p>
    <w:p w14:paraId="7AD4C299" w14:textId="145E791B" w:rsidR="00215F6D" w:rsidRDefault="00215F6D" w:rsidP="00215F6D">
      <w:pPr>
        <w:pStyle w:val="BodyText"/>
      </w:pPr>
    </w:p>
    <w:p w14:paraId="4993A60F" w14:textId="2ED7A375" w:rsidR="001F0C6F" w:rsidRDefault="00DB061B" w:rsidP="001F0C6F">
      <w:pPr>
        <w:pStyle w:val="BodyText"/>
        <w:keepNext/>
      </w:pPr>
      <w:r>
        <w:rPr>
          <w:noProof/>
          <w:lang w:eastAsia="en-GB"/>
        </w:rPr>
        <w:drawing>
          <wp:inline distT="0" distB="0" distL="0" distR="0" wp14:anchorId="64498616" wp14:editId="784EAB4E">
            <wp:extent cx="4572000" cy="2743200"/>
            <wp:effectExtent l="0" t="0" r="0" b="0"/>
            <wp:docPr id="33" name="Chart 33">
              <a:extLst xmlns:a="http://schemas.openxmlformats.org/drawingml/2006/main">
                <a:ext uri="{FF2B5EF4-FFF2-40B4-BE49-F238E27FC236}">
                  <a16:creationId xmlns:a16="http://schemas.microsoft.com/office/drawing/2014/main" id="{E5F82A6E-4F1E-4DE9-B2CC-2070648B7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BDA84E9" w14:textId="6ECD053E" w:rsidR="00215F6D" w:rsidRDefault="001F0C6F" w:rsidP="001F0C6F">
      <w:pPr>
        <w:pStyle w:val="Figurecaption"/>
      </w:pPr>
      <w:bookmarkStart w:id="169" w:name="_Ref81408561"/>
      <w:r>
        <w:t xml:space="preserve">Figure </w:t>
      </w:r>
      <w:fldSimple w:instr=" SEQ Figure \* ARABIC ">
        <w:r w:rsidR="00926FE3">
          <w:rPr>
            <w:noProof/>
          </w:rPr>
          <w:t>15</w:t>
        </w:r>
      </w:fldSimple>
      <w:bookmarkEnd w:id="169"/>
      <w:r w:rsidRPr="00563189">
        <w:t>: Maximum Gaussian Plume and 97.5th percentile of the Maximums NAME infant 7</w:t>
      </w:r>
      <w:r>
        <w:noBreakHyphen/>
      </w:r>
      <w:r w:rsidRPr="00563189">
        <w:t>day effective dose at 5 km on the basis of the SGTR ST</w:t>
      </w:r>
    </w:p>
    <w:p w14:paraId="29441737" w14:textId="3BDF2194" w:rsidR="001F0C6F" w:rsidRDefault="001F0C6F" w:rsidP="001F0C6F">
      <w:pPr>
        <w:pStyle w:val="BodyText"/>
      </w:pPr>
    </w:p>
    <w:p w14:paraId="7B360E2A" w14:textId="27A7C886" w:rsidR="001152D6" w:rsidRDefault="00DB061B" w:rsidP="001152D6">
      <w:pPr>
        <w:pStyle w:val="BodyText"/>
        <w:keepNext/>
      </w:pPr>
      <w:r>
        <w:rPr>
          <w:noProof/>
          <w:lang w:eastAsia="en-GB"/>
        </w:rPr>
        <w:drawing>
          <wp:inline distT="0" distB="0" distL="0" distR="0" wp14:anchorId="4ECEE25A" wp14:editId="13EA653D">
            <wp:extent cx="4572000" cy="2743200"/>
            <wp:effectExtent l="0" t="0" r="0" b="0"/>
            <wp:docPr id="34" name="Chart 34">
              <a:extLst xmlns:a="http://schemas.openxmlformats.org/drawingml/2006/main">
                <a:ext uri="{FF2B5EF4-FFF2-40B4-BE49-F238E27FC236}">
                  <a16:creationId xmlns:a16="http://schemas.microsoft.com/office/drawing/2014/main" id="{C59DE54F-A2F6-4433-9C5C-D938FA2ABB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A180234" w14:textId="2F2E754A" w:rsidR="001F0C6F" w:rsidRPr="001F0C6F" w:rsidRDefault="001152D6" w:rsidP="001152D6">
      <w:pPr>
        <w:pStyle w:val="Figurecaption"/>
      </w:pPr>
      <w:bookmarkStart w:id="170" w:name="_Ref81408472"/>
      <w:r>
        <w:t xml:space="preserve">Figure </w:t>
      </w:r>
      <w:fldSimple w:instr=" SEQ Figure \* ARABIC ">
        <w:r w:rsidR="00926FE3">
          <w:rPr>
            <w:noProof/>
          </w:rPr>
          <w:t>16</w:t>
        </w:r>
      </w:fldSimple>
      <w:bookmarkEnd w:id="170"/>
      <w:r w:rsidRPr="007735C2">
        <w:t>: Maximum Gaussian Plume and 95th percentile of the Maximums NAME infant 7</w:t>
      </w:r>
      <w:r>
        <w:noBreakHyphen/>
      </w:r>
      <w:r w:rsidRPr="007735C2">
        <w:t>day effective dose at 5 km on the basis of the SGTR ST</w:t>
      </w:r>
    </w:p>
    <w:p w14:paraId="6A97F250" w14:textId="45BE1890" w:rsidR="0007530B" w:rsidRDefault="0007530B" w:rsidP="00215F6D">
      <w:pPr>
        <w:pStyle w:val="Figurecaption"/>
      </w:pPr>
      <w:bookmarkStart w:id="171" w:name="_Hlk88553677"/>
    </w:p>
    <w:bookmarkEnd w:id="167"/>
    <w:p w14:paraId="41E943F9" w14:textId="78568792" w:rsidR="001152D6" w:rsidRDefault="00DB061B" w:rsidP="001152D6">
      <w:pPr>
        <w:pStyle w:val="BodyText"/>
        <w:keepNext/>
      </w:pPr>
      <w:r>
        <w:rPr>
          <w:noProof/>
          <w:lang w:eastAsia="en-GB"/>
        </w:rPr>
        <w:drawing>
          <wp:inline distT="0" distB="0" distL="0" distR="0" wp14:anchorId="001AFD2B" wp14:editId="76256D22">
            <wp:extent cx="4572000" cy="2743200"/>
            <wp:effectExtent l="0" t="0" r="0" b="0"/>
            <wp:docPr id="44" name="Chart 44">
              <a:extLst xmlns:a="http://schemas.openxmlformats.org/drawingml/2006/main">
                <a:ext uri="{FF2B5EF4-FFF2-40B4-BE49-F238E27FC236}">
                  <a16:creationId xmlns:a16="http://schemas.microsoft.com/office/drawing/2014/main" id="{39004E71-18D9-493B-AA66-52896E73A8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A6AA766" w14:textId="2D16C7DA" w:rsidR="00215F6D" w:rsidRPr="00215F6D" w:rsidRDefault="001152D6" w:rsidP="001152D6">
      <w:pPr>
        <w:pStyle w:val="Figurecaption"/>
      </w:pPr>
      <w:bookmarkStart w:id="172" w:name="_Ref81408616"/>
      <w:r>
        <w:t xml:space="preserve">Figure </w:t>
      </w:r>
      <w:fldSimple w:instr=" SEQ Figure \* ARABIC ">
        <w:r w:rsidR="00926FE3">
          <w:rPr>
            <w:noProof/>
          </w:rPr>
          <w:t>17</w:t>
        </w:r>
      </w:fldSimple>
      <w:bookmarkEnd w:id="172"/>
      <w:r w:rsidRPr="00523E74">
        <w:t>: Maximum Gaussian Plume and Mean of the Maximums NAME infant 7</w:t>
      </w:r>
      <w:r>
        <w:t>-</w:t>
      </w:r>
      <w:r w:rsidRPr="00523E74">
        <w:t>day effective dose at 5 km on the basis of the SGTR ST</w:t>
      </w:r>
    </w:p>
    <w:bookmarkEnd w:id="171"/>
    <w:p w14:paraId="6F62F149" w14:textId="77777777" w:rsidR="00215F6D" w:rsidRPr="00215F6D" w:rsidRDefault="00215F6D" w:rsidP="00215F6D">
      <w:pPr>
        <w:pStyle w:val="BodyText"/>
      </w:pPr>
    </w:p>
    <w:p w14:paraId="4C6FD403" w14:textId="6344676B" w:rsidR="00676375" w:rsidRDefault="00676375" w:rsidP="00676375">
      <w:pPr>
        <w:pStyle w:val="Heading3"/>
      </w:pPr>
      <w:bookmarkStart w:id="173" w:name="_Toc89966415"/>
      <w:r>
        <w:t>Discussion</w:t>
      </w:r>
      <w:bookmarkEnd w:id="173"/>
    </w:p>
    <w:p w14:paraId="55B4CA0E" w14:textId="4552C378" w:rsidR="00650858" w:rsidRPr="00650858" w:rsidRDefault="00650858" w:rsidP="00AB3E80">
      <w:pPr>
        <w:pStyle w:val="BodyText"/>
        <w:jc w:val="both"/>
      </w:pPr>
      <w:bookmarkStart w:id="174" w:name="_Hlk81391816"/>
      <w:r w:rsidRPr="00650858">
        <w:t>The results presented above demonstrate that there are scenarios in which assuming Pasquill Stability Category D conditions and non-zero precipitation can result in higher doses than assuming Category F and dry conditions.</w:t>
      </w:r>
    </w:p>
    <w:p w14:paraId="2231732D" w14:textId="5841736D" w:rsidR="00650858" w:rsidRPr="00650858" w:rsidRDefault="00650858" w:rsidP="00AB3E80">
      <w:pPr>
        <w:pStyle w:val="BodyText"/>
        <w:jc w:val="both"/>
      </w:pPr>
      <w:r w:rsidRPr="00650858">
        <w:t xml:space="preserve">Specific examples </w:t>
      </w:r>
      <w:r w:rsidR="00AB3E80">
        <w:t>a</w:t>
      </w:r>
      <w:r w:rsidR="00AB3E80" w:rsidRPr="00650858">
        <w:t xml:space="preserve">re </w:t>
      </w:r>
      <w:r w:rsidRPr="00650858">
        <w:t>given in</w:t>
      </w:r>
      <w:r w:rsidR="005D279B">
        <w:t xml:space="preserve"> </w:t>
      </w:r>
      <w:r w:rsidR="005D279B">
        <w:fldChar w:fldCharType="begin"/>
      </w:r>
      <w:r w:rsidR="005D279B">
        <w:instrText xml:space="preserve"> REF _Ref81387513 \h </w:instrText>
      </w:r>
      <w:r w:rsidR="006D788B">
        <w:instrText xml:space="preserve"> \* MERGEFORMAT </w:instrText>
      </w:r>
      <w:r w:rsidR="005D279B">
        <w:fldChar w:fldCharType="separate"/>
      </w:r>
      <w:r w:rsidR="00926FE3">
        <w:t xml:space="preserve">Figure </w:t>
      </w:r>
      <w:r w:rsidR="00926FE3">
        <w:rPr>
          <w:noProof/>
        </w:rPr>
        <w:t>10</w:t>
      </w:r>
      <w:r w:rsidR="005D279B">
        <w:fldChar w:fldCharType="end"/>
      </w:r>
      <w:r w:rsidRPr="00650858">
        <w:t xml:space="preserve"> and</w:t>
      </w:r>
      <w:r w:rsidR="005D279B">
        <w:t xml:space="preserve"> </w:t>
      </w:r>
      <w:r w:rsidR="005D279B">
        <w:fldChar w:fldCharType="begin"/>
      </w:r>
      <w:r w:rsidR="005D279B">
        <w:instrText xml:space="preserve"> REF _Ref81408042 \h </w:instrText>
      </w:r>
      <w:r w:rsidR="006D788B">
        <w:instrText xml:space="preserve"> \* MERGEFORMAT </w:instrText>
      </w:r>
      <w:r w:rsidR="005D279B">
        <w:fldChar w:fldCharType="separate"/>
      </w:r>
      <w:r w:rsidR="00926FE3">
        <w:t xml:space="preserve">Figure </w:t>
      </w:r>
      <w:r w:rsidR="00926FE3">
        <w:rPr>
          <w:noProof/>
        </w:rPr>
        <w:t>11</w:t>
      </w:r>
      <w:r w:rsidR="005D279B">
        <w:fldChar w:fldCharType="end"/>
      </w:r>
      <w:r w:rsidRPr="00650858">
        <w:t xml:space="preserve">. Those results were for a scenario in which there was a 30-day release duration. In </w:t>
      </w:r>
      <w:r w:rsidR="00243913">
        <w:t xml:space="preserve">practice it is not realistic </w:t>
      </w:r>
      <w:r w:rsidRPr="00650858">
        <w:t>that any given rate of precipitation would persist over such a long period</w:t>
      </w:r>
      <w:r w:rsidR="00321E37">
        <w:t>. More generally, it is not realistic that any “single description of the meteorological conditions”, such as PSC F and dry conditions, would persist over a long period such as 30 days (in the UK).</w:t>
      </w:r>
      <w:r w:rsidRPr="00650858">
        <w:t xml:space="preserve"> </w:t>
      </w:r>
      <w:r w:rsidR="00321E37">
        <w:t>H</w:t>
      </w:r>
      <w:r w:rsidRPr="00650858">
        <w:t>owever, 1 mm h</w:t>
      </w:r>
      <w:r w:rsidRPr="00650858">
        <w:rPr>
          <w:vertAlign w:val="superscript"/>
        </w:rPr>
        <w:t>-1</w:t>
      </w:r>
      <w:r w:rsidRPr="00650858">
        <w:t xml:space="preserve"> precipitation persisting for 48 hours or 2 mm h</w:t>
      </w:r>
      <w:r w:rsidRPr="00650858">
        <w:rPr>
          <w:vertAlign w:val="superscript"/>
        </w:rPr>
        <w:t>-1</w:t>
      </w:r>
      <w:r w:rsidRPr="00650858">
        <w:t xml:space="preserve"> persisting for eight hours is more plausible. The results of the model runs indicate that each of those precipitation scenarios would result in doses </w:t>
      </w:r>
      <w:r w:rsidR="00302562">
        <w:t>(assuming</w:t>
      </w:r>
      <w:r w:rsidRPr="00650858">
        <w:t xml:space="preserve"> Category D conditions</w:t>
      </w:r>
      <w:r w:rsidR="00302562">
        <w:t>)</w:t>
      </w:r>
      <w:r w:rsidRPr="00650858">
        <w:t xml:space="preserve"> being higher than the analogous doses estimated for Category F dry conditions. Care must be taken not to over-generalise those results, as the present study’s 48-hour release duration related specifically to the FH source term and the eight-hour release duration related specifically to the SGTR source term.</w:t>
      </w:r>
    </w:p>
    <w:p w14:paraId="7EAB0691" w14:textId="5A09DEB4" w:rsidR="00650858" w:rsidRDefault="00650858" w:rsidP="00AB3E80">
      <w:pPr>
        <w:pStyle w:val="BodyText"/>
        <w:jc w:val="both"/>
      </w:pPr>
      <w:r w:rsidRPr="00650858">
        <w:t>It must also be borne in mind that defining meteorological conditions in terms of Pasquill Stability Category and precipitation rate</w:t>
      </w:r>
      <w:r w:rsidR="00AB3E80">
        <w:t>,</w:t>
      </w:r>
      <w:r w:rsidRPr="00650858">
        <w:t xml:space="preserve"> results in a significant degree of simplification. </w:t>
      </w:r>
      <w:r w:rsidR="00513358">
        <w:t xml:space="preserve">The NAME model </w:t>
      </w:r>
      <w:r w:rsidR="00AB3E80">
        <w:t xml:space="preserve">provided </w:t>
      </w:r>
      <w:r w:rsidR="00513358">
        <w:t>m</w:t>
      </w:r>
      <w:r w:rsidRPr="00650858">
        <w:t xml:space="preserve">ore representative modelling of actual UK meteorological conditions </w:t>
      </w:r>
      <w:r w:rsidR="00513358">
        <w:t xml:space="preserve">due to its </w:t>
      </w:r>
      <w:r w:rsidRPr="00650858">
        <w:t xml:space="preserve">  use of NWP met</w:t>
      </w:r>
      <w:r w:rsidR="00F62990">
        <w:t>eorological</w:t>
      </w:r>
      <w:r w:rsidRPr="00650858">
        <w:t xml:space="preserve"> data</w:t>
      </w:r>
      <w:r w:rsidR="00513358">
        <w:t>.</w:t>
      </w:r>
      <w:r w:rsidRPr="00650858">
        <w:t xml:space="preserve"> </w:t>
      </w:r>
      <w:r w:rsidR="00AB3E80">
        <w:t>S</w:t>
      </w:r>
      <w:r w:rsidR="00AB3E80" w:rsidRPr="00650858">
        <w:t xml:space="preserve">cenarios </w:t>
      </w:r>
      <w:r w:rsidR="00AB3E80">
        <w:t xml:space="preserve">were identified whereby </w:t>
      </w:r>
      <w:r w:rsidRPr="00650858">
        <w:t xml:space="preserve">doses </w:t>
      </w:r>
      <w:r w:rsidR="00AB3E80">
        <w:t xml:space="preserve">derived on the basis of NAME model runs </w:t>
      </w:r>
      <w:r w:rsidRPr="00650858">
        <w:t>were greater than the analogous doses that had been derived by simply assuming Pasquill Stability Category F and dry conditions. The extent to which this was the case depended on which statistical endpoint was considered. It was commonly observed to be the case when considering the maximum maximum statistical values, with the likelihood decreasing for the 97.5</w:t>
      </w:r>
      <w:r w:rsidRPr="00650858">
        <w:rPr>
          <w:vertAlign w:val="superscript"/>
        </w:rPr>
        <w:t>th</w:t>
      </w:r>
      <w:r w:rsidRPr="00650858">
        <w:t xml:space="preserve"> percentile maximum and 95</w:t>
      </w:r>
      <w:r w:rsidRPr="00650858">
        <w:rPr>
          <w:vertAlign w:val="superscript"/>
        </w:rPr>
        <w:t>th</w:t>
      </w:r>
      <w:r w:rsidRPr="00650858">
        <w:t xml:space="preserve"> percentile maximum values.</w:t>
      </w:r>
      <w:r w:rsidR="00541AFA">
        <w:t xml:space="preserve"> </w:t>
      </w:r>
      <w:r w:rsidRPr="00650858">
        <w:t>No instances were observed of the mean maximum dose results exceeding the analogous Category F dry dose results. Nonetheless, it is plausible that there could be scenarios in which the mean of the maximum estimated doses exceeds the analogous dose estimated by assuming Pasquill Stability Category F and dry conditions.</w:t>
      </w:r>
    </w:p>
    <w:p w14:paraId="4FD5F4CB" w14:textId="3A6037D1" w:rsidR="00650858" w:rsidRPr="00650858" w:rsidRDefault="003D27F6" w:rsidP="00AB3E80">
      <w:pPr>
        <w:pStyle w:val="BodyText"/>
        <w:jc w:val="both"/>
      </w:pPr>
      <w:r>
        <w:t>The 95</w:t>
      </w:r>
      <w:r w:rsidRPr="002F22EF">
        <w:rPr>
          <w:vertAlign w:val="superscript"/>
        </w:rPr>
        <w:t>th</w:t>
      </w:r>
      <w:r>
        <w:t xml:space="preserve"> percentile is a frequently used threshold value in radiation assessments; in this study only one instance (</w:t>
      </w:r>
      <w:r>
        <w:fldChar w:fldCharType="begin"/>
      </w:r>
      <w:r>
        <w:instrText xml:space="preserve"> REF _Ref81408472 \h </w:instrText>
      </w:r>
      <w:r>
        <w:fldChar w:fldCharType="separate"/>
      </w:r>
      <w:r w:rsidR="00926FE3">
        <w:t xml:space="preserve">Figure </w:t>
      </w:r>
      <w:r w:rsidR="00926FE3">
        <w:rPr>
          <w:noProof/>
        </w:rPr>
        <w:t>16</w:t>
      </w:r>
      <w:r>
        <w:fldChar w:fldCharType="end"/>
      </w:r>
      <w:r>
        <w:t xml:space="preserve">) was identified, across all of the scenarios considered, </w:t>
      </w:r>
      <w:r w:rsidR="00302562">
        <w:t>in which</w:t>
      </w:r>
      <w:r>
        <w:t xml:space="preserve"> the NAME derived </w:t>
      </w:r>
      <w:r w:rsidRPr="00650858">
        <w:t>95</w:t>
      </w:r>
      <w:r w:rsidRPr="00650858">
        <w:rPr>
          <w:vertAlign w:val="superscript"/>
        </w:rPr>
        <w:t>th</w:t>
      </w:r>
      <w:r w:rsidRPr="00650858">
        <w:t xml:space="preserve"> percentile maximum</w:t>
      </w:r>
      <w:r>
        <w:t xml:space="preserve"> dose exceeded the respective dose </w:t>
      </w:r>
      <w:r w:rsidRPr="00650858">
        <w:t>assuming Pasquill Stability Category F and dry conditions</w:t>
      </w:r>
      <w:r>
        <w:t xml:space="preserve"> in the ADMS model (notably more instances were identified </w:t>
      </w:r>
      <w:r w:rsidR="00A26E42">
        <w:t>as a result of</w:t>
      </w:r>
      <w:r>
        <w:t xml:space="preserve"> the application of the ADEPT model). </w:t>
      </w:r>
      <w:r w:rsidR="000C1772">
        <w:t>This</w:t>
      </w:r>
      <w:r>
        <w:t xml:space="preserve"> occurred for only one of the three considered site</w:t>
      </w:r>
      <w:r w:rsidR="00907D76">
        <w:t xml:space="preserve">s, and in this case </w:t>
      </w:r>
      <w:r>
        <w:t xml:space="preserve">the magnitudes of the doses estimated were </w:t>
      </w:r>
      <w:r w:rsidR="00FB76D2">
        <w:t>relatively similar</w:t>
      </w:r>
      <w:r>
        <w:t>. Thus</w:t>
      </w:r>
      <w:r w:rsidR="00A177A5">
        <w:t>,</w:t>
      </w:r>
      <w:r>
        <w:t xml:space="preserve"> the application of </w:t>
      </w:r>
      <w:r w:rsidRPr="00650858">
        <w:t>Pasquill Stability Category F and dry conditions</w:t>
      </w:r>
      <w:r>
        <w:t xml:space="preserve"> in a Gaussian Plume Model such as ADMS </w:t>
      </w:r>
      <w:r w:rsidR="005C14CB">
        <w:t>appear</w:t>
      </w:r>
      <w:r w:rsidR="00A26E42">
        <w:t>s</w:t>
      </w:r>
      <w:r w:rsidR="005C14CB">
        <w:t xml:space="preserve"> to be</w:t>
      </w:r>
      <w:r>
        <w:t xml:space="preserve"> a reasonable proxy for </w:t>
      </w:r>
      <w:r w:rsidR="00A26E42">
        <w:t xml:space="preserve">dose assessments assuming </w:t>
      </w:r>
      <w:r w:rsidR="005C14CB">
        <w:t xml:space="preserve">the </w:t>
      </w:r>
      <w:r>
        <w:t>95</w:t>
      </w:r>
      <w:r w:rsidRPr="00086B40">
        <w:rPr>
          <w:vertAlign w:val="superscript"/>
        </w:rPr>
        <w:t>th</w:t>
      </w:r>
      <w:r>
        <w:t xml:space="preserve"> </w:t>
      </w:r>
      <w:r w:rsidR="005C14CB">
        <w:t xml:space="preserve">percentile and greater </w:t>
      </w:r>
      <w:r w:rsidR="00A26E42">
        <w:t xml:space="preserve">conservatism of </w:t>
      </w:r>
      <w:r w:rsidR="005C14CB">
        <w:t>meteorological conditions</w:t>
      </w:r>
      <w:r w:rsidR="00A26E42">
        <w:t xml:space="preserve"> in a Lagrangian Particle Model such as NAME</w:t>
      </w:r>
      <w:r w:rsidR="00B658C9">
        <w:t xml:space="preserve">. However, there are a number of </w:t>
      </w:r>
      <w:r w:rsidR="005C14CB">
        <w:t>caveat</w:t>
      </w:r>
      <w:r w:rsidR="00B658C9">
        <w:t>s, some of which have been highlighted previously. A further caveat being</w:t>
      </w:r>
      <w:r w:rsidR="005C14CB">
        <w:t xml:space="preserve"> that in a large proportion of </w:t>
      </w:r>
      <w:r w:rsidR="00FB76D2">
        <w:t>scenarios</w:t>
      </w:r>
      <w:r w:rsidR="005C14CB">
        <w:t xml:space="preserve"> the </w:t>
      </w:r>
      <w:r w:rsidR="00A26E42">
        <w:t xml:space="preserve">dose estimates are likely to be beyond that </w:t>
      </w:r>
      <w:r w:rsidR="00907D76">
        <w:t>o</w:t>
      </w:r>
      <w:r w:rsidR="00A26E42">
        <w:t>f the</w:t>
      </w:r>
      <w:r w:rsidR="005C14CB">
        <w:t xml:space="preserve"> 100</w:t>
      </w:r>
      <w:r w:rsidR="005C14CB" w:rsidRPr="00086B40">
        <w:rPr>
          <w:vertAlign w:val="superscript"/>
        </w:rPr>
        <w:t>th</w:t>
      </w:r>
      <w:r w:rsidR="005C14CB">
        <w:t xml:space="preserve"> percentile (or maximum maximum)</w:t>
      </w:r>
      <w:r w:rsidR="00A26E42">
        <w:t xml:space="preserve"> </w:t>
      </w:r>
      <w:r w:rsidR="005C14CB">
        <w:t>i.e. not representative of reality</w:t>
      </w:r>
      <w:r w:rsidR="00DC1210">
        <w:t xml:space="preserve"> (and a likely cause being the assumption of meteorological conditions which are rarely or never observed in the UK)</w:t>
      </w:r>
      <w:r w:rsidR="005C14CB">
        <w:t>.</w:t>
      </w:r>
    </w:p>
    <w:p w14:paraId="1321029A" w14:textId="19DEB403" w:rsidR="00336F75" w:rsidRPr="00E0642E" w:rsidRDefault="00650858" w:rsidP="00AB3E80">
      <w:pPr>
        <w:pStyle w:val="BodyTextEND"/>
        <w:jc w:val="both"/>
        <w:rPr>
          <w:color w:val="FF0000"/>
        </w:rPr>
      </w:pPr>
      <w:r w:rsidRPr="00650858">
        <w:t>To provide a specific answer to the original question</w:t>
      </w:r>
      <w:r w:rsidR="00616A47">
        <w:t>,</w:t>
      </w:r>
      <w:r w:rsidRPr="00650858">
        <w:t xml:space="preserve"> it seems reasonable to conclude that there is </w:t>
      </w:r>
      <w:r w:rsidR="005314D9">
        <w:t xml:space="preserve">a suitable level of conservatism </w:t>
      </w:r>
      <w:r w:rsidR="005314D9" w:rsidRPr="00650858">
        <w:t>in the current DBA methodology (for off-site radiological consequences) as a result of the operators of nuclear licensed sites typically assuming no precipitation</w:t>
      </w:r>
      <w:r w:rsidR="00867E8E">
        <w:t xml:space="preserve"> (and PSC F conditions)</w:t>
      </w:r>
      <w:r w:rsidR="005314D9">
        <w:t xml:space="preserve"> if </w:t>
      </w:r>
      <w:r w:rsidR="00867E8E">
        <w:t xml:space="preserve">the threshold conservatism of the </w:t>
      </w:r>
      <w:r w:rsidR="005314D9">
        <w:t>meteorological conditions</w:t>
      </w:r>
      <w:r w:rsidR="00867E8E">
        <w:t xml:space="preserve"> is the 95</w:t>
      </w:r>
      <w:r w:rsidR="00867E8E" w:rsidRPr="00086B40">
        <w:rPr>
          <w:vertAlign w:val="superscript"/>
        </w:rPr>
        <w:t>th</w:t>
      </w:r>
      <w:r w:rsidR="00867E8E">
        <w:t xml:space="preserve"> percentile (or less)</w:t>
      </w:r>
      <w:r w:rsidR="005314D9">
        <w:t xml:space="preserve">. There is </w:t>
      </w:r>
      <w:r w:rsidR="00616A47">
        <w:t>the</w:t>
      </w:r>
      <w:r w:rsidR="00616A47" w:rsidRPr="00650858">
        <w:t xml:space="preserve"> </w:t>
      </w:r>
      <w:r w:rsidRPr="00650858">
        <w:t>potential for a lack of conservatism in the current DBA methodology</w:t>
      </w:r>
      <w:r w:rsidR="005314D9">
        <w:t xml:space="preserve"> if it is necessary to assume greater than 95</w:t>
      </w:r>
      <w:r w:rsidR="005314D9" w:rsidRPr="002F22EF">
        <w:rPr>
          <w:vertAlign w:val="superscript"/>
        </w:rPr>
        <w:t>th</w:t>
      </w:r>
      <w:r w:rsidR="005314D9">
        <w:t xml:space="preserve"> percentile meteorological conditions</w:t>
      </w:r>
      <w:r w:rsidRPr="00650858">
        <w:t>.</w:t>
      </w:r>
      <w:bookmarkEnd w:id="174"/>
      <w:r w:rsidR="00134BE5">
        <w:t xml:space="preserve"> However, these conclusions are dependent on the atmospheric dispersion model being applied</w:t>
      </w:r>
      <w:r w:rsidR="00321E37">
        <w:t xml:space="preserve">. </w:t>
      </w:r>
      <w:r w:rsidR="004A556F">
        <w:t xml:space="preserve">Further caveats include a frequent lack of realism when assuming PSC F (and dry) conditions, particularly in the act of assuming such conditions persist for extended periods of time; </w:t>
      </w:r>
      <w:r w:rsidR="0085564B">
        <w:t>and</w:t>
      </w:r>
      <w:r w:rsidR="004A556F">
        <w:t xml:space="preserve"> that the degree of conservatism </w:t>
      </w:r>
      <w:r w:rsidR="0085564B">
        <w:t xml:space="preserve">varies (depending on the scenario concerned) </w:t>
      </w:r>
      <w:r w:rsidR="00C30EE9">
        <w:t>when assuming a</w:t>
      </w:r>
      <w:r w:rsidR="004A556F">
        <w:t xml:space="preserve"> </w:t>
      </w:r>
      <w:r w:rsidR="0085564B">
        <w:t>single meteorological condition (PSC F) within a Gaussian Plume Model</w:t>
      </w:r>
      <w:r w:rsidR="004A556F">
        <w:t>.</w:t>
      </w:r>
    </w:p>
    <w:p w14:paraId="7E460D70" w14:textId="2ECFEB00" w:rsidR="004E5CF2" w:rsidRPr="004E5CF2" w:rsidRDefault="004E5CF2" w:rsidP="004E5CF2">
      <w:pPr>
        <w:pStyle w:val="Heading2"/>
      </w:pPr>
      <w:bookmarkStart w:id="175" w:name="_Ref81494761"/>
      <w:bookmarkStart w:id="176" w:name="_Ref81494951"/>
      <w:bookmarkStart w:id="177" w:name="_Toc89966416"/>
      <w:r>
        <w:t>Are the current modelling approaches appropriate?</w:t>
      </w:r>
      <w:bookmarkEnd w:id="175"/>
      <w:bookmarkEnd w:id="176"/>
      <w:bookmarkEnd w:id="177"/>
    </w:p>
    <w:p w14:paraId="3D7A4234" w14:textId="29E9C2F2" w:rsidR="00232573" w:rsidRDefault="00AE361C" w:rsidP="00616A47">
      <w:pPr>
        <w:pStyle w:val="BodyText"/>
        <w:jc w:val="both"/>
      </w:pPr>
      <w:r>
        <w:t xml:space="preserve">The </w:t>
      </w:r>
      <w:r w:rsidR="00F31258">
        <w:t xml:space="preserve">preceding sections </w:t>
      </w:r>
      <w:r>
        <w:t>have</w:t>
      </w:r>
      <w:r w:rsidR="00812F32">
        <w:t xml:space="preserve"> to some extent</w:t>
      </w:r>
      <w:r>
        <w:t xml:space="preserve"> already considered how appropriate </w:t>
      </w:r>
      <w:r w:rsidR="00F31258">
        <w:t>the modelling approaches currently used in D</w:t>
      </w:r>
      <w:r w:rsidR="00E31B1C">
        <w:t>BA a</w:t>
      </w:r>
      <w:r w:rsidR="00F31258">
        <w:t>ssessments</w:t>
      </w:r>
      <w:r>
        <w:t xml:space="preserve"> are</w:t>
      </w:r>
      <w:r w:rsidR="00F31258">
        <w:t xml:space="preserve">. </w:t>
      </w:r>
      <w:r>
        <w:t xml:space="preserve">However, those sections have focused on a few specific </w:t>
      </w:r>
      <w:r w:rsidR="00812F32">
        <w:t>aspects</w:t>
      </w:r>
      <w:r>
        <w:t>. The present section aims to broaden the investigation to consider other ways in which the current modelling approaches may or may not be appropriate</w:t>
      </w:r>
      <w:r w:rsidR="00B32C7B">
        <w:t xml:space="preserve"> for DBA use.</w:t>
      </w:r>
    </w:p>
    <w:p w14:paraId="73EBB639" w14:textId="3636D118" w:rsidR="00812F32" w:rsidRDefault="00812F32" w:rsidP="00616A47">
      <w:pPr>
        <w:pStyle w:val="BodyTextEND"/>
        <w:jc w:val="both"/>
      </w:pPr>
      <w:r>
        <w:t>Model runs cannot on their own comprehensively answer the question as to whether a particular modelling approach is appropriate; however, the results can highlight the potential consequences of different approaches. That should</w:t>
      </w:r>
      <w:r w:rsidR="00E42FAF">
        <w:t xml:space="preserve"> assist in making </w:t>
      </w:r>
      <w:r>
        <w:t>a judgement as to whether the approaches are capable of meeting the requirements of the DBA process.</w:t>
      </w:r>
    </w:p>
    <w:p w14:paraId="685F2B6C" w14:textId="36296081" w:rsidR="005102DF" w:rsidRDefault="00F9068F" w:rsidP="005102DF">
      <w:pPr>
        <w:pStyle w:val="Heading3"/>
      </w:pPr>
      <w:bookmarkStart w:id="178" w:name="_Ref83643062"/>
      <w:bookmarkStart w:id="179" w:name="_Toc89966417"/>
      <w:r>
        <w:t>I</w:t>
      </w:r>
      <w:r w:rsidR="005102DF">
        <w:t>ntercomparison</w:t>
      </w:r>
      <w:r>
        <w:t xml:space="preserve"> of models and their application</w:t>
      </w:r>
      <w:bookmarkEnd w:id="178"/>
      <w:bookmarkEnd w:id="179"/>
    </w:p>
    <w:p w14:paraId="4FB87AC1" w14:textId="3D2FA731" w:rsidR="00D476ED" w:rsidRDefault="005102DF" w:rsidP="00D93C97">
      <w:pPr>
        <w:pStyle w:val="BodyTextEND"/>
        <w:jc w:val="both"/>
      </w:pPr>
      <w:r>
        <w:t xml:space="preserve">The modelling approaches used in the present study can be broadly categorised as </w:t>
      </w:r>
      <w:r w:rsidRPr="005102DF">
        <w:rPr>
          <w:i/>
          <w:iCs/>
        </w:rPr>
        <w:t>NAME-in-PACE</w:t>
      </w:r>
      <w:r w:rsidR="00004FC5">
        <w:rPr>
          <w:i/>
          <w:iCs/>
        </w:rPr>
        <w:t xml:space="preserve"> </w:t>
      </w:r>
      <w:r w:rsidR="00004FC5" w:rsidRPr="00004FC5">
        <w:rPr>
          <w:iCs/>
        </w:rPr>
        <w:t>(referred to as NAME or NiP for the remainder of the section)</w:t>
      </w:r>
      <w:r>
        <w:t xml:space="preserve">, </w:t>
      </w:r>
      <w:r w:rsidR="002D3581">
        <w:rPr>
          <w:i/>
          <w:iCs/>
        </w:rPr>
        <w:t>ADEPT</w:t>
      </w:r>
      <w:r w:rsidRPr="005102DF">
        <w:rPr>
          <w:i/>
          <w:iCs/>
        </w:rPr>
        <w:t>-in-PACE</w:t>
      </w:r>
      <w:r>
        <w:t xml:space="preserve"> </w:t>
      </w:r>
      <w:r w:rsidR="00004FC5" w:rsidRPr="00004FC5">
        <w:rPr>
          <w:iCs/>
        </w:rPr>
        <w:t xml:space="preserve">(referred to as </w:t>
      </w:r>
      <w:r w:rsidR="00004FC5">
        <w:rPr>
          <w:iCs/>
        </w:rPr>
        <w:t>ADEPT</w:t>
      </w:r>
      <w:r w:rsidR="00004FC5" w:rsidRPr="00004FC5">
        <w:rPr>
          <w:iCs/>
        </w:rPr>
        <w:t xml:space="preserve"> or </w:t>
      </w:r>
      <w:r w:rsidR="00004FC5">
        <w:rPr>
          <w:iCs/>
        </w:rPr>
        <w:t>A</w:t>
      </w:r>
      <w:r w:rsidR="00004FC5" w:rsidRPr="00004FC5">
        <w:rPr>
          <w:iCs/>
        </w:rPr>
        <w:t>iP for the remainder of the section)</w:t>
      </w:r>
      <w:r w:rsidR="00004FC5">
        <w:rPr>
          <w:iCs/>
        </w:rPr>
        <w:t xml:space="preserve"> </w:t>
      </w:r>
      <w:r>
        <w:t xml:space="preserve">and </w:t>
      </w:r>
      <w:r w:rsidRPr="005102DF">
        <w:rPr>
          <w:i/>
          <w:iCs/>
        </w:rPr>
        <w:t>ADMS</w:t>
      </w:r>
      <w:r>
        <w:t xml:space="preserve">. </w:t>
      </w:r>
      <w:r w:rsidR="00694D88">
        <w:t>As part of the “appropriateness” investigation, i</w:t>
      </w:r>
      <w:r w:rsidR="00D476ED">
        <w:t>t is useful to consider the differences in the results generated by these three modelling approaches.</w:t>
      </w:r>
    </w:p>
    <w:p w14:paraId="3802CC17" w14:textId="4AD15704" w:rsidR="00D476ED" w:rsidRDefault="00D476ED" w:rsidP="00D476ED">
      <w:pPr>
        <w:pStyle w:val="Heading4"/>
      </w:pPr>
      <w:bookmarkStart w:id="180" w:name="_Toc89966418"/>
      <w:r>
        <w:t>Strategy for comparing models of different types</w:t>
      </w:r>
      <w:bookmarkEnd w:id="180"/>
    </w:p>
    <w:p w14:paraId="37350599" w14:textId="1811B889" w:rsidR="00D476ED" w:rsidRDefault="00F03121" w:rsidP="00A26B1D">
      <w:pPr>
        <w:pStyle w:val="BodyText"/>
        <w:jc w:val="both"/>
      </w:pPr>
      <w:r>
        <w:t xml:space="preserve">This study </w:t>
      </w:r>
      <w:r w:rsidR="00A26B1D">
        <w:t xml:space="preserve">applied the models in the manner that they are likely to be employed when performing dose assessments. </w:t>
      </w:r>
      <w:r w:rsidR="001F4E7B">
        <w:t>And</w:t>
      </w:r>
      <w:r w:rsidR="00A26B1D">
        <w:t xml:space="preserve"> the NAME model was included </w:t>
      </w:r>
      <w:r w:rsidR="00977DDA">
        <w:t xml:space="preserve">in this study </w:t>
      </w:r>
      <w:r w:rsidR="00A26B1D">
        <w:t>to provide a benchmark against which all Gaussian approaches could be compared. Thus, NAME model runs were performed probabilistically (and not deterministically) alongside the application of NWP met data (as opposed to single site met data). As a result</w:t>
      </w:r>
      <w:r w:rsidR="001F4E7B">
        <w:t>,</w:t>
      </w:r>
      <w:r w:rsidR="00A26B1D">
        <w:t xml:space="preserve"> </w:t>
      </w:r>
      <w:r w:rsidR="00D476ED">
        <w:t xml:space="preserve">a simple </w:t>
      </w:r>
      <w:r w:rsidR="00A26B1D">
        <w:t xml:space="preserve">model </w:t>
      </w:r>
      <w:r w:rsidR="00D476ED">
        <w:t xml:space="preserve">comparison </w:t>
      </w:r>
      <w:r w:rsidR="00A26B1D">
        <w:t>(</w:t>
      </w:r>
      <w:r w:rsidR="00D476ED">
        <w:t xml:space="preserve">in which exactly the same modelling parameter values </w:t>
      </w:r>
      <w:r w:rsidR="001F4E7B">
        <w:t>would be</w:t>
      </w:r>
      <w:r w:rsidR="00D476ED">
        <w:t xml:space="preserve"> entered into each of the models</w:t>
      </w:r>
      <w:r w:rsidR="00A26B1D">
        <w:t>) was not possible</w:t>
      </w:r>
      <w:r w:rsidR="00D476ED">
        <w:t xml:space="preserve">. </w:t>
      </w:r>
      <w:r w:rsidR="001F4E7B">
        <w:t>For example</w:t>
      </w:r>
      <w:r w:rsidR="00BB0328">
        <w:t>,</w:t>
      </w:r>
      <w:r w:rsidR="00D87E95">
        <w:t xml:space="preserve"> the NWP met data used in the NAME runs meant that the precipitation rate could not be arbitrarily defined (as it could be in the </w:t>
      </w:r>
      <w:r w:rsidR="002D3581">
        <w:t>ADEPT</w:t>
      </w:r>
      <w:r w:rsidR="00D87E95">
        <w:t xml:space="preserve"> and ADMS runs). Also, dose results </w:t>
      </w:r>
      <w:r w:rsidR="00616A47">
        <w:t xml:space="preserve">were </w:t>
      </w:r>
      <w:r w:rsidR="00D87E95">
        <w:t xml:space="preserve">output from </w:t>
      </w:r>
      <w:r w:rsidR="00BB0328">
        <w:t>N</w:t>
      </w:r>
      <w:r w:rsidR="00D87E95">
        <w:t xml:space="preserve">AME runs in statistical form, which </w:t>
      </w:r>
      <w:r w:rsidR="00616A47">
        <w:t xml:space="preserve">was </w:t>
      </w:r>
      <w:r w:rsidR="00D87E95">
        <w:t xml:space="preserve">not the case for </w:t>
      </w:r>
      <w:r w:rsidR="002D3581">
        <w:t>ADEPT</w:t>
      </w:r>
      <w:r w:rsidR="00D87E95">
        <w:t xml:space="preserve"> or ADMS.</w:t>
      </w:r>
    </w:p>
    <w:p w14:paraId="749A7EBD" w14:textId="5E96BC1E" w:rsidR="00D87E95" w:rsidRDefault="00D87E95" w:rsidP="00F30261">
      <w:pPr>
        <w:pStyle w:val="BodyText"/>
        <w:jc w:val="both"/>
      </w:pPr>
      <w:r>
        <w:t xml:space="preserve">In order to </w:t>
      </w:r>
      <w:r w:rsidR="001F4E7B">
        <w:t>enable a meaningful comparison</w:t>
      </w:r>
      <w:r>
        <w:t>, the following steps were carried out.</w:t>
      </w:r>
    </w:p>
    <w:p w14:paraId="3EDF6FD8" w14:textId="6F5EF0AA" w:rsidR="00D87E95" w:rsidRDefault="00D87E95" w:rsidP="006D6FEA">
      <w:pPr>
        <w:pStyle w:val="BodyText"/>
        <w:numPr>
          <w:ilvl w:val="0"/>
          <w:numId w:val="9"/>
        </w:numPr>
        <w:jc w:val="both"/>
      </w:pPr>
      <w:r>
        <w:t xml:space="preserve">The </w:t>
      </w:r>
      <w:r>
        <w:rPr>
          <w:i/>
          <w:iCs/>
        </w:rPr>
        <w:t>Mean Maximum</w:t>
      </w:r>
      <w:r w:rsidR="001F4E7B">
        <w:t>,</w:t>
      </w:r>
      <w:r>
        <w:t xml:space="preserve"> </w:t>
      </w:r>
      <w:r>
        <w:rPr>
          <w:i/>
          <w:iCs/>
        </w:rPr>
        <w:t>95</w:t>
      </w:r>
      <w:r w:rsidRPr="00D87E95">
        <w:rPr>
          <w:i/>
          <w:iCs/>
          <w:vertAlign w:val="superscript"/>
        </w:rPr>
        <w:t>th</w:t>
      </w:r>
      <w:r>
        <w:rPr>
          <w:i/>
          <w:iCs/>
        </w:rPr>
        <w:t xml:space="preserve"> percentile </w:t>
      </w:r>
      <w:r w:rsidR="001F4E7B">
        <w:rPr>
          <w:i/>
          <w:iCs/>
        </w:rPr>
        <w:t xml:space="preserve">Maximum and Maximum </w:t>
      </w:r>
      <w:r>
        <w:rPr>
          <w:i/>
          <w:iCs/>
        </w:rPr>
        <w:t>Maximum</w:t>
      </w:r>
      <w:r w:rsidR="00BB0328">
        <w:rPr>
          <w:rStyle w:val="FootnoteReference"/>
          <w:i/>
          <w:iCs/>
        </w:rPr>
        <w:footnoteReference w:id="6"/>
      </w:r>
      <w:r>
        <w:t xml:space="preserve"> results </w:t>
      </w:r>
      <w:r w:rsidR="00BB0328">
        <w:t xml:space="preserve">were </w:t>
      </w:r>
      <w:r>
        <w:t>extracted from the NAME runs.</w:t>
      </w:r>
    </w:p>
    <w:p w14:paraId="7197F62B" w14:textId="2838E026" w:rsidR="00D87E95" w:rsidRDefault="00D87E95" w:rsidP="006D6FEA">
      <w:pPr>
        <w:pStyle w:val="BodyText"/>
        <w:numPr>
          <w:ilvl w:val="0"/>
          <w:numId w:val="9"/>
        </w:numPr>
        <w:jc w:val="both"/>
      </w:pPr>
      <w:r>
        <w:t>The results for precipitation rate</w:t>
      </w:r>
      <w:r w:rsidR="00BB0328">
        <w:t>s</w:t>
      </w:r>
      <w:r>
        <w:t xml:space="preserve"> of 0 mm</w:t>
      </w:r>
      <w:r w:rsidR="005C68F0">
        <w:t xml:space="preserve"> </w:t>
      </w:r>
      <w:r>
        <w:t>h</w:t>
      </w:r>
      <w:r w:rsidR="005C68F0">
        <w:rPr>
          <w:vertAlign w:val="superscript"/>
        </w:rPr>
        <w:t>-1</w:t>
      </w:r>
      <w:r>
        <w:t xml:space="preserve"> and 8 mm</w:t>
      </w:r>
      <w:r w:rsidR="005C68F0">
        <w:t xml:space="preserve"> h</w:t>
      </w:r>
      <w:r w:rsidR="005C68F0">
        <w:rPr>
          <w:vertAlign w:val="superscript"/>
        </w:rPr>
        <w:t>-1</w:t>
      </w:r>
      <w:r>
        <w:t xml:space="preserve"> </w:t>
      </w:r>
      <w:r w:rsidR="001F4E7B">
        <w:t xml:space="preserve">in Pasquill Stability </w:t>
      </w:r>
      <w:r w:rsidR="009C6215">
        <w:t xml:space="preserve">Category </w:t>
      </w:r>
      <w:r w:rsidR="001F4E7B">
        <w:t>D conditions and 0 mm h</w:t>
      </w:r>
      <w:r w:rsidR="001F4E7B" w:rsidRPr="001F4E7B">
        <w:rPr>
          <w:vertAlign w:val="superscript"/>
        </w:rPr>
        <w:t>-1</w:t>
      </w:r>
      <w:r w:rsidR="001F4E7B">
        <w:t xml:space="preserve"> in Pasquill Stability </w:t>
      </w:r>
      <w:r w:rsidR="009C6215">
        <w:t xml:space="preserve">Category </w:t>
      </w:r>
      <w:r w:rsidR="001F4E7B">
        <w:t xml:space="preserve">F conditions </w:t>
      </w:r>
      <w:r>
        <w:t xml:space="preserve">were extracted from the </w:t>
      </w:r>
      <w:r w:rsidR="002D3581">
        <w:t>ADEPT</w:t>
      </w:r>
      <w:r>
        <w:t xml:space="preserve"> and ADMS runs.</w:t>
      </w:r>
      <w:r w:rsidR="00005D78">
        <w:t xml:space="preserve"> This was to give an indication of the range of results that could arise from those runs. It does not mean that those results were analogous to the NAME runs’ </w:t>
      </w:r>
      <w:r w:rsidR="00005D78">
        <w:rPr>
          <w:i/>
          <w:iCs/>
        </w:rPr>
        <w:t>Mean Maximum</w:t>
      </w:r>
      <w:r w:rsidR="00E411B8">
        <w:rPr>
          <w:i/>
          <w:iCs/>
        </w:rPr>
        <w:t>,</w:t>
      </w:r>
      <w:r w:rsidR="00005D78">
        <w:t xml:space="preserve"> </w:t>
      </w:r>
      <w:r w:rsidR="00005D78">
        <w:rPr>
          <w:i/>
          <w:iCs/>
        </w:rPr>
        <w:t>95</w:t>
      </w:r>
      <w:r w:rsidR="00005D78" w:rsidRPr="00D87E95">
        <w:rPr>
          <w:i/>
          <w:iCs/>
          <w:vertAlign w:val="superscript"/>
        </w:rPr>
        <w:t>th</w:t>
      </w:r>
      <w:r w:rsidR="00005D78">
        <w:rPr>
          <w:i/>
          <w:iCs/>
        </w:rPr>
        <w:t xml:space="preserve"> percentile Maximum</w:t>
      </w:r>
      <w:r w:rsidR="00E411B8">
        <w:rPr>
          <w:i/>
          <w:iCs/>
        </w:rPr>
        <w:t xml:space="preserve"> and Maximum Maximum</w:t>
      </w:r>
      <w:r w:rsidR="00005D78">
        <w:rPr>
          <w:i/>
          <w:iCs/>
        </w:rPr>
        <w:t xml:space="preserve"> </w:t>
      </w:r>
      <w:r w:rsidR="00005D78">
        <w:t>results.</w:t>
      </w:r>
    </w:p>
    <w:p w14:paraId="14F76D2B" w14:textId="0160182C" w:rsidR="00560573" w:rsidRDefault="00BB0328" w:rsidP="006D6FEA">
      <w:pPr>
        <w:pStyle w:val="BodyTextEND"/>
        <w:numPr>
          <w:ilvl w:val="0"/>
          <w:numId w:val="9"/>
        </w:numPr>
        <w:jc w:val="both"/>
      </w:pPr>
      <w:r>
        <w:t>Runs were carried out for all four source terms.</w:t>
      </w:r>
    </w:p>
    <w:p w14:paraId="3C1A4678" w14:textId="5DAB9A34" w:rsidR="00D476ED" w:rsidRDefault="0011272B" w:rsidP="0011272B">
      <w:pPr>
        <w:pStyle w:val="Heading4"/>
      </w:pPr>
      <w:bookmarkStart w:id="181" w:name="_Ref83213973"/>
      <w:bookmarkStart w:id="182" w:name="_Toc89966419"/>
      <w:r>
        <w:t>Results</w:t>
      </w:r>
      <w:bookmarkEnd w:id="181"/>
      <w:bookmarkEnd w:id="182"/>
    </w:p>
    <w:p w14:paraId="08A3C9A3" w14:textId="5BEA0528" w:rsidR="007950C7" w:rsidRDefault="007950C7" w:rsidP="00F30261">
      <w:pPr>
        <w:pStyle w:val="BodyText"/>
        <w:jc w:val="both"/>
      </w:pPr>
      <w:r w:rsidRPr="007950C7">
        <w:t>A selection of results from the runs described above are presented below. Only infant doses are presented, but the adult doses did not reveal any significantly different patterns.</w:t>
      </w:r>
      <w:r>
        <w:t xml:space="preserve"> The results are notionally for the Seathwaite location, except that ADMS results are not associated with any particular location.</w:t>
      </w:r>
    </w:p>
    <w:p w14:paraId="3BD4A88C" w14:textId="1162C5F8" w:rsidR="00C26A3C" w:rsidRPr="007950C7" w:rsidRDefault="00C26A3C" w:rsidP="00F30261">
      <w:pPr>
        <w:pStyle w:val="BodyText"/>
        <w:jc w:val="both"/>
      </w:pPr>
      <w:r>
        <w:t xml:space="preserve">In the graphs in this section </w:t>
      </w:r>
      <w:r w:rsidR="009C6215">
        <w:t>“</w:t>
      </w:r>
      <w:r>
        <w:t>NiP</w:t>
      </w:r>
      <w:r w:rsidR="009C6215">
        <w:t>”</w:t>
      </w:r>
      <w:r>
        <w:t xml:space="preserve"> represents N</w:t>
      </w:r>
      <w:r w:rsidR="009C6215">
        <w:t>AME</w:t>
      </w:r>
      <w:r>
        <w:t>-in-PACE</w:t>
      </w:r>
      <w:r w:rsidR="009C6215">
        <w:t>, “AiP” represents ADEPT-in-PACE, “Mean Max” represents the Mean Maximum value, “95pc Max” represents the 95</w:t>
      </w:r>
      <w:r w:rsidR="009C6215" w:rsidRPr="009C6215">
        <w:rPr>
          <w:vertAlign w:val="superscript"/>
        </w:rPr>
        <w:t>th</w:t>
      </w:r>
      <w:r w:rsidR="009C6215">
        <w:t xml:space="preserve"> percentile Maximum value, “Max Max” represents the Maximum Maximum value, “F 0” represents Pasquill Stability Category F conditions and a 0 mm h</w:t>
      </w:r>
      <w:r w:rsidR="009C6215" w:rsidRPr="009C6215">
        <w:rPr>
          <w:vertAlign w:val="superscript"/>
        </w:rPr>
        <w:t>-1</w:t>
      </w:r>
      <w:r w:rsidR="009C6215">
        <w:t xml:space="preserve"> precipitation rate, “D 0” represents Pasquill Stability Category D conditions and a 0 mm h</w:t>
      </w:r>
      <w:r w:rsidR="009C6215" w:rsidRPr="009C6215">
        <w:rPr>
          <w:vertAlign w:val="superscript"/>
        </w:rPr>
        <w:t>-1</w:t>
      </w:r>
      <w:r w:rsidR="009C6215">
        <w:t xml:space="preserve"> precipitation rate, “D 8” represents Pasquill Stability Category D conditions and an 8 mm h</w:t>
      </w:r>
      <w:r w:rsidR="009C6215" w:rsidRPr="009C6215">
        <w:rPr>
          <w:vertAlign w:val="superscript"/>
        </w:rPr>
        <w:t>-1</w:t>
      </w:r>
      <w:r w:rsidR="009C6215">
        <w:t xml:space="preserve"> precipitation rate.</w:t>
      </w:r>
    </w:p>
    <w:p w14:paraId="42004DCC" w14:textId="41FD953D" w:rsidR="0011272B" w:rsidRPr="007950C7" w:rsidRDefault="0011272B" w:rsidP="00F30261">
      <w:pPr>
        <w:pStyle w:val="BodyText"/>
        <w:jc w:val="both"/>
      </w:pPr>
      <w:r w:rsidRPr="007950C7">
        <w:t xml:space="preserve">In general, the </w:t>
      </w:r>
      <w:r w:rsidR="007950C7" w:rsidRPr="007950C7">
        <w:t xml:space="preserve">doses estimated by the </w:t>
      </w:r>
      <w:r w:rsidRPr="007950C7">
        <w:t xml:space="preserve">ADMS </w:t>
      </w:r>
      <w:r w:rsidR="007950C7" w:rsidRPr="007950C7">
        <w:t>runs</w:t>
      </w:r>
      <w:r w:rsidRPr="007950C7">
        <w:t xml:space="preserve"> </w:t>
      </w:r>
      <w:r w:rsidR="007950C7" w:rsidRPr="007950C7">
        <w:t xml:space="preserve">tended to be </w:t>
      </w:r>
      <w:r w:rsidRPr="007950C7">
        <w:t>much higher</w:t>
      </w:r>
      <w:r w:rsidR="007950C7" w:rsidRPr="007950C7">
        <w:t xml:space="preserve"> than the doses estimated by the NAME or </w:t>
      </w:r>
      <w:r w:rsidR="002D3581">
        <w:t>ADEPT</w:t>
      </w:r>
      <w:r w:rsidR="007950C7" w:rsidRPr="007950C7">
        <w:t xml:space="preserve"> runs</w:t>
      </w:r>
      <w:r w:rsidRPr="007950C7">
        <w:t>. Th</w:t>
      </w:r>
      <w:r w:rsidR="007950C7" w:rsidRPr="007950C7">
        <w:t>at was</w:t>
      </w:r>
      <w:r w:rsidRPr="007950C7">
        <w:t xml:space="preserve"> particularly true for longer integration periods and for longer-duration source terms.</w:t>
      </w:r>
    </w:p>
    <w:p w14:paraId="77AC0B7A" w14:textId="478D5008" w:rsidR="0011272B" w:rsidRDefault="000843DB" w:rsidP="00F30261">
      <w:pPr>
        <w:pStyle w:val="BodyTextEND"/>
        <w:jc w:val="both"/>
        <w:rPr>
          <w:color w:val="FF0000"/>
        </w:rPr>
      </w:pPr>
      <w:r>
        <w:t>More detailed</w:t>
      </w:r>
      <w:r w:rsidR="0011272B" w:rsidRPr="007950C7">
        <w:t xml:space="preserve"> </w:t>
      </w:r>
      <w:r w:rsidR="007950C7" w:rsidRPr="007950C7">
        <w:t>discussion</w:t>
      </w:r>
      <w:r w:rsidR="0011272B" w:rsidRPr="007950C7">
        <w:t xml:space="preserve"> </w:t>
      </w:r>
      <w:r>
        <w:t xml:space="preserve">of the results </w:t>
      </w:r>
      <w:r w:rsidR="006A2F77">
        <w:t>accompanies</w:t>
      </w:r>
      <w:r>
        <w:t xml:space="preserve"> each set of figures below. An investigation as to</w:t>
      </w:r>
      <w:r w:rsidR="0011272B" w:rsidRPr="007950C7">
        <w:t xml:space="preserve"> why the </w:t>
      </w:r>
      <w:r w:rsidR="002D3581">
        <w:t>ADEPT</w:t>
      </w:r>
      <w:r w:rsidR="0011272B" w:rsidRPr="007950C7">
        <w:t xml:space="preserve"> and ADMS results are so different</w:t>
      </w:r>
      <w:r>
        <w:t xml:space="preserve"> f</w:t>
      </w:r>
      <w:r w:rsidR="00167AC4">
        <w:t>ro</w:t>
      </w:r>
      <w:r>
        <w:t>m each other</w:t>
      </w:r>
      <w:r w:rsidR="0011272B" w:rsidRPr="007950C7">
        <w:t xml:space="preserve"> is presented in</w:t>
      </w:r>
      <w:r w:rsidR="007950C7">
        <w:t xml:space="preserve"> Section </w:t>
      </w:r>
      <w:r w:rsidR="007950C7">
        <w:fldChar w:fldCharType="begin"/>
      </w:r>
      <w:r w:rsidR="007950C7">
        <w:instrText xml:space="preserve"> REF _Ref80881491 \n \h </w:instrText>
      </w:r>
      <w:r w:rsidR="00F30261">
        <w:instrText xml:space="preserve"> \* MERGEFORMAT </w:instrText>
      </w:r>
      <w:r w:rsidR="007950C7">
        <w:fldChar w:fldCharType="separate"/>
      </w:r>
      <w:r w:rsidR="00926FE3">
        <w:t>5.3.2</w:t>
      </w:r>
      <w:r w:rsidR="007950C7">
        <w:fldChar w:fldCharType="end"/>
      </w:r>
      <w:r w:rsidR="007950C7">
        <w:t>.</w:t>
      </w:r>
    </w:p>
    <w:p w14:paraId="3D545E39" w14:textId="35C53ECE" w:rsidR="00235BE2" w:rsidRPr="00235BE2" w:rsidRDefault="00235BE2" w:rsidP="000843DB">
      <w:pPr>
        <w:pStyle w:val="Heading5"/>
      </w:pPr>
      <w:bookmarkStart w:id="183" w:name="_Toc89966420"/>
      <w:r w:rsidRPr="00235BE2">
        <w:t xml:space="preserve">Results for </w:t>
      </w:r>
      <w:r w:rsidR="000843DB">
        <w:t>the Large Break LOCA source term</w:t>
      </w:r>
      <w:bookmarkEnd w:id="183"/>
    </w:p>
    <w:p w14:paraId="3B687275" w14:textId="77777777" w:rsidR="006A2F77" w:rsidRPr="006A2F77" w:rsidRDefault="006A2F77" w:rsidP="009C6BF1">
      <w:pPr>
        <w:pStyle w:val="BodyText"/>
        <w:keepNext/>
        <w:jc w:val="both"/>
      </w:pPr>
      <w:r w:rsidRPr="006A2F77">
        <w:t>This source term had a 30-day release duration.</w:t>
      </w:r>
    </w:p>
    <w:p w14:paraId="30FBC587" w14:textId="37065DF6" w:rsidR="006A2F77" w:rsidRPr="006A2F77" w:rsidRDefault="006A2F77" w:rsidP="009C6BF1">
      <w:pPr>
        <w:pStyle w:val="BodyText"/>
        <w:keepNext/>
        <w:jc w:val="both"/>
      </w:pPr>
      <w:r w:rsidRPr="006A2F77">
        <w:t xml:space="preserve">The figures below show that the doses estimated by ADMS were significantly higher than the doses estimated by NAME or </w:t>
      </w:r>
      <w:r w:rsidR="002D3581">
        <w:t>ADEPT</w:t>
      </w:r>
      <w:r w:rsidRPr="006A2F77">
        <w:t>. The disparities were particularly apparent for lifetime doses and were large enough that the other models’ doses could barely be seen when viewed on the same axis. Consequently, two extra plots have been provided with the ADMS results excluded.</w:t>
      </w:r>
    </w:p>
    <w:p w14:paraId="45D58969" w14:textId="6D34A2E6" w:rsidR="006A2F77" w:rsidRPr="006A2F77" w:rsidRDefault="00B27B6E" w:rsidP="009C6BF1">
      <w:pPr>
        <w:pStyle w:val="BodyTextEND"/>
        <w:jc w:val="both"/>
      </w:pPr>
      <w:r>
        <w:t xml:space="preserve">NAME </w:t>
      </w:r>
      <w:r w:rsidR="006A2F77" w:rsidRPr="006A2F77">
        <w:t xml:space="preserve">and </w:t>
      </w:r>
      <w:r w:rsidR="002D3581">
        <w:t>ADEPT</w:t>
      </w:r>
      <w:r w:rsidR="006A2F77" w:rsidRPr="006A2F77">
        <w:t xml:space="preserve"> doses were broadly similar, albeit with some variation. The </w:t>
      </w:r>
      <w:r w:rsidR="002D3581">
        <w:t>ADEPT</w:t>
      </w:r>
      <w:r w:rsidR="004B7B2C">
        <w:t xml:space="preserve"> lifetime dose estimates</w:t>
      </w:r>
      <w:r w:rsidR="006A2F77" w:rsidRPr="006A2F77">
        <w:t xml:space="preserve"> </w:t>
      </w:r>
      <w:r w:rsidR="00D31D58">
        <w:t>on the basis of</w:t>
      </w:r>
      <w:r w:rsidR="006A2F77" w:rsidRPr="006A2F77">
        <w:t xml:space="preserve"> an 8 mm</w:t>
      </w:r>
      <w:r w:rsidR="00F8290C">
        <w:t xml:space="preserve"> </w:t>
      </w:r>
      <w:r w:rsidR="006A2F77" w:rsidRPr="006A2F77">
        <w:t>h</w:t>
      </w:r>
      <w:r w:rsidR="00F8290C" w:rsidRPr="00F8290C">
        <w:rPr>
          <w:vertAlign w:val="superscript"/>
        </w:rPr>
        <w:t>-1</w:t>
      </w:r>
      <w:r w:rsidR="006A2F77" w:rsidRPr="006A2F77">
        <w:t xml:space="preserve"> precipitation rate appeared high when compared to the NAME lifetime doses. This was unsurprising given that a sustained precipitation rate of 8</w:t>
      </w:r>
      <w:r w:rsidR="004053B3">
        <w:t> </w:t>
      </w:r>
      <w:r w:rsidR="00F8290C" w:rsidRPr="006A2F77">
        <w:t>mm</w:t>
      </w:r>
      <w:r w:rsidR="00F8290C">
        <w:t xml:space="preserve"> </w:t>
      </w:r>
      <w:r w:rsidR="00F8290C" w:rsidRPr="006A2F77">
        <w:t>h</w:t>
      </w:r>
      <w:r w:rsidR="00F8290C" w:rsidRPr="00F8290C">
        <w:rPr>
          <w:vertAlign w:val="superscript"/>
        </w:rPr>
        <w:t>-1</w:t>
      </w:r>
      <w:r w:rsidR="00F8290C" w:rsidRPr="006A2F77">
        <w:t xml:space="preserve"> </w:t>
      </w:r>
      <w:r w:rsidR="004B7B2C">
        <w:t>throughout</w:t>
      </w:r>
      <w:r w:rsidR="006A2F77" w:rsidRPr="006A2F77">
        <w:t xml:space="preserve"> a 30-day release period </w:t>
      </w:r>
      <w:r w:rsidR="006F667D">
        <w:t>is unheard of</w:t>
      </w:r>
      <w:r w:rsidR="006A2F77" w:rsidRPr="006A2F77">
        <w:t xml:space="preserve">, and so was a </w:t>
      </w:r>
      <w:r w:rsidR="006F667D">
        <w:t xml:space="preserve">significantly </w:t>
      </w:r>
      <w:r w:rsidR="006A2F77" w:rsidRPr="006A2F77">
        <w:t xml:space="preserve">more conservative assumption than was represented by the NAME results. As mentioned previously, although the </w:t>
      </w:r>
      <w:r w:rsidR="004B7B2C">
        <w:t>model inputs</w:t>
      </w:r>
      <w:r w:rsidR="006A2F77" w:rsidRPr="006A2F77">
        <w:t xml:space="preserve"> have been made as analogous as possible, it must be borne in mind that the deterministic outputs of the </w:t>
      </w:r>
      <w:r w:rsidR="002D3581">
        <w:t>ADEPT</w:t>
      </w:r>
      <w:r w:rsidR="006A2F77" w:rsidRPr="006A2F77">
        <w:t xml:space="preserve"> (and ADMS) runs are not directly comparable with the statistical outputs of the NAME runs.</w:t>
      </w:r>
    </w:p>
    <w:p w14:paraId="3592B82D" w14:textId="6E784D7A" w:rsidR="0055731A" w:rsidRDefault="00B81F9A" w:rsidP="0055731A">
      <w:pPr>
        <w:pStyle w:val="BodyText"/>
        <w:keepNext/>
      </w:pPr>
      <w:r>
        <w:rPr>
          <w:noProof/>
          <w:lang w:eastAsia="en-GB"/>
        </w:rPr>
        <w:drawing>
          <wp:inline distT="0" distB="0" distL="0" distR="0" wp14:anchorId="51A11415" wp14:editId="00906FA5">
            <wp:extent cx="5229225" cy="2651125"/>
            <wp:effectExtent l="0" t="0" r="0" b="0"/>
            <wp:docPr id="45" name="Chart 45">
              <a:extLst xmlns:a="http://schemas.openxmlformats.org/drawingml/2006/main">
                <a:ext uri="{FF2B5EF4-FFF2-40B4-BE49-F238E27FC236}">
                  <a16:creationId xmlns:a16="http://schemas.microsoft.com/office/drawing/2014/main" id="{FB343536-44A0-4EBD-ACAF-FE8EB4F68C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AF4D793" w14:textId="011B01C0" w:rsidR="00235BE2" w:rsidRDefault="0055731A" w:rsidP="0055731A">
      <w:pPr>
        <w:pStyle w:val="Figurecaption"/>
        <w:rPr>
          <w:color w:val="FF0000"/>
        </w:rPr>
      </w:pPr>
      <w:bookmarkStart w:id="184" w:name="_Ref80962123"/>
      <w:r>
        <w:t xml:space="preserve">Figure </w:t>
      </w:r>
      <w:fldSimple w:instr=" SEQ Figure \* ARABIC ">
        <w:r w:rsidR="00926FE3">
          <w:rPr>
            <w:noProof/>
          </w:rPr>
          <w:t>18</w:t>
        </w:r>
      </w:fldSimple>
      <w:bookmarkEnd w:id="184"/>
      <w:r>
        <w:t xml:space="preserve">: </w:t>
      </w:r>
      <w:r w:rsidRPr="00E662C4">
        <w:t xml:space="preserve">Maximum </w:t>
      </w:r>
      <w:r w:rsidR="002F7005">
        <w:t>infant</w:t>
      </w:r>
      <w:r w:rsidR="002F7005" w:rsidRPr="00E662C4">
        <w:t xml:space="preserve"> </w:t>
      </w:r>
      <w:r w:rsidRPr="00E662C4">
        <w:t>30-day</w:t>
      </w:r>
      <w:r>
        <w:t xml:space="preserve"> </w:t>
      </w:r>
      <w:r w:rsidRPr="00E662C4">
        <w:t>effective dose at 0.5 km assuming no ingestion</w:t>
      </w:r>
      <w:r>
        <w:t xml:space="preserve"> – LBL ST</w:t>
      </w:r>
    </w:p>
    <w:p w14:paraId="7EEB6E61" w14:textId="77777777" w:rsidR="0055731A" w:rsidRDefault="0055731A" w:rsidP="0011272B">
      <w:pPr>
        <w:pStyle w:val="BodyText"/>
        <w:rPr>
          <w:color w:val="FF0000"/>
        </w:rPr>
      </w:pPr>
    </w:p>
    <w:p w14:paraId="1FFF1F9F" w14:textId="09158DE3" w:rsidR="0055731A" w:rsidRDefault="00B81F9A" w:rsidP="0055731A">
      <w:pPr>
        <w:pStyle w:val="BodyText"/>
        <w:keepNext/>
      </w:pPr>
      <w:r>
        <w:rPr>
          <w:noProof/>
          <w:lang w:eastAsia="en-GB"/>
        </w:rPr>
        <w:drawing>
          <wp:inline distT="0" distB="0" distL="0" distR="0" wp14:anchorId="27846487" wp14:editId="564289E3">
            <wp:extent cx="5248275" cy="2663190"/>
            <wp:effectExtent l="0" t="0" r="0" b="3810"/>
            <wp:docPr id="53" name="Chart 53">
              <a:extLst xmlns:a="http://schemas.openxmlformats.org/drawingml/2006/main">
                <a:ext uri="{FF2B5EF4-FFF2-40B4-BE49-F238E27FC236}">
                  <a16:creationId xmlns:a16="http://schemas.microsoft.com/office/drawing/2014/main" id="{780021C0-4B5C-42E9-B56D-6E9B0EE153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0118833" w14:textId="509EC638" w:rsidR="00F17302" w:rsidRDefault="0055731A" w:rsidP="00E3022D">
      <w:pPr>
        <w:pStyle w:val="Figurecaption"/>
        <w:rPr>
          <w:color w:val="FF0000"/>
        </w:rPr>
      </w:pPr>
      <w:bookmarkStart w:id="185" w:name="_Ref80965553"/>
      <w:r>
        <w:t xml:space="preserve">Figure </w:t>
      </w:r>
      <w:fldSimple w:instr=" SEQ Figure \* ARABIC ">
        <w:r w:rsidR="00926FE3">
          <w:rPr>
            <w:noProof/>
          </w:rPr>
          <w:t>19</w:t>
        </w:r>
      </w:fldSimple>
      <w:bookmarkEnd w:id="185"/>
      <w:r>
        <w:t xml:space="preserve">: </w:t>
      </w:r>
      <w:r w:rsidRPr="00074E88">
        <w:t>Maximum</w:t>
      </w:r>
      <w:r w:rsidR="002F7005" w:rsidRPr="002F7005">
        <w:t xml:space="preserve"> </w:t>
      </w:r>
      <w:r w:rsidR="002F7005">
        <w:t>infant</w:t>
      </w:r>
      <w:r w:rsidRPr="00074E88">
        <w:t xml:space="preserve"> lifetime</w:t>
      </w:r>
      <w:r>
        <w:t xml:space="preserve"> </w:t>
      </w:r>
      <w:r w:rsidRPr="00074E88">
        <w:t>effective dose at 0.5 km assuming no food restrictions</w:t>
      </w:r>
      <w:r>
        <w:t xml:space="preserve"> – LBL ST</w:t>
      </w:r>
    </w:p>
    <w:p w14:paraId="5E390A31" w14:textId="77777777" w:rsidR="00F17302" w:rsidRDefault="00F17302" w:rsidP="0011272B">
      <w:pPr>
        <w:pStyle w:val="BodyText"/>
        <w:rPr>
          <w:color w:val="FF0000"/>
        </w:rPr>
      </w:pPr>
    </w:p>
    <w:p w14:paraId="7A7515D6" w14:textId="11D27419" w:rsidR="0055731A" w:rsidRDefault="00094D29" w:rsidP="0055731A">
      <w:pPr>
        <w:pStyle w:val="BodyText"/>
        <w:keepNext/>
      </w:pPr>
      <w:r>
        <w:rPr>
          <w:noProof/>
          <w:lang w:eastAsia="en-GB"/>
        </w:rPr>
        <w:drawing>
          <wp:inline distT="0" distB="0" distL="0" distR="0" wp14:anchorId="3B75C22F" wp14:editId="29F9CFD6">
            <wp:extent cx="5257800" cy="2663190"/>
            <wp:effectExtent l="0" t="0" r="0" b="3810"/>
            <wp:docPr id="55" name="Chart 55">
              <a:extLst xmlns:a="http://schemas.openxmlformats.org/drawingml/2006/main">
                <a:ext uri="{FF2B5EF4-FFF2-40B4-BE49-F238E27FC236}">
                  <a16:creationId xmlns:a16="http://schemas.microsoft.com/office/drawing/2014/main" id="{FCBD0076-2E04-4E18-877B-C5F797C6B8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5E4C323" w14:textId="004B848F" w:rsidR="00F17302" w:rsidRDefault="0055731A" w:rsidP="00E3022D">
      <w:pPr>
        <w:pStyle w:val="Figurecaption"/>
        <w:rPr>
          <w:color w:val="FF0000"/>
        </w:rPr>
      </w:pPr>
      <w:bookmarkStart w:id="186" w:name="_Ref80966743"/>
      <w:r>
        <w:t xml:space="preserve">Figure </w:t>
      </w:r>
      <w:fldSimple w:instr=" SEQ Figure \* ARABIC ">
        <w:r w:rsidR="00926FE3">
          <w:rPr>
            <w:noProof/>
          </w:rPr>
          <w:t>20</w:t>
        </w:r>
      </w:fldSimple>
      <w:bookmarkEnd w:id="186"/>
      <w:r w:rsidRPr="00C211AA">
        <w:t xml:space="preserve">: Maximum </w:t>
      </w:r>
      <w:r w:rsidR="00E3022D" w:rsidRPr="00C211AA">
        <w:t xml:space="preserve">infant </w:t>
      </w:r>
      <w:r w:rsidRPr="00C211AA">
        <w:t>lifetime effective dose at 0.5 km assuming no food restrictions</w:t>
      </w:r>
      <w:r>
        <w:t xml:space="preserve"> – LBL ST</w:t>
      </w:r>
      <w:r w:rsidR="00FA414B">
        <w:t xml:space="preserve"> (excluding ADMS)</w:t>
      </w:r>
    </w:p>
    <w:p w14:paraId="42155A0E" w14:textId="6C7936D1" w:rsidR="00F17302" w:rsidRDefault="00F17302" w:rsidP="0011272B">
      <w:pPr>
        <w:pStyle w:val="BodyText"/>
        <w:rPr>
          <w:color w:val="FF0000"/>
        </w:rPr>
      </w:pPr>
    </w:p>
    <w:p w14:paraId="0138ED0F" w14:textId="77777777" w:rsidR="0055731A" w:rsidRDefault="0055731A" w:rsidP="0011272B">
      <w:pPr>
        <w:pStyle w:val="BodyText"/>
        <w:rPr>
          <w:color w:val="FF0000"/>
        </w:rPr>
      </w:pPr>
    </w:p>
    <w:p w14:paraId="0E09F971" w14:textId="27F441AA" w:rsidR="0055731A" w:rsidRDefault="00B81F9A" w:rsidP="0055731A">
      <w:pPr>
        <w:pStyle w:val="BodyText"/>
        <w:keepNext/>
      </w:pPr>
      <w:r>
        <w:rPr>
          <w:noProof/>
          <w:lang w:eastAsia="en-GB"/>
        </w:rPr>
        <w:drawing>
          <wp:inline distT="0" distB="0" distL="0" distR="0" wp14:anchorId="43B8A8A6" wp14:editId="6D3FBA31">
            <wp:extent cx="5238750" cy="2743200"/>
            <wp:effectExtent l="0" t="0" r="0" b="0"/>
            <wp:docPr id="54" name="Chart 54">
              <a:extLst xmlns:a="http://schemas.openxmlformats.org/drawingml/2006/main">
                <a:ext uri="{FF2B5EF4-FFF2-40B4-BE49-F238E27FC236}">
                  <a16:creationId xmlns:a16="http://schemas.microsoft.com/office/drawing/2014/main" id="{2656CAAB-7DC6-47D3-AF8D-A82C8216FC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2EE4280" w14:textId="3B7DE31A" w:rsidR="00F17302" w:rsidRDefault="0055731A" w:rsidP="0055731A">
      <w:pPr>
        <w:pStyle w:val="Figurecaption"/>
        <w:rPr>
          <w:color w:val="FF0000"/>
        </w:rPr>
      </w:pPr>
      <w:bookmarkStart w:id="187" w:name="_Ref80967198"/>
      <w:r>
        <w:t xml:space="preserve">Figure </w:t>
      </w:r>
      <w:fldSimple w:instr=" SEQ Figure \* ARABIC ">
        <w:r w:rsidR="00926FE3">
          <w:rPr>
            <w:noProof/>
          </w:rPr>
          <w:t>21</w:t>
        </w:r>
      </w:fldSimple>
      <w:bookmarkEnd w:id="187"/>
      <w:r w:rsidRPr="007A42CF">
        <w:t xml:space="preserve">: Maximum </w:t>
      </w:r>
      <w:r w:rsidR="00E3022D" w:rsidRPr="007A42CF">
        <w:t xml:space="preserve">infant </w:t>
      </w:r>
      <w:r w:rsidRPr="007A42CF">
        <w:t>30-day effective dose at 5 km assuming no ingestion</w:t>
      </w:r>
      <w:r>
        <w:t xml:space="preserve"> – LBL ST</w:t>
      </w:r>
    </w:p>
    <w:p w14:paraId="057FAA9E" w14:textId="0AF08D29" w:rsidR="00F17302" w:rsidRDefault="00F17302" w:rsidP="0011272B">
      <w:pPr>
        <w:pStyle w:val="BodyText"/>
        <w:rPr>
          <w:color w:val="FF0000"/>
        </w:rPr>
      </w:pPr>
    </w:p>
    <w:p w14:paraId="791894F3" w14:textId="5F7DACFB" w:rsidR="0055731A" w:rsidRDefault="00B81F9A" w:rsidP="0055731A">
      <w:pPr>
        <w:pStyle w:val="BodyText"/>
        <w:keepNext/>
      </w:pPr>
      <w:r>
        <w:rPr>
          <w:noProof/>
          <w:lang w:eastAsia="en-GB"/>
        </w:rPr>
        <w:drawing>
          <wp:inline distT="0" distB="0" distL="0" distR="0" wp14:anchorId="1CA1CCCE" wp14:editId="51E293F5">
            <wp:extent cx="5276850" cy="2743200"/>
            <wp:effectExtent l="0" t="0" r="0" b="0"/>
            <wp:docPr id="74" name="Chart 74">
              <a:extLst xmlns:a="http://schemas.openxmlformats.org/drawingml/2006/main">
                <a:ext uri="{FF2B5EF4-FFF2-40B4-BE49-F238E27FC236}">
                  <a16:creationId xmlns:a16="http://schemas.microsoft.com/office/drawing/2014/main" id="{DEC8D0E2-67FF-4B4B-B6E6-6B8E164343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9641CFC" w14:textId="4E4E7808" w:rsidR="00F17302" w:rsidRDefault="0055731A" w:rsidP="00E3022D">
      <w:pPr>
        <w:pStyle w:val="Figurecaption"/>
        <w:rPr>
          <w:color w:val="FF0000"/>
        </w:rPr>
      </w:pPr>
      <w:bookmarkStart w:id="188" w:name="_Ref80977561"/>
      <w:r>
        <w:t xml:space="preserve">Figure </w:t>
      </w:r>
      <w:fldSimple w:instr=" SEQ Figure \* ARABIC ">
        <w:r w:rsidR="00926FE3">
          <w:rPr>
            <w:noProof/>
          </w:rPr>
          <w:t>22</w:t>
        </w:r>
      </w:fldSimple>
      <w:bookmarkEnd w:id="188"/>
      <w:r w:rsidRPr="00CB3A67">
        <w:t>: Maximum</w:t>
      </w:r>
      <w:r w:rsidR="00E3022D" w:rsidRPr="00E3022D">
        <w:t xml:space="preserve"> </w:t>
      </w:r>
      <w:r w:rsidR="00E3022D" w:rsidRPr="00CB3A67">
        <w:t>infant</w:t>
      </w:r>
      <w:r w:rsidRPr="00CB3A67">
        <w:t xml:space="preserve"> lifetime effective dose at 5 km assuming no food restrictions</w:t>
      </w:r>
      <w:r>
        <w:t xml:space="preserve"> – LBL ST</w:t>
      </w:r>
    </w:p>
    <w:p w14:paraId="734AA4B4" w14:textId="62D5ECE8" w:rsidR="00F17302" w:rsidRDefault="00F17302" w:rsidP="0011272B">
      <w:pPr>
        <w:pStyle w:val="BodyText"/>
        <w:rPr>
          <w:color w:val="FF0000"/>
        </w:rPr>
      </w:pPr>
    </w:p>
    <w:p w14:paraId="3BFCD758" w14:textId="3820494F" w:rsidR="0055731A" w:rsidRDefault="00094D29" w:rsidP="0055731A">
      <w:pPr>
        <w:pStyle w:val="BodyText"/>
        <w:keepNext/>
      </w:pPr>
      <w:r>
        <w:rPr>
          <w:noProof/>
          <w:lang w:eastAsia="en-GB"/>
        </w:rPr>
        <w:drawing>
          <wp:inline distT="0" distB="0" distL="0" distR="0" wp14:anchorId="0DA981B2" wp14:editId="7CD368F0">
            <wp:extent cx="5248275" cy="2743200"/>
            <wp:effectExtent l="0" t="0" r="0" b="0"/>
            <wp:docPr id="65" name="Chart 65">
              <a:extLst xmlns:a="http://schemas.openxmlformats.org/drawingml/2006/main">
                <a:ext uri="{FF2B5EF4-FFF2-40B4-BE49-F238E27FC236}">
                  <a16:creationId xmlns:a16="http://schemas.microsoft.com/office/drawing/2014/main" id="{84A88EB3-8C7B-4459-BFDB-F0CE03A79B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3EE6CEE" w14:textId="26F38C6F" w:rsidR="00F17302" w:rsidRDefault="0055731A" w:rsidP="00E3022D">
      <w:pPr>
        <w:pStyle w:val="Figurecaption"/>
        <w:rPr>
          <w:color w:val="FF0000"/>
        </w:rPr>
      </w:pPr>
      <w:bookmarkStart w:id="189" w:name="_Ref80978674"/>
      <w:r>
        <w:t xml:space="preserve">Figure </w:t>
      </w:r>
      <w:fldSimple w:instr=" SEQ Figure \* ARABIC ">
        <w:r w:rsidR="00926FE3">
          <w:rPr>
            <w:noProof/>
          </w:rPr>
          <w:t>23</w:t>
        </w:r>
      </w:fldSimple>
      <w:bookmarkEnd w:id="189"/>
      <w:r w:rsidRPr="00CD4080">
        <w:t>: Maximum</w:t>
      </w:r>
      <w:r w:rsidR="00E3022D" w:rsidRPr="00E3022D">
        <w:t xml:space="preserve"> </w:t>
      </w:r>
      <w:r w:rsidR="00E3022D" w:rsidRPr="00CD4080">
        <w:t>infant</w:t>
      </w:r>
      <w:r w:rsidRPr="00CD4080">
        <w:t xml:space="preserve"> lifetime effective dose at 5 km assuming no food restrictions</w:t>
      </w:r>
      <w:r>
        <w:rPr>
          <w:noProof/>
        </w:rPr>
        <w:t xml:space="preserve"> – LBL ST</w:t>
      </w:r>
      <w:r w:rsidR="00FA414B">
        <w:rPr>
          <w:noProof/>
        </w:rPr>
        <w:t xml:space="preserve"> (excluding ADMS)</w:t>
      </w:r>
    </w:p>
    <w:p w14:paraId="08A0F8D4" w14:textId="77777777" w:rsidR="00F17302" w:rsidRDefault="00F17302" w:rsidP="0011272B">
      <w:pPr>
        <w:pStyle w:val="BodyText"/>
        <w:rPr>
          <w:color w:val="FF0000"/>
        </w:rPr>
      </w:pPr>
    </w:p>
    <w:p w14:paraId="2A475FE1" w14:textId="0AFBDE81" w:rsidR="00235BE2" w:rsidRPr="00235BE2" w:rsidRDefault="00235BE2" w:rsidP="000843DB">
      <w:pPr>
        <w:pStyle w:val="Heading5"/>
      </w:pPr>
      <w:bookmarkStart w:id="190" w:name="_Toc89966421"/>
      <w:r w:rsidRPr="00235BE2">
        <w:t>Results for</w:t>
      </w:r>
      <w:r w:rsidR="000843DB">
        <w:t xml:space="preserve"> the</w:t>
      </w:r>
      <w:r w:rsidRPr="00235BE2">
        <w:t xml:space="preserve"> F</w:t>
      </w:r>
      <w:r w:rsidR="000843DB">
        <w:t xml:space="preserve">uel </w:t>
      </w:r>
      <w:r w:rsidRPr="00235BE2">
        <w:t>H</w:t>
      </w:r>
      <w:r w:rsidR="000843DB">
        <w:t>andling source term</w:t>
      </w:r>
      <w:bookmarkEnd w:id="190"/>
    </w:p>
    <w:p w14:paraId="0A086E46" w14:textId="520D6C93" w:rsidR="006A2F77" w:rsidRPr="006A2F77" w:rsidRDefault="006A2F77" w:rsidP="00AE47B2">
      <w:pPr>
        <w:pStyle w:val="BodyText"/>
        <w:keepNext/>
        <w:jc w:val="both"/>
      </w:pPr>
      <w:r w:rsidRPr="006A2F77">
        <w:t xml:space="preserve">This source term originally had a 30-day release duration, but </w:t>
      </w:r>
      <w:r w:rsidR="00785F5A" w:rsidRPr="006A2F77">
        <w:t>most of</w:t>
      </w:r>
      <w:r w:rsidRPr="006A2F77">
        <w:t xml:space="preserve"> the activity was released during the first 48 hours, so the release duration of the source term used in the modelling runs was reduced to 48 hours.</w:t>
      </w:r>
    </w:p>
    <w:p w14:paraId="007B37D8" w14:textId="28D8B91B" w:rsidR="006A2F77" w:rsidRPr="006A2F77" w:rsidRDefault="006A2F77" w:rsidP="00AE47B2">
      <w:pPr>
        <w:pStyle w:val="BodyTextEND"/>
        <w:jc w:val="both"/>
      </w:pPr>
      <w:r w:rsidRPr="006A2F77">
        <w:t xml:space="preserve">ADMS again </w:t>
      </w:r>
      <w:r w:rsidR="001B6A82">
        <w:t xml:space="preserve">tended to </w:t>
      </w:r>
      <w:r w:rsidRPr="006A2F77">
        <w:t xml:space="preserve">estimate significantly higher values than the other two models. </w:t>
      </w:r>
      <w:r w:rsidR="00444CF3">
        <w:t>It is noteworthy that</w:t>
      </w:r>
      <w:r w:rsidRPr="006A2F77">
        <w:t xml:space="preserve"> </w:t>
      </w:r>
      <w:r w:rsidR="001B6A82">
        <w:t>the NAME model dose estimates were typically greater than those derived using ADEPT</w:t>
      </w:r>
      <w:r w:rsidRPr="006A2F77">
        <w:t>.</w:t>
      </w:r>
    </w:p>
    <w:p w14:paraId="4D582E4F" w14:textId="0DB26A1C" w:rsidR="0055731A" w:rsidRDefault="00B81F9A" w:rsidP="0055731A">
      <w:pPr>
        <w:pStyle w:val="BodyText"/>
        <w:keepNext/>
      </w:pPr>
      <w:r>
        <w:rPr>
          <w:noProof/>
          <w:lang w:eastAsia="en-GB"/>
        </w:rPr>
        <w:drawing>
          <wp:inline distT="0" distB="0" distL="0" distR="0" wp14:anchorId="2251AFBA" wp14:editId="5276D627">
            <wp:extent cx="5257800" cy="2651125"/>
            <wp:effectExtent l="0" t="0" r="0" b="0"/>
            <wp:docPr id="75" name="Chart 75">
              <a:extLst xmlns:a="http://schemas.openxmlformats.org/drawingml/2006/main">
                <a:ext uri="{FF2B5EF4-FFF2-40B4-BE49-F238E27FC236}">
                  <a16:creationId xmlns:a16="http://schemas.microsoft.com/office/drawing/2014/main" id="{3DB40069-0B48-44D3-B1A9-8E7120D06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D25BBA2" w14:textId="3DB304BD" w:rsidR="00235BE2" w:rsidRDefault="0055731A" w:rsidP="0055731A">
      <w:pPr>
        <w:pStyle w:val="Figurecaption"/>
        <w:rPr>
          <w:color w:val="FF0000"/>
        </w:rPr>
      </w:pPr>
      <w:bookmarkStart w:id="191" w:name="_Ref80979426"/>
      <w:r>
        <w:t xml:space="preserve">Figure </w:t>
      </w:r>
      <w:fldSimple w:instr=" SEQ Figure \* ARABIC ">
        <w:r w:rsidR="00926FE3">
          <w:rPr>
            <w:noProof/>
          </w:rPr>
          <w:t>24</w:t>
        </w:r>
      </w:fldSimple>
      <w:bookmarkEnd w:id="191"/>
      <w:r w:rsidRPr="00AC5B17">
        <w:t>: Maximum</w:t>
      </w:r>
      <w:r w:rsidR="00E3022D" w:rsidRPr="00E3022D">
        <w:t xml:space="preserve"> </w:t>
      </w:r>
      <w:r w:rsidR="00E3022D" w:rsidRPr="00AC5B17">
        <w:t>infant</w:t>
      </w:r>
      <w:r w:rsidRPr="00AC5B17">
        <w:t xml:space="preserve"> </w:t>
      </w:r>
      <w:r>
        <w:t>7</w:t>
      </w:r>
      <w:r w:rsidRPr="00AC5B17">
        <w:t>-day effective dose at 0.5 km assuming no ingestion</w:t>
      </w:r>
      <w:r>
        <w:t xml:space="preserve"> – FH ST</w:t>
      </w:r>
    </w:p>
    <w:p w14:paraId="2624B350" w14:textId="56C852FC" w:rsidR="00F17302" w:rsidRDefault="00F17302" w:rsidP="0011272B">
      <w:pPr>
        <w:pStyle w:val="BodyText"/>
        <w:rPr>
          <w:color w:val="FF0000"/>
        </w:rPr>
      </w:pPr>
    </w:p>
    <w:p w14:paraId="077D18A1" w14:textId="7543425E" w:rsidR="002F7005" w:rsidRDefault="00B81F9A" w:rsidP="002F7005">
      <w:pPr>
        <w:pStyle w:val="BodyText"/>
        <w:keepNext/>
      </w:pPr>
      <w:r>
        <w:rPr>
          <w:noProof/>
          <w:lang w:eastAsia="en-GB"/>
        </w:rPr>
        <w:drawing>
          <wp:inline distT="0" distB="0" distL="0" distR="0" wp14:anchorId="559AFEBC" wp14:editId="7CF23DAE">
            <wp:extent cx="5229225" cy="2663190"/>
            <wp:effectExtent l="0" t="0" r="0" b="3810"/>
            <wp:docPr id="76" name="Chart 76">
              <a:extLst xmlns:a="http://schemas.openxmlformats.org/drawingml/2006/main">
                <a:ext uri="{FF2B5EF4-FFF2-40B4-BE49-F238E27FC236}">
                  <a16:creationId xmlns:a16="http://schemas.microsoft.com/office/drawing/2014/main" id="{3C118EBB-A6C8-4FB5-926A-2F3DBA0A1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E2468E2" w14:textId="295F17DC" w:rsidR="00F17302" w:rsidRDefault="002F7005" w:rsidP="00E3022D">
      <w:pPr>
        <w:pStyle w:val="Figurecaption"/>
        <w:rPr>
          <w:color w:val="FF0000"/>
        </w:rPr>
      </w:pPr>
      <w:bookmarkStart w:id="192" w:name="_Ref80978683"/>
      <w:r>
        <w:t xml:space="preserve">Figure </w:t>
      </w:r>
      <w:fldSimple w:instr=" SEQ Figure \* ARABIC ">
        <w:r w:rsidR="00926FE3">
          <w:rPr>
            <w:noProof/>
          </w:rPr>
          <w:t>25</w:t>
        </w:r>
      </w:fldSimple>
      <w:bookmarkEnd w:id="192"/>
      <w:r w:rsidRPr="001F62A5">
        <w:t>: Maximum</w:t>
      </w:r>
      <w:r w:rsidR="00E3022D" w:rsidRPr="00E3022D">
        <w:t xml:space="preserve"> </w:t>
      </w:r>
      <w:r w:rsidR="00E3022D" w:rsidRPr="001F62A5">
        <w:t>infant</w:t>
      </w:r>
      <w:r w:rsidRPr="001F62A5">
        <w:t xml:space="preserve"> lifetime effective dose at 0.5 km assuming no food restrictions</w:t>
      </w:r>
      <w:r>
        <w:t xml:space="preserve"> – FH ST</w:t>
      </w:r>
    </w:p>
    <w:p w14:paraId="1F20E080" w14:textId="7A05B78B" w:rsidR="00F17302" w:rsidRDefault="00F17302" w:rsidP="0011272B">
      <w:pPr>
        <w:pStyle w:val="BodyText"/>
        <w:rPr>
          <w:color w:val="FF0000"/>
        </w:rPr>
      </w:pPr>
    </w:p>
    <w:p w14:paraId="0F3103A2" w14:textId="4EB2B0B2" w:rsidR="0055731A" w:rsidRDefault="00EE1451" w:rsidP="0055731A">
      <w:pPr>
        <w:pStyle w:val="BodyText"/>
        <w:keepNext/>
      </w:pPr>
      <w:r>
        <w:rPr>
          <w:noProof/>
          <w:lang w:eastAsia="en-GB"/>
        </w:rPr>
        <w:drawing>
          <wp:inline distT="0" distB="0" distL="0" distR="0" wp14:anchorId="44E861AE" wp14:editId="34B002DA">
            <wp:extent cx="5276850" cy="2743200"/>
            <wp:effectExtent l="0" t="0" r="0" b="0"/>
            <wp:docPr id="77" name="Chart 77">
              <a:extLst xmlns:a="http://schemas.openxmlformats.org/drawingml/2006/main">
                <a:ext uri="{FF2B5EF4-FFF2-40B4-BE49-F238E27FC236}">
                  <a16:creationId xmlns:a16="http://schemas.microsoft.com/office/drawing/2014/main" id="{9536B1D7-DC2D-44D4-8451-F51A2FD5EB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85F47AE" w14:textId="2FE8EA17" w:rsidR="00F17302" w:rsidRDefault="0055731A" w:rsidP="0055731A">
      <w:pPr>
        <w:pStyle w:val="Figurecaption"/>
        <w:rPr>
          <w:color w:val="FF0000"/>
        </w:rPr>
      </w:pPr>
      <w:bookmarkStart w:id="193" w:name="_Ref80980369"/>
      <w:r>
        <w:t xml:space="preserve">Figure </w:t>
      </w:r>
      <w:fldSimple w:instr=" SEQ Figure \* ARABIC ">
        <w:r w:rsidR="00926FE3">
          <w:rPr>
            <w:noProof/>
          </w:rPr>
          <w:t>26</w:t>
        </w:r>
      </w:fldSimple>
      <w:bookmarkEnd w:id="193"/>
      <w:r w:rsidRPr="00FA5C88">
        <w:t xml:space="preserve">: Maximum </w:t>
      </w:r>
      <w:r w:rsidR="00E3022D" w:rsidRPr="00FA5C88">
        <w:t xml:space="preserve">infant </w:t>
      </w:r>
      <w:r>
        <w:t>7</w:t>
      </w:r>
      <w:r w:rsidRPr="00FA5C88">
        <w:t>-day effective dose at 5 km assuming no ingestion</w:t>
      </w:r>
      <w:r>
        <w:t xml:space="preserve"> – FH ST</w:t>
      </w:r>
    </w:p>
    <w:p w14:paraId="403911CB" w14:textId="28398C10" w:rsidR="00F17302" w:rsidRDefault="00F17302" w:rsidP="0011272B">
      <w:pPr>
        <w:pStyle w:val="BodyText"/>
        <w:rPr>
          <w:color w:val="FF0000"/>
        </w:rPr>
      </w:pPr>
    </w:p>
    <w:p w14:paraId="5FC66F18" w14:textId="5F476E37" w:rsidR="002F7005" w:rsidRDefault="00EE1451" w:rsidP="002F7005">
      <w:pPr>
        <w:pStyle w:val="BodyText"/>
        <w:keepNext/>
      </w:pPr>
      <w:r>
        <w:rPr>
          <w:noProof/>
          <w:lang w:eastAsia="en-GB"/>
        </w:rPr>
        <w:drawing>
          <wp:inline distT="0" distB="0" distL="0" distR="0" wp14:anchorId="403F24DE" wp14:editId="6F7E8FE3">
            <wp:extent cx="5257800" cy="2743200"/>
            <wp:effectExtent l="0" t="0" r="0" b="0"/>
            <wp:docPr id="78" name="Chart 78">
              <a:extLst xmlns:a="http://schemas.openxmlformats.org/drawingml/2006/main">
                <a:ext uri="{FF2B5EF4-FFF2-40B4-BE49-F238E27FC236}">
                  <a16:creationId xmlns:a16="http://schemas.microsoft.com/office/drawing/2014/main" id="{16B6322E-5FA5-4D63-9D8E-F288CE8D1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2BF05D9" w14:textId="3DBF15E3" w:rsidR="00F17302" w:rsidRDefault="002F7005" w:rsidP="00E3022D">
      <w:pPr>
        <w:pStyle w:val="Figurecaption"/>
        <w:rPr>
          <w:color w:val="FF0000"/>
        </w:rPr>
      </w:pPr>
      <w:r>
        <w:t xml:space="preserve">Figure </w:t>
      </w:r>
      <w:fldSimple w:instr=" SEQ Figure \* ARABIC ">
        <w:r w:rsidR="00926FE3">
          <w:rPr>
            <w:noProof/>
          </w:rPr>
          <w:t>27</w:t>
        </w:r>
      </w:fldSimple>
      <w:r w:rsidRPr="007D0287">
        <w:t>: Maximum</w:t>
      </w:r>
      <w:r w:rsidR="00E3022D" w:rsidRPr="00E3022D">
        <w:t xml:space="preserve"> </w:t>
      </w:r>
      <w:r w:rsidR="00E3022D" w:rsidRPr="007D0287">
        <w:t>infant</w:t>
      </w:r>
      <w:r w:rsidRPr="007D0287">
        <w:t xml:space="preserve"> lifetime effective dose at 5 km assuming no food restrictions</w:t>
      </w:r>
      <w:r>
        <w:t xml:space="preserve"> – FH ST</w:t>
      </w:r>
    </w:p>
    <w:p w14:paraId="48FDDB95" w14:textId="77777777" w:rsidR="00F17302" w:rsidRDefault="00F17302" w:rsidP="0011272B">
      <w:pPr>
        <w:pStyle w:val="BodyText"/>
        <w:rPr>
          <w:color w:val="FF0000"/>
        </w:rPr>
      </w:pPr>
    </w:p>
    <w:p w14:paraId="0F6CDE52" w14:textId="5A4C9BBB" w:rsidR="00235BE2" w:rsidRPr="00235BE2" w:rsidRDefault="00235BE2" w:rsidP="000843DB">
      <w:pPr>
        <w:pStyle w:val="Heading5"/>
      </w:pPr>
      <w:bookmarkStart w:id="194" w:name="_Toc89966422"/>
      <w:r w:rsidRPr="00235BE2">
        <w:t xml:space="preserve">Results for </w:t>
      </w:r>
      <w:r w:rsidR="000843DB">
        <w:t>the</w:t>
      </w:r>
      <w:r w:rsidRPr="00235BE2">
        <w:t xml:space="preserve"> S</w:t>
      </w:r>
      <w:r w:rsidR="00AC5912">
        <w:t xml:space="preserve">team </w:t>
      </w:r>
      <w:r w:rsidRPr="00235BE2">
        <w:t>G</w:t>
      </w:r>
      <w:r w:rsidR="00AC5912">
        <w:t xml:space="preserve">enerator </w:t>
      </w:r>
      <w:r w:rsidRPr="00235BE2">
        <w:t>T</w:t>
      </w:r>
      <w:r w:rsidR="00AC5912">
        <w:t xml:space="preserve">ube </w:t>
      </w:r>
      <w:r w:rsidRPr="00235BE2">
        <w:t>R</w:t>
      </w:r>
      <w:r w:rsidR="00AC5912">
        <w:t xml:space="preserve">upture </w:t>
      </w:r>
      <w:r w:rsidR="000843DB">
        <w:t>source term</w:t>
      </w:r>
      <w:bookmarkEnd w:id="194"/>
    </w:p>
    <w:p w14:paraId="05A86E04" w14:textId="5154C11A" w:rsidR="006A2F77" w:rsidRPr="006A2F77" w:rsidRDefault="006A2F77" w:rsidP="00F835E9">
      <w:pPr>
        <w:pStyle w:val="BodyTextEND"/>
        <w:jc w:val="both"/>
      </w:pPr>
      <w:r w:rsidRPr="006A2F77">
        <w:t>This source term had an eight-hour release duration, which was the shortest release duration of any source term considered in the present study. The seven-day doses were broadly comp</w:t>
      </w:r>
      <w:r w:rsidR="00363AF7">
        <w:t xml:space="preserve">arable across the three models; </w:t>
      </w:r>
      <w:r w:rsidRPr="006A2F77">
        <w:t xml:space="preserve">the lifetime doses </w:t>
      </w:r>
      <w:r w:rsidR="00363AF7">
        <w:t>a little less so</w:t>
      </w:r>
      <w:r w:rsidRPr="006A2F77">
        <w:t xml:space="preserve">. The disparities </w:t>
      </w:r>
      <w:r w:rsidR="00363AF7">
        <w:t>tended to be</w:t>
      </w:r>
      <w:r w:rsidRPr="006A2F77">
        <w:t xml:space="preserve"> smaller than was the case for the Large Break LOCA or Fuel Handling source term runs.</w:t>
      </w:r>
    </w:p>
    <w:p w14:paraId="2E5ABEF7" w14:textId="1246D50F" w:rsidR="0055731A" w:rsidRDefault="00EE1451" w:rsidP="0055731A">
      <w:pPr>
        <w:pStyle w:val="BodyText"/>
        <w:keepNext/>
      </w:pPr>
      <w:r>
        <w:rPr>
          <w:noProof/>
          <w:lang w:eastAsia="en-GB"/>
        </w:rPr>
        <w:drawing>
          <wp:inline distT="0" distB="0" distL="0" distR="0" wp14:anchorId="121EFC9F" wp14:editId="58DAEC50">
            <wp:extent cx="5267325" cy="2651125"/>
            <wp:effectExtent l="0" t="0" r="0" b="0"/>
            <wp:docPr id="79" name="Chart 79">
              <a:extLst xmlns:a="http://schemas.openxmlformats.org/drawingml/2006/main">
                <a:ext uri="{FF2B5EF4-FFF2-40B4-BE49-F238E27FC236}">
                  <a16:creationId xmlns:a16="http://schemas.microsoft.com/office/drawing/2014/main" id="{2AE2F060-408C-40C6-A018-8383D6F7EA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73E9AE8" w14:textId="33EC5656" w:rsidR="00235BE2" w:rsidRDefault="0055731A" w:rsidP="00E3022D">
      <w:pPr>
        <w:pStyle w:val="Figurecaption"/>
        <w:rPr>
          <w:color w:val="FF0000"/>
        </w:rPr>
      </w:pPr>
      <w:r>
        <w:t xml:space="preserve">Figure </w:t>
      </w:r>
      <w:fldSimple w:instr=" SEQ Figure \* ARABIC ">
        <w:r w:rsidR="00926FE3">
          <w:rPr>
            <w:noProof/>
          </w:rPr>
          <w:t>28</w:t>
        </w:r>
      </w:fldSimple>
      <w:r w:rsidRPr="00FE6691">
        <w:t xml:space="preserve">: Maximum </w:t>
      </w:r>
      <w:r w:rsidR="00E3022D" w:rsidRPr="00FE6691">
        <w:t xml:space="preserve">infant </w:t>
      </w:r>
      <w:r>
        <w:t>7</w:t>
      </w:r>
      <w:r w:rsidRPr="00FE6691">
        <w:t>-day effective dose at 0.5 km assuming no ingestion</w:t>
      </w:r>
      <w:r w:rsidR="00F835E9">
        <w:t xml:space="preserve"> – SGTR</w:t>
      </w:r>
      <w:r>
        <w:t xml:space="preserve"> ST</w:t>
      </w:r>
    </w:p>
    <w:p w14:paraId="290D24FB" w14:textId="562F91E8" w:rsidR="00F17302" w:rsidRDefault="00F17302" w:rsidP="0011272B">
      <w:pPr>
        <w:pStyle w:val="BodyText"/>
        <w:rPr>
          <w:color w:val="FF0000"/>
        </w:rPr>
      </w:pPr>
    </w:p>
    <w:p w14:paraId="6055A847" w14:textId="320F2E96" w:rsidR="002F7005" w:rsidRDefault="00EE1451" w:rsidP="002F7005">
      <w:pPr>
        <w:pStyle w:val="BodyText"/>
        <w:keepNext/>
      </w:pPr>
      <w:r>
        <w:rPr>
          <w:noProof/>
          <w:lang w:eastAsia="en-GB"/>
        </w:rPr>
        <w:drawing>
          <wp:inline distT="0" distB="0" distL="0" distR="0" wp14:anchorId="12953482" wp14:editId="4CED11E6">
            <wp:extent cx="5219700" cy="2663190"/>
            <wp:effectExtent l="0" t="0" r="0" b="3810"/>
            <wp:docPr id="80" name="Chart 80">
              <a:extLst xmlns:a="http://schemas.openxmlformats.org/drawingml/2006/main">
                <a:ext uri="{FF2B5EF4-FFF2-40B4-BE49-F238E27FC236}">
                  <a16:creationId xmlns:a16="http://schemas.microsoft.com/office/drawing/2014/main" id="{545355AB-E9E8-43B3-84B4-5853C8B917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9FD67AA" w14:textId="3C665659" w:rsidR="00F17302" w:rsidRDefault="002F7005" w:rsidP="00E3022D">
      <w:pPr>
        <w:pStyle w:val="Figurecaption"/>
        <w:rPr>
          <w:color w:val="FF0000"/>
        </w:rPr>
      </w:pPr>
      <w:r>
        <w:t xml:space="preserve">Figure </w:t>
      </w:r>
      <w:fldSimple w:instr=" SEQ Figure \* ARABIC ">
        <w:r w:rsidR="00926FE3">
          <w:rPr>
            <w:noProof/>
          </w:rPr>
          <w:t>29</w:t>
        </w:r>
      </w:fldSimple>
      <w:r w:rsidRPr="00A35DBF">
        <w:t>: Maximum</w:t>
      </w:r>
      <w:r w:rsidR="00E3022D" w:rsidRPr="00E3022D">
        <w:t xml:space="preserve"> </w:t>
      </w:r>
      <w:r w:rsidR="00E3022D" w:rsidRPr="00A35DBF">
        <w:t>infant</w:t>
      </w:r>
      <w:r w:rsidRPr="00A35DBF">
        <w:t xml:space="preserve"> lifetime effective dose at 0.5 km assuming no food restrictions</w:t>
      </w:r>
      <w:r w:rsidR="00363AF7">
        <w:t xml:space="preserve"> – SGTR</w:t>
      </w:r>
      <w:r>
        <w:t xml:space="preserve"> ST</w:t>
      </w:r>
    </w:p>
    <w:p w14:paraId="51928555" w14:textId="68B04441" w:rsidR="00F17302" w:rsidRDefault="00F17302" w:rsidP="0011272B">
      <w:pPr>
        <w:pStyle w:val="BodyText"/>
        <w:rPr>
          <w:color w:val="FF0000"/>
        </w:rPr>
      </w:pPr>
    </w:p>
    <w:p w14:paraId="217F55D3" w14:textId="0AB7ABE7" w:rsidR="0055731A" w:rsidRDefault="00EE1451" w:rsidP="0055731A">
      <w:pPr>
        <w:pStyle w:val="BodyText"/>
        <w:keepNext/>
      </w:pPr>
      <w:r>
        <w:rPr>
          <w:noProof/>
          <w:lang w:eastAsia="en-GB"/>
        </w:rPr>
        <w:drawing>
          <wp:inline distT="0" distB="0" distL="0" distR="0" wp14:anchorId="45E864F2" wp14:editId="1E019E6B">
            <wp:extent cx="5257800" cy="2743200"/>
            <wp:effectExtent l="0" t="0" r="0" b="0"/>
            <wp:docPr id="81" name="Chart 81">
              <a:extLst xmlns:a="http://schemas.openxmlformats.org/drawingml/2006/main">
                <a:ext uri="{FF2B5EF4-FFF2-40B4-BE49-F238E27FC236}">
                  <a16:creationId xmlns:a16="http://schemas.microsoft.com/office/drawing/2014/main" id="{733A9589-F71D-4A22-B622-1881469A3A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D3760BB" w14:textId="23AFB80D" w:rsidR="00F17302" w:rsidRDefault="0055731A" w:rsidP="00E3022D">
      <w:pPr>
        <w:pStyle w:val="Figurecaption"/>
        <w:rPr>
          <w:color w:val="FF0000"/>
        </w:rPr>
      </w:pPr>
      <w:r>
        <w:t xml:space="preserve">Figure </w:t>
      </w:r>
      <w:fldSimple w:instr=" SEQ Figure \* ARABIC ">
        <w:r w:rsidR="00926FE3">
          <w:rPr>
            <w:noProof/>
          </w:rPr>
          <w:t>30</w:t>
        </w:r>
      </w:fldSimple>
      <w:r w:rsidRPr="00043200">
        <w:t xml:space="preserve">: Maximum </w:t>
      </w:r>
      <w:r w:rsidR="00E3022D" w:rsidRPr="00043200">
        <w:t xml:space="preserve">infant </w:t>
      </w:r>
      <w:r>
        <w:t>7</w:t>
      </w:r>
      <w:r w:rsidRPr="00043200">
        <w:t>-day effective dose at 5 km assuming no ingestion</w:t>
      </w:r>
      <w:r w:rsidR="00363AF7">
        <w:t xml:space="preserve"> – SGTR</w:t>
      </w:r>
      <w:r>
        <w:t xml:space="preserve"> ST</w:t>
      </w:r>
    </w:p>
    <w:p w14:paraId="2A19B455" w14:textId="625EAA26" w:rsidR="00F17302" w:rsidRDefault="00F17302" w:rsidP="0011272B">
      <w:pPr>
        <w:pStyle w:val="BodyText"/>
        <w:rPr>
          <w:color w:val="FF0000"/>
        </w:rPr>
      </w:pPr>
    </w:p>
    <w:p w14:paraId="659A96EA" w14:textId="576ADAD9" w:rsidR="002F7005" w:rsidRDefault="00EE1451" w:rsidP="002F7005">
      <w:pPr>
        <w:pStyle w:val="BodyText"/>
        <w:keepNext/>
      </w:pPr>
      <w:r>
        <w:rPr>
          <w:noProof/>
          <w:lang w:eastAsia="en-GB"/>
        </w:rPr>
        <w:drawing>
          <wp:inline distT="0" distB="0" distL="0" distR="0" wp14:anchorId="6B5E23E5" wp14:editId="7091A37D">
            <wp:extent cx="5257800" cy="2743200"/>
            <wp:effectExtent l="0" t="0" r="0" b="0"/>
            <wp:docPr id="82" name="Chart 82">
              <a:extLst xmlns:a="http://schemas.openxmlformats.org/drawingml/2006/main">
                <a:ext uri="{FF2B5EF4-FFF2-40B4-BE49-F238E27FC236}">
                  <a16:creationId xmlns:a16="http://schemas.microsoft.com/office/drawing/2014/main" id="{75886CB4-9ECD-4BA7-ADA9-D8E03AB94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4B25FB3" w14:textId="291BFCD4" w:rsidR="00F17302" w:rsidRDefault="002F7005" w:rsidP="00E3022D">
      <w:pPr>
        <w:pStyle w:val="Figurecaption"/>
        <w:rPr>
          <w:color w:val="FF0000"/>
        </w:rPr>
      </w:pPr>
      <w:r>
        <w:t xml:space="preserve">Figure </w:t>
      </w:r>
      <w:fldSimple w:instr=" SEQ Figure \* ARABIC ">
        <w:r w:rsidR="00926FE3">
          <w:rPr>
            <w:noProof/>
          </w:rPr>
          <w:t>31</w:t>
        </w:r>
      </w:fldSimple>
      <w:r w:rsidRPr="00F92280">
        <w:t>: Maximum</w:t>
      </w:r>
      <w:r w:rsidR="00E3022D" w:rsidRPr="00E3022D">
        <w:t xml:space="preserve"> </w:t>
      </w:r>
      <w:r w:rsidR="00E3022D" w:rsidRPr="00F92280">
        <w:t>infant</w:t>
      </w:r>
      <w:r w:rsidRPr="00F92280">
        <w:t xml:space="preserve"> lifetime effective dose at 5 km assuming no food restrictions</w:t>
      </w:r>
      <w:r w:rsidR="00363AF7">
        <w:t xml:space="preserve"> – SGTR</w:t>
      </w:r>
      <w:r>
        <w:t xml:space="preserve"> ST</w:t>
      </w:r>
    </w:p>
    <w:p w14:paraId="7BE3176E" w14:textId="77777777" w:rsidR="00F17302" w:rsidRDefault="00F17302" w:rsidP="0011272B">
      <w:pPr>
        <w:pStyle w:val="BodyText"/>
        <w:rPr>
          <w:color w:val="FF0000"/>
        </w:rPr>
      </w:pPr>
    </w:p>
    <w:p w14:paraId="114FF14A" w14:textId="1BE29B12" w:rsidR="00235BE2" w:rsidRPr="00235BE2" w:rsidRDefault="00235BE2" w:rsidP="000843DB">
      <w:pPr>
        <w:pStyle w:val="Heading5"/>
      </w:pPr>
      <w:bookmarkStart w:id="195" w:name="_Toc89966423"/>
      <w:r w:rsidRPr="00235BE2">
        <w:t xml:space="preserve">Results for </w:t>
      </w:r>
      <w:r w:rsidR="000843DB">
        <w:t>the</w:t>
      </w:r>
      <w:r w:rsidRPr="00235BE2">
        <w:t xml:space="preserve"> RCCAE</w:t>
      </w:r>
      <w:r w:rsidR="000843DB">
        <w:t xml:space="preserve"> source term</w:t>
      </w:r>
      <w:bookmarkEnd w:id="195"/>
    </w:p>
    <w:p w14:paraId="4F88F41A" w14:textId="77777777" w:rsidR="006A2F77" w:rsidRPr="006A2F77" w:rsidRDefault="006A2F77" w:rsidP="00F835E9">
      <w:pPr>
        <w:pStyle w:val="BodyTextEND"/>
        <w:jc w:val="both"/>
      </w:pPr>
      <w:r>
        <w:t>This source term had a 30-day release duration. As might be expected, the results showed some similarities with the Large Break LOCA results, which had the same release duration and integration periods. However, the differences between the ADMS 30-day doses and the other models’ 30-day doses were smaller in the RCCAE results than they were in the Large Break LOCA results.</w:t>
      </w:r>
    </w:p>
    <w:p w14:paraId="26F9C926" w14:textId="004CF9CD" w:rsidR="0055731A" w:rsidRDefault="00EE1451" w:rsidP="0055731A">
      <w:pPr>
        <w:pStyle w:val="BodyText"/>
        <w:keepNext/>
      </w:pPr>
      <w:r>
        <w:rPr>
          <w:noProof/>
          <w:lang w:eastAsia="en-GB"/>
        </w:rPr>
        <w:drawing>
          <wp:inline distT="0" distB="0" distL="0" distR="0" wp14:anchorId="2AF7AA54" wp14:editId="4A97B690">
            <wp:extent cx="5295900" cy="2651125"/>
            <wp:effectExtent l="0" t="0" r="0" b="0"/>
            <wp:docPr id="83" name="Chart 83">
              <a:extLst xmlns:a="http://schemas.openxmlformats.org/drawingml/2006/main">
                <a:ext uri="{FF2B5EF4-FFF2-40B4-BE49-F238E27FC236}">
                  <a16:creationId xmlns:a16="http://schemas.microsoft.com/office/drawing/2014/main" id="{812745A7-F66D-40B2-A311-15781630BF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007F6A27">
        <w:rPr>
          <w:noProof/>
          <w:lang w:eastAsia="en-GB"/>
        </w:rPr>
        <w:t xml:space="preserve"> </w:t>
      </w:r>
    </w:p>
    <w:p w14:paraId="0EFCA54C" w14:textId="425CB2BE" w:rsidR="00235BE2" w:rsidRDefault="0055731A" w:rsidP="00E3022D">
      <w:pPr>
        <w:pStyle w:val="Figurecaption"/>
        <w:rPr>
          <w:color w:val="FF0000"/>
        </w:rPr>
      </w:pPr>
      <w:r>
        <w:t xml:space="preserve">Figure </w:t>
      </w:r>
      <w:fldSimple w:instr=" SEQ Figure \* ARABIC ">
        <w:r w:rsidR="00926FE3">
          <w:rPr>
            <w:noProof/>
          </w:rPr>
          <w:t>32</w:t>
        </w:r>
      </w:fldSimple>
      <w:r w:rsidRPr="00D43ECE">
        <w:t>: Maximum</w:t>
      </w:r>
      <w:r w:rsidR="00E3022D" w:rsidRPr="00E3022D">
        <w:t xml:space="preserve"> </w:t>
      </w:r>
      <w:r w:rsidR="00E3022D" w:rsidRPr="00D43ECE">
        <w:t>infant</w:t>
      </w:r>
      <w:r w:rsidRPr="00D43ECE">
        <w:t xml:space="preserve"> 30-day effective dose at 0.5 km assuming no ingestion</w:t>
      </w:r>
      <w:r>
        <w:t xml:space="preserve"> – RCCAE ST</w:t>
      </w:r>
    </w:p>
    <w:p w14:paraId="0488A187" w14:textId="4E6CA55D" w:rsidR="00F17302" w:rsidRDefault="00F17302" w:rsidP="0011272B">
      <w:pPr>
        <w:pStyle w:val="BodyText"/>
        <w:rPr>
          <w:color w:val="FF0000"/>
        </w:rPr>
      </w:pPr>
    </w:p>
    <w:p w14:paraId="3E17920A" w14:textId="32F41DC5" w:rsidR="002F7005" w:rsidRDefault="00EE1451" w:rsidP="002F7005">
      <w:pPr>
        <w:pStyle w:val="BodyText"/>
        <w:keepNext/>
      </w:pPr>
      <w:r>
        <w:rPr>
          <w:noProof/>
          <w:lang w:eastAsia="en-GB"/>
        </w:rPr>
        <w:drawing>
          <wp:inline distT="0" distB="0" distL="0" distR="0" wp14:anchorId="5771580C" wp14:editId="0A53BF21">
            <wp:extent cx="5295900" cy="2663190"/>
            <wp:effectExtent l="0" t="0" r="0" b="3810"/>
            <wp:docPr id="84" name="Chart 84">
              <a:extLst xmlns:a="http://schemas.openxmlformats.org/drawingml/2006/main">
                <a:ext uri="{FF2B5EF4-FFF2-40B4-BE49-F238E27FC236}">
                  <a16:creationId xmlns:a16="http://schemas.microsoft.com/office/drawing/2014/main" id="{460E7240-10BC-4538-AC7B-1C5E501EB2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007F6A27">
        <w:rPr>
          <w:noProof/>
          <w:lang w:eastAsia="en-GB"/>
        </w:rPr>
        <w:t xml:space="preserve"> </w:t>
      </w:r>
    </w:p>
    <w:p w14:paraId="3910C9C3" w14:textId="5689C828" w:rsidR="00F17302" w:rsidRDefault="002F7005" w:rsidP="00E3022D">
      <w:pPr>
        <w:pStyle w:val="Figurecaption"/>
        <w:rPr>
          <w:color w:val="FF0000"/>
        </w:rPr>
      </w:pPr>
      <w:r>
        <w:t xml:space="preserve">Figure </w:t>
      </w:r>
      <w:fldSimple w:instr=" SEQ Figure \* ARABIC ">
        <w:r w:rsidR="00926FE3">
          <w:rPr>
            <w:noProof/>
          </w:rPr>
          <w:t>33</w:t>
        </w:r>
      </w:fldSimple>
      <w:r w:rsidRPr="00EE2942">
        <w:t xml:space="preserve">: Maximum </w:t>
      </w:r>
      <w:r w:rsidR="00E3022D" w:rsidRPr="00EE2942">
        <w:t xml:space="preserve">infant </w:t>
      </w:r>
      <w:r w:rsidRPr="00EE2942">
        <w:t>lifetime effective dose at 0.5 km assuming no food restrictions</w:t>
      </w:r>
      <w:r>
        <w:t xml:space="preserve"> – RCCAE ST</w:t>
      </w:r>
    </w:p>
    <w:p w14:paraId="65AFB26E" w14:textId="32C41B32" w:rsidR="00F17302" w:rsidRDefault="00F17302" w:rsidP="0011272B">
      <w:pPr>
        <w:pStyle w:val="BodyText"/>
        <w:rPr>
          <w:color w:val="FF0000"/>
        </w:rPr>
      </w:pPr>
    </w:p>
    <w:p w14:paraId="516691E1" w14:textId="176D145D" w:rsidR="0055731A" w:rsidRDefault="00EE1451" w:rsidP="0055731A">
      <w:pPr>
        <w:pStyle w:val="BodyText"/>
        <w:keepNext/>
      </w:pPr>
      <w:r>
        <w:rPr>
          <w:noProof/>
          <w:lang w:eastAsia="en-GB"/>
        </w:rPr>
        <w:drawing>
          <wp:inline distT="0" distB="0" distL="0" distR="0" wp14:anchorId="6744FBCA" wp14:editId="456B2CB8">
            <wp:extent cx="5276850" cy="2743200"/>
            <wp:effectExtent l="0" t="0" r="0" b="0"/>
            <wp:docPr id="85" name="Chart 85">
              <a:extLst xmlns:a="http://schemas.openxmlformats.org/drawingml/2006/main">
                <a:ext uri="{FF2B5EF4-FFF2-40B4-BE49-F238E27FC236}">
                  <a16:creationId xmlns:a16="http://schemas.microsoft.com/office/drawing/2014/main" id="{14700972-A4E1-412C-830A-29A251AED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007F6A27">
        <w:rPr>
          <w:noProof/>
          <w:lang w:eastAsia="en-GB"/>
        </w:rPr>
        <w:t xml:space="preserve"> </w:t>
      </w:r>
    </w:p>
    <w:p w14:paraId="285428F4" w14:textId="47E201EB" w:rsidR="00F17302" w:rsidRDefault="0055731A" w:rsidP="00E3022D">
      <w:pPr>
        <w:pStyle w:val="Figurecaption"/>
        <w:rPr>
          <w:color w:val="FF0000"/>
        </w:rPr>
      </w:pPr>
      <w:r>
        <w:t xml:space="preserve">Figure </w:t>
      </w:r>
      <w:fldSimple w:instr=" SEQ Figure \* ARABIC ">
        <w:r w:rsidR="00926FE3">
          <w:rPr>
            <w:noProof/>
          </w:rPr>
          <w:t>34</w:t>
        </w:r>
      </w:fldSimple>
      <w:r w:rsidRPr="00584AF1">
        <w:t>: Maximum</w:t>
      </w:r>
      <w:r w:rsidR="00E3022D" w:rsidRPr="00E3022D">
        <w:t xml:space="preserve"> </w:t>
      </w:r>
      <w:r w:rsidR="00E3022D" w:rsidRPr="00584AF1">
        <w:t>infant</w:t>
      </w:r>
      <w:r w:rsidRPr="00584AF1">
        <w:t xml:space="preserve"> 30-day effective dose at 5 km assuming no ingestion</w:t>
      </w:r>
      <w:r>
        <w:t xml:space="preserve"> – RCCAE ST</w:t>
      </w:r>
    </w:p>
    <w:p w14:paraId="013C7DB4" w14:textId="78CF995C" w:rsidR="00F17302" w:rsidRDefault="00F17302" w:rsidP="0011272B">
      <w:pPr>
        <w:pStyle w:val="BodyText"/>
        <w:rPr>
          <w:color w:val="FF0000"/>
        </w:rPr>
      </w:pPr>
    </w:p>
    <w:p w14:paraId="6D5BC861" w14:textId="1C9A427D" w:rsidR="002F7005" w:rsidRDefault="00EE1451" w:rsidP="002F7005">
      <w:pPr>
        <w:pStyle w:val="BodyText"/>
        <w:keepNext/>
      </w:pPr>
      <w:r>
        <w:rPr>
          <w:noProof/>
          <w:lang w:eastAsia="en-GB"/>
        </w:rPr>
        <w:drawing>
          <wp:inline distT="0" distB="0" distL="0" distR="0" wp14:anchorId="7CADB133" wp14:editId="5C4942AD">
            <wp:extent cx="5257800" cy="2743200"/>
            <wp:effectExtent l="0" t="0" r="0" b="0"/>
            <wp:docPr id="86" name="Chart 86">
              <a:extLst xmlns:a="http://schemas.openxmlformats.org/drawingml/2006/main">
                <a:ext uri="{FF2B5EF4-FFF2-40B4-BE49-F238E27FC236}">
                  <a16:creationId xmlns:a16="http://schemas.microsoft.com/office/drawing/2014/main" id="{FFD9F420-757F-4C60-A3BF-AE3FC7342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F6A27">
        <w:rPr>
          <w:noProof/>
          <w:lang w:eastAsia="en-GB"/>
        </w:rPr>
        <w:t xml:space="preserve"> </w:t>
      </w:r>
    </w:p>
    <w:p w14:paraId="4F3B6943" w14:textId="1F308744" w:rsidR="00F17302" w:rsidRDefault="002F7005" w:rsidP="00E3022D">
      <w:pPr>
        <w:pStyle w:val="Figurecaption"/>
      </w:pPr>
      <w:bookmarkStart w:id="196" w:name="_Ref83046908"/>
      <w:r>
        <w:t xml:space="preserve">Figure </w:t>
      </w:r>
      <w:fldSimple w:instr=" SEQ Figure \* ARABIC ">
        <w:r w:rsidR="00926FE3">
          <w:rPr>
            <w:noProof/>
          </w:rPr>
          <w:t>35</w:t>
        </w:r>
      </w:fldSimple>
      <w:bookmarkEnd w:id="196"/>
      <w:r w:rsidRPr="00FD2C8D">
        <w:t>: Maximum</w:t>
      </w:r>
      <w:r w:rsidR="00E3022D" w:rsidRPr="00E3022D">
        <w:t xml:space="preserve"> </w:t>
      </w:r>
      <w:r w:rsidR="00E3022D" w:rsidRPr="00FD2C8D">
        <w:t>infant</w:t>
      </w:r>
      <w:r w:rsidRPr="00FD2C8D">
        <w:t xml:space="preserve"> lifetime effective dose at 5 km assuming no food restrictions</w:t>
      </w:r>
      <w:r>
        <w:t xml:space="preserve"> – RCCAE ST</w:t>
      </w:r>
    </w:p>
    <w:p w14:paraId="22B690D5" w14:textId="77777777" w:rsidR="00005D78" w:rsidRPr="00005D78" w:rsidRDefault="00005D78" w:rsidP="00005D78">
      <w:pPr>
        <w:pStyle w:val="BodyText"/>
      </w:pPr>
    </w:p>
    <w:p w14:paraId="3DFE6AE7" w14:textId="6628BAAB" w:rsidR="00235BE2" w:rsidRPr="0011272B" w:rsidRDefault="006A2F77" w:rsidP="006A2F77">
      <w:pPr>
        <w:pStyle w:val="Heading4"/>
        <w:rPr>
          <w:color w:val="FF0000"/>
        </w:rPr>
      </w:pPr>
      <w:bookmarkStart w:id="197" w:name="_Toc89966424"/>
      <w:r>
        <w:t>Discussion</w:t>
      </w:r>
      <w:bookmarkEnd w:id="197"/>
    </w:p>
    <w:p w14:paraId="7E8FE2DB" w14:textId="380792EE" w:rsidR="007F7491" w:rsidRDefault="001640C4" w:rsidP="00F87896">
      <w:pPr>
        <w:pStyle w:val="BodyText"/>
        <w:jc w:val="both"/>
      </w:pPr>
      <w:r>
        <w:t xml:space="preserve">Operators commonly assume Pasquill Stability Category F conditions, applied </w:t>
      </w:r>
      <w:r w:rsidR="00A730D0">
        <w:t>alongside</w:t>
      </w:r>
      <w:r>
        <w:t xml:space="preserve"> a Gaussian Plume model, to represent a suitable level of conservatism in the meteorological conditions applied within </w:t>
      </w:r>
      <w:r w:rsidR="005162AA">
        <w:t>a DBA</w:t>
      </w:r>
      <w:r>
        <w:t xml:space="preserve"> assessment. The results above show that </w:t>
      </w:r>
      <w:r w:rsidR="00E03C8E">
        <w:t xml:space="preserve">the application of </w:t>
      </w:r>
      <w:r>
        <w:t>a</w:t>
      </w:r>
      <w:r w:rsidR="005162AA">
        <w:t xml:space="preserve"> single set of meteorological conditions combined with a</w:t>
      </w:r>
      <w:r>
        <w:t xml:space="preserve"> Gaussian Plume approach, notably ADMS, almost always results </w:t>
      </w:r>
      <w:r w:rsidR="00E03C8E">
        <w:t>i</w:t>
      </w:r>
      <w:r w:rsidR="005162AA">
        <w:t>n the largest estimates of dose.</w:t>
      </w:r>
      <w:r w:rsidR="00E03C8E">
        <w:t xml:space="preserve"> </w:t>
      </w:r>
      <w:r w:rsidR="005162AA">
        <w:t>H</w:t>
      </w:r>
      <w:r w:rsidR="00E03C8E">
        <w:t>owever</w:t>
      </w:r>
      <w:r w:rsidR="005162AA">
        <w:t>,</w:t>
      </w:r>
      <w:r w:rsidR="00E03C8E">
        <w:t xml:space="preserve"> there was one occasion where the application of a Lagrangian Particle approach, notably NAME, resulted in the largest estimates of dose. For the scenarios </w:t>
      </w:r>
      <w:r w:rsidR="00244F99">
        <w:t xml:space="preserve">presented in Section </w:t>
      </w:r>
      <w:r w:rsidR="00244F99">
        <w:fldChar w:fldCharType="begin"/>
      </w:r>
      <w:r w:rsidR="00244F99">
        <w:instrText xml:space="preserve"> REF _Ref83213973 \r \h </w:instrText>
      </w:r>
      <w:r w:rsidR="00244F99">
        <w:fldChar w:fldCharType="separate"/>
      </w:r>
      <w:r w:rsidR="00926FE3">
        <w:t>5.3.1.2</w:t>
      </w:r>
      <w:r w:rsidR="00244F99">
        <w:fldChar w:fldCharType="end"/>
      </w:r>
      <w:r w:rsidR="00E03C8E">
        <w:t>, P</w:t>
      </w:r>
      <w:r w:rsidR="007F7491">
        <w:t>asquil</w:t>
      </w:r>
      <w:r w:rsidR="00E03C8E">
        <w:t xml:space="preserve">l Stability Category F and dry conditions </w:t>
      </w:r>
      <w:r w:rsidR="0025226C">
        <w:t xml:space="preserve">most often </w:t>
      </w:r>
      <w:r w:rsidR="00E03C8E">
        <w:t xml:space="preserve">resulted in the greatest estimates of dose, but in </w:t>
      </w:r>
      <w:r w:rsidR="0025226C">
        <w:t xml:space="preserve">a significant number of </w:t>
      </w:r>
      <w:r w:rsidR="00E03C8E">
        <w:t>cases, Pasquill Stability Category D conditions and a precipitation rate of 8 mm h</w:t>
      </w:r>
      <w:r w:rsidR="00E03C8E" w:rsidRPr="00E03C8E">
        <w:rPr>
          <w:vertAlign w:val="superscript"/>
        </w:rPr>
        <w:t>-1</w:t>
      </w:r>
      <w:r w:rsidR="00E03C8E">
        <w:t xml:space="preserve"> resulted in the greatest estimates of dose. </w:t>
      </w:r>
      <w:r w:rsidR="007D377F">
        <w:t>Thus, depending on the</w:t>
      </w:r>
      <w:r w:rsidR="00E03C8E">
        <w:t xml:space="preserve"> level of cons</w:t>
      </w:r>
      <w:r w:rsidR="007F7491">
        <w:t>e</w:t>
      </w:r>
      <w:r w:rsidR="00E03C8E">
        <w:t>rvati</w:t>
      </w:r>
      <w:r w:rsidR="007F7491">
        <w:t>sm</w:t>
      </w:r>
      <w:r w:rsidR="00E03C8E">
        <w:t xml:space="preserve"> </w:t>
      </w:r>
      <w:r w:rsidR="007D377F">
        <w:t xml:space="preserve">required </w:t>
      </w:r>
      <w:r w:rsidR="00E03C8E">
        <w:t xml:space="preserve">across a range of DBA </w:t>
      </w:r>
      <w:r w:rsidR="008B6243">
        <w:t>assessment scenarios</w:t>
      </w:r>
      <w:r w:rsidR="00E03C8E">
        <w:t xml:space="preserve">, multiple meteorological conditions </w:t>
      </w:r>
      <w:r w:rsidR="007D377F">
        <w:t xml:space="preserve">may need to </w:t>
      </w:r>
      <w:r w:rsidR="00E03C8E">
        <w:t xml:space="preserve">be </w:t>
      </w:r>
      <w:r w:rsidR="007F7491">
        <w:t>considered</w:t>
      </w:r>
      <w:r w:rsidR="00E03C8E">
        <w:t xml:space="preserve">. </w:t>
      </w:r>
      <w:r w:rsidR="005162AA">
        <w:t>Upon analysis of</w:t>
      </w:r>
      <w:r w:rsidR="00E03C8E">
        <w:t xml:space="preserve"> </w:t>
      </w:r>
      <w:r w:rsidR="00E03C8E">
        <w:fldChar w:fldCharType="begin"/>
      </w:r>
      <w:r w:rsidR="00E03C8E">
        <w:instrText xml:space="preserve"> REF _Ref80962123 \h </w:instrText>
      </w:r>
      <w:r w:rsidR="00E03C8E">
        <w:fldChar w:fldCharType="separate"/>
      </w:r>
      <w:r w:rsidR="00926FE3">
        <w:t xml:space="preserve">Figure </w:t>
      </w:r>
      <w:r w:rsidR="00926FE3">
        <w:rPr>
          <w:noProof/>
        </w:rPr>
        <w:t>18</w:t>
      </w:r>
      <w:r w:rsidR="00E03C8E">
        <w:fldChar w:fldCharType="end"/>
      </w:r>
      <w:r w:rsidR="00E03C8E">
        <w:t xml:space="preserve"> - </w:t>
      </w:r>
      <w:r w:rsidR="00E03C8E">
        <w:fldChar w:fldCharType="begin"/>
      </w:r>
      <w:r w:rsidR="00E03C8E">
        <w:instrText xml:space="preserve"> REF _Ref83046908 \h </w:instrText>
      </w:r>
      <w:r w:rsidR="00E03C8E">
        <w:fldChar w:fldCharType="separate"/>
      </w:r>
      <w:r w:rsidR="00926FE3">
        <w:t xml:space="preserve">Figure </w:t>
      </w:r>
      <w:r w:rsidR="00926FE3">
        <w:rPr>
          <w:noProof/>
        </w:rPr>
        <w:t>35</w:t>
      </w:r>
      <w:r w:rsidR="00E03C8E">
        <w:fldChar w:fldCharType="end"/>
      </w:r>
      <w:r w:rsidR="00E03C8E">
        <w:t xml:space="preserve"> it </w:t>
      </w:r>
      <w:r w:rsidR="00244F99">
        <w:t>was</w:t>
      </w:r>
      <w:r w:rsidR="00E03C8E">
        <w:t xml:space="preserve"> evident that </w:t>
      </w:r>
      <w:r w:rsidR="00244F99">
        <w:t>although the highest estimated dose nearly always resulted from Pasquill Stability Category F and dry conditions or Pasquill Stability Category D and a precipitation rate of 8 mm h</w:t>
      </w:r>
      <w:r w:rsidR="00244F99" w:rsidRPr="00E03C8E">
        <w:rPr>
          <w:vertAlign w:val="superscript"/>
        </w:rPr>
        <w:t>-1</w:t>
      </w:r>
      <w:r w:rsidR="00244F99">
        <w:t>, this was often not true for the second highest dose. In fact, in a number of cases, the second highest dose was the NAME derived Maximum Maximum value.</w:t>
      </w:r>
      <w:r w:rsidR="007F7491">
        <w:t xml:space="preserve"> </w:t>
      </w:r>
      <w:r w:rsidR="00244F99">
        <w:t>T</w:t>
      </w:r>
      <w:r w:rsidR="007F7491">
        <w:t>his implies that there are likely to be other meteorological conditions, beyond the two mentioned, which can be significant and result in relatively large estimates of dose.</w:t>
      </w:r>
      <w:r w:rsidR="00C51AC2">
        <w:t xml:space="preserve"> As a result of the comparisons, most notably between the ADMS results</w:t>
      </w:r>
      <w:r w:rsidR="000766DF">
        <w:t>,</w:t>
      </w:r>
      <w:r w:rsidR="00C51AC2">
        <w:t xml:space="preserve"> which tend to be the most conservative</w:t>
      </w:r>
      <w:r w:rsidR="005162AA">
        <w:t>,</w:t>
      </w:r>
      <w:r w:rsidR="00C51AC2">
        <w:t xml:space="preserve"> and the NAME model results, which are intended to provide a benchmark, it is evident that the degree of conservatism </w:t>
      </w:r>
      <w:r w:rsidR="005162AA">
        <w:t xml:space="preserve">as a result of the application of ADMS </w:t>
      </w:r>
      <w:r w:rsidR="000766DF">
        <w:t>varies</w:t>
      </w:r>
      <w:r w:rsidR="00C51AC2">
        <w:t xml:space="preserve"> significantly, depending on the scenario concerned; </w:t>
      </w:r>
      <w:r w:rsidR="000766DF">
        <w:t>therefore</w:t>
      </w:r>
      <w:r w:rsidR="007D377F">
        <w:t>,</w:t>
      </w:r>
      <w:r w:rsidR="000766DF">
        <w:t xml:space="preserve"> when applying a Gaussian Plume model in this way, </w:t>
      </w:r>
      <w:r w:rsidR="00C51AC2">
        <w:t>there is the potential for a lack of consistency in the</w:t>
      </w:r>
      <w:r w:rsidR="00F87896">
        <w:t xml:space="preserve"> level of conservatism applied.</w:t>
      </w:r>
    </w:p>
    <w:p w14:paraId="795CFCD0" w14:textId="32D80877" w:rsidR="00906F80" w:rsidRPr="00706A47" w:rsidRDefault="00111962" w:rsidP="00F835E9">
      <w:pPr>
        <w:pStyle w:val="BodyTextEND"/>
        <w:jc w:val="both"/>
      </w:pPr>
      <w:r>
        <w:t xml:space="preserve">A feature clear from the analysis in this section is that despite </w:t>
      </w:r>
      <w:r w:rsidR="002D3581">
        <w:t>ADEPT</w:t>
      </w:r>
      <w:r w:rsidR="00203CF8">
        <w:t xml:space="preserve"> and ADMS both </w:t>
      </w:r>
      <w:r>
        <w:t xml:space="preserve">being </w:t>
      </w:r>
      <w:r w:rsidR="00203CF8">
        <w:t xml:space="preserve">Gaussian Plume dispersion models, they produce significantly different results. </w:t>
      </w:r>
      <w:r>
        <w:t>I</w:t>
      </w:r>
      <w:r w:rsidR="00706A47">
        <w:t xml:space="preserve">t is necessary to investigate why there are such large differences in the results produced by </w:t>
      </w:r>
      <w:r>
        <w:t>these two models</w:t>
      </w:r>
      <w:r w:rsidR="00706A47">
        <w:t xml:space="preserve">. That is the subject of Section </w:t>
      </w:r>
      <w:r w:rsidR="00706A47">
        <w:fldChar w:fldCharType="begin"/>
      </w:r>
      <w:r w:rsidR="00706A47">
        <w:instrText xml:space="preserve"> REF _Ref80973325 \n \h </w:instrText>
      </w:r>
      <w:r w:rsidR="00F835E9">
        <w:instrText xml:space="preserve"> \* MERGEFORMAT </w:instrText>
      </w:r>
      <w:r w:rsidR="00706A47">
        <w:fldChar w:fldCharType="separate"/>
      </w:r>
      <w:r w:rsidR="00926FE3">
        <w:t>5.3.2</w:t>
      </w:r>
      <w:r w:rsidR="00706A47">
        <w:fldChar w:fldCharType="end"/>
      </w:r>
      <w:r w:rsidR="00706A47">
        <w:t>.</w:t>
      </w:r>
    </w:p>
    <w:p w14:paraId="17143A11" w14:textId="7292197A" w:rsidR="005102DF" w:rsidRDefault="00A85D7E" w:rsidP="005102DF">
      <w:pPr>
        <w:pStyle w:val="Heading3"/>
      </w:pPr>
      <w:bookmarkStart w:id="198" w:name="_Ref80973325"/>
      <w:bookmarkStart w:id="199" w:name="_Toc89966425"/>
      <w:bookmarkStart w:id="200" w:name="_Ref80881491"/>
      <w:r>
        <w:t xml:space="preserve">Differences between </w:t>
      </w:r>
      <w:r w:rsidR="002D3581">
        <w:t>ADEPT</w:t>
      </w:r>
      <w:r>
        <w:t>-in-PACE and ADMS results</w:t>
      </w:r>
      <w:bookmarkEnd w:id="198"/>
      <w:bookmarkEnd w:id="199"/>
    </w:p>
    <w:bookmarkEnd w:id="200"/>
    <w:p w14:paraId="3CD4DDE2" w14:textId="3E1044D1" w:rsidR="006A2F77" w:rsidRDefault="006A2F77" w:rsidP="000A7FDA">
      <w:pPr>
        <w:pStyle w:val="BodyText"/>
        <w:jc w:val="both"/>
      </w:pPr>
      <w:r>
        <w:t xml:space="preserve">The previous section shows that there were large differences between doses estimated by </w:t>
      </w:r>
      <w:r w:rsidR="002D3581">
        <w:t>ADEPT</w:t>
      </w:r>
      <w:r>
        <w:t xml:space="preserve">-in-PACE </w:t>
      </w:r>
      <w:r w:rsidR="00DF074B">
        <w:t xml:space="preserve">(referred to as ADEPT for the remainder of the section) </w:t>
      </w:r>
      <w:r>
        <w:t xml:space="preserve">runs and doses estimated in </w:t>
      </w:r>
      <w:r w:rsidR="008274BE">
        <w:t>equivalent</w:t>
      </w:r>
      <w:r>
        <w:t xml:space="preserve"> ADMS runs. In most cases the ADMS doses were significantly higher. At first sight, this may appear surprising, as both models use a Gaussian </w:t>
      </w:r>
      <w:r w:rsidR="00D73049">
        <w:t xml:space="preserve">Plume </w:t>
      </w:r>
      <w:r>
        <w:t>dispersion approach</w:t>
      </w:r>
      <w:r w:rsidR="00480DE5">
        <w:t>. Indeed, t</w:t>
      </w:r>
      <w:r>
        <w:t xml:space="preserve">here </w:t>
      </w:r>
      <w:r w:rsidR="00480DE5">
        <w:t>wa</w:t>
      </w:r>
      <w:r>
        <w:t xml:space="preserve">s actually more similarity between the </w:t>
      </w:r>
      <w:r w:rsidR="002D3581">
        <w:t>ADEPT</w:t>
      </w:r>
      <w:r>
        <w:t xml:space="preserve"> and NAME results than between the </w:t>
      </w:r>
      <w:r w:rsidR="002D3581">
        <w:t>ADEPT</w:t>
      </w:r>
      <w:r>
        <w:t xml:space="preserve"> and </w:t>
      </w:r>
      <w:r w:rsidRPr="006A2F77">
        <w:t>ADMS</w:t>
      </w:r>
      <w:r>
        <w:t xml:space="preserve"> results, despite the fact that the NAME model uses a completely different modelling approach (Lagrangian Particle rather than Gaussian Plume).</w:t>
      </w:r>
    </w:p>
    <w:p w14:paraId="4D510A9B" w14:textId="601EFBDB" w:rsidR="006A2F77" w:rsidRDefault="006A2F77" w:rsidP="000A7FDA">
      <w:pPr>
        <w:pStyle w:val="BodyText"/>
        <w:jc w:val="both"/>
      </w:pPr>
      <w:r>
        <w:t>Gaussian Plume models are less well suited to modelling long-duration releases than Lagrangian Particle models are</w:t>
      </w:r>
      <w:r w:rsidR="000A7FDA">
        <w:t>, especially if they are set</w:t>
      </w:r>
      <w:r w:rsidR="00FB03B3">
        <w:t xml:space="preserve"> </w:t>
      </w:r>
      <w:r w:rsidR="000A7FDA">
        <w:t>up to assume constant meteorological conditions as a function of time, as was the case in this study</w:t>
      </w:r>
      <w:r>
        <w:t>.</w:t>
      </w:r>
      <w:r w:rsidR="00ED6E17">
        <w:t xml:space="preserve"> This tends to be a very conservative assumption, and tends to become less and less representative of reality as the duration of the release increases.</w:t>
      </w:r>
      <w:r>
        <w:t xml:space="preserve"> In this regard, it is relevant that the previous section indicates that the differences between the ADMS </w:t>
      </w:r>
      <w:r w:rsidRPr="006A2F77">
        <w:t>results</w:t>
      </w:r>
      <w:r>
        <w:t xml:space="preserve"> and the other models’ results </w:t>
      </w:r>
      <w:r w:rsidR="000A4496">
        <w:t>wa</w:t>
      </w:r>
      <w:r>
        <w:t>s greater for source terms with longer release durations.</w:t>
      </w:r>
    </w:p>
    <w:p w14:paraId="5D95F276" w14:textId="3F845304" w:rsidR="006A2F77" w:rsidRDefault="002D3581" w:rsidP="000A7FDA">
      <w:pPr>
        <w:pStyle w:val="BodyTextEND"/>
        <w:jc w:val="both"/>
      </w:pPr>
      <w:r>
        <w:t>ADEPT</w:t>
      </w:r>
      <w:r w:rsidR="00906F80">
        <w:t xml:space="preserve"> gives users the option to use “Full Duration Sigma” (FDS). This is an enhancement to the simple Gaussian Plume approach that is designed to </w:t>
      </w:r>
      <w:r w:rsidR="00FC64E6">
        <w:t>better</w:t>
      </w:r>
      <w:r w:rsidR="00906F80">
        <w:t xml:space="preserve"> account </w:t>
      </w:r>
      <w:r w:rsidR="00FC64E6">
        <w:t>for</w:t>
      </w:r>
      <w:r w:rsidR="00906F80">
        <w:t xml:space="preserve"> the dispersion of plumes over longer timescales</w:t>
      </w:r>
      <w:r w:rsidR="008160C5">
        <w:t>, as the tendency for fluctuations in the wind direction increases</w:t>
      </w:r>
      <w:r w:rsidR="00167515">
        <w:t xml:space="preserve"> (</w:t>
      </w:r>
      <w:r w:rsidR="00FD4DCE">
        <w:t xml:space="preserve">with potential added </w:t>
      </w:r>
      <w:r w:rsidR="00FC64E6">
        <w:t xml:space="preserve">value over timescales greater than a few hours; </w:t>
      </w:r>
      <w:r w:rsidR="00FD4DCE">
        <w:t>and almost certain added</w:t>
      </w:r>
      <w:r w:rsidR="00FC64E6">
        <w:t xml:space="preserve"> value over timescales greater than a few tens of hours)</w:t>
      </w:r>
      <w:r w:rsidR="00906F80">
        <w:t xml:space="preserve">. </w:t>
      </w:r>
      <w:r w:rsidR="00D73049">
        <w:t xml:space="preserve">ADEPT </w:t>
      </w:r>
      <w:r w:rsidR="000F2E09">
        <w:t xml:space="preserve">(and ADMS) </w:t>
      </w:r>
      <w:r w:rsidR="00D73049">
        <w:t xml:space="preserve">considers the horizontal </w:t>
      </w:r>
      <w:r w:rsidR="00CC49C9">
        <w:t>component of dispersion in the plume to be</w:t>
      </w:r>
      <w:r w:rsidR="00D73049">
        <w:t xml:space="preserve"> determined by two terms: </w:t>
      </w:r>
      <w:r w:rsidR="00CC49C9">
        <w:t>a</w:t>
      </w:r>
      <w:r w:rsidR="00D73049">
        <w:t xml:space="preserve"> turbulent diffusion</w:t>
      </w:r>
      <w:r w:rsidR="00CC49C9">
        <w:t xml:space="preserve"> term</w:t>
      </w:r>
      <w:r w:rsidR="00D73049">
        <w:t xml:space="preserve"> and </w:t>
      </w:r>
      <w:r w:rsidR="00CC49C9">
        <w:t>a term recognising the contribution from</w:t>
      </w:r>
      <w:r w:rsidR="00D73049">
        <w:t xml:space="preserve"> fluctuations in the wind direction. I</w:t>
      </w:r>
      <w:r w:rsidR="00CC49C9">
        <w:t>t is this latter term (</w:t>
      </w:r>
      <w:r w:rsidR="00D73049">
        <w:t>which is a function of wind speed, distance between the release and receptor and the release duration</w:t>
      </w:r>
      <w:r w:rsidR="00CC49C9">
        <w:t>)</w:t>
      </w:r>
      <w:r w:rsidR="00CD72E0">
        <w:t xml:space="preserve">, allied with an assumed </w:t>
      </w:r>
      <w:r w:rsidR="00B85C2F">
        <w:t xml:space="preserve">cumulative </w:t>
      </w:r>
      <w:r w:rsidR="00CD72E0">
        <w:t>release duration greater than a default of one hour,</w:t>
      </w:r>
      <w:r w:rsidR="006B724F">
        <w:t xml:space="preserve"> </w:t>
      </w:r>
      <w:r w:rsidR="00D73049">
        <w:t xml:space="preserve">which </w:t>
      </w:r>
      <w:r w:rsidR="00CC49C9">
        <w:t xml:space="preserve">is the basis </w:t>
      </w:r>
      <w:r w:rsidR="00D93E4D">
        <w:t xml:space="preserve">of </w:t>
      </w:r>
      <w:r w:rsidR="00CC49C9">
        <w:t xml:space="preserve">the </w:t>
      </w:r>
      <w:r w:rsidR="00D93E4D">
        <w:t>FDS</w:t>
      </w:r>
      <w:r w:rsidR="00CC49C9">
        <w:t xml:space="preserve"> option</w:t>
      </w:r>
      <w:r w:rsidR="000F2E09">
        <w:t xml:space="preserve"> in ADEPT</w:t>
      </w:r>
      <w:r w:rsidR="00D93E4D">
        <w:t xml:space="preserve">. </w:t>
      </w:r>
      <w:r w:rsidR="00906F80">
        <w:t xml:space="preserve">The FDS option was used in all </w:t>
      </w:r>
      <w:r>
        <w:t>ADEPT</w:t>
      </w:r>
      <w:r w:rsidR="00906F80">
        <w:t xml:space="preserve"> runs in the present study unless otherwise stated. ADMS does not have an equivalent of the FDS option. </w:t>
      </w:r>
      <w:r w:rsidR="009A24CA">
        <w:t xml:space="preserve">ADMS applies the same </w:t>
      </w:r>
      <w:r w:rsidR="00B85C2F">
        <w:t>equation</w:t>
      </w:r>
      <w:r w:rsidR="009A24CA">
        <w:t xml:space="preserve"> as ADEPT </w:t>
      </w:r>
      <w:r w:rsidR="00B85C2F">
        <w:t>to</w:t>
      </w:r>
      <w:r w:rsidR="009A24CA">
        <w:t xml:space="preserve"> descri</w:t>
      </w:r>
      <w:r w:rsidR="00B85C2F">
        <w:t>be</w:t>
      </w:r>
      <w:r w:rsidR="009A24CA">
        <w:t xml:space="preserve"> the contribution </w:t>
      </w:r>
      <w:r w:rsidR="00B85C2F">
        <w:t xml:space="preserve">to the dispersion </w:t>
      </w:r>
      <w:r w:rsidR="009A24CA">
        <w:t xml:space="preserve">from fluctuations in the wind direction, but ADMS applies this approach </w:t>
      </w:r>
      <w:r w:rsidR="000F2E09">
        <w:t>individually</w:t>
      </w:r>
      <w:r w:rsidR="009A24CA">
        <w:t xml:space="preserve"> to each one hour segment of </w:t>
      </w:r>
      <w:r w:rsidR="00F627EB">
        <w:t>a</w:t>
      </w:r>
      <w:r w:rsidR="009A24CA">
        <w:t xml:space="preserve"> release (and does not include an option to apply the approach cumulatively to </w:t>
      </w:r>
      <w:r w:rsidR="00B85C2F">
        <w:t>an</w:t>
      </w:r>
      <w:r w:rsidR="009A24CA">
        <w:t xml:space="preserve"> entire release). </w:t>
      </w:r>
      <w:r w:rsidR="00906F80">
        <w:t>It is plausible that that could account for much of the difference</w:t>
      </w:r>
      <w:r w:rsidR="008656ED">
        <w:t xml:space="preserve"> </w:t>
      </w:r>
      <w:r w:rsidR="00906F80">
        <w:t xml:space="preserve">in results between the two models. In order to investigate this, some of the </w:t>
      </w:r>
      <w:r>
        <w:t>ADEPT</w:t>
      </w:r>
      <w:r w:rsidR="00906F80">
        <w:t xml:space="preserve"> runs were repeated, but with the FDS option switched off.</w:t>
      </w:r>
      <w:r w:rsidR="008656ED">
        <w:t xml:space="preserve"> The results are </w:t>
      </w:r>
      <w:r w:rsidR="0087677B">
        <w:t>presented</w:t>
      </w:r>
      <w:r w:rsidR="008656ED">
        <w:t xml:space="preserve"> below.</w:t>
      </w:r>
      <w:r w:rsidR="0003301B">
        <w:t xml:space="preserve"> Note that all model runs </w:t>
      </w:r>
      <w:r w:rsidR="0094483C">
        <w:t>in this section assumed Pasquill Stability Category D conditions and a 0 mm h</w:t>
      </w:r>
      <w:r w:rsidR="0094483C" w:rsidRPr="0094483C">
        <w:rPr>
          <w:vertAlign w:val="superscript"/>
        </w:rPr>
        <w:t>-1</w:t>
      </w:r>
      <w:r w:rsidR="0094483C">
        <w:t xml:space="preserve"> precipitation rate.</w:t>
      </w:r>
    </w:p>
    <w:p w14:paraId="4255CBBB" w14:textId="273B8DAA" w:rsidR="0087677B" w:rsidRPr="0087677B" w:rsidRDefault="0087677B" w:rsidP="0087677B">
      <w:pPr>
        <w:pStyle w:val="Heading4"/>
      </w:pPr>
      <w:bookmarkStart w:id="201" w:name="_Toc89966426"/>
      <w:r>
        <w:t>Results</w:t>
      </w:r>
      <w:bookmarkEnd w:id="201"/>
    </w:p>
    <w:p w14:paraId="26EAC0A7" w14:textId="48CB722D" w:rsidR="00AB18D6" w:rsidRDefault="00AB18D6" w:rsidP="00AB18D6">
      <w:pPr>
        <w:pStyle w:val="Heading5"/>
      </w:pPr>
      <w:bookmarkStart w:id="202" w:name="_Toc89966427"/>
      <w:r>
        <w:t>Results for the Large Break LOCA source term</w:t>
      </w:r>
      <w:bookmarkEnd w:id="202"/>
    </w:p>
    <w:p w14:paraId="4456D30A" w14:textId="5C1BD384" w:rsidR="00E32807" w:rsidRDefault="00E32807" w:rsidP="000A4496">
      <w:pPr>
        <w:pStyle w:val="BodyText"/>
        <w:jc w:val="both"/>
      </w:pPr>
      <w:r>
        <w:t>The figures below show the results of</w:t>
      </w:r>
      <w:r w:rsidR="0087677B">
        <w:t>:</w:t>
      </w:r>
      <w:r>
        <w:t xml:space="preserve"> </w:t>
      </w:r>
      <w:r w:rsidR="002D3581">
        <w:t>ADEPT</w:t>
      </w:r>
      <w:r>
        <w:t xml:space="preserve"> runs in which FDS was used</w:t>
      </w:r>
      <w:r w:rsidR="0087677B">
        <w:t>;</w:t>
      </w:r>
      <w:r>
        <w:t xml:space="preserve"> </w:t>
      </w:r>
      <w:r w:rsidR="002D3581">
        <w:t>ADEPT</w:t>
      </w:r>
      <w:r>
        <w:t xml:space="preserve"> runs in which FDS</w:t>
      </w:r>
      <w:r w:rsidR="0087677B">
        <w:t xml:space="preserve"> </w:t>
      </w:r>
      <w:r>
        <w:t>was not used</w:t>
      </w:r>
      <w:r w:rsidR="0087677B">
        <w:t>;</w:t>
      </w:r>
      <w:r>
        <w:t xml:space="preserve"> and </w:t>
      </w:r>
      <w:r w:rsidR="00925919">
        <w:t>equivalent</w:t>
      </w:r>
      <w:r>
        <w:t xml:space="preserve"> ADMS runs. Runs were carried out for</w:t>
      </w:r>
      <w:r w:rsidR="0087677B">
        <w:t xml:space="preserve"> </w:t>
      </w:r>
      <w:r>
        <w:t>30-day</w:t>
      </w:r>
      <w:r w:rsidR="0087677B">
        <w:t xml:space="preserve"> doses</w:t>
      </w:r>
      <w:r>
        <w:t xml:space="preserve"> and lifetime doses at 0.5 km and 5 km from the release. The Large Break LOCA source term was used, which has a release duration of 30 days.</w:t>
      </w:r>
    </w:p>
    <w:p w14:paraId="43807322" w14:textId="41C0E6A6" w:rsidR="0074243B" w:rsidRPr="0074243B" w:rsidRDefault="00E32807" w:rsidP="000A4496">
      <w:pPr>
        <w:pStyle w:val="BodyTextEND"/>
        <w:jc w:val="both"/>
      </w:pPr>
      <w:r>
        <w:t>In each case, switching off FDS</w:t>
      </w:r>
      <w:r w:rsidR="0087677B">
        <w:t xml:space="preserve"> </w:t>
      </w:r>
      <w:r>
        <w:t xml:space="preserve">in an </w:t>
      </w:r>
      <w:r w:rsidR="002D3581">
        <w:t>ADEPT</w:t>
      </w:r>
      <w:r>
        <w:t xml:space="preserve"> run significantly increased the estimated dose to a value which was more </w:t>
      </w:r>
      <w:r w:rsidR="00FA0657">
        <w:t>like</w:t>
      </w:r>
      <w:r>
        <w:t xml:space="preserve"> the dose estimated in the </w:t>
      </w:r>
      <w:r w:rsidR="00B5364B">
        <w:t xml:space="preserve">equivalent </w:t>
      </w:r>
      <w:r>
        <w:t>ADMS run.</w:t>
      </w:r>
    </w:p>
    <w:p w14:paraId="26E6E5BD" w14:textId="47C37DA4" w:rsidR="0074243B" w:rsidRDefault="00C55B5C" w:rsidP="0074243B">
      <w:pPr>
        <w:pStyle w:val="BodyText"/>
        <w:keepNext/>
      </w:pPr>
      <w:r>
        <w:rPr>
          <w:noProof/>
          <w:lang w:eastAsia="en-GB"/>
        </w:rPr>
        <w:drawing>
          <wp:inline distT="0" distB="0" distL="0" distR="0" wp14:anchorId="5E5F8BAF" wp14:editId="21AE5EE7">
            <wp:extent cx="4697412" cy="2651521"/>
            <wp:effectExtent l="0" t="0" r="8255" b="0"/>
            <wp:docPr id="87" name="Chart 87">
              <a:extLst xmlns:a="http://schemas.openxmlformats.org/drawingml/2006/main">
                <a:ext uri="{FF2B5EF4-FFF2-40B4-BE49-F238E27FC236}">
                  <a16:creationId xmlns:a16="http://schemas.microsoft.com/office/drawing/2014/main" id="{FB343536-44A0-4EBD-ACAF-FE8EB4F68C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AAD27B5" w14:textId="317ECCA6" w:rsidR="00AB18D6" w:rsidRDefault="0074243B" w:rsidP="0074243B">
      <w:pPr>
        <w:pStyle w:val="Figurecaption"/>
      </w:pPr>
      <w:r>
        <w:t xml:space="preserve">Figure </w:t>
      </w:r>
      <w:fldSimple w:instr=" SEQ Figure \* ARABIC ">
        <w:r w:rsidR="00926FE3">
          <w:rPr>
            <w:noProof/>
          </w:rPr>
          <w:t>36</w:t>
        </w:r>
      </w:fldSimple>
      <w:r w:rsidRPr="00AD57CE">
        <w:t xml:space="preserve">: Maximum infant 30-day effective dose at </w:t>
      </w:r>
      <w:r>
        <w:t>0.</w:t>
      </w:r>
      <w:r w:rsidRPr="00AD57CE">
        <w:t>5 km assuming no ingestion</w:t>
      </w:r>
      <w:r>
        <w:t xml:space="preserve"> – LBL ST</w:t>
      </w:r>
    </w:p>
    <w:p w14:paraId="42B70108" w14:textId="0DD99736" w:rsidR="0074243B" w:rsidRDefault="0074243B" w:rsidP="00AB18D6">
      <w:pPr>
        <w:pStyle w:val="BodyText"/>
      </w:pPr>
    </w:p>
    <w:p w14:paraId="13ADF5A8" w14:textId="08660544" w:rsidR="0074243B" w:rsidRDefault="00C55B5C" w:rsidP="0074243B">
      <w:pPr>
        <w:pStyle w:val="BodyText"/>
        <w:keepNext/>
      </w:pPr>
      <w:r>
        <w:rPr>
          <w:noProof/>
          <w:lang w:eastAsia="en-GB"/>
        </w:rPr>
        <w:drawing>
          <wp:inline distT="0" distB="0" distL="0" distR="0" wp14:anchorId="36A1B271" wp14:editId="3055E8DF">
            <wp:extent cx="4578350" cy="2663429"/>
            <wp:effectExtent l="0" t="0" r="0" b="3810"/>
            <wp:docPr id="88" name="Chart 88">
              <a:extLst xmlns:a="http://schemas.openxmlformats.org/drawingml/2006/main">
                <a:ext uri="{FF2B5EF4-FFF2-40B4-BE49-F238E27FC236}">
                  <a16:creationId xmlns:a16="http://schemas.microsoft.com/office/drawing/2014/main" id="{780021C0-4B5C-42E9-B56D-6E9B0EE153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6F8AADA8" w14:textId="1E123E08" w:rsidR="0074243B" w:rsidRDefault="0074243B" w:rsidP="0074243B">
      <w:pPr>
        <w:pStyle w:val="Figurecaption"/>
      </w:pPr>
      <w:r>
        <w:t xml:space="preserve">Figure </w:t>
      </w:r>
      <w:fldSimple w:instr=" SEQ Figure \* ARABIC ">
        <w:r w:rsidR="00926FE3">
          <w:rPr>
            <w:noProof/>
          </w:rPr>
          <w:t>37</w:t>
        </w:r>
      </w:fldSimple>
      <w:r w:rsidRPr="00BE657E">
        <w:t xml:space="preserve">: Maximum infant </w:t>
      </w:r>
      <w:r>
        <w:t>lifetime</w:t>
      </w:r>
      <w:r w:rsidRPr="00BE657E">
        <w:t xml:space="preserve"> effective dose at </w:t>
      </w:r>
      <w:r>
        <w:t>0.</w:t>
      </w:r>
      <w:r w:rsidRPr="00BE657E">
        <w:t xml:space="preserve">5 km assuming </w:t>
      </w:r>
      <w:r w:rsidR="005634A1" w:rsidRPr="00FD2C8D">
        <w:t>no food restrictions</w:t>
      </w:r>
      <w:r w:rsidR="005634A1">
        <w:t xml:space="preserve"> </w:t>
      </w:r>
      <w:r>
        <w:t>– LBL ST</w:t>
      </w:r>
    </w:p>
    <w:p w14:paraId="2FAD2448" w14:textId="625FB31E" w:rsidR="0074243B" w:rsidRDefault="0074243B" w:rsidP="00AB18D6">
      <w:pPr>
        <w:pStyle w:val="BodyText"/>
      </w:pPr>
    </w:p>
    <w:p w14:paraId="3D5D4732" w14:textId="13E58437" w:rsidR="0074243B" w:rsidRDefault="00C55B5C" w:rsidP="0074243B">
      <w:pPr>
        <w:pStyle w:val="BodyText"/>
        <w:keepNext/>
      </w:pPr>
      <w:r>
        <w:rPr>
          <w:noProof/>
          <w:lang w:eastAsia="en-GB"/>
        </w:rPr>
        <w:drawing>
          <wp:inline distT="0" distB="0" distL="0" distR="0" wp14:anchorId="0B5FF3B3" wp14:editId="785B4E17">
            <wp:extent cx="4697412" cy="2743200"/>
            <wp:effectExtent l="0" t="0" r="8255" b="0"/>
            <wp:docPr id="89" name="Chart 89">
              <a:extLst xmlns:a="http://schemas.openxmlformats.org/drawingml/2006/main">
                <a:ext uri="{FF2B5EF4-FFF2-40B4-BE49-F238E27FC236}">
                  <a16:creationId xmlns:a16="http://schemas.microsoft.com/office/drawing/2014/main" id="{2656CAAB-7DC6-47D3-AF8D-A82C8216FC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0C678189" w14:textId="44E24035" w:rsidR="0074243B" w:rsidRDefault="0074243B" w:rsidP="0074243B">
      <w:pPr>
        <w:pStyle w:val="Figurecaption"/>
      </w:pPr>
      <w:r>
        <w:t xml:space="preserve">Figure </w:t>
      </w:r>
      <w:fldSimple w:instr=" SEQ Figure \* ARABIC ">
        <w:r w:rsidR="00926FE3">
          <w:rPr>
            <w:noProof/>
          </w:rPr>
          <w:t>38</w:t>
        </w:r>
      </w:fldSimple>
      <w:r w:rsidRPr="00C22D44">
        <w:t>: Maximum infant 30-day effective dose at 5 km assuming no ingestion</w:t>
      </w:r>
      <w:r>
        <w:t xml:space="preserve"> – LBL ST</w:t>
      </w:r>
    </w:p>
    <w:p w14:paraId="3A0BB6DF" w14:textId="006BFDE6" w:rsidR="0074243B" w:rsidRDefault="0074243B" w:rsidP="00AB18D6">
      <w:pPr>
        <w:pStyle w:val="BodyText"/>
      </w:pPr>
    </w:p>
    <w:p w14:paraId="3EA86F2E" w14:textId="3EEB646D" w:rsidR="0074243B" w:rsidRDefault="00C55B5C" w:rsidP="0074243B">
      <w:pPr>
        <w:pStyle w:val="BodyText"/>
        <w:keepNext/>
      </w:pPr>
      <w:r>
        <w:rPr>
          <w:noProof/>
          <w:lang w:eastAsia="en-GB"/>
        </w:rPr>
        <w:drawing>
          <wp:inline distT="0" distB="0" distL="0" distR="0" wp14:anchorId="41952552" wp14:editId="205C07D6">
            <wp:extent cx="4578350" cy="2743200"/>
            <wp:effectExtent l="0" t="0" r="0" b="0"/>
            <wp:docPr id="90" name="Chart 90">
              <a:extLst xmlns:a="http://schemas.openxmlformats.org/drawingml/2006/main">
                <a:ext uri="{FF2B5EF4-FFF2-40B4-BE49-F238E27FC236}">
                  <a16:creationId xmlns:a16="http://schemas.microsoft.com/office/drawing/2014/main" id="{DEC8D0E2-67FF-4B4B-B6E6-6B8E164343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49F80FE9" w14:textId="47FA99E8" w:rsidR="0074243B" w:rsidRDefault="0074243B" w:rsidP="0074243B">
      <w:pPr>
        <w:pStyle w:val="Figurecaption"/>
      </w:pPr>
      <w:r>
        <w:t xml:space="preserve">Figure </w:t>
      </w:r>
      <w:fldSimple w:instr=" SEQ Figure \* ARABIC ">
        <w:r w:rsidR="00926FE3">
          <w:rPr>
            <w:noProof/>
          </w:rPr>
          <w:t>39</w:t>
        </w:r>
      </w:fldSimple>
      <w:r w:rsidRPr="00BD2222">
        <w:t xml:space="preserve">: Maximum infant </w:t>
      </w:r>
      <w:r>
        <w:t>lifetime</w:t>
      </w:r>
      <w:r w:rsidRPr="00BD2222">
        <w:t xml:space="preserve"> effective dose at 5 km assuming </w:t>
      </w:r>
      <w:r w:rsidR="005634A1" w:rsidRPr="00FD2C8D">
        <w:t>no food restrictions</w:t>
      </w:r>
      <w:r w:rsidR="005634A1">
        <w:t xml:space="preserve"> </w:t>
      </w:r>
      <w:r>
        <w:t>– LBL ST</w:t>
      </w:r>
    </w:p>
    <w:p w14:paraId="0FE57388" w14:textId="7694A3BB" w:rsidR="00AB18D6" w:rsidRDefault="00AB18D6" w:rsidP="00E32807">
      <w:pPr>
        <w:pStyle w:val="BodyText"/>
      </w:pPr>
    </w:p>
    <w:p w14:paraId="3F5A2B14" w14:textId="16690A04" w:rsidR="00AB18D6" w:rsidRPr="00AB18D6" w:rsidRDefault="00AB18D6" w:rsidP="00AB18D6">
      <w:pPr>
        <w:pStyle w:val="Heading5"/>
      </w:pPr>
      <w:bookmarkStart w:id="203" w:name="_Toc89966428"/>
      <w:r>
        <w:t>Results for the S</w:t>
      </w:r>
      <w:r w:rsidR="00AC5912">
        <w:t>team Generator Tube Rupture</w:t>
      </w:r>
      <w:r>
        <w:t xml:space="preserve"> source term</w:t>
      </w:r>
      <w:bookmarkEnd w:id="203"/>
    </w:p>
    <w:p w14:paraId="53E8D28F" w14:textId="0D735F64" w:rsidR="00E32807" w:rsidRDefault="00E32807" w:rsidP="00F35423">
      <w:pPr>
        <w:pStyle w:val="BodyText"/>
        <w:jc w:val="both"/>
      </w:pPr>
      <w:r>
        <w:t>The figures below show the results of</w:t>
      </w:r>
      <w:r w:rsidR="0087677B">
        <w:t>:</w:t>
      </w:r>
      <w:r>
        <w:t xml:space="preserve"> </w:t>
      </w:r>
      <w:r w:rsidR="002D3581">
        <w:t>ADEPT</w:t>
      </w:r>
      <w:r>
        <w:t xml:space="preserve"> runs in which </w:t>
      </w:r>
      <w:r w:rsidR="0087677B">
        <w:t>FDS</w:t>
      </w:r>
      <w:r>
        <w:t xml:space="preserve"> was used</w:t>
      </w:r>
      <w:r w:rsidR="0087677B">
        <w:t>;</w:t>
      </w:r>
      <w:r>
        <w:t xml:space="preserve"> </w:t>
      </w:r>
      <w:r w:rsidR="002D3581">
        <w:t>ADEPT</w:t>
      </w:r>
      <w:r>
        <w:t xml:space="preserve"> runs in which </w:t>
      </w:r>
      <w:r w:rsidR="0087677B">
        <w:t xml:space="preserve">FDS </w:t>
      </w:r>
      <w:r>
        <w:t>was not used</w:t>
      </w:r>
      <w:r w:rsidR="0087677B">
        <w:t>;</w:t>
      </w:r>
      <w:r>
        <w:t xml:space="preserve"> and </w:t>
      </w:r>
      <w:r w:rsidR="0063426C">
        <w:t xml:space="preserve">equivalent </w:t>
      </w:r>
      <w:r>
        <w:t>ADMS runs. Runs were carried out for 7-day and lifetime doses at 0.5 km and 5 km fro</w:t>
      </w:r>
      <w:r w:rsidR="00735099">
        <w:t>m the release. The SGTR</w:t>
      </w:r>
      <w:r>
        <w:t xml:space="preserve"> source term was used, which has a release duration of eight hours and which was the shortest-duration source term used in the present study.</w:t>
      </w:r>
    </w:p>
    <w:p w14:paraId="25E28BF2" w14:textId="53F969C1" w:rsidR="00E32807" w:rsidRPr="0074243B" w:rsidRDefault="00E4724C" w:rsidP="00F35423">
      <w:pPr>
        <w:pStyle w:val="BodyText"/>
        <w:jc w:val="both"/>
      </w:pPr>
      <w:r>
        <w:t>The results for the SGTR</w:t>
      </w:r>
      <w:r w:rsidR="007A01CB">
        <w:t xml:space="preserve"> source term were not as straightforward as the results for the Large Break</w:t>
      </w:r>
      <w:r>
        <w:t xml:space="preserve"> LOCA source term. For the SGTR</w:t>
      </w:r>
      <w:r w:rsidR="007A01CB">
        <w:t xml:space="preserve"> results, it was still true that i</w:t>
      </w:r>
      <w:r w:rsidR="00E32807">
        <w:t xml:space="preserve">n each case, switching off “Full Duration Sigma” in an </w:t>
      </w:r>
      <w:r w:rsidR="002D3581">
        <w:t>ADEPT</w:t>
      </w:r>
      <w:r w:rsidR="00E32807">
        <w:t xml:space="preserve"> run significantly increased the estimated dose</w:t>
      </w:r>
      <w:r w:rsidR="007A01CB">
        <w:t>. For the lifetime doses, it was also still true that the “Not Full Duration Sigma” dose was more similar to the ADMS dose than the “Full Duration Sigma” dose was. However, in the case of the seven-day doses, the “Full Duration Sigma” and ADMS doses were already quite similar, so switching off “Full Duration Sigma” resulted in higher doses than had been found in the analogous ADMS runs</w:t>
      </w:r>
      <w:r w:rsidR="00E32807">
        <w:t>.</w:t>
      </w:r>
    </w:p>
    <w:p w14:paraId="5FCA22E4" w14:textId="1ED59F91" w:rsidR="00AB18D6" w:rsidRDefault="00AB18D6" w:rsidP="00AE361C">
      <w:pPr>
        <w:pStyle w:val="BodyText"/>
        <w:rPr>
          <w:color w:val="FF0000"/>
        </w:rPr>
      </w:pPr>
    </w:p>
    <w:p w14:paraId="5F7A48E6" w14:textId="478561DA" w:rsidR="0074243B" w:rsidRDefault="00C55B5C" w:rsidP="0074243B">
      <w:pPr>
        <w:pStyle w:val="BodyText"/>
        <w:keepNext/>
      </w:pPr>
      <w:r>
        <w:rPr>
          <w:noProof/>
          <w:lang w:eastAsia="en-GB"/>
        </w:rPr>
        <w:drawing>
          <wp:inline distT="0" distB="0" distL="0" distR="0" wp14:anchorId="681E8940" wp14:editId="499972B5">
            <wp:extent cx="4697412" cy="2651521"/>
            <wp:effectExtent l="0" t="0" r="8255" b="0"/>
            <wp:docPr id="91" name="Chart 91">
              <a:extLst xmlns:a="http://schemas.openxmlformats.org/drawingml/2006/main">
                <a:ext uri="{FF2B5EF4-FFF2-40B4-BE49-F238E27FC236}">
                  <a16:creationId xmlns:a16="http://schemas.microsoft.com/office/drawing/2014/main" id="{5304A14F-01AC-4F41-AFBC-15FA57298E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04573A72" w14:textId="54303EDB" w:rsidR="00AB18D6" w:rsidRDefault="0074243B" w:rsidP="0074243B">
      <w:pPr>
        <w:pStyle w:val="Figurecaption"/>
        <w:rPr>
          <w:color w:val="FF0000"/>
        </w:rPr>
      </w:pPr>
      <w:bookmarkStart w:id="204" w:name="_Ref83203834"/>
      <w:bookmarkStart w:id="205" w:name="_Ref83203822"/>
      <w:r>
        <w:t xml:space="preserve">Figure </w:t>
      </w:r>
      <w:fldSimple w:instr=" SEQ Figure \* ARABIC ">
        <w:r w:rsidR="00926FE3">
          <w:rPr>
            <w:noProof/>
          </w:rPr>
          <w:t>40</w:t>
        </w:r>
      </w:fldSimple>
      <w:bookmarkEnd w:id="204"/>
      <w:r w:rsidRPr="00C378F3">
        <w:t xml:space="preserve">: Maximum infant </w:t>
      </w:r>
      <w:r>
        <w:t>7</w:t>
      </w:r>
      <w:r w:rsidRPr="00C378F3">
        <w:t xml:space="preserve">-day effective dose at </w:t>
      </w:r>
      <w:r>
        <w:t>0.</w:t>
      </w:r>
      <w:r w:rsidRPr="00C378F3">
        <w:t>5 km assuming no ingestion</w:t>
      </w:r>
      <w:r>
        <w:t xml:space="preserve"> – SGTR ST</w:t>
      </w:r>
      <w:bookmarkEnd w:id="205"/>
    </w:p>
    <w:p w14:paraId="3D3485A5" w14:textId="26512020" w:rsidR="0074243B" w:rsidRDefault="0074243B" w:rsidP="00AE361C">
      <w:pPr>
        <w:pStyle w:val="BodyText"/>
        <w:rPr>
          <w:color w:val="FF0000"/>
        </w:rPr>
      </w:pPr>
    </w:p>
    <w:p w14:paraId="6038C2C3" w14:textId="3C5544C7" w:rsidR="0074243B" w:rsidRDefault="00F77EE6" w:rsidP="0074243B">
      <w:pPr>
        <w:pStyle w:val="BodyText"/>
        <w:keepNext/>
      </w:pPr>
      <w:r>
        <w:rPr>
          <w:noProof/>
          <w:lang w:eastAsia="en-GB"/>
        </w:rPr>
        <w:drawing>
          <wp:inline distT="0" distB="0" distL="0" distR="0" wp14:anchorId="109302BC" wp14:editId="47F3BF6A">
            <wp:extent cx="4578350" cy="2663429"/>
            <wp:effectExtent l="0" t="0" r="0" b="3810"/>
            <wp:docPr id="92" name="Chart 92">
              <a:extLst xmlns:a="http://schemas.openxmlformats.org/drawingml/2006/main">
                <a:ext uri="{FF2B5EF4-FFF2-40B4-BE49-F238E27FC236}">
                  <a16:creationId xmlns:a16="http://schemas.microsoft.com/office/drawing/2014/main" id="{CD973327-D3E6-4DC1-9072-F2F2E9DA2D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114A306A" w14:textId="2859E718" w:rsidR="0074243B" w:rsidRDefault="0074243B" w:rsidP="0074243B">
      <w:pPr>
        <w:pStyle w:val="Figurecaption"/>
        <w:rPr>
          <w:color w:val="FF0000"/>
        </w:rPr>
      </w:pPr>
      <w:bookmarkStart w:id="206" w:name="_Ref83204543"/>
      <w:r>
        <w:t xml:space="preserve">Figure </w:t>
      </w:r>
      <w:fldSimple w:instr=" SEQ Figure \* ARABIC ">
        <w:r w:rsidR="00926FE3">
          <w:rPr>
            <w:noProof/>
          </w:rPr>
          <w:t>41</w:t>
        </w:r>
      </w:fldSimple>
      <w:bookmarkEnd w:id="206"/>
      <w:r w:rsidRPr="001A7CC1">
        <w:t xml:space="preserve">: Maximum infant </w:t>
      </w:r>
      <w:r>
        <w:t>lifetime</w:t>
      </w:r>
      <w:r w:rsidRPr="001A7CC1">
        <w:t xml:space="preserve"> effective dose at </w:t>
      </w:r>
      <w:r>
        <w:t>0.</w:t>
      </w:r>
      <w:r w:rsidRPr="001A7CC1">
        <w:t xml:space="preserve">5 km assuming </w:t>
      </w:r>
      <w:r w:rsidR="005634A1" w:rsidRPr="00FD2C8D">
        <w:t>no food restrictions</w:t>
      </w:r>
      <w:r w:rsidR="005634A1">
        <w:t xml:space="preserve"> </w:t>
      </w:r>
      <w:r>
        <w:t>– SGTR ST</w:t>
      </w:r>
    </w:p>
    <w:p w14:paraId="75A1A20B" w14:textId="10DA3EF5" w:rsidR="0074243B" w:rsidRDefault="0074243B" w:rsidP="00AE361C">
      <w:pPr>
        <w:pStyle w:val="BodyText"/>
        <w:rPr>
          <w:color w:val="FF0000"/>
        </w:rPr>
      </w:pPr>
    </w:p>
    <w:p w14:paraId="372D7A2C" w14:textId="1253F16D" w:rsidR="0074243B" w:rsidRDefault="00F77EE6" w:rsidP="0074243B">
      <w:pPr>
        <w:pStyle w:val="BodyText"/>
        <w:keepNext/>
      </w:pPr>
      <w:r>
        <w:rPr>
          <w:noProof/>
          <w:lang w:eastAsia="en-GB"/>
        </w:rPr>
        <w:drawing>
          <wp:inline distT="0" distB="0" distL="0" distR="0" wp14:anchorId="02D5EBEF" wp14:editId="6EC2D9AB">
            <wp:extent cx="4697412" cy="2743200"/>
            <wp:effectExtent l="0" t="0" r="8255" b="0"/>
            <wp:docPr id="93" name="Chart 93">
              <a:extLst xmlns:a="http://schemas.openxmlformats.org/drawingml/2006/main">
                <a:ext uri="{FF2B5EF4-FFF2-40B4-BE49-F238E27FC236}">
                  <a16:creationId xmlns:a16="http://schemas.microsoft.com/office/drawing/2014/main" id="{6F57B745-C4F3-4393-86B0-2857F4809F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FADF7E6" w14:textId="360064D8" w:rsidR="0074243B" w:rsidRDefault="0074243B" w:rsidP="0074243B">
      <w:pPr>
        <w:pStyle w:val="Figurecaption"/>
        <w:rPr>
          <w:color w:val="FF0000"/>
        </w:rPr>
      </w:pPr>
      <w:bookmarkStart w:id="207" w:name="_Ref83203840"/>
      <w:r>
        <w:t xml:space="preserve">Figure </w:t>
      </w:r>
      <w:fldSimple w:instr=" SEQ Figure \* ARABIC ">
        <w:r w:rsidR="00926FE3">
          <w:rPr>
            <w:noProof/>
          </w:rPr>
          <w:t>42</w:t>
        </w:r>
      </w:fldSimple>
      <w:bookmarkEnd w:id="207"/>
      <w:r w:rsidRPr="007B6C30">
        <w:t xml:space="preserve">: Maximum infant </w:t>
      </w:r>
      <w:r>
        <w:t>7</w:t>
      </w:r>
      <w:r w:rsidRPr="007B6C30">
        <w:t>-day effective dose at 5 km assuming no ingestion</w:t>
      </w:r>
      <w:r>
        <w:t xml:space="preserve"> – SGTR ST</w:t>
      </w:r>
    </w:p>
    <w:p w14:paraId="2AEEA82A" w14:textId="7397BA8B" w:rsidR="0074243B" w:rsidRDefault="0074243B" w:rsidP="00AE361C">
      <w:pPr>
        <w:pStyle w:val="BodyText"/>
        <w:rPr>
          <w:color w:val="FF0000"/>
        </w:rPr>
      </w:pPr>
    </w:p>
    <w:p w14:paraId="6F59D1CB" w14:textId="4471A784" w:rsidR="0074243B" w:rsidRDefault="00F77EE6" w:rsidP="0074243B">
      <w:pPr>
        <w:pStyle w:val="BodyText"/>
        <w:keepNext/>
      </w:pPr>
      <w:r>
        <w:rPr>
          <w:noProof/>
          <w:lang w:eastAsia="en-GB"/>
        </w:rPr>
        <w:drawing>
          <wp:inline distT="0" distB="0" distL="0" distR="0" wp14:anchorId="7380C90E" wp14:editId="623EBBAB">
            <wp:extent cx="4578350" cy="2743200"/>
            <wp:effectExtent l="0" t="0" r="0" b="0"/>
            <wp:docPr id="94" name="Chart 94">
              <a:extLst xmlns:a="http://schemas.openxmlformats.org/drawingml/2006/main">
                <a:ext uri="{FF2B5EF4-FFF2-40B4-BE49-F238E27FC236}">
                  <a16:creationId xmlns:a16="http://schemas.microsoft.com/office/drawing/2014/main" id="{7F283485-E7B2-4FAD-84A1-966E230DF5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EDC4C1A" w14:textId="4E971400" w:rsidR="0074243B" w:rsidRDefault="0074243B" w:rsidP="0074243B">
      <w:pPr>
        <w:pStyle w:val="Figurecaption"/>
      </w:pPr>
      <w:bookmarkStart w:id="208" w:name="_Ref83204545"/>
      <w:r>
        <w:t xml:space="preserve">Figure </w:t>
      </w:r>
      <w:fldSimple w:instr=" SEQ Figure \* ARABIC ">
        <w:r w:rsidR="00926FE3">
          <w:rPr>
            <w:noProof/>
          </w:rPr>
          <w:t>43</w:t>
        </w:r>
      </w:fldSimple>
      <w:bookmarkEnd w:id="208"/>
      <w:r w:rsidRPr="00E92583">
        <w:t xml:space="preserve">: Maximum infant </w:t>
      </w:r>
      <w:r>
        <w:t>lifetime</w:t>
      </w:r>
      <w:r w:rsidRPr="00E92583">
        <w:t xml:space="preserve"> effective dose at 5 km assuming </w:t>
      </w:r>
      <w:r w:rsidR="005634A1" w:rsidRPr="00FD2C8D">
        <w:t>no food restrictions</w:t>
      </w:r>
      <w:r w:rsidR="005634A1">
        <w:t xml:space="preserve"> </w:t>
      </w:r>
      <w:r>
        <w:t>– SGTR ST</w:t>
      </w:r>
    </w:p>
    <w:p w14:paraId="32B1362E" w14:textId="6BC7E938" w:rsidR="008656ED" w:rsidRDefault="008656ED" w:rsidP="008656ED">
      <w:pPr>
        <w:pStyle w:val="Heading4"/>
      </w:pPr>
      <w:bookmarkStart w:id="209" w:name="_Toc89966429"/>
      <w:r>
        <w:t>Discussion</w:t>
      </w:r>
      <w:bookmarkEnd w:id="209"/>
    </w:p>
    <w:p w14:paraId="4030860C" w14:textId="77777777" w:rsidR="00FB03B3" w:rsidRDefault="008656ED" w:rsidP="00B60808">
      <w:pPr>
        <w:pStyle w:val="BodyText"/>
        <w:jc w:val="both"/>
      </w:pPr>
      <w:r>
        <w:t>In general, switching off FDS makes the</w:t>
      </w:r>
      <w:r w:rsidR="0087677B">
        <w:t xml:space="preserve"> </w:t>
      </w:r>
      <w:r w:rsidR="002D3581">
        <w:t>ADEPT</w:t>
      </w:r>
      <w:r>
        <w:t xml:space="preserve"> results more similar to the ADMS results. It is important to emphasise that making the </w:t>
      </w:r>
      <w:r w:rsidR="002D3581">
        <w:t>ADEPT</w:t>
      </w:r>
      <w:r>
        <w:t xml:space="preserve"> </w:t>
      </w:r>
      <w:r w:rsidRPr="006A2F77">
        <w:t>results</w:t>
      </w:r>
      <w:r>
        <w:t xml:space="preserve"> more similar to the ADMS results does not mean that the </w:t>
      </w:r>
      <w:r w:rsidR="002D3581">
        <w:t>ADEPT</w:t>
      </w:r>
      <w:r>
        <w:t xml:space="preserve"> results are being “corrected”. On the contrary, switching off “Full Duration Sigma” introduces </w:t>
      </w:r>
      <w:r w:rsidR="00B60808">
        <w:t>further</w:t>
      </w:r>
      <w:r>
        <w:t xml:space="preserve"> inaccuracy into the </w:t>
      </w:r>
      <w:r w:rsidR="002D3581">
        <w:t>ADEPT</w:t>
      </w:r>
      <w:r>
        <w:t xml:space="preserve"> </w:t>
      </w:r>
      <w:r w:rsidRPr="008656ED">
        <w:t>results</w:t>
      </w:r>
      <w:r>
        <w:t xml:space="preserve">. Or, to phrase it differently, the </w:t>
      </w:r>
      <w:r w:rsidR="002D3581">
        <w:t>ADEPT</w:t>
      </w:r>
      <w:r>
        <w:t xml:space="preserve"> results are being made deliberately less accurate in order to demonstrate the inaccuracy of the ADMS results.</w:t>
      </w:r>
    </w:p>
    <w:p w14:paraId="40C3FA5A" w14:textId="0BD22DEE" w:rsidR="008656ED" w:rsidRDefault="00FB03B3" w:rsidP="00B60808">
      <w:pPr>
        <w:pStyle w:val="BodyText"/>
        <w:jc w:val="both"/>
      </w:pPr>
      <w:r>
        <w:t xml:space="preserve">The </w:t>
      </w:r>
      <w:r w:rsidR="00B02AC8">
        <w:t xml:space="preserve">discrepancies are associated with the use of </w:t>
      </w:r>
      <w:r w:rsidR="00B60808">
        <w:t xml:space="preserve">a single set of meteorological conditions </w:t>
      </w:r>
      <w:r w:rsidR="00961611">
        <w:t>over a sustained period of time</w:t>
      </w:r>
      <w:r>
        <w:t>,</w:t>
      </w:r>
      <w:r w:rsidR="00961611">
        <w:t xml:space="preserve"> i.e. it is the </w:t>
      </w:r>
      <w:r w:rsidR="00E5677D">
        <w:t xml:space="preserve">way the model is applied, rather than the model itself that is </w:t>
      </w:r>
      <w:r w:rsidR="00B02AC8">
        <w:t>most relevant in this case</w:t>
      </w:r>
      <w:r w:rsidR="00E5677D">
        <w:t>.</w:t>
      </w:r>
      <w:r w:rsidR="00B60808">
        <w:t xml:space="preserve"> It is not representative of reality to assume that the wind direction is constant for days on end, and this adds significant conservatism to the assessment. </w:t>
      </w:r>
      <w:r w:rsidR="00CE6590">
        <w:t xml:space="preserve">In ADEPT, </w:t>
      </w:r>
      <w:r w:rsidR="00B46E39">
        <w:t xml:space="preserve">amending </w:t>
      </w:r>
      <w:r w:rsidR="00CE6590">
        <w:t xml:space="preserve">the cross </w:t>
      </w:r>
      <w:r w:rsidR="00B46E39">
        <w:t>wind atmospheric dispersion by modifying</w:t>
      </w:r>
      <w:r w:rsidR="00CE6590">
        <w:t xml:space="preserve"> the </w:t>
      </w:r>
      <w:r w:rsidR="00640103">
        <w:t>approach used to determine</w:t>
      </w:r>
      <w:r w:rsidR="00CE6590">
        <w:t xml:space="preserve"> </w:t>
      </w:r>
      <w:r w:rsidR="00E5677D">
        <w:t>the “</w:t>
      </w:r>
      <w:r w:rsidR="00CE6590">
        <w:t>sigma y</w:t>
      </w:r>
      <w:r w:rsidR="00E5677D">
        <w:t>” term</w:t>
      </w:r>
      <w:r w:rsidR="003854B2">
        <w:t xml:space="preserve"> (when switching on FDS)</w:t>
      </w:r>
      <w:r w:rsidR="00CE6590">
        <w:t xml:space="preserve"> </w:t>
      </w:r>
      <w:r w:rsidR="00E5677D">
        <w:t xml:space="preserve">better </w:t>
      </w:r>
      <w:r w:rsidR="00CE6590">
        <w:t xml:space="preserve">represents </w:t>
      </w:r>
      <w:r w:rsidR="00E5677D">
        <w:t>the</w:t>
      </w:r>
      <w:r w:rsidR="00CE6590">
        <w:t xml:space="preserve"> </w:t>
      </w:r>
      <w:r w:rsidR="00E5677D">
        <w:t>fluctuation</w:t>
      </w:r>
      <w:r w:rsidR="00CE6590">
        <w:t xml:space="preserve"> in the wind direction, </w:t>
      </w:r>
      <w:r w:rsidR="00B46E39">
        <w:t>resulting in</w:t>
      </w:r>
      <w:r w:rsidR="00CE6590">
        <w:t xml:space="preserve"> </w:t>
      </w:r>
      <w:r w:rsidR="00B46E39">
        <w:t xml:space="preserve">a </w:t>
      </w:r>
      <w:r w:rsidR="00CE6590">
        <w:t xml:space="preserve">more representative </w:t>
      </w:r>
      <w:r w:rsidR="00B46E39">
        <w:t>dose assessment, for relatively long release durations</w:t>
      </w:r>
      <w:r w:rsidR="00CE6590">
        <w:t xml:space="preserve">. ADMS does not include this option. However, both ADMS and ADEPT do include the option to consider time varying (hourly) single site meteorological data, which </w:t>
      </w:r>
      <w:r w:rsidR="003854B2">
        <w:t xml:space="preserve">would significantly improve the </w:t>
      </w:r>
      <w:r w:rsidR="00640103">
        <w:t xml:space="preserve">representativeness </w:t>
      </w:r>
      <w:r w:rsidR="003854B2">
        <w:t>(and significantly reduce the level of conservatism) of</w:t>
      </w:r>
      <w:r w:rsidR="00CE6590">
        <w:t xml:space="preserve"> the d</w:t>
      </w:r>
      <w:r w:rsidR="003854B2">
        <w:t>ose assessments being performed, for relatively long release durations.</w:t>
      </w:r>
    </w:p>
    <w:p w14:paraId="167083F8" w14:textId="58BF1855" w:rsidR="003854B2" w:rsidRDefault="006676AF" w:rsidP="00B60808">
      <w:pPr>
        <w:pStyle w:val="BodyText"/>
        <w:jc w:val="both"/>
      </w:pPr>
      <w:r>
        <w:t xml:space="preserve">In </w:t>
      </w:r>
      <w:r>
        <w:fldChar w:fldCharType="begin"/>
      </w:r>
      <w:r>
        <w:instrText xml:space="preserve"> REF _Ref83203834 \h </w:instrText>
      </w:r>
      <w:r>
        <w:fldChar w:fldCharType="separate"/>
      </w:r>
      <w:r w:rsidR="00926FE3">
        <w:t xml:space="preserve">Figure </w:t>
      </w:r>
      <w:r w:rsidR="00926FE3">
        <w:rPr>
          <w:noProof/>
        </w:rPr>
        <w:t>40</w:t>
      </w:r>
      <w:r>
        <w:fldChar w:fldCharType="end"/>
      </w:r>
      <w:r>
        <w:t xml:space="preserve"> and </w:t>
      </w:r>
      <w:r>
        <w:fldChar w:fldCharType="begin"/>
      </w:r>
      <w:r>
        <w:instrText xml:space="preserve"> REF _Ref83203840 \h </w:instrText>
      </w:r>
      <w:r>
        <w:fldChar w:fldCharType="separate"/>
      </w:r>
      <w:r w:rsidR="00926FE3">
        <w:t xml:space="preserve">Figure </w:t>
      </w:r>
      <w:r w:rsidR="00926FE3">
        <w:rPr>
          <w:noProof/>
        </w:rPr>
        <w:t>42</w:t>
      </w:r>
      <w:r>
        <w:fldChar w:fldCharType="end"/>
      </w:r>
      <w:r w:rsidR="00B02AC8">
        <w:t>,</w:t>
      </w:r>
      <w:r w:rsidRPr="006676AF">
        <w:t xml:space="preserve"> </w:t>
      </w:r>
      <w:r>
        <w:t xml:space="preserve">switching off FDS actually made the ADEPT results less similar to the ADMS results. This is because the </w:t>
      </w:r>
      <w:r w:rsidR="00572073">
        <w:t xml:space="preserve">Gaussian Plume </w:t>
      </w:r>
      <w:r>
        <w:t xml:space="preserve">atmospheric dispersion modelling approaches employed </w:t>
      </w:r>
      <w:r w:rsidR="00572073">
        <w:t xml:space="preserve">in the two models </w:t>
      </w:r>
      <w:r>
        <w:t>differ</w:t>
      </w:r>
      <w:r w:rsidR="00572073">
        <w:t xml:space="preserve"> (see Sections </w:t>
      </w:r>
      <w:r w:rsidR="00572073">
        <w:fldChar w:fldCharType="begin"/>
      </w:r>
      <w:r w:rsidR="00572073">
        <w:instrText xml:space="preserve"> REF _Ref71115087 \r \h </w:instrText>
      </w:r>
      <w:r w:rsidR="00572073">
        <w:fldChar w:fldCharType="separate"/>
      </w:r>
      <w:r w:rsidR="00926FE3">
        <w:t>4.3.3</w:t>
      </w:r>
      <w:r w:rsidR="00572073">
        <w:fldChar w:fldCharType="end"/>
      </w:r>
      <w:r w:rsidR="00572073">
        <w:t xml:space="preserve"> and </w:t>
      </w:r>
      <w:r w:rsidR="00572073">
        <w:fldChar w:fldCharType="begin"/>
      </w:r>
      <w:r w:rsidR="00572073">
        <w:instrText xml:space="preserve"> REF _Ref83204835 \r \h </w:instrText>
      </w:r>
      <w:r w:rsidR="00572073">
        <w:fldChar w:fldCharType="separate"/>
      </w:r>
      <w:r w:rsidR="00926FE3">
        <w:t>4.4</w:t>
      </w:r>
      <w:r w:rsidR="00572073">
        <w:fldChar w:fldCharType="end"/>
      </w:r>
      <w:r w:rsidR="00572073">
        <w:t xml:space="preserve"> for details)</w:t>
      </w:r>
      <w:r>
        <w:t xml:space="preserve">, with the approach implemented within ADMS generally viewed as superior. </w:t>
      </w:r>
      <w:r w:rsidR="00645742">
        <w:fldChar w:fldCharType="begin"/>
      </w:r>
      <w:r w:rsidR="00645742">
        <w:instrText xml:space="preserve"> ADDIN EN.CITE &lt;EndNote&gt;&lt;Cite AuthorYear="1"&gt;&lt;Author&gt;Bedwell&lt;/Author&gt;&lt;Year&gt;2011&lt;/Year&gt;&lt;RecNum&gt;2493&lt;/RecNum&gt;&lt;DisplayText&gt;Bedwell et al (2011)&lt;/DisplayText&gt;&lt;record&gt;&lt;rec-number&gt;2493&lt;/rec-number&gt;&lt;foreign-keys&gt;&lt;key app="EN" db-id="r5f5xrrfzavsr7easp0pz0v5xxsaspratxsv" timestamp="1594739859" guid="55577998-55b9-4465-b1cc-b9740d7248b0"&gt;2493&lt;/key&gt;&lt;key app="ENWeb" db-id=""&gt;0&lt;/key&gt;&lt;/foreign-keys&gt;&lt;ref-type name="Report"&gt;27&lt;/ref-type&gt;&lt;contributors&gt;&lt;authors&gt;&lt;author&gt;Bedwell, Pete&lt;/author&gt;&lt;author&gt;Wellings, Joseph&lt;/author&gt;&lt;author&gt;Haywood, Stephanie M.&lt;/author&gt;&lt;author&gt;Hort, Matthew&lt;/author&gt;&lt;author&gt;Jones, A. R.&lt;/author&gt;&lt;author&gt;Thomson, D. J.&lt;/author&gt;&lt;/authors&gt;&lt;tertiary-authors&gt;&lt;author&gt;Health Protection Agency,&lt;/author&gt;&lt;/tertiary-authors&gt;&lt;/contributors&gt;&lt;titles&gt;&lt;title&gt;Intercomparison of the &amp;apos;R91&amp;apos; Gaussian Plume Model and the UK Met Office&amp;apos;s Lagrangian Particle NAME III Model in the Context of a Short-duration Release&lt;/title&gt;&lt;secondary-title&gt;HPA CRCE Series&lt;/secondary-title&gt;&lt;/titles&gt;&lt;volume&gt;HPA-CRCE-029&lt;/volume&gt;&lt;number&gt;HPA-CRCE-029&lt;/number&gt;&lt;dates&gt;&lt;year&gt;2011&lt;/year&gt;&lt;pub-dates&gt;&lt;date&gt;November 2011&lt;/date&gt;&lt;/pub-dates&gt;&lt;/dates&gt;&lt;pub-location&gt;Chilton (UK)&lt;/pub-location&gt;&lt;publisher&gt;Health Protection Agency&lt;/publisher&gt;&lt;urls&gt;&lt;/urls&gt;&lt;/record&gt;&lt;/Cite&gt;&lt;/EndNote&gt;</w:instrText>
      </w:r>
      <w:r w:rsidR="00645742">
        <w:fldChar w:fldCharType="separate"/>
      </w:r>
      <w:r w:rsidR="00645742">
        <w:rPr>
          <w:noProof/>
        </w:rPr>
        <w:t>Bedwell et al (2011)</w:t>
      </w:r>
      <w:r w:rsidR="00645742">
        <w:fldChar w:fldCharType="end"/>
      </w:r>
      <w:r w:rsidR="00645742">
        <w:t xml:space="preserve"> </w:t>
      </w:r>
      <w:r w:rsidR="00893342">
        <w:t>highlighted</w:t>
      </w:r>
      <w:r>
        <w:t xml:space="preserve"> that the “R91 model” (upon which ADEPT is based) estimates greater activity concentrations in air than both ADMS and NAME (by a factor of 2-3 in the case of the latter), for model scenarios</w:t>
      </w:r>
      <w:r w:rsidR="00893342">
        <w:t xml:space="preserve"> similar to those considered here</w:t>
      </w:r>
      <w:r>
        <w:t>.</w:t>
      </w:r>
      <w:r w:rsidR="00893342">
        <w:t xml:space="preserve"> </w:t>
      </w:r>
      <w:r w:rsidR="00310040">
        <w:fldChar w:fldCharType="begin"/>
      </w:r>
      <w:r w:rsidR="00CF6391">
        <w:instrText xml:space="preserve"> ADDIN EN.CITE &lt;EndNote&gt;&lt;Cite AuthorYear="1"&gt;&lt;Author&gt;Carruthers&lt;/Author&gt;&lt;Year&gt;1996&lt;/Year&gt;&lt;RecNum&gt;7435&lt;/RecNum&gt;&lt;DisplayText&gt;Carruthers et al (1996)&lt;/DisplayText&gt;&lt;record&gt;&lt;rec-number&gt;7435&lt;/rec-number&gt;&lt;foreign-keys&gt;&lt;key app="EN" db-id="r5f5xrrfzavsr7easp0pz0v5xxsaspratxsv" timestamp="1632309638" guid="899c83ee-5806-46f5-8a00-a7b3c1aca830"&gt;7435&lt;/key&gt;&lt;/foreign-keys&gt;&lt;ref-type name="Report"&gt;27&lt;/ref-type&gt;&lt;contributors&gt;&lt;authors&gt;&lt;author&gt;Carruthers, D. J.&lt;/author&gt;&lt;author&gt;Edmunds, H. A.&lt;/author&gt;&lt;author&gt;Bennet, M.&lt;/author&gt;&lt;author&gt;Woods, P. T.&lt;/author&gt;&lt;author&gt;Milton, M. J. T.&lt;/author&gt;&lt;author&gt;Robinson, R.&lt;/author&gt;&lt;author&gt;Underwood, B. Y.&lt;/author&gt;&lt;author&gt;Franklin, C. J.&lt;/author&gt;&lt;/authors&gt;&lt;/contributors&gt;&lt;titles&gt;&lt;title&gt;Validation of the UK-ADMS Dispersion Model and Assessment of its Performance relative to R91 and ISC using Archived LIDAR Data.&lt;/title&gt;&lt;/titles&gt;&lt;number&gt;DoE/HMIP Report No DoE/HMIP/RR/95/022.&lt;/number&gt;&lt;dates&gt;&lt;year&gt;1996&lt;/year&gt;&lt;/dates&gt;&lt;urls&gt;&lt;/urls&gt;&lt;/record&gt;&lt;/Cite&gt;&lt;/EndNote&gt;</w:instrText>
      </w:r>
      <w:r w:rsidR="00310040">
        <w:fldChar w:fldCharType="separate"/>
      </w:r>
      <w:r w:rsidR="00310040">
        <w:rPr>
          <w:noProof/>
        </w:rPr>
        <w:t>Carruthers et al (1996)</w:t>
      </w:r>
      <w:r w:rsidR="00310040">
        <w:fldChar w:fldCharType="end"/>
      </w:r>
      <w:r>
        <w:t xml:space="preserve"> specifically compared R91 and ADMS </w:t>
      </w:r>
      <w:r w:rsidR="0056377C">
        <w:t>with</w:t>
      </w:r>
      <w:r>
        <w:t xml:space="preserve"> LIDAR data and substantiated </w:t>
      </w:r>
      <w:r w:rsidR="00DC69CD">
        <w:t>findings by</w:t>
      </w:r>
      <w:r w:rsidR="0056377C">
        <w:t xml:space="preserve"> other studies </w:t>
      </w:r>
      <w:r>
        <w:t>that R91 under-predicts</w:t>
      </w:r>
      <w:r w:rsidR="0056377C">
        <w:t xml:space="preserve"> </w:t>
      </w:r>
      <w:r w:rsidR="0056377C">
        <w:rPr>
          <w:rFonts w:cstheme="minorHAnsi"/>
        </w:rPr>
        <w:t>σ</w:t>
      </w:r>
      <w:r w:rsidR="0056377C" w:rsidRPr="0056377C">
        <w:rPr>
          <w:vertAlign w:val="subscript"/>
        </w:rPr>
        <w:t>y</w:t>
      </w:r>
      <w:r w:rsidR="0056377C">
        <w:t xml:space="preserve"> and </w:t>
      </w:r>
      <w:r w:rsidR="0056377C">
        <w:rPr>
          <w:rFonts w:cstheme="minorHAnsi"/>
        </w:rPr>
        <w:t>σ</w:t>
      </w:r>
      <w:r w:rsidR="0056377C">
        <w:rPr>
          <w:vertAlign w:val="subscript"/>
        </w:rPr>
        <w:t>z</w:t>
      </w:r>
      <w:r>
        <w:t xml:space="preserve"> </w:t>
      </w:r>
      <w:r w:rsidR="008C76AD">
        <w:t>and thereby overpredict</w:t>
      </w:r>
      <w:r w:rsidR="0056377C">
        <w:t>s</w:t>
      </w:r>
      <w:r w:rsidR="008C76AD">
        <w:t xml:space="preserve"> activity concentrations in air</w:t>
      </w:r>
      <w:r w:rsidR="00DC69CD">
        <w:t xml:space="preserve"> (in the relatively near field).</w:t>
      </w:r>
      <w:r w:rsidR="008C76AD">
        <w:t xml:space="preserve"> The </w:t>
      </w:r>
      <w:r w:rsidR="0056377C">
        <w:t>consequence</w:t>
      </w:r>
      <w:r w:rsidR="008C76AD">
        <w:t xml:space="preserve"> is an overprediction in inhalation doses </w:t>
      </w:r>
      <w:r w:rsidR="0056377C">
        <w:t xml:space="preserve">derived on the basis of </w:t>
      </w:r>
      <w:r w:rsidR="008C76AD">
        <w:t xml:space="preserve">ADEPT, </w:t>
      </w:r>
      <w:r w:rsidR="000D28C7">
        <w:t>which contributed a significant proportion of</w:t>
      </w:r>
      <w:r w:rsidR="008C76AD">
        <w:t xml:space="preserve"> </w:t>
      </w:r>
      <w:r w:rsidR="0056377C">
        <w:t>the</w:t>
      </w:r>
      <w:r w:rsidR="000D28C7">
        <w:t xml:space="preserve"> ADEPT</w:t>
      </w:r>
      <w:r w:rsidR="0056377C">
        <w:t xml:space="preserve"> </w:t>
      </w:r>
      <w:r w:rsidR="00DC69CD">
        <w:t xml:space="preserve">7-day </w:t>
      </w:r>
      <w:r w:rsidR="0056377C">
        <w:t xml:space="preserve">doses detailed in </w:t>
      </w:r>
      <w:r w:rsidR="008C76AD">
        <w:fldChar w:fldCharType="begin"/>
      </w:r>
      <w:r w:rsidR="008C76AD">
        <w:instrText xml:space="preserve"> REF _Ref83203834 \h </w:instrText>
      </w:r>
      <w:r w:rsidR="008C76AD">
        <w:fldChar w:fldCharType="separate"/>
      </w:r>
      <w:r w:rsidR="00926FE3">
        <w:t xml:space="preserve">Figure </w:t>
      </w:r>
      <w:r w:rsidR="00926FE3">
        <w:rPr>
          <w:noProof/>
        </w:rPr>
        <w:t>40</w:t>
      </w:r>
      <w:r w:rsidR="008C76AD">
        <w:fldChar w:fldCharType="end"/>
      </w:r>
      <w:r w:rsidR="008C76AD">
        <w:t xml:space="preserve"> and </w:t>
      </w:r>
      <w:r w:rsidR="008C76AD">
        <w:fldChar w:fldCharType="begin"/>
      </w:r>
      <w:r w:rsidR="008C76AD">
        <w:instrText xml:space="preserve"> REF _Ref83203840 \h </w:instrText>
      </w:r>
      <w:r w:rsidR="008C76AD">
        <w:fldChar w:fldCharType="separate"/>
      </w:r>
      <w:r w:rsidR="00926FE3">
        <w:t xml:space="preserve">Figure </w:t>
      </w:r>
      <w:r w:rsidR="00926FE3">
        <w:rPr>
          <w:noProof/>
        </w:rPr>
        <w:t>42</w:t>
      </w:r>
      <w:r w:rsidR="008C76AD">
        <w:fldChar w:fldCharType="end"/>
      </w:r>
      <w:r w:rsidR="008C76AD">
        <w:t xml:space="preserve">. This observation is not a feature </w:t>
      </w:r>
      <w:r w:rsidR="0056377C">
        <w:t>of</w:t>
      </w:r>
      <w:r w:rsidR="008C76AD">
        <w:t xml:space="preserve"> </w:t>
      </w:r>
      <w:r w:rsidR="008C76AD">
        <w:fldChar w:fldCharType="begin"/>
      </w:r>
      <w:r w:rsidR="008C76AD">
        <w:instrText xml:space="preserve"> REF _Ref83204543 \h </w:instrText>
      </w:r>
      <w:r w:rsidR="008C76AD">
        <w:fldChar w:fldCharType="separate"/>
      </w:r>
      <w:r w:rsidR="00926FE3">
        <w:t xml:space="preserve">Figure </w:t>
      </w:r>
      <w:r w:rsidR="00926FE3">
        <w:rPr>
          <w:noProof/>
        </w:rPr>
        <w:t>41</w:t>
      </w:r>
      <w:r w:rsidR="008C76AD">
        <w:fldChar w:fldCharType="end"/>
      </w:r>
      <w:r w:rsidR="008C76AD">
        <w:t xml:space="preserve"> and </w:t>
      </w:r>
      <w:r w:rsidR="008C76AD">
        <w:fldChar w:fldCharType="begin"/>
      </w:r>
      <w:r w:rsidR="008C76AD">
        <w:instrText xml:space="preserve"> REF _Ref83204545 \h </w:instrText>
      </w:r>
      <w:r w:rsidR="008C76AD">
        <w:fldChar w:fldCharType="separate"/>
      </w:r>
      <w:r w:rsidR="00926FE3">
        <w:t xml:space="preserve">Figure </w:t>
      </w:r>
      <w:r w:rsidR="00926FE3">
        <w:rPr>
          <w:noProof/>
        </w:rPr>
        <w:t>43</w:t>
      </w:r>
      <w:r w:rsidR="008C76AD">
        <w:fldChar w:fldCharType="end"/>
      </w:r>
      <w:r w:rsidR="000D28C7">
        <w:t>,</w:t>
      </w:r>
      <w:r w:rsidR="00DC69CD">
        <w:t xml:space="preserve"> </w:t>
      </w:r>
      <w:r w:rsidR="000D28C7">
        <w:t>because</w:t>
      </w:r>
      <w:r w:rsidR="00B02AC8">
        <w:t xml:space="preserve"> </w:t>
      </w:r>
      <w:r w:rsidR="000D28C7">
        <w:t xml:space="preserve">in those cases </w:t>
      </w:r>
      <w:r w:rsidR="00C429D7">
        <w:t>the ingestion exposure pathway (rather than the inhalation</w:t>
      </w:r>
      <w:r w:rsidR="00DB1407">
        <w:t xml:space="preserve"> exposure pathway</w:t>
      </w:r>
      <w:r w:rsidR="00C429D7">
        <w:t xml:space="preserve">) </w:t>
      </w:r>
      <w:r w:rsidR="00DB1407">
        <w:t>was</w:t>
      </w:r>
      <w:r w:rsidR="0056377C">
        <w:t xml:space="preserve"> </w:t>
      </w:r>
      <w:r w:rsidR="008C76AD">
        <w:t>domina</w:t>
      </w:r>
      <w:r w:rsidR="0056377C">
        <w:t>nt</w:t>
      </w:r>
      <w:r w:rsidR="000833F8">
        <w:t xml:space="preserve">. </w:t>
      </w:r>
      <w:r w:rsidR="000908B9">
        <w:t>The a</w:t>
      </w:r>
      <w:r w:rsidR="000833F8">
        <w:t>ssum</w:t>
      </w:r>
      <w:r w:rsidR="000908B9">
        <w:t>ed fraction of milk consumed fresh and processed</w:t>
      </w:r>
      <w:r w:rsidR="000833F8">
        <w:t xml:space="preserve"> in the </w:t>
      </w:r>
      <w:r w:rsidR="000908B9">
        <w:t xml:space="preserve">assessment of </w:t>
      </w:r>
      <w:r w:rsidR="000833F8">
        <w:t>ingestion dose differ</w:t>
      </w:r>
      <w:r w:rsidR="000908B9">
        <w:t>ed</w:t>
      </w:r>
      <w:r w:rsidR="000833F8">
        <w:t xml:space="preserve"> </w:t>
      </w:r>
      <w:r w:rsidR="000908B9">
        <w:t>when modelling on the basis of</w:t>
      </w:r>
      <w:r w:rsidR="000833F8">
        <w:t xml:space="preserve"> ADMS and ADEPT</w:t>
      </w:r>
      <w:r w:rsidR="00B055C4">
        <w:t>.</w:t>
      </w:r>
      <w:r w:rsidR="005F3CD9">
        <w:t xml:space="preserve"> </w:t>
      </w:r>
      <w:r w:rsidR="00B055C4">
        <w:t xml:space="preserve">Therefore in </w:t>
      </w:r>
      <w:r w:rsidR="00B055C4">
        <w:fldChar w:fldCharType="begin"/>
      </w:r>
      <w:r w:rsidR="00B055C4">
        <w:instrText xml:space="preserve"> REF _Ref83204543 \h </w:instrText>
      </w:r>
      <w:r w:rsidR="00B055C4">
        <w:fldChar w:fldCharType="separate"/>
      </w:r>
      <w:r w:rsidR="00926FE3">
        <w:t xml:space="preserve">Figure </w:t>
      </w:r>
      <w:r w:rsidR="00926FE3">
        <w:rPr>
          <w:noProof/>
        </w:rPr>
        <w:t>41</w:t>
      </w:r>
      <w:r w:rsidR="00B055C4">
        <w:fldChar w:fldCharType="end"/>
      </w:r>
      <w:r w:rsidR="00B055C4">
        <w:t xml:space="preserve"> and </w:t>
      </w:r>
      <w:r w:rsidR="00B055C4">
        <w:fldChar w:fldCharType="begin"/>
      </w:r>
      <w:r w:rsidR="00B055C4">
        <w:instrText xml:space="preserve"> REF _Ref83204545 \h </w:instrText>
      </w:r>
      <w:r w:rsidR="00B055C4">
        <w:fldChar w:fldCharType="separate"/>
      </w:r>
      <w:r w:rsidR="00926FE3">
        <w:t xml:space="preserve">Figure </w:t>
      </w:r>
      <w:r w:rsidR="00926FE3">
        <w:rPr>
          <w:noProof/>
        </w:rPr>
        <w:t>43</w:t>
      </w:r>
      <w:r w:rsidR="00B055C4">
        <w:fldChar w:fldCharType="end"/>
      </w:r>
      <w:r w:rsidR="00B055C4">
        <w:t xml:space="preserve"> the over prediction in deposition concentrations in </w:t>
      </w:r>
      <w:r w:rsidR="003E210D">
        <w:t>ADEPT</w:t>
      </w:r>
      <w:r w:rsidR="00B055C4">
        <w:t xml:space="preserve"> (as a result of the under-prediction of </w:t>
      </w:r>
      <w:r w:rsidR="00B055C4">
        <w:rPr>
          <w:rFonts w:cstheme="minorHAnsi"/>
        </w:rPr>
        <w:t>σ</w:t>
      </w:r>
      <w:r w:rsidR="00B055C4" w:rsidRPr="0056377C">
        <w:rPr>
          <w:vertAlign w:val="subscript"/>
        </w:rPr>
        <w:t>y</w:t>
      </w:r>
      <w:r w:rsidR="00B055C4">
        <w:t xml:space="preserve"> and </w:t>
      </w:r>
      <w:r w:rsidR="00B055C4">
        <w:rPr>
          <w:rFonts w:cstheme="minorHAnsi"/>
        </w:rPr>
        <w:t>σ</w:t>
      </w:r>
      <w:r w:rsidR="00B055C4">
        <w:rPr>
          <w:vertAlign w:val="subscript"/>
        </w:rPr>
        <w:t>z</w:t>
      </w:r>
      <w:r w:rsidR="00B055C4">
        <w:t xml:space="preserve">) </w:t>
      </w:r>
      <w:r w:rsidR="003E210D">
        <w:t>was</w:t>
      </w:r>
      <w:r w:rsidR="00B055C4">
        <w:t xml:space="preserve"> somewhat negated by the reduction in the estimate of ingestion dose by the assumption of 50% of milk being processed.</w:t>
      </w:r>
    </w:p>
    <w:p w14:paraId="6B6082DF" w14:textId="09502373" w:rsidR="001B4F0B" w:rsidRDefault="001B4F0B" w:rsidP="00B60808">
      <w:pPr>
        <w:pStyle w:val="BodyText"/>
        <w:jc w:val="both"/>
      </w:pPr>
      <w:r>
        <w:t xml:space="preserve">It is clear that a determination of whether a particular model is appropriate for DBA use or not, is dependent not only on the model itself, but also on the way in which that model is </w:t>
      </w:r>
      <w:r w:rsidR="002B1FE1">
        <w:t>applied</w:t>
      </w:r>
      <w:r>
        <w:t>.</w:t>
      </w:r>
      <w:r w:rsidR="00D72BA9">
        <w:t xml:space="preserve"> Nonetheless, if Gaussian Plume models are to be used to estimate doses arising from long-duration releases,</w:t>
      </w:r>
      <w:r w:rsidR="00823247">
        <w:t xml:space="preserve"> alongside the assumption of constant meteorological conditions,</w:t>
      </w:r>
      <w:r w:rsidR="00D72BA9">
        <w:t xml:space="preserve"> this must be done with an appreciation of the potential </w:t>
      </w:r>
      <w:r w:rsidR="00823247">
        <w:t xml:space="preserve">for significant </w:t>
      </w:r>
      <w:r w:rsidR="00D72BA9">
        <w:t>inaccuracies</w:t>
      </w:r>
      <w:r w:rsidR="00823247">
        <w:t xml:space="preserve"> and conservatism</w:t>
      </w:r>
      <w:r w:rsidR="00D72BA9">
        <w:t>.</w:t>
      </w:r>
    </w:p>
    <w:p w14:paraId="62D06C6B" w14:textId="77777777" w:rsidR="00AB18D6" w:rsidRDefault="00AB18D6" w:rsidP="00AE361C">
      <w:pPr>
        <w:pStyle w:val="BodyText"/>
        <w:rPr>
          <w:color w:val="FF0000"/>
        </w:rPr>
      </w:pPr>
    </w:p>
    <w:p w14:paraId="77E44F58" w14:textId="4A46B565" w:rsidR="005102DF" w:rsidRDefault="00D556F1" w:rsidP="005102DF">
      <w:pPr>
        <w:pStyle w:val="Heading3"/>
      </w:pPr>
      <w:bookmarkStart w:id="210" w:name="_Ref83646892"/>
      <w:bookmarkStart w:id="211" w:name="_Toc89966430"/>
      <w:bookmarkStart w:id="212" w:name="_Ref80881450"/>
      <w:r>
        <w:t>Calculation of external dose in ADMS</w:t>
      </w:r>
      <w:bookmarkEnd w:id="210"/>
      <w:bookmarkEnd w:id="211"/>
    </w:p>
    <w:bookmarkEnd w:id="212"/>
    <w:p w14:paraId="50C05178" w14:textId="2F104E44" w:rsidR="00F41CA6" w:rsidRDefault="00220D19" w:rsidP="000E456C">
      <w:pPr>
        <w:pStyle w:val="BodyText"/>
        <w:jc w:val="both"/>
      </w:pPr>
      <w:r>
        <w:t xml:space="preserve">The </w:t>
      </w:r>
      <w:r w:rsidRPr="00220D19">
        <w:t>ADMS</w:t>
      </w:r>
      <w:r>
        <w:t xml:space="preserve"> model includes the ability to estimate cloud gamma and deposited gamma dose</w:t>
      </w:r>
      <w:r w:rsidR="004A3CFC">
        <w:t xml:space="preserve"> (as described in Section </w:t>
      </w:r>
      <w:r w:rsidR="004A3CFC">
        <w:fldChar w:fldCharType="begin"/>
      </w:r>
      <w:r w:rsidR="004A3CFC">
        <w:instrText xml:space="preserve"> REF _Ref71222456 \r \h </w:instrText>
      </w:r>
      <w:r w:rsidR="000E456C">
        <w:instrText xml:space="preserve"> \* MERGEFORMAT </w:instrText>
      </w:r>
      <w:r w:rsidR="004A3CFC">
        <w:fldChar w:fldCharType="separate"/>
      </w:r>
      <w:r w:rsidR="00926FE3">
        <w:t>4.4.2</w:t>
      </w:r>
      <w:r w:rsidR="004A3CFC">
        <w:fldChar w:fldCharType="end"/>
      </w:r>
      <w:r w:rsidR="004A3CFC">
        <w:t>)</w:t>
      </w:r>
      <w:r>
        <w:t xml:space="preserve">. However due to the limited description of the dose estimation approaches in the ADMS model User Guide and the desire to better understand any potential differences observed between ADMS and alternative model derived dose estimates, </w:t>
      </w:r>
      <w:r w:rsidR="004A3CFC">
        <w:t xml:space="preserve">dose estimates based on </w:t>
      </w:r>
      <w:r>
        <w:t xml:space="preserve">ADMS derived environmental concentrations were also </w:t>
      </w:r>
      <w:r w:rsidR="004A3CFC">
        <w:t>determined (</w:t>
      </w:r>
      <w:r>
        <w:t>as part of a post processing step outside of the ADMS model</w:t>
      </w:r>
      <w:r w:rsidR="004A3CFC">
        <w:t>)</w:t>
      </w:r>
      <w:r>
        <w:t>.</w:t>
      </w:r>
      <w:r w:rsidR="00C60FDF">
        <w:t xml:space="preserve"> </w:t>
      </w:r>
      <w:r w:rsidR="004A3CFC">
        <w:t xml:space="preserve">For </w:t>
      </w:r>
      <w:r w:rsidR="0084090A">
        <w:t xml:space="preserve">methodology </w:t>
      </w:r>
      <w:r w:rsidR="004A3CFC">
        <w:t xml:space="preserve">details see Section </w:t>
      </w:r>
      <w:r w:rsidR="004A3CFC">
        <w:fldChar w:fldCharType="begin"/>
      </w:r>
      <w:r w:rsidR="004A3CFC">
        <w:instrText xml:space="preserve"> REF _Ref81574383 \r \h </w:instrText>
      </w:r>
      <w:r w:rsidR="000E456C">
        <w:instrText xml:space="preserve"> \* MERGEFORMAT </w:instrText>
      </w:r>
      <w:r w:rsidR="004A3CFC">
        <w:fldChar w:fldCharType="separate"/>
      </w:r>
      <w:r w:rsidR="00926FE3">
        <w:t>4.4.3</w:t>
      </w:r>
      <w:r w:rsidR="004A3CFC">
        <w:fldChar w:fldCharType="end"/>
      </w:r>
      <w:r w:rsidR="004A3CFC">
        <w:t xml:space="preserve">. Note that </w:t>
      </w:r>
      <w:r w:rsidR="006C5D4D">
        <w:t xml:space="preserve">the </w:t>
      </w:r>
      <w:r w:rsidR="00F41CA6">
        <w:t>approach</w:t>
      </w:r>
      <w:r w:rsidR="004A3CFC">
        <w:t xml:space="preserve"> applied when modelling doses from inhalation of the plume and ingestion of contaminated foodstuffs</w:t>
      </w:r>
      <w:r w:rsidR="00F41CA6">
        <w:t xml:space="preserve"> did not differ</w:t>
      </w:r>
      <w:r w:rsidR="004A3CFC">
        <w:t xml:space="preserve">, as neither of these exposure pathways are explicitly considered in ADMS. </w:t>
      </w:r>
    </w:p>
    <w:p w14:paraId="256F5E09" w14:textId="12B44A74" w:rsidR="00F41CA6" w:rsidRPr="00586830" w:rsidRDefault="00F41CA6" w:rsidP="00CE03FF">
      <w:pPr>
        <w:pStyle w:val="BodyText"/>
        <w:jc w:val="both"/>
      </w:pPr>
      <w:r>
        <w:t xml:space="preserve">Both </w:t>
      </w:r>
      <w:r w:rsidR="00CE03FF">
        <w:t>methods of estimating external dose by way of</w:t>
      </w:r>
      <w:r>
        <w:t xml:space="preserve"> ADMS </w:t>
      </w:r>
      <w:r w:rsidR="00CE03FF">
        <w:t>assumed</w:t>
      </w:r>
      <w:r w:rsidRPr="00586830">
        <w:t xml:space="preserve"> a range of precipitation rates in Pasquill Stability Category D conditions. Similar model runs were carried out for Pasquill Stability Category F conditions with no precipitation. The results were then compared.</w:t>
      </w:r>
    </w:p>
    <w:p w14:paraId="3C7742A1" w14:textId="77777777" w:rsidR="00F41CA6" w:rsidRPr="00586830" w:rsidRDefault="00F41CA6" w:rsidP="00CE03FF">
      <w:pPr>
        <w:pStyle w:val="BodyText"/>
        <w:jc w:val="both"/>
      </w:pPr>
      <w:r w:rsidRPr="00586830">
        <w:t>The model runs were carried out for all four source terms considered in the present study (LBL, FH, SGT</w:t>
      </w:r>
      <w:r>
        <w:t>R</w:t>
      </w:r>
      <w:r w:rsidRPr="00586830">
        <w:t xml:space="preserve"> and RCCAE). In the case of the LBL source term, seven precipitation rates were considered: 0. 0.01, 0.1, 1, 2, 4 and 8 mm h</w:t>
      </w:r>
      <w:r w:rsidRPr="00586830">
        <w:rPr>
          <w:vertAlign w:val="superscript"/>
        </w:rPr>
        <w:t>-1</w:t>
      </w:r>
      <w:r w:rsidRPr="00586830">
        <w:t>. For the other three source terms, only three precipitation rates were considered: 0, 1 and 8 mm h</w:t>
      </w:r>
      <w:r w:rsidRPr="00586830">
        <w:rPr>
          <w:vertAlign w:val="superscript"/>
        </w:rPr>
        <w:t>-1</w:t>
      </w:r>
      <w:r w:rsidRPr="00586830">
        <w:t>. This was so as to keep to a manageable number of model runs.</w:t>
      </w:r>
    </w:p>
    <w:p w14:paraId="51D5DA15" w14:textId="633E3CFC" w:rsidR="00F41CA6" w:rsidRDefault="004A3CFC" w:rsidP="00CE03FF">
      <w:pPr>
        <w:pStyle w:val="BodyText"/>
        <w:jc w:val="both"/>
      </w:pPr>
      <w:r>
        <w:t xml:space="preserve">The doses presented and discussed in this section are the total doses summed over all (four) exposure pathways (considered in this study). In </w:t>
      </w:r>
      <w:r>
        <w:fldChar w:fldCharType="begin"/>
      </w:r>
      <w:r>
        <w:instrText xml:space="preserve"> REF _Ref81574610 \h </w:instrText>
      </w:r>
      <w:r w:rsidR="00CE03FF">
        <w:instrText xml:space="preserve"> \* MERGEFORMAT </w:instrText>
      </w:r>
      <w:r>
        <w:fldChar w:fldCharType="separate"/>
      </w:r>
      <w:r w:rsidR="00926FE3">
        <w:t xml:space="preserve">Figure </w:t>
      </w:r>
      <w:r w:rsidR="00926FE3">
        <w:rPr>
          <w:noProof/>
        </w:rPr>
        <w:t>44</w:t>
      </w:r>
      <w:r>
        <w:fldChar w:fldCharType="end"/>
      </w:r>
      <w:r>
        <w:t xml:space="preserve"> and </w:t>
      </w:r>
      <w:r>
        <w:fldChar w:fldCharType="begin"/>
      </w:r>
      <w:r>
        <w:instrText xml:space="preserve"> REF _Ref81574617 \h </w:instrText>
      </w:r>
      <w:r w:rsidR="00CE03FF">
        <w:instrText xml:space="preserve"> \* MERGEFORMAT </w:instrText>
      </w:r>
      <w:r>
        <w:fldChar w:fldCharType="separate"/>
      </w:r>
      <w:r w:rsidR="00926FE3">
        <w:t xml:space="preserve">Figure </w:t>
      </w:r>
      <w:r w:rsidR="00926FE3">
        <w:rPr>
          <w:noProof/>
        </w:rPr>
        <w:t>45</w:t>
      </w:r>
      <w:r>
        <w:fldChar w:fldCharType="end"/>
      </w:r>
      <w:r w:rsidR="00C60FDF">
        <w:t xml:space="preserve"> </w:t>
      </w:r>
      <w:r w:rsidR="00042E60">
        <w:t>t</w:t>
      </w:r>
      <w:r w:rsidRPr="004A3CFC">
        <w:t>he doses labelled "Ext1" are the ext</w:t>
      </w:r>
      <w:r w:rsidR="000C5DE3">
        <w:t>ernal</w:t>
      </w:r>
      <w:r w:rsidRPr="004A3CFC">
        <w:t xml:space="preserve"> doses</w:t>
      </w:r>
      <w:r w:rsidR="002A6252">
        <w:t xml:space="preserve"> derived by way of</w:t>
      </w:r>
      <w:r w:rsidR="0084090A">
        <w:t xml:space="preserve"> a </w:t>
      </w:r>
      <w:r w:rsidR="002A6252">
        <w:t xml:space="preserve">significant </w:t>
      </w:r>
      <w:r w:rsidR="0084090A">
        <w:t xml:space="preserve">post processing step </w:t>
      </w:r>
      <w:r w:rsidRPr="004A3CFC">
        <w:t xml:space="preserve">outside of </w:t>
      </w:r>
      <w:r w:rsidR="0084090A">
        <w:t xml:space="preserve">the </w:t>
      </w:r>
      <w:r w:rsidRPr="004A3CFC">
        <w:t>ADMS</w:t>
      </w:r>
      <w:r w:rsidR="0084090A">
        <w:t xml:space="preserve"> model</w:t>
      </w:r>
      <w:r w:rsidR="002A6252">
        <w:t xml:space="preserve">, </w:t>
      </w:r>
      <w:r w:rsidRPr="004A3CFC">
        <w:t>on the basis of env</w:t>
      </w:r>
      <w:r w:rsidR="004B137D">
        <w:t xml:space="preserve">ironmental </w:t>
      </w:r>
      <w:r w:rsidRPr="004A3CFC">
        <w:t>conc</w:t>
      </w:r>
      <w:r w:rsidR="004B137D">
        <w:t>entration</w:t>
      </w:r>
      <w:r w:rsidRPr="004A3CFC">
        <w:t>s</w:t>
      </w:r>
      <w:r w:rsidR="002A6252">
        <w:t xml:space="preserve"> estimated by ADMS</w:t>
      </w:r>
      <w:r w:rsidR="000C5DE3">
        <w:t>; t</w:t>
      </w:r>
      <w:r w:rsidRPr="004A3CFC">
        <w:t xml:space="preserve">he doses labelled "Ext2" </w:t>
      </w:r>
      <w:r w:rsidR="002A6252">
        <w:t>are the external doses derived explicitly within the</w:t>
      </w:r>
      <w:r w:rsidRPr="004A3CFC">
        <w:t xml:space="preserve"> ADMS </w:t>
      </w:r>
      <w:r w:rsidR="002A6252">
        <w:t>model (alongside a relatively small amount of formatting as part of a minor post processing step)</w:t>
      </w:r>
      <w:r w:rsidR="000C5DE3">
        <w:t>.</w:t>
      </w:r>
      <w:r w:rsidR="00ED7875">
        <w:t xml:space="preserve"> </w:t>
      </w:r>
      <w:r w:rsidR="00F41CA6">
        <w:t xml:space="preserve">The </w:t>
      </w:r>
      <w:r w:rsidR="00F41CA6" w:rsidRPr="005C554B">
        <w:rPr>
          <w:i/>
        </w:rPr>
        <w:t>7-day</w:t>
      </w:r>
      <w:r w:rsidR="00F41CA6">
        <w:t xml:space="preserve"> and </w:t>
      </w:r>
      <w:r w:rsidR="00F41CA6" w:rsidRPr="00BB5908">
        <w:rPr>
          <w:i/>
          <w:iCs/>
        </w:rPr>
        <w:t>30-day</w:t>
      </w:r>
      <w:r w:rsidR="00F41CA6">
        <w:t xml:space="preserve"> doses were maximum 7-day and 30</w:t>
      </w:r>
      <w:r w:rsidR="00F41CA6">
        <w:noBreakHyphen/>
        <w:t xml:space="preserve">day effective dose assuming no ingestion, respectively, whereas the </w:t>
      </w:r>
      <w:r w:rsidR="00F41CA6" w:rsidRPr="00BB5908">
        <w:rPr>
          <w:i/>
          <w:iCs/>
        </w:rPr>
        <w:t>lifetime</w:t>
      </w:r>
      <w:r w:rsidR="00F41CA6">
        <w:t xml:space="preserve"> doses were maximum lifetime effective dose including ingestion and assuming no food restrictions.</w:t>
      </w:r>
    </w:p>
    <w:p w14:paraId="75788676" w14:textId="4C0AA88B" w:rsidR="00ED7875" w:rsidRDefault="00F41CA6" w:rsidP="00CE03FF">
      <w:pPr>
        <w:pStyle w:val="BodyText"/>
        <w:jc w:val="both"/>
      </w:pPr>
      <w:r w:rsidRPr="00336F75">
        <w:t xml:space="preserve">In </w:t>
      </w:r>
      <w:r w:rsidR="00ED7875">
        <w:t>almost all cases</w:t>
      </w:r>
      <w:r>
        <w:t xml:space="preserve">, </w:t>
      </w:r>
      <w:r w:rsidR="00ED7875">
        <w:t>“Ext 2” dose estimates were greater than the respective “Ext 1” dose estimates</w:t>
      </w:r>
      <w:r w:rsidR="004F65CD">
        <w:t xml:space="preserve"> (see </w:t>
      </w:r>
      <w:r w:rsidR="004F65CD">
        <w:fldChar w:fldCharType="begin"/>
      </w:r>
      <w:r w:rsidR="004F65CD">
        <w:instrText xml:space="preserve"> REF _Ref81574610 \h </w:instrText>
      </w:r>
      <w:r w:rsidR="00CE03FF">
        <w:instrText xml:space="preserve"> \* MERGEFORMAT </w:instrText>
      </w:r>
      <w:r w:rsidR="004F65CD">
        <w:fldChar w:fldCharType="separate"/>
      </w:r>
      <w:r w:rsidR="00926FE3">
        <w:t xml:space="preserve">Figure </w:t>
      </w:r>
      <w:r w:rsidR="00926FE3">
        <w:rPr>
          <w:noProof/>
        </w:rPr>
        <w:t>44</w:t>
      </w:r>
      <w:r w:rsidR="004F65CD">
        <w:fldChar w:fldCharType="end"/>
      </w:r>
      <w:r w:rsidR="004F65CD">
        <w:t xml:space="preserve"> and </w:t>
      </w:r>
      <w:r w:rsidR="004F65CD">
        <w:fldChar w:fldCharType="begin"/>
      </w:r>
      <w:r w:rsidR="004F65CD">
        <w:instrText xml:space="preserve"> REF _Ref81574617 \h </w:instrText>
      </w:r>
      <w:r w:rsidR="00CE03FF">
        <w:instrText xml:space="preserve"> \* MERGEFORMAT </w:instrText>
      </w:r>
      <w:r w:rsidR="004F65CD">
        <w:fldChar w:fldCharType="separate"/>
      </w:r>
      <w:r w:rsidR="00926FE3">
        <w:t xml:space="preserve">Figure </w:t>
      </w:r>
      <w:r w:rsidR="00926FE3">
        <w:rPr>
          <w:noProof/>
        </w:rPr>
        <w:t>45</w:t>
      </w:r>
      <w:r w:rsidR="004F65CD">
        <w:fldChar w:fldCharType="end"/>
      </w:r>
      <w:r w:rsidR="004F65CD">
        <w:t>)</w:t>
      </w:r>
      <w:r w:rsidR="00ED7875">
        <w:t>.</w:t>
      </w:r>
      <w:r w:rsidR="007635F8">
        <w:t xml:space="preserve"> </w:t>
      </w:r>
      <w:r w:rsidR="00E91B37">
        <w:t xml:space="preserve">In some cases the “Ext 2” dose estimates were significantly greater than the respective “Ext 1” dose estimates (see </w:t>
      </w:r>
      <w:r w:rsidR="00E91B37">
        <w:fldChar w:fldCharType="begin"/>
      </w:r>
      <w:r w:rsidR="00E91B37">
        <w:instrText xml:space="preserve"> REF _Ref81574610 \h  \* MERGEFORMAT </w:instrText>
      </w:r>
      <w:r w:rsidR="00E91B37">
        <w:fldChar w:fldCharType="separate"/>
      </w:r>
      <w:r w:rsidR="00926FE3">
        <w:t xml:space="preserve">Figure </w:t>
      </w:r>
      <w:r w:rsidR="00926FE3">
        <w:rPr>
          <w:noProof/>
        </w:rPr>
        <w:t>44</w:t>
      </w:r>
      <w:r w:rsidR="00E91B37">
        <w:fldChar w:fldCharType="end"/>
      </w:r>
      <w:r w:rsidR="00E91B37">
        <w:t xml:space="preserve">); this was most evident where the release duration was 30 days (LBL and RCCAE source terms). </w:t>
      </w:r>
      <w:r w:rsidR="007635F8">
        <w:t xml:space="preserve">Although not shown in </w:t>
      </w:r>
      <w:r w:rsidR="00E91B37">
        <w:t xml:space="preserve">any of </w:t>
      </w:r>
      <w:r w:rsidR="007635F8">
        <w:t xml:space="preserve">the </w:t>
      </w:r>
      <w:r w:rsidR="00E91B37">
        <w:t xml:space="preserve">figures detailed in this report, the </w:t>
      </w:r>
      <w:r w:rsidR="00ED7875">
        <w:t>7-day dose integration period and a Fuel Handling source term</w:t>
      </w:r>
      <w:r w:rsidR="00E91B37">
        <w:t xml:space="preserve"> scenario was an exception</w:t>
      </w:r>
      <w:r w:rsidR="00ED7875">
        <w:t xml:space="preserve">, </w:t>
      </w:r>
      <w:r w:rsidR="00E91B37">
        <w:t xml:space="preserve">whereby </w:t>
      </w:r>
      <w:r w:rsidR="00ED7875">
        <w:t xml:space="preserve">the “Ext 1” dose estimates were greater than the respective “Ext 2” dose estimates. </w:t>
      </w:r>
    </w:p>
    <w:p w14:paraId="7B0391EA" w14:textId="4F88F732" w:rsidR="00FC7853" w:rsidRDefault="00E13F4E" w:rsidP="00CE03FF">
      <w:pPr>
        <w:pStyle w:val="BodyText"/>
        <w:jc w:val="both"/>
      </w:pPr>
      <w:r>
        <w:t>Some potential sources of inaccuracy have been identified in the way ADMS estimates deposited gamma dose</w:t>
      </w:r>
      <w:r w:rsidR="00FC7853">
        <w:t>:</w:t>
      </w:r>
    </w:p>
    <w:p w14:paraId="34A1CA07" w14:textId="74CEFB7C" w:rsidR="00FC7853" w:rsidRDefault="00B43E94" w:rsidP="006D6FEA">
      <w:pPr>
        <w:pStyle w:val="ListParagraph"/>
        <w:numPr>
          <w:ilvl w:val="0"/>
          <w:numId w:val="10"/>
        </w:numPr>
        <w:jc w:val="both"/>
      </w:pPr>
      <w:r>
        <w:t xml:space="preserve">It is </w:t>
      </w:r>
      <w:r w:rsidR="0041167F">
        <w:t>based on the contribution from dry deposition only; there is no accounting of the co</w:t>
      </w:r>
      <w:r w:rsidR="00FC7853">
        <w:t>ntribution from wet deposition</w:t>
      </w:r>
      <w:r w:rsidR="00FA51E9">
        <w:t>.</w:t>
      </w:r>
    </w:p>
    <w:p w14:paraId="240BA928" w14:textId="20C07BAC" w:rsidR="0041167F" w:rsidRDefault="00BE04D7" w:rsidP="006D6FEA">
      <w:pPr>
        <w:pStyle w:val="ListParagraph"/>
        <w:numPr>
          <w:ilvl w:val="0"/>
          <w:numId w:val="10"/>
        </w:numPr>
        <w:jc w:val="both"/>
      </w:pPr>
      <w:r>
        <w:t xml:space="preserve">It </w:t>
      </w:r>
      <w:r w:rsidR="0041167F">
        <w:t>does not account for the radioactive decay of material after it has been deposited.</w:t>
      </w:r>
      <w:r w:rsidR="009763F2">
        <w:t xml:space="preserve"> CERC advise in the </w:t>
      </w:r>
      <w:r w:rsidR="00FC7853">
        <w:t>ADMS</w:t>
      </w:r>
      <w:r w:rsidR="009763F2">
        <w:t xml:space="preserve"> User Guide that the approach is satisfactory </w:t>
      </w:r>
      <w:r w:rsidR="008C40F8">
        <w:t xml:space="preserve">if the isotopes of interest have </w:t>
      </w:r>
      <w:r w:rsidR="00FC7853">
        <w:t>half-lives</w:t>
      </w:r>
      <w:r w:rsidR="008C40F8">
        <w:t xml:space="preserve"> much longer than the period of interest. </w:t>
      </w:r>
      <w:r w:rsidR="00FA51E9">
        <w:t xml:space="preserve">Thus, for example, estimates of dose based on </w:t>
      </w:r>
      <w:r w:rsidR="00FA51E9" w:rsidRPr="00FA51E9">
        <w:rPr>
          <w:vertAlign w:val="superscript"/>
        </w:rPr>
        <w:t>131</w:t>
      </w:r>
      <w:r w:rsidR="00FA51E9">
        <w:t xml:space="preserve">I in the environment would be significantly uncertain for all dose integration periods considered in this study (given the </w:t>
      </w:r>
      <w:r w:rsidR="008C40F8">
        <w:t>approx</w:t>
      </w:r>
      <w:r w:rsidR="00FA51E9">
        <w:t>imate</w:t>
      </w:r>
      <w:r w:rsidR="008C40F8">
        <w:t xml:space="preserve"> </w:t>
      </w:r>
      <w:r w:rsidR="00FA51E9">
        <w:t xml:space="preserve">8-day half-life). And as a further example, estimates of dose based on </w:t>
      </w:r>
      <w:r w:rsidR="00FA51E9" w:rsidRPr="00FA51E9">
        <w:rPr>
          <w:vertAlign w:val="superscript"/>
        </w:rPr>
        <w:t>13</w:t>
      </w:r>
      <w:r w:rsidR="00FA51E9">
        <w:rPr>
          <w:vertAlign w:val="superscript"/>
        </w:rPr>
        <w:t>7</w:t>
      </w:r>
      <w:r w:rsidR="00FA51E9">
        <w:t>Cs in the environment would be significantly uncertain for the lifetime dose integration period considered in this study (given the approximate 30</w:t>
      </w:r>
      <w:r w:rsidR="00B43E94">
        <w:t>-</w:t>
      </w:r>
      <w:r w:rsidR="00FA51E9">
        <w:t>year half-life).</w:t>
      </w:r>
    </w:p>
    <w:p w14:paraId="55C7A111" w14:textId="3B5AA58B" w:rsidR="00FA51E9" w:rsidRDefault="00BE04D7" w:rsidP="006D6FEA">
      <w:pPr>
        <w:pStyle w:val="ListParagraph"/>
        <w:numPr>
          <w:ilvl w:val="0"/>
          <w:numId w:val="10"/>
        </w:numPr>
        <w:jc w:val="both"/>
      </w:pPr>
      <w:r>
        <w:t>T</w:t>
      </w:r>
      <w:r w:rsidR="008C40F8">
        <w:t xml:space="preserve">here is no assumed transfer of </w:t>
      </w:r>
      <w:r w:rsidR="00FA51E9">
        <w:t>radioactive</w:t>
      </w:r>
      <w:r w:rsidR="008C40F8">
        <w:t xml:space="preserve"> </w:t>
      </w:r>
      <w:r w:rsidR="00FA51E9">
        <w:t>material</w:t>
      </w:r>
      <w:r w:rsidR="008C40F8">
        <w:t xml:space="preserve"> to </w:t>
      </w:r>
      <w:r w:rsidR="00FA51E9">
        <w:t>soil</w:t>
      </w:r>
      <w:r w:rsidR="008C40F8">
        <w:t xml:space="preserve">, and </w:t>
      </w:r>
      <w:r w:rsidR="006D6FEA">
        <w:t xml:space="preserve">migration </w:t>
      </w:r>
      <w:r w:rsidR="008C40F8">
        <w:t>down the soil column</w:t>
      </w:r>
      <w:r w:rsidR="00FA51E9">
        <w:t>.</w:t>
      </w:r>
    </w:p>
    <w:p w14:paraId="31FA214D" w14:textId="74E7C65F" w:rsidR="008C40F8" w:rsidRDefault="00BE04D7" w:rsidP="006D6FEA">
      <w:pPr>
        <w:pStyle w:val="ListParagraph"/>
        <w:numPr>
          <w:ilvl w:val="0"/>
          <w:numId w:val="10"/>
        </w:numPr>
        <w:spacing w:after="0"/>
        <w:ind w:left="1434" w:hanging="357"/>
        <w:jc w:val="both"/>
      </w:pPr>
      <w:r>
        <w:t>T</w:t>
      </w:r>
      <w:r w:rsidR="00FA51E9">
        <w:t xml:space="preserve">here is </w:t>
      </w:r>
      <w:r w:rsidR="008C40F8">
        <w:t xml:space="preserve">no accounting </w:t>
      </w:r>
      <w:r w:rsidR="00FA51E9">
        <w:t>for the</w:t>
      </w:r>
      <w:r w:rsidR="008C40F8">
        <w:t xml:space="preserve"> shielding </w:t>
      </w:r>
      <w:r w:rsidR="00FA51E9">
        <w:t xml:space="preserve">provided by </w:t>
      </w:r>
      <w:r w:rsidR="008C40F8">
        <w:t>material</w:t>
      </w:r>
      <w:r w:rsidR="00FA51E9">
        <w:t>s in the environment</w:t>
      </w:r>
      <w:r w:rsidR="008C40F8">
        <w:t xml:space="preserve"> (</w:t>
      </w:r>
      <w:r w:rsidR="00FA51E9">
        <w:t>e.g.</w:t>
      </w:r>
      <w:r w:rsidR="008C40F8">
        <w:t xml:space="preserve"> vegetation) i.e. a smooth infinite plane is assumed.</w:t>
      </w:r>
    </w:p>
    <w:p w14:paraId="4B23CA4A" w14:textId="512BAF39" w:rsidR="00F41CA6" w:rsidRDefault="00BE04D7" w:rsidP="006D6FEA">
      <w:pPr>
        <w:pStyle w:val="BodyText"/>
        <w:numPr>
          <w:ilvl w:val="0"/>
          <w:numId w:val="10"/>
        </w:numPr>
        <w:jc w:val="both"/>
      </w:pPr>
      <w:r>
        <w:t>T</w:t>
      </w:r>
      <w:r w:rsidR="0041167F">
        <w:t xml:space="preserve">here is no indication in any of the ADMS documentation which age group </w:t>
      </w:r>
      <w:r w:rsidR="00FA51E9">
        <w:t xml:space="preserve">the </w:t>
      </w:r>
      <w:r w:rsidR="0041167F">
        <w:t>dose estimates apply to</w:t>
      </w:r>
      <w:r w:rsidR="00FA51E9">
        <w:t xml:space="preserve"> (</w:t>
      </w:r>
      <w:r w:rsidR="006D6FEA">
        <w:t>an issue also affecting the</w:t>
      </w:r>
      <w:r w:rsidR="00FA51E9">
        <w:t xml:space="preserve"> cloud gamma pathway)</w:t>
      </w:r>
      <w:r w:rsidR="0041167F">
        <w:t>.</w:t>
      </w:r>
    </w:p>
    <w:p w14:paraId="3A3E3D4D" w14:textId="534F7349" w:rsidR="00FC7853" w:rsidRPr="004A3CFC" w:rsidRDefault="00FC7853" w:rsidP="006D6FEA">
      <w:pPr>
        <w:pStyle w:val="BodyText"/>
        <w:jc w:val="both"/>
      </w:pPr>
      <w:r>
        <w:t xml:space="preserve">It is unclear if any of these issues </w:t>
      </w:r>
      <w:r w:rsidR="006D6FEA">
        <w:t>have been</w:t>
      </w:r>
      <w:r>
        <w:t xml:space="preserve"> addressed in more recent versions of the model than </w:t>
      </w:r>
      <w:r w:rsidR="006D6FEA">
        <w:t>the version used in this study (</w:t>
      </w:r>
      <w:r>
        <w:t>v4.2</w:t>
      </w:r>
      <w:r w:rsidR="006D6FEA">
        <w:t>)</w:t>
      </w:r>
      <w:r>
        <w:t>.</w:t>
      </w:r>
    </w:p>
    <w:p w14:paraId="0A3F9D47" w14:textId="77777777" w:rsidR="00220D19" w:rsidRDefault="00220D19" w:rsidP="005C68F0">
      <w:pPr>
        <w:pStyle w:val="BodyText"/>
        <w:rPr>
          <w:highlight w:val="yellow"/>
        </w:rPr>
      </w:pPr>
    </w:p>
    <w:p w14:paraId="6A402EDC" w14:textId="41B192D7" w:rsidR="00071CF3" w:rsidRDefault="00CA6747" w:rsidP="00071CF3">
      <w:pPr>
        <w:pStyle w:val="BodyText"/>
        <w:keepNext/>
      </w:pPr>
      <w:r>
        <w:rPr>
          <w:noProof/>
          <w:lang w:eastAsia="en-GB"/>
        </w:rPr>
        <w:drawing>
          <wp:inline distT="0" distB="0" distL="0" distR="0" wp14:anchorId="150CC90E" wp14:editId="5F4A9E3C">
            <wp:extent cx="5230812" cy="2755106"/>
            <wp:effectExtent l="0" t="0" r="8255" b="7620"/>
            <wp:docPr id="95" name="Chart 95">
              <a:extLst xmlns:a="http://schemas.openxmlformats.org/drawingml/2006/main">
                <a:ext uri="{FF2B5EF4-FFF2-40B4-BE49-F238E27FC236}">
                  <a16:creationId xmlns:a16="http://schemas.microsoft.com/office/drawing/2014/main" id="{78AF001E-D09E-4200-A67F-62846419B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E0F3B72" w14:textId="48F2BE63" w:rsidR="00F977AD" w:rsidRDefault="00071CF3" w:rsidP="00071CF3">
      <w:pPr>
        <w:pStyle w:val="Figurecaption"/>
        <w:rPr>
          <w:color w:val="FF0000"/>
        </w:rPr>
      </w:pPr>
      <w:bookmarkStart w:id="213" w:name="_Ref81574610"/>
      <w:r>
        <w:t xml:space="preserve">Figure </w:t>
      </w:r>
      <w:fldSimple w:instr=" SEQ Figure \* ARABIC ">
        <w:r w:rsidR="00926FE3">
          <w:rPr>
            <w:noProof/>
          </w:rPr>
          <w:t>44</w:t>
        </w:r>
      </w:fldSimple>
      <w:bookmarkEnd w:id="213"/>
      <w:r w:rsidRPr="004225D5">
        <w:t xml:space="preserve">: Maximum infant </w:t>
      </w:r>
      <w:r>
        <w:t>30</w:t>
      </w:r>
      <w:r w:rsidRPr="004225D5">
        <w:t>-day</w:t>
      </w:r>
      <w:r w:rsidR="0088490B">
        <w:t xml:space="preserve"> </w:t>
      </w:r>
      <w:r w:rsidR="00ED7875">
        <w:t>total</w:t>
      </w:r>
      <w:r w:rsidR="0088490B">
        <w:t xml:space="preserve"> </w:t>
      </w:r>
      <w:r w:rsidRPr="004225D5">
        <w:t>e</w:t>
      </w:r>
      <w:r w:rsidR="0088490B">
        <w:t>ffective</w:t>
      </w:r>
      <w:r w:rsidRPr="004225D5">
        <w:t xml:space="preserve"> dose at 0.5 km</w:t>
      </w:r>
      <w:r w:rsidR="0088490B">
        <w:t xml:space="preserve"> – </w:t>
      </w:r>
      <w:r>
        <w:t>LBL ST</w:t>
      </w:r>
      <w:r w:rsidR="0088490B">
        <w:t xml:space="preserve"> – </w:t>
      </w:r>
      <w:r>
        <w:t>ADMS</w:t>
      </w:r>
    </w:p>
    <w:p w14:paraId="71F3CECC" w14:textId="0AD6E202" w:rsidR="0088490B" w:rsidRDefault="00CA6747" w:rsidP="0088490B">
      <w:pPr>
        <w:pStyle w:val="BodyText"/>
        <w:keepNext/>
      </w:pPr>
      <w:r>
        <w:rPr>
          <w:noProof/>
          <w:lang w:eastAsia="en-GB"/>
        </w:rPr>
        <w:drawing>
          <wp:inline distT="0" distB="0" distL="0" distR="0" wp14:anchorId="706A7D51" wp14:editId="26E071CF">
            <wp:extent cx="5286375" cy="2743200"/>
            <wp:effectExtent l="0" t="0" r="0" b="0"/>
            <wp:docPr id="96" name="Chart 96">
              <a:extLst xmlns:a="http://schemas.openxmlformats.org/drawingml/2006/main">
                <a:ext uri="{FF2B5EF4-FFF2-40B4-BE49-F238E27FC236}">
                  <a16:creationId xmlns:a16="http://schemas.microsoft.com/office/drawing/2014/main" id="{8E70FCEE-6AFE-4FA8-A3CB-37E22E67D3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B5E8B86" w14:textId="39C93EF6" w:rsidR="00071CF3" w:rsidRDefault="0088490B" w:rsidP="0088490B">
      <w:pPr>
        <w:pStyle w:val="Figurecaption"/>
        <w:rPr>
          <w:color w:val="FF0000"/>
        </w:rPr>
      </w:pPr>
      <w:bookmarkStart w:id="214" w:name="_Ref81574617"/>
      <w:r>
        <w:t xml:space="preserve">Figure </w:t>
      </w:r>
      <w:fldSimple w:instr=" SEQ Figure \* ARABIC ">
        <w:r w:rsidR="00926FE3">
          <w:rPr>
            <w:noProof/>
          </w:rPr>
          <w:t>45</w:t>
        </w:r>
      </w:fldSimple>
      <w:bookmarkEnd w:id="214"/>
      <w:r w:rsidRPr="009604A2">
        <w:t xml:space="preserve">: Maximum infant lifetime </w:t>
      </w:r>
      <w:r w:rsidR="00ED7875">
        <w:t xml:space="preserve">total </w:t>
      </w:r>
      <w:r>
        <w:t xml:space="preserve">effective </w:t>
      </w:r>
      <w:r w:rsidRPr="009604A2">
        <w:t>dose at 5 km</w:t>
      </w:r>
      <w:r>
        <w:t xml:space="preserve"> – LBL ST – ADMS</w:t>
      </w:r>
    </w:p>
    <w:p w14:paraId="3753EE4D" w14:textId="77777777" w:rsidR="00071CF3" w:rsidRDefault="00071CF3" w:rsidP="00AE361C">
      <w:pPr>
        <w:pStyle w:val="BodyText"/>
        <w:rPr>
          <w:color w:val="FF0000"/>
        </w:rPr>
      </w:pPr>
    </w:p>
    <w:p w14:paraId="29AD38F8" w14:textId="24C54225" w:rsidR="0011272B" w:rsidRDefault="00D556F1" w:rsidP="0011272B">
      <w:pPr>
        <w:pStyle w:val="Heading3"/>
      </w:pPr>
      <w:bookmarkStart w:id="215" w:name="_Ref83647874"/>
      <w:bookmarkStart w:id="216" w:name="_Toc89966431"/>
      <w:r>
        <w:t>Iodine chemical form</w:t>
      </w:r>
      <w:bookmarkEnd w:id="215"/>
      <w:bookmarkEnd w:id="216"/>
    </w:p>
    <w:p w14:paraId="3243F45E" w14:textId="12628B1E" w:rsidR="00D556F1" w:rsidRPr="00D556F1" w:rsidRDefault="004A1978" w:rsidP="002208C6">
      <w:pPr>
        <w:pStyle w:val="BodyText"/>
        <w:jc w:val="both"/>
      </w:pPr>
      <w:r>
        <w:t xml:space="preserve">A further important consideration </w:t>
      </w:r>
      <w:r w:rsidR="00596A0B">
        <w:t>wa</w:t>
      </w:r>
      <w:r>
        <w:t xml:space="preserve">s the chemical form that should be assumed for iodine. The proportions of the different chemical forms of iodine in the Large Break LOCA source term are listed in </w:t>
      </w:r>
      <w:r>
        <w:fldChar w:fldCharType="begin"/>
      </w:r>
      <w:r>
        <w:instrText xml:space="preserve"> REF _Ref79590903 \h </w:instrText>
      </w:r>
      <w:r w:rsidR="002208C6">
        <w:instrText xml:space="preserve"> \* MERGEFORMAT </w:instrText>
      </w:r>
      <w:r>
        <w:fldChar w:fldCharType="separate"/>
      </w:r>
      <w:r w:rsidR="00926FE3">
        <w:t xml:space="preserve">Table </w:t>
      </w:r>
      <w:r w:rsidR="00926FE3">
        <w:rPr>
          <w:noProof/>
        </w:rPr>
        <w:t>8</w:t>
      </w:r>
      <w:r>
        <w:fldChar w:fldCharType="end"/>
      </w:r>
      <w:r>
        <w:t xml:space="preserve">. In order to investigate the effect of changing the iodine chemical forms, some of the LBL </w:t>
      </w:r>
      <w:r w:rsidR="004B137D">
        <w:t>source term</w:t>
      </w:r>
      <w:r>
        <w:t xml:space="preserve"> runs were repeated with all parameters unchanged except that all iodine was assumed to be in elemental form.</w:t>
      </w:r>
    </w:p>
    <w:p w14:paraId="3BD2E08C" w14:textId="36EAAA2A" w:rsidR="00D556F1" w:rsidRDefault="004A1978" w:rsidP="004A1978">
      <w:pPr>
        <w:pStyle w:val="Heading4"/>
      </w:pPr>
      <w:bookmarkStart w:id="217" w:name="_Toc89966432"/>
      <w:r>
        <w:t>Results</w:t>
      </w:r>
      <w:bookmarkEnd w:id="217"/>
    </w:p>
    <w:p w14:paraId="1808CC55" w14:textId="0A5815FE" w:rsidR="004A1978" w:rsidRDefault="004A1978" w:rsidP="002208C6">
      <w:pPr>
        <w:pStyle w:val="BodyText"/>
        <w:jc w:val="both"/>
      </w:pPr>
      <w:r>
        <w:t xml:space="preserve">In the figures below, </w:t>
      </w:r>
      <w:r>
        <w:rPr>
          <w:i/>
          <w:iCs/>
        </w:rPr>
        <w:t>LBL</w:t>
      </w:r>
      <w:r>
        <w:t xml:space="preserve"> indicates the original Large Break LOCA source term, whereas </w:t>
      </w:r>
      <w:r>
        <w:rPr>
          <w:i/>
          <w:iCs/>
        </w:rPr>
        <w:t>LBL*</w:t>
      </w:r>
      <w:r>
        <w:t xml:space="preserve"> indicates the Large Break LOCA source term with all iodine assumed to be in elemental form.</w:t>
      </w:r>
    </w:p>
    <w:p w14:paraId="7050566F" w14:textId="099870C8" w:rsidR="004A1978" w:rsidRDefault="004A1978" w:rsidP="002208C6">
      <w:pPr>
        <w:pStyle w:val="BodyText"/>
        <w:jc w:val="both"/>
      </w:pPr>
      <w:r>
        <w:t>Because the doses estimated in the ADMS runs were so different from the doses estimated in the NAME-in-PACE</w:t>
      </w:r>
      <w:r w:rsidR="00B056EB">
        <w:t xml:space="preserve"> </w:t>
      </w:r>
      <w:r w:rsidR="00B056EB" w:rsidRPr="00004FC5">
        <w:rPr>
          <w:iCs/>
        </w:rPr>
        <w:t>(referred to as NAME or NiP for the remainder of the section)</w:t>
      </w:r>
      <w:r w:rsidR="00B056EB">
        <w:t xml:space="preserve"> </w:t>
      </w:r>
      <w:r>
        <w:t xml:space="preserve">and </w:t>
      </w:r>
      <w:r w:rsidR="002D3581">
        <w:t>ADEPT</w:t>
      </w:r>
      <w:r>
        <w:t xml:space="preserve">-in-PACE </w:t>
      </w:r>
      <w:r w:rsidR="00B056EB" w:rsidRPr="00004FC5">
        <w:rPr>
          <w:iCs/>
        </w:rPr>
        <w:t xml:space="preserve">(referred to as </w:t>
      </w:r>
      <w:r w:rsidR="00B056EB">
        <w:rPr>
          <w:iCs/>
        </w:rPr>
        <w:t>ADEPT</w:t>
      </w:r>
      <w:r w:rsidR="00B056EB" w:rsidRPr="00004FC5">
        <w:rPr>
          <w:iCs/>
        </w:rPr>
        <w:t xml:space="preserve"> or </w:t>
      </w:r>
      <w:r w:rsidR="00B056EB">
        <w:rPr>
          <w:iCs/>
        </w:rPr>
        <w:t>A</w:t>
      </w:r>
      <w:r w:rsidR="00B056EB" w:rsidRPr="00004FC5">
        <w:rPr>
          <w:iCs/>
        </w:rPr>
        <w:t>iP for the remainder of the section)</w:t>
      </w:r>
      <w:r w:rsidR="00B056EB">
        <w:rPr>
          <w:iCs/>
        </w:rPr>
        <w:t xml:space="preserve"> </w:t>
      </w:r>
      <w:r>
        <w:t>runs, they have been plotted separately.</w:t>
      </w:r>
    </w:p>
    <w:p w14:paraId="40157802" w14:textId="363BFC55" w:rsidR="004A1978" w:rsidRDefault="004A1978" w:rsidP="002208C6">
      <w:pPr>
        <w:pStyle w:val="BodyText"/>
        <w:jc w:val="both"/>
      </w:pPr>
      <w:r>
        <w:t xml:space="preserve">The </w:t>
      </w:r>
      <w:r w:rsidR="005634A1">
        <w:t>values 0, 1 and 8 on the x-axis indicate the precipitation rate (mm</w:t>
      </w:r>
      <w:r w:rsidR="009A71A3">
        <w:t xml:space="preserve"> </w:t>
      </w:r>
      <w:r w:rsidR="005634A1">
        <w:t>h</w:t>
      </w:r>
      <w:r w:rsidR="009A71A3">
        <w:rPr>
          <w:vertAlign w:val="superscript"/>
        </w:rPr>
        <w:t>-1</w:t>
      </w:r>
      <w:r w:rsidR="005634A1">
        <w:t>) assumed in the corresponding runs.</w:t>
      </w:r>
      <w:r w:rsidR="003109EE">
        <w:t xml:space="preserve"> Pasquil</w:t>
      </w:r>
      <w:r w:rsidR="000F1A83">
        <w:t>l</w:t>
      </w:r>
      <w:r w:rsidR="003109EE">
        <w:t xml:space="preserve"> Stability Category D conditions were assumed in </w:t>
      </w:r>
      <w:r w:rsidR="008E59C6">
        <w:t>the ADEPT and ADMS</w:t>
      </w:r>
      <w:r w:rsidR="003109EE">
        <w:t xml:space="preserve"> runs.</w:t>
      </w:r>
    </w:p>
    <w:p w14:paraId="0D4382E5" w14:textId="77777777" w:rsidR="00ED6C37" w:rsidRDefault="00ED6C37" w:rsidP="004A1978">
      <w:pPr>
        <w:pStyle w:val="BodyText"/>
      </w:pPr>
    </w:p>
    <w:p w14:paraId="377ED483" w14:textId="77777777" w:rsidR="00ED6C37" w:rsidRDefault="00ED6C37" w:rsidP="00ED6C37">
      <w:pPr>
        <w:pStyle w:val="BodyText"/>
        <w:keepNext/>
      </w:pPr>
      <w:r>
        <w:rPr>
          <w:noProof/>
          <w:lang w:eastAsia="en-GB"/>
        </w:rPr>
        <w:drawing>
          <wp:inline distT="0" distB="0" distL="0" distR="0" wp14:anchorId="4597FD1D" wp14:editId="57DA1465">
            <wp:extent cx="5760085" cy="2412365"/>
            <wp:effectExtent l="0" t="0" r="0" b="6985"/>
            <wp:docPr id="11" name="Chart 11">
              <a:extLst xmlns:a="http://schemas.openxmlformats.org/drawingml/2006/main">
                <a:ext uri="{FF2B5EF4-FFF2-40B4-BE49-F238E27FC236}">
                  <a16:creationId xmlns:a16="http://schemas.microsoft.com/office/drawing/2014/main" id="{EF288666-F71A-4E0D-B132-28E77BD45B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4500AF6E" w14:textId="678FF349" w:rsidR="004A1978" w:rsidRDefault="00ED6C37" w:rsidP="00ED6C37">
      <w:pPr>
        <w:pStyle w:val="Figurecaption"/>
      </w:pPr>
      <w:r>
        <w:t xml:space="preserve">Figure </w:t>
      </w:r>
      <w:fldSimple w:instr=" SEQ Figure \* ARABIC ">
        <w:r w:rsidR="00926FE3">
          <w:rPr>
            <w:noProof/>
          </w:rPr>
          <w:t>46</w:t>
        </w:r>
      </w:fldSimple>
      <w:r w:rsidRPr="00E6068A">
        <w:t xml:space="preserve">: Maximum infant lifetime effective dose at 0.5 km assuming no food restrictions – NAME and </w:t>
      </w:r>
      <w:r w:rsidR="002D3581">
        <w:t>ADEPT</w:t>
      </w:r>
    </w:p>
    <w:p w14:paraId="78D7984F" w14:textId="6694B77E" w:rsidR="005634A1" w:rsidRDefault="005634A1" w:rsidP="005634A1">
      <w:pPr>
        <w:pStyle w:val="BodyText"/>
        <w:keepNext/>
      </w:pPr>
    </w:p>
    <w:p w14:paraId="2B984249" w14:textId="72C63192" w:rsidR="00ED6C37" w:rsidRDefault="00786C2C" w:rsidP="00ED6C37">
      <w:pPr>
        <w:pStyle w:val="BodyText"/>
        <w:keepNext/>
      </w:pPr>
      <w:r>
        <w:rPr>
          <w:noProof/>
          <w:lang w:eastAsia="en-GB"/>
        </w:rPr>
        <w:drawing>
          <wp:inline distT="0" distB="0" distL="0" distR="0" wp14:anchorId="07F2068B" wp14:editId="24B4858C">
            <wp:extent cx="5760085" cy="2399030"/>
            <wp:effectExtent l="0" t="0" r="0" b="1270"/>
            <wp:docPr id="97" name="Chart 97">
              <a:extLst xmlns:a="http://schemas.openxmlformats.org/drawingml/2006/main">
                <a:ext uri="{FF2B5EF4-FFF2-40B4-BE49-F238E27FC236}">
                  <a16:creationId xmlns:a16="http://schemas.microsoft.com/office/drawing/2014/main" id="{B12C1BBC-0C50-4FEC-87A2-7468D5139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25042F9" w14:textId="25650DFA" w:rsidR="00ED6C37" w:rsidRDefault="00ED6C37" w:rsidP="00ED6C37">
      <w:pPr>
        <w:pStyle w:val="Figurecaption"/>
      </w:pPr>
      <w:r>
        <w:t xml:space="preserve">Figure </w:t>
      </w:r>
      <w:fldSimple w:instr=" SEQ Figure \* ARABIC ">
        <w:r w:rsidR="00926FE3">
          <w:rPr>
            <w:noProof/>
          </w:rPr>
          <w:t>47</w:t>
        </w:r>
      </w:fldSimple>
      <w:r w:rsidRPr="008D656C">
        <w:t>: Maximum infant lifetime effective dose at 0.5 km assuming no food restrictions – ADMS</w:t>
      </w:r>
    </w:p>
    <w:p w14:paraId="7EFD98E0" w14:textId="459B8694" w:rsidR="004A1978" w:rsidRDefault="004A1978" w:rsidP="004A1978">
      <w:pPr>
        <w:pStyle w:val="BodyText"/>
      </w:pPr>
    </w:p>
    <w:p w14:paraId="19D74225" w14:textId="77777777" w:rsidR="00ED6C37" w:rsidRDefault="00ED6C37" w:rsidP="00ED6C37">
      <w:pPr>
        <w:pStyle w:val="BodyText"/>
        <w:keepNext/>
      </w:pPr>
      <w:r>
        <w:rPr>
          <w:noProof/>
          <w:lang w:eastAsia="en-GB"/>
        </w:rPr>
        <w:drawing>
          <wp:inline distT="0" distB="0" distL="0" distR="0" wp14:anchorId="007AD642" wp14:editId="5B98685C">
            <wp:extent cx="5760085" cy="2390140"/>
            <wp:effectExtent l="0" t="0" r="0" b="0"/>
            <wp:docPr id="13" name="Chart 13">
              <a:extLst xmlns:a="http://schemas.openxmlformats.org/drawingml/2006/main">
                <a:ext uri="{FF2B5EF4-FFF2-40B4-BE49-F238E27FC236}">
                  <a16:creationId xmlns:a16="http://schemas.microsoft.com/office/drawing/2014/main" id="{A6A543D9-71A7-423B-962A-53DDBFAB3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726EABB4" w14:textId="4639DB7F" w:rsidR="005634A1" w:rsidRDefault="00ED6C37" w:rsidP="00ED6C37">
      <w:pPr>
        <w:pStyle w:val="Figurecaption"/>
      </w:pPr>
      <w:r>
        <w:t xml:space="preserve">Figure </w:t>
      </w:r>
      <w:fldSimple w:instr=" SEQ Figure \* ARABIC ">
        <w:r w:rsidR="00926FE3">
          <w:rPr>
            <w:noProof/>
          </w:rPr>
          <w:t>48</w:t>
        </w:r>
      </w:fldSimple>
      <w:r w:rsidRPr="00EE35CC">
        <w:t xml:space="preserve">: Maximum infant lifetime effective dose at 5 km assuming no food restrictions – NAME and </w:t>
      </w:r>
      <w:r w:rsidR="002D3581">
        <w:t>ADEPT</w:t>
      </w:r>
    </w:p>
    <w:p w14:paraId="4B19BAC2" w14:textId="3EDD6149" w:rsidR="004A1978" w:rsidRDefault="004A1978" w:rsidP="004A1978">
      <w:pPr>
        <w:pStyle w:val="BodyText"/>
      </w:pPr>
    </w:p>
    <w:p w14:paraId="7EAB4B34" w14:textId="0B46549C" w:rsidR="00ED6C37" w:rsidRDefault="00786C2C" w:rsidP="00ED6C37">
      <w:pPr>
        <w:pStyle w:val="BodyText"/>
        <w:keepNext/>
      </w:pPr>
      <w:r>
        <w:rPr>
          <w:noProof/>
          <w:lang w:eastAsia="en-GB"/>
        </w:rPr>
        <w:drawing>
          <wp:inline distT="0" distB="0" distL="0" distR="0" wp14:anchorId="00F974EB" wp14:editId="18FFD121">
            <wp:extent cx="5760085" cy="2390140"/>
            <wp:effectExtent l="0" t="0" r="0" b="0"/>
            <wp:docPr id="98" name="Chart 98">
              <a:extLst xmlns:a="http://schemas.openxmlformats.org/drawingml/2006/main">
                <a:ext uri="{FF2B5EF4-FFF2-40B4-BE49-F238E27FC236}">
                  <a16:creationId xmlns:a16="http://schemas.microsoft.com/office/drawing/2014/main" id="{6FD3D238-4A18-4120-B042-7FE28E5C6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23F6D3B4" w14:textId="77479CDE" w:rsidR="005634A1" w:rsidRDefault="00ED6C37" w:rsidP="00ED6C37">
      <w:pPr>
        <w:pStyle w:val="Figurecaption"/>
      </w:pPr>
      <w:r>
        <w:t xml:space="preserve">Figure </w:t>
      </w:r>
      <w:fldSimple w:instr=" SEQ Figure \* ARABIC ">
        <w:r w:rsidR="00926FE3">
          <w:rPr>
            <w:noProof/>
          </w:rPr>
          <w:t>49</w:t>
        </w:r>
      </w:fldSimple>
      <w:r w:rsidRPr="00E93DC5">
        <w:t>: Maximum infant lifetime effective dose at 5 km assuming no food restrictions – ADMS</w:t>
      </w:r>
    </w:p>
    <w:p w14:paraId="49FCBE2F" w14:textId="09043EE1" w:rsidR="004A1978" w:rsidRDefault="009A71A3" w:rsidP="009A71A3">
      <w:pPr>
        <w:pStyle w:val="Heading4"/>
      </w:pPr>
      <w:bookmarkStart w:id="218" w:name="_Ref87631629"/>
      <w:bookmarkStart w:id="219" w:name="_Toc89966433"/>
      <w:r>
        <w:t>Discussion</w:t>
      </w:r>
      <w:bookmarkEnd w:id="218"/>
      <w:bookmarkEnd w:id="219"/>
    </w:p>
    <w:p w14:paraId="0ECC5E27" w14:textId="37BA9D5D" w:rsidR="000A1032" w:rsidRDefault="009A71A3" w:rsidP="002208C6">
      <w:pPr>
        <w:pStyle w:val="BodyText"/>
        <w:jc w:val="both"/>
      </w:pPr>
      <w:r>
        <w:t xml:space="preserve">The figures above </w:t>
      </w:r>
      <w:r w:rsidR="000A1032">
        <w:t xml:space="preserve">present the results for the specific case of the infant lifetime effective dose arising from the LBL source term at the Seathwaite </w:t>
      </w:r>
      <w:r w:rsidR="00A77954">
        <w:t>location</w:t>
      </w:r>
      <w:r w:rsidR="000A1032">
        <w:t xml:space="preserve">. They show that </w:t>
      </w:r>
      <w:r w:rsidR="006B1EB7">
        <w:t xml:space="preserve">assuming all </w:t>
      </w:r>
      <w:r w:rsidR="00A77954">
        <w:t xml:space="preserve">of the </w:t>
      </w:r>
      <w:r w:rsidR="006B1EB7">
        <w:t xml:space="preserve">iodine is in elemental form </w:t>
      </w:r>
      <w:r w:rsidR="00A77954">
        <w:t>led</w:t>
      </w:r>
      <w:r w:rsidR="006B1EB7">
        <w:t xml:space="preserve"> to an increase in estimated dose.</w:t>
      </w:r>
      <w:r w:rsidR="000A1032">
        <w:t xml:space="preserve"> In general, the figures indicate that the </w:t>
      </w:r>
      <w:r w:rsidR="002A3771">
        <w:t>effect on dose decrease</w:t>
      </w:r>
      <w:r w:rsidR="00A77954">
        <w:t>d</w:t>
      </w:r>
      <w:r w:rsidR="002A3771">
        <w:t xml:space="preserve"> with increasing distance from the release (i.e. the two sets of doses bec</w:t>
      </w:r>
      <w:r w:rsidR="00A77954">
        <w:t>a</w:t>
      </w:r>
      <w:r w:rsidR="002A3771">
        <w:t>me more similar at greater distances).</w:t>
      </w:r>
    </w:p>
    <w:p w14:paraId="2183540F" w14:textId="0F67F000" w:rsidR="002A3771" w:rsidRDefault="002A3771" w:rsidP="002208C6">
      <w:pPr>
        <w:pStyle w:val="BodyText"/>
        <w:jc w:val="both"/>
      </w:pPr>
      <w:r>
        <w:t>In the case of the NAME runs, the mean maximum infant effective lifetime dose at 0.5 km was higher by a factor of approximately 2.3 if all iodine was assumed to be in elemental form. At 5 km, the difference had decreased to a factor of approximately 1.8.</w:t>
      </w:r>
    </w:p>
    <w:p w14:paraId="4998F33B" w14:textId="1FC31413" w:rsidR="00BA3467" w:rsidRDefault="002A3771" w:rsidP="002208C6">
      <w:pPr>
        <w:pStyle w:val="BodyText"/>
        <w:jc w:val="both"/>
      </w:pPr>
      <w:r>
        <w:t xml:space="preserve">NAME runs include a range of precipitation rates, and so cannot be used to infer a direct relationship between precipitation rate and dose. However, the </w:t>
      </w:r>
      <w:r w:rsidR="002D3581">
        <w:t>ADEPT</w:t>
      </w:r>
      <w:r>
        <w:t xml:space="preserve"> and ADMS runs indicate</w:t>
      </w:r>
      <w:r w:rsidR="00A77954">
        <w:t>d</w:t>
      </w:r>
      <w:r>
        <w:t xml:space="preserve"> that </w:t>
      </w:r>
      <w:r w:rsidR="006B1EB7">
        <w:t>the effect on dose appear</w:t>
      </w:r>
      <w:r w:rsidR="00A77954">
        <w:t>ed</w:t>
      </w:r>
      <w:r w:rsidR="006B1EB7">
        <w:t xml:space="preserve"> to decrease as rainfall increase</w:t>
      </w:r>
      <w:r w:rsidR="00A77954">
        <w:t>d</w:t>
      </w:r>
      <w:r w:rsidR="00BA3467">
        <w:t xml:space="preserve"> (i.e. the </w:t>
      </w:r>
      <w:r w:rsidR="00A77954">
        <w:t>“iodine all elemental” dose and “iodine not all elemental” dose</w:t>
      </w:r>
      <w:r w:rsidR="00BA3467">
        <w:t xml:space="preserve"> bec</w:t>
      </w:r>
      <w:r w:rsidR="00A77954">
        <w:t>a</w:t>
      </w:r>
      <w:r w:rsidR="00BA3467">
        <w:t xml:space="preserve">me more similar at higher precipitation rates). </w:t>
      </w:r>
      <w:r w:rsidR="00FD4D9D">
        <w:t xml:space="preserve">This is logical </w:t>
      </w:r>
      <w:r w:rsidR="00AF706A">
        <w:t xml:space="preserve">when applying ADMS </w:t>
      </w:r>
      <w:r w:rsidR="00FD4D9D">
        <w:t>as it is only the dry deposition velocity which is assumed to be a function of the iodine chemical form; the wet deposition washout coefficients are not assumed to be a function of chemical form (in this study at least).</w:t>
      </w:r>
      <w:r w:rsidR="00565E6E">
        <w:t xml:space="preserve"> </w:t>
      </w:r>
      <w:r w:rsidR="00FD4D9D">
        <w:t>Therefore</w:t>
      </w:r>
      <w:r w:rsidR="00033234">
        <w:t>,</w:t>
      </w:r>
      <w:r w:rsidR="00FD4D9D">
        <w:t xml:space="preserve"> as the precipitation rate increases, wet deposition becomes the more dominant deposition process, and the distinction between the “iodine all elemental” dose and “iodine not all elemental” dose estimates becomes increasingly small.</w:t>
      </w:r>
    </w:p>
    <w:p w14:paraId="1CC88E94" w14:textId="34A73DDD" w:rsidR="00565E6E" w:rsidRDefault="00565E6E" w:rsidP="002208C6">
      <w:pPr>
        <w:pStyle w:val="BodyText"/>
        <w:jc w:val="both"/>
      </w:pPr>
      <w:r>
        <w:t>When applying ADEPT, both the dry and wet deposition are a function of the iodine chemical form, such that for dry deposition and at rainfall rates less than 1 mm h</w:t>
      </w:r>
      <w:r w:rsidRPr="00565E6E">
        <w:rPr>
          <w:vertAlign w:val="superscript"/>
        </w:rPr>
        <w:t>-1</w:t>
      </w:r>
      <w:r>
        <w:t xml:space="preserve">, the </w:t>
      </w:r>
      <w:r w:rsidR="00033234">
        <w:t xml:space="preserve">total </w:t>
      </w:r>
      <w:r>
        <w:t xml:space="preserve">deposition concentration for iodine in elemental vapour form would </w:t>
      </w:r>
      <w:r w:rsidR="00DD7B04">
        <w:t xml:space="preserve">be </w:t>
      </w:r>
      <w:r>
        <w:t>expect</w:t>
      </w:r>
      <w:r w:rsidR="00DD7B04">
        <w:t>ed</w:t>
      </w:r>
      <w:r>
        <w:t xml:space="preserve"> to be greater, and for rainfall rates greater than 1 mm h</w:t>
      </w:r>
      <w:r w:rsidRPr="00565E6E">
        <w:rPr>
          <w:vertAlign w:val="superscript"/>
        </w:rPr>
        <w:t>-1</w:t>
      </w:r>
      <w:r>
        <w:t xml:space="preserve">, the wet deposition concentration for iodine in particulate </w:t>
      </w:r>
      <w:r w:rsidR="00033234">
        <w:t xml:space="preserve">(and organic) </w:t>
      </w:r>
      <w:r>
        <w:t xml:space="preserve">form would </w:t>
      </w:r>
      <w:r w:rsidR="00DD7B04">
        <w:t xml:space="preserve">be </w:t>
      </w:r>
      <w:r>
        <w:t>expect</w:t>
      </w:r>
      <w:r w:rsidR="00DD7B04">
        <w:t>ed</w:t>
      </w:r>
      <w:r>
        <w:t xml:space="preserve"> to be greater (</w:t>
      </w:r>
      <w:r w:rsidR="00033234">
        <w:t xml:space="preserve">and the total </w:t>
      </w:r>
      <w:r>
        <w:t>deposition concentration may be greater).</w:t>
      </w:r>
    </w:p>
    <w:p w14:paraId="7729CA45" w14:textId="6B37B7FF" w:rsidR="00BA3467" w:rsidRDefault="00EA3F95" w:rsidP="00EA7DDB">
      <w:pPr>
        <w:pStyle w:val="BodyText"/>
        <w:jc w:val="both"/>
      </w:pPr>
      <w:r>
        <w:t>In general, it seems clear that assuming iodine is all in elemental form would increase the conservatism of the modelling</w:t>
      </w:r>
      <w:r w:rsidR="00A77954">
        <w:t xml:space="preserve"> for DBA assessments</w:t>
      </w:r>
      <w:r>
        <w:t xml:space="preserve">, at least in the case of infant lifetime effective dose for a long-duration source term. However, assuming iodine remains in elemental form for such a long period seems unrealistic. In practice, </w:t>
      </w:r>
      <w:r w:rsidR="00A77954">
        <w:t>the</w:t>
      </w:r>
      <w:r>
        <w:t xml:space="preserve"> judgement might need to be made on a case-by-case basis, and would depend on the specific details of the source </w:t>
      </w:r>
      <w:r w:rsidR="00673B24">
        <w:t>term</w:t>
      </w:r>
      <w:r>
        <w:t xml:space="preserve">, including the </w:t>
      </w:r>
      <w:r w:rsidR="00673B24">
        <w:t>release duration</w:t>
      </w:r>
      <w:r>
        <w:t>.</w:t>
      </w:r>
    </w:p>
    <w:p w14:paraId="539A9451" w14:textId="644D24E2" w:rsidR="00EA7DDB" w:rsidRPr="00BA3467" w:rsidRDefault="00EA7DDB" w:rsidP="00EA7DDB">
      <w:pPr>
        <w:pStyle w:val="BodyTextEND"/>
        <w:jc w:val="both"/>
      </w:pPr>
      <w:r w:rsidRPr="00EA7DDB">
        <w:t xml:space="preserve">It should be noted that when modelling </w:t>
      </w:r>
      <w:r w:rsidR="00C44EF4">
        <w:t xml:space="preserve">the </w:t>
      </w:r>
      <w:r w:rsidRPr="00EA7DDB">
        <w:t xml:space="preserve">dose from iodine, assumptions about milk consumption are </w:t>
      </w:r>
      <w:r w:rsidR="00C44EF4">
        <w:t>important and</w:t>
      </w:r>
      <w:r w:rsidR="00D80D69">
        <w:t>,</w:t>
      </w:r>
      <w:r w:rsidR="00C44EF4">
        <w:t xml:space="preserve"> in particular</w:t>
      </w:r>
      <w:r w:rsidR="00D80D69">
        <w:t>,</w:t>
      </w:r>
      <w:r w:rsidR="00C44EF4">
        <w:t xml:space="preserve"> </w:t>
      </w:r>
      <w:r w:rsidRPr="00EA7DDB">
        <w:t xml:space="preserve">the proportion of milk produced locally. The modelling in the present study assumed a value of 1.0 (which means 100% of the milk that was consumed locally had been produced locally). </w:t>
      </w:r>
      <w:r w:rsidR="002B2353">
        <w:t>I</w:t>
      </w:r>
      <w:r w:rsidRPr="00EA7DDB">
        <w:t xml:space="preserve">t was found that </w:t>
      </w:r>
      <w:r w:rsidR="002B2353">
        <w:t xml:space="preserve">the </w:t>
      </w:r>
      <w:r w:rsidRPr="00EA7DDB">
        <w:t>dose received as a result of ingestion of milk and milk products tended to dominate the overall lifetime dose. In the most extreme cases, it was found to contribute more than 90% of the total lifetime dose, though the proportion varied significantly according to the source term and the percentile of total dose considered. The 7-day and 30-day doses d</w:t>
      </w:r>
      <w:r>
        <w:t>id</w:t>
      </w:r>
      <w:r w:rsidRPr="00EA7DDB">
        <w:t xml:space="preserve"> not include ingestion, so they </w:t>
      </w:r>
      <w:r>
        <w:t>we</w:t>
      </w:r>
      <w:r w:rsidRPr="00EA7DDB">
        <w:t>re unaffected by any assumptions about milk consumption.</w:t>
      </w:r>
    </w:p>
    <w:p w14:paraId="1879B395" w14:textId="1C5406F0" w:rsidR="00756DEA" w:rsidRDefault="00D556F1" w:rsidP="00D556F1">
      <w:pPr>
        <w:pStyle w:val="Heading3"/>
      </w:pPr>
      <w:bookmarkStart w:id="220" w:name="_Ref81494163"/>
      <w:bookmarkStart w:id="221" w:name="_Toc89966434"/>
      <w:r>
        <w:t>Summary</w:t>
      </w:r>
      <w:bookmarkEnd w:id="220"/>
      <w:bookmarkEnd w:id="221"/>
    </w:p>
    <w:p w14:paraId="2987448A" w14:textId="4ED115E8" w:rsidR="00FF294E" w:rsidRDefault="00FF294E" w:rsidP="003F3D0C">
      <w:pPr>
        <w:pStyle w:val="BodyText"/>
        <w:jc w:val="both"/>
      </w:pPr>
      <w:r>
        <w:t>The question originally posed was whether</w:t>
      </w:r>
      <w:r w:rsidRPr="00FF294E">
        <w:t xml:space="preserve"> the current default modelling approaches</w:t>
      </w:r>
      <w:r>
        <w:t xml:space="preserve"> </w:t>
      </w:r>
      <w:r w:rsidRPr="00FF294E">
        <w:t xml:space="preserve">used by licensees </w:t>
      </w:r>
      <w:r>
        <w:t xml:space="preserve">are </w:t>
      </w:r>
      <w:r w:rsidRPr="00FF294E">
        <w:t>appropriate for DBA use</w:t>
      </w:r>
      <w:r>
        <w:t xml:space="preserve">. The results presented above demonstrate that there is not one simple answer to that question. Certainly, the approaches currently used are not </w:t>
      </w:r>
      <w:r w:rsidR="000351FF">
        <w:t xml:space="preserve">always </w:t>
      </w:r>
      <w:r>
        <w:t>the most conservative ones possible, but that does not necessarily mean they are not appropriate.</w:t>
      </w:r>
    </w:p>
    <w:p w14:paraId="66A9EFA7" w14:textId="424E8ECF" w:rsidR="00D52A81" w:rsidRDefault="00D52A81" w:rsidP="003F3D0C">
      <w:pPr>
        <w:pStyle w:val="BodyText"/>
        <w:jc w:val="both"/>
      </w:pPr>
      <w:r>
        <w:t xml:space="preserve">Section </w:t>
      </w:r>
      <w:r>
        <w:fldChar w:fldCharType="begin"/>
      </w:r>
      <w:r>
        <w:instrText xml:space="preserve"> REF _Ref81494405 \r \h </w:instrText>
      </w:r>
      <w:r w:rsidR="003F3D0C">
        <w:instrText xml:space="preserve"> \* MERGEFORMAT </w:instrText>
      </w:r>
      <w:r>
        <w:fldChar w:fldCharType="separate"/>
      </w:r>
      <w:r w:rsidR="00926FE3">
        <w:t>5.2</w:t>
      </w:r>
      <w:r>
        <w:fldChar w:fldCharType="end"/>
      </w:r>
      <w:r>
        <w:t xml:space="preserve"> demonstrated that in the case of Gaussian Plume models, assuming Pasquill Stability Category F and dry conditions is a conservative approach; however, it may not always be the most conservative.</w:t>
      </w:r>
      <w:r w:rsidR="004C51F4">
        <w:t xml:space="preserve"> In some circumstances, Pasquill Stability Category D with precipitation was found to be a more conservative assumption than Category F dry conditions. </w:t>
      </w:r>
      <w:r w:rsidR="008C10CA">
        <w:t>Thus it may be appropriate to</w:t>
      </w:r>
      <w:r w:rsidR="004C51F4">
        <w:t xml:space="preserve"> consider both of those sets of assumptions </w:t>
      </w:r>
      <w:r w:rsidR="00204C12">
        <w:t xml:space="preserve">collectively </w:t>
      </w:r>
      <w:r w:rsidR="004C51F4">
        <w:t>to obtain a sufficient degree of conservatism. The degree of conservatism increases as the modelled precipitation rate increases; however, that needs to be balanced against the fact that arbitrarily increasing the precipitation rate means that the assumptions become less representative of reality.</w:t>
      </w:r>
      <w:r>
        <w:t xml:space="preserve"> </w:t>
      </w:r>
      <w:r w:rsidR="004C51F4">
        <w:t xml:space="preserve">Section 5.3.1 shows that even the two sets of meteorological conditions just discussed may not always represent the most conservative assumptions. Attempting to predict an appropriate simplified set of conditions will always carry some risk of overlooking conditions that happen to be more conservative in the specific scenario being considered. </w:t>
      </w:r>
      <w:r w:rsidR="002D2091">
        <w:t>Thus</w:t>
      </w:r>
      <w:r w:rsidR="001E2F4F">
        <w:t>,</w:t>
      </w:r>
      <w:r w:rsidR="002D2091">
        <w:t xml:space="preserve"> </w:t>
      </w:r>
      <w:r w:rsidR="005D2672">
        <w:t xml:space="preserve">whether or not </w:t>
      </w:r>
      <w:r w:rsidR="002D2091">
        <w:t>t</w:t>
      </w:r>
      <w:r w:rsidR="002D2091" w:rsidRPr="00FF294E">
        <w:t>he current default modelling approaches</w:t>
      </w:r>
      <w:r w:rsidR="002D2091">
        <w:t xml:space="preserve"> </w:t>
      </w:r>
      <w:r w:rsidR="002D2091" w:rsidRPr="00FF294E">
        <w:t xml:space="preserve">used by licensees </w:t>
      </w:r>
      <w:r w:rsidR="005D2672">
        <w:t>are</w:t>
      </w:r>
      <w:r w:rsidR="002D2091">
        <w:t xml:space="preserve"> </w:t>
      </w:r>
      <w:r w:rsidR="002D2091" w:rsidRPr="00FF294E">
        <w:t>appropriate for DBA use</w:t>
      </w:r>
      <w:r w:rsidR="007F0168">
        <w:t xml:space="preserve"> </w:t>
      </w:r>
      <w:r w:rsidR="005D2672">
        <w:t xml:space="preserve">depends </w:t>
      </w:r>
      <w:r w:rsidR="002D2091">
        <w:t xml:space="preserve">on the </w:t>
      </w:r>
      <w:r w:rsidR="00D85E8D">
        <w:t>required degree of conservatism of</w:t>
      </w:r>
      <w:r w:rsidR="002D2091">
        <w:t xml:space="preserve"> the meteorological conditions </w:t>
      </w:r>
      <w:r w:rsidR="00D85E8D">
        <w:t>assumed</w:t>
      </w:r>
      <w:r w:rsidR="002D2091">
        <w:t xml:space="preserve">. </w:t>
      </w:r>
      <w:r w:rsidR="009F7681">
        <w:t>Application of a probabilistic rather than a deterministic approach may help to address this issue, by considering a much larger spread of meteorological conditions.</w:t>
      </w:r>
    </w:p>
    <w:p w14:paraId="010F465B" w14:textId="7B4E8CD0" w:rsidR="00161397" w:rsidRDefault="00BC1A8B" w:rsidP="003F3D0C">
      <w:pPr>
        <w:pStyle w:val="BodyText"/>
        <w:jc w:val="both"/>
      </w:pPr>
      <w:r>
        <w:t xml:space="preserve">Furthermore, Section </w:t>
      </w:r>
      <w:r>
        <w:fldChar w:fldCharType="begin"/>
      </w:r>
      <w:r>
        <w:instrText xml:space="preserve"> REF _Ref83643062 \r \h </w:instrText>
      </w:r>
      <w:r>
        <w:fldChar w:fldCharType="separate"/>
      </w:r>
      <w:r w:rsidR="00926FE3">
        <w:t>5.3.1</w:t>
      </w:r>
      <w:r>
        <w:fldChar w:fldCharType="end"/>
      </w:r>
      <w:r>
        <w:t xml:space="preserve"> indicates, as</w:t>
      </w:r>
      <w:r w:rsidR="008E248B">
        <w:t xml:space="preserve"> a result of </w:t>
      </w:r>
      <w:r>
        <w:t>comparisons</w:t>
      </w:r>
      <w:r w:rsidR="008E248B">
        <w:t xml:space="preserve"> </w:t>
      </w:r>
      <w:r>
        <w:t>between</w:t>
      </w:r>
      <w:r w:rsidR="008E248B">
        <w:t xml:space="preserve"> ADMS </w:t>
      </w:r>
      <w:r>
        <w:t xml:space="preserve">and NAME, </w:t>
      </w:r>
      <w:r w:rsidR="008E248B">
        <w:t>that the degree of conservatism as a result of the application of ADMS varies significantly, depending on the scenario</w:t>
      </w:r>
      <w:r>
        <w:t xml:space="preserve"> concerned. Again, </w:t>
      </w:r>
      <w:r w:rsidR="00D85E8D">
        <w:t xml:space="preserve">whether or not </w:t>
      </w:r>
      <w:r>
        <w:t>t</w:t>
      </w:r>
      <w:r w:rsidRPr="00FF294E">
        <w:t xml:space="preserve">he current default </w:t>
      </w:r>
      <w:r>
        <w:t xml:space="preserve">Gaussian Plume </w:t>
      </w:r>
      <w:r w:rsidRPr="00FF294E">
        <w:t>modelling approaches</w:t>
      </w:r>
      <w:r>
        <w:t xml:space="preserve"> </w:t>
      </w:r>
      <w:r w:rsidRPr="00FF294E">
        <w:t xml:space="preserve">used by licensees </w:t>
      </w:r>
      <w:r w:rsidR="00D85E8D">
        <w:t>are</w:t>
      </w:r>
      <w:r>
        <w:t xml:space="preserve"> </w:t>
      </w:r>
      <w:r w:rsidRPr="00FF294E">
        <w:t>appropriate for DBA use</w:t>
      </w:r>
      <w:r>
        <w:t xml:space="preserve">, </w:t>
      </w:r>
      <w:r w:rsidR="00D85E8D">
        <w:t xml:space="preserve">depends </w:t>
      </w:r>
      <w:r w:rsidR="003E4B90">
        <w:t>on</w:t>
      </w:r>
      <w:r w:rsidR="00505E23">
        <w:t xml:space="preserve"> a number of factors, including</w:t>
      </w:r>
      <w:r w:rsidR="003E4B90">
        <w:t xml:space="preserve"> </w:t>
      </w:r>
      <w:r w:rsidR="00D85E8D">
        <w:t>whether it is</w:t>
      </w:r>
      <w:r>
        <w:t xml:space="preserve"> </w:t>
      </w:r>
      <w:r w:rsidR="00D85E8D">
        <w:t xml:space="preserve">necessary </w:t>
      </w:r>
      <w:r>
        <w:t>for</w:t>
      </w:r>
      <w:r w:rsidR="008E248B">
        <w:t xml:space="preserve"> consistency in the level of conservatism applied.</w:t>
      </w:r>
    </w:p>
    <w:p w14:paraId="0F2BFAF9" w14:textId="7B0763FD" w:rsidR="0084680D" w:rsidRDefault="00106F2F" w:rsidP="003F3D0C">
      <w:pPr>
        <w:pStyle w:val="BodyText"/>
        <w:jc w:val="both"/>
      </w:pPr>
      <w:r>
        <w:t xml:space="preserve">Section </w:t>
      </w:r>
      <w:r>
        <w:fldChar w:fldCharType="begin"/>
      </w:r>
      <w:r>
        <w:instrText xml:space="preserve"> REF _Ref80973325 \r \h </w:instrText>
      </w:r>
      <w:r>
        <w:fldChar w:fldCharType="separate"/>
      </w:r>
      <w:r w:rsidR="00926FE3">
        <w:t>5.3.2</w:t>
      </w:r>
      <w:r>
        <w:fldChar w:fldCharType="end"/>
      </w:r>
      <w:r>
        <w:t xml:space="preserve"> highlights that the current application of Gaussian Plume models in DBA assessments, most notably </w:t>
      </w:r>
      <w:r w:rsidR="000D1EC5">
        <w:t xml:space="preserve">alongside </w:t>
      </w:r>
      <w:r>
        <w:t xml:space="preserve">the assumption of constant meteorological conditions </w:t>
      </w:r>
      <w:r w:rsidR="0041064E">
        <w:t>for scenarios of</w:t>
      </w:r>
      <w:r>
        <w:t xml:space="preserve"> relatively long duration releases, may </w:t>
      </w:r>
      <w:r w:rsidR="000407DE">
        <w:t xml:space="preserve">(or may </w:t>
      </w:r>
      <w:r>
        <w:t>not</w:t>
      </w:r>
      <w:r w:rsidR="000407DE">
        <w:t>)</w:t>
      </w:r>
      <w:r>
        <w:t xml:space="preserve"> be fit for purpose, depending on the need for assessments to be representative of realistic </w:t>
      </w:r>
      <w:r w:rsidR="00FE1C6D">
        <w:t>(</w:t>
      </w:r>
      <w:r w:rsidR="001F428A">
        <w:t>meteorological</w:t>
      </w:r>
      <w:r w:rsidR="00FE1C6D">
        <w:t>)</w:t>
      </w:r>
      <w:r w:rsidR="001F428A">
        <w:t xml:space="preserve"> </w:t>
      </w:r>
      <w:r>
        <w:t>conditions</w:t>
      </w:r>
      <w:r w:rsidR="00DD6C46">
        <w:t xml:space="preserve"> and </w:t>
      </w:r>
      <w:r w:rsidR="001E2F4F">
        <w:t xml:space="preserve">depending on </w:t>
      </w:r>
      <w:r w:rsidR="00DD6C46">
        <w:t>the level of conservatism required</w:t>
      </w:r>
      <w:r>
        <w:t>.</w:t>
      </w:r>
      <w:r w:rsidR="0041064E">
        <w:t xml:space="preserve"> </w:t>
      </w:r>
      <w:r w:rsidR="00DD6C46">
        <w:t xml:space="preserve">Likewise, Section </w:t>
      </w:r>
      <w:r w:rsidR="00DD6C46">
        <w:fldChar w:fldCharType="begin"/>
      </w:r>
      <w:r w:rsidR="00DD6C46">
        <w:instrText xml:space="preserve"> REF _Ref83647874 \r \h </w:instrText>
      </w:r>
      <w:r w:rsidR="00DD6C46">
        <w:fldChar w:fldCharType="separate"/>
      </w:r>
      <w:r w:rsidR="00926FE3">
        <w:t>5.3.4</w:t>
      </w:r>
      <w:r w:rsidR="00DD6C46">
        <w:fldChar w:fldCharType="end"/>
      </w:r>
      <w:r w:rsidR="00DD6C46">
        <w:t xml:space="preserve"> highlights that assuming all iodine in </w:t>
      </w:r>
      <w:r w:rsidR="001E2F4F">
        <w:t>a</w:t>
      </w:r>
      <w:r w:rsidR="00DD6C46">
        <w:t xml:space="preserve"> source term is released in elemental vapour form may also not be fit for purpose, depending on the need for assessments to be representative of realistic (source term) conditions and </w:t>
      </w:r>
      <w:r w:rsidR="001E2F4F">
        <w:t xml:space="preserve">depending on </w:t>
      </w:r>
      <w:r w:rsidR="00DD6C46">
        <w:t xml:space="preserve">the level of conservatism required. </w:t>
      </w:r>
      <w:r w:rsidR="0041064E">
        <w:t xml:space="preserve">The model itself, as well as the way the model is applied, may also not be appropriate for use in </w:t>
      </w:r>
      <w:r w:rsidR="001E2F4F">
        <w:t>assessments;</w:t>
      </w:r>
      <w:r w:rsidR="0041064E">
        <w:t xml:space="preserve"> specifically</w:t>
      </w:r>
      <w:r w:rsidR="000407DE">
        <w:t>,</w:t>
      </w:r>
      <w:r w:rsidR="0041064E">
        <w:t xml:space="preserve"> the deposited gamma dose approach implemented within the ADMS model </w:t>
      </w:r>
      <w:r w:rsidR="00027B2A">
        <w:t>has some limitations that should be considered before</w:t>
      </w:r>
      <w:r w:rsidR="0041064E">
        <w:t xml:space="preserve"> use (Section </w:t>
      </w:r>
      <w:r w:rsidR="0041064E">
        <w:fldChar w:fldCharType="begin"/>
      </w:r>
      <w:r w:rsidR="0041064E">
        <w:instrText xml:space="preserve"> REF _Ref83646892 \r \h </w:instrText>
      </w:r>
      <w:r w:rsidR="0041064E">
        <w:fldChar w:fldCharType="separate"/>
      </w:r>
      <w:r w:rsidR="00926FE3">
        <w:t>5.3.3</w:t>
      </w:r>
      <w:r w:rsidR="0041064E">
        <w:fldChar w:fldCharType="end"/>
      </w:r>
      <w:r w:rsidR="0041064E">
        <w:t>).</w:t>
      </w:r>
    </w:p>
    <w:p w14:paraId="22209950" w14:textId="77777777" w:rsidR="0084680D" w:rsidRDefault="0084680D" w:rsidP="003F3D0C">
      <w:pPr>
        <w:pStyle w:val="BodyText"/>
        <w:jc w:val="both"/>
      </w:pPr>
    </w:p>
    <w:p w14:paraId="4E35B156" w14:textId="47F7C9E5" w:rsidR="00257419" w:rsidRPr="00C64BBE" w:rsidRDefault="00232573" w:rsidP="00257419">
      <w:pPr>
        <w:pStyle w:val="Heading1"/>
      </w:pPr>
      <w:bookmarkStart w:id="222" w:name="_Toc89966435"/>
      <w:r w:rsidRPr="00C64BBE">
        <w:t>Conclusions</w:t>
      </w:r>
      <w:bookmarkEnd w:id="222"/>
    </w:p>
    <w:p w14:paraId="1109258F" w14:textId="5025B9D7" w:rsidR="002C3F56" w:rsidRPr="00D91B1E" w:rsidRDefault="002C3F56" w:rsidP="002C3F56">
      <w:pPr>
        <w:pStyle w:val="BodyText"/>
        <w:jc w:val="both"/>
      </w:pPr>
      <w:bookmarkStart w:id="223" w:name="_Hlk87951636"/>
      <w:r w:rsidRPr="00D91B1E">
        <w:t xml:space="preserve">The findings of the first part of the study indicated that there is a significant likelihood that a radiological release in the UK </w:t>
      </w:r>
      <w:r>
        <w:t>would</w:t>
      </w:r>
      <w:r w:rsidRPr="00D91B1E">
        <w:t xml:space="preserve"> encounter some precipitation. The specific probability </w:t>
      </w:r>
      <w:r>
        <w:t>would</w:t>
      </w:r>
      <w:r w:rsidRPr="00D91B1E">
        <w:t xml:space="preserve"> strongly depend on the location and duration</w:t>
      </w:r>
      <w:r>
        <w:t xml:space="preserve"> of the </w:t>
      </w:r>
      <w:r w:rsidRPr="00D91B1E">
        <w:t xml:space="preserve">release. For the scenarios considered in the present study, the probability was found to vary from between </w:t>
      </w:r>
      <w:r>
        <w:t>15</w:t>
      </w:r>
      <w:r w:rsidRPr="00D91B1E">
        <w:t xml:space="preserve">% and </w:t>
      </w:r>
      <w:r>
        <w:t>40</w:t>
      </w:r>
      <w:r w:rsidRPr="00D91B1E">
        <w:t xml:space="preserve">% for a </w:t>
      </w:r>
      <w:r>
        <w:t>one</w:t>
      </w:r>
      <w:r w:rsidRPr="00D91B1E">
        <w:t>-hour release to effectively 100% for a thirty-day release.</w:t>
      </w:r>
    </w:p>
    <w:p w14:paraId="2FE59571" w14:textId="77777777" w:rsidR="00B22B5A" w:rsidRDefault="000D57A9" w:rsidP="00B22B5A">
      <w:pPr>
        <w:pStyle w:val="BodyTextNOSPACE"/>
        <w:spacing w:after="120"/>
        <w:jc w:val="both"/>
      </w:pPr>
      <w:r>
        <w:t xml:space="preserve">In </w:t>
      </w:r>
      <w:r w:rsidR="00C401D4">
        <w:t xml:space="preserve">the </w:t>
      </w:r>
      <w:r>
        <w:t>second part of the study it was found that w</w:t>
      </w:r>
      <w:r w:rsidR="00A475DC" w:rsidRPr="000D57A9">
        <w:rPr>
          <w:rFonts w:ascii="Arial" w:hAnsi="Arial" w:cs="Arial"/>
          <w:iCs/>
        </w:rPr>
        <w:t xml:space="preserve">hen considering precipitation at different rates, in a DBA assessment, </w:t>
      </w:r>
      <w:r>
        <w:rPr>
          <w:rFonts w:ascii="Arial" w:hAnsi="Arial" w:cs="Arial"/>
          <w:iCs/>
        </w:rPr>
        <w:t>there is no</w:t>
      </w:r>
      <w:r w:rsidR="00A475DC" w:rsidRPr="000D57A9">
        <w:rPr>
          <w:rFonts w:ascii="Arial" w:hAnsi="Arial" w:cs="Arial"/>
          <w:iCs/>
        </w:rPr>
        <w:t xml:space="preserve"> cliff-edge effect </w:t>
      </w:r>
      <w:r w:rsidR="007B3255">
        <w:rPr>
          <w:rFonts w:ascii="Arial" w:hAnsi="Arial" w:cs="Arial"/>
          <w:iCs/>
        </w:rPr>
        <w:t>in the estimates of dose</w:t>
      </w:r>
      <w:r w:rsidR="008D23A5">
        <w:rPr>
          <w:rFonts w:ascii="Arial" w:hAnsi="Arial" w:cs="Arial"/>
          <w:iCs/>
        </w:rPr>
        <w:t xml:space="preserve"> (although it is appreciated that the term “cliff-edge effect” is somewhat subjective)</w:t>
      </w:r>
      <w:r w:rsidR="007B3255">
        <w:rPr>
          <w:rFonts w:ascii="Arial" w:hAnsi="Arial" w:cs="Arial"/>
          <w:iCs/>
        </w:rPr>
        <w:t xml:space="preserve">. </w:t>
      </w:r>
      <w:r w:rsidR="004448F6" w:rsidRPr="004448F6">
        <w:rPr>
          <w:rFonts w:ascii="Arial" w:hAnsi="Arial" w:cs="Arial"/>
          <w:iCs/>
        </w:rPr>
        <w:t xml:space="preserve">It was </w:t>
      </w:r>
      <w:r w:rsidR="004448F6">
        <w:rPr>
          <w:rFonts w:ascii="Arial" w:hAnsi="Arial" w:cs="Arial"/>
          <w:iCs/>
        </w:rPr>
        <w:t xml:space="preserve">also </w:t>
      </w:r>
      <w:r w:rsidR="004448F6" w:rsidRPr="004448F6">
        <w:rPr>
          <w:rFonts w:ascii="Arial" w:hAnsi="Arial" w:cs="Arial"/>
          <w:iCs/>
        </w:rPr>
        <w:t xml:space="preserve">found that excluding precipitation from DBA assessments </w:t>
      </w:r>
      <w:r w:rsidR="004448F6">
        <w:rPr>
          <w:rFonts w:ascii="Arial" w:hAnsi="Arial" w:cs="Arial"/>
          <w:iCs/>
        </w:rPr>
        <w:t>means</w:t>
      </w:r>
      <w:r w:rsidR="004448F6" w:rsidRPr="004448F6">
        <w:rPr>
          <w:rFonts w:ascii="Arial" w:hAnsi="Arial" w:cs="Arial"/>
          <w:iCs/>
        </w:rPr>
        <w:t xml:space="preserve"> that some of the more conservative modelling scenarios are not taken into account. Whether that is acceptable depends on the degree of conservatism required for DBA. </w:t>
      </w:r>
      <w:bookmarkStart w:id="224" w:name="_Hlk88638036"/>
      <w:r w:rsidR="004448F6" w:rsidRPr="004448F6">
        <w:rPr>
          <w:rFonts w:ascii="Arial" w:hAnsi="Arial" w:cs="Arial"/>
          <w:iCs/>
        </w:rPr>
        <w:t>If “95</w:t>
      </w:r>
      <w:r w:rsidR="004448F6" w:rsidRPr="004448F6">
        <w:rPr>
          <w:rFonts w:ascii="Arial" w:hAnsi="Arial" w:cs="Arial"/>
          <w:iCs/>
          <w:vertAlign w:val="superscript"/>
        </w:rPr>
        <w:t>th</w:t>
      </w:r>
      <w:r w:rsidR="004448F6" w:rsidRPr="004448F6">
        <w:rPr>
          <w:rFonts w:ascii="Arial" w:hAnsi="Arial" w:cs="Arial"/>
          <w:iCs/>
        </w:rPr>
        <w:t xml:space="preserve"> percentile weather” is considered to provide sufficient conservatism, then the present investigation indicates that Pasquill Stability Category F with no precipitation will </w:t>
      </w:r>
      <w:r w:rsidR="00DA53E9">
        <w:rPr>
          <w:rFonts w:ascii="Arial" w:hAnsi="Arial" w:cs="Arial"/>
          <w:iCs/>
        </w:rPr>
        <w:t>typically</w:t>
      </w:r>
      <w:r w:rsidR="004448F6" w:rsidRPr="004448F6">
        <w:rPr>
          <w:rFonts w:ascii="Arial" w:hAnsi="Arial" w:cs="Arial"/>
          <w:iCs/>
        </w:rPr>
        <w:t xml:space="preserve"> be a sufficiently conservative assumption.</w:t>
      </w:r>
      <w:bookmarkEnd w:id="224"/>
      <w:r w:rsidR="004448F6" w:rsidRPr="004448F6">
        <w:rPr>
          <w:rFonts w:ascii="Arial" w:hAnsi="Arial" w:cs="Arial"/>
          <w:iCs/>
        </w:rPr>
        <w:t xml:space="preserve"> However, the percentile associated with that assumption will vary according to the scenarios and source term, and may also differ for different models and modelling implementations. This means it is not possible to conclusively say that Category F dry conditions will represent 95</w:t>
      </w:r>
      <w:r w:rsidR="004448F6" w:rsidRPr="004448F6">
        <w:rPr>
          <w:rFonts w:ascii="Arial" w:hAnsi="Arial" w:cs="Arial"/>
          <w:iCs/>
          <w:vertAlign w:val="superscript"/>
        </w:rPr>
        <w:t>th</w:t>
      </w:r>
      <w:r w:rsidR="004448F6" w:rsidRPr="004448F6">
        <w:rPr>
          <w:rFonts w:ascii="Arial" w:hAnsi="Arial" w:cs="Arial"/>
          <w:iCs/>
        </w:rPr>
        <w:t xml:space="preserve"> percentile weather in every case. It is also important to note that assuming constant meteorological conditions for the whole duration of an extended release is very unrealistic.</w:t>
      </w:r>
      <w:r w:rsidR="007B3255">
        <w:t xml:space="preserve"> </w:t>
      </w:r>
      <w:r w:rsidR="00DA53E9">
        <w:t>T</w:t>
      </w:r>
      <w:r w:rsidR="00A475DC" w:rsidRPr="000D57A9">
        <w:t xml:space="preserve">he current default atmospheric dispersion modelling approaches used by licensees </w:t>
      </w:r>
      <w:r w:rsidR="000E07DE">
        <w:t>could in principle lead to an insufficiently conservative estimate of doses, but it depends on the degree of conservatism required in the analysis and how representative of reality it needs to b</w:t>
      </w:r>
      <w:r w:rsidR="00B22B5A">
        <w:t>e.</w:t>
      </w:r>
    </w:p>
    <w:p w14:paraId="127B890B" w14:textId="7A1C684F" w:rsidR="0060579F" w:rsidRDefault="00B22B5A" w:rsidP="00B22B5A">
      <w:pPr>
        <w:pStyle w:val="BodyTextNOSPACE"/>
        <w:spacing w:after="120"/>
        <w:jc w:val="both"/>
      </w:pPr>
      <w:r>
        <w:t>Appendix A de</w:t>
      </w:r>
      <w:r w:rsidR="000D57A9">
        <w:t>scribes the validation performed in support of the wet deposition modelling approaches considered in this study.</w:t>
      </w:r>
      <w:r w:rsidR="006B66EB">
        <w:t xml:space="preserve"> It was evident that there </w:t>
      </w:r>
      <w:r w:rsidR="006553A3">
        <w:t>is</w:t>
      </w:r>
      <w:r w:rsidR="006B66EB">
        <w:t xml:space="preserve"> a significant lack of such validation studies.</w:t>
      </w:r>
      <w:r w:rsidR="00437939">
        <w:t xml:space="preserve"> From the </w:t>
      </w:r>
      <w:r w:rsidR="00845FC4">
        <w:t xml:space="preserve">literature identified, it </w:t>
      </w:r>
      <w:r w:rsidR="006553A3">
        <w:t>was</w:t>
      </w:r>
      <w:r w:rsidR="00845FC4">
        <w:t xml:space="preserve"> evident that NAME is the standout model </w:t>
      </w:r>
      <w:r w:rsidR="0035284C">
        <w:t>(of those considered in this study) in respect of best representing the atmospheric and deposition processes</w:t>
      </w:r>
      <w:r w:rsidR="00845FC4">
        <w:t xml:space="preserve">. The meteorological data </w:t>
      </w:r>
      <w:r w:rsidR="006553A3">
        <w:t>available</w:t>
      </w:r>
      <w:r w:rsidR="00845FC4">
        <w:t xml:space="preserve"> alongside the NAME model further strengthens its capability, especially bearing in mind the tendency for </w:t>
      </w:r>
      <w:r w:rsidR="006553A3">
        <w:t>precipitation to be highly spatially and temporally variable.</w:t>
      </w:r>
      <w:r w:rsidR="0060579F">
        <w:t xml:space="preserve"> Future work on this topic should seek to perform wet deposition model validation studies.</w:t>
      </w:r>
    </w:p>
    <w:p w14:paraId="520BFACA" w14:textId="70108B8D" w:rsidR="00E137AE" w:rsidRDefault="00536901" w:rsidP="00536901">
      <w:pPr>
        <w:pStyle w:val="BodyText"/>
        <w:jc w:val="both"/>
      </w:pPr>
      <w:r>
        <w:t xml:space="preserve">When producing guidance for operators performing DBA assessments, the following two aspects </w:t>
      </w:r>
      <w:r w:rsidR="00AE65B3">
        <w:t xml:space="preserve">must </w:t>
      </w:r>
      <w:r>
        <w:t>be carefully considered: (1)</w:t>
      </w:r>
      <w:r w:rsidR="00AE65B3">
        <w:t xml:space="preserve"> the degree to which</w:t>
      </w:r>
      <w:r>
        <w:t xml:space="preserve"> the modelling </w:t>
      </w:r>
      <w:r w:rsidR="00AE65B3">
        <w:t xml:space="preserve">should </w:t>
      </w:r>
      <w:r>
        <w:t>be representative of reality</w:t>
      </w:r>
      <w:r w:rsidR="00AE65B3">
        <w:t>;</w:t>
      </w:r>
      <w:r>
        <w:t xml:space="preserve"> and (2) how much conservatism is required within the modelling.</w:t>
      </w:r>
      <w:bookmarkEnd w:id="223"/>
      <w:r>
        <w:t xml:space="preserve"> </w:t>
      </w:r>
    </w:p>
    <w:p w14:paraId="51BEF199" w14:textId="25BC6F7D" w:rsidR="00B72410" w:rsidRPr="00B72410" w:rsidRDefault="00B72410" w:rsidP="00E137AE">
      <w:pPr>
        <w:pStyle w:val="BodyText"/>
        <w:ind w:left="0"/>
        <w:rPr>
          <w:highlight w:val="yellow"/>
        </w:rPr>
      </w:pPr>
    </w:p>
    <w:p w14:paraId="71A29541" w14:textId="4DF3AAFB" w:rsidR="00324721" w:rsidRDefault="00257419" w:rsidP="00324721">
      <w:pPr>
        <w:pStyle w:val="Heading1"/>
      </w:pPr>
      <w:bookmarkStart w:id="225" w:name="_Toc89966436"/>
      <w:r>
        <w:t>References</w:t>
      </w:r>
      <w:bookmarkEnd w:id="225"/>
    </w:p>
    <w:p w14:paraId="7386248D" w14:textId="77777777" w:rsidR="00CF25EE" w:rsidRPr="00CF25EE" w:rsidRDefault="00324721" w:rsidP="00CF25EE">
      <w:pPr>
        <w:pStyle w:val="EndNoteBibliography"/>
        <w:spacing w:after="0"/>
        <w:ind w:hanging="720"/>
      </w:pPr>
      <w:r>
        <w:fldChar w:fldCharType="begin"/>
      </w:r>
      <w:r>
        <w:instrText xml:space="preserve"> ADDIN EN.SECTION.REFLIST </w:instrText>
      </w:r>
      <w:r>
        <w:fldChar w:fldCharType="separate"/>
      </w:r>
      <w:r w:rsidR="00CF25EE" w:rsidRPr="00CF25EE">
        <w:t xml:space="preserve">ADMLC (2000). </w:t>
      </w:r>
      <w:r w:rsidR="00CF25EE" w:rsidRPr="00CF25EE">
        <w:rPr>
          <w:i/>
        </w:rPr>
        <w:t>Atmospheric Dispersion Modelling Liaison Committee. Annual Report 1997/1998.</w:t>
      </w:r>
      <w:r w:rsidR="00CF25EE" w:rsidRPr="00CF25EE">
        <w:t xml:space="preserve"> Chilton (UK), NRPB-R316.</w:t>
      </w:r>
    </w:p>
    <w:p w14:paraId="57092F49" w14:textId="77777777" w:rsidR="00CF25EE" w:rsidRPr="00CF25EE" w:rsidRDefault="00CF25EE" w:rsidP="00CF25EE">
      <w:pPr>
        <w:pStyle w:val="EndNoteBibliography"/>
        <w:spacing w:after="0"/>
        <w:ind w:hanging="720"/>
      </w:pPr>
      <w:r w:rsidRPr="00CF25EE">
        <w:t xml:space="preserve">Bedwell P, Wellings J, Haywood SM and Hort M (2010). Cloud gamma modelling in the UK Met Office's NAME III model. IN </w:t>
      </w:r>
      <w:r w:rsidRPr="00CF25EE">
        <w:rPr>
          <w:i/>
        </w:rPr>
        <w:t>13th International Conference on Harmonisation within Atmospheric Dispersion Modelling for Regulatory Purposes</w:t>
      </w:r>
      <w:r w:rsidRPr="00CF25EE">
        <w:t xml:space="preserve">. Paris (France), ARIA Technologies. </w:t>
      </w:r>
    </w:p>
    <w:p w14:paraId="0D2E0ABA" w14:textId="77777777" w:rsidR="00CF25EE" w:rsidRPr="00CF25EE" w:rsidRDefault="00CF25EE" w:rsidP="00CF25EE">
      <w:pPr>
        <w:pStyle w:val="EndNoteBibliography"/>
        <w:spacing w:after="0"/>
        <w:ind w:hanging="720"/>
      </w:pPr>
      <w:r w:rsidRPr="00CF25EE">
        <w:t xml:space="preserve">Bedwell P, Wellings J, Haywood SM, Hort M, Jones AR and Thomson DJ (2011). </w:t>
      </w:r>
      <w:r w:rsidRPr="00CF25EE">
        <w:rPr>
          <w:i/>
        </w:rPr>
        <w:t>Intercomparison of the 'R91' Gaussian Plume Model and the UK Met Office's Lagrangian Particle NAME III Model in the Context of a Short-duration Release.</w:t>
      </w:r>
      <w:r w:rsidRPr="00CF25EE">
        <w:t xml:space="preserve"> Health Protection Agency, Chilton (UK), HPA-CRCE-029.</w:t>
      </w:r>
    </w:p>
    <w:p w14:paraId="2A1F014D" w14:textId="77777777" w:rsidR="00CF25EE" w:rsidRPr="00CF25EE" w:rsidRDefault="00CF25EE" w:rsidP="00CF25EE">
      <w:pPr>
        <w:pStyle w:val="EndNoteBibliography"/>
        <w:spacing w:after="0"/>
        <w:ind w:hanging="720"/>
      </w:pPr>
      <w:r w:rsidRPr="00CF25EE">
        <w:t xml:space="preserve">Bellamy MB, Veinot KG, Hiller MM, Dewji SA, Eckerman KF, Easterly CE, Hertel NE and Leggett RW (2017). Effective Dose Rate Coefficients for Immersions in Radioactive Air and Water. </w:t>
      </w:r>
      <w:r w:rsidRPr="00CF25EE">
        <w:rPr>
          <w:i/>
        </w:rPr>
        <w:t>Radiation Protection Dosimetry</w:t>
      </w:r>
      <w:r w:rsidRPr="00CF25EE">
        <w:t xml:space="preserve"> </w:t>
      </w:r>
      <w:r w:rsidRPr="00CF25EE">
        <w:rPr>
          <w:b/>
        </w:rPr>
        <w:t>174</w:t>
      </w:r>
      <w:r w:rsidRPr="00CF25EE">
        <w:t>(2), 275-286.</w:t>
      </w:r>
    </w:p>
    <w:p w14:paraId="62D15524" w14:textId="77777777" w:rsidR="00CF25EE" w:rsidRPr="00CF25EE" w:rsidRDefault="00CF25EE" w:rsidP="00CF25EE">
      <w:pPr>
        <w:pStyle w:val="EndNoteBibliography"/>
        <w:spacing w:after="0"/>
        <w:ind w:hanging="720"/>
      </w:pPr>
      <w:r w:rsidRPr="00CF25EE">
        <w:t xml:space="preserve">Bexon AP, Haywood SM, Mortimer K and Bedwell P (2019). </w:t>
      </w:r>
      <w:r w:rsidRPr="00CF25EE">
        <w:rPr>
          <w:i/>
        </w:rPr>
        <w:t>REPPIR 2019 consequence assessment methodology.</w:t>
      </w:r>
      <w:r w:rsidRPr="00CF25EE">
        <w:t xml:space="preserve"> Chilton (UK), PHE-CRCE-050.</w:t>
      </w:r>
    </w:p>
    <w:p w14:paraId="335229D8" w14:textId="77777777" w:rsidR="00CF25EE" w:rsidRPr="00CF25EE" w:rsidRDefault="00CF25EE" w:rsidP="00CF25EE">
      <w:pPr>
        <w:pStyle w:val="EndNoteBibliography"/>
        <w:spacing w:after="0"/>
        <w:ind w:hanging="720"/>
      </w:pPr>
      <w:r w:rsidRPr="00CF25EE">
        <w:t xml:space="preserve">Brown J and Sherwood JC (2012). </w:t>
      </w:r>
      <w:r w:rsidRPr="00CF25EE">
        <w:rPr>
          <w:i/>
        </w:rPr>
        <w:t>Modelling approach for the transfer of radionuclides to fruit species of importance in the UK.</w:t>
      </w:r>
      <w:r w:rsidRPr="00CF25EE">
        <w:t xml:space="preserve"> HPA, Chilton (UK), HPA-CRCE-039.</w:t>
      </w:r>
    </w:p>
    <w:p w14:paraId="595037E6" w14:textId="77777777" w:rsidR="00CF25EE" w:rsidRPr="00CF25EE" w:rsidRDefault="00CF25EE" w:rsidP="00CF25EE">
      <w:pPr>
        <w:pStyle w:val="EndNoteBibliography"/>
        <w:spacing w:after="0"/>
        <w:ind w:hanging="720"/>
      </w:pPr>
      <w:r w:rsidRPr="00CF25EE">
        <w:t xml:space="preserve">Brown J and Simmonds JR (1995). </w:t>
      </w:r>
      <w:r w:rsidRPr="00CF25EE">
        <w:rPr>
          <w:i/>
        </w:rPr>
        <w:t>FARMLAND: A Dynamic Model for the Transfer of Radionuclides through Terrestrial Foodchains.</w:t>
      </w:r>
      <w:r w:rsidRPr="00CF25EE">
        <w:t xml:space="preserve"> NRPB, Chilton (UK), NRPB-R273.</w:t>
      </w:r>
    </w:p>
    <w:p w14:paraId="66DF42B6" w14:textId="77777777" w:rsidR="00CF25EE" w:rsidRPr="00CF25EE" w:rsidRDefault="00CF25EE" w:rsidP="00CF25EE">
      <w:pPr>
        <w:pStyle w:val="EndNoteBibliography"/>
        <w:spacing w:after="0"/>
        <w:ind w:hanging="720"/>
      </w:pPr>
      <w:r w:rsidRPr="00CF25EE">
        <w:t xml:space="preserve">Byrom J, Robinson CA, Simmonds JR, Walters B and Taylor RR (1995). Food Intake Rates for use in Generalised Radiological Dose Assessments. </w:t>
      </w:r>
      <w:r w:rsidRPr="00CF25EE">
        <w:rPr>
          <w:i/>
        </w:rPr>
        <w:t>Journal of Radiological Protection</w:t>
      </w:r>
      <w:r w:rsidRPr="00CF25EE">
        <w:t xml:space="preserve"> </w:t>
      </w:r>
      <w:r w:rsidRPr="00CF25EE">
        <w:rPr>
          <w:b/>
        </w:rPr>
        <w:t>15</w:t>
      </w:r>
      <w:r w:rsidRPr="00CF25EE">
        <w:t>(4), 335-341.</w:t>
      </w:r>
    </w:p>
    <w:p w14:paraId="106A6CB0" w14:textId="77777777" w:rsidR="00CF25EE" w:rsidRPr="00CF25EE" w:rsidRDefault="00CF25EE" w:rsidP="00CF25EE">
      <w:pPr>
        <w:pStyle w:val="EndNoteBibliography"/>
        <w:spacing w:after="0"/>
        <w:ind w:hanging="720"/>
      </w:pPr>
      <w:r w:rsidRPr="00CF25EE">
        <w:t xml:space="preserve">Carruthers DJ, Edmunds HA, Bennet M, Woods PT, Milton MJT, Robinson R, Underwood BY and Franklin CJ (1996). </w:t>
      </w:r>
      <w:r w:rsidRPr="00CF25EE">
        <w:rPr>
          <w:i/>
        </w:rPr>
        <w:t>Validation of the UK-ADMS Dispersion Model and Assessment of its Performance relative to R91 and ISC using Archived LIDAR Data.</w:t>
      </w:r>
      <w:r w:rsidRPr="00CF25EE">
        <w:t>, DoE/HMIP Report No DoE/HMIP/RR/95/022.</w:t>
      </w:r>
    </w:p>
    <w:p w14:paraId="6797A6BB" w14:textId="77777777" w:rsidR="00CF25EE" w:rsidRPr="00CF25EE" w:rsidRDefault="00CF25EE" w:rsidP="00CF25EE">
      <w:pPr>
        <w:pStyle w:val="EndNoteBibliography"/>
        <w:spacing w:after="0"/>
        <w:ind w:hanging="720"/>
      </w:pPr>
      <w:r w:rsidRPr="00CF25EE">
        <w:t xml:space="preserve">Carruthers DJ, Holroyd RC, Hunt JCR, Weng WS, Robins AG, Apsley DD, Thompson DJ and Smith FB (1994). UK-ADMS: A new approach to modelling dispersion in the earth's atmospheric boundary layer. </w:t>
      </w:r>
      <w:r w:rsidRPr="00CF25EE">
        <w:rPr>
          <w:i/>
        </w:rPr>
        <w:t>Journal of Wind Engineering and Industrial Aerodynamics</w:t>
      </w:r>
      <w:r w:rsidRPr="00CF25EE">
        <w:t xml:space="preserve"> </w:t>
      </w:r>
      <w:r w:rsidRPr="00CF25EE">
        <w:rPr>
          <w:b/>
        </w:rPr>
        <w:t>52</w:t>
      </w:r>
      <w:r w:rsidRPr="00CF25EE">
        <w:t>(1-3), 139-153.</w:t>
      </w:r>
    </w:p>
    <w:p w14:paraId="00173A6C" w14:textId="77777777" w:rsidR="00CF25EE" w:rsidRPr="00CF25EE" w:rsidRDefault="00CF25EE" w:rsidP="00CF25EE">
      <w:pPr>
        <w:pStyle w:val="EndNoteBibliography"/>
        <w:spacing w:after="0"/>
        <w:ind w:hanging="720"/>
      </w:pPr>
      <w:r w:rsidRPr="00CF25EE">
        <w:t xml:space="preserve">CEC (2016). Council Regulation (Euratom) 2016/52 of 15 January 2016 laying down maximum permitted levels of radioactive contamination of food and feed following a nuclear accident or any other case of radiological emergency, and repealing Regulation (Euratom) No 3954/87 and Commission Regulations (Euratom) No 944/89 and (Euratom) No 770/90. </w:t>
      </w:r>
      <w:r w:rsidRPr="00CF25EE">
        <w:rPr>
          <w:i/>
        </w:rPr>
        <w:t>Official Journal of the European Union</w:t>
      </w:r>
      <w:r w:rsidRPr="00CF25EE">
        <w:t xml:space="preserve"> </w:t>
      </w:r>
      <w:r w:rsidRPr="00CF25EE">
        <w:rPr>
          <w:b/>
        </w:rPr>
        <w:t>59</w:t>
      </w:r>
      <w:r w:rsidRPr="00CF25EE">
        <w:t>.</w:t>
      </w:r>
    </w:p>
    <w:p w14:paraId="64E701C7" w14:textId="77777777" w:rsidR="00CF25EE" w:rsidRPr="00CF25EE" w:rsidRDefault="00CF25EE" w:rsidP="00CF25EE">
      <w:pPr>
        <w:pStyle w:val="EndNoteBibliography"/>
        <w:spacing w:after="0"/>
        <w:ind w:hanging="720"/>
      </w:pPr>
      <w:r w:rsidRPr="00CF25EE">
        <w:t xml:space="preserve">Charles D, Crick MJ, Fell TP and Greenhalgh JR (1982). </w:t>
      </w:r>
      <w:r w:rsidRPr="00CF25EE">
        <w:rPr>
          <w:i/>
        </w:rPr>
        <w:t>DOSE-MARC: The dosimetric module in the methodology for assessing the radiological consequences of accidental releases.</w:t>
      </w:r>
      <w:r w:rsidRPr="00CF25EE">
        <w:t xml:space="preserve"> Chilton (UK), NRPB-M74.</w:t>
      </w:r>
    </w:p>
    <w:p w14:paraId="5B4A6774" w14:textId="77777777" w:rsidR="00CF25EE" w:rsidRPr="00CF25EE" w:rsidRDefault="00CF25EE" w:rsidP="00CF25EE">
      <w:pPr>
        <w:pStyle w:val="EndNoteBibliography"/>
        <w:spacing w:after="0"/>
        <w:ind w:hanging="720"/>
      </w:pPr>
      <w:r w:rsidRPr="00CF25EE">
        <w:t xml:space="preserve">Charnock TW, Bexon A, Sherwood JC, Higgins NA and Field SJ (2013). PACE: A geographic information system based level 3 probabilistic accident consequence evaluation program. IN </w:t>
      </w:r>
      <w:r w:rsidRPr="00CF25EE">
        <w:rPr>
          <w:i/>
        </w:rPr>
        <w:t>ANS PSA 2013 International Topic Meeting on Probabilisitic Safety Assessment and Analysis</w:t>
      </w:r>
      <w:r w:rsidRPr="00CF25EE">
        <w:t xml:space="preserve">. Columbia, SC, September 22-26, 2013. American Nuclear Society. </w:t>
      </w:r>
    </w:p>
    <w:p w14:paraId="2ED23248" w14:textId="77777777" w:rsidR="00CF25EE" w:rsidRPr="00CF25EE" w:rsidRDefault="00CF25EE" w:rsidP="00CF25EE">
      <w:pPr>
        <w:pStyle w:val="EndNoteBibliography"/>
        <w:spacing w:after="0"/>
        <w:ind w:hanging="720"/>
      </w:pPr>
      <w:r w:rsidRPr="00CF25EE">
        <w:t xml:space="preserve">Clarke RH (1979). </w:t>
      </w:r>
      <w:r w:rsidRPr="00CF25EE">
        <w:rPr>
          <w:i/>
        </w:rPr>
        <w:t>The First Report of a Working Group on Atmospheric Dispersion: A Model for Short and Medium Range Dispersion of Radionuclides Released to the Atmosphere.</w:t>
      </w:r>
      <w:r w:rsidRPr="00CF25EE">
        <w:t xml:space="preserve"> National Radiological Protection Board, Chilton (UK), NRPB-R91.</w:t>
      </w:r>
    </w:p>
    <w:p w14:paraId="4D51D0AB" w14:textId="77777777" w:rsidR="00CF25EE" w:rsidRPr="00CF25EE" w:rsidRDefault="00CF25EE" w:rsidP="00CF25EE">
      <w:pPr>
        <w:pStyle w:val="EndNoteBibliography"/>
        <w:spacing w:after="0"/>
        <w:ind w:hanging="720"/>
      </w:pPr>
      <w:r w:rsidRPr="00CF25EE">
        <w:t xml:space="preserve">Crick MJ and Brown J (1990). </w:t>
      </w:r>
      <w:r w:rsidRPr="00CF25EE">
        <w:rPr>
          <w:i/>
        </w:rPr>
        <w:t>EXPURT: A model for evaluating exposure from radioactive material deposited in the urban environment.</w:t>
      </w:r>
      <w:r w:rsidRPr="00CF25EE">
        <w:t xml:space="preserve"> Chilton (UK), NRPB-R235.</w:t>
      </w:r>
    </w:p>
    <w:p w14:paraId="7ADC894D" w14:textId="77777777" w:rsidR="00CF25EE" w:rsidRPr="00CF25EE" w:rsidRDefault="00CF25EE" w:rsidP="00CF25EE">
      <w:pPr>
        <w:pStyle w:val="EndNoteBibliography"/>
        <w:spacing w:after="0"/>
        <w:ind w:hanging="720"/>
      </w:pPr>
      <w:r w:rsidRPr="00CF25EE">
        <w:t xml:space="preserve">Cullen MJP (1993). The unified Forecast/climate model. </w:t>
      </w:r>
      <w:r w:rsidRPr="00CF25EE">
        <w:rPr>
          <w:i/>
        </w:rPr>
        <w:t>Meteorological Magazine</w:t>
      </w:r>
      <w:r w:rsidRPr="00CF25EE">
        <w:t xml:space="preserve"> </w:t>
      </w:r>
      <w:r w:rsidRPr="00CF25EE">
        <w:rPr>
          <w:b/>
        </w:rPr>
        <w:t>122</w:t>
      </w:r>
      <w:r w:rsidRPr="00CF25EE">
        <w:t>(1449), 81-94.</w:t>
      </w:r>
    </w:p>
    <w:p w14:paraId="3F333E3C" w14:textId="77777777" w:rsidR="00CF25EE" w:rsidRPr="00CF25EE" w:rsidRDefault="00CF25EE" w:rsidP="00CF25EE">
      <w:pPr>
        <w:pStyle w:val="EndNoteBibliography"/>
        <w:spacing w:after="0"/>
        <w:ind w:hanging="720"/>
      </w:pPr>
      <w:r w:rsidRPr="00CF25EE">
        <w:t xml:space="preserve">Eckerman KF and Ryman JC (1993). </w:t>
      </w:r>
      <w:r w:rsidRPr="00CF25EE">
        <w:rPr>
          <w:i/>
        </w:rPr>
        <w:t>External exposure to radionuclides in air, water and soil.</w:t>
      </w:r>
      <w:r w:rsidRPr="00CF25EE">
        <w:t xml:space="preserve"> US EPA, Oak Ridge, Tennessee 37831, Federal Guidance Report No 12.</w:t>
      </w:r>
    </w:p>
    <w:p w14:paraId="26104968" w14:textId="77777777" w:rsidR="00CF25EE" w:rsidRPr="00CF25EE" w:rsidRDefault="00CF25EE" w:rsidP="00CF25EE">
      <w:pPr>
        <w:pStyle w:val="EndNoteBibliography"/>
        <w:spacing w:after="0"/>
        <w:ind w:hanging="720"/>
      </w:pPr>
      <w:r w:rsidRPr="00CF25EE">
        <w:t xml:space="preserve">Hill MD, Simmonds JR and Jones JA (1988). </w:t>
      </w:r>
      <w:r w:rsidRPr="00CF25EE">
        <w:rPr>
          <w:i/>
        </w:rPr>
        <w:t>NRPB Methodology for assess radiological consequences of accidental releases of radionuclides to atmosphere - MARC-1.</w:t>
      </w:r>
      <w:r w:rsidRPr="00CF25EE">
        <w:t xml:space="preserve"> HMSO, Chilton (UK), NRPB-R224.</w:t>
      </w:r>
    </w:p>
    <w:p w14:paraId="0C0BD029" w14:textId="77777777" w:rsidR="00CF25EE" w:rsidRPr="00CF25EE" w:rsidRDefault="00CF25EE" w:rsidP="00CF25EE">
      <w:pPr>
        <w:pStyle w:val="EndNoteBibliography"/>
        <w:spacing w:after="0"/>
        <w:ind w:hanging="720"/>
      </w:pPr>
      <w:r w:rsidRPr="00CF25EE">
        <w:t xml:space="preserve">ICRP (1994). Human respiratory tract model for radiological protection. ICRP Publication 66. </w:t>
      </w:r>
      <w:r w:rsidRPr="00CF25EE">
        <w:rPr>
          <w:i/>
        </w:rPr>
        <w:t>Annals of the ICRP</w:t>
      </w:r>
      <w:r w:rsidRPr="00CF25EE">
        <w:t xml:space="preserve"> </w:t>
      </w:r>
      <w:r w:rsidRPr="00CF25EE">
        <w:rPr>
          <w:b/>
        </w:rPr>
        <w:t>24</w:t>
      </w:r>
      <w:r w:rsidRPr="00CF25EE">
        <w:t>(1-3).</w:t>
      </w:r>
    </w:p>
    <w:p w14:paraId="56D83E51" w14:textId="77777777" w:rsidR="00CF25EE" w:rsidRPr="00CF25EE" w:rsidRDefault="00CF25EE" w:rsidP="00CF25EE">
      <w:pPr>
        <w:pStyle w:val="EndNoteBibliography"/>
        <w:spacing w:after="0"/>
        <w:ind w:hanging="720"/>
      </w:pPr>
      <w:r w:rsidRPr="00CF25EE">
        <w:t xml:space="preserve">ICRP (1996). Conversion coefficients for use in radiological protection against external radiation. ICRP Publication 74. </w:t>
      </w:r>
      <w:r w:rsidRPr="00CF25EE">
        <w:rPr>
          <w:i/>
        </w:rPr>
        <w:t>Annals of the ICRP</w:t>
      </w:r>
      <w:r w:rsidRPr="00CF25EE">
        <w:t xml:space="preserve"> </w:t>
      </w:r>
      <w:r w:rsidRPr="00CF25EE">
        <w:rPr>
          <w:b/>
        </w:rPr>
        <w:t>26</w:t>
      </w:r>
      <w:r w:rsidRPr="00CF25EE">
        <w:t>(3-4).</w:t>
      </w:r>
    </w:p>
    <w:p w14:paraId="438C13BE" w14:textId="77777777" w:rsidR="00CF25EE" w:rsidRPr="00CF25EE" w:rsidRDefault="00CF25EE" w:rsidP="00CF25EE">
      <w:pPr>
        <w:pStyle w:val="EndNoteBibliography"/>
        <w:spacing w:after="0"/>
        <w:ind w:hanging="720"/>
      </w:pPr>
      <w:r w:rsidRPr="00CF25EE">
        <w:t xml:space="preserve">ICRP (2012). Compendium of dose coefficients based on ICRP Publication 60. Publication 119. </w:t>
      </w:r>
      <w:r w:rsidRPr="00CF25EE">
        <w:rPr>
          <w:i/>
        </w:rPr>
        <w:t>Annals of the ICRP</w:t>
      </w:r>
      <w:r w:rsidRPr="00CF25EE">
        <w:t xml:space="preserve"> </w:t>
      </w:r>
      <w:r w:rsidRPr="00CF25EE">
        <w:rPr>
          <w:b/>
        </w:rPr>
        <w:t>41</w:t>
      </w:r>
      <w:r w:rsidRPr="00CF25EE">
        <w:t>(Suppl.).</w:t>
      </w:r>
    </w:p>
    <w:p w14:paraId="58AFA5AA" w14:textId="77777777" w:rsidR="00CF25EE" w:rsidRPr="00CF25EE" w:rsidRDefault="00CF25EE" w:rsidP="00CF25EE">
      <w:pPr>
        <w:pStyle w:val="EndNoteBibliography"/>
        <w:spacing w:after="0"/>
        <w:ind w:hanging="720"/>
      </w:pPr>
      <w:r w:rsidRPr="00CF25EE">
        <w:t xml:space="preserve">Jones AR, Thomson DJ, Hort M and Devenish B (2007a). The U.K. Met Office’s next generation atmospheric dispersion model, NAME III. IN </w:t>
      </w:r>
      <w:r w:rsidRPr="00CF25EE">
        <w:rPr>
          <w:i/>
        </w:rPr>
        <w:t>27th NATO/CCMS International Technical Meeting on Air Pollution Modelling and its Application)</w:t>
      </w:r>
      <w:r w:rsidRPr="00CF25EE">
        <w:t>. Berlin, Springer. 580-589.</w:t>
      </w:r>
    </w:p>
    <w:p w14:paraId="4591CECF" w14:textId="77777777" w:rsidR="00CF25EE" w:rsidRPr="00CF25EE" w:rsidRDefault="00CF25EE" w:rsidP="00CF25EE">
      <w:pPr>
        <w:pStyle w:val="EndNoteBibliography"/>
        <w:spacing w:after="0"/>
        <w:ind w:hanging="720"/>
      </w:pPr>
      <w:r w:rsidRPr="00CF25EE">
        <w:t xml:space="preserve">Jones JA (1981a). </w:t>
      </w:r>
      <w:r w:rsidRPr="00CF25EE">
        <w:rPr>
          <w:i/>
        </w:rPr>
        <w:t>The Second Report of a Working Group on Atmospheric Dispersion: A Procedure to Include Deposition in the Model for Short and Medium Range Atmospheric Dispersion of Radionuclides.</w:t>
      </w:r>
      <w:r w:rsidRPr="00CF25EE">
        <w:t xml:space="preserve"> National Radiological Protection Board, Chilton (UK), NRPB-R122.</w:t>
      </w:r>
    </w:p>
    <w:p w14:paraId="6B189AAB" w14:textId="77777777" w:rsidR="00CF25EE" w:rsidRPr="00CF25EE" w:rsidRDefault="00CF25EE" w:rsidP="00CF25EE">
      <w:pPr>
        <w:pStyle w:val="EndNoteBibliography"/>
        <w:spacing w:after="0"/>
        <w:ind w:hanging="720"/>
      </w:pPr>
      <w:r w:rsidRPr="00CF25EE">
        <w:t xml:space="preserve">Jones JA (1981b). </w:t>
      </w:r>
      <w:r w:rsidRPr="00CF25EE">
        <w:rPr>
          <w:i/>
        </w:rPr>
        <w:t>The Third Report of a Working Group on Atmospheric Dispersion: The Estimation of Long Range Dispersion and Deposition of Continuous Releases of Radionuclides to Atmosphere.</w:t>
      </w:r>
      <w:r w:rsidRPr="00CF25EE">
        <w:t xml:space="preserve"> National Radiological Protection Board, Chilton (UK), NRPB-R123.</w:t>
      </w:r>
    </w:p>
    <w:p w14:paraId="34C7F66E" w14:textId="77777777" w:rsidR="00CF25EE" w:rsidRPr="00CF25EE" w:rsidRDefault="00CF25EE" w:rsidP="00CF25EE">
      <w:pPr>
        <w:pStyle w:val="EndNoteBibliography"/>
        <w:spacing w:after="0"/>
        <w:ind w:hanging="720"/>
      </w:pPr>
      <w:r w:rsidRPr="00CF25EE">
        <w:t xml:space="preserve">Jones JA (1983). </w:t>
      </w:r>
      <w:r w:rsidRPr="00CF25EE">
        <w:rPr>
          <w:i/>
        </w:rPr>
        <w:t>The Fifth Report of a Working Group on Atmospheric Dispersion: Models to Allow for the Effects of Coastal Sites, Plume Rise and Buildings on Dispersion of Radionuclides and Guidance on the Value of Deposition Velocity and Washout Coefficients.</w:t>
      </w:r>
      <w:r w:rsidRPr="00CF25EE">
        <w:t xml:space="preserve"> National Radiological Protection Board, Chilton (UK), NRPB-R157.</w:t>
      </w:r>
    </w:p>
    <w:p w14:paraId="72AF0786" w14:textId="77777777" w:rsidR="00CF25EE" w:rsidRPr="00CF25EE" w:rsidRDefault="00CF25EE" w:rsidP="00CF25EE">
      <w:pPr>
        <w:pStyle w:val="EndNoteBibliography"/>
        <w:spacing w:after="0"/>
        <w:ind w:hanging="720"/>
      </w:pPr>
      <w:r w:rsidRPr="00CF25EE">
        <w:t xml:space="preserve">Jones JA, Charnock TW, Singer LN, Roed J, Andersson KG, Thykier-Nielsen S, Mikkelsen T, Astrup P, Kaiser JC, Müller H, Pröhl G, Raskob W, Hoe SC, Jacobsen LH, Schou-Jensen F and Gering F (2007b). </w:t>
      </w:r>
      <w:r w:rsidRPr="00CF25EE">
        <w:rPr>
          <w:i/>
        </w:rPr>
        <w:t>Description of the Modelling of Transfer and Dose Calculations within ERMIN v1.0 and associated Data Libraries.</w:t>
      </w:r>
      <w:r w:rsidRPr="00CF25EE">
        <w:t xml:space="preserve"> Chilton (UK), EURANOS(CAT2)-TN(05)-04.</w:t>
      </w:r>
    </w:p>
    <w:p w14:paraId="5824DC7D" w14:textId="77777777" w:rsidR="00CF25EE" w:rsidRPr="00CF25EE" w:rsidRDefault="00CF25EE" w:rsidP="00CF25EE">
      <w:pPr>
        <w:pStyle w:val="EndNoteBibliography"/>
        <w:spacing w:after="0"/>
        <w:ind w:hanging="720"/>
      </w:pPr>
      <w:r w:rsidRPr="00CF25EE">
        <w:t xml:space="preserve">Jones JA, Mansfield PA, Haywood SM, Hasemann I, Steinhauer C, Ehrhardt J and Faude D (1995). PC COSYMA (Version 2): An Accident Consequence Assessment Package for use on a PC. </w:t>
      </w:r>
      <w:r w:rsidRPr="00CF25EE">
        <w:rPr>
          <w:i/>
        </w:rPr>
        <w:t>EUR 16239</w:t>
      </w:r>
      <w:r w:rsidRPr="00CF25EE">
        <w:t>.</w:t>
      </w:r>
    </w:p>
    <w:p w14:paraId="77282F97" w14:textId="77777777" w:rsidR="00CF25EE" w:rsidRPr="00CF25EE" w:rsidRDefault="00CF25EE" w:rsidP="00CF25EE">
      <w:pPr>
        <w:pStyle w:val="EndNoteBibliography"/>
        <w:spacing w:after="0"/>
        <w:ind w:hanging="720"/>
      </w:pPr>
      <w:r w:rsidRPr="00CF25EE">
        <w:t xml:space="preserve">Kowe R, Carey AD, Jones JA and Mobbs SF (2007). </w:t>
      </w:r>
      <w:r w:rsidRPr="00CF25EE">
        <w:rPr>
          <w:i/>
        </w:rPr>
        <w:t>GRANIS: A Model for the Assessment of External Photon Irradiation from Contaminated Media of Infinite Lateral Extent.</w:t>
      </w:r>
      <w:r w:rsidRPr="00CF25EE">
        <w:t xml:space="preserve"> Health Protection Agency, Chilton (UK), HPA-RPD-032.</w:t>
      </w:r>
    </w:p>
    <w:p w14:paraId="3A7427BB" w14:textId="77777777" w:rsidR="00CF25EE" w:rsidRPr="00CF25EE" w:rsidRDefault="00CF25EE" w:rsidP="00CF25EE">
      <w:pPr>
        <w:pStyle w:val="EndNoteBibliography"/>
        <w:spacing w:after="0"/>
        <w:ind w:hanging="720"/>
      </w:pPr>
      <w:r w:rsidRPr="00CF25EE">
        <w:t xml:space="preserve">NRPB (1999). </w:t>
      </w:r>
      <w:r w:rsidRPr="00CF25EE">
        <w:rPr>
          <w:i/>
        </w:rPr>
        <w:t>Guide to Dose Coefficients.</w:t>
      </w:r>
      <w:r w:rsidRPr="00CF25EE">
        <w:t xml:space="preserve"> Chilton (UK).</w:t>
      </w:r>
    </w:p>
    <w:p w14:paraId="49829AF2" w14:textId="77777777" w:rsidR="00CF25EE" w:rsidRPr="00CF25EE" w:rsidRDefault="00CF25EE" w:rsidP="00CF25EE">
      <w:pPr>
        <w:pStyle w:val="EndNoteBibliography"/>
        <w:spacing w:after="0"/>
        <w:ind w:hanging="720"/>
      </w:pPr>
      <w:r w:rsidRPr="00CF25EE">
        <w:t xml:space="preserve">ONR (2020). </w:t>
      </w:r>
      <w:r w:rsidRPr="00CF25EE">
        <w:rPr>
          <w:i/>
        </w:rPr>
        <w:t>ONR Guide - Design Basis Analysis.</w:t>
      </w:r>
      <w:r w:rsidRPr="00CF25EE">
        <w:t xml:space="preserve"> Office for Nuclear Regulation, Bootle, Merseyside.</w:t>
      </w:r>
    </w:p>
    <w:p w14:paraId="05460DA2" w14:textId="77777777" w:rsidR="00CF25EE" w:rsidRPr="00CF25EE" w:rsidRDefault="00CF25EE" w:rsidP="00CF25EE">
      <w:pPr>
        <w:pStyle w:val="EndNoteBibliography"/>
        <w:spacing w:after="0"/>
        <w:ind w:hanging="720"/>
      </w:pPr>
      <w:r w:rsidRPr="00CF25EE">
        <w:t xml:space="preserve">Simmonds JR, Lawson G and Mayall A (1995). </w:t>
      </w:r>
      <w:r w:rsidRPr="00CF25EE">
        <w:rPr>
          <w:i/>
        </w:rPr>
        <w:t>Methodology for assessing the radiological consequences of routine releases of radionuclides to the environment.</w:t>
      </w:r>
      <w:r w:rsidRPr="00CF25EE">
        <w:t xml:space="preserve"> European Commission, Luxembourg, Radiation Protection 72.</w:t>
      </w:r>
    </w:p>
    <w:p w14:paraId="04FAFB25" w14:textId="77777777" w:rsidR="00CF25EE" w:rsidRPr="00CF25EE" w:rsidRDefault="00CF25EE" w:rsidP="00CF25EE">
      <w:pPr>
        <w:pStyle w:val="EndNoteBibliography"/>
        <w:spacing w:after="0"/>
        <w:ind w:hanging="720"/>
      </w:pPr>
      <w:r w:rsidRPr="00CF25EE">
        <w:t xml:space="preserve">Smith KR and Jones AL (2003). </w:t>
      </w:r>
      <w:r w:rsidRPr="00CF25EE">
        <w:rPr>
          <w:i/>
        </w:rPr>
        <w:t>Generalised Habit Data for Radiological Assessments.</w:t>
      </w:r>
      <w:r w:rsidRPr="00CF25EE">
        <w:t xml:space="preserve"> National Radiological Protection Board, Chilton (UK), NRPB-W41.</w:t>
      </w:r>
    </w:p>
    <w:p w14:paraId="19CB525D" w14:textId="77777777" w:rsidR="00CF25EE" w:rsidRPr="00CF25EE" w:rsidRDefault="00CF25EE" w:rsidP="00CF25EE">
      <w:pPr>
        <w:pStyle w:val="EndNoteBibliography"/>
        <w:spacing w:after="0"/>
        <w:ind w:hanging="720"/>
      </w:pPr>
      <w:r w:rsidRPr="00CF25EE">
        <w:t xml:space="preserve">Staniforth A and Wood N (2008). Aspects of the dynamical core of a nonhydrostatic deep-atmosphere, unified weather and climate prediction model. </w:t>
      </w:r>
      <w:r w:rsidRPr="00CF25EE">
        <w:rPr>
          <w:i/>
        </w:rPr>
        <w:t>Journal of Computational Physics</w:t>
      </w:r>
      <w:r w:rsidRPr="00CF25EE">
        <w:t xml:space="preserve"> </w:t>
      </w:r>
      <w:r w:rsidRPr="00CF25EE">
        <w:rPr>
          <w:b/>
        </w:rPr>
        <w:t>277</w:t>
      </w:r>
      <w:r w:rsidRPr="00CF25EE">
        <w:t>, 3445-3464.</w:t>
      </w:r>
    </w:p>
    <w:p w14:paraId="4722C549" w14:textId="77777777" w:rsidR="00CF25EE" w:rsidRPr="00CF25EE" w:rsidRDefault="00CF25EE" w:rsidP="00CF25EE">
      <w:pPr>
        <w:pStyle w:val="EndNoteBibliography"/>
        <w:ind w:hanging="720"/>
      </w:pPr>
      <w:r w:rsidRPr="00CF25EE">
        <w:t xml:space="preserve">Veinot KG, Eckerman KF, Bellamy MB, Hiller MM, Dewji SA, Easterly CE, Hertel NE and Manger R (2017). Effective dose rate coefficients for exposure to contaminated soil. </w:t>
      </w:r>
      <w:r w:rsidRPr="00CF25EE">
        <w:rPr>
          <w:i/>
        </w:rPr>
        <w:t>Radiation and Environmental Biophysics</w:t>
      </w:r>
      <w:r w:rsidRPr="00CF25EE">
        <w:t xml:space="preserve"> </w:t>
      </w:r>
      <w:r w:rsidRPr="00CF25EE">
        <w:rPr>
          <w:b/>
        </w:rPr>
        <w:t>56</w:t>
      </w:r>
      <w:r w:rsidRPr="00CF25EE">
        <w:t>(3), 255-267.</w:t>
      </w:r>
    </w:p>
    <w:p w14:paraId="225F51F9" w14:textId="746AFAC1" w:rsidR="008570E9" w:rsidRPr="003C7BC4" w:rsidRDefault="00324721" w:rsidP="007D3077">
      <w:pPr>
        <w:pStyle w:val="BodyText"/>
      </w:pPr>
      <w:r>
        <w:fldChar w:fldCharType="end"/>
      </w:r>
    </w:p>
    <w:p w14:paraId="3DD876DA" w14:textId="77777777" w:rsidR="007D3077" w:rsidRPr="003C7BC4" w:rsidRDefault="007D3077" w:rsidP="007D3077">
      <w:pPr>
        <w:pStyle w:val="BodyText"/>
        <w:sectPr w:rsidR="007D3077" w:rsidRPr="003C7BC4" w:rsidSect="00020A67">
          <w:headerReference w:type="even" r:id="rId69"/>
          <w:headerReference w:type="default" r:id="rId70"/>
          <w:footerReference w:type="even" r:id="rId71"/>
          <w:footerReference w:type="default" r:id="rId72"/>
          <w:footnotePr>
            <w:numFmt w:val="chicago"/>
            <w:numRestart w:val="eachPage"/>
          </w:footnotePr>
          <w:type w:val="oddPage"/>
          <w:pgSz w:w="11906" w:h="16838" w:code="9"/>
          <w:pgMar w:top="1985" w:right="1531" w:bottom="1418" w:left="1304" w:header="851" w:footer="851" w:gutter="0"/>
          <w:pgNumType w:start="1"/>
          <w:cols w:space="708"/>
          <w:docGrid w:linePitch="360"/>
        </w:sectPr>
      </w:pPr>
    </w:p>
    <w:p w14:paraId="34546848" w14:textId="26CEC72F" w:rsidR="007D3077" w:rsidRDefault="009817C6" w:rsidP="006E3729">
      <w:pPr>
        <w:pStyle w:val="Heading6"/>
      </w:pPr>
      <w:bookmarkStart w:id="226" w:name="_Ref83714521"/>
      <w:bookmarkStart w:id="227" w:name="_Ref83714555"/>
      <w:bookmarkStart w:id="228" w:name="_Toc89966437"/>
      <w:r>
        <w:t>Validation of wet deposition approaches</w:t>
      </w:r>
      <w:bookmarkEnd w:id="226"/>
      <w:bookmarkEnd w:id="227"/>
      <w:bookmarkEnd w:id="228"/>
    </w:p>
    <w:p w14:paraId="38EEE24C" w14:textId="40E18308" w:rsidR="005E5190" w:rsidRDefault="005E5190" w:rsidP="005E5190">
      <w:pPr>
        <w:pStyle w:val="Heading7"/>
      </w:pPr>
      <w:r>
        <w:t>Wet deposition modelling approaches</w:t>
      </w:r>
    </w:p>
    <w:p w14:paraId="2843596F" w14:textId="4BE93A04" w:rsidR="00CF6391" w:rsidRDefault="00CF6391" w:rsidP="00CF6391">
      <w:pPr>
        <w:pStyle w:val="BodyText"/>
        <w:jc w:val="both"/>
      </w:pPr>
      <w:r>
        <w:t xml:space="preserve">The </w:t>
      </w:r>
      <w:r w:rsidR="00382A4D">
        <w:t xml:space="preserve">fundamental </w:t>
      </w:r>
      <w:r>
        <w:t xml:space="preserve">approach </w:t>
      </w:r>
      <w:r w:rsidR="001245EE">
        <w:t xml:space="preserve">of deriving a washout coefficient </w:t>
      </w:r>
      <w:r>
        <w:t xml:space="preserve">applied </w:t>
      </w:r>
      <w:r w:rsidR="001245EE">
        <w:t>within</w:t>
      </w:r>
      <w:r>
        <w:t xml:space="preserve"> wet deposition modelling across the three models (ADEPT</w:t>
      </w:r>
      <w:r w:rsidR="00217750">
        <w:t>, ADMS</w:t>
      </w:r>
      <w:r>
        <w:t xml:space="preserve"> and NAME) considered in this study is essentially the same</w:t>
      </w:r>
      <w:r w:rsidR="00217750">
        <w:t>:</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70"/>
        <w:gridCol w:w="3118"/>
        <w:gridCol w:w="1553"/>
      </w:tblGrid>
      <w:tr w:rsidR="000D57A9" w14:paraId="542A72BD" w14:textId="77777777" w:rsidTr="00B27612">
        <w:tc>
          <w:tcPr>
            <w:tcW w:w="3670" w:type="dxa"/>
          </w:tcPr>
          <w:p w14:paraId="1FD3E8F5" w14:textId="77777777" w:rsidR="000D57A9" w:rsidRDefault="000D57A9" w:rsidP="00CF6391">
            <w:pPr>
              <w:pStyle w:val="BodyText"/>
              <w:ind w:left="0"/>
              <w:jc w:val="both"/>
            </w:pPr>
          </w:p>
        </w:tc>
        <w:tc>
          <w:tcPr>
            <w:tcW w:w="3118" w:type="dxa"/>
          </w:tcPr>
          <w:p w14:paraId="1F9CC836" w14:textId="5DDC0C7B" w:rsidR="000D57A9" w:rsidRDefault="000D57A9" w:rsidP="00CF6391">
            <w:pPr>
              <w:pStyle w:val="BodyText"/>
              <w:ind w:left="0"/>
              <w:jc w:val="both"/>
            </w:pPr>
            <w:r>
              <w:rPr>
                <w:rFonts w:cstheme="minorHAnsi"/>
              </w:rPr>
              <w:t>Λ</w:t>
            </w:r>
            <w:r>
              <w:t xml:space="preserve"> = A P</w:t>
            </w:r>
            <w:r w:rsidRPr="00217750">
              <w:rPr>
                <w:vertAlign w:val="superscript"/>
              </w:rPr>
              <w:t>B</w:t>
            </w:r>
          </w:p>
        </w:tc>
        <w:tc>
          <w:tcPr>
            <w:tcW w:w="1553" w:type="dxa"/>
          </w:tcPr>
          <w:p w14:paraId="5CB984D9" w14:textId="255DC057" w:rsidR="000D57A9" w:rsidRDefault="000D57A9" w:rsidP="00CF6391">
            <w:pPr>
              <w:pStyle w:val="BodyText"/>
              <w:ind w:left="0"/>
              <w:jc w:val="both"/>
            </w:pPr>
            <w:r>
              <w:t>(Equation A1)</w:t>
            </w:r>
          </w:p>
        </w:tc>
      </w:tr>
    </w:tbl>
    <w:p w14:paraId="5C0D3125" w14:textId="4F25C79A" w:rsidR="00217750" w:rsidRDefault="00217750" w:rsidP="00217750">
      <w:pPr>
        <w:pStyle w:val="BodyText"/>
        <w:jc w:val="both"/>
        <w:rPr>
          <w:rFonts w:cstheme="minorHAnsi"/>
        </w:rPr>
      </w:pPr>
      <w:r>
        <w:rPr>
          <w:rFonts w:cstheme="minorHAnsi"/>
        </w:rPr>
        <w:t>where Λ is the washout coefficient (</w:t>
      </w:r>
      <w:r w:rsidR="003D797A">
        <w:rPr>
          <w:rFonts w:cstheme="minorHAnsi"/>
        </w:rPr>
        <w:t>s</w:t>
      </w:r>
      <w:r w:rsidR="003D797A" w:rsidRPr="003D797A">
        <w:rPr>
          <w:rFonts w:cstheme="minorHAnsi"/>
          <w:vertAlign w:val="superscript"/>
        </w:rPr>
        <w:t>-1</w:t>
      </w:r>
      <w:r>
        <w:rPr>
          <w:rFonts w:cstheme="minorHAnsi"/>
        </w:rPr>
        <w:t>), P is the precipitation rate (mm h</w:t>
      </w:r>
      <w:r w:rsidRPr="00A12C22">
        <w:rPr>
          <w:rFonts w:cstheme="minorHAnsi"/>
          <w:vertAlign w:val="superscript"/>
        </w:rPr>
        <w:t>-1</w:t>
      </w:r>
      <w:r>
        <w:rPr>
          <w:rFonts w:cstheme="minorHAnsi"/>
        </w:rPr>
        <w:t>), and A and B are constants.</w:t>
      </w:r>
    </w:p>
    <w:p w14:paraId="72CF0AA0" w14:textId="766C2120" w:rsidR="00217750" w:rsidRDefault="005E5190" w:rsidP="00217750">
      <w:pPr>
        <w:pStyle w:val="BodyText"/>
        <w:jc w:val="both"/>
        <w:rPr>
          <w:rFonts w:cstheme="minorHAnsi"/>
        </w:rPr>
      </w:pPr>
      <w:r>
        <w:rPr>
          <w:rFonts w:cstheme="minorHAnsi"/>
        </w:rPr>
        <w:t>A</w:t>
      </w:r>
      <w:r w:rsidR="005628AF">
        <w:rPr>
          <w:rFonts w:cstheme="minorHAnsi"/>
        </w:rPr>
        <w:t>ll three models account for plume depletion as a result of wet deposition processes, however the detail</w:t>
      </w:r>
      <w:r>
        <w:rPr>
          <w:rFonts w:cstheme="minorHAnsi"/>
        </w:rPr>
        <w:t>s</w:t>
      </w:r>
      <w:r w:rsidR="00FE16CD">
        <w:rPr>
          <w:rFonts w:cstheme="minorHAnsi"/>
        </w:rPr>
        <w:t xml:space="preserve"> of such approaches do</w:t>
      </w:r>
      <w:r w:rsidR="005628AF">
        <w:rPr>
          <w:rFonts w:cstheme="minorHAnsi"/>
        </w:rPr>
        <w:t xml:space="preserve"> differ. </w:t>
      </w:r>
      <w:r w:rsidR="00C375B8">
        <w:rPr>
          <w:rFonts w:cstheme="minorHAnsi"/>
        </w:rPr>
        <w:t>T</w:t>
      </w:r>
      <w:r w:rsidR="00217750">
        <w:rPr>
          <w:rFonts w:cstheme="minorHAnsi"/>
        </w:rPr>
        <w:t xml:space="preserve">he application of the washout coefficient in the estimation of the amount of activity removed from the plume </w:t>
      </w:r>
      <w:r w:rsidR="005628AF">
        <w:rPr>
          <w:rFonts w:cstheme="minorHAnsi"/>
        </w:rPr>
        <w:t>varies</w:t>
      </w:r>
      <w:r w:rsidR="00217750">
        <w:rPr>
          <w:rFonts w:cstheme="minorHAnsi"/>
        </w:rPr>
        <w:t xml:space="preserve"> from model to model, as </w:t>
      </w:r>
      <w:r w:rsidR="005628AF">
        <w:rPr>
          <w:rFonts w:cstheme="minorHAnsi"/>
        </w:rPr>
        <w:t>do</w:t>
      </w:r>
      <w:r w:rsidR="00217750">
        <w:rPr>
          <w:rFonts w:cstheme="minorHAnsi"/>
        </w:rPr>
        <w:t xml:space="preserve"> the values of the constants A and B</w:t>
      </w:r>
      <w:r w:rsidR="005628AF">
        <w:rPr>
          <w:rFonts w:cstheme="minorHAnsi"/>
        </w:rPr>
        <w:t xml:space="preserve"> (used to determine the washout coefficient)</w:t>
      </w:r>
      <w:r w:rsidR="00217750">
        <w:rPr>
          <w:rFonts w:cstheme="minorHAnsi"/>
        </w:rPr>
        <w:t>.</w:t>
      </w:r>
    </w:p>
    <w:p w14:paraId="4F912E6C" w14:textId="7056FB59" w:rsidR="00A12C22" w:rsidRDefault="00A12C22" w:rsidP="00217750">
      <w:pPr>
        <w:pStyle w:val="BodyText"/>
        <w:jc w:val="both"/>
        <w:rPr>
          <w:rFonts w:cstheme="minorHAnsi"/>
        </w:rPr>
      </w:pPr>
      <w:r>
        <w:rPr>
          <w:rFonts w:cstheme="minorHAnsi"/>
        </w:rPr>
        <w:t>ADEPT employs the simplest approach</w:t>
      </w:r>
      <w:r w:rsidR="005628AF">
        <w:rPr>
          <w:rFonts w:cstheme="minorHAnsi"/>
        </w:rPr>
        <w:t xml:space="preserve"> based upon equation 17 in </w:t>
      </w:r>
      <w:r w:rsidR="005628AF">
        <w:rPr>
          <w:rFonts w:cstheme="minorHAnsi"/>
        </w:rPr>
        <w:fldChar w:fldCharType="begin"/>
      </w:r>
      <w:r w:rsidR="003C58BA">
        <w:rPr>
          <w:rFonts w:cstheme="minorHAnsi"/>
        </w:rPr>
        <w:instrText xml:space="preserve"> ADDIN EN.CITE &lt;EndNote&gt;&lt;Cite AuthorYear="1"&gt;&lt;Author&gt;Jones&lt;/Author&gt;&lt;Year&gt;1981&lt;/Year&gt;&lt;RecNum&gt;2843&lt;/RecNum&gt;&lt;DisplayText&gt;Jones (1981)&lt;/DisplayText&gt;&lt;record&gt;&lt;rec-number&gt;2843&lt;/rec-number&gt;&lt;foreign-keys&gt;&lt;key app="EN" db-id="r5f5xrrfzavsr7easp0pz0v5xxsaspratxsv" timestamp="1594740727" guid="ce9a1360-e0fe-43d7-9a81-62ddf0d7d1d1"&gt;2843&lt;/key&gt;&lt;key app="ENWeb" db-id=""&gt;0&lt;/key&gt;&lt;/foreign-keys&gt;&lt;ref-type name="Report"&gt;27&lt;/ref-type&gt;&lt;contributors&gt;&lt;authors&gt;&lt;author&gt;Jones, J. Arthur&lt;/author&gt;&lt;/authors&gt;&lt;tertiary-authors&gt;&lt;author&gt;National Radiological Protection Board,&lt;/author&gt;&lt;/tertiary-authors&gt;&lt;/contributors&gt;&lt;titles&gt;&lt;title&gt;The Second Report of a Working Group on Atmospheric Dispersion: A Procedure to Include Deposition in the Model for Short and Medium Range Atmospheric Dispersion of Radionuclides&lt;/title&gt;&lt;secondary-title&gt;NRPB R Series&lt;/secondary-title&gt;&lt;/titles&gt;&lt;volume&gt;NRPB-R122&lt;/volume&gt;&lt;number&gt;NRPB-R122&lt;/number&gt;&lt;keywords&gt;&lt;keyword&gt;Atmospheric dispersion&lt;/keyword&gt;&lt;keyword&gt;ADMLC&lt;/keyword&gt;&lt;keyword&gt;deposition&lt;/keyword&gt;&lt;keyword&gt;R91&lt;/keyword&gt;&lt;/keywords&gt;&lt;dates&gt;&lt;year&gt;1981&lt;/year&gt;&lt;pub-dates&gt;&lt;date&gt;1981&lt;/date&gt;&lt;/pub-dates&gt;&lt;/dates&gt;&lt;pub-location&gt;Chilton (UK)&lt;/pub-location&gt;&lt;publisher&gt;National Radiological Protection Board&lt;/publisher&gt;&lt;isbn&gt;NRPB-R122&lt;/isbn&gt;&lt;label&gt;6098&lt;/label&gt;&lt;urls&gt;&lt;/urls&gt;&lt;/record&gt;&lt;/Cite&gt;&lt;/EndNote&gt;</w:instrText>
      </w:r>
      <w:r w:rsidR="005628AF">
        <w:rPr>
          <w:rFonts w:cstheme="minorHAnsi"/>
        </w:rPr>
        <w:fldChar w:fldCharType="separate"/>
      </w:r>
      <w:r w:rsidR="003C58BA">
        <w:rPr>
          <w:rFonts w:cstheme="minorHAnsi"/>
          <w:noProof/>
        </w:rPr>
        <w:t>Jones (1981)</w:t>
      </w:r>
      <w:r w:rsidR="005628AF">
        <w:rPr>
          <w:rFonts w:cstheme="minorHAnsi"/>
        </w:rPr>
        <w:fldChar w:fldCharType="end"/>
      </w:r>
      <w:r w:rsidR="005628AF">
        <w:rPr>
          <w:rFonts w:cstheme="minorHAnsi"/>
        </w:rPr>
        <w:t xml:space="preserve">. This approach considers the activity concentration in air at ground level, rather than </w:t>
      </w:r>
      <w:r w:rsidR="00C375B8">
        <w:rPr>
          <w:rFonts w:cstheme="minorHAnsi"/>
        </w:rPr>
        <w:t xml:space="preserve">considering the </w:t>
      </w:r>
      <w:r w:rsidR="005628AF">
        <w:rPr>
          <w:rFonts w:cstheme="minorHAnsi"/>
        </w:rPr>
        <w:t>vertical column of the atmosphere through which the precipitation will fall. This assumption is likely to be most uncertain relativel</w:t>
      </w:r>
      <w:r w:rsidR="00245F57">
        <w:rPr>
          <w:rFonts w:cstheme="minorHAnsi"/>
        </w:rPr>
        <w:t>y close to the release location</w:t>
      </w:r>
      <w:r w:rsidR="001245EE">
        <w:rPr>
          <w:rFonts w:cstheme="minorHAnsi"/>
        </w:rPr>
        <w:t xml:space="preserve"> </w:t>
      </w:r>
      <w:r w:rsidR="005628AF">
        <w:rPr>
          <w:rFonts w:cstheme="minorHAnsi"/>
        </w:rPr>
        <w:t>where the activity concentrations in air over the vertical column are most variable.</w:t>
      </w:r>
      <w:r w:rsidR="00245F57">
        <w:rPr>
          <w:rFonts w:cstheme="minorHAnsi"/>
        </w:rPr>
        <w:t xml:space="preserve"> For elevated releases, estimates are expected to be even more uncertain.</w:t>
      </w:r>
      <w:r w:rsidR="005628AF">
        <w:rPr>
          <w:rFonts w:cstheme="minorHAnsi"/>
        </w:rPr>
        <w:t xml:space="preserve"> </w:t>
      </w:r>
      <w:r w:rsidR="00245F57">
        <w:rPr>
          <w:rFonts w:cstheme="minorHAnsi"/>
        </w:rPr>
        <w:t>Within this study</w:t>
      </w:r>
      <w:r w:rsidR="003C58BA">
        <w:rPr>
          <w:rFonts w:cstheme="minorHAnsi"/>
        </w:rPr>
        <w:t>,</w:t>
      </w:r>
      <w:r w:rsidR="00245F57">
        <w:rPr>
          <w:rFonts w:cstheme="minorHAnsi"/>
        </w:rPr>
        <w:t xml:space="preserve"> where </w:t>
      </w:r>
      <w:r w:rsidR="00FE16CD">
        <w:rPr>
          <w:rFonts w:cstheme="minorHAnsi"/>
        </w:rPr>
        <w:t>a 10</w:t>
      </w:r>
      <w:r w:rsidR="00CB5880">
        <w:rPr>
          <w:rFonts w:cstheme="minorHAnsi"/>
        </w:rPr>
        <w:t>-</w:t>
      </w:r>
      <w:r w:rsidR="00FE16CD">
        <w:rPr>
          <w:rFonts w:cstheme="minorHAnsi"/>
        </w:rPr>
        <w:t>metre release height was assumed</w:t>
      </w:r>
      <w:r w:rsidR="00245F57">
        <w:rPr>
          <w:rFonts w:cstheme="minorHAnsi"/>
        </w:rPr>
        <w:t>,</w:t>
      </w:r>
      <w:r w:rsidR="005628AF">
        <w:rPr>
          <w:rFonts w:cstheme="minorHAnsi"/>
        </w:rPr>
        <w:t xml:space="preserve"> </w:t>
      </w:r>
      <w:r w:rsidR="00245F57">
        <w:rPr>
          <w:rFonts w:cstheme="minorHAnsi"/>
        </w:rPr>
        <w:t xml:space="preserve">wet deposition estimates </w:t>
      </w:r>
      <w:r w:rsidR="0066520C">
        <w:rPr>
          <w:rFonts w:cstheme="minorHAnsi"/>
        </w:rPr>
        <w:t xml:space="preserve">derived on the basis of ADEPT </w:t>
      </w:r>
      <w:r w:rsidR="00245F57">
        <w:rPr>
          <w:rFonts w:cstheme="minorHAnsi"/>
        </w:rPr>
        <w:t>are</w:t>
      </w:r>
      <w:r w:rsidR="005628AF">
        <w:rPr>
          <w:rFonts w:cstheme="minorHAnsi"/>
        </w:rPr>
        <w:t xml:space="preserve"> likely to be conservative and </w:t>
      </w:r>
      <w:r w:rsidR="00245F57">
        <w:rPr>
          <w:rFonts w:cstheme="minorHAnsi"/>
        </w:rPr>
        <w:t xml:space="preserve">an </w:t>
      </w:r>
      <w:r w:rsidR="005628AF">
        <w:rPr>
          <w:rFonts w:cstheme="minorHAnsi"/>
        </w:rPr>
        <w:t>overestimate.</w:t>
      </w:r>
    </w:p>
    <w:p w14:paraId="6D7EAFAE" w14:textId="4848047D" w:rsidR="00217750" w:rsidRDefault="00C375B8" w:rsidP="00217750">
      <w:pPr>
        <w:pStyle w:val="BodyText"/>
        <w:jc w:val="both"/>
        <w:rPr>
          <w:rFonts w:cstheme="minorHAnsi"/>
        </w:rPr>
      </w:pPr>
      <w:r>
        <w:rPr>
          <w:rFonts w:cstheme="minorHAnsi"/>
        </w:rPr>
        <w:t>ADMS (</w:t>
      </w:r>
      <w:r w:rsidR="00217750">
        <w:rPr>
          <w:rFonts w:cstheme="minorHAnsi"/>
        </w:rPr>
        <w:t xml:space="preserve">v4.2) estimates wet deposition (per unit horizontal area per unit time) by integrating the </w:t>
      </w:r>
      <w:r w:rsidR="00A12C22">
        <w:rPr>
          <w:rFonts w:cstheme="minorHAnsi"/>
        </w:rPr>
        <w:t>product</w:t>
      </w:r>
      <w:r w:rsidR="00217750">
        <w:rPr>
          <w:rFonts w:cstheme="minorHAnsi"/>
        </w:rPr>
        <w:t xml:space="preserve"> of the washout coefficient</w:t>
      </w:r>
      <w:r w:rsidR="00A12C22">
        <w:rPr>
          <w:rFonts w:cstheme="minorHAnsi"/>
        </w:rPr>
        <w:t xml:space="preserve"> (not a function of </w:t>
      </w:r>
      <w:r w:rsidR="007635F8">
        <w:rPr>
          <w:rFonts w:cstheme="minorHAnsi"/>
        </w:rPr>
        <w:t>vertical height (</w:t>
      </w:r>
      <w:r w:rsidR="00A12C22">
        <w:rPr>
          <w:rFonts w:cstheme="minorHAnsi"/>
        </w:rPr>
        <w:t>z</w:t>
      </w:r>
      <w:r w:rsidR="007635F8">
        <w:rPr>
          <w:rFonts w:cstheme="minorHAnsi"/>
        </w:rPr>
        <w:t>)</w:t>
      </w:r>
      <w:r w:rsidR="00A12C22">
        <w:rPr>
          <w:rFonts w:cstheme="minorHAnsi"/>
        </w:rPr>
        <w:t>)</w:t>
      </w:r>
      <w:r w:rsidR="00217750">
        <w:rPr>
          <w:rFonts w:cstheme="minorHAnsi"/>
        </w:rPr>
        <w:t xml:space="preserve"> and the “local” airborne activity concentration in air </w:t>
      </w:r>
      <w:r w:rsidR="00A12C22">
        <w:rPr>
          <w:rFonts w:cstheme="minorHAnsi"/>
        </w:rPr>
        <w:t xml:space="preserve">(a function of z) </w:t>
      </w:r>
      <w:r w:rsidR="00217750">
        <w:rPr>
          <w:rFonts w:cstheme="minorHAnsi"/>
        </w:rPr>
        <w:t>through the (entire) vertical column of air</w:t>
      </w:r>
      <w:r w:rsidR="00A12C22">
        <w:rPr>
          <w:rFonts w:cstheme="minorHAnsi"/>
        </w:rPr>
        <w:t xml:space="preserve">. </w:t>
      </w:r>
      <w:r>
        <w:rPr>
          <w:rFonts w:cstheme="minorHAnsi"/>
        </w:rPr>
        <w:t xml:space="preserve">ADMS considers precipitation in the form of rain only. The rainfall rate is assumed to be constant and uniform. </w:t>
      </w:r>
      <w:r w:rsidR="00A12C22">
        <w:rPr>
          <w:rFonts w:cstheme="minorHAnsi"/>
        </w:rPr>
        <w:t xml:space="preserve">All plume material </w:t>
      </w:r>
      <w:r w:rsidR="00B520E0">
        <w:rPr>
          <w:rFonts w:cstheme="minorHAnsi"/>
        </w:rPr>
        <w:t>is assumed to lie</w:t>
      </w:r>
      <w:r w:rsidR="00A12C22">
        <w:rPr>
          <w:rFonts w:cstheme="minorHAnsi"/>
        </w:rPr>
        <w:t xml:space="preserve"> in or below the (rain) cloud. No distinction is made between in-cloud scavenging (rainout) and below-cloud scavenging (washout). </w:t>
      </w:r>
      <w:r>
        <w:rPr>
          <w:rFonts w:cstheme="minorHAnsi"/>
        </w:rPr>
        <w:t>Irreversible uptake is assumed i.e. uptake in rain does not lead to a redistribution of material in the plume.</w:t>
      </w:r>
    </w:p>
    <w:p w14:paraId="03CD1875" w14:textId="5B36E0F5" w:rsidR="00953A2D" w:rsidRDefault="00953A2D" w:rsidP="00217750">
      <w:pPr>
        <w:pStyle w:val="BodyText"/>
        <w:jc w:val="both"/>
        <w:rPr>
          <w:rFonts w:cstheme="minorHAnsi"/>
        </w:rPr>
      </w:pPr>
      <w:r>
        <w:rPr>
          <w:rFonts w:cstheme="minorHAnsi"/>
        </w:rPr>
        <w:t xml:space="preserve">NAME includes two approaches to modelling wet deposition; </w:t>
      </w:r>
      <w:r w:rsidR="00DB53EB">
        <w:rPr>
          <w:rFonts w:cstheme="minorHAnsi"/>
        </w:rPr>
        <w:t>a</w:t>
      </w:r>
      <w:r>
        <w:rPr>
          <w:rFonts w:cstheme="minorHAnsi"/>
        </w:rPr>
        <w:t xml:space="preserve"> bulk wet scavenging parameterization</w:t>
      </w:r>
      <w:r w:rsidR="00DB53EB">
        <w:rPr>
          <w:rFonts w:cstheme="minorHAnsi"/>
        </w:rPr>
        <w:t>,</w:t>
      </w:r>
      <w:r>
        <w:rPr>
          <w:rFonts w:cstheme="minorHAnsi"/>
        </w:rPr>
        <w:t xml:space="preserve"> which was applied in this study, and also a particle dependent wet deposition scheme</w:t>
      </w:r>
      <w:r w:rsidR="00B9699D">
        <w:rPr>
          <w:rFonts w:cstheme="minorHAnsi"/>
        </w:rPr>
        <w:t>, which accounts</w:t>
      </w:r>
      <w:r>
        <w:rPr>
          <w:rFonts w:cstheme="minorHAnsi"/>
        </w:rPr>
        <w:t xml:space="preserve"> for the </w:t>
      </w:r>
      <w:r w:rsidR="00B9699D">
        <w:rPr>
          <w:rFonts w:cstheme="minorHAnsi"/>
        </w:rPr>
        <w:t xml:space="preserve">particle size and </w:t>
      </w:r>
      <w:r>
        <w:rPr>
          <w:rFonts w:cstheme="minorHAnsi"/>
        </w:rPr>
        <w:t xml:space="preserve">solubility, and was applied </w:t>
      </w:r>
      <w:r w:rsidR="00B9699D">
        <w:rPr>
          <w:rFonts w:cstheme="minorHAnsi"/>
        </w:rPr>
        <w:t>with</w:t>
      </w:r>
      <w:r>
        <w:rPr>
          <w:rFonts w:cstheme="minorHAnsi"/>
        </w:rPr>
        <w:t xml:space="preserve"> notable success when modelling the </w:t>
      </w:r>
      <w:r w:rsidR="00B9699D">
        <w:rPr>
          <w:rFonts w:cstheme="minorHAnsi"/>
        </w:rPr>
        <w:t xml:space="preserve">large scale </w:t>
      </w:r>
      <w:r>
        <w:rPr>
          <w:rFonts w:cstheme="minorHAnsi"/>
        </w:rPr>
        <w:t>wet deposition of radioactivity following the accidental release at the Fukushima Nuclear Power Plant</w:t>
      </w:r>
      <w:r w:rsidR="00B9699D">
        <w:rPr>
          <w:rFonts w:cstheme="minorHAnsi"/>
        </w:rPr>
        <w:t xml:space="preserve"> </w:t>
      </w:r>
      <w:r w:rsidR="00B9699D">
        <w:rPr>
          <w:rFonts w:cstheme="minorHAnsi"/>
        </w:rPr>
        <w:fldChar w:fldCharType="begin"/>
      </w:r>
      <w:r w:rsidR="00B9699D">
        <w:rPr>
          <w:rFonts w:cstheme="minorHAnsi"/>
        </w:rPr>
        <w:instrText xml:space="preserve"> ADDIN EN.CITE &lt;EndNote&gt;&lt;Cite&gt;&lt;Author&gt;Dacre&lt;/Author&gt;&lt;Year&gt;2020&lt;/Year&gt;&lt;RecNum&gt;5888&lt;/RecNum&gt;&lt;DisplayText&gt;(Dacre et al, 2020)&lt;/DisplayText&gt;&lt;record&gt;&lt;rec-number&gt;5888&lt;/rec-number&gt;&lt;foreign-keys&gt;&lt;key app="EN" db-id="r5f5xrrfzavsr7easp0pz0v5xxsaspratxsv" timestamp="1594749919" guid="e1018ccd-c84d-4a0d-8dd5-ba96bae40950"&gt;5888&lt;/key&gt;&lt;key app="ENWeb" db-id=""&gt;0&lt;/key&gt;&lt;/foreign-keys&gt;&lt;ref-type name="Journal Article"&gt;17&lt;/ref-type&gt;&lt;contributors&gt;&lt;authors&gt;&lt;author&gt;Dacre, H. F.&lt;/author&gt;&lt;author&gt;Bedwell, P.&lt;/author&gt;&lt;author&gt;Hertwig, D.&lt;/author&gt;&lt;author&gt;Leadbetter, S. J.&lt;/author&gt;&lt;author&gt;Loizou, P.&lt;/author&gt;&lt;author&gt;Webster, H. N.&lt;/author&gt;&lt;/authors&gt;&lt;/contributors&gt;&lt;titles&gt;&lt;title&gt;Improved representation of particle size and solubility in model simulations of atmospheric dispersion and wet-deposition from Fukushima&lt;/title&gt;&lt;secondary-title&gt;Journal of Environmental Radioactivity&lt;/secondary-title&gt;&lt;/titles&gt;&lt;periodical&gt;&lt;full-title&gt;Journal of Environmental Radioactivity&lt;/full-title&gt;&lt;/periodical&gt;&lt;volume&gt;217&lt;/volume&gt;&lt;section&gt;106193&lt;/section&gt;&lt;dates&gt;&lt;year&gt;2020&lt;/year&gt;&lt;/dates&gt;&lt;isbn&gt;0265931X&lt;/isbn&gt;&lt;urls&gt;&lt;/urls&gt;&lt;electronic-resource-num&gt;10.1016/j.jenvrad.2020.106193&lt;/electronic-resource-num&gt;&lt;/record&gt;&lt;/Cite&gt;&lt;/EndNote&gt;</w:instrText>
      </w:r>
      <w:r w:rsidR="00B9699D">
        <w:rPr>
          <w:rFonts w:cstheme="minorHAnsi"/>
        </w:rPr>
        <w:fldChar w:fldCharType="separate"/>
      </w:r>
      <w:r w:rsidR="00B9699D">
        <w:rPr>
          <w:rFonts w:cstheme="minorHAnsi"/>
          <w:noProof/>
        </w:rPr>
        <w:t>(Dacre et al, 2020)</w:t>
      </w:r>
      <w:r w:rsidR="00B9699D">
        <w:rPr>
          <w:rFonts w:cstheme="minorHAnsi"/>
        </w:rPr>
        <w:fldChar w:fldCharType="end"/>
      </w:r>
      <w:r w:rsidR="00B9699D">
        <w:rPr>
          <w:rFonts w:cstheme="minorHAnsi"/>
        </w:rPr>
        <w:t xml:space="preserve">. The bulk wet scavenging </w:t>
      </w:r>
      <w:r w:rsidR="003D797A">
        <w:rPr>
          <w:rFonts w:cstheme="minorHAnsi"/>
        </w:rPr>
        <w:t>approach accounts for the removal of material by wet deposition processes as a function of time as well as space (based on the depletion equation) and specifically considers the depletion of radioactivity on a model particle</w:t>
      </w:r>
      <w:r w:rsidR="00DB53EB">
        <w:rPr>
          <w:rFonts w:cstheme="minorHAnsi"/>
        </w:rPr>
        <w:t xml:space="preserve"> by way of</w:t>
      </w:r>
      <w:r w:rsidR="003D797A">
        <w:rPr>
          <w:rFonts w:cstheme="minorHAnsi"/>
        </w:rPr>
        <w:t>:</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03"/>
        <w:gridCol w:w="3685"/>
        <w:gridCol w:w="1553"/>
      </w:tblGrid>
      <w:tr w:rsidR="00B27612" w14:paraId="2FA384C7" w14:textId="77777777" w:rsidTr="00B27612">
        <w:tc>
          <w:tcPr>
            <w:tcW w:w="3103" w:type="dxa"/>
          </w:tcPr>
          <w:p w14:paraId="01766A0E" w14:textId="77777777" w:rsidR="00B27612" w:rsidRDefault="00B27612" w:rsidP="00C401D4">
            <w:pPr>
              <w:pStyle w:val="BodyText"/>
              <w:ind w:left="0"/>
              <w:jc w:val="both"/>
            </w:pPr>
          </w:p>
        </w:tc>
        <w:tc>
          <w:tcPr>
            <w:tcW w:w="3685" w:type="dxa"/>
          </w:tcPr>
          <w:p w14:paraId="36CF505C" w14:textId="01182BF8" w:rsidR="00B27612" w:rsidRDefault="00B27612" w:rsidP="00C401D4">
            <w:pPr>
              <w:pStyle w:val="BodyText"/>
              <w:ind w:left="0"/>
              <w:jc w:val="both"/>
            </w:pPr>
            <w:r>
              <w:rPr>
                <w:rFonts w:cstheme="minorHAnsi"/>
              </w:rPr>
              <w:t>Δm = m[1 – exp(-ΛΔt)]</w:t>
            </w:r>
          </w:p>
        </w:tc>
        <w:tc>
          <w:tcPr>
            <w:tcW w:w="1553" w:type="dxa"/>
          </w:tcPr>
          <w:p w14:paraId="4A4AB8E2" w14:textId="7DF3291A" w:rsidR="00B27612" w:rsidRDefault="00B27612" w:rsidP="00C401D4">
            <w:pPr>
              <w:pStyle w:val="BodyText"/>
              <w:ind w:left="0"/>
              <w:jc w:val="both"/>
            </w:pPr>
            <w:r>
              <w:t>(Equation A2)</w:t>
            </w:r>
          </w:p>
        </w:tc>
      </w:tr>
    </w:tbl>
    <w:p w14:paraId="70E83CF0" w14:textId="30BE42B7" w:rsidR="00C929BC" w:rsidRDefault="003D797A" w:rsidP="003D797A">
      <w:pPr>
        <w:pStyle w:val="BodyText"/>
        <w:jc w:val="both"/>
        <w:rPr>
          <w:rFonts w:cstheme="minorHAnsi"/>
        </w:rPr>
      </w:pPr>
      <w:r>
        <w:rPr>
          <w:rFonts w:cstheme="minorHAnsi"/>
        </w:rPr>
        <w:t>where m is the mass of the particle at the start of the timestep, and Δm is the change in mass over the timestep Δt.</w:t>
      </w:r>
      <w:r w:rsidR="00C929BC">
        <w:rPr>
          <w:rFonts w:cstheme="minorHAnsi"/>
        </w:rPr>
        <w:t xml:space="preserve"> Whilst eq</w:t>
      </w:r>
      <w:r w:rsidR="00697F5B">
        <w:rPr>
          <w:rFonts w:cstheme="minorHAnsi"/>
        </w:rPr>
        <w:t>uation A</w:t>
      </w:r>
      <w:r w:rsidR="00C929BC">
        <w:rPr>
          <w:rFonts w:cstheme="minorHAnsi"/>
        </w:rPr>
        <w:t>1 is applied in NAME, because NAME has the capability to consider different forms of precipitation (</w:t>
      </w:r>
      <w:r w:rsidR="003E3804">
        <w:rPr>
          <w:rFonts w:cstheme="minorHAnsi"/>
        </w:rPr>
        <w:t>e.g.</w:t>
      </w:r>
      <w:r w:rsidR="00C929BC">
        <w:rPr>
          <w:rFonts w:cstheme="minorHAnsi"/>
        </w:rPr>
        <w:t xml:space="preserve"> dynamic (or large scale, typically frontal) precipitation and convective (</w:t>
      </w:r>
      <w:r w:rsidR="003E3804">
        <w:rPr>
          <w:rFonts w:cstheme="minorHAnsi"/>
        </w:rPr>
        <w:t>typically</w:t>
      </w:r>
      <w:r w:rsidR="00C929BC">
        <w:rPr>
          <w:rFonts w:cstheme="minorHAnsi"/>
        </w:rPr>
        <w:t xml:space="preserve"> smaller scale and showery) precipitation), this equation may take a more comp</w:t>
      </w:r>
      <w:r w:rsidR="003E3804">
        <w:rPr>
          <w:rFonts w:cstheme="minorHAnsi"/>
        </w:rPr>
        <w:t>lex form depending on the avail</w:t>
      </w:r>
      <w:r w:rsidR="00C929BC">
        <w:rPr>
          <w:rFonts w:cstheme="minorHAnsi"/>
        </w:rPr>
        <w:t>ab</w:t>
      </w:r>
      <w:r w:rsidR="003E3804">
        <w:rPr>
          <w:rFonts w:cstheme="minorHAnsi"/>
        </w:rPr>
        <w:t>il</w:t>
      </w:r>
      <w:r w:rsidR="00C929BC">
        <w:rPr>
          <w:rFonts w:cstheme="minorHAnsi"/>
        </w:rPr>
        <w:t>ity o</w:t>
      </w:r>
      <w:r w:rsidR="003E3804">
        <w:rPr>
          <w:rFonts w:cstheme="minorHAnsi"/>
        </w:rPr>
        <w:t>f</w:t>
      </w:r>
      <w:r w:rsidR="00C929BC">
        <w:rPr>
          <w:rFonts w:cstheme="minorHAnsi"/>
        </w:rPr>
        <w:t xml:space="preserve"> the meteorological data applied within t</w:t>
      </w:r>
      <w:r w:rsidR="003E3804">
        <w:rPr>
          <w:rFonts w:cstheme="minorHAnsi"/>
        </w:rPr>
        <w:t xml:space="preserve">he </w:t>
      </w:r>
      <w:r w:rsidR="00C929BC">
        <w:rPr>
          <w:rFonts w:cstheme="minorHAnsi"/>
        </w:rPr>
        <w:t>model.</w:t>
      </w:r>
      <w:r w:rsidR="003E3804">
        <w:rPr>
          <w:rFonts w:cstheme="minorHAnsi"/>
        </w:rPr>
        <w:t xml:space="preserve"> NAME also has the ability to differentiate between rain and snow, and in-cloud and below-cloud scavenging. </w:t>
      </w:r>
      <w:r w:rsidR="00DB53EB">
        <w:rPr>
          <w:rFonts w:cstheme="minorHAnsi"/>
        </w:rPr>
        <w:t xml:space="preserve">The rainfall rate </w:t>
      </w:r>
      <w:r w:rsidR="00B520E0">
        <w:rPr>
          <w:rFonts w:cstheme="minorHAnsi"/>
        </w:rPr>
        <w:t xml:space="preserve">applied </w:t>
      </w:r>
      <w:r w:rsidR="00DB53EB">
        <w:rPr>
          <w:rFonts w:cstheme="minorHAnsi"/>
        </w:rPr>
        <w:t xml:space="preserve">is variable as a function of time and space, </w:t>
      </w:r>
      <w:r w:rsidR="00B520E0">
        <w:rPr>
          <w:rFonts w:cstheme="minorHAnsi"/>
        </w:rPr>
        <w:t>but the extent to which this is the case depends</w:t>
      </w:r>
      <w:r w:rsidR="00DB53EB">
        <w:rPr>
          <w:rFonts w:cstheme="minorHAnsi"/>
        </w:rPr>
        <w:t xml:space="preserve"> on the NWP met data being applied.</w:t>
      </w:r>
      <w:r w:rsidR="00DB53EB" w:rsidRPr="00DB53EB">
        <w:rPr>
          <w:rFonts w:cstheme="minorHAnsi"/>
        </w:rPr>
        <w:t xml:space="preserve"> </w:t>
      </w:r>
      <w:r w:rsidR="00DB53EB">
        <w:rPr>
          <w:rFonts w:cstheme="minorHAnsi"/>
        </w:rPr>
        <w:t>Irreversible uptake is assumed.</w:t>
      </w:r>
    </w:p>
    <w:p w14:paraId="4DDC2BD8" w14:textId="4E314DFB" w:rsidR="003C58BA" w:rsidRDefault="008F6A0C" w:rsidP="00175164">
      <w:pPr>
        <w:pStyle w:val="BodyText"/>
        <w:jc w:val="both"/>
        <w:rPr>
          <w:rFonts w:cstheme="minorHAnsi"/>
        </w:rPr>
      </w:pPr>
      <w:r>
        <w:rPr>
          <w:rFonts w:cstheme="minorHAnsi"/>
        </w:rPr>
        <w:t xml:space="preserve">The washout coefficient constant parameters </w:t>
      </w:r>
      <w:r w:rsidR="00175164">
        <w:rPr>
          <w:rFonts w:cstheme="minorHAnsi"/>
        </w:rPr>
        <w:t>detailed in</w:t>
      </w:r>
      <w:r w:rsidR="00457CCF">
        <w:rPr>
          <w:rFonts w:cstheme="minorHAnsi"/>
        </w:rPr>
        <w:t xml:space="preserve"> Table A1 </w:t>
      </w:r>
      <w:r w:rsidR="00175164">
        <w:rPr>
          <w:rFonts w:cstheme="minorHAnsi"/>
        </w:rPr>
        <w:t>a</w:t>
      </w:r>
      <w:r>
        <w:rPr>
          <w:rFonts w:cstheme="minorHAnsi"/>
        </w:rPr>
        <w:t xml:space="preserve">re the default values recommended by each of the models. On the basis that the default values are the most likely values to be used by operators in a DBA </w:t>
      </w:r>
      <w:r w:rsidR="00175164">
        <w:rPr>
          <w:rFonts w:cstheme="minorHAnsi"/>
        </w:rPr>
        <w:t>assessment</w:t>
      </w:r>
      <w:r>
        <w:rPr>
          <w:rFonts w:cstheme="minorHAnsi"/>
        </w:rPr>
        <w:t xml:space="preserve">, these values </w:t>
      </w:r>
      <w:r w:rsidR="008108AB">
        <w:rPr>
          <w:rFonts w:cstheme="minorHAnsi"/>
        </w:rPr>
        <w:t xml:space="preserve">were </w:t>
      </w:r>
      <w:r>
        <w:rPr>
          <w:rFonts w:cstheme="minorHAnsi"/>
        </w:rPr>
        <w:t>applied in this study.</w:t>
      </w:r>
      <w:r w:rsidR="00175164">
        <w:rPr>
          <w:rFonts w:cstheme="minorHAnsi"/>
        </w:rPr>
        <w:t xml:space="preserve"> ADEPT allows the user to modify the constant A and B values but not for each individual radionuclide. Likewise, ADMS and NAME allow the user to modify the constant A and B values</w:t>
      </w:r>
      <w:r w:rsidR="00457CCF">
        <w:rPr>
          <w:rFonts w:cstheme="minorHAnsi"/>
        </w:rPr>
        <w:t>,</w:t>
      </w:r>
      <w:r w:rsidR="00175164">
        <w:rPr>
          <w:rFonts w:cstheme="minorHAnsi"/>
        </w:rPr>
        <w:t xml:space="preserve"> but these models also give the model user the option to select different constant A and B values for each individual radionuclide.</w:t>
      </w:r>
      <w:r w:rsidR="00EF77DA">
        <w:rPr>
          <w:rFonts w:cstheme="minorHAnsi"/>
        </w:rPr>
        <w:t xml:space="preserve"> A larger Constant A value will increase the respective washout coefficient and thus increase the amount of wet deposition occurring. For a rainfall rate of less than 1 mm h</w:t>
      </w:r>
      <w:r w:rsidR="00EF77DA" w:rsidRPr="006A5C7F">
        <w:rPr>
          <w:rFonts w:cstheme="minorHAnsi"/>
          <w:vertAlign w:val="superscript"/>
        </w:rPr>
        <w:t>-1</w:t>
      </w:r>
      <w:r w:rsidR="00EF77DA">
        <w:rPr>
          <w:rFonts w:cstheme="minorHAnsi"/>
        </w:rPr>
        <w:t>, a larger Constant B value will decrease the respective washout coefficient and thus decrease the amount of wet deposition occurring.</w:t>
      </w:r>
      <w:r w:rsidR="005E3A6A">
        <w:rPr>
          <w:rFonts w:cstheme="minorHAnsi"/>
        </w:rPr>
        <w:t xml:space="preserve"> For a rainfall rate greater than 1 mm h</w:t>
      </w:r>
      <w:r w:rsidR="005E3A6A">
        <w:rPr>
          <w:rFonts w:cstheme="minorHAnsi"/>
          <w:vertAlign w:val="superscript"/>
        </w:rPr>
        <w:noBreakHyphen/>
      </w:r>
      <w:r w:rsidR="005E3A6A" w:rsidRPr="00A37129">
        <w:rPr>
          <w:rFonts w:cstheme="minorHAnsi"/>
          <w:vertAlign w:val="superscript"/>
        </w:rPr>
        <w:t>1</w:t>
      </w:r>
      <w:r w:rsidR="005E3A6A">
        <w:rPr>
          <w:rFonts w:cstheme="minorHAnsi"/>
        </w:rPr>
        <w:t>, a larger Constant B value will increase the respective washout coefficient and thus increase the amount of wet deposition occurring.</w:t>
      </w:r>
    </w:p>
    <w:p w14:paraId="018E7B93" w14:textId="77777777" w:rsidR="005E3A6A" w:rsidRDefault="005E3A6A" w:rsidP="00175164">
      <w:pPr>
        <w:pStyle w:val="BodyText"/>
        <w:jc w:val="both"/>
      </w:pPr>
    </w:p>
    <w:p w14:paraId="58E3C19E" w14:textId="1626E71D" w:rsidR="00CF6391" w:rsidRPr="00BD67F0" w:rsidRDefault="00CF6391" w:rsidP="00175164">
      <w:pPr>
        <w:pStyle w:val="Tablecaption"/>
        <w:ind w:firstLine="720"/>
      </w:pPr>
      <w:bookmarkStart w:id="229" w:name="_Ref83362518"/>
      <w:r w:rsidRPr="00BD67F0">
        <w:t>Table</w:t>
      </w:r>
      <w:bookmarkEnd w:id="229"/>
      <w:r w:rsidR="00457CCF">
        <w:t xml:space="preserve"> A1</w:t>
      </w:r>
      <w:r w:rsidRPr="00BD67F0">
        <w:t xml:space="preserve">: </w:t>
      </w:r>
      <w:r w:rsidR="00C375B8">
        <w:t>Default Model Washout Coefficient Constant Parameters</w:t>
      </w:r>
    </w:p>
    <w:tbl>
      <w:tblPr>
        <w:tblW w:w="6557" w:type="dxa"/>
        <w:jc w:val="center"/>
        <w:tblLayout w:type="fixed"/>
        <w:tblLook w:val="00A0" w:firstRow="1" w:lastRow="0" w:firstColumn="1" w:lastColumn="0" w:noHBand="0" w:noVBand="0"/>
      </w:tblPr>
      <w:tblGrid>
        <w:gridCol w:w="1276"/>
        <w:gridCol w:w="2764"/>
        <w:gridCol w:w="1258"/>
        <w:gridCol w:w="1259"/>
      </w:tblGrid>
      <w:tr w:rsidR="003C58BA" w14:paraId="107F4FF2" w14:textId="77777777" w:rsidTr="003C58BA">
        <w:trPr>
          <w:cantSplit/>
          <w:jc w:val="center"/>
        </w:trPr>
        <w:tc>
          <w:tcPr>
            <w:tcW w:w="1276" w:type="dxa"/>
            <w:tcBorders>
              <w:top w:val="single" w:sz="4" w:space="0" w:color="002060"/>
              <w:bottom w:val="single" w:sz="4" w:space="0" w:color="002060"/>
            </w:tcBorders>
          </w:tcPr>
          <w:p w14:paraId="0EFF44F9" w14:textId="4B7E763F" w:rsidR="003C58BA" w:rsidRDefault="003C58BA" w:rsidP="00CF6391">
            <w:pPr>
              <w:pStyle w:val="TableColumnHeader"/>
              <w:keepNext/>
              <w:jc w:val="center"/>
            </w:pPr>
            <w:r>
              <w:t>Model</w:t>
            </w:r>
          </w:p>
        </w:tc>
        <w:tc>
          <w:tcPr>
            <w:tcW w:w="2764" w:type="dxa"/>
            <w:tcBorders>
              <w:top w:val="single" w:sz="4" w:space="0" w:color="002060"/>
              <w:bottom w:val="single" w:sz="4" w:space="0" w:color="002060"/>
            </w:tcBorders>
          </w:tcPr>
          <w:p w14:paraId="3487B89E" w14:textId="395CD0CA" w:rsidR="003C58BA" w:rsidRDefault="00AC33E0" w:rsidP="00CF6391">
            <w:pPr>
              <w:pStyle w:val="TableColumnHeader"/>
              <w:keepNext/>
              <w:jc w:val="center"/>
            </w:pPr>
            <w:r>
              <w:t>Description</w:t>
            </w:r>
          </w:p>
        </w:tc>
        <w:tc>
          <w:tcPr>
            <w:tcW w:w="1258" w:type="dxa"/>
            <w:tcBorders>
              <w:top w:val="single" w:sz="4" w:space="0" w:color="002060"/>
              <w:bottom w:val="single" w:sz="4" w:space="0" w:color="002060"/>
            </w:tcBorders>
          </w:tcPr>
          <w:p w14:paraId="55C266A8" w14:textId="1F2134B2" w:rsidR="003C58BA" w:rsidRDefault="003C58BA" w:rsidP="00CF6391">
            <w:pPr>
              <w:pStyle w:val="TableColumnHeader"/>
              <w:keepNext/>
              <w:jc w:val="center"/>
            </w:pPr>
            <w:r>
              <w:t>Constant A</w:t>
            </w:r>
          </w:p>
        </w:tc>
        <w:tc>
          <w:tcPr>
            <w:tcW w:w="1259" w:type="dxa"/>
            <w:tcBorders>
              <w:top w:val="single" w:sz="4" w:space="0" w:color="002060"/>
              <w:bottom w:val="single" w:sz="4" w:space="0" w:color="002060"/>
            </w:tcBorders>
          </w:tcPr>
          <w:p w14:paraId="1DE90C08" w14:textId="30A54170" w:rsidR="003C58BA" w:rsidRDefault="003C58BA" w:rsidP="00CF6391">
            <w:pPr>
              <w:pStyle w:val="TableColumnHeader"/>
              <w:keepNext/>
              <w:jc w:val="center"/>
            </w:pPr>
            <w:r>
              <w:t>Constant B</w:t>
            </w:r>
          </w:p>
        </w:tc>
      </w:tr>
      <w:tr w:rsidR="003C58BA" w14:paraId="28ECF43D" w14:textId="77777777" w:rsidTr="003C58BA">
        <w:trPr>
          <w:cantSplit/>
          <w:jc w:val="center"/>
        </w:trPr>
        <w:tc>
          <w:tcPr>
            <w:tcW w:w="1276" w:type="dxa"/>
            <w:tcBorders>
              <w:top w:val="single" w:sz="4" w:space="0" w:color="002060"/>
              <w:bottom w:val="single" w:sz="4" w:space="0" w:color="808080"/>
            </w:tcBorders>
          </w:tcPr>
          <w:p w14:paraId="63427CE7" w14:textId="108D1D25" w:rsidR="003C58BA" w:rsidRPr="00AC33E0" w:rsidRDefault="003C58BA" w:rsidP="00CF6391">
            <w:pPr>
              <w:pStyle w:val="TableRow"/>
              <w:keepLines/>
              <w:jc w:val="center"/>
              <w:rPr>
                <w:color w:val="000000"/>
              </w:rPr>
            </w:pPr>
            <w:r w:rsidRPr="00AC33E0">
              <w:rPr>
                <w:color w:val="000000"/>
              </w:rPr>
              <w:t>ADEPT</w:t>
            </w:r>
          </w:p>
        </w:tc>
        <w:tc>
          <w:tcPr>
            <w:tcW w:w="2764" w:type="dxa"/>
            <w:tcBorders>
              <w:top w:val="single" w:sz="4" w:space="0" w:color="002060"/>
              <w:bottom w:val="single" w:sz="4" w:space="0" w:color="808080"/>
            </w:tcBorders>
            <w:vAlign w:val="center"/>
          </w:tcPr>
          <w:p w14:paraId="7F2AC3DD" w14:textId="3F158E03" w:rsidR="003C58BA" w:rsidRPr="003C58BA" w:rsidRDefault="00AC33E0" w:rsidP="00CF6391">
            <w:pPr>
              <w:pStyle w:val="TableRow"/>
              <w:keepLines/>
              <w:jc w:val="center"/>
              <w:rPr>
                <w:color w:val="000000"/>
              </w:rPr>
            </w:pPr>
            <w:r>
              <w:t>A</w:t>
            </w:r>
            <w:r w:rsidR="003C58BA" w:rsidRPr="003C58BA">
              <w:t xml:space="preserve">ll radionuclides </w:t>
            </w:r>
            <w:r w:rsidR="007F7BD8">
              <w:t>except</w:t>
            </w:r>
            <w:r w:rsidR="003C58BA" w:rsidRPr="003C58BA">
              <w:t xml:space="preserve"> elemental iodine</w:t>
            </w:r>
          </w:p>
        </w:tc>
        <w:tc>
          <w:tcPr>
            <w:tcW w:w="1258" w:type="dxa"/>
            <w:tcBorders>
              <w:top w:val="single" w:sz="4" w:space="0" w:color="002060"/>
              <w:bottom w:val="single" w:sz="4" w:space="0" w:color="808080"/>
            </w:tcBorders>
          </w:tcPr>
          <w:p w14:paraId="26A8E408" w14:textId="2FFCBC24" w:rsidR="003C58BA" w:rsidRPr="003C58BA" w:rsidRDefault="003C58BA" w:rsidP="00CF6391">
            <w:pPr>
              <w:pStyle w:val="TableRow"/>
              <w:keepLines/>
              <w:jc w:val="center"/>
              <w:rPr>
                <w:color w:val="000000"/>
              </w:rPr>
            </w:pPr>
            <w:r w:rsidRPr="003C58BA">
              <w:t>8 10</w:t>
            </w:r>
            <w:r w:rsidRPr="003C58BA">
              <w:rPr>
                <w:vertAlign w:val="superscript"/>
              </w:rPr>
              <w:t>-5</w:t>
            </w:r>
          </w:p>
        </w:tc>
        <w:tc>
          <w:tcPr>
            <w:tcW w:w="1259" w:type="dxa"/>
            <w:tcBorders>
              <w:top w:val="single" w:sz="4" w:space="0" w:color="002060"/>
              <w:bottom w:val="single" w:sz="4" w:space="0" w:color="808080"/>
            </w:tcBorders>
          </w:tcPr>
          <w:p w14:paraId="3840CC5E" w14:textId="4938DFFE" w:rsidR="003C58BA" w:rsidRPr="003C58BA" w:rsidRDefault="003C58BA" w:rsidP="00CF6391">
            <w:pPr>
              <w:pStyle w:val="TableRow"/>
              <w:keepLines/>
              <w:jc w:val="center"/>
              <w:rPr>
                <w:color w:val="000000"/>
              </w:rPr>
            </w:pPr>
            <w:r w:rsidRPr="003C58BA">
              <w:t>8 10</w:t>
            </w:r>
            <w:r w:rsidRPr="003C58BA">
              <w:rPr>
                <w:vertAlign w:val="superscript"/>
              </w:rPr>
              <w:t>-1</w:t>
            </w:r>
          </w:p>
        </w:tc>
      </w:tr>
      <w:tr w:rsidR="003C58BA" w14:paraId="6AA33346" w14:textId="77777777" w:rsidTr="003C58BA">
        <w:trPr>
          <w:cantSplit/>
          <w:jc w:val="center"/>
        </w:trPr>
        <w:tc>
          <w:tcPr>
            <w:tcW w:w="1276" w:type="dxa"/>
            <w:tcBorders>
              <w:top w:val="single" w:sz="4" w:space="0" w:color="808080"/>
              <w:bottom w:val="single" w:sz="4" w:space="0" w:color="808080"/>
            </w:tcBorders>
          </w:tcPr>
          <w:p w14:paraId="151E3E1C" w14:textId="6128D7B0" w:rsidR="003C58BA" w:rsidRPr="00AC33E0" w:rsidRDefault="003C58BA" w:rsidP="003C58BA">
            <w:pPr>
              <w:pStyle w:val="TableRow"/>
              <w:keepLines/>
              <w:jc w:val="center"/>
              <w:rPr>
                <w:color w:val="000000"/>
              </w:rPr>
            </w:pPr>
            <w:r w:rsidRPr="00AC33E0">
              <w:rPr>
                <w:color w:val="000000"/>
              </w:rPr>
              <w:t>ADEPT</w:t>
            </w:r>
          </w:p>
        </w:tc>
        <w:tc>
          <w:tcPr>
            <w:tcW w:w="2764" w:type="dxa"/>
            <w:tcBorders>
              <w:top w:val="single" w:sz="4" w:space="0" w:color="808080"/>
              <w:bottom w:val="single" w:sz="4" w:space="0" w:color="808080"/>
            </w:tcBorders>
            <w:vAlign w:val="center"/>
          </w:tcPr>
          <w:p w14:paraId="25628395" w14:textId="667C09A9" w:rsidR="003C58BA" w:rsidRPr="003C58BA" w:rsidRDefault="00AC33E0" w:rsidP="003C58BA">
            <w:pPr>
              <w:pStyle w:val="TableRow"/>
              <w:keepLines/>
              <w:jc w:val="center"/>
              <w:rPr>
                <w:color w:val="000000"/>
              </w:rPr>
            </w:pPr>
            <w:r>
              <w:t>E</w:t>
            </w:r>
            <w:r w:rsidR="003C58BA" w:rsidRPr="003C58BA">
              <w:t>lemental iodine only</w:t>
            </w:r>
          </w:p>
        </w:tc>
        <w:tc>
          <w:tcPr>
            <w:tcW w:w="1258" w:type="dxa"/>
            <w:tcBorders>
              <w:top w:val="single" w:sz="4" w:space="0" w:color="808080"/>
              <w:bottom w:val="single" w:sz="4" w:space="0" w:color="808080"/>
            </w:tcBorders>
          </w:tcPr>
          <w:p w14:paraId="4F5EA02D" w14:textId="7116E7FB" w:rsidR="003C58BA" w:rsidRPr="003C58BA" w:rsidRDefault="003C58BA" w:rsidP="003C58BA">
            <w:pPr>
              <w:pStyle w:val="TableRow"/>
              <w:keepLines/>
              <w:jc w:val="center"/>
              <w:rPr>
                <w:color w:val="000000"/>
              </w:rPr>
            </w:pPr>
            <w:r w:rsidRPr="003C58BA">
              <w:t>8 10</w:t>
            </w:r>
            <w:r w:rsidRPr="003C58BA">
              <w:rPr>
                <w:vertAlign w:val="superscript"/>
              </w:rPr>
              <w:t>-5</w:t>
            </w:r>
          </w:p>
        </w:tc>
        <w:tc>
          <w:tcPr>
            <w:tcW w:w="1259" w:type="dxa"/>
            <w:tcBorders>
              <w:top w:val="single" w:sz="4" w:space="0" w:color="808080"/>
              <w:bottom w:val="single" w:sz="4" w:space="0" w:color="808080"/>
            </w:tcBorders>
          </w:tcPr>
          <w:p w14:paraId="7C33CF43" w14:textId="1A808D10" w:rsidR="003C58BA" w:rsidRPr="003C58BA" w:rsidRDefault="003C58BA" w:rsidP="003C58BA">
            <w:pPr>
              <w:pStyle w:val="TableRow"/>
              <w:keepLines/>
              <w:jc w:val="center"/>
              <w:rPr>
                <w:color w:val="000000"/>
              </w:rPr>
            </w:pPr>
            <w:r w:rsidRPr="003C58BA">
              <w:t>6 10</w:t>
            </w:r>
            <w:r w:rsidRPr="003C58BA">
              <w:rPr>
                <w:vertAlign w:val="superscript"/>
              </w:rPr>
              <w:t>-1</w:t>
            </w:r>
          </w:p>
        </w:tc>
      </w:tr>
      <w:tr w:rsidR="003C58BA" w14:paraId="56C1D908" w14:textId="77777777" w:rsidTr="003C58BA">
        <w:trPr>
          <w:cantSplit/>
          <w:jc w:val="center"/>
        </w:trPr>
        <w:tc>
          <w:tcPr>
            <w:tcW w:w="1276" w:type="dxa"/>
            <w:tcBorders>
              <w:top w:val="single" w:sz="4" w:space="0" w:color="808080"/>
              <w:bottom w:val="single" w:sz="4" w:space="0" w:color="808080"/>
            </w:tcBorders>
          </w:tcPr>
          <w:p w14:paraId="1E6F3E19" w14:textId="6506E881" w:rsidR="003C58BA" w:rsidRPr="00AC33E0" w:rsidRDefault="003C58BA" w:rsidP="00CF6391">
            <w:pPr>
              <w:pStyle w:val="TableRow"/>
              <w:keepLines/>
              <w:jc w:val="center"/>
              <w:rPr>
                <w:color w:val="000000"/>
              </w:rPr>
            </w:pPr>
            <w:r w:rsidRPr="00AC33E0">
              <w:rPr>
                <w:color w:val="000000"/>
              </w:rPr>
              <w:t>ADMS</w:t>
            </w:r>
          </w:p>
        </w:tc>
        <w:tc>
          <w:tcPr>
            <w:tcW w:w="2764" w:type="dxa"/>
            <w:tcBorders>
              <w:top w:val="single" w:sz="4" w:space="0" w:color="808080"/>
              <w:bottom w:val="single" w:sz="4" w:space="0" w:color="808080"/>
            </w:tcBorders>
            <w:vAlign w:val="center"/>
          </w:tcPr>
          <w:p w14:paraId="11F3010A" w14:textId="179C5507" w:rsidR="003C58BA" w:rsidRPr="00AC33E0" w:rsidRDefault="003C58BA" w:rsidP="00CF6391">
            <w:pPr>
              <w:pStyle w:val="TableRow"/>
              <w:keepLines/>
              <w:jc w:val="center"/>
              <w:rPr>
                <w:color w:val="000000"/>
              </w:rPr>
            </w:pPr>
            <w:r w:rsidRPr="00AC33E0">
              <w:t>-</w:t>
            </w:r>
          </w:p>
        </w:tc>
        <w:tc>
          <w:tcPr>
            <w:tcW w:w="1258" w:type="dxa"/>
            <w:tcBorders>
              <w:top w:val="single" w:sz="4" w:space="0" w:color="808080"/>
              <w:bottom w:val="single" w:sz="4" w:space="0" w:color="808080"/>
            </w:tcBorders>
          </w:tcPr>
          <w:p w14:paraId="327B92BB" w14:textId="786CAD9D" w:rsidR="003C58BA" w:rsidRPr="003C58BA" w:rsidRDefault="003C58BA" w:rsidP="00CF6391">
            <w:pPr>
              <w:pStyle w:val="TableRow"/>
              <w:keepLines/>
              <w:jc w:val="center"/>
              <w:rPr>
                <w:color w:val="000000"/>
              </w:rPr>
            </w:pPr>
            <w:r w:rsidRPr="003C58BA">
              <w:t>1 10</w:t>
            </w:r>
            <w:r w:rsidRPr="003C58BA">
              <w:rPr>
                <w:vertAlign w:val="superscript"/>
              </w:rPr>
              <w:t>-4</w:t>
            </w:r>
          </w:p>
        </w:tc>
        <w:tc>
          <w:tcPr>
            <w:tcW w:w="1259" w:type="dxa"/>
            <w:tcBorders>
              <w:top w:val="single" w:sz="4" w:space="0" w:color="808080"/>
              <w:bottom w:val="single" w:sz="4" w:space="0" w:color="808080"/>
            </w:tcBorders>
          </w:tcPr>
          <w:p w14:paraId="49B8EF51" w14:textId="60E09B5D" w:rsidR="003C58BA" w:rsidRPr="003C58BA" w:rsidRDefault="003C58BA" w:rsidP="00CF6391">
            <w:pPr>
              <w:pStyle w:val="TableRow"/>
              <w:keepLines/>
              <w:jc w:val="center"/>
              <w:rPr>
                <w:color w:val="000000"/>
              </w:rPr>
            </w:pPr>
            <w:r w:rsidRPr="003C58BA">
              <w:t>6.4 10</w:t>
            </w:r>
            <w:r w:rsidRPr="003C58BA">
              <w:rPr>
                <w:vertAlign w:val="superscript"/>
              </w:rPr>
              <w:t>-1</w:t>
            </w:r>
          </w:p>
        </w:tc>
      </w:tr>
      <w:tr w:rsidR="003C58BA" w14:paraId="015D2064" w14:textId="77777777" w:rsidTr="003C58BA">
        <w:trPr>
          <w:cantSplit/>
          <w:jc w:val="center"/>
        </w:trPr>
        <w:tc>
          <w:tcPr>
            <w:tcW w:w="1276" w:type="dxa"/>
            <w:tcBorders>
              <w:top w:val="single" w:sz="4" w:space="0" w:color="808080"/>
              <w:bottom w:val="single" w:sz="4" w:space="0" w:color="808080"/>
            </w:tcBorders>
          </w:tcPr>
          <w:p w14:paraId="2AE5C373" w14:textId="3C2DBFEA" w:rsidR="003C58BA" w:rsidRPr="00AC33E0" w:rsidRDefault="003C58BA" w:rsidP="00CF6391">
            <w:pPr>
              <w:pStyle w:val="TableRow"/>
              <w:keepLines/>
              <w:jc w:val="center"/>
              <w:rPr>
                <w:color w:val="000000"/>
              </w:rPr>
            </w:pPr>
            <w:r w:rsidRPr="00AC33E0">
              <w:rPr>
                <w:color w:val="000000"/>
              </w:rPr>
              <w:t>NAME</w:t>
            </w:r>
          </w:p>
        </w:tc>
        <w:tc>
          <w:tcPr>
            <w:tcW w:w="2764" w:type="dxa"/>
            <w:tcBorders>
              <w:top w:val="single" w:sz="4" w:space="0" w:color="808080"/>
              <w:bottom w:val="single" w:sz="4" w:space="0" w:color="808080"/>
            </w:tcBorders>
            <w:vAlign w:val="center"/>
          </w:tcPr>
          <w:p w14:paraId="65AFE33E" w14:textId="389B0C71" w:rsidR="003C58BA" w:rsidRPr="00AC33E0" w:rsidRDefault="003C58BA" w:rsidP="00CF6391">
            <w:pPr>
              <w:pStyle w:val="TableRow"/>
              <w:keepLines/>
              <w:jc w:val="center"/>
              <w:rPr>
                <w:color w:val="000000"/>
              </w:rPr>
            </w:pPr>
            <w:r w:rsidRPr="00AC33E0">
              <w:rPr>
                <w:color w:val="000000"/>
              </w:rPr>
              <w:t>Rain - BC</w:t>
            </w:r>
          </w:p>
        </w:tc>
        <w:tc>
          <w:tcPr>
            <w:tcW w:w="1258" w:type="dxa"/>
            <w:tcBorders>
              <w:top w:val="single" w:sz="4" w:space="0" w:color="808080"/>
              <w:bottom w:val="single" w:sz="4" w:space="0" w:color="808080"/>
            </w:tcBorders>
          </w:tcPr>
          <w:p w14:paraId="27ADAB79" w14:textId="03B3693B" w:rsidR="003C58BA" w:rsidRPr="003C58BA" w:rsidRDefault="003C58BA" w:rsidP="00CF6391">
            <w:pPr>
              <w:pStyle w:val="TableRow"/>
              <w:keepLines/>
              <w:jc w:val="center"/>
              <w:rPr>
                <w:color w:val="000000"/>
              </w:rPr>
            </w:pPr>
            <w:r w:rsidRPr="003C58BA">
              <w:t>8.4 10</w:t>
            </w:r>
            <w:r w:rsidRPr="003C58BA">
              <w:rPr>
                <w:vertAlign w:val="superscript"/>
              </w:rPr>
              <w:t>-5</w:t>
            </w:r>
          </w:p>
        </w:tc>
        <w:tc>
          <w:tcPr>
            <w:tcW w:w="1259" w:type="dxa"/>
            <w:tcBorders>
              <w:top w:val="single" w:sz="4" w:space="0" w:color="808080"/>
              <w:bottom w:val="single" w:sz="4" w:space="0" w:color="808080"/>
            </w:tcBorders>
          </w:tcPr>
          <w:p w14:paraId="4C9814A7" w14:textId="468C26D6" w:rsidR="003C58BA" w:rsidRPr="003C58BA" w:rsidRDefault="003C58BA" w:rsidP="00CF6391">
            <w:pPr>
              <w:pStyle w:val="TableRow"/>
              <w:keepLines/>
              <w:jc w:val="center"/>
              <w:rPr>
                <w:color w:val="000000"/>
              </w:rPr>
            </w:pPr>
            <w:r w:rsidRPr="003C58BA">
              <w:t>7.9 10</w:t>
            </w:r>
            <w:r w:rsidRPr="003C58BA">
              <w:rPr>
                <w:vertAlign w:val="superscript"/>
              </w:rPr>
              <w:t>-1</w:t>
            </w:r>
          </w:p>
        </w:tc>
      </w:tr>
      <w:tr w:rsidR="003C58BA" w14:paraId="4D7BD19F" w14:textId="77777777" w:rsidTr="003C58BA">
        <w:trPr>
          <w:cantSplit/>
          <w:jc w:val="center"/>
        </w:trPr>
        <w:tc>
          <w:tcPr>
            <w:tcW w:w="1276" w:type="dxa"/>
            <w:tcBorders>
              <w:top w:val="single" w:sz="4" w:space="0" w:color="808080"/>
              <w:bottom w:val="single" w:sz="4" w:space="0" w:color="808080"/>
            </w:tcBorders>
          </w:tcPr>
          <w:p w14:paraId="3420AE07" w14:textId="703A6E6F" w:rsidR="003C58BA" w:rsidRPr="00AC33E0" w:rsidRDefault="003C58BA" w:rsidP="00CF6391">
            <w:pPr>
              <w:pStyle w:val="TableRow"/>
              <w:keepLines/>
              <w:jc w:val="center"/>
              <w:rPr>
                <w:color w:val="000000"/>
              </w:rPr>
            </w:pPr>
            <w:r w:rsidRPr="00AC33E0">
              <w:rPr>
                <w:color w:val="000000"/>
              </w:rPr>
              <w:t>NAME</w:t>
            </w:r>
          </w:p>
        </w:tc>
        <w:tc>
          <w:tcPr>
            <w:tcW w:w="2764" w:type="dxa"/>
            <w:tcBorders>
              <w:top w:val="single" w:sz="4" w:space="0" w:color="808080"/>
              <w:bottom w:val="single" w:sz="4" w:space="0" w:color="808080"/>
            </w:tcBorders>
            <w:vAlign w:val="center"/>
          </w:tcPr>
          <w:p w14:paraId="6CB04802" w14:textId="33F4555A" w:rsidR="003C58BA" w:rsidRPr="00AC33E0" w:rsidRDefault="00AC33E0" w:rsidP="00CF6391">
            <w:pPr>
              <w:pStyle w:val="TableRow"/>
              <w:keepLines/>
              <w:jc w:val="center"/>
              <w:rPr>
                <w:color w:val="000000"/>
              </w:rPr>
            </w:pPr>
            <w:r>
              <w:rPr>
                <w:color w:val="000000"/>
              </w:rPr>
              <w:t>Snow</w:t>
            </w:r>
            <w:r w:rsidR="003C58BA" w:rsidRPr="00AC33E0">
              <w:rPr>
                <w:color w:val="000000"/>
              </w:rPr>
              <w:t xml:space="preserve"> - </w:t>
            </w:r>
            <w:r>
              <w:rPr>
                <w:color w:val="000000"/>
              </w:rPr>
              <w:t>B</w:t>
            </w:r>
            <w:r w:rsidR="003C58BA" w:rsidRPr="00AC33E0">
              <w:rPr>
                <w:color w:val="000000"/>
              </w:rPr>
              <w:t>C</w:t>
            </w:r>
          </w:p>
        </w:tc>
        <w:tc>
          <w:tcPr>
            <w:tcW w:w="1258" w:type="dxa"/>
            <w:tcBorders>
              <w:top w:val="single" w:sz="4" w:space="0" w:color="808080"/>
              <w:bottom w:val="single" w:sz="4" w:space="0" w:color="808080"/>
            </w:tcBorders>
          </w:tcPr>
          <w:p w14:paraId="41C770F6" w14:textId="0AA5FF0A" w:rsidR="003C58BA" w:rsidRPr="003C58BA" w:rsidRDefault="00AC33E0" w:rsidP="00CF6391">
            <w:pPr>
              <w:pStyle w:val="TableRow"/>
              <w:keepLines/>
              <w:jc w:val="center"/>
              <w:rPr>
                <w:color w:val="000000"/>
              </w:rPr>
            </w:pPr>
            <w:r>
              <w:t>8.0 10</w:t>
            </w:r>
            <w:r w:rsidRPr="005A5231">
              <w:rPr>
                <w:vertAlign w:val="superscript"/>
              </w:rPr>
              <w:t>-5</w:t>
            </w:r>
          </w:p>
        </w:tc>
        <w:tc>
          <w:tcPr>
            <w:tcW w:w="1259" w:type="dxa"/>
            <w:tcBorders>
              <w:top w:val="single" w:sz="4" w:space="0" w:color="808080"/>
              <w:bottom w:val="single" w:sz="4" w:space="0" w:color="808080"/>
            </w:tcBorders>
          </w:tcPr>
          <w:p w14:paraId="1B455287" w14:textId="0F52DC3D" w:rsidR="003C58BA" w:rsidRPr="003C58BA" w:rsidRDefault="00AC33E0" w:rsidP="00CF6391">
            <w:pPr>
              <w:pStyle w:val="TableRow"/>
              <w:keepLines/>
              <w:jc w:val="center"/>
              <w:rPr>
                <w:color w:val="000000"/>
              </w:rPr>
            </w:pPr>
            <w:r>
              <w:t>3.05 10</w:t>
            </w:r>
            <w:r w:rsidRPr="005A5231">
              <w:rPr>
                <w:vertAlign w:val="superscript"/>
              </w:rPr>
              <w:t>-1</w:t>
            </w:r>
          </w:p>
        </w:tc>
      </w:tr>
      <w:tr w:rsidR="003C58BA" w14:paraId="212D4AE5" w14:textId="77777777" w:rsidTr="003C58BA">
        <w:trPr>
          <w:cantSplit/>
          <w:jc w:val="center"/>
        </w:trPr>
        <w:tc>
          <w:tcPr>
            <w:tcW w:w="1276" w:type="dxa"/>
            <w:tcBorders>
              <w:top w:val="single" w:sz="4" w:space="0" w:color="808080"/>
              <w:bottom w:val="single" w:sz="4" w:space="0" w:color="808080"/>
            </w:tcBorders>
          </w:tcPr>
          <w:p w14:paraId="5B76DACB" w14:textId="62C95CDB" w:rsidR="003C58BA" w:rsidRPr="00AC33E0" w:rsidRDefault="003C58BA" w:rsidP="00CF6391">
            <w:pPr>
              <w:pStyle w:val="TableRow"/>
              <w:keepLines/>
              <w:jc w:val="center"/>
              <w:rPr>
                <w:color w:val="000000"/>
              </w:rPr>
            </w:pPr>
            <w:r w:rsidRPr="00AC33E0">
              <w:rPr>
                <w:color w:val="000000"/>
              </w:rPr>
              <w:t>NAME</w:t>
            </w:r>
          </w:p>
        </w:tc>
        <w:tc>
          <w:tcPr>
            <w:tcW w:w="2764" w:type="dxa"/>
            <w:tcBorders>
              <w:top w:val="single" w:sz="4" w:space="0" w:color="808080"/>
              <w:bottom w:val="single" w:sz="4" w:space="0" w:color="808080"/>
            </w:tcBorders>
            <w:vAlign w:val="center"/>
          </w:tcPr>
          <w:p w14:paraId="22258CAB" w14:textId="6A16EAFF" w:rsidR="003C58BA" w:rsidRPr="00AC33E0" w:rsidRDefault="00AC33E0" w:rsidP="00CF6391">
            <w:pPr>
              <w:pStyle w:val="TableRow"/>
              <w:keepLines/>
              <w:jc w:val="center"/>
              <w:rPr>
                <w:color w:val="000000"/>
              </w:rPr>
            </w:pPr>
            <w:r w:rsidRPr="00AC33E0">
              <w:rPr>
                <w:color w:val="000000"/>
              </w:rPr>
              <w:t>Rain - IC</w:t>
            </w:r>
          </w:p>
        </w:tc>
        <w:tc>
          <w:tcPr>
            <w:tcW w:w="1258" w:type="dxa"/>
            <w:tcBorders>
              <w:top w:val="single" w:sz="4" w:space="0" w:color="808080"/>
              <w:bottom w:val="single" w:sz="4" w:space="0" w:color="808080"/>
            </w:tcBorders>
          </w:tcPr>
          <w:p w14:paraId="15922FAD" w14:textId="4CEBB096" w:rsidR="003C58BA" w:rsidRPr="003C58BA" w:rsidRDefault="00AC33E0" w:rsidP="00CF6391">
            <w:pPr>
              <w:pStyle w:val="TableRow"/>
              <w:keepLines/>
              <w:jc w:val="center"/>
              <w:rPr>
                <w:color w:val="000000"/>
              </w:rPr>
            </w:pPr>
            <w:r>
              <w:t>3.36 10</w:t>
            </w:r>
            <w:r w:rsidRPr="005A5231">
              <w:rPr>
                <w:vertAlign w:val="superscript"/>
              </w:rPr>
              <w:t>-</w:t>
            </w:r>
            <w:r>
              <w:rPr>
                <w:vertAlign w:val="superscript"/>
              </w:rPr>
              <w:t>4</w:t>
            </w:r>
          </w:p>
        </w:tc>
        <w:tc>
          <w:tcPr>
            <w:tcW w:w="1259" w:type="dxa"/>
            <w:tcBorders>
              <w:top w:val="single" w:sz="4" w:space="0" w:color="808080"/>
              <w:bottom w:val="single" w:sz="4" w:space="0" w:color="808080"/>
            </w:tcBorders>
          </w:tcPr>
          <w:p w14:paraId="243BB220" w14:textId="168E45EC" w:rsidR="003C58BA" w:rsidRPr="003C58BA" w:rsidRDefault="00AC33E0" w:rsidP="00CF6391">
            <w:pPr>
              <w:pStyle w:val="TableRow"/>
              <w:keepLines/>
              <w:jc w:val="center"/>
              <w:rPr>
                <w:color w:val="000000"/>
              </w:rPr>
            </w:pPr>
            <w:r>
              <w:t>7.9 10</w:t>
            </w:r>
            <w:r w:rsidRPr="005A5231">
              <w:rPr>
                <w:vertAlign w:val="superscript"/>
              </w:rPr>
              <w:t>-1</w:t>
            </w:r>
          </w:p>
        </w:tc>
      </w:tr>
      <w:tr w:rsidR="003C58BA" w14:paraId="2F57BE58" w14:textId="77777777" w:rsidTr="003C58BA">
        <w:trPr>
          <w:cantSplit/>
          <w:jc w:val="center"/>
        </w:trPr>
        <w:tc>
          <w:tcPr>
            <w:tcW w:w="1276" w:type="dxa"/>
            <w:tcBorders>
              <w:top w:val="single" w:sz="4" w:space="0" w:color="808080"/>
              <w:bottom w:val="single" w:sz="4" w:space="0" w:color="808080"/>
            </w:tcBorders>
          </w:tcPr>
          <w:p w14:paraId="1FF71225" w14:textId="1A8B3C76" w:rsidR="003C58BA" w:rsidRPr="00AC33E0" w:rsidRDefault="003C58BA" w:rsidP="00CF6391">
            <w:pPr>
              <w:pStyle w:val="TableRow"/>
              <w:keepLines/>
              <w:jc w:val="center"/>
              <w:rPr>
                <w:color w:val="000000"/>
              </w:rPr>
            </w:pPr>
            <w:r w:rsidRPr="00AC33E0">
              <w:rPr>
                <w:color w:val="000000"/>
              </w:rPr>
              <w:t>NAME</w:t>
            </w:r>
          </w:p>
        </w:tc>
        <w:tc>
          <w:tcPr>
            <w:tcW w:w="2764" w:type="dxa"/>
            <w:tcBorders>
              <w:top w:val="single" w:sz="4" w:space="0" w:color="808080"/>
              <w:bottom w:val="single" w:sz="4" w:space="0" w:color="808080"/>
            </w:tcBorders>
            <w:vAlign w:val="center"/>
          </w:tcPr>
          <w:p w14:paraId="619F01CA" w14:textId="7ACD795C" w:rsidR="003C58BA" w:rsidRPr="00AC33E0" w:rsidRDefault="00AC33E0" w:rsidP="00CF6391">
            <w:pPr>
              <w:pStyle w:val="TableRow"/>
              <w:keepLines/>
              <w:jc w:val="center"/>
              <w:rPr>
                <w:color w:val="000000"/>
              </w:rPr>
            </w:pPr>
            <w:r>
              <w:rPr>
                <w:color w:val="000000"/>
              </w:rPr>
              <w:t>Snow</w:t>
            </w:r>
            <w:r w:rsidRPr="00AC33E0">
              <w:rPr>
                <w:color w:val="000000"/>
              </w:rPr>
              <w:t xml:space="preserve"> - IC</w:t>
            </w:r>
          </w:p>
        </w:tc>
        <w:tc>
          <w:tcPr>
            <w:tcW w:w="1258" w:type="dxa"/>
            <w:tcBorders>
              <w:top w:val="single" w:sz="4" w:space="0" w:color="808080"/>
              <w:bottom w:val="single" w:sz="4" w:space="0" w:color="808080"/>
            </w:tcBorders>
          </w:tcPr>
          <w:p w14:paraId="2C1490FA" w14:textId="492ADAB1" w:rsidR="003C58BA" w:rsidRPr="003C58BA" w:rsidRDefault="00AC33E0" w:rsidP="00CF6391">
            <w:pPr>
              <w:pStyle w:val="TableRow"/>
              <w:keepLines/>
              <w:jc w:val="center"/>
              <w:rPr>
                <w:color w:val="000000"/>
              </w:rPr>
            </w:pPr>
            <w:r>
              <w:t>5.2 10</w:t>
            </w:r>
            <w:r w:rsidRPr="005A5231">
              <w:rPr>
                <w:vertAlign w:val="superscript"/>
              </w:rPr>
              <w:t>-5</w:t>
            </w:r>
          </w:p>
        </w:tc>
        <w:tc>
          <w:tcPr>
            <w:tcW w:w="1259" w:type="dxa"/>
            <w:tcBorders>
              <w:top w:val="single" w:sz="4" w:space="0" w:color="808080"/>
              <w:bottom w:val="single" w:sz="4" w:space="0" w:color="808080"/>
            </w:tcBorders>
          </w:tcPr>
          <w:p w14:paraId="2C0AA48F" w14:textId="7C49B2B5" w:rsidR="003C58BA" w:rsidRPr="003C58BA" w:rsidRDefault="00AC33E0" w:rsidP="00CF6391">
            <w:pPr>
              <w:pStyle w:val="TableRow"/>
              <w:keepLines/>
              <w:jc w:val="center"/>
              <w:rPr>
                <w:color w:val="000000"/>
              </w:rPr>
            </w:pPr>
            <w:r>
              <w:t>7.9 10</w:t>
            </w:r>
            <w:r w:rsidRPr="005A5231">
              <w:rPr>
                <w:vertAlign w:val="superscript"/>
              </w:rPr>
              <w:t>-1</w:t>
            </w:r>
          </w:p>
        </w:tc>
      </w:tr>
      <w:tr w:rsidR="00AC33E0" w14:paraId="75F9AA4E" w14:textId="77777777" w:rsidTr="00481FA3">
        <w:trPr>
          <w:cantSplit/>
          <w:jc w:val="center"/>
        </w:trPr>
        <w:tc>
          <w:tcPr>
            <w:tcW w:w="6557" w:type="dxa"/>
            <w:gridSpan w:val="4"/>
            <w:tcBorders>
              <w:top w:val="single" w:sz="4" w:space="0" w:color="808080"/>
              <w:bottom w:val="single" w:sz="4" w:space="0" w:color="808080"/>
            </w:tcBorders>
          </w:tcPr>
          <w:p w14:paraId="4613859D" w14:textId="0E808683" w:rsidR="00AC33E0" w:rsidRPr="00DA46B4" w:rsidRDefault="00DB53EB" w:rsidP="00CF6391">
            <w:pPr>
              <w:pStyle w:val="TableRow"/>
              <w:keepLines/>
              <w:rPr>
                <w:color w:val="000000"/>
              </w:rPr>
            </w:pPr>
            <w:r>
              <w:t>These assumptions</w:t>
            </w:r>
            <w:r w:rsidR="00697F5B">
              <w:t xml:space="preserve"> were</w:t>
            </w:r>
            <w:r>
              <w:t xml:space="preserve"> applied to all radionuclides </w:t>
            </w:r>
            <w:r w:rsidR="007F7BD8">
              <w:t>except</w:t>
            </w:r>
            <w:r>
              <w:t xml:space="preserve"> noble gases. Noble gases do not wet deposit, and therefore all washout coefficients were assumed to be 0.</w:t>
            </w:r>
          </w:p>
        </w:tc>
      </w:tr>
    </w:tbl>
    <w:p w14:paraId="6E956C75" w14:textId="47FD91EF" w:rsidR="00CF6391" w:rsidRDefault="00CF6391" w:rsidP="00CF6391">
      <w:pPr>
        <w:pStyle w:val="BodyText"/>
      </w:pPr>
    </w:p>
    <w:p w14:paraId="64ED082F" w14:textId="588C474D" w:rsidR="00175164" w:rsidRDefault="00175164" w:rsidP="00CD2E10">
      <w:pPr>
        <w:pStyle w:val="BodyText"/>
        <w:jc w:val="both"/>
      </w:pPr>
    </w:p>
    <w:p w14:paraId="18983B1A" w14:textId="50CD513F" w:rsidR="00175164" w:rsidRDefault="00175164" w:rsidP="00175164">
      <w:pPr>
        <w:pStyle w:val="Heading7"/>
      </w:pPr>
      <w:r>
        <w:t>Validation</w:t>
      </w:r>
    </w:p>
    <w:p w14:paraId="5A14E583" w14:textId="5676C39F" w:rsidR="00CD2E10" w:rsidRDefault="00CD2E10" w:rsidP="00CD2E10">
      <w:pPr>
        <w:pStyle w:val="BodyText"/>
        <w:jc w:val="both"/>
      </w:pPr>
      <w:r>
        <w:t xml:space="preserve">No validation studies were identified for the specific implementation of modelling wet deposition in ADEPT. Nor were any appropriate studies identified validating the wet deposition approach implemented in ADMS. Only for the NAME model </w:t>
      </w:r>
      <w:r w:rsidR="004A0697">
        <w:t>was</w:t>
      </w:r>
      <w:r>
        <w:t xml:space="preserve"> any validation of the wet deposition method applied</w:t>
      </w:r>
      <w:r w:rsidR="004A0697">
        <w:t xml:space="preserve"> in evidence,</w:t>
      </w:r>
      <w:r>
        <w:t xml:space="preserve"> and this </w:t>
      </w:r>
      <w:r w:rsidR="004A0697">
        <w:t>was</w:t>
      </w:r>
      <w:r>
        <w:t xml:space="preserve"> still relatively limited.</w:t>
      </w:r>
    </w:p>
    <w:p w14:paraId="729C7497" w14:textId="3F4CDAA2" w:rsidR="00CD2E10" w:rsidRDefault="00CD2E10" w:rsidP="00CD2E10">
      <w:pPr>
        <w:pStyle w:val="BodyText"/>
        <w:jc w:val="both"/>
        <w:rPr>
          <w:rFonts w:cstheme="minorHAnsi"/>
        </w:rPr>
      </w:pPr>
      <w:r>
        <w:rPr>
          <w:rFonts w:cstheme="minorHAnsi"/>
        </w:rPr>
        <w:t xml:space="preserve">NAME was one of five atmospheric dispersion models taking part in a study that used data published by the World Meteorological Organization. Atmospheric dispersion model estimates of activity concentration in air and on the ground were compared to field measurements taken following the accident at the Fukushima Daiichi nuclear power plant </w:t>
      </w:r>
      <w:r>
        <w:rPr>
          <w:rFonts w:cstheme="minorHAnsi"/>
        </w:rPr>
        <w:fldChar w:fldCharType="begin">
          <w:fldData xml:space="preserve">PEVuZE5vdGU+PENpdGU+PEF1dGhvcj5EcmF4bGVyPC9BdXRob3I+PFllYXI+MjAxNTwvWWVhcj48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=
</w:fldData>
        </w:fldChar>
      </w:r>
      <w:r w:rsidR="005E5190">
        <w:rPr>
          <w:rFonts w:cstheme="minorHAnsi"/>
        </w:rPr>
        <w:instrText xml:space="preserve"> ADDIN EN.CITE </w:instrText>
      </w:r>
      <w:r w:rsidR="005E5190">
        <w:rPr>
          <w:rFonts w:cstheme="minorHAnsi"/>
        </w:rPr>
        <w:fldChar w:fldCharType="begin">
          <w:fldData xml:space="preserve">PEVuZE5vdGU+PENpdGU+PEF1dGhvcj5EcmF4bGVyPC9BdXRob3I+PFllYXI+MjAxNTwvWWVhcj48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=
</w:fldData>
        </w:fldChar>
      </w:r>
      <w:r w:rsidR="005E5190">
        <w:rPr>
          <w:rFonts w:cstheme="minorHAnsi"/>
        </w:rPr>
        <w:instrText xml:space="preserve"> ADDIN EN.CITE.DATA </w:instrText>
      </w:r>
      <w:r w:rsidR="005E5190">
        <w:rPr>
          <w:rFonts w:cstheme="minorHAnsi"/>
        </w:rPr>
      </w:r>
      <w:r w:rsidR="005E5190">
        <w:rPr>
          <w:rFonts w:cstheme="minorHAnsi"/>
        </w:rPr>
        <w:fldChar w:fldCharType="end"/>
      </w:r>
      <w:r>
        <w:rPr>
          <w:rFonts w:cstheme="minorHAnsi"/>
        </w:rPr>
      </w:r>
      <w:r>
        <w:rPr>
          <w:rFonts w:cstheme="minorHAnsi"/>
        </w:rPr>
        <w:fldChar w:fldCharType="separate"/>
      </w:r>
      <w:r>
        <w:rPr>
          <w:rFonts w:cstheme="minorHAnsi"/>
          <w:noProof/>
        </w:rPr>
        <w:t>(Draxler et al, 2015)</w:t>
      </w:r>
      <w:r>
        <w:rPr>
          <w:rFonts w:cstheme="minorHAnsi"/>
        </w:rPr>
        <w:fldChar w:fldCharType="end"/>
      </w:r>
      <w:r>
        <w:rPr>
          <w:rFonts w:cstheme="minorHAnsi"/>
        </w:rPr>
        <w:t xml:space="preserve">. Measurements of deposited activity concentrations of </w:t>
      </w:r>
      <w:r>
        <w:rPr>
          <w:rFonts w:cstheme="minorHAnsi"/>
          <w:vertAlign w:val="superscript"/>
        </w:rPr>
        <w:t>137</w:t>
      </w:r>
      <w:r>
        <w:rPr>
          <w:rFonts w:cstheme="minorHAnsi"/>
        </w:rPr>
        <w:t xml:space="preserve">Cs </w:t>
      </w:r>
      <w:r w:rsidR="0047747F">
        <w:rPr>
          <w:rFonts w:cstheme="minorHAnsi"/>
        </w:rPr>
        <w:t xml:space="preserve">(comprehensive in number and geographical coverage) </w:t>
      </w:r>
      <w:r>
        <w:rPr>
          <w:rFonts w:cstheme="minorHAnsi"/>
        </w:rPr>
        <w:t xml:space="preserve">were considered. NAME ranked midway but outperformed all models in terms of the statistical metric, fractional bias. It was also found that the meteorological analyses (i.e. the way meteorological fields are processed and the way atmospheric processes are parameterized within the atmospheric dispersion models) were generally better resolved in NAME, thus resulting in </w:t>
      </w:r>
      <w:r>
        <w:rPr>
          <w:rFonts w:cstheme="minorHAnsi"/>
          <w:color w:val="000000"/>
        </w:rPr>
        <w:t xml:space="preserve">smaller over- and under-predictions compared to other models. </w:t>
      </w:r>
      <w:r>
        <w:rPr>
          <w:rFonts w:cstheme="minorHAnsi"/>
          <w:color w:val="000000"/>
        </w:rPr>
        <w:fldChar w:fldCharType="begin"/>
      </w:r>
      <w:r>
        <w:rPr>
          <w:rFonts w:cstheme="minorHAnsi"/>
          <w:color w:val="000000"/>
        </w:rPr>
        <w:instrText xml:space="preserve"> ADDIN EN.CITE &lt;EndNote&gt;&lt;Cite AuthorYear="1"&gt;&lt;Author&gt;Leadbetter&lt;/Author&gt;&lt;Year&gt;2015&lt;/Year&gt;&lt;RecNum&gt;2275&lt;/RecNum&gt;&lt;DisplayText&gt;Leadbetter et al (2015)&lt;/DisplayText&gt;&lt;record&gt;&lt;rec-number&gt;2275&lt;/rec-number&gt;&lt;foreign-keys&gt;&lt;key app="EN" db-id="2fdttzetzxr2anervtzvrtfw0vdrw9ttzv25" timestamp="1469719168"&gt;2275&lt;/key&gt;&lt;/foreign-keys&gt;&lt;ref-type name="Journal Article"&gt;17&lt;/ref-type&gt;&lt;contributors&gt;&lt;authors&gt;&lt;author&gt;Leadbetter, Susan&lt;/author&gt;&lt;author&gt;Hort, Matthew&lt;/author&gt;&lt;author&gt;Jones, Andrew&lt;/author&gt;&lt;author&gt;Webster, Helen&lt;/author&gt;&lt;author&gt;Draxler, Roland&lt;/author&gt;&lt;/authors&gt;&lt;/contributors&gt;&lt;titles&gt;&lt;title&gt;Sensitivity of the modelled deposition of Caesium-137 from Fukushima Dai-ichi nuclear power plant to the wet deposition parameterisation in NAME&lt;/title&gt;&lt;secondary-title&gt;Journal of Environmental Radioactivity&lt;/secondary-title&gt;&lt;/titles&gt;&lt;periodical&gt;&lt;full-title&gt;Journal of Environmental Radioactivity&lt;/full-title&gt;&lt;/periodical&gt;&lt;pages&gt;200-211&lt;/pages&gt;&lt;volume&gt;139&lt;/volume&gt;&lt;dates&gt;&lt;year&gt;2015&lt;/year&gt;&lt;/dates&gt;&lt;urls&gt;&lt;/urls&gt;&lt;/record&gt;&lt;/Cite&gt;&lt;/EndNote&gt;</w:instrText>
      </w:r>
      <w:r>
        <w:rPr>
          <w:rFonts w:cstheme="minorHAnsi"/>
          <w:color w:val="000000"/>
        </w:rPr>
        <w:fldChar w:fldCharType="separate"/>
      </w:r>
      <w:r>
        <w:rPr>
          <w:rFonts w:cstheme="minorHAnsi"/>
          <w:noProof/>
          <w:color w:val="000000"/>
        </w:rPr>
        <w:t>Leadbetter et al (2015)</w:t>
      </w:r>
      <w:r>
        <w:rPr>
          <w:rFonts w:cstheme="minorHAnsi"/>
          <w:color w:val="000000"/>
        </w:rPr>
        <w:fldChar w:fldCharType="end"/>
      </w:r>
      <w:r>
        <w:rPr>
          <w:rFonts w:cstheme="minorHAnsi"/>
          <w:color w:val="000000"/>
        </w:rPr>
        <w:t xml:space="preserve"> expanded upon this work, noting that NAME </w:t>
      </w:r>
      <w:r>
        <w:rPr>
          <w:rFonts w:cstheme="minorHAnsi"/>
        </w:rPr>
        <w:t xml:space="preserve">model predictions of </w:t>
      </w:r>
      <w:r>
        <w:rPr>
          <w:rFonts w:cstheme="minorHAnsi"/>
          <w:vertAlign w:val="superscript"/>
        </w:rPr>
        <w:t>137</w:t>
      </w:r>
      <w:r>
        <w:rPr>
          <w:rFonts w:cstheme="minorHAnsi"/>
        </w:rPr>
        <w:t>Cs deposits showed mixed agreement with observations across eastern Japan, with correlation coefficients ranging from 0.44 to 0.80 (with a perfect linear relationship represented by the value 1).</w:t>
      </w:r>
    </w:p>
    <w:p w14:paraId="74FE7F76" w14:textId="6C057A75" w:rsidR="005E5190" w:rsidRDefault="005E5190" w:rsidP="005E5190">
      <w:pPr>
        <w:autoSpaceDE w:val="0"/>
        <w:autoSpaceDN w:val="0"/>
        <w:adjustRightInd w:val="0"/>
        <w:jc w:val="both"/>
        <w:rPr>
          <w:rFonts w:ascii="NimbusSanL-Regu" w:hAnsi="NimbusSanL-Regu" w:cs="NimbusSanL-Regu"/>
          <w:b/>
        </w:rPr>
      </w:pPr>
      <w:r>
        <w:fldChar w:fldCharType="begin"/>
      </w:r>
      <w:r>
        <w:instrText xml:space="preserve"> ADDIN EN.CITE &lt;EndNote&gt;&lt;Cite AuthorYear="1"&gt;&lt;Author&gt;Hort&lt;/Author&gt;&lt;Year&gt;2004&lt;/Year&gt;&lt;RecNum&gt;610&lt;/RecNum&gt;&lt;DisplayText&gt;Hort (2004)&lt;/DisplayText&gt;&lt;record&gt;&lt;rec-number&gt;610&lt;/rec-number&gt;&lt;foreign-keys&gt;&lt;key app="EN" db-id="r5f5xrrfzavsr7easp0pz0v5xxsaspratxsv" timestamp="1594734278" guid="313f99c7-10ba-474e-8dd8-81ee3a933561"&gt;610&lt;/key&gt;&lt;key app="ENWeb" db-id=""&gt;0&lt;/key&gt;&lt;/foreign-keys&gt;&lt;ref-type name="Report"&gt;27&lt;/ref-type&gt;&lt;contributors&gt;&lt;authors&gt;&lt;author&gt;Hort, Matthew&lt;/author&gt;&lt;/authors&gt;&lt;/contributors&gt;&lt;titles&gt;&lt;title&gt;Deposition Test&lt;/title&gt;&lt;secondary-title&gt;NAME III Document&lt;/secondary-title&gt;&lt;/titles&gt;&lt;periodical&gt;&lt;full-title&gt;NAME III Document&lt;/full-title&gt;&lt;/periodical&gt;&lt;volume&gt;MD13/5&lt;/volume&gt;&lt;dates&gt;&lt;year&gt;2004&lt;/year&gt;&lt;/dates&gt;&lt;urls&gt;&lt;/urls&gt;&lt;/record&gt;&lt;/Cite&gt;&lt;/EndNote&gt;</w:instrText>
      </w:r>
      <w:r>
        <w:fldChar w:fldCharType="separate"/>
      </w:r>
      <w:r>
        <w:rPr>
          <w:noProof/>
        </w:rPr>
        <w:t>Hort (2004)</w:t>
      </w:r>
      <w:r>
        <w:fldChar w:fldCharType="end"/>
      </w:r>
      <w:r>
        <w:t xml:space="preserve"> conducted NAME runs to investigate the behaviour of the deposition routines. Mesoscale meteorological data were used with a single six</w:t>
      </w:r>
      <w:r w:rsidR="00697F5B">
        <w:t>-</w:t>
      </w:r>
      <w:r>
        <w:t>hour point release of sulphur dioxide over the South East of England, and a tracer release, in the same location. It was concluded from these limited runs that the NAME deposition schemes are working at least as well as previous versions of the model.</w:t>
      </w:r>
    </w:p>
    <w:p w14:paraId="1EB5C61A" w14:textId="563E2230" w:rsidR="00FE509D" w:rsidRDefault="00FC7B87" w:rsidP="00FE509D">
      <w:pPr>
        <w:pStyle w:val="BodyText"/>
        <w:jc w:val="both"/>
        <w:rPr>
          <w:rFonts w:ascii="Arial" w:hAnsi="Arial" w:cs="Arial"/>
        </w:rPr>
      </w:pPr>
      <w:r>
        <w:t xml:space="preserve">Whilst there is little or no validation of the methods implemented, there does exist </w:t>
      </w:r>
      <w:r w:rsidR="004A0697">
        <w:t>significant</w:t>
      </w:r>
      <w:r>
        <w:t xml:space="preserve"> scientific justification for the implementation of the methods applied. Non</w:t>
      </w:r>
      <w:r w:rsidR="00EA5F71">
        <w:t>e</w:t>
      </w:r>
      <w:r>
        <w:t xml:space="preserve"> more so than for the wet deposition </w:t>
      </w:r>
      <w:r w:rsidR="00254E9D">
        <w:t xml:space="preserve">approach </w:t>
      </w:r>
      <w:r>
        <w:t xml:space="preserve">applied in NAME. </w:t>
      </w:r>
      <w:r>
        <w:fldChar w:fldCharType="begin"/>
      </w:r>
      <w:r>
        <w:instrText xml:space="preserve"> ADDIN EN.CITE &lt;EndNote&gt;&lt;Cite AuthorYear="1"&gt;&lt;Author&gt;Webster&lt;/Author&gt;&lt;Year&gt;2014&lt;/Year&gt;&lt;RecNum&gt;3395&lt;/RecNum&gt;&lt;DisplayText&gt;Webster and Thomson (2014)&lt;/DisplayText&gt;&lt;record&gt;&lt;rec-number&gt;3395&lt;/rec-number&gt;&lt;foreign-keys&gt;&lt;key app="EN" db-id="r5f5xrrfzavsr7easp0pz0v5xxsaspratxsv" timestamp="1594741809" guid="c0910697-0066-4d56-850c-ca66f36e0b0e"&gt;3395&lt;/key&gt;&lt;key app="ENWeb" db-id=""&gt;0&lt;/key&gt;&lt;/foreign-keys&gt;&lt;ref-type name="Report"&gt;27&lt;/ref-type&gt;&lt;contributors&gt;&lt;authors&gt;&lt;author&gt;Webster, H. N.&lt;/author&gt;&lt;author&gt;Thomson, D. J.&lt;/author&gt;&lt;/authors&gt;&lt;/contributors&gt;&lt;titles&gt;&lt;title&gt;The NAME wet deposition scheme&lt;/title&gt;&lt;/titles&gt;&lt;volume&gt;Forecasting Research Technical Report 584&lt;/volume&gt;&lt;number&gt;Forecasting Research Technical Report 584&lt;/number&gt;&lt;dates&gt;&lt;year&gt;2014&lt;/year&gt;&lt;/dates&gt;&lt;publisher&gt;Met Office&lt;/publisher&gt;&lt;isbn&gt;Forecasting Research Technical Report 584&lt;/isbn&gt;&lt;urls&gt;&lt;/urls&gt;&lt;/record&gt;&lt;/Cite&gt;&lt;/EndNote&gt;</w:instrText>
      </w:r>
      <w:r>
        <w:fldChar w:fldCharType="separate"/>
      </w:r>
      <w:r>
        <w:rPr>
          <w:noProof/>
        </w:rPr>
        <w:t>Webster and Thomson (2014)</w:t>
      </w:r>
      <w:r>
        <w:fldChar w:fldCharType="end"/>
      </w:r>
      <w:r>
        <w:t xml:space="preserve"> document the wet deposition scheme in great detail, highlighting the origins of the scheme, elements that </w:t>
      </w:r>
      <w:r w:rsidR="00FE509D">
        <w:t xml:space="preserve">have evolved over time, and the justification for the evolution. </w:t>
      </w:r>
      <w:r w:rsidR="00FE509D">
        <w:fldChar w:fldCharType="begin"/>
      </w:r>
      <w:r w:rsidR="00FE509D">
        <w:instrText xml:space="preserve"> ADDIN EN.CITE &lt;EndNote&gt;&lt;Cite AuthorYear="1"&gt;&lt;Author&gt;Webster&lt;/Author&gt;&lt;Year&gt;2014&lt;/Year&gt;&lt;RecNum&gt;3395&lt;/RecNum&gt;&lt;DisplayText&gt;Webster and Thomson (2014)&lt;/DisplayText&gt;&lt;record&gt;&lt;rec-number&gt;3395&lt;/rec-number&gt;&lt;foreign-keys&gt;&lt;key app="EN" db-id="r5f5xrrfzavsr7easp0pz0v5xxsaspratxsv" timestamp="1594741809" guid="c0910697-0066-4d56-850c-ca66f36e0b0e"&gt;3395&lt;/key&gt;&lt;key app="ENWeb" db-id=""&gt;0&lt;/key&gt;&lt;/foreign-keys&gt;&lt;ref-type name="Report"&gt;27&lt;/ref-type&gt;&lt;contributors&gt;&lt;authors&gt;&lt;author&gt;Webster, H. N.&lt;/author&gt;&lt;author&gt;Thomson, D. J.&lt;/author&gt;&lt;/authors&gt;&lt;/contributors&gt;&lt;titles&gt;&lt;title&gt;The NAME wet deposition scheme&lt;/title&gt;&lt;/titles&gt;&lt;volume&gt;Forecasting Research Technical Report 584&lt;/volume&gt;&lt;number&gt;Forecasting Research Technical Report 584&lt;/number&gt;&lt;dates&gt;&lt;year&gt;2014&lt;/year&gt;&lt;/dates&gt;&lt;publisher&gt;Met Office&lt;/publisher&gt;&lt;isbn&gt;Forecasting Research Technical Report 584&lt;/isbn&gt;&lt;urls&gt;&lt;/urls&gt;&lt;/record&gt;&lt;/Cite&gt;&lt;/EndNote&gt;</w:instrText>
      </w:r>
      <w:r w:rsidR="00FE509D">
        <w:fldChar w:fldCharType="separate"/>
      </w:r>
      <w:r w:rsidR="00FE509D">
        <w:rPr>
          <w:noProof/>
        </w:rPr>
        <w:t>Webster and Thomson (2014)</w:t>
      </w:r>
      <w:r w:rsidR="00FE509D">
        <w:fldChar w:fldCharType="end"/>
      </w:r>
      <w:r w:rsidR="00FE509D">
        <w:t xml:space="preserve"> also acknowledge elements of the scheme which are less scientifically robust and compare some of the parameterizations with other modelling approaches. </w:t>
      </w:r>
      <w:r w:rsidR="008017B3">
        <w:t>T</w:t>
      </w:r>
      <w:r w:rsidR="00FE509D">
        <w:rPr>
          <w:rFonts w:ascii="Arial" w:hAnsi="Arial" w:cs="Arial"/>
        </w:rPr>
        <w:t>here is very little information on the ‘in-cloud scavenging by rain’ parametrization originally used in NAME and consequently the origin of this scheme is not fully u</w:t>
      </w:r>
      <w:r w:rsidR="00BE37DD">
        <w:rPr>
          <w:rFonts w:ascii="Arial" w:hAnsi="Arial" w:cs="Arial"/>
        </w:rPr>
        <w:t>nderstood.</w:t>
      </w:r>
      <w:r w:rsidR="00254E9D">
        <w:rPr>
          <w:rFonts w:ascii="Arial" w:hAnsi="Arial" w:cs="Arial"/>
        </w:rPr>
        <w:t xml:space="preserve"> </w:t>
      </w:r>
      <w:r w:rsidR="00BE37DD">
        <w:t>However</w:t>
      </w:r>
      <w:r w:rsidR="00FE65FC">
        <w:t xml:space="preserve">, all other aspects of the approach are supported by scientifically rigorous studies. </w:t>
      </w:r>
      <w:r w:rsidR="00254E9D">
        <w:rPr>
          <w:rFonts w:ascii="Arial" w:hAnsi="Arial" w:cs="Arial"/>
        </w:rPr>
        <w:t>E</w:t>
      </w:r>
      <w:r w:rsidR="00FE509D">
        <w:rPr>
          <w:rFonts w:ascii="Arial" w:hAnsi="Arial" w:cs="Arial"/>
        </w:rPr>
        <w:t xml:space="preserve">levated deposition resulting from orographic enhancement cannot currently be accounted for in the model. </w:t>
      </w:r>
      <w:r w:rsidR="00254E9D">
        <w:rPr>
          <w:rFonts w:ascii="Arial" w:hAnsi="Arial" w:cs="Arial"/>
        </w:rPr>
        <w:t xml:space="preserve">Increases in </w:t>
      </w:r>
      <w:r w:rsidR="00FE509D">
        <w:rPr>
          <w:rFonts w:ascii="Arial" w:hAnsi="Arial" w:cs="Arial"/>
        </w:rPr>
        <w:t>NWP model resolution</w:t>
      </w:r>
      <w:r w:rsidR="00254E9D">
        <w:rPr>
          <w:rFonts w:ascii="Arial" w:hAnsi="Arial" w:cs="Arial"/>
        </w:rPr>
        <w:t xml:space="preserve"> is changing</w:t>
      </w:r>
      <w:r w:rsidR="00FE509D">
        <w:rPr>
          <w:rFonts w:ascii="Arial" w:hAnsi="Arial" w:cs="Arial"/>
        </w:rPr>
        <w:t xml:space="preserve"> the division between model resolved</w:t>
      </w:r>
      <w:r w:rsidR="00254E9D">
        <w:rPr>
          <w:rFonts w:ascii="Arial" w:hAnsi="Arial" w:cs="Arial"/>
        </w:rPr>
        <w:t xml:space="preserve"> </w:t>
      </w:r>
      <w:r w:rsidR="00FE509D">
        <w:rPr>
          <w:rFonts w:ascii="Arial" w:hAnsi="Arial" w:cs="Arial"/>
        </w:rPr>
        <w:t xml:space="preserve">and model parametrized precipitation, with the recent UKV configuration of the </w:t>
      </w:r>
      <w:r w:rsidR="00FC418A">
        <w:rPr>
          <w:rFonts w:ascii="Arial" w:hAnsi="Arial" w:cs="Arial"/>
        </w:rPr>
        <w:t>Met Office’s Unified Model i</w:t>
      </w:r>
      <w:r w:rsidR="00FE509D">
        <w:rPr>
          <w:rFonts w:ascii="Arial" w:hAnsi="Arial" w:cs="Arial"/>
        </w:rPr>
        <w:t>n</w:t>
      </w:r>
      <w:r w:rsidR="00254E9D">
        <w:rPr>
          <w:rFonts w:ascii="Arial" w:hAnsi="Arial" w:cs="Arial"/>
        </w:rPr>
        <w:t xml:space="preserve"> </w:t>
      </w:r>
      <w:r w:rsidR="00FE509D">
        <w:rPr>
          <w:rFonts w:ascii="Arial" w:hAnsi="Arial" w:cs="Arial"/>
        </w:rPr>
        <w:t>the extreme situation of having all resolved, and no paramet</w:t>
      </w:r>
      <w:r w:rsidR="00254E9D">
        <w:rPr>
          <w:rFonts w:ascii="Arial" w:hAnsi="Arial" w:cs="Arial"/>
        </w:rPr>
        <w:t>rized, precipitation; whilst this is proving challenging</w:t>
      </w:r>
      <w:r w:rsidR="00FC418A">
        <w:rPr>
          <w:rFonts w:ascii="Arial" w:hAnsi="Arial" w:cs="Arial"/>
        </w:rPr>
        <w:t xml:space="preserve"> from a wet deposition modelling perspective</w:t>
      </w:r>
      <w:r w:rsidR="00254E9D">
        <w:rPr>
          <w:rFonts w:ascii="Arial" w:hAnsi="Arial" w:cs="Arial"/>
        </w:rPr>
        <w:t xml:space="preserve">, ultimately this will help to improve the modelling of wet </w:t>
      </w:r>
      <w:r w:rsidR="00FC418A">
        <w:rPr>
          <w:rFonts w:ascii="Arial" w:hAnsi="Arial" w:cs="Arial"/>
        </w:rPr>
        <w:t>deposition</w:t>
      </w:r>
      <w:r w:rsidR="00254E9D">
        <w:rPr>
          <w:rFonts w:ascii="Arial" w:hAnsi="Arial" w:cs="Arial"/>
        </w:rPr>
        <w:t>.</w:t>
      </w:r>
    </w:p>
    <w:p w14:paraId="75178CE8" w14:textId="351C5934" w:rsidR="00085E24" w:rsidRDefault="00FC418A" w:rsidP="00065880">
      <w:pPr>
        <w:pStyle w:val="BodyTextNOSPACE"/>
        <w:spacing w:after="120"/>
        <w:jc w:val="both"/>
        <w:rPr>
          <w:rFonts w:cstheme="minorHAnsi"/>
        </w:rPr>
      </w:pPr>
      <w:r>
        <w:t xml:space="preserve">The bulk wet </w:t>
      </w:r>
      <w:r>
        <w:rPr>
          <w:rFonts w:cstheme="minorHAnsi"/>
        </w:rPr>
        <w:t xml:space="preserve">scavenging parameterization (applied in </w:t>
      </w:r>
      <w:r w:rsidR="00085E24">
        <w:rPr>
          <w:rFonts w:cstheme="minorHAnsi"/>
        </w:rPr>
        <w:t xml:space="preserve">NAME in </w:t>
      </w:r>
      <w:r>
        <w:rPr>
          <w:rFonts w:cstheme="minorHAnsi"/>
        </w:rPr>
        <w:t xml:space="preserve">this study), </w:t>
      </w:r>
      <w:r>
        <w:t xml:space="preserve">assumes that the scavenging is equally efficient for aerosols of different sizes. </w:t>
      </w:r>
      <w:r w:rsidR="00085E24">
        <w:t>Such schemes</w:t>
      </w:r>
      <w:r>
        <w:t xml:space="preserve"> have been shown, however, to overestimate the scavenging of aerosols during heavy rain or long-duration medium rain conditions </w:t>
      </w:r>
      <w:r w:rsidR="006F7B83">
        <w:fldChar w:fldCharType="begin"/>
      </w:r>
      <w:r w:rsidR="006F7B83">
        <w:instrText xml:space="preserve"> ADDIN EN.CITE &lt;EndNote&gt;&lt;Cite&gt;&lt;Author&gt;Feng&lt;/Author&gt;&lt;Year&gt;2007&lt;/Year&gt;&lt;RecNum&gt;4193&lt;/RecNum&gt;&lt;DisplayText&gt;(Feng, 2007)&lt;/DisplayText&gt;&lt;record&gt;&lt;rec-number&gt;4193&lt;/rec-number&gt;&lt;foreign-keys&gt;&lt;key app="EN" db-id="r5f5xrrfzavsr7easp0pz0v5xxsaspratxsv" timestamp="1594744170" guid="af0ec13a-7b6a-4e97-b28c-4192bd7682ca"&gt;4193&lt;/key&gt;&lt;key app="ENWeb" db-id=""&gt;0&lt;/key&gt;&lt;/foreign-keys&gt;&lt;ref-type name="Journal Article"&gt;17&lt;/ref-type&gt;&lt;contributors&gt;&lt;authors&gt;&lt;author&gt;Feng, Jian&lt;/author&gt;&lt;/authors&gt;&lt;/contributors&gt;&lt;titles&gt;&lt;title&gt;A 3-mode parameterization of below-cloud scavenging of aerosols for use in atmospheric dispersion models&lt;/title&gt;&lt;secondary-title&gt;Atmospheric Environment&lt;/secondary-title&gt;&lt;/titles&gt;&lt;periodical&gt;&lt;full-title&gt;Atmospheric Environment&lt;/full-title&gt;&lt;/periodical&gt;&lt;pages&gt;6808-6822&lt;/pages&gt;&lt;volume&gt;41&lt;/volume&gt;&lt;number&gt;32&lt;/number&gt;&lt;section&gt;6808&lt;/section&gt;&lt;dates&gt;&lt;year&gt;2007&lt;/year&gt;&lt;pub-dates&gt;&lt;date&gt;October 2007&lt;/date&gt;&lt;/pub-dates&gt;&lt;/dates&gt;&lt;isbn&gt;13522310&lt;/isbn&gt;&lt;urls&gt;&lt;/urls&gt;&lt;electronic-resource-num&gt;https://doi.org/10.1016/j.atmosenv.2007.04.046&lt;/electronic-resource-num&gt;&lt;/record&gt;&lt;/Cite&gt;&lt;/EndNote&gt;</w:instrText>
      </w:r>
      <w:r w:rsidR="006F7B83">
        <w:fldChar w:fldCharType="separate"/>
      </w:r>
      <w:r w:rsidR="006F7B83">
        <w:rPr>
          <w:noProof/>
        </w:rPr>
        <w:t>(Feng, 2007)</w:t>
      </w:r>
      <w:r w:rsidR="006F7B83">
        <w:fldChar w:fldCharType="end"/>
      </w:r>
      <w:r>
        <w:t>.</w:t>
      </w:r>
      <w:r w:rsidR="00085E24">
        <w:t xml:space="preserve"> The </w:t>
      </w:r>
      <w:r>
        <w:rPr>
          <w:rFonts w:cstheme="minorHAnsi"/>
        </w:rPr>
        <w:t>particle dependent wet deposition scheme</w:t>
      </w:r>
      <w:r w:rsidR="00085E24">
        <w:rPr>
          <w:rFonts w:cstheme="minorHAnsi"/>
        </w:rPr>
        <w:t xml:space="preserve"> implemented in NAME makes significant strides to address this problem.</w:t>
      </w:r>
    </w:p>
    <w:p w14:paraId="77B7EA05" w14:textId="424D43C4" w:rsidR="00122BE5" w:rsidRDefault="00065880" w:rsidP="00065880">
      <w:pPr>
        <w:pStyle w:val="BodyText"/>
        <w:jc w:val="both"/>
      </w:pPr>
      <w:r>
        <w:t xml:space="preserve">Validation of the wet deposition approach implemented in each model is only one of a number of factors which determine whether or not the model can suitably represent the wet deposition process. The ability of the model to consider suitably representative meteorological data is also paramount. The NAME model is able to utilise NWP met data derived from the Met Office’s Unified Model, which is recognised as a world leading weather (and climate) model. </w:t>
      </w:r>
      <w:r w:rsidR="002A0A78">
        <w:fldChar w:fldCharType="begin"/>
      </w:r>
      <w:r w:rsidR="002A0A78">
        <w:instrText xml:space="preserve"> ADDIN EN.CITE &lt;EndNote&gt;&lt;Cite AuthorYear="1"&gt;&lt;Author&gt;Jones&lt;/Author&gt;&lt;Year&gt;1986&lt;/Year&gt;&lt;RecNum&gt;2836&lt;/RecNum&gt;&lt;DisplayText&gt;Jones (1986)&lt;/DisplayText&gt;&lt;record&gt;&lt;rec-number&gt;2836&lt;/rec-number&gt;&lt;foreign-keys&gt;&lt;key app="EN" db-id="r5f5xrrfzavsr7easp0pz0v5xxsaspratxsv" timestamp="1594740717" guid="f4de736d-1587-4eeb-9b05-37dd931840fb"&gt;2836&lt;/key&gt;&lt;key app="ENWeb" db-id=""&gt;0&lt;/key&gt;&lt;/foreign-keys&gt;&lt;ref-type name="Report"&gt;27&lt;/ref-type&gt;&lt;contributors&gt;&lt;authors&gt;&lt;author&gt;Jones, J. A.&lt;/author&gt;&lt;/authors&gt;&lt;tertiary-authors&gt;&lt;author&gt;National Radiological Protection Board,&lt;/author&gt;&lt;/tertiary-authors&gt;&lt;/contributors&gt;&lt;auth-address&gt;Chilton, Didcot, Oxfordshire. OX11 0RQ&lt;/auth-address&gt;&lt;titles&gt;&lt;title&gt;The Seventh Report of a Working Group on Atmospheric Dispersion: The Uncertainty in Dispersion Estimates Obtained from the Working Group Models&lt;/title&gt;&lt;secondary-title&gt;NRPB R Series&lt;/secondary-title&gt;&lt;/titles&gt;&lt;volume&gt;NRPB-R199&lt;/volume&gt;&lt;number&gt;NRPB-R199&lt;/number&gt;&lt;dates&gt;&lt;year&gt;1986&lt;/year&gt;&lt;pub-dates&gt;&lt;date&gt;August 1986&lt;/date&gt;&lt;/pub-dates&gt;&lt;/dates&gt;&lt;pub-location&gt;Chilton (UK)&lt;/pub-location&gt;&lt;publisher&gt;National Radiological Protection Board&lt;/publisher&gt;&lt;urls&gt;&lt;/urls&gt;&lt;/record&gt;&lt;/Cite&gt;&lt;/EndNote&gt;</w:instrText>
      </w:r>
      <w:r w:rsidR="002A0A78">
        <w:fldChar w:fldCharType="separate"/>
      </w:r>
      <w:r w:rsidR="002A0A78">
        <w:rPr>
          <w:noProof/>
        </w:rPr>
        <w:t>Jones (1986)</w:t>
      </w:r>
      <w:r w:rsidR="002A0A78">
        <w:fldChar w:fldCharType="end"/>
      </w:r>
      <w:r w:rsidR="002A0A78">
        <w:t xml:space="preserve"> recognise</w:t>
      </w:r>
      <w:r w:rsidR="00EA5F71">
        <w:t>s</w:t>
      </w:r>
      <w:r w:rsidR="002A0A78">
        <w:t xml:space="preserve"> the significant modelling difficulties caused by the spatial and temporal variability of rainfall rate</w:t>
      </w:r>
      <w:r w:rsidR="00EB481D">
        <w:t>;</w:t>
      </w:r>
      <w:r w:rsidR="002A0A78">
        <w:t xml:space="preserve"> </w:t>
      </w:r>
      <w:r>
        <w:t xml:space="preserve">ADEPT and ADMS will tend </w:t>
      </w:r>
      <w:r w:rsidR="00122BE5">
        <w:t xml:space="preserve">to </w:t>
      </w:r>
      <w:r>
        <w:t>be notably more limited in terms of the (hourly single site) meteorological data which the models can consider.</w:t>
      </w:r>
      <w:r w:rsidR="002A0A78">
        <w:t xml:space="preserve"> </w:t>
      </w:r>
      <w:r>
        <w:t xml:space="preserve">Furthermore, the ability of the models to suitably describe the atmospheric dispersion process is also fundamental </w:t>
      </w:r>
      <w:r w:rsidR="00122BE5">
        <w:t>to determining</w:t>
      </w:r>
      <w:r>
        <w:t xml:space="preserve"> the level of confidence which can be achieved in the wet deposition estimates derived further down the modelling chain.</w:t>
      </w:r>
      <w:r w:rsidR="00887023">
        <w:t xml:space="preserve"> There exists significant validation across all three models (ADEPT, ADMS and NAME) in respect of the </w:t>
      </w:r>
      <w:r w:rsidR="005B1D83">
        <w:t xml:space="preserve">atmospheric dispersion process. </w:t>
      </w:r>
      <w:r w:rsidR="00EB481D">
        <w:t>Many of the key</w:t>
      </w:r>
      <w:r w:rsidR="005B1D83">
        <w:t xml:space="preserve"> validation studies </w:t>
      </w:r>
      <w:r w:rsidR="00EB481D">
        <w:t>which include</w:t>
      </w:r>
      <w:r w:rsidR="005B1D83">
        <w:t xml:space="preserve"> ADEPT (or applications of the R91 model) and NAME are summarised </w:t>
      </w:r>
      <w:r w:rsidR="00EB481D">
        <w:t>by</w:t>
      </w:r>
      <w:r w:rsidR="005B1D83">
        <w:t xml:space="preserve"> </w:t>
      </w:r>
      <w:r w:rsidR="005B1D83">
        <w:fldChar w:fldCharType="begin"/>
      </w:r>
      <w:r w:rsidR="005B1D83">
        <w:instrText xml:space="preserve"> ADDIN EN.CITE &lt;EndNote&gt;&lt;Cite AuthorYear="1"&gt;&lt;Author&gt;Bedwell&lt;/Author&gt;&lt;Year&gt;2011&lt;/Year&gt;&lt;RecNum&gt;2493&lt;/RecNum&gt;&lt;DisplayText&gt;Bedwell et al (2011)&lt;/DisplayText&gt;&lt;record&gt;&lt;rec-number&gt;2493&lt;/rec-number&gt;&lt;foreign-keys&gt;&lt;key app="EN" db-id="r5f5xrrfzavsr7easp0pz0v5xxsaspratxsv" timestamp="1594739859" guid="55577998-55b9-4465-b1cc-b9740d7248b0"&gt;2493&lt;/key&gt;&lt;key app="ENWeb" db-id=""&gt;0&lt;/key&gt;&lt;/foreign-keys&gt;&lt;ref-type name="Report"&gt;27&lt;/ref-type&gt;&lt;contributors&gt;&lt;authors&gt;&lt;author&gt;Bedwell, Pete&lt;/author&gt;&lt;author&gt;Wellings, Joseph&lt;/author&gt;&lt;author&gt;Haywood, Stephanie M.&lt;/author&gt;&lt;author&gt;Hort, Matthew&lt;/author&gt;&lt;author&gt;Jones, A. R.&lt;/author&gt;&lt;author&gt;Thomson, D. J.&lt;/author&gt;&lt;/authors&gt;&lt;tertiary-authors&gt;&lt;author&gt;Health Protection Agency,&lt;/author&gt;&lt;/tertiary-authors&gt;&lt;/contributors&gt;&lt;titles&gt;&lt;title&gt;Intercomparison of the &amp;apos;R91&amp;apos; Gaussian Plume Model and the UK Met Office&amp;apos;s Lagrangian Particle NAME III Model in the Context of a Short-duration Release&lt;/title&gt;&lt;secondary-title&gt;HPA CRCE Series&lt;/secondary-title&gt;&lt;/titles&gt;&lt;volume&gt;HPA-CRCE-029&lt;/volume&gt;&lt;number&gt;HPA-CRCE-029&lt;/number&gt;&lt;dates&gt;&lt;year&gt;2011&lt;/year&gt;&lt;pub-dates&gt;&lt;date&gt;November 2011&lt;/date&gt;&lt;/pub-dates&gt;&lt;/dates&gt;&lt;pub-location&gt;Chilton (UK)&lt;/pub-location&gt;&lt;publisher&gt;Health Protection Agency&lt;/publisher&gt;&lt;urls&gt;&lt;/urls&gt;&lt;/record&gt;&lt;/Cite&gt;&lt;/EndNote&gt;</w:instrText>
      </w:r>
      <w:r w:rsidR="005B1D83">
        <w:fldChar w:fldCharType="separate"/>
      </w:r>
      <w:r w:rsidR="005B1D83">
        <w:rPr>
          <w:noProof/>
        </w:rPr>
        <w:t>Bedwell et al (2011)</w:t>
      </w:r>
      <w:r w:rsidR="005B1D83">
        <w:fldChar w:fldCharType="end"/>
      </w:r>
      <w:r w:rsidR="005B1D83">
        <w:t xml:space="preserve"> and </w:t>
      </w:r>
      <w:r w:rsidR="005B1D83">
        <w:fldChar w:fldCharType="begin"/>
      </w:r>
      <w:r w:rsidR="005B1D83">
        <w:instrText xml:space="preserve"> ADDIN EN.CITE &lt;EndNote&gt;&lt;Cite AuthorYear="1"&gt;&lt;Author&gt;Smith&lt;/Author&gt;&lt;Year&gt;to be published&lt;/Year&gt;&lt;RecNum&gt;6955&lt;/RecNum&gt;&lt;DisplayText&gt;Smith et al (to be published)&lt;/DisplayText&gt;&lt;record&gt;&lt;rec-number&gt;6955&lt;/rec-number&gt;&lt;foreign-keys&gt;&lt;key app="EN" db-id="r5f5xrrfzavsr7easp0pz0v5xxsaspratxsv" timestamp="1611755654" guid="9effc981-0143-4a85-bab9-009034c817a1"&gt;6955&lt;/key&gt;&lt;/foreign-keys&gt;&lt;ref-type name="Report"&gt;27&lt;/ref-type&gt;&lt;contributors&gt;&lt;authors&gt;&lt;author&gt;Smith, Justin&lt;/author&gt;&lt;author&gt;Bedwell, Peter&lt;/author&gt;&lt;author&gt;Charnock, Tom&lt;/author&gt;&lt;author&gt;Foster, Matthew&lt;/author&gt;&lt;author&gt;Jones, Kelly&lt;/author&gt;&lt;author&gt;Oatway, Wayne B.&lt;/author&gt;&lt;author&gt;Wellings, Joseph&lt;/author&gt;&lt;/authors&gt;&lt;/contributors&gt;&lt;titles&gt;&lt;title&gt;Verification and Validation of Models Used in Dose Assessment Studies: Models used in RAD, CRCE&lt;/title&gt;&lt;/titles&gt;&lt;dates&gt;&lt;year&gt;to be published&lt;/year&gt;&lt;/dates&gt;&lt;pub-location&gt;Public Health England, Centre for Radiation Chemical and Environmental Hazards&lt;/pub-location&gt;&lt;publisher&gt;Public Health England, Centre for Radiation Chemical and Environmental Hazards&lt;/publisher&gt;&lt;urls&gt;&lt;/urls&gt;&lt;/record&gt;&lt;/Cite&gt;&lt;/EndNote&gt;</w:instrText>
      </w:r>
      <w:r w:rsidR="005B1D83">
        <w:fldChar w:fldCharType="separate"/>
      </w:r>
      <w:r w:rsidR="005B1D83">
        <w:rPr>
          <w:noProof/>
        </w:rPr>
        <w:t>Smith et al (to be published)</w:t>
      </w:r>
      <w:r w:rsidR="005B1D83">
        <w:fldChar w:fldCharType="end"/>
      </w:r>
      <w:r w:rsidR="00EB481D">
        <w:t xml:space="preserve">. </w:t>
      </w:r>
      <w:r w:rsidR="00EB481D">
        <w:fldChar w:fldCharType="begin"/>
      </w:r>
      <w:r w:rsidR="00EB481D">
        <w:instrText xml:space="preserve"> ADDIN EN.CITE &lt;EndNote&gt;&lt;Cite AuthorYear="1"&gt;&lt;Author&gt;Bedwell&lt;/Author&gt;&lt;Year&gt;2011&lt;/Year&gt;&lt;RecNum&gt;2493&lt;/RecNum&gt;&lt;DisplayText&gt;Bedwell et al (2011)&lt;/DisplayText&gt;&lt;record&gt;&lt;rec-number&gt;2493&lt;/rec-number&gt;&lt;foreign-keys&gt;&lt;key app="EN" db-id="r5f5xrrfzavsr7easp0pz0v5xxsaspratxsv" timestamp="1594739859" guid="55577998-55b9-4465-b1cc-b9740d7248b0"&gt;2493&lt;/key&gt;&lt;key app="ENWeb" db-id=""&gt;0&lt;/key&gt;&lt;/foreign-keys&gt;&lt;ref-type name="Report"&gt;27&lt;/ref-type&gt;&lt;contributors&gt;&lt;authors&gt;&lt;author&gt;Bedwell, Pete&lt;/author&gt;&lt;author&gt;Wellings, Joseph&lt;/author&gt;&lt;author&gt;Haywood, Stephanie M.&lt;/author&gt;&lt;author&gt;Hort, Matthew&lt;/author&gt;&lt;author&gt;Jones, A. R.&lt;/author&gt;&lt;author&gt;Thomson, D. J.&lt;/author&gt;&lt;/authors&gt;&lt;tertiary-authors&gt;&lt;author&gt;Health Protection Agency,&lt;/author&gt;&lt;/tertiary-authors&gt;&lt;/contributors&gt;&lt;titles&gt;&lt;title&gt;Intercomparison of the &amp;apos;R91&amp;apos; Gaussian Plume Model and the UK Met Office&amp;apos;s Lagrangian Particle NAME III Model in the Context of a Short-duration Release&lt;/title&gt;&lt;secondary-title&gt;HPA CRCE Series&lt;/secondary-title&gt;&lt;/titles&gt;&lt;volume&gt;HPA-CRCE-029&lt;/volume&gt;&lt;number&gt;HPA-CRCE-029&lt;/number&gt;&lt;dates&gt;&lt;year&gt;2011&lt;/year&gt;&lt;pub-dates&gt;&lt;date&gt;November 2011&lt;/date&gt;&lt;/pub-dates&gt;&lt;/dates&gt;&lt;pub-location&gt;Chilton (UK)&lt;/pub-location&gt;&lt;publisher&gt;Health Protection Agency&lt;/publisher&gt;&lt;urls&gt;&lt;/urls&gt;&lt;/record&gt;&lt;/Cite&gt;&lt;/EndNote&gt;</w:instrText>
      </w:r>
      <w:r w:rsidR="00EB481D">
        <w:fldChar w:fldCharType="separate"/>
      </w:r>
      <w:r w:rsidR="00EB481D">
        <w:rPr>
          <w:noProof/>
        </w:rPr>
        <w:t>Bedwell et al (2011)</w:t>
      </w:r>
      <w:r w:rsidR="00EB481D">
        <w:fldChar w:fldCharType="end"/>
      </w:r>
      <w:r w:rsidR="00EB481D">
        <w:t xml:space="preserve"> also</w:t>
      </w:r>
      <w:r w:rsidR="005B1D83">
        <w:t xml:space="preserve"> indicates that ADEPT is likely to overpredict activity concentrations in air relative to NAME by a factor of 2-3 under Pasquill Stability Category D conditions and by a factor of </w:t>
      </w:r>
      <w:r w:rsidR="00543983">
        <w:t xml:space="preserve">6 or more </w:t>
      </w:r>
      <w:r w:rsidR="00122BE5">
        <w:t xml:space="preserve">under Pasquill Stability Category F conditions </w:t>
      </w:r>
      <w:r w:rsidR="00543983">
        <w:t>(where the NAME model was run in a simplified mode to enable a fair comparison).</w:t>
      </w:r>
      <w:r w:rsidR="00B025E9">
        <w:t xml:space="preserve"> </w:t>
      </w:r>
    </w:p>
    <w:p w14:paraId="6ADA0C9A" w14:textId="2E410598" w:rsidR="00122BE5" w:rsidRDefault="00122BE5" w:rsidP="00122BE5">
      <w:pPr>
        <w:pStyle w:val="BodyText"/>
        <w:jc w:val="both"/>
      </w:pPr>
      <w:r>
        <w:t>The ADMS dispersion models are continually validated against available measured pollutant concentration data obtained from real world situations, field campaigns and wind tunnel experiments. Validation has been performed using many experimental datasets that test different aspects of the model (ground/high level sources, passive and buoyant releases, buildings, complex terrain and plume visibility</w:t>
      </w:r>
      <w:r w:rsidR="00BE1B8E">
        <w:t>)</w:t>
      </w:r>
      <w:r>
        <w:t xml:space="preserve">. These studies are both short-term as well as annual and involve tracer gases or specific pollutants of interest. A large amount of documentation detailing the validation of the primary ADMS model can be found on the CERC web site (currently: </w:t>
      </w:r>
      <w:hyperlink r:id="rId73" w:history="1">
        <w:r w:rsidRPr="00D26288">
          <w:rPr>
            <w:rStyle w:val="Hyperlink"/>
            <w:color w:val="4F81BD" w:themeColor="accent1"/>
          </w:rPr>
          <w:t>http://www.cerc.co.uk/environmental-software/model-validation.html</w:t>
        </w:r>
      </w:hyperlink>
      <w:r w:rsidRPr="00D26288">
        <w:rPr>
          <w:rStyle w:val="Hyperlink"/>
          <w:color w:val="4F81BD" w:themeColor="accent1"/>
        </w:rPr>
        <w:t>)</w:t>
      </w:r>
      <w:r w:rsidRPr="00A56885">
        <w:rPr>
          <w:rStyle w:val="Hyperlink"/>
          <w:color w:val="auto"/>
        </w:rPr>
        <w:t>. However, this only applies to developments relating to the latest version of the model (ADMS 5.0) and therefore is predominantly applicable to complex terrain and building modules</w:t>
      </w:r>
      <w:r w:rsidRPr="00A56885">
        <w:t xml:space="preserve">. </w:t>
      </w:r>
      <w:r>
        <w:t xml:space="preserve">Model validation documentation pertaining to aspects of the model which have not been developed recently, such as deposition, are not detailed on the website, however </w:t>
      </w:r>
      <w:r w:rsidR="00C611D2">
        <w:t>CERC hope to set</w:t>
      </w:r>
      <w:r w:rsidR="00FD16DD">
        <w:t xml:space="preserve"> </w:t>
      </w:r>
      <w:r w:rsidR="00C611D2">
        <w:t>up</w:t>
      </w:r>
      <w:r>
        <w:t xml:space="preserve"> an archive page in the future for such purposes.</w:t>
      </w:r>
      <w:r w:rsidR="00D829B3">
        <w:t xml:space="preserve"> All of the validation </w:t>
      </w:r>
      <w:r w:rsidR="00570099">
        <w:t xml:space="preserve">of ADMS </w:t>
      </w:r>
      <w:r w:rsidR="00094241">
        <w:t xml:space="preserve">detailed </w:t>
      </w:r>
      <w:r w:rsidR="00D829B3">
        <w:t>below relates to derivations of air concentrations.</w:t>
      </w:r>
    </w:p>
    <w:p w14:paraId="4A225699" w14:textId="4100F292" w:rsidR="00122BE5" w:rsidRDefault="00122BE5" w:rsidP="00122BE5">
      <w:pPr>
        <w:pStyle w:val="BodyText"/>
        <w:jc w:val="both"/>
        <w:rPr>
          <w:rFonts w:eastAsia="Times New Roman"/>
        </w:rPr>
      </w:pPr>
      <w:r>
        <w:rPr>
          <w:rFonts w:eastAsia="Times New Roman"/>
        </w:rPr>
        <w:t xml:space="preserve">One of the earliest major ADMS validation studies was performed for continuous releases over flat terrain </w:t>
      </w:r>
      <w:r>
        <w:rPr>
          <w:rFonts w:eastAsia="Times New Roman"/>
        </w:rPr>
        <w:fldChar w:fldCharType="begin"/>
      </w:r>
      <w:r>
        <w:rPr>
          <w:rFonts w:eastAsia="Times New Roman"/>
        </w:rPr>
        <w:instrText xml:space="preserve"> ADDIN EN.CITE &lt;EndNote&gt;&lt;Cite&gt;&lt;Author&gt;Carruthers&lt;/Author&gt;&lt;Year&gt;1993&lt;/Year&gt;&lt;RecNum&gt;618&lt;/RecNum&gt;&lt;DisplayText&gt;(Carruthers et al, 1993)&lt;/DisplayText&gt;&lt;record&gt;&lt;rec-number&gt;618&lt;/rec-number&gt;&lt;foreign-keys&gt;&lt;key app="EN" db-id="r5f5xrrfzavsr7easp0pz0v5xxsaspratxsv" timestamp="1594734279" guid="3d63a866-046a-4562-9b7e-7e868f172105"&gt;618&lt;/key&gt;&lt;/foreign-keys&gt;&lt;ref-type name="Report"&gt;27&lt;/ref-type&gt;&lt;contributors&gt;&lt;authors&gt;&lt;author&gt;Carruthers, David&lt;/author&gt;&lt;author&gt;Brown, Matthew&lt;/author&gt;&lt;author&gt;McHugh, Christine&lt;/author&gt;&lt;/authors&gt;&lt;secondary-authors&gt;&lt;author&gt;Cambridge Environmental Research Consultants Ltd,&lt;/author&gt;&lt;/secondary-authors&gt;&lt;/contributors&gt;&lt;titles&gt;&lt;title&gt;UK-ADMS Validation Studies - Continuous Releases over Flat Terrain&lt;/title&gt;&lt;/titles&gt;&lt;volume&gt;P10/D1/93&lt;/volume&gt;&lt;number&gt;P10/D1/93&lt;/number&gt;&lt;dates&gt;&lt;year&gt;1993&lt;/year&gt;&lt;/dates&gt;&lt;urls&gt;&lt;/urls&gt;&lt;/record&gt;&lt;/Cite&gt;&lt;/EndNote&gt;</w:instrText>
      </w:r>
      <w:r>
        <w:rPr>
          <w:rFonts w:eastAsia="Times New Roman"/>
        </w:rPr>
        <w:fldChar w:fldCharType="separate"/>
      </w:r>
      <w:r>
        <w:rPr>
          <w:rFonts w:eastAsia="Times New Roman"/>
          <w:noProof/>
        </w:rPr>
        <w:t>(Carruthers et al, 1993)</w:t>
      </w:r>
      <w:r>
        <w:rPr>
          <w:rFonts w:eastAsia="Times New Roman"/>
        </w:rPr>
        <w:fldChar w:fldCharType="end"/>
      </w:r>
      <w:r>
        <w:rPr>
          <w:rFonts w:eastAsia="Times New Roman"/>
        </w:rPr>
        <w:t xml:space="preserve">. For the majority of the comparisons there existed good agreement between estimates derived by ADMS and measurements, and ADMS outperformed R91. However, ADMS struggled to describe a </w:t>
      </w:r>
      <w:r w:rsidR="00BC039B">
        <w:rPr>
          <w:rFonts w:eastAsia="Times New Roman"/>
        </w:rPr>
        <w:t>low-level</w:t>
      </w:r>
      <w:r>
        <w:rPr>
          <w:rFonts w:eastAsia="Times New Roman"/>
        </w:rPr>
        <w:t xml:space="preserve"> source in stable conditions.</w:t>
      </w:r>
    </w:p>
    <w:p w14:paraId="69B63221" w14:textId="6756C21C" w:rsidR="00570099" w:rsidRDefault="00122BE5" w:rsidP="00122BE5">
      <w:pPr>
        <w:pStyle w:val="BodyText"/>
        <w:jc w:val="both"/>
      </w:pPr>
      <w:r>
        <w:fldChar w:fldCharType="begin"/>
      </w:r>
      <w:r>
        <w:instrText xml:space="preserve"> ADDIN EN.CITE &lt;EndNote&gt;&lt;Cite AuthorYear="1"&gt;&lt;Author&gt;CERC&lt;/Author&gt;&lt;Year&gt;2013&lt;/Year&gt;&lt;RecNum&gt;2815&lt;/RecNum&gt;&lt;DisplayText&gt;CERC (2013)&lt;/DisplayText&gt;&lt;record&gt;&lt;rec-number&gt;2815&lt;/rec-number&gt;&lt;foreign-keys&gt;&lt;key app="EN" db-id="r5f5xrrfzavsr7easp0pz0v5xxsaspratxsv" timestamp="1594740647" guid="53a4893b-51d1-44c1-9975-2702807e2b78"&gt;2815&lt;/key&gt;&lt;key app="ENWeb" db-id=""&gt;0&lt;/key&gt;&lt;/foreign-keys&gt;&lt;ref-type name="Report"&gt;27&lt;/ref-type&gt;&lt;contributors&gt;&lt;authors&gt;&lt;author&gt;CERC&lt;/author&gt;&lt;/authors&gt;&lt;/contributors&gt;&lt;titles&gt;&lt;title&gt;ADMS 5.0 Flat Terrain Validation - Kincaid, Indianapolis and Prairie Grass&lt;/title&gt;&lt;/titles&gt;&lt;dates&gt;&lt;year&gt;2013&lt;/year&gt;&lt;/dates&gt;&lt;urls&gt;&lt;/urls&gt;&lt;/record&gt;&lt;/Cite&gt;&lt;/EndNote&gt;</w:instrText>
      </w:r>
      <w:r>
        <w:fldChar w:fldCharType="separate"/>
      </w:r>
      <w:r>
        <w:rPr>
          <w:noProof/>
        </w:rPr>
        <w:t>CERC (2013)</w:t>
      </w:r>
      <w:r>
        <w:fldChar w:fldCharType="end"/>
      </w:r>
      <w:r>
        <w:t xml:space="preserve"> present a summary of ADMS model results compared against three well known field datasets: Kincaid,</w:t>
      </w:r>
      <w:r w:rsidR="00BE1B8E">
        <w:t xml:space="preserve"> Indianapolis and Prairie Grass </w:t>
      </w:r>
      <w:r>
        <w:fldChar w:fldCharType="begin">
          <w:fldData xml:space="preserve">PEVuZE5vdGU+PENpdGU+PEF1dGhvcj5DYXJydXRoZXJzPC9BdXRob3I+PFllYXI+MTk5NDwvWWVh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</w:fldData>
        </w:fldChar>
      </w:r>
      <w:r w:rsidR="007A6FFD">
        <w:instrText xml:space="preserve"> ADDIN EN.CITE </w:instrText>
      </w:r>
      <w:r w:rsidR="007A6FFD">
        <w:fldChar w:fldCharType="begin">
          <w:fldData xml:space="preserve">PEVuZE5vdGU+PENpdGU+PEF1dGhvcj5DYXJydXRoZXJzPC9BdXRob3I+PFllYXI+MTk5NDwvWWVh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</w:fldData>
        </w:fldChar>
      </w:r>
      <w:r w:rsidR="007A6FFD">
        <w:instrText xml:space="preserve"> ADDIN EN.CITE.DATA </w:instrText>
      </w:r>
      <w:r w:rsidR="007A6FFD">
        <w:fldChar w:fldCharType="end"/>
      </w:r>
      <w:r>
        <w:fldChar w:fldCharType="separate"/>
      </w:r>
      <w:r w:rsidR="007A6FFD">
        <w:rPr>
          <w:noProof/>
        </w:rPr>
        <w:t>(Carruthers et al, 1998; Carruthers et al, 1995; Carruthers et al, 1994)</w:t>
      </w:r>
      <w:r>
        <w:fldChar w:fldCharType="end"/>
      </w:r>
      <w:r w:rsidR="007A6FFD">
        <w:t>.</w:t>
      </w:r>
      <w:r>
        <w:t xml:space="preserve"> ADMS performed well when comparing estimated mean values with observations for the Kincaid and Indianapolis datasets but significantly underestimated the mean concentration, predicting approximately 70% of the observed mean, for the Prairie Grass dataset. The proportion of values within a factor of 2 of the mean (FA2) was considerable across all three datasets (ranging from 0.5 – 0.7). However, the correlation (represented by R</w:t>
      </w:r>
      <w:r>
        <w:rPr>
          <w:vertAlign w:val="superscript"/>
        </w:rPr>
        <w:t>2</w:t>
      </w:r>
      <w:r>
        <w:t xml:space="preserve">) was weaker for the Indianapolis dataset (~0.3), although this is somewhat expected given the more challenging nature of modelling in an industrial environment. </w:t>
      </w:r>
    </w:p>
    <w:p w14:paraId="60835C16" w14:textId="10AA93B9" w:rsidR="00065880" w:rsidRDefault="00122BE5" w:rsidP="00BE1B8E">
      <w:pPr>
        <w:pStyle w:val="BodyText"/>
        <w:jc w:val="both"/>
      </w:pPr>
      <w:r>
        <w:fldChar w:fldCharType="begin"/>
      </w:r>
      <w:r>
        <w:instrText xml:space="preserve"> ADDIN EN.CITE &lt;EndNote&gt;&lt;Cite AuthorYear="1"&gt;&lt;Author&gt;Carruthers&lt;/Author&gt;&lt;Year&gt;1996&lt;/Year&gt;&lt;RecNum&gt;2250&lt;/RecNum&gt;&lt;DisplayText&gt;Carruthers et al (1996)&lt;/DisplayText&gt;&lt;record&gt;&lt;rec-number&gt;2250&lt;/rec-number&gt;&lt;foreign-keys&gt;&lt;key app="EN" db-id="2fdttzetzxr2anervtzvrtfw0vdrw9ttzv25" timestamp="1469719166"&gt;2250&lt;/key&gt;&lt;/foreign-keys&gt;&lt;ref-type name="Report"&gt;27&lt;/ref-type&gt;&lt;contributors&gt;&lt;authors&gt;&lt;author&gt;Carruthers, D J&lt;/author&gt;&lt;author&gt;Edmunds, H A&lt;/author&gt;&lt;author&gt;Bennett, M&lt;/author&gt;&lt;author&gt;Woods, P T&lt;/author&gt;&lt;author&gt;Milton, M J T&lt;/author&gt;&lt;author&gt;Robinson, R&lt;/author&gt;&lt;author&gt;Underwood, B Y&lt;/author&gt;&lt;author&gt;Franklin, C J&lt;/author&gt;&lt;/authors&gt;&lt;tertiary-authors&gt;&lt;author&gt;DoE/HMIP&lt;/author&gt;&lt;/tertiary-authors&gt;&lt;/contributors&gt;&lt;titles&gt;&lt;title&gt;Validation of the UK-ADMS Dispersion Model and Assessment of its Performance relative to R91 and ISC using Archived Data&lt;/title&gt;&lt;/titles&gt;&lt;volume&gt;DoE/HMIP/RR/95/022&lt;/volume&gt;&lt;dates&gt;&lt;year&gt;1996&lt;/year&gt;&lt;/dates&gt;&lt;urls&gt;&lt;/urls&gt;&lt;/record&gt;&lt;/Cite&gt;&lt;/EndNote&gt;</w:instrText>
      </w:r>
      <w:r>
        <w:fldChar w:fldCharType="separate"/>
      </w:r>
      <w:r>
        <w:rPr>
          <w:noProof/>
        </w:rPr>
        <w:t>Carruthers et al (1996)</w:t>
      </w:r>
      <w:r>
        <w:fldChar w:fldCharType="end"/>
      </w:r>
      <w:r>
        <w:t xml:space="preserve"> noted </w:t>
      </w:r>
      <w:r>
        <w:rPr>
          <w:rFonts w:cstheme="minorHAnsi"/>
        </w:rPr>
        <w:t xml:space="preserve">that there were significant differences in rates of dispersion between ADMS and R91 in the neutral to unstable flows represented by most of the field data considered. The ADMS model generally gave significantly higher plume spread rates than the R91 model. Also, the ADMS model tended to overestimate plume spread rates from the datasets and the R91 model </w:t>
      </w:r>
      <w:r w:rsidR="005865C6">
        <w:rPr>
          <w:rFonts w:cstheme="minorHAnsi"/>
        </w:rPr>
        <w:t xml:space="preserve">tended </w:t>
      </w:r>
      <w:r>
        <w:rPr>
          <w:rFonts w:cstheme="minorHAnsi"/>
        </w:rPr>
        <w:t xml:space="preserve">to underestimate them. Overall the ADMS model was </w:t>
      </w:r>
      <w:r w:rsidR="00AB5D5A">
        <w:rPr>
          <w:rFonts w:cstheme="minorHAnsi"/>
        </w:rPr>
        <w:t>the better fit to the datasets.</w:t>
      </w:r>
    </w:p>
    <w:p w14:paraId="72DD93A0" w14:textId="32B3C590" w:rsidR="00D33753" w:rsidRDefault="009916BD" w:rsidP="00D33753">
      <w:pPr>
        <w:pStyle w:val="BodyTextEND"/>
        <w:jc w:val="both"/>
      </w:pPr>
      <w:r>
        <w:t>UKHSA</w:t>
      </w:r>
      <w:r w:rsidR="002B7860">
        <w:t xml:space="preserve"> compared wet deposition concentrations derived by ADEPT and NAME</w:t>
      </w:r>
      <w:r w:rsidR="005865C6">
        <w:t xml:space="preserve"> (where the NAME model was run in a simplified mode to enable a fair comparison)</w:t>
      </w:r>
      <w:r w:rsidR="002B7860">
        <w:t xml:space="preserve"> for a range of precipitation rates (0.5, 1, 2, 4 and 10 mm h</w:t>
      </w:r>
      <w:r w:rsidR="002B7860" w:rsidRPr="002B7860">
        <w:rPr>
          <w:vertAlign w:val="superscript"/>
        </w:rPr>
        <w:t>-1</w:t>
      </w:r>
      <w:r w:rsidR="002B7860">
        <w:t xml:space="preserve">). </w:t>
      </w:r>
      <w:r w:rsidR="006B66EB">
        <w:t>T</w:t>
      </w:r>
      <w:r w:rsidR="00A30EC4">
        <w:t xml:space="preserve">he estimates </w:t>
      </w:r>
      <w:r w:rsidR="006B66EB">
        <w:t xml:space="preserve">of wet deposition derived </w:t>
      </w:r>
      <w:r w:rsidR="00D33DF5">
        <w:t>using ADEPT</w:t>
      </w:r>
      <w:r w:rsidR="006B66EB">
        <w:t xml:space="preserve"> were as much as a factor of t</w:t>
      </w:r>
      <w:r w:rsidR="00D33DF5">
        <w:t>w</w:t>
      </w:r>
      <w:r w:rsidR="006B66EB">
        <w:t>o</w:t>
      </w:r>
      <w:r w:rsidR="00D33DF5">
        <w:t xml:space="preserve"> greater than the analogous estimates using NAME</w:t>
      </w:r>
      <w:r w:rsidR="006B66EB">
        <w:t xml:space="preserve">. </w:t>
      </w:r>
      <w:r w:rsidR="00A30EC4">
        <w:t xml:space="preserve">However, </w:t>
      </w:r>
      <w:r w:rsidR="006B66EB">
        <w:t>the findings were different when the results were normalised by the respective time integrated activity concentration in air. In that case, it was the NAME estimates that were higher, albeit by less than a factor of two.</w:t>
      </w:r>
    </w:p>
    <w:p w14:paraId="6E7164B5" w14:textId="2738FAB6" w:rsidR="00B059B2" w:rsidRDefault="00B059B2" w:rsidP="00B059B2">
      <w:pPr>
        <w:pStyle w:val="Heading7"/>
      </w:pPr>
      <w:r w:rsidRPr="00B059B2">
        <w:t xml:space="preserve"> </w:t>
      </w:r>
      <w:r>
        <w:t>References</w:t>
      </w:r>
    </w:p>
    <w:p w14:paraId="1F35A5A7" w14:textId="77777777" w:rsidR="00CF25EE" w:rsidRPr="00CF25EE" w:rsidRDefault="00B059B2" w:rsidP="00CF25EE">
      <w:pPr>
        <w:pStyle w:val="EndNoteBibliography"/>
        <w:spacing w:after="0"/>
        <w:ind w:hanging="720"/>
      </w:pPr>
      <w:r>
        <w:fldChar w:fldCharType="begin"/>
      </w:r>
      <w:r>
        <w:instrText xml:space="preserve"> ADDIN EN.SECTION.REFLIST </w:instrText>
      </w:r>
      <w:r>
        <w:fldChar w:fldCharType="separate"/>
      </w:r>
      <w:r w:rsidR="00CF25EE" w:rsidRPr="00CF25EE">
        <w:t xml:space="preserve">Bedwell P, Wellings J, Haywood SM, Hort M, Jones AR and Thomson DJ (2011). </w:t>
      </w:r>
      <w:r w:rsidR="00CF25EE" w:rsidRPr="00CF25EE">
        <w:rPr>
          <w:i/>
        </w:rPr>
        <w:t>Intercomparison of the 'R91' Gaussian Plume Model and the UK Met Office's Lagrangian Particle NAME III Model in the Context of a Short-duration Release.</w:t>
      </w:r>
      <w:r w:rsidR="00CF25EE" w:rsidRPr="00CF25EE">
        <w:t xml:space="preserve"> Health Protection Agency, Chilton (UK), HPA-CRCE-029.</w:t>
      </w:r>
    </w:p>
    <w:p w14:paraId="48161ED4" w14:textId="77777777" w:rsidR="00CF25EE" w:rsidRPr="00CF25EE" w:rsidRDefault="00CF25EE" w:rsidP="00CF25EE">
      <w:pPr>
        <w:pStyle w:val="EndNoteBibliography"/>
        <w:spacing w:after="0"/>
        <w:ind w:hanging="720"/>
      </w:pPr>
      <w:r w:rsidRPr="00CF25EE">
        <w:t xml:space="preserve">Carruthers D, Brown M and McHugh C (1993). </w:t>
      </w:r>
      <w:r w:rsidRPr="00CF25EE">
        <w:rPr>
          <w:i/>
        </w:rPr>
        <w:t>UK-ADMS Validation Studies - Continuous Releases over Flat Terrain.</w:t>
      </w:r>
      <w:r w:rsidRPr="00CF25EE">
        <w:t xml:space="preserve"> P10/D1/93.</w:t>
      </w:r>
    </w:p>
    <w:p w14:paraId="2BCA4028" w14:textId="77777777" w:rsidR="00CF25EE" w:rsidRPr="00CF25EE" w:rsidRDefault="00CF25EE" w:rsidP="00CF25EE">
      <w:pPr>
        <w:pStyle w:val="EndNoteBibliography"/>
        <w:spacing w:after="0"/>
        <w:ind w:hanging="720"/>
      </w:pPr>
      <w:r w:rsidRPr="00CF25EE">
        <w:t xml:space="preserve">Carruthers DJ, Dyster S and McHugh CA (1998). Contrasting methods for validating ADMS using the Indianapolis dataset. </w:t>
      </w:r>
      <w:r w:rsidRPr="00CF25EE">
        <w:rPr>
          <w:i/>
        </w:rPr>
        <w:t>Proceedings of the 5th International Conference on Harmonisation within Dispersion Modelling for Regulatory Purposes</w:t>
      </w:r>
      <w:r w:rsidRPr="00CF25EE">
        <w:t>, 104-110.</w:t>
      </w:r>
    </w:p>
    <w:p w14:paraId="50A5730E" w14:textId="77777777" w:rsidR="00CF25EE" w:rsidRPr="00CF25EE" w:rsidRDefault="00CF25EE" w:rsidP="00CF25EE">
      <w:pPr>
        <w:pStyle w:val="EndNoteBibliography"/>
        <w:spacing w:after="0"/>
        <w:ind w:hanging="720"/>
      </w:pPr>
      <w:r w:rsidRPr="00CF25EE">
        <w:t xml:space="preserve">Carruthers DJ, Edmunds HA, Bennett M, Woods PT, Milton MJT, Robinson R, Underwood BY and Franklin CJ (1996). </w:t>
      </w:r>
      <w:r w:rsidRPr="00CF25EE">
        <w:rPr>
          <w:i/>
        </w:rPr>
        <w:t>Validation of the UK-ADMS Dispersion Model and Assessment of its Performance relative to R91 and ISC using Archived Data.</w:t>
      </w:r>
      <w:r w:rsidRPr="00CF25EE">
        <w:t xml:space="preserve"> DoE/HMIP.</w:t>
      </w:r>
    </w:p>
    <w:p w14:paraId="0DC4F2FC" w14:textId="77777777" w:rsidR="00CF25EE" w:rsidRPr="00CF25EE" w:rsidRDefault="00CF25EE" w:rsidP="00CF25EE">
      <w:pPr>
        <w:pStyle w:val="EndNoteBibliography"/>
        <w:spacing w:after="0"/>
        <w:ind w:hanging="720"/>
      </w:pPr>
      <w:r w:rsidRPr="00CF25EE">
        <w:t xml:space="preserve">Carruthers DJ, Edmunds HA, Ellis KL, McHugh CA, Davies BM and Thomson DJ (1995). The atmospheric dispersion modelling system (ADMS): comparisons with data from the Kincaid experiments. </w:t>
      </w:r>
      <w:r w:rsidRPr="00CF25EE">
        <w:rPr>
          <w:i/>
        </w:rPr>
        <w:t>International Journal of Environment and Pollution</w:t>
      </w:r>
      <w:r w:rsidRPr="00CF25EE">
        <w:t xml:space="preserve"> </w:t>
      </w:r>
      <w:r w:rsidRPr="00CF25EE">
        <w:rPr>
          <w:b/>
        </w:rPr>
        <w:t>5</w:t>
      </w:r>
      <w:r w:rsidRPr="00CF25EE">
        <w:t>(Workshop on Operational Short-range Atmospheric Dispersion Models for Environmental Impact Assessment in Europe, Mol, Belgium, November 21-24 1994).</w:t>
      </w:r>
    </w:p>
    <w:p w14:paraId="57F7A88E" w14:textId="77777777" w:rsidR="00CF25EE" w:rsidRPr="00CF25EE" w:rsidRDefault="00CF25EE" w:rsidP="00CF25EE">
      <w:pPr>
        <w:pStyle w:val="EndNoteBibliography"/>
        <w:spacing w:after="0"/>
        <w:ind w:hanging="720"/>
      </w:pPr>
      <w:r w:rsidRPr="00CF25EE">
        <w:t xml:space="preserve">Carruthers DJ, McHugh CA, Robins AG, Davies BM, Thomson DJ and Montgomery MR (1994). The UK Atmospheric Dispersion Modelling System: comparisons with data from Kincaid, Lillestrom and Copenhagen. </w:t>
      </w:r>
      <w:r w:rsidRPr="00CF25EE">
        <w:rPr>
          <w:i/>
        </w:rPr>
        <w:t>Journal of Wind Engineering and Industrial Aerodynamics</w:t>
      </w:r>
      <w:r w:rsidRPr="00CF25EE">
        <w:t xml:space="preserve"> </w:t>
      </w:r>
      <w:r w:rsidRPr="00CF25EE">
        <w:rPr>
          <w:b/>
        </w:rPr>
        <w:t>52</w:t>
      </w:r>
      <w:r w:rsidRPr="00CF25EE">
        <w:t>, 139-153.</w:t>
      </w:r>
    </w:p>
    <w:p w14:paraId="4C53792F" w14:textId="77777777" w:rsidR="00CF25EE" w:rsidRPr="00CF25EE" w:rsidRDefault="00CF25EE" w:rsidP="00CF25EE">
      <w:pPr>
        <w:pStyle w:val="EndNoteBibliography"/>
        <w:spacing w:after="0"/>
        <w:ind w:hanging="720"/>
        <w:rPr>
          <w:i/>
        </w:rPr>
      </w:pPr>
      <w:r w:rsidRPr="00CF25EE">
        <w:t xml:space="preserve">CERC (2013). </w:t>
      </w:r>
      <w:r w:rsidRPr="00CF25EE">
        <w:rPr>
          <w:i/>
        </w:rPr>
        <w:t>ADMS 5.0 Flat Terrain Validation - Kincaid, Indianapolis and Prairie Grass.</w:t>
      </w:r>
    </w:p>
    <w:p w14:paraId="58974A70" w14:textId="77777777" w:rsidR="00CF25EE" w:rsidRPr="00CF25EE" w:rsidRDefault="00CF25EE" w:rsidP="00CF25EE">
      <w:pPr>
        <w:pStyle w:val="EndNoteBibliography"/>
        <w:spacing w:after="0"/>
        <w:ind w:hanging="720"/>
      </w:pPr>
      <w:r w:rsidRPr="00CF25EE">
        <w:t xml:space="preserve">Dacre HF, Bedwell P, Hertwig D, Leadbetter SJ, Loizou P and Webster HN (2020). Improved representation of particle size and solubility in model simulations of atmospheric dispersion and wet-deposition from Fukushima. </w:t>
      </w:r>
      <w:r w:rsidRPr="00CF25EE">
        <w:rPr>
          <w:i/>
        </w:rPr>
        <w:t>Journal of Environmental Radioactivity</w:t>
      </w:r>
      <w:r w:rsidRPr="00CF25EE">
        <w:t xml:space="preserve"> </w:t>
      </w:r>
      <w:r w:rsidRPr="00CF25EE">
        <w:rPr>
          <w:b/>
        </w:rPr>
        <w:t>217</w:t>
      </w:r>
      <w:r w:rsidRPr="00CF25EE">
        <w:t>.</w:t>
      </w:r>
    </w:p>
    <w:p w14:paraId="493E06F9" w14:textId="77777777" w:rsidR="00CF25EE" w:rsidRPr="00CF25EE" w:rsidRDefault="00CF25EE" w:rsidP="00CF25EE">
      <w:pPr>
        <w:pStyle w:val="EndNoteBibliography"/>
        <w:spacing w:after="0"/>
        <w:ind w:hanging="720"/>
      </w:pPr>
      <w:r w:rsidRPr="00CF25EE">
        <w:t xml:space="preserve">Draxler R, Arnold D, Chino M, Galmarini S, Hort M, Jones A, Leadbetter S, Malo A, Maurer C, Rolph G, Saito K, Servranckx R, Shimbori T, Solazzo E and Wotawa G (2015). World Meteorological Organization's model simulations of the radionuclide dispersion and deposition from the Fukushima Daiichi nuclear power plant accident. </w:t>
      </w:r>
      <w:r w:rsidRPr="00CF25EE">
        <w:rPr>
          <w:i/>
        </w:rPr>
        <w:t>Journal of Environmental Radioactivity</w:t>
      </w:r>
      <w:r w:rsidRPr="00CF25EE">
        <w:t xml:space="preserve"> </w:t>
      </w:r>
      <w:r w:rsidRPr="00CF25EE">
        <w:rPr>
          <w:b/>
        </w:rPr>
        <w:t>139</w:t>
      </w:r>
      <w:r w:rsidRPr="00CF25EE">
        <w:t>, 172-184.</w:t>
      </w:r>
    </w:p>
    <w:p w14:paraId="1113150C" w14:textId="77777777" w:rsidR="00CF25EE" w:rsidRPr="00CF25EE" w:rsidRDefault="00CF25EE" w:rsidP="00CF25EE">
      <w:pPr>
        <w:pStyle w:val="EndNoteBibliography"/>
        <w:spacing w:after="0"/>
        <w:ind w:hanging="720"/>
      </w:pPr>
      <w:r w:rsidRPr="00CF25EE">
        <w:t xml:space="preserve">Feng J (2007). A 3-mode parameterization of below-cloud scavenging of aerosols for use in atmospheric dispersion models. </w:t>
      </w:r>
      <w:r w:rsidRPr="00CF25EE">
        <w:rPr>
          <w:i/>
        </w:rPr>
        <w:t>Atmospheric Environment</w:t>
      </w:r>
      <w:r w:rsidRPr="00CF25EE">
        <w:t xml:space="preserve"> </w:t>
      </w:r>
      <w:r w:rsidRPr="00CF25EE">
        <w:rPr>
          <w:b/>
        </w:rPr>
        <w:t>41</w:t>
      </w:r>
      <w:r w:rsidRPr="00CF25EE">
        <w:t>(32), 6808-6822.</w:t>
      </w:r>
    </w:p>
    <w:p w14:paraId="41F24A74" w14:textId="77777777" w:rsidR="00CF25EE" w:rsidRPr="00CF25EE" w:rsidRDefault="00CF25EE" w:rsidP="00CF25EE">
      <w:pPr>
        <w:pStyle w:val="EndNoteBibliography"/>
        <w:spacing w:after="0"/>
        <w:ind w:hanging="720"/>
        <w:rPr>
          <w:i/>
        </w:rPr>
      </w:pPr>
      <w:r w:rsidRPr="00CF25EE">
        <w:t xml:space="preserve">Hort M (2004). </w:t>
      </w:r>
      <w:r w:rsidRPr="00CF25EE">
        <w:rPr>
          <w:i/>
        </w:rPr>
        <w:t>Deposition Test.</w:t>
      </w:r>
    </w:p>
    <w:p w14:paraId="19B295A1" w14:textId="77777777" w:rsidR="00CF25EE" w:rsidRPr="00CF25EE" w:rsidRDefault="00CF25EE" w:rsidP="00CF25EE">
      <w:pPr>
        <w:pStyle w:val="EndNoteBibliography"/>
        <w:spacing w:after="0"/>
        <w:ind w:hanging="720"/>
      </w:pPr>
      <w:r w:rsidRPr="00CF25EE">
        <w:t xml:space="preserve">Jones JA (1981). </w:t>
      </w:r>
      <w:r w:rsidRPr="00CF25EE">
        <w:rPr>
          <w:i/>
        </w:rPr>
        <w:t>The Second Report of a Working Group on Atmospheric Dispersion: A Procedure to Include Deposition in the Model for Short and Medium Range Atmospheric Dispersion of Radionuclides.</w:t>
      </w:r>
      <w:r w:rsidRPr="00CF25EE">
        <w:t xml:space="preserve"> National Radiological Protection Board, Chilton (UK), NRPB-R122.</w:t>
      </w:r>
    </w:p>
    <w:p w14:paraId="771D4744" w14:textId="77777777" w:rsidR="00CF25EE" w:rsidRPr="00CF25EE" w:rsidRDefault="00CF25EE" w:rsidP="00CF25EE">
      <w:pPr>
        <w:pStyle w:val="EndNoteBibliography"/>
        <w:spacing w:after="0"/>
        <w:ind w:hanging="720"/>
      </w:pPr>
      <w:r w:rsidRPr="00CF25EE">
        <w:t xml:space="preserve">Jones JA (1986). </w:t>
      </w:r>
      <w:r w:rsidRPr="00CF25EE">
        <w:rPr>
          <w:i/>
        </w:rPr>
        <w:t>The Seventh Report of a Working Group on Atmospheric Dispersion: The Uncertainty in Dispersion Estimates Obtained from the Working Group Models.</w:t>
      </w:r>
      <w:r w:rsidRPr="00CF25EE">
        <w:t xml:space="preserve"> National Radiological Protection Board, Chilton (UK), NRPB-R199.</w:t>
      </w:r>
    </w:p>
    <w:p w14:paraId="79535EF0" w14:textId="77777777" w:rsidR="00CF25EE" w:rsidRPr="00CF25EE" w:rsidRDefault="00CF25EE" w:rsidP="00CF25EE">
      <w:pPr>
        <w:pStyle w:val="EndNoteBibliography"/>
        <w:spacing w:after="0"/>
        <w:ind w:hanging="720"/>
      </w:pPr>
      <w:r w:rsidRPr="00CF25EE">
        <w:t xml:space="preserve">Leadbetter S, Hort M, Jones A, Webster H and Draxler R (2015). Sensitivity of the modelled deposition of Caesium-137 from Fukushima Dai-ichi nuclear power plant to the wet deposition parameterisation in NAME. </w:t>
      </w:r>
      <w:r w:rsidRPr="00CF25EE">
        <w:rPr>
          <w:i/>
        </w:rPr>
        <w:t>Journal of Environmental Radioactivity</w:t>
      </w:r>
      <w:r w:rsidRPr="00CF25EE">
        <w:t xml:space="preserve"> </w:t>
      </w:r>
      <w:r w:rsidRPr="00CF25EE">
        <w:rPr>
          <w:b/>
        </w:rPr>
        <w:t>139</w:t>
      </w:r>
      <w:r w:rsidRPr="00CF25EE">
        <w:t>, 200-211.</w:t>
      </w:r>
    </w:p>
    <w:p w14:paraId="243658E4" w14:textId="77777777" w:rsidR="00CF25EE" w:rsidRPr="00CF25EE" w:rsidRDefault="00CF25EE" w:rsidP="00CF25EE">
      <w:pPr>
        <w:pStyle w:val="EndNoteBibliography"/>
        <w:spacing w:after="0"/>
        <w:ind w:hanging="720"/>
      </w:pPr>
      <w:r w:rsidRPr="00CF25EE">
        <w:t xml:space="preserve">Smith J, Bedwell P, Charnock T, Foster M, Jones K, Oatway WB and Wellings J (to be published). </w:t>
      </w:r>
      <w:r w:rsidRPr="00CF25EE">
        <w:rPr>
          <w:i/>
        </w:rPr>
        <w:t>Verification and Validation of Models Used in Dose Assessment Studies: Models used in RAD, CRCE.</w:t>
      </w:r>
      <w:r w:rsidRPr="00CF25EE">
        <w:t xml:space="preserve"> Public Health England, Centre for Radiation Chemical and Environmental Hazards.</w:t>
      </w:r>
    </w:p>
    <w:p w14:paraId="6506A038" w14:textId="77777777" w:rsidR="00CF25EE" w:rsidRPr="00CF25EE" w:rsidRDefault="00CF25EE" w:rsidP="00CF25EE">
      <w:pPr>
        <w:pStyle w:val="EndNoteBibliography"/>
        <w:ind w:hanging="720"/>
      </w:pPr>
      <w:r w:rsidRPr="00CF25EE">
        <w:t xml:space="preserve">Webster HN and Thomson DJ (2014). </w:t>
      </w:r>
      <w:r w:rsidRPr="00CF25EE">
        <w:rPr>
          <w:i/>
        </w:rPr>
        <w:t>The NAME wet deposition scheme.</w:t>
      </w:r>
      <w:r w:rsidRPr="00CF25EE">
        <w:t xml:space="preserve"> Forecasting Research Technical Report 584.</w:t>
      </w:r>
    </w:p>
    <w:p w14:paraId="773D8057" w14:textId="293157EB" w:rsidR="00254E9D" w:rsidRPr="00CF6391" w:rsidRDefault="00B059B2" w:rsidP="00B059B2">
      <w:pPr>
        <w:pStyle w:val="BodyText"/>
        <w:ind w:left="1418"/>
        <w:jc w:val="both"/>
      </w:pPr>
      <w:r>
        <w:fldChar w:fldCharType="end"/>
      </w:r>
    </w:p>
    <w:p w14:paraId="3E75A77B" w14:textId="619D8A87" w:rsidR="00B93882" w:rsidRPr="00B93882" w:rsidRDefault="009817C6" w:rsidP="00B93882">
      <w:pPr>
        <w:pStyle w:val="Heading6"/>
      </w:pPr>
      <w:bookmarkStart w:id="230" w:name="_Ref83718170"/>
      <w:bookmarkStart w:id="231" w:name="_Toc89966438"/>
      <w:r>
        <w:t>Symbiose</w:t>
      </w:r>
      <w:bookmarkEnd w:id="230"/>
      <w:bookmarkEnd w:id="231"/>
    </w:p>
    <w:p w14:paraId="09BAEFEA" w14:textId="796EB3FA" w:rsidR="000D12F8" w:rsidRDefault="000D12F8" w:rsidP="000351FF">
      <w:pPr>
        <w:pStyle w:val="BodyText"/>
        <w:jc w:val="both"/>
      </w:pPr>
      <w:r>
        <w:t xml:space="preserve">The </w:t>
      </w:r>
      <w:r w:rsidRPr="00831D3C">
        <w:rPr>
          <w:i/>
          <w:iCs/>
        </w:rPr>
        <w:t>Symbiose</w:t>
      </w:r>
      <w:r>
        <w:t xml:space="preserve"> model was developed by IRSN and </w:t>
      </w:r>
      <w:r w:rsidR="001421F6">
        <w:t>jointly funded</w:t>
      </w:r>
      <w:r>
        <w:t xml:space="preserve"> by EDF Energy. It is relevant to the present study because </w:t>
      </w:r>
      <w:r w:rsidR="000351FF">
        <w:t>the model might</w:t>
      </w:r>
      <w:r>
        <w:t xml:space="preserve"> plausibly be used as </w:t>
      </w:r>
      <w:r w:rsidRPr="000D12F8">
        <w:t>part</w:t>
      </w:r>
      <w:r>
        <w:t xml:space="preserve"> of </w:t>
      </w:r>
      <w:r w:rsidR="000351FF">
        <w:t xml:space="preserve">future </w:t>
      </w:r>
      <w:r>
        <w:t xml:space="preserve">DBA assessments. </w:t>
      </w:r>
      <w:r w:rsidR="009916BD">
        <w:t>UKHSA</w:t>
      </w:r>
      <w:r>
        <w:t xml:space="preserve"> does not have access to the Symbiose model itself, so no Symbiose runs were carried out during the present study. However, Symbiose model documentation was obtained, which gave </w:t>
      </w:r>
      <w:r w:rsidR="0042788A">
        <w:t>an</w:t>
      </w:r>
      <w:r>
        <w:t xml:space="preserve"> indication</w:t>
      </w:r>
      <w:r w:rsidR="000351FF">
        <w:t xml:space="preserve"> of the form of the model and the paramet</w:t>
      </w:r>
      <w:r w:rsidR="00AB454C">
        <w:t>e</w:t>
      </w:r>
      <w:r w:rsidR="000351FF">
        <w:t xml:space="preserve">risations and assumptions made within the model. </w:t>
      </w:r>
      <w:r w:rsidR="005210A2">
        <w:t>This information was used</w:t>
      </w:r>
      <w:r>
        <w:t xml:space="preserve"> to </w:t>
      </w:r>
      <w:r w:rsidR="005210A2">
        <w:t xml:space="preserve">explain </w:t>
      </w:r>
      <w:r>
        <w:t>how the model might behave relative to the other models considered.</w:t>
      </w:r>
    </w:p>
    <w:p w14:paraId="0A1BCEB8" w14:textId="6392A15F" w:rsidR="000D12F8" w:rsidRDefault="000D12F8" w:rsidP="000351FF">
      <w:pPr>
        <w:pStyle w:val="BodyTextEND"/>
        <w:jc w:val="both"/>
        <w:rPr>
          <w:highlight w:val="yellow"/>
        </w:rPr>
      </w:pPr>
      <w:r>
        <w:t xml:space="preserve">Symbiose models the transfer of radioactive contamination emitted by one or more emission sources, as well as deposition onto continental or marine surfaces. The model is split into various modules, which enables the user to choose between </w:t>
      </w:r>
      <w:r w:rsidRPr="000D12F8">
        <w:t>different</w:t>
      </w:r>
      <w:r>
        <w:t xml:space="preserve"> modelling approaches. Many of the input parameters can be defined directly by the user if necessary.</w:t>
      </w:r>
    </w:p>
    <w:p w14:paraId="5AACAC06" w14:textId="7B38A76B" w:rsidR="007D3077" w:rsidRDefault="000D12F8" w:rsidP="009F47C0">
      <w:pPr>
        <w:pStyle w:val="Heading7"/>
      </w:pPr>
      <w:r w:rsidRPr="000D12F8">
        <w:t>Plume modelling</w:t>
      </w:r>
    </w:p>
    <w:p w14:paraId="1E22951E" w14:textId="61097870" w:rsidR="00831D3C" w:rsidRDefault="00831D3C" w:rsidP="00AB454C">
      <w:pPr>
        <w:pStyle w:val="BodyText"/>
        <w:jc w:val="both"/>
      </w:pPr>
      <w:r>
        <w:t xml:space="preserve">The most relevant </w:t>
      </w:r>
      <w:r w:rsidR="004B0522">
        <w:t xml:space="preserve">atmospheric dispersion </w:t>
      </w:r>
      <w:r>
        <w:t xml:space="preserve">module for the present study </w:t>
      </w:r>
      <w:r w:rsidR="00D139DC">
        <w:t>uses</w:t>
      </w:r>
      <w:r>
        <w:t xml:space="preserve"> a Gaussian approach in which the user can specify the type of parameterisation to be adopted for the calculation of the standard deviations of diffusion. More specifically, the user can choose to use standard deviations of diffusion tabulated according to Briggs, Doury or Pasquill stability classes.</w:t>
      </w:r>
    </w:p>
    <w:p w14:paraId="2FBF6369" w14:textId="77777777" w:rsidR="00831D3C" w:rsidRDefault="00831D3C" w:rsidP="00AB454C">
      <w:pPr>
        <w:pStyle w:val="BodyText"/>
        <w:jc w:val="both"/>
      </w:pPr>
      <w:r>
        <w:t>The modelled processes are: thermokinetic elevation of the plume, advection, turbulent dispersion, radioactive decay chains and depletion of the plume by atmospheric deposition.</w:t>
      </w:r>
    </w:p>
    <w:p w14:paraId="5C557FDF" w14:textId="77777777" w:rsidR="00831D3C" w:rsidRDefault="00831D3C" w:rsidP="00AB454C">
      <w:pPr>
        <w:pStyle w:val="BodyText"/>
        <w:jc w:val="both"/>
      </w:pPr>
      <w:r>
        <w:t>The Gaussian plume is modelled by breaking it down into a succession of "slices" advected at the relevant speed, up to a maximum distance beyond which it is no longer modelled. Concentration is integrated along a section perpendicular to the axis of the plume. Horizontal and vertical turbulent diffusion are also taken into account.</w:t>
      </w:r>
    </w:p>
    <w:p w14:paraId="571767DA" w14:textId="77777777" w:rsidR="00831D3C" w:rsidRDefault="00831D3C" w:rsidP="00AB454C">
      <w:pPr>
        <w:pStyle w:val="BodyText"/>
        <w:jc w:val="both"/>
      </w:pPr>
      <w:r>
        <w:t>Wind speed is assumed to be homogeneous and over flat terrain. The increased horizontal dispersion caused by oscillations (“meandering”) in low-wind situations is also modelled. This is done via an empirical approach which consists in increasing the standard deviation of horizontal dispersion by multiplying it by a corrective factor greater than 1. The value of this factor depends on the characteristics of the temporal variability of the oscillations as well as on the duration of the release. In practice, its value is imposed by the user.</w:t>
      </w:r>
    </w:p>
    <w:p w14:paraId="37F7E7DE" w14:textId="77777777" w:rsidR="00831D3C" w:rsidRDefault="00831D3C" w:rsidP="00AB454C">
      <w:pPr>
        <w:pStyle w:val="BodyText"/>
        <w:jc w:val="both"/>
      </w:pPr>
      <w:r>
        <w:t xml:space="preserve">Plume elevation caused by the vertical ejection speed is calculated using the Briggs formulas. This can take into account high-temperature releases (e.g. in the event of fire). The user can specify whether the plume confinement is maintained below the boundary layer or not. </w:t>
      </w:r>
    </w:p>
    <w:p w14:paraId="3C87090A" w14:textId="77777777" w:rsidR="00831D3C" w:rsidRDefault="00831D3C" w:rsidP="00AB454C">
      <w:pPr>
        <w:pStyle w:val="BodyText"/>
        <w:jc w:val="both"/>
      </w:pPr>
      <w:r>
        <w:t>Aerosols are assumed to follow the same laws of atmospheric dispersion as gases.</w:t>
      </w:r>
    </w:p>
    <w:p w14:paraId="237292DC" w14:textId="7095127F" w:rsidR="00831D3C" w:rsidRPr="008425A5" w:rsidRDefault="00831D3C" w:rsidP="00AB454C">
      <w:pPr>
        <w:pStyle w:val="BodyText"/>
        <w:jc w:val="both"/>
      </w:pPr>
      <w:r>
        <w:t>Dry deposition is modelled using a dry deposition flux (which can be simply obtained from the dry deposition velocity if it is assumed that dry deposition velocity does not vary with geographical position).</w:t>
      </w:r>
      <w:r w:rsidR="008425A5">
        <w:t xml:space="preserve"> F</w:t>
      </w:r>
      <w:r w:rsidR="00AA605A">
        <w:t>or noble</w:t>
      </w:r>
      <w:r w:rsidR="008425A5">
        <w:t xml:space="preserve"> gases and the various physicochemical (non-particulate) forms of carbon, tritium and iodine, the values for the dry deposition velocity are the same as the ones that were assigned in the </w:t>
      </w:r>
      <w:r w:rsidR="008425A5" w:rsidRPr="00D139DC">
        <w:rPr>
          <w:i/>
          <w:iCs/>
        </w:rPr>
        <w:t>pX</w:t>
      </w:r>
      <w:r w:rsidR="008425A5">
        <w:t xml:space="preserve"> and </w:t>
      </w:r>
      <w:r w:rsidR="008425A5" w:rsidRPr="00D139DC">
        <w:rPr>
          <w:i/>
          <w:iCs/>
        </w:rPr>
        <w:t>ldX</w:t>
      </w:r>
      <w:r w:rsidR="008425A5">
        <w:t xml:space="preserve"> models in 2010 (</w:t>
      </w:r>
      <w:r w:rsidR="008425A5" w:rsidRPr="00D139DC">
        <w:rPr>
          <w:i/>
          <w:iCs/>
        </w:rPr>
        <w:t>cf</w:t>
      </w:r>
      <w:r w:rsidR="008425A5">
        <w:t>. Tombette, 2010). For all aerosol isotopes, the value used is the one that was adopted by default in Tombette (2010), specifically: 5 x 10</w:t>
      </w:r>
      <w:r w:rsidR="008425A5" w:rsidRPr="00D139DC">
        <w:rPr>
          <w:vertAlign w:val="superscript"/>
        </w:rPr>
        <w:t>-3</w:t>
      </w:r>
      <w:r w:rsidR="008425A5">
        <w:t xml:space="preserve"> m s</w:t>
      </w:r>
      <w:r w:rsidR="008425A5" w:rsidRPr="00D139DC">
        <w:rPr>
          <w:vertAlign w:val="superscript"/>
        </w:rPr>
        <w:t>-1</w:t>
      </w:r>
      <w:r w:rsidR="008425A5">
        <w:t>.</w:t>
      </w:r>
      <w:r w:rsidR="008425A5" w:rsidRPr="008425A5">
        <w:t xml:space="preserve"> </w:t>
      </w:r>
      <w:r w:rsidR="008425A5">
        <w:t>Tombette (2010)</w:t>
      </w:r>
      <w:r w:rsidR="008425A5" w:rsidRPr="008425A5">
        <w:t xml:space="preserve"> also explains that, in general, the dry deposition rates used in the IRSN atmospheric dispersion codes are in the upper range of the rates used by other models</w:t>
      </w:r>
      <w:r w:rsidR="0042788A">
        <w:t xml:space="preserve"> such as </w:t>
      </w:r>
      <w:r w:rsidR="008425A5" w:rsidRPr="008425A5">
        <w:t>RODOS, RIMPUFF</w:t>
      </w:r>
      <w:r w:rsidR="0042788A">
        <w:t xml:space="preserve"> and</w:t>
      </w:r>
      <w:r w:rsidR="008425A5" w:rsidRPr="008425A5">
        <w:t xml:space="preserve"> NAME</w:t>
      </w:r>
      <w:r w:rsidR="0042788A">
        <w:t xml:space="preserve"> or rates that have been measured</w:t>
      </w:r>
      <w:r w:rsidR="008425A5" w:rsidRPr="008425A5">
        <w:t xml:space="preserve">. </w:t>
      </w:r>
      <w:r w:rsidR="008425A5">
        <w:t xml:space="preserve">That statement is made in the context of </w:t>
      </w:r>
      <w:r w:rsidR="008425A5" w:rsidRPr="008425A5">
        <w:rPr>
          <w:i/>
          <w:iCs/>
        </w:rPr>
        <w:t>pX</w:t>
      </w:r>
      <w:r w:rsidR="008425A5" w:rsidRPr="008425A5">
        <w:t xml:space="preserve"> and </w:t>
      </w:r>
      <w:r w:rsidR="008425A5" w:rsidRPr="008425A5">
        <w:rPr>
          <w:i/>
          <w:iCs/>
        </w:rPr>
        <w:t>ldX</w:t>
      </w:r>
      <w:r w:rsidR="008425A5">
        <w:t>, but would presumably also apply to</w:t>
      </w:r>
      <w:r w:rsidR="00F1423F">
        <w:t xml:space="preserve"> Symbiose if the default values are used.</w:t>
      </w:r>
    </w:p>
    <w:p w14:paraId="7D78CDAC" w14:textId="56F39861" w:rsidR="00831D3C" w:rsidRDefault="00831D3C" w:rsidP="00AB454C">
      <w:pPr>
        <w:pStyle w:val="BodyText"/>
        <w:jc w:val="both"/>
      </w:pPr>
      <w:r>
        <w:t>Wet deposition is assumed to be proportional to a washout coefficient rate, which is the washout rate of atmospheric pollutants and depends on the pollutant. The user can specify the type of parameteri</w:t>
      </w:r>
      <w:r w:rsidR="0042788A">
        <w:t>s</w:t>
      </w:r>
      <w:r>
        <w:t>ation to be adopted. A constant value can be chosen for the washout coefficient rate or a value proportional to the intensity of the rain</w:t>
      </w:r>
      <w:r w:rsidR="00C51028">
        <w:t xml:space="preserve"> can be applied</w:t>
      </w:r>
      <w:r>
        <w:t>. In the second case, the washout coefficient rate is the product of the intensity of rainfall and the rainfall capture coefficient</w:t>
      </w:r>
      <w:r w:rsidR="00F14043">
        <w:t xml:space="preserve">, </w:t>
      </w:r>
      <w:r w:rsidR="00F14043" w:rsidRPr="00F1423F">
        <w:rPr>
          <w:i/>
          <w:iCs/>
        </w:rPr>
        <w:t>Λ</w:t>
      </w:r>
      <w:r w:rsidR="00F14043" w:rsidRPr="00F1423F">
        <w:rPr>
          <w:i/>
          <w:iCs/>
          <w:vertAlign w:val="subscript"/>
        </w:rPr>
        <w:t>0</w:t>
      </w:r>
      <w:r>
        <w:t xml:space="preserve"> (which is assumed to be independent of space and time and depends on the pollutant). The values attributed to the rainfall capture coefficient are those attributed in the models </w:t>
      </w:r>
      <w:r w:rsidRPr="00D139DC">
        <w:rPr>
          <w:i/>
          <w:iCs/>
        </w:rPr>
        <w:t>pX</w:t>
      </w:r>
      <w:r>
        <w:t xml:space="preserve"> and </w:t>
      </w:r>
      <w:r w:rsidRPr="00D139DC">
        <w:rPr>
          <w:i/>
          <w:iCs/>
        </w:rPr>
        <w:t>ldX</w:t>
      </w:r>
      <w:r>
        <w:t xml:space="preserve"> in 2010 (</w:t>
      </w:r>
      <w:r w:rsidRPr="00D139DC">
        <w:rPr>
          <w:i/>
          <w:iCs/>
        </w:rPr>
        <w:t>cf</w:t>
      </w:r>
      <w:r>
        <w:t>. Tombette</w:t>
      </w:r>
      <w:r w:rsidR="00D139DC">
        <w:t>,</w:t>
      </w:r>
      <w:r>
        <w:t xml:space="preserve"> 2010). The values assigned to the washout coefficient are de</w:t>
      </w:r>
      <w:r w:rsidR="00D139DC">
        <w:t xml:space="preserve">rived </w:t>
      </w:r>
      <w:r>
        <w:t xml:space="preserve">by assuming a rainfall intensity </w:t>
      </w:r>
      <w:r w:rsidR="00D139DC">
        <w:t>of</w:t>
      </w:r>
      <w:r>
        <w:t xml:space="preserve"> 5 mm h</w:t>
      </w:r>
      <w:r w:rsidRPr="00D139DC">
        <w:rPr>
          <w:vertAlign w:val="superscript"/>
        </w:rPr>
        <w:t>-1</w:t>
      </w:r>
      <w:r w:rsidR="008425A5">
        <w:t>.</w:t>
      </w:r>
    </w:p>
    <w:p w14:paraId="7C4B5321" w14:textId="171581DC" w:rsidR="00F1423F" w:rsidRDefault="00F1423F" w:rsidP="00AB454C">
      <w:pPr>
        <w:pStyle w:val="BodyText"/>
        <w:jc w:val="both"/>
      </w:pPr>
      <w:r>
        <w:t xml:space="preserve">It is unclear whether Symbiose uses exactly the same formula for wet deposition as the one quoted </w:t>
      </w:r>
      <w:r w:rsidR="007101B2">
        <w:t xml:space="preserve">in the context of </w:t>
      </w:r>
      <w:r w:rsidR="007101B2" w:rsidRPr="007101B2">
        <w:rPr>
          <w:i/>
          <w:iCs/>
        </w:rPr>
        <w:t>pX</w:t>
      </w:r>
      <w:r w:rsidR="007101B2">
        <w:t xml:space="preserve"> and </w:t>
      </w:r>
      <w:r w:rsidR="007101B2" w:rsidRPr="007101B2">
        <w:rPr>
          <w:i/>
          <w:iCs/>
        </w:rPr>
        <w:t>ldX</w:t>
      </w:r>
      <w:r w:rsidR="007101B2">
        <w:t xml:space="preserve"> </w:t>
      </w:r>
      <w:r>
        <w:t xml:space="preserve">in Tombette (2010), but it is </w:t>
      </w:r>
      <w:r w:rsidR="001975BC">
        <w:t>suspected that this formula is applied</w:t>
      </w:r>
      <w:r>
        <w:t xml:space="preserve">. The formula quoted in Tombete (2010) is </w:t>
      </w:r>
      <w:r w:rsidRPr="00F1423F">
        <w:rPr>
          <w:i/>
          <w:iCs/>
        </w:rPr>
        <w:t>Λ = Λ</w:t>
      </w:r>
      <w:r w:rsidRPr="00F1423F">
        <w:rPr>
          <w:i/>
          <w:iCs/>
          <w:vertAlign w:val="subscript"/>
        </w:rPr>
        <w:t>0</w:t>
      </w:r>
      <w:r w:rsidRPr="00F1423F">
        <w:t xml:space="preserve"> </w:t>
      </w:r>
      <w:r w:rsidRPr="00F1423F">
        <w:rPr>
          <w:i/>
          <w:iCs/>
        </w:rPr>
        <w:t>P</w:t>
      </w:r>
      <w:r w:rsidRPr="00F1423F">
        <w:rPr>
          <w:i/>
          <w:iCs/>
          <w:vertAlign w:val="superscript"/>
        </w:rPr>
        <w:t>B</w:t>
      </w:r>
      <w:r>
        <w:t xml:space="preserve">, where </w:t>
      </w:r>
      <w:r w:rsidRPr="00F1423F">
        <w:rPr>
          <w:i/>
          <w:iCs/>
        </w:rPr>
        <w:t>Λ</w:t>
      </w:r>
      <w:r>
        <w:t xml:space="preserve"> is the w</w:t>
      </w:r>
      <w:r w:rsidR="00B00F89">
        <w:t>ashout coefficient</w:t>
      </w:r>
      <w:r>
        <w:t xml:space="preserve">, </w:t>
      </w:r>
      <w:r w:rsidRPr="00F1423F">
        <w:rPr>
          <w:i/>
          <w:iCs/>
        </w:rPr>
        <w:t>P</w:t>
      </w:r>
      <w:r w:rsidRPr="00F1423F">
        <w:t xml:space="preserve"> is the rainfall intensity in mm</w:t>
      </w:r>
      <w:r>
        <w:t xml:space="preserve"> h</w:t>
      </w:r>
      <w:r w:rsidRPr="00F1423F">
        <w:rPr>
          <w:vertAlign w:val="superscript"/>
        </w:rPr>
        <w:t>-1</w:t>
      </w:r>
      <w:r>
        <w:t xml:space="preserve">, and </w:t>
      </w:r>
      <w:r w:rsidRPr="00F1423F">
        <w:rPr>
          <w:i/>
          <w:iCs/>
        </w:rPr>
        <w:t>Λ</w:t>
      </w:r>
      <w:r w:rsidRPr="00F1423F">
        <w:rPr>
          <w:i/>
          <w:iCs/>
          <w:vertAlign w:val="subscript"/>
        </w:rPr>
        <w:t>0</w:t>
      </w:r>
      <w:r w:rsidRPr="00F1423F">
        <w:t xml:space="preserve"> </w:t>
      </w:r>
      <w:r>
        <w:t xml:space="preserve">and </w:t>
      </w:r>
      <w:r w:rsidRPr="00F1423F">
        <w:rPr>
          <w:i/>
          <w:iCs/>
        </w:rPr>
        <w:t>B</w:t>
      </w:r>
      <w:r w:rsidRPr="00F1423F">
        <w:t xml:space="preserve"> </w:t>
      </w:r>
      <w:r>
        <w:t xml:space="preserve">are both constants. Tombette (2010) states </w:t>
      </w:r>
      <w:r w:rsidRPr="00F1423F">
        <w:t xml:space="preserve">that </w:t>
      </w:r>
      <w:r>
        <w:t xml:space="preserve">the </w:t>
      </w:r>
      <w:r w:rsidRPr="00F1423F">
        <w:t xml:space="preserve">value </w:t>
      </w:r>
      <w:r>
        <w:t xml:space="preserve">used </w:t>
      </w:r>
      <w:r w:rsidRPr="00F1423F">
        <w:t xml:space="preserve">for </w:t>
      </w:r>
      <w:r w:rsidRPr="00F1423F">
        <w:rPr>
          <w:i/>
          <w:iCs/>
        </w:rPr>
        <w:t>B</w:t>
      </w:r>
      <w:r w:rsidRPr="00F1423F">
        <w:t xml:space="preserve"> in </w:t>
      </w:r>
      <w:r w:rsidRPr="00F1423F">
        <w:rPr>
          <w:i/>
          <w:iCs/>
        </w:rPr>
        <w:t>pX</w:t>
      </w:r>
      <w:r w:rsidRPr="00F1423F">
        <w:t xml:space="preserve"> and </w:t>
      </w:r>
      <w:r w:rsidRPr="00F1423F">
        <w:rPr>
          <w:i/>
          <w:iCs/>
        </w:rPr>
        <w:t>ldX</w:t>
      </w:r>
      <w:r w:rsidRPr="00F1423F">
        <w:t xml:space="preserve"> </w:t>
      </w:r>
      <w:r>
        <w:t xml:space="preserve">is 1, and notes that that is larger than the values that tend to be used </w:t>
      </w:r>
      <w:r w:rsidRPr="00F1423F">
        <w:t>in other references</w:t>
      </w:r>
      <w:r w:rsidR="007101B2">
        <w:t xml:space="preserve">, and that </w:t>
      </w:r>
      <w:r w:rsidR="007101B2" w:rsidRPr="00F1423F">
        <w:t>the value of 0.8 occurs in many references.</w:t>
      </w:r>
      <w:r w:rsidR="007101B2">
        <w:t xml:space="preserve"> On the other hand, Tombette (2010) notes that </w:t>
      </w:r>
      <w:r w:rsidRPr="00F1423F">
        <w:t>the value of 1 x 10</w:t>
      </w:r>
      <w:r w:rsidRPr="00F1423F">
        <w:rPr>
          <w:vertAlign w:val="superscript"/>
        </w:rPr>
        <w:t>-4</w:t>
      </w:r>
      <w:r w:rsidRPr="00F1423F">
        <w:t xml:space="preserve"> seems to be </w:t>
      </w:r>
      <w:r w:rsidR="007101B2">
        <w:t>the</w:t>
      </w:r>
      <w:r w:rsidRPr="00F1423F">
        <w:t xml:space="preserve"> consensus for </w:t>
      </w:r>
      <w:r w:rsidRPr="007101B2">
        <w:rPr>
          <w:i/>
          <w:iCs/>
        </w:rPr>
        <w:t>Λ</w:t>
      </w:r>
      <w:r w:rsidRPr="007101B2">
        <w:rPr>
          <w:i/>
          <w:iCs/>
          <w:vertAlign w:val="subscript"/>
        </w:rPr>
        <w:t>0</w:t>
      </w:r>
      <w:r w:rsidR="007101B2">
        <w:t>.</w:t>
      </w:r>
      <w:r w:rsidRPr="00F1423F">
        <w:t xml:space="preserve"> </w:t>
      </w:r>
    </w:p>
    <w:p w14:paraId="477BB040" w14:textId="48736B6B" w:rsidR="00831D3C" w:rsidRPr="00831D3C" w:rsidRDefault="0078526D" w:rsidP="00AB454C">
      <w:pPr>
        <w:pStyle w:val="BodyTextEND"/>
        <w:jc w:val="both"/>
      </w:pPr>
      <w:r>
        <w:t>In the case of the Pasquill and Briggs formulations, a roughness factor, which corrects</w:t>
      </w:r>
      <w:r w:rsidRPr="0078526D">
        <w:t xml:space="preserve"> </w:t>
      </w:r>
      <w:r>
        <w:t>the vertical standard deviations of the plume, is used to represent the effect of</w:t>
      </w:r>
      <w:r w:rsidR="00831D3C">
        <w:t xml:space="preserve"> the roughness of the terrain. The default value of the roughness parameter is 0.03 m, but other values can be chosen</w:t>
      </w:r>
      <w:r>
        <w:t xml:space="preserve">, </w:t>
      </w:r>
      <w:r w:rsidR="00831D3C">
        <w:t>as appropriate for the relevant terrain.</w:t>
      </w:r>
    </w:p>
    <w:p w14:paraId="4BFF8BCB" w14:textId="08041D67" w:rsidR="007D3077" w:rsidRDefault="00831D3C" w:rsidP="00831D3C">
      <w:pPr>
        <w:pStyle w:val="Heading7"/>
      </w:pPr>
      <w:r w:rsidRPr="00831D3C">
        <w:t>Sites with complex orography</w:t>
      </w:r>
    </w:p>
    <w:p w14:paraId="0AC77693" w14:textId="26A745E9" w:rsidR="00831D3C" w:rsidRDefault="00831D3C" w:rsidP="0091447E">
      <w:pPr>
        <w:pStyle w:val="BodyText"/>
        <w:jc w:val="both"/>
      </w:pPr>
      <w:r>
        <w:t xml:space="preserve">As an alternative to the </w:t>
      </w:r>
      <w:r w:rsidR="00F14043" w:rsidRPr="00F14043">
        <w:rPr>
          <w:iCs/>
        </w:rPr>
        <w:t>primary atmospheric dispersion</w:t>
      </w:r>
      <w:r>
        <w:t xml:space="preserve"> module, the user may in certain c</w:t>
      </w:r>
      <w:r w:rsidR="00F14043">
        <w:t>ircumstances be able to use a module</w:t>
      </w:r>
      <w:r>
        <w:t xml:space="preserve"> </w:t>
      </w:r>
      <w:r w:rsidR="0091447E">
        <w:t>designed to carry out</w:t>
      </w:r>
      <w:r>
        <w:t xml:space="preserve"> modelling on sites with complex orography such as Flamanville, Penly, Paluel and Chooz. It relies on the results of wind-tunnel tests carried out on models of those sites. </w:t>
      </w:r>
      <w:r w:rsidR="00F14043">
        <w:t>T</w:t>
      </w:r>
      <w:r>
        <w:t xml:space="preserve">he user must enter the wind-tunnel data for each of the relevant sites and for each source considered. The four sites mentioned above </w:t>
      </w:r>
      <w:r w:rsidR="00EE1773">
        <w:t>seem to be</w:t>
      </w:r>
      <w:r>
        <w:t xml:space="preserve"> the only ones listed in the Symbiose </w:t>
      </w:r>
      <w:r w:rsidR="00EE1773">
        <w:t>documentation</w:t>
      </w:r>
      <w:r>
        <w:t xml:space="preserve"> in relation to the wind-tunnel data. </w:t>
      </w:r>
      <w:r w:rsidR="0091447E">
        <w:t>It is likely</w:t>
      </w:r>
      <w:r>
        <w:t xml:space="preserve"> that no such wind-tunnel </w:t>
      </w:r>
      <w:r w:rsidR="00FA4A06">
        <w:t xml:space="preserve">data is available for UK sites, and therefore </w:t>
      </w:r>
      <w:r>
        <w:t>the module is effectively not available for use in the UK.</w:t>
      </w:r>
    </w:p>
    <w:p w14:paraId="20E8B869" w14:textId="14D2F08A" w:rsidR="00831D3C" w:rsidRPr="00EE1773" w:rsidRDefault="00831D3C" w:rsidP="0091447E">
      <w:pPr>
        <w:pStyle w:val="BodyTextEND"/>
        <w:jc w:val="both"/>
      </w:pPr>
      <w:r>
        <w:t xml:space="preserve">The </w:t>
      </w:r>
      <w:r w:rsidR="00FA4A06" w:rsidRPr="00FA4A06">
        <w:rPr>
          <w:iCs/>
        </w:rPr>
        <w:t>module</w:t>
      </w:r>
      <w:r w:rsidR="0078526D" w:rsidRPr="00FA4A06">
        <w:t xml:space="preserve"> </w:t>
      </w:r>
      <w:r w:rsidR="0078526D">
        <w:t>has certain limitations</w:t>
      </w:r>
      <w:r w:rsidR="007122C7">
        <w:t>. The</w:t>
      </w:r>
      <w:r>
        <w:t xml:space="preserve"> wind-tunnel measurements were not carried out below a hundred metres, nor beyond 2-3 km</w:t>
      </w:r>
      <w:r w:rsidR="007122C7">
        <w:t>. T</w:t>
      </w:r>
      <w:r>
        <w:t>he model is not applicable for a source term varying at timescales less than an hour</w:t>
      </w:r>
      <w:r w:rsidR="007122C7">
        <w:t>. D</w:t>
      </w:r>
      <w:r>
        <w:t xml:space="preserve">ecay chains </w:t>
      </w:r>
      <w:r w:rsidR="0091447E">
        <w:t>we</w:t>
      </w:r>
      <w:r>
        <w:t>re not taken into account in the dispersion calculations.</w:t>
      </w:r>
    </w:p>
    <w:p w14:paraId="302A0629" w14:textId="778A81E4" w:rsidR="00831D3C" w:rsidRDefault="00831D3C" w:rsidP="00831D3C">
      <w:pPr>
        <w:pStyle w:val="Heading7"/>
      </w:pPr>
      <w:r>
        <w:t>Alternative dispersion approaches</w:t>
      </w:r>
    </w:p>
    <w:p w14:paraId="3F0F1A63" w14:textId="17129599" w:rsidR="00831D3C" w:rsidRDefault="00831D3C" w:rsidP="0091447E">
      <w:pPr>
        <w:pStyle w:val="BodyTextEND"/>
        <w:jc w:val="both"/>
      </w:pPr>
      <w:r>
        <w:t>Symbiose gives users the option of not using Symbiose’s own dispersion modelling. The mod</w:t>
      </w:r>
      <w:r w:rsidR="00FA4A06">
        <w:t>el</w:t>
      </w:r>
      <w:r>
        <w:t xml:space="preserve"> has the facility to specify</w:t>
      </w:r>
      <w:r w:rsidR="007122C7">
        <w:t>,</w:t>
      </w:r>
      <w:r>
        <w:t xml:space="preserve"> read, process, </w:t>
      </w:r>
      <w:r w:rsidR="007122C7">
        <w:t>and</w:t>
      </w:r>
      <w:r>
        <w:t xml:space="preserve"> transmit to the other simulator modules, the spatio-temporal results produced by an external atmospheric dispersion code or specified by the user. </w:t>
      </w:r>
      <w:r w:rsidR="00AE2752">
        <w:t>A</w:t>
      </w:r>
      <w:r>
        <w:t>tmospheric deposition, air activities and plume dose rates can be specified directly, bypassing atmospheric dispersion</w:t>
      </w:r>
      <w:r w:rsidR="007122C7">
        <w:t xml:space="preserve"> or </w:t>
      </w:r>
      <w:r>
        <w:t>deposition calculations.</w:t>
      </w:r>
    </w:p>
    <w:p w14:paraId="11D034AD" w14:textId="30A6A706" w:rsidR="00831D3C" w:rsidRDefault="00831D3C" w:rsidP="00831D3C">
      <w:pPr>
        <w:pStyle w:val="Heading7"/>
      </w:pPr>
      <w:r>
        <w:t>Calculation of stability classes</w:t>
      </w:r>
    </w:p>
    <w:p w14:paraId="04626D45" w14:textId="62AE3E63" w:rsidR="00831D3C" w:rsidRDefault="00831D3C" w:rsidP="0091447E">
      <w:pPr>
        <w:pStyle w:val="BodyTextEND"/>
        <w:jc w:val="both"/>
      </w:pPr>
      <w:r>
        <w:t xml:space="preserve">In the absence of met data, </w:t>
      </w:r>
      <w:r w:rsidR="00FA4A06">
        <w:t xml:space="preserve">a meteorological </w:t>
      </w:r>
      <w:r w:rsidR="00C37CD9">
        <w:t>pre-processing</w:t>
      </w:r>
      <w:r>
        <w:t xml:space="preserve"> module can </w:t>
      </w:r>
      <w:r w:rsidR="00FA4A06">
        <w:t xml:space="preserve">be used to </w:t>
      </w:r>
      <w:r>
        <w:t>calculate the Pasquill stability classes, the wind speed at 10 m and the vertical temperature gradient, if applicable. The Pasquill classes are calculated from measurements carried out on site. Th</w:t>
      </w:r>
      <w:r w:rsidR="00FA4A06">
        <w:t>is</w:t>
      </w:r>
      <w:r>
        <w:t xml:space="preserve"> module is upstream of the</w:t>
      </w:r>
      <w:r w:rsidR="00FA4A06">
        <w:t xml:space="preserve"> primary atmospheric dispersion </w:t>
      </w:r>
      <w:r w:rsidR="00FA4A06">
        <w:rPr>
          <w:iCs/>
        </w:rPr>
        <w:t xml:space="preserve">and </w:t>
      </w:r>
      <w:r>
        <w:t>complex orography</w:t>
      </w:r>
      <w:r w:rsidR="00FA4A06">
        <w:t xml:space="preserve"> dispersion module</w:t>
      </w:r>
      <w:r w:rsidR="00C37CD9">
        <w:t>s</w:t>
      </w:r>
      <w:r>
        <w:t>.</w:t>
      </w:r>
    </w:p>
    <w:p w14:paraId="519C57F8" w14:textId="69FC37B2" w:rsidR="00824FB3" w:rsidRPr="00824FB3" w:rsidRDefault="00824FB3" w:rsidP="00824FB3">
      <w:pPr>
        <w:pStyle w:val="Heading7"/>
      </w:pPr>
      <w:r>
        <w:t>Behaviour of the model relative to other models considered</w:t>
      </w:r>
    </w:p>
    <w:p w14:paraId="240633E4" w14:textId="71E88D0B" w:rsidR="002111DE" w:rsidRDefault="002111DE" w:rsidP="002111DE">
      <w:pPr>
        <w:pStyle w:val="BodyText"/>
        <w:jc w:val="both"/>
      </w:pPr>
      <w:r>
        <w:t xml:space="preserve">It was evident that the model is most similar to ADEPT. However, if the Symbiose model was run for the same scenarios as considered in this study, the model results may be more akin to ADMS (given that the majority of the ADEPT model results presented here include the option of “Full Duration Sigma” – see Section </w:t>
      </w:r>
      <w:r>
        <w:fldChar w:fldCharType="begin"/>
      </w:r>
      <w:r>
        <w:instrText xml:space="preserve"> REF _Ref80973325 \r \h  \* MERGEFORMAT </w:instrText>
      </w:r>
      <w:r>
        <w:fldChar w:fldCharType="separate"/>
      </w:r>
      <w:r w:rsidR="00926FE3">
        <w:t>5.3.2</w:t>
      </w:r>
      <w:r>
        <w:fldChar w:fldCharType="end"/>
      </w:r>
      <w:r>
        <w:t xml:space="preserve"> for details).</w:t>
      </w:r>
    </w:p>
    <w:p w14:paraId="307FDBC4" w14:textId="77777777" w:rsidR="002111DE" w:rsidRPr="002111DE" w:rsidRDefault="002111DE" w:rsidP="002111DE">
      <w:pPr>
        <w:pStyle w:val="BodyText"/>
      </w:pPr>
    </w:p>
    <w:p w14:paraId="3480EB02" w14:textId="4B00E225" w:rsidR="00831D3C" w:rsidRDefault="00831D3C" w:rsidP="00831D3C">
      <w:pPr>
        <w:pStyle w:val="Heading7"/>
      </w:pPr>
      <w:r>
        <w:t>References</w:t>
      </w:r>
    </w:p>
    <w:p w14:paraId="0F32EF87" w14:textId="77777777" w:rsidR="0055777E" w:rsidRDefault="00831D3C" w:rsidP="00E137AE">
      <w:pPr>
        <w:pStyle w:val="BodyText"/>
        <w:jc w:val="both"/>
        <w:rPr>
          <w:i/>
          <w:iCs/>
        </w:rPr>
        <w:sectPr w:rsidR="0055777E" w:rsidSect="00020A67">
          <w:headerReference w:type="default" r:id="rId74"/>
          <w:type w:val="continuous"/>
          <w:pgSz w:w="11906" w:h="16838" w:code="9"/>
          <w:pgMar w:top="1985" w:right="1531" w:bottom="1418" w:left="1304" w:header="851" w:footer="851" w:gutter="0"/>
          <w:cols w:space="708"/>
          <w:docGrid w:linePitch="360"/>
        </w:sectPr>
      </w:pPr>
      <w:r w:rsidRPr="00831D3C">
        <w:rPr>
          <w:i/>
          <w:iCs/>
        </w:rPr>
        <w:t xml:space="preserve">Tombette M. Revue des constantes utilisées pour les dépôts sec et humide dans pX et ldX. </w:t>
      </w:r>
      <w:r w:rsidR="001657C4">
        <w:rPr>
          <w:i/>
          <w:iCs/>
        </w:rPr>
        <w:tab/>
      </w:r>
      <w:r w:rsidRPr="00831D3C">
        <w:rPr>
          <w:i/>
          <w:iCs/>
        </w:rPr>
        <w:t>Rap</w:t>
      </w:r>
      <w:r w:rsidR="00E137AE">
        <w:rPr>
          <w:i/>
          <w:iCs/>
        </w:rPr>
        <w:t>port IRSN/DEI/SESUC 10-33. 2010</w:t>
      </w:r>
    </w:p>
    <w:p w14:paraId="6B744D37" w14:textId="77777777" w:rsidR="007E0463" w:rsidRPr="004371EB" w:rsidRDefault="007E0463" w:rsidP="007E0463">
      <w:pPr>
        <w:pStyle w:val="Frontpagetitlesecondlevel"/>
      </w:pPr>
      <w:bookmarkStart w:id="232" w:name="_Toc89935628"/>
      <w:bookmarkStart w:id="233" w:name="_Toc89964583"/>
      <w:bookmarkStart w:id="234" w:name="_Toc89966439"/>
      <w:bookmarkStart w:id="235" w:name="_Hlk89782455"/>
      <w:r>
        <w:t>Ab</w:t>
      </w:r>
      <w:r w:rsidRPr="004371EB">
        <w:t>out the UK Health Security Agency</w:t>
      </w:r>
      <w:bookmarkEnd w:id="232"/>
      <w:bookmarkEnd w:id="233"/>
      <w:bookmarkEnd w:id="234"/>
    </w:p>
    <w:p w14:paraId="67C32D11" w14:textId="77777777" w:rsidR="007E0463" w:rsidRPr="007E0463" w:rsidRDefault="007E0463" w:rsidP="007E0463">
      <w:pPr>
        <w:spacing w:before="120" w:after="0" w:line="240" w:lineRule="auto"/>
        <w:ind w:left="0"/>
        <w:rPr>
          <w:sz w:val="22"/>
          <w:szCs w:val="22"/>
        </w:rPr>
      </w:pPr>
      <w:r w:rsidRPr="007E0463">
        <w:rPr>
          <w:sz w:val="22"/>
          <w:szCs w:val="22"/>
        </w:rPr>
        <w:t xml:space="preserve">The </w:t>
      </w:r>
      <w:hyperlink r:id="rId75" w:history="1">
        <w:r w:rsidRPr="007E0463">
          <w:rPr>
            <w:rStyle w:val="Hyperlink"/>
            <w:rFonts w:ascii="Arial" w:eastAsia="Times New Roman" w:hAnsi="Arial" w:cs="Times New Roman"/>
            <w:color w:val="365F91" w:themeColor="accent1" w:themeShade="BF"/>
            <w:sz w:val="24"/>
            <w:szCs w:val="24"/>
            <w:u w:val="single"/>
            <w:lang w:eastAsia="en-GB"/>
          </w:rPr>
          <w:t>UK Health Security Agency</w:t>
        </w:r>
      </w:hyperlink>
      <w:r w:rsidRPr="007E0463">
        <w:rPr>
          <w:sz w:val="22"/>
          <w:szCs w:val="22"/>
        </w:rPr>
        <w:t xml:space="preserve"> is an executive agency, sponsored by the </w:t>
      </w:r>
      <w:hyperlink r:id="rId76" w:history="1">
        <w:r w:rsidRPr="007E0463">
          <w:rPr>
            <w:rStyle w:val="Hyperlink"/>
            <w:rFonts w:ascii="Arial" w:eastAsia="Times New Roman" w:hAnsi="Arial" w:cs="Times New Roman"/>
            <w:color w:val="365F91" w:themeColor="accent1" w:themeShade="BF"/>
            <w:sz w:val="24"/>
            <w:szCs w:val="24"/>
            <w:u w:val="single"/>
            <w:lang w:eastAsia="en-GB"/>
          </w:rPr>
          <w:t>Department of Health and Social Care</w:t>
        </w:r>
      </w:hyperlink>
      <w:r w:rsidRPr="007E0463">
        <w:rPr>
          <w:rStyle w:val="Hyperlink"/>
          <w:rFonts w:ascii="Arial" w:eastAsia="Times New Roman" w:hAnsi="Arial" w:cs="Times New Roman"/>
          <w:color w:val="365F91" w:themeColor="accent1" w:themeShade="BF"/>
          <w:sz w:val="24"/>
          <w:szCs w:val="24"/>
          <w:u w:val="single"/>
          <w:lang w:eastAsia="en-GB"/>
        </w:rPr>
        <w:t>.</w:t>
      </w:r>
    </w:p>
    <w:p w14:paraId="6A3561A3" w14:textId="77777777" w:rsidR="007E0463" w:rsidRPr="001536BC" w:rsidRDefault="007E0463" w:rsidP="007E0463">
      <w:pPr>
        <w:spacing w:after="800" w:line="2880" w:lineRule="auto"/>
        <w:ind w:left="0"/>
        <w:rPr>
          <w:rFonts w:ascii="Arial" w:eastAsia="Times New Roman" w:hAnsi="Arial" w:cs="Times New Roman"/>
          <w:sz w:val="24"/>
          <w:szCs w:val="24"/>
          <w:lang w:eastAsia="en-GB"/>
        </w:rPr>
      </w:pPr>
    </w:p>
    <w:p w14:paraId="1CEF9690" w14:textId="77777777" w:rsidR="007E0463" w:rsidRPr="001536BC" w:rsidRDefault="00E1738F" w:rsidP="007E0463">
      <w:pPr>
        <w:spacing w:before="120" w:after="0" w:line="320" w:lineRule="atLeast"/>
        <w:ind w:left="0"/>
        <w:rPr>
          <w:rStyle w:val="Hyperlink"/>
          <w:rFonts w:ascii="Arial" w:eastAsiaTheme="majorEastAsia" w:hAnsi="Arial" w:cs="Times New Roman"/>
          <w:color w:val="365F91" w:themeColor="accent1" w:themeShade="BF"/>
          <w:sz w:val="24"/>
          <w:szCs w:val="24"/>
          <w:lang w:eastAsia="en-GB"/>
        </w:rPr>
      </w:pPr>
      <w:hyperlink r:id="rId77" w:tgtFrame="_blank" w:history="1">
        <w:r w:rsidR="007E0463" w:rsidRPr="001536BC">
          <w:rPr>
            <w:rStyle w:val="Hyperlink"/>
            <w:rFonts w:ascii="Arial" w:eastAsiaTheme="majorEastAsia" w:hAnsi="Arial" w:cs="Times New Roman"/>
            <w:color w:val="365F91" w:themeColor="accent1" w:themeShade="BF"/>
            <w:sz w:val="24"/>
            <w:szCs w:val="24"/>
            <w:lang w:eastAsia="en-GB"/>
          </w:rPr>
          <w:t>www.gov.uk/government/organisations/uk-health-security-agency</w:t>
        </w:r>
      </w:hyperlink>
    </w:p>
    <w:p w14:paraId="2E6FDED1" w14:textId="77777777" w:rsidR="007E0463" w:rsidRPr="001536BC" w:rsidRDefault="007E0463" w:rsidP="007E0463">
      <w:pPr>
        <w:spacing w:before="120" w:after="0" w:line="320" w:lineRule="atLeast"/>
        <w:ind w:left="0"/>
        <w:rPr>
          <w:rStyle w:val="Hyperlink"/>
          <w:rFonts w:ascii="Arial" w:eastAsiaTheme="majorEastAsia" w:hAnsi="Arial" w:cs="Times New Roman"/>
          <w:color w:val="365F91" w:themeColor="accent1" w:themeShade="BF"/>
          <w:sz w:val="24"/>
          <w:szCs w:val="24"/>
          <w:lang w:eastAsia="en-GB"/>
        </w:rPr>
      </w:pPr>
    </w:p>
    <w:p w14:paraId="14C3BCDD" w14:textId="77777777" w:rsidR="007E0463" w:rsidRPr="001536BC" w:rsidRDefault="007E0463" w:rsidP="007E0463">
      <w:pPr>
        <w:spacing w:after="0" w:line="240" w:lineRule="auto"/>
        <w:ind w:left="0"/>
        <w:rPr>
          <w:rFonts w:ascii="Arial" w:eastAsia="Times New Roman" w:hAnsi="Arial" w:cs="Times New Roman"/>
          <w:sz w:val="24"/>
          <w:szCs w:val="24"/>
          <w:highlight w:val="yellow"/>
          <w:lang w:eastAsia="en-GB"/>
        </w:rPr>
      </w:pPr>
    </w:p>
    <w:p w14:paraId="343121F5" w14:textId="77777777" w:rsidR="007E0463" w:rsidRDefault="007E0463" w:rsidP="007E0463">
      <w:pPr>
        <w:spacing w:after="0" w:line="240" w:lineRule="auto"/>
        <w:ind w:left="0"/>
        <w:rPr>
          <w:rFonts w:ascii="Arial" w:eastAsia="Times New Roman" w:hAnsi="Arial" w:cs="Times New Roman"/>
          <w:sz w:val="24"/>
          <w:szCs w:val="24"/>
          <w:lang w:eastAsia="en-GB"/>
        </w:rPr>
      </w:pPr>
      <w:r w:rsidRPr="00B04234">
        <w:rPr>
          <w:rFonts w:ascii="Arial" w:eastAsia="Times New Roman" w:hAnsi="Arial" w:cs="Times New Roman"/>
          <w:sz w:val="24"/>
          <w:szCs w:val="24"/>
          <w:lang w:eastAsia="en-GB"/>
        </w:rPr>
        <w:t>Published: December 2021</w:t>
      </w:r>
    </w:p>
    <w:p w14:paraId="5BF08C45" w14:textId="77777777" w:rsidR="007E0463" w:rsidRPr="00B04234" w:rsidRDefault="007E0463" w:rsidP="007E0463">
      <w:pPr>
        <w:spacing w:after="0" w:line="240" w:lineRule="auto"/>
        <w:ind w:left="0"/>
        <w:rPr>
          <w:rFonts w:ascii="Arial" w:eastAsia="Times New Roman" w:hAnsi="Arial" w:cs="Times New Roman"/>
          <w:sz w:val="24"/>
          <w:szCs w:val="24"/>
          <w:lang w:eastAsia="en-GB"/>
        </w:rPr>
      </w:pPr>
      <w:r>
        <w:rPr>
          <w:rFonts w:ascii="Arial" w:eastAsia="Times New Roman" w:hAnsi="Arial" w:cs="Times New Roman"/>
          <w:sz w:val="24"/>
          <w:szCs w:val="24"/>
          <w:lang w:eastAsia="en-GB"/>
        </w:rPr>
        <w:t>Version 1</w:t>
      </w:r>
    </w:p>
    <w:bookmarkEnd w:id="235"/>
    <w:p w14:paraId="3785ACAE" w14:textId="65558551" w:rsidR="00CF6391" w:rsidRPr="00E137AE" w:rsidRDefault="00CF6391" w:rsidP="007E0463">
      <w:pPr>
        <w:pStyle w:val="BodyText"/>
        <w:ind w:left="0"/>
        <w:jc w:val="both"/>
        <w:rPr>
          <w:i/>
          <w:iCs/>
        </w:rPr>
      </w:pPr>
    </w:p>
    <w:sectPr w:rsidR="00CF6391" w:rsidRPr="00E137AE" w:rsidSect="0055777E">
      <w:headerReference w:type="default" r:id="rId78"/>
      <w:footerReference w:type="default" r:id="rId79"/>
      <w:pgSz w:w="11906" w:h="16838" w:code="9"/>
      <w:pgMar w:top="1985" w:right="1531" w:bottom="1418" w:left="130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F019" w14:textId="77777777" w:rsidR="00E1738F" w:rsidRDefault="00E1738F" w:rsidP="007D3077">
      <w:pPr>
        <w:spacing w:after="0" w:line="240" w:lineRule="auto"/>
      </w:pPr>
      <w:r>
        <w:separator/>
      </w:r>
    </w:p>
  </w:endnote>
  <w:endnote w:type="continuationSeparator" w:id="0">
    <w:p w14:paraId="2DFB90D4" w14:textId="77777777" w:rsidR="00E1738F" w:rsidRDefault="00E1738F" w:rsidP="007D3077">
      <w:pPr>
        <w:spacing w:after="0" w:line="240" w:lineRule="auto"/>
      </w:pPr>
      <w:r>
        <w:continuationSeparator/>
      </w:r>
    </w:p>
  </w:endnote>
  <w:endnote w:type="continuationNotice" w:id="1">
    <w:p w14:paraId="5BD96E2E" w14:textId="77777777" w:rsidR="00E1738F" w:rsidRDefault="00E17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NimbusSanL-Regu">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0304" w14:textId="595659A7" w:rsidR="009916BD" w:rsidRPr="006D228B" w:rsidRDefault="009916BD" w:rsidP="00CF6A7C">
    <w:pPr>
      <w:pStyle w:val="FooterLH"/>
      <w:rPr>
        <w:color w:val="auto"/>
      </w:rPr>
    </w:pPr>
    <w:r w:rsidRPr="006D228B">
      <w:rPr>
        <w:color w:val="auto"/>
      </w:rPr>
      <w:fldChar w:fldCharType="begin"/>
    </w:r>
    <w:r w:rsidRPr="006D228B">
      <w:rPr>
        <w:color w:val="auto"/>
      </w:rPr>
      <w:instrText xml:space="preserve"> PAGE   \* MERGEFORMAT </w:instrText>
    </w:r>
    <w:r w:rsidRPr="006D228B">
      <w:rPr>
        <w:color w:val="auto"/>
      </w:rPr>
      <w:fldChar w:fldCharType="separate"/>
    </w:r>
    <w:r w:rsidR="00934B85">
      <w:rPr>
        <w:noProof/>
        <w:color w:val="auto"/>
      </w:rPr>
      <w:t>vi</w:t>
    </w:r>
    <w:r w:rsidRPr="006D228B">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DD22" w14:textId="77777777" w:rsidR="009916BD" w:rsidRDefault="009916BD" w:rsidP="007D3077">
    <w:pPr>
      <w:pStyle w:val="FooterRH"/>
    </w:pPr>
    <w:r>
      <w:fldChar w:fldCharType="begin"/>
    </w:r>
    <w:r>
      <w:instrText xml:space="preserve"> PAGE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D152" w14:textId="3F4AB69E" w:rsidR="009916BD" w:rsidRDefault="009916BD" w:rsidP="00440561">
    <w:pPr>
      <w:ind w:left="-1500"/>
      <w:jc w:val="both"/>
    </w:pPr>
    <w:bookmarkStart w:id="0" w:name="_Hlk89781139"/>
    <w:bookmarkStart w:id="1" w:name="_Hlk89781140"/>
    <w:bookmarkEnd w:id="0"/>
    <w:bookmarkEnd w:id="1"/>
    <w:r>
      <w:rPr>
        <w:noProof/>
        <w:lang w:eastAsia="en-GB"/>
      </w:rPr>
      <w:drawing>
        <wp:inline distT="0" distB="0" distL="0" distR="0" wp14:anchorId="304C9162" wp14:editId="52FCECC9">
          <wp:extent cx="7512685" cy="720000"/>
          <wp:effectExtent l="0" t="0" r="0" b="444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1"/>
                  <a:srcRect l="-16" t="-19" r="-16" b="-19"/>
                  <a:stretch/>
                </pic:blipFill>
                <pic:spPr bwMode="auto">
                  <a:xfrm>
                    <a:off x="0" y="0"/>
                    <a:ext cx="7512685" cy="720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EE53" w14:textId="77777777" w:rsidR="009916BD" w:rsidRPr="006D228B" w:rsidRDefault="009916BD" w:rsidP="007D3077">
    <w:pPr>
      <w:pStyle w:val="FooterLH"/>
      <w:rPr>
        <w:color w:val="auto"/>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819B" w14:textId="3E2BC860" w:rsidR="009916BD" w:rsidRPr="006D228B" w:rsidRDefault="009916BD" w:rsidP="007D3077">
    <w:pPr>
      <w:pStyle w:val="FooterRH"/>
      <w:rPr>
        <w:color w:val="auto"/>
      </w:rPr>
    </w:pPr>
    <w:r w:rsidRPr="006D228B">
      <w:rPr>
        <w:color w:val="auto"/>
      </w:rPr>
      <w:fldChar w:fldCharType="begin"/>
    </w:r>
    <w:r w:rsidRPr="006D228B">
      <w:rPr>
        <w:color w:val="auto"/>
      </w:rPr>
      <w:instrText xml:space="preserve"> PAGE   \* MERGEFORMAT </w:instrText>
    </w:r>
    <w:r w:rsidRPr="006D228B">
      <w:rPr>
        <w:color w:val="auto"/>
      </w:rPr>
      <w:fldChar w:fldCharType="separate"/>
    </w:r>
    <w:r w:rsidR="00934B85">
      <w:rPr>
        <w:noProof/>
        <w:color w:val="auto"/>
      </w:rPr>
      <w:t>v</w:t>
    </w:r>
    <w:r w:rsidRPr="006D228B">
      <w:rPr>
        <w:noProof/>
        <w:color w:val="au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5549" w14:textId="518559C0" w:rsidR="009916BD" w:rsidRPr="006D228B" w:rsidRDefault="009916BD" w:rsidP="00020A67">
    <w:pPr>
      <w:pStyle w:val="FooterRH"/>
      <w:rPr>
        <w:color w:val="auto"/>
      </w:rPr>
    </w:pPr>
    <w:r w:rsidRPr="006D228B">
      <w:rPr>
        <w:color w:val="auto"/>
      </w:rPr>
      <w:fldChar w:fldCharType="begin"/>
    </w:r>
    <w:r w:rsidRPr="006D228B">
      <w:rPr>
        <w:color w:val="auto"/>
      </w:rPr>
      <w:instrText xml:space="preserve"> PAGE   \* MERGEFORMAT </w:instrText>
    </w:r>
    <w:r w:rsidRPr="006D228B">
      <w:rPr>
        <w:color w:val="auto"/>
      </w:rPr>
      <w:fldChar w:fldCharType="separate"/>
    </w:r>
    <w:r w:rsidR="00934B85">
      <w:rPr>
        <w:noProof/>
        <w:color w:val="auto"/>
      </w:rPr>
      <w:t>iii</w:t>
    </w:r>
    <w:r w:rsidRPr="006D228B">
      <w:rPr>
        <w:noProof/>
        <w:color w:val="auto"/>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69F3" w14:textId="4A2849FC" w:rsidR="009916BD" w:rsidRPr="006D228B" w:rsidRDefault="009916BD" w:rsidP="00020A67">
    <w:pPr>
      <w:pStyle w:val="FooterLH"/>
      <w:rPr>
        <w:color w:val="auto"/>
      </w:rPr>
    </w:pPr>
    <w:r w:rsidRPr="006D228B">
      <w:rPr>
        <w:color w:val="auto"/>
      </w:rPr>
      <w:fldChar w:fldCharType="begin"/>
    </w:r>
    <w:r w:rsidRPr="006D228B">
      <w:rPr>
        <w:color w:val="auto"/>
      </w:rPr>
      <w:instrText xml:space="preserve"> PAGE   \* MERGEFORMAT </w:instrText>
    </w:r>
    <w:r w:rsidRPr="006D228B">
      <w:rPr>
        <w:color w:val="auto"/>
      </w:rPr>
      <w:fldChar w:fldCharType="separate"/>
    </w:r>
    <w:r w:rsidR="00934B85">
      <w:rPr>
        <w:noProof/>
        <w:color w:val="auto"/>
      </w:rPr>
      <w:t>14</w:t>
    </w:r>
    <w:r w:rsidRPr="006D228B">
      <w:rPr>
        <w:noProof/>
        <w:color w:val="auto"/>
      </w:rPr>
      <w:fldChar w:fldCharType="end"/>
    </w:r>
  </w:p>
  <w:p w14:paraId="6EDC6092" w14:textId="77777777" w:rsidR="009916BD" w:rsidRDefault="009916B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13E6" w14:textId="1F240345" w:rsidR="009916BD" w:rsidRPr="006D228B" w:rsidRDefault="009916BD" w:rsidP="00020A67">
    <w:pPr>
      <w:pStyle w:val="FooterRH"/>
      <w:rPr>
        <w:color w:val="auto"/>
      </w:rPr>
    </w:pPr>
    <w:r w:rsidRPr="006D228B">
      <w:rPr>
        <w:color w:val="auto"/>
      </w:rPr>
      <w:fldChar w:fldCharType="begin"/>
    </w:r>
    <w:r w:rsidRPr="006D228B">
      <w:rPr>
        <w:color w:val="auto"/>
      </w:rPr>
      <w:instrText xml:space="preserve"> PAGE   \* MERGEFORMAT </w:instrText>
    </w:r>
    <w:r w:rsidRPr="006D228B">
      <w:rPr>
        <w:color w:val="auto"/>
      </w:rPr>
      <w:fldChar w:fldCharType="separate"/>
    </w:r>
    <w:r w:rsidR="00934B85">
      <w:rPr>
        <w:noProof/>
        <w:color w:val="auto"/>
      </w:rPr>
      <w:t>15</w:t>
    </w:r>
    <w:r w:rsidRPr="006D228B">
      <w:rPr>
        <w:noProof/>
        <w:color w:val="auto"/>
      </w:rPr>
      <w:fldChar w:fldCharType="end"/>
    </w:r>
  </w:p>
  <w:p w14:paraId="46590212" w14:textId="77777777" w:rsidR="009916BD" w:rsidRDefault="009916B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86B5" w14:textId="141E59D9" w:rsidR="009916BD" w:rsidRDefault="009916BD" w:rsidP="007E0463">
    <w:pPr>
      <w:pStyle w:val="BodytextNOINDENT"/>
    </w:pPr>
    <w:r w:rsidRPr="00D77D7F">
      <w:t xml:space="preserve">This report has been produced by </w:t>
    </w:r>
    <w:r>
      <w:t>UK Health Security Agency’s</w:t>
    </w:r>
    <w:r w:rsidRPr="00D77D7F">
      <w:t xml:space="preserve"> Radiation, Chemical and Environmental Hazards </w:t>
    </w:r>
    <w:r>
      <w:t xml:space="preserve">Directorate </w:t>
    </w:r>
    <w:r w:rsidRPr="00D77D7F">
      <w:t xml:space="preserve">under contract to </w:t>
    </w:r>
    <w:r>
      <w:t>ONR</w:t>
    </w:r>
    <w:r w:rsidRPr="00D77D7F">
      <w:t>.</w:t>
    </w:r>
  </w:p>
  <w:p w14:paraId="669CC51D" w14:textId="77777777" w:rsidR="009916BD" w:rsidRDefault="009916BD" w:rsidP="007E0463">
    <w:pPr>
      <w:pStyle w:val="BodytextNOINDENT"/>
    </w:pPr>
    <w:r w:rsidRPr="00D77D7F">
      <w:t>The report reflects understanding and evaluation of the current scientific evidence as presented and referenced in this document.</w:t>
    </w:r>
  </w:p>
  <w:p w14:paraId="2742D0F0" w14:textId="77777777" w:rsidR="009916BD" w:rsidRDefault="009916BD" w:rsidP="007E0463">
    <w:pPr>
      <w:pStyle w:val="BodytextNOINDENT"/>
    </w:pPr>
    <w:r>
      <w:t xml:space="preserve">© Crown </w:t>
    </w:r>
    <w:r w:rsidRPr="00D77D7F">
      <w:t>copyright 2021</w:t>
    </w:r>
  </w:p>
  <w:p w14:paraId="49565423" w14:textId="699E3B3A" w:rsidR="009916BD" w:rsidRDefault="009916BD" w:rsidP="007E0463">
    <w:pPr>
      <w:pStyle w:val="BodytextNOINDENT"/>
    </w:pPr>
    <w:r w:rsidRPr="00056CB3">
      <w:t>Radiation, Chemical and Environmental Hazards</w:t>
    </w:r>
    <w:r>
      <w:t xml:space="preserve"> Directorate</w:t>
    </w:r>
    <w:r w:rsidRPr="00056CB3">
      <w:br/>
    </w:r>
    <w:r>
      <w:t>UK Health Security Agency</w:t>
    </w:r>
    <w:r w:rsidRPr="00056CB3">
      <w:br/>
      <w:t>Chilton, Didcot, Oxfordshire OX11 0RQ</w:t>
    </w:r>
  </w:p>
  <w:p w14:paraId="41544CC4" w14:textId="77777777" w:rsidR="009916BD" w:rsidRPr="007E0463" w:rsidRDefault="009916BD" w:rsidP="007E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BD08" w14:textId="77777777" w:rsidR="00E1738F" w:rsidRDefault="00E1738F" w:rsidP="007D3077">
      <w:pPr>
        <w:spacing w:after="0" w:line="240" w:lineRule="auto"/>
      </w:pPr>
      <w:r>
        <w:separator/>
      </w:r>
    </w:p>
  </w:footnote>
  <w:footnote w:type="continuationSeparator" w:id="0">
    <w:p w14:paraId="5DC05A68" w14:textId="77777777" w:rsidR="00E1738F" w:rsidRDefault="00E1738F" w:rsidP="007D3077">
      <w:pPr>
        <w:spacing w:after="0" w:line="240" w:lineRule="auto"/>
      </w:pPr>
      <w:r>
        <w:continuationSeparator/>
      </w:r>
    </w:p>
  </w:footnote>
  <w:footnote w:type="continuationNotice" w:id="1">
    <w:p w14:paraId="74514111" w14:textId="77777777" w:rsidR="00E1738F" w:rsidRDefault="00E1738F">
      <w:pPr>
        <w:spacing w:after="0" w:line="240" w:lineRule="auto"/>
      </w:pPr>
    </w:p>
  </w:footnote>
  <w:footnote w:id="2">
    <w:p w14:paraId="581D96EE" w14:textId="1946DCDC" w:rsidR="009916BD" w:rsidRDefault="009916BD">
      <w:pPr>
        <w:pStyle w:val="FootnoteText"/>
      </w:pPr>
      <w:r>
        <w:rPr>
          <w:rStyle w:val="FootnoteReference"/>
        </w:rPr>
        <w:footnoteRef/>
      </w:r>
      <w:r>
        <w:t xml:space="preserve"> </w:t>
      </w:r>
      <w:r w:rsidRPr="00FB7496">
        <w:t>https://www.metoffice.gov.uk/research/climate/maps-and-data/uk-actual-and-anomaly-maps</w:t>
      </w:r>
    </w:p>
  </w:footnote>
  <w:footnote w:id="3">
    <w:p w14:paraId="52D60891" w14:textId="7E08FDBC" w:rsidR="009916BD" w:rsidRDefault="009916BD">
      <w:pPr>
        <w:pStyle w:val="FootnoteText"/>
      </w:pPr>
      <w:r>
        <w:rPr>
          <w:rStyle w:val="FootnoteReference"/>
        </w:rPr>
        <w:footnoteRef/>
      </w:r>
      <w:r>
        <w:t xml:space="preserve"> </w:t>
      </w:r>
      <w:r w:rsidRPr="00F95988">
        <w:t xml:space="preserve">Pasquill Stability Category C was outside the scope of the present investigation. However, it is notable that PSC C was found to be much less common than PSC E. Particularly notable was that all six sites had more non-zero-precipitation PSC E hours than non-zero-precipitation PSC C hours. Indeed, for four of the six sites, the </w:t>
      </w:r>
      <w:r w:rsidRPr="00F95988">
        <w:rPr>
          <w:i/>
          <w:iCs/>
        </w:rPr>
        <w:t>proportion</w:t>
      </w:r>
      <w:r w:rsidRPr="00F95988">
        <w:t xml:space="preserve"> of PSC E hours that were wet was higher than the proportion of PSC C hours that were wet. That is significant because it is sometimes assumed that precipitation occurs only in PSC C and PSC D conditions.</w:t>
      </w:r>
    </w:p>
  </w:footnote>
  <w:footnote w:id="4">
    <w:p w14:paraId="36380BD7" w14:textId="77777777" w:rsidR="009916BD" w:rsidRDefault="009916BD" w:rsidP="00E8751C">
      <w:pPr>
        <w:pStyle w:val="FootnoteText"/>
      </w:pPr>
      <w:r>
        <w:rPr>
          <w:rStyle w:val="FootnoteReference"/>
        </w:rPr>
        <w:footnoteRef/>
      </w:r>
      <w:r>
        <w:t xml:space="preserve"> These results do not take into account the possible contribution of the three radionuclides that are not available in PACE; however, it is not expected that those radionuclides would significantly affect the results.</w:t>
      </w:r>
    </w:p>
  </w:footnote>
  <w:footnote w:id="5">
    <w:p w14:paraId="3BC9A7AE" w14:textId="6C1137FF" w:rsidR="009916BD" w:rsidRDefault="009916BD">
      <w:pPr>
        <w:pStyle w:val="FootnoteText"/>
      </w:pPr>
      <w:r>
        <w:rPr>
          <w:rStyle w:val="FootnoteReference"/>
        </w:rPr>
        <w:footnoteRef/>
      </w:r>
      <w:r>
        <w:t xml:space="preserve"> </w:t>
      </w:r>
      <w:r>
        <w:rPr>
          <w:i/>
          <w:iCs/>
        </w:rPr>
        <w:t>Ma</w:t>
      </w:r>
      <w:r w:rsidRPr="00BB0328">
        <w:rPr>
          <w:i/>
          <w:iCs/>
        </w:rPr>
        <w:t xml:space="preserve">ximum </w:t>
      </w:r>
      <w:r w:rsidRPr="00BB0328">
        <w:t xml:space="preserve">in this context refers to the highest value for the relevant endpoint in each individual met sequence, regardless of grid square. Hence, </w:t>
      </w:r>
      <w:r>
        <w:t xml:space="preserve">if the NAME-in-PACE runs were iterated over 152 met sequences, then the endpoint would have 152 </w:t>
      </w:r>
      <w:r w:rsidRPr="00BB0328">
        <w:t>“maximum” values.</w:t>
      </w:r>
      <w:r>
        <w:t xml:space="preserve"> The </w:t>
      </w:r>
      <w:r>
        <w:rPr>
          <w:i/>
          <w:iCs/>
        </w:rPr>
        <w:t>Mean Maximum</w:t>
      </w:r>
      <w:r>
        <w:t xml:space="preserve"> value would then be the mean of those 152 “maximum” values</w:t>
      </w:r>
      <w:r w:rsidRPr="00BB0328">
        <w:t>.</w:t>
      </w:r>
      <w:r>
        <w:t xml:space="preserve"> Similarly, the </w:t>
      </w:r>
      <w:r>
        <w:rPr>
          <w:i/>
          <w:iCs/>
        </w:rPr>
        <w:t>95</w:t>
      </w:r>
      <w:r w:rsidRPr="00BB0328">
        <w:rPr>
          <w:i/>
          <w:iCs/>
          <w:vertAlign w:val="superscript"/>
        </w:rPr>
        <w:t>th</w:t>
      </w:r>
      <w:r>
        <w:rPr>
          <w:i/>
          <w:iCs/>
        </w:rPr>
        <w:t xml:space="preserve"> percentile Maximum</w:t>
      </w:r>
      <w:r>
        <w:t xml:space="preserve"> value would be the 95</w:t>
      </w:r>
      <w:r w:rsidRPr="00BB0328">
        <w:rPr>
          <w:vertAlign w:val="superscript"/>
        </w:rPr>
        <w:t>th</w:t>
      </w:r>
      <w:r>
        <w:t xml:space="preserve"> percentile of those 152 “maximum” values, and the </w:t>
      </w:r>
      <w:r>
        <w:rPr>
          <w:i/>
          <w:iCs/>
        </w:rPr>
        <w:t>Maximum Maximum value would be the largest of those 152 “maximum” values</w:t>
      </w:r>
      <w:r>
        <w:t xml:space="preserve">. For further explanation, please refer to Section </w:t>
      </w:r>
      <w:r>
        <w:fldChar w:fldCharType="begin"/>
      </w:r>
      <w:r>
        <w:instrText xml:space="preserve"> REF _Ref81401085 \r \h </w:instrText>
      </w:r>
      <w:r>
        <w:fldChar w:fldCharType="separate"/>
      </w:r>
      <w:r w:rsidR="00926FE3">
        <w:t>4.3.2.3</w:t>
      </w:r>
      <w:r>
        <w:fldChar w:fldCharType="end"/>
      </w:r>
      <w:r>
        <w:t>.</w:t>
      </w:r>
    </w:p>
  </w:footnote>
  <w:footnote w:id="6">
    <w:p w14:paraId="3DC010E6" w14:textId="2DD40EDD" w:rsidR="009916BD" w:rsidRPr="00BB0328" w:rsidRDefault="009916BD">
      <w:pPr>
        <w:pStyle w:val="FootnoteText"/>
      </w:pPr>
      <w:r>
        <w:rPr>
          <w:rStyle w:val="FootnoteReference"/>
        </w:rPr>
        <w:footnoteRef/>
      </w:r>
      <w:r>
        <w:t xml:space="preserve"> </w:t>
      </w:r>
      <w:r>
        <w:rPr>
          <w:i/>
          <w:iCs/>
        </w:rPr>
        <w:t>Ma</w:t>
      </w:r>
      <w:r w:rsidRPr="00BB0328">
        <w:rPr>
          <w:i/>
          <w:iCs/>
        </w:rPr>
        <w:t xml:space="preserve">ximum </w:t>
      </w:r>
      <w:r w:rsidRPr="00BB0328">
        <w:t xml:space="preserve">in this context refers to the highest value for the relevant endpoint in each individual met sequence, regardless of grid square. Hence, </w:t>
      </w:r>
      <w:r>
        <w:t xml:space="preserve">if the NAME-in-PACE runs were iterated over 152 met sequences, then the endpoint would have 152 </w:t>
      </w:r>
      <w:r w:rsidRPr="00BB0328">
        <w:t>“maximum” values.</w:t>
      </w:r>
      <w:r>
        <w:t xml:space="preserve"> The </w:t>
      </w:r>
      <w:r>
        <w:rPr>
          <w:i/>
          <w:iCs/>
        </w:rPr>
        <w:t>Mean Maximum</w:t>
      </w:r>
      <w:r>
        <w:t xml:space="preserve"> value would then be the mean of those 152 “maximum” values</w:t>
      </w:r>
      <w:r w:rsidRPr="00BB0328">
        <w:t>.</w:t>
      </w:r>
      <w:r>
        <w:t xml:space="preserve"> Similarly, the </w:t>
      </w:r>
      <w:r>
        <w:rPr>
          <w:i/>
          <w:iCs/>
        </w:rPr>
        <w:t>95</w:t>
      </w:r>
      <w:r w:rsidRPr="00BB0328">
        <w:rPr>
          <w:i/>
          <w:iCs/>
          <w:vertAlign w:val="superscript"/>
        </w:rPr>
        <w:t>th</w:t>
      </w:r>
      <w:r>
        <w:rPr>
          <w:i/>
          <w:iCs/>
        </w:rPr>
        <w:t xml:space="preserve"> percentile Maximum</w:t>
      </w:r>
      <w:r>
        <w:t xml:space="preserve"> value would be the 95</w:t>
      </w:r>
      <w:r w:rsidRPr="00BB0328">
        <w:rPr>
          <w:vertAlign w:val="superscript"/>
        </w:rPr>
        <w:t>th</w:t>
      </w:r>
      <w:r>
        <w:t xml:space="preserve"> percentile of those 152 “maximum” values, and the </w:t>
      </w:r>
      <w:r>
        <w:rPr>
          <w:i/>
          <w:iCs/>
        </w:rPr>
        <w:t>Maximum Maximum value would be the largest of those 152 “maximum” values</w:t>
      </w:r>
      <w:r>
        <w:t xml:space="preserve">. For further explanation, please refer to Section </w:t>
      </w:r>
      <w:r>
        <w:fldChar w:fldCharType="begin"/>
      </w:r>
      <w:r>
        <w:instrText xml:space="preserve"> REF _Ref81401085 \r \h </w:instrText>
      </w:r>
      <w:r>
        <w:fldChar w:fldCharType="separate"/>
      </w:r>
      <w:r w:rsidR="00926FE3">
        <w:t>4.3.2.3</w:t>
      </w:r>
      <w:r>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9516" w14:textId="77777777" w:rsidR="009916BD" w:rsidRPr="006D228B" w:rsidRDefault="009916BD" w:rsidP="00CF6A7C">
    <w:pPr>
      <w:pStyle w:val="HeaderLH"/>
      <w:rPr>
        <w:color w:val="auto"/>
      </w:rPr>
    </w:pPr>
    <w:r w:rsidRPr="006D228B">
      <w:rPr>
        <w:color w:val="auto"/>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B96C" w14:textId="49347109" w:rsidR="009916BD" w:rsidRPr="0055777E" w:rsidRDefault="009916BD" w:rsidP="0055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0DDC" w14:textId="77777777" w:rsidR="009916BD" w:rsidRDefault="009916BD">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223E" w14:textId="547421AC" w:rsidR="009916BD" w:rsidRPr="00181CD9" w:rsidRDefault="009916BD" w:rsidP="00181CD9">
    <w:pPr>
      <w:ind w:left="0"/>
    </w:pPr>
    <w:r>
      <w:rPr>
        <w:noProof/>
        <w:lang w:eastAsia="en-GB"/>
      </w:rPr>
      <mc:AlternateContent>
        <mc:Choice Requires="wpg">
          <w:drawing>
            <wp:anchor distT="0" distB="0" distL="114300" distR="114300" simplePos="0" relativeHeight="251661312" behindDoc="0" locked="0" layoutInCell="1" allowOverlap="1" wp14:anchorId="67EE0996" wp14:editId="31F2B069">
              <wp:simplePos x="0" y="0"/>
              <wp:positionH relativeFrom="column">
                <wp:posOffset>-1082040</wp:posOffset>
              </wp:positionH>
              <wp:positionV relativeFrom="paragraph">
                <wp:posOffset>-534670</wp:posOffset>
              </wp:positionV>
              <wp:extent cx="4730115" cy="2312670"/>
              <wp:effectExtent l="0" t="0" r="0" b="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115" cy="2312670"/>
                        <a:chOff x="-3" y="9"/>
                        <a:chExt cx="7449" cy="3642"/>
                      </a:xfrm>
                    </wpg:grpSpPr>
                    <wps:wsp>
                      <wps:cNvPr id="17" name="Rectangle 6"/>
                      <wps:cNvSpPr>
                        <a:spLocks noChangeArrowheads="1"/>
                      </wps:cNvSpPr>
                      <wps:spPr bwMode="auto">
                        <a:xfrm>
                          <a:off x="0" y="9"/>
                          <a:ext cx="7446" cy="62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7"/>
                      <wps:cNvSpPr>
                        <a:spLocks noChangeArrowheads="1"/>
                      </wps:cNvSpPr>
                      <wps:spPr bwMode="auto">
                        <a:xfrm>
                          <a:off x="-3" y="249"/>
                          <a:ext cx="800" cy="3402"/>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B216A" id="Group 5" o:spid="_x0000_s1026" style="position:absolute;margin-left:-85.2pt;margin-top:-42.1pt;width:372.45pt;height:182.1pt;z-index:251661312" coordorigin="-3,9" coordsize="7449,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">
              <v:rect id="Rectangle 6" o:spid="_x0000_s1027" style="position:absolute;top:9;width:7446;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" fillcolor="white [3212]" stroked="f"/>
              <v:rect id="Rectangle 7" o:spid="_x0000_s1028" style="position:absolute;left:-3;top:249;width:800;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" fillcolor="white [3212]" stroked="f"/>
            </v:group>
          </w:pict>
        </mc:Fallback>
      </mc:AlternateContent>
    </w:r>
    <w:r>
      <w:rPr>
        <w:noProof/>
        <w:lang w:eastAsia="en-GB"/>
      </w:rPr>
      <w:drawing>
        <wp:inline distT="0" distB="0" distL="0" distR="0" wp14:anchorId="063CAA11" wp14:editId="6054F4D6">
          <wp:extent cx="1295400" cy="1231900"/>
          <wp:effectExtent l="0" t="0" r="0" b="0"/>
          <wp:docPr id="2" name="Picture 2"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C4B5" w14:textId="1AE2A134" w:rsidR="009916BD" w:rsidRPr="00C048F3" w:rsidRDefault="00091B70" w:rsidP="007D3077">
    <w:pPr>
      <w:pStyle w:val="HeaderRH"/>
      <w:rPr>
        <w:color w:val="auto"/>
        <w:sz w:val="28"/>
      </w:rPr>
    </w:pPr>
    <w:r>
      <w:rPr>
        <w:color w:val="auto"/>
        <w:sz w:val="28"/>
      </w:rPr>
      <w:t>RCE</w:t>
    </w:r>
    <w:r w:rsidR="00934B85">
      <w:rPr>
        <w:color w:val="auto"/>
        <w:sz w:val="28"/>
      </w:rPr>
      <w:t>HD</w:t>
    </w:r>
    <w:r w:rsidR="009916BD">
      <w:rPr>
        <w:color w:val="auto"/>
        <w:sz w:val="28"/>
      </w:rPr>
      <w:t>-RAD-00</w:t>
    </w:r>
    <w:r w:rsidR="00934B85">
      <w:rPr>
        <w:color w:val="auto"/>
        <w:sz w:val="28"/>
      </w:rPr>
      <w:t>2</w:t>
    </w:r>
    <w:r w:rsidR="009916BD">
      <w:rPr>
        <w:color w:val="auto"/>
        <w:sz w:val="28"/>
      </w:rPr>
      <w:t>-2021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DE3D" w14:textId="77777777" w:rsidR="009916BD" w:rsidRPr="006D228B" w:rsidRDefault="009916BD">
    <w:pPr>
      <w:pStyle w:val="Header"/>
      <w:rPr>
        <w:color w:val="auto"/>
      </w:rPr>
    </w:pPr>
    <w:r w:rsidRPr="006D228B">
      <w:rPr>
        <w:color w:val="auto"/>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C3CD" w14:textId="77777777" w:rsidR="009916BD" w:rsidRPr="006D228B" w:rsidRDefault="009916BD" w:rsidP="003C1482">
    <w:pPr>
      <w:pStyle w:val="HeaderRH"/>
      <w:rPr>
        <w:color w:val="aut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A98D" w14:textId="77777777" w:rsidR="009916BD" w:rsidRPr="00096564" w:rsidRDefault="009916BD" w:rsidP="003C1482">
    <w:pPr>
      <w:pStyle w:val="HeaderLH"/>
      <w:rPr>
        <w:color w:val="auto"/>
      </w:rPr>
    </w:pPr>
  </w:p>
  <w:p w14:paraId="67B3240E" w14:textId="2DC536B4" w:rsidR="009916BD" w:rsidRPr="00096564" w:rsidRDefault="009916BD" w:rsidP="003C1482">
    <w:pPr>
      <w:pStyle w:val="HeaderLH"/>
      <w:rPr>
        <w:color w:val="auto"/>
      </w:rPr>
    </w:pPr>
    <w:r w:rsidRPr="00096564">
      <w:rPr>
        <w:color w:val="auto"/>
      </w:rPr>
      <w:fldChar w:fldCharType="begin"/>
    </w:r>
    <w:r w:rsidRPr="00096564">
      <w:rPr>
        <w:color w:val="auto"/>
      </w:rPr>
      <w:instrText xml:space="preserve"> STYLEREF "TITLE" \l  \* MERGEFORMAT </w:instrText>
    </w:r>
    <w:r w:rsidRPr="00096564">
      <w:rPr>
        <w:color w:val="auto"/>
      </w:rPr>
      <w:fldChar w:fldCharType="separate"/>
    </w:r>
    <w:r w:rsidR="00303DFD">
      <w:rPr>
        <w:noProof/>
        <w:color w:val="auto"/>
      </w:rPr>
      <w:t>Provision of Guidance on the Radiological Impact of Rainfall on Nuclear Plant Design Basis Accidents</w:t>
    </w:r>
    <w:r w:rsidRPr="00096564">
      <w:rPr>
        <w:noProof/>
        <w:color w:val="auto"/>
      </w:rPr>
      <w:fldChar w:fldCharType="end"/>
    </w:r>
  </w:p>
  <w:p w14:paraId="5E7B141C" w14:textId="77777777" w:rsidR="009916BD" w:rsidRDefault="009916B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C2B6" w14:textId="651F4177" w:rsidR="009916BD" w:rsidRPr="00096564" w:rsidRDefault="009916BD" w:rsidP="003C1482">
    <w:pPr>
      <w:pStyle w:val="HeaderRH"/>
      <w:rPr>
        <w:color w:val="auto"/>
      </w:rPr>
    </w:pPr>
    <w:r w:rsidRPr="00096564">
      <w:rPr>
        <w:color w:val="auto"/>
      </w:rPr>
      <w:fldChar w:fldCharType="begin"/>
    </w:r>
    <w:r w:rsidRPr="00096564">
      <w:rPr>
        <w:color w:val="auto"/>
      </w:rPr>
      <w:instrText xml:space="preserve"> STYLEREF "Heading 1" \l  \* MERGEFORMAT </w:instrText>
    </w:r>
    <w:r w:rsidRPr="00096564">
      <w:rPr>
        <w:color w:val="auto"/>
      </w:rPr>
      <w:fldChar w:fldCharType="separate"/>
    </w:r>
    <w:r w:rsidR="00303DFD">
      <w:rPr>
        <w:noProof/>
        <w:color w:val="auto"/>
      </w:rPr>
      <w:t>References</w:t>
    </w:r>
    <w:r w:rsidRPr="00096564">
      <w:rPr>
        <w:noProof/>
        <w:color w:val="auto"/>
      </w:rPr>
      <w:fldChar w:fldCharType="end"/>
    </w:r>
  </w:p>
  <w:p w14:paraId="61CBA9EA" w14:textId="77777777" w:rsidR="009916BD" w:rsidRPr="00096564" w:rsidRDefault="009916B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9973" w14:textId="4A55B89C" w:rsidR="009916BD" w:rsidRPr="003C1482" w:rsidRDefault="00611673" w:rsidP="003C1482">
    <w:pPr>
      <w:pStyle w:val="HeaderRH"/>
    </w:pPr>
    <w:fldSimple w:instr=" STYLEREF &quot;Heading 6&quot; \l  \N\* MERGEFORMAT ">
      <w:r w:rsidR="00303DFD" w:rsidRPr="00303DFD">
        <w:rPr>
          <w:b w:val="0"/>
          <w:bCs/>
          <w:noProof/>
          <w:lang w:val="en-US"/>
        </w:rPr>
        <w:t>Appendix</w:t>
      </w:r>
      <w:r w:rsidR="00303DFD">
        <w:rPr>
          <w:noProof/>
        </w:rPr>
        <w:t xml:space="preserve"> B</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FBC"/>
    <w:multiLevelType w:val="multilevel"/>
    <w:tmpl w:val="A86CBF60"/>
    <w:styleLink w:val="Headings1-9"/>
    <w:lvl w:ilvl="0">
      <w:start w:val="1"/>
      <w:numFmt w:val="decimal"/>
      <w:lvlText w:val="%1"/>
      <w:lvlJc w:val="left"/>
      <w:pPr>
        <w:ind w:left="720" w:hanging="720"/>
      </w:pPr>
      <w:rPr>
        <w:rFonts w:ascii="Arial" w:hAnsi="Arial" w:hint="default"/>
        <w:b/>
        <w:i w:val="0"/>
        <w:color w:val="98002E"/>
        <w:sz w:val="26"/>
      </w:rPr>
    </w:lvl>
    <w:lvl w:ilvl="1">
      <w:start w:val="1"/>
      <w:numFmt w:val="decimal"/>
      <w:lvlText w:val="%1.%2"/>
      <w:lvlJc w:val="left"/>
      <w:pPr>
        <w:ind w:left="720" w:hanging="720"/>
      </w:pPr>
      <w:rPr>
        <w:rFonts w:ascii="Arial" w:hAnsi="Arial" w:hint="default"/>
        <w:b/>
        <w:i w:val="0"/>
        <w:color w:val="98002E"/>
        <w:sz w:val="24"/>
      </w:rPr>
    </w:lvl>
    <w:lvl w:ilvl="2">
      <w:start w:val="1"/>
      <w:numFmt w:val="decimal"/>
      <w:lvlText w:val="%1.%2.%3"/>
      <w:lvlJc w:val="left"/>
      <w:pPr>
        <w:ind w:left="720" w:hanging="720"/>
      </w:pPr>
      <w:rPr>
        <w:rFonts w:ascii="Arial" w:hAnsi="Arial" w:hint="default"/>
        <w:b/>
        <w:i w:val="0"/>
        <w:color w:val="98002E"/>
        <w:sz w:val="20"/>
      </w:rPr>
    </w:lvl>
    <w:lvl w:ilvl="3">
      <w:start w:val="1"/>
      <w:numFmt w:val="decimal"/>
      <w:lvlText w:val="%1.%2.%3.%4"/>
      <w:lvlJc w:val="left"/>
      <w:pPr>
        <w:ind w:left="720" w:hanging="720"/>
      </w:pPr>
      <w:rPr>
        <w:rFonts w:ascii="Arial" w:hAnsi="Arial" w:hint="default"/>
        <w:b/>
        <w:i/>
        <w:color w:val="98002E"/>
        <w:sz w:val="20"/>
      </w:rPr>
    </w:lvl>
    <w:lvl w:ilvl="4">
      <w:start w:val="1"/>
      <w:numFmt w:val="none"/>
      <w:lvlText w:val=""/>
      <w:lvlJc w:val="left"/>
      <w:pPr>
        <w:ind w:left="720" w:hanging="720"/>
      </w:pPr>
      <w:rPr>
        <w:rFonts w:ascii="Arial" w:hAnsi="Arial" w:hint="default"/>
        <w:b/>
        <w:i/>
        <w:color w:val="1F497D" w:themeColor="text2"/>
        <w:sz w:val="20"/>
      </w:rPr>
    </w:lvl>
    <w:lvl w:ilvl="5">
      <w:start w:val="1"/>
      <w:numFmt w:val="upperLetter"/>
      <w:lvlRestart w:val="0"/>
      <w:lvlText w:val="APPENDIX %6"/>
      <w:lvlJc w:val="left"/>
      <w:pPr>
        <w:ind w:left="720" w:hanging="720"/>
      </w:pPr>
      <w:rPr>
        <w:rFonts w:ascii="Arial" w:hAnsi="Arial" w:hint="default"/>
        <w:b/>
        <w:i w:val="0"/>
        <w:color w:val="98002E"/>
        <w:sz w:val="24"/>
      </w:rPr>
    </w:lvl>
    <w:lvl w:ilvl="6">
      <w:start w:val="1"/>
      <w:numFmt w:val="decimal"/>
      <w:lvlText w:val="%6%7"/>
      <w:lvlJc w:val="left"/>
      <w:pPr>
        <w:ind w:left="720" w:hanging="720"/>
      </w:pPr>
      <w:rPr>
        <w:rFonts w:ascii="Arial" w:hAnsi="Arial" w:hint="default"/>
        <w:b/>
        <w:i w:val="0"/>
        <w:color w:val="98002E"/>
        <w:sz w:val="22"/>
      </w:rPr>
    </w:lvl>
    <w:lvl w:ilvl="7">
      <w:start w:val="1"/>
      <w:numFmt w:val="decimal"/>
      <w:lvlText w:val="%6%7.%8"/>
      <w:lvlJc w:val="left"/>
      <w:pPr>
        <w:ind w:left="720" w:hanging="720"/>
      </w:pPr>
      <w:rPr>
        <w:rFonts w:ascii="Arial" w:hAnsi="Arial" w:hint="default"/>
        <w:b/>
        <w:i w:val="0"/>
        <w:color w:val="98002E"/>
        <w:sz w:val="20"/>
      </w:rPr>
    </w:lvl>
    <w:lvl w:ilvl="8">
      <w:start w:val="1"/>
      <w:numFmt w:val="decimal"/>
      <w:lvlText w:val="%6%7.%8.%9"/>
      <w:lvlJc w:val="left"/>
      <w:pPr>
        <w:ind w:left="720" w:hanging="720"/>
      </w:pPr>
      <w:rPr>
        <w:rFonts w:ascii="Arial" w:hAnsi="Arial" w:hint="default"/>
        <w:b/>
        <w:i/>
        <w:color w:val="98002E"/>
        <w:sz w:val="20"/>
      </w:rPr>
    </w:lvl>
  </w:abstractNum>
  <w:abstractNum w:abstractNumId="1" w15:restartNumberingAfterBreak="0">
    <w:nsid w:val="03450D12"/>
    <w:multiLevelType w:val="hybridMultilevel"/>
    <w:tmpl w:val="5D224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5542CB"/>
    <w:multiLevelType w:val="multilevel"/>
    <w:tmpl w:val="17A4388E"/>
    <w:lvl w:ilvl="0">
      <w:start w:val="1"/>
      <w:numFmt w:val="decimal"/>
      <w:pStyle w:val="Heading1"/>
      <w:lvlText w:val="%1"/>
      <w:lvlJc w:val="left"/>
      <w:pPr>
        <w:ind w:left="720" w:hanging="720"/>
      </w:pPr>
      <w:rPr>
        <w:rFonts w:ascii="Arial Bold" w:hAnsi="Arial Bold" w:hint="default"/>
        <w:b/>
        <w:i w:val="0"/>
        <w:color w:val="007C91"/>
        <w:sz w:val="28"/>
        <w:szCs w:val="28"/>
      </w:rPr>
    </w:lvl>
    <w:lvl w:ilvl="1">
      <w:start w:val="1"/>
      <w:numFmt w:val="decimal"/>
      <w:pStyle w:val="Heading2"/>
      <w:lvlText w:val="%1.%2"/>
      <w:lvlJc w:val="left"/>
      <w:pPr>
        <w:ind w:left="720" w:hanging="720"/>
      </w:pPr>
      <w:rPr>
        <w:rFonts w:ascii="Arial Bold" w:hAnsi="Arial Bold" w:hint="default"/>
        <w:b/>
        <w:i w:val="0"/>
        <w:color w:val="007C91"/>
        <w:sz w:val="24"/>
      </w:rPr>
    </w:lvl>
    <w:lvl w:ilvl="2">
      <w:start w:val="1"/>
      <w:numFmt w:val="decimal"/>
      <w:pStyle w:val="Heading3"/>
      <w:lvlText w:val="%1.%2.%3"/>
      <w:lvlJc w:val="left"/>
      <w:pPr>
        <w:ind w:left="720" w:hanging="720"/>
      </w:pPr>
      <w:rPr>
        <w:rFonts w:ascii="Arial Bold" w:hAnsi="Arial Bold" w:hint="default"/>
        <w:b/>
        <w:i w:val="0"/>
        <w:color w:val="007C91"/>
        <w:sz w:val="20"/>
      </w:rPr>
    </w:lvl>
    <w:lvl w:ilvl="3">
      <w:start w:val="1"/>
      <w:numFmt w:val="decimal"/>
      <w:pStyle w:val="Heading4"/>
      <w:lvlText w:val="%1.%2.%3.%4"/>
      <w:lvlJc w:val="left"/>
      <w:pPr>
        <w:ind w:left="720" w:hanging="720"/>
      </w:pPr>
      <w:rPr>
        <w:rFonts w:ascii="Arial Bold" w:hAnsi="Arial Bold" w:hint="default"/>
        <w:b/>
        <w:i/>
        <w:color w:val="007C91"/>
        <w:sz w:val="20"/>
      </w:rPr>
    </w:lvl>
    <w:lvl w:ilvl="4">
      <w:start w:val="1"/>
      <w:numFmt w:val="none"/>
      <w:lvlText w:val=""/>
      <w:lvlJc w:val="left"/>
      <w:pPr>
        <w:ind w:left="720" w:hanging="720"/>
      </w:pPr>
      <w:rPr>
        <w:rFonts w:ascii="Arial" w:hAnsi="Arial" w:hint="default"/>
        <w:b/>
        <w:i/>
        <w:color w:val="1F497D" w:themeColor="text2"/>
        <w:sz w:val="20"/>
      </w:rPr>
    </w:lvl>
    <w:lvl w:ilvl="5">
      <w:start w:val="1"/>
      <w:numFmt w:val="upperLetter"/>
      <w:lvlRestart w:val="0"/>
      <w:pStyle w:val="Heading6"/>
      <w:lvlText w:val="Appendix %6"/>
      <w:lvlJc w:val="left"/>
      <w:pPr>
        <w:ind w:left="1701" w:hanging="1701"/>
      </w:pPr>
      <w:rPr>
        <w:rFonts w:ascii="Arial Bold" w:hAnsi="Arial Bold" w:hint="default"/>
        <w:b/>
        <w:i w:val="0"/>
        <w:color w:val="007C91"/>
        <w:sz w:val="24"/>
      </w:rPr>
    </w:lvl>
    <w:lvl w:ilvl="6">
      <w:start w:val="1"/>
      <w:numFmt w:val="decimal"/>
      <w:pStyle w:val="Heading7"/>
      <w:lvlText w:val="%6%7"/>
      <w:lvlJc w:val="left"/>
      <w:pPr>
        <w:ind w:left="720" w:hanging="720"/>
      </w:pPr>
      <w:rPr>
        <w:rFonts w:ascii="Arial Bold" w:hAnsi="Arial Bold" w:hint="default"/>
        <w:b/>
        <w:i w:val="0"/>
        <w:color w:val="007C91"/>
        <w:sz w:val="22"/>
      </w:rPr>
    </w:lvl>
    <w:lvl w:ilvl="7">
      <w:start w:val="1"/>
      <w:numFmt w:val="decimal"/>
      <w:pStyle w:val="Heading8"/>
      <w:lvlText w:val="%6%7.%8"/>
      <w:lvlJc w:val="left"/>
      <w:pPr>
        <w:ind w:left="720" w:hanging="720"/>
      </w:pPr>
      <w:rPr>
        <w:rFonts w:ascii="Arial" w:hAnsi="Arial" w:hint="default"/>
        <w:b/>
        <w:i w:val="0"/>
        <w:color w:val="98002E"/>
        <w:sz w:val="20"/>
      </w:rPr>
    </w:lvl>
    <w:lvl w:ilvl="8">
      <w:start w:val="1"/>
      <w:numFmt w:val="decimal"/>
      <w:pStyle w:val="Heading9"/>
      <w:lvlText w:val="%6%7.%8.%9"/>
      <w:lvlJc w:val="left"/>
      <w:pPr>
        <w:ind w:left="720" w:hanging="720"/>
      </w:pPr>
      <w:rPr>
        <w:rFonts w:ascii="Arial" w:hAnsi="Arial" w:hint="default"/>
        <w:b/>
        <w:i/>
        <w:color w:val="98002E"/>
        <w:sz w:val="20"/>
      </w:rPr>
    </w:lvl>
  </w:abstractNum>
  <w:abstractNum w:abstractNumId="3" w15:restartNumberingAfterBreak="0">
    <w:nsid w:val="3ABA2F4E"/>
    <w:multiLevelType w:val="hybridMultilevel"/>
    <w:tmpl w:val="E17032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4B10333"/>
    <w:multiLevelType w:val="hybridMultilevel"/>
    <w:tmpl w:val="B426BF38"/>
    <w:lvl w:ilvl="0" w:tplc="7F24F80C">
      <w:start w:val="1"/>
      <w:numFmt w:val="decimal"/>
      <w:pStyle w:val="References-Vancouver"/>
      <w:lvlText w:val="%1"/>
      <w:lvlJc w:val="left"/>
      <w:pPr>
        <w:ind w:left="1440" w:hanging="360"/>
      </w:pPr>
      <w:rPr>
        <w:rFonts w:hint="default"/>
        <w:sz w:val="16"/>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CBD212E"/>
    <w:multiLevelType w:val="hybridMultilevel"/>
    <w:tmpl w:val="DE924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4C21B0"/>
    <w:multiLevelType w:val="hybridMultilevel"/>
    <w:tmpl w:val="7D2C89B0"/>
    <w:lvl w:ilvl="0" w:tplc="C9E2791A">
      <w:start w:val="1"/>
      <w:numFmt w:val="lowerLetter"/>
      <w:pStyle w:val="List"/>
      <w:lvlText w:val="%1"/>
      <w:lvlJc w:val="left"/>
      <w:pPr>
        <w:ind w:left="1440" w:hanging="720"/>
      </w:pPr>
      <w:rPr>
        <w:rFonts w:hint="default"/>
        <w:b/>
        <w:i w:val="0"/>
        <w:color w:val="98002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68C7D57"/>
    <w:multiLevelType w:val="hybridMultilevel"/>
    <w:tmpl w:val="6C0C8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FC55FCB"/>
    <w:multiLevelType w:val="hybridMultilevel"/>
    <w:tmpl w:val="96408C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6C77914"/>
    <w:multiLevelType w:val="hybridMultilevel"/>
    <w:tmpl w:val="6BF05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17448573">
    <w:abstractNumId w:val="6"/>
  </w:num>
  <w:num w:numId="2" w16cid:durableId="563416914">
    <w:abstractNumId w:val="4"/>
  </w:num>
  <w:num w:numId="3" w16cid:durableId="988554363">
    <w:abstractNumId w:val="0"/>
  </w:num>
  <w:num w:numId="4" w16cid:durableId="860321588">
    <w:abstractNumId w:val="2"/>
  </w:num>
  <w:num w:numId="5" w16cid:durableId="189220163">
    <w:abstractNumId w:val="8"/>
  </w:num>
  <w:num w:numId="6" w16cid:durableId="1767843639">
    <w:abstractNumId w:val="3"/>
  </w:num>
  <w:num w:numId="7" w16cid:durableId="456144130">
    <w:abstractNumId w:val="1"/>
  </w:num>
  <w:num w:numId="8" w16cid:durableId="276329152">
    <w:abstractNumId w:val="7"/>
  </w:num>
  <w:num w:numId="9" w16cid:durableId="643437161">
    <w:abstractNumId w:val="9"/>
  </w:num>
  <w:num w:numId="10" w16cid:durableId="136918307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mirrorMargins/>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QwMrU0MTA3NTI1N7BQ0lEKTi0uzszPAykwqgUAFzON1ywAAAA="/>
    <w:docVar w:name="EN.InstantFormat" w:val="&lt;ENInstantFormat&gt;&lt;Enabled&gt;1&lt;/Enabled&gt;&lt;ScanUnformatted&gt;1&lt;/ScanUnformatted&gt;&lt;ScanChanges&gt;1&lt;/ScanChanges&gt;&lt;Suspended&gt;1&lt;/Suspended&gt;&lt;/ENInstantFormat&gt;"/>
    <w:docVar w:name="EN.Layout" w:val="&lt;ENLayout&gt;&lt;Style&gt;EAD multi output style v1-1&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f5xrrfzavsr7easp0pz0v5xxsaspratxsv&quot;&gt;tracey.anderson@phe.gov.uk&lt;record-ids&gt;&lt;item&gt;8&lt;/item&gt;&lt;item&gt;23&lt;/item&gt;&lt;item&gt;459&lt;/item&gt;&lt;item&gt;466&lt;/item&gt;&lt;item&gt;610&lt;/item&gt;&lt;item&gt;618&lt;/item&gt;&lt;item&gt;944&lt;/item&gt;&lt;item&gt;1268&lt;/item&gt;&lt;item&gt;1274&lt;/item&gt;&lt;item&gt;1581&lt;/item&gt;&lt;item&gt;1586&lt;/item&gt;&lt;item&gt;1594&lt;/item&gt;&lt;item&gt;1936&lt;/item&gt;&lt;item&gt;2161&lt;/item&gt;&lt;item&gt;2277&lt;/item&gt;&lt;item&gt;2493&lt;/item&gt;&lt;item&gt;2732&lt;/item&gt;&lt;item&gt;2815&lt;/item&gt;&lt;item&gt;2836&lt;/item&gt;&lt;item&gt;2843&lt;/item&gt;&lt;item&gt;2844&lt;/item&gt;&lt;item&gt;2845&lt;/item&gt;&lt;item&gt;2846&lt;/item&gt;&lt;item&gt;2850&lt;/item&gt;&lt;item&gt;3283&lt;/item&gt;&lt;item&gt;3395&lt;/item&gt;&lt;item&gt;3774&lt;/item&gt;&lt;item&gt;3828&lt;/item&gt;&lt;item&gt;3993&lt;/item&gt;&lt;item&gt;4193&lt;/item&gt;&lt;item&gt;4459&lt;/item&gt;&lt;item&gt;4463&lt;/item&gt;&lt;item&gt;5306&lt;/item&gt;&lt;item&gt;5856&lt;/item&gt;&lt;item&gt;5888&lt;/item&gt;&lt;item&gt;5984&lt;/item&gt;&lt;item&gt;5996&lt;/item&gt;&lt;item&gt;6021&lt;/item&gt;&lt;item&gt;6695&lt;/item&gt;&lt;item&gt;6955&lt;/item&gt;&lt;item&gt;7328&lt;/item&gt;&lt;item&gt;7435&lt;/item&gt;&lt;/record-ids&gt;&lt;/item&gt;&lt;/Libraries&gt;"/>
  </w:docVars>
  <w:rsids>
    <w:rsidRoot w:val="003B02C9"/>
    <w:rsid w:val="00003121"/>
    <w:rsid w:val="000048F7"/>
    <w:rsid w:val="00004FC5"/>
    <w:rsid w:val="00005BAC"/>
    <w:rsid w:val="00005D78"/>
    <w:rsid w:val="00005FE2"/>
    <w:rsid w:val="000065D5"/>
    <w:rsid w:val="0000768C"/>
    <w:rsid w:val="0000795D"/>
    <w:rsid w:val="00013DBE"/>
    <w:rsid w:val="0001411D"/>
    <w:rsid w:val="00016CA7"/>
    <w:rsid w:val="00017323"/>
    <w:rsid w:val="00017ACB"/>
    <w:rsid w:val="00020A67"/>
    <w:rsid w:val="00020FE1"/>
    <w:rsid w:val="00023CD5"/>
    <w:rsid w:val="0002614D"/>
    <w:rsid w:val="00026488"/>
    <w:rsid w:val="00027B2A"/>
    <w:rsid w:val="0003301B"/>
    <w:rsid w:val="00033234"/>
    <w:rsid w:val="00033C7B"/>
    <w:rsid w:val="000347DD"/>
    <w:rsid w:val="000351FF"/>
    <w:rsid w:val="00035C1B"/>
    <w:rsid w:val="00036DDC"/>
    <w:rsid w:val="00037D57"/>
    <w:rsid w:val="000407DE"/>
    <w:rsid w:val="00041FA3"/>
    <w:rsid w:val="00042E60"/>
    <w:rsid w:val="00044FED"/>
    <w:rsid w:val="000506AF"/>
    <w:rsid w:val="00056D1B"/>
    <w:rsid w:val="00057654"/>
    <w:rsid w:val="00060F2D"/>
    <w:rsid w:val="00063B97"/>
    <w:rsid w:val="00065880"/>
    <w:rsid w:val="00065895"/>
    <w:rsid w:val="00067955"/>
    <w:rsid w:val="00070C8F"/>
    <w:rsid w:val="00070E24"/>
    <w:rsid w:val="00071CF3"/>
    <w:rsid w:val="0007266B"/>
    <w:rsid w:val="00073DE2"/>
    <w:rsid w:val="00073E54"/>
    <w:rsid w:val="0007530B"/>
    <w:rsid w:val="000766DF"/>
    <w:rsid w:val="00077692"/>
    <w:rsid w:val="00081388"/>
    <w:rsid w:val="0008265C"/>
    <w:rsid w:val="000833F8"/>
    <w:rsid w:val="000843DB"/>
    <w:rsid w:val="00085E24"/>
    <w:rsid w:val="00086466"/>
    <w:rsid w:val="00086B40"/>
    <w:rsid w:val="000878B4"/>
    <w:rsid w:val="000907E0"/>
    <w:rsid w:val="000908B9"/>
    <w:rsid w:val="00091B70"/>
    <w:rsid w:val="00094241"/>
    <w:rsid w:val="0009432B"/>
    <w:rsid w:val="00094D29"/>
    <w:rsid w:val="00096564"/>
    <w:rsid w:val="000A1032"/>
    <w:rsid w:val="000A4496"/>
    <w:rsid w:val="000A7FDA"/>
    <w:rsid w:val="000B1FAB"/>
    <w:rsid w:val="000B52E9"/>
    <w:rsid w:val="000B64CD"/>
    <w:rsid w:val="000B7121"/>
    <w:rsid w:val="000B7504"/>
    <w:rsid w:val="000B79DE"/>
    <w:rsid w:val="000C0E6F"/>
    <w:rsid w:val="000C1772"/>
    <w:rsid w:val="000C416C"/>
    <w:rsid w:val="000C5B3A"/>
    <w:rsid w:val="000C5DE3"/>
    <w:rsid w:val="000C7546"/>
    <w:rsid w:val="000D05F4"/>
    <w:rsid w:val="000D0FF8"/>
    <w:rsid w:val="000D11D7"/>
    <w:rsid w:val="000D12F8"/>
    <w:rsid w:val="000D1EC5"/>
    <w:rsid w:val="000D1FAC"/>
    <w:rsid w:val="000D2088"/>
    <w:rsid w:val="000D28C7"/>
    <w:rsid w:val="000D3711"/>
    <w:rsid w:val="000D4349"/>
    <w:rsid w:val="000D57A9"/>
    <w:rsid w:val="000D5839"/>
    <w:rsid w:val="000D5E67"/>
    <w:rsid w:val="000D779B"/>
    <w:rsid w:val="000D7AEF"/>
    <w:rsid w:val="000E0034"/>
    <w:rsid w:val="000E07DE"/>
    <w:rsid w:val="000E26DA"/>
    <w:rsid w:val="000E291E"/>
    <w:rsid w:val="000E2EA4"/>
    <w:rsid w:val="000E456C"/>
    <w:rsid w:val="000E79F8"/>
    <w:rsid w:val="000F065F"/>
    <w:rsid w:val="000F0D7E"/>
    <w:rsid w:val="000F17C3"/>
    <w:rsid w:val="000F1A83"/>
    <w:rsid w:val="000F2E09"/>
    <w:rsid w:val="000F4583"/>
    <w:rsid w:val="000F5CC5"/>
    <w:rsid w:val="000F6425"/>
    <w:rsid w:val="00102B91"/>
    <w:rsid w:val="001041EA"/>
    <w:rsid w:val="00104558"/>
    <w:rsid w:val="00105FB8"/>
    <w:rsid w:val="00106F2F"/>
    <w:rsid w:val="00111962"/>
    <w:rsid w:val="0011272B"/>
    <w:rsid w:val="00112D3B"/>
    <w:rsid w:val="001152D6"/>
    <w:rsid w:val="00120741"/>
    <w:rsid w:val="00122BE5"/>
    <w:rsid w:val="00122F1B"/>
    <w:rsid w:val="001245EE"/>
    <w:rsid w:val="001264B8"/>
    <w:rsid w:val="00127FE0"/>
    <w:rsid w:val="00134BE5"/>
    <w:rsid w:val="00134D51"/>
    <w:rsid w:val="00135366"/>
    <w:rsid w:val="0013621D"/>
    <w:rsid w:val="001365FE"/>
    <w:rsid w:val="00137AA2"/>
    <w:rsid w:val="00137E32"/>
    <w:rsid w:val="00140097"/>
    <w:rsid w:val="0014203E"/>
    <w:rsid w:val="001420DA"/>
    <w:rsid w:val="001421F6"/>
    <w:rsid w:val="00142B55"/>
    <w:rsid w:val="00153167"/>
    <w:rsid w:val="00153542"/>
    <w:rsid w:val="00153D9B"/>
    <w:rsid w:val="00154D00"/>
    <w:rsid w:val="00154F40"/>
    <w:rsid w:val="0015554E"/>
    <w:rsid w:val="00156359"/>
    <w:rsid w:val="00160B0F"/>
    <w:rsid w:val="00161397"/>
    <w:rsid w:val="00161B52"/>
    <w:rsid w:val="00161F32"/>
    <w:rsid w:val="001640C4"/>
    <w:rsid w:val="00164709"/>
    <w:rsid w:val="001657C4"/>
    <w:rsid w:val="00167515"/>
    <w:rsid w:val="00167AC4"/>
    <w:rsid w:val="001748A4"/>
    <w:rsid w:val="00175164"/>
    <w:rsid w:val="00175439"/>
    <w:rsid w:val="00176F0B"/>
    <w:rsid w:val="001779F5"/>
    <w:rsid w:val="00181CD9"/>
    <w:rsid w:val="00182068"/>
    <w:rsid w:val="001853AD"/>
    <w:rsid w:val="00185429"/>
    <w:rsid w:val="00187133"/>
    <w:rsid w:val="001901F0"/>
    <w:rsid w:val="001940EF"/>
    <w:rsid w:val="00194159"/>
    <w:rsid w:val="00194CB0"/>
    <w:rsid w:val="0019701C"/>
    <w:rsid w:val="001975BC"/>
    <w:rsid w:val="001A071D"/>
    <w:rsid w:val="001A5C2D"/>
    <w:rsid w:val="001A6CE1"/>
    <w:rsid w:val="001A786B"/>
    <w:rsid w:val="001B01B9"/>
    <w:rsid w:val="001B078B"/>
    <w:rsid w:val="001B1947"/>
    <w:rsid w:val="001B1B63"/>
    <w:rsid w:val="001B2274"/>
    <w:rsid w:val="001B34A7"/>
    <w:rsid w:val="001B399D"/>
    <w:rsid w:val="001B4ADC"/>
    <w:rsid w:val="001B4F0B"/>
    <w:rsid w:val="001B6A82"/>
    <w:rsid w:val="001C0455"/>
    <w:rsid w:val="001C0F98"/>
    <w:rsid w:val="001C2F07"/>
    <w:rsid w:val="001C3C77"/>
    <w:rsid w:val="001D1293"/>
    <w:rsid w:val="001D28EC"/>
    <w:rsid w:val="001E1D15"/>
    <w:rsid w:val="001E27FD"/>
    <w:rsid w:val="001E2F4F"/>
    <w:rsid w:val="001E34CC"/>
    <w:rsid w:val="001F0C6F"/>
    <w:rsid w:val="001F14E1"/>
    <w:rsid w:val="001F428A"/>
    <w:rsid w:val="001F4E7B"/>
    <w:rsid w:val="001F625D"/>
    <w:rsid w:val="002003CA"/>
    <w:rsid w:val="002019FD"/>
    <w:rsid w:val="00203CF8"/>
    <w:rsid w:val="00204287"/>
    <w:rsid w:val="00204C12"/>
    <w:rsid w:val="002111DE"/>
    <w:rsid w:val="00213143"/>
    <w:rsid w:val="0021429C"/>
    <w:rsid w:val="00215F6D"/>
    <w:rsid w:val="00216A1F"/>
    <w:rsid w:val="00217213"/>
    <w:rsid w:val="00217750"/>
    <w:rsid w:val="002208C6"/>
    <w:rsid w:val="00220D19"/>
    <w:rsid w:val="002210D2"/>
    <w:rsid w:val="00225E11"/>
    <w:rsid w:val="00232573"/>
    <w:rsid w:val="00232FCF"/>
    <w:rsid w:val="00234CFA"/>
    <w:rsid w:val="002351C1"/>
    <w:rsid w:val="00235858"/>
    <w:rsid w:val="00235BE2"/>
    <w:rsid w:val="00240272"/>
    <w:rsid w:val="00242B57"/>
    <w:rsid w:val="00243913"/>
    <w:rsid w:val="00244F99"/>
    <w:rsid w:val="00245F57"/>
    <w:rsid w:val="00246FF5"/>
    <w:rsid w:val="00250904"/>
    <w:rsid w:val="00251543"/>
    <w:rsid w:val="0025226C"/>
    <w:rsid w:val="00254CE0"/>
    <w:rsid w:val="00254E9D"/>
    <w:rsid w:val="0025507B"/>
    <w:rsid w:val="00257419"/>
    <w:rsid w:val="002613EA"/>
    <w:rsid w:val="00264E09"/>
    <w:rsid w:val="00266B5A"/>
    <w:rsid w:val="002708BB"/>
    <w:rsid w:val="002718E5"/>
    <w:rsid w:val="002749E0"/>
    <w:rsid w:val="00274A66"/>
    <w:rsid w:val="0027581E"/>
    <w:rsid w:val="00280B42"/>
    <w:rsid w:val="002821FF"/>
    <w:rsid w:val="00282815"/>
    <w:rsid w:val="0028550F"/>
    <w:rsid w:val="002858E6"/>
    <w:rsid w:val="00285BB3"/>
    <w:rsid w:val="00285F07"/>
    <w:rsid w:val="00286C30"/>
    <w:rsid w:val="00287EF3"/>
    <w:rsid w:val="0029024B"/>
    <w:rsid w:val="0029066A"/>
    <w:rsid w:val="00291A8C"/>
    <w:rsid w:val="00293B0A"/>
    <w:rsid w:val="00294930"/>
    <w:rsid w:val="002957B7"/>
    <w:rsid w:val="0029766D"/>
    <w:rsid w:val="002979D7"/>
    <w:rsid w:val="002A0A78"/>
    <w:rsid w:val="002A0EF7"/>
    <w:rsid w:val="002A0F9B"/>
    <w:rsid w:val="002A1ED3"/>
    <w:rsid w:val="002A201F"/>
    <w:rsid w:val="002A22AC"/>
    <w:rsid w:val="002A2DBF"/>
    <w:rsid w:val="002A3771"/>
    <w:rsid w:val="002A6252"/>
    <w:rsid w:val="002A7BC9"/>
    <w:rsid w:val="002B1FE1"/>
    <w:rsid w:val="002B2353"/>
    <w:rsid w:val="002B2DCB"/>
    <w:rsid w:val="002B605F"/>
    <w:rsid w:val="002B654C"/>
    <w:rsid w:val="002B6653"/>
    <w:rsid w:val="002B7860"/>
    <w:rsid w:val="002C2ACD"/>
    <w:rsid w:val="002C3F56"/>
    <w:rsid w:val="002C4099"/>
    <w:rsid w:val="002C5C2E"/>
    <w:rsid w:val="002D033A"/>
    <w:rsid w:val="002D05C3"/>
    <w:rsid w:val="002D2091"/>
    <w:rsid w:val="002D3581"/>
    <w:rsid w:val="002D5E26"/>
    <w:rsid w:val="002D7BEA"/>
    <w:rsid w:val="002E1A41"/>
    <w:rsid w:val="002E2F3C"/>
    <w:rsid w:val="002E4735"/>
    <w:rsid w:val="002E577A"/>
    <w:rsid w:val="002E63B1"/>
    <w:rsid w:val="002F0EC6"/>
    <w:rsid w:val="002F6ECC"/>
    <w:rsid w:val="002F7005"/>
    <w:rsid w:val="002F734F"/>
    <w:rsid w:val="00300357"/>
    <w:rsid w:val="00302138"/>
    <w:rsid w:val="00302562"/>
    <w:rsid w:val="00302828"/>
    <w:rsid w:val="00303DFD"/>
    <w:rsid w:val="00306C5E"/>
    <w:rsid w:val="0030707D"/>
    <w:rsid w:val="00310040"/>
    <w:rsid w:val="003106D4"/>
    <w:rsid w:val="003109EE"/>
    <w:rsid w:val="00312002"/>
    <w:rsid w:val="00314E66"/>
    <w:rsid w:val="00320C6B"/>
    <w:rsid w:val="00321E37"/>
    <w:rsid w:val="003228E9"/>
    <w:rsid w:val="00322A17"/>
    <w:rsid w:val="0032321D"/>
    <w:rsid w:val="00323D29"/>
    <w:rsid w:val="00324721"/>
    <w:rsid w:val="00326345"/>
    <w:rsid w:val="00331997"/>
    <w:rsid w:val="003333D3"/>
    <w:rsid w:val="00336F75"/>
    <w:rsid w:val="003375A3"/>
    <w:rsid w:val="0034008C"/>
    <w:rsid w:val="00351F66"/>
    <w:rsid w:val="003520AA"/>
    <w:rsid w:val="0035284C"/>
    <w:rsid w:val="0035536E"/>
    <w:rsid w:val="00355883"/>
    <w:rsid w:val="00356007"/>
    <w:rsid w:val="0036086E"/>
    <w:rsid w:val="00361727"/>
    <w:rsid w:val="00363A2A"/>
    <w:rsid w:val="00363AF7"/>
    <w:rsid w:val="00365793"/>
    <w:rsid w:val="00365C94"/>
    <w:rsid w:val="0036731D"/>
    <w:rsid w:val="00367C48"/>
    <w:rsid w:val="00367CB9"/>
    <w:rsid w:val="00370396"/>
    <w:rsid w:val="003729A3"/>
    <w:rsid w:val="00376A48"/>
    <w:rsid w:val="00376C33"/>
    <w:rsid w:val="0038194B"/>
    <w:rsid w:val="00382A4D"/>
    <w:rsid w:val="003840A3"/>
    <w:rsid w:val="00384FB8"/>
    <w:rsid w:val="003854B2"/>
    <w:rsid w:val="00387550"/>
    <w:rsid w:val="0039020F"/>
    <w:rsid w:val="00390FBE"/>
    <w:rsid w:val="00392C25"/>
    <w:rsid w:val="00393DCD"/>
    <w:rsid w:val="00394125"/>
    <w:rsid w:val="00394D89"/>
    <w:rsid w:val="00394F12"/>
    <w:rsid w:val="003958EE"/>
    <w:rsid w:val="00395C89"/>
    <w:rsid w:val="00396C01"/>
    <w:rsid w:val="003A4AA0"/>
    <w:rsid w:val="003A4B35"/>
    <w:rsid w:val="003B0133"/>
    <w:rsid w:val="003B02C9"/>
    <w:rsid w:val="003B0F51"/>
    <w:rsid w:val="003B1B6F"/>
    <w:rsid w:val="003B5BB2"/>
    <w:rsid w:val="003B6029"/>
    <w:rsid w:val="003C1482"/>
    <w:rsid w:val="003C14CC"/>
    <w:rsid w:val="003C2D60"/>
    <w:rsid w:val="003C3BA7"/>
    <w:rsid w:val="003C4C0B"/>
    <w:rsid w:val="003C5635"/>
    <w:rsid w:val="003C58BA"/>
    <w:rsid w:val="003C670C"/>
    <w:rsid w:val="003C6CDE"/>
    <w:rsid w:val="003D0EEC"/>
    <w:rsid w:val="003D166E"/>
    <w:rsid w:val="003D27F6"/>
    <w:rsid w:val="003D2E38"/>
    <w:rsid w:val="003D424C"/>
    <w:rsid w:val="003D481B"/>
    <w:rsid w:val="003D6225"/>
    <w:rsid w:val="003D797A"/>
    <w:rsid w:val="003E0641"/>
    <w:rsid w:val="003E210D"/>
    <w:rsid w:val="003E3804"/>
    <w:rsid w:val="003E4B90"/>
    <w:rsid w:val="003E7298"/>
    <w:rsid w:val="003F3378"/>
    <w:rsid w:val="003F3D0C"/>
    <w:rsid w:val="003F51BD"/>
    <w:rsid w:val="003F60CE"/>
    <w:rsid w:val="004002D6"/>
    <w:rsid w:val="0040063A"/>
    <w:rsid w:val="00400E05"/>
    <w:rsid w:val="00403265"/>
    <w:rsid w:val="00403BFF"/>
    <w:rsid w:val="004053B3"/>
    <w:rsid w:val="00405CD4"/>
    <w:rsid w:val="00406A32"/>
    <w:rsid w:val="0041064E"/>
    <w:rsid w:val="00410DD9"/>
    <w:rsid w:val="004115F1"/>
    <w:rsid w:val="0041167F"/>
    <w:rsid w:val="004136FE"/>
    <w:rsid w:val="00413ACD"/>
    <w:rsid w:val="004160A6"/>
    <w:rsid w:val="00417445"/>
    <w:rsid w:val="004244AE"/>
    <w:rsid w:val="004259B6"/>
    <w:rsid w:val="00426920"/>
    <w:rsid w:val="0042788A"/>
    <w:rsid w:val="0043275D"/>
    <w:rsid w:val="00433401"/>
    <w:rsid w:val="00435419"/>
    <w:rsid w:val="00437939"/>
    <w:rsid w:val="00440561"/>
    <w:rsid w:val="0044257A"/>
    <w:rsid w:val="00442677"/>
    <w:rsid w:val="004448F6"/>
    <w:rsid w:val="00444CF3"/>
    <w:rsid w:val="00452074"/>
    <w:rsid w:val="00457CCF"/>
    <w:rsid w:val="00470EE1"/>
    <w:rsid w:val="0047151F"/>
    <w:rsid w:val="004717EA"/>
    <w:rsid w:val="004729E5"/>
    <w:rsid w:val="00473B8F"/>
    <w:rsid w:val="0047443A"/>
    <w:rsid w:val="00474856"/>
    <w:rsid w:val="00475A09"/>
    <w:rsid w:val="00476B9B"/>
    <w:rsid w:val="0047747F"/>
    <w:rsid w:val="004775EC"/>
    <w:rsid w:val="00480AC1"/>
    <w:rsid w:val="00480DE5"/>
    <w:rsid w:val="00481FA3"/>
    <w:rsid w:val="00486A46"/>
    <w:rsid w:val="004877FD"/>
    <w:rsid w:val="0049012E"/>
    <w:rsid w:val="004904E1"/>
    <w:rsid w:val="00490E88"/>
    <w:rsid w:val="0049144D"/>
    <w:rsid w:val="0049332F"/>
    <w:rsid w:val="00495832"/>
    <w:rsid w:val="004A01A7"/>
    <w:rsid w:val="004A0697"/>
    <w:rsid w:val="004A1978"/>
    <w:rsid w:val="004A1CE9"/>
    <w:rsid w:val="004A3CFC"/>
    <w:rsid w:val="004A3D68"/>
    <w:rsid w:val="004A44EF"/>
    <w:rsid w:val="004A556F"/>
    <w:rsid w:val="004A5679"/>
    <w:rsid w:val="004A6E65"/>
    <w:rsid w:val="004B0522"/>
    <w:rsid w:val="004B137D"/>
    <w:rsid w:val="004B1AAB"/>
    <w:rsid w:val="004B2C78"/>
    <w:rsid w:val="004B2FB3"/>
    <w:rsid w:val="004B5190"/>
    <w:rsid w:val="004B6D43"/>
    <w:rsid w:val="004B7B2C"/>
    <w:rsid w:val="004C0772"/>
    <w:rsid w:val="004C2666"/>
    <w:rsid w:val="004C26BB"/>
    <w:rsid w:val="004C3415"/>
    <w:rsid w:val="004C51F4"/>
    <w:rsid w:val="004C6698"/>
    <w:rsid w:val="004D00CB"/>
    <w:rsid w:val="004D1568"/>
    <w:rsid w:val="004D2D69"/>
    <w:rsid w:val="004D3307"/>
    <w:rsid w:val="004D5ABE"/>
    <w:rsid w:val="004D6632"/>
    <w:rsid w:val="004D722A"/>
    <w:rsid w:val="004D7C80"/>
    <w:rsid w:val="004E29FF"/>
    <w:rsid w:val="004E372D"/>
    <w:rsid w:val="004E4A48"/>
    <w:rsid w:val="004E5CF2"/>
    <w:rsid w:val="004E652C"/>
    <w:rsid w:val="004E7C8F"/>
    <w:rsid w:val="004F38B5"/>
    <w:rsid w:val="004F65CD"/>
    <w:rsid w:val="00500EC0"/>
    <w:rsid w:val="00501954"/>
    <w:rsid w:val="00501BE1"/>
    <w:rsid w:val="005030D8"/>
    <w:rsid w:val="00503C2A"/>
    <w:rsid w:val="00505E23"/>
    <w:rsid w:val="005074C9"/>
    <w:rsid w:val="005102DF"/>
    <w:rsid w:val="00511B47"/>
    <w:rsid w:val="00512D81"/>
    <w:rsid w:val="0051325F"/>
    <w:rsid w:val="00513358"/>
    <w:rsid w:val="005140BF"/>
    <w:rsid w:val="005145AF"/>
    <w:rsid w:val="005162AA"/>
    <w:rsid w:val="005210A2"/>
    <w:rsid w:val="005214DF"/>
    <w:rsid w:val="005227A0"/>
    <w:rsid w:val="00525DBF"/>
    <w:rsid w:val="005266FC"/>
    <w:rsid w:val="005314D9"/>
    <w:rsid w:val="00536901"/>
    <w:rsid w:val="005373CD"/>
    <w:rsid w:val="00537E6B"/>
    <w:rsid w:val="00541AFA"/>
    <w:rsid w:val="005432A2"/>
    <w:rsid w:val="0054356C"/>
    <w:rsid w:val="00543983"/>
    <w:rsid w:val="005442ED"/>
    <w:rsid w:val="005518C7"/>
    <w:rsid w:val="00552928"/>
    <w:rsid w:val="005545CD"/>
    <w:rsid w:val="0055731A"/>
    <w:rsid w:val="0055777E"/>
    <w:rsid w:val="00560573"/>
    <w:rsid w:val="005628AF"/>
    <w:rsid w:val="005634A1"/>
    <w:rsid w:val="0056377C"/>
    <w:rsid w:val="00565E6E"/>
    <w:rsid w:val="005662FB"/>
    <w:rsid w:val="0056716E"/>
    <w:rsid w:val="00570099"/>
    <w:rsid w:val="00570823"/>
    <w:rsid w:val="00572073"/>
    <w:rsid w:val="00572825"/>
    <w:rsid w:val="00573ACD"/>
    <w:rsid w:val="00576ECD"/>
    <w:rsid w:val="00580D48"/>
    <w:rsid w:val="0058153A"/>
    <w:rsid w:val="0058257F"/>
    <w:rsid w:val="00584A69"/>
    <w:rsid w:val="005865C6"/>
    <w:rsid w:val="00586830"/>
    <w:rsid w:val="005872D5"/>
    <w:rsid w:val="00590A50"/>
    <w:rsid w:val="00594FFB"/>
    <w:rsid w:val="0059526A"/>
    <w:rsid w:val="00596312"/>
    <w:rsid w:val="00596A0B"/>
    <w:rsid w:val="005A0D03"/>
    <w:rsid w:val="005A3BDF"/>
    <w:rsid w:val="005A66BB"/>
    <w:rsid w:val="005B1D83"/>
    <w:rsid w:val="005B741D"/>
    <w:rsid w:val="005C14CB"/>
    <w:rsid w:val="005C1FF8"/>
    <w:rsid w:val="005C3671"/>
    <w:rsid w:val="005C3B7C"/>
    <w:rsid w:val="005C554B"/>
    <w:rsid w:val="005C5619"/>
    <w:rsid w:val="005C68F0"/>
    <w:rsid w:val="005C7AD6"/>
    <w:rsid w:val="005D051D"/>
    <w:rsid w:val="005D2672"/>
    <w:rsid w:val="005D279B"/>
    <w:rsid w:val="005D355C"/>
    <w:rsid w:val="005D7002"/>
    <w:rsid w:val="005E02F3"/>
    <w:rsid w:val="005E1ED5"/>
    <w:rsid w:val="005E3A6A"/>
    <w:rsid w:val="005E5190"/>
    <w:rsid w:val="005E676D"/>
    <w:rsid w:val="005E6DB4"/>
    <w:rsid w:val="005F3CD9"/>
    <w:rsid w:val="005F499A"/>
    <w:rsid w:val="005F5C52"/>
    <w:rsid w:val="005F6DC6"/>
    <w:rsid w:val="005F6EDC"/>
    <w:rsid w:val="005F7B60"/>
    <w:rsid w:val="00602123"/>
    <w:rsid w:val="0060406B"/>
    <w:rsid w:val="0060579F"/>
    <w:rsid w:val="006063A5"/>
    <w:rsid w:val="00611673"/>
    <w:rsid w:val="006151BE"/>
    <w:rsid w:val="00616A47"/>
    <w:rsid w:val="00623B61"/>
    <w:rsid w:val="00624282"/>
    <w:rsid w:val="00624298"/>
    <w:rsid w:val="0062519C"/>
    <w:rsid w:val="006263B5"/>
    <w:rsid w:val="0062664A"/>
    <w:rsid w:val="00626C30"/>
    <w:rsid w:val="00627BAB"/>
    <w:rsid w:val="006318FD"/>
    <w:rsid w:val="00631C86"/>
    <w:rsid w:val="00631F1F"/>
    <w:rsid w:val="00632691"/>
    <w:rsid w:val="006334EB"/>
    <w:rsid w:val="0063426C"/>
    <w:rsid w:val="00635A06"/>
    <w:rsid w:val="00637BB2"/>
    <w:rsid w:val="00640103"/>
    <w:rsid w:val="006453C7"/>
    <w:rsid w:val="00645742"/>
    <w:rsid w:val="00647F43"/>
    <w:rsid w:val="00650858"/>
    <w:rsid w:val="00650DB3"/>
    <w:rsid w:val="006518CA"/>
    <w:rsid w:val="006529D3"/>
    <w:rsid w:val="006532B6"/>
    <w:rsid w:val="00653F9D"/>
    <w:rsid w:val="006542A3"/>
    <w:rsid w:val="006553A3"/>
    <w:rsid w:val="00657418"/>
    <w:rsid w:val="00660700"/>
    <w:rsid w:val="00661548"/>
    <w:rsid w:val="006648E6"/>
    <w:rsid w:val="0066520C"/>
    <w:rsid w:val="00666EF4"/>
    <w:rsid w:val="00667466"/>
    <w:rsid w:val="006676AF"/>
    <w:rsid w:val="006706ED"/>
    <w:rsid w:val="006712D1"/>
    <w:rsid w:val="00673B24"/>
    <w:rsid w:val="00676375"/>
    <w:rsid w:val="006802D8"/>
    <w:rsid w:val="00680B1F"/>
    <w:rsid w:val="00682034"/>
    <w:rsid w:val="00684A4C"/>
    <w:rsid w:val="00694A95"/>
    <w:rsid w:val="00694D88"/>
    <w:rsid w:val="00697F5B"/>
    <w:rsid w:val="006A0AA2"/>
    <w:rsid w:val="006A1E09"/>
    <w:rsid w:val="006A2F77"/>
    <w:rsid w:val="006A3481"/>
    <w:rsid w:val="006A5004"/>
    <w:rsid w:val="006A5C7F"/>
    <w:rsid w:val="006B1EB7"/>
    <w:rsid w:val="006B2061"/>
    <w:rsid w:val="006B233C"/>
    <w:rsid w:val="006B6577"/>
    <w:rsid w:val="006B66EB"/>
    <w:rsid w:val="006B6969"/>
    <w:rsid w:val="006B6BA7"/>
    <w:rsid w:val="006B724F"/>
    <w:rsid w:val="006C2A0A"/>
    <w:rsid w:val="006C59DE"/>
    <w:rsid w:val="006C5D4D"/>
    <w:rsid w:val="006C6BE4"/>
    <w:rsid w:val="006C71A0"/>
    <w:rsid w:val="006D1046"/>
    <w:rsid w:val="006D228B"/>
    <w:rsid w:val="006D3C87"/>
    <w:rsid w:val="006D5ED8"/>
    <w:rsid w:val="006D6FEA"/>
    <w:rsid w:val="006D724E"/>
    <w:rsid w:val="006D74F6"/>
    <w:rsid w:val="006D788B"/>
    <w:rsid w:val="006E0C18"/>
    <w:rsid w:val="006E3729"/>
    <w:rsid w:val="006E5BE3"/>
    <w:rsid w:val="006E75A9"/>
    <w:rsid w:val="006F2C2E"/>
    <w:rsid w:val="006F4069"/>
    <w:rsid w:val="006F4152"/>
    <w:rsid w:val="006F49A7"/>
    <w:rsid w:val="006F667D"/>
    <w:rsid w:val="006F6BFF"/>
    <w:rsid w:val="006F7B83"/>
    <w:rsid w:val="0070017D"/>
    <w:rsid w:val="00701B1F"/>
    <w:rsid w:val="00703906"/>
    <w:rsid w:val="00703BF2"/>
    <w:rsid w:val="00703F99"/>
    <w:rsid w:val="007041DA"/>
    <w:rsid w:val="007044E3"/>
    <w:rsid w:val="00704D27"/>
    <w:rsid w:val="0070564C"/>
    <w:rsid w:val="00705D86"/>
    <w:rsid w:val="00706A47"/>
    <w:rsid w:val="007101B2"/>
    <w:rsid w:val="00710DD6"/>
    <w:rsid w:val="007122C7"/>
    <w:rsid w:val="00713BC9"/>
    <w:rsid w:val="007151F7"/>
    <w:rsid w:val="007164EA"/>
    <w:rsid w:val="0072114D"/>
    <w:rsid w:val="007213A7"/>
    <w:rsid w:val="007219FC"/>
    <w:rsid w:val="00722E89"/>
    <w:rsid w:val="00723A98"/>
    <w:rsid w:val="00724EFD"/>
    <w:rsid w:val="007256EC"/>
    <w:rsid w:val="0072699A"/>
    <w:rsid w:val="00732920"/>
    <w:rsid w:val="007340D5"/>
    <w:rsid w:val="00735099"/>
    <w:rsid w:val="00735635"/>
    <w:rsid w:val="0074243B"/>
    <w:rsid w:val="00742B72"/>
    <w:rsid w:val="0074313E"/>
    <w:rsid w:val="007437E9"/>
    <w:rsid w:val="00743928"/>
    <w:rsid w:val="007454B9"/>
    <w:rsid w:val="00746058"/>
    <w:rsid w:val="00750C43"/>
    <w:rsid w:val="0075247F"/>
    <w:rsid w:val="00752E4C"/>
    <w:rsid w:val="00752E64"/>
    <w:rsid w:val="00754F87"/>
    <w:rsid w:val="00756DEA"/>
    <w:rsid w:val="00761D01"/>
    <w:rsid w:val="007635F8"/>
    <w:rsid w:val="0076429D"/>
    <w:rsid w:val="007649FF"/>
    <w:rsid w:val="00770167"/>
    <w:rsid w:val="00772609"/>
    <w:rsid w:val="007741F3"/>
    <w:rsid w:val="00774E3E"/>
    <w:rsid w:val="0077647A"/>
    <w:rsid w:val="00776AA2"/>
    <w:rsid w:val="00781553"/>
    <w:rsid w:val="00781BD6"/>
    <w:rsid w:val="007830C0"/>
    <w:rsid w:val="0078526D"/>
    <w:rsid w:val="00785F5A"/>
    <w:rsid w:val="00786C2C"/>
    <w:rsid w:val="007874B5"/>
    <w:rsid w:val="00792DDD"/>
    <w:rsid w:val="00792E6A"/>
    <w:rsid w:val="007950C7"/>
    <w:rsid w:val="00797E6F"/>
    <w:rsid w:val="007A01CB"/>
    <w:rsid w:val="007A0412"/>
    <w:rsid w:val="007A450C"/>
    <w:rsid w:val="007A57D8"/>
    <w:rsid w:val="007A6FFD"/>
    <w:rsid w:val="007B03BB"/>
    <w:rsid w:val="007B06E8"/>
    <w:rsid w:val="007B073C"/>
    <w:rsid w:val="007B3255"/>
    <w:rsid w:val="007B3AE9"/>
    <w:rsid w:val="007B4921"/>
    <w:rsid w:val="007B6F3E"/>
    <w:rsid w:val="007C163A"/>
    <w:rsid w:val="007C1BF1"/>
    <w:rsid w:val="007C23E8"/>
    <w:rsid w:val="007C3661"/>
    <w:rsid w:val="007C5764"/>
    <w:rsid w:val="007C5D1B"/>
    <w:rsid w:val="007C6C76"/>
    <w:rsid w:val="007D07FE"/>
    <w:rsid w:val="007D3077"/>
    <w:rsid w:val="007D377F"/>
    <w:rsid w:val="007D4263"/>
    <w:rsid w:val="007D68F1"/>
    <w:rsid w:val="007D6D2F"/>
    <w:rsid w:val="007D74B0"/>
    <w:rsid w:val="007D7B33"/>
    <w:rsid w:val="007D7F23"/>
    <w:rsid w:val="007E0463"/>
    <w:rsid w:val="007E09FC"/>
    <w:rsid w:val="007E15C2"/>
    <w:rsid w:val="007E1674"/>
    <w:rsid w:val="007E176C"/>
    <w:rsid w:val="007E1884"/>
    <w:rsid w:val="007E25AA"/>
    <w:rsid w:val="007E2ABB"/>
    <w:rsid w:val="007E43D7"/>
    <w:rsid w:val="007E689B"/>
    <w:rsid w:val="007F0168"/>
    <w:rsid w:val="007F05B2"/>
    <w:rsid w:val="007F0A88"/>
    <w:rsid w:val="007F1A5B"/>
    <w:rsid w:val="007F43BD"/>
    <w:rsid w:val="007F5840"/>
    <w:rsid w:val="007F6A27"/>
    <w:rsid w:val="007F7491"/>
    <w:rsid w:val="007F7BD8"/>
    <w:rsid w:val="0080079E"/>
    <w:rsid w:val="008017B3"/>
    <w:rsid w:val="00805843"/>
    <w:rsid w:val="00807152"/>
    <w:rsid w:val="008108AB"/>
    <w:rsid w:val="008121D6"/>
    <w:rsid w:val="00812F32"/>
    <w:rsid w:val="008136A8"/>
    <w:rsid w:val="008160C5"/>
    <w:rsid w:val="00817C7E"/>
    <w:rsid w:val="0082297C"/>
    <w:rsid w:val="00823247"/>
    <w:rsid w:val="00824FB3"/>
    <w:rsid w:val="00825B2D"/>
    <w:rsid w:val="00826559"/>
    <w:rsid w:val="008274BE"/>
    <w:rsid w:val="00830AC0"/>
    <w:rsid w:val="00831179"/>
    <w:rsid w:val="00831D3C"/>
    <w:rsid w:val="00832128"/>
    <w:rsid w:val="008339AF"/>
    <w:rsid w:val="008339C3"/>
    <w:rsid w:val="00834B7E"/>
    <w:rsid w:val="00835B10"/>
    <w:rsid w:val="00836436"/>
    <w:rsid w:val="008375C5"/>
    <w:rsid w:val="00837AEA"/>
    <w:rsid w:val="0084090A"/>
    <w:rsid w:val="008425A5"/>
    <w:rsid w:val="00842612"/>
    <w:rsid w:val="00844650"/>
    <w:rsid w:val="00845C26"/>
    <w:rsid w:val="00845FC4"/>
    <w:rsid w:val="0084680D"/>
    <w:rsid w:val="008505A8"/>
    <w:rsid w:val="00851232"/>
    <w:rsid w:val="0085160A"/>
    <w:rsid w:val="00852105"/>
    <w:rsid w:val="008524FB"/>
    <w:rsid w:val="00854D4B"/>
    <w:rsid w:val="008553C1"/>
    <w:rsid w:val="0085564B"/>
    <w:rsid w:val="00855B12"/>
    <w:rsid w:val="00855E70"/>
    <w:rsid w:val="008570E9"/>
    <w:rsid w:val="00857C90"/>
    <w:rsid w:val="008607B5"/>
    <w:rsid w:val="00860CBB"/>
    <w:rsid w:val="00862441"/>
    <w:rsid w:val="008656ED"/>
    <w:rsid w:val="00865858"/>
    <w:rsid w:val="0086730B"/>
    <w:rsid w:val="00867E8E"/>
    <w:rsid w:val="00867F6B"/>
    <w:rsid w:val="00870616"/>
    <w:rsid w:val="008712C3"/>
    <w:rsid w:val="008739C3"/>
    <w:rsid w:val="008750D5"/>
    <w:rsid w:val="0087677B"/>
    <w:rsid w:val="00877482"/>
    <w:rsid w:val="00877F73"/>
    <w:rsid w:val="00880A28"/>
    <w:rsid w:val="008819A4"/>
    <w:rsid w:val="0088252D"/>
    <w:rsid w:val="00884119"/>
    <w:rsid w:val="00884749"/>
    <w:rsid w:val="0088490B"/>
    <w:rsid w:val="00884EB9"/>
    <w:rsid w:val="00885870"/>
    <w:rsid w:val="00885BC3"/>
    <w:rsid w:val="00885BCB"/>
    <w:rsid w:val="00886093"/>
    <w:rsid w:val="00886B63"/>
    <w:rsid w:val="00887023"/>
    <w:rsid w:val="00887902"/>
    <w:rsid w:val="00890D50"/>
    <w:rsid w:val="00892146"/>
    <w:rsid w:val="00893342"/>
    <w:rsid w:val="00896D44"/>
    <w:rsid w:val="008A48C1"/>
    <w:rsid w:val="008A6E81"/>
    <w:rsid w:val="008B02F7"/>
    <w:rsid w:val="008B052C"/>
    <w:rsid w:val="008B5BE0"/>
    <w:rsid w:val="008B6243"/>
    <w:rsid w:val="008C100C"/>
    <w:rsid w:val="008C10CA"/>
    <w:rsid w:val="008C40F8"/>
    <w:rsid w:val="008C66BA"/>
    <w:rsid w:val="008C690A"/>
    <w:rsid w:val="008C6D74"/>
    <w:rsid w:val="008C76AD"/>
    <w:rsid w:val="008C7CE0"/>
    <w:rsid w:val="008D107A"/>
    <w:rsid w:val="008D1282"/>
    <w:rsid w:val="008D23A5"/>
    <w:rsid w:val="008D23EA"/>
    <w:rsid w:val="008D42E7"/>
    <w:rsid w:val="008D71F0"/>
    <w:rsid w:val="008E0C66"/>
    <w:rsid w:val="008E248B"/>
    <w:rsid w:val="008E2D25"/>
    <w:rsid w:val="008E4E9F"/>
    <w:rsid w:val="008E51D7"/>
    <w:rsid w:val="008E59C6"/>
    <w:rsid w:val="008F0CC0"/>
    <w:rsid w:val="008F414A"/>
    <w:rsid w:val="008F6405"/>
    <w:rsid w:val="008F6A0C"/>
    <w:rsid w:val="008F7DE5"/>
    <w:rsid w:val="009026AE"/>
    <w:rsid w:val="00906F80"/>
    <w:rsid w:val="00907D76"/>
    <w:rsid w:val="009134AF"/>
    <w:rsid w:val="00913524"/>
    <w:rsid w:val="0091447E"/>
    <w:rsid w:val="00915176"/>
    <w:rsid w:val="00917BD1"/>
    <w:rsid w:val="0092005C"/>
    <w:rsid w:val="00920E2A"/>
    <w:rsid w:val="009219A9"/>
    <w:rsid w:val="00921D0A"/>
    <w:rsid w:val="00922D5B"/>
    <w:rsid w:val="00925919"/>
    <w:rsid w:val="009260AD"/>
    <w:rsid w:val="009261A9"/>
    <w:rsid w:val="00926FE3"/>
    <w:rsid w:val="00932712"/>
    <w:rsid w:val="009340EA"/>
    <w:rsid w:val="00934B85"/>
    <w:rsid w:val="00936191"/>
    <w:rsid w:val="00936E49"/>
    <w:rsid w:val="0094483C"/>
    <w:rsid w:val="0094586F"/>
    <w:rsid w:val="0094785B"/>
    <w:rsid w:val="00950EA6"/>
    <w:rsid w:val="009514A8"/>
    <w:rsid w:val="009526A8"/>
    <w:rsid w:val="00953A2D"/>
    <w:rsid w:val="00954163"/>
    <w:rsid w:val="009559D0"/>
    <w:rsid w:val="00957623"/>
    <w:rsid w:val="00961611"/>
    <w:rsid w:val="00963310"/>
    <w:rsid w:val="00964C26"/>
    <w:rsid w:val="00971A2C"/>
    <w:rsid w:val="00972217"/>
    <w:rsid w:val="0097332B"/>
    <w:rsid w:val="00975C58"/>
    <w:rsid w:val="009763F2"/>
    <w:rsid w:val="00977317"/>
    <w:rsid w:val="00977DDA"/>
    <w:rsid w:val="009817C6"/>
    <w:rsid w:val="00985D60"/>
    <w:rsid w:val="009861CF"/>
    <w:rsid w:val="00987894"/>
    <w:rsid w:val="00987B8C"/>
    <w:rsid w:val="00990437"/>
    <w:rsid w:val="0099149A"/>
    <w:rsid w:val="009916BD"/>
    <w:rsid w:val="009917D6"/>
    <w:rsid w:val="009926BF"/>
    <w:rsid w:val="00992FD8"/>
    <w:rsid w:val="009931AA"/>
    <w:rsid w:val="009A0C72"/>
    <w:rsid w:val="009A1CAD"/>
    <w:rsid w:val="009A24CA"/>
    <w:rsid w:val="009A5660"/>
    <w:rsid w:val="009A57DE"/>
    <w:rsid w:val="009A71A3"/>
    <w:rsid w:val="009A7484"/>
    <w:rsid w:val="009A764F"/>
    <w:rsid w:val="009B11D8"/>
    <w:rsid w:val="009B2894"/>
    <w:rsid w:val="009B5209"/>
    <w:rsid w:val="009B522F"/>
    <w:rsid w:val="009B6886"/>
    <w:rsid w:val="009B7FD0"/>
    <w:rsid w:val="009C02E8"/>
    <w:rsid w:val="009C1018"/>
    <w:rsid w:val="009C1145"/>
    <w:rsid w:val="009C40C3"/>
    <w:rsid w:val="009C6215"/>
    <w:rsid w:val="009C6BF1"/>
    <w:rsid w:val="009D109B"/>
    <w:rsid w:val="009D3744"/>
    <w:rsid w:val="009D75FA"/>
    <w:rsid w:val="009E6BA5"/>
    <w:rsid w:val="009F1135"/>
    <w:rsid w:val="009F1E67"/>
    <w:rsid w:val="009F2DE5"/>
    <w:rsid w:val="009F47C0"/>
    <w:rsid w:val="009F4902"/>
    <w:rsid w:val="009F4A51"/>
    <w:rsid w:val="009F69D9"/>
    <w:rsid w:val="009F7681"/>
    <w:rsid w:val="009F7AD3"/>
    <w:rsid w:val="00A00B60"/>
    <w:rsid w:val="00A00FDC"/>
    <w:rsid w:val="00A047CE"/>
    <w:rsid w:val="00A06866"/>
    <w:rsid w:val="00A07DEA"/>
    <w:rsid w:val="00A10398"/>
    <w:rsid w:val="00A111A2"/>
    <w:rsid w:val="00A1216E"/>
    <w:rsid w:val="00A12C22"/>
    <w:rsid w:val="00A12F57"/>
    <w:rsid w:val="00A13928"/>
    <w:rsid w:val="00A177A5"/>
    <w:rsid w:val="00A207D9"/>
    <w:rsid w:val="00A26B1D"/>
    <w:rsid w:val="00A26E42"/>
    <w:rsid w:val="00A272C5"/>
    <w:rsid w:val="00A273AA"/>
    <w:rsid w:val="00A30B25"/>
    <w:rsid w:val="00A30EC4"/>
    <w:rsid w:val="00A3101A"/>
    <w:rsid w:val="00A43316"/>
    <w:rsid w:val="00A4467C"/>
    <w:rsid w:val="00A475DC"/>
    <w:rsid w:val="00A5188F"/>
    <w:rsid w:val="00A668DF"/>
    <w:rsid w:val="00A70D26"/>
    <w:rsid w:val="00A70F71"/>
    <w:rsid w:val="00A730D0"/>
    <w:rsid w:val="00A7336C"/>
    <w:rsid w:val="00A75155"/>
    <w:rsid w:val="00A75E6B"/>
    <w:rsid w:val="00A77954"/>
    <w:rsid w:val="00A85D7E"/>
    <w:rsid w:val="00A85E04"/>
    <w:rsid w:val="00A85EAB"/>
    <w:rsid w:val="00A87664"/>
    <w:rsid w:val="00A87A25"/>
    <w:rsid w:val="00A92ECE"/>
    <w:rsid w:val="00A93589"/>
    <w:rsid w:val="00A93F1D"/>
    <w:rsid w:val="00A965A3"/>
    <w:rsid w:val="00AA47CE"/>
    <w:rsid w:val="00AA4A9F"/>
    <w:rsid w:val="00AA4B5D"/>
    <w:rsid w:val="00AA52E9"/>
    <w:rsid w:val="00AA5365"/>
    <w:rsid w:val="00AA605A"/>
    <w:rsid w:val="00AA6492"/>
    <w:rsid w:val="00AA69DA"/>
    <w:rsid w:val="00AB1422"/>
    <w:rsid w:val="00AB18D6"/>
    <w:rsid w:val="00AB3E80"/>
    <w:rsid w:val="00AB454C"/>
    <w:rsid w:val="00AB58FB"/>
    <w:rsid w:val="00AB5D5A"/>
    <w:rsid w:val="00AB7526"/>
    <w:rsid w:val="00AC271F"/>
    <w:rsid w:val="00AC33E0"/>
    <w:rsid w:val="00AC360A"/>
    <w:rsid w:val="00AC4798"/>
    <w:rsid w:val="00AC5702"/>
    <w:rsid w:val="00AC5912"/>
    <w:rsid w:val="00AC5F0C"/>
    <w:rsid w:val="00AD07B9"/>
    <w:rsid w:val="00AD1008"/>
    <w:rsid w:val="00AD2F2C"/>
    <w:rsid w:val="00AD4667"/>
    <w:rsid w:val="00AD580A"/>
    <w:rsid w:val="00AE0189"/>
    <w:rsid w:val="00AE1F35"/>
    <w:rsid w:val="00AE2752"/>
    <w:rsid w:val="00AE361C"/>
    <w:rsid w:val="00AE438D"/>
    <w:rsid w:val="00AE47B2"/>
    <w:rsid w:val="00AE56CE"/>
    <w:rsid w:val="00AE65B3"/>
    <w:rsid w:val="00AE7C2F"/>
    <w:rsid w:val="00AF21EA"/>
    <w:rsid w:val="00AF706A"/>
    <w:rsid w:val="00B000C2"/>
    <w:rsid w:val="00B00F89"/>
    <w:rsid w:val="00B025E9"/>
    <w:rsid w:val="00B02AC8"/>
    <w:rsid w:val="00B055C4"/>
    <w:rsid w:val="00B056EB"/>
    <w:rsid w:val="00B059B2"/>
    <w:rsid w:val="00B10697"/>
    <w:rsid w:val="00B11BC5"/>
    <w:rsid w:val="00B1407F"/>
    <w:rsid w:val="00B15135"/>
    <w:rsid w:val="00B15422"/>
    <w:rsid w:val="00B22B5A"/>
    <w:rsid w:val="00B25B7E"/>
    <w:rsid w:val="00B27612"/>
    <w:rsid w:val="00B27B6E"/>
    <w:rsid w:val="00B27B8C"/>
    <w:rsid w:val="00B27FA0"/>
    <w:rsid w:val="00B302BF"/>
    <w:rsid w:val="00B32C7B"/>
    <w:rsid w:val="00B3324C"/>
    <w:rsid w:val="00B359A9"/>
    <w:rsid w:val="00B4046E"/>
    <w:rsid w:val="00B40B26"/>
    <w:rsid w:val="00B4305B"/>
    <w:rsid w:val="00B43E4C"/>
    <w:rsid w:val="00B43E94"/>
    <w:rsid w:val="00B443CA"/>
    <w:rsid w:val="00B46E39"/>
    <w:rsid w:val="00B47EDD"/>
    <w:rsid w:val="00B520E0"/>
    <w:rsid w:val="00B5364B"/>
    <w:rsid w:val="00B54734"/>
    <w:rsid w:val="00B5754E"/>
    <w:rsid w:val="00B60808"/>
    <w:rsid w:val="00B609D3"/>
    <w:rsid w:val="00B658C9"/>
    <w:rsid w:val="00B67FF7"/>
    <w:rsid w:val="00B71C18"/>
    <w:rsid w:val="00B72410"/>
    <w:rsid w:val="00B734A4"/>
    <w:rsid w:val="00B751CD"/>
    <w:rsid w:val="00B76296"/>
    <w:rsid w:val="00B76578"/>
    <w:rsid w:val="00B81F9A"/>
    <w:rsid w:val="00B827DB"/>
    <w:rsid w:val="00B82EDD"/>
    <w:rsid w:val="00B83EEF"/>
    <w:rsid w:val="00B84547"/>
    <w:rsid w:val="00B85C2F"/>
    <w:rsid w:val="00B86E45"/>
    <w:rsid w:val="00B87733"/>
    <w:rsid w:val="00B93038"/>
    <w:rsid w:val="00B93882"/>
    <w:rsid w:val="00B946F4"/>
    <w:rsid w:val="00B9699D"/>
    <w:rsid w:val="00BA1C8A"/>
    <w:rsid w:val="00BA3467"/>
    <w:rsid w:val="00BA3D60"/>
    <w:rsid w:val="00BA4F1C"/>
    <w:rsid w:val="00BA6C00"/>
    <w:rsid w:val="00BB0328"/>
    <w:rsid w:val="00BB1658"/>
    <w:rsid w:val="00BB58AA"/>
    <w:rsid w:val="00BB5908"/>
    <w:rsid w:val="00BC039B"/>
    <w:rsid w:val="00BC1A8B"/>
    <w:rsid w:val="00BC496D"/>
    <w:rsid w:val="00BC5D35"/>
    <w:rsid w:val="00BC6E36"/>
    <w:rsid w:val="00BD06E7"/>
    <w:rsid w:val="00BD07E2"/>
    <w:rsid w:val="00BD0E90"/>
    <w:rsid w:val="00BD1581"/>
    <w:rsid w:val="00BD2334"/>
    <w:rsid w:val="00BD3A16"/>
    <w:rsid w:val="00BD3A1C"/>
    <w:rsid w:val="00BD42E3"/>
    <w:rsid w:val="00BD4522"/>
    <w:rsid w:val="00BD490F"/>
    <w:rsid w:val="00BE015A"/>
    <w:rsid w:val="00BE04D7"/>
    <w:rsid w:val="00BE0611"/>
    <w:rsid w:val="00BE09C3"/>
    <w:rsid w:val="00BE1B8E"/>
    <w:rsid w:val="00BE2B14"/>
    <w:rsid w:val="00BE37DD"/>
    <w:rsid w:val="00BE4273"/>
    <w:rsid w:val="00BE4663"/>
    <w:rsid w:val="00BE607C"/>
    <w:rsid w:val="00BF0397"/>
    <w:rsid w:val="00BF5645"/>
    <w:rsid w:val="00BF7D18"/>
    <w:rsid w:val="00C00CC7"/>
    <w:rsid w:val="00C042A4"/>
    <w:rsid w:val="00C04419"/>
    <w:rsid w:val="00C045D2"/>
    <w:rsid w:val="00C0485D"/>
    <w:rsid w:val="00C048F3"/>
    <w:rsid w:val="00C04A3B"/>
    <w:rsid w:val="00C04BCC"/>
    <w:rsid w:val="00C06559"/>
    <w:rsid w:val="00C141CD"/>
    <w:rsid w:val="00C15087"/>
    <w:rsid w:val="00C1583C"/>
    <w:rsid w:val="00C15EA3"/>
    <w:rsid w:val="00C163CE"/>
    <w:rsid w:val="00C16FC4"/>
    <w:rsid w:val="00C20143"/>
    <w:rsid w:val="00C20F8E"/>
    <w:rsid w:val="00C22490"/>
    <w:rsid w:val="00C23E26"/>
    <w:rsid w:val="00C2687B"/>
    <w:rsid w:val="00C26A3C"/>
    <w:rsid w:val="00C26D33"/>
    <w:rsid w:val="00C2770A"/>
    <w:rsid w:val="00C27AA6"/>
    <w:rsid w:val="00C30EE9"/>
    <w:rsid w:val="00C321EE"/>
    <w:rsid w:val="00C3293C"/>
    <w:rsid w:val="00C360A9"/>
    <w:rsid w:val="00C375B8"/>
    <w:rsid w:val="00C37CD9"/>
    <w:rsid w:val="00C401D4"/>
    <w:rsid w:val="00C417C6"/>
    <w:rsid w:val="00C417CA"/>
    <w:rsid w:val="00C429D7"/>
    <w:rsid w:val="00C43742"/>
    <w:rsid w:val="00C44EC2"/>
    <w:rsid w:val="00C44EF4"/>
    <w:rsid w:val="00C4587E"/>
    <w:rsid w:val="00C45D6D"/>
    <w:rsid w:val="00C50DDC"/>
    <w:rsid w:val="00C51028"/>
    <w:rsid w:val="00C51AC2"/>
    <w:rsid w:val="00C522C5"/>
    <w:rsid w:val="00C52ACA"/>
    <w:rsid w:val="00C52F14"/>
    <w:rsid w:val="00C54CFB"/>
    <w:rsid w:val="00C54EBE"/>
    <w:rsid w:val="00C55B5C"/>
    <w:rsid w:val="00C56DF3"/>
    <w:rsid w:val="00C6080C"/>
    <w:rsid w:val="00C60FDF"/>
    <w:rsid w:val="00C611D2"/>
    <w:rsid w:val="00C6154D"/>
    <w:rsid w:val="00C61A61"/>
    <w:rsid w:val="00C61D49"/>
    <w:rsid w:val="00C6334E"/>
    <w:rsid w:val="00C64BBE"/>
    <w:rsid w:val="00C65AF7"/>
    <w:rsid w:val="00C65F66"/>
    <w:rsid w:val="00C67AC0"/>
    <w:rsid w:val="00C67E14"/>
    <w:rsid w:val="00C71189"/>
    <w:rsid w:val="00C72F76"/>
    <w:rsid w:val="00C753C4"/>
    <w:rsid w:val="00C77901"/>
    <w:rsid w:val="00C8008B"/>
    <w:rsid w:val="00C817A3"/>
    <w:rsid w:val="00C817DA"/>
    <w:rsid w:val="00C83DA8"/>
    <w:rsid w:val="00C8687E"/>
    <w:rsid w:val="00C929BC"/>
    <w:rsid w:val="00C955C8"/>
    <w:rsid w:val="00C96121"/>
    <w:rsid w:val="00C968F8"/>
    <w:rsid w:val="00C97F15"/>
    <w:rsid w:val="00CA0BE0"/>
    <w:rsid w:val="00CA4BFE"/>
    <w:rsid w:val="00CA4F2F"/>
    <w:rsid w:val="00CA5F2A"/>
    <w:rsid w:val="00CA6747"/>
    <w:rsid w:val="00CA6F13"/>
    <w:rsid w:val="00CA751D"/>
    <w:rsid w:val="00CB0310"/>
    <w:rsid w:val="00CB06E7"/>
    <w:rsid w:val="00CB39F2"/>
    <w:rsid w:val="00CB4EE6"/>
    <w:rsid w:val="00CB5880"/>
    <w:rsid w:val="00CC3351"/>
    <w:rsid w:val="00CC3E2D"/>
    <w:rsid w:val="00CC49C9"/>
    <w:rsid w:val="00CC5794"/>
    <w:rsid w:val="00CC6F6E"/>
    <w:rsid w:val="00CD2E10"/>
    <w:rsid w:val="00CD5AD8"/>
    <w:rsid w:val="00CD6174"/>
    <w:rsid w:val="00CD72E0"/>
    <w:rsid w:val="00CD78A3"/>
    <w:rsid w:val="00CE0177"/>
    <w:rsid w:val="00CE03B9"/>
    <w:rsid w:val="00CE03FF"/>
    <w:rsid w:val="00CE079F"/>
    <w:rsid w:val="00CE09B3"/>
    <w:rsid w:val="00CE2BEA"/>
    <w:rsid w:val="00CE2CF5"/>
    <w:rsid w:val="00CE49DC"/>
    <w:rsid w:val="00CE6590"/>
    <w:rsid w:val="00CE7CF5"/>
    <w:rsid w:val="00CE7F17"/>
    <w:rsid w:val="00CF0353"/>
    <w:rsid w:val="00CF080E"/>
    <w:rsid w:val="00CF25EE"/>
    <w:rsid w:val="00CF2BE5"/>
    <w:rsid w:val="00CF2C30"/>
    <w:rsid w:val="00CF584D"/>
    <w:rsid w:val="00CF6391"/>
    <w:rsid w:val="00CF6A7C"/>
    <w:rsid w:val="00CF741F"/>
    <w:rsid w:val="00D02695"/>
    <w:rsid w:val="00D02960"/>
    <w:rsid w:val="00D02CD9"/>
    <w:rsid w:val="00D03F53"/>
    <w:rsid w:val="00D065C0"/>
    <w:rsid w:val="00D1099D"/>
    <w:rsid w:val="00D139DC"/>
    <w:rsid w:val="00D17CEB"/>
    <w:rsid w:val="00D24280"/>
    <w:rsid w:val="00D255BA"/>
    <w:rsid w:val="00D25730"/>
    <w:rsid w:val="00D26288"/>
    <w:rsid w:val="00D26C19"/>
    <w:rsid w:val="00D275C4"/>
    <w:rsid w:val="00D3093D"/>
    <w:rsid w:val="00D30E37"/>
    <w:rsid w:val="00D31D58"/>
    <w:rsid w:val="00D32092"/>
    <w:rsid w:val="00D33753"/>
    <w:rsid w:val="00D33DF5"/>
    <w:rsid w:val="00D3404F"/>
    <w:rsid w:val="00D43C97"/>
    <w:rsid w:val="00D446E0"/>
    <w:rsid w:val="00D458BA"/>
    <w:rsid w:val="00D476ED"/>
    <w:rsid w:val="00D5018E"/>
    <w:rsid w:val="00D52A81"/>
    <w:rsid w:val="00D52C15"/>
    <w:rsid w:val="00D532CB"/>
    <w:rsid w:val="00D54153"/>
    <w:rsid w:val="00D556F1"/>
    <w:rsid w:val="00D56DD3"/>
    <w:rsid w:val="00D579ED"/>
    <w:rsid w:val="00D60064"/>
    <w:rsid w:val="00D60C61"/>
    <w:rsid w:val="00D662A4"/>
    <w:rsid w:val="00D72BA9"/>
    <w:rsid w:val="00D73049"/>
    <w:rsid w:val="00D73CCC"/>
    <w:rsid w:val="00D748C7"/>
    <w:rsid w:val="00D77B43"/>
    <w:rsid w:val="00D77D7F"/>
    <w:rsid w:val="00D80D69"/>
    <w:rsid w:val="00D81CA7"/>
    <w:rsid w:val="00D82868"/>
    <w:rsid w:val="00D829B3"/>
    <w:rsid w:val="00D83387"/>
    <w:rsid w:val="00D83699"/>
    <w:rsid w:val="00D8437C"/>
    <w:rsid w:val="00D85D4F"/>
    <w:rsid w:val="00D85E8D"/>
    <w:rsid w:val="00D86F23"/>
    <w:rsid w:val="00D87410"/>
    <w:rsid w:val="00D87E95"/>
    <w:rsid w:val="00D90D69"/>
    <w:rsid w:val="00D91B1E"/>
    <w:rsid w:val="00D9287C"/>
    <w:rsid w:val="00D93C97"/>
    <w:rsid w:val="00D93E4D"/>
    <w:rsid w:val="00D97A6F"/>
    <w:rsid w:val="00DA1745"/>
    <w:rsid w:val="00DA53E9"/>
    <w:rsid w:val="00DA5E7D"/>
    <w:rsid w:val="00DA716E"/>
    <w:rsid w:val="00DA73EC"/>
    <w:rsid w:val="00DA7609"/>
    <w:rsid w:val="00DB061B"/>
    <w:rsid w:val="00DB11DA"/>
    <w:rsid w:val="00DB1407"/>
    <w:rsid w:val="00DB3D46"/>
    <w:rsid w:val="00DB53EB"/>
    <w:rsid w:val="00DB5963"/>
    <w:rsid w:val="00DB76AB"/>
    <w:rsid w:val="00DC1210"/>
    <w:rsid w:val="00DC225B"/>
    <w:rsid w:val="00DC2F58"/>
    <w:rsid w:val="00DC58F3"/>
    <w:rsid w:val="00DC69CD"/>
    <w:rsid w:val="00DD31F0"/>
    <w:rsid w:val="00DD43C9"/>
    <w:rsid w:val="00DD6C46"/>
    <w:rsid w:val="00DD754C"/>
    <w:rsid w:val="00DD76ED"/>
    <w:rsid w:val="00DD7B04"/>
    <w:rsid w:val="00DE0B46"/>
    <w:rsid w:val="00DE1BEF"/>
    <w:rsid w:val="00DE1FB9"/>
    <w:rsid w:val="00DE295B"/>
    <w:rsid w:val="00DE5234"/>
    <w:rsid w:val="00DE5941"/>
    <w:rsid w:val="00DE67C1"/>
    <w:rsid w:val="00DE6B10"/>
    <w:rsid w:val="00DE70B2"/>
    <w:rsid w:val="00DE7EC6"/>
    <w:rsid w:val="00DF074B"/>
    <w:rsid w:val="00DF3FB3"/>
    <w:rsid w:val="00DF7E83"/>
    <w:rsid w:val="00E02345"/>
    <w:rsid w:val="00E024F0"/>
    <w:rsid w:val="00E03C8E"/>
    <w:rsid w:val="00E0615D"/>
    <w:rsid w:val="00E0642E"/>
    <w:rsid w:val="00E137AE"/>
    <w:rsid w:val="00E13F4E"/>
    <w:rsid w:val="00E14BA1"/>
    <w:rsid w:val="00E1738F"/>
    <w:rsid w:val="00E20FA3"/>
    <w:rsid w:val="00E235FD"/>
    <w:rsid w:val="00E26C61"/>
    <w:rsid w:val="00E272FD"/>
    <w:rsid w:val="00E27A65"/>
    <w:rsid w:val="00E27CB7"/>
    <w:rsid w:val="00E3022D"/>
    <w:rsid w:val="00E31B1C"/>
    <w:rsid w:val="00E31E9D"/>
    <w:rsid w:val="00E32491"/>
    <w:rsid w:val="00E32807"/>
    <w:rsid w:val="00E32F83"/>
    <w:rsid w:val="00E336ED"/>
    <w:rsid w:val="00E3464D"/>
    <w:rsid w:val="00E35525"/>
    <w:rsid w:val="00E35E02"/>
    <w:rsid w:val="00E40372"/>
    <w:rsid w:val="00E40E97"/>
    <w:rsid w:val="00E411B8"/>
    <w:rsid w:val="00E42FAF"/>
    <w:rsid w:val="00E45738"/>
    <w:rsid w:val="00E46943"/>
    <w:rsid w:val="00E4724C"/>
    <w:rsid w:val="00E50F9F"/>
    <w:rsid w:val="00E52DA8"/>
    <w:rsid w:val="00E52F1A"/>
    <w:rsid w:val="00E5677D"/>
    <w:rsid w:val="00E577A5"/>
    <w:rsid w:val="00E62995"/>
    <w:rsid w:val="00E62A1E"/>
    <w:rsid w:val="00E62DDD"/>
    <w:rsid w:val="00E63CF8"/>
    <w:rsid w:val="00E64953"/>
    <w:rsid w:val="00E653A6"/>
    <w:rsid w:val="00E71A63"/>
    <w:rsid w:val="00E7334D"/>
    <w:rsid w:val="00E7362D"/>
    <w:rsid w:val="00E76CCC"/>
    <w:rsid w:val="00E76D2E"/>
    <w:rsid w:val="00E778DE"/>
    <w:rsid w:val="00E80CD9"/>
    <w:rsid w:val="00E81DD4"/>
    <w:rsid w:val="00E82FA2"/>
    <w:rsid w:val="00E84050"/>
    <w:rsid w:val="00E8751C"/>
    <w:rsid w:val="00E91B37"/>
    <w:rsid w:val="00E92889"/>
    <w:rsid w:val="00E9318B"/>
    <w:rsid w:val="00E9628B"/>
    <w:rsid w:val="00E97749"/>
    <w:rsid w:val="00EA3F95"/>
    <w:rsid w:val="00EA552E"/>
    <w:rsid w:val="00EA5F71"/>
    <w:rsid w:val="00EA7350"/>
    <w:rsid w:val="00EA7DDB"/>
    <w:rsid w:val="00EB115F"/>
    <w:rsid w:val="00EB1793"/>
    <w:rsid w:val="00EB1CBB"/>
    <w:rsid w:val="00EB3C55"/>
    <w:rsid w:val="00EB481D"/>
    <w:rsid w:val="00EB5B2C"/>
    <w:rsid w:val="00EB6611"/>
    <w:rsid w:val="00EC113B"/>
    <w:rsid w:val="00EC1A23"/>
    <w:rsid w:val="00EC1B8A"/>
    <w:rsid w:val="00EC31D3"/>
    <w:rsid w:val="00EC3BD4"/>
    <w:rsid w:val="00EC3F0C"/>
    <w:rsid w:val="00ED1D16"/>
    <w:rsid w:val="00ED6C37"/>
    <w:rsid w:val="00ED6E17"/>
    <w:rsid w:val="00ED7875"/>
    <w:rsid w:val="00EE0AAB"/>
    <w:rsid w:val="00EE1451"/>
    <w:rsid w:val="00EE1773"/>
    <w:rsid w:val="00EE4ED0"/>
    <w:rsid w:val="00EE671F"/>
    <w:rsid w:val="00EE70A5"/>
    <w:rsid w:val="00EF0A10"/>
    <w:rsid w:val="00EF51B3"/>
    <w:rsid w:val="00EF52C3"/>
    <w:rsid w:val="00EF77DA"/>
    <w:rsid w:val="00EF7CF7"/>
    <w:rsid w:val="00F00A6C"/>
    <w:rsid w:val="00F03121"/>
    <w:rsid w:val="00F039E0"/>
    <w:rsid w:val="00F07628"/>
    <w:rsid w:val="00F10AC0"/>
    <w:rsid w:val="00F12746"/>
    <w:rsid w:val="00F14043"/>
    <w:rsid w:val="00F1423F"/>
    <w:rsid w:val="00F1510B"/>
    <w:rsid w:val="00F15FB1"/>
    <w:rsid w:val="00F17302"/>
    <w:rsid w:val="00F17E0C"/>
    <w:rsid w:val="00F23FCA"/>
    <w:rsid w:val="00F2400C"/>
    <w:rsid w:val="00F24B92"/>
    <w:rsid w:val="00F250B0"/>
    <w:rsid w:val="00F25475"/>
    <w:rsid w:val="00F261BD"/>
    <w:rsid w:val="00F27F56"/>
    <w:rsid w:val="00F30261"/>
    <w:rsid w:val="00F30630"/>
    <w:rsid w:val="00F31258"/>
    <w:rsid w:val="00F31BBF"/>
    <w:rsid w:val="00F32C24"/>
    <w:rsid w:val="00F35423"/>
    <w:rsid w:val="00F41CA6"/>
    <w:rsid w:val="00F41CFE"/>
    <w:rsid w:val="00F43DF6"/>
    <w:rsid w:val="00F43E00"/>
    <w:rsid w:val="00F450C4"/>
    <w:rsid w:val="00F4546A"/>
    <w:rsid w:val="00F476D3"/>
    <w:rsid w:val="00F55247"/>
    <w:rsid w:val="00F55D61"/>
    <w:rsid w:val="00F602A8"/>
    <w:rsid w:val="00F61243"/>
    <w:rsid w:val="00F627EB"/>
    <w:rsid w:val="00F62990"/>
    <w:rsid w:val="00F64945"/>
    <w:rsid w:val="00F6538D"/>
    <w:rsid w:val="00F65618"/>
    <w:rsid w:val="00F7156C"/>
    <w:rsid w:val="00F7599C"/>
    <w:rsid w:val="00F779A1"/>
    <w:rsid w:val="00F77CF6"/>
    <w:rsid w:val="00F77EE6"/>
    <w:rsid w:val="00F82705"/>
    <w:rsid w:val="00F8290C"/>
    <w:rsid w:val="00F82F0C"/>
    <w:rsid w:val="00F835E9"/>
    <w:rsid w:val="00F85F1F"/>
    <w:rsid w:val="00F86B54"/>
    <w:rsid w:val="00F86F2D"/>
    <w:rsid w:val="00F87896"/>
    <w:rsid w:val="00F900D4"/>
    <w:rsid w:val="00F9068F"/>
    <w:rsid w:val="00F936D2"/>
    <w:rsid w:val="00F94210"/>
    <w:rsid w:val="00F95988"/>
    <w:rsid w:val="00F9655A"/>
    <w:rsid w:val="00F97763"/>
    <w:rsid w:val="00F977AD"/>
    <w:rsid w:val="00FA0657"/>
    <w:rsid w:val="00FA2003"/>
    <w:rsid w:val="00FA2430"/>
    <w:rsid w:val="00FA3D44"/>
    <w:rsid w:val="00FA414B"/>
    <w:rsid w:val="00FA4A06"/>
    <w:rsid w:val="00FA51E9"/>
    <w:rsid w:val="00FA5E4A"/>
    <w:rsid w:val="00FA5EF5"/>
    <w:rsid w:val="00FA66A9"/>
    <w:rsid w:val="00FB03B3"/>
    <w:rsid w:val="00FB54D5"/>
    <w:rsid w:val="00FB7496"/>
    <w:rsid w:val="00FB76D2"/>
    <w:rsid w:val="00FC418A"/>
    <w:rsid w:val="00FC53F5"/>
    <w:rsid w:val="00FC5C74"/>
    <w:rsid w:val="00FC64E6"/>
    <w:rsid w:val="00FC737E"/>
    <w:rsid w:val="00FC7853"/>
    <w:rsid w:val="00FC7B87"/>
    <w:rsid w:val="00FD16DD"/>
    <w:rsid w:val="00FD4D9D"/>
    <w:rsid w:val="00FD4DCE"/>
    <w:rsid w:val="00FD608A"/>
    <w:rsid w:val="00FE0AE3"/>
    <w:rsid w:val="00FE0F8A"/>
    <w:rsid w:val="00FE16CD"/>
    <w:rsid w:val="00FE1C6D"/>
    <w:rsid w:val="00FE2E09"/>
    <w:rsid w:val="00FE509D"/>
    <w:rsid w:val="00FE512F"/>
    <w:rsid w:val="00FE65FC"/>
    <w:rsid w:val="00FE7B28"/>
    <w:rsid w:val="00FE7BFD"/>
    <w:rsid w:val="00FF0500"/>
    <w:rsid w:val="00FF294E"/>
    <w:rsid w:val="00FF29EE"/>
    <w:rsid w:val="00FF396D"/>
    <w:rsid w:val="00FF39DB"/>
    <w:rsid w:val="00FF71A7"/>
    <w:rsid w:val="00FF7CC6"/>
  </w:rsids>
  <m:mathPr>
    <m:mathFont m:val="Cambria Math"/>
    <m:brkBin m:val="before"/>
    <m:brkBinSub m:val="--"/>
    <m:smallFrac m:val="0"/>
    <m:dispDef/>
    <m:lMargin m:val="0"/>
    <m:rMargin m:val="0"/>
    <m:defJc m:val="left"/>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67439"/>
  <w15:docId w15:val="{AABF8F1D-70A5-4F7C-9FDC-70C9333C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line="280" w:lineRule="atLeast"/>
        <w:ind w:left="1440" w:hanging="72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BE"/>
    <w:pPr>
      <w:spacing w:after="120"/>
      <w:ind w:left="720" w:firstLine="0"/>
    </w:pPr>
    <w:rPr>
      <w:rFonts w:asciiTheme="minorHAnsi" w:hAnsiTheme="minorHAnsi"/>
    </w:rPr>
  </w:style>
  <w:style w:type="paragraph" w:styleId="Heading1">
    <w:name w:val="heading 1"/>
    <w:next w:val="BodyText"/>
    <w:link w:val="Heading1Char"/>
    <w:uiPriority w:val="9"/>
    <w:rsid w:val="005518C7"/>
    <w:pPr>
      <w:keepNext/>
      <w:keepLines/>
      <w:numPr>
        <w:numId w:val="4"/>
      </w:numPr>
      <w:pBdr>
        <w:bottom w:val="single" w:sz="4" w:space="1" w:color="auto"/>
      </w:pBdr>
      <w:spacing w:after="480" w:line="320" w:lineRule="atLeast"/>
      <w:outlineLvl w:val="0"/>
    </w:pPr>
    <w:rPr>
      <w:rFonts w:asciiTheme="majorHAnsi" w:eastAsiaTheme="majorEastAsia" w:hAnsiTheme="majorHAnsi" w:cstheme="majorBidi"/>
      <w:b/>
      <w:bCs/>
      <w:color w:val="007C91"/>
      <w:sz w:val="28"/>
      <w:szCs w:val="28"/>
    </w:rPr>
  </w:style>
  <w:style w:type="paragraph" w:styleId="Heading2">
    <w:name w:val="heading 2"/>
    <w:basedOn w:val="Heading1"/>
    <w:next w:val="BodyText"/>
    <w:link w:val="Heading2Char"/>
    <w:uiPriority w:val="9"/>
    <w:unhideWhenUsed/>
    <w:qFormat/>
    <w:rsid w:val="009F47C0"/>
    <w:pPr>
      <w:numPr>
        <w:ilvl w:val="1"/>
      </w:numPr>
      <w:pBdr>
        <w:bottom w:val="none" w:sz="0" w:space="0" w:color="auto"/>
      </w:pBdr>
      <w:spacing w:after="240"/>
      <w:ind w:left="1440"/>
      <w:outlineLvl w:val="1"/>
    </w:pPr>
    <w:rPr>
      <w:sz w:val="24"/>
      <w:szCs w:val="26"/>
    </w:rPr>
  </w:style>
  <w:style w:type="paragraph" w:styleId="Heading3">
    <w:name w:val="heading 3"/>
    <w:basedOn w:val="Heading2"/>
    <w:next w:val="BodyText"/>
    <w:link w:val="Heading3Char"/>
    <w:uiPriority w:val="9"/>
    <w:unhideWhenUsed/>
    <w:qFormat/>
    <w:rsid w:val="0035536E"/>
    <w:pPr>
      <w:numPr>
        <w:ilvl w:val="2"/>
      </w:numPr>
      <w:spacing w:after="120"/>
      <w:ind w:left="1440"/>
      <w:outlineLvl w:val="2"/>
    </w:pPr>
    <w:rPr>
      <w:bCs w:val="0"/>
      <w:sz w:val="20"/>
    </w:rPr>
  </w:style>
  <w:style w:type="paragraph" w:styleId="Heading4">
    <w:name w:val="heading 4"/>
    <w:basedOn w:val="Heading3"/>
    <w:next w:val="BodyText"/>
    <w:link w:val="Heading4Char"/>
    <w:uiPriority w:val="9"/>
    <w:unhideWhenUsed/>
    <w:qFormat/>
    <w:rsid w:val="009F47C0"/>
    <w:pPr>
      <w:numPr>
        <w:ilvl w:val="3"/>
      </w:numPr>
      <w:ind w:left="1440"/>
      <w:outlineLvl w:val="3"/>
    </w:pPr>
    <w:rPr>
      <w:bCs/>
      <w:i/>
      <w:iCs/>
    </w:rPr>
  </w:style>
  <w:style w:type="paragraph" w:styleId="Heading5">
    <w:name w:val="heading 5"/>
    <w:basedOn w:val="Heading4"/>
    <w:next w:val="BodyText"/>
    <w:link w:val="Heading5Char"/>
    <w:uiPriority w:val="9"/>
    <w:unhideWhenUsed/>
    <w:qFormat/>
    <w:rsid w:val="009F47C0"/>
    <w:pPr>
      <w:numPr>
        <w:ilvl w:val="0"/>
        <w:numId w:val="0"/>
      </w:numPr>
      <w:ind w:left="720"/>
      <w:outlineLvl w:val="4"/>
    </w:pPr>
  </w:style>
  <w:style w:type="paragraph" w:styleId="Heading6">
    <w:name w:val="heading 6"/>
    <w:aliases w:val="AppTitle"/>
    <w:basedOn w:val="Heading5"/>
    <w:next w:val="BodyText"/>
    <w:link w:val="Heading6Char"/>
    <w:uiPriority w:val="9"/>
    <w:unhideWhenUsed/>
    <w:qFormat/>
    <w:rsid w:val="009F47C0"/>
    <w:pPr>
      <w:pageBreakBefore/>
      <w:numPr>
        <w:ilvl w:val="5"/>
        <w:numId w:val="4"/>
      </w:numPr>
      <w:pBdr>
        <w:bottom w:val="single" w:sz="8" w:space="1" w:color="auto"/>
      </w:pBdr>
      <w:tabs>
        <w:tab w:val="left" w:pos="1701"/>
      </w:tabs>
      <w:spacing w:after="480"/>
      <w:outlineLvl w:val="5"/>
    </w:pPr>
    <w:rPr>
      <w:i w:val="0"/>
      <w:iCs w:val="0"/>
      <w:sz w:val="24"/>
    </w:rPr>
  </w:style>
  <w:style w:type="paragraph" w:styleId="Heading7">
    <w:name w:val="heading 7"/>
    <w:aliases w:val="AppHead1"/>
    <w:basedOn w:val="Heading6"/>
    <w:next w:val="BodyText"/>
    <w:link w:val="Heading7Char"/>
    <w:uiPriority w:val="9"/>
    <w:unhideWhenUsed/>
    <w:qFormat/>
    <w:rsid w:val="00B359A9"/>
    <w:pPr>
      <w:pageBreakBefore w:val="0"/>
      <w:numPr>
        <w:ilvl w:val="6"/>
      </w:numPr>
      <w:pBdr>
        <w:bottom w:val="none" w:sz="0" w:space="0" w:color="auto"/>
      </w:pBdr>
      <w:spacing w:after="240"/>
      <w:ind w:left="1440"/>
      <w:outlineLvl w:val="6"/>
    </w:pPr>
    <w:rPr>
      <w:iCs/>
      <w:sz w:val="22"/>
    </w:rPr>
  </w:style>
  <w:style w:type="paragraph" w:styleId="Heading8">
    <w:name w:val="heading 8"/>
    <w:aliases w:val="AppHead2"/>
    <w:basedOn w:val="Heading7"/>
    <w:next w:val="BodyText"/>
    <w:link w:val="Heading8Char"/>
    <w:uiPriority w:val="9"/>
    <w:unhideWhenUsed/>
    <w:qFormat/>
    <w:rsid w:val="00B359A9"/>
    <w:pPr>
      <w:numPr>
        <w:ilvl w:val="7"/>
      </w:numPr>
      <w:spacing w:after="120"/>
      <w:ind w:left="1440"/>
      <w:outlineLvl w:val="7"/>
    </w:pPr>
    <w:rPr>
      <w:sz w:val="20"/>
    </w:rPr>
  </w:style>
  <w:style w:type="paragraph" w:styleId="Heading9">
    <w:name w:val="heading 9"/>
    <w:aliases w:val="AppHead3"/>
    <w:basedOn w:val="Heading8"/>
    <w:next w:val="BodyText"/>
    <w:link w:val="Heading9Char"/>
    <w:uiPriority w:val="9"/>
    <w:unhideWhenUsed/>
    <w:qFormat/>
    <w:rsid w:val="00B359A9"/>
    <w:pPr>
      <w:numPr>
        <w:ilvl w:val="8"/>
      </w:numPr>
      <w:ind w:left="1440"/>
      <w:outlineLvl w:val="8"/>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138"/>
    <w:rPr>
      <w:rFonts w:asciiTheme="minorHAnsi" w:hAnsiTheme="minorHAnsi"/>
      <w:sz w:val="22"/>
    </w:rPr>
  </w:style>
  <w:style w:type="character" w:customStyle="1" w:styleId="Heading1Char">
    <w:name w:val="Heading 1 Char"/>
    <w:basedOn w:val="DefaultParagraphFont"/>
    <w:link w:val="Heading1"/>
    <w:uiPriority w:val="9"/>
    <w:rsid w:val="005518C7"/>
    <w:rPr>
      <w:rFonts w:asciiTheme="majorHAnsi" w:eastAsiaTheme="majorEastAsia" w:hAnsiTheme="majorHAnsi" w:cstheme="majorBidi"/>
      <w:b/>
      <w:bCs/>
      <w:color w:val="007C91"/>
      <w:sz w:val="28"/>
      <w:szCs w:val="28"/>
    </w:rPr>
  </w:style>
  <w:style w:type="character" w:customStyle="1" w:styleId="Heading2Char">
    <w:name w:val="Heading 2 Char"/>
    <w:basedOn w:val="DefaultParagraphFont"/>
    <w:link w:val="Heading2"/>
    <w:uiPriority w:val="9"/>
    <w:rsid w:val="009F47C0"/>
    <w:rPr>
      <w:rFonts w:asciiTheme="majorHAnsi" w:eastAsiaTheme="majorEastAsia" w:hAnsiTheme="majorHAnsi" w:cstheme="majorBidi"/>
      <w:b/>
      <w:bCs/>
      <w:color w:val="98002E"/>
      <w:sz w:val="24"/>
      <w:szCs w:val="26"/>
    </w:rPr>
  </w:style>
  <w:style w:type="paragraph" w:styleId="TOC1">
    <w:name w:val="toc 1"/>
    <w:next w:val="TOC2"/>
    <w:autoRedefine/>
    <w:uiPriority w:val="39"/>
    <w:unhideWhenUsed/>
    <w:rsid w:val="00D26288"/>
    <w:pPr>
      <w:tabs>
        <w:tab w:val="left" w:pos="624"/>
        <w:tab w:val="right" w:pos="9072"/>
      </w:tabs>
      <w:spacing w:before="120"/>
      <w:ind w:left="1344" w:right="567" w:hanging="624"/>
    </w:pPr>
    <w:rPr>
      <w:b/>
      <w:color w:val="007C91"/>
    </w:rPr>
  </w:style>
  <w:style w:type="paragraph" w:styleId="TOC2">
    <w:name w:val="toc 2"/>
    <w:basedOn w:val="Normal"/>
    <w:next w:val="BodyText"/>
    <w:autoRedefine/>
    <w:uiPriority w:val="39"/>
    <w:unhideWhenUsed/>
    <w:rsid w:val="00EB1793"/>
    <w:pPr>
      <w:tabs>
        <w:tab w:val="left" w:pos="680"/>
        <w:tab w:val="left" w:pos="2041"/>
        <w:tab w:val="right" w:pos="9072"/>
      </w:tabs>
      <w:spacing w:after="0"/>
      <w:ind w:left="2041" w:right="567" w:hanging="1341"/>
    </w:pPr>
    <w:rPr>
      <w:b/>
      <w:color w:val="007C91"/>
      <w:sz w:val="18"/>
    </w:rPr>
  </w:style>
  <w:style w:type="paragraph" w:styleId="TOC5">
    <w:name w:val="toc 5"/>
    <w:basedOn w:val="Normal"/>
    <w:next w:val="BodyText"/>
    <w:autoRedefine/>
    <w:uiPriority w:val="39"/>
    <w:unhideWhenUsed/>
    <w:rsid w:val="00C6334E"/>
    <w:pPr>
      <w:tabs>
        <w:tab w:val="right" w:pos="9072"/>
      </w:tabs>
      <w:spacing w:after="0"/>
      <w:ind w:left="2722" w:right="567"/>
    </w:pPr>
    <w:rPr>
      <w:rFonts w:ascii="Arial" w:hAnsi="Arial"/>
      <w:i/>
      <w:spacing w:val="-2"/>
      <w:sz w:val="17"/>
    </w:rPr>
  </w:style>
  <w:style w:type="paragraph" w:customStyle="1" w:styleId="AbstractHeader">
    <w:name w:val="Abstract Header"/>
    <w:next w:val="BodyText"/>
    <w:rsid w:val="006E3729"/>
    <w:pPr>
      <w:pBdr>
        <w:bottom w:val="single" w:sz="8" w:space="1" w:color="auto"/>
      </w:pBdr>
      <w:spacing w:before="600" w:after="480" w:line="320" w:lineRule="atLeast"/>
      <w:ind w:left="720" w:firstLine="0"/>
      <w:outlineLvl w:val="0"/>
    </w:pPr>
    <w:rPr>
      <w:rFonts w:asciiTheme="majorHAnsi" w:hAnsiTheme="majorHAnsi"/>
      <w:b/>
      <w:color w:val="98002E"/>
      <w:sz w:val="28"/>
    </w:rPr>
  </w:style>
  <w:style w:type="paragraph" w:styleId="BodyText">
    <w:name w:val="Body Text"/>
    <w:basedOn w:val="Normal"/>
    <w:link w:val="BodyTextChar"/>
    <w:uiPriority w:val="99"/>
    <w:unhideWhenUsed/>
    <w:qFormat/>
    <w:rsid w:val="009F47C0"/>
  </w:style>
  <w:style w:type="character" w:customStyle="1" w:styleId="BodyTextChar">
    <w:name w:val="Body Text Char"/>
    <w:basedOn w:val="DefaultParagraphFont"/>
    <w:link w:val="BodyText"/>
    <w:uiPriority w:val="99"/>
    <w:rsid w:val="009F47C0"/>
    <w:rPr>
      <w:rFonts w:asciiTheme="minorHAnsi" w:hAnsiTheme="minorHAnsi"/>
    </w:rPr>
  </w:style>
  <w:style w:type="paragraph" w:customStyle="1" w:styleId="Affiliation">
    <w:name w:val="Affiliation"/>
    <w:basedOn w:val="BodyText"/>
    <w:next w:val="BodyText"/>
    <w:rsid w:val="00D24280"/>
    <w:pPr>
      <w:tabs>
        <w:tab w:val="left" w:pos="284"/>
      </w:tabs>
      <w:spacing w:before="360" w:after="60" w:line="240" w:lineRule="atLeast"/>
      <w:contextualSpacing/>
    </w:pPr>
    <w:rPr>
      <w:b/>
      <w:color w:val="98002E"/>
      <w:sz w:val="18"/>
    </w:rPr>
  </w:style>
  <w:style w:type="paragraph" w:styleId="Title">
    <w:name w:val="Title"/>
    <w:next w:val="Subtitle"/>
    <w:link w:val="TitleChar"/>
    <w:uiPriority w:val="10"/>
    <w:qFormat/>
    <w:rsid w:val="009F47C0"/>
    <w:pPr>
      <w:spacing w:after="480" w:line="360" w:lineRule="atLeast"/>
      <w:ind w:left="720" w:firstLine="0"/>
      <w:contextualSpacing/>
    </w:pPr>
    <w:rPr>
      <w:rFonts w:asciiTheme="majorHAnsi" w:eastAsiaTheme="majorEastAsia" w:hAnsiTheme="majorHAnsi" w:cstheme="majorBidi"/>
      <w:b/>
      <w:color w:val="98002E"/>
      <w:kern w:val="28"/>
      <w:sz w:val="32"/>
      <w:szCs w:val="52"/>
    </w:rPr>
  </w:style>
  <w:style w:type="character" w:customStyle="1" w:styleId="TitleChar">
    <w:name w:val="Title Char"/>
    <w:basedOn w:val="DefaultParagraphFont"/>
    <w:link w:val="Title"/>
    <w:uiPriority w:val="10"/>
    <w:rsid w:val="009F47C0"/>
    <w:rPr>
      <w:rFonts w:asciiTheme="majorHAnsi" w:eastAsiaTheme="majorEastAsia" w:hAnsiTheme="majorHAnsi" w:cstheme="majorBidi"/>
      <w:b/>
      <w:color w:val="98002E"/>
      <w:kern w:val="28"/>
      <w:sz w:val="32"/>
      <w:szCs w:val="52"/>
    </w:rPr>
  </w:style>
  <w:style w:type="paragraph" w:styleId="Subtitle">
    <w:name w:val="Subtitle"/>
    <w:basedOn w:val="Title"/>
    <w:next w:val="Author"/>
    <w:link w:val="SubtitleChar"/>
    <w:uiPriority w:val="11"/>
    <w:qFormat/>
    <w:rsid w:val="003375A3"/>
    <w:pPr>
      <w:numPr>
        <w:ilvl w:val="1"/>
      </w:numPr>
      <w:spacing w:after="720" w:line="320" w:lineRule="atLeast"/>
      <w:ind w:left="720"/>
    </w:pPr>
    <w:rPr>
      <w:iCs/>
      <w:sz w:val="28"/>
      <w:szCs w:val="24"/>
    </w:rPr>
  </w:style>
  <w:style w:type="character" w:customStyle="1" w:styleId="SubtitleChar">
    <w:name w:val="Subtitle Char"/>
    <w:basedOn w:val="DefaultParagraphFont"/>
    <w:link w:val="Subtitle"/>
    <w:uiPriority w:val="11"/>
    <w:rsid w:val="003375A3"/>
    <w:rPr>
      <w:rFonts w:asciiTheme="majorHAnsi" w:eastAsiaTheme="majorEastAsia" w:hAnsiTheme="majorHAnsi" w:cstheme="majorBidi"/>
      <w:b/>
      <w:iCs/>
      <w:color w:val="1F497D" w:themeColor="text2"/>
      <w:kern w:val="28"/>
      <w:sz w:val="28"/>
      <w:szCs w:val="24"/>
    </w:rPr>
  </w:style>
  <w:style w:type="paragraph" w:customStyle="1" w:styleId="Author">
    <w:name w:val="Author"/>
    <w:basedOn w:val="Title"/>
    <w:rsid w:val="00D02695"/>
    <w:pPr>
      <w:spacing w:after="120" w:line="280" w:lineRule="atLeast"/>
    </w:pPr>
    <w:rPr>
      <w:sz w:val="24"/>
    </w:rPr>
  </w:style>
  <w:style w:type="paragraph" w:customStyle="1" w:styleId="BodyTextEND">
    <w:name w:val="Body Text (END)"/>
    <w:basedOn w:val="BodyText"/>
    <w:next w:val="BodyText"/>
    <w:qFormat/>
    <w:rsid w:val="009F47C0"/>
    <w:pPr>
      <w:spacing w:after="480"/>
    </w:pPr>
  </w:style>
  <w:style w:type="paragraph" w:customStyle="1" w:styleId="BodyTextNOSPACE">
    <w:name w:val="Body Text (NO SPACE)"/>
    <w:basedOn w:val="BodyText"/>
    <w:next w:val="BodyText"/>
    <w:qFormat/>
    <w:rsid w:val="003375A3"/>
    <w:pPr>
      <w:spacing w:after="0"/>
    </w:pPr>
  </w:style>
  <w:style w:type="paragraph" w:styleId="BlockText">
    <w:name w:val="Block Text"/>
    <w:basedOn w:val="Normal"/>
    <w:uiPriority w:val="99"/>
    <w:semiHidden/>
    <w:unhideWhenUsed/>
    <w:rsid w:val="003375A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Caption">
    <w:name w:val="caption"/>
    <w:basedOn w:val="Normal"/>
    <w:next w:val="BodyText"/>
    <w:uiPriority w:val="35"/>
    <w:unhideWhenUsed/>
    <w:qFormat/>
    <w:rsid w:val="003375A3"/>
    <w:pPr>
      <w:spacing w:before="60" w:after="60" w:line="200" w:lineRule="atLeast"/>
    </w:pPr>
    <w:rPr>
      <w:b/>
      <w:bCs/>
      <w:color w:val="1F497D" w:themeColor="text2"/>
      <w:sz w:val="18"/>
      <w:szCs w:val="18"/>
    </w:rPr>
  </w:style>
  <w:style w:type="table" w:customStyle="1" w:styleId="CRCEReportTable">
    <w:name w:val="CRCE Report Table"/>
    <w:basedOn w:val="TableNormal"/>
    <w:uiPriority w:val="99"/>
    <w:qFormat/>
    <w:rsid w:val="003375A3"/>
    <w:pPr>
      <w:ind w:left="0" w:firstLine="0"/>
    </w:pPr>
    <w:rPr>
      <w:sz w:val="16"/>
    </w:rPr>
    <w:tblPr>
      <w:tblInd w:w="720" w:type="dxa"/>
      <w:tblBorders>
        <w:top w:val="single" w:sz="6" w:space="0" w:color="auto"/>
        <w:bottom w:val="single" w:sz="6" w:space="0" w:color="auto"/>
        <w:insideH w:val="single" w:sz="6" w:space="0" w:color="auto"/>
      </w:tblBorders>
      <w:tblCellMar>
        <w:top w:w="113" w:type="dxa"/>
        <w:left w:w="0" w:type="dxa"/>
        <w:bottom w:w="57" w:type="dxa"/>
        <w:right w:w="0" w:type="dxa"/>
      </w:tblCellMar>
    </w:tblPr>
    <w:trPr>
      <w:cantSplit/>
      <w:tblHeader/>
    </w:trPr>
    <w:tblStylePr w:type="firstRow">
      <w:rPr>
        <w:rFonts w:asciiTheme="minorHAnsi" w:hAnsiTheme="minorHAnsi"/>
        <w:color w:val="1F497D" w:themeColor="text2"/>
        <w:sz w:val="18"/>
      </w:rPr>
    </w:tblStylePr>
  </w:style>
  <w:style w:type="paragraph" w:customStyle="1" w:styleId="Display">
    <w:name w:val="Display"/>
    <w:basedOn w:val="BodyText"/>
    <w:next w:val="BodyText"/>
    <w:qFormat/>
    <w:rsid w:val="003375A3"/>
    <w:pPr>
      <w:tabs>
        <w:tab w:val="right" w:pos="9072"/>
      </w:tabs>
      <w:spacing w:before="60" w:after="180"/>
      <w:ind w:left="1440"/>
    </w:pPr>
  </w:style>
  <w:style w:type="paragraph" w:styleId="DocumentMap">
    <w:name w:val="Document Map"/>
    <w:basedOn w:val="Normal"/>
    <w:link w:val="DocumentMapChar"/>
    <w:uiPriority w:val="99"/>
    <w:semiHidden/>
    <w:unhideWhenUsed/>
    <w:rsid w:val="003375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375A3"/>
    <w:rPr>
      <w:rFonts w:ascii="Tahoma" w:hAnsi="Tahoma" w:cs="Tahoma"/>
      <w:sz w:val="16"/>
      <w:szCs w:val="16"/>
    </w:rPr>
  </w:style>
  <w:style w:type="character" w:styleId="EndnoteReference">
    <w:name w:val="endnote reference"/>
    <w:basedOn w:val="DefaultParagraphFont"/>
    <w:uiPriority w:val="99"/>
    <w:semiHidden/>
    <w:unhideWhenUsed/>
    <w:rsid w:val="003375A3"/>
    <w:rPr>
      <w:vertAlign w:val="superscript"/>
    </w:rPr>
  </w:style>
  <w:style w:type="paragraph" w:styleId="EndnoteText">
    <w:name w:val="endnote text"/>
    <w:basedOn w:val="Normal"/>
    <w:link w:val="EndnoteTextChar"/>
    <w:uiPriority w:val="99"/>
    <w:semiHidden/>
    <w:unhideWhenUsed/>
    <w:rsid w:val="003375A3"/>
    <w:pPr>
      <w:spacing w:after="0" w:line="240" w:lineRule="auto"/>
    </w:pPr>
  </w:style>
  <w:style w:type="character" w:customStyle="1" w:styleId="EndnoteTextChar">
    <w:name w:val="Endnote Text Char"/>
    <w:basedOn w:val="DefaultParagraphFont"/>
    <w:link w:val="EndnoteText"/>
    <w:uiPriority w:val="99"/>
    <w:semiHidden/>
    <w:rsid w:val="003375A3"/>
    <w:rPr>
      <w:rFonts w:asciiTheme="minorHAnsi" w:hAnsiTheme="minorHAnsi"/>
    </w:rPr>
  </w:style>
  <w:style w:type="paragraph" w:customStyle="1" w:styleId="Figurecaption">
    <w:name w:val="Figure caption"/>
    <w:basedOn w:val="Caption"/>
    <w:next w:val="BodyText"/>
    <w:qFormat/>
    <w:rsid w:val="00A87664"/>
    <w:pPr>
      <w:keepLines/>
      <w:spacing w:after="240"/>
    </w:pPr>
    <w:rPr>
      <w:color w:val="007C91"/>
    </w:rPr>
  </w:style>
  <w:style w:type="character" w:styleId="FollowedHyperlink">
    <w:name w:val="FollowedHyperlink"/>
    <w:basedOn w:val="DefaultParagraphFont"/>
    <w:uiPriority w:val="99"/>
    <w:semiHidden/>
    <w:unhideWhenUsed/>
    <w:rsid w:val="00922D5B"/>
    <w:rPr>
      <w:color w:val="98002E"/>
      <w:u w:val="none"/>
    </w:rPr>
  </w:style>
  <w:style w:type="paragraph" w:styleId="Footer">
    <w:name w:val="footer"/>
    <w:link w:val="FooterChar"/>
    <w:uiPriority w:val="99"/>
    <w:unhideWhenUsed/>
    <w:rsid w:val="00390FBE"/>
    <w:pPr>
      <w:pBdr>
        <w:top w:val="single" w:sz="8" w:space="1" w:color="auto"/>
      </w:pBdr>
      <w:tabs>
        <w:tab w:val="right" w:pos="9072"/>
      </w:tabs>
      <w:spacing w:line="200" w:lineRule="atLeast"/>
      <w:ind w:left="0" w:firstLine="0"/>
    </w:pPr>
    <w:rPr>
      <w:rFonts w:asciiTheme="minorHAnsi" w:hAnsiTheme="minorHAnsi"/>
      <w:b/>
      <w:color w:val="98002E"/>
      <w:spacing w:val="-2"/>
      <w:sz w:val="18"/>
    </w:rPr>
  </w:style>
  <w:style w:type="character" w:customStyle="1" w:styleId="FooterChar">
    <w:name w:val="Footer Char"/>
    <w:basedOn w:val="DefaultParagraphFont"/>
    <w:link w:val="Footer"/>
    <w:uiPriority w:val="99"/>
    <w:rsid w:val="00390FBE"/>
    <w:rPr>
      <w:rFonts w:asciiTheme="minorHAnsi" w:hAnsiTheme="minorHAnsi"/>
      <w:b/>
      <w:color w:val="98002E"/>
      <w:spacing w:val="-2"/>
      <w:sz w:val="18"/>
    </w:rPr>
  </w:style>
  <w:style w:type="paragraph" w:customStyle="1" w:styleId="FooterLH">
    <w:name w:val="Footer LH"/>
    <w:rsid w:val="00E02345"/>
    <w:pPr>
      <w:pBdr>
        <w:top w:val="single" w:sz="8" w:space="2" w:color="auto"/>
      </w:pBdr>
      <w:tabs>
        <w:tab w:val="left" w:pos="284"/>
      </w:tabs>
      <w:spacing w:line="200" w:lineRule="atLeast"/>
      <w:ind w:left="0" w:firstLine="0"/>
    </w:pPr>
    <w:rPr>
      <w:rFonts w:asciiTheme="minorHAnsi" w:hAnsiTheme="minorHAnsi"/>
      <w:b/>
      <w:color w:val="98002E"/>
      <w:spacing w:val="-2"/>
      <w:sz w:val="18"/>
    </w:rPr>
  </w:style>
  <w:style w:type="paragraph" w:customStyle="1" w:styleId="FooterRH">
    <w:name w:val="Footer RH"/>
    <w:rsid w:val="00E02345"/>
    <w:pPr>
      <w:pBdr>
        <w:top w:val="single" w:sz="8" w:space="2" w:color="auto"/>
      </w:pBdr>
      <w:spacing w:line="200" w:lineRule="atLeast"/>
      <w:ind w:left="0" w:firstLine="0"/>
      <w:jc w:val="right"/>
    </w:pPr>
    <w:rPr>
      <w:rFonts w:asciiTheme="minorHAnsi" w:hAnsiTheme="minorHAnsi"/>
      <w:b/>
      <w:color w:val="98002E"/>
      <w:spacing w:val="-2"/>
      <w:sz w:val="18"/>
    </w:rPr>
  </w:style>
  <w:style w:type="character" w:styleId="FootnoteReference">
    <w:name w:val="footnote reference"/>
    <w:basedOn w:val="DefaultParagraphFont"/>
    <w:uiPriority w:val="99"/>
    <w:semiHidden/>
    <w:unhideWhenUsed/>
    <w:rsid w:val="003375A3"/>
    <w:rPr>
      <w:vertAlign w:val="superscript"/>
    </w:rPr>
  </w:style>
  <w:style w:type="paragraph" w:styleId="FootnoteText">
    <w:name w:val="footnote text"/>
    <w:basedOn w:val="Normal"/>
    <w:link w:val="FootnoteTextChar"/>
    <w:uiPriority w:val="99"/>
    <w:semiHidden/>
    <w:unhideWhenUsed/>
    <w:rsid w:val="003375A3"/>
    <w:pPr>
      <w:keepLines/>
      <w:spacing w:after="60" w:line="200" w:lineRule="atLeast"/>
      <w:ind w:left="1004" w:hanging="284"/>
    </w:pPr>
    <w:rPr>
      <w:sz w:val="16"/>
    </w:rPr>
  </w:style>
  <w:style w:type="character" w:customStyle="1" w:styleId="FootnoteTextChar">
    <w:name w:val="Footnote Text Char"/>
    <w:basedOn w:val="DefaultParagraphFont"/>
    <w:link w:val="FootnoteText"/>
    <w:uiPriority w:val="99"/>
    <w:semiHidden/>
    <w:rsid w:val="003375A3"/>
    <w:rPr>
      <w:rFonts w:asciiTheme="minorHAnsi" w:hAnsiTheme="minorHAnsi"/>
      <w:sz w:val="16"/>
    </w:rPr>
  </w:style>
  <w:style w:type="paragraph" w:styleId="Header">
    <w:name w:val="header"/>
    <w:link w:val="HeaderChar"/>
    <w:uiPriority w:val="99"/>
    <w:unhideWhenUsed/>
    <w:rsid w:val="00390FBE"/>
    <w:pPr>
      <w:pBdr>
        <w:bottom w:val="single" w:sz="8" w:space="1" w:color="auto"/>
      </w:pBdr>
      <w:tabs>
        <w:tab w:val="right" w:pos="9072"/>
      </w:tabs>
      <w:spacing w:line="200" w:lineRule="atLeast"/>
      <w:ind w:left="0" w:firstLine="0"/>
    </w:pPr>
    <w:rPr>
      <w:rFonts w:asciiTheme="minorHAnsi" w:hAnsiTheme="minorHAnsi"/>
      <w:b/>
      <w:color w:val="98002E"/>
      <w:spacing w:val="-2"/>
      <w:sz w:val="17"/>
    </w:rPr>
  </w:style>
  <w:style w:type="character" w:customStyle="1" w:styleId="HeaderChar">
    <w:name w:val="Header Char"/>
    <w:basedOn w:val="DefaultParagraphFont"/>
    <w:link w:val="Header"/>
    <w:uiPriority w:val="99"/>
    <w:rsid w:val="00390FBE"/>
    <w:rPr>
      <w:rFonts w:asciiTheme="minorHAnsi" w:hAnsiTheme="minorHAnsi"/>
      <w:b/>
      <w:color w:val="98002E"/>
      <w:spacing w:val="-2"/>
      <w:sz w:val="17"/>
    </w:rPr>
  </w:style>
  <w:style w:type="paragraph" w:customStyle="1" w:styleId="HeaderLH">
    <w:name w:val="Header LH"/>
    <w:rsid w:val="007C3661"/>
    <w:pPr>
      <w:pBdr>
        <w:bottom w:val="single" w:sz="8" w:space="1" w:color="auto"/>
      </w:pBdr>
      <w:spacing w:line="200" w:lineRule="atLeast"/>
      <w:ind w:left="0" w:firstLine="0"/>
    </w:pPr>
    <w:rPr>
      <w:rFonts w:asciiTheme="minorHAnsi" w:hAnsiTheme="minorHAnsi"/>
      <w:b/>
      <w:color w:val="98002E"/>
      <w:spacing w:val="-2"/>
      <w:sz w:val="17"/>
    </w:rPr>
  </w:style>
  <w:style w:type="paragraph" w:customStyle="1" w:styleId="HeaderRH">
    <w:name w:val="Header RH"/>
    <w:rsid w:val="007C3661"/>
    <w:pPr>
      <w:pBdr>
        <w:bottom w:val="single" w:sz="8" w:space="1" w:color="auto"/>
      </w:pBdr>
      <w:spacing w:line="200" w:lineRule="atLeast"/>
      <w:ind w:left="0" w:firstLine="0"/>
      <w:jc w:val="right"/>
    </w:pPr>
    <w:rPr>
      <w:rFonts w:asciiTheme="minorHAnsi" w:hAnsiTheme="minorHAnsi"/>
      <w:b/>
      <w:color w:val="98002E"/>
      <w:spacing w:val="-2"/>
      <w:sz w:val="17"/>
    </w:rPr>
  </w:style>
  <w:style w:type="character" w:styleId="Hyperlink">
    <w:name w:val="Hyperlink"/>
    <w:aliases w:val="** Hyperlink"/>
    <w:basedOn w:val="DefaultParagraphFont"/>
    <w:uiPriority w:val="99"/>
    <w:unhideWhenUsed/>
    <w:qFormat/>
    <w:rsid w:val="009F47C0"/>
    <w:rPr>
      <w:color w:val="98002E"/>
      <w:u w:val="none"/>
      <w:bdr w:val="none" w:sz="0" w:space="0" w:color="auto"/>
    </w:rPr>
  </w:style>
  <w:style w:type="paragraph" w:styleId="List">
    <w:name w:val="List"/>
    <w:basedOn w:val="BodyText"/>
    <w:uiPriority w:val="99"/>
    <w:unhideWhenUsed/>
    <w:qFormat/>
    <w:rsid w:val="003375A3"/>
    <w:pPr>
      <w:numPr>
        <w:numId w:val="1"/>
      </w:numPr>
      <w:tabs>
        <w:tab w:val="left" w:pos="720"/>
        <w:tab w:val="left" w:pos="1440"/>
      </w:tabs>
      <w:spacing w:after="60"/>
    </w:pPr>
  </w:style>
  <w:style w:type="paragraph" w:customStyle="1" w:styleId="ListEND">
    <w:name w:val="List (END)"/>
    <w:basedOn w:val="List"/>
    <w:next w:val="BodyText"/>
    <w:qFormat/>
    <w:rsid w:val="00CE09B3"/>
    <w:pPr>
      <w:spacing w:after="240"/>
    </w:pPr>
  </w:style>
  <w:style w:type="paragraph" w:customStyle="1" w:styleId="References-Harvard">
    <w:name w:val="References-Harvard"/>
    <w:basedOn w:val="BodyText"/>
    <w:qFormat/>
    <w:rsid w:val="003375A3"/>
    <w:pPr>
      <w:keepLines/>
      <w:spacing w:after="60" w:line="200" w:lineRule="atLeast"/>
      <w:ind w:left="1077" w:hanging="357"/>
    </w:pPr>
    <w:rPr>
      <w:sz w:val="16"/>
    </w:rPr>
  </w:style>
  <w:style w:type="paragraph" w:customStyle="1" w:styleId="References-Vancouver">
    <w:name w:val="References-Vancouver"/>
    <w:basedOn w:val="BodyText"/>
    <w:qFormat/>
    <w:rsid w:val="002B2DCB"/>
    <w:pPr>
      <w:keepLines/>
      <w:numPr>
        <w:numId w:val="2"/>
      </w:numPr>
      <w:spacing w:after="60" w:line="200" w:lineRule="atLeast"/>
      <w:ind w:left="1077" w:hanging="357"/>
    </w:pPr>
    <w:rPr>
      <w:sz w:val="16"/>
    </w:rPr>
  </w:style>
  <w:style w:type="paragraph" w:customStyle="1" w:styleId="Tablecaption">
    <w:name w:val="Table caption"/>
    <w:basedOn w:val="Figurecaption"/>
    <w:next w:val="Tableentry"/>
    <w:qFormat/>
    <w:rsid w:val="00A87664"/>
    <w:pPr>
      <w:keepNext/>
      <w:spacing w:before="240" w:after="60"/>
    </w:pPr>
  </w:style>
  <w:style w:type="paragraph" w:customStyle="1" w:styleId="Tablecolumnheadings">
    <w:name w:val="Table column headings"/>
    <w:basedOn w:val="Tablecaption"/>
    <w:qFormat/>
    <w:rsid w:val="00EE70A5"/>
    <w:pPr>
      <w:keepNext w:val="0"/>
      <w:spacing w:before="60"/>
      <w:ind w:left="0" w:right="57"/>
    </w:pPr>
  </w:style>
  <w:style w:type="paragraph" w:customStyle="1" w:styleId="Tableentry">
    <w:name w:val="Table entry"/>
    <w:basedOn w:val="Tablecaption"/>
    <w:qFormat/>
    <w:rsid w:val="003375A3"/>
    <w:pPr>
      <w:keepNext w:val="0"/>
      <w:spacing w:before="0" w:after="40"/>
      <w:ind w:left="0" w:right="57"/>
    </w:pPr>
    <w:rPr>
      <w:b w:val="0"/>
      <w:color w:val="auto"/>
      <w:sz w:val="16"/>
    </w:rPr>
  </w:style>
  <w:style w:type="table" w:styleId="TableGrid">
    <w:name w:val="Table Grid"/>
    <w:basedOn w:val="TableNormal"/>
    <w:uiPriority w:val="39"/>
    <w:rsid w:val="003375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BodyText"/>
    <w:autoRedefine/>
    <w:uiPriority w:val="39"/>
    <w:unhideWhenUsed/>
    <w:rsid w:val="00C6334E"/>
    <w:pPr>
      <w:tabs>
        <w:tab w:val="left" w:pos="2041"/>
        <w:tab w:val="right" w:pos="9072"/>
      </w:tabs>
      <w:spacing w:after="0"/>
      <w:ind w:left="2041" w:right="567" w:hanging="680"/>
    </w:pPr>
    <w:rPr>
      <w:sz w:val="17"/>
    </w:rPr>
  </w:style>
  <w:style w:type="paragraph" w:styleId="TOC4">
    <w:name w:val="toc 4"/>
    <w:basedOn w:val="Normal"/>
    <w:next w:val="BodyText"/>
    <w:autoRedefine/>
    <w:uiPriority w:val="39"/>
    <w:unhideWhenUsed/>
    <w:rsid w:val="00C6334E"/>
    <w:pPr>
      <w:tabs>
        <w:tab w:val="left" w:pos="2835"/>
        <w:tab w:val="right" w:pos="9072"/>
      </w:tabs>
      <w:spacing w:after="0"/>
      <w:ind w:left="2721" w:right="567" w:hanging="680"/>
    </w:pPr>
    <w:rPr>
      <w:i/>
      <w:sz w:val="17"/>
    </w:rPr>
  </w:style>
  <w:style w:type="paragraph" w:styleId="BalloonText">
    <w:name w:val="Balloon Text"/>
    <w:basedOn w:val="Normal"/>
    <w:link w:val="BalloonTextChar"/>
    <w:uiPriority w:val="99"/>
    <w:semiHidden/>
    <w:unhideWhenUsed/>
    <w:rsid w:val="00857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E9"/>
    <w:rPr>
      <w:rFonts w:ascii="Tahoma" w:hAnsi="Tahoma" w:cs="Tahoma"/>
      <w:sz w:val="16"/>
      <w:szCs w:val="16"/>
    </w:rPr>
  </w:style>
  <w:style w:type="character" w:customStyle="1" w:styleId="Heading3Char">
    <w:name w:val="Heading 3 Char"/>
    <w:basedOn w:val="DefaultParagraphFont"/>
    <w:link w:val="Heading3"/>
    <w:uiPriority w:val="9"/>
    <w:rsid w:val="0035536E"/>
    <w:rPr>
      <w:rFonts w:asciiTheme="majorHAnsi" w:eastAsiaTheme="majorEastAsia" w:hAnsiTheme="majorHAnsi" w:cstheme="majorBidi"/>
      <w:b/>
      <w:color w:val="98002E"/>
      <w:szCs w:val="26"/>
    </w:rPr>
  </w:style>
  <w:style w:type="character" w:customStyle="1" w:styleId="Heading4Char">
    <w:name w:val="Heading 4 Char"/>
    <w:basedOn w:val="DefaultParagraphFont"/>
    <w:link w:val="Heading4"/>
    <w:uiPriority w:val="9"/>
    <w:rsid w:val="009F47C0"/>
    <w:rPr>
      <w:rFonts w:asciiTheme="majorHAnsi" w:eastAsiaTheme="majorEastAsia" w:hAnsiTheme="majorHAnsi" w:cstheme="majorBidi"/>
      <w:b/>
      <w:bCs/>
      <w:i/>
      <w:iCs/>
      <w:color w:val="98002E"/>
      <w:szCs w:val="26"/>
    </w:rPr>
  </w:style>
  <w:style w:type="character" w:customStyle="1" w:styleId="Heading5Char">
    <w:name w:val="Heading 5 Char"/>
    <w:basedOn w:val="DefaultParagraphFont"/>
    <w:link w:val="Heading5"/>
    <w:uiPriority w:val="9"/>
    <w:rsid w:val="009F47C0"/>
    <w:rPr>
      <w:rFonts w:asciiTheme="majorHAnsi" w:eastAsiaTheme="majorEastAsia" w:hAnsiTheme="majorHAnsi" w:cstheme="majorBidi"/>
      <w:b/>
      <w:bCs/>
      <w:i/>
      <w:iCs/>
      <w:color w:val="98002E"/>
      <w:szCs w:val="26"/>
    </w:rPr>
  </w:style>
  <w:style w:type="character" w:customStyle="1" w:styleId="Heading6Char">
    <w:name w:val="Heading 6 Char"/>
    <w:aliases w:val="AppTitle Char"/>
    <w:basedOn w:val="DefaultParagraphFont"/>
    <w:link w:val="Heading6"/>
    <w:uiPriority w:val="9"/>
    <w:rsid w:val="009F47C0"/>
    <w:rPr>
      <w:rFonts w:asciiTheme="majorHAnsi" w:eastAsiaTheme="majorEastAsia" w:hAnsiTheme="majorHAnsi" w:cstheme="majorBidi"/>
      <w:b/>
      <w:bCs/>
      <w:color w:val="98002E"/>
      <w:sz w:val="24"/>
      <w:szCs w:val="26"/>
    </w:rPr>
  </w:style>
  <w:style w:type="character" w:customStyle="1" w:styleId="Heading7Char">
    <w:name w:val="Heading 7 Char"/>
    <w:aliases w:val="AppHead1 Char"/>
    <w:basedOn w:val="DefaultParagraphFont"/>
    <w:link w:val="Heading7"/>
    <w:uiPriority w:val="9"/>
    <w:rsid w:val="00B359A9"/>
    <w:rPr>
      <w:rFonts w:asciiTheme="majorHAnsi" w:eastAsiaTheme="majorEastAsia" w:hAnsiTheme="majorHAnsi" w:cstheme="majorBidi"/>
      <w:b/>
      <w:bCs/>
      <w:iCs/>
      <w:color w:val="98002E"/>
      <w:sz w:val="22"/>
      <w:szCs w:val="26"/>
    </w:rPr>
  </w:style>
  <w:style w:type="character" w:customStyle="1" w:styleId="Heading8Char">
    <w:name w:val="Heading 8 Char"/>
    <w:aliases w:val="AppHead2 Char"/>
    <w:basedOn w:val="DefaultParagraphFont"/>
    <w:link w:val="Heading8"/>
    <w:uiPriority w:val="9"/>
    <w:rsid w:val="00B359A9"/>
    <w:rPr>
      <w:rFonts w:asciiTheme="majorHAnsi" w:eastAsiaTheme="majorEastAsia" w:hAnsiTheme="majorHAnsi" w:cstheme="majorBidi"/>
      <w:b/>
      <w:bCs/>
      <w:iCs/>
      <w:color w:val="98002E"/>
      <w:szCs w:val="26"/>
    </w:rPr>
  </w:style>
  <w:style w:type="character" w:customStyle="1" w:styleId="Heading9Char">
    <w:name w:val="Heading 9 Char"/>
    <w:aliases w:val="AppHead3 Char"/>
    <w:basedOn w:val="DefaultParagraphFont"/>
    <w:link w:val="Heading9"/>
    <w:uiPriority w:val="9"/>
    <w:rsid w:val="00B359A9"/>
    <w:rPr>
      <w:rFonts w:asciiTheme="majorHAnsi" w:eastAsiaTheme="majorEastAsia" w:hAnsiTheme="majorHAnsi" w:cstheme="majorBidi"/>
      <w:b/>
      <w:bCs/>
      <w:i/>
      <w:color w:val="98002E"/>
      <w:szCs w:val="26"/>
    </w:rPr>
  </w:style>
  <w:style w:type="numbering" w:customStyle="1" w:styleId="Headings1-9">
    <w:name w:val="Headings1-9"/>
    <w:uiPriority w:val="99"/>
    <w:rsid w:val="004F38B5"/>
    <w:pPr>
      <w:numPr>
        <w:numId w:val="3"/>
      </w:numPr>
    </w:pPr>
  </w:style>
  <w:style w:type="paragraph" w:styleId="TOC6">
    <w:name w:val="toc 6"/>
    <w:basedOn w:val="TOC1"/>
    <w:next w:val="BodyText"/>
    <w:autoRedefine/>
    <w:uiPriority w:val="39"/>
    <w:unhideWhenUsed/>
    <w:rsid w:val="00C6334E"/>
    <w:pPr>
      <w:tabs>
        <w:tab w:val="left" w:pos="2041"/>
      </w:tabs>
      <w:ind w:left="2041" w:hanging="1321"/>
    </w:pPr>
  </w:style>
  <w:style w:type="paragraph" w:customStyle="1" w:styleId="ContentsHeader">
    <w:name w:val="Contents Header"/>
    <w:next w:val="BodyText"/>
    <w:rsid w:val="006E3729"/>
    <w:pPr>
      <w:pBdr>
        <w:bottom w:val="single" w:sz="8" w:space="1" w:color="auto"/>
      </w:pBdr>
      <w:spacing w:after="480" w:line="320" w:lineRule="atLeast"/>
      <w:ind w:left="720" w:firstLine="0"/>
    </w:pPr>
    <w:rPr>
      <w:rFonts w:asciiTheme="majorHAnsi" w:hAnsiTheme="majorHAnsi"/>
      <w:b/>
      <w:color w:val="98002E"/>
      <w:sz w:val="28"/>
    </w:rPr>
  </w:style>
  <w:style w:type="paragraph" w:customStyle="1" w:styleId="Coversubtitle">
    <w:name w:val="Cover subtitle"/>
    <w:next w:val="BodytextNOINDENT"/>
    <w:rsid w:val="003958EE"/>
    <w:pPr>
      <w:spacing w:after="480" w:line="440" w:lineRule="atLeast"/>
      <w:ind w:left="0" w:firstLine="0"/>
    </w:pPr>
    <w:rPr>
      <w:rFonts w:asciiTheme="minorHAnsi" w:hAnsiTheme="minorHAnsi"/>
      <w:b/>
      <w:color w:val="98002E"/>
      <w:sz w:val="40"/>
    </w:rPr>
  </w:style>
  <w:style w:type="paragraph" w:customStyle="1" w:styleId="Covertitle">
    <w:name w:val="Cover title"/>
    <w:rsid w:val="003958EE"/>
    <w:pPr>
      <w:spacing w:before="1200" w:after="480" w:line="540" w:lineRule="atLeast"/>
      <w:ind w:left="0" w:firstLine="0"/>
    </w:pPr>
    <w:rPr>
      <w:rFonts w:asciiTheme="minorHAnsi" w:hAnsiTheme="minorHAnsi"/>
      <w:b/>
      <w:color w:val="98002E"/>
      <w:sz w:val="48"/>
    </w:rPr>
  </w:style>
  <w:style w:type="paragraph" w:customStyle="1" w:styleId="BodytextNOINDENT">
    <w:name w:val="Body text (NO INDENT)"/>
    <w:basedOn w:val="BodyText"/>
    <w:rsid w:val="00293B0A"/>
    <w:pPr>
      <w:ind w:left="0"/>
    </w:pPr>
  </w:style>
  <w:style w:type="paragraph" w:customStyle="1" w:styleId="Coverreportnumberandstatus">
    <w:name w:val="Cover report number and status"/>
    <w:rsid w:val="00C1583C"/>
    <w:pPr>
      <w:tabs>
        <w:tab w:val="right" w:pos="8675"/>
      </w:tabs>
      <w:spacing w:after="480" w:line="420" w:lineRule="atLeast"/>
      <w:ind w:left="0" w:firstLine="0"/>
    </w:pPr>
    <w:rPr>
      <w:rFonts w:asciiTheme="minorHAnsi" w:hAnsiTheme="minorHAnsi"/>
      <w:color w:val="98002E"/>
      <w:sz w:val="36"/>
    </w:rPr>
  </w:style>
  <w:style w:type="character" w:styleId="CommentReference">
    <w:name w:val="annotation reference"/>
    <w:basedOn w:val="DefaultParagraphFont"/>
    <w:uiPriority w:val="99"/>
    <w:semiHidden/>
    <w:unhideWhenUsed/>
    <w:rsid w:val="0036086E"/>
    <w:rPr>
      <w:sz w:val="16"/>
      <w:szCs w:val="16"/>
    </w:rPr>
  </w:style>
  <w:style w:type="paragraph" w:styleId="CommentText">
    <w:name w:val="annotation text"/>
    <w:basedOn w:val="Normal"/>
    <w:link w:val="CommentTextChar"/>
    <w:uiPriority w:val="99"/>
    <w:unhideWhenUsed/>
    <w:rsid w:val="0036086E"/>
    <w:pPr>
      <w:spacing w:line="240" w:lineRule="auto"/>
    </w:pPr>
  </w:style>
  <w:style w:type="character" w:customStyle="1" w:styleId="CommentTextChar">
    <w:name w:val="Comment Text Char"/>
    <w:basedOn w:val="DefaultParagraphFont"/>
    <w:link w:val="CommentText"/>
    <w:uiPriority w:val="99"/>
    <w:rsid w:val="0036086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6086E"/>
    <w:rPr>
      <w:b/>
      <w:bCs/>
    </w:rPr>
  </w:style>
  <w:style w:type="character" w:customStyle="1" w:styleId="CommentSubjectChar">
    <w:name w:val="Comment Subject Char"/>
    <w:basedOn w:val="CommentTextChar"/>
    <w:link w:val="CommentSubject"/>
    <w:uiPriority w:val="99"/>
    <w:semiHidden/>
    <w:rsid w:val="0036086E"/>
    <w:rPr>
      <w:rFonts w:asciiTheme="minorHAnsi" w:hAnsiTheme="minorHAnsi"/>
      <w:b/>
      <w:bCs/>
    </w:rPr>
  </w:style>
  <w:style w:type="paragraph" w:customStyle="1" w:styleId="ExecutiveSummaryHeader">
    <w:name w:val="Executive Summary Header"/>
    <w:rsid w:val="006E3729"/>
    <w:pPr>
      <w:pBdr>
        <w:bottom w:val="single" w:sz="4" w:space="1" w:color="auto"/>
      </w:pBdr>
      <w:spacing w:after="480" w:line="320" w:lineRule="atLeast"/>
    </w:pPr>
    <w:rPr>
      <w:rFonts w:asciiTheme="majorHAnsi" w:hAnsiTheme="majorHAnsi"/>
      <w:b/>
      <w:color w:val="98002E"/>
      <w:sz w:val="28"/>
    </w:rPr>
  </w:style>
  <w:style w:type="paragraph" w:customStyle="1" w:styleId="PHEBodycopy">
    <w:name w:val="PHE Body copy"/>
    <w:basedOn w:val="Normal"/>
    <w:rsid w:val="003B02C9"/>
    <w:pPr>
      <w:spacing w:after="0" w:line="320" w:lineRule="atLeast"/>
      <w:ind w:left="0" w:right="794"/>
    </w:pPr>
    <w:rPr>
      <w:rFonts w:ascii="Arial" w:eastAsia="Times New Roman" w:hAnsi="Arial" w:cs="Times New Roman"/>
      <w:sz w:val="24"/>
      <w:lang w:eastAsia="en-GB"/>
    </w:rPr>
  </w:style>
  <w:style w:type="paragraph" w:customStyle="1" w:styleId="AB-MainText">
    <w:name w:val="AB-Main Text"/>
    <w:basedOn w:val="Normal"/>
    <w:uiPriority w:val="99"/>
    <w:rsid w:val="007164EA"/>
    <w:pPr>
      <w:tabs>
        <w:tab w:val="left" w:pos="851"/>
      </w:tabs>
      <w:spacing w:after="180"/>
      <w:ind w:left="851"/>
      <w:jc w:val="both"/>
    </w:pPr>
    <w:rPr>
      <w:rFonts w:ascii="Arial" w:eastAsia="Times New Roman" w:hAnsi="Arial" w:cs="Times New Roman"/>
      <w:sz w:val="21"/>
      <w:lang w:eastAsia="en-GB"/>
    </w:rPr>
  </w:style>
  <w:style w:type="paragraph" w:customStyle="1" w:styleId="TableRow">
    <w:name w:val="Table Row"/>
    <w:basedOn w:val="Normal"/>
    <w:rsid w:val="00323D29"/>
    <w:pPr>
      <w:keepNext/>
      <w:tabs>
        <w:tab w:val="left" w:pos="851"/>
      </w:tabs>
      <w:spacing w:before="60" w:after="20" w:line="200" w:lineRule="atLeast"/>
      <w:ind w:left="0" w:right="113"/>
    </w:pPr>
    <w:rPr>
      <w:rFonts w:ascii="Arial" w:eastAsia="Times New Roman" w:hAnsi="Arial" w:cs="Arial"/>
      <w:sz w:val="16"/>
      <w:szCs w:val="16"/>
      <w:lang w:eastAsia="en-GB"/>
    </w:rPr>
  </w:style>
  <w:style w:type="paragraph" w:customStyle="1" w:styleId="TableColumnHeader">
    <w:name w:val="Table Column Header"/>
    <w:basedOn w:val="Tablecolumnheadings"/>
    <w:rsid w:val="00323D29"/>
  </w:style>
  <w:style w:type="paragraph" w:customStyle="1" w:styleId="MainTextEnd">
    <w:name w:val="Main Text (End)"/>
    <w:basedOn w:val="BodyTextEND"/>
    <w:link w:val="MainTextEndChar"/>
    <w:uiPriority w:val="99"/>
    <w:rsid w:val="00257419"/>
  </w:style>
  <w:style w:type="character" w:customStyle="1" w:styleId="MainTextEndChar">
    <w:name w:val="Main Text (End) Char"/>
    <w:basedOn w:val="DefaultParagraphFont"/>
    <w:link w:val="MainTextEnd"/>
    <w:uiPriority w:val="99"/>
    <w:locked/>
    <w:rsid w:val="00257419"/>
    <w:rPr>
      <w:rFonts w:asciiTheme="minorHAnsi" w:hAnsiTheme="minorHAnsi"/>
    </w:rPr>
  </w:style>
  <w:style w:type="paragraph" w:customStyle="1" w:styleId="MainText">
    <w:name w:val="Main Text"/>
    <w:basedOn w:val="BodyText"/>
    <w:link w:val="MainTextChar"/>
    <w:rsid w:val="00257419"/>
  </w:style>
  <w:style w:type="character" w:customStyle="1" w:styleId="MainTextChar">
    <w:name w:val="Main Text Char"/>
    <w:basedOn w:val="DefaultParagraphFont"/>
    <w:link w:val="MainText"/>
    <w:locked/>
    <w:rsid w:val="00257419"/>
    <w:rPr>
      <w:rFonts w:asciiTheme="minorHAnsi" w:hAnsiTheme="minorHAnsi"/>
    </w:rPr>
  </w:style>
  <w:style w:type="paragraph" w:styleId="NormalWeb">
    <w:name w:val="Normal (Web)"/>
    <w:basedOn w:val="Normal"/>
    <w:uiPriority w:val="99"/>
    <w:semiHidden/>
    <w:unhideWhenUsed/>
    <w:rsid w:val="00257419"/>
    <w:pPr>
      <w:spacing w:before="100" w:beforeAutospacing="1" w:after="100" w:afterAutospacing="1" w:line="240" w:lineRule="auto"/>
      <w:ind w:left="0"/>
    </w:pPr>
    <w:rPr>
      <w:rFonts w:ascii="Times New Roman" w:eastAsiaTheme="minorEastAsia" w:hAnsi="Times New Roman" w:cs="Times New Roman"/>
      <w:sz w:val="24"/>
      <w:szCs w:val="24"/>
      <w:lang w:eastAsia="en-GB"/>
    </w:rPr>
  </w:style>
  <w:style w:type="paragraph" w:customStyle="1" w:styleId="EndNoteBibliographyTitle">
    <w:name w:val="EndNote Bibliography Title"/>
    <w:basedOn w:val="Normal"/>
    <w:link w:val="EndNoteBibliographyTitleChar"/>
    <w:rsid w:val="00257419"/>
    <w:pPr>
      <w:spacing w:after="0"/>
      <w:jc w:val="center"/>
    </w:pPr>
    <w:rPr>
      <w:rFonts w:ascii="Arial" w:hAnsi="Arial" w:cs="Arial"/>
      <w:noProof/>
      <w:lang w:val="en-US"/>
    </w:rPr>
  </w:style>
  <w:style w:type="character" w:customStyle="1" w:styleId="EndNoteBibliographyTitleChar">
    <w:name w:val="EndNote Bibliography Title Char"/>
    <w:basedOn w:val="BodyTextChar"/>
    <w:link w:val="EndNoteBibliographyTitle"/>
    <w:rsid w:val="00257419"/>
    <w:rPr>
      <w:rFonts w:asciiTheme="minorHAnsi" w:hAnsiTheme="minorHAnsi" w:cs="Arial"/>
      <w:noProof/>
      <w:lang w:val="en-US"/>
    </w:rPr>
  </w:style>
  <w:style w:type="paragraph" w:customStyle="1" w:styleId="EndNoteBibliography">
    <w:name w:val="EndNote Bibliography"/>
    <w:basedOn w:val="Normal"/>
    <w:link w:val="EndNoteBibliographyChar"/>
    <w:rsid w:val="00257419"/>
    <w:pPr>
      <w:spacing w:line="240" w:lineRule="atLeast"/>
    </w:pPr>
    <w:rPr>
      <w:rFonts w:ascii="Arial" w:hAnsi="Arial" w:cs="Arial"/>
      <w:noProof/>
      <w:lang w:val="en-US"/>
    </w:rPr>
  </w:style>
  <w:style w:type="character" w:customStyle="1" w:styleId="EndNoteBibliographyChar">
    <w:name w:val="EndNote Bibliography Char"/>
    <w:basedOn w:val="BodyTextChar"/>
    <w:link w:val="EndNoteBibliography"/>
    <w:rsid w:val="00257419"/>
    <w:rPr>
      <w:rFonts w:asciiTheme="minorHAnsi" w:hAnsiTheme="minorHAnsi" w:cs="Arial"/>
      <w:noProof/>
      <w:lang w:val="en-US"/>
    </w:rPr>
  </w:style>
  <w:style w:type="character" w:customStyle="1" w:styleId="UnresolvedMention1">
    <w:name w:val="Unresolved Mention1"/>
    <w:basedOn w:val="DefaultParagraphFont"/>
    <w:uiPriority w:val="99"/>
    <w:semiHidden/>
    <w:unhideWhenUsed/>
    <w:rsid w:val="00257419"/>
    <w:rPr>
      <w:color w:val="605E5C"/>
      <w:shd w:val="clear" w:color="auto" w:fill="E1DFDD"/>
    </w:rPr>
  </w:style>
  <w:style w:type="paragraph" w:styleId="ListParagraph">
    <w:name w:val="List Paragraph"/>
    <w:basedOn w:val="Normal"/>
    <w:uiPriority w:val="34"/>
    <w:qFormat/>
    <w:rsid w:val="00257419"/>
    <w:pPr>
      <w:contextualSpacing/>
    </w:pPr>
  </w:style>
  <w:style w:type="character" w:customStyle="1" w:styleId="CommentTextChar1">
    <w:name w:val="Comment Text Char1"/>
    <w:basedOn w:val="DefaultParagraphFont"/>
    <w:uiPriority w:val="99"/>
    <w:semiHidden/>
    <w:rsid w:val="00257419"/>
    <w:rPr>
      <w:sz w:val="20"/>
      <w:szCs w:val="20"/>
    </w:rPr>
  </w:style>
  <w:style w:type="paragraph" w:customStyle="1" w:styleId="Default">
    <w:name w:val="Default"/>
    <w:rsid w:val="00257419"/>
    <w:pPr>
      <w:autoSpaceDE w:val="0"/>
      <w:autoSpaceDN w:val="0"/>
      <w:adjustRightInd w:val="0"/>
      <w:spacing w:line="240" w:lineRule="auto"/>
      <w:ind w:left="0" w:firstLine="0"/>
    </w:pPr>
    <w:rPr>
      <w:rFonts w:cs="Arial"/>
      <w:color w:val="000000"/>
      <w:sz w:val="24"/>
      <w:szCs w:val="24"/>
    </w:rPr>
  </w:style>
  <w:style w:type="character" w:styleId="Mention">
    <w:name w:val="Mention"/>
    <w:basedOn w:val="DefaultParagraphFont"/>
    <w:uiPriority w:val="99"/>
    <w:semiHidden/>
    <w:unhideWhenUsed/>
    <w:rsid w:val="00257419"/>
    <w:rPr>
      <w:color w:val="2B579A"/>
      <w:shd w:val="clear" w:color="auto" w:fill="E6E6E6"/>
    </w:rPr>
  </w:style>
  <w:style w:type="paragraph" w:styleId="Revision">
    <w:name w:val="Revision"/>
    <w:hidden/>
    <w:uiPriority w:val="99"/>
    <w:semiHidden/>
    <w:rsid w:val="002F6ECC"/>
    <w:pPr>
      <w:spacing w:line="240" w:lineRule="auto"/>
      <w:ind w:left="0" w:firstLine="0"/>
    </w:pPr>
    <w:rPr>
      <w:rFonts w:asciiTheme="minorHAnsi" w:hAnsiTheme="minorHAnsi"/>
    </w:rPr>
  </w:style>
  <w:style w:type="paragraph" w:styleId="ListBullet">
    <w:name w:val="List Bullet"/>
    <w:basedOn w:val="Normal"/>
    <w:uiPriority w:val="99"/>
    <w:unhideWhenUsed/>
    <w:rsid w:val="00650858"/>
    <w:pPr>
      <w:tabs>
        <w:tab w:val="num" w:pos="360"/>
      </w:tabs>
      <w:spacing w:after="0" w:line="276" w:lineRule="auto"/>
      <w:ind w:left="360" w:hanging="360"/>
      <w:contextualSpacing/>
    </w:pPr>
    <w:rPr>
      <w:rFonts w:ascii="Arial" w:eastAsiaTheme="minorEastAsia" w:hAnsi="Arial"/>
      <w:sz w:val="21"/>
      <w:szCs w:val="22"/>
    </w:rPr>
  </w:style>
  <w:style w:type="paragraph" w:customStyle="1" w:styleId="Frontpagetitlesecondlevel">
    <w:name w:val="* Front page title second level"/>
    <w:rsid w:val="007E0463"/>
    <w:pPr>
      <w:spacing w:line="240" w:lineRule="auto"/>
      <w:ind w:left="0" w:firstLine="0"/>
      <w:outlineLvl w:val="1"/>
    </w:pPr>
    <w:rPr>
      <w:rFonts w:eastAsia="Times New Roman" w:cs="Times New Roman"/>
      <w:color w:val="007C91"/>
      <w:sz w:val="5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3467">
      <w:bodyDiv w:val="1"/>
      <w:marLeft w:val="0"/>
      <w:marRight w:val="0"/>
      <w:marTop w:val="0"/>
      <w:marBottom w:val="0"/>
      <w:divBdr>
        <w:top w:val="none" w:sz="0" w:space="0" w:color="auto"/>
        <w:left w:val="none" w:sz="0" w:space="0" w:color="auto"/>
        <w:bottom w:val="none" w:sz="0" w:space="0" w:color="auto"/>
        <w:right w:val="none" w:sz="0" w:space="0" w:color="auto"/>
      </w:divBdr>
    </w:div>
    <w:div w:id="332532969">
      <w:bodyDiv w:val="1"/>
      <w:marLeft w:val="0"/>
      <w:marRight w:val="0"/>
      <w:marTop w:val="0"/>
      <w:marBottom w:val="0"/>
      <w:divBdr>
        <w:top w:val="none" w:sz="0" w:space="0" w:color="auto"/>
        <w:left w:val="none" w:sz="0" w:space="0" w:color="auto"/>
        <w:bottom w:val="none" w:sz="0" w:space="0" w:color="auto"/>
        <w:right w:val="none" w:sz="0" w:space="0" w:color="auto"/>
      </w:divBdr>
    </w:div>
    <w:div w:id="519928544">
      <w:bodyDiv w:val="1"/>
      <w:marLeft w:val="0"/>
      <w:marRight w:val="0"/>
      <w:marTop w:val="0"/>
      <w:marBottom w:val="0"/>
      <w:divBdr>
        <w:top w:val="none" w:sz="0" w:space="0" w:color="auto"/>
        <w:left w:val="none" w:sz="0" w:space="0" w:color="auto"/>
        <w:bottom w:val="none" w:sz="0" w:space="0" w:color="auto"/>
        <w:right w:val="none" w:sz="0" w:space="0" w:color="auto"/>
      </w:divBdr>
    </w:div>
    <w:div w:id="767775812">
      <w:bodyDiv w:val="1"/>
      <w:marLeft w:val="0"/>
      <w:marRight w:val="0"/>
      <w:marTop w:val="0"/>
      <w:marBottom w:val="0"/>
      <w:divBdr>
        <w:top w:val="none" w:sz="0" w:space="0" w:color="auto"/>
        <w:left w:val="none" w:sz="0" w:space="0" w:color="auto"/>
        <w:bottom w:val="none" w:sz="0" w:space="0" w:color="auto"/>
        <w:right w:val="none" w:sz="0" w:space="0" w:color="auto"/>
      </w:divBdr>
    </w:div>
    <w:div w:id="1437017199">
      <w:bodyDiv w:val="1"/>
      <w:marLeft w:val="0"/>
      <w:marRight w:val="0"/>
      <w:marTop w:val="0"/>
      <w:marBottom w:val="0"/>
      <w:divBdr>
        <w:top w:val="none" w:sz="0" w:space="0" w:color="auto"/>
        <w:left w:val="none" w:sz="0" w:space="0" w:color="auto"/>
        <w:bottom w:val="none" w:sz="0" w:space="0" w:color="auto"/>
        <w:right w:val="none" w:sz="0" w:space="0" w:color="auto"/>
      </w:divBdr>
    </w:div>
    <w:div w:id="1473792832">
      <w:bodyDiv w:val="1"/>
      <w:marLeft w:val="0"/>
      <w:marRight w:val="0"/>
      <w:marTop w:val="0"/>
      <w:marBottom w:val="0"/>
      <w:divBdr>
        <w:top w:val="none" w:sz="0" w:space="0" w:color="auto"/>
        <w:left w:val="none" w:sz="0" w:space="0" w:color="auto"/>
        <w:bottom w:val="none" w:sz="0" w:space="0" w:color="auto"/>
        <w:right w:val="none" w:sz="0" w:space="0" w:color="auto"/>
      </w:divBdr>
    </w:div>
    <w:div w:id="1936205330">
      <w:bodyDiv w:val="1"/>
      <w:marLeft w:val="0"/>
      <w:marRight w:val="0"/>
      <w:marTop w:val="0"/>
      <w:marBottom w:val="0"/>
      <w:divBdr>
        <w:top w:val="none" w:sz="0" w:space="0" w:color="auto"/>
        <w:left w:val="none" w:sz="0" w:space="0" w:color="auto"/>
        <w:bottom w:val="none" w:sz="0" w:space="0" w:color="auto"/>
        <w:right w:val="none" w:sz="0" w:space="0" w:color="auto"/>
      </w:divBdr>
    </w:div>
    <w:div w:id="20710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7.xml"/><Relationship Id="rId21" Type="http://schemas.openxmlformats.org/officeDocument/2006/relationships/chart" Target="charts/chart2.xml"/><Relationship Id="rId42" Type="http://schemas.openxmlformats.org/officeDocument/2006/relationships/chart" Target="charts/chart23.xml"/><Relationship Id="rId47" Type="http://schemas.openxmlformats.org/officeDocument/2006/relationships/chart" Target="charts/chart28.xml"/><Relationship Id="rId63" Type="http://schemas.openxmlformats.org/officeDocument/2006/relationships/chart" Target="charts/chart44.xml"/><Relationship Id="rId68" Type="http://schemas.openxmlformats.org/officeDocument/2006/relationships/chart" Target="charts/chart49.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chart" Target="charts/chart13.xml"/><Relationship Id="rId37" Type="http://schemas.openxmlformats.org/officeDocument/2006/relationships/chart" Target="charts/chart18.xml"/><Relationship Id="rId53" Type="http://schemas.openxmlformats.org/officeDocument/2006/relationships/chart" Target="charts/chart34.xml"/><Relationship Id="rId58" Type="http://schemas.openxmlformats.org/officeDocument/2006/relationships/chart" Target="charts/chart39.xml"/><Relationship Id="rId74" Type="http://schemas.openxmlformats.org/officeDocument/2006/relationships/header" Target="header9.xml"/><Relationship Id="rId79"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chart" Target="charts/chart42.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chart" Target="charts/chart24.xml"/><Relationship Id="rId48" Type="http://schemas.openxmlformats.org/officeDocument/2006/relationships/chart" Target="charts/chart29.xml"/><Relationship Id="rId56" Type="http://schemas.openxmlformats.org/officeDocument/2006/relationships/chart" Target="charts/chart37.xml"/><Relationship Id="rId64" Type="http://schemas.openxmlformats.org/officeDocument/2006/relationships/chart" Target="charts/chart45.xml"/><Relationship Id="rId69" Type="http://schemas.openxmlformats.org/officeDocument/2006/relationships/header" Target="header7.xml"/><Relationship Id="rId77" Type="http://schemas.openxmlformats.org/officeDocument/2006/relationships/hyperlink" Target="https://www.gov.uk/government/organisations/uk-health-security-agency" TargetMode="External"/><Relationship Id="rId8" Type="http://schemas.openxmlformats.org/officeDocument/2006/relationships/header" Target="header1.xml"/><Relationship Id="rId51" Type="http://schemas.openxmlformats.org/officeDocument/2006/relationships/chart" Target="charts/chart32.xml"/><Relationship Id="rId72" Type="http://schemas.openxmlformats.org/officeDocument/2006/relationships/footer" Target="footer8.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chart" Target="charts/chart19.xml"/><Relationship Id="rId46" Type="http://schemas.openxmlformats.org/officeDocument/2006/relationships/chart" Target="charts/chart27.xml"/><Relationship Id="rId59" Type="http://schemas.openxmlformats.org/officeDocument/2006/relationships/chart" Target="charts/chart40.xml"/><Relationship Id="rId67" Type="http://schemas.openxmlformats.org/officeDocument/2006/relationships/chart" Target="charts/chart48.xml"/><Relationship Id="rId20" Type="http://schemas.openxmlformats.org/officeDocument/2006/relationships/chart" Target="charts/chart1.xml"/><Relationship Id="rId41" Type="http://schemas.openxmlformats.org/officeDocument/2006/relationships/chart" Target="charts/chart22.xml"/><Relationship Id="rId54" Type="http://schemas.openxmlformats.org/officeDocument/2006/relationships/chart" Target="charts/chart35.xml"/><Relationship Id="rId62" Type="http://schemas.openxmlformats.org/officeDocument/2006/relationships/chart" Target="charts/chart43.xml"/><Relationship Id="rId70" Type="http://schemas.openxmlformats.org/officeDocument/2006/relationships/header" Target="header8.xml"/><Relationship Id="rId75" Type="http://schemas.openxmlformats.org/officeDocument/2006/relationships/hyperlink" Target="https://www.gov.uk/government/organisations/uk-health-security-agenc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7.xml"/><Relationship Id="rId49" Type="http://schemas.openxmlformats.org/officeDocument/2006/relationships/chart" Target="charts/chart30.xml"/><Relationship Id="rId57" Type="http://schemas.openxmlformats.org/officeDocument/2006/relationships/chart" Target="charts/chart38.xml"/><Relationship Id="rId10" Type="http://schemas.openxmlformats.org/officeDocument/2006/relationships/footer" Target="footer1.xml"/><Relationship Id="rId31" Type="http://schemas.openxmlformats.org/officeDocument/2006/relationships/chart" Target="charts/chart12.xml"/><Relationship Id="rId44" Type="http://schemas.openxmlformats.org/officeDocument/2006/relationships/chart" Target="charts/chart25.xml"/><Relationship Id="rId52" Type="http://schemas.openxmlformats.org/officeDocument/2006/relationships/chart" Target="charts/chart33.xml"/><Relationship Id="rId60" Type="http://schemas.openxmlformats.org/officeDocument/2006/relationships/chart" Target="charts/chart41.xml"/><Relationship Id="rId65" Type="http://schemas.openxmlformats.org/officeDocument/2006/relationships/chart" Target="charts/chart46.xml"/><Relationship Id="rId73" Type="http://schemas.openxmlformats.org/officeDocument/2006/relationships/hyperlink" Target="http://www.cerc.co.uk/environmental-software/model-validation.html" TargetMode="External"/><Relationship Id="rId78" Type="http://schemas.openxmlformats.org/officeDocument/2006/relationships/header" Target="header10.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chart" Target="charts/chart20.xml"/><Relationship Id="rId34" Type="http://schemas.openxmlformats.org/officeDocument/2006/relationships/chart" Target="charts/chart15.xml"/><Relationship Id="rId50" Type="http://schemas.openxmlformats.org/officeDocument/2006/relationships/chart" Target="charts/chart31.xml"/><Relationship Id="rId55" Type="http://schemas.openxmlformats.org/officeDocument/2006/relationships/chart" Target="charts/chart36.xml"/><Relationship Id="rId76" Type="http://schemas.openxmlformats.org/officeDocument/2006/relationships/hyperlink" Target="https://www.gov.uk/government/organisations/department-of-health-and-social-care" TargetMode="External"/><Relationship Id="rId7" Type="http://schemas.openxmlformats.org/officeDocument/2006/relationships/endnotes" Target="endnotes.xml"/><Relationship Id="rId71" Type="http://schemas.openxmlformats.org/officeDocument/2006/relationships/footer" Target="footer7.xml"/><Relationship Id="rId2" Type="http://schemas.openxmlformats.org/officeDocument/2006/relationships/numbering" Target="numbering.xml"/><Relationship Id="rId29" Type="http://schemas.openxmlformats.org/officeDocument/2006/relationships/chart" Target="charts/chart10.xml"/><Relationship Id="rId24" Type="http://schemas.openxmlformats.org/officeDocument/2006/relationships/chart" Target="charts/chart5.xml"/><Relationship Id="rId40" Type="http://schemas.openxmlformats.org/officeDocument/2006/relationships/chart" Target="charts/chart21.xml"/><Relationship Id="rId45" Type="http://schemas.openxmlformats.org/officeDocument/2006/relationships/chart" Target="charts/chart26.xml"/><Relationship Id="rId66" Type="http://schemas.openxmlformats.org/officeDocument/2006/relationships/chart" Target="charts/chart47.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B:\Public\ddt\all\docs\publications\CRCE%20Dept%20or%20Contract%20Report%20Template%20Word%202007%20(07-1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1%20-%20Cliff-edg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2.1%20-%20Conservatism%20-%20Cat%20D5%20vs%20Cat%20F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2.1%20-%20Conservatism%20-%20Cat%20D5%20vs%20Cat%20F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2.1%20-%20Conservatism%20-%20Cat%20D5%20vs%20Cat%20F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2.2%20-%20Conservatism%20-%20NAME%20vs%20Gauss%20F2%20-%20LBL%20Orig.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2.4%20-%20Conservatism%20-%20NAME%20vs%20Gauss%20F2%20-%20SGTR.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2.4%20-%20Conservatism%20-%20NAME%20vs%20Gauss%20F2%20-%20SGTR.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2.4%20-%20Conservatism%20-%20NAME%20vs%20Gauss%20F2%20-%20SGTR.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2.4%20-%20Conservatism%20-%20NAME%20vs%20Gauss%20F2%20-%20SGTR.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1%20-%20Cliff-edg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1%20-%20Cliff-edge.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Model%20intercomparison.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Full%20duration%20sigma.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Full%20duration%20sigma.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Full%20duration%20sigma.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Full%20duration%20sigma.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1%20-%20Cliff-edge.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Full%20duration%20sigma.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Full%20duration%20sigma.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Full%20duration%20sigma.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Full%20duration%20sigma.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ADMS%20dose%20assess.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ADMS%20dose%20assess.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LBL%20vs%20LBLrev.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LBL%20vs%20LBLrev.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LBL%20vs%20LBLrev.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3%20-%20Appropriateness%20-%20LBL%20vs%20LBLrev.xlsx" TargetMode="External"/><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1%20-%20Cliff-edg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1%20-%20Cliff-edg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1%20-%20Cliff-edg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1%20-%20Cliff-edg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phe.gov.uk\HP\CRCE\EAD\Large%20Projects\Emergency%20Planning%20and%20Response\RAD003%20-%20Review%20of%20DBA%20Met%20method\Task%205%20-%20Presentation%20of%20results\Q2.1%20-%20Conservatism%20-%20Cat%20D5%20vs%20Cat%20F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Adept!$C$6</c:f>
              <c:strCache>
                <c:ptCount val="1"/>
                <c:pt idx="0">
                  <c:v>Adult 30d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Adept!$B$7:$B$13</c:f>
              <c:numCache>
                <c:formatCode>General</c:formatCode>
                <c:ptCount val="7"/>
                <c:pt idx="0">
                  <c:v>0</c:v>
                </c:pt>
                <c:pt idx="1">
                  <c:v>0.01</c:v>
                </c:pt>
                <c:pt idx="2">
                  <c:v>0.1</c:v>
                </c:pt>
                <c:pt idx="3">
                  <c:v>1</c:v>
                </c:pt>
                <c:pt idx="4">
                  <c:v>2</c:v>
                </c:pt>
                <c:pt idx="5">
                  <c:v>4</c:v>
                </c:pt>
                <c:pt idx="6">
                  <c:v>8</c:v>
                </c:pt>
              </c:numCache>
            </c:numRef>
          </c:xVal>
          <c:yVal>
            <c:numRef>
              <c:f>Adept!$C$7:$C$13</c:f>
              <c:numCache>
                <c:formatCode>0.0E+00</c:formatCode>
                <c:ptCount val="7"/>
                <c:pt idx="0">
                  <c:v>2.5482019999999999E-5</c:v>
                </c:pt>
                <c:pt idx="1">
                  <c:v>2.5503759999999999E-5</c:v>
                </c:pt>
                <c:pt idx="2">
                  <c:v>2.56222E-5</c:v>
                </c:pt>
                <c:pt idx="3">
                  <c:v>2.6364079999999999E-5</c:v>
                </c:pt>
                <c:pt idx="4">
                  <c:v>2.701324E-5</c:v>
                </c:pt>
                <c:pt idx="5">
                  <c:v>2.813538E-5</c:v>
                </c:pt>
                <c:pt idx="6">
                  <c:v>3.006309E-5</c:v>
                </c:pt>
              </c:numCache>
            </c:numRef>
          </c:yVal>
          <c:smooth val="1"/>
          <c:extLst>
            <c:ext xmlns:c16="http://schemas.microsoft.com/office/drawing/2014/chart" uri="{C3380CC4-5D6E-409C-BE32-E72D297353CC}">
              <c16:uniqueId val="{00000000-E107-4DD6-BF7B-20C6F7053D60}"/>
            </c:ext>
          </c:extLst>
        </c:ser>
        <c:ser>
          <c:idx val="2"/>
          <c:order val="2"/>
          <c:tx>
            <c:strRef>
              <c:f>Adept!$F$6</c:f>
              <c:strCache>
                <c:ptCount val="1"/>
                <c:pt idx="0">
                  <c:v>Infant 30d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Adept!$B$7:$B$13</c:f>
              <c:numCache>
                <c:formatCode>General</c:formatCode>
                <c:ptCount val="7"/>
                <c:pt idx="0">
                  <c:v>0</c:v>
                </c:pt>
                <c:pt idx="1">
                  <c:v>0.01</c:v>
                </c:pt>
                <c:pt idx="2">
                  <c:v>0.1</c:v>
                </c:pt>
                <c:pt idx="3">
                  <c:v>1</c:v>
                </c:pt>
                <c:pt idx="4">
                  <c:v>2</c:v>
                </c:pt>
                <c:pt idx="5">
                  <c:v>4</c:v>
                </c:pt>
                <c:pt idx="6">
                  <c:v>8</c:v>
                </c:pt>
              </c:numCache>
            </c:numRef>
          </c:xVal>
          <c:yVal>
            <c:numRef>
              <c:f>Adept!$F$7:$F$13</c:f>
              <c:numCache>
                <c:formatCode>0.0E+00</c:formatCode>
                <c:ptCount val="7"/>
                <c:pt idx="0">
                  <c:v>4.9326010000000002E-5</c:v>
                </c:pt>
                <c:pt idx="1">
                  <c:v>4.9344400000000001E-5</c:v>
                </c:pt>
                <c:pt idx="2">
                  <c:v>4.9451199999999998E-5</c:v>
                </c:pt>
                <c:pt idx="3">
                  <c:v>5.012056E-5</c:v>
                </c:pt>
                <c:pt idx="4">
                  <c:v>5.070679E-5</c:v>
                </c:pt>
                <c:pt idx="5">
                  <c:v>5.1718110000000003E-5</c:v>
                </c:pt>
                <c:pt idx="6">
                  <c:v>5.345313E-5</c:v>
                </c:pt>
              </c:numCache>
            </c:numRef>
          </c:yVal>
          <c:smooth val="1"/>
          <c:extLst>
            <c:ext xmlns:c16="http://schemas.microsoft.com/office/drawing/2014/chart" uri="{C3380CC4-5D6E-409C-BE32-E72D297353CC}">
              <c16:uniqueId val="{00000001-E107-4DD6-BF7B-20C6F7053D60}"/>
            </c:ext>
          </c:extLst>
        </c:ser>
        <c:dLbls>
          <c:showLegendKey val="0"/>
          <c:showVal val="0"/>
          <c:showCatName val="0"/>
          <c:showSerName val="0"/>
          <c:showPercent val="0"/>
          <c:showBubbleSize val="0"/>
        </c:dLbls>
        <c:axId val="621135376"/>
        <c:axId val="621146856"/>
        <c:extLst>
          <c:ext xmlns:c15="http://schemas.microsoft.com/office/drawing/2012/chart" uri="{02D57815-91ED-43cb-92C2-25804820EDAC}">
            <c15:filteredScatterSeries>
              <c15:ser>
                <c:idx val="1"/>
                <c:order val="1"/>
                <c:tx>
                  <c:strRef>
                    <c:extLst>
                      <c:ext uri="{02D57815-91ED-43cb-92C2-25804820EDAC}">
                        <c15:formulaRef>
                          <c15:sqref>Adept!$E$6</c15:sqref>
                        </c15:formulaRef>
                      </c:ext>
                    </c:extLst>
                    <c:strCache>
                      <c:ptCount val="1"/>
                      <c:pt idx="0">
                        <c:v>Adult lifetime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c:ext uri="{02D57815-91ED-43cb-92C2-25804820EDAC}">
                        <c15:formulaRef>
                          <c15:sqref>Adept!$E$7:$E$13</c15:sqref>
                        </c15:formulaRef>
                      </c:ext>
                    </c:extLst>
                    <c:numCache>
                      <c:formatCode>0.0E+00</c:formatCode>
                      <c:ptCount val="7"/>
                      <c:pt idx="0">
                        <c:v>7.6831250000000001E-5</c:v>
                      </c:pt>
                      <c:pt idx="1">
                        <c:v>7.8260499999999994E-5</c:v>
                      </c:pt>
                      <c:pt idx="2">
                        <c:v>8.5845760000000001E-5</c:v>
                      </c:pt>
                      <c:pt idx="3">
                        <c:v>1.33528E-4</c:v>
                      </c:pt>
                      <c:pt idx="4">
                        <c:v>1.7527840000000001E-4</c:v>
                      </c:pt>
                      <c:pt idx="5">
                        <c:v>2.4743870000000002E-4</c:v>
                      </c:pt>
                      <c:pt idx="6">
                        <c:v>3.7145370000000002E-4</c:v>
                      </c:pt>
                    </c:numCache>
                  </c:numRef>
                </c:yVal>
                <c:smooth val="1"/>
                <c:extLst>
                  <c:ext xmlns:c16="http://schemas.microsoft.com/office/drawing/2014/chart" uri="{C3380CC4-5D6E-409C-BE32-E72D297353CC}">
                    <c16:uniqueId val="{00000002-E107-4DD6-BF7B-20C6F7053D60}"/>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Adept!$H$6</c15:sqref>
                        </c15:formulaRef>
                      </c:ext>
                    </c:extLst>
                    <c:strCache>
                      <c:ptCount val="1"/>
                      <c:pt idx="0">
                        <c:v>Infant lifetime</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extLst xmlns:c15="http://schemas.microsoft.com/office/drawing/2012/chart">
                      <c:ext xmlns:c15="http://schemas.microsoft.com/office/drawing/2012/char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xmlns:c15="http://schemas.microsoft.com/office/drawing/2012/chart">
                      <c:ext xmlns:c15="http://schemas.microsoft.com/office/drawing/2012/chart" uri="{02D57815-91ED-43cb-92C2-25804820EDAC}">
                        <c15:formulaRef>
                          <c15:sqref>Adept!$H$7:$H$13</c15:sqref>
                        </c15:formulaRef>
                      </c:ext>
                    </c:extLst>
                    <c:numCache>
                      <c:formatCode>0.0E+00</c:formatCode>
                      <c:ptCount val="7"/>
                      <c:pt idx="0">
                        <c:v>3.5511769999999998E-4</c:v>
                      </c:pt>
                      <c:pt idx="1">
                        <c:v>3.6181869999999999E-4</c:v>
                      </c:pt>
                      <c:pt idx="2">
                        <c:v>3.9737209999999998E-4</c:v>
                      </c:pt>
                      <c:pt idx="3">
                        <c:v>6.2085980000000003E-4</c:v>
                      </c:pt>
                      <c:pt idx="4">
                        <c:v>8.1654730000000003E-4</c:v>
                      </c:pt>
                      <c:pt idx="5">
                        <c:v>1.1547790000000001E-3</c:v>
                      </c:pt>
                      <c:pt idx="6">
                        <c:v>1.7360380000000001E-3</c:v>
                      </c:pt>
                    </c:numCache>
                  </c:numRef>
                </c:yVal>
                <c:smooth val="1"/>
                <c:extLst xmlns:c15="http://schemas.microsoft.com/office/drawing/2012/chart">
                  <c:ext xmlns:c16="http://schemas.microsoft.com/office/drawing/2014/chart" uri="{C3380CC4-5D6E-409C-BE32-E72D297353CC}">
                    <c16:uniqueId val="{00000003-E107-4DD6-BF7B-20C6F7053D60}"/>
                  </c:ext>
                </c:extLst>
              </c15:ser>
            </c15:filteredScatterSeries>
          </c:ext>
        </c:extLst>
      </c:scatterChart>
      <c:valAx>
        <c:axId val="621135376"/>
        <c:scaling>
          <c:orientation val="minMax"/>
          <c:max val="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Precipitation (</a:t>
                </a:r>
                <a:r>
                  <a:rPr lang="en-GB" sz="1000" b="0" i="0" u="none" strike="noStrike" baseline="0">
                    <a:effectLst/>
                  </a:rPr>
                  <a:t>mm h</a:t>
                </a:r>
                <a:r>
                  <a:rPr lang="en-GB" sz="1000" b="0" i="0" u="none" strike="noStrike" baseline="30000">
                    <a:effectLst/>
                  </a:rPr>
                  <a:t>-1</a:t>
                </a: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46856"/>
        <c:crosses val="autoZero"/>
        <c:crossBetween val="midCat"/>
      </c:valAx>
      <c:valAx>
        <c:axId val="621146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53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'Adept - RCCAE'!$C$6</c:f>
              <c:strCache>
                <c:ptCount val="1"/>
                <c:pt idx="0">
                  <c:v>Adult 30d</c:v>
                </c:pt>
              </c:strCache>
            </c:strRef>
          </c:tx>
          <c:spPr>
            <a:solidFill>
              <a:schemeClr val="accent1"/>
            </a:solidFill>
            <a:ln>
              <a:noFill/>
            </a:ln>
            <a:effectLst/>
          </c:spPr>
          <c:invertIfNegative val="0"/>
          <c:cat>
            <c:strRef>
              <c:f>'Adept - RCCAE'!$B$7:$B$10</c:f>
              <c:strCache>
                <c:ptCount val="4"/>
                <c:pt idx="0">
                  <c:v>F2 - 0 mm/h</c:v>
                </c:pt>
                <c:pt idx="1">
                  <c:v>D - 0 mm/h</c:v>
                </c:pt>
                <c:pt idx="2">
                  <c:v>D - 1 mm/h</c:v>
                </c:pt>
                <c:pt idx="3">
                  <c:v>D - 8 mm/h</c:v>
                </c:pt>
              </c:strCache>
            </c:strRef>
          </c:cat>
          <c:val>
            <c:numRef>
              <c:f>'Adept - RCCAE'!$C$7:$C$10</c:f>
              <c:numCache>
                <c:formatCode>0.00E+00</c:formatCode>
                <c:ptCount val="4"/>
                <c:pt idx="0">
                  <c:v>6.6330030000000002E-4</c:v>
                </c:pt>
                <c:pt idx="1">
                  <c:v>5.4414220000000002E-4</c:v>
                </c:pt>
                <c:pt idx="2">
                  <c:v>5.8400949999999998E-4</c:v>
                </c:pt>
                <c:pt idx="3">
                  <c:v>7.5122839999999997E-4</c:v>
                </c:pt>
              </c:numCache>
            </c:numRef>
          </c:val>
          <c:extLst>
            <c:ext xmlns:c16="http://schemas.microsoft.com/office/drawing/2014/chart" uri="{C3380CC4-5D6E-409C-BE32-E72D297353CC}">
              <c16:uniqueId val="{00000000-44B8-49FA-8941-A706ED87AB93}"/>
            </c:ext>
          </c:extLst>
        </c:ser>
        <c:dLbls>
          <c:showLegendKey val="0"/>
          <c:showVal val="0"/>
          <c:showCatName val="0"/>
          <c:showSerName val="0"/>
          <c:showPercent val="0"/>
          <c:showBubbleSize val="0"/>
        </c:dLbls>
        <c:gapWidth val="219"/>
        <c:overlap val="-27"/>
        <c:axId val="589885808"/>
        <c:axId val="589888432"/>
      </c:barChart>
      <c:catAx>
        <c:axId val="58988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9888432"/>
        <c:crosses val="autoZero"/>
        <c:auto val="1"/>
        <c:lblAlgn val="ctr"/>
        <c:lblOffset val="100"/>
        <c:noMultiLvlLbl val="0"/>
      </c:catAx>
      <c:valAx>
        <c:axId val="589888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a:t>
                </a:r>
                <a:r>
                  <a:rPr lang="en-GB" baseline="0"/>
                  <a:t> (Sv)</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9885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'ADMS - LBL Orig'!$Z$6</c:f>
              <c:strCache>
                <c:ptCount val="1"/>
                <c:pt idx="0">
                  <c:v>Infant lifetime</c:v>
                </c:pt>
              </c:strCache>
            </c:strRef>
          </c:tx>
          <c:spPr>
            <a:solidFill>
              <a:schemeClr val="accent1"/>
            </a:solidFill>
            <a:ln>
              <a:noFill/>
            </a:ln>
            <a:effectLst/>
          </c:spPr>
          <c:invertIfNegative val="0"/>
          <c:cat>
            <c:strRef>
              <c:f>'ADMS - LBL Orig'!$B$7:$B$14</c:f>
              <c:strCache>
                <c:ptCount val="8"/>
                <c:pt idx="0">
                  <c:v>F2 - 0 mm/h</c:v>
                </c:pt>
                <c:pt idx="1">
                  <c:v>D - 0 mm/h</c:v>
                </c:pt>
                <c:pt idx="2">
                  <c:v>D - 0.01 mm/h</c:v>
                </c:pt>
                <c:pt idx="3">
                  <c:v>D - 0.1 mm/h</c:v>
                </c:pt>
                <c:pt idx="4">
                  <c:v>D - 1 mm/h</c:v>
                </c:pt>
                <c:pt idx="5">
                  <c:v>D - 2 mm/h</c:v>
                </c:pt>
                <c:pt idx="6">
                  <c:v>D - 4 mm/h</c:v>
                </c:pt>
                <c:pt idx="7">
                  <c:v>D - 8 mm/h</c:v>
                </c:pt>
              </c:strCache>
            </c:strRef>
          </c:cat>
          <c:val>
            <c:numRef>
              <c:f>'ADMS - LBL Orig'!$Z$7:$Z$14</c:f>
              <c:numCache>
                <c:formatCode>0.00E+00</c:formatCode>
                <c:ptCount val="8"/>
                <c:pt idx="0">
                  <c:v>1.6624651415021361E-4</c:v>
                </c:pt>
                <c:pt idx="1">
                  <c:v>4.8320173702476046E-5</c:v>
                </c:pt>
                <c:pt idx="2">
                  <c:v>7.583154960555303E-5</c:v>
                </c:pt>
                <c:pt idx="3">
                  <c:v>1.6684447363350013E-4</c:v>
                </c:pt>
                <c:pt idx="4">
                  <c:v>5.3686834310478148E-4</c:v>
                </c:pt>
                <c:pt idx="5">
                  <c:v>7.7867020104159328E-4</c:v>
                </c:pt>
                <c:pt idx="6">
                  <c:v>1.1151179732925905E-3</c:v>
                </c:pt>
                <c:pt idx="7">
                  <c:v>1.551227590371384E-3</c:v>
                </c:pt>
              </c:numCache>
            </c:numRef>
          </c:val>
          <c:extLst>
            <c:ext xmlns:c16="http://schemas.microsoft.com/office/drawing/2014/chart" uri="{C3380CC4-5D6E-409C-BE32-E72D297353CC}">
              <c16:uniqueId val="{00000000-C397-4AFB-A6AC-6D861EC68CAA}"/>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a:t>
                </a:r>
                <a:r>
                  <a:rPr lang="en-GB" baseline="0"/>
                  <a:t> (Sv)</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'ADMS - SGTR'!$H$6</c:f>
              <c:strCache>
                <c:ptCount val="1"/>
                <c:pt idx="0">
                  <c:v>Infant lifetime</c:v>
                </c:pt>
              </c:strCache>
            </c:strRef>
          </c:tx>
          <c:spPr>
            <a:solidFill>
              <a:schemeClr val="accent1"/>
            </a:solidFill>
            <a:ln>
              <a:noFill/>
            </a:ln>
            <a:effectLst/>
          </c:spPr>
          <c:invertIfNegative val="0"/>
          <c:cat>
            <c:strRef>
              <c:f>'ADMS - SGTR'!$B$7:$B$10</c:f>
              <c:strCache>
                <c:ptCount val="4"/>
                <c:pt idx="0">
                  <c:v>F2 - 0 mm/h</c:v>
                </c:pt>
                <c:pt idx="1">
                  <c:v>D - 0 mm/h</c:v>
                </c:pt>
                <c:pt idx="2">
                  <c:v>D - 1 mm/h</c:v>
                </c:pt>
                <c:pt idx="3">
                  <c:v>D - 8 mm/h</c:v>
                </c:pt>
              </c:strCache>
            </c:strRef>
          </c:cat>
          <c:val>
            <c:numRef>
              <c:f>'ADMS - SGTR'!$H$7:$H$10</c:f>
              <c:numCache>
                <c:formatCode>0.00E+00</c:formatCode>
                <c:ptCount val="4"/>
                <c:pt idx="0">
                  <c:v>1.5740002975132134E-2</c:v>
                </c:pt>
                <c:pt idx="1">
                  <c:v>4.4421757696633153E-3</c:v>
                </c:pt>
                <c:pt idx="2">
                  <c:v>5.9225122235699416E-3</c:v>
                </c:pt>
                <c:pt idx="3">
                  <c:v>9.8938293484342014E-3</c:v>
                </c:pt>
              </c:numCache>
            </c:numRef>
          </c:val>
          <c:extLst>
            <c:ext xmlns:c16="http://schemas.microsoft.com/office/drawing/2014/chart" uri="{C3380CC4-5D6E-409C-BE32-E72D297353CC}">
              <c16:uniqueId val="{00000000-FD47-49C6-AD31-E33FC6757CF1}"/>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a:t>
                </a:r>
                <a:r>
                  <a:rPr lang="en-GB" baseline="0"/>
                  <a:t> (Sv)</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'NAME in PACE - Mean Max'!$B$7:$B$14</c:f>
              <c:strCache>
                <c:ptCount val="8"/>
                <c:pt idx="0">
                  <c:v>ADMS - F2</c:v>
                </c:pt>
                <c:pt idx="1">
                  <c:v>Adept - F2</c:v>
                </c:pt>
                <c:pt idx="2">
                  <c:v>Ardlui</c:v>
                </c:pt>
                <c:pt idx="3">
                  <c:v>Bradwell</c:v>
                </c:pt>
                <c:pt idx="4">
                  <c:v>Ely</c:v>
                </c:pt>
                <c:pt idx="5">
                  <c:v>Hinkley</c:v>
                </c:pt>
                <c:pt idx="6">
                  <c:v>Seathwaite</c:v>
                </c:pt>
                <c:pt idx="7">
                  <c:v>Trawsfynydd</c:v>
                </c:pt>
              </c:strCache>
            </c:strRef>
          </c:cat>
          <c:val>
            <c:numRef>
              <c:f>'NAME in PACE - Mean Max'!$H$7:$H$14</c:f>
              <c:numCache>
                <c:formatCode>0.00E+00</c:formatCode>
                <c:ptCount val="8"/>
                <c:pt idx="0">
                  <c:v>9.3895032405126293E-3</c:v>
                </c:pt>
                <c:pt idx="1">
                  <c:v>4.3353419999999997E-4</c:v>
                </c:pt>
                <c:pt idx="2">
                  <c:v>2.190812E-4</c:v>
                </c:pt>
                <c:pt idx="3">
                  <c:v>1.2488460000000001E-4</c:v>
                </c:pt>
                <c:pt idx="4">
                  <c:v>1.3529190000000001E-4</c:v>
                </c:pt>
                <c:pt idx="5">
                  <c:v>1.2929280000000001E-4</c:v>
                </c:pt>
                <c:pt idx="6">
                  <c:v>1.6048390000000001E-4</c:v>
                </c:pt>
                <c:pt idx="7">
                  <c:v>2.0624059999999999E-4</c:v>
                </c:pt>
              </c:numCache>
            </c:numRef>
          </c:val>
          <c:extLst>
            <c:ext xmlns:c16="http://schemas.microsoft.com/office/drawing/2014/chart" uri="{C3380CC4-5D6E-409C-BE32-E72D297353CC}">
              <c16:uniqueId val="{00000000-3AA1-4980-9E37-5C3AC4D8C203}"/>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a:t>
                </a:r>
                <a:r>
                  <a:rPr lang="en-GB" baseline="0"/>
                  <a:t> (Sv)</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'NAME in PACE - Max Max (JW)'!$B$7:$B$11</c:f>
              <c:strCache>
                <c:ptCount val="5"/>
                <c:pt idx="0">
                  <c:v>ADMS - F2</c:v>
                </c:pt>
                <c:pt idx="1">
                  <c:v>Adept - F2</c:v>
                </c:pt>
                <c:pt idx="2">
                  <c:v>Ardlui</c:v>
                </c:pt>
                <c:pt idx="3">
                  <c:v>Ely</c:v>
                </c:pt>
                <c:pt idx="4">
                  <c:v>Seathwaite</c:v>
                </c:pt>
              </c:strCache>
            </c:strRef>
          </c:cat>
          <c:val>
            <c:numRef>
              <c:f>'NAME in PACE - Max Max (JW)'!$X$7:$X$11</c:f>
              <c:numCache>
                <c:formatCode>0.0E+00</c:formatCode>
                <c:ptCount val="5"/>
                <c:pt idx="0">
                  <c:v>7.1402124807014197E-6</c:v>
                </c:pt>
                <c:pt idx="1">
                  <c:v>8.259527E-6</c:v>
                </c:pt>
                <c:pt idx="2">
                  <c:v>8.7699610000000007E-6</c:v>
                </c:pt>
                <c:pt idx="3">
                  <c:v>1.0440060000000001E-5</c:v>
                </c:pt>
                <c:pt idx="4">
                  <c:v>9.9256899999999998E-6</c:v>
                </c:pt>
              </c:numCache>
            </c:numRef>
          </c:val>
          <c:extLst>
            <c:ext xmlns:c16="http://schemas.microsoft.com/office/drawing/2014/chart" uri="{C3380CC4-5D6E-409C-BE32-E72D297353CC}">
              <c16:uniqueId val="{00000000-9A5D-414D-8C03-2311A0ECA414}"/>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a:t>
                </a:r>
                <a:r>
                  <a:rPr lang="en-GB" baseline="0"/>
                  <a:t> (Sv)</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'NAME in PACE - 97.5pc Max (JW)'!$B$7:$B$11</c:f>
              <c:strCache>
                <c:ptCount val="5"/>
                <c:pt idx="0">
                  <c:v>ADMS - F2</c:v>
                </c:pt>
                <c:pt idx="1">
                  <c:v>Adept - F2</c:v>
                </c:pt>
                <c:pt idx="2">
                  <c:v>Ardlui</c:v>
                </c:pt>
                <c:pt idx="3">
                  <c:v>Ely</c:v>
                </c:pt>
                <c:pt idx="4">
                  <c:v>Seathwaite</c:v>
                </c:pt>
              </c:strCache>
            </c:strRef>
          </c:cat>
          <c:val>
            <c:numRef>
              <c:f>'NAME in PACE - 97.5pc Max (JW)'!$X$7:$X$11</c:f>
              <c:numCache>
                <c:formatCode>0.0E+00</c:formatCode>
                <c:ptCount val="5"/>
                <c:pt idx="0">
                  <c:v>7.1402124807014197E-6</c:v>
                </c:pt>
                <c:pt idx="1">
                  <c:v>8.259527E-6</c:v>
                </c:pt>
                <c:pt idx="2">
                  <c:v>6.4026299999999999E-6</c:v>
                </c:pt>
                <c:pt idx="3">
                  <c:v>9.114526E-6</c:v>
                </c:pt>
                <c:pt idx="4">
                  <c:v>8.0238700000000008E-6</c:v>
                </c:pt>
              </c:numCache>
            </c:numRef>
          </c:val>
          <c:extLst>
            <c:ext xmlns:c16="http://schemas.microsoft.com/office/drawing/2014/chart" uri="{C3380CC4-5D6E-409C-BE32-E72D297353CC}">
              <c16:uniqueId val="{00000000-BADD-4318-AC35-AD4FA1E95EB3}"/>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'NAME in PACE - 95th pc Max (JW)'!$B$7:$B$11</c:f>
              <c:strCache>
                <c:ptCount val="5"/>
                <c:pt idx="0">
                  <c:v>ADMS - F2</c:v>
                </c:pt>
                <c:pt idx="1">
                  <c:v>Adept - F2</c:v>
                </c:pt>
                <c:pt idx="2">
                  <c:v>Ardlui</c:v>
                </c:pt>
                <c:pt idx="3">
                  <c:v>Ely</c:v>
                </c:pt>
                <c:pt idx="4">
                  <c:v>Seathwaite</c:v>
                </c:pt>
              </c:strCache>
            </c:strRef>
          </c:cat>
          <c:val>
            <c:numRef>
              <c:f>'NAME in PACE - 95th pc Max (JW)'!$X$7:$X$11</c:f>
              <c:numCache>
                <c:formatCode>0.0E+00</c:formatCode>
                <c:ptCount val="5"/>
                <c:pt idx="0">
                  <c:v>7.1402124807014197E-6</c:v>
                </c:pt>
                <c:pt idx="1">
                  <c:v>8.259527E-6</c:v>
                </c:pt>
                <c:pt idx="2">
                  <c:v>6.0316839999999998E-6</c:v>
                </c:pt>
                <c:pt idx="3">
                  <c:v>8.4571749999999992E-6</c:v>
                </c:pt>
                <c:pt idx="4">
                  <c:v>7.0626949999999998E-6</c:v>
                </c:pt>
              </c:numCache>
            </c:numRef>
          </c:val>
          <c:extLst>
            <c:ext xmlns:c16="http://schemas.microsoft.com/office/drawing/2014/chart" uri="{C3380CC4-5D6E-409C-BE32-E72D297353CC}">
              <c16:uniqueId val="{00000000-AFC8-46DA-9C6A-119EE1EE29A8}"/>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'NAME in PACE - Mean Max (JW)'!$B$7:$B$11</c:f>
              <c:strCache>
                <c:ptCount val="5"/>
                <c:pt idx="0">
                  <c:v>ADMS - F2</c:v>
                </c:pt>
                <c:pt idx="1">
                  <c:v>Adept - F2</c:v>
                </c:pt>
                <c:pt idx="2">
                  <c:v>Ardlui</c:v>
                </c:pt>
                <c:pt idx="3">
                  <c:v>Ely</c:v>
                </c:pt>
                <c:pt idx="4">
                  <c:v>Seathwaite</c:v>
                </c:pt>
              </c:strCache>
            </c:strRef>
          </c:cat>
          <c:val>
            <c:numRef>
              <c:f>'NAME in PACE - Mean Max (JW)'!$X$7:$X$11</c:f>
              <c:numCache>
                <c:formatCode>0.0E+00</c:formatCode>
                <c:ptCount val="5"/>
                <c:pt idx="0">
                  <c:v>7.1402124807014197E-6</c:v>
                </c:pt>
                <c:pt idx="1">
                  <c:v>8.259527E-6</c:v>
                </c:pt>
                <c:pt idx="2">
                  <c:v>2.98085E-6</c:v>
                </c:pt>
                <c:pt idx="3">
                  <c:v>4.3483749999999997E-6</c:v>
                </c:pt>
                <c:pt idx="4">
                  <c:v>3.5385999999999999E-6</c:v>
                </c:pt>
              </c:numCache>
            </c:numRef>
          </c:val>
          <c:extLst>
            <c:ext xmlns:c16="http://schemas.microsoft.com/office/drawing/2014/chart" uri="{C3380CC4-5D6E-409C-BE32-E72D297353CC}">
              <c16:uniqueId val="{00000000-5F28-4EB9-A125-9470AD278D13}"/>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LBL'!$F$7</c:f>
              <c:strCache>
                <c:ptCount val="1"/>
                <c:pt idx="0">
                  <c:v>Infant 30d</c:v>
                </c:pt>
              </c:strCache>
            </c:strRef>
          </c:tx>
          <c:spPr>
            <a:solidFill>
              <a:schemeClr val="accent1"/>
            </a:solidFill>
            <a:ln>
              <a:noFill/>
            </a:ln>
            <a:effectLst/>
          </c:spPr>
          <c:invertIfNegative val="0"/>
          <c:cat>
            <c:strRef>
              <c:f>'Seathwaite LBL'!$B$8:$B$16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LBL'!$F$8:$F$16</c:f>
              <c:numCache>
                <c:formatCode>0.0E+00</c:formatCode>
                <c:ptCount val="9"/>
                <c:pt idx="0">
                  <c:v>3.965647E-5</c:v>
                </c:pt>
                <c:pt idx="1">
                  <c:v>5.930817E-5</c:v>
                </c:pt>
                <c:pt idx="2">
                  <c:v>7.7804489999999996E-5</c:v>
                </c:pt>
                <c:pt idx="3">
                  <c:v>6.0304850000000003E-5</c:v>
                </c:pt>
                <c:pt idx="4">
                  <c:v>4.9326010000000002E-5</c:v>
                </c:pt>
                <c:pt idx="5">
                  <c:v>5.345313E-5</c:v>
                </c:pt>
                <c:pt idx="6">
                  <c:v>1.1495478862839461E-3</c:v>
                </c:pt>
                <c:pt idx="7">
                  <c:v>2.4831463655626562E-4</c:v>
                </c:pt>
                <c:pt idx="8">
                  <c:v>2.754783502705347E-4</c:v>
                </c:pt>
              </c:numCache>
            </c:numRef>
          </c:val>
          <c:extLst>
            <c:ext xmlns:c16="http://schemas.microsoft.com/office/drawing/2014/chart" uri="{C3380CC4-5D6E-409C-BE32-E72D297353CC}">
              <c16:uniqueId val="{00000000-F4A3-4C80-8B8B-1F4547411461}"/>
            </c:ext>
          </c:extLst>
        </c:ser>
        <c:dLbls>
          <c:showLegendKey val="0"/>
          <c:showVal val="0"/>
          <c:showCatName val="0"/>
          <c:showSerName val="0"/>
          <c:showPercent val="0"/>
          <c:showBubbleSize val="0"/>
        </c:dLbls>
        <c:gapWidth val="219"/>
        <c:overlap val="-27"/>
        <c:axId val="505912592"/>
        <c:axId val="505909968"/>
      </c:barChart>
      <c:catAx>
        <c:axId val="50591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09968"/>
        <c:crosses val="autoZero"/>
        <c:auto val="1"/>
        <c:lblAlgn val="ctr"/>
        <c:lblOffset val="100"/>
        <c:noMultiLvlLbl val="0"/>
      </c:catAx>
      <c:valAx>
        <c:axId val="50590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12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LBL'!$H$7</c:f>
              <c:strCache>
                <c:ptCount val="1"/>
                <c:pt idx="0">
                  <c:v>Infant lifetime</c:v>
                </c:pt>
              </c:strCache>
            </c:strRef>
          </c:tx>
          <c:spPr>
            <a:solidFill>
              <a:schemeClr val="accent1"/>
            </a:solidFill>
            <a:ln>
              <a:noFill/>
            </a:ln>
            <a:effectLst/>
          </c:spPr>
          <c:invertIfNegative val="0"/>
          <c:cat>
            <c:strRef>
              <c:f>'Seathwaite LBL'!$B$8:$B$16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LBL'!$H$8:$H$16</c:f>
              <c:numCache>
                <c:formatCode>0.0E+00</c:formatCode>
                <c:ptCount val="9"/>
                <c:pt idx="0">
                  <c:v>1.6048390000000001E-4</c:v>
                </c:pt>
                <c:pt idx="1">
                  <c:v>3.5199189999999999E-4</c:v>
                </c:pt>
                <c:pt idx="2">
                  <c:v>4.8503659999999998E-4</c:v>
                </c:pt>
                <c:pt idx="3">
                  <c:v>4.3353419999999997E-4</c:v>
                </c:pt>
                <c:pt idx="4">
                  <c:v>3.5511769999999998E-4</c:v>
                </c:pt>
                <c:pt idx="5">
                  <c:v>1.7360380000000001E-3</c:v>
                </c:pt>
                <c:pt idx="6">
                  <c:v>9.3895032405126293E-3</c:v>
                </c:pt>
                <c:pt idx="7">
                  <c:v>2.5129375647066935E-3</c:v>
                </c:pt>
                <c:pt idx="8">
                  <c:v>1.902149652022601E-2</c:v>
                </c:pt>
              </c:numCache>
            </c:numRef>
          </c:val>
          <c:extLst>
            <c:ext xmlns:c16="http://schemas.microsoft.com/office/drawing/2014/chart" uri="{C3380CC4-5D6E-409C-BE32-E72D297353CC}">
              <c16:uniqueId val="{00000000-FA86-4878-AD55-D3361370C01A}"/>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Adept!$U$6</c:f>
              <c:strCache>
                <c:ptCount val="1"/>
                <c:pt idx="0">
                  <c:v>Adult 30d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Adept!$B$7:$B$13</c:f>
              <c:numCache>
                <c:formatCode>General</c:formatCode>
                <c:ptCount val="7"/>
                <c:pt idx="0">
                  <c:v>0</c:v>
                </c:pt>
                <c:pt idx="1">
                  <c:v>0.01</c:v>
                </c:pt>
                <c:pt idx="2">
                  <c:v>0.1</c:v>
                </c:pt>
                <c:pt idx="3">
                  <c:v>1</c:v>
                </c:pt>
                <c:pt idx="4">
                  <c:v>2</c:v>
                </c:pt>
                <c:pt idx="5">
                  <c:v>4</c:v>
                </c:pt>
                <c:pt idx="6">
                  <c:v>8</c:v>
                </c:pt>
              </c:numCache>
            </c:numRef>
          </c:xVal>
          <c:yVal>
            <c:numRef>
              <c:f>Adept!$U$7:$U$13</c:f>
              <c:numCache>
                <c:formatCode>0.0E+00</c:formatCode>
                <c:ptCount val="7"/>
                <c:pt idx="0">
                  <c:v>6.6473409999999999E-7</c:v>
                </c:pt>
                <c:pt idx="1">
                  <c:v>6.667441E-7</c:v>
                </c:pt>
                <c:pt idx="2">
                  <c:v>6.7725779999999998E-7</c:v>
                </c:pt>
                <c:pt idx="3">
                  <c:v>7.4177200000000001E-7</c:v>
                </c:pt>
                <c:pt idx="4">
                  <c:v>7.9587439999999997E-7</c:v>
                </c:pt>
                <c:pt idx="5">
                  <c:v>8.8417899999999999E-7</c:v>
                </c:pt>
                <c:pt idx="6">
                  <c:v>1.021253E-6</c:v>
                </c:pt>
              </c:numCache>
            </c:numRef>
          </c:yVal>
          <c:smooth val="1"/>
          <c:extLst>
            <c:ext xmlns:c16="http://schemas.microsoft.com/office/drawing/2014/chart" uri="{C3380CC4-5D6E-409C-BE32-E72D297353CC}">
              <c16:uniqueId val="{00000000-295A-4CA3-BFFF-5541DEDC64C0}"/>
            </c:ext>
          </c:extLst>
        </c:ser>
        <c:ser>
          <c:idx val="2"/>
          <c:order val="2"/>
          <c:tx>
            <c:strRef>
              <c:f>Adept!$X$6</c:f>
              <c:strCache>
                <c:ptCount val="1"/>
                <c:pt idx="0">
                  <c:v>Infant 30d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Adept!$B$7:$B$13</c:f>
              <c:numCache>
                <c:formatCode>General</c:formatCode>
                <c:ptCount val="7"/>
                <c:pt idx="0">
                  <c:v>0</c:v>
                </c:pt>
                <c:pt idx="1">
                  <c:v>0.01</c:v>
                </c:pt>
                <c:pt idx="2">
                  <c:v>0.1</c:v>
                </c:pt>
                <c:pt idx="3">
                  <c:v>1</c:v>
                </c:pt>
                <c:pt idx="4">
                  <c:v>2</c:v>
                </c:pt>
                <c:pt idx="5">
                  <c:v>4</c:v>
                </c:pt>
                <c:pt idx="6">
                  <c:v>8</c:v>
                </c:pt>
              </c:numCache>
            </c:numRef>
          </c:xVal>
          <c:yVal>
            <c:numRef>
              <c:f>Adept!$X$7:$X$13</c:f>
              <c:numCache>
                <c:formatCode>0.0E+00</c:formatCode>
                <c:ptCount val="7"/>
                <c:pt idx="0">
                  <c:v>1.288483E-6</c:v>
                </c:pt>
                <c:pt idx="1">
                  <c:v>1.29005E-6</c:v>
                </c:pt>
                <c:pt idx="2">
                  <c:v>1.2983159999999999E-6</c:v>
                </c:pt>
                <c:pt idx="3">
                  <c:v>1.3486690000000001E-6</c:v>
                </c:pt>
                <c:pt idx="4">
                  <c:v>1.3905160000000001E-6</c:v>
                </c:pt>
                <c:pt idx="5">
                  <c:v>1.458191E-6</c:v>
                </c:pt>
                <c:pt idx="6">
                  <c:v>1.561026E-6</c:v>
                </c:pt>
              </c:numCache>
            </c:numRef>
          </c:yVal>
          <c:smooth val="1"/>
          <c:extLst>
            <c:ext xmlns:c16="http://schemas.microsoft.com/office/drawing/2014/chart" uri="{C3380CC4-5D6E-409C-BE32-E72D297353CC}">
              <c16:uniqueId val="{00000001-295A-4CA3-BFFF-5541DEDC64C0}"/>
            </c:ext>
          </c:extLst>
        </c:ser>
        <c:dLbls>
          <c:showLegendKey val="0"/>
          <c:showVal val="0"/>
          <c:showCatName val="0"/>
          <c:showSerName val="0"/>
          <c:showPercent val="0"/>
          <c:showBubbleSize val="0"/>
        </c:dLbls>
        <c:axId val="621137016"/>
        <c:axId val="621133080"/>
        <c:extLst>
          <c:ext xmlns:c15="http://schemas.microsoft.com/office/drawing/2012/chart" uri="{02D57815-91ED-43cb-92C2-25804820EDAC}">
            <c15:filteredScatterSeries>
              <c15:ser>
                <c:idx val="1"/>
                <c:order val="1"/>
                <c:tx>
                  <c:strRef>
                    <c:extLst>
                      <c:ext uri="{02D57815-91ED-43cb-92C2-25804820EDAC}">
                        <c15:formulaRef>
                          <c15:sqref>Adept!$W$6</c15:sqref>
                        </c15:formulaRef>
                      </c:ext>
                    </c:extLst>
                    <c:strCache>
                      <c:ptCount val="1"/>
                      <c:pt idx="0">
                        <c:v>Adult lifetime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c:ext uri="{02D57815-91ED-43cb-92C2-25804820EDAC}">
                        <c15:formulaRef>
                          <c15:sqref>Adept!$W$7:$W$13</c15:sqref>
                        </c15:formulaRef>
                      </c:ext>
                    </c:extLst>
                    <c:numCache>
                      <c:formatCode>0.0E+00</c:formatCode>
                      <c:ptCount val="7"/>
                      <c:pt idx="0">
                        <c:v>1.9799759999999999E-6</c:v>
                      </c:pt>
                      <c:pt idx="1">
                        <c:v>2.1222499999999999E-6</c:v>
                      </c:pt>
                      <c:pt idx="2">
                        <c:v>2.8742969999999999E-6</c:v>
                      </c:pt>
                      <c:pt idx="3">
                        <c:v>7.4937370000000003E-6</c:v>
                      </c:pt>
                      <c:pt idx="4">
                        <c:v>1.138589E-5</c:v>
                      </c:pt>
                      <c:pt idx="5">
                        <c:v>1.7785070000000001E-5</c:v>
                      </c:pt>
                      <c:pt idx="6">
                        <c:v>2.7848380000000001E-5</c:v>
                      </c:pt>
                    </c:numCache>
                  </c:numRef>
                </c:yVal>
                <c:smooth val="1"/>
                <c:extLst>
                  <c:ext xmlns:c16="http://schemas.microsoft.com/office/drawing/2014/chart" uri="{C3380CC4-5D6E-409C-BE32-E72D297353CC}">
                    <c16:uniqueId val="{00000002-295A-4CA3-BFFF-5541DEDC64C0}"/>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Adept!$Z$6</c15:sqref>
                        </c15:formulaRef>
                      </c:ext>
                    </c:extLst>
                    <c:strCache>
                      <c:ptCount val="1"/>
                      <c:pt idx="0">
                        <c:v>Infant lifetime</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extLst xmlns:c15="http://schemas.microsoft.com/office/drawing/2012/chart">
                      <c:ext xmlns:c15="http://schemas.microsoft.com/office/drawing/2012/char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xmlns:c15="http://schemas.microsoft.com/office/drawing/2012/chart">
                      <c:ext xmlns:c15="http://schemas.microsoft.com/office/drawing/2012/chart" uri="{02D57815-91ED-43cb-92C2-25804820EDAC}">
                        <c15:formulaRef>
                          <c15:sqref>Adept!$Z$7:$Z$13</c15:sqref>
                        </c15:formulaRef>
                      </c:ext>
                    </c:extLst>
                    <c:numCache>
                      <c:formatCode>0.0E+00</c:formatCode>
                      <c:ptCount val="7"/>
                      <c:pt idx="0">
                        <c:v>9.0461529999999996E-6</c:v>
                      </c:pt>
                      <c:pt idx="1">
                        <c:v>9.7112540000000005E-6</c:v>
                      </c:pt>
                      <c:pt idx="2">
                        <c:v>1.32275E-5</c:v>
                      </c:pt>
                      <c:pt idx="3">
                        <c:v>3.4825790000000001E-5</c:v>
                      </c:pt>
                      <c:pt idx="4">
                        <c:v>5.3022549999999999E-5</c:v>
                      </c:pt>
                      <c:pt idx="5">
                        <c:v>8.2941669999999997E-5</c:v>
                      </c:pt>
                      <c:pt idx="6">
                        <c:v>1.299947E-4</c:v>
                      </c:pt>
                    </c:numCache>
                  </c:numRef>
                </c:yVal>
                <c:smooth val="1"/>
                <c:extLst xmlns:c15="http://schemas.microsoft.com/office/drawing/2012/chart">
                  <c:ext xmlns:c16="http://schemas.microsoft.com/office/drawing/2014/chart" uri="{C3380CC4-5D6E-409C-BE32-E72D297353CC}">
                    <c16:uniqueId val="{00000003-295A-4CA3-BFFF-5541DEDC64C0}"/>
                  </c:ext>
                </c:extLst>
              </c15:ser>
            </c15:filteredScatterSeries>
          </c:ext>
        </c:extLst>
      </c:scatterChart>
      <c:valAx>
        <c:axId val="621137016"/>
        <c:scaling>
          <c:orientation val="minMax"/>
          <c:max val="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Precipitation (</a:t>
                </a:r>
                <a:r>
                  <a:rPr lang="en-GB" sz="1000" b="0" i="0" u="none" strike="noStrike" baseline="0">
                    <a:effectLst/>
                  </a:rPr>
                  <a:t>mm h</a:t>
                </a:r>
                <a:r>
                  <a:rPr lang="en-GB" sz="1000" b="0" i="0" u="none" strike="noStrike" baseline="30000">
                    <a:effectLst/>
                  </a:rPr>
                  <a:t>-1</a:t>
                </a:r>
                <a:r>
                  <a:rPr lang="en-US" sz="1000" b="0" i="0" u="none" strike="noStrike" baseline="0">
                    <a:effectLst/>
                  </a:rPr>
                  <a:t>)</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3080"/>
        <c:crosses val="autoZero"/>
        <c:crossBetween val="midCat"/>
      </c:valAx>
      <c:valAx>
        <c:axId val="621133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6211370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LBL'!$H$7</c:f>
              <c:strCache>
                <c:ptCount val="1"/>
                <c:pt idx="0">
                  <c:v>Infant lifetime</c:v>
                </c:pt>
              </c:strCache>
            </c:strRef>
          </c:tx>
          <c:spPr>
            <a:solidFill>
              <a:schemeClr val="accent1"/>
            </a:solidFill>
            <a:ln>
              <a:noFill/>
            </a:ln>
            <a:effectLst/>
          </c:spPr>
          <c:invertIfNegative val="0"/>
          <c:cat>
            <c:strRef>
              <c:f>'Seathwaite LBL'!$B$8:$B$13</c:f>
              <c:strCache>
                <c:ptCount val="6"/>
                <c:pt idx="0">
                  <c:v>NiP Mean Max</c:v>
                </c:pt>
                <c:pt idx="1">
                  <c:v>NiP 95pc Max</c:v>
                </c:pt>
                <c:pt idx="2">
                  <c:v>NiP Max Max</c:v>
                </c:pt>
                <c:pt idx="3">
                  <c:v>AiP F 0</c:v>
                </c:pt>
                <c:pt idx="4">
                  <c:v>AiP D 0</c:v>
                </c:pt>
                <c:pt idx="5">
                  <c:v>AiP D 8</c:v>
                </c:pt>
              </c:strCache>
            </c:strRef>
          </c:cat>
          <c:val>
            <c:numRef>
              <c:f>'Seathwaite LBL'!$H$8:$H$13</c:f>
              <c:numCache>
                <c:formatCode>0.0E+00</c:formatCode>
                <c:ptCount val="6"/>
                <c:pt idx="0">
                  <c:v>1.6048390000000001E-4</c:v>
                </c:pt>
                <c:pt idx="1">
                  <c:v>3.5199189999999999E-4</c:v>
                </c:pt>
                <c:pt idx="2">
                  <c:v>4.8503659999999998E-4</c:v>
                </c:pt>
                <c:pt idx="3">
                  <c:v>4.3353419999999997E-4</c:v>
                </c:pt>
                <c:pt idx="4">
                  <c:v>3.5511769999999998E-4</c:v>
                </c:pt>
                <c:pt idx="5">
                  <c:v>1.7360380000000001E-3</c:v>
                </c:pt>
              </c:numCache>
            </c:numRef>
          </c:val>
          <c:extLst>
            <c:ext xmlns:c16="http://schemas.microsoft.com/office/drawing/2014/chart" uri="{C3380CC4-5D6E-409C-BE32-E72D297353CC}">
              <c16:uniqueId val="{00000000-5852-4EB0-8088-4114B7A35F25}"/>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LBL'!$X$7</c:f>
              <c:strCache>
                <c:ptCount val="1"/>
                <c:pt idx="0">
                  <c:v>Infant 30d</c:v>
                </c:pt>
              </c:strCache>
            </c:strRef>
          </c:tx>
          <c:spPr>
            <a:solidFill>
              <a:schemeClr val="accent1"/>
            </a:solidFill>
            <a:ln>
              <a:noFill/>
            </a:ln>
            <a:effectLst/>
          </c:spPr>
          <c:invertIfNegative val="0"/>
          <c:cat>
            <c:strRef>
              <c:f>'Seathwaite LBL'!$B$8:$B$16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LBL'!$X$8:$X$16</c:f>
              <c:numCache>
                <c:formatCode>0.0E+00</c:formatCode>
                <c:ptCount val="9"/>
                <c:pt idx="0">
                  <c:v>1.9662739999999998E-6</c:v>
                </c:pt>
                <c:pt idx="1">
                  <c:v>3.0490069999999999E-6</c:v>
                </c:pt>
                <c:pt idx="2">
                  <c:v>3.6247900000000002E-6</c:v>
                </c:pt>
                <c:pt idx="3">
                  <c:v>1.005215E-5</c:v>
                </c:pt>
                <c:pt idx="4">
                  <c:v>1.288483E-6</c:v>
                </c:pt>
                <c:pt idx="5">
                  <c:v>1.561026E-6</c:v>
                </c:pt>
                <c:pt idx="6">
                  <c:v>2.8373402313729356E-5</c:v>
                </c:pt>
                <c:pt idx="7">
                  <c:v>5.0391320045614162E-6</c:v>
                </c:pt>
                <c:pt idx="8">
                  <c:v>7.2444144039749513E-6</c:v>
                </c:pt>
              </c:numCache>
            </c:numRef>
          </c:val>
          <c:extLst>
            <c:ext xmlns:c16="http://schemas.microsoft.com/office/drawing/2014/chart" uri="{C3380CC4-5D6E-409C-BE32-E72D297353CC}">
              <c16:uniqueId val="{00000000-9DD3-448D-8E6B-3FB7CC03E299}"/>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LBL'!$Z$7</c:f>
              <c:strCache>
                <c:ptCount val="1"/>
                <c:pt idx="0">
                  <c:v>Infant lifetime</c:v>
                </c:pt>
              </c:strCache>
            </c:strRef>
          </c:tx>
          <c:spPr>
            <a:solidFill>
              <a:schemeClr val="accent1"/>
            </a:solidFill>
            <a:ln>
              <a:noFill/>
            </a:ln>
            <a:effectLst/>
          </c:spPr>
          <c:invertIfNegative val="0"/>
          <c:cat>
            <c:strRef>
              <c:f>'Seathwaite LBL'!$B$8:$B$16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LBL'!$Z$8:$Z$16</c:f>
              <c:numCache>
                <c:formatCode>0.0E+00</c:formatCode>
                <c:ptCount val="9"/>
                <c:pt idx="0">
                  <c:v>1.826327E-5</c:v>
                </c:pt>
                <c:pt idx="1">
                  <c:v>4.4093859999999999E-5</c:v>
                </c:pt>
                <c:pt idx="2">
                  <c:v>9.4852940000000004E-5</c:v>
                </c:pt>
                <c:pt idx="3">
                  <c:v>6.8125250000000006E-5</c:v>
                </c:pt>
                <c:pt idx="4">
                  <c:v>9.0461529999999996E-6</c:v>
                </c:pt>
                <c:pt idx="5">
                  <c:v>1.299947E-4</c:v>
                </c:pt>
                <c:pt idx="6">
                  <c:v>1.6624651415021361E-4</c:v>
                </c:pt>
                <c:pt idx="7">
                  <c:v>4.8320173702476046E-5</c:v>
                </c:pt>
                <c:pt idx="8">
                  <c:v>1.551227590371384E-3</c:v>
                </c:pt>
              </c:numCache>
            </c:numRef>
          </c:val>
          <c:extLst>
            <c:ext xmlns:c16="http://schemas.microsoft.com/office/drawing/2014/chart" uri="{C3380CC4-5D6E-409C-BE32-E72D297353CC}">
              <c16:uniqueId val="{00000000-E09A-44C4-BEA7-5DEFB4E0D04C}"/>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LBL'!$Z$7</c:f>
              <c:strCache>
                <c:ptCount val="1"/>
                <c:pt idx="0">
                  <c:v>Infant lifetime</c:v>
                </c:pt>
              </c:strCache>
            </c:strRef>
          </c:tx>
          <c:spPr>
            <a:solidFill>
              <a:schemeClr val="accent1"/>
            </a:solidFill>
            <a:ln>
              <a:noFill/>
            </a:ln>
            <a:effectLst/>
          </c:spPr>
          <c:invertIfNegative val="0"/>
          <c:cat>
            <c:strRef>
              <c:f>'Seathwaite LBL'!$B$8:$B$13</c:f>
              <c:strCache>
                <c:ptCount val="6"/>
                <c:pt idx="0">
                  <c:v>NiP Mean Max</c:v>
                </c:pt>
                <c:pt idx="1">
                  <c:v>NiP 95pc Max</c:v>
                </c:pt>
                <c:pt idx="2">
                  <c:v>NiP Max Max</c:v>
                </c:pt>
                <c:pt idx="3">
                  <c:v>AiP F 0</c:v>
                </c:pt>
                <c:pt idx="4">
                  <c:v>AiP D 0</c:v>
                </c:pt>
                <c:pt idx="5">
                  <c:v>AiP D 8</c:v>
                </c:pt>
              </c:strCache>
            </c:strRef>
          </c:cat>
          <c:val>
            <c:numRef>
              <c:f>'Seathwaite LBL'!$Z$8:$Z$13</c:f>
              <c:numCache>
                <c:formatCode>0.0E+00</c:formatCode>
                <c:ptCount val="6"/>
                <c:pt idx="0">
                  <c:v>1.826327E-5</c:v>
                </c:pt>
                <c:pt idx="1">
                  <c:v>4.4093859999999999E-5</c:v>
                </c:pt>
                <c:pt idx="2">
                  <c:v>9.4852940000000004E-5</c:v>
                </c:pt>
                <c:pt idx="3">
                  <c:v>6.8125250000000006E-5</c:v>
                </c:pt>
                <c:pt idx="4">
                  <c:v>9.0461529999999996E-6</c:v>
                </c:pt>
                <c:pt idx="5">
                  <c:v>1.299947E-4</c:v>
                </c:pt>
              </c:numCache>
            </c:numRef>
          </c:val>
          <c:extLst>
            <c:ext xmlns:c16="http://schemas.microsoft.com/office/drawing/2014/chart" uri="{C3380CC4-5D6E-409C-BE32-E72D297353CC}">
              <c16:uniqueId val="{00000000-11A7-4BC1-9CEF-F843804EFC62}"/>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FH'!$F$7</c:f>
              <c:strCache>
                <c:ptCount val="1"/>
                <c:pt idx="0">
                  <c:v>Infant 7d</c:v>
                </c:pt>
              </c:strCache>
            </c:strRef>
          </c:tx>
          <c:spPr>
            <a:solidFill>
              <a:schemeClr val="accent1"/>
            </a:solidFill>
            <a:ln>
              <a:noFill/>
            </a:ln>
            <a:effectLst/>
          </c:spPr>
          <c:invertIfNegative val="0"/>
          <c:cat>
            <c:strRef>
              <c:f>'Seathwaite FH'!$B$8:$B$16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FH'!$F$8:$F$16</c:f>
              <c:numCache>
                <c:formatCode>0.0E+00</c:formatCode>
                <c:ptCount val="9"/>
                <c:pt idx="0">
                  <c:v>3.0928749999999998E-5</c:v>
                </c:pt>
                <c:pt idx="1">
                  <c:v>7.2242119999999999E-5</c:v>
                </c:pt>
                <c:pt idx="2">
                  <c:v>9.6415489999999998E-5</c:v>
                </c:pt>
                <c:pt idx="3">
                  <c:v>8.2862679999999997E-6</c:v>
                </c:pt>
                <c:pt idx="4">
                  <c:v>5.0982219999999999E-6</c:v>
                </c:pt>
                <c:pt idx="5">
                  <c:v>5.1081140000000002E-6</c:v>
                </c:pt>
                <c:pt idx="6">
                  <c:v>2.3939358353447483E-4</c:v>
                </c:pt>
                <c:pt idx="7">
                  <c:v>4.9263278882223032E-5</c:v>
                </c:pt>
                <c:pt idx="8">
                  <c:v>4.9569038105377082E-5</c:v>
                </c:pt>
              </c:numCache>
            </c:numRef>
          </c:val>
          <c:extLst>
            <c:ext xmlns:c16="http://schemas.microsoft.com/office/drawing/2014/chart" uri="{C3380CC4-5D6E-409C-BE32-E72D297353CC}">
              <c16:uniqueId val="{00000000-12CD-41A1-BBD2-9959AE36E141}"/>
            </c:ext>
          </c:extLst>
        </c:ser>
        <c:dLbls>
          <c:showLegendKey val="0"/>
          <c:showVal val="0"/>
          <c:showCatName val="0"/>
          <c:showSerName val="0"/>
          <c:showPercent val="0"/>
          <c:showBubbleSize val="0"/>
        </c:dLbls>
        <c:gapWidth val="219"/>
        <c:overlap val="-27"/>
        <c:axId val="505912592"/>
        <c:axId val="505909968"/>
      </c:barChart>
      <c:catAx>
        <c:axId val="50591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09968"/>
        <c:crosses val="autoZero"/>
        <c:auto val="1"/>
        <c:lblAlgn val="ctr"/>
        <c:lblOffset val="100"/>
        <c:noMultiLvlLbl val="0"/>
      </c:catAx>
      <c:valAx>
        <c:axId val="50590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12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FH'!$H$7</c:f>
              <c:strCache>
                <c:ptCount val="1"/>
                <c:pt idx="0">
                  <c:v>Infant lifetime</c:v>
                </c:pt>
              </c:strCache>
            </c:strRef>
          </c:tx>
          <c:spPr>
            <a:solidFill>
              <a:schemeClr val="accent1"/>
            </a:solidFill>
            <a:ln>
              <a:noFill/>
            </a:ln>
            <a:effectLst/>
          </c:spPr>
          <c:invertIfNegative val="0"/>
          <c:cat>
            <c:strRef>
              <c:f>'Seathwaite FH'!$B$8:$B$16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FH'!$H$8:$H$16</c:f>
              <c:numCache>
                <c:formatCode>0.0E+00</c:formatCode>
                <c:ptCount val="9"/>
                <c:pt idx="0">
                  <c:v>3.583744E-5</c:v>
                </c:pt>
                <c:pt idx="1">
                  <c:v>8.1154750000000001E-5</c:v>
                </c:pt>
                <c:pt idx="2">
                  <c:v>1.0378900000000001E-4</c:v>
                </c:pt>
                <c:pt idx="3">
                  <c:v>1.985526E-5</c:v>
                </c:pt>
                <c:pt idx="4">
                  <c:v>9.8365720000000001E-6</c:v>
                </c:pt>
                <c:pt idx="5">
                  <c:v>7.3064380000000003E-5</c:v>
                </c:pt>
                <c:pt idx="6">
                  <c:v>3.3977867596129914E-4</c:v>
                </c:pt>
                <c:pt idx="7">
                  <c:v>7.0377203550195925E-5</c:v>
                </c:pt>
                <c:pt idx="8">
                  <c:v>3.2891219383906399E-4</c:v>
                </c:pt>
              </c:numCache>
            </c:numRef>
          </c:val>
          <c:extLst>
            <c:ext xmlns:c16="http://schemas.microsoft.com/office/drawing/2014/chart" uri="{C3380CC4-5D6E-409C-BE32-E72D297353CC}">
              <c16:uniqueId val="{00000000-2040-47A7-A754-7352F667F50B}"/>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FH'!$X$7</c:f>
              <c:strCache>
                <c:ptCount val="1"/>
                <c:pt idx="0">
                  <c:v>Infant 7d</c:v>
                </c:pt>
              </c:strCache>
            </c:strRef>
          </c:tx>
          <c:spPr>
            <a:solidFill>
              <a:schemeClr val="accent1"/>
            </a:solidFill>
            <a:ln>
              <a:noFill/>
            </a:ln>
            <a:effectLst/>
          </c:spPr>
          <c:invertIfNegative val="0"/>
          <c:cat>
            <c:strRef>
              <c:f>'Seathwaite FH'!$B$8:$B$16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FH'!$X$8:$X$16</c:f>
              <c:numCache>
                <c:formatCode>0.0E+00</c:formatCode>
                <c:ptCount val="9"/>
                <c:pt idx="0">
                  <c:v>1.2122480000000001E-6</c:v>
                </c:pt>
                <c:pt idx="1">
                  <c:v>2.431412E-6</c:v>
                </c:pt>
                <c:pt idx="2">
                  <c:v>3.4370840000000001E-6</c:v>
                </c:pt>
                <c:pt idx="3">
                  <c:v>1.228955E-6</c:v>
                </c:pt>
                <c:pt idx="4">
                  <c:v>2.8522039999999998E-7</c:v>
                </c:pt>
                <c:pt idx="5">
                  <c:v>2.136424E-7</c:v>
                </c:pt>
                <c:pt idx="6">
                  <c:v>6.2051454261692104E-6</c:v>
                </c:pt>
                <c:pt idx="7">
                  <c:v>1.008326299193256E-6</c:v>
                </c:pt>
                <c:pt idx="8">
                  <c:v>1.0357105282019277E-6</c:v>
                </c:pt>
              </c:numCache>
            </c:numRef>
          </c:val>
          <c:extLst>
            <c:ext xmlns:c16="http://schemas.microsoft.com/office/drawing/2014/chart" uri="{C3380CC4-5D6E-409C-BE32-E72D297353CC}">
              <c16:uniqueId val="{00000000-45DB-46F9-9B61-6A07FE217434}"/>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FH'!$Z$7</c:f>
              <c:strCache>
                <c:ptCount val="1"/>
                <c:pt idx="0">
                  <c:v>Infant lifetime</c:v>
                </c:pt>
              </c:strCache>
            </c:strRef>
          </c:tx>
          <c:spPr>
            <a:solidFill>
              <a:schemeClr val="accent1"/>
            </a:solidFill>
            <a:ln>
              <a:noFill/>
            </a:ln>
            <a:effectLst/>
          </c:spPr>
          <c:invertIfNegative val="0"/>
          <c:cat>
            <c:strRef>
              <c:f>'Seathwaite FH'!$B$8:$B$16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FH'!$Z$8:$Z$16</c:f>
              <c:numCache>
                <c:formatCode>0.0E+00</c:formatCode>
                <c:ptCount val="9"/>
                <c:pt idx="0">
                  <c:v>2.4717610000000002E-6</c:v>
                </c:pt>
                <c:pt idx="1">
                  <c:v>6.4938560000000003E-6</c:v>
                </c:pt>
                <c:pt idx="2">
                  <c:v>3.02979E-5</c:v>
                </c:pt>
                <c:pt idx="3">
                  <c:v>1.7439679999999999E-6</c:v>
                </c:pt>
                <c:pt idx="4">
                  <c:v>3.8435540000000002E-7</c:v>
                </c:pt>
                <c:pt idx="5">
                  <c:v>5.0040160000000003E-6</c:v>
                </c:pt>
                <c:pt idx="6">
                  <c:v>8.6754920091964383E-6</c:v>
                </c:pt>
                <c:pt idx="7">
                  <c:v>1.4550994186407949E-6</c:v>
                </c:pt>
                <c:pt idx="8">
                  <c:v>2.5847576491191629E-5</c:v>
                </c:pt>
              </c:numCache>
            </c:numRef>
          </c:val>
          <c:extLst>
            <c:ext xmlns:c16="http://schemas.microsoft.com/office/drawing/2014/chart" uri="{C3380CC4-5D6E-409C-BE32-E72D297353CC}">
              <c16:uniqueId val="{00000000-2ADF-47B5-8D87-4AEEAC6F0CF6}"/>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SGTR1'!$F$7</c:f>
              <c:strCache>
                <c:ptCount val="1"/>
                <c:pt idx="0">
                  <c:v>Infant 7d</c:v>
                </c:pt>
              </c:strCache>
            </c:strRef>
          </c:tx>
          <c:spPr>
            <a:solidFill>
              <a:schemeClr val="accent1"/>
            </a:solidFill>
            <a:ln>
              <a:noFill/>
            </a:ln>
            <a:effectLst/>
          </c:spPr>
          <c:invertIfNegative val="0"/>
          <c:cat>
            <c:strRef>
              <c:f>'Seathwaite SGTR1'!$B$8:$B$16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SGTR1'!$F$8:$F$16</c:f>
              <c:numCache>
                <c:formatCode>0.0E+00</c:formatCode>
                <c:ptCount val="9"/>
                <c:pt idx="0">
                  <c:v>5.8611289999999998E-5</c:v>
                </c:pt>
                <c:pt idx="1">
                  <c:v>1.169303E-4</c:v>
                </c:pt>
                <c:pt idx="2">
                  <c:v>1.465181E-4</c:v>
                </c:pt>
                <c:pt idx="3">
                  <c:v>3.1925840000000003E-4</c:v>
                </c:pt>
                <c:pt idx="4">
                  <c:v>1.295181E-4</c:v>
                </c:pt>
                <c:pt idx="5">
                  <c:v>1.3433179999999999E-4</c:v>
                </c:pt>
                <c:pt idx="6">
                  <c:v>4.4848566299157103E-4</c:v>
                </c:pt>
                <c:pt idx="7">
                  <c:v>1.260844341233574E-4</c:v>
                </c:pt>
                <c:pt idx="8">
                  <c:v>1.3079654184545652E-4</c:v>
                </c:pt>
              </c:numCache>
            </c:numRef>
          </c:val>
          <c:extLst>
            <c:ext xmlns:c16="http://schemas.microsoft.com/office/drawing/2014/chart" uri="{C3380CC4-5D6E-409C-BE32-E72D297353CC}">
              <c16:uniqueId val="{00000000-52FC-4D7A-9AC2-287386D59BE0}"/>
            </c:ext>
          </c:extLst>
        </c:ser>
        <c:dLbls>
          <c:showLegendKey val="0"/>
          <c:showVal val="0"/>
          <c:showCatName val="0"/>
          <c:showSerName val="0"/>
          <c:showPercent val="0"/>
          <c:showBubbleSize val="0"/>
        </c:dLbls>
        <c:gapWidth val="219"/>
        <c:overlap val="-27"/>
        <c:axId val="505912592"/>
        <c:axId val="505909968"/>
      </c:barChart>
      <c:catAx>
        <c:axId val="50591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09968"/>
        <c:crosses val="autoZero"/>
        <c:auto val="1"/>
        <c:lblAlgn val="ctr"/>
        <c:lblOffset val="100"/>
        <c:noMultiLvlLbl val="0"/>
      </c:catAx>
      <c:valAx>
        <c:axId val="50590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12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SGTR1'!$H$7</c:f>
              <c:strCache>
                <c:ptCount val="1"/>
                <c:pt idx="0">
                  <c:v>Infant lifetime</c:v>
                </c:pt>
              </c:strCache>
            </c:strRef>
          </c:tx>
          <c:spPr>
            <a:solidFill>
              <a:schemeClr val="accent1"/>
            </a:solidFill>
            <a:ln>
              <a:noFill/>
            </a:ln>
            <a:effectLst/>
          </c:spPr>
          <c:invertIfNegative val="0"/>
          <c:cat>
            <c:strRef>
              <c:f>'Seathwaite SGTR1'!$B$8:$B$16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SGTR1'!$H$8:$H$16</c:f>
              <c:numCache>
                <c:formatCode>0.0E+00</c:formatCode>
                <c:ptCount val="9"/>
                <c:pt idx="0">
                  <c:v>4.1329110000000002E-4</c:v>
                </c:pt>
                <c:pt idx="1">
                  <c:v>1.1376369999999999E-3</c:v>
                </c:pt>
                <c:pt idx="2">
                  <c:v>2.3608800000000001E-3</c:v>
                </c:pt>
                <c:pt idx="3">
                  <c:v>5.0202270000000004E-3</c:v>
                </c:pt>
                <c:pt idx="4">
                  <c:v>2.0309640000000001E-3</c:v>
                </c:pt>
                <c:pt idx="5">
                  <c:v>4.5661720000000003E-3</c:v>
                </c:pt>
                <c:pt idx="6">
                  <c:v>1.5740002975132134E-2</c:v>
                </c:pt>
                <c:pt idx="7">
                  <c:v>4.4421757696633153E-3</c:v>
                </c:pt>
                <c:pt idx="8">
                  <c:v>9.8938293484342014E-3</c:v>
                </c:pt>
              </c:numCache>
            </c:numRef>
          </c:val>
          <c:extLst>
            <c:ext xmlns:c16="http://schemas.microsoft.com/office/drawing/2014/chart" uri="{C3380CC4-5D6E-409C-BE32-E72D297353CC}">
              <c16:uniqueId val="{00000000-EC9D-4858-868C-283E76A04825}"/>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1"/>
          <c:tx>
            <c:strRef>
              <c:f>Adept!$E$6</c:f>
              <c:strCache>
                <c:ptCount val="1"/>
                <c:pt idx="0">
                  <c:v>Adult lifetime</c:v>
                </c:pt>
              </c:strCache>
              <c:extLst xmlns:c15="http://schemas.microsoft.com/office/drawing/2012/chart"/>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Adept!$B$7:$B$13</c:f>
              <c:numCache>
                <c:formatCode>General</c:formatCode>
                <c:ptCount val="7"/>
                <c:pt idx="0">
                  <c:v>0</c:v>
                </c:pt>
                <c:pt idx="1">
                  <c:v>0.01</c:v>
                </c:pt>
                <c:pt idx="2">
                  <c:v>0.1</c:v>
                </c:pt>
                <c:pt idx="3">
                  <c:v>1</c:v>
                </c:pt>
                <c:pt idx="4">
                  <c:v>2</c:v>
                </c:pt>
                <c:pt idx="5">
                  <c:v>4</c:v>
                </c:pt>
                <c:pt idx="6">
                  <c:v>8</c:v>
                </c:pt>
              </c:numCache>
              <c:extLst xmlns:c15="http://schemas.microsoft.com/office/drawing/2012/chart"/>
            </c:numRef>
          </c:xVal>
          <c:yVal>
            <c:numRef>
              <c:f>Adept!$E$7:$E$13</c:f>
              <c:numCache>
                <c:formatCode>0.0E+00</c:formatCode>
                <c:ptCount val="7"/>
                <c:pt idx="0">
                  <c:v>7.6831250000000001E-5</c:v>
                </c:pt>
                <c:pt idx="1">
                  <c:v>7.8260499999999994E-5</c:v>
                </c:pt>
                <c:pt idx="2">
                  <c:v>8.5845760000000001E-5</c:v>
                </c:pt>
                <c:pt idx="3">
                  <c:v>1.33528E-4</c:v>
                </c:pt>
                <c:pt idx="4">
                  <c:v>1.7527840000000001E-4</c:v>
                </c:pt>
                <c:pt idx="5">
                  <c:v>2.4743870000000002E-4</c:v>
                </c:pt>
                <c:pt idx="6">
                  <c:v>3.7145370000000002E-4</c:v>
                </c:pt>
              </c:numCache>
              <c:extLst xmlns:c15="http://schemas.microsoft.com/office/drawing/2012/chart"/>
            </c:numRef>
          </c:yVal>
          <c:smooth val="1"/>
          <c:extLst>
            <c:ext xmlns:c16="http://schemas.microsoft.com/office/drawing/2014/chart" uri="{C3380CC4-5D6E-409C-BE32-E72D297353CC}">
              <c16:uniqueId val="{00000000-0D09-4523-A3FF-F4A0DAEBF497}"/>
            </c:ext>
          </c:extLst>
        </c:ser>
        <c:ser>
          <c:idx val="3"/>
          <c:order val="3"/>
          <c:tx>
            <c:strRef>
              <c:f>Adept!$H$6</c:f>
              <c:strCache>
                <c:ptCount val="1"/>
                <c:pt idx="0">
                  <c:v>Infant lifetime</c:v>
                </c:pt>
              </c:strCache>
              <c:extLst xmlns:c15="http://schemas.microsoft.com/office/drawing/2012/chart"/>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Adept!$B$7:$B$13</c:f>
              <c:numCache>
                <c:formatCode>General</c:formatCode>
                <c:ptCount val="7"/>
                <c:pt idx="0">
                  <c:v>0</c:v>
                </c:pt>
                <c:pt idx="1">
                  <c:v>0.01</c:v>
                </c:pt>
                <c:pt idx="2">
                  <c:v>0.1</c:v>
                </c:pt>
                <c:pt idx="3">
                  <c:v>1</c:v>
                </c:pt>
                <c:pt idx="4">
                  <c:v>2</c:v>
                </c:pt>
                <c:pt idx="5">
                  <c:v>4</c:v>
                </c:pt>
                <c:pt idx="6">
                  <c:v>8</c:v>
                </c:pt>
              </c:numCache>
              <c:extLst xmlns:c15="http://schemas.microsoft.com/office/drawing/2012/chart"/>
            </c:numRef>
          </c:xVal>
          <c:yVal>
            <c:numRef>
              <c:f>Adept!$H$7:$H$13</c:f>
              <c:numCache>
                <c:formatCode>0.0E+00</c:formatCode>
                <c:ptCount val="7"/>
                <c:pt idx="0">
                  <c:v>3.5511769999999998E-4</c:v>
                </c:pt>
                <c:pt idx="1">
                  <c:v>3.6181869999999999E-4</c:v>
                </c:pt>
                <c:pt idx="2">
                  <c:v>3.9737209999999998E-4</c:v>
                </c:pt>
                <c:pt idx="3">
                  <c:v>6.2085980000000003E-4</c:v>
                </c:pt>
                <c:pt idx="4">
                  <c:v>8.1654730000000003E-4</c:v>
                </c:pt>
                <c:pt idx="5">
                  <c:v>1.1547790000000001E-3</c:v>
                </c:pt>
                <c:pt idx="6">
                  <c:v>1.7360380000000001E-3</c:v>
                </c:pt>
              </c:numCache>
              <c:extLst xmlns:c15="http://schemas.microsoft.com/office/drawing/2012/chart"/>
            </c:numRef>
          </c:yVal>
          <c:smooth val="1"/>
          <c:extLst>
            <c:ext xmlns:c16="http://schemas.microsoft.com/office/drawing/2014/chart" uri="{C3380CC4-5D6E-409C-BE32-E72D297353CC}">
              <c16:uniqueId val="{00000001-0D09-4523-A3FF-F4A0DAEBF497}"/>
            </c:ext>
          </c:extLst>
        </c:ser>
        <c:dLbls>
          <c:showLegendKey val="0"/>
          <c:showVal val="0"/>
          <c:showCatName val="0"/>
          <c:showSerName val="0"/>
          <c:showPercent val="0"/>
          <c:showBubbleSize val="0"/>
        </c:dLbls>
        <c:axId val="621135376"/>
        <c:axId val="621146856"/>
        <c:extLst>
          <c:ext xmlns:c15="http://schemas.microsoft.com/office/drawing/2012/chart" uri="{02D57815-91ED-43cb-92C2-25804820EDAC}">
            <c15:filteredScatterSeries>
              <c15:ser>
                <c:idx val="0"/>
                <c:order val="0"/>
                <c:tx>
                  <c:strRef>
                    <c:extLst>
                      <c:ext uri="{02D57815-91ED-43cb-92C2-25804820EDAC}">
                        <c15:formulaRef>
                          <c15:sqref>Adept!$C$6</c15:sqref>
                        </c15:formulaRef>
                      </c:ext>
                    </c:extLst>
                    <c:strCache>
                      <c:ptCount val="1"/>
                      <c:pt idx="0">
                        <c:v>Adult 30d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c:ext uri="{02D57815-91ED-43cb-92C2-25804820EDAC}">
                        <c15:formulaRef>
                          <c15:sqref>Adept!$C$7:$C$13</c15:sqref>
                        </c15:formulaRef>
                      </c:ext>
                    </c:extLst>
                    <c:numCache>
                      <c:formatCode>0.0E+00</c:formatCode>
                      <c:ptCount val="7"/>
                      <c:pt idx="0">
                        <c:v>2.5482019999999999E-5</c:v>
                      </c:pt>
                      <c:pt idx="1">
                        <c:v>2.5503759999999999E-5</c:v>
                      </c:pt>
                      <c:pt idx="2">
                        <c:v>2.56222E-5</c:v>
                      </c:pt>
                      <c:pt idx="3">
                        <c:v>2.6364079999999999E-5</c:v>
                      </c:pt>
                      <c:pt idx="4">
                        <c:v>2.701324E-5</c:v>
                      </c:pt>
                      <c:pt idx="5">
                        <c:v>2.813538E-5</c:v>
                      </c:pt>
                      <c:pt idx="6">
                        <c:v>3.006309E-5</c:v>
                      </c:pt>
                    </c:numCache>
                  </c:numRef>
                </c:yVal>
                <c:smooth val="1"/>
                <c:extLst>
                  <c:ext xmlns:c16="http://schemas.microsoft.com/office/drawing/2014/chart" uri="{C3380CC4-5D6E-409C-BE32-E72D297353CC}">
                    <c16:uniqueId val="{00000002-0D09-4523-A3FF-F4A0DAEBF497}"/>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Adept!$F$6</c15:sqref>
                        </c15:formulaRef>
                      </c:ext>
                    </c:extLst>
                    <c:strCache>
                      <c:ptCount val="1"/>
                      <c:pt idx="0">
                        <c:v>Infant 30d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extLst xmlns:c15="http://schemas.microsoft.com/office/drawing/2012/chart">
                      <c:ext xmlns:c15="http://schemas.microsoft.com/office/drawing/2012/char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xmlns:c15="http://schemas.microsoft.com/office/drawing/2012/chart">
                      <c:ext xmlns:c15="http://schemas.microsoft.com/office/drawing/2012/chart" uri="{02D57815-91ED-43cb-92C2-25804820EDAC}">
                        <c15:formulaRef>
                          <c15:sqref>Adept!$F$7:$F$13</c15:sqref>
                        </c15:formulaRef>
                      </c:ext>
                    </c:extLst>
                    <c:numCache>
                      <c:formatCode>0.0E+00</c:formatCode>
                      <c:ptCount val="7"/>
                      <c:pt idx="0">
                        <c:v>4.9326010000000002E-5</c:v>
                      </c:pt>
                      <c:pt idx="1">
                        <c:v>4.9344400000000001E-5</c:v>
                      </c:pt>
                      <c:pt idx="2">
                        <c:v>4.9451199999999998E-5</c:v>
                      </c:pt>
                      <c:pt idx="3">
                        <c:v>5.012056E-5</c:v>
                      </c:pt>
                      <c:pt idx="4">
                        <c:v>5.070679E-5</c:v>
                      </c:pt>
                      <c:pt idx="5">
                        <c:v>5.1718110000000003E-5</c:v>
                      </c:pt>
                      <c:pt idx="6">
                        <c:v>5.345313E-5</c:v>
                      </c:pt>
                    </c:numCache>
                  </c:numRef>
                </c:yVal>
                <c:smooth val="1"/>
                <c:extLst xmlns:c15="http://schemas.microsoft.com/office/drawing/2012/chart">
                  <c:ext xmlns:c16="http://schemas.microsoft.com/office/drawing/2014/chart" uri="{C3380CC4-5D6E-409C-BE32-E72D297353CC}">
                    <c16:uniqueId val="{00000003-0D09-4523-A3FF-F4A0DAEBF497}"/>
                  </c:ext>
                </c:extLst>
              </c15:ser>
            </c15:filteredScatterSeries>
          </c:ext>
        </c:extLst>
      </c:scatterChart>
      <c:valAx>
        <c:axId val="621135376"/>
        <c:scaling>
          <c:orientation val="minMax"/>
          <c:max val="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Precipitation (</a:t>
                </a:r>
                <a:r>
                  <a:rPr lang="en-GB" sz="1000" b="0" i="0" u="none" strike="noStrike" baseline="0">
                    <a:effectLst/>
                  </a:rPr>
                  <a:t>mm h</a:t>
                </a:r>
                <a:r>
                  <a:rPr lang="en-GB" sz="1000" b="0" i="0" u="none" strike="noStrike" baseline="30000">
                    <a:effectLst/>
                  </a:rPr>
                  <a:t>-1</a:t>
                </a:r>
                <a:r>
                  <a:rPr lang="en-US" sz="1000" b="0" i="0" u="none" strike="noStrike" baseline="0">
                    <a:effectLst/>
                  </a:rPr>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46856"/>
        <c:crosses val="autoZero"/>
        <c:crossBetween val="midCat"/>
      </c:valAx>
      <c:valAx>
        <c:axId val="621146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53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SGTR1'!$X$7</c:f>
              <c:strCache>
                <c:ptCount val="1"/>
                <c:pt idx="0">
                  <c:v>Infant 7d</c:v>
                </c:pt>
              </c:strCache>
            </c:strRef>
          </c:tx>
          <c:spPr>
            <a:solidFill>
              <a:schemeClr val="accent1"/>
            </a:solidFill>
            <a:ln>
              <a:noFill/>
            </a:ln>
            <a:effectLst/>
          </c:spPr>
          <c:invertIfNegative val="0"/>
          <c:cat>
            <c:strRef>
              <c:f>'Seathwaite SGTR1'!$B$8:$B$16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SGTR1'!$X$8:$X$16</c:f>
              <c:numCache>
                <c:formatCode>0.0E+00</c:formatCode>
                <c:ptCount val="9"/>
                <c:pt idx="0">
                  <c:v>3.5385999999999999E-6</c:v>
                </c:pt>
                <c:pt idx="1">
                  <c:v>7.0626949999999998E-6</c:v>
                </c:pt>
                <c:pt idx="2">
                  <c:v>9.9256899999999998E-6</c:v>
                </c:pt>
                <c:pt idx="3">
                  <c:v>8.259527E-6</c:v>
                </c:pt>
                <c:pt idx="4">
                  <c:v>2.594787E-6</c:v>
                </c:pt>
                <c:pt idx="5">
                  <c:v>2.4797429999999999E-6</c:v>
                </c:pt>
                <c:pt idx="6">
                  <c:v>7.1402124807014197E-6</c:v>
                </c:pt>
                <c:pt idx="7">
                  <c:v>2.3775581714981256E-6</c:v>
                </c:pt>
                <c:pt idx="8">
                  <c:v>2.583543150251512E-6</c:v>
                </c:pt>
              </c:numCache>
            </c:numRef>
          </c:val>
          <c:extLst>
            <c:ext xmlns:c16="http://schemas.microsoft.com/office/drawing/2014/chart" uri="{C3380CC4-5D6E-409C-BE32-E72D297353CC}">
              <c16:uniqueId val="{00000000-29AF-4DAA-BE04-9CB2CFC14F88}"/>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SGTR1'!$Z$7</c:f>
              <c:strCache>
                <c:ptCount val="1"/>
                <c:pt idx="0">
                  <c:v>Infant lifetime</c:v>
                </c:pt>
              </c:strCache>
            </c:strRef>
          </c:tx>
          <c:spPr>
            <a:solidFill>
              <a:schemeClr val="accent1"/>
            </a:solidFill>
            <a:ln>
              <a:noFill/>
            </a:ln>
            <a:effectLst/>
          </c:spPr>
          <c:invertIfNegative val="0"/>
          <c:cat>
            <c:strRef>
              <c:f>'Seathwaite SGTR1'!$B$8:$B$16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SGTR1'!$Z$8:$Z$16</c:f>
              <c:numCache>
                <c:formatCode>0.0E+00</c:formatCode>
                <c:ptCount val="9"/>
                <c:pt idx="0">
                  <c:v>4.0653050000000002E-5</c:v>
                </c:pt>
                <c:pt idx="1">
                  <c:v>1.3323750000000001E-4</c:v>
                </c:pt>
                <c:pt idx="2">
                  <c:v>3.0145090000000002E-4</c:v>
                </c:pt>
                <c:pt idx="3">
                  <c:v>1.2946379999999999E-4</c:v>
                </c:pt>
                <c:pt idx="4">
                  <c:v>4.0443579999999999E-5</c:v>
                </c:pt>
                <c:pt idx="5">
                  <c:v>2.1333260000000001E-4</c:v>
                </c:pt>
                <c:pt idx="6">
                  <c:v>2.4913827549196262E-4</c:v>
                </c:pt>
                <c:pt idx="7">
                  <c:v>8.3922553819902536E-5</c:v>
                </c:pt>
                <c:pt idx="8">
                  <c:v>5.4503411922983815E-4</c:v>
                </c:pt>
              </c:numCache>
            </c:numRef>
          </c:val>
          <c:extLst>
            <c:ext xmlns:c16="http://schemas.microsoft.com/office/drawing/2014/chart" uri="{C3380CC4-5D6E-409C-BE32-E72D297353CC}">
              <c16:uniqueId val="{00000000-2C0F-4F48-AC74-DCD4F257E496}"/>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RCCAE'!$F$7</c:f>
              <c:strCache>
                <c:ptCount val="1"/>
                <c:pt idx="0">
                  <c:v>Infant 30d</c:v>
                </c:pt>
              </c:strCache>
            </c:strRef>
          </c:tx>
          <c:spPr>
            <a:solidFill>
              <a:schemeClr val="accent1"/>
            </a:solidFill>
            <a:ln>
              <a:noFill/>
            </a:ln>
            <a:effectLst/>
          </c:spPr>
          <c:invertIfNegative val="0"/>
          <c:cat>
            <c:strRef>
              <c:f>'Seathwaite RCCAE'!$B$8:$B$16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RCCAE'!$F$8:$F$16</c:f>
              <c:numCache>
                <c:formatCode>0.0E+00</c:formatCode>
                <c:ptCount val="9"/>
                <c:pt idx="0">
                  <c:v>2.0525410000000002E-3</c:v>
                </c:pt>
                <c:pt idx="1">
                  <c:v>3.564425E-3</c:v>
                </c:pt>
                <c:pt idx="2">
                  <c:v>3.8574379999999999E-3</c:v>
                </c:pt>
                <c:pt idx="3">
                  <c:v>1.1362189999999999E-3</c:v>
                </c:pt>
                <c:pt idx="4">
                  <c:v>9.3228090000000005E-4</c:v>
                </c:pt>
                <c:pt idx="5">
                  <c:v>1.132018E-3</c:v>
                </c:pt>
                <c:pt idx="6">
                  <c:v>1.319942874920401E-2</c:v>
                </c:pt>
                <c:pt idx="7">
                  <c:v>3.6523295910434379E-3</c:v>
                </c:pt>
                <c:pt idx="8">
                  <c:v>4.5768402946496246E-3</c:v>
                </c:pt>
              </c:numCache>
            </c:numRef>
          </c:val>
          <c:extLst>
            <c:ext xmlns:c16="http://schemas.microsoft.com/office/drawing/2014/chart" uri="{C3380CC4-5D6E-409C-BE32-E72D297353CC}">
              <c16:uniqueId val="{00000000-3838-4BA9-858B-FA7BAE930474}"/>
            </c:ext>
          </c:extLst>
        </c:ser>
        <c:dLbls>
          <c:showLegendKey val="0"/>
          <c:showVal val="0"/>
          <c:showCatName val="0"/>
          <c:showSerName val="0"/>
          <c:showPercent val="0"/>
          <c:showBubbleSize val="0"/>
        </c:dLbls>
        <c:gapWidth val="219"/>
        <c:overlap val="-27"/>
        <c:axId val="505912592"/>
        <c:axId val="505909968"/>
      </c:barChart>
      <c:catAx>
        <c:axId val="50591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09968"/>
        <c:crosses val="autoZero"/>
        <c:auto val="1"/>
        <c:lblAlgn val="ctr"/>
        <c:lblOffset val="100"/>
        <c:noMultiLvlLbl val="0"/>
      </c:catAx>
      <c:valAx>
        <c:axId val="50590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12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RCCAE'!$H$7</c:f>
              <c:strCache>
                <c:ptCount val="1"/>
                <c:pt idx="0">
                  <c:v>Infant lifetime</c:v>
                </c:pt>
              </c:strCache>
            </c:strRef>
          </c:tx>
          <c:spPr>
            <a:solidFill>
              <a:schemeClr val="accent1"/>
            </a:solidFill>
            <a:ln>
              <a:noFill/>
            </a:ln>
            <a:effectLst/>
          </c:spPr>
          <c:invertIfNegative val="0"/>
          <c:cat>
            <c:strRef>
              <c:f>'Seathwaite RCCAE'!$B$8:$B$16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RCCAE'!$H$8:$H$16</c:f>
              <c:numCache>
                <c:formatCode>0.0E+00</c:formatCode>
                <c:ptCount val="9"/>
                <c:pt idx="0">
                  <c:v>1.468528E-2</c:v>
                </c:pt>
                <c:pt idx="1">
                  <c:v>3.1669460000000003E-2</c:v>
                </c:pt>
                <c:pt idx="2">
                  <c:v>6.5025150000000004E-2</c:v>
                </c:pt>
                <c:pt idx="3">
                  <c:v>1.8806150000000001E-2</c:v>
                </c:pt>
                <c:pt idx="4">
                  <c:v>1.541821E-2</c:v>
                </c:pt>
                <c:pt idx="5">
                  <c:v>3.7056909999999998E-2</c:v>
                </c:pt>
                <c:pt idx="6">
                  <c:v>0.47946562369189488</c:v>
                </c:pt>
                <c:pt idx="7">
                  <c:v>0.13306175431186312</c:v>
                </c:pt>
                <c:pt idx="8">
                  <c:v>0.3563766046874543</c:v>
                </c:pt>
              </c:numCache>
            </c:numRef>
          </c:val>
          <c:extLst>
            <c:ext xmlns:c16="http://schemas.microsoft.com/office/drawing/2014/chart" uri="{C3380CC4-5D6E-409C-BE32-E72D297353CC}">
              <c16:uniqueId val="{00000000-70F6-46B6-B60E-FEB66B7C98EC}"/>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RCCAE'!$X$7</c:f>
              <c:strCache>
                <c:ptCount val="1"/>
                <c:pt idx="0">
                  <c:v>Infant 30d</c:v>
                </c:pt>
              </c:strCache>
            </c:strRef>
          </c:tx>
          <c:spPr>
            <a:solidFill>
              <a:schemeClr val="accent1"/>
            </a:solidFill>
            <a:ln>
              <a:noFill/>
            </a:ln>
            <a:effectLst/>
          </c:spPr>
          <c:invertIfNegative val="0"/>
          <c:cat>
            <c:strRef>
              <c:f>'Seathwaite RCCAE'!$B$8:$B$16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RCCAE'!$X$8:$X$16</c:f>
              <c:numCache>
                <c:formatCode>0.0E+00</c:formatCode>
                <c:ptCount val="9"/>
                <c:pt idx="0">
                  <c:v>1.3873870000000001E-4</c:v>
                </c:pt>
                <c:pt idx="1">
                  <c:v>2.208666E-4</c:v>
                </c:pt>
                <c:pt idx="2">
                  <c:v>2.475582E-4</c:v>
                </c:pt>
                <c:pt idx="3">
                  <c:v>1.702769E-4</c:v>
                </c:pt>
                <c:pt idx="4">
                  <c:v>2.3282099999999999E-5</c:v>
                </c:pt>
                <c:pt idx="5">
                  <c:v>3.9059539999999997E-5</c:v>
                </c:pt>
                <c:pt idx="6">
                  <c:v>2.1976730571359631E-4</c:v>
                </c:pt>
                <c:pt idx="7">
                  <c:v>6.9579787692393549E-5</c:v>
                </c:pt>
                <c:pt idx="8">
                  <c:v>1.5315851321342361E-4</c:v>
                </c:pt>
              </c:numCache>
            </c:numRef>
          </c:val>
          <c:extLst>
            <c:ext xmlns:c16="http://schemas.microsoft.com/office/drawing/2014/chart" uri="{C3380CC4-5D6E-409C-BE32-E72D297353CC}">
              <c16:uniqueId val="{00000000-08B7-43BC-A56F-CFFED283EDA5}"/>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RCCAE'!$Z$7</c:f>
              <c:strCache>
                <c:ptCount val="1"/>
                <c:pt idx="0">
                  <c:v>Infant lifetime</c:v>
                </c:pt>
              </c:strCache>
            </c:strRef>
          </c:tx>
          <c:spPr>
            <a:solidFill>
              <a:schemeClr val="accent1"/>
            </a:solidFill>
            <a:ln>
              <a:noFill/>
            </a:ln>
            <a:effectLst/>
          </c:spPr>
          <c:invertIfNegative val="0"/>
          <c:cat>
            <c:strRef>
              <c:f>'Seathwaite RCCAE'!$B$8:$B$16</c:f>
              <c:strCache>
                <c:ptCount val="9"/>
                <c:pt idx="0">
                  <c:v>NiP Mean Max</c:v>
                </c:pt>
                <c:pt idx="1">
                  <c:v>NiP 95pc Max</c:v>
                </c:pt>
                <c:pt idx="2">
                  <c:v>NiP Max Max</c:v>
                </c:pt>
                <c:pt idx="3">
                  <c:v>AiP F 0</c:v>
                </c:pt>
                <c:pt idx="4">
                  <c:v>AiP D 0</c:v>
                </c:pt>
                <c:pt idx="5">
                  <c:v>AiP D 8</c:v>
                </c:pt>
                <c:pt idx="6">
                  <c:v>ADMS F 0</c:v>
                </c:pt>
                <c:pt idx="7">
                  <c:v>ADMS D 0</c:v>
                </c:pt>
                <c:pt idx="8">
                  <c:v>ADMS D 8</c:v>
                </c:pt>
              </c:strCache>
            </c:strRef>
          </c:cat>
          <c:val>
            <c:numRef>
              <c:f>'Seathwaite RCCAE'!$Z$8:$Z$16</c:f>
              <c:numCache>
                <c:formatCode>0.0E+00</c:formatCode>
                <c:ptCount val="9"/>
                <c:pt idx="0">
                  <c:v>1.722122E-3</c:v>
                </c:pt>
                <c:pt idx="1">
                  <c:v>4.5815910000000003E-3</c:v>
                </c:pt>
                <c:pt idx="2">
                  <c:v>1.542222E-2</c:v>
                </c:pt>
                <c:pt idx="3">
                  <c:v>2.855261E-3</c:v>
                </c:pt>
                <c:pt idx="4">
                  <c:v>3.871813E-4</c:v>
                </c:pt>
                <c:pt idx="5">
                  <c:v>2.219043E-3</c:v>
                </c:pt>
                <c:pt idx="6">
                  <c:v>7.8636389247916053E-3</c:v>
                </c:pt>
                <c:pt idx="7">
                  <c:v>2.536912583276887E-3</c:v>
                </c:pt>
                <c:pt idx="8">
                  <c:v>2.2633347273854628E-2</c:v>
                </c:pt>
              </c:numCache>
            </c:numRef>
          </c:val>
          <c:extLst>
            <c:ext xmlns:c16="http://schemas.microsoft.com/office/drawing/2014/chart" uri="{C3380CC4-5D6E-409C-BE32-E72D297353CC}">
              <c16:uniqueId val="{00000000-E660-4AB5-98A5-90569174F665}"/>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LBL'!$F$6</c:f>
              <c:strCache>
                <c:ptCount val="1"/>
                <c:pt idx="0">
                  <c:v>Infant 30d</c:v>
                </c:pt>
              </c:strCache>
            </c:strRef>
          </c:tx>
          <c:spPr>
            <a:solidFill>
              <a:schemeClr val="accent1"/>
            </a:solidFill>
            <a:ln>
              <a:noFill/>
            </a:ln>
            <a:effectLst/>
          </c:spPr>
          <c:invertIfNegative val="0"/>
          <c:cat>
            <c:strRef>
              <c:f>'Seathwaite LBL'!$B$7:$B$9</c:f>
              <c:strCache>
                <c:ptCount val="3"/>
                <c:pt idx="0">
                  <c:v>AiP FDS</c:v>
                </c:pt>
                <c:pt idx="1">
                  <c:v>AiP Not FDS</c:v>
                </c:pt>
                <c:pt idx="2">
                  <c:v>ADMS</c:v>
                </c:pt>
              </c:strCache>
            </c:strRef>
          </c:cat>
          <c:val>
            <c:numRef>
              <c:f>'Seathwaite LBL'!$F$7:$F$9</c:f>
              <c:numCache>
                <c:formatCode>0.0E+00</c:formatCode>
                <c:ptCount val="3"/>
                <c:pt idx="0">
                  <c:v>4.9326010000000002E-5</c:v>
                </c:pt>
                <c:pt idx="1">
                  <c:v>4.3606390000000002E-4</c:v>
                </c:pt>
                <c:pt idx="2">
                  <c:v>2.4831463655626562E-4</c:v>
                </c:pt>
              </c:numCache>
            </c:numRef>
          </c:val>
          <c:extLst>
            <c:ext xmlns:c16="http://schemas.microsoft.com/office/drawing/2014/chart" uri="{C3380CC4-5D6E-409C-BE32-E72D297353CC}">
              <c16:uniqueId val="{00000000-2E4C-415E-B5E3-46785E0F1D59}"/>
            </c:ext>
          </c:extLst>
        </c:ser>
        <c:dLbls>
          <c:showLegendKey val="0"/>
          <c:showVal val="0"/>
          <c:showCatName val="0"/>
          <c:showSerName val="0"/>
          <c:showPercent val="0"/>
          <c:showBubbleSize val="0"/>
        </c:dLbls>
        <c:gapWidth val="219"/>
        <c:overlap val="-27"/>
        <c:axId val="505912592"/>
        <c:axId val="505909968"/>
      </c:barChart>
      <c:catAx>
        <c:axId val="50591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09968"/>
        <c:crosses val="autoZero"/>
        <c:auto val="1"/>
        <c:lblAlgn val="ctr"/>
        <c:lblOffset val="100"/>
        <c:noMultiLvlLbl val="0"/>
      </c:catAx>
      <c:valAx>
        <c:axId val="50590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12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LBL'!$H$6</c:f>
              <c:strCache>
                <c:ptCount val="1"/>
                <c:pt idx="0">
                  <c:v>Infant lifetime</c:v>
                </c:pt>
              </c:strCache>
            </c:strRef>
          </c:tx>
          <c:spPr>
            <a:solidFill>
              <a:schemeClr val="accent1"/>
            </a:solidFill>
            <a:ln>
              <a:noFill/>
            </a:ln>
            <a:effectLst/>
          </c:spPr>
          <c:invertIfNegative val="0"/>
          <c:cat>
            <c:strRef>
              <c:f>'Seathwaite LBL'!$B$7:$B$9</c:f>
              <c:strCache>
                <c:ptCount val="3"/>
                <c:pt idx="0">
                  <c:v>AiP FDS</c:v>
                </c:pt>
                <c:pt idx="1">
                  <c:v>AiP Not FDS</c:v>
                </c:pt>
                <c:pt idx="2">
                  <c:v>ADMS</c:v>
                </c:pt>
              </c:strCache>
            </c:strRef>
          </c:cat>
          <c:val>
            <c:numRef>
              <c:f>'Seathwaite LBL'!$H$7:$H$9</c:f>
              <c:numCache>
                <c:formatCode>0.0E+00</c:formatCode>
                <c:ptCount val="3"/>
                <c:pt idx="0">
                  <c:v>3.5511769999999998E-4</c:v>
                </c:pt>
                <c:pt idx="1">
                  <c:v>2.9857740000000001E-3</c:v>
                </c:pt>
                <c:pt idx="2">
                  <c:v>2.5129375647066935E-3</c:v>
                </c:pt>
              </c:numCache>
            </c:numRef>
          </c:val>
          <c:extLst>
            <c:ext xmlns:c16="http://schemas.microsoft.com/office/drawing/2014/chart" uri="{C3380CC4-5D6E-409C-BE32-E72D297353CC}">
              <c16:uniqueId val="{00000000-31F2-4B5F-B25F-B2CA97F27F07}"/>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LBL'!$X$6</c:f>
              <c:strCache>
                <c:ptCount val="1"/>
                <c:pt idx="0">
                  <c:v>Infant 30d</c:v>
                </c:pt>
              </c:strCache>
            </c:strRef>
          </c:tx>
          <c:spPr>
            <a:solidFill>
              <a:schemeClr val="accent1"/>
            </a:solidFill>
            <a:ln>
              <a:noFill/>
            </a:ln>
            <a:effectLst/>
          </c:spPr>
          <c:invertIfNegative val="0"/>
          <c:cat>
            <c:strRef>
              <c:f>'Seathwaite LBL'!$B$7:$B$9</c:f>
              <c:strCache>
                <c:ptCount val="3"/>
                <c:pt idx="0">
                  <c:v>AiP FDS</c:v>
                </c:pt>
                <c:pt idx="1">
                  <c:v>AiP Not FDS</c:v>
                </c:pt>
                <c:pt idx="2">
                  <c:v>ADMS</c:v>
                </c:pt>
              </c:strCache>
            </c:strRef>
          </c:cat>
          <c:val>
            <c:numRef>
              <c:f>'Seathwaite LBL'!$X$7:$X$9</c:f>
              <c:numCache>
                <c:formatCode>0.0E+00</c:formatCode>
                <c:ptCount val="3"/>
                <c:pt idx="0">
                  <c:v>1.288483E-6</c:v>
                </c:pt>
                <c:pt idx="1">
                  <c:v>1.1523939999999999E-5</c:v>
                </c:pt>
                <c:pt idx="2">
                  <c:v>5.0391320045614162E-6</c:v>
                </c:pt>
              </c:numCache>
            </c:numRef>
          </c:val>
          <c:extLst>
            <c:ext xmlns:c16="http://schemas.microsoft.com/office/drawing/2014/chart" uri="{C3380CC4-5D6E-409C-BE32-E72D297353CC}">
              <c16:uniqueId val="{00000000-74AB-4667-8FEB-44413B30398A}"/>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LBL'!$Z$6</c:f>
              <c:strCache>
                <c:ptCount val="1"/>
                <c:pt idx="0">
                  <c:v>Infant lifetime</c:v>
                </c:pt>
              </c:strCache>
            </c:strRef>
          </c:tx>
          <c:spPr>
            <a:solidFill>
              <a:schemeClr val="accent1"/>
            </a:solidFill>
            <a:ln>
              <a:noFill/>
            </a:ln>
            <a:effectLst/>
          </c:spPr>
          <c:invertIfNegative val="0"/>
          <c:cat>
            <c:strRef>
              <c:f>'Seathwaite LBL'!$B$7:$B$9</c:f>
              <c:strCache>
                <c:ptCount val="3"/>
                <c:pt idx="0">
                  <c:v>AiP FDS</c:v>
                </c:pt>
                <c:pt idx="1">
                  <c:v>AiP Not FDS</c:v>
                </c:pt>
                <c:pt idx="2">
                  <c:v>ADMS</c:v>
                </c:pt>
              </c:strCache>
            </c:strRef>
          </c:cat>
          <c:val>
            <c:numRef>
              <c:f>'Seathwaite LBL'!$Z$7:$Z$9</c:f>
              <c:numCache>
                <c:formatCode>0.0E+00</c:formatCode>
                <c:ptCount val="3"/>
                <c:pt idx="0">
                  <c:v>9.0461529999999996E-6</c:v>
                </c:pt>
                <c:pt idx="1">
                  <c:v>7.0471349999999994E-5</c:v>
                </c:pt>
                <c:pt idx="2">
                  <c:v>4.8320173702476046E-5</c:v>
                </c:pt>
              </c:numCache>
            </c:numRef>
          </c:val>
          <c:extLst>
            <c:ext xmlns:c16="http://schemas.microsoft.com/office/drawing/2014/chart" uri="{C3380CC4-5D6E-409C-BE32-E72D297353CC}">
              <c16:uniqueId val="{00000000-BF78-457B-9BB5-0FF4D8F760C7}"/>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1"/>
          <c:tx>
            <c:strRef>
              <c:f>Adept!$W$6</c:f>
              <c:strCache>
                <c:ptCount val="1"/>
                <c:pt idx="0">
                  <c:v>Adult lifetime</c:v>
                </c:pt>
              </c:strCache>
              <c:extLst xmlns:c15="http://schemas.microsoft.com/office/drawing/2012/chart"/>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Adept!$B$7:$B$13</c:f>
              <c:numCache>
                <c:formatCode>General</c:formatCode>
                <c:ptCount val="7"/>
                <c:pt idx="0">
                  <c:v>0</c:v>
                </c:pt>
                <c:pt idx="1">
                  <c:v>0.01</c:v>
                </c:pt>
                <c:pt idx="2">
                  <c:v>0.1</c:v>
                </c:pt>
                <c:pt idx="3">
                  <c:v>1</c:v>
                </c:pt>
                <c:pt idx="4">
                  <c:v>2</c:v>
                </c:pt>
                <c:pt idx="5">
                  <c:v>4</c:v>
                </c:pt>
                <c:pt idx="6">
                  <c:v>8</c:v>
                </c:pt>
              </c:numCache>
              <c:extLst xmlns:c15="http://schemas.microsoft.com/office/drawing/2012/chart"/>
            </c:numRef>
          </c:xVal>
          <c:yVal>
            <c:numRef>
              <c:f>Adept!$W$7:$W$13</c:f>
              <c:numCache>
                <c:formatCode>0.0E+00</c:formatCode>
                <c:ptCount val="7"/>
                <c:pt idx="0">
                  <c:v>1.9799759999999999E-6</c:v>
                </c:pt>
                <c:pt idx="1">
                  <c:v>2.1222499999999999E-6</c:v>
                </c:pt>
                <c:pt idx="2">
                  <c:v>2.8742969999999999E-6</c:v>
                </c:pt>
                <c:pt idx="3">
                  <c:v>7.4937370000000003E-6</c:v>
                </c:pt>
                <c:pt idx="4">
                  <c:v>1.138589E-5</c:v>
                </c:pt>
                <c:pt idx="5">
                  <c:v>1.7785070000000001E-5</c:v>
                </c:pt>
                <c:pt idx="6">
                  <c:v>2.7848380000000001E-5</c:v>
                </c:pt>
              </c:numCache>
              <c:extLst xmlns:c15="http://schemas.microsoft.com/office/drawing/2012/chart"/>
            </c:numRef>
          </c:yVal>
          <c:smooth val="1"/>
          <c:extLst>
            <c:ext xmlns:c16="http://schemas.microsoft.com/office/drawing/2014/chart" uri="{C3380CC4-5D6E-409C-BE32-E72D297353CC}">
              <c16:uniqueId val="{00000000-3EDC-4A4A-A63E-88A6C4F297BF}"/>
            </c:ext>
          </c:extLst>
        </c:ser>
        <c:ser>
          <c:idx val="3"/>
          <c:order val="3"/>
          <c:tx>
            <c:strRef>
              <c:f>Adept!$Z$6</c:f>
              <c:strCache>
                <c:ptCount val="1"/>
                <c:pt idx="0">
                  <c:v>Infant lifetime</c:v>
                </c:pt>
              </c:strCache>
              <c:extLst xmlns:c15="http://schemas.microsoft.com/office/drawing/2012/chart"/>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Adept!$B$7:$B$13</c:f>
              <c:numCache>
                <c:formatCode>General</c:formatCode>
                <c:ptCount val="7"/>
                <c:pt idx="0">
                  <c:v>0</c:v>
                </c:pt>
                <c:pt idx="1">
                  <c:v>0.01</c:v>
                </c:pt>
                <c:pt idx="2">
                  <c:v>0.1</c:v>
                </c:pt>
                <c:pt idx="3">
                  <c:v>1</c:v>
                </c:pt>
                <c:pt idx="4">
                  <c:v>2</c:v>
                </c:pt>
                <c:pt idx="5">
                  <c:v>4</c:v>
                </c:pt>
                <c:pt idx="6">
                  <c:v>8</c:v>
                </c:pt>
              </c:numCache>
              <c:extLst xmlns:c15="http://schemas.microsoft.com/office/drawing/2012/chart"/>
            </c:numRef>
          </c:xVal>
          <c:yVal>
            <c:numRef>
              <c:f>Adept!$Z$7:$Z$13</c:f>
              <c:numCache>
                <c:formatCode>0.0E+00</c:formatCode>
                <c:ptCount val="7"/>
                <c:pt idx="0">
                  <c:v>9.0461529999999996E-6</c:v>
                </c:pt>
                <c:pt idx="1">
                  <c:v>9.7112540000000005E-6</c:v>
                </c:pt>
                <c:pt idx="2">
                  <c:v>1.32275E-5</c:v>
                </c:pt>
                <c:pt idx="3">
                  <c:v>3.4825790000000001E-5</c:v>
                </c:pt>
                <c:pt idx="4">
                  <c:v>5.3022549999999999E-5</c:v>
                </c:pt>
                <c:pt idx="5">
                  <c:v>8.2941669999999997E-5</c:v>
                </c:pt>
                <c:pt idx="6">
                  <c:v>1.299947E-4</c:v>
                </c:pt>
              </c:numCache>
              <c:extLst xmlns:c15="http://schemas.microsoft.com/office/drawing/2012/chart"/>
            </c:numRef>
          </c:yVal>
          <c:smooth val="1"/>
          <c:extLst>
            <c:ext xmlns:c16="http://schemas.microsoft.com/office/drawing/2014/chart" uri="{C3380CC4-5D6E-409C-BE32-E72D297353CC}">
              <c16:uniqueId val="{00000001-3EDC-4A4A-A63E-88A6C4F297BF}"/>
            </c:ext>
          </c:extLst>
        </c:ser>
        <c:dLbls>
          <c:showLegendKey val="0"/>
          <c:showVal val="0"/>
          <c:showCatName val="0"/>
          <c:showSerName val="0"/>
          <c:showPercent val="0"/>
          <c:showBubbleSize val="0"/>
        </c:dLbls>
        <c:axId val="621137016"/>
        <c:axId val="621133080"/>
        <c:extLst>
          <c:ext xmlns:c15="http://schemas.microsoft.com/office/drawing/2012/chart" uri="{02D57815-91ED-43cb-92C2-25804820EDAC}">
            <c15:filteredScatterSeries>
              <c15:ser>
                <c:idx val="0"/>
                <c:order val="0"/>
                <c:tx>
                  <c:strRef>
                    <c:extLst>
                      <c:ext uri="{02D57815-91ED-43cb-92C2-25804820EDAC}">
                        <c15:formulaRef>
                          <c15:sqref>Adept!$U$6</c15:sqref>
                        </c15:formulaRef>
                      </c:ext>
                    </c:extLst>
                    <c:strCache>
                      <c:ptCount val="1"/>
                      <c:pt idx="0">
                        <c:v>Adult 30d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c:ext uri="{02D57815-91ED-43cb-92C2-25804820EDAC}">
                        <c15:formulaRef>
                          <c15:sqref>Adept!$U$7:$U$13</c15:sqref>
                        </c15:formulaRef>
                      </c:ext>
                    </c:extLst>
                    <c:numCache>
                      <c:formatCode>0.0E+00</c:formatCode>
                      <c:ptCount val="7"/>
                      <c:pt idx="0">
                        <c:v>6.6473409999999999E-7</c:v>
                      </c:pt>
                      <c:pt idx="1">
                        <c:v>6.667441E-7</c:v>
                      </c:pt>
                      <c:pt idx="2">
                        <c:v>6.7725779999999998E-7</c:v>
                      </c:pt>
                      <c:pt idx="3">
                        <c:v>7.4177200000000001E-7</c:v>
                      </c:pt>
                      <c:pt idx="4">
                        <c:v>7.9587439999999997E-7</c:v>
                      </c:pt>
                      <c:pt idx="5">
                        <c:v>8.8417899999999999E-7</c:v>
                      </c:pt>
                      <c:pt idx="6">
                        <c:v>1.021253E-6</c:v>
                      </c:pt>
                    </c:numCache>
                  </c:numRef>
                </c:yVal>
                <c:smooth val="1"/>
                <c:extLst>
                  <c:ext xmlns:c16="http://schemas.microsoft.com/office/drawing/2014/chart" uri="{C3380CC4-5D6E-409C-BE32-E72D297353CC}">
                    <c16:uniqueId val="{00000002-3EDC-4A4A-A63E-88A6C4F297BF}"/>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Adept!$X$6</c15:sqref>
                        </c15:formulaRef>
                      </c:ext>
                    </c:extLst>
                    <c:strCache>
                      <c:ptCount val="1"/>
                      <c:pt idx="0">
                        <c:v>Infant 30d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extLst xmlns:c15="http://schemas.microsoft.com/office/drawing/2012/chart">
                      <c:ext xmlns:c15="http://schemas.microsoft.com/office/drawing/2012/char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xmlns:c15="http://schemas.microsoft.com/office/drawing/2012/chart">
                      <c:ext xmlns:c15="http://schemas.microsoft.com/office/drawing/2012/chart" uri="{02D57815-91ED-43cb-92C2-25804820EDAC}">
                        <c15:formulaRef>
                          <c15:sqref>Adept!$X$7:$X$13</c15:sqref>
                        </c15:formulaRef>
                      </c:ext>
                    </c:extLst>
                    <c:numCache>
                      <c:formatCode>0.0E+00</c:formatCode>
                      <c:ptCount val="7"/>
                      <c:pt idx="0">
                        <c:v>1.288483E-6</c:v>
                      </c:pt>
                      <c:pt idx="1">
                        <c:v>1.29005E-6</c:v>
                      </c:pt>
                      <c:pt idx="2">
                        <c:v>1.2983159999999999E-6</c:v>
                      </c:pt>
                      <c:pt idx="3">
                        <c:v>1.3486690000000001E-6</c:v>
                      </c:pt>
                      <c:pt idx="4">
                        <c:v>1.3905160000000001E-6</c:v>
                      </c:pt>
                      <c:pt idx="5">
                        <c:v>1.458191E-6</c:v>
                      </c:pt>
                      <c:pt idx="6">
                        <c:v>1.561026E-6</c:v>
                      </c:pt>
                    </c:numCache>
                  </c:numRef>
                </c:yVal>
                <c:smooth val="1"/>
                <c:extLst xmlns:c15="http://schemas.microsoft.com/office/drawing/2012/chart">
                  <c:ext xmlns:c16="http://schemas.microsoft.com/office/drawing/2014/chart" uri="{C3380CC4-5D6E-409C-BE32-E72D297353CC}">
                    <c16:uniqueId val="{00000003-3EDC-4A4A-A63E-88A6C4F297BF}"/>
                  </c:ext>
                </c:extLst>
              </c15:ser>
            </c15:filteredScatterSeries>
          </c:ext>
        </c:extLst>
      </c:scatterChart>
      <c:valAx>
        <c:axId val="621137016"/>
        <c:scaling>
          <c:orientation val="minMax"/>
          <c:max val="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Precipitation (</a:t>
                </a:r>
                <a:r>
                  <a:rPr lang="en-GB" sz="1000" b="0" i="0" u="none" strike="noStrike" baseline="0">
                    <a:effectLst/>
                  </a:rPr>
                  <a:t>mm h</a:t>
                </a:r>
                <a:r>
                  <a:rPr lang="en-GB" sz="1000" b="0" i="0" u="none" strike="noStrike" baseline="30000">
                    <a:effectLst/>
                  </a:rPr>
                  <a:t>-1</a:t>
                </a:r>
                <a:r>
                  <a:rPr lang="en-US" sz="1000" b="0" i="0" u="none" strike="noStrike" baseline="0">
                    <a:effectLst/>
                  </a:rPr>
                  <a:t>)</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3080"/>
        <c:crosses val="autoZero"/>
        <c:crossBetween val="midCat"/>
      </c:valAx>
      <c:valAx>
        <c:axId val="621133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70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SGTR1'!$F$6</c:f>
              <c:strCache>
                <c:ptCount val="1"/>
                <c:pt idx="0">
                  <c:v>Infant 7d</c:v>
                </c:pt>
              </c:strCache>
            </c:strRef>
          </c:tx>
          <c:spPr>
            <a:solidFill>
              <a:schemeClr val="accent1"/>
            </a:solidFill>
            <a:ln>
              <a:noFill/>
            </a:ln>
            <a:effectLst/>
          </c:spPr>
          <c:invertIfNegative val="0"/>
          <c:cat>
            <c:strRef>
              <c:f>'Seathwaite SGTR1'!$B$7:$B$9</c:f>
              <c:strCache>
                <c:ptCount val="3"/>
                <c:pt idx="0">
                  <c:v>AiP FDS</c:v>
                </c:pt>
                <c:pt idx="1">
                  <c:v>AiP Not FDS</c:v>
                </c:pt>
                <c:pt idx="2">
                  <c:v>ADMS</c:v>
                </c:pt>
              </c:strCache>
            </c:strRef>
          </c:cat>
          <c:val>
            <c:numRef>
              <c:f>'Seathwaite SGTR1'!$F$7:$F$9</c:f>
              <c:numCache>
                <c:formatCode>0.0E+00</c:formatCode>
                <c:ptCount val="3"/>
                <c:pt idx="0">
                  <c:v>1.295181E-4</c:v>
                </c:pt>
                <c:pt idx="1">
                  <c:v>2.666217E-4</c:v>
                </c:pt>
                <c:pt idx="2">
                  <c:v>1.260844341233574E-4</c:v>
                </c:pt>
              </c:numCache>
            </c:numRef>
          </c:val>
          <c:extLst>
            <c:ext xmlns:c16="http://schemas.microsoft.com/office/drawing/2014/chart" uri="{C3380CC4-5D6E-409C-BE32-E72D297353CC}">
              <c16:uniqueId val="{00000000-111A-4644-8A55-3DD91BAD949D}"/>
            </c:ext>
          </c:extLst>
        </c:ser>
        <c:dLbls>
          <c:showLegendKey val="0"/>
          <c:showVal val="0"/>
          <c:showCatName val="0"/>
          <c:showSerName val="0"/>
          <c:showPercent val="0"/>
          <c:showBubbleSize val="0"/>
        </c:dLbls>
        <c:gapWidth val="219"/>
        <c:overlap val="-27"/>
        <c:axId val="505912592"/>
        <c:axId val="505909968"/>
      </c:barChart>
      <c:catAx>
        <c:axId val="50591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09968"/>
        <c:crosses val="autoZero"/>
        <c:auto val="1"/>
        <c:lblAlgn val="ctr"/>
        <c:lblOffset val="100"/>
        <c:noMultiLvlLbl val="0"/>
      </c:catAx>
      <c:valAx>
        <c:axId val="50590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12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SGTR1'!$H$6</c:f>
              <c:strCache>
                <c:ptCount val="1"/>
                <c:pt idx="0">
                  <c:v>Infant lifetime</c:v>
                </c:pt>
              </c:strCache>
            </c:strRef>
          </c:tx>
          <c:spPr>
            <a:solidFill>
              <a:schemeClr val="accent1"/>
            </a:solidFill>
            <a:ln>
              <a:noFill/>
            </a:ln>
            <a:effectLst/>
          </c:spPr>
          <c:invertIfNegative val="0"/>
          <c:cat>
            <c:strRef>
              <c:f>'Seathwaite SGTR1'!$B$7:$B$9</c:f>
              <c:strCache>
                <c:ptCount val="3"/>
                <c:pt idx="0">
                  <c:v>AiP FDS</c:v>
                </c:pt>
                <c:pt idx="1">
                  <c:v>AiP Not FDS</c:v>
                </c:pt>
                <c:pt idx="2">
                  <c:v>ADMS</c:v>
                </c:pt>
              </c:strCache>
            </c:strRef>
          </c:cat>
          <c:val>
            <c:numRef>
              <c:f>'Seathwaite SGTR1'!$H$7:$H$9</c:f>
              <c:numCache>
                <c:formatCode>0.0E+00</c:formatCode>
                <c:ptCount val="3"/>
                <c:pt idx="0">
                  <c:v>2.0309640000000001E-3</c:v>
                </c:pt>
                <c:pt idx="1">
                  <c:v>4.1808749999999997E-3</c:v>
                </c:pt>
                <c:pt idx="2">
                  <c:v>4.4421757696633153E-3</c:v>
                </c:pt>
              </c:numCache>
            </c:numRef>
          </c:val>
          <c:extLst>
            <c:ext xmlns:c16="http://schemas.microsoft.com/office/drawing/2014/chart" uri="{C3380CC4-5D6E-409C-BE32-E72D297353CC}">
              <c16:uniqueId val="{00000000-9DB9-4BA8-817E-CC47ED26A1AB}"/>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SGTR1'!$X$6</c:f>
              <c:strCache>
                <c:ptCount val="1"/>
                <c:pt idx="0">
                  <c:v>Infant 7d</c:v>
                </c:pt>
              </c:strCache>
            </c:strRef>
          </c:tx>
          <c:spPr>
            <a:solidFill>
              <a:schemeClr val="accent1"/>
            </a:solidFill>
            <a:ln>
              <a:noFill/>
            </a:ln>
            <a:effectLst/>
          </c:spPr>
          <c:invertIfNegative val="0"/>
          <c:cat>
            <c:strRef>
              <c:f>'Seathwaite SGTR1'!$B$7:$B$9</c:f>
              <c:strCache>
                <c:ptCount val="3"/>
                <c:pt idx="0">
                  <c:v>AiP FDS</c:v>
                </c:pt>
                <c:pt idx="1">
                  <c:v>AiP Not FDS</c:v>
                </c:pt>
                <c:pt idx="2">
                  <c:v>ADMS</c:v>
                </c:pt>
              </c:strCache>
            </c:strRef>
          </c:cat>
          <c:val>
            <c:numRef>
              <c:f>'Seathwaite SGTR1'!$X$7:$X$9</c:f>
              <c:numCache>
                <c:formatCode>0.0E+00</c:formatCode>
                <c:ptCount val="3"/>
                <c:pt idx="0">
                  <c:v>2.594787E-6</c:v>
                </c:pt>
                <c:pt idx="1">
                  <c:v>6.0840630000000004E-6</c:v>
                </c:pt>
                <c:pt idx="2">
                  <c:v>2.3775581714981256E-6</c:v>
                </c:pt>
              </c:numCache>
            </c:numRef>
          </c:val>
          <c:extLst>
            <c:ext xmlns:c16="http://schemas.microsoft.com/office/drawing/2014/chart" uri="{C3380CC4-5D6E-409C-BE32-E72D297353CC}">
              <c16:uniqueId val="{00000000-F5C3-48BD-B1FF-494D31DD49E5}"/>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'Seathwaite SGTR1'!$Z$6</c:f>
              <c:strCache>
                <c:ptCount val="1"/>
                <c:pt idx="0">
                  <c:v>Infant lifetime</c:v>
                </c:pt>
              </c:strCache>
            </c:strRef>
          </c:tx>
          <c:spPr>
            <a:solidFill>
              <a:schemeClr val="accent1"/>
            </a:solidFill>
            <a:ln>
              <a:noFill/>
            </a:ln>
            <a:effectLst/>
          </c:spPr>
          <c:invertIfNegative val="0"/>
          <c:cat>
            <c:strRef>
              <c:f>'Seathwaite SGTR1'!$B$7:$B$9</c:f>
              <c:strCache>
                <c:ptCount val="3"/>
                <c:pt idx="0">
                  <c:v>AiP FDS</c:v>
                </c:pt>
                <c:pt idx="1">
                  <c:v>AiP Not FDS</c:v>
                </c:pt>
                <c:pt idx="2">
                  <c:v>ADMS</c:v>
                </c:pt>
              </c:strCache>
            </c:strRef>
          </c:cat>
          <c:val>
            <c:numRef>
              <c:f>'Seathwaite SGTR1'!$Z$7:$Z$9</c:f>
              <c:numCache>
                <c:formatCode>0.0E+00</c:formatCode>
                <c:ptCount val="3"/>
                <c:pt idx="0">
                  <c:v>4.0443579999999999E-5</c:v>
                </c:pt>
                <c:pt idx="1">
                  <c:v>9.4829090000000002E-5</c:v>
                </c:pt>
                <c:pt idx="2">
                  <c:v>8.3922553819902536E-5</c:v>
                </c:pt>
              </c:numCache>
            </c:numRef>
          </c:val>
          <c:extLst>
            <c:ext xmlns:c16="http://schemas.microsoft.com/office/drawing/2014/chart" uri="{C3380CC4-5D6E-409C-BE32-E72D297353CC}">
              <c16:uniqueId val="{00000000-421E-45FF-9A33-42D896E66872}"/>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'ADMS - LBL Orig (reformatted)'!$F$8</c:f>
              <c:strCache>
                <c:ptCount val="1"/>
                <c:pt idx="0">
                  <c:v>Infant 30d</c:v>
                </c:pt>
              </c:strCache>
            </c:strRef>
          </c:tx>
          <c:spPr>
            <a:solidFill>
              <a:schemeClr val="accent1"/>
            </a:solidFill>
            <a:ln>
              <a:noFill/>
            </a:ln>
            <a:effectLst/>
          </c:spPr>
          <c:invertIfNegative val="0"/>
          <c:cat>
            <c:strRef>
              <c:f>'ADMS - LBL Orig (reformatted)'!$B$9:$B$24</c:f>
              <c:strCache>
                <c:ptCount val="16"/>
                <c:pt idx="0">
                  <c:v>Ext1, F2, 0</c:v>
                </c:pt>
                <c:pt idx="1">
                  <c:v>Ext2, F2, 0</c:v>
                </c:pt>
                <c:pt idx="2">
                  <c:v>Ext1, D, 0</c:v>
                </c:pt>
                <c:pt idx="3">
                  <c:v>Ext2, D, 0</c:v>
                </c:pt>
                <c:pt idx="4">
                  <c:v>Ext1, D, 0.01</c:v>
                </c:pt>
                <c:pt idx="5">
                  <c:v>Ext2, D, 0.01</c:v>
                </c:pt>
                <c:pt idx="6">
                  <c:v>Ext1, D, 0.1</c:v>
                </c:pt>
                <c:pt idx="7">
                  <c:v>Ext2, D, 0.1</c:v>
                </c:pt>
                <c:pt idx="8">
                  <c:v>Ext1, D, 1</c:v>
                </c:pt>
                <c:pt idx="9">
                  <c:v>Ext2, D, 1</c:v>
                </c:pt>
                <c:pt idx="10">
                  <c:v>Ext1, D, 2</c:v>
                </c:pt>
                <c:pt idx="11">
                  <c:v>Ext2, D, 2</c:v>
                </c:pt>
                <c:pt idx="12">
                  <c:v>Ext1, D, 4</c:v>
                </c:pt>
                <c:pt idx="13">
                  <c:v>Ext2, D, 4</c:v>
                </c:pt>
                <c:pt idx="14">
                  <c:v>Ext1, D, 8</c:v>
                </c:pt>
                <c:pt idx="15">
                  <c:v>Ext2, D, 8</c:v>
                </c:pt>
              </c:strCache>
            </c:strRef>
          </c:cat>
          <c:val>
            <c:numRef>
              <c:f>'ADMS - LBL Orig (reformatted)'!$F$9:$F$24</c:f>
              <c:numCache>
                <c:formatCode>0.0E+00</c:formatCode>
                <c:ptCount val="16"/>
                <c:pt idx="0">
                  <c:v>1.1495478862839461E-3</c:v>
                </c:pt>
                <c:pt idx="1">
                  <c:v>6.9355501141470507E-3</c:v>
                </c:pt>
                <c:pt idx="2">
                  <c:v>2.4831463655626562E-4</c:v>
                </c:pt>
                <c:pt idx="3">
                  <c:v>1.6471729122136264E-3</c:v>
                </c:pt>
                <c:pt idx="4">
                  <c:v>2.4892822331063895E-4</c:v>
                </c:pt>
                <c:pt idx="5">
                  <c:v>1.646571754309858E-3</c:v>
                </c:pt>
                <c:pt idx="6">
                  <c:v>2.5023424380601168E-4</c:v>
                </c:pt>
                <c:pt idx="7">
                  <c:v>1.6438409859825158E-3</c:v>
                </c:pt>
                <c:pt idx="8">
                  <c:v>2.5587723714159651E-4</c:v>
                </c:pt>
                <c:pt idx="9">
                  <c:v>1.6319743704604197E-3</c:v>
                </c:pt>
                <c:pt idx="10">
                  <c:v>2.5990528094940545E-4</c:v>
                </c:pt>
                <c:pt idx="11">
                  <c:v>1.6234351670982186E-3</c:v>
                </c:pt>
                <c:pt idx="12">
                  <c:v>2.6608430485057483E-4</c:v>
                </c:pt>
                <c:pt idx="13">
                  <c:v>1.6102227824362407E-3</c:v>
                </c:pt>
                <c:pt idx="14">
                  <c:v>2.754783502705347E-4</c:v>
                </c:pt>
                <c:pt idx="15">
                  <c:v>1.5898454565216973E-3</c:v>
                </c:pt>
              </c:numCache>
            </c:numRef>
          </c:val>
          <c:extLst>
            <c:ext xmlns:c16="http://schemas.microsoft.com/office/drawing/2014/chart" uri="{C3380CC4-5D6E-409C-BE32-E72D297353CC}">
              <c16:uniqueId val="{00000000-2F8B-43FB-9842-C1164D58CD28}"/>
            </c:ext>
          </c:extLst>
        </c:ser>
        <c:dLbls>
          <c:showLegendKey val="0"/>
          <c:showVal val="0"/>
          <c:showCatName val="0"/>
          <c:showSerName val="0"/>
          <c:showPercent val="0"/>
          <c:showBubbleSize val="0"/>
        </c:dLbls>
        <c:gapWidth val="219"/>
        <c:overlap val="-27"/>
        <c:axId val="505912592"/>
        <c:axId val="505909968"/>
      </c:barChart>
      <c:catAx>
        <c:axId val="50591259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Calculation method, Pasquill Stability Category, Precipitation rate (mm</a:t>
                </a:r>
                <a:r>
                  <a:rPr lang="en-US" sz="800" baseline="0"/>
                  <a:t> h</a:t>
                </a:r>
                <a:r>
                  <a:rPr lang="en-US" sz="800" baseline="30000"/>
                  <a:t>-1</a:t>
                </a:r>
                <a:r>
                  <a:rPr lang="en-US" sz="800"/>
                  <a:t>)</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n-US" sz="800" b="0" i="0" u="none" strike="noStrike" kern="1200" baseline="0">
                <a:solidFill>
                  <a:schemeClr val="tx1">
                    <a:lumMod val="65000"/>
                    <a:lumOff val="35000"/>
                  </a:schemeClr>
                </a:solidFill>
                <a:latin typeface="+mn-lt"/>
                <a:ea typeface="+mn-ea"/>
                <a:cs typeface="+mn-cs"/>
              </a:defRPr>
            </a:pPr>
            <a:endParaRPr lang="en-US"/>
          </a:p>
        </c:txPr>
        <c:crossAx val="505909968"/>
        <c:crosses val="autoZero"/>
        <c:auto val="1"/>
        <c:lblAlgn val="ctr"/>
        <c:lblOffset val="100"/>
        <c:noMultiLvlLbl val="0"/>
      </c:catAx>
      <c:valAx>
        <c:axId val="50590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Dose (Sv)</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05912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'ADMS - LBL Orig (reformatted)'!$Z$8</c:f>
              <c:strCache>
                <c:ptCount val="1"/>
                <c:pt idx="0">
                  <c:v>Infant lifetime</c:v>
                </c:pt>
              </c:strCache>
            </c:strRef>
          </c:tx>
          <c:spPr>
            <a:solidFill>
              <a:schemeClr val="accent1"/>
            </a:solidFill>
            <a:ln>
              <a:noFill/>
            </a:ln>
            <a:effectLst/>
          </c:spPr>
          <c:invertIfNegative val="0"/>
          <c:cat>
            <c:strRef>
              <c:f>'ADMS - LBL Orig (reformatted)'!$B$9:$B$24</c:f>
              <c:strCache>
                <c:ptCount val="16"/>
                <c:pt idx="0">
                  <c:v>Ext1, F2, 0</c:v>
                </c:pt>
                <c:pt idx="1">
                  <c:v>Ext2, F2, 0</c:v>
                </c:pt>
                <c:pt idx="2">
                  <c:v>Ext1, D, 0</c:v>
                </c:pt>
                <c:pt idx="3">
                  <c:v>Ext2, D, 0</c:v>
                </c:pt>
                <c:pt idx="4">
                  <c:v>Ext1, D, 0.01</c:v>
                </c:pt>
                <c:pt idx="5">
                  <c:v>Ext2, D, 0.01</c:v>
                </c:pt>
                <c:pt idx="6">
                  <c:v>Ext1, D, 0.1</c:v>
                </c:pt>
                <c:pt idx="7">
                  <c:v>Ext2, D, 0.1</c:v>
                </c:pt>
                <c:pt idx="8">
                  <c:v>Ext1, D, 1</c:v>
                </c:pt>
                <c:pt idx="9">
                  <c:v>Ext2, D, 1</c:v>
                </c:pt>
                <c:pt idx="10">
                  <c:v>Ext1, D, 2</c:v>
                </c:pt>
                <c:pt idx="11">
                  <c:v>Ext2, D, 2</c:v>
                </c:pt>
                <c:pt idx="12">
                  <c:v>Ext1, D, 4</c:v>
                </c:pt>
                <c:pt idx="13">
                  <c:v>Ext2, D, 4</c:v>
                </c:pt>
                <c:pt idx="14">
                  <c:v>Ext1, D, 8</c:v>
                </c:pt>
                <c:pt idx="15">
                  <c:v>Ext2, D, 8</c:v>
                </c:pt>
              </c:strCache>
            </c:strRef>
          </c:cat>
          <c:val>
            <c:numRef>
              <c:f>'ADMS - LBL Orig (reformatted)'!$Z$9:$Z$24</c:f>
              <c:numCache>
                <c:formatCode>0.0E+00</c:formatCode>
                <c:ptCount val="16"/>
                <c:pt idx="0">
                  <c:v>1.6624651415021361E-4</c:v>
                </c:pt>
                <c:pt idx="1">
                  <c:v>3.7919478330390353E-4</c:v>
                </c:pt>
                <c:pt idx="2">
                  <c:v>4.8320173702476046E-5</c:v>
                </c:pt>
                <c:pt idx="3">
                  <c:v>3.3372095653103257E-4</c:v>
                </c:pt>
                <c:pt idx="4">
                  <c:v>7.583154960555303E-5</c:v>
                </c:pt>
                <c:pt idx="5">
                  <c:v>3.5891082684957274E-4</c:v>
                </c:pt>
                <c:pt idx="6">
                  <c:v>1.6684447363350013E-4</c:v>
                </c:pt>
                <c:pt idx="7">
                  <c:v>4.4221268607298964E-4</c:v>
                </c:pt>
                <c:pt idx="8">
                  <c:v>5.3686834310478148E-4</c:v>
                </c:pt>
                <c:pt idx="9">
                  <c:v>7.8032796696628692E-4</c:v>
                </c:pt>
                <c:pt idx="10">
                  <c:v>7.7867020104159328E-4</c:v>
                </c:pt>
                <c:pt idx="11">
                  <c:v>1.0007146084339315E-3</c:v>
                </c:pt>
                <c:pt idx="12">
                  <c:v>1.1151179732925905E-3</c:v>
                </c:pt>
                <c:pt idx="13">
                  <c:v>1.3064256485028653E-3</c:v>
                </c:pt>
                <c:pt idx="14">
                  <c:v>1.551227590371384E-3</c:v>
                </c:pt>
                <c:pt idx="15">
                  <c:v>1.7004668438714524E-3</c:v>
                </c:pt>
              </c:numCache>
            </c:numRef>
          </c:val>
          <c:extLst>
            <c:ext xmlns:c16="http://schemas.microsoft.com/office/drawing/2014/chart" uri="{C3380CC4-5D6E-409C-BE32-E72D297353CC}">
              <c16:uniqueId val="{00000000-F2DC-4A51-ABEC-F61BC201E1DF}"/>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Calculation method, Pasquill Stability Category, Precipitation rate (mm h</a:t>
                </a:r>
                <a:r>
                  <a:rPr lang="en-US" sz="800" baseline="30000"/>
                  <a:t>-1</a:t>
                </a:r>
                <a:r>
                  <a:rPr lang="en-US" sz="800"/>
                  <a:t>)</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Dose (Sv)</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'LBL vs LBLrev'!$H$6</c:f>
              <c:strCache>
                <c:ptCount val="1"/>
                <c:pt idx="0">
                  <c:v>Infant lifetime</c:v>
                </c:pt>
              </c:strCache>
            </c:strRef>
          </c:tx>
          <c:spPr>
            <a:solidFill>
              <a:schemeClr val="accent1"/>
            </a:solidFill>
            <a:ln>
              <a:noFill/>
            </a:ln>
            <a:effectLst/>
          </c:spPr>
          <c:invertIfNegative val="0"/>
          <c:cat>
            <c:strRef>
              <c:f>'LBL vs LBLrev'!$B$7:$B$20</c:f>
              <c:strCache>
                <c:ptCount val="8"/>
                <c:pt idx="0">
                  <c:v>LBL NiP Mean Max</c:v>
                </c:pt>
                <c:pt idx="1">
                  <c:v>LBL* NiP Mean Max</c:v>
                </c:pt>
                <c:pt idx="2">
                  <c:v>LBL AiP 0</c:v>
                </c:pt>
                <c:pt idx="3">
                  <c:v>LBL* AiP 0</c:v>
                </c:pt>
                <c:pt idx="4">
                  <c:v>LBL AiP 1</c:v>
                </c:pt>
                <c:pt idx="5">
                  <c:v>LBL* AiP 1</c:v>
                </c:pt>
                <c:pt idx="6">
                  <c:v>LBL AiP 8</c:v>
                </c:pt>
                <c:pt idx="7">
                  <c:v>LBL* AiP 8</c:v>
                </c:pt>
              </c:strCache>
            </c:strRef>
          </c:cat>
          <c:val>
            <c:numRef>
              <c:f>'LBL vs LBLrev'!$H$7:$H$20</c:f>
              <c:numCache>
                <c:formatCode>0.0E+00</c:formatCode>
                <c:ptCount val="8"/>
                <c:pt idx="0">
                  <c:v>1.6048390000000001E-4</c:v>
                </c:pt>
                <c:pt idx="1">
                  <c:v>3.7301039999999998E-4</c:v>
                </c:pt>
                <c:pt idx="2">
                  <c:v>3.5511769999999998E-4</c:v>
                </c:pt>
                <c:pt idx="3">
                  <c:v>1.3843289999999999E-3</c:v>
                </c:pt>
                <c:pt idx="4">
                  <c:v>6.2085980000000003E-4</c:v>
                </c:pt>
                <c:pt idx="5">
                  <c:v>1.643243E-3</c:v>
                </c:pt>
                <c:pt idx="6">
                  <c:v>1.7360380000000001E-3</c:v>
                </c:pt>
                <c:pt idx="7">
                  <c:v>2.7295819999999999E-3</c:v>
                </c:pt>
              </c:numCache>
            </c:numRef>
          </c:val>
          <c:extLst>
            <c:ext xmlns:c16="http://schemas.microsoft.com/office/drawing/2014/chart" uri="{C3380CC4-5D6E-409C-BE32-E72D297353CC}">
              <c16:uniqueId val="{00000000-B877-4D70-915A-E566C1B5F066}"/>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'LBL vs LBLrev'!$H$6</c:f>
              <c:strCache>
                <c:ptCount val="1"/>
                <c:pt idx="0">
                  <c:v>Infant lifetime</c:v>
                </c:pt>
              </c:strCache>
            </c:strRef>
          </c:tx>
          <c:spPr>
            <a:solidFill>
              <a:schemeClr val="accent1"/>
            </a:solidFill>
            <a:ln>
              <a:noFill/>
            </a:ln>
            <a:effectLst/>
          </c:spPr>
          <c:invertIfNegative val="0"/>
          <c:cat>
            <c:strRef>
              <c:f>'LBL vs LBLrev'!$B$7:$B$20</c:f>
              <c:strCache>
                <c:ptCount val="6"/>
                <c:pt idx="0">
                  <c:v>LBL ADMS 0</c:v>
                </c:pt>
                <c:pt idx="1">
                  <c:v>LBL* ADMS 0</c:v>
                </c:pt>
                <c:pt idx="2">
                  <c:v>LBL ADMS 1</c:v>
                </c:pt>
                <c:pt idx="3">
                  <c:v>LBL* ADMS 1</c:v>
                </c:pt>
                <c:pt idx="4">
                  <c:v>LBL ADMS 8</c:v>
                </c:pt>
                <c:pt idx="5">
                  <c:v>LBL* ADMS 8</c:v>
                </c:pt>
              </c:strCache>
            </c:strRef>
          </c:cat>
          <c:val>
            <c:numRef>
              <c:f>'LBL vs LBLrev'!$H$7:$H$20</c:f>
              <c:numCache>
                <c:formatCode>0.0E+00</c:formatCode>
                <c:ptCount val="6"/>
                <c:pt idx="0">
                  <c:v>2.5129375647066935E-3</c:v>
                </c:pt>
                <c:pt idx="1">
                  <c:v>1.2115657599846154E-2</c:v>
                </c:pt>
                <c:pt idx="2">
                  <c:v>6.9944930403372787E-3</c:v>
                </c:pt>
                <c:pt idx="3">
                  <c:v>1.6370370452639511E-2</c:v>
                </c:pt>
                <c:pt idx="4">
                  <c:v>1.902149652022601E-2</c:v>
                </c:pt>
                <c:pt idx="5">
                  <c:v>2.7784843039269438E-2</c:v>
                </c:pt>
              </c:numCache>
            </c:numRef>
          </c:val>
          <c:extLst>
            <c:ext xmlns:c16="http://schemas.microsoft.com/office/drawing/2014/chart" uri="{C3380CC4-5D6E-409C-BE32-E72D297353CC}">
              <c16:uniqueId val="{00000000-DBE2-41E8-ACF3-BAFE5BB0FC2F}"/>
            </c:ext>
          </c:extLst>
        </c:ser>
        <c:dLbls>
          <c:showLegendKey val="0"/>
          <c:showVal val="0"/>
          <c:showCatName val="0"/>
          <c:showSerName val="0"/>
          <c:showPercent val="0"/>
          <c:showBubbleSize val="0"/>
        </c:dLbls>
        <c:gapWidth val="219"/>
        <c:overlap val="-27"/>
        <c:axId val="222893656"/>
        <c:axId val="223051368"/>
      </c:barChart>
      <c:catAx>
        <c:axId val="222893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051368"/>
        <c:crosses val="autoZero"/>
        <c:auto val="1"/>
        <c:lblAlgn val="ctr"/>
        <c:lblOffset val="100"/>
        <c:noMultiLvlLbl val="0"/>
      </c:catAx>
      <c:valAx>
        <c:axId val="22305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93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'LBL vs LBLrev'!$Z$6</c:f>
              <c:strCache>
                <c:ptCount val="1"/>
                <c:pt idx="0">
                  <c:v>Infant lifetime</c:v>
                </c:pt>
              </c:strCache>
            </c:strRef>
          </c:tx>
          <c:spPr>
            <a:solidFill>
              <a:schemeClr val="accent1"/>
            </a:solidFill>
            <a:ln>
              <a:noFill/>
            </a:ln>
            <a:effectLst/>
          </c:spPr>
          <c:invertIfNegative val="0"/>
          <c:cat>
            <c:strRef>
              <c:f>'LBL vs LBLrev'!$B$7:$B$20</c:f>
              <c:strCache>
                <c:ptCount val="8"/>
                <c:pt idx="0">
                  <c:v>LBL NiP Mean Max</c:v>
                </c:pt>
                <c:pt idx="1">
                  <c:v>LBL* NiP Mean Max</c:v>
                </c:pt>
                <c:pt idx="2">
                  <c:v>LBL AiP 0</c:v>
                </c:pt>
                <c:pt idx="3">
                  <c:v>LBL* AiP 0</c:v>
                </c:pt>
                <c:pt idx="4">
                  <c:v>LBL AiP 1</c:v>
                </c:pt>
                <c:pt idx="5">
                  <c:v>LBL* AiP 1</c:v>
                </c:pt>
                <c:pt idx="6">
                  <c:v>LBL AiP 8</c:v>
                </c:pt>
                <c:pt idx="7">
                  <c:v>LBL* AiP 8</c:v>
                </c:pt>
              </c:strCache>
            </c:strRef>
          </c:cat>
          <c:val>
            <c:numRef>
              <c:f>'LBL vs LBLrev'!$Z$7:$Z$20</c:f>
              <c:numCache>
                <c:formatCode>0.0E+00</c:formatCode>
                <c:ptCount val="8"/>
                <c:pt idx="0">
                  <c:v>1.826327E-5</c:v>
                </c:pt>
                <c:pt idx="1">
                  <c:v>3.1603439999999999E-5</c:v>
                </c:pt>
                <c:pt idx="2">
                  <c:v>9.0461529999999996E-6</c:v>
                </c:pt>
                <c:pt idx="3">
                  <c:v>3.4668810000000003E-5</c:v>
                </c:pt>
                <c:pt idx="4">
                  <c:v>3.4825790000000001E-5</c:v>
                </c:pt>
                <c:pt idx="5">
                  <c:v>5.839908E-5</c:v>
                </c:pt>
                <c:pt idx="6">
                  <c:v>1.299947E-4</c:v>
                </c:pt>
                <c:pt idx="7">
                  <c:v>1.457947E-4</c:v>
                </c:pt>
              </c:numCache>
            </c:numRef>
          </c:val>
          <c:extLst>
            <c:ext xmlns:c16="http://schemas.microsoft.com/office/drawing/2014/chart" uri="{C3380CC4-5D6E-409C-BE32-E72D297353CC}">
              <c16:uniqueId val="{00000000-DE38-483D-B17E-8ACD2F114446}"/>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'LBL vs LBLrev'!$Z$6</c:f>
              <c:strCache>
                <c:ptCount val="1"/>
                <c:pt idx="0">
                  <c:v>Infant lifetime</c:v>
                </c:pt>
              </c:strCache>
            </c:strRef>
          </c:tx>
          <c:spPr>
            <a:solidFill>
              <a:schemeClr val="accent1"/>
            </a:solidFill>
            <a:ln>
              <a:noFill/>
            </a:ln>
            <a:effectLst/>
          </c:spPr>
          <c:invertIfNegative val="0"/>
          <c:cat>
            <c:strRef>
              <c:f>'LBL vs LBLrev'!$B$7:$B$20</c:f>
              <c:strCache>
                <c:ptCount val="6"/>
                <c:pt idx="0">
                  <c:v>LBL ADMS 0</c:v>
                </c:pt>
                <c:pt idx="1">
                  <c:v>LBL* ADMS 0</c:v>
                </c:pt>
                <c:pt idx="2">
                  <c:v>LBL ADMS 1</c:v>
                </c:pt>
                <c:pt idx="3">
                  <c:v>LBL* ADMS 1</c:v>
                </c:pt>
                <c:pt idx="4">
                  <c:v>LBL ADMS 8</c:v>
                </c:pt>
                <c:pt idx="5">
                  <c:v>LBL* ADMS 8</c:v>
                </c:pt>
              </c:strCache>
            </c:strRef>
          </c:cat>
          <c:val>
            <c:numRef>
              <c:f>'LBL vs LBLrev'!$Z$7:$Z$20</c:f>
              <c:numCache>
                <c:formatCode>0.0E+00</c:formatCode>
                <c:ptCount val="6"/>
                <c:pt idx="0">
                  <c:v>4.8320173702476046E-5</c:v>
                </c:pt>
                <c:pt idx="1">
                  <c:v>2.2933412040145081E-4</c:v>
                </c:pt>
                <c:pt idx="2">
                  <c:v>5.3686834310478148E-4</c:v>
                </c:pt>
                <c:pt idx="3">
                  <c:v>6.6709617355785824E-4</c:v>
                </c:pt>
                <c:pt idx="4">
                  <c:v>1.551227590371384E-3</c:v>
                </c:pt>
                <c:pt idx="5">
                  <c:v>1.5714273180883569E-3</c:v>
                </c:pt>
              </c:numCache>
            </c:numRef>
          </c:val>
          <c:extLst>
            <c:ext xmlns:c16="http://schemas.microsoft.com/office/drawing/2014/chart" uri="{C3380CC4-5D6E-409C-BE32-E72D297353CC}">
              <c16:uniqueId val="{00000000-CAFB-4D88-8EDA-7311681E3E51}"/>
            </c:ext>
          </c:extLst>
        </c:ser>
        <c:dLbls>
          <c:showLegendKey val="0"/>
          <c:showVal val="0"/>
          <c:showCatName val="0"/>
          <c:showSerName val="0"/>
          <c:showPercent val="0"/>
          <c:showBubbleSize val="0"/>
        </c:dLbls>
        <c:gapWidth val="219"/>
        <c:overlap val="-27"/>
        <c:axId val="597903336"/>
        <c:axId val="597901368"/>
      </c:barChart>
      <c:catAx>
        <c:axId val="59790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1368"/>
        <c:crosses val="autoZero"/>
        <c:auto val="1"/>
        <c:lblAlgn val="ctr"/>
        <c:lblOffset val="100"/>
        <c:noMultiLvlLbl val="0"/>
      </c:catAx>
      <c:valAx>
        <c:axId val="597901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90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'ADMS no 30d Ing'!$F$6</c:f>
              <c:strCache>
                <c:ptCount val="1"/>
                <c:pt idx="0">
                  <c:v>Infant 30d</c:v>
                </c:pt>
              </c:strCache>
            </c:strRef>
          </c:tx>
          <c:spPr>
            <a:ln w="19050" cap="rnd">
              <a:solidFill>
                <a:schemeClr val="accent3"/>
              </a:solidFill>
              <a:round/>
            </a:ln>
            <a:effectLst/>
          </c:spPr>
          <c:marker>
            <c:symbol val="circle"/>
            <c:size val="5"/>
            <c:spPr>
              <a:solidFill>
                <a:schemeClr val="bg1">
                  <a:lumMod val="65000"/>
                </a:schemeClr>
              </a:solidFill>
              <a:ln w="9525">
                <a:solidFill>
                  <a:schemeClr val="bg1">
                    <a:lumMod val="65000"/>
                  </a:schemeClr>
                </a:solidFill>
              </a:ln>
              <a:effectLst/>
            </c:spPr>
          </c:marker>
          <c:xVal>
            <c:numRef>
              <c:f>'ADMS no 30d Ing'!$B$7:$B$13</c:f>
              <c:numCache>
                <c:formatCode>General</c:formatCode>
                <c:ptCount val="7"/>
                <c:pt idx="0">
                  <c:v>0</c:v>
                </c:pt>
                <c:pt idx="1">
                  <c:v>0.01</c:v>
                </c:pt>
                <c:pt idx="2">
                  <c:v>0.1</c:v>
                </c:pt>
                <c:pt idx="3">
                  <c:v>1</c:v>
                </c:pt>
                <c:pt idx="4">
                  <c:v>2</c:v>
                </c:pt>
                <c:pt idx="5">
                  <c:v>4</c:v>
                </c:pt>
                <c:pt idx="6">
                  <c:v>8</c:v>
                </c:pt>
              </c:numCache>
            </c:numRef>
          </c:xVal>
          <c:yVal>
            <c:numRef>
              <c:f>'ADMS no 30d Ing'!$F$7:$F$13</c:f>
              <c:numCache>
                <c:formatCode>0.0E+00</c:formatCode>
                <c:ptCount val="7"/>
                <c:pt idx="0">
                  <c:v>2.4831463655626562E-4</c:v>
                </c:pt>
                <c:pt idx="1">
                  <c:v>2.4892822331063895E-4</c:v>
                </c:pt>
                <c:pt idx="2">
                  <c:v>2.5023424380601168E-4</c:v>
                </c:pt>
                <c:pt idx="3">
                  <c:v>2.5587723714159651E-4</c:v>
                </c:pt>
                <c:pt idx="4">
                  <c:v>2.5990528094940545E-4</c:v>
                </c:pt>
                <c:pt idx="5">
                  <c:v>2.6608430485057483E-4</c:v>
                </c:pt>
                <c:pt idx="6">
                  <c:v>2.754783502705347E-4</c:v>
                </c:pt>
              </c:numCache>
            </c:numRef>
          </c:yVal>
          <c:smooth val="1"/>
          <c:extLst>
            <c:ext xmlns:c16="http://schemas.microsoft.com/office/drawing/2014/chart" uri="{C3380CC4-5D6E-409C-BE32-E72D297353CC}">
              <c16:uniqueId val="{00000000-53AF-490C-91F3-0A3BFE8849F4}"/>
            </c:ext>
          </c:extLst>
        </c:ser>
        <c:ser>
          <c:idx val="1"/>
          <c:order val="1"/>
          <c:tx>
            <c:strRef>
              <c:f>'ADMS no 30d Ing'!$C$6</c:f>
              <c:strCache>
                <c:ptCount val="1"/>
                <c:pt idx="0">
                  <c:v>Adult 30d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'ADMS no 30d Ing'!$B$7:$B$13</c:f>
              <c:numCache>
                <c:formatCode>General</c:formatCode>
                <c:ptCount val="7"/>
                <c:pt idx="0">
                  <c:v>0</c:v>
                </c:pt>
                <c:pt idx="1">
                  <c:v>0.01</c:v>
                </c:pt>
                <c:pt idx="2">
                  <c:v>0.1</c:v>
                </c:pt>
                <c:pt idx="3">
                  <c:v>1</c:v>
                </c:pt>
                <c:pt idx="4">
                  <c:v>2</c:v>
                </c:pt>
                <c:pt idx="5">
                  <c:v>4</c:v>
                </c:pt>
                <c:pt idx="6">
                  <c:v>8</c:v>
                </c:pt>
              </c:numCache>
            </c:numRef>
          </c:xVal>
          <c:yVal>
            <c:numRef>
              <c:f>'ADMS no 30d Ing'!$C$7:$C$13</c:f>
              <c:numCache>
                <c:formatCode>0.0E+00</c:formatCode>
                <c:ptCount val="7"/>
                <c:pt idx="0">
                  <c:v>1.368947035676203E-4</c:v>
                </c:pt>
                <c:pt idx="1">
                  <c:v>1.3729611475208706E-4</c:v>
                </c:pt>
                <c:pt idx="2">
                  <c:v>1.382615424354844E-4</c:v>
                </c:pt>
                <c:pt idx="3">
                  <c:v>1.4243431300630803E-4</c:v>
                </c:pt>
                <c:pt idx="4">
                  <c:v>1.4541442360094703E-4</c:v>
                </c:pt>
                <c:pt idx="5">
                  <c:v>1.4998860410480968E-4</c:v>
                </c:pt>
                <c:pt idx="6">
                  <c:v>1.5694934659544308E-4</c:v>
                </c:pt>
              </c:numCache>
            </c:numRef>
          </c:yVal>
          <c:smooth val="1"/>
          <c:extLst>
            <c:ext xmlns:c16="http://schemas.microsoft.com/office/drawing/2014/chart" uri="{C3380CC4-5D6E-409C-BE32-E72D297353CC}">
              <c16:uniqueId val="{00000001-53AF-490C-91F3-0A3BFE8849F4}"/>
            </c:ext>
          </c:extLst>
        </c:ser>
        <c:dLbls>
          <c:showLegendKey val="0"/>
          <c:showVal val="0"/>
          <c:showCatName val="0"/>
          <c:showSerName val="0"/>
          <c:showPercent val="0"/>
          <c:showBubbleSize val="0"/>
        </c:dLbls>
        <c:axId val="621135376"/>
        <c:axId val="621146856"/>
        <c:extLst/>
      </c:scatterChart>
      <c:valAx>
        <c:axId val="621135376"/>
        <c:scaling>
          <c:orientation val="minMax"/>
          <c:max val="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Precipitation (</a:t>
                </a:r>
                <a:r>
                  <a:rPr lang="en-GB" sz="1000" b="0" i="0" u="none" strike="noStrike" baseline="0">
                    <a:effectLst/>
                  </a:rPr>
                  <a:t>mm h</a:t>
                </a:r>
                <a:r>
                  <a:rPr lang="en-GB" sz="1000" b="0" i="0" u="none" strike="noStrike" baseline="30000">
                    <a:effectLst/>
                  </a:rPr>
                  <a:t>-1</a:t>
                </a:r>
                <a:r>
                  <a:rPr lang="en-GB"/>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46856"/>
        <c:crosses val="autoZero"/>
        <c:crossBetween val="midCat"/>
      </c:valAx>
      <c:valAx>
        <c:axId val="621146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53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'ADMS no 30d Ing'!$U$6</c:f>
              <c:strCache>
                <c:ptCount val="1"/>
                <c:pt idx="0">
                  <c:v>Adult 30d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Adept!$B$7:$B$13</c:f>
              <c:numCache>
                <c:formatCode>General</c:formatCode>
                <c:ptCount val="7"/>
                <c:pt idx="0">
                  <c:v>0</c:v>
                </c:pt>
                <c:pt idx="1">
                  <c:v>0.01</c:v>
                </c:pt>
                <c:pt idx="2">
                  <c:v>0.1</c:v>
                </c:pt>
                <c:pt idx="3">
                  <c:v>1</c:v>
                </c:pt>
                <c:pt idx="4">
                  <c:v>2</c:v>
                </c:pt>
                <c:pt idx="5">
                  <c:v>4</c:v>
                </c:pt>
                <c:pt idx="6">
                  <c:v>8</c:v>
                </c:pt>
              </c:numCache>
            </c:numRef>
          </c:xVal>
          <c:yVal>
            <c:numRef>
              <c:f>'ADMS no 30d Ing'!$U$7:$U$13</c:f>
              <c:numCache>
                <c:formatCode>0.0E+00</c:formatCode>
                <c:ptCount val="7"/>
                <c:pt idx="0">
                  <c:v>2.7816205959654982E-6</c:v>
                </c:pt>
                <c:pt idx="1">
                  <c:v>2.8146508716651908E-6</c:v>
                </c:pt>
                <c:pt idx="2">
                  <c:v>2.923698837217031E-6</c:v>
                </c:pt>
                <c:pt idx="3">
                  <c:v>3.3631881793435026E-6</c:v>
                </c:pt>
                <c:pt idx="4">
                  <c:v>3.6464786825770328E-6</c:v>
                </c:pt>
                <c:pt idx="5">
                  <c:v>4.0341604357491795E-6</c:v>
                </c:pt>
                <c:pt idx="6">
                  <c:v>4.5212771472282699E-6</c:v>
                </c:pt>
              </c:numCache>
            </c:numRef>
          </c:yVal>
          <c:smooth val="1"/>
          <c:extLst>
            <c:ext xmlns:c16="http://schemas.microsoft.com/office/drawing/2014/chart" uri="{C3380CC4-5D6E-409C-BE32-E72D297353CC}">
              <c16:uniqueId val="{00000000-F887-4799-9790-3E667731F3F4}"/>
            </c:ext>
          </c:extLst>
        </c:ser>
        <c:ser>
          <c:idx val="2"/>
          <c:order val="2"/>
          <c:tx>
            <c:strRef>
              <c:f>'ADMS no 30d Ing'!$X$6</c:f>
              <c:strCache>
                <c:ptCount val="1"/>
                <c:pt idx="0">
                  <c:v>Infant 30d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Adept!$B$7:$B$13</c:f>
              <c:numCache>
                <c:formatCode>General</c:formatCode>
                <c:ptCount val="7"/>
                <c:pt idx="0">
                  <c:v>0</c:v>
                </c:pt>
                <c:pt idx="1">
                  <c:v>0.01</c:v>
                </c:pt>
                <c:pt idx="2">
                  <c:v>0.1</c:v>
                </c:pt>
                <c:pt idx="3">
                  <c:v>1</c:v>
                </c:pt>
                <c:pt idx="4">
                  <c:v>2</c:v>
                </c:pt>
                <c:pt idx="5">
                  <c:v>4</c:v>
                </c:pt>
                <c:pt idx="6">
                  <c:v>8</c:v>
                </c:pt>
              </c:numCache>
            </c:numRef>
          </c:xVal>
          <c:yVal>
            <c:numRef>
              <c:f>'ADMS no 30d Ing'!$X$7:$X$13</c:f>
              <c:numCache>
                <c:formatCode>0.0E+00</c:formatCode>
                <c:ptCount val="7"/>
                <c:pt idx="0">
                  <c:v>5.0391320045614162E-6</c:v>
                </c:pt>
                <c:pt idx="1">
                  <c:v>5.0818520272565376E-6</c:v>
                </c:pt>
                <c:pt idx="2">
                  <c:v>5.2227364171719581E-6</c:v>
                </c:pt>
                <c:pt idx="3">
                  <c:v>5.7878639829774101E-6</c:v>
                </c:pt>
                <c:pt idx="4">
                  <c:v>6.1494127469171971E-6</c:v>
                </c:pt>
                <c:pt idx="5">
                  <c:v>6.6395938539154567E-6</c:v>
                </c:pt>
                <c:pt idx="6">
                  <c:v>7.2444144039749513E-6</c:v>
                </c:pt>
              </c:numCache>
            </c:numRef>
          </c:yVal>
          <c:smooth val="1"/>
          <c:extLst>
            <c:ext xmlns:c16="http://schemas.microsoft.com/office/drawing/2014/chart" uri="{C3380CC4-5D6E-409C-BE32-E72D297353CC}">
              <c16:uniqueId val="{00000001-F887-4799-9790-3E667731F3F4}"/>
            </c:ext>
          </c:extLst>
        </c:ser>
        <c:dLbls>
          <c:showLegendKey val="0"/>
          <c:showVal val="0"/>
          <c:showCatName val="0"/>
          <c:showSerName val="0"/>
          <c:showPercent val="0"/>
          <c:showBubbleSize val="0"/>
        </c:dLbls>
        <c:axId val="621137016"/>
        <c:axId val="621133080"/>
        <c:extLst>
          <c:ext xmlns:c15="http://schemas.microsoft.com/office/drawing/2012/chart" uri="{02D57815-91ED-43cb-92C2-25804820EDAC}">
            <c15:filteredScatterSeries>
              <c15:ser>
                <c:idx val="1"/>
                <c:order val="1"/>
                <c:tx>
                  <c:strRef>
                    <c:extLst>
                      <c:ext uri="{02D57815-91ED-43cb-92C2-25804820EDAC}">
                        <c15:formulaRef>
                          <c15:sqref>Adept!$W$6</c15:sqref>
                        </c15:formulaRef>
                      </c:ext>
                    </c:extLst>
                    <c:strCache>
                      <c:ptCount val="1"/>
                      <c:pt idx="0">
                        <c:v>Adult lifetime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c:ext uri="{02D57815-91ED-43cb-92C2-25804820EDAC}">
                        <c15:formulaRef>
                          <c15:sqref>Adept!$W$7:$W$13</c15:sqref>
                        </c15:formulaRef>
                      </c:ext>
                    </c:extLst>
                    <c:numCache>
                      <c:formatCode>0.0E+00</c:formatCode>
                      <c:ptCount val="7"/>
                      <c:pt idx="0">
                        <c:v>1.9799759999999999E-6</c:v>
                      </c:pt>
                      <c:pt idx="1">
                        <c:v>2.1222499999999999E-6</c:v>
                      </c:pt>
                      <c:pt idx="2">
                        <c:v>2.8742969999999999E-6</c:v>
                      </c:pt>
                      <c:pt idx="3">
                        <c:v>7.4937370000000003E-6</c:v>
                      </c:pt>
                      <c:pt idx="4">
                        <c:v>1.138589E-5</c:v>
                      </c:pt>
                      <c:pt idx="5">
                        <c:v>1.7785070000000001E-5</c:v>
                      </c:pt>
                      <c:pt idx="6">
                        <c:v>2.7848380000000001E-5</c:v>
                      </c:pt>
                    </c:numCache>
                  </c:numRef>
                </c:yVal>
                <c:smooth val="1"/>
                <c:extLst>
                  <c:ext xmlns:c16="http://schemas.microsoft.com/office/drawing/2014/chart" uri="{C3380CC4-5D6E-409C-BE32-E72D297353CC}">
                    <c16:uniqueId val="{00000002-F887-4799-9790-3E667731F3F4}"/>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Adept!$Z$6</c15:sqref>
                        </c15:formulaRef>
                      </c:ext>
                    </c:extLst>
                    <c:strCache>
                      <c:ptCount val="1"/>
                      <c:pt idx="0">
                        <c:v>Infant lifetime</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extLst xmlns:c15="http://schemas.microsoft.com/office/drawing/2012/chart">
                      <c:ext xmlns:c15="http://schemas.microsoft.com/office/drawing/2012/char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xmlns:c15="http://schemas.microsoft.com/office/drawing/2012/chart">
                      <c:ext xmlns:c15="http://schemas.microsoft.com/office/drawing/2012/chart" uri="{02D57815-91ED-43cb-92C2-25804820EDAC}">
                        <c15:formulaRef>
                          <c15:sqref>Adept!$Z$7:$Z$13</c15:sqref>
                        </c15:formulaRef>
                      </c:ext>
                    </c:extLst>
                    <c:numCache>
                      <c:formatCode>0.0E+00</c:formatCode>
                      <c:ptCount val="7"/>
                      <c:pt idx="0">
                        <c:v>9.0461529999999996E-6</c:v>
                      </c:pt>
                      <c:pt idx="1">
                        <c:v>9.7112540000000005E-6</c:v>
                      </c:pt>
                      <c:pt idx="2">
                        <c:v>1.32275E-5</c:v>
                      </c:pt>
                      <c:pt idx="3">
                        <c:v>3.4825790000000001E-5</c:v>
                      </c:pt>
                      <c:pt idx="4">
                        <c:v>5.3022549999999999E-5</c:v>
                      </c:pt>
                      <c:pt idx="5">
                        <c:v>8.2941669999999997E-5</c:v>
                      </c:pt>
                      <c:pt idx="6">
                        <c:v>1.299947E-4</c:v>
                      </c:pt>
                    </c:numCache>
                  </c:numRef>
                </c:yVal>
                <c:smooth val="1"/>
                <c:extLst xmlns:c15="http://schemas.microsoft.com/office/drawing/2012/chart">
                  <c:ext xmlns:c16="http://schemas.microsoft.com/office/drawing/2014/chart" uri="{C3380CC4-5D6E-409C-BE32-E72D297353CC}">
                    <c16:uniqueId val="{00000003-F887-4799-9790-3E667731F3F4}"/>
                  </c:ext>
                </c:extLst>
              </c15:ser>
            </c15:filteredScatterSeries>
          </c:ext>
        </c:extLst>
      </c:scatterChart>
      <c:valAx>
        <c:axId val="621137016"/>
        <c:scaling>
          <c:orientation val="minMax"/>
          <c:max val="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Precipitation (</a:t>
                </a:r>
                <a:r>
                  <a:rPr lang="en-GB" sz="1000" b="0" i="0" u="none" strike="noStrike" baseline="0">
                    <a:effectLst/>
                  </a:rPr>
                  <a:t>mm h</a:t>
                </a:r>
                <a:r>
                  <a:rPr lang="en-GB" sz="1000" b="0" i="0" u="none" strike="noStrike" baseline="30000">
                    <a:effectLst/>
                  </a:rPr>
                  <a:t>-1</a:t>
                </a:r>
                <a:r>
                  <a:rPr lang="en-GB"/>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3080"/>
        <c:crosses val="autoZero"/>
        <c:crossBetween val="midCat"/>
      </c:valAx>
      <c:valAx>
        <c:axId val="621133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70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1"/>
          <c:tx>
            <c:strRef>
              <c:f>Adept!$E$6</c:f>
              <c:strCache>
                <c:ptCount val="1"/>
                <c:pt idx="0">
                  <c:v>Adult lifetime</c:v>
                </c:pt>
              </c:strCache>
              <c:extLst xmlns:c15="http://schemas.microsoft.com/office/drawing/2012/chart"/>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Adept!$B$7:$B$13</c:f>
              <c:numCache>
                <c:formatCode>General</c:formatCode>
                <c:ptCount val="7"/>
                <c:pt idx="0">
                  <c:v>0</c:v>
                </c:pt>
                <c:pt idx="1">
                  <c:v>0.01</c:v>
                </c:pt>
                <c:pt idx="2">
                  <c:v>0.1</c:v>
                </c:pt>
                <c:pt idx="3">
                  <c:v>1</c:v>
                </c:pt>
                <c:pt idx="4">
                  <c:v>2</c:v>
                </c:pt>
                <c:pt idx="5">
                  <c:v>4</c:v>
                </c:pt>
                <c:pt idx="6">
                  <c:v>8</c:v>
                </c:pt>
              </c:numCache>
              <c:extLst xmlns:c15="http://schemas.microsoft.com/office/drawing/2012/chart"/>
            </c:numRef>
          </c:xVal>
          <c:yVal>
            <c:numRef>
              <c:f>'ADMS inc Ing'!$E$7:$E$13</c:f>
              <c:numCache>
                <c:formatCode>0.0E+00</c:formatCode>
                <c:ptCount val="7"/>
                <c:pt idx="0">
                  <c:v>5.8538945329120661E-4</c:v>
                </c:pt>
                <c:pt idx="1">
                  <c:v>6.3696180263037028E-4</c:v>
                </c:pt>
                <c:pt idx="2">
                  <c:v>8.0964779689080533E-4</c:v>
                </c:pt>
                <c:pt idx="3">
                  <c:v>1.5565799424363121E-3</c:v>
                </c:pt>
                <c:pt idx="4">
                  <c:v>2.0906135398105919E-3</c:v>
                </c:pt>
                <c:pt idx="5">
                  <c:v>2.911332107648401E-3</c:v>
                </c:pt>
                <c:pt idx="6">
                  <c:v>4.162768755116477E-3</c:v>
                </c:pt>
              </c:numCache>
            </c:numRef>
          </c:yVal>
          <c:smooth val="1"/>
          <c:extLst>
            <c:ext xmlns:c16="http://schemas.microsoft.com/office/drawing/2014/chart" uri="{C3380CC4-5D6E-409C-BE32-E72D297353CC}">
              <c16:uniqueId val="{00000000-6B9F-465B-94F2-D23AAEBCCCEF}"/>
            </c:ext>
          </c:extLst>
        </c:ser>
        <c:ser>
          <c:idx val="3"/>
          <c:order val="3"/>
          <c:tx>
            <c:strRef>
              <c:f>Adept!$H$6</c:f>
              <c:strCache>
                <c:ptCount val="1"/>
                <c:pt idx="0">
                  <c:v>Infant lifetime</c:v>
                </c:pt>
              </c:strCache>
              <c:extLst xmlns:c15="http://schemas.microsoft.com/office/drawing/2012/chart"/>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Adept!$B$7:$B$13</c:f>
              <c:numCache>
                <c:formatCode>General</c:formatCode>
                <c:ptCount val="7"/>
                <c:pt idx="0">
                  <c:v>0</c:v>
                </c:pt>
                <c:pt idx="1">
                  <c:v>0.01</c:v>
                </c:pt>
                <c:pt idx="2">
                  <c:v>0.1</c:v>
                </c:pt>
                <c:pt idx="3">
                  <c:v>1</c:v>
                </c:pt>
                <c:pt idx="4">
                  <c:v>2</c:v>
                </c:pt>
                <c:pt idx="5">
                  <c:v>4</c:v>
                </c:pt>
                <c:pt idx="6">
                  <c:v>8</c:v>
                </c:pt>
              </c:numCache>
              <c:extLst xmlns:c15="http://schemas.microsoft.com/office/drawing/2012/chart"/>
            </c:numRef>
          </c:xVal>
          <c:yVal>
            <c:numRef>
              <c:f>'ADMS inc Ing'!$H$7:$H$13</c:f>
              <c:numCache>
                <c:formatCode>0.0E+00</c:formatCode>
                <c:ptCount val="7"/>
                <c:pt idx="0">
                  <c:v>2.5129375647066935E-3</c:v>
                </c:pt>
                <c:pt idx="1">
                  <c:v>2.7506636532504264E-3</c:v>
                </c:pt>
                <c:pt idx="2">
                  <c:v>3.5475696210993794E-3</c:v>
                </c:pt>
                <c:pt idx="3">
                  <c:v>6.9944930403372787E-3</c:v>
                </c:pt>
                <c:pt idx="4">
                  <c:v>9.4589387096280092E-3</c:v>
                </c:pt>
                <c:pt idx="5">
                  <c:v>1.3246380905477861E-2</c:v>
                </c:pt>
                <c:pt idx="6">
                  <c:v>1.902149652022601E-2</c:v>
                </c:pt>
              </c:numCache>
            </c:numRef>
          </c:yVal>
          <c:smooth val="1"/>
          <c:extLst>
            <c:ext xmlns:c16="http://schemas.microsoft.com/office/drawing/2014/chart" uri="{C3380CC4-5D6E-409C-BE32-E72D297353CC}">
              <c16:uniqueId val="{00000001-6B9F-465B-94F2-D23AAEBCCCEF}"/>
            </c:ext>
          </c:extLst>
        </c:ser>
        <c:dLbls>
          <c:showLegendKey val="0"/>
          <c:showVal val="0"/>
          <c:showCatName val="0"/>
          <c:showSerName val="0"/>
          <c:showPercent val="0"/>
          <c:showBubbleSize val="0"/>
        </c:dLbls>
        <c:axId val="621135376"/>
        <c:axId val="621146856"/>
        <c:extLst>
          <c:ext xmlns:c15="http://schemas.microsoft.com/office/drawing/2012/chart" uri="{02D57815-91ED-43cb-92C2-25804820EDAC}">
            <c15:filteredScatterSeries>
              <c15:ser>
                <c:idx val="0"/>
                <c:order val="0"/>
                <c:tx>
                  <c:strRef>
                    <c:extLst>
                      <c:ext uri="{02D57815-91ED-43cb-92C2-25804820EDAC}">
                        <c15:formulaRef>
                          <c15:sqref>Adept!$C$6</c15:sqref>
                        </c15:formulaRef>
                      </c:ext>
                    </c:extLst>
                    <c:strCache>
                      <c:ptCount val="1"/>
                      <c:pt idx="0">
                        <c:v>Adult 30d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c:ext uri="{02D57815-91ED-43cb-92C2-25804820EDAC}">
                        <c15:formulaRef>
                          <c15:sqref>Adept!$C$7:$C$13</c15:sqref>
                        </c15:formulaRef>
                      </c:ext>
                    </c:extLst>
                    <c:numCache>
                      <c:formatCode>0.0E+00</c:formatCode>
                      <c:ptCount val="7"/>
                      <c:pt idx="0">
                        <c:v>2.5482019999999999E-5</c:v>
                      </c:pt>
                      <c:pt idx="1">
                        <c:v>2.5503759999999999E-5</c:v>
                      </c:pt>
                      <c:pt idx="2">
                        <c:v>2.56222E-5</c:v>
                      </c:pt>
                      <c:pt idx="3">
                        <c:v>2.6364079999999999E-5</c:v>
                      </c:pt>
                      <c:pt idx="4">
                        <c:v>2.701324E-5</c:v>
                      </c:pt>
                      <c:pt idx="5">
                        <c:v>2.813538E-5</c:v>
                      </c:pt>
                      <c:pt idx="6">
                        <c:v>3.006309E-5</c:v>
                      </c:pt>
                    </c:numCache>
                  </c:numRef>
                </c:yVal>
                <c:smooth val="1"/>
                <c:extLst>
                  <c:ext xmlns:c16="http://schemas.microsoft.com/office/drawing/2014/chart" uri="{C3380CC4-5D6E-409C-BE32-E72D297353CC}">
                    <c16:uniqueId val="{00000002-6B9F-465B-94F2-D23AAEBCCCEF}"/>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Adept!$F$6</c15:sqref>
                        </c15:formulaRef>
                      </c:ext>
                    </c:extLst>
                    <c:strCache>
                      <c:ptCount val="1"/>
                      <c:pt idx="0">
                        <c:v>Infant 30d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extLst xmlns:c15="http://schemas.microsoft.com/office/drawing/2012/chart">
                      <c:ext xmlns:c15="http://schemas.microsoft.com/office/drawing/2012/char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xmlns:c15="http://schemas.microsoft.com/office/drawing/2012/chart">
                      <c:ext xmlns:c15="http://schemas.microsoft.com/office/drawing/2012/chart" uri="{02D57815-91ED-43cb-92C2-25804820EDAC}">
                        <c15:formulaRef>
                          <c15:sqref>Adept!$F$7:$F$13</c15:sqref>
                        </c15:formulaRef>
                      </c:ext>
                    </c:extLst>
                    <c:numCache>
                      <c:formatCode>0.0E+00</c:formatCode>
                      <c:ptCount val="7"/>
                      <c:pt idx="0">
                        <c:v>4.9326010000000002E-5</c:v>
                      </c:pt>
                      <c:pt idx="1">
                        <c:v>4.9344400000000001E-5</c:v>
                      </c:pt>
                      <c:pt idx="2">
                        <c:v>4.9451199999999998E-5</c:v>
                      </c:pt>
                      <c:pt idx="3">
                        <c:v>5.012056E-5</c:v>
                      </c:pt>
                      <c:pt idx="4">
                        <c:v>5.070679E-5</c:v>
                      </c:pt>
                      <c:pt idx="5">
                        <c:v>5.1718110000000003E-5</c:v>
                      </c:pt>
                      <c:pt idx="6">
                        <c:v>5.345313E-5</c:v>
                      </c:pt>
                    </c:numCache>
                  </c:numRef>
                </c:yVal>
                <c:smooth val="1"/>
                <c:extLst xmlns:c15="http://schemas.microsoft.com/office/drawing/2012/chart">
                  <c:ext xmlns:c16="http://schemas.microsoft.com/office/drawing/2014/chart" uri="{C3380CC4-5D6E-409C-BE32-E72D297353CC}">
                    <c16:uniqueId val="{00000003-6B9F-465B-94F2-D23AAEBCCCEF}"/>
                  </c:ext>
                </c:extLst>
              </c15:ser>
            </c15:filteredScatterSeries>
          </c:ext>
        </c:extLst>
      </c:scatterChart>
      <c:valAx>
        <c:axId val="621135376"/>
        <c:scaling>
          <c:orientation val="minMax"/>
          <c:max val="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Precipitation (mm h</a:t>
                </a:r>
                <a:r>
                  <a:rPr lang="en-GB" baseline="30000"/>
                  <a:t>-1</a:t>
                </a:r>
                <a:r>
                  <a:rPr lang="en-GB"/>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46856"/>
        <c:crosses val="autoZero"/>
        <c:crossBetween val="midCat"/>
      </c:valAx>
      <c:valAx>
        <c:axId val="621146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53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1"/>
          <c:tx>
            <c:strRef>
              <c:f>Adept!$W$6</c:f>
              <c:strCache>
                <c:ptCount val="1"/>
                <c:pt idx="0">
                  <c:v>Adult lifetime</c:v>
                </c:pt>
              </c:strCache>
              <c:extLst xmlns:c15="http://schemas.microsoft.com/office/drawing/2012/chart"/>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Adept!$B$7:$B$13</c:f>
              <c:numCache>
                <c:formatCode>General</c:formatCode>
                <c:ptCount val="7"/>
                <c:pt idx="0">
                  <c:v>0</c:v>
                </c:pt>
                <c:pt idx="1">
                  <c:v>0.01</c:v>
                </c:pt>
                <c:pt idx="2">
                  <c:v>0.1</c:v>
                </c:pt>
                <c:pt idx="3">
                  <c:v>1</c:v>
                </c:pt>
                <c:pt idx="4">
                  <c:v>2</c:v>
                </c:pt>
                <c:pt idx="5">
                  <c:v>4</c:v>
                </c:pt>
                <c:pt idx="6">
                  <c:v>8</c:v>
                </c:pt>
              </c:numCache>
              <c:extLst xmlns:c15="http://schemas.microsoft.com/office/drawing/2012/chart"/>
            </c:numRef>
          </c:xVal>
          <c:yVal>
            <c:numRef>
              <c:f>'ADMS inc Ing'!$W$7:$W$13</c:f>
              <c:numCache>
                <c:formatCode>0.0E+00</c:formatCode>
                <c:ptCount val="7"/>
                <c:pt idx="0">
                  <c:v>1.1637031648703031E-5</c:v>
                </c:pt>
                <c:pt idx="1">
                  <c:v>1.7804847425616808E-5</c:v>
                </c:pt>
                <c:pt idx="2">
                  <c:v>3.820913360377673E-5</c:v>
                </c:pt>
                <c:pt idx="3">
                  <c:v>1.2116459779960124E-4</c:v>
                </c:pt>
                <c:pt idx="4">
                  <c:v>1.7537343586543418E-4</c:v>
                </c:pt>
                <c:pt idx="5">
                  <c:v>2.5079967847348769E-4</c:v>
                </c:pt>
                <c:pt idx="6">
                  <c:v>3.4856616338888502E-4</c:v>
                </c:pt>
              </c:numCache>
            </c:numRef>
          </c:yVal>
          <c:smooth val="1"/>
          <c:extLst>
            <c:ext xmlns:c16="http://schemas.microsoft.com/office/drawing/2014/chart" uri="{C3380CC4-5D6E-409C-BE32-E72D297353CC}">
              <c16:uniqueId val="{00000000-03BA-4CCD-B1DF-0D6EF5BAF2FE}"/>
            </c:ext>
          </c:extLst>
        </c:ser>
        <c:ser>
          <c:idx val="3"/>
          <c:order val="3"/>
          <c:tx>
            <c:strRef>
              <c:f>Adept!$Z$6</c:f>
              <c:strCache>
                <c:ptCount val="1"/>
                <c:pt idx="0">
                  <c:v>Infant lifetime</c:v>
                </c:pt>
              </c:strCache>
              <c:extLst xmlns:c15="http://schemas.microsoft.com/office/drawing/2012/chart"/>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Adept!$B$7:$B$13</c:f>
              <c:numCache>
                <c:formatCode>General</c:formatCode>
                <c:ptCount val="7"/>
                <c:pt idx="0">
                  <c:v>0</c:v>
                </c:pt>
                <c:pt idx="1">
                  <c:v>0.01</c:v>
                </c:pt>
                <c:pt idx="2">
                  <c:v>0.1</c:v>
                </c:pt>
                <c:pt idx="3">
                  <c:v>1</c:v>
                </c:pt>
                <c:pt idx="4">
                  <c:v>2</c:v>
                </c:pt>
                <c:pt idx="5">
                  <c:v>4</c:v>
                </c:pt>
                <c:pt idx="6">
                  <c:v>8</c:v>
                </c:pt>
              </c:numCache>
              <c:extLst xmlns:c15="http://schemas.microsoft.com/office/drawing/2012/chart"/>
            </c:numRef>
          </c:xVal>
          <c:yVal>
            <c:numRef>
              <c:f>'ADMS inc Ing'!$Z$7:$Z$13</c:f>
              <c:numCache>
                <c:formatCode>0.0E+00</c:formatCode>
                <c:ptCount val="7"/>
                <c:pt idx="0">
                  <c:v>4.8320173702476046E-5</c:v>
                </c:pt>
                <c:pt idx="1">
                  <c:v>7.583154960555303E-5</c:v>
                </c:pt>
                <c:pt idx="2">
                  <c:v>1.6684447363350013E-4</c:v>
                </c:pt>
                <c:pt idx="3">
                  <c:v>5.3686834310478148E-4</c:v>
                </c:pt>
                <c:pt idx="4">
                  <c:v>7.7867020104159328E-4</c:v>
                </c:pt>
                <c:pt idx="5">
                  <c:v>1.1151179732925905E-3</c:v>
                </c:pt>
                <c:pt idx="6">
                  <c:v>1.551227590371384E-3</c:v>
                </c:pt>
              </c:numCache>
            </c:numRef>
          </c:yVal>
          <c:smooth val="1"/>
          <c:extLst>
            <c:ext xmlns:c16="http://schemas.microsoft.com/office/drawing/2014/chart" uri="{C3380CC4-5D6E-409C-BE32-E72D297353CC}">
              <c16:uniqueId val="{00000001-03BA-4CCD-B1DF-0D6EF5BAF2FE}"/>
            </c:ext>
          </c:extLst>
        </c:ser>
        <c:dLbls>
          <c:showLegendKey val="0"/>
          <c:showVal val="0"/>
          <c:showCatName val="0"/>
          <c:showSerName val="0"/>
          <c:showPercent val="0"/>
          <c:showBubbleSize val="0"/>
        </c:dLbls>
        <c:axId val="621137016"/>
        <c:axId val="621133080"/>
        <c:extLst>
          <c:ext xmlns:c15="http://schemas.microsoft.com/office/drawing/2012/chart" uri="{02D57815-91ED-43cb-92C2-25804820EDAC}">
            <c15:filteredScatterSeries>
              <c15:ser>
                <c:idx val="0"/>
                <c:order val="0"/>
                <c:tx>
                  <c:strRef>
                    <c:extLst>
                      <c:ext uri="{02D57815-91ED-43cb-92C2-25804820EDAC}">
                        <c15:formulaRef>
                          <c15:sqref>Adept!$U$6</c15:sqref>
                        </c15:formulaRef>
                      </c:ext>
                    </c:extLst>
                    <c:strCache>
                      <c:ptCount val="1"/>
                      <c:pt idx="0">
                        <c:v>Adult 30d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c:ext uri="{02D57815-91ED-43cb-92C2-25804820EDAC}">
                        <c15:formulaRef>
                          <c15:sqref>Adept!$U$7:$U$13</c15:sqref>
                        </c15:formulaRef>
                      </c:ext>
                    </c:extLst>
                    <c:numCache>
                      <c:formatCode>0.0E+00</c:formatCode>
                      <c:ptCount val="7"/>
                      <c:pt idx="0">
                        <c:v>6.6473409999999999E-7</c:v>
                      </c:pt>
                      <c:pt idx="1">
                        <c:v>6.667441E-7</c:v>
                      </c:pt>
                      <c:pt idx="2">
                        <c:v>6.7725779999999998E-7</c:v>
                      </c:pt>
                      <c:pt idx="3">
                        <c:v>7.4177200000000001E-7</c:v>
                      </c:pt>
                      <c:pt idx="4">
                        <c:v>7.9587439999999997E-7</c:v>
                      </c:pt>
                      <c:pt idx="5">
                        <c:v>8.8417899999999999E-7</c:v>
                      </c:pt>
                      <c:pt idx="6">
                        <c:v>1.021253E-6</c:v>
                      </c:pt>
                    </c:numCache>
                  </c:numRef>
                </c:yVal>
                <c:smooth val="1"/>
                <c:extLst>
                  <c:ext xmlns:c16="http://schemas.microsoft.com/office/drawing/2014/chart" uri="{C3380CC4-5D6E-409C-BE32-E72D297353CC}">
                    <c16:uniqueId val="{00000002-03BA-4CCD-B1DF-0D6EF5BAF2FE}"/>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Adept!$X$6</c15:sqref>
                        </c15:formulaRef>
                      </c:ext>
                    </c:extLst>
                    <c:strCache>
                      <c:ptCount val="1"/>
                      <c:pt idx="0">
                        <c:v>Infant 30d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extLst xmlns:c15="http://schemas.microsoft.com/office/drawing/2012/chart">
                      <c:ext xmlns:c15="http://schemas.microsoft.com/office/drawing/2012/chart" uri="{02D57815-91ED-43cb-92C2-25804820EDAC}">
                        <c15:formulaRef>
                          <c15:sqref>Adept!$B$7:$B$13</c15:sqref>
                        </c15:formulaRef>
                      </c:ext>
                    </c:extLst>
                    <c:numCache>
                      <c:formatCode>General</c:formatCode>
                      <c:ptCount val="7"/>
                      <c:pt idx="0">
                        <c:v>0</c:v>
                      </c:pt>
                      <c:pt idx="1">
                        <c:v>0.01</c:v>
                      </c:pt>
                      <c:pt idx="2">
                        <c:v>0.1</c:v>
                      </c:pt>
                      <c:pt idx="3">
                        <c:v>1</c:v>
                      </c:pt>
                      <c:pt idx="4">
                        <c:v>2</c:v>
                      </c:pt>
                      <c:pt idx="5">
                        <c:v>4</c:v>
                      </c:pt>
                      <c:pt idx="6">
                        <c:v>8</c:v>
                      </c:pt>
                    </c:numCache>
                  </c:numRef>
                </c:xVal>
                <c:yVal>
                  <c:numRef>
                    <c:extLst xmlns:c15="http://schemas.microsoft.com/office/drawing/2012/chart">
                      <c:ext xmlns:c15="http://schemas.microsoft.com/office/drawing/2012/chart" uri="{02D57815-91ED-43cb-92C2-25804820EDAC}">
                        <c15:formulaRef>
                          <c15:sqref>Adept!$X$7:$X$13</c15:sqref>
                        </c15:formulaRef>
                      </c:ext>
                    </c:extLst>
                    <c:numCache>
                      <c:formatCode>0.0E+00</c:formatCode>
                      <c:ptCount val="7"/>
                      <c:pt idx="0">
                        <c:v>1.288483E-6</c:v>
                      </c:pt>
                      <c:pt idx="1">
                        <c:v>1.29005E-6</c:v>
                      </c:pt>
                      <c:pt idx="2">
                        <c:v>1.2983159999999999E-6</c:v>
                      </c:pt>
                      <c:pt idx="3">
                        <c:v>1.3486690000000001E-6</c:v>
                      </c:pt>
                      <c:pt idx="4">
                        <c:v>1.3905160000000001E-6</c:v>
                      </c:pt>
                      <c:pt idx="5">
                        <c:v>1.458191E-6</c:v>
                      </c:pt>
                      <c:pt idx="6">
                        <c:v>1.561026E-6</c:v>
                      </c:pt>
                    </c:numCache>
                  </c:numRef>
                </c:yVal>
                <c:smooth val="1"/>
                <c:extLst xmlns:c15="http://schemas.microsoft.com/office/drawing/2012/chart">
                  <c:ext xmlns:c16="http://schemas.microsoft.com/office/drawing/2014/chart" uri="{C3380CC4-5D6E-409C-BE32-E72D297353CC}">
                    <c16:uniqueId val="{00000003-03BA-4CCD-B1DF-0D6EF5BAF2FE}"/>
                  </c:ext>
                </c:extLst>
              </c15:ser>
            </c15:filteredScatterSeries>
          </c:ext>
        </c:extLst>
      </c:scatterChart>
      <c:valAx>
        <c:axId val="621137016"/>
        <c:scaling>
          <c:orientation val="minMax"/>
          <c:max val="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Precipitation (mm</a:t>
                </a:r>
                <a:r>
                  <a:rPr lang="en-GB" baseline="0"/>
                  <a:t> </a:t>
                </a:r>
                <a:r>
                  <a:rPr lang="en-GB"/>
                  <a:t>h</a:t>
                </a:r>
                <a:r>
                  <a:rPr lang="en-GB" baseline="30000"/>
                  <a:t>-1</a:t>
                </a:r>
                <a:r>
                  <a:rPr lang="en-GB"/>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3080"/>
        <c:crosses val="autoZero"/>
        <c:crossBetween val="midCat"/>
      </c:valAx>
      <c:valAx>
        <c:axId val="621133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370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'ADMS - LBL Orig'!$X$6</c:f>
              <c:strCache>
                <c:ptCount val="1"/>
                <c:pt idx="0">
                  <c:v>Infant 30d</c:v>
                </c:pt>
              </c:strCache>
            </c:strRef>
          </c:tx>
          <c:spPr>
            <a:solidFill>
              <a:schemeClr val="accent1"/>
            </a:solidFill>
            <a:ln>
              <a:noFill/>
            </a:ln>
            <a:effectLst/>
          </c:spPr>
          <c:invertIfNegative val="0"/>
          <c:cat>
            <c:strRef>
              <c:f>'ADMS - LBL Orig'!$B$7:$B$14</c:f>
              <c:strCache>
                <c:ptCount val="8"/>
                <c:pt idx="0">
                  <c:v>F2 - 0 mm/h</c:v>
                </c:pt>
                <c:pt idx="1">
                  <c:v>D - 0 mm/h</c:v>
                </c:pt>
                <c:pt idx="2">
                  <c:v>D - 0.01 mm/h</c:v>
                </c:pt>
                <c:pt idx="3">
                  <c:v>D - 0.1 mm/h</c:v>
                </c:pt>
                <c:pt idx="4">
                  <c:v>D - 1 mm/h</c:v>
                </c:pt>
                <c:pt idx="5">
                  <c:v>D - 2 mm/h</c:v>
                </c:pt>
                <c:pt idx="6">
                  <c:v>D - 4 mm/h</c:v>
                </c:pt>
                <c:pt idx="7">
                  <c:v>D - 8 mm/h</c:v>
                </c:pt>
              </c:strCache>
            </c:strRef>
          </c:cat>
          <c:val>
            <c:numRef>
              <c:f>'ADMS - LBL Orig'!$X$7:$X$14</c:f>
              <c:numCache>
                <c:formatCode>0.00E+00</c:formatCode>
                <c:ptCount val="8"/>
                <c:pt idx="0">
                  <c:v>2.8373402313729356E-5</c:v>
                </c:pt>
                <c:pt idx="1">
                  <c:v>5.0391320045614162E-6</c:v>
                </c:pt>
                <c:pt idx="2">
                  <c:v>5.0818520272565376E-6</c:v>
                </c:pt>
                <c:pt idx="3">
                  <c:v>5.2227364171719581E-6</c:v>
                </c:pt>
                <c:pt idx="4">
                  <c:v>5.7878639829774101E-6</c:v>
                </c:pt>
                <c:pt idx="5">
                  <c:v>6.1494127469171971E-6</c:v>
                </c:pt>
                <c:pt idx="6">
                  <c:v>6.6395938539154567E-6</c:v>
                </c:pt>
                <c:pt idx="7">
                  <c:v>7.2444144039749513E-6</c:v>
                </c:pt>
              </c:numCache>
            </c:numRef>
          </c:val>
          <c:extLst>
            <c:ext xmlns:c16="http://schemas.microsoft.com/office/drawing/2014/chart" uri="{C3380CC4-5D6E-409C-BE32-E72D297353CC}">
              <c16:uniqueId val="{00000000-49AC-4518-A0EB-5FF437911356}"/>
            </c:ext>
          </c:extLst>
        </c:ser>
        <c:dLbls>
          <c:showLegendKey val="0"/>
          <c:showVal val="0"/>
          <c:showCatName val="0"/>
          <c:showSerName val="0"/>
          <c:showPercent val="0"/>
          <c:showBubbleSize val="0"/>
        </c:dLbls>
        <c:gapWidth val="219"/>
        <c:overlap val="-27"/>
        <c:axId val="312657328"/>
        <c:axId val="312658312"/>
      </c:barChart>
      <c:catAx>
        <c:axId val="3126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8312"/>
        <c:crosses val="autoZero"/>
        <c:auto val="1"/>
        <c:lblAlgn val="ctr"/>
        <c:lblOffset val="100"/>
        <c:noMultiLvlLbl val="0"/>
      </c:catAx>
      <c:valAx>
        <c:axId val="31265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Dose (Sv)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5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F49F6-5248-4FE8-96E2-7C23C759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CRCE Dept or Contract Report Template Word 2007 (07-16)</Template>
  <TotalTime>0</TotalTime>
  <Pages>1</Pages>
  <Words>38133</Words>
  <Characters>217364</Characters>
  <Application>Microsoft Office Word</Application>
  <DocSecurity>0</DocSecurity>
  <Lines>1811</Lines>
  <Paragraphs>509</Paragraphs>
  <ScaleCrop>false</ScaleCrop>
  <HeadingPairs>
    <vt:vector size="2" baseType="variant">
      <vt:variant>
        <vt:lpstr>Title</vt:lpstr>
      </vt:variant>
      <vt:variant>
        <vt:i4>1</vt:i4>
      </vt:variant>
    </vt:vector>
  </HeadingPairs>
  <TitlesOfParts>
    <vt:vector size="1" baseType="lpstr">
      <vt:lpstr/>
    </vt:vector>
  </TitlesOfParts>
  <Company>Public Health England</Company>
  <LinksUpToDate>false</LinksUpToDate>
  <CharactersWithSpaces>254988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Barty</dc:creator>
  <cp:lastModifiedBy>Peter Bedwell</cp:lastModifiedBy>
  <cp:revision>3</cp:revision>
  <cp:lastPrinted>2021-12-09T16:15:00Z</cp:lastPrinted>
  <dcterms:created xsi:type="dcterms:W3CDTF">2024-06-26T13:43:00Z</dcterms:created>
  <dcterms:modified xsi:type="dcterms:W3CDTF">2024-06-26T13:48:00Z</dcterms:modified>
</cp:coreProperties>
</file>