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2B31D062"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3169998C" w:rsidR="00595C8C" w:rsidRPr="00595C8C" w:rsidRDefault="00257B9C" w:rsidP="00806275">
            <w:pPr>
              <w:pStyle w:val="InnerCoverTitle"/>
              <w:spacing w:before="120"/>
              <w:rPr>
                <w:sz w:val="36"/>
                <w:szCs w:val="36"/>
              </w:rPr>
            </w:pPr>
            <w:r>
              <w:rPr>
                <w:sz w:val="36"/>
                <w:szCs w:val="36"/>
              </w:rPr>
              <w:t>ONR, E</w:t>
            </w:r>
            <w:r w:rsidR="008B3079">
              <w:rPr>
                <w:sz w:val="36"/>
                <w:szCs w:val="36"/>
              </w:rPr>
              <w:t xml:space="preserve">nvironment </w:t>
            </w:r>
            <w:r>
              <w:rPr>
                <w:sz w:val="36"/>
                <w:szCs w:val="36"/>
              </w:rPr>
              <w:t>A</w:t>
            </w:r>
            <w:r w:rsidR="008B3079">
              <w:rPr>
                <w:sz w:val="36"/>
                <w:szCs w:val="36"/>
              </w:rPr>
              <w:t>gency</w:t>
            </w:r>
            <w:r>
              <w:rPr>
                <w:sz w:val="36"/>
                <w:szCs w:val="36"/>
              </w:rPr>
              <w:t xml:space="preserve"> and NRW - Joint regulatory </w:t>
            </w:r>
            <w:r w:rsidR="00815E1D">
              <w:rPr>
                <w:sz w:val="36"/>
                <w:szCs w:val="36"/>
              </w:rPr>
              <w:t xml:space="preserve">operational </w:t>
            </w:r>
            <w:r w:rsidR="00537951">
              <w:rPr>
                <w:sz w:val="36"/>
                <w:szCs w:val="36"/>
              </w:rPr>
              <w:t>policy</w:t>
            </w:r>
          </w:p>
          <w:sdt>
            <w:sdtPr>
              <w:rPr>
                <w:sz w:val="56"/>
                <w:szCs w:val="56"/>
              </w:rPr>
              <w:id w:val="1228188510"/>
              <w:placeholder>
                <w:docPart w:val="DefaultPlaceholder_-1854013440"/>
              </w:placeholder>
            </w:sdtPr>
            <w:sdtContent>
              <w:p w14:paraId="7C4EA414" w14:textId="64B998B5" w:rsidR="00D0226A" w:rsidRPr="001E03E1" w:rsidRDefault="003613AE" w:rsidP="001E03E1">
                <w:pPr>
                  <w:pStyle w:val="CoverTitle"/>
                  <w:rPr>
                    <w:szCs w:val="90"/>
                  </w:rPr>
                </w:pPr>
                <w:r>
                  <w:rPr>
                    <w:sz w:val="56"/>
                    <w:szCs w:val="56"/>
                  </w:rPr>
                  <w:t xml:space="preserve">Leveraging </w:t>
                </w:r>
                <w:r w:rsidR="00F435EA">
                  <w:rPr>
                    <w:sz w:val="56"/>
                    <w:szCs w:val="56"/>
                  </w:rPr>
                  <w:t>i</w:t>
                </w:r>
                <w:r>
                  <w:rPr>
                    <w:sz w:val="56"/>
                    <w:szCs w:val="56"/>
                  </w:rPr>
                  <w:t xml:space="preserve">nternational </w:t>
                </w:r>
                <w:r w:rsidR="00F435EA">
                  <w:rPr>
                    <w:sz w:val="56"/>
                    <w:szCs w:val="56"/>
                  </w:rPr>
                  <w:t>r</w:t>
                </w:r>
                <w:r>
                  <w:rPr>
                    <w:sz w:val="56"/>
                    <w:szCs w:val="56"/>
                  </w:rPr>
                  <w:t xml:space="preserve">egulators’ </w:t>
                </w:r>
                <w:r w:rsidR="00F435EA">
                  <w:rPr>
                    <w:sz w:val="56"/>
                    <w:szCs w:val="56"/>
                  </w:rPr>
                  <w:t>a</w:t>
                </w:r>
                <w:r>
                  <w:rPr>
                    <w:sz w:val="56"/>
                    <w:szCs w:val="56"/>
                  </w:rPr>
                  <w:t>ssessments</w:t>
                </w:r>
              </w:p>
            </w:sdtContent>
          </w:sdt>
        </w:tc>
      </w:tr>
    </w:tbl>
    <w:p w14:paraId="56A09D10" w14:textId="0C6FFFAE" w:rsidR="00D0226A" w:rsidRDefault="00257B9C">
      <w:pPr>
        <w:spacing w:after="0"/>
      </w:pPr>
      <w:r>
        <w:rPr>
          <w:noProof/>
        </w:rPr>
        <w:drawing>
          <wp:anchor distT="0" distB="0" distL="114300" distR="114300" simplePos="0" relativeHeight="251658242" behindDoc="1" locked="0" layoutInCell="1" allowOverlap="1" wp14:anchorId="7598A647" wp14:editId="4BEE64DA">
            <wp:simplePos x="0" y="0"/>
            <wp:positionH relativeFrom="margin">
              <wp:align>right</wp:align>
            </wp:positionH>
            <wp:positionV relativeFrom="paragraph">
              <wp:posOffset>-2926715</wp:posOffset>
            </wp:positionV>
            <wp:extent cx="1778000" cy="218101"/>
            <wp:effectExtent l="0" t="0" r="0" b="0"/>
            <wp:wrapNone/>
            <wp:docPr id="21" name="Picture 21" descr="Cyfoeth Naturiol Cymru. 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yfoeth Naturiol Cymru. Natural Resources Wal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8000" cy="218101"/>
                    </a:xfrm>
                    <a:prstGeom prst="rect">
                      <a:avLst/>
                    </a:prstGeom>
                  </pic:spPr>
                </pic:pic>
              </a:graphicData>
            </a:graphic>
          </wp:anchor>
        </w:drawing>
      </w:r>
      <w:r w:rsidRPr="007F24E1">
        <w:rPr>
          <w:noProof/>
        </w:rPr>
        <w:drawing>
          <wp:anchor distT="0" distB="0" distL="114300" distR="114300" simplePos="0" relativeHeight="251658241" behindDoc="1" locked="0" layoutInCell="1" allowOverlap="1" wp14:anchorId="4D8637CF" wp14:editId="5299F189">
            <wp:simplePos x="0" y="0"/>
            <wp:positionH relativeFrom="column">
              <wp:posOffset>2590800</wp:posOffset>
            </wp:positionH>
            <wp:positionV relativeFrom="paragraph">
              <wp:posOffset>-3002915</wp:posOffset>
            </wp:positionV>
            <wp:extent cx="1188000" cy="357672"/>
            <wp:effectExtent l="0" t="0" r="0" b="4445"/>
            <wp:wrapNone/>
            <wp:docPr id="1264227305" name="Picture 1" descr="Environmen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27305" name="Picture 1" descr="Environment Agenc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8000" cy="357672"/>
                    </a:xfrm>
                    <a:prstGeom prst="rect">
                      <a:avLst/>
                    </a:prstGeom>
                  </pic:spPr>
                </pic:pic>
              </a:graphicData>
            </a:graphic>
          </wp:anchor>
        </w:drawing>
      </w:r>
    </w:p>
    <w:p w14:paraId="6AB6425B" w14:textId="0F64D44A"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9D2911">
          <w:headerReference w:type="default" r:id="rId13"/>
          <w:footerReference w:type="default" r:id="rId14"/>
          <w:pgSz w:w="11906" w:h="16838" w:code="9"/>
          <w:pgMar w:top="1440" w:right="1440" w:bottom="1440" w:left="1440" w:header="397" w:footer="397" w:gutter="0"/>
          <w:cols w:space="312"/>
          <w:titlePg/>
          <w:docGrid w:linePitch="360"/>
        </w:sectPr>
      </w:pPr>
    </w:p>
    <w:p w14:paraId="43A875A4" w14:textId="41DC22C7" w:rsidR="008D49A5" w:rsidRPr="00223090" w:rsidRDefault="007F0F70" w:rsidP="00A4055B">
      <w:pPr>
        <w:pStyle w:val="Heading1"/>
        <w:numPr>
          <w:ilvl w:val="0"/>
          <w:numId w:val="0"/>
        </w:numPr>
        <w:ind w:left="851" w:hanging="851"/>
      </w:pPr>
      <w:bookmarkStart w:id="1" w:name="_Toc219278380"/>
      <w:bookmarkEnd w:id="0"/>
      <w:r>
        <w:lastRenderedPageBreak/>
        <w:t xml:space="preserve">Purpose and </w:t>
      </w:r>
      <w:r w:rsidR="00F435EA">
        <w:t>b</w:t>
      </w:r>
      <w:r>
        <w:t>ackground</w:t>
      </w:r>
      <w:bookmarkEnd w:id="1"/>
    </w:p>
    <w:p w14:paraId="789C17D2" w14:textId="03C30DA5" w:rsidR="000477BB" w:rsidRDefault="000477BB" w:rsidP="000477BB">
      <w:bookmarkStart w:id="2" w:name="_Toc219278286"/>
      <w:bookmarkStart w:id="3" w:name="_Toc219278385"/>
      <w:r w:rsidRPr="00053BB4">
        <w:t>The Office for Nuclear Regulation (ONR)</w:t>
      </w:r>
      <w:r w:rsidRPr="00FC725D">
        <w:t xml:space="preserve">, the </w:t>
      </w:r>
      <w:r w:rsidRPr="00053BB4">
        <w:t>Environment Agency</w:t>
      </w:r>
      <w:r>
        <w:t xml:space="preserve"> </w:t>
      </w:r>
      <w:r w:rsidRPr="00053BB4">
        <w:t xml:space="preserve">and Natural Resources Wales (NRW) </w:t>
      </w:r>
      <w:r w:rsidRPr="00FC725D">
        <w:t>(</w:t>
      </w:r>
      <w:r>
        <w:t>‘</w:t>
      </w:r>
      <w:r w:rsidRPr="00FC725D">
        <w:t xml:space="preserve">the </w:t>
      </w:r>
      <w:r w:rsidR="006D63FE">
        <w:t xml:space="preserve">nuclear </w:t>
      </w:r>
      <w:r w:rsidRPr="00FC725D">
        <w:t xml:space="preserve">regulators’) </w:t>
      </w:r>
      <w:r w:rsidRPr="00053BB4">
        <w:t>are working together to make sure that any new nuclear</w:t>
      </w:r>
      <w:r>
        <w:t xml:space="preserve"> installations</w:t>
      </w:r>
      <w:r w:rsidRPr="00053BB4">
        <w:t xml:space="preserve"> built in Great Britain (GB) meet </w:t>
      </w:r>
      <w:r>
        <w:t>the</w:t>
      </w:r>
      <w:r w:rsidRPr="00053BB4">
        <w:t xml:space="preserve"> standards for</w:t>
      </w:r>
      <w:r>
        <w:t xml:space="preserve"> safety, security, safeguards, environmental protection and waste management.</w:t>
      </w:r>
    </w:p>
    <w:p w14:paraId="2BFC81F8" w14:textId="487468E9" w:rsidR="000477BB" w:rsidRDefault="00C34216" w:rsidP="000477BB">
      <w:r w:rsidRPr="00C34216">
        <w:t>This</w:t>
      </w:r>
      <w:r w:rsidR="00815E1D">
        <w:t xml:space="preserve"> operational</w:t>
      </w:r>
      <w:r w:rsidRPr="00C34216">
        <w:t xml:space="preserve"> policy explains how the nuclear regulators will take advantage of information arising from the assessment of reactor designs by nuclear regulators in other countries to support our own regulatory assessments and judgements. Our aim is to provide clarity in how we set out to maintain robust standards and independence when leveraging assessments by other regulators internationally, accelerating regulatory decision-making and reducing unnecessary duplication</w:t>
      </w:r>
      <w:r>
        <w:t>.</w:t>
      </w:r>
    </w:p>
    <w:p w14:paraId="13A51679" w14:textId="3B659819" w:rsidR="004B13DF" w:rsidRDefault="004B13DF" w:rsidP="004B13DF">
      <w:r>
        <w:t>The Government has issued a clear steer that radical change is needed to realise a new generation of nuclear power,</w:t>
      </w:r>
      <w:sdt>
        <w:sdtPr>
          <w:id w:val="-400985396"/>
          <w:citation/>
        </w:sdtPr>
        <w:sdtContent>
          <w:r w:rsidR="007D5624">
            <w:fldChar w:fldCharType="begin"/>
          </w:r>
          <w:r w:rsidR="007D5624">
            <w:instrText xml:space="preserve"> CITATION htt \l 2057 </w:instrText>
          </w:r>
          <w:r w:rsidR="007D5624">
            <w:fldChar w:fldCharType="separate"/>
          </w:r>
          <w:r w:rsidR="00D4533F">
            <w:rPr>
              <w:noProof/>
            </w:rPr>
            <w:t xml:space="preserve"> </w:t>
          </w:r>
          <w:r w:rsidR="00D4533F" w:rsidRPr="00D4533F">
            <w:rPr>
              <w:noProof/>
            </w:rPr>
            <w:t>[1]</w:t>
          </w:r>
          <w:r w:rsidR="007D5624">
            <w:fldChar w:fldCharType="end"/>
          </w:r>
        </w:sdtContent>
      </w:sdt>
      <w:sdt>
        <w:sdtPr>
          <w:id w:val="-1893255904"/>
          <w:citation/>
        </w:sdtPr>
        <w:sdtContent>
          <w:r w:rsidR="0039168E">
            <w:fldChar w:fldCharType="begin"/>
          </w:r>
          <w:r w:rsidR="0039168E">
            <w:instrText xml:space="preserve"> CITATION htt1 \l 2057 </w:instrText>
          </w:r>
          <w:r w:rsidR="0039168E">
            <w:fldChar w:fldCharType="separate"/>
          </w:r>
          <w:r w:rsidR="00D4533F">
            <w:rPr>
              <w:noProof/>
            </w:rPr>
            <w:t xml:space="preserve"> </w:t>
          </w:r>
          <w:r w:rsidR="00D4533F" w:rsidRPr="00D4533F">
            <w:rPr>
              <w:noProof/>
            </w:rPr>
            <w:t>[2]</w:t>
          </w:r>
          <w:r w:rsidR="0039168E">
            <w:fldChar w:fldCharType="end"/>
          </w:r>
        </w:sdtContent>
      </w:sdt>
      <w:sdt>
        <w:sdtPr>
          <w:id w:val="1560206970"/>
          <w:citation/>
        </w:sdtPr>
        <w:sdtContent>
          <w:r w:rsidR="00E27432">
            <w:fldChar w:fldCharType="begin"/>
          </w:r>
          <w:r w:rsidR="00E27432">
            <w:instrText xml:space="preserve"> CITATION htt2 \l 2057 </w:instrText>
          </w:r>
          <w:r w:rsidR="00E27432">
            <w:fldChar w:fldCharType="separate"/>
          </w:r>
          <w:r w:rsidR="00D4533F">
            <w:rPr>
              <w:noProof/>
            </w:rPr>
            <w:t xml:space="preserve"> </w:t>
          </w:r>
          <w:r w:rsidR="00D4533F" w:rsidRPr="00D4533F">
            <w:rPr>
              <w:noProof/>
            </w:rPr>
            <w:t>[3]</w:t>
          </w:r>
          <w:r w:rsidR="00E27432">
            <w:fldChar w:fldCharType="end"/>
          </w:r>
        </w:sdtContent>
      </w:sdt>
      <w:sdt>
        <w:sdtPr>
          <w:id w:val="1971239478"/>
          <w:citation/>
        </w:sdtPr>
        <w:sdtContent>
          <w:r w:rsidR="00E27432">
            <w:fldChar w:fldCharType="begin"/>
          </w:r>
          <w:r w:rsidR="00E27432">
            <w:instrText xml:space="preserve"> CITATION htt36 \l 2057 </w:instrText>
          </w:r>
          <w:r w:rsidR="00E27432">
            <w:fldChar w:fldCharType="separate"/>
          </w:r>
          <w:r w:rsidR="00D4533F">
            <w:rPr>
              <w:noProof/>
            </w:rPr>
            <w:t xml:space="preserve"> </w:t>
          </w:r>
          <w:r w:rsidR="00D4533F" w:rsidRPr="00D4533F">
            <w:rPr>
              <w:noProof/>
            </w:rPr>
            <w:t>[4]</w:t>
          </w:r>
          <w:r w:rsidR="00E27432">
            <w:fldChar w:fldCharType="end"/>
          </w:r>
        </w:sdtContent>
      </w:sdt>
      <w:r>
        <w:t xml:space="preserve"> and has highlighted that increased international engagement and streamlined regulation, while maintaining independence and robust safety and security standards, is key to achieving </w:t>
      </w:r>
      <w:r w:rsidR="00AA6DB1">
        <w:t>this ambition</w:t>
      </w:r>
      <w:r>
        <w:t xml:space="preserve">. Learning from recent Generic Design Assessments (GDAs) </w:t>
      </w:r>
      <w:sdt>
        <w:sdtPr>
          <w:id w:val="-1872140371"/>
          <w:citation/>
        </w:sdtPr>
        <w:sdtContent>
          <w:r w:rsidR="005C0B55">
            <w:fldChar w:fldCharType="begin"/>
          </w:r>
          <w:r w:rsidR="005C0B55">
            <w:instrText xml:space="preserve"> CITATION htt7 \l 2057 </w:instrText>
          </w:r>
          <w:r w:rsidR="005C0B55">
            <w:fldChar w:fldCharType="separate"/>
          </w:r>
          <w:r w:rsidR="00D4533F" w:rsidRPr="00D4533F">
            <w:rPr>
              <w:noProof/>
            </w:rPr>
            <w:t>[5]</w:t>
          </w:r>
          <w:r w:rsidR="005C0B55">
            <w:fldChar w:fldCharType="end"/>
          </w:r>
        </w:sdtContent>
      </w:sdt>
      <w:r>
        <w:t xml:space="preserve"> assessing US reactor technologies has highlighted opportunities to achieve this acceleration, particularly where regulators in other countries have already undertaken assessments and reached judgements on reactor designs. As international co</w:t>
      </w:r>
      <w:r w:rsidR="00AF73E0">
        <w:t>-</w:t>
      </w:r>
      <w:r>
        <w:t>operation expands, the nuclear regulators will make greater use of other regulators’ assessments where this is appropriate and safe, while ensuring that such evidence informs and strengthens our own independent regulatory judgements.</w:t>
      </w:r>
    </w:p>
    <w:p w14:paraId="3F5BCFE9" w14:textId="1AA2FD8F" w:rsidR="004B13DF" w:rsidRDefault="004B13DF" w:rsidP="004B13DF">
      <w:r>
        <w:t>This</w:t>
      </w:r>
      <w:r w:rsidR="00815E1D">
        <w:t xml:space="preserve"> operational</w:t>
      </w:r>
      <w:r>
        <w:t xml:space="preserve"> policy outlines our principles governing the use of international regulatory </w:t>
      </w:r>
      <w:r w:rsidR="005C0B55">
        <w:t>reviews</w:t>
      </w:r>
      <w:r>
        <w:t xml:space="preserve"> and sets out how we will incorporate these into our </w:t>
      </w:r>
      <w:r w:rsidR="006C3A81">
        <w:t xml:space="preserve">own </w:t>
      </w:r>
      <w:r>
        <w:t>assessments to inform our judgements.</w:t>
      </w:r>
      <w:r w:rsidR="00176ADA">
        <w:t xml:space="preserve"> </w:t>
      </w:r>
      <w:r>
        <w:t>We will look to leverage other regulators’ judgements wherever possible to inform our regulatory decisions, but we see the biggest advantages of this being in the regulatory assessment of new reactor technologies, where multiple regulators have reviewed the same design. We will continue to work with other regulators internationally, to identify opportunities for deeper collaboration, such as joint assessments, and enhanced</w:t>
      </w:r>
      <w:r w:rsidR="005C0B55">
        <w:t xml:space="preserve"> </w:t>
      </w:r>
      <w:r>
        <w:t xml:space="preserve">recognition of </w:t>
      </w:r>
      <w:r w:rsidR="00996181">
        <w:t>each other’s</w:t>
      </w:r>
      <w:r>
        <w:t xml:space="preserve"> judgements. </w:t>
      </w:r>
    </w:p>
    <w:p w14:paraId="40440113" w14:textId="12B78210" w:rsidR="004B13DF" w:rsidRDefault="004B13DF" w:rsidP="004B13DF">
      <w:r>
        <w:t>Our regulatory guidance is benchmarked against international good practice, including the International Atomic Energy Agency (IAEA) Safety, Security, and Environment Standards</w:t>
      </w:r>
      <w:r w:rsidR="00367413">
        <w:t>,</w:t>
      </w:r>
      <w:r>
        <w:t xml:space="preserve"> and </w:t>
      </w:r>
      <w:r w:rsidR="00176ADA">
        <w:t>Western European Nuclear Regulators Association (</w:t>
      </w:r>
      <w:r>
        <w:t>WENRA</w:t>
      </w:r>
      <w:r w:rsidR="00176ADA">
        <w:t>)</w:t>
      </w:r>
      <w:r>
        <w:t xml:space="preserve"> Safety Reference Levels. We therefore expect there to be significant opportunities to leverage the judgements of other regulators as it is likely our expectations will share a common foundation. </w:t>
      </w:r>
    </w:p>
    <w:p w14:paraId="6DD7F895" w14:textId="3E45EA25" w:rsidR="004B13DF" w:rsidRDefault="004B13DF" w:rsidP="004B13DF">
      <w:r>
        <w:t xml:space="preserve">This </w:t>
      </w:r>
      <w:r w:rsidR="00815E1D">
        <w:t xml:space="preserve">operational </w:t>
      </w:r>
      <w:r>
        <w:t xml:space="preserve">policy is consistent with the objectives of the IAEA Nuclear </w:t>
      </w:r>
      <w:r w:rsidR="00F25719">
        <w:t>Harmon</w:t>
      </w:r>
      <w:r w:rsidR="001F41E6">
        <w:t>i</w:t>
      </w:r>
      <w:r w:rsidR="00F25719">
        <w:t xml:space="preserve">sation </w:t>
      </w:r>
      <w:r>
        <w:t xml:space="preserve">and </w:t>
      </w:r>
      <w:r w:rsidR="00F25719">
        <w:t xml:space="preserve">Standardisation </w:t>
      </w:r>
      <w:r>
        <w:t xml:space="preserve">Initiative (NHSI) and we will be informed by the outputs from the regulatory track. Similarly we will take lessons learned from applying this framework and use them to inform future work of NHSI </w:t>
      </w:r>
      <w:sdt>
        <w:sdtPr>
          <w:id w:val="1692259895"/>
          <w:citation/>
        </w:sdtPr>
        <w:sdtContent>
          <w:r w:rsidR="005C0B55">
            <w:fldChar w:fldCharType="begin"/>
          </w:r>
          <w:r w:rsidR="005C0B55">
            <w:instrText xml:space="preserve"> CITATION htt37 \l 2057 </w:instrText>
          </w:r>
          <w:r w:rsidR="005C0B55">
            <w:fldChar w:fldCharType="separate"/>
          </w:r>
          <w:r w:rsidR="00D4533F" w:rsidRPr="00D4533F">
            <w:rPr>
              <w:noProof/>
            </w:rPr>
            <w:t>[6]</w:t>
          </w:r>
          <w:r w:rsidR="005C0B55">
            <w:fldChar w:fldCharType="end"/>
          </w:r>
        </w:sdtContent>
      </w:sdt>
      <w:r>
        <w:t xml:space="preserve">. </w:t>
      </w:r>
      <w:r w:rsidR="00D22AEF">
        <w:t xml:space="preserve">We will also </w:t>
      </w:r>
      <w:r w:rsidR="00D22AEF">
        <w:lastRenderedPageBreak/>
        <w:t>inform and be informed by</w:t>
      </w:r>
      <w:r w:rsidR="00164094">
        <w:t xml:space="preserve"> Nuclear Energy Agency (NEA)</w:t>
      </w:r>
      <w:r w:rsidR="00305CCC">
        <w:t xml:space="preserve"> activities including</w:t>
      </w:r>
      <w:r w:rsidR="00A63445">
        <w:t xml:space="preserve"> joint projects and </w:t>
      </w:r>
      <w:r w:rsidR="00164094">
        <w:t>working groups</w:t>
      </w:r>
      <w:r w:rsidR="00143B5B">
        <w:t>.</w:t>
      </w:r>
      <w:r>
        <w:t xml:space="preserve">   </w:t>
      </w:r>
    </w:p>
    <w:p w14:paraId="6F7A6ADA" w14:textId="36F292EC" w:rsidR="000477BB" w:rsidRPr="006E4316" w:rsidRDefault="00D5033F" w:rsidP="00A4055B">
      <w:pPr>
        <w:pStyle w:val="Heading2"/>
        <w:numPr>
          <w:ilvl w:val="0"/>
          <w:numId w:val="0"/>
        </w:numPr>
        <w:ind w:left="851" w:hanging="851"/>
      </w:pPr>
      <w:r>
        <w:t>What is different?</w:t>
      </w:r>
    </w:p>
    <w:p w14:paraId="2A783758" w14:textId="7B1757CA" w:rsidR="007F09AA" w:rsidRDefault="007F09AA" w:rsidP="007F09AA">
      <w:r>
        <w:t>Our published guidance for the Generic Design Assessment (GDA) of new Nuclear Power Plants</w:t>
      </w:r>
      <w:r w:rsidR="003A7B44">
        <w:t xml:space="preserve"> </w:t>
      </w:r>
      <w:sdt>
        <w:sdtPr>
          <w:id w:val="100454528"/>
          <w:citation/>
        </w:sdtPr>
        <w:sdtContent>
          <w:r w:rsidR="003A7B44">
            <w:fldChar w:fldCharType="begin"/>
          </w:r>
          <w:r w:rsidR="003A7B44">
            <w:instrText xml:space="preserve"> CITATION htt31 \l 2057 </w:instrText>
          </w:r>
          <w:r w:rsidR="003A7B44">
            <w:fldChar w:fldCharType="separate"/>
          </w:r>
          <w:r w:rsidR="00D4533F" w:rsidRPr="00D4533F">
            <w:rPr>
              <w:noProof/>
            </w:rPr>
            <w:t>[7]</w:t>
          </w:r>
          <w:r w:rsidR="003A7B44">
            <w:fldChar w:fldCharType="end"/>
          </w:r>
        </w:sdtContent>
      </w:sdt>
      <w:r w:rsidR="003A7B44">
        <w:t xml:space="preserve"> </w:t>
      </w:r>
      <w:r>
        <w:t>sets out how we seek to take advantage of reviews undertaken by nuclear regulators in other countries. However, the current GDA, Licensing,</w:t>
      </w:r>
      <w:r w:rsidR="008742EE">
        <w:t xml:space="preserve"> Permissioning</w:t>
      </w:r>
      <w:r w:rsidR="009C5EA4">
        <w:t>,</w:t>
      </w:r>
      <w:r>
        <w:t xml:space="preserve"> and Permitting process places the responsibility on the Requesting </w:t>
      </w:r>
      <w:r w:rsidR="00D5761F">
        <w:t>P</w:t>
      </w:r>
      <w:r>
        <w:t>arty</w:t>
      </w:r>
      <w:r w:rsidR="00D06A55">
        <w:t xml:space="preserve"> </w:t>
      </w:r>
      <w:r>
        <w:t>(RP)</w:t>
      </w:r>
      <w:r w:rsidR="003A7B44">
        <w:t xml:space="preserve">, </w:t>
      </w:r>
      <w:r>
        <w:t>licensee</w:t>
      </w:r>
      <w:r w:rsidR="003A7B44">
        <w:t xml:space="preserve">, or </w:t>
      </w:r>
      <w:r>
        <w:t>permit holder</w:t>
      </w:r>
      <w:r w:rsidR="003A7B44">
        <w:t xml:space="preserve"> </w:t>
      </w:r>
      <w:r>
        <w:t>to provide evidence and to demonstrate how material produced for another regulator meets UK expectations.</w:t>
      </w:r>
      <w:r w:rsidR="003A7B44">
        <w:t xml:space="preserve"> </w:t>
      </w:r>
      <w:r>
        <w:t>Under this revised approach,</w:t>
      </w:r>
      <w:r w:rsidR="001C4CA5">
        <w:t xml:space="preserve"> when assessing safety, security, safeguards, and environment cases submitted by the RP/licensee/permit holder,</w:t>
      </w:r>
      <w:r>
        <w:t xml:space="preserve"> the nuclear regulators will take a more proactive role by engaging directly with international regulators to understand and gain confidence in the applicability of their regulatory reviews</w:t>
      </w:r>
      <w:r w:rsidR="003A7B44">
        <w:t xml:space="preserve"> </w:t>
      </w:r>
      <w:r>
        <w:t>and the underpinning evidence</w:t>
      </w:r>
      <w:r w:rsidR="00C31567">
        <w:t xml:space="preserve"> used</w:t>
      </w:r>
      <w:r>
        <w:t>.</w:t>
      </w:r>
      <w:r w:rsidR="003A7B44">
        <w:t xml:space="preserve"> </w:t>
      </w:r>
      <w:r>
        <w:t>This has the potential to reduce the extent for UK specific documentation to be produced where pre-existing documentation is robust and demonstrably applicable to a generic or site</w:t>
      </w:r>
      <w:r w:rsidR="00F81A61">
        <w:t>-</w:t>
      </w:r>
      <w:r>
        <w:t xml:space="preserve">specific case. </w:t>
      </w:r>
    </w:p>
    <w:p w14:paraId="3E777F2F" w14:textId="5DBD1D6E" w:rsidR="000477BB" w:rsidRDefault="007F09AA" w:rsidP="007F09AA">
      <w:r>
        <w:t>Two important implications follow from this change:</w:t>
      </w:r>
    </w:p>
    <w:p w14:paraId="09B4D64C" w14:textId="72092D57" w:rsidR="004F0E31" w:rsidRPr="007D42C2" w:rsidRDefault="004F0E31" w:rsidP="00F435EA">
      <w:pPr>
        <w:pStyle w:val="Heading3"/>
      </w:pPr>
      <w:r w:rsidRPr="00F435EA">
        <w:t>Produce</w:t>
      </w:r>
      <w:r w:rsidRPr="007D42C2">
        <w:t xml:space="preserve"> once, use many times</w:t>
      </w:r>
    </w:p>
    <w:p w14:paraId="798DCAE4" w14:textId="7D60927E" w:rsidR="004F0E31" w:rsidRDefault="004F0E31" w:rsidP="004F0E31">
      <w:r>
        <w:t xml:space="preserve">Where a regulatory review relates to generic aspects of a design, it is likely that it will be applicable to several countries. In such cases this should reduce the need for UK specific generic safety, security, safeguards or environment demonstrations for these aspects, where the existing documentation has achieved regulatory acceptance in an established and robust regulatory regime, thus reducing unnecessary duplication.    </w:t>
      </w:r>
    </w:p>
    <w:p w14:paraId="4FAD9040" w14:textId="61118921" w:rsidR="004F0E31" w:rsidRPr="007D42C2" w:rsidRDefault="004F0E31" w:rsidP="00F435EA">
      <w:pPr>
        <w:pStyle w:val="Heading3"/>
      </w:pPr>
      <w:r w:rsidRPr="007D42C2">
        <w:t>Legal duties remain unchanged</w:t>
      </w:r>
    </w:p>
    <w:p w14:paraId="22B1AFB2" w14:textId="3CBE9F88" w:rsidR="000477BB" w:rsidRDefault="004F0E31" w:rsidP="007D42C2">
      <w:pPr>
        <w:sectPr w:rsidR="000477BB" w:rsidSect="000477BB">
          <w:headerReference w:type="default" r:id="rId15"/>
          <w:footerReference w:type="default" r:id="rId16"/>
          <w:pgSz w:w="11906" w:h="16838" w:code="9"/>
          <w:pgMar w:top="1440" w:right="1440" w:bottom="1440" w:left="1440" w:header="397" w:footer="397" w:gutter="0"/>
          <w:cols w:space="312"/>
          <w:docGrid w:linePitch="360"/>
        </w:sectPr>
      </w:pPr>
      <w:r>
        <w:t xml:space="preserve">Where we leverage other regulators’ assessments to support our own decision making, this does not remove or diminish a </w:t>
      </w:r>
      <w:proofErr w:type="spellStart"/>
      <w:r>
        <w:t>dutyholder’s</w:t>
      </w:r>
      <w:proofErr w:type="spellEnd"/>
      <w:r>
        <w:t xml:space="preserve"> legal responsibilities. A site-specific safety</w:t>
      </w:r>
      <w:r w:rsidR="0080340B">
        <w:t>, security, safeguards and environmental protection</w:t>
      </w:r>
      <w:r>
        <w:t xml:space="preserve"> case will always be required for any facility built in Great Britain, which must demonstrate that risks have been reduced so far as is reasonably practicable</w:t>
      </w:r>
      <w:r w:rsidR="0080340B">
        <w:t xml:space="preserve"> and </w:t>
      </w:r>
      <w:r w:rsidR="004E4BC4">
        <w:t>b</w:t>
      </w:r>
      <w:r w:rsidR="0080340B">
        <w:t xml:space="preserve">est </w:t>
      </w:r>
      <w:r w:rsidR="004E4BC4">
        <w:t>a</w:t>
      </w:r>
      <w:r w:rsidR="0080340B">
        <w:t xml:space="preserve">vailable </w:t>
      </w:r>
      <w:r w:rsidR="004E4BC4">
        <w:t>t</w:t>
      </w:r>
      <w:r w:rsidR="0080340B">
        <w:t xml:space="preserve">echniques have been </w:t>
      </w:r>
      <w:r w:rsidR="00CA5F9B">
        <w:t>used</w:t>
      </w:r>
      <w:r w:rsidR="0080340B">
        <w:t xml:space="preserve"> to </w:t>
      </w:r>
      <w:r w:rsidR="00810F6C">
        <w:t>protect people and the environment and reduce exposures to ionising radiation to as low as reasonably achievable</w:t>
      </w:r>
      <w:r>
        <w:t xml:space="preserve"> in accordance with UK legal requirements.</w:t>
      </w:r>
      <w:bookmarkStart w:id="4" w:name="_Toc152915857"/>
    </w:p>
    <w:bookmarkEnd w:id="4"/>
    <w:p w14:paraId="15AE104A" w14:textId="0050367D" w:rsidR="000477BB" w:rsidRPr="006E4316" w:rsidRDefault="00AE22C0" w:rsidP="001A4F85">
      <w:pPr>
        <w:pStyle w:val="Heading1"/>
        <w:numPr>
          <w:ilvl w:val="0"/>
          <w:numId w:val="0"/>
        </w:numPr>
      </w:pPr>
      <w:r>
        <w:lastRenderedPageBreak/>
        <w:t xml:space="preserve">Principles for </w:t>
      </w:r>
      <w:r w:rsidR="00F435EA">
        <w:t>l</w:t>
      </w:r>
      <w:r>
        <w:t xml:space="preserve">everaging other </w:t>
      </w:r>
      <w:r w:rsidR="00F435EA">
        <w:t>r</w:t>
      </w:r>
      <w:r>
        <w:t>egulators Assessments</w:t>
      </w:r>
    </w:p>
    <w:p w14:paraId="51B3AB71" w14:textId="77777777" w:rsidR="000477BB" w:rsidRPr="005D7FB1" w:rsidRDefault="000477BB" w:rsidP="000477BB">
      <w:pPr>
        <w:pStyle w:val="ListParagraph"/>
        <w:keepNext/>
        <w:numPr>
          <w:ilvl w:val="0"/>
          <w:numId w:val="28"/>
        </w:numPr>
        <w:suppressAutoHyphens/>
        <w:autoSpaceDE w:val="0"/>
        <w:autoSpaceDN w:val="0"/>
        <w:adjustRightInd w:val="0"/>
        <w:spacing w:before="0"/>
        <w:contextualSpacing w:val="0"/>
        <w:textAlignment w:val="center"/>
        <w:outlineLvl w:val="1"/>
        <w:rPr>
          <w:vanish/>
          <w:color w:val="5D7F36"/>
          <w:sz w:val="36"/>
        </w:rPr>
      </w:pPr>
      <w:bookmarkStart w:id="5" w:name="_Toc153457233"/>
      <w:bookmarkStart w:id="6" w:name="_Toc153457279"/>
      <w:bookmarkStart w:id="7" w:name="_Toc153457519"/>
      <w:bookmarkStart w:id="8" w:name="_Toc153457553"/>
      <w:bookmarkStart w:id="9" w:name="_Toc153457764"/>
      <w:bookmarkStart w:id="10" w:name="_Toc153457862"/>
      <w:bookmarkStart w:id="11" w:name="_Toc153458504"/>
      <w:bookmarkStart w:id="12" w:name="_Toc157610348"/>
      <w:bookmarkStart w:id="13" w:name="_Toc158127922"/>
      <w:bookmarkStart w:id="14" w:name="_Toc160702827"/>
      <w:bookmarkStart w:id="15" w:name="_Toc160705314"/>
      <w:bookmarkStart w:id="16" w:name="_Toc161601380"/>
      <w:bookmarkStart w:id="17" w:name="_Toc195711721"/>
      <w:bookmarkStart w:id="18" w:name="_Toc195712282"/>
      <w:bookmarkStart w:id="19" w:name="_Toc207369396"/>
      <w:bookmarkStart w:id="20" w:name="_Toc207369476"/>
      <w:bookmarkStart w:id="21" w:name="_Toc207966215"/>
      <w:bookmarkStart w:id="22" w:name="_Toc207966510"/>
      <w:bookmarkStart w:id="23" w:name="_Toc207966563"/>
      <w:bookmarkStart w:id="24" w:name="_Toc207971290"/>
      <w:bookmarkStart w:id="25" w:name="_Toc207971497"/>
      <w:bookmarkStart w:id="26" w:name="_Toc209441669"/>
      <w:bookmarkStart w:id="27" w:name="_Toc152915858"/>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4C4EF9B" w14:textId="77777777" w:rsidR="000477BB" w:rsidRPr="005D7FB1" w:rsidRDefault="000477BB" w:rsidP="000477BB">
      <w:pPr>
        <w:pStyle w:val="ListParagraph"/>
        <w:keepNext/>
        <w:numPr>
          <w:ilvl w:val="0"/>
          <w:numId w:val="28"/>
        </w:numPr>
        <w:suppressAutoHyphens/>
        <w:autoSpaceDE w:val="0"/>
        <w:autoSpaceDN w:val="0"/>
        <w:adjustRightInd w:val="0"/>
        <w:spacing w:before="0"/>
        <w:contextualSpacing w:val="0"/>
        <w:textAlignment w:val="center"/>
        <w:outlineLvl w:val="1"/>
        <w:rPr>
          <w:vanish/>
          <w:color w:val="5D7F36"/>
          <w:sz w:val="36"/>
        </w:rPr>
      </w:pPr>
      <w:bookmarkStart w:id="28" w:name="_Toc157610349"/>
      <w:bookmarkStart w:id="29" w:name="_Toc158127923"/>
      <w:bookmarkStart w:id="30" w:name="_Toc160702828"/>
      <w:bookmarkStart w:id="31" w:name="_Toc160705315"/>
      <w:bookmarkStart w:id="32" w:name="_Toc161601381"/>
      <w:bookmarkStart w:id="33" w:name="_Toc195711722"/>
      <w:bookmarkStart w:id="34" w:name="_Toc195712283"/>
      <w:bookmarkStart w:id="35" w:name="_Toc207369397"/>
      <w:bookmarkStart w:id="36" w:name="_Toc207369477"/>
      <w:bookmarkStart w:id="37" w:name="_Toc207966216"/>
      <w:bookmarkStart w:id="38" w:name="_Toc207966511"/>
      <w:bookmarkStart w:id="39" w:name="_Toc207966564"/>
      <w:bookmarkStart w:id="40" w:name="_Toc207971291"/>
      <w:bookmarkStart w:id="41" w:name="_Toc207971498"/>
      <w:bookmarkStart w:id="42" w:name="_Toc209441670"/>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bookmarkEnd w:id="27"/>
    <w:p w14:paraId="4228FA2E" w14:textId="60E2F0D8" w:rsidR="000477BB" w:rsidRDefault="00D64736" w:rsidP="0058748D">
      <w:pPr>
        <w:pStyle w:val="Heading2"/>
        <w:numPr>
          <w:ilvl w:val="0"/>
          <w:numId w:val="0"/>
        </w:numPr>
        <w:ind w:left="851" w:hanging="851"/>
      </w:pPr>
      <w:r>
        <w:t xml:space="preserve">Principle 1 – Regulatory </w:t>
      </w:r>
      <w:r w:rsidR="00F435EA">
        <w:t>s</w:t>
      </w:r>
      <w:r w:rsidR="005B063E">
        <w:t>overeignty</w:t>
      </w:r>
    </w:p>
    <w:p w14:paraId="176C7655" w14:textId="4702DAB1" w:rsidR="00D5362A" w:rsidRDefault="00D5362A" w:rsidP="00D5362A">
      <w:r>
        <w:t xml:space="preserve">We will retain independence by making our own regulatory judgements and decisions. The UK is required under international </w:t>
      </w:r>
      <w:r w:rsidR="00C106F8">
        <w:t>law, notably the</w:t>
      </w:r>
      <w:r w:rsidR="006C08C5">
        <w:t xml:space="preserve"> </w:t>
      </w:r>
      <w:r w:rsidR="00C106F8">
        <w:t xml:space="preserve">Convention on Nuclear Safety and the Joint Convention on </w:t>
      </w:r>
      <w:r w:rsidR="008665A6">
        <w:t xml:space="preserve">the Safety of </w:t>
      </w:r>
      <w:r w:rsidR="00C106F8">
        <w:t xml:space="preserve">Spent Fuel Management and </w:t>
      </w:r>
      <w:r w:rsidR="008665A6">
        <w:t xml:space="preserve">on </w:t>
      </w:r>
      <w:r w:rsidR="00C106F8">
        <w:t xml:space="preserve">the Safety of Radioactive Waste </w:t>
      </w:r>
      <w:r w:rsidR="008665A6">
        <w:t xml:space="preserve">Management </w:t>
      </w:r>
      <w:sdt>
        <w:sdtPr>
          <w:id w:val="-1858734229"/>
          <w:citation/>
        </w:sdtPr>
        <w:sdtContent>
          <w:r w:rsidR="00C106F8">
            <w:fldChar w:fldCharType="begin"/>
          </w:r>
          <w:r w:rsidR="00C106F8">
            <w:instrText xml:space="preserve"> CITATION htt15 \l 2057 </w:instrText>
          </w:r>
          <w:r w:rsidR="00C106F8">
            <w:fldChar w:fldCharType="separate"/>
          </w:r>
          <w:r w:rsidR="00D4533F" w:rsidRPr="00D4533F">
            <w:rPr>
              <w:noProof/>
            </w:rPr>
            <w:t>[8]</w:t>
          </w:r>
          <w:r w:rsidR="00C106F8">
            <w:fldChar w:fldCharType="end"/>
          </w:r>
        </w:sdtContent>
      </w:sdt>
      <w:sdt>
        <w:sdtPr>
          <w:id w:val="695435103"/>
          <w:citation/>
        </w:sdtPr>
        <w:sdtContent>
          <w:r w:rsidR="00C106F8">
            <w:fldChar w:fldCharType="begin"/>
          </w:r>
          <w:r w:rsidR="00C106F8">
            <w:instrText xml:space="preserve"> CITATION htt16 \l 2057 </w:instrText>
          </w:r>
          <w:r w:rsidR="00C106F8">
            <w:fldChar w:fldCharType="separate"/>
          </w:r>
          <w:r w:rsidR="00D4533F">
            <w:rPr>
              <w:noProof/>
            </w:rPr>
            <w:t xml:space="preserve"> </w:t>
          </w:r>
          <w:r w:rsidR="00D4533F" w:rsidRPr="00D4533F">
            <w:rPr>
              <w:noProof/>
            </w:rPr>
            <w:t>[9]</w:t>
          </w:r>
          <w:r w:rsidR="00C106F8">
            <w:fldChar w:fldCharType="end"/>
          </w:r>
        </w:sdtContent>
      </w:sdt>
      <w:r w:rsidR="00C106F8">
        <w:t xml:space="preserve">, </w:t>
      </w:r>
      <w:r>
        <w:t>to maintain an independent nuclear regulator. Each sovereign state has the same obligations and has implemented its own regulatory regime based on its legal system and societal risk tolerance. This responsibility is delivered through UK legislation, including the Health and Safety at Work Act 1974, the Energy Act 2013, the Nuclear Installations Act 1965 and The Environmental Permitting (England and Wales) Regulations 2016. The nuclear regulators must therefore make their own regulatory judgements and cannot simply adopt another regulator’s decision or judgement.</w:t>
      </w:r>
    </w:p>
    <w:p w14:paraId="5CD0D743" w14:textId="2479CEEC" w:rsidR="00D5362A" w:rsidRDefault="00D5362A" w:rsidP="00D5362A">
      <w:r>
        <w:t>However, we may draw on the work of other regulators where it helps inform our assessments. International regulatory reviews can be used as evidence, in whole or in part, where we judge them against UK legal requirements. They inform and support our decision making, but they do not replace it.</w:t>
      </w:r>
    </w:p>
    <w:p w14:paraId="09621B5E" w14:textId="4D67CFFB" w:rsidR="000477BB" w:rsidRDefault="003454F1" w:rsidP="0058748D">
      <w:pPr>
        <w:pStyle w:val="Heading2"/>
        <w:numPr>
          <w:ilvl w:val="0"/>
          <w:numId w:val="0"/>
        </w:numPr>
        <w:ind w:left="851" w:hanging="851"/>
      </w:pPr>
      <w:bookmarkStart w:id="43" w:name="_Toc152915859"/>
      <w:r>
        <w:t xml:space="preserve">Principle 2 – Benchmarking </w:t>
      </w:r>
    </w:p>
    <w:p w14:paraId="17B90449" w14:textId="6613A006" w:rsidR="00130E77" w:rsidRDefault="00130E77" w:rsidP="00130E77">
      <w:r>
        <w:t>Benchmarking establishes the foundation for understanding the extent to which other regulators’ judgements can inform our own. It underpins the tests described later in this policy, and the level of confidence we can take from another regulator’s work.</w:t>
      </w:r>
    </w:p>
    <w:p w14:paraId="2FE60FFB" w14:textId="77777777" w:rsidR="00130E77" w:rsidRDefault="00130E77" w:rsidP="00130E77">
      <w:r>
        <w:t>The purpose of benchmarking other regulators’ frameworks, judgements, and approaches is to understand similarities and differences between respective regimes. This understanding allows us to assess how judgements were reached, how applicable they are in a UK context, and what level of additional evidence or justification may be required.</w:t>
      </w:r>
    </w:p>
    <w:p w14:paraId="0857553A" w14:textId="5CDA4219" w:rsidR="005E6DCC" w:rsidRDefault="00130E77" w:rsidP="00130E77">
      <w:r>
        <w:t xml:space="preserve">Benchmarking will be carried out through comparison of overarching regulatory frameworks (for example decision making processes and governance), through comparison of regulatory codes, standards and expectations at a topic specific level, and other codes and standards which inform regulatory expectations such as IAEA </w:t>
      </w:r>
      <w:r w:rsidR="00A06D8C">
        <w:t>s</w:t>
      </w:r>
      <w:r>
        <w:t xml:space="preserve">afety, </w:t>
      </w:r>
      <w:r w:rsidR="00A06D8C">
        <w:t>s</w:t>
      </w:r>
      <w:r>
        <w:t xml:space="preserve">ecurity, and </w:t>
      </w:r>
      <w:r w:rsidR="00A06D8C">
        <w:t>e</w:t>
      </w:r>
      <w:r>
        <w:t xml:space="preserve">nvironment </w:t>
      </w:r>
      <w:r w:rsidR="00A06D8C">
        <w:t>s</w:t>
      </w:r>
      <w:r>
        <w:t>tandards, and WENRA safety reference levels.</w:t>
      </w:r>
    </w:p>
    <w:p w14:paraId="3F1453A8" w14:textId="77777777" w:rsidR="00F435EA" w:rsidRDefault="00F435EA">
      <w:pPr>
        <w:spacing w:before="0" w:after="0" w:line="240" w:lineRule="auto"/>
        <w:rPr>
          <w:color w:val="22413A"/>
          <w:sz w:val="36"/>
        </w:rPr>
      </w:pPr>
      <w:r>
        <w:br w:type="page"/>
      </w:r>
    </w:p>
    <w:p w14:paraId="196D5A3B" w14:textId="34B92D87" w:rsidR="00130E77" w:rsidRPr="00E063C5" w:rsidRDefault="00130E77" w:rsidP="00261C53">
      <w:pPr>
        <w:pStyle w:val="Heading2"/>
        <w:numPr>
          <w:ilvl w:val="0"/>
          <w:numId w:val="0"/>
        </w:numPr>
        <w:ind w:left="851" w:hanging="851"/>
      </w:pPr>
      <w:r w:rsidRPr="00E063C5">
        <w:lastRenderedPageBreak/>
        <w:t>Principle 3 –</w:t>
      </w:r>
      <w:r w:rsidR="00364DBD" w:rsidRPr="00E063C5">
        <w:t xml:space="preserve"> </w:t>
      </w:r>
      <w:r w:rsidR="00B33CEF" w:rsidRPr="00E063C5">
        <w:t>Confidence and Accountability</w:t>
      </w:r>
    </w:p>
    <w:p w14:paraId="41DE19E3" w14:textId="01EB7A17" w:rsidR="006003B0" w:rsidRPr="00E063C5" w:rsidRDefault="006003B0" w:rsidP="006003B0">
      <w:r w:rsidRPr="00E063C5">
        <w:t>We need to have confidence in the regulators carrying out the assessments that we will make use of.</w:t>
      </w:r>
      <w:r w:rsidR="00946C83" w:rsidRPr="00E063C5">
        <w:t xml:space="preserve"> </w:t>
      </w:r>
      <w:r w:rsidRPr="00E063C5">
        <w:t>This includes confidence in the applicability of the regulators work as well as its accountability for that work</w:t>
      </w:r>
      <w:r w:rsidR="006E0A50">
        <w:t>. This will enabl</w:t>
      </w:r>
      <w:r w:rsidR="003A7645">
        <w:t>e</w:t>
      </w:r>
      <w:r w:rsidRPr="00E063C5">
        <w:t xml:space="preserve"> us to accept accountability for relying on it. While benchmarking focuses on standards and processes, securing confidence will be an ongoing process taking account of interactions and learning. We gain confidence where we can verify independent and impartial decisions from a competent and capable organisation undertaken through a fair and transparent process.</w:t>
      </w:r>
    </w:p>
    <w:p w14:paraId="7F9DACE6" w14:textId="0B16DBAF" w:rsidR="006003B0" w:rsidRPr="00E063C5" w:rsidRDefault="00FD3705" w:rsidP="00B06A5A">
      <w:r w:rsidRPr="00E063C5">
        <w:t xml:space="preserve">Our considerations </w:t>
      </w:r>
      <w:r w:rsidR="0086010B" w:rsidRPr="00E063C5">
        <w:t>on confidence in other regulators will also include:</w:t>
      </w:r>
    </w:p>
    <w:p w14:paraId="3BCAB052" w14:textId="6E8924AF" w:rsidR="0086010B" w:rsidRPr="00E063C5" w:rsidRDefault="0086010B" w:rsidP="0086010B">
      <w:pPr>
        <w:pStyle w:val="ListParagraph"/>
        <w:numPr>
          <w:ilvl w:val="0"/>
          <w:numId w:val="32"/>
        </w:numPr>
      </w:pPr>
      <w:r w:rsidRPr="00E063C5">
        <w:t>participation in intergove</w:t>
      </w:r>
      <w:r w:rsidR="002D3193" w:rsidRPr="00E063C5">
        <w:t>rnmental organisations</w:t>
      </w:r>
      <w:r w:rsidR="00FA59D0" w:rsidRPr="00E063C5">
        <w:t>,</w:t>
      </w:r>
      <w:r w:rsidR="002D3193" w:rsidRPr="00E063C5">
        <w:t xml:space="preserve"> </w:t>
      </w:r>
      <w:r w:rsidR="00FA59D0" w:rsidRPr="00E063C5">
        <w:t>such as</w:t>
      </w:r>
      <w:r w:rsidR="002D3193" w:rsidRPr="00E063C5">
        <w:t xml:space="preserve"> IAEA and NEA</w:t>
      </w:r>
      <w:r w:rsidR="00FA59D0" w:rsidRPr="00E063C5">
        <w:t xml:space="preserve">, in developing </w:t>
      </w:r>
      <w:r w:rsidR="000077BB" w:rsidRPr="00E063C5">
        <w:t>international standards</w:t>
      </w:r>
    </w:p>
    <w:p w14:paraId="2DC8D825" w14:textId="6B0824B7" w:rsidR="000077BB" w:rsidRPr="00E063C5" w:rsidRDefault="000077BB" w:rsidP="0086010B">
      <w:pPr>
        <w:pStyle w:val="ListParagraph"/>
        <w:numPr>
          <w:ilvl w:val="0"/>
          <w:numId w:val="32"/>
        </w:numPr>
      </w:pPr>
      <w:r w:rsidRPr="00E063C5">
        <w:t>evidence from independent peer reviews</w:t>
      </w:r>
      <w:r w:rsidR="000F735D" w:rsidRPr="00E063C5">
        <w:t>, such as IAEA Integrated Regulatory Review Service missions</w:t>
      </w:r>
    </w:p>
    <w:p w14:paraId="5CB79AB5" w14:textId="343C7C3A" w:rsidR="000F735D" w:rsidRPr="00E063C5" w:rsidRDefault="000F735D" w:rsidP="0086010B">
      <w:pPr>
        <w:pStyle w:val="ListParagraph"/>
        <w:numPr>
          <w:ilvl w:val="0"/>
          <w:numId w:val="32"/>
        </w:numPr>
      </w:pPr>
      <w:r w:rsidRPr="00E063C5">
        <w:t xml:space="preserve">formal </w:t>
      </w:r>
      <w:r w:rsidR="00071C26" w:rsidRPr="00E063C5">
        <w:t>bi/multi-lateral agreements</w:t>
      </w:r>
      <w:r w:rsidRPr="00E063C5">
        <w:t xml:space="preserve">, such as </w:t>
      </w:r>
      <w:r w:rsidR="00071C26" w:rsidRPr="00E063C5">
        <w:t>memoranda of understanding, memoranda of co-operation, and information exchange agreements</w:t>
      </w:r>
    </w:p>
    <w:p w14:paraId="53125F9E" w14:textId="756BC635" w:rsidR="00071C26" w:rsidRPr="00E063C5" w:rsidRDefault="00071C26" w:rsidP="0086010B">
      <w:pPr>
        <w:pStyle w:val="ListParagraph"/>
        <w:numPr>
          <w:ilvl w:val="0"/>
          <w:numId w:val="32"/>
        </w:numPr>
      </w:pPr>
      <w:r w:rsidRPr="00E063C5">
        <w:t>effective working relationships with others</w:t>
      </w:r>
    </w:p>
    <w:p w14:paraId="68F17B43" w14:textId="5D6EAC1B" w:rsidR="00E063C5" w:rsidRPr="00E063C5" w:rsidRDefault="00E063C5" w:rsidP="00E063C5">
      <w:r w:rsidRPr="00E063C5">
        <w:t>We will verify that the evidence, methods, and standards applied are suitable and sufficient to support our own regulatory decisions. This includes reviewing available evidence, considering the level of challenge and scrutiny applied, and applying an appropriate level of due diligence based on the risk significance and novelty of the topic.</w:t>
      </w:r>
    </w:p>
    <w:p w14:paraId="0531AF9E" w14:textId="4E257B37" w:rsidR="00261C53" w:rsidRDefault="00261C53" w:rsidP="00261C53">
      <w:pPr>
        <w:pStyle w:val="Heading2"/>
        <w:numPr>
          <w:ilvl w:val="0"/>
          <w:numId w:val="0"/>
        </w:numPr>
        <w:ind w:left="851" w:hanging="851"/>
      </w:pPr>
      <w:r>
        <w:t>Principle 4 – Transparency</w:t>
      </w:r>
    </w:p>
    <w:p w14:paraId="5F6DFCB0" w14:textId="6B389777" w:rsidR="00261C53" w:rsidRDefault="001015AE" w:rsidP="001015AE">
      <w:r w:rsidRPr="001015AE">
        <w:t>We will be open about when and how we use the work of other regulators. Any international regulatory judgements used to support our conclusions will be clearly recorded in the assessment re</w:t>
      </w:r>
      <w:r w:rsidR="000035A8">
        <w:t>cords</w:t>
      </w:r>
      <w:r w:rsidRPr="001015AE">
        <w:t xml:space="preserve">. </w:t>
      </w:r>
      <w:r w:rsidR="009F55FE">
        <w:t>We will only use international regulators</w:t>
      </w:r>
      <w:r w:rsidR="001672A7">
        <w:t>’</w:t>
      </w:r>
      <w:r w:rsidR="009F55FE">
        <w:t xml:space="preserve"> work where this is a</w:t>
      </w:r>
      <w:r w:rsidR="00562EF4">
        <w:t>vailable</w:t>
      </w:r>
      <w:r w:rsidR="009F55FE">
        <w:t xml:space="preserve"> to the </w:t>
      </w:r>
      <w:r w:rsidR="00820356">
        <w:t>RP</w:t>
      </w:r>
      <w:r w:rsidR="00BE2142">
        <w:t>, applicant</w:t>
      </w:r>
      <w:r w:rsidR="003C40A7">
        <w:t xml:space="preserve"> or licensee/permit holder</w:t>
      </w:r>
      <w:r w:rsidR="00820356">
        <w:t xml:space="preserve">. </w:t>
      </w:r>
      <w:r w:rsidRPr="001015AE">
        <w:t xml:space="preserve">We will explain what evidence was relied upon, how we judged it to be acceptable, and </w:t>
      </w:r>
      <w:r w:rsidR="003149E9">
        <w:t xml:space="preserve">its </w:t>
      </w:r>
      <w:r w:rsidR="003149E9" w:rsidRPr="001015AE">
        <w:t>relevan</w:t>
      </w:r>
      <w:r w:rsidR="003149E9">
        <w:t>ce</w:t>
      </w:r>
      <w:r w:rsidR="003149E9" w:rsidRPr="001015AE">
        <w:t xml:space="preserve"> </w:t>
      </w:r>
      <w:r w:rsidRPr="001015AE">
        <w:t xml:space="preserve">to support the case being made. </w:t>
      </w:r>
      <w:r w:rsidR="00261C53">
        <w:t xml:space="preserve"> </w:t>
      </w:r>
      <w:r w:rsidR="00820356">
        <w:t xml:space="preserve">We will </w:t>
      </w:r>
      <w:r w:rsidR="0093360C">
        <w:t>share</w:t>
      </w:r>
      <w:r w:rsidR="00820356">
        <w:t xml:space="preserve"> our </w:t>
      </w:r>
      <w:r w:rsidR="002711E6">
        <w:t>judgements</w:t>
      </w:r>
      <w:r w:rsidR="00820356">
        <w:t xml:space="preserve"> in line with our publication schemes</w:t>
      </w:r>
      <w:sdt>
        <w:sdtPr>
          <w:id w:val="1240984382"/>
          <w:citation/>
        </w:sdtPr>
        <w:sdtContent>
          <w:r w:rsidR="00B22DE9">
            <w:fldChar w:fldCharType="begin"/>
          </w:r>
          <w:r w:rsidR="00B22DE9">
            <w:instrText xml:space="preserve"> CITATION htt8 \l 2057 </w:instrText>
          </w:r>
          <w:r w:rsidR="00B22DE9">
            <w:fldChar w:fldCharType="separate"/>
          </w:r>
          <w:r w:rsidR="00D4533F">
            <w:rPr>
              <w:noProof/>
            </w:rPr>
            <w:t xml:space="preserve"> </w:t>
          </w:r>
          <w:r w:rsidR="00D4533F" w:rsidRPr="00D4533F">
            <w:rPr>
              <w:noProof/>
            </w:rPr>
            <w:t>[10]</w:t>
          </w:r>
          <w:r w:rsidR="00B22DE9">
            <w:fldChar w:fldCharType="end"/>
          </w:r>
        </w:sdtContent>
      </w:sdt>
      <w:sdt>
        <w:sdtPr>
          <w:id w:val="-305627705"/>
          <w:citation/>
        </w:sdtPr>
        <w:sdtContent>
          <w:r w:rsidR="00723AED">
            <w:fldChar w:fldCharType="begin"/>
          </w:r>
          <w:r w:rsidR="00723AED">
            <w:instrText xml:space="preserve"> CITATION htt9 \l 2057 </w:instrText>
          </w:r>
          <w:r w:rsidR="00723AED">
            <w:fldChar w:fldCharType="separate"/>
          </w:r>
          <w:r w:rsidR="00D4533F">
            <w:rPr>
              <w:noProof/>
            </w:rPr>
            <w:t xml:space="preserve"> </w:t>
          </w:r>
          <w:r w:rsidR="00D4533F" w:rsidRPr="00D4533F">
            <w:rPr>
              <w:noProof/>
            </w:rPr>
            <w:t>[11]</w:t>
          </w:r>
          <w:r w:rsidR="00723AED">
            <w:fldChar w:fldCharType="end"/>
          </w:r>
        </w:sdtContent>
      </w:sdt>
      <w:sdt>
        <w:sdtPr>
          <w:id w:val="1106306657"/>
          <w:citation/>
        </w:sdtPr>
        <w:sdtContent>
          <w:r w:rsidR="001D073A">
            <w:fldChar w:fldCharType="begin"/>
          </w:r>
          <w:r w:rsidR="001D073A">
            <w:instrText xml:space="preserve"> CITATION htt10 \l 2057 </w:instrText>
          </w:r>
          <w:r w:rsidR="001D073A">
            <w:fldChar w:fldCharType="separate"/>
          </w:r>
          <w:r w:rsidR="00D4533F">
            <w:rPr>
              <w:noProof/>
            </w:rPr>
            <w:t xml:space="preserve"> </w:t>
          </w:r>
          <w:r w:rsidR="00D4533F" w:rsidRPr="00D4533F">
            <w:rPr>
              <w:noProof/>
            </w:rPr>
            <w:t>[12]</w:t>
          </w:r>
          <w:r w:rsidR="001D073A">
            <w:fldChar w:fldCharType="end"/>
          </w:r>
        </w:sdtContent>
      </w:sdt>
      <w:r w:rsidR="00820356">
        <w:t xml:space="preserve">. </w:t>
      </w:r>
    </w:p>
    <w:p w14:paraId="747932F8" w14:textId="2534D3A2" w:rsidR="00A67637" w:rsidRDefault="00A67637" w:rsidP="00A67637">
      <w:pPr>
        <w:pStyle w:val="Heading2"/>
        <w:numPr>
          <w:ilvl w:val="0"/>
          <w:numId w:val="0"/>
        </w:numPr>
        <w:ind w:left="851" w:hanging="851"/>
      </w:pPr>
      <w:r>
        <w:t>Principle 5 – Information Security</w:t>
      </w:r>
    </w:p>
    <w:p w14:paraId="5000D7AF" w14:textId="7F523D30" w:rsidR="00EF6384" w:rsidRDefault="00EF6384" w:rsidP="00EF6384">
      <w:r>
        <w:t>Information shared between regulators will be handled in line with each country’s security, export control, confidentiality, and data</w:t>
      </w:r>
      <w:r>
        <w:rPr>
          <w:rFonts w:ascii="Cambria Math" w:hAnsi="Cambria Math" w:cs="Cambria Math"/>
        </w:rPr>
        <w:t>‑</w:t>
      </w:r>
      <w:r>
        <w:t>sharing requirements</w:t>
      </w:r>
      <w:r w:rsidR="00DA7FE7">
        <w:t>. This will be</w:t>
      </w:r>
      <w:r>
        <w:t xml:space="preserve"> in accordance with information sharing agreements between regulators and technology vendors/developers or duty holders</w:t>
      </w:r>
      <w:r w:rsidR="00DA7FE7">
        <w:t xml:space="preserve"> </w:t>
      </w:r>
      <w:r w:rsidR="005B21AC">
        <w:t>including acknowledgment of</w:t>
      </w:r>
      <w:r w:rsidR="00836E6D">
        <w:t xml:space="preserve"> </w:t>
      </w:r>
      <w:r w:rsidR="001A4586">
        <w:t xml:space="preserve">our </w:t>
      </w:r>
      <w:r w:rsidR="00C359E5">
        <w:t>obligation to disclose information in certain circumstances under Freedom of Information</w:t>
      </w:r>
      <w:r w:rsidR="00397B09">
        <w:t xml:space="preserve"> (FOI)</w:t>
      </w:r>
      <w:r w:rsidR="00C359E5">
        <w:t xml:space="preserve"> and Environmental Information </w:t>
      </w:r>
      <w:r w:rsidR="00073825">
        <w:t>Regulations</w:t>
      </w:r>
      <w:r w:rsidR="00397B09">
        <w:t xml:space="preserve"> (EIR)</w:t>
      </w:r>
      <w:r w:rsidR="00C359E5">
        <w:t xml:space="preserve"> </w:t>
      </w:r>
      <w:r w:rsidR="00073825">
        <w:t>requests</w:t>
      </w:r>
      <w:r>
        <w:t>.</w:t>
      </w:r>
      <w:r w:rsidR="00EE4342">
        <w:t xml:space="preserve"> </w:t>
      </w:r>
    </w:p>
    <w:p w14:paraId="2E5C4A0C" w14:textId="77777777" w:rsidR="00F435EA" w:rsidRDefault="00EF6384" w:rsidP="00EF6384">
      <w:r>
        <w:t>We will ensure that any shared documents, discussions or assessments comply with information</w:t>
      </w:r>
      <w:r>
        <w:rPr>
          <w:rFonts w:ascii="Cambria Math" w:hAnsi="Cambria Math" w:cs="Cambria Math"/>
        </w:rPr>
        <w:t>‑</w:t>
      </w:r>
      <w:r>
        <w:t>handling agreements and protect sensitive data.</w:t>
      </w:r>
    </w:p>
    <w:p w14:paraId="68A53A4B" w14:textId="25917F0F" w:rsidR="00A67637" w:rsidRDefault="00EF6384" w:rsidP="00EF6384">
      <w:r>
        <w:lastRenderedPageBreak/>
        <w:t xml:space="preserve">We will only use information when it can be shared and managed securely, and we will respect any restrictions placed on information received in confidence. </w:t>
      </w:r>
    </w:p>
    <w:p w14:paraId="4C8BEC07" w14:textId="73722B74" w:rsidR="00EF6384" w:rsidRDefault="00EF6384" w:rsidP="00A4055B">
      <w:pPr>
        <w:pStyle w:val="Heading1"/>
        <w:numPr>
          <w:ilvl w:val="0"/>
          <w:numId w:val="0"/>
        </w:numPr>
        <w:ind w:left="851" w:hanging="851"/>
      </w:pPr>
      <w:r>
        <w:t>How we will do it</w:t>
      </w:r>
    </w:p>
    <w:p w14:paraId="1D07B32A" w14:textId="77777777" w:rsidR="00CB14C9" w:rsidRDefault="00CB14C9" w:rsidP="00CB14C9">
      <w:r>
        <w:t>Assessments carried out using these principles will follow the nuclear regulators’ normal regulatory processes. We will begin by developing an understanding of the RP or licensee/permit holder’s case.</w:t>
      </w:r>
    </w:p>
    <w:p w14:paraId="4B711ED6" w14:textId="53AD0C69" w:rsidR="00CB14C9" w:rsidRDefault="00CB14C9" w:rsidP="00CB14C9">
      <w:r>
        <w:t>The responsibility for demonstrating compliance with UK legal requirements</w:t>
      </w:r>
      <w:r w:rsidR="00755614">
        <w:t xml:space="preserve"> </w:t>
      </w:r>
      <w:r>
        <w:t>always sits with the RP or licensee/permit holder. We will require them to demonstrate that the proposal meets UK legal requirements. This may be through a case developed specifically for the UK, a case prepared for another national regulator where it can be shown to meet UK requirements, or a combination of the two.</w:t>
      </w:r>
    </w:p>
    <w:p w14:paraId="4DB8C3A5" w14:textId="0115FA1C" w:rsidR="00CB14C9" w:rsidRDefault="00CB14C9" w:rsidP="00CB14C9">
      <w:r>
        <w:t>Using this information, we will develop our assessment strategy and identify which aspects of the case require more detailed sampling, in line with our standard processes</w:t>
      </w:r>
      <w:sdt>
        <w:sdtPr>
          <w:id w:val="-175965327"/>
          <w:citation/>
        </w:sdtPr>
        <w:sdtContent>
          <w:r w:rsidR="000808EB">
            <w:fldChar w:fldCharType="begin"/>
          </w:r>
          <w:r w:rsidR="000808EB">
            <w:instrText xml:space="preserve"> CITATION htt19 \l 2057 </w:instrText>
          </w:r>
          <w:r w:rsidR="000808EB">
            <w:fldChar w:fldCharType="separate"/>
          </w:r>
          <w:r w:rsidR="00D4533F">
            <w:rPr>
              <w:noProof/>
            </w:rPr>
            <w:t xml:space="preserve"> </w:t>
          </w:r>
          <w:r w:rsidR="00D4533F" w:rsidRPr="00D4533F">
            <w:rPr>
              <w:noProof/>
            </w:rPr>
            <w:t>[13]</w:t>
          </w:r>
          <w:r w:rsidR="000808EB">
            <w:fldChar w:fldCharType="end"/>
          </w:r>
        </w:sdtContent>
      </w:sdt>
      <w:sdt>
        <w:sdtPr>
          <w:id w:val="-96028071"/>
          <w:citation/>
        </w:sdtPr>
        <w:sdtContent>
          <w:r w:rsidR="00DB4B33">
            <w:fldChar w:fldCharType="begin"/>
          </w:r>
          <w:r w:rsidR="00DB4B33">
            <w:instrText xml:space="preserve"> CITATION htt20 \l 2057 </w:instrText>
          </w:r>
          <w:r w:rsidR="00DB4B33">
            <w:fldChar w:fldCharType="separate"/>
          </w:r>
          <w:r w:rsidR="00D4533F">
            <w:rPr>
              <w:noProof/>
            </w:rPr>
            <w:t xml:space="preserve"> </w:t>
          </w:r>
          <w:r w:rsidR="00D4533F" w:rsidRPr="00D4533F">
            <w:rPr>
              <w:noProof/>
            </w:rPr>
            <w:t>[14]</w:t>
          </w:r>
          <w:r w:rsidR="00DB4B33">
            <w:fldChar w:fldCharType="end"/>
          </w:r>
        </w:sdtContent>
      </w:sdt>
      <w:r>
        <w:t xml:space="preserve">. We will then consider </w:t>
      </w:r>
      <w:r w:rsidR="00CA65F8">
        <w:t>the availability and applica</w:t>
      </w:r>
      <w:r w:rsidR="00042A42">
        <w:t xml:space="preserve">bility of </w:t>
      </w:r>
      <w:r>
        <w:t xml:space="preserve">relevant international regulatory judgements </w:t>
      </w:r>
      <w:r w:rsidR="00042A42">
        <w:t>used as evidence</w:t>
      </w:r>
      <w:r>
        <w:t>, either through published material or through agreements with other regulators.</w:t>
      </w:r>
    </w:p>
    <w:p w14:paraId="2D23F67D" w14:textId="5381BB7A" w:rsidR="00261C53" w:rsidRDefault="00CB14C9" w:rsidP="00CB14C9">
      <w:r>
        <w:t>Where potentially relevant international assessments are identified, we will apply a series of tests to determine the e</w:t>
      </w:r>
      <w:r w:rsidR="0099338F">
        <w:t>xtent</w:t>
      </w:r>
      <w:r>
        <w:t xml:space="preserve"> </w:t>
      </w:r>
      <w:r w:rsidR="00601E74">
        <w:t xml:space="preserve">to which we </w:t>
      </w:r>
      <w:r w:rsidR="001A40BA">
        <w:t>can</w:t>
      </w:r>
      <w:r>
        <w:t xml:space="preserve"> us</w:t>
      </w:r>
      <w:r w:rsidR="00601E74">
        <w:t>e</w:t>
      </w:r>
      <w:r>
        <w:t xml:space="preserve"> the information to support our own judgements. We will typically consider the </w:t>
      </w:r>
      <w:r w:rsidR="001C68B5">
        <w:t>extent of the regulatory information available</w:t>
      </w:r>
      <w:r>
        <w:t xml:space="preserve">, regulatory equivalence, and </w:t>
      </w:r>
      <w:r w:rsidR="007060B7">
        <w:t xml:space="preserve">significance </w:t>
      </w:r>
      <w:r>
        <w:t>of what we are assessing to form an overall judgement of the risk level associated with using those judgements, however this depends on the context of the regulatory decision and additional tests or considerations may be necessary. This risk judgement will determine the level of due diligence required before the available information can be used to support our own assessment.</w:t>
      </w:r>
    </w:p>
    <w:p w14:paraId="3CB1884C" w14:textId="59D4ACD2" w:rsidR="0010245E" w:rsidRDefault="0010245E" w:rsidP="00CB14C9">
      <w:r>
        <w:t>Example</w:t>
      </w:r>
      <w:r w:rsidR="00FE610E">
        <w:t xml:space="preserve"> regulatory</w:t>
      </w:r>
      <w:r>
        <w:t xml:space="preserve"> </w:t>
      </w:r>
      <w:r w:rsidR="00FE610E">
        <w:t>information, equivalence, and significance</w:t>
      </w:r>
      <w:r w:rsidR="00D62409">
        <w:t xml:space="preserve"> </w:t>
      </w:r>
      <w:r>
        <w:t>tests</w:t>
      </w:r>
      <w:r w:rsidR="001A434E">
        <w:t>, how they will be used</w:t>
      </w:r>
      <w:r w:rsidR="00092D19">
        <w:t>,</w:t>
      </w:r>
      <w:r w:rsidR="001A434E">
        <w:t xml:space="preserve"> and relevant case studies</w:t>
      </w:r>
      <w:r w:rsidR="00D62409">
        <w:t xml:space="preserve"> describing how similar tests have been used in the past</w:t>
      </w:r>
      <w:r w:rsidR="001A434E">
        <w:t xml:space="preserve"> are described in the following sections.</w:t>
      </w:r>
    </w:p>
    <w:p w14:paraId="57B3D74D" w14:textId="544E3262" w:rsidR="00CB14C9" w:rsidRDefault="00CB14C9" w:rsidP="00CB14C9">
      <w:pPr>
        <w:pStyle w:val="Heading2"/>
        <w:numPr>
          <w:ilvl w:val="0"/>
          <w:numId w:val="0"/>
        </w:numPr>
        <w:ind w:left="851" w:hanging="851"/>
      </w:pPr>
      <w:r>
        <w:t xml:space="preserve">Regulatory </w:t>
      </w:r>
      <w:r w:rsidR="00F435EA">
        <w:t>i</w:t>
      </w:r>
      <w:r>
        <w:t xml:space="preserve">nformation </w:t>
      </w:r>
      <w:r w:rsidR="00F435EA">
        <w:t>t</w:t>
      </w:r>
      <w:r>
        <w:t>est</w:t>
      </w:r>
    </w:p>
    <w:p w14:paraId="6770FBA0" w14:textId="0DD68E39" w:rsidR="00321738" w:rsidRDefault="00321738" w:rsidP="00321738">
      <w:r>
        <w:t xml:space="preserve">We consider what regulatory information is available to support our assessment of the RP or licensee/permit holder’s case. In general, the more detailed and accessible the information, the more confidence we may take from it, and the less additional assessment we may need to carry out ourselves. This of course depends on the quality and relevance of the information available. </w:t>
      </w:r>
    </w:p>
    <w:p w14:paraId="74720595" w14:textId="77777777" w:rsidR="00321738" w:rsidRDefault="00321738" w:rsidP="00321738">
      <w:r>
        <w:t>The information for this test may include full regulatory assessment reports, technical analysis, and judgements available to us through bilateral agreements, or information published openly by other regulators.</w:t>
      </w:r>
    </w:p>
    <w:p w14:paraId="554D2AE0" w14:textId="77777777" w:rsidR="00321738" w:rsidRDefault="00321738" w:rsidP="00321738">
      <w:r>
        <w:lastRenderedPageBreak/>
        <w:t>Where information is heavily redacted or limited to high level summaries, it is likely to provide only limited assurance. In these cases, there will be little reduction in the amount of assessment we need to undertake.</w:t>
      </w:r>
    </w:p>
    <w:p w14:paraId="0C72B60F" w14:textId="7AF46E2F" w:rsidR="00321738" w:rsidRDefault="00321738" w:rsidP="00321738">
      <w:r>
        <w:t xml:space="preserve">Where full assessment reports are available, and we have an established working relationship with the other regulator that allows discussion of </w:t>
      </w:r>
      <w:r w:rsidR="002563DA">
        <w:t>its</w:t>
      </w:r>
      <w:r>
        <w:t xml:space="preserve"> assessment</w:t>
      </w:r>
      <w:r w:rsidR="00B65E87">
        <w:t xml:space="preserve"> (for example through </w:t>
      </w:r>
      <w:r w:rsidR="00A5676F">
        <w:t>memoranda of understanding or information exchange agreements)</w:t>
      </w:r>
      <w:r>
        <w:t>, this can provide significant assurance and enable greater efficiencies in our own assessment effort, thereby avoiding unnecessary duplication.</w:t>
      </w:r>
    </w:p>
    <w:p w14:paraId="2292C1A1" w14:textId="1FCEE22F" w:rsidR="00CB14C9" w:rsidRDefault="00321738" w:rsidP="00321738">
      <w:r>
        <w:t xml:space="preserve">The extent to which a pre-existing assessment can contribute to our judgement depends on both the quality of the information available and the specific context of the assessment. This will </w:t>
      </w:r>
      <w:r w:rsidR="002E20AC">
        <w:t xml:space="preserve">be </w:t>
      </w:r>
      <w:r>
        <w:t>agreed upon as part of assessment planning.</w:t>
      </w:r>
    </w:p>
    <w:p w14:paraId="5F8C440D" w14:textId="63B0FC72" w:rsidR="00321738" w:rsidRDefault="00321738" w:rsidP="00321738">
      <w:pPr>
        <w:pStyle w:val="Heading2"/>
        <w:numPr>
          <w:ilvl w:val="0"/>
          <w:numId w:val="0"/>
        </w:numPr>
        <w:ind w:left="851" w:hanging="851"/>
      </w:pPr>
      <w:r>
        <w:t xml:space="preserve">Regulatory </w:t>
      </w:r>
      <w:r w:rsidR="00F435EA">
        <w:t>e</w:t>
      </w:r>
      <w:r>
        <w:t xml:space="preserve">quivalence </w:t>
      </w:r>
      <w:r w:rsidR="00F435EA">
        <w:t>t</w:t>
      </w:r>
      <w:r>
        <w:t>est</w:t>
      </w:r>
    </w:p>
    <w:p w14:paraId="02A5C7C9" w14:textId="757BEE6B" w:rsidR="002D770D" w:rsidRDefault="002D770D" w:rsidP="002D770D">
      <w:r>
        <w:t>For the regulatory equivalence test we consider how closely the regulatory framework, standards, and assessment approach used by the other regulator align with our own.</w:t>
      </w:r>
    </w:p>
    <w:p w14:paraId="2CEE230B" w14:textId="468C49EB" w:rsidR="002D770D" w:rsidRDefault="002D770D" w:rsidP="002D770D">
      <w:r>
        <w:t>This includes understanding how the other regulator reached its judgement,</w:t>
      </w:r>
      <w:r w:rsidR="00D12FEB">
        <w:t xml:space="preserve"> </w:t>
      </w:r>
      <w:r w:rsidR="00FE610E">
        <w:t>in line with</w:t>
      </w:r>
      <w:r w:rsidR="00D12FEB">
        <w:t xml:space="preserve"> Principle</w:t>
      </w:r>
      <w:r w:rsidR="00292259">
        <w:t>s 2 and</w:t>
      </w:r>
      <w:r w:rsidR="00D12FEB">
        <w:t xml:space="preserve"> 3</w:t>
      </w:r>
      <w:r w:rsidR="00904652">
        <w:t>,</w:t>
      </w:r>
      <w:r w:rsidR="00D12FEB">
        <w:t xml:space="preserve"> a</w:t>
      </w:r>
      <w:r w:rsidR="00410B79">
        <w:t xml:space="preserve">s well as </w:t>
      </w:r>
      <w:r>
        <w:t xml:space="preserve">the level of regulatory scrutiny applied. Where these are broadly equivalent to our own approach, </w:t>
      </w:r>
      <w:r w:rsidR="00DE7384">
        <w:t xml:space="preserve">it is likely we can more readily </w:t>
      </w:r>
      <w:r w:rsidR="00970440">
        <w:t xml:space="preserve">use </w:t>
      </w:r>
      <w:r w:rsidR="002B54EA">
        <w:t>another regulator’s</w:t>
      </w:r>
      <w:r w:rsidR="00970440">
        <w:t xml:space="preserve"> </w:t>
      </w:r>
      <w:r w:rsidR="00C60AF7">
        <w:t xml:space="preserve">assessments to inform our own. </w:t>
      </w:r>
    </w:p>
    <w:p w14:paraId="46C3193E" w14:textId="489AB50E" w:rsidR="002D770D" w:rsidRDefault="002D770D" w:rsidP="002D770D">
      <w:r>
        <w:t>We will also consider the</w:t>
      </w:r>
      <w:r w:rsidR="003424E8">
        <w:t xml:space="preserve"> </w:t>
      </w:r>
      <w:r w:rsidR="003424E8" w:rsidRPr="00D91861">
        <w:t>evidence, methods, and standards</w:t>
      </w:r>
      <w:r>
        <w:t xml:space="preserve"> on which the judgement is based. Understanding where these differ from UK expectations helps us identify where additional justification may be needed. </w:t>
      </w:r>
      <w:r w:rsidR="00FE610E">
        <w:t>Different</w:t>
      </w:r>
      <w:r>
        <w:t xml:space="preserve"> standards may introduce unnecessary complexity or cost, </w:t>
      </w:r>
      <w:r w:rsidR="00FE610E">
        <w:t>or</w:t>
      </w:r>
      <w:r>
        <w:t xml:space="preserve"> may not fully meet UK legal requirements. Even where </w:t>
      </w:r>
      <w:r w:rsidR="002D2766">
        <w:t xml:space="preserve">expectations </w:t>
      </w:r>
      <w:r>
        <w:t>differ, parts of the assessment may still be relevant and can reduce the scope of our own detailed assessments.</w:t>
      </w:r>
    </w:p>
    <w:p w14:paraId="771E6776" w14:textId="35B5FCE3" w:rsidR="002D770D" w:rsidRDefault="00F34B62" w:rsidP="002D770D">
      <w:r>
        <w:t>O</w:t>
      </w:r>
      <w:r w:rsidR="002D770D">
        <w:t xml:space="preserve">rganisational </w:t>
      </w:r>
      <w:r>
        <w:t xml:space="preserve">culture is </w:t>
      </w:r>
      <w:r w:rsidR="002D770D">
        <w:t xml:space="preserve">also considered. Different </w:t>
      </w:r>
      <w:r w:rsidR="00FE610E">
        <w:t>regulators</w:t>
      </w:r>
      <w:r w:rsidR="002D770D">
        <w:t xml:space="preserve"> place different emphasis on behaviours such as challenge, transparency, compliance, and the balance between upfront assessment with subsequent assurance by inspection. Understanding these differences helps us apply </w:t>
      </w:r>
      <w:r w:rsidR="001C754C">
        <w:t>appropriate</w:t>
      </w:r>
      <w:r w:rsidR="002D770D">
        <w:t xml:space="preserve"> </w:t>
      </w:r>
      <w:r w:rsidR="001D49E2">
        <w:t>level of scrutiny and due diligence</w:t>
      </w:r>
      <w:r w:rsidR="002D770D">
        <w:t>. Closer alignment of regulatory approaches will reduce the level of additional assurance required.</w:t>
      </w:r>
    </w:p>
    <w:p w14:paraId="64740623" w14:textId="49DD6E05" w:rsidR="002D770D" w:rsidRDefault="002D770D" w:rsidP="002D770D">
      <w:pPr>
        <w:pStyle w:val="Heading2"/>
        <w:numPr>
          <w:ilvl w:val="0"/>
          <w:numId w:val="0"/>
        </w:numPr>
        <w:ind w:left="851" w:hanging="851"/>
      </w:pPr>
      <w:r>
        <w:t xml:space="preserve">Assessment </w:t>
      </w:r>
      <w:r w:rsidR="00F435EA">
        <w:t>s</w:t>
      </w:r>
      <w:r>
        <w:t>ignificance</w:t>
      </w:r>
    </w:p>
    <w:p w14:paraId="2DED8091" w14:textId="3C0932A8" w:rsidR="00814CFD" w:rsidRDefault="00814CFD" w:rsidP="00814CFD">
      <w:r>
        <w:t xml:space="preserve">For the assessment significance test we consider the importance to safety, security, safeguards, or the environment of the claims being made, including the potential consequences of failure, its probability / frequency, level and type of uncertainties, and the level of novelty involved. </w:t>
      </w:r>
    </w:p>
    <w:p w14:paraId="61414D22" w14:textId="10483698" w:rsidR="00146211" w:rsidRDefault="00814CFD" w:rsidP="00146211">
      <w:r>
        <w:t>The more significant the safety, security, safeguards, or environment</w:t>
      </w:r>
      <w:r w:rsidR="00BB46CF">
        <w:t xml:space="preserve"> hazard and</w:t>
      </w:r>
      <w:r>
        <w:t xml:space="preserve"> risk is, the greater the regulatory scrutiny required because the consequences of failure </w:t>
      </w:r>
      <w:r>
        <w:lastRenderedPageBreak/>
        <w:t>and/or the likelihood of the event occurring is greater. Novel technologies or unfamiliar approaches increase uncertainty which in turn impact confidence in risk estimates. This approach is in line with ONR’s R</w:t>
      </w:r>
      <w:r w:rsidR="00C11912">
        <w:t>isk</w:t>
      </w:r>
      <w:r w:rsidR="00D47F37">
        <w:t>-</w:t>
      </w:r>
      <w:r>
        <w:t>I</w:t>
      </w:r>
      <w:r w:rsidR="00D47F37">
        <w:t>nformed</w:t>
      </w:r>
      <w:r w:rsidR="00D80824">
        <w:t xml:space="preserve"> and</w:t>
      </w:r>
      <w:r w:rsidR="00D47F37">
        <w:t xml:space="preserve"> </w:t>
      </w:r>
      <w:r>
        <w:t>T</w:t>
      </w:r>
      <w:r w:rsidR="00D47F37">
        <w:t xml:space="preserve">argeted </w:t>
      </w:r>
      <w:r>
        <w:t>E</w:t>
      </w:r>
      <w:r w:rsidR="00D80824">
        <w:t>ngagements (RITE)</w:t>
      </w:r>
      <w:r>
        <w:t xml:space="preserve"> policy</w:t>
      </w:r>
      <w:sdt>
        <w:sdtPr>
          <w:id w:val="-1363660777"/>
          <w:citation/>
        </w:sdtPr>
        <w:sdtContent>
          <w:r w:rsidR="00015842">
            <w:fldChar w:fldCharType="begin"/>
          </w:r>
          <w:r w:rsidR="00015842">
            <w:instrText xml:space="preserve"> CITATION htt3 \l 2057 </w:instrText>
          </w:r>
          <w:r w:rsidR="00015842">
            <w:fldChar w:fldCharType="separate"/>
          </w:r>
          <w:r w:rsidR="00D4533F">
            <w:rPr>
              <w:noProof/>
            </w:rPr>
            <w:t xml:space="preserve"> </w:t>
          </w:r>
          <w:r w:rsidR="00D4533F" w:rsidRPr="00D4533F">
            <w:rPr>
              <w:noProof/>
            </w:rPr>
            <w:t>[15]</w:t>
          </w:r>
          <w:r w:rsidR="00015842">
            <w:fldChar w:fldCharType="end"/>
          </w:r>
        </w:sdtContent>
      </w:sdt>
      <w:r>
        <w:t>.</w:t>
      </w:r>
    </w:p>
    <w:p w14:paraId="2138F7A2" w14:textId="2DA1BC26" w:rsidR="00146211" w:rsidRDefault="00146211" w:rsidP="00146211">
      <w:pPr>
        <w:pStyle w:val="Heading2"/>
        <w:numPr>
          <w:ilvl w:val="0"/>
          <w:numId w:val="0"/>
        </w:numPr>
        <w:ind w:left="851" w:hanging="851"/>
      </w:pPr>
      <w:r>
        <w:t xml:space="preserve">Due </w:t>
      </w:r>
      <w:r w:rsidR="00F435EA">
        <w:t>d</w:t>
      </w:r>
      <w:r>
        <w:t xml:space="preserve">iligence </w:t>
      </w:r>
      <w:r w:rsidR="00F435EA">
        <w:t>l</w:t>
      </w:r>
      <w:r>
        <w:t>evels</w:t>
      </w:r>
    </w:p>
    <w:p w14:paraId="1A5E798F" w14:textId="09F0870F" w:rsidR="00DB24CB" w:rsidRDefault="00DB24CB" w:rsidP="00DB24CB">
      <w:r>
        <w:t>The outcomes of the evidence, regulatory equivalence, and assessment significance tests are considered together alongside any other relevant factors to form an overall risk-informed judgement on the extent to which another regulator’s work can be leveraged.</w:t>
      </w:r>
    </w:p>
    <w:p w14:paraId="635D5B0C" w14:textId="08599C06" w:rsidR="00DB24CB" w:rsidRDefault="00DB24CB" w:rsidP="00DB24CB">
      <w:r>
        <w:t xml:space="preserve">Where </w:t>
      </w:r>
      <w:r w:rsidR="0079192E">
        <w:t xml:space="preserve">assessment </w:t>
      </w:r>
      <w:r w:rsidR="00422CAE">
        <w:t xml:space="preserve">information and regulatory equivalence </w:t>
      </w:r>
      <w:r w:rsidR="0079192E">
        <w:t xml:space="preserve">differ from our </w:t>
      </w:r>
      <w:r w:rsidR="00963FB9">
        <w:t xml:space="preserve">regulatory </w:t>
      </w:r>
      <w:r w:rsidR="0079192E">
        <w:t>expectations</w:t>
      </w:r>
      <w:r w:rsidR="00083E6D">
        <w:t xml:space="preserve"> and</w:t>
      </w:r>
      <w:r w:rsidR="00D4682A">
        <w:t>/or</w:t>
      </w:r>
      <w:r w:rsidR="00083E6D">
        <w:t xml:space="preserve"> the regulatory significance is deemed to be high</w:t>
      </w:r>
      <w:r>
        <w:t>,</w:t>
      </w:r>
      <w:r w:rsidR="004A311D">
        <w:t xml:space="preserve"> the risk with leveraging international assessments is higher and</w:t>
      </w:r>
      <w:r>
        <w:t xml:space="preserve"> more extensive due diligence and </w:t>
      </w:r>
      <w:r w:rsidR="004A311D">
        <w:t xml:space="preserve">independent </w:t>
      </w:r>
      <w:r>
        <w:t xml:space="preserve">assessment will be required. Where </w:t>
      </w:r>
      <w:r w:rsidR="00843FC5">
        <w:t>stronger alignment is observed</w:t>
      </w:r>
      <w:r w:rsidR="003A6BFE">
        <w:t xml:space="preserve"> and</w:t>
      </w:r>
      <w:r w:rsidR="00D4682A">
        <w:t xml:space="preserve"> the regulatory significance is lower</w:t>
      </w:r>
      <w:r w:rsidR="00C85D42">
        <w:t>,</w:t>
      </w:r>
      <w:r w:rsidR="003A6BFE">
        <w:t xml:space="preserve"> the risk with leveraging international assessments is lower</w:t>
      </w:r>
      <w:r w:rsidR="00C85D42">
        <w:t xml:space="preserve"> and</w:t>
      </w:r>
      <w:r>
        <w:t xml:space="preserve"> a more confirmatory approach may be appropriate. Figure 1 illustrates </w:t>
      </w:r>
      <w:r w:rsidR="00E928B6">
        <w:t xml:space="preserve">how the </w:t>
      </w:r>
      <w:r w:rsidR="00936F16">
        <w:t>risk of leveraging international judgements</w:t>
      </w:r>
      <w:r w:rsidR="00E928B6">
        <w:t xml:space="preserve"> informs the </w:t>
      </w:r>
      <w:r w:rsidR="00187EA8">
        <w:t xml:space="preserve">extent of </w:t>
      </w:r>
      <w:r w:rsidR="00E928B6">
        <w:t xml:space="preserve">due diligence </w:t>
      </w:r>
      <w:r w:rsidR="0060407E">
        <w:t xml:space="preserve">to be </w:t>
      </w:r>
      <w:r w:rsidR="00E928B6">
        <w:t>undertaken</w:t>
      </w:r>
      <w:r>
        <w:t xml:space="preserve">. The </w:t>
      </w:r>
      <w:r w:rsidR="00731D79">
        <w:t xml:space="preserve">extent </w:t>
      </w:r>
      <w:r>
        <w:t>of due diligence to be applied in any particular case will be determined according to our governance processes.</w:t>
      </w:r>
    </w:p>
    <w:p w14:paraId="760F82F3" w14:textId="77777777" w:rsidR="00C868FA" w:rsidRDefault="00C868FA" w:rsidP="00DB24CB"/>
    <w:p w14:paraId="713C8F60" w14:textId="77777777" w:rsidR="00C868FA" w:rsidRPr="00C868FA" w:rsidRDefault="00C868FA" w:rsidP="00C868FA">
      <w:pPr>
        <w:keepNext/>
        <w:spacing w:before="0" w:after="160" w:line="259" w:lineRule="auto"/>
        <w:jc w:val="center"/>
        <w:rPr>
          <w:rFonts w:eastAsia="Aptos"/>
          <w:kern w:val="2"/>
          <w:szCs w:val="24"/>
          <w:lang w:bidi="ar-SA"/>
          <w14:ligatures w14:val="standardContextual"/>
        </w:rPr>
      </w:pPr>
      <w:r w:rsidRPr="00C868FA">
        <w:rPr>
          <w:rFonts w:eastAsia="Aptos"/>
          <w:noProof/>
          <w:kern w:val="2"/>
          <w:szCs w:val="24"/>
          <w:lang w:bidi="ar-SA"/>
          <w14:ligatures w14:val="standardContextual"/>
        </w:rPr>
        <w:drawing>
          <wp:inline distT="0" distB="0" distL="0" distR="0" wp14:anchorId="50955476" wp14:editId="7C72133B">
            <wp:extent cx="2633683" cy="3568700"/>
            <wp:effectExtent l="0" t="0" r="0" b="0"/>
            <wp:docPr id="1082631976" name="Picture 1" descr="Diagram of a vertical arrow divided into three color-coded sections representing risk levels and corresponding assessment types. The top red section indicates high risk with full regulatory assessment, the middle orange section denotes targeted assessment based on significance and alignment, and the bottom green section signifies low risk with confirmatory assura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31976" name="Picture 1" descr="Diagram of a vertical arrow divided into three color-coded sections representing risk levels and corresponding assessment types. The top red section indicates high risk with full regulatory assessment, the middle orange section denotes targeted assessment based on significance and alignment, and the bottom green section signifies low risk with confirmatory assurance.&#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7385" cy="3573717"/>
                    </a:xfrm>
                    <a:prstGeom prst="rect">
                      <a:avLst/>
                    </a:prstGeom>
                    <a:noFill/>
                  </pic:spPr>
                </pic:pic>
              </a:graphicData>
            </a:graphic>
          </wp:inline>
        </w:drawing>
      </w:r>
    </w:p>
    <w:p w14:paraId="3B55406C" w14:textId="189F429D" w:rsidR="00C868FA" w:rsidRPr="00C868FA" w:rsidRDefault="00C868FA" w:rsidP="00C868FA">
      <w:pPr>
        <w:spacing w:before="0" w:after="200" w:line="240" w:lineRule="auto"/>
        <w:jc w:val="center"/>
        <w:rPr>
          <w:rFonts w:eastAsia="Aptos"/>
          <w:i/>
          <w:iCs/>
          <w:color w:val="0E2841"/>
          <w:kern w:val="2"/>
          <w:szCs w:val="24"/>
          <w:lang w:bidi="ar-SA"/>
          <w14:ligatures w14:val="standardContextual"/>
        </w:rPr>
      </w:pPr>
      <w:r w:rsidRPr="00C868FA">
        <w:rPr>
          <w:rFonts w:eastAsia="Aptos"/>
          <w:i/>
          <w:iCs/>
          <w:color w:val="0E2841"/>
          <w:kern w:val="2"/>
          <w:szCs w:val="24"/>
          <w:lang w:bidi="ar-SA"/>
          <w14:ligatures w14:val="standardContextual"/>
        </w:rPr>
        <w:t xml:space="preserve">Figure </w:t>
      </w:r>
      <w:r w:rsidRPr="00C868FA">
        <w:rPr>
          <w:rFonts w:eastAsia="Aptos"/>
          <w:i/>
          <w:iCs/>
          <w:color w:val="0E2841"/>
          <w:kern w:val="2"/>
          <w:szCs w:val="24"/>
          <w:lang w:bidi="ar-SA"/>
          <w14:ligatures w14:val="standardContextual"/>
        </w:rPr>
        <w:fldChar w:fldCharType="begin"/>
      </w:r>
      <w:r w:rsidRPr="00C868FA">
        <w:rPr>
          <w:rFonts w:eastAsia="Aptos"/>
          <w:i/>
          <w:iCs/>
          <w:color w:val="0E2841"/>
          <w:kern w:val="2"/>
          <w:szCs w:val="24"/>
          <w:lang w:bidi="ar-SA"/>
          <w14:ligatures w14:val="standardContextual"/>
        </w:rPr>
        <w:instrText xml:space="preserve"> SEQ Figure \* ARABIC </w:instrText>
      </w:r>
      <w:r w:rsidRPr="00C868FA">
        <w:rPr>
          <w:rFonts w:eastAsia="Aptos"/>
          <w:i/>
          <w:iCs/>
          <w:color w:val="0E2841"/>
          <w:kern w:val="2"/>
          <w:szCs w:val="24"/>
          <w:lang w:bidi="ar-SA"/>
          <w14:ligatures w14:val="standardContextual"/>
        </w:rPr>
        <w:fldChar w:fldCharType="separate"/>
      </w:r>
      <w:r w:rsidRPr="00C868FA">
        <w:rPr>
          <w:rFonts w:eastAsia="Aptos"/>
          <w:i/>
          <w:iCs/>
          <w:noProof/>
          <w:color w:val="0E2841"/>
          <w:kern w:val="2"/>
          <w:szCs w:val="24"/>
          <w:lang w:bidi="ar-SA"/>
          <w14:ligatures w14:val="standardContextual"/>
        </w:rPr>
        <w:t>1</w:t>
      </w:r>
      <w:r w:rsidRPr="00C868FA">
        <w:rPr>
          <w:rFonts w:eastAsia="Aptos"/>
          <w:i/>
          <w:iCs/>
          <w:color w:val="0E2841"/>
          <w:kern w:val="2"/>
          <w:szCs w:val="24"/>
          <w:lang w:bidi="ar-SA"/>
          <w14:ligatures w14:val="standardContextual"/>
        </w:rPr>
        <w:fldChar w:fldCharType="end"/>
      </w:r>
      <w:r w:rsidRPr="00C868FA">
        <w:rPr>
          <w:rFonts w:eastAsia="Aptos"/>
          <w:i/>
          <w:iCs/>
          <w:color w:val="0E2841"/>
          <w:kern w:val="2"/>
          <w:szCs w:val="24"/>
          <w:lang w:bidi="ar-SA"/>
          <w14:ligatures w14:val="standardContextual"/>
        </w:rPr>
        <w:t xml:space="preserve"> - </w:t>
      </w:r>
      <w:r w:rsidR="00731D79" w:rsidRPr="00C868FA">
        <w:rPr>
          <w:rFonts w:eastAsia="Aptos"/>
          <w:i/>
          <w:iCs/>
          <w:color w:val="0E2841"/>
          <w:kern w:val="2"/>
          <w:szCs w:val="24"/>
          <w:lang w:bidi="ar-SA"/>
          <w14:ligatures w14:val="standardContextual"/>
        </w:rPr>
        <w:t>Risk</w:t>
      </w:r>
      <w:r w:rsidR="00731D79">
        <w:rPr>
          <w:rFonts w:eastAsia="Aptos"/>
          <w:i/>
          <w:iCs/>
          <w:color w:val="0E2841"/>
          <w:kern w:val="2"/>
          <w:szCs w:val="24"/>
          <w:lang w:bidi="ar-SA"/>
          <w14:ligatures w14:val="standardContextual"/>
        </w:rPr>
        <w:t>-</w:t>
      </w:r>
      <w:r w:rsidRPr="00C868FA">
        <w:rPr>
          <w:rFonts w:eastAsia="Aptos"/>
          <w:i/>
          <w:iCs/>
          <w:color w:val="0E2841"/>
          <w:kern w:val="2"/>
          <w:szCs w:val="24"/>
          <w:lang w:bidi="ar-SA"/>
          <w14:ligatures w14:val="standardContextual"/>
        </w:rPr>
        <w:t>informed due diligence</w:t>
      </w:r>
    </w:p>
    <w:p w14:paraId="7A0E4C11" w14:textId="77777777" w:rsidR="00C868FA" w:rsidRDefault="00C868FA" w:rsidP="00DB24CB"/>
    <w:p w14:paraId="0DF10B5C" w14:textId="40B7F7B0" w:rsidR="00EF1131" w:rsidRDefault="00EF1131" w:rsidP="00EF1131">
      <w:r>
        <w:lastRenderedPageBreak/>
        <w:t>In practice, where the risk</w:t>
      </w:r>
      <w:r w:rsidR="003A6BFE">
        <w:t xml:space="preserve"> </w:t>
      </w:r>
      <w:r>
        <w:t>is judged to be high, there may be limited benefit from leveraging international judgements. Also, if inconsistencies or concerns are identified during our assessment,</w:t>
      </w:r>
      <w:r w:rsidR="000A32CF">
        <w:t xml:space="preserve"> this may represent a change in risk and</w:t>
      </w:r>
      <w:r>
        <w:t xml:space="preserve"> the scope and depth of our sampling should be increased in line with our normal regulatory processes.</w:t>
      </w:r>
    </w:p>
    <w:p w14:paraId="41A2AE99" w14:textId="438594F5" w:rsidR="00F2351F" w:rsidRDefault="00F2351F" w:rsidP="00EF1131">
      <w:r>
        <w:t xml:space="preserve">As a minimum, </w:t>
      </w:r>
      <w:r w:rsidR="00AB4FD3">
        <w:t>where we are leveraging other regulators</w:t>
      </w:r>
      <w:r w:rsidR="009448B6">
        <w:t>’</w:t>
      </w:r>
      <w:r w:rsidR="00AB4FD3">
        <w:t xml:space="preserve"> </w:t>
      </w:r>
      <w:r w:rsidR="009A18C4">
        <w:t>work</w:t>
      </w:r>
      <w:r w:rsidR="00AB4FD3">
        <w:t xml:space="preserve"> we will always undertake a review </w:t>
      </w:r>
      <w:r w:rsidR="009A18C4">
        <w:t xml:space="preserve">to </w:t>
      </w:r>
      <w:r w:rsidR="00A84CA1">
        <w:t xml:space="preserve">consider </w:t>
      </w:r>
      <w:r w:rsidR="008E55DE">
        <w:t xml:space="preserve">the </w:t>
      </w:r>
      <w:r w:rsidR="00007EE8">
        <w:t xml:space="preserve">technical </w:t>
      </w:r>
      <w:r w:rsidR="00EA3F4F">
        <w:t>accuracy,</w:t>
      </w:r>
      <w:r w:rsidR="00007EE8">
        <w:t xml:space="preserve"> regulatory</w:t>
      </w:r>
      <w:r w:rsidR="00EA3F4F">
        <w:t xml:space="preserve"> </w:t>
      </w:r>
      <w:r w:rsidR="003B467E">
        <w:t>scrutiny</w:t>
      </w:r>
      <w:r w:rsidR="00837B30">
        <w:t xml:space="preserve"> applied</w:t>
      </w:r>
      <w:r w:rsidR="00007EE8">
        <w:t>, and applicability to a UK context</w:t>
      </w:r>
      <w:r w:rsidR="006A2F98">
        <w:t xml:space="preserve">. </w:t>
      </w:r>
      <w:r w:rsidR="009A18C4">
        <w:t xml:space="preserve"> </w:t>
      </w:r>
      <w:r w:rsidR="00AB4FD3">
        <w:t xml:space="preserve"> </w:t>
      </w:r>
    </w:p>
    <w:p w14:paraId="6BEF3D19" w14:textId="19C54410" w:rsidR="001B4801" w:rsidRDefault="00EF1131" w:rsidP="001B4801">
      <w:r>
        <w:t xml:space="preserve">In line with Principle 4, where international regulatory judgements are used to support our conclusions, this </w:t>
      </w:r>
      <w:r w:rsidR="00AF302A">
        <w:t xml:space="preserve">will </w:t>
      </w:r>
      <w:r>
        <w:t>be clearly recorded in the assessment re</w:t>
      </w:r>
      <w:r w:rsidR="00BC575F">
        <w:t>cord</w:t>
      </w:r>
      <w:r>
        <w:t>, including the evidence used, the due diligence undertaken, the applicability in a UK context, and any limitations or areas of divergence.</w:t>
      </w:r>
      <w:r w:rsidR="00BA403D">
        <w:t xml:space="preserve"> This will demonstrate our compliance with the UK’s obligations under </w:t>
      </w:r>
      <w:r w:rsidR="005C6083">
        <w:t>relevant international law</w:t>
      </w:r>
      <w:r w:rsidR="00EB45DE">
        <w:t>.</w:t>
      </w:r>
    </w:p>
    <w:p w14:paraId="5407C9F0" w14:textId="2EA08565" w:rsidR="001B4801" w:rsidRDefault="001B4801" w:rsidP="00A4055B">
      <w:pPr>
        <w:pStyle w:val="Heading1"/>
        <w:numPr>
          <w:ilvl w:val="0"/>
          <w:numId w:val="0"/>
        </w:numPr>
        <w:ind w:left="851" w:hanging="851"/>
      </w:pPr>
      <w:r>
        <w:t xml:space="preserve">Case </w:t>
      </w:r>
      <w:r w:rsidR="00F435EA">
        <w:t>s</w:t>
      </w:r>
      <w:r>
        <w:t>tudies</w:t>
      </w:r>
    </w:p>
    <w:p w14:paraId="12F5A65F" w14:textId="2FD29CD1" w:rsidR="00156B3F" w:rsidRDefault="00AA5CB8" w:rsidP="00EF1131">
      <w:r w:rsidRPr="00AA5CB8">
        <w:t>The following case studies show how ONR has applied the principles and tests set out in this policy in practice. Although they pre</w:t>
      </w:r>
      <w:r>
        <w:t>-</w:t>
      </w:r>
      <w:r w:rsidRPr="00AA5CB8">
        <w:t>date the publication of this policy, they demonstrate how we have used international regulatory judgements to inform our own assessments. In each case, we considered the available regulatory information, the degree of regulatory equivalence, and the significance of the topics being assessed. These factors were used to form a judgement, which then informed the level of due diligence and assessment required. Together, the case studies illustrate how the principles and tests in this policy can be applied in a proportionate and transparent way.</w:t>
      </w:r>
    </w:p>
    <w:p w14:paraId="06AAFFCA" w14:textId="3B1AF957" w:rsidR="001C37FA" w:rsidRDefault="00585A2F" w:rsidP="001A4F85">
      <w:pPr>
        <w:pStyle w:val="Heading2"/>
        <w:numPr>
          <w:ilvl w:val="0"/>
          <w:numId w:val="0"/>
        </w:numPr>
      </w:pPr>
      <w:r>
        <w:t xml:space="preserve">Fundamental </w:t>
      </w:r>
      <w:r w:rsidR="00F435EA">
        <w:t>d</w:t>
      </w:r>
      <w:r>
        <w:t xml:space="preserve">esign </w:t>
      </w:r>
      <w:r w:rsidR="00F435EA">
        <w:t>a</w:t>
      </w:r>
      <w:r w:rsidR="001C37FA">
        <w:t>ssessment</w:t>
      </w:r>
      <w:r>
        <w:t xml:space="preserve"> of the Holtec SMR</w:t>
      </w:r>
      <w:r w:rsidR="001A4F85">
        <w:t>-</w:t>
      </w:r>
      <w:r>
        <w:t xml:space="preserve">300 </w:t>
      </w:r>
      <w:r w:rsidR="00F435EA">
        <w:t>f</w:t>
      </w:r>
      <w:r>
        <w:t xml:space="preserve">uel and </w:t>
      </w:r>
      <w:r w:rsidR="00F435EA">
        <w:t>c</w:t>
      </w:r>
      <w:r>
        <w:t xml:space="preserve">ontrol </w:t>
      </w:r>
      <w:r w:rsidR="00F435EA">
        <w:t>r</w:t>
      </w:r>
      <w:r>
        <w:t xml:space="preserve">od </w:t>
      </w:r>
      <w:r w:rsidR="00F435EA">
        <w:t>a</w:t>
      </w:r>
      <w:r>
        <w:t>ssemblies</w:t>
      </w:r>
    </w:p>
    <w:p w14:paraId="64EBD59F" w14:textId="10331B4E" w:rsidR="00012EB2" w:rsidRDefault="00FB60F2" w:rsidP="00012EB2">
      <w:r w:rsidRPr="00FB60F2">
        <w:t xml:space="preserve">As part of the GDA Step 2 Fundamental Design Assessment for the Holtec </w:t>
      </w:r>
      <w:r w:rsidR="00FD13B0" w:rsidRPr="00FB60F2">
        <w:t>SMR</w:t>
      </w:r>
      <w:r w:rsidR="00FD13B0">
        <w:t>-</w:t>
      </w:r>
      <w:r w:rsidRPr="00FB60F2">
        <w:t xml:space="preserve">300 </w:t>
      </w:r>
      <w:sdt>
        <w:sdtPr>
          <w:id w:val="1665658737"/>
          <w:citation/>
        </w:sdtPr>
        <w:sdtContent>
          <w:r w:rsidR="00C36692">
            <w:fldChar w:fldCharType="begin"/>
          </w:r>
          <w:r w:rsidR="00C36692">
            <w:instrText xml:space="preserve"> CITATION htt33 \l 2057 </w:instrText>
          </w:r>
          <w:r w:rsidR="00C36692">
            <w:fldChar w:fldCharType="separate"/>
          </w:r>
          <w:r w:rsidR="00D4533F" w:rsidRPr="00D4533F">
            <w:rPr>
              <w:noProof/>
            </w:rPr>
            <w:t>[16]</w:t>
          </w:r>
          <w:r w:rsidR="00C36692">
            <w:fldChar w:fldCharType="end"/>
          </w:r>
        </w:sdtContent>
      </w:sdt>
      <w:sdt>
        <w:sdtPr>
          <w:id w:val="277608257"/>
          <w:citation/>
        </w:sdtPr>
        <w:sdtContent>
          <w:r w:rsidR="00C36692">
            <w:fldChar w:fldCharType="begin"/>
          </w:r>
          <w:r w:rsidR="00C36692">
            <w:instrText xml:space="preserve"> CITATION htt34 \l 2057 </w:instrText>
          </w:r>
          <w:r w:rsidR="00C36692">
            <w:fldChar w:fldCharType="separate"/>
          </w:r>
          <w:r w:rsidR="00D4533F">
            <w:rPr>
              <w:noProof/>
            </w:rPr>
            <w:t xml:space="preserve"> </w:t>
          </w:r>
          <w:r w:rsidR="00D4533F" w:rsidRPr="00D4533F">
            <w:rPr>
              <w:noProof/>
            </w:rPr>
            <w:t>[17]</w:t>
          </w:r>
          <w:r w:rsidR="00C36692">
            <w:fldChar w:fldCharType="end"/>
          </w:r>
        </w:sdtContent>
      </w:sdt>
      <w:r w:rsidRPr="00FB60F2">
        <w:t>, ONR considered the proposed fuel and control rod assemblies. These are standard designs manufactured by Framatome and are in service in multiple reactors worldwide. They have therefore already been subject to regulatory assessment in other countries. This existing work was relevant to</w:t>
      </w:r>
      <w:r w:rsidR="00CE680A">
        <w:t xml:space="preserve"> </w:t>
      </w:r>
      <w:r w:rsidRPr="00FB60F2">
        <w:t>and c</w:t>
      </w:r>
      <w:r w:rsidR="00936F16">
        <w:t>ould</w:t>
      </w:r>
      <w:r w:rsidRPr="00FB60F2">
        <w:t xml:space="preserve"> inform our own assessment.</w:t>
      </w:r>
    </w:p>
    <w:p w14:paraId="7AB85170" w14:textId="539E05EA" w:rsidR="008C259D" w:rsidRPr="00821BF5" w:rsidRDefault="008C259D" w:rsidP="00F435EA">
      <w:pPr>
        <w:pStyle w:val="Heading3"/>
      </w:pPr>
      <w:r w:rsidRPr="00821BF5">
        <w:t xml:space="preserve">Regulatory </w:t>
      </w:r>
      <w:r w:rsidR="00F435EA">
        <w:t>i</w:t>
      </w:r>
      <w:r w:rsidRPr="00821BF5">
        <w:t>nformation test</w:t>
      </w:r>
    </w:p>
    <w:p w14:paraId="0C191E37" w14:textId="6142C44C" w:rsidR="008C259D" w:rsidRDefault="008C259D" w:rsidP="008C259D">
      <w:r>
        <w:t>The fuel and control rod assemblies are well understood and supported by extensive international evidence, including detailed regulatory assessment reports and operational experience from operating reactors. This provided a high level of confidence in the regulatory information base available to support our assessment.</w:t>
      </w:r>
    </w:p>
    <w:p w14:paraId="3AA8E671" w14:textId="77777777" w:rsidR="008C259D" w:rsidRPr="00821BF5" w:rsidRDefault="008C259D" w:rsidP="00F435EA">
      <w:pPr>
        <w:pStyle w:val="Heading3"/>
      </w:pPr>
      <w:r w:rsidRPr="00821BF5">
        <w:lastRenderedPageBreak/>
        <w:t>Regulatory equivalence test</w:t>
      </w:r>
    </w:p>
    <w:p w14:paraId="7C9D5B4F" w14:textId="779714E7" w:rsidR="008C259D" w:rsidRDefault="008C259D" w:rsidP="008C259D">
      <w:r>
        <w:t>The assemblies have previously been assessed by the United States Nuclear Regulatory Commission (US NRC), with whom ONR has a</w:t>
      </w:r>
      <w:r w:rsidR="00533EEE">
        <w:t>n existing</w:t>
      </w:r>
      <w:r>
        <w:t xml:space="preserve"> regulatory relationship</w:t>
      </w:r>
      <w:r w:rsidR="00C10A16">
        <w:t xml:space="preserve"> and familiarity with its </w:t>
      </w:r>
      <w:r w:rsidR="00075BC1">
        <w:t>approach to nuclear regulation</w:t>
      </w:r>
      <w:sdt>
        <w:sdtPr>
          <w:id w:val="-709574518"/>
          <w:citation/>
        </w:sdtPr>
        <w:sdtContent>
          <w:r w:rsidR="00F10B08">
            <w:fldChar w:fldCharType="begin"/>
          </w:r>
          <w:r w:rsidR="00F10B08">
            <w:instrText xml:space="preserve"> CITATION htt18 \l 2057 </w:instrText>
          </w:r>
          <w:r w:rsidR="00F10B08">
            <w:fldChar w:fldCharType="separate"/>
          </w:r>
          <w:r w:rsidR="00D4533F">
            <w:rPr>
              <w:noProof/>
            </w:rPr>
            <w:t xml:space="preserve"> </w:t>
          </w:r>
          <w:r w:rsidR="00D4533F" w:rsidRPr="00D4533F">
            <w:rPr>
              <w:noProof/>
            </w:rPr>
            <w:t>[18]</w:t>
          </w:r>
          <w:r w:rsidR="00F10B08">
            <w:fldChar w:fldCharType="end"/>
          </w:r>
        </w:sdtContent>
      </w:sdt>
      <w:r>
        <w:t>. The designs are based on IAEA standards and guidance. ONR benchmarks its standards against IAEA standards and actively contributes to their development and to IAEA Integrated Regulatory Review Service missions</w:t>
      </w:r>
      <w:sdt>
        <w:sdtPr>
          <w:id w:val="274064001"/>
          <w:citation/>
        </w:sdtPr>
        <w:sdtContent>
          <w:r w:rsidR="00F10B08">
            <w:fldChar w:fldCharType="begin"/>
          </w:r>
          <w:r w:rsidR="00F10B08">
            <w:instrText xml:space="preserve"> CITATION htt17 \l 2057 </w:instrText>
          </w:r>
          <w:r w:rsidR="00F10B08">
            <w:fldChar w:fldCharType="separate"/>
          </w:r>
          <w:r w:rsidR="00D4533F">
            <w:rPr>
              <w:noProof/>
            </w:rPr>
            <w:t xml:space="preserve"> </w:t>
          </w:r>
          <w:r w:rsidR="00D4533F" w:rsidRPr="00D4533F">
            <w:rPr>
              <w:noProof/>
            </w:rPr>
            <w:t>[19]</w:t>
          </w:r>
          <w:r w:rsidR="00F10B08">
            <w:fldChar w:fldCharType="end"/>
          </w:r>
        </w:sdtContent>
      </w:sdt>
      <w:r>
        <w:t>. This gave confidence that the regulatory approaches and standards underpinning the international assessments were broadly equivalent to those applied in the UK.</w:t>
      </w:r>
    </w:p>
    <w:p w14:paraId="3BC4D2DF" w14:textId="2EC509D3" w:rsidR="008C259D" w:rsidRPr="00821BF5" w:rsidRDefault="008C259D" w:rsidP="00F435EA">
      <w:pPr>
        <w:pStyle w:val="Heading3"/>
      </w:pPr>
      <w:r w:rsidRPr="00821BF5">
        <w:t xml:space="preserve">Assessment </w:t>
      </w:r>
      <w:r w:rsidR="00F435EA">
        <w:t>s</w:t>
      </w:r>
      <w:r w:rsidRPr="00821BF5">
        <w:t xml:space="preserve">ignificance </w:t>
      </w:r>
      <w:r w:rsidR="00F435EA">
        <w:t>t</w:t>
      </w:r>
      <w:r w:rsidRPr="00821BF5">
        <w:t>est</w:t>
      </w:r>
    </w:p>
    <w:p w14:paraId="08DA8184" w14:textId="77777777" w:rsidR="008C259D" w:rsidRDefault="008C259D" w:rsidP="008C259D">
      <w:r>
        <w:t>Fuel integrity and the ability to shut down the reactor are fundamental to nuclear safety and therefore of high importance. However, the novelty associated with these components is low, as they are established designs with a long history of use. At this stage of GDA (a judgement of fundamental adequacy in the design – Step 2 statement), the objective was to assess the fundamental aspects of the design in order to determine whether it was potentially capable of being safely constructed and operated in Great Britain, rather than to undertake a full detailed assessment which is undertaken subsequently (a Step 3 of GDA or site-specific design assessment).</w:t>
      </w:r>
    </w:p>
    <w:p w14:paraId="41A769E3" w14:textId="77777777" w:rsidR="008C259D" w:rsidRPr="00821BF5" w:rsidRDefault="008C259D" w:rsidP="00F435EA">
      <w:pPr>
        <w:pStyle w:val="Heading3"/>
      </w:pPr>
      <w:r w:rsidRPr="00821BF5">
        <w:t>Due diligence applied</w:t>
      </w:r>
    </w:p>
    <w:p w14:paraId="0BBC412C" w14:textId="5A9CB475" w:rsidR="008C259D" w:rsidRDefault="008C259D" w:rsidP="008C259D">
      <w:r>
        <w:t xml:space="preserve">Taking these factors together, we judged that the risk associated with leveraging the international assessments was low. We therefore applied confirmatory due diligence, focusing on verifying that the fuel and control rod assemblies were being used within their proven safety limits in the context of the Holtec </w:t>
      </w:r>
      <w:r w:rsidR="00B371F4">
        <w:t>SMR-</w:t>
      </w:r>
      <w:r>
        <w:t xml:space="preserve">300 core design. The international regulatory assessments informed, but did not replace, ONR’s own regulatory judgement on the fundamental adequacy of the design, nor ONR’s future detailed assessments on the design and its deployment </w:t>
      </w:r>
      <w:r w:rsidR="006A24F4">
        <w:t>in Great Britain</w:t>
      </w:r>
      <w:r>
        <w:t>.</w:t>
      </w:r>
    </w:p>
    <w:p w14:paraId="14F932DC" w14:textId="77777777" w:rsidR="00F435EA" w:rsidRDefault="00F435EA">
      <w:pPr>
        <w:spacing w:before="0" w:after="0" w:line="240" w:lineRule="auto"/>
        <w:rPr>
          <w:color w:val="22413A"/>
          <w:sz w:val="36"/>
        </w:rPr>
      </w:pPr>
      <w:r>
        <w:br w:type="page"/>
      </w:r>
    </w:p>
    <w:p w14:paraId="608B4A47" w14:textId="3DF0BD90" w:rsidR="006A24F4" w:rsidRDefault="006A24F4" w:rsidP="001A4F85">
      <w:pPr>
        <w:pStyle w:val="Heading2"/>
        <w:numPr>
          <w:ilvl w:val="0"/>
          <w:numId w:val="0"/>
        </w:numPr>
      </w:pPr>
      <w:r>
        <w:lastRenderedPageBreak/>
        <w:t xml:space="preserve">Fundamental </w:t>
      </w:r>
      <w:r w:rsidR="00F435EA">
        <w:t>d</w:t>
      </w:r>
      <w:r>
        <w:t xml:space="preserve">esign </w:t>
      </w:r>
      <w:r w:rsidR="00F435EA">
        <w:t>a</w:t>
      </w:r>
      <w:r>
        <w:t>ssessment of the GE Vernova BWRX-300 Diaph</w:t>
      </w:r>
      <w:r w:rsidR="008C771E">
        <w:t>ragm Plate Steel Composite Reactor Building</w:t>
      </w:r>
    </w:p>
    <w:p w14:paraId="46C3D596" w14:textId="1652F82C" w:rsidR="00821BF5" w:rsidRDefault="00821BF5" w:rsidP="00821BF5">
      <w:r>
        <w:t xml:space="preserve">As part of the GDA Step 2 Fundamental Design Assessment for the </w:t>
      </w:r>
      <w:r w:rsidR="00B371F4">
        <w:t>BWRX-</w:t>
      </w:r>
      <w:r>
        <w:t>300</w:t>
      </w:r>
      <w:sdt>
        <w:sdtPr>
          <w:id w:val="-1685979552"/>
          <w:citation/>
        </w:sdtPr>
        <w:sdtContent>
          <w:r w:rsidR="00DC1AC8">
            <w:fldChar w:fldCharType="begin"/>
          </w:r>
          <w:r w:rsidR="00DC1AC8">
            <w:instrText xml:space="preserve"> CITATION htt23 \l 2057 </w:instrText>
          </w:r>
          <w:r w:rsidR="00DC1AC8">
            <w:fldChar w:fldCharType="separate"/>
          </w:r>
          <w:r w:rsidR="00D4533F">
            <w:rPr>
              <w:noProof/>
            </w:rPr>
            <w:t xml:space="preserve"> </w:t>
          </w:r>
          <w:r w:rsidR="00D4533F" w:rsidRPr="00D4533F">
            <w:rPr>
              <w:noProof/>
            </w:rPr>
            <w:t>[20]</w:t>
          </w:r>
          <w:r w:rsidR="00DC1AC8">
            <w:fldChar w:fldCharType="end"/>
          </w:r>
        </w:sdtContent>
      </w:sdt>
      <w:sdt>
        <w:sdtPr>
          <w:id w:val="822629408"/>
          <w:citation/>
        </w:sdtPr>
        <w:sdtContent>
          <w:r w:rsidR="00DC1AC8">
            <w:fldChar w:fldCharType="begin"/>
          </w:r>
          <w:r w:rsidR="00DC1AC8">
            <w:instrText xml:space="preserve"> CITATION htt35 \l 2057 </w:instrText>
          </w:r>
          <w:r w:rsidR="00DC1AC8">
            <w:fldChar w:fldCharType="separate"/>
          </w:r>
          <w:r w:rsidR="00D4533F">
            <w:rPr>
              <w:noProof/>
            </w:rPr>
            <w:t xml:space="preserve"> </w:t>
          </w:r>
          <w:r w:rsidR="00D4533F" w:rsidRPr="00D4533F">
            <w:rPr>
              <w:noProof/>
            </w:rPr>
            <w:t>[21]</w:t>
          </w:r>
          <w:r w:rsidR="00DC1AC8">
            <w:fldChar w:fldCharType="end"/>
          </w:r>
        </w:sdtContent>
      </w:sdt>
      <w:r>
        <w:t xml:space="preserve">, ONR considered the proposed use of Diaphragm Plate – Steel Composite (DP SC) modular construction for the reactor containment building. This is a novel approach for the UK. In April 2025, the Canadian Nuclear Safety Commission (CNSC) issued a construction licence for a </w:t>
      </w:r>
      <w:r w:rsidR="00B371F4">
        <w:t>BWRX-</w:t>
      </w:r>
      <w:r>
        <w:t>300 reactor at the Darlington site in Ontario</w:t>
      </w:r>
      <w:sdt>
        <w:sdtPr>
          <w:id w:val="149335684"/>
          <w:citation/>
        </w:sdtPr>
        <w:sdtContent>
          <w:r w:rsidR="00DC1AC8">
            <w:fldChar w:fldCharType="begin"/>
          </w:r>
          <w:r w:rsidR="00DC1AC8">
            <w:instrText xml:space="preserve"> CITATION htt22 \l 2057 </w:instrText>
          </w:r>
          <w:r w:rsidR="00DC1AC8">
            <w:fldChar w:fldCharType="separate"/>
          </w:r>
          <w:r w:rsidR="00D4533F">
            <w:rPr>
              <w:noProof/>
            </w:rPr>
            <w:t xml:space="preserve"> </w:t>
          </w:r>
          <w:r w:rsidR="00D4533F" w:rsidRPr="00D4533F">
            <w:rPr>
              <w:noProof/>
            </w:rPr>
            <w:t>[22]</w:t>
          </w:r>
          <w:r w:rsidR="00DC1AC8">
            <w:fldChar w:fldCharType="end"/>
          </w:r>
        </w:sdtContent>
      </w:sdt>
      <w:r>
        <w:t xml:space="preserve">. The assessments supporting that decision were therefore relevant </w:t>
      </w:r>
      <w:r w:rsidR="00936F16">
        <w:t>to and could</w:t>
      </w:r>
      <w:r>
        <w:t xml:space="preserve"> inform our own assessment.</w:t>
      </w:r>
    </w:p>
    <w:p w14:paraId="61E5BE52" w14:textId="1EE9E3FD" w:rsidR="00821BF5" w:rsidRPr="00821BF5" w:rsidRDefault="00821BF5" w:rsidP="00F435EA">
      <w:pPr>
        <w:pStyle w:val="Heading3"/>
      </w:pPr>
      <w:r w:rsidRPr="00821BF5">
        <w:t xml:space="preserve">Regulatory </w:t>
      </w:r>
      <w:r w:rsidR="00F435EA">
        <w:t>i</w:t>
      </w:r>
      <w:r w:rsidRPr="00821BF5">
        <w:t>nformation test</w:t>
      </w:r>
    </w:p>
    <w:p w14:paraId="45C34008" w14:textId="5CA04C89" w:rsidR="00821BF5" w:rsidRDefault="00821BF5" w:rsidP="00821BF5">
      <w:r>
        <w:t>We reviewed information supporting the CNSC’s judgement, who jointly assessed this aspect with the US NRC</w:t>
      </w:r>
      <w:sdt>
        <w:sdtPr>
          <w:id w:val="1938476943"/>
          <w:citation/>
        </w:sdtPr>
        <w:sdtContent>
          <w:r w:rsidR="00DC1AC8">
            <w:fldChar w:fldCharType="begin"/>
          </w:r>
          <w:r w:rsidR="00DC1AC8">
            <w:instrText xml:space="preserve"> CITATION htt24 \l 2057 </w:instrText>
          </w:r>
          <w:r w:rsidR="00DC1AC8">
            <w:fldChar w:fldCharType="separate"/>
          </w:r>
          <w:r w:rsidR="00D4533F">
            <w:rPr>
              <w:noProof/>
            </w:rPr>
            <w:t xml:space="preserve"> </w:t>
          </w:r>
          <w:r w:rsidR="00D4533F" w:rsidRPr="00D4533F">
            <w:rPr>
              <w:noProof/>
            </w:rPr>
            <w:t>[23]</w:t>
          </w:r>
          <w:r w:rsidR="00DC1AC8">
            <w:fldChar w:fldCharType="end"/>
          </w:r>
        </w:sdtContent>
      </w:sdt>
      <w:r>
        <w:t>. We reviewed both publicly available material and information shared through our Memorandum of Cooperation</w:t>
      </w:r>
      <w:sdt>
        <w:sdtPr>
          <w:id w:val="360720536"/>
          <w:citation/>
        </w:sdtPr>
        <w:sdtContent>
          <w:r w:rsidR="003A347E">
            <w:fldChar w:fldCharType="begin"/>
          </w:r>
          <w:r w:rsidR="003A347E">
            <w:instrText xml:space="preserve"> CITATION htt25 \l 2057 </w:instrText>
          </w:r>
          <w:r w:rsidR="003A347E">
            <w:fldChar w:fldCharType="separate"/>
          </w:r>
          <w:r w:rsidR="00D4533F">
            <w:rPr>
              <w:noProof/>
            </w:rPr>
            <w:t xml:space="preserve"> </w:t>
          </w:r>
          <w:r w:rsidR="00D4533F" w:rsidRPr="00D4533F">
            <w:rPr>
              <w:noProof/>
            </w:rPr>
            <w:t>[24]</w:t>
          </w:r>
          <w:r w:rsidR="003A347E">
            <w:fldChar w:fldCharType="end"/>
          </w:r>
        </w:sdtContent>
      </w:sdt>
      <w:r>
        <w:t xml:space="preserve"> on advanced reactor and small modular reactor technologies. This included </w:t>
      </w:r>
      <w:r w:rsidR="00381868">
        <w:t>detailed</w:t>
      </w:r>
      <w:r w:rsidR="00936F16">
        <w:t xml:space="preserve"> </w:t>
      </w:r>
      <w:r>
        <w:t>technical assessment work that was directly relevant to the issues being considered and ca</w:t>
      </w:r>
      <w:r w:rsidR="00CE680A">
        <w:t>n</w:t>
      </w:r>
      <w:r>
        <w:t xml:space="preserve"> support our assessment.</w:t>
      </w:r>
    </w:p>
    <w:p w14:paraId="6E7C507D" w14:textId="77777777" w:rsidR="00821BF5" w:rsidRPr="00821BF5" w:rsidRDefault="00821BF5" w:rsidP="00F435EA">
      <w:pPr>
        <w:pStyle w:val="Heading3"/>
      </w:pPr>
      <w:r w:rsidRPr="00821BF5">
        <w:t>Regulatory equivalence test</w:t>
      </w:r>
    </w:p>
    <w:p w14:paraId="3228C698" w14:textId="316876C4" w:rsidR="00821BF5" w:rsidRDefault="00821BF5" w:rsidP="00821BF5">
      <w:r>
        <w:t xml:space="preserve">ONR has </w:t>
      </w:r>
      <w:r w:rsidR="007425B1">
        <w:t xml:space="preserve">existing </w:t>
      </w:r>
      <w:r>
        <w:t xml:space="preserve">relationships with both the CNSC and US NRC </w:t>
      </w:r>
      <w:r w:rsidR="00C324CF">
        <w:t xml:space="preserve">on </w:t>
      </w:r>
      <w:r>
        <w:t>collaboration o</w:t>
      </w:r>
      <w:r w:rsidR="00C324CF">
        <w:t>f</w:t>
      </w:r>
      <w:r>
        <w:t xml:space="preserve"> SMR design assessment. This provides us with on-going practical experience and confidence that their regulatory processes and decision making are robust and are broadly comparable to those expected in the UK. We reviewed the standards used in their respective assessments and noted that they are well established international design codes which we consider to represent relevant good practice in the UK.</w:t>
      </w:r>
    </w:p>
    <w:p w14:paraId="60DC7EFB" w14:textId="71C6C3CF" w:rsidR="00821BF5" w:rsidRPr="00821BF5" w:rsidRDefault="00821BF5" w:rsidP="00F435EA">
      <w:pPr>
        <w:pStyle w:val="Heading3"/>
      </w:pPr>
      <w:r w:rsidRPr="00821BF5">
        <w:t xml:space="preserve">Assessment </w:t>
      </w:r>
      <w:r w:rsidR="00F435EA">
        <w:t>s</w:t>
      </w:r>
      <w:r w:rsidRPr="00821BF5">
        <w:t>ignificance test</w:t>
      </w:r>
    </w:p>
    <w:p w14:paraId="74E49D77" w14:textId="77777777" w:rsidR="00821BF5" w:rsidRDefault="00821BF5" w:rsidP="00821BF5">
      <w:r>
        <w:t>The reactor building is a key safety and security structure, forming one of the main barriers to the release of radioactive material under fault conditions. The design uses construction techniques which are novel for reactor buildings in the UK, although it draws on experience from similar technologies deployed on other nuclear projects, including designs previously assessed by ONR. Overall, we judged the safety significance to be high and the novelty to be moderate.</w:t>
      </w:r>
    </w:p>
    <w:p w14:paraId="0179E016" w14:textId="77777777" w:rsidR="00821BF5" w:rsidRPr="00821BF5" w:rsidRDefault="00821BF5" w:rsidP="00F435EA">
      <w:pPr>
        <w:pStyle w:val="Heading3"/>
      </w:pPr>
      <w:r w:rsidRPr="00821BF5">
        <w:t>Due diligence applied</w:t>
      </w:r>
    </w:p>
    <w:p w14:paraId="2FD9E19E" w14:textId="13319153" w:rsidR="00A63256" w:rsidRDefault="00821BF5" w:rsidP="00D7221E">
      <w:pPr>
        <w:sectPr w:rsidR="00A63256" w:rsidSect="0075113B">
          <w:headerReference w:type="even" r:id="rId18"/>
          <w:headerReference w:type="default" r:id="rId19"/>
          <w:footerReference w:type="even" r:id="rId20"/>
          <w:pgSz w:w="11906" w:h="16838" w:code="9"/>
          <w:pgMar w:top="1440" w:right="1440" w:bottom="1440" w:left="1440" w:header="397" w:footer="397" w:gutter="0"/>
          <w:cols w:space="312"/>
          <w:docGrid w:linePitch="360"/>
        </w:sectPr>
      </w:pPr>
      <w:r>
        <w:t xml:space="preserve">Taking these factors together, ONR concluded that there were aspects of the international assessments from which we could take confidence, alongside areas requiring further consideration. We therefore undertook more extensive due diligence than the confirmatory checks illustrated in the previous example. The more extensive checks involved targeted and complementary sampling to confirm the international findings and to address topics </w:t>
      </w:r>
      <w:r w:rsidR="00704440" w:rsidRPr="00704440">
        <w:t xml:space="preserve">which had not been considered by the other </w:t>
      </w:r>
      <w:r w:rsidR="00704440" w:rsidRPr="00704440">
        <w:lastRenderedPageBreak/>
        <w:t>regulators at the time of our assessment</w:t>
      </w:r>
      <w:r w:rsidR="00704440">
        <w:t>.</w:t>
      </w:r>
      <w:r>
        <w:t xml:space="preserve"> We held technical workshops with both regulators. Leveraging the existing international assessments reduced unnecessary duplication and shortened the time needed to complete our assessment, while ONR retained responsibility for the final regulatory judgement.</w:t>
      </w:r>
      <w:bookmarkStart w:id="44" w:name="_Toc219278288"/>
      <w:bookmarkStart w:id="45" w:name="_Toc219278387"/>
      <w:bookmarkEnd w:id="2"/>
      <w:bookmarkEnd w:id="3"/>
      <w:bookmarkEnd w:id="43"/>
    </w:p>
    <w:p w14:paraId="26FD5CC5" w14:textId="77777777" w:rsidR="0075113B" w:rsidRDefault="0075113B" w:rsidP="0075113B">
      <w:pPr>
        <w:pStyle w:val="Heading1"/>
        <w:numPr>
          <w:ilvl w:val="0"/>
          <w:numId w:val="0"/>
        </w:numPr>
        <w:ind w:left="851" w:hanging="851"/>
      </w:pPr>
      <w:r>
        <w:lastRenderedPageBreak/>
        <w:t>List of acronyms / initialisms</w:t>
      </w:r>
      <w:bookmarkEnd w:id="44"/>
      <w:bookmarkEnd w:id="45"/>
      <w:r>
        <w:t xml:space="preserve"> </w:t>
      </w:r>
    </w:p>
    <w:p w14:paraId="00DF331F" w14:textId="579168D7" w:rsidR="00A63256" w:rsidRDefault="00A63256" w:rsidP="00A63256">
      <w:pPr>
        <w:pStyle w:val="Caption"/>
        <w:keepNext/>
      </w:pPr>
      <w:r>
        <w:t xml:space="preserve">Table </w:t>
      </w:r>
      <w:r w:rsidR="00DE3951">
        <w:t>1</w:t>
      </w:r>
      <w:r>
        <w:t xml:space="preserve"> - List of cited acronyms / initialisms.</w:t>
      </w:r>
    </w:p>
    <w:tbl>
      <w:tblPr>
        <w:tblStyle w:val="ONRTable1"/>
        <w:tblW w:w="0" w:type="auto"/>
        <w:tblInd w:w="0" w:type="dxa"/>
        <w:tblLook w:val="04A0" w:firstRow="1" w:lastRow="0" w:firstColumn="1" w:lastColumn="0" w:noHBand="0" w:noVBand="1"/>
      </w:tblPr>
      <w:tblGrid>
        <w:gridCol w:w="2268"/>
        <w:gridCol w:w="6758"/>
      </w:tblGrid>
      <w:tr w:rsidR="00A63256" w14:paraId="328DD91B" w14:textId="77777777">
        <w:trPr>
          <w:cnfStyle w:val="100000000000" w:firstRow="1" w:lastRow="0" w:firstColumn="0" w:lastColumn="0" w:oddVBand="0" w:evenVBand="0" w:oddHBand="0" w:evenHBand="0" w:firstRowFirstColumn="0" w:firstRowLastColumn="0" w:lastRowFirstColumn="0" w:lastRowLastColumn="0"/>
        </w:trPr>
        <w:tc>
          <w:tcPr>
            <w:tcW w:w="2268" w:type="dxa"/>
          </w:tcPr>
          <w:p w14:paraId="3FD9CBB1" w14:textId="77777777" w:rsidR="00A63256" w:rsidRDefault="00A63256">
            <w:pPr>
              <w:spacing w:before="60" w:after="60"/>
            </w:pPr>
            <w:r>
              <w:t>Acronym / initialism</w:t>
            </w:r>
          </w:p>
        </w:tc>
        <w:tc>
          <w:tcPr>
            <w:tcW w:w="6758" w:type="dxa"/>
          </w:tcPr>
          <w:p w14:paraId="21681F84" w14:textId="77777777" w:rsidR="00A63256" w:rsidRDefault="00A63256">
            <w:pPr>
              <w:spacing w:before="60" w:after="60"/>
            </w:pPr>
            <w:r>
              <w:t>Description</w:t>
            </w:r>
          </w:p>
        </w:tc>
      </w:tr>
      <w:tr w:rsidR="008F34D9" w14:paraId="55225705" w14:textId="77777777" w:rsidTr="008F34D9">
        <w:tc>
          <w:tcPr>
            <w:tcW w:w="2268" w:type="dxa"/>
            <w:tcBorders>
              <w:top w:val="nil"/>
              <w:left w:val="nil"/>
              <w:bottom w:val="single" w:sz="8" w:space="0" w:color="22413A"/>
              <w:right w:val="single" w:sz="8" w:space="0" w:color="22413A"/>
            </w:tcBorders>
            <w:vAlign w:val="center"/>
            <w:hideMark/>
          </w:tcPr>
          <w:p w14:paraId="17D13003" w14:textId="77777777" w:rsidR="008F34D9" w:rsidRDefault="008F34D9">
            <w:pPr>
              <w:spacing w:before="60" w:after="60"/>
              <w:rPr>
                <w:kern w:val="2"/>
                <w:szCs w:val="24"/>
                <w14:ligatures w14:val="standardContextual"/>
              </w:rPr>
            </w:pPr>
            <w:r>
              <w:t>CNSC</w:t>
            </w:r>
          </w:p>
        </w:tc>
        <w:tc>
          <w:tcPr>
            <w:tcW w:w="6758" w:type="dxa"/>
            <w:tcBorders>
              <w:top w:val="nil"/>
              <w:left w:val="nil"/>
              <w:bottom w:val="single" w:sz="8" w:space="0" w:color="22413A"/>
              <w:right w:val="nil"/>
            </w:tcBorders>
            <w:vAlign w:val="center"/>
            <w:hideMark/>
          </w:tcPr>
          <w:p w14:paraId="4F2B8F39" w14:textId="77777777" w:rsidR="008F34D9" w:rsidRDefault="008F34D9">
            <w:pPr>
              <w:spacing w:before="60" w:after="60"/>
            </w:pPr>
            <w:r>
              <w:t>Canadian Nuclear Safety Commission</w:t>
            </w:r>
          </w:p>
        </w:tc>
      </w:tr>
      <w:tr w:rsidR="008F34D9" w14:paraId="118E41FE" w14:textId="77777777" w:rsidTr="008F34D9">
        <w:tc>
          <w:tcPr>
            <w:tcW w:w="2268" w:type="dxa"/>
            <w:tcBorders>
              <w:top w:val="nil"/>
              <w:left w:val="nil"/>
              <w:bottom w:val="single" w:sz="8" w:space="0" w:color="22413A"/>
              <w:right w:val="single" w:sz="8" w:space="0" w:color="22413A"/>
            </w:tcBorders>
            <w:vAlign w:val="center"/>
            <w:hideMark/>
          </w:tcPr>
          <w:p w14:paraId="086834F1" w14:textId="77777777" w:rsidR="008F34D9" w:rsidRDefault="008F34D9">
            <w:pPr>
              <w:spacing w:before="60" w:after="60"/>
              <w:rPr>
                <w:kern w:val="2"/>
                <w:szCs w:val="24"/>
                <w14:ligatures w14:val="standardContextual"/>
              </w:rPr>
            </w:pPr>
            <w:r>
              <w:t>DP SC</w:t>
            </w:r>
          </w:p>
        </w:tc>
        <w:tc>
          <w:tcPr>
            <w:tcW w:w="6758" w:type="dxa"/>
            <w:tcBorders>
              <w:top w:val="nil"/>
              <w:left w:val="nil"/>
              <w:bottom w:val="single" w:sz="8" w:space="0" w:color="22413A"/>
              <w:right w:val="nil"/>
            </w:tcBorders>
            <w:vAlign w:val="center"/>
            <w:hideMark/>
          </w:tcPr>
          <w:p w14:paraId="20C3C5F6" w14:textId="77777777" w:rsidR="008F34D9" w:rsidRDefault="008F34D9">
            <w:pPr>
              <w:spacing w:before="60" w:after="60"/>
            </w:pPr>
            <w:r>
              <w:t>Diaphragm Plate – Steel Composite</w:t>
            </w:r>
          </w:p>
        </w:tc>
      </w:tr>
      <w:tr w:rsidR="001E359D" w14:paraId="4DD49EB5" w14:textId="77777777" w:rsidTr="008F34D9">
        <w:tc>
          <w:tcPr>
            <w:tcW w:w="2268" w:type="dxa"/>
            <w:tcBorders>
              <w:top w:val="nil"/>
              <w:left w:val="nil"/>
              <w:bottom w:val="single" w:sz="8" w:space="0" w:color="22413A"/>
              <w:right w:val="single" w:sz="8" w:space="0" w:color="22413A"/>
            </w:tcBorders>
            <w:vAlign w:val="center"/>
          </w:tcPr>
          <w:p w14:paraId="31A8D677" w14:textId="2BBAAA3E" w:rsidR="001E359D" w:rsidRDefault="001E359D">
            <w:pPr>
              <w:spacing w:before="60" w:after="60"/>
            </w:pPr>
            <w:r>
              <w:t>EIR</w:t>
            </w:r>
          </w:p>
        </w:tc>
        <w:tc>
          <w:tcPr>
            <w:tcW w:w="6758" w:type="dxa"/>
            <w:tcBorders>
              <w:top w:val="nil"/>
              <w:left w:val="nil"/>
              <w:bottom w:val="single" w:sz="8" w:space="0" w:color="22413A"/>
              <w:right w:val="nil"/>
            </w:tcBorders>
            <w:vAlign w:val="center"/>
          </w:tcPr>
          <w:p w14:paraId="353859AA" w14:textId="3033608E" w:rsidR="001E359D" w:rsidRDefault="001E359D">
            <w:pPr>
              <w:spacing w:before="60" w:after="60"/>
            </w:pPr>
            <w:r>
              <w:t>Environmental Information Regulations</w:t>
            </w:r>
          </w:p>
        </w:tc>
      </w:tr>
      <w:tr w:rsidR="001E359D" w14:paraId="219650E4" w14:textId="77777777" w:rsidTr="008F34D9">
        <w:tc>
          <w:tcPr>
            <w:tcW w:w="2268" w:type="dxa"/>
            <w:tcBorders>
              <w:top w:val="nil"/>
              <w:left w:val="nil"/>
              <w:bottom w:val="single" w:sz="8" w:space="0" w:color="22413A"/>
              <w:right w:val="single" w:sz="8" w:space="0" w:color="22413A"/>
            </w:tcBorders>
            <w:vAlign w:val="center"/>
          </w:tcPr>
          <w:p w14:paraId="6DCDB3E5" w14:textId="7BD26A8A" w:rsidR="001E359D" w:rsidRDefault="001E359D">
            <w:pPr>
              <w:spacing w:before="60" w:after="60"/>
            </w:pPr>
            <w:r>
              <w:t>FOI</w:t>
            </w:r>
          </w:p>
        </w:tc>
        <w:tc>
          <w:tcPr>
            <w:tcW w:w="6758" w:type="dxa"/>
            <w:tcBorders>
              <w:top w:val="nil"/>
              <w:left w:val="nil"/>
              <w:bottom w:val="single" w:sz="8" w:space="0" w:color="22413A"/>
              <w:right w:val="nil"/>
            </w:tcBorders>
            <w:vAlign w:val="center"/>
          </w:tcPr>
          <w:p w14:paraId="077B55C6" w14:textId="6FFE56C1" w:rsidR="001E359D" w:rsidRDefault="001E359D">
            <w:pPr>
              <w:spacing w:before="60" w:after="60"/>
            </w:pPr>
            <w:r>
              <w:t>Freedom of Information Act</w:t>
            </w:r>
          </w:p>
        </w:tc>
      </w:tr>
      <w:tr w:rsidR="00B31542" w14:paraId="34CAFCCE" w14:textId="77777777" w:rsidTr="00B31542">
        <w:tc>
          <w:tcPr>
            <w:tcW w:w="2268" w:type="dxa"/>
            <w:tcBorders>
              <w:top w:val="nil"/>
              <w:left w:val="nil"/>
              <w:bottom w:val="single" w:sz="8" w:space="0" w:color="22413A"/>
              <w:right w:val="single" w:sz="8" w:space="0" w:color="22413A"/>
            </w:tcBorders>
            <w:vAlign w:val="center"/>
            <w:hideMark/>
          </w:tcPr>
          <w:p w14:paraId="36C760E0" w14:textId="77777777" w:rsidR="00B31542" w:rsidRDefault="00B31542">
            <w:pPr>
              <w:spacing w:before="60" w:after="60"/>
              <w:rPr>
                <w:kern w:val="2"/>
                <w:szCs w:val="24"/>
                <w14:ligatures w14:val="standardContextual"/>
              </w:rPr>
            </w:pPr>
            <w:r>
              <w:t>GE</w:t>
            </w:r>
          </w:p>
        </w:tc>
        <w:tc>
          <w:tcPr>
            <w:tcW w:w="6758" w:type="dxa"/>
            <w:tcBorders>
              <w:top w:val="nil"/>
              <w:left w:val="nil"/>
              <w:bottom w:val="single" w:sz="8" w:space="0" w:color="22413A"/>
              <w:right w:val="nil"/>
            </w:tcBorders>
            <w:vAlign w:val="center"/>
            <w:hideMark/>
          </w:tcPr>
          <w:p w14:paraId="19DC558F" w14:textId="77777777" w:rsidR="00B31542" w:rsidRDefault="00B31542">
            <w:pPr>
              <w:spacing w:before="60" w:after="60"/>
            </w:pPr>
            <w:r>
              <w:t>General Electric</w:t>
            </w:r>
          </w:p>
        </w:tc>
      </w:tr>
      <w:tr w:rsidR="008F34D9" w14:paraId="7532456C" w14:textId="77777777" w:rsidTr="008F34D9">
        <w:tc>
          <w:tcPr>
            <w:tcW w:w="2268" w:type="dxa"/>
            <w:tcBorders>
              <w:top w:val="nil"/>
              <w:left w:val="nil"/>
              <w:bottom w:val="single" w:sz="8" w:space="0" w:color="22413A"/>
              <w:right w:val="single" w:sz="8" w:space="0" w:color="22413A"/>
            </w:tcBorders>
            <w:vAlign w:val="center"/>
            <w:hideMark/>
          </w:tcPr>
          <w:p w14:paraId="07F892DC" w14:textId="77777777" w:rsidR="008F34D9" w:rsidRDefault="008F34D9">
            <w:pPr>
              <w:spacing w:before="60" w:after="60"/>
              <w:rPr>
                <w:kern w:val="2"/>
                <w:szCs w:val="24"/>
                <w14:ligatures w14:val="standardContextual"/>
              </w:rPr>
            </w:pPr>
            <w:r>
              <w:t>GB</w:t>
            </w:r>
          </w:p>
        </w:tc>
        <w:tc>
          <w:tcPr>
            <w:tcW w:w="6758" w:type="dxa"/>
            <w:tcBorders>
              <w:top w:val="nil"/>
              <w:left w:val="nil"/>
              <w:bottom w:val="single" w:sz="8" w:space="0" w:color="22413A"/>
              <w:right w:val="nil"/>
            </w:tcBorders>
            <w:vAlign w:val="center"/>
            <w:hideMark/>
          </w:tcPr>
          <w:p w14:paraId="6626AFC7" w14:textId="77777777" w:rsidR="008F34D9" w:rsidRDefault="008F34D9">
            <w:pPr>
              <w:spacing w:before="60" w:after="60"/>
            </w:pPr>
            <w:r>
              <w:t>Great Britain</w:t>
            </w:r>
          </w:p>
        </w:tc>
      </w:tr>
      <w:tr w:rsidR="008F34D9" w14:paraId="09DFE3E7" w14:textId="77777777" w:rsidTr="008F34D9">
        <w:tc>
          <w:tcPr>
            <w:tcW w:w="2268" w:type="dxa"/>
            <w:tcBorders>
              <w:top w:val="nil"/>
              <w:left w:val="nil"/>
              <w:bottom w:val="single" w:sz="8" w:space="0" w:color="22413A"/>
              <w:right w:val="single" w:sz="8" w:space="0" w:color="22413A"/>
            </w:tcBorders>
            <w:vAlign w:val="center"/>
            <w:hideMark/>
          </w:tcPr>
          <w:p w14:paraId="08F872A5" w14:textId="77777777" w:rsidR="008F34D9" w:rsidRDefault="008F34D9">
            <w:pPr>
              <w:spacing w:before="60" w:after="60"/>
              <w:rPr>
                <w:kern w:val="2"/>
                <w:szCs w:val="24"/>
                <w14:ligatures w14:val="standardContextual"/>
              </w:rPr>
            </w:pPr>
            <w:r>
              <w:t>GDA</w:t>
            </w:r>
          </w:p>
        </w:tc>
        <w:tc>
          <w:tcPr>
            <w:tcW w:w="6758" w:type="dxa"/>
            <w:tcBorders>
              <w:top w:val="nil"/>
              <w:left w:val="nil"/>
              <w:bottom w:val="single" w:sz="8" w:space="0" w:color="22413A"/>
              <w:right w:val="nil"/>
            </w:tcBorders>
            <w:vAlign w:val="center"/>
            <w:hideMark/>
          </w:tcPr>
          <w:p w14:paraId="3E52CF1A" w14:textId="77777777" w:rsidR="008F34D9" w:rsidRDefault="008F34D9">
            <w:pPr>
              <w:spacing w:before="60" w:after="60"/>
            </w:pPr>
            <w:r>
              <w:t>Generic Design Assessment</w:t>
            </w:r>
          </w:p>
        </w:tc>
      </w:tr>
      <w:tr w:rsidR="008F34D9" w14:paraId="5343B43A" w14:textId="77777777" w:rsidTr="008F34D9">
        <w:tc>
          <w:tcPr>
            <w:tcW w:w="2268" w:type="dxa"/>
            <w:tcBorders>
              <w:top w:val="nil"/>
              <w:left w:val="nil"/>
              <w:bottom w:val="single" w:sz="8" w:space="0" w:color="22413A"/>
              <w:right w:val="single" w:sz="8" w:space="0" w:color="22413A"/>
            </w:tcBorders>
            <w:vAlign w:val="center"/>
            <w:hideMark/>
          </w:tcPr>
          <w:p w14:paraId="15736B48" w14:textId="77777777" w:rsidR="008F34D9" w:rsidRDefault="008F34D9">
            <w:pPr>
              <w:spacing w:before="60" w:after="60"/>
              <w:rPr>
                <w:kern w:val="2"/>
                <w:szCs w:val="24"/>
                <w14:ligatures w14:val="standardContextual"/>
              </w:rPr>
            </w:pPr>
            <w:r>
              <w:t>IAEA</w:t>
            </w:r>
          </w:p>
        </w:tc>
        <w:tc>
          <w:tcPr>
            <w:tcW w:w="6758" w:type="dxa"/>
            <w:tcBorders>
              <w:top w:val="nil"/>
              <w:left w:val="nil"/>
              <w:bottom w:val="single" w:sz="8" w:space="0" w:color="22413A"/>
              <w:right w:val="nil"/>
            </w:tcBorders>
            <w:vAlign w:val="center"/>
            <w:hideMark/>
          </w:tcPr>
          <w:p w14:paraId="07E76614" w14:textId="77777777" w:rsidR="008F34D9" w:rsidRDefault="008F34D9">
            <w:pPr>
              <w:spacing w:before="60" w:after="60"/>
            </w:pPr>
            <w:r>
              <w:t>International Atomic Energy Agency</w:t>
            </w:r>
          </w:p>
        </w:tc>
      </w:tr>
      <w:tr w:rsidR="00B31542" w14:paraId="57675F25" w14:textId="77777777" w:rsidTr="00B31542">
        <w:tc>
          <w:tcPr>
            <w:tcW w:w="2268" w:type="dxa"/>
            <w:tcBorders>
              <w:top w:val="nil"/>
              <w:left w:val="nil"/>
              <w:bottom w:val="single" w:sz="8" w:space="0" w:color="22413A"/>
              <w:right w:val="single" w:sz="8" w:space="0" w:color="22413A"/>
            </w:tcBorders>
            <w:vAlign w:val="center"/>
            <w:hideMark/>
          </w:tcPr>
          <w:p w14:paraId="3BBEA5A7" w14:textId="77777777" w:rsidR="00B31542" w:rsidRDefault="00B31542">
            <w:pPr>
              <w:spacing w:before="60" w:after="60"/>
              <w:rPr>
                <w:kern w:val="2"/>
                <w:szCs w:val="24"/>
                <w14:ligatures w14:val="standardContextual"/>
              </w:rPr>
            </w:pPr>
            <w:r>
              <w:t>IRRS</w:t>
            </w:r>
          </w:p>
        </w:tc>
        <w:tc>
          <w:tcPr>
            <w:tcW w:w="6758" w:type="dxa"/>
            <w:tcBorders>
              <w:top w:val="nil"/>
              <w:left w:val="nil"/>
              <w:bottom w:val="single" w:sz="8" w:space="0" w:color="22413A"/>
              <w:right w:val="nil"/>
            </w:tcBorders>
            <w:vAlign w:val="center"/>
            <w:hideMark/>
          </w:tcPr>
          <w:p w14:paraId="1BE5BBEE" w14:textId="77777777" w:rsidR="00B31542" w:rsidRDefault="00B31542">
            <w:pPr>
              <w:spacing w:before="60" w:after="60"/>
            </w:pPr>
            <w:r>
              <w:t>Integrated Regulatory Review Service</w:t>
            </w:r>
          </w:p>
        </w:tc>
      </w:tr>
      <w:tr w:rsidR="00936F16" w14:paraId="15BB68AC" w14:textId="77777777" w:rsidTr="00B31542">
        <w:tc>
          <w:tcPr>
            <w:tcW w:w="2268" w:type="dxa"/>
            <w:tcBorders>
              <w:top w:val="nil"/>
              <w:left w:val="nil"/>
              <w:bottom w:val="single" w:sz="8" w:space="0" w:color="22413A"/>
              <w:right w:val="single" w:sz="8" w:space="0" w:color="22413A"/>
            </w:tcBorders>
            <w:vAlign w:val="center"/>
          </w:tcPr>
          <w:p w14:paraId="7EA2499D" w14:textId="19B03962" w:rsidR="00936F16" w:rsidRDefault="00936F16">
            <w:pPr>
              <w:spacing w:before="60" w:after="60"/>
            </w:pPr>
            <w:r>
              <w:t>NEA</w:t>
            </w:r>
          </w:p>
        </w:tc>
        <w:tc>
          <w:tcPr>
            <w:tcW w:w="6758" w:type="dxa"/>
            <w:tcBorders>
              <w:top w:val="nil"/>
              <w:left w:val="nil"/>
              <w:bottom w:val="single" w:sz="8" w:space="0" w:color="22413A"/>
              <w:right w:val="nil"/>
            </w:tcBorders>
            <w:vAlign w:val="center"/>
          </w:tcPr>
          <w:p w14:paraId="32EEFF0D" w14:textId="6849BC14" w:rsidR="00936F16" w:rsidRDefault="00936F16">
            <w:pPr>
              <w:spacing w:before="60" w:after="60"/>
            </w:pPr>
            <w:r>
              <w:t>Nuclear Energy Agency</w:t>
            </w:r>
          </w:p>
        </w:tc>
      </w:tr>
      <w:tr w:rsidR="008F34D9" w14:paraId="5DCC3BFD" w14:textId="77777777" w:rsidTr="008F34D9">
        <w:tc>
          <w:tcPr>
            <w:tcW w:w="2268" w:type="dxa"/>
            <w:tcBorders>
              <w:top w:val="nil"/>
              <w:left w:val="nil"/>
              <w:bottom w:val="single" w:sz="8" w:space="0" w:color="22413A"/>
              <w:right w:val="single" w:sz="8" w:space="0" w:color="22413A"/>
            </w:tcBorders>
            <w:vAlign w:val="center"/>
            <w:hideMark/>
          </w:tcPr>
          <w:p w14:paraId="2E7F307D" w14:textId="77777777" w:rsidR="008F34D9" w:rsidRDefault="008F34D9">
            <w:pPr>
              <w:spacing w:before="60" w:after="60"/>
              <w:rPr>
                <w:kern w:val="2"/>
                <w:szCs w:val="24"/>
                <w14:ligatures w14:val="standardContextual"/>
              </w:rPr>
            </w:pPr>
            <w:r>
              <w:t>NHSI</w:t>
            </w:r>
          </w:p>
        </w:tc>
        <w:tc>
          <w:tcPr>
            <w:tcW w:w="6758" w:type="dxa"/>
            <w:tcBorders>
              <w:top w:val="nil"/>
              <w:left w:val="nil"/>
              <w:bottom w:val="single" w:sz="8" w:space="0" w:color="22413A"/>
              <w:right w:val="nil"/>
            </w:tcBorders>
            <w:vAlign w:val="center"/>
            <w:hideMark/>
          </w:tcPr>
          <w:p w14:paraId="6074040C" w14:textId="2D09EC0E" w:rsidR="008F34D9" w:rsidRDefault="008F34D9">
            <w:pPr>
              <w:spacing w:before="60" w:after="60"/>
            </w:pPr>
            <w:r>
              <w:t xml:space="preserve">Nuclear Harmonisation </w:t>
            </w:r>
            <w:r w:rsidR="001A4F85">
              <w:t xml:space="preserve">and Standardisation and </w:t>
            </w:r>
            <w:r>
              <w:t>Initiative</w:t>
            </w:r>
          </w:p>
        </w:tc>
      </w:tr>
      <w:tr w:rsidR="008F34D9" w14:paraId="1E30FE95" w14:textId="77777777" w:rsidTr="008F34D9">
        <w:tc>
          <w:tcPr>
            <w:tcW w:w="2268" w:type="dxa"/>
            <w:tcBorders>
              <w:top w:val="nil"/>
              <w:left w:val="nil"/>
              <w:bottom w:val="single" w:sz="8" w:space="0" w:color="22413A"/>
              <w:right w:val="single" w:sz="8" w:space="0" w:color="22413A"/>
            </w:tcBorders>
            <w:vAlign w:val="center"/>
            <w:hideMark/>
          </w:tcPr>
          <w:p w14:paraId="35043359" w14:textId="77777777" w:rsidR="008F34D9" w:rsidRDefault="008F34D9">
            <w:pPr>
              <w:spacing w:before="60" w:after="60"/>
              <w:rPr>
                <w:kern w:val="2"/>
                <w:szCs w:val="24"/>
                <w14:ligatures w14:val="standardContextual"/>
              </w:rPr>
            </w:pPr>
            <w:r>
              <w:t>NRW</w:t>
            </w:r>
          </w:p>
        </w:tc>
        <w:tc>
          <w:tcPr>
            <w:tcW w:w="6758" w:type="dxa"/>
            <w:tcBorders>
              <w:top w:val="nil"/>
              <w:left w:val="nil"/>
              <w:bottom w:val="single" w:sz="8" w:space="0" w:color="22413A"/>
              <w:right w:val="nil"/>
            </w:tcBorders>
            <w:vAlign w:val="center"/>
            <w:hideMark/>
          </w:tcPr>
          <w:p w14:paraId="7D32BAB0" w14:textId="77777777" w:rsidR="008F34D9" w:rsidRDefault="008F34D9">
            <w:pPr>
              <w:spacing w:before="60" w:after="60"/>
            </w:pPr>
            <w:r>
              <w:t>Natural Resources Wales</w:t>
            </w:r>
          </w:p>
        </w:tc>
      </w:tr>
      <w:tr w:rsidR="008F34D9" w14:paraId="5175E836" w14:textId="77777777" w:rsidTr="008F34D9">
        <w:tc>
          <w:tcPr>
            <w:tcW w:w="2268" w:type="dxa"/>
            <w:tcBorders>
              <w:top w:val="nil"/>
              <w:left w:val="nil"/>
              <w:bottom w:val="single" w:sz="8" w:space="0" w:color="22413A"/>
              <w:right w:val="single" w:sz="8" w:space="0" w:color="22413A"/>
            </w:tcBorders>
            <w:vAlign w:val="center"/>
            <w:hideMark/>
          </w:tcPr>
          <w:p w14:paraId="2F321D7C" w14:textId="77777777" w:rsidR="008F34D9" w:rsidRDefault="008F34D9">
            <w:pPr>
              <w:spacing w:before="60" w:after="60"/>
              <w:rPr>
                <w:kern w:val="2"/>
                <w:szCs w:val="24"/>
                <w14:ligatures w14:val="standardContextual"/>
              </w:rPr>
            </w:pPr>
            <w:r>
              <w:t>ONR</w:t>
            </w:r>
          </w:p>
        </w:tc>
        <w:tc>
          <w:tcPr>
            <w:tcW w:w="6758" w:type="dxa"/>
            <w:tcBorders>
              <w:top w:val="nil"/>
              <w:left w:val="nil"/>
              <w:bottom w:val="single" w:sz="8" w:space="0" w:color="22413A"/>
              <w:right w:val="nil"/>
            </w:tcBorders>
            <w:vAlign w:val="center"/>
            <w:hideMark/>
          </w:tcPr>
          <w:p w14:paraId="30A1FD0F" w14:textId="77777777" w:rsidR="008F34D9" w:rsidRDefault="008F34D9">
            <w:pPr>
              <w:spacing w:before="60" w:after="60"/>
            </w:pPr>
            <w:r>
              <w:t>Office for Nuclear Regulation</w:t>
            </w:r>
          </w:p>
        </w:tc>
      </w:tr>
      <w:tr w:rsidR="008F34D9" w14:paraId="00E21745" w14:textId="77777777" w:rsidTr="008F34D9">
        <w:tc>
          <w:tcPr>
            <w:tcW w:w="2268" w:type="dxa"/>
            <w:tcBorders>
              <w:top w:val="nil"/>
              <w:left w:val="nil"/>
              <w:bottom w:val="single" w:sz="8" w:space="0" w:color="22413A"/>
              <w:right w:val="single" w:sz="8" w:space="0" w:color="22413A"/>
            </w:tcBorders>
            <w:vAlign w:val="center"/>
            <w:hideMark/>
          </w:tcPr>
          <w:p w14:paraId="633EA527" w14:textId="77777777" w:rsidR="008F34D9" w:rsidRDefault="008F34D9">
            <w:pPr>
              <w:spacing w:before="60" w:after="60"/>
              <w:rPr>
                <w:kern w:val="2"/>
                <w:szCs w:val="24"/>
                <w14:ligatures w14:val="standardContextual"/>
              </w:rPr>
            </w:pPr>
            <w:r>
              <w:t>RP</w:t>
            </w:r>
          </w:p>
        </w:tc>
        <w:tc>
          <w:tcPr>
            <w:tcW w:w="6758" w:type="dxa"/>
            <w:tcBorders>
              <w:top w:val="nil"/>
              <w:left w:val="nil"/>
              <w:bottom w:val="single" w:sz="8" w:space="0" w:color="22413A"/>
              <w:right w:val="nil"/>
            </w:tcBorders>
            <w:vAlign w:val="center"/>
            <w:hideMark/>
          </w:tcPr>
          <w:p w14:paraId="7552B476" w14:textId="77777777" w:rsidR="008F34D9" w:rsidRDefault="008F34D9">
            <w:pPr>
              <w:spacing w:before="60" w:after="60"/>
            </w:pPr>
            <w:r>
              <w:t>Requesting Party</w:t>
            </w:r>
          </w:p>
        </w:tc>
      </w:tr>
      <w:tr w:rsidR="008F34D9" w14:paraId="381B271C" w14:textId="77777777" w:rsidTr="008F34D9">
        <w:tc>
          <w:tcPr>
            <w:tcW w:w="2268" w:type="dxa"/>
            <w:tcBorders>
              <w:top w:val="nil"/>
              <w:left w:val="nil"/>
              <w:bottom w:val="single" w:sz="8" w:space="0" w:color="22413A"/>
              <w:right w:val="single" w:sz="8" w:space="0" w:color="22413A"/>
            </w:tcBorders>
            <w:vAlign w:val="center"/>
            <w:hideMark/>
          </w:tcPr>
          <w:p w14:paraId="4C5EC279" w14:textId="77777777" w:rsidR="008F34D9" w:rsidRDefault="008F34D9">
            <w:pPr>
              <w:spacing w:before="60" w:after="60"/>
              <w:rPr>
                <w:kern w:val="2"/>
                <w:szCs w:val="24"/>
                <w14:ligatures w14:val="standardContextual"/>
              </w:rPr>
            </w:pPr>
            <w:r>
              <w:t>RITE</w:t>
            </w:r>
          </w:p>
        </w:tc>
        <w:tc>
          <w:tcPr>
            <w:tcW w:w="6758" w:type="dxa"/>
            <w:tcBorders>
              <w:top w:val="nil"/>
              <w:left w:val="nil"/>
              <w:bottom w:val="single" w:sz="8" w:space="0" w:color="22413A"/>
              <w:right w:val="nil"/>
            </w:tcBorders>
            <w:vAlign w:val="center"/>
            <w:hideMark/>
          </w:tcPr>
          <w:p w14:paraId="6A577472" w14:textId="59211925" w:rsidR="008F34D9" w:rsidRDefault="00704440">
            <w:pPr>
              <w:spacing w:before="60" w:after="60"/>
            </w:pPr>
            <w:r>
              <w:t>Risk-</w:t>
            </w:r>
            <w:r w:rsidR="008F34D9">
              <w:t>Informed and Targeted Engagements</w:t>
            </w:r>
          </w:p>
        </w:tc>
      </w:tr>
      <w:tr w:rsidR="008F34D9" w14:paraId="6E49A9E1" w14:textId="77777777" w:rsidTr="008F34D9">
        <w:tc>
          <w:tcPr>
            <w:tcW w:w="2268" w:type="dxa"/>
            <w:tcBorders>
              <w:top w:val="nil"/>
              <w:left w:val="nil"/>
              <w:bottom w:val="single" w:sz="8" w:space="0" w:color="22413A"/>
              <w:right w:val="single" w:sz="8" w:space="0" w:color="22413A"/>
            </w:tcBorders>
            <w:vAlign w:val="center"/>
            <w:hideMark/>
          </w:tcPr>
          <w:p w14:paraId="6FE98130" w14:textId="77777777" w:rsidR="008F34D9" w:rsidRDefault="008F34D9">
            <w:pPr>
              <w:spacing w:before="60" w:after="60"/>
              <w:rPr>
                <w:kern w:val="2"/>
                <w:szCs w:val="24"/>
                <w14:ligatures w14:val="standardContextual"/>
              </w:rPr>
            </w:pPr>
            <w:r>
              <w:t>SMR</w:t>
            </w:r>
          </w:p>
        </w:tc>
        <w:tc>
          <w:tcPr>
            <w:tcW w:w="6758" w:type="dxa"/>
            <w:tcBorders>
              <w:top w:val="nil"/>
              <w:left w:val="nil"/>
              <w:bottom w:val="single" w:sz="8" w:space="0" w:color="22413A"/>
              <w:right w:val="nil"/>
            </w:tcBorders>
            <w:vAlign w:val="center"/>
            <w:hideMark/>
          </w:tcPr>
          <w:p w14:paraId="6C0DF3AA" w14:textId="77777777" w:rsidR="008F34D9" w:rsidRDefault="008F34D9">
            <w:pPr>
              <w:spacing w:before="60" w:after="60"/>
            </w:pPr>
            <w:r>
              <w:t>Small Modular Reactor</w:t>
            </w:r>
          </w:p>
        </w:tc>
      </w:tr>
      <w:tr w:rsidR="00B31542" w14:paraId="776CA0A9" w14:textId="77777777" w:rsidTr="00B31542">
        <w:tc>
          <w:tcPr>
            <w:tcW w:w="2268" w:type="dxa"/>
            <w:tcBorders>
              <w:top w:val="nil"/>
              <w:left w:val="nil"/>
              <w:bottom w:val="single" w:sz="8" w:space="0" w:color="22413A"/>
              <w:right w:val="single" w:sz="8" w:space="0" w:color="22413A"/>
            </w:tcBorders>
            <w:vAlign w:val="center"/>
            <w:hideMark/>
          </w:tcPr>
          <w:p w14:paraId="235BDA29" w14:textId="77777777" w:rsidR="00B31542" w:rsidRDefault="00B31542">
            <w:pPr>
              <w:spacing w:before="60" w:after="60"/>
              <w:rPr>
                <w:kern w:val="2"/>
                <w:szCs w:val="24"/>
                <w14:ligatures w14:val="standardContextual"/>
              </w:rPr>
            </w:pPr>
            <w:r>
              <w:t>UK</w:t>
            </w:r>
          </w:p>
        </w:tc>
        <w:tc>
          <w:tcPr>
            <w:tcW w:w="6758" w:type="dxa"/>
            <w:tcBorders>
              <w:top w:val="nil"/>
              <w:left w:val="nil"/>
              <w:bottom w:val="single" w:sz="8" w:space="0" w:color="22413A"/>
              <w:right w:val="nil"/>
            </w:tcBorders>
            <w:vAlign w:val="center"/>
            <w:hideMark/>
          </w:tcPr>
          <w:p w14:paraId="15CD135D" w14:textId="77777777" w:rsidR="00B31542" w:rsidRDefault="00B31542">
            <w:pPr>
              <w:spacing w:before="60" w:after="60"/>
            </w:pPr>
            <w:r>
              <w:t>United Kingdom</w:t>
            </w:r>
          </w:p>
        </w:tc>
      </w:tr>
      <w:tr w:rsidR="008F34D9" w14:paraId="75992368" w14:textId="77777777" w:rsidTr="008F34D9">
        <w:tc>
          <w:tcPr>
            <w:tcW w:w="2268" w:type="dxa"/>
            <w:tcBorders>
              <w:top w:val="nil"/>
              <w:left w:val="nil"/>
              <w:bottom w:val="single" w:sz="8" w:space="0" w:color="22413A"/>
              <w:right w:val="single" w:sz="8" w:space="0" w:color="22413A"/>
            </w:tcBorders>
            <w:vAlign w:val="center"/>
            <w:hideMark/>
          </w:tcPr>
          <w:p w14:paraId="24B86751" w14:textId="77777777" w:rsidR="008F34D9" w:rsidRDefault="008F34D9">
            <w:pPr>
              <w:spacing w:before="60" w:after="60"/>
              <w:rPr>
                <w:kern w:val="2"/>
                <w:szCs w:val="24"/>
                <w14:ligatures w14:val="standardContextual"/>
              </w:rPr>
            </w:pPr>
            <w:r>
              <w:t>US NRC</w:t>
            </w:r>
          </w:p>
        </w:tc>
        <w:tc>
          <w:tcPr>
            <w:tcW w:w="6758" w:type="dxa"/>
            <w:tcBorders>
              <w:top w:val="nil"/>
              <w:left w:val="nil"/>
              <w:bottom w:val="single" w:sz="8" w:space="0" w:color="22413A"/>
              <w:right w:val="nil"/>
            </w:tcBorders>
            <w:vAlign w:val="center"/>
            <w:hideMark/>
          </w:tcPr>
          <w:p w14:paraId="51604738" w14:textId="77777777" w:rsidR="008F34D9" w:rsidRDefault="008F34D9">
            <w:pPr>
              <w:spacing w:before="60" w:after="60"/>
            </w:pPr>
            <w:r>
              <w:t>United States Nuclear Regulatory Commission</w:t>
            </w:r>
          </w:p>
        </w:tc>
      </w:tr>
      <w:tr w:rsidR="008F34D9" w14:paraId="6B1792FA" w14:textId="77777777" w:rsidTr="008F34D9">
        <w:tc>
          <w:tcPr>
            <w:tcW w:w="2268" w:type="dxa"/>
            <w:tcBorders>
              <w:top w:val="nil"/>
              <w:left w:val="nil"/>
              <w:bottom w:val="single" w:sz="8" w:space="0" w:color="22413A"/>
              <w:right w:val="single" w:sz="8" w:space="0" w:color="22413A"/>
            </w:tcBorders>
            <w:vAlign w:val="center"/>
            <w:hideMark/>
          </w:tcPr>
          <w:p w14:paraId="64F0AD2F" w14:textId="77777777" w:rsidR="008F34D9" w:rsidRDefault="008F34D9">
            <w:pPr>
              <w:spacing w:before="60" w:after="60"/>
              <w:rPr>
                <w:kern w:val="2"/>
                <w:szCs w:val="24"/>
                <w14:ligatures w14:val="standardContextual"/>
              </w:rPr>
            </w:pPr>
            <w:r>
              <w:t>WENRA</w:t>
            </w:r>
          </w:p>
        </w:tc>
        <w:tc>
          <w:tcPr>
            <w:tcW w:w="6758" w:type="dxa"/>
            <w:tcBorders>
              <w:top w:val="nil"/>
              <w:left w:val="nil"/>
              <w:bottom w:val="single" w:sz="8" w:space="0" w:color="22413A"/>
              <w:right w:val="nil"/>
            </w:tcBorders>
            <w:vAlign w:val="center"/>
            <w:hideMark/>
          </w:tcPr>
          <w:p w14:paraId="0030CC3B" w14:textId="77777777" w:rsidR="008F34D9" w:rsidRDefault="008F34D9">
            <w:pPr>
              <w:spacing w:before="60" w:after="60"/>
            </w:pPr>
            <w:r>
              <w:t>Western European Nuclear Regulators Association</w:t>
            </w:r>
          </w:p>
        </w:tc>
      </w:tr>
    </w:tbl>
    <w:p w14:paraId="301FBC51" w14:textId="77777777" w:rsidR="0075113B" w:rsidRPr="00F83D43" w:rsidRDefault="0075113B" w:rsidP="0075113B"/>
    <w:p w14:paraId="4C884764" w14:textId="77777777" w:rsidR="0075113B" w:rsidRDefault="0075113B" w:rsidP="0075113B">
      <w:pPr>
        <w:pStyle w:val="Paragraph"/>
      </w:pPr>
    </w:p>
    <w:p w14:paraId="2327AA9C" w14:textId="77777777" w:rsidR="0075113B" w:rsidRDefault="0075113B" w:rsidP="0075113B">
      <w:pPr>
        <w:pStyle w:val="Paragraph"/>
      </w:pPr>
    </w:p>
    <w:p w14:paraId="43C8EFFF" w14:textId="77777777" w:rsidR="0075113B" w:rsidRDefault="0075113B" w:rsidP="0075113B">
      <w:pPr>
        <w:pStyle w:val="Heading1"/>
        <w:numPr>
          <w:ilvl w:val="0"/>
          <w:numId w:val="0"/>
        </w:numPr>
        <w:ind w:left="851" w:hanging="851"/>
        <w:rPr>
          <w:color w:val="auto"/>
          <w:sz w:val="24"/>
        </w:rPr>
        <w:sectPr w:rsidR="0075113B" w:rsidSect="0075113B">
          <w:pgSz w:w="11906" w:h="16838" w:code="9"/>
          <w:pgMar w:top="1440" w:right="1440" w:bottom="1440" w:left="1440" w:header="397" w:footer="397" w:gutter="0"/>
          <w:cols w:space="312"/>
          <w:docGrid w:linePitch="360"/>
        </w:sectPr>
      </w:pPr>
    </w:p>
    <w:bookmarkStart w:id="46" w:name="_Toc219278289" w:displacedByCustomXml="next"/>
    <w:bookmarkStart w:id="47" w:name="_Toc219278388" w:displacedByCustomXml="next"/>
    <w:sdt>
      <w:sdtPr>
        <w:rPr>
          <w:color w:val="auto"/>
          <w:sz w:val="24"/>
        </w:rPr>
        <w:id w:val="1750544958"/>
        <w:docPartObj>
          <w:docPartGallery w:val="Bibliographies"/>
          <w:docPartUnique/>
        </w:docPartObj>
      </w:sdtPr>
      <w:sdtContent>
        <w:p w14:paraId="0EABF4DD" w14:textId="77777777" w:rsidR="0075113B" w:rsidRDefault="0075113B" w:rsidP="0075113B">
          <w:pPr>
            <w:pStyle w:val="Heading1"/>
            <w:numPr>
              <w:ilvl w:val="0"/>
              <w:numId w:val="0"/>
            </w:numPr>
            <w:ind w:left="851" w:hanging="851"/>
          </w:pPr>
          <w:r>
            <w:t>References</w:t>
          </w:r>
          <w:bookmarkEnd w:id="47"/>
          <w:bookmarkEnd w:id="46"/>
        </w:p>
        <w:sdt>
          <w:sdtPr>
            <w:id w:val="-1066881602"/>
            <w:bibliography/>
          </w:sdtPr>
          <w:sdtContent>
            <w:p w14:paraId="020A0B87" w14:textId="77777777" w:rsidR="00D4533F" w:rsidRDefault="0075113B" w:rsidP="00FD6986">
              <w:pPr>
                <w:pStyle w:val="Paragraph"/>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0"/>
                <w:gridCol w:w="8316"/>
              </w:tblGrid>
              <w:tr w:rsidR="00D4533F" w14:paraId="74E42ED5" w14:textId="77777777" w:rsidTr="00D4533F">
                <w:trPr>
                  <w:divId w:val="1554853288"/>
                  <w:tblCellSpacing w:w="15" w:type="dxa"/>
                </w:trPr>
                <w:tc>
                  <w:tcPr>
                    <w:tcW w:w="368" w:type="pct"/>
                    <w:hideMark/>
                  </w:tcPr>
                  <w:p w14:paraId="0ED89DDB" w14:textId="56AE9153" w:rsidR="00D4533F" w:rsidRDefault="00D4533F">
                    <w:pPr>
                      <w:pStyle w:val="Bibliography"/>
                      <w:rPr>
                        <w:noProof/>
                        <w:szCs w:val="24"/>
                      </w:rPr>
                    </w:pPr>
                    <w:r>
                      <w:rPr>
                        <w:noProof/>
                      </w:rPr>
                      <w:t xml:space="preserve">[1] </w:t>
                    </w:r>
                  </w:p>
                </w:tc>
                <w:tc>
                  <w:tcPr>
                    <w:tcW w:w="4582" w:type="pct"/>
                    <w:hideMark/>
                  </w:tcPr>
                  <w:p w14:paraId="272C9887" w14:textId="77777777" w:rsidR="00D4533F" w:rsidRDefault="00D4533F">
                    <w:pPr>
                      <w:pStyle w:val="Bibliography"/>
                      <w:rPr>
                        <w:noProof/>
                      </w:rPr>
                    </w:pPr>
                    <w:r>
                      <w:rPr>
                        <w:noProof/>
                      </w:rPr>
                      <w:t xml:space="preserve">https://www.gov.uk/government/publications/prime-ministers-strategic-steer-to-the-nuclear-sector. </w:t>
                    </w:r>
                  </w:p>
                </w:tc>
              </w:tr>
              <w:tr w:rsidR="00D4533F" w14:paraId="46728AA7" w14:textId="77777777" w:rsidTr="00D4533F">
                <w:trPr>
                  <w:divId w:val="1554853288"/>
                  <w:tblCellSpacing w:w="15" w:type="dxa"/>
                </w:trPr>
                <w:tc>
                  <w:tcPr>
                    <w:tcW w:w="368" w:type="pct"/>
                    <w:hideMark/>
                  </w:tcPr>
                  <w:p w14:paraId="70E59FA1" w14:textId="77777777" w:rsidR="00D4533F" w:rsidRDefault="00D4533F">
                    <w:pPr>
                      <w:pStyle w:val="Bibliography"/>
                      <w:rPr>
                        <w:noProof/>
                      </w:rPr>
                    </w:pPr>
                    <w:r>
                      <w:rPr>
                        <w:noProof/>
                      </w:rPr>
                      <w:t xml:space="preserve">[2] </w:t>
                    </w:r>
                  </w:p>
                </w:tc>
                <w:tc>
                  <w:tcPr>
                    <w:tcW w:w="4582" w:type="pct"/>
                    <w:hideMark/>
                  </w:tcPr>
                  <w:p w14:paraId="3429E63D" w14:textId="77777777" w:rsidR="00D4533F" w:rsidRDefault="00D4533F">
                    <w:pPr>
                      <w:pStyle w:val="Bibliography"/>
                      <w:rPr>
                        <w:noProof/>
                      </w:rPr>
                    </w:pPr>
                    <w:r>
                      <w:rPr>
                        <w:noProof/>
                      </w:rPr>
                      <w:t xml:space="preserve">https://assets.publishing.service.gov.uk/media/692080f75c394e481336ab89/nuclear-regulatory-review-2025.pdf. </w:t>
                    </w:r>
                  </w:p>
                </w:tc>
              </w:tr>
              <w:tr w:rsidR="00D4533F" w14:paraId="5C6C53F3" w14:textId="77777777" w:rsidTr="00D4533F">
                <w:trPr>
                  <w:divId w:val="1554853288"/>
                  <w:tblCellSpacing w:w="15" w:type="dxa"/>
                </w:trPr>
                <w:tc>
                  <w:tcPr>
                    <w:tcW w:w="368" w:type="pct"/>
                    <w:hideMark/>
                  </w:tcPr>
                  <w:p w14:paraId="333DF000" w14:textId="77777777" w:rsidR="00D4533F" w:rsidRDefault="00D4533F">
                    <w:pPr>
                      <w:pStyle w:val="Bibliography"/>
                      <w:rPr>
                        <w:noProof/>
                      </w:rPr>
                    </w:pPr>
                    <w:r>
                      <w:rPr>
                        <w:noProof/>
                      </w:rPr>
                      <w:t xml:space="preserve">[3] </w:t>
                    </w:r>
                  </w:p>
                </w:tc>
                <w:tc>
                  <w:tcPr>
                    <w:tcW w:w="4582" w:type="pct"/>
                    <w:hideMark/>
                  </w:tcPr>
                  <w:p w14:paraId="6A2D06D7" w14:textId="77777777" w:rsidR="00D4533F" w:rsidRDefault="00D4533F">
                    <w:pPr>
                      <w:pStyle w:val="Bibliography"/>
                      <w:rPr>
                        <w:noProof/>
                      </w:rPr>
                    </w:pPr>
                    <w:r>
                      <w:rPr>
                        <w:noProof/>
                      </w:rPr>
                      <w:t xml:space="preserve">https://www.gov.uk/government/news/golden-age-of-nuclear-delivers-uk-us-deal-on-energy-security. </w:t>
                    </w:r>
                  </w:p>
                </w:tc>
              </w:tr>
              <w:tr w:rsidR="00D4533F" w14:paraId="334D3177" w14:textId="77777777" w:rsidTr="00D4533F">
                <w:trPr>
                  <w:divId w:val="1554853288"/>
                  <w:tblCellSpacing w:w="15" w:type="dxa"/>
                </w:trPr>
                <w:tc>
                  <w:tcPr>
                    <w:tcW w:w="368" w:type="pct"/>
                    <w:hideMark/>
                  </w:tcPr>
                  <w:p w14:paraId="42DD760E" w14:textId="77777777" w:rsidR="00D4533F" w:rsidRDefault="00D4533F">
                    <w:pPr>
                      <w:pStyle w:val="Bibliography"/>
                      <w:rPr>
                        <w:noProof/>
                      </w:rPr>
                    </w:pPr>
                    <w:r>
                      <w:rPr>
                        <w:noProof/>
                      </w:rPr>
                      <w:t xml:space="preserve">[4] </w:t>
                    </w:r>
                  </w:p>
                </w:tc>
                <w:tc>
                  <w:tcPr>
                    <w:tcW w:w="4582" w:type="pct"/>
                    <w:hideMark/>
                  </w:tcPr>
                  <w:p w14:paraId="4506DCB0" w14:textId="77777777" w:rsidR="00D4533F" w:rsidRDefault="00D4533F">
                    <w:pPr>
                      <w:pStyle w:val="Bibliography"/>
                      <w:rPr>
                        <w:noProof/>
                      </w:rPr>
                    </w:pPr>
                    <w:r>
                      <w:rPr>
                        <w:noProof/>
                      </w:rPr>
                      <w:t xml:space="preserve">https://www.gov.uk/government/publications/building-our-nuclear-nation-government-response-to-the-nuclear-regulatory-review-2025/building-our-nuclear-nation-government-response-to-the-nuclear-regulatory-review-2025-accessible-webpage. </w:t>
                    </w:r>
                  </w:p>
                </w:tc>
              </w:tr>
              <w:tr w:rsidR="00D4533F" w14:paraId="15B8501F" w14:textId="77777777" w:rsidTr="00D4533F">
                <w:trPr>
                  <w:divId w:val="1554853288"/>
                  <w:tblCellSpacing w:w="15" w:type="dxa"/>
                </w:trPr>
                <w:tc>
                  <w:tcPr>
                    <w:tcW w:w="368" w:type="pct"/>
                    <w:hideMark/>
                  </w:tcPr>
                  <w:p w14:paraId="336F80CB" w14:textId="77777777" w:rsidR="00D4533F" w:rsidRDefault="00D4533F">
                    <w:pPr>
                      <w:pStyle w:val="Bibliography"/>
                      <w:rPr>
                        <w:noProof/>
                      </w:rPr>
                    </w:pPr>
                    <w:r>
                      <w:rPr>
                        <w:noProof/>
                      </w:rPr>
                      <w:t xml:space="preserve">[5] </w:t>
                    </w:r>
                  </w:p>
                </w:tc>
                <w:tc>
                  <w:tcPr>
                    <w:tcW w:w="4582" w:type="pct"/>
                    <w:hideMark/>
                  </w:tcPr>
                  <w:p w14:paraId="57ACA810" w14:textId="77777777" w:rsidR="00D4533F" w:rsidRDefault="00D4533F">
                    <w:pPr>
                      <w:pStyle w:val="Bibliography"/>
                      <w:rPr>
                        <w:noProof/>
                      </w:rPr>
                    </w:pPr>
                    <w:r>
                      <w:rPr>
                        <w:noProof/>
                      </w:rPr>
                      <w:t xml:space="preserve">https://www.onr.org.uk/generic-design-assessment. </w:t>
                    </w:r>
                  </w:p>
                </w:tc>
              </w:tr>
              <w:tr w:rsidR="00D4533F" w14:paraId="121580C7" w14:textId="77777777" w:rsidTr="00D4533F">
                <w:trPr>
                  <w:divId w:val="1554853288"/>
                  <w:tblCellSpacing w:w="15" w:type="dxa"/>
                </w:trPr>
                <w:tc>
                  <w:tcPr>
                    <w:tcW w:w="368" w:type="pct"/>
                    <w:hideMark/>
                  </w:tcPr>
                  <w:p w14:paraId="5AE674BA" w14:textId="77777777" w:rsidR="00D4533F" w:rsidRDefault="00D4533F">
                    <w:pPr>
                      <w:pStyle w:val="Bibliography"/>
                      <w:rPr>
                        <w:noProof/>
                      </w:rPr>
                    </w:pPr>
                    <w:r>
                      <w:rPr>
                        <w:noProof/>
                      </w:rPr>
                      <w:t xml:space="preserve">[6] </w:t>
                    </w:r>
                  </w:p>
                </w:tc>
                <w:tc>
                  <w:tcPr>
                    <w:tcW w:w="4582" w:type="pct"/>
                    <w:hideMark/>
                  </w:tcPr>
                  <w:p w14:paraId="5618D7A4" w14:textId="77777777" w:rsidR="00D4533F" w:rsidRDefault="00D4533F">
                    <w:pPr>
                      <w:pStyle w:val="Bibliography"/>
                      <w:rPr>
                        <w:noProof/>
                      </w:rPr>
                    </w:pPr>
                    <w:r>
                      <w:rPr>
                        <w:noProof/>
                      </w:rPr>
                      <w:t xml:space="preserve">https://nucleus.iaea.org/sites/smr/SitePages/Nuclear-Harmonization-and-Standardization-Initiative.aspx. </w:t>
                    </w:r>
                  </w:p>
                </w:tc>
              </w:tr>
              <w:tr w:rsidR="00D4533F" w14:paraId="26F58902" w14:textId="77777777" w:rsidTr="00D4533F">
                <w:trPr>
                  <w:divId w:val="1554853288"/>
                  <w:tblCellSpacing w:w="15" w:type="dxa"/>
                </w:trPr>
                <w:tc>
                  <w:tcPr>
                    <w:tcW w:w="368" w:type="pct"/>
                    <w:hideMark/>
                  </w:tcPr>
                  <w:p w14:paraId="5DFA0FBC" w14:textId="77777777" w:rsidR="00D4533F" w:rsidRDefault="00D4533F">
                    <w:pPr>
                      <w:pStyle w:val="Bibliography"/>
                      <w:rPr>
                        <w:noProof/>
                      </w:rPr>
                    </w:pPr>
                    <w:r>
                      <w:rPr>
                        <w:noProof/>
                      </w:rPr>
                      <w:t xml:space="preserve">[7] </w:t>
                    </w:r>
                  </w:p>
                </w:tc>
                <w:tc>
                  <w:tcPr>
                    <w:tcW w:w="4582" w:type="pct"/>
                    <w:hideMark/>
                  </w:tcPr>
                  <w:p w14:paraId="5D3A7709" w14:textId="77777777" w:rsidR="00D4533F" w:rsidRDefault="00D4533F">
                    <w:pPr>
                      <w:pStyle w:val="Bibliography"/>
                      <w:rPr>
                        <w:noProof/>
                      </w:rPr>
                    </w:pPr>
                    <w:r>
                      <w:rPr>
                        <w:noProof/>
                      </w:rPr>
                      <w:t xml:space="preserve">https://www.onr.org.uk/media/iexmextu/onr-gda-gd-006.docx. </w:t>
                    </w:r>
                  </w:p>
                </w:tc>
              </w:tr>
              <w:tr w:rsidR="00D4533F" w14:paraId="0816BAF2" w14:textId="77777777" w:rsidTr="00D4533F">
                <w:trPr>
                  <w:divId w:val="1554853288"/>
                  <w:tblCellSpacing w:w="15" w:type="dxa"/>
                </w:trPr>
                <w:tc>
                  <w:tcPr>
                    <w:tcW w:w="368" w:type="pct"/>
                    <w:hideMark/>
                  </w:tcPr>
                  <w:p w14:paraId="3495EB6B" w14:textId="77777777" w:rsidR="00D4533F" w:rsidRDefault="00D4533F">
                    <w:pPr>
                      <w:pStyle w:val="Bibliography"/>
                      <w:rPr>
                        <w:noProof/>
                      </w:rPr>
                    </w:pPr>
                    <w:r>
                      <w:rPr>
                        <w:noProof/>
                      </w:rPr>
                      <w:t xml:space="preserve">[8] </w:t>
                    </w:r>
                  </w:p>
                </w:tc>
                <w:tc>
                  <w:tcPr>
                    <w:tcW w:w="4582" w:type="pct"/>
                    <w:hideMark/>
                  </w:tcPr>
                  <w:p w14:paraId="76752B9A" w14:textId="77777777" w:rsidR="00D4533F" w:rsidRDefault="00D4533F">
                    <w:pPr>
                      <w:pStyle w:val="Bibliography"/>
                      <w:rPr>
                        <w:noProof/>
                      </w:rPr>
                    </w:pPr>
                    <w:r>
                      <w:rPr>
                        <w:noProof/>
                      </w:rPr>
                      <w:t xml:space="preserve">https://www.iaea.org/topics/nuclear-safety-conventions/convention-nuclear-safety. </w:t>
                    </w:r>
                  </w:p>
                </w:tc>
              </w:tr>
              <w:tr w:rsidR="00D4533F" w14:paraId="702D6A78" w14:textId="77777777" w:rsidTr="00D4533F">
                <w:trPr>
                  <w:divId w:val="1554853288"/>
                  <w:tblCellSpacing w:w="15" w:type="dxa"/>
                </w:trPr>
                <w:tc>
                  <w:tcPr>
                    <w:tcW w:w="368" w:type="pct"/>
                    <w:hideMark/>
                  </w:tcPr>
                  <w:p w14:paraId="6B0E7D19" w14:textId="77777777" w:rsidR="00D4533F" w:rsidRDefault="00D4533F">
                    <w:pPr>
                      <w:pStyle w:val="Bibliography"/>
                      <w:rPr>
                        <w:noProof/>
                      </w:rPr>
                    </w:pPr>
                    <w:r>
                      <w:rPr>
                        <w:noProof/>
                      </w:rPr>
                      <w:t xml:space="preserve">[9] </w:t>
                    </w:r>
                  </w:p>
                </w:tc>
                <w:tc>
                  <w:tcPr>
                    <w:tcW w:w="4582" w:type="pct"/>
                    <w:hideMark/>
                  </w:tcPr>
                  <w:p w14:paraId="25E22836" w14:textId="77777777" w:rsidR="00D4533F" w:rsidRDefault="00D4533F">
                    <w:pPr>
                      <w:pStyle w:val="Bibliography"/>
                      <w:rPr>
                        <w:noProof/>
                      </w:rPr>
                    </w:pPr>
                    <w:r>
                      <w:rPr>
                        <w:noProof/>
                      </w:rPr>
                      <w:t xml:space="preserve">https://www.iaea.org/topics/nuclear-safety-conventions/joint-convention-safety-spent-fuel-management-and-safety-radioactive-waste. </w:t>
                    </w:r>
                  </w:p>
                </w:tc>
              </w:tr>
              <w:tr w:rsidR="00D4533F" w14:paraId="11CA1A14" w14:textId="77777777" w:rsidTr="00D4533F">
                <w:trPr>
                  <w:divId w:val="1554853288"/>
                  <w:tblCellSpacing w:w="15" w:type="dxa"/>
                </w:trPr>
                <w:tc>
                  <w:tcPr>
                    <w:tcW w:w="368" w:type="pct"/>
                    <w:hideMark/>
                  </w:tcPr>
                  <w:p w14:paraId="195A690B" w14:textId="77777777" w:rsidR="00D4533F" w:rsidRDefault="00D4533F">
                    <w:pPr>
                      <w:pStyle w:val="Bibliography"/>
                      <w:rPr>
                        <w:noProof/>
                      </w:rPr>
                    </w:pPr>
                    <w:r>
                      <w:rPr>
                        <w:noProof/>
                      </w:rPr>
                      <w:t xml:space="preserve">[10] </w:t>
                    </w:r>
                  </w:p>
                </w:tc>
                <w:tc>
                  <w:tcPr>
                    <w:tcW w:w="4582" w:type="pct"/>
                    <w:hideMark/>
                  </w:tcPr>
                  <w:p w14:paraId="3C7C90C1" w14:textId="77777777" w:rsidR="00D4533F" w:rsidRDefault="00D4533F">
                    <w:pPr>
                      <w:pStyle w:val="Bibliography"/>
                      <w:rPr>
                        <w:noProof/>
                      </w:rPr>
                    </w:pPr>
                    <w:r>
                      <w:rPr>
                        <w:noProof/>
                      </w:rPr>
                      <w:t xml:space="preserve">https://www.onr.org.uk/access-to-information/publication-scheme. </w:t>
                    </w:r>
                  </w:p>
                </w:tc>
              </w:tr>
              <w:tr w:rsidR="00D4533F" w14:paraId="4DC78484" w14:textId="77777777" w:rsidTr="00D4533F">
                <w:trPr>
                  <w:divId w:val="1554853288"/>
                  <w:tblCellSpacing w:w="15" w:type="dxa"/>
                </w:trPr>
                <w:tc>
                  <w:tcPr>
                    <w:tcW w:w="368" w:type="pct"/>
                    <w:hideMark/>
                  </w:tcPr>
                  <w:p w14:paraId="11571C34" w14:textId="77777777" w:rsidR="00D4533F" w:rsidRDefault="00D4533F">
                    <w:pPr>
                      <w:pStyle w:val="Bibliography"/>
                      <w:rPr>
                        <w:noProof/>
                      </w:rPr>
                    </w:pPr>
                    <w:r>
                      <w:rPr>
                        <w:noProof/>
                      </w:rPr>
                      <w:t xml:space="preserve">[11] </w:t>
                    </w:r>
                  </w:p>
                </w:tc>
                <w:tc>
                  <w:tcPr>
                    <w:tcW w:w="4582" w:type="pct"/>
                    <w:hideMark/>
                  </w:tcPr>
                  <w:p w14:paraId="55E1AD70" w14:textId="77777777" w:rsidR="00D4533F" w:rsidRDefault="00D4533F">
                    <w:pPr>
                      <w:pStyle w:val="Bibliography"/>
                      <w:rPr>
                        <w:noProof/>
                      </w:rPr>
                    </w:pPr>
                    <w:r>
                      <w:rPr>
                        <w:noProof/>
                      </w:rPr>
                      <w:t xml:space="preserve">https://naturalresources.wales/about-us/contact-us/publication-scheme/?lang=en. </w:t>
                    </w:r>
                  </w:p>
                </w:tc>
              </w:tr>
              <w:tr w:rsidR="00D4533F" w14:paraId="639EB5A4" w14:textId="77777777" w:rsidTr="00D4533F">
                <w:trPr>
                  <w:divId w:val="1554853288"/>
                  <w:tblCellSpacing w:w="15" w:type="dxa"/>
                </w:trPr>
                <w:tc>
                  <w:tcPr>
                    <w:tcW w:w="368" w:type="pct"/>
                    <w:hideMark/>
                  </w:tcPr>
                  <w:p w14:paraId="7A33AC31" w14:textId="77777777" w:rsidR="00D4533F" w:rsidRDefault="00D4533F">
                    <w:pPr>
                      <w:pStyle w:val="Bibliography"/>
                      <w:rPr>
                        <w:noProof/>
                      </w:rPr>
                    </w:pPr>
                    <w:r>
                      <w:rPr>
                        <w:noProof/>
                      </w:rPr>
                      <w:t xml:space="preserve">[12] </w:t>
                    </w:r>
                  </w:p>
                </w:tc>
                <w:tc>
                  <w:tcPr>
                    <w:tcW w:w="4582" w:type="pct"/>
                    <w:hideMark/>
                  </w:tcPr>
                  <w:p w14:paraId="2B61D7C0" w14:textId="77777777" w:rsidR="00D4533F" w:rsidRDefault="00D4533F">
                    <w:pPr>
                      <w:pStyle w:val="Bibliography"/>
                      <w:rPr>
                        <w:noProof/>
                      </w:rPr>
                    </w:pPr>
                    <w:r>
                      <w:rPr>
                        <w:noProof/>
                      </w:rPr>
                      <w:t xml:space="preserve">https://www.gov.uk/government/organisations/environment-agency/about/publication-scheme. </w:t>
                    </w:r>
                  </w:p>
                </w:tc>
              </w:tr>
              <w:tr w:rsidR="00D4533F" w14:paraId="4ED52B2B" w14:textId="77777777" w:rsidTr="00D4533F">
                <w:trPr>
                  <w:divId w:val="1554853288"/>
                  <w:tblCellSpacing w:w="15" w:type="dxa"/>
                </w:trPr>
                <w:tc>
                  <w:tcPr>
                    <w:tcW w:w="368" w:type="pct"/>
                    <w:hideMark/>
                  </w:tcPr>
                  <w:p w14:paraId="5AAB4D10" w14:textId="77777777" w:rsidR="00D4533F" w:rsidRDefault="00D4533F">
                    <w:pPr>
                      <w:pStyle w:val="Bibliography"/>
                      <w:rPr>
                        <w:noProof/>
                      </w:rPr>
                    </w:pPr>
                    <w:r>
                      <w:rPr>
                        <w:noProof/>
                      </w:rPr>
                      <w:lastRenderedPageBreak/>
                      <w:t xml:space="preserve">[13] </w:t>
                    </w:r>
                  </w:p>
                </w:tc>
                <w:tc>
                  <w:tcPr>
                    <w:tcW w:w="4582" w:type="pct"/>
                    <w:hideMark/>
                  </w:tcPr>
                  <w:p w14:paraId="78B83BA5" w14:textId="77777777" w:rsidR="00D4533F" w:rsidRDefault="00D4533F">
                    <w:pPr>
                      <w:pStyle w:val="Bibliography"/>
                      <w:rPr>
                        <w:noProof/>
                      </w:rPr>
                    </w:pPr>
                    <w:r>
                      <w:rPr>
                        <w:noProof/>
                      </w:rPr>
                      <w:t xml:space="preserve">https://www.onr.org.uk/publications/regulatory-guidance/regulatory-assessment-and-permissioning/assessment. </w:t>
                    </w:r>
                  </w:p>
                </w:tc>
              </w:tr>
              <w:tr w:rsidR="00D4533F" w14:paraId="43943A94" w14:textId="77777777" w:rsidTr="00D4533F">
                <w:trPr>
                  <w:divId w:val="1554853288"/>
                  <w:tblCellSpacing w:w="15" w:type="dxa"/>
                </w:trPr>
                <w:tc>
                  <w:tcPr>
                    <w:tcW w:w="368" w:type="pct"/>
                    <w:hideMark/>
                  </w:tcPr>
                  <w:p w14:paraId="62E5DEC5" w14:textId="77777777" w:rsidR="00D4533F" w:rsidRDefault="00D4533F">
                    <w:pPr>
                      <w:pStyle w:val="Bibliography"/>
                      <w:rPr>
                        <w:noProof/>
                      </w:rPr>
                    </w:pPr>
                    <w:r>
                      <w:rPr>
                        <w:noProof/>
                      </w:rPr>
                      <w:t xml:space="preserve">[14] </w:t>
                    </w:r>
                  </w:p>
                </w:tc>
                <w:tc>
                  <w:tcPr>
                    <w:tcW w:w="4582" w:type="pct"/>
                    <w:hideMark/>
                  </w:tcPr>
                  <w:p w14:paraId="27A016B7" w14:textId="77777777" w:rsidR="00D4533F" w:rsidRDefault="00D4533F">
                    <w:pPr>
                      <w:pStyle w:val="Bibliography"/>
                      <w:rPr>
                        <w:noProof/>
                      </w:rPr>
                    </w:pPr>
                    <w:r>
                      <w:rPr>
                        <w:noProof/>
                      </w:rPr>
                      <w:t xml:space="preserve">https://www.onr.org.uk/generic-design-assessment/guidance-on-assessment-of-new-nuclear-power-stations. </w:t>
                    </w:r>
                  </w:p>
                </w:tc>
              </w:tr>
              <w:tr w:rsidR="00D4533F" w14:paraId="7847E6D7" w14:textId="77777777" w:rsidTr="00D4533F">
                <w:trPr>
                  <w:divId w:val="1554853288"/>
                  <w:tblCellSpacing w:w="15" w:type="dxa"/>
                </w:trPr>
                <w:tc>
                  <w:tcPr>
                    <w:tcW w:w="368" w:type="pct"/>
                    <w:hideMark/>
                  </w:tcPr>
                  <w:p w14:paraId="28982046" w14:textId="77777777" w:rsidR="00D4533F" w:rsidRDefault="00D4533F">
                    <w:pPr>
                      <w:pStyle w:val="Bibliography"/>
                      <w:rPr>
                        <w:noProof/>
                      </w:rPr>
                    </w:pPr>
                    <w:r>
                      <w:rPr>
                        <w:noProof/>
                      </w:rPr>
                      <w:t xml:space="preserve">[15] </w:t>
                    </w:r>
                  </w:p>
                </w:tc>
                <w:tc>
                  <w:tcPr>
                    <w:tcW w:w="4582" w:type="pct"/>
                    <w:hideMark/>
                  </w:tcPr>
                  <w:p w14:paraId="6F1AF578" w14:textId="77777777" w:rsidR="00D4533F" w:rsidRDefault="00D4533F">
                    <w:pPr>
                      <w:pStyle w:val="Bibliography"/>
                      <w:rPr>
                        <w:noProof/>
                      </w:rPr>
                    </w:pPr>
                    <w:r>
                      <w:rPr>
                        <w:noProof/>
                      </w:rPr>
                      <w:t xml:space="preserve">https://www.onr.org.uk/publications/regulatory-reports/regulatory-policy/onr-rd-pol-002-risk-informed-and-targeted-engagements-rite-policy. </w:t>
                    </w:r>
                  </w:p>
                </w:tc>
              </w:tr>
              <w:tr w:rsidR="00D4533F" w14:paraId="6F7073E6" w14:textId="77777777" w:rsidTr="00D4533F">
                <w:trPr>
                  <w:divId w:val="1554853288"/>
                  <w:tblCellSpacing w:w="15" w:type="dxa"/>
                </w:trPr>
                <w:tc>
                  <w:tcPr>
                    <w:tcW w:w="368" w:type="pct"/>
                    <w:hideMark/>
                  </w:tcPr>
                  <w:p w14:paraId="796FB5D2" w14:textId="77777777" w:rsidR="00D4533F" w:rsidRDefault="00D4533F">
                    <w:pPr>
                      <w:pStyle w:val="Bibliography"/>
                      <w:rPr>
                        <w:noProof/>
                      </w:rPr>
                    </w:pPr>
                    <w:r>
                      <w:rPr>
                        <w:noProof/>
                      </w:rPr>
                      <w:t xml:space="preserve">[16] </w:t>
                    </w:r>
                  </w:p>
                </w:tc>
                <w:tc>
                  <w:tcPr>
                    <w:tcW w:w="4582" w:type="pct"/>
                    <w:hideMark/>
                  </w:tcPr>
                  <w:p w14:paraId="4D9F32E6" w14:textId="77777777" w:rsidR="00D4533F" w:rsidRDefault="00D4533F">
                    <w:pPr>
                      <w:pStyle w:val="Bibliography"/>
                      <w:rPr>
                        <w:noProof/>
                      </w:rPr>
                    </w:pPr>
                    <w:r>
                      <w:rPr>
                        <w:noProof/>
                      </w:rPr>
                      <w:t xml:space="preserve">https://www.onr.org.uk/media/4clhuezj/holtec-smr-300-step-2-summary-report-for-publication.docx. </w:t>
                    </w:r>
                  </w:p>
                </w:tc>
              </w:tr>
              <w:tr w:rsidR="00D4533F" w14:paraId="0A3BF80B" w14:textId="77777777" w:rsidTr="00D4533F">
                <w:trPr>
                  <w:divId w:val="1554853288"/>
                  <w:tblCellSpacing w:w="15" w:type="dxa"/>
                </w:trPr>
                <w:tc>
                  <w:tcPr>
                    <w:tcW w:w="368" w:type="pct"/>
                    <w:hideMark/>
                  </w:tcPr>
                  <w:p w14:paraId="481B304C" w14:textId="77777777" w:rsidR="00D4533F" w:rsidRDefault="00D4533F">
                    <w:pPr>
                      <w:pStyle w:val="Bibliography"/>
                      <w:rPr>
                        <w:noProof/>
                      </w:rPr>
                    </w:pPr>
                    <w:r>
                      <w:rPr>
                        <w:noProof/>
                      </w:rPr>
                      <w:t xml:space="preserve">[17] </w:t>
                    </w:r>
                  </w:p>
                </w:tc>
                <w:tc>
                  <w:tcPr>
                    <w:tcW w:w="4582" w:type="pct"/>
                    <w:hideMark/>
                  </w:tcPr>
                  <w:p w14:paraId="5618A342" w14:textId="77777777" w:rsidR="00D4533F" w:rsidRDefault="00D4533F">
                    <w:pPr>
                      <w:pStyle w:val="Bibliography"/>
                      <w:rPr>
                        <w:noProof/>
                      </w:rPr>
                    </w:pPr>
                    <w:r>
                      <w:rPr>
                        <w:noProof/>
                      </w:rPr>
                      <w:t xml:space="preserve">https://www.onr.org.uk/media/yx5dbcfb/holtec-smr-300-step-2-fuel-and-core-assessment-report-for-publication.docx. </w:t>
                    </w:r>
                  </w:p>
                </w:tc>
              </w:tr>
              <w:tr w:rsidR="00D4533F" w14:paraId="02B0C468" w14:textId="77777777" w:rsidTr="00D4533F">
                <w:trPr>
                  <w:divId w:val="1554853288"/>
                  <w:tblCellSpacing w:w="15" w:type="dxa"/>
                </w:trPr>
                <w:tc>
                  <w:tcPr>
                    <w:tcW w:w="368" w:type="pct"/>
                    <w:hideMark/>
                  </w:tcPr>
                  <w:p w14:paraId="39A7620A" w14:textId="77777777" w:rsidR="00D4533F" w:rsidRDefault="00D4533F">
                    <w:pPr>
                      <w:pStyle w:val="Bibliography"/>
                      <w:rPr>
                        <w:noProof/>
                      </w:rPr>
                    </w:pPr>
                    <w:r>
                      <w:rPr>
                        <w:noProof/>
                      </w:rPr>
                      <w:t xml:space="preserve">[18] </w:t>
                    </w:r>
                  </w:p>
                </w:tc>
                <w:tc>
                  <w:tcPr>
                    <w:tcW w:w="4582" w:type="pct"/>
                    <w:hideMark/>
                  </w:tcPr>
                  <w:p w14:paraId="6568DB45" w14:textId="77777777" w:rsidR="00D4533F" w:rsidRDefault="00D4533F">
                    <w:pPr>
                      <w:pStyle w:val="Bibliography"/>
                      <w:rPr>
                        <w:noProof/>
                      </w:rPr>
                    </w:pPr>
                    <w:r>
                      <w:rPr>
                        <w:noProof/>
                      </w:rPr>
                      <w:t xml:space="preserve">https://www.onr.org.uk/news/all-news/2025/09/nuclear-regulators-renew-transatlantic-agreement. </w:t>
                    </w:r>
                  </w:p>
                </w:tc>
              </w:tr>
              <w:tr w:rsidR="00D4533F" w14:paraId="4BA91E4D" w14:textId="77777777" w:rsidTr="00D4533F">
                <w:trPr>
                  <w:divId w:val="1554853288"/>
                  <w:tblCellSpacing w:w="15" w:type="dxa"/>
                </w:trPr>
                <w:tc>
                  <w:tcPr>
                    <w:tcW w:w="368" w:type="pct"/>
                    <w:hideMark/>
                  </w:tcPr>
                  <w:p w14:paraId="526B7131" w14:textId="77777777" w:rsidR="00D4533F" w:rsidRDefault="00D4533F">
                    <w:pPr>
                      <w:pStyle w:val="Bibliography"/>
                      <w:rPr>
                        <w:noProof/>
                      </w:rPr>
                    </w:pPr>
                    <w:r>
                      <w:rPr>
                        <w:noProof/>
                      </w:rPr>
                      <w:t xml:space="preserve">[19] </w:t>
                    </w:r>
                  </w:p>
                </w:tc>
                <w:tc>
                  <w:tcPr>
                    <w:tcW w:w="4582" w:type="pct"/>
                    <w:hideMark/>
                  </w:tcPr>
                  <w:p w14:paraId="7EE25378" w14:textId="77777777" w:rsidR="00D4533F" w:rsidRDefault="00D4533F">
                    <w:pPr>
                      <w:pStyle w:val="Bibliography"/>
                      <w:rPr>
                        <w:noProof/>
                      </w:rPr>
                    </w:pPr>
                    <w:r>
                      <w:rPr>
                        <w:noProof/>
                      </w:rPr>
                      <w:t xml:space="preserve">https://www.iaea.org/sites/default/files/24/11/22-00616e_ns_tech_bro_irrs_final.pdf. </w:t>
                    </w:r>
                  </w:p>
                </w:tc>
              </w:tr>
              <w:tr w:rsidR="00D4533F" w14:paraId="5A31E74F" w14:textId="77777777" w:rsidTr="00D4533F">
                <w:trPr>
                  <w:divId w:val="1554853288"/>
                  <w:tblCellSpacing w:w="15" w:type="dxa"/>
                </w:trPr>
                <w:tc>
                  <w:tcPr>
                    <w:tcW w:w="368" w:type="pct"/>
                    <w:hideMark/>
                  </w:tcPr>
                  <w:p w14:paraId="31FC459E" w14:textId="77777777" w:rsidR="00D4533F" w:rsidRDefault="00D4533F">
                    <w:pPr>
                      <w:pStyle w:val="Bibliography"/>
                      <w:rPr>
                        <w:noProof/>
                      </w:rPr>
                    </w:pPr>
                    <w:r>
                      <w:rPr>
                        <w:noProof/>
                      </w:rPr>
                      <w:t xml:space="preserve">[20] </w:t>
                    </w:r>
                  </w:p>
                </w:tc>
                <w:tc>
                  <w:tcPr>
                    <w:tcW w:w="4582" w:type="pct"/>
                    <w:hideMark/>
                  </w:tcPr>
                  <w:p w14:paraId="3607897A" w14:textId="77777777" w:rsidR="00D4533F" w:rsidRDefault="00D4533F">
                    <w:pPr>
                      <w:pStyle w:val="Bibliography"/>
                      <w:rPr>
                        <w:noProof/>
                      </w:rPr>
                    </w:pPr>
                    <w:r>
                      <w:rPr>
                        <w:noProof/>
                      </w:rPr>
                      <w:t xml:space="preserve">https://www.onr.org.uk/media/taufoxsv/bwrx-300-gda-step-2-summary-report.pdf. </w:t>
                    </w:r>
                  </w:p>
                </w:tc>
              </w:tr>
              <w:tr w:rsidR="00D4533F" w14:paraId="0F2267CF" w14:textId="77777777" w:rsidTr="00D4533F">
                <w:trPr>
                  <w:divId w:val="1554853288"/>
                  <w:tblCellSpacing w:w="15" w:type="dxa"/>
                </w:trPr>
                <w:tc>
                  <w:tcPr>
                    <w:tcW w:w="368" w:type="pct"/>
                    <w:hideMark/>
                  </w:tcPr>
                  <w:p w14:paraId="4783A14F" w14:textId="77777777" w:rsidR="00D4533F" w:rsidRDefault="00D4533F">
                    <w:pPr>
                      <w:pStyle w:val="Bibliography"/>
                      <w:rPr>
                        <w:noProof/>
                      </w:rPr>
                    </w:pPr>
                    <w:r>
                      <w:rPr>
                        <w:noProof/>
                      </w:rPr>
                      <w:t xml:space="preserve">[21] </w:t>
                    </w:r>
                  </w:p>
                </w:tc>
                <w:tc>
                  <w:tcPr>
                    <w:tcW w:w="4582" w:type="pct"/>
                    <w:hideMark/>
                  </w:tcPr>
                  <w:p w14:paraId="1FD024D9" w14:textId="77777777" w:rsidR="00D4533F" w:rsidRDefault="00D4533F">
                    <w:pPr>
                      <w:pStyle w:val="Bibliography"/>
                      <w:rPr>
                        <w:noProof/>
                      </w:rPr>
                    </w:pPr>
                    <w:r>
                      <w:rPr>
                        <w:noProof/>
                      </w:rPr>
                      <w:t xml:space="preserve">https://www.onr.org.uk/media/paehnckk/bwrx-300-gda-step-2-assessment-report-civil-engineering.pdf. </w:t>
                    </w:r>
                  </w:p>
                </w:tc>
              </w:tr>
              <w:tr w:rsidR="00D4533F" w14:paraId="40FA6B8F" w14:textId="77777777" w:rsidTr="00D4533F">
                <w:trPr>
                  <w:divId w:val="1554853288"/>
                  <w:tblCellSpacing w:w="15" w:type="dxa"/>
                </w:trPr>
                <w:tc>
                  <w:tcPr>
                    <w:tcW w:w="368" w:type="pct"/>
                    <w:hideMark/>
                  </w:tcPr>
                  <w:p w14:paraId="35F534E9" w14:textId="77777777" w:rsidR="00D4533F" w:rsidRDefault="00D4533F">
                    <w:pPr>
                      <w:pStyle w:val="Bibliography"/>
                      <w:rPr>
                        <w:noProof/>
                      </w:rPr>
                    </w:pPr>
                    <w:r>
                      <w:rPr>
                        <w:noProof/>
                      </w:rPr>
                      <w:t xml:space="preserve">[22] </w:t>
                    </w:r>
                  </w:p>
                </w:tc>
                <w:tc>
                  <w:tcPr>
                    <w:tcW w:w="4582" w:type="pct"/>
                    <w:hideMark/>
                  </w:tcPr>
                  <w:p w14:paraId="1AFB97C7" w14:textId="77777777" w:rsidR="00D4533F" w:rsidRDefault="00D4533F">
                    <w:pPr>
                      <w:pStyle w:val="Bibliography"/>
                      <w:rPr>
                        <w:noProof/>
                      </w:rPr>
                    </w:pPr>
                    <w:r>
                      <w:rPr>
                        <w:noProof/>
                      </w:rPr>
                      <w:t xml:space="preserve">https://www.canada.ca/en/nuclear-safety-commission/news/2025/04/commission-authorizes-ontario-power-generation-inc-to-construct-1-bwrx-300-reactor-at-the-darlington-new-nuclear-project-site.html. </w:t>
                    </w:r>
                  </w:p>
                </w:tc>
              </w:tr>
              <w:tr w:rsidR="00D4533F" w14:paraId="0FF724A6" w14:textId="77777777" w:rsidTr="00D4533F">
                <w:trPr>
                  <w:divId w:val="1554853288"/>
                  <w:tblCellSpacing w:w="15" w:type="dxa"/>
                </w:trPr>
                <w:tc>
                  <w:tcPr>
                    <w:tcW w:w="368" w:type="pct"/>
                    <w:hideMark/>
                  </w:tcPr>
                  <w:p w14:paraId="61FD249D" w14:textId="77777777" w:rsidR="00D4533F" w:rsidRDefault="00D4533F">
                    <w:pPr>
                      <w:pStyle w:val="Bibliography"/>
                      <w:rPr>
                        <w:noProof/>
                      </w:rPr>
                    </w:pPr>
                    <w:r>
                      <w:rPr>
                        <w:noProof/>
                      </w:rPr>
                      <w:t xml:space="preserve">[23] </w:t>
                    </w:r>
                  </w:p>
                </w:tc>
                <w:tc>
                  <w:tcPr>
                    <w:tcW w:w="4582" w:type="pct"/>
                    <w:hideMark/>
                  </w:tcPr>
                  <w:p w14:paraId="477288CE" w14:textId="77777777" w:rsidR="00D4533F" w:rsidRDefault="00D4533F">
                    <w:pPr>
                      <w:pStyle w:val="Bibliography"/>
                      <w:rPr>
                        <w:noProof/>
                      </w:rPr>
                    </w:pPr>
                    <w:r>
                      <w:rPr>
                        <w:noProof/>
                      </w:rPr>
                      <w:t xml:space="preserve">https://www.nrc.gov/docs/ML2310/ML23100A032.pdf. </w:t>
                    </w:r>
                  </w:p>
                </w:tc>
              </w:tr>
              <w:tr w:rsidR="00D4533F" w14:paraId="70EBA1B9" w14:textId="77777777" w:rsidTr="00D4533F">
                <w:trPr>
                  <w:divId w:val="1554853288"/>
                  <w:tblCellSpacing w:w="15" w:type="dxa"/>
                </w:trPr>
                <w:tc>
                  <w:tcPr>
                    <w:tcW w:w="368" w:type="pct"/>
                    <w:hideMark/>
                  </w:tcPr>
                  <w:p w14:paraId="1745B7AB" w14:textId="77777777" w:rsidR="00D4533F" w:rsidRDefault="00D4533F">
                    <w:pPr>
                      <w:pStyle w:val="Bibliography"/>
                      <w:rPr>
                        <w:noProof/>
                      </w:rPr>
                    </w:pPr>
                    <w:r>
                      <w:rPr>
                        <w:noProof/>
                      </w:rPr>
                      <w:t xml:space="preserve">[24] </w:t>
                    </w:r>
                  </w:p>
                </w:tc>
                <w:tc>
                  <w:tcPr>
                    <w:tcW w:w="4582" w:type="pct"/>
                    <w:hideMark/>
                  </w:tcPr>
                  <w:p w14:paraId="68A3D9E9" w14:textId="77777777" w:rsidR="00D4533F" w:rsidRDefault="00D4533F">
                    <w:pPr>
                      <w:pStyle w:val="Bibliography"/>
                      <w:rPr>
                        <w:noProof/>
                      </w:rPr>
                    </w:pPr>
                    <w:r>
                      <w:rPr>
                        <w:noProof/>
                      </w:rPr>
                      <w:t xml:space="preserve">https://www.onr.org.uk/news/all-news/2024/03/onr-signs-memorandum-of-cooperation-with-nrc-and-cnsc. </w:t>
                    </w:r>
                  </w:p>
                </w:tc>
              </w:tr>
            </w:tbl>
            <w:p w14:paraId="1AA82D7F" w14:textId="77777777" w:rsidR="00D4533F" w:rsidRDefault="00D4533F">
              <w:pPr>
                <w:divId w:val="1554853288"/>
                <w:rPr>
                  <w:rFonts w:eastAsia="Times New Roman"/>
                  <w:noProof/>
                </w:rPr>
              </w:pPr>
            </w:p>
            <w:p w14:paraId="1BF6AC1A" w14:textId="44CC9A76" w:rsidR="0075113B" w:rsidRDefault="0075113B" w:rsidP="00FD6986">
              <w:pPr>
                <w:pStyle w:val="Paragraph"/>
              </w:pPr>
              <w:r>
                <w:rPr>
                  <w:b/>
                  <w:bCs/>
                  <w:noProof/>
                </w:rPr>
                <w:fldChar w:fldCharType="end"/>
              </w:r>
            </w:p>
          </w:sdtContent>
        </w:sdt>
      </w:sdtContent>
    </w:sdt>
    <w:sectPr w:rsidR="0075113B" w:rsidSect="009D2911">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C43C9" w14:textId="77777777" w:rsidR="00EF3757" w:rsidRDefault="00EF3757" w:rsidP="007D199A">
      <w:pPr>
        <w:spacing w:after="0"/>
      </w:pPr>
      <w:r>
        <w:separator/>
      </w:r>
    </w:p>
    <w:p w14:paraId="3CE136E8" w14:textId="77777777" w:rsidR="00EF3757" w:rsidRDefault="00EF3757"/>
  </w:endnote>
  <w:endnote w:type="continuationSeparator" w:id="0">
    <w:p w14:paraId="6A3DEF04" w14:textId="77777777" w:rsidR="00EF3757" w:rsidRDefault="00EF3757" w:rsidP="007D199A">
      <w:pPr>
        <w:spacing w:after="0"/>
      </w:pPr>
      <w:r>
        <w:continuationSeparator/>
      </w:r>
    </w:p>
    <w:p w14:paraId="65075760" w14:textId="77777777" w:rsidR="00EF3757" w:rsidRDefault="00EF3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XLModOT">
    <w:altName w:val="Calibri"/>
    <w:panose1 w:val="020B0603060502020204"/>
    <w:charset w:val="00"/>
    <w:family w:val="swiss"/>
    <w:notTrueType/>
    <w:pitch w:val="variable"/>
    <w:sig w:usb0="00000003" w:usb1="00000001"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7C14FB02" w:rsidR="007C3C1D" w:rsidRPr="00257B9C" w:rsidRDefault="00257B9C" w:rsidP="00257B9C">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EE7B" w14:textId="77777777" w:rsidR="000477BB" w:rsidRPr="00C80239" w:rsidRDefault="000477BB">
    <w:pPr>
      <w:pStyle w:val="Footer"/>
      <w:tabs>
        <w:tab w:val="clear" w:pos="4513"/>
        <w:tab w:val="clear" w:pos="9026"/>
      </w:tabs>
      <w:rPr>
        <w:b/>
        <w:color w:val="5D7F36"/>
        <w:sz w:val="22"/>
      </w:rPr>
    </w:pPr>
    <w:r w:rsidRPr="007F24E1">
      <w:rPr>
        <w:color w:val="5D7F36"/>
      </w:rPr>
      <w:t xml:space="preserve">Page | </w:t>
    </w:r>
    <w:r w:rsidRPr="007F24E1">
      <w:rPr>
        <w:color w:val="5D7F36"/>
      </w:rPr>
      <w:fldChar w:fldCharType="begin"/>
    </w:r>
    <w:r w:rsidRPr="007F24E1">
      <w:rPr>
        <w:color w:val="5D7F36"/>
      </w:rPr>
      <w:instrText>PAGE   \* MERGEFORMAT</w:instrText>
    </w:r>
    <w:r w:rsidRPr="007F24E1">
      <w:rPr>
        <w:color w:val="5D7F36"/>
      </w:rPr>
      <w:fldChar w:fldCharType="separate"/>
    </w:r>
    <w:r w:rsidRPr="007F24E1">
      <w:rPr>
        <w:color w:val="5D7F36"/>
      </w:rPr>
      <w:t>1</w:t>
    </w:r>
    <w:r w:rsidRPr="007F24E1">
      <w:rPr>
        <w:color w:val="5D7F3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26EAD" w14:textId="77777777" w:rsidR="00EF3757" w:rsidRPr="005E0344" w:rsidRDefault="00EF3757" w:rsidP="005E0344">
      <w:pPr>
        <w:rPr>
          <w:color w:val="000000" w:themeColor="text2"/>
        </w:rPr>
      </w:pPr>
      <w:r w:rsidRPr="005E0344">
        <w:rPr>
          <w:color w:val="000000" w:themeColor="text2"/>
        </w:rPr>
        <w:separator/>
      </w:r>
    </w:p>
  </w:footnote>
  <w:footnote w:type="continuationSeparator" w:id="0">
    <w:p w14:paraId="420FDF08" w14:textId="77777777" w:rsidR="00EF3757" w:rsidRPr="005E0344" w:rsidRDefault="00EF3757" w:rsidP="0090581D">
      <w:pPr>
        <w:rPr>
          <w:color w:val="000000" w:themeColor="text2"/>
        </w:rPr>
      </w:pPr>
      <w:r w:rsidRPr="005E0344">
        <w:rPr>
          <w:color w:val="000000" w:themeColor="text2"/>
        </w:rPr>
        <w:continuationSeparator/>
      </w:r>
    </w:p>
    <w:p w14:paraId="75EC1643" w14:textId="77777777" w:rsidR="00EF3757" w:rsidRDefault="00EF3757"/>
  </w:footnote>
  <w:footnote w:type="continuationNotice" w:id="1">
    <w:p w14:paraId="283BE967" w14:textId="77777777" w:rsidR="00EF3757" w:rsidRDefault="00EF3757">
      <w:pPr>
        <w:spacing w:after="0"/>
      </w:pPr>
    </w:p>
    <w:p w14:paraId="1D75E3EB" w14:textId="77777777" w:rsidR="00EF3757" w:rsidRDefault="00EF37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A914" w14:textId="13041803" w:rsidR="000477BB" w:rsidRPr="000477BB" w:rsidRDefault="00F435EA" w:rsidP="000477BB">
    <w:pPr>
      <w:pStyle w:val="Header"/>
      <w:pBdr>
        <w:bottom w:val="single" w:sz="4" w:space="1" w:color="auto"/>
      </w:pBdr>
      <w:rPr>
        <w:sz w:val="20"/>
        <w:szCs w:val="24"/>
      </w:rPr>
    </w:pPr>
    <w:r>
      <w:rPr>
        <w:sz w:val="20"/>
        <w:szCs w:val="24"/>
      </w:rPr>
      <w:t>Leveraging international regulators’ assessments</w:t>
    </w:r>
    <w:r w:rsidR="000477BB" w:rsidRPr="000477BB">
      <w:rPr>
        <w:sz w:val="20"/>
        <w:szCs w:val="24"/>
      </w:rPr>
      <w:t xml:space="preserve"> | Issue: </w:t>
    </w:r>
    <w:r w:rsidR="00087509">
      <w:rPr>
        <w:sz w:val="20"/>
        <w:szCs w:val="24"/>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CF823CF" w:rsidR="00177666" w:rsidRPr="003A7E1C" w:rsidRDefault="00F435EA" w:rsidP="009E0E52">
    <w:pPr>
      <w:pStyle w:val="Header"/>
      <w:rPr>
        <w:sz w:val="20"/>
        <w:szCs w:val="24"/>
      </w:rPr>
    </w:pPr>
    <w:r>
      <w:rPr>
        <w:sz w:val="20"/>
        <w:szCs w:val="24"/>
      </w:rPr>
      <w:t>Leveraging international regulators’ assessments</w:t>
    </w:r>
    <w:r w:rsidR="004E3932" w:rsidRPr="003A7E1C">
      <w:rPr>
        <w:sz w:val="20"/>
        <w:szCs w:val="24"/>
      </w:rPr>
      <w:t xml:space="preserve"> | Issue: </w:t>
    </w:r>
    <w:r w:rsidR="00087509">
      <w:rPr>
        <w:sz w:val="20"/>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AC0520"/>
    <w:multiLevelType w:val="hybridMultilevel"/>
    <w:tmpl w:val="7750C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8F1D31"/>
    <w:multiLevelType w:val="multilevel"/>
    <w:tmpl w:val="8362AB4E"/>
    <w:lvl w:ilvl="0">
      <w:start w:val="1"/>
      <w:numFmt w:val="bullet"/>
      <w:pStyle w:val="ONRBulletlist1"/>
      <w:lvlText w:val=""/>
      <w:lvlJc w:val="left"/>
      <w:pPr>
        <w:ind w:left="567" w:hanging="283"/>
      </w:pPr>
      <w:rPr>
        <w:rFonts w:ascii="Symbol" w:hAnsi="Symbol" w:hint="default"/>
        <w:color w:val="90C346"/>
      </w:rPr>
    </w:lvl>
    <w:lvl w:ilvl="1">
      <w:start w:val="1"/>
      <w:numFmt w:val="bullet"/>
      <w:lvlText w:val="o"/>
      <w:lvlJc w:val="left"/>
      <w:pPr>
        <w:ind w:left="851" w:hanging="284"/>
      </w:pPr>
      <w:rPr>
        <w:rFonts w:ascii="Courier New" w:hAnsi="Courier New" w:hint="default"/>
        <w:color w:val="90C346"/>
      </w:rPr>
    </w:lvl>
    <w:lvl w:ilvl="2">
      <w:start w:val="1"/>
      <w:numFmt w:val="bullet"/>
      <w:lvlText w:val="»"/>
      <w:lvlJc w:val="left"/>
      <w:pPr>
        <w:ind w:left="851" w:hanging="284"/>
      </w:pPr>
      <w:rPr>
        <w:rFonts w:ascii="Arial" w:hAnsi="Arial" w:hint="default"/>
        <w:color w:val="90C346"/>
      </w:rPr>
    </w:lvl>
    <w:lvl w:ilvl="3">
      <w:start w:val="1"/>
      <w:numFmt w:val="bullet"/>
      <w:lvlText w:val=""/>
      <w:lvlJc w:val="left"/>
      <w:pPr>
        <w:ind w:left="851" w:hanging="284"/>
      </w:pPr>
      <w:rPr>
        <w:rFonts w:ascii="Wingdings" w:hAnsi="Wingdings" w:hint="default"/>
        <w:color w:val="90C346"/>
      </w:rPr>
    </w:lvl>
    <w:lvl w:ilvl="4">
      <w:start w:val="1"/>
      <w:numFmt w:val="bullet"/>
      <w:lvlText w:val=""/>
      <w:lvlJc w:val="left"/>
      <w:pPr>
        <w:ind w:left="1134" w:hanging="283"/>
      </w:pPr>
      <w:rPr>
        <w:rFonts w:ascii="Symbol" w:hAnsi="Symbol" w:hint="default"/>
        <w:color w:val="90C346"/>
      </w:rPr>
    </w:lvl>
    <w:lvl w:ilvl="5">
      <w:start w:val="1"/>
      <w:numFmt w:val="bullet"/>
      <w:lvlText w:val=""/>
      <w:lvlJc w:val="left"/>
      <w:pPr>
        <w:ind w:left="1418" w:hanging="284"/>
      </w:pPr>
      <w:rPr>
        <w:rFonts w:ascii="Wingdings" w:hAnsi="Wingdings" w:hint="default"/>
        <w:color w:val="90C346"/>
      </w:rPr>
    </w:lvl>
    <w:lvl w:ilvl="6">
      <w:start w:val="1"/>
      <w:numFmt w:val="bullet"/>
      <w:lvlText w:val=""/>
      <w:lvlJc w:val="left"/>
      <w:pPr>
        <w:ind w:left="1701" w:hanging="283"/>
      </w:pPr>
      <w:rPr>
        <w:rFonts w:ascii="Symbol" w:hAnsi="Symbol" w:hint="default"/>
        <w:color w:val="90C346"/>
      </w:rPr>
    </w:lvl>
    <w:lvl w:ilvl="7">
      <w:start w:val="1"/>
      <w:numFmt w:val="bullet"/>
      <w:lvlText w:val=""/>
      <w:lvlJc w:val="left"/>
      <w:pPr>
        <w:ind w:left="1985" w:hanging="284"/>
      </w:pPr>
      <w:rPr>
        <w:rFonts w:ascii="Symbol" w:hAnsi="Symbol" w:hint="default"/>
        <w:color w:val="90C346"/>
      </w:rPr>
    </w:lvl>
    <w:lvl w:ilvl="8">
      <w:start w:val="1"/>
      <w:numFmt w:val="bullet"/>
      <w:lvlText w:val=""/>
      <w:lvlJc w:val="left"/>
      <w:pPr>
        <w:ind w:left="2268" w:hanging="283"/>
      </w:pPr>
      <w:rPr>
        <w:rFonts w:ascii="Wingdings" w:hAnsi="Wingdings" w:hint="default"/>
        <w:color w:val="90C346"/>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A84177"/>
    <w:multiLevelType w:val="hybridMultilevel"/>
    <w:tmpl w:val="BB8A291C"/>
    <w:lvl w:ilvl="0" w:tplc="7370F4DE">
      <w:start w:val="1"/>
      <w:numFmt w:val="decimal"/>
      <w:pStyle w:val="BodyText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9E6CE4"/>
    <w:multiLevelType w:val="multilevel"/>
    <w:tmpl w:val="EC806EFE"/>
    <w:lvl w:ilvl="0">
      <w:start w:val="1"/>
      <w:numFmt w:val="bullet"/>
      <w:pStyle w:val="TabletextBulletlist1"/>
      <w:lvlText w:val=""/>
      <w:lvlJc w:val="left"/>
      <w:pPr>
        <w:ind w:left="360" w:hanging="360"/>
      </w:pPr>
      <w:rPr>
        <w:rFonts w:ascii="Symbol" w:hAnsi="Symbol" w:hint="default"/>
        <w:color w:val="90C346"/>
        <w:sz w:val="22"/>
      </w:rPr>
    </w:lvl>
    <w:lvl w:ilvl="1">
      <w:start w:val="1"/>
      <w:numFmt w:val="bullet"/>
      <w:lvlText w:val="o"/>
      <w:lvlJc w:val="left"/>
      <w:pPr>
        <w:ind w:left="1440" w:hanging="360"/>
      </w:pPr>
      <w:rPr>
        <w:rFonts w:ascii="Courier New" w:hAnsi="Courier New" w:hint="default"/>
        <w:color w:val="90C346"/>
      </w:rPr>
    </w:lvl>
    <w:lvl w:ilvl="2">
      <w:start w:val="1"/>
      <w:numFmt w:val="bullet"/>
      <w:lvlText w:val=""/>
      <w:lvlJc w:val="left"/>
      <w:pPr>
        <w:ind w:left="2160" w:hanging="360"/>
      </w:pPr>
      <w:rPr>
        <w:rFonts w:ascii="Wingdings" w:hAnsi="Wingdings" w:hint="default"/>
        <w:color w:val="90C346"/>
      </w:rPr>
    </w:lvl>
    <w:lvl w:ilvl="3">
      <w:start w:val="1"/>
      <w:numFmt w:val="bullet"/>
      <w:lvlText w:val=""/>
      <w:lvlJc w:val="left"/>
      <w:pPr>
        <w:ind w:left="2880" w:hanging="360"/>
      </w:pPr>
      <w:rPr>
        <w:rFonts w:ascii="Symbol" w:hAnsi="Symbol" w:hint="default"/>
        <w:color w:val="90C346"/>
      </w:rPr>
    </w:lvl>
    <w:lvl w:ilvl="4">
      <w:start w:val="1"/>
      <w:numFmt w:val="bullet"/>
      <w:lvlText w:val="o"/>
      <w:lvlJc w:val="left"/>
      <w:pPr>
        <w:ind w:left="3600" w:hanging="360"/>
      </w:pPr>
      <w:rPr>
        <w:rFonts w:ascii="Courier New" w:hAnsi="Courier New" w:hint="default"/>
        <w:color w:val="90C346"/>
      </w:rPr>
    </w:lvl>
    <w:lvl w:ilvl="5">
      <w:start w:val="1"/>
      <w:numFmt w:val="bullet"/>
      <w:lvlText w:val=""/>
      <w:lvlJc w:val="left"/>
      <w:pPr>
        <w:ind w:left="4320" w:hanging="360"/>
      </w:pPr>
      <w:rPr>
        <w:rFonts w:ascii="Wingdings" w:hAnsi="Wingdings" w:hint="default"/>
        <w:color w:val="90C346"/>
      </w:rPr>
    </w:lvl>
    <w:lvl w:ilvl="6">
      <w:start w:val="1"/>
      <w:numFmt w:val="bullet"/>
      <w:lvlText w:val=""/>
      <w:lvlJc w:val="left"/>
      <w:pPr>
        <w:ind w:left="5040" w:hanging="360"/>
      </w:pPr>
      <w:rPr>
        <w:rFonts w:ascii="Symbol" w:hAnsi="Symbol" w:hint="default"/>
        <w:color w:val="90C346"/>
      </w:rPr>
    </w:lvl>
    <w:lvl w:ilvl="7">
      <w:start w:val="1"/>
      <w:numFmt w:val="bullet"/>
      <w:lvlText w:val="o"/>
      <w:lvlJc w:val="left"/>
      <w:pPr>
        <w:ind w:left="5760" w:hanging="360"/>
      </w:pPr>
      <w:rPr>
        <w:rFonts w:ascii="Courier New" w:hAnsi="Courier New" w:hint="default"/>
        <w:color w:val="90C346"/>
      </w:rPr>
    </w:lvl>
    <w:lvl w:ilvl="8">
      <w:start w:val="1"/>
      <w:numFmt w:val="bullet"/>
      <w:lvlText w:val=""/>
      <w:lvlJc w:val="left"/>
      <w:pPr>
        <w:ind w:left="6480" w:hanging="360"/>
      </w:pPr>
      <w:rPr>
        <w:rFonts w:ascii="Wingdings" w:hAnsi="Wingdings" w:hint="default"/>
        <w:color w:val="90C346"/>
      </w:rPr>
    </w:lvl>
  </w:abstractNum>
  <w:abstractNum w:abstractNumId="21" w15:restartNumberingAfterBreak="0">
    <w:nsid w:val="695414DC"/>
    <w:multiLevelType w:val="multilevel"/>
    <w:tmpl w:val="D068CC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8"/>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B7793E"/>
    <w:multiLevelType w:val="multilevel"/>
    <w:tmpl w:val="A5123FA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86228C3"/>
    <w:multiLevelType w:val="hybridMultilevel"/>
    <w:tmpl w:val="D9B8F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77816">
    <w:abstractNumId w:val="9"/>
  </w:num>
  <w:num w:numId="2" w16cid:durableId="1801269284">
    <w:abstractNumId w:val="7"/>
  </w:num>
  <w:num w:numId="3" w16cid:durableId="2146773386">
    <w:abstractNumId w:val="6"/>
  </w:num>
  <w:num w:numId="4" w16cid:durableId="1415661277">
    <w:abstractNumId w:val="5"/>
  </w:num>
  <w:num w:numId="5" w16cid:durableId="1913613573">
    <w:abstractNumId w:val="4"/>
  </w:num>
  <w:num w:numId="6" w16cid:durableId="1714236246">
    <w:abstractNumId w:val="8"/>
  </w:num>
  <w:num w:numId="7" w16cid:durableId="1821143907">
    <w:abstractNumId w:val="3"/>
  </w:num>
  <w:num w:numId="8" w16cid:durableId="120006169">
    <w:abstractNumId w:val="2"/>
  </w:num>
  <w:num w:numId="9" w16cid:durableId="28534602">
    <w:abstractNumId w:val="1"/>
  </w:num>
  <w:num w:numId="10" w16cid:durableId="1886526238">
    <w:abstractNumId w:val="0"/>
  </w:num>
  <w:num w:numId="11" w16cid:durableId="744571433">
    <w:abstractNumId w:val="11"/>
  </w:num>
  <w:num w:numId="12" w16cid:durableId="1790587205">
    <w:abstractNumId w:val="23"/>
  </w:num>
  <w:num w:numId="13" w16cid:durableId="2039507304">
    <w:abstractNumId w:val="16"/>
  </w:num>
  <w:num w:numId="14" w16cid:durableId="458843873">
    <w:abstractNumId w:val="12"/>
  </w:num>
  <w:num w:numId="15" w16cid:durableId="604927007">
    <w:abstractNumId w:val="23"/>
    <w:lvlOverride w:ilvl="0">
      <w:startOverride w:val="1"/>
    </w:lvlOverride>
  </w:num>
  <w:num w:numId="16" w16cid:durableId="902449151">
    <w:abstractNumId w:val="16"/>
    <w:lvlOverride w:ilvl="0">
      <w:startOverride w:val="1"/>
    </w:lvlOverride>
  </w:num>
  <w:num w:numId="17" w16cid:durableId="1555969449">
    <w:abstractNumId w:val="12"/>
    <w:lvlOverride w:ilvl="0">
      <w:startOverride w:val="1"/>
    </w:lvlOverride>
  </w:num>
  <w:num w:numId="18" w16cid:durableId="218565001">
    <w:abstractNumId w:val="22"/>
  </w:num>
  <w:num w:numId="19" w16cid:durableId="121003959">
    <w:abstractNumId w:val="17"/>
  </w:num>
  <w:num w:numId="20" w16cid:durableId="764035773">
    <w:abstractNumId w:val="15"/>
  </w:num>
  <w:num w:numId="21" w16cid:durableId="1548184357">
    <w:abstractNumId w:val="19"/>
  </w:num>
  <w:num w:numId="22" w16cid:durableId="1718358872">
    <w:abstractNumId w:val="14"/>
  </w:num>
  <w:num w:numId="23" w16cid:durableId="237180586">
    <w:abstractNumId w:val="23"/>
  </w:num>
  <w:num w:numId="24" w16cid:durableId="14710976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2937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8129548">
    <w:abstractNumId w:val="20"/>
  </w:num>
  <w:num w:numId="27" w16cid:durableId="2062053984">
    <w:abstractNumId w:val="13"/>
  </w:num>
  <w:num w:numId="28" w16cid:durableId="1147016145">
    <w:abstractNumId w:val="21"/>
  </w:num>
  <w:num w:numId="29" w16cid:durableId="1764033098">
    <w:abstractNumId w:val="24"/>
  </w:num>
  <w:num w:numId="30" w16cid:durableId="1462189035">
    <w:abstractNumId w:val="18"/>
  </w:num>
  <w:num w:numId="31" w16cid:durableId="1966302766">
    <w:abstractNumId w:val="10"/>
  </w:num>
  <w:num w:numId="32" w16cid:durableId="462255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C7"/>
    <w:rsid w:val="00002389"/>
    <w:rsid w:val="00002F03"/>
    <w:rsid w:val="000035A8"/>
    <w:rsid w:val="00004C16"/>
    <w:rsid w:val="000066C0"/>
    <w:rsid w:val="000077BB"/>
    <w:rsid w:val="00007B0E"/>
    <w:rsid w:val="00007EE8"/>
    <w:rsid w:val="00011177"/>
    <w:rsid w:val="00012EB2"/>
    <w:rsid w:val="0001409A"/>
    <w:rsid w:val="00014814"/>
    <w:rsid w:val="00015842"/>
    <w:rsid w:val="00020D08"/>
    <w:rsid w:val="00021844"/>
    <w:rsid w:val="0002231A"/>
    <w:rsid w:val="00022582"/>
    <w:rsid w:val="00022A3C"/>
    <w:rsid w:val="00024522"/>
    <w:rsid w:val="00024B2E"/>
    <w:rsid w:val="000275B9"/>
    <w:rsid w:val="00027F4F"/>
    <w:rsid w:val="00030430"/>
    <w:rsid w:val="0003078E"/>
    <w:rsid w:val="00031B89"/>
    <w:rsid w:val="00032D3A"/>
    <w:rsid w:val="0003693D"/>
    <w:rsid w:val="000400EC"/>
    <w:rsid w:val="00041B25"/>
    <w:rsid w:val="00042A42"/>
    <w:rsid w:val="000435A7"/>
    <w:rsid w:val="0004440F"/>
    <w:rsid w:val="00045626"/>
    <w:rsid w:val="000459F1"/>
    <w:rsid w:val="000477BB"/>
    <w:rsid w:val="000517F3"/>
    <w:rsid w:val="00051B63"/>
    <w:rsid w:val="00052C8A"/>
    <w:rsid w:val="000548C8"/>
    <w:rsid w:val="00055BB5"/>
    <w:rsid w:val="0005631E"/>
    <w:rsid w:val="00056344"/>
    <w:rsid w:val="000568C9"/>
    <w:rsid w:val="00061418"/>
    <w:rsid w:val="00064BF4"/>
    <w:rsid w:val="0006581B"/>
    <w:rsid w:val="000661EE"/>
    <w:rsid w:val="00071C26"/>
    <w:rsid w:val="00073825"/>
    <w:rsid w:val="00075605"/>
    <w:rsid w:val="00075BC1"/>
    <w:rsid w:val="00075C66"/>
    <w:rsid w:val="0007649A"/>
    <w:rsid w:val="00076B00"/>
    <w:rsid w:val="00077ECC"/>
    <w:rsid w:val="000808EB"/>
    <w:rsid w:val="00080CFC"/>
    <w:rsid w:val="00080ED9"/>
    <w:rsid w:val="000817D4"/>
    <w:rsid w:val="00082879"/>
    <w:rsid w:val="00083E6D"/>
    <w:rsid w:val="00084FE6"/>
    <w:rsid w:val="000859E0"/>
    <w:rsid w:val="00086567"/>
    <w:rsid w:val="0008673C"/>
    <w:rsid w:val="00087509"/>
    <w:rsid w:val="00087807"/>
    <w:rsid w:val="00087E8B"/>
    <w:rsid w:val="00090E48"/>
    <w:rsid w:val="0009177E"/>
    <w:rsid w:val="00091EEA"/>
    <w:rsid w:val="0009287C"/>
    <w:rsid w:val="00092D19"/>
    <w:rsid w:val="000A105C"/>
    <w:rsid w:val="000A2305"/>
    <w:rsid w:val="000A32CF"/>
    <w:rsid w:val="000A3C8A"/>
    <w:rsid w:val="000A47CE"/>
    <w:rsid w:val="000A7FB3"/>
    <w:rsid w:val="000B09F0"/>
    <w:rsid w:val="000B325F"/>
    <w:rsid w:val="000B55B8"/>
    <w:rsid w:val="000C20E4"/>
    <w:rsid w:val="000C2DDC"/>
    <w:rsid w:val="000D2EDD"/>
    <w:rsid w:val="000D2FD4"/>
    <w:rsid w:val="000E4828"/>
    <w:rsid w:val="000E4B04"/>
    <w:rsid w:val="000E5602"/>
    <w:rsid w:val="000F1B7B"/>
    <w:rsid w:val="000F2281"/>
    <w:rsid w:val="000F2ED4"/>
    <w:rsid w:val="000F735D"/>
    <w:rsid w:val="001005A1"/>
    <w:rsid w:val="001015AE"/>
    <w:rsid w:val="0010245E"/>
    <w:rsid w:val="001028E8"/>
    <w:rsid w:val="00103124"/>
    <w:rsid w:val="0010453E"/>
    <w:rsid w:val="001172B0"/>
    <w:rsid w:val="00120F60"/>
    <w:rsid w:val="001214CA"/>
    <w:rsid w:val="00122FCC"/>
    <w:rsid w:val="00124C2B"/>
    <w:rsid w:val="00126752"/>
    <w:rsid w:val="00130B30"/>
    <w:rsid w:val="00130E77"/>
    <w:rsid w:val="00134A40"/>
    <w:rsid w:val="001406B7"/>
    <w:rsid w:val="00140E1C"/>
    <w:rsid w:val="00143B5B"/>
    <w:rsid w:val="00143B90"/>
    <w:rsid w:val="00146211"/>
    <w:rsid w:val="00146A64"/>
    <w:rsid w:val="00146E4B"/>
    <w:rsid w:val="00147AE4"/>
    <w:rsid w:val="0015565C"/>
    <w:rsid w:val="00155994"/>
    <w:rsid w:val="00156B3F"/>
    <w:rsid w:val="001571E5"/>
    <w:rsid w:val="00157EA4"/>
    <w:rsid w:val="001619C3"/>
    <w:rsid w:val="00162038"/>
    <w:rsid w:val="00163482"/>
    <w:rsid w:val="00164094"/>
    <w:rsid w:val="0016532D"/>
    <w:rsid w:val="001672A7"/>
    <w:rsid w:val="00171494"/>
    <w:rsid w:val="00173DA9"/>
    <w:rsid w:val="001759A0"/>
    <w:rsid w:val="00175A5D"/>
    <w:rsid w:val="00176ADA"/>
    <w:rsid w:val="00177666"/>
    <w:rsid w:val="00180B73"/>
    <w:rsid w:val="001849CA"/>
    <w:rsid w:val="00185410"/>
    <w:rsid w:val="00186A18"/>
    <w:rsid w:val="00186B56"/>
    <w:rsid w:val="00187EA8"/>
    <w:rsid w:val="001902AB"/>
    <w:rsid w:val="00192352"/>
    <w:rsid w:val="001923AF"/>
    <w:rsid w:val="0019625E"/>
    <w:rsid w:val="00197C32"/>
    <w:rsid w:val="001A40BA"/>
    <w:rsid w:val="001A434E"/>
    <w:rsid w:val="001A4586"/>
    <w:rsid w:val="001A4F85"/>
    <w:rsid w:val="001A74CC"/>
    <w:rsid w:val="001B1636"/>
    <w:rsid w:val="001B27A7"/>
    <w:rsid w:val="001B4801"/>
    <w:rsid w:val="001B5A20"/>
    <w:rsid w:val="001B7F93"/>
    <w:rsid w:val="001C37FA"/>
    <w:rsid w:val="001C4CA5"/>
    <w:rsid w:val="001C4D63"/>
    <w:rsid w:val="001C68B5"/>
    <w:rsid w:val="001C754C"/>
    <w:rsid w:val="001C75B2"/>
    <w:rsid w:val="001D02C5"/>
    <w:rsid w:val="001D073A"/>
    <w:rsid w:val="001D0DE0"/>
    <w:rsid w:val="001D10D1"/>
    <w:rsid w:val="001D2517"/>
    <w:rsid w:val="001D49E2"/>
    <w:rsid w:val="001D4E40"/>
    <w:rsid w:val="001D58B2"/>
    <w:rsid w:val="001D5AFF"/>
    <w:rsid w:val="001D6F7C"/>
    <w:rsid w:val="001D74B4"/>
    <w:rsid w:val="001D74B8"/>
    <w:rsid w:val="001E03E1"/>
    <w:rsid w:val="001E359D"/>
    <w:rsid w:val="001F059F"/>
    <w:rsid w:val="001F34E5"/>
    <w:rsid w:val="001F41E6"/>
    <w:rsid w:val="001F6AE7"/>
    <w:rsid w:val="001F6E6B"/>
    <w:rsid w:val="00200811"/>
    <w:rsid w:val="00200CA1"/>
    <w:rsid w:val="00200DA6"/>
    <w:rsid w:val="00202D53"/>
    <w:rsid w:val="00207B19"/>
    <w:rsid w:val="0021104A"/>
    <w:rsid w:val="00211188"/>
    <w:rsid w:val="0021338D"/>
    <w:rsid w:val="00213834"/>
    <w:rsid w:val="00214D43"/>
    <w:rsid w:val="00215E68"/>
    <w:rsid w:val="00215EAD"/>
    <w:rsid w:val="0021747C"/>
    <w:rsid w:val="00223090"/>
    <w:rsid w:val="002238B4"/>
    <w:rsid w:val="002317A3"/>
    <w:rsid w:val="002319AB"/>
    <w:rsid w:val="002319AC"/>
    <w:rsid w:val="00232936"/>
    <w:rsid w:val="00234342"/>
    <w:rsid w:val="00236AFF"/>
    <w:rsid w:val="0024040D"/>
    <w:rsid w:val="00243C1A"/>
    <w:rsid w:val="00251738"/>
    <w:rsid w:val="00251CD7"/>
    <w:rsid w:val="00252D68"/>
    <w:rsid w:val="002551B8"/>
    <w:rsid w:val="00255FA3"/>
    <w:rsid w:val="002563DA"/>
    <w:rsid w:val="00257288"/>
    <w:rsid w:val="00257B9C"/>
    <w:rsid w:val="00260B79"/>
    <w:rsid w:val="00261C53"/>
    <w:rsid w:val="00261FB6"/>
    <w:rsid w:val="0026269B"/>
    <w:rsid w:val="002629F8"/>
    <w:rsid w:val="00263396"/>
    <w:rsid w:val="002659FA"/>
    <w:rsid w:val="00265E92"/>
    <w:rsid w:val="00267815"/>
    <w:rsid w:val="002711E6"/>
    <w:rsid w:val="00274524"/>
    <w:rsid w:val="00274C8F"/>
    <w:rsid w:val="00275509"/>
    <w:rsid w:val="00280DDF"/>
    <w:rsid w:val="002818C0"/>
    <w:rsid w:val="002917FF"/>
    <w:rsid w:val="00292259"/>
    <w:rsid w:val="00292ADF"/>
    <w:rsid w:val="0029348F"/>
    <w:rsid w:val="002A0547"/>
    <w:rsid w:val="002A0DEC"/>
    <w:rsid w:val="002A47BF"/>
    <w:rsid w:val="002A6CEA"/>
    <w:rsid w:val="002B1C53"/>
    <w:rsid w:val="002B2A92"/>
    <w:rsid w:val="002B54EA"/>
    <w:rsid w:val="002B664E"/>
    <w:rsid w:val="002B6937"/>
    <w:rsid w:val="002C12FE"/>
    <w:rsid w:val="002C5EED"/>
    <w:rsid w:val="002C7D8E"/>
    <w:rsid w:val="002D062D"/>
    <w:rsid w:val="002D2766"/>
    <w:rsid w:val="002D3193"/>
    <w:rsid w:val="002D6603"/>
    <w:rsid w:val="002D7628"/>
    <w:rsid w:val="002D770D"/>
    <w:rsid w:val="002E05C6"/>
    <w:rsid w:val="002E0BE4"/>
    <w:rsid w:val="002E20AC"/>
    <w:rsid w:val="002E3B58"/>
    <w:rsid w:val="002E3E8A"/>
    <w:rsid w:val="002E6A6A"/>
    <w:rsid w:val="002F0F8D"/>
    <w:rsid w:val="002F1D1D"/>
    <w:rsid w:val="002F3380"/>
    <w:rsid w:val="002F3397"/>
    <w:rsid w:val="002F6B48"/>
    <w:rsid w:val="003033CD"/>
    <w:rsid w:val="0030380D"/>
    <w:rsid w:val="003040F6"/>
    <w:rsid w:val="003049ED"/>
    <w:rsid w:val="003052FA"/>
    <w:rsid w:val="00305CCC"/>
    <w:rsid w:val="00312411"/>
    <w:rsid w:val="00314888"/>
    <w:rsid w:val="00314971"/>
    <w:rsid w:val="003149E9"/>
    <w:rsid w:val="00321738"/>
    <w:rsid w:val="00323E71"/>
    <w:rsid w:val="00326F77"/>
    <w:rsid w:val="00331AB8"/>
    <w:rsid w:val="00333D9C"/>
    <w:rsid w:val="00336B43"/>
    <w:rsid w:val="00337CA9"/>
    <w:rsid w:val="003401B0"/>
    <w:rsid w:val="0034181A"/>
    <w:rsid w:val="003424E8"/>
    <w:rsid w:val="00345402"/>
    <w:rsid w:val="003454F1"/>
    <w:rsid w:val="00346C8E"/>
    <w:rsid w:val="00346D7B"/>
    <w:rsid w:val="00350238"/>
    <w:rsid w:val="00360E30"/>
    <w:rsid w:val="003613AE"/>
    <w:rsid w:val="003624AC"/>
    <w:rsid w:val="00364DBD"/>
    <w:rsid w:val="0036716E"/>
    <w:rsid w:val="00367413"/>
    <w:rsid w:val="00367BD5"/>
    <w:rsid w:val="003723C2"/>
    <w:rsid w:val="00377808"/>
    <w:rsid w:val="00377C22"/>
    <w:rsid w:val="00381868"/>
    <w:rsid w:val="00382FDE"/>
    <w:rsid w:val="00384D30"/>
    <w:rsid w:val="003861E3"/>
    <w:rsid w:val="00390327"/>
    <w:rsid w:val="0039168E"/>
    <w:rsid w:val="00393066"/>
    <w:rsid w:val="00393B78"/>
    <w:rsid w:val="00396E4F"/>
    <w:rsid w:val="00397B09"/>
    <w:rsid w:val="003A01E9"/>
    <w:rsid w:val="003A347E"/>
    <w:rsid w:val="003A61CB"/>
    <w:rsid w:val="003A6BFE"/>
    <w:rsid w:val="003A7645"/>
    <w:rsid w:val="003A7B44"/>
    <w:rsid w:val="003A7CF7"/>
    <w:rsid w:val="003A7E1C"/>
    <w:rsid w:val="003B0F8C"/>
    <w:rsid w:val="003B12A7"/>
    <w:rsid w:val="003B223A"/>
    <w:rsid w:val="003B467E"/>
    <w:rsid w:val="003B5076"/>
    <w:rsid w:val="003C0306"/>
    <w:rsid w:val="003C0747"/>
    <w:rsid w:val="003C114C"/>
    <w:rsid w:val="003C117F"/>
    <w:rsid w:val="003C1AD6"/>
    <w:rsid w:val="003C2604"/>
    <w:rsid w:val="003C27DD"/>
    <w:rsid w:val="003C40A7"/>
    <w:rsid w:val="003C465D"/>
    <w:rsid w:val="003D0DE0"/>
    <w:rsid w:val="003D13C1"/>
    <w:rsid w:val="003D273B"/>
    <w:rsid w:val="003D42F6"/>
    <w:rsid w:val="003D495D"/>
    <w:rsid w:val="003E098E"/>
    <w:rsid w:val="003E0997"/>
    <w:rsid w:val="003E09B4"/>
    <w:rsid w:val="003E1780"/>
    <w:rsid w:val="003E2FAE"/>
    <w:rsid w:val="003F16F9"/>
    <w:rsid w:val="003F3272"/>
    <w:rsid w:val="003F354C"/>
    <w:rsid w:val="003F502E"/>
    <w:rsid w:val="00400359"/>
    <w:rsid w:val="00404270"/>
    <w:rsid w:val="00405A34"/>
    <w:rsid w:val="00407CF7"/>
    <w:rsid w:val="00410B79"/>
    <w:rsid w:val="004124AB"/>
    <w:rsid w:val="00414364"/>
    <w:rsid w:val="00415EAD"/>
    <w:rsid w:val="00415ED6"/>
    <w:rsid w:val="00417CAF"/>
    <w:rsid w:val="00420A11"/>
    <w:rsid w:val="00422265"/>
    <w:rsid w:val="0042236E"/>
    <w:rsid w:val="00422CAE"/>
    <w:rsid w:val="0042776E"/>
    <w:rsid w:val="00430D4D"/>
    <w:rsid w:val="00430FFB"/>
    <w:rsid w:val="00431971"/>
    <w:rsid w:val="00431EFA"/>
    <w:rsid w:val="0043432E"/>
    <w:rsid w:val="004373A7"/>
    <w:rsid w:val="00437D94"/>
    <w:rsid w:val="0044030C"/>
    <w:rsid w:val="004411CF"/>
    <w:rsid w:val="00442569"/>
    <w:rsid w:val="00442D1A"/>
    <w:rsid w:val="004432EF"/>
    <w:rsid w:val="00446FAD"/>
    <w:rsid w:val="004513FA"/>
    <w:rsid w:val="00451C30"/>
    <w:rsid w:val="00452CC6"/>
    <w:rsid w:val="004541C6"/>
    <w:rsid w:val="0045740E"/>
    <w:rsid w:val="00461198"/>
    <w:rsid w:val="00462E7D"/>
    <w:rsid w:val="00463A64"/>
    <w:rsid w:val="004648A4"/>
    <w:rsid w:val="00464936"/>
    <w:rsid w:val="004662DD"/>
    <w:rsid w:val="0046711A"/>
    <w:rsid w:val="00471380"/>
    <w:rsid w:val="00475598"/>
    <w:rsid w:val="00483C65"/>
    <w:rsid w:val="00484D99"/>
    <w:rsid w:val="00484F94"/>
    <w:rsid w:val="00485282"/>
    <w:rsid w:val="00486261"/>
    <w:rsid w:val="0049174B"/>
    <w:rsid w:val="00492D3A"/>
    <w:rsid w:val="004947B9"/>
    <w:rsid w:val="00494F0D"/>
    <w:rsid w:val="00496BFD"/>
    <w:rsid w:val="00497287"/>
    <w:rsid w:val="004A22A3"/>
    <w:rsid w:val="004A311D"/>
    <w:rsid w:val="004A313B"/>
    <w:rsid w:val="004A31CD"/>
    <w:rsid w:val="004A3DF2"/>
    <w:rsid w:val="004A5E97"/>
    <w:rsid w:val="004A72A4"/>
    <w:rsid w:val="004A78B1"/>
    <w:rsid w:val="004B057B"/>
    <w:rsid w:val="004B13DF"/>
    <w:rsid w:val="004B3696"/>
    <w:rsid w:val="004B37CD"/>
    <w:rsid w:val="004B39C2"/>
    <w:rsid w:val="004B42ED"/>
    <w:rsid w:val="004B7882"/>
    <w:rsid w:val="004C22EB"/>
    <w:rsid w:val="004C33DA"/>
    <w:rsid w:val="004C361D"/>
    <w:rsid w:val="004C4891"/>
    <w:rsid w:val="004C50C6"/>
    <w:rsid w:val="004C5570"/>
    <w:rsid w:val="004C74CF"/>
    <w:rsid w:val="004D2C89"/>
    <w:rsid w:val="004D46C4"/>
    <w:rsid w:val="004D56E5"/>
    <w:rsid w:val="004E0FFF"/>
    <w:rsid w:val="004E3395"/>
    <w:rsid w:val="004E3932"/>
    <w:rsid w:val="004E4BC4"/>
    <w:rsid w:val="004E5199"/>
    <w:rsid w:val="004E5A38"/>
    <w:rsid w:val="004F07A7"/>
    <w:rsid w:val="004F0A50"/>
    <w:rsid w:val="004F0E31"/>
    <w:rsid w:val="004F1E79"/>
    <w:rsid w:val="004F354B"/>
    <w:rsid w:val="004F3B75"/>
    <w:rsid w:val="004F54D9"/>
    <w:rsid w:val="004F5F33"/>
    <w:rsid w:val="004F5F44"/>
    <w:rsid w:val="00500223"/>
    <w:rsid w:val="0050103A"/>
    <w:rsid w:val="005039E1"/>
    <w:rsid w:val="00504531"/>
    <w:rsid w:val="00504C3A"/>
    <w:rsid w:val="00504D2F"/>
    <w:rsid w:val="00511B0F"/>
    <w:rsid w:val="005144E3"/>
    <w:rsid w:val="005161BD"/>
    <w:rsid w:val="005175ED"/>
    <w:rsid w:val="00520520"/>
    <w:rsid w:val="005207C8"/>
    <w:rsid w:val="005239A5"/>
    <w:rsid w:val="005240D9"/>
    <w:rsid w:val="0052732A"/>
    <w:rsid w:val="005273CA"/>
    <w:rsid w:val="00531F51"/>
    <w:rsid w:val="00533EEE"/>
    <w:rsid w:val="00536883"/>
    <w:rsid w:val="00536FD0"/>
    <w:rsid w:val="00537951"/>
    <w:rsid w:val="005405DE"/>
    <w:rsid w:val="005415E2"/>
    <w:rsid w:val="00545DDE"/>
    <w:rsid w:val="00546FCC"/>
    <w:rsid w:val="0055388E"/>
    <w:rsid w:val="00554A4D"/>
    <w:rsid w:val="005572B8"/>
    <w:rsid w:val="005613D2"/>
    <w:rsid w:val="00562EF4"/>
    <w:rsid w:val="005658D6"/>
    <w:rsid w:val="00565D2B"/>
    <w:rsid w:val="005671FD"/>
    <w:rsid w:val="00571837"/>
    <w:rsid w:val="005754AE"/>
    <w:rsid w:val="00577633"/>
    <w:rsid w:val="00577FB5"/>
    <w:rsid w:val="0058022A"/>
    <w:rsid w:val="00582F07"/>
    <w:rsid w:val="0058300D"/>
    <w:rsid w:val="0058367B"/>
    <w:rsid w:val="005852D1"/>
    <w:rsid w:val="0058592C"/>
    <w:rsid w:val="00585A2F"/>
    <w:rsid w:val="0058633F"/>
    <w:rsid w:val="0058748D"/>
    <w:rsid w:val="00587599"/>
    <w:rsid w:val="00587A22"/>
    <w:rsid w:val="0059299D"/>
    <w:rsid w:val="00595C8C"/>
    <w:rsid w:val="00595D4C"/>
    <w:rsid w:val="00596A40"/>
    <w:rsid w:val="00596C86"/>
    <w:rsid w:val="00597747"/>
    <w:rsid w:val="005A070E"/>
    <w:rsid w:val="005A24F8"/>
    <w:rsid w:val="005A404C"/>
    <w:rsid w:val="005A4CDD"/>
    <w:rsid w:val="005B063E"/>
    <w:rsid w:val="005B0A16"/>
    <w:rsid w:val="005B140F"/>
    <w:rsid w:val="005B21AC"/>
    <w:rsid w:val="005B2FBC"/>
    <w:rsid w:val="005B41C2"/>
    <w:rsid w:val="005B5432"/>
    <w:rsid w:val="005B57E4"/>
    <w:rsid w:val="005B5A14"/>
    <w:rsid w:val="005B5ABD"/>
    <w:rsid w:val="005C0B55"/>
    <w:rsid w:val="005C140A"/>
    <w:rsid w:val="005C1AD5"/>
    <w:rsid w:val="005C1E52"/>
    <w:rsid w:val="005C3F04"/>
    <w:rsid w:val="005C51B0"/>
    <w:rsid w:val="005C6083"/>
    <w:rsid w:val="005C6763"/>
    <w:rsid w:val="005D3164"/>
    <w:rsid w:val="005D3C0E"/>
    <w:rsid w:val="005E0344"/>
    <w:rsid w:val="005E0D3A"/>
    <w:rsid w:val="005E1135"/>
    <w:rsid w:val="005E16DE"/>
    <w:rsid w:val="005E1D98"/>
    <w:rsid w:val="005E1E77"/>
    <w:rsid w:val="005E292D"/>
    <w:rsid w:val="005E40E3"/>
    <w:rsid w:val="005E440B"/>
    <w:rsid w:val="005E6DCC"/>
    <w:rsid w:val="005F2C85"/>
    <w:rsid w:val="006003B0"/>
    <w:rsid w:val="00601E74"/>
    <w:rsid w:val="0060407E"/>
    <w:rsid w:val="00604B63"/>
    <w:rsid w:val="00605089"/>
    <w:rsid w:val="00605ADB"/>
    <w:rsid w:val="00611C1B"/>
    <w:rsid w:val="00611C9F"/>
    <w:rsid w:val="006145C7"/>
    <w:rsid w:val="0061470E"/>
    <w:rsid w:val="00615872"/>
    <w:rsid w:val="0061708F"/>
    <w:rsid w:val="00621C3B"/>
    <w:rsid w:val="006248DE"/>
    <w:rsid w:val="00627555"/>
    <w:rsid w:val="0063076B"/>
    <w:rsid w:val="006322A0"/>
    <w:rsid w:val="00635B0F"/>
    <w:rsid w:val="00635F62"/>
    <w:rsid w:val="006361FD"/>
    <w:rsid w:val="00636FED"/>
    <w:rsid w:val="006414CA"/>
    <w:rsid w:val="0064226F"/>
    <w:rsid w:val="00642DDB"/>
    <w:rsid w:val="00643717"/>
    <w:rsid w:val="00643B4E"/>
    <w:rsid w:val="00645625"/>
    <w:rsid w:val="006464E3"/>
    <w:rsid w:val="00647C68"/>
    <w:rsid w:val="00653298"/>
    <w:rsid w:val="006539BB"/>
    <w:rsid w:val="006541F4"/>
    <w:rsid w:val="00655DC9"/>
    <w:rsid w:val="00662E5A"/>
    <w:rsid w:val="00663A7C"/>
    <w:rsid w:val="0066448B"/>
    <w:rsid w:val="00665615"/>
    <w:rsid w:val="00665DDD"/>
    <w:rsid w:val="00667DF2"/>
    <w:rsid w:val="00670DF1"/>
    <w:rsid w:val="00670F90"/>
    <w:rsid w:val="00671345"/>
    <w:rsid w:val="006713E6"/>
    <w:rsid w:val="00672A9B"/>
    <w:rsid w:val="00675884"/>
    <w:rsid w:val="006839B8"/>
    <w:rsid w:val="00686CF4"/>
    <w:rsid w:val="00690503"/>
    <w:rsid w:val="00690E23"/>
    <w:rsid w:val="00691D1E"/>
    <w:rsid w:val="00693670"/>
    <w:rsid w:val="0069428D"/>
    <w:rsid w:val="00696547"/>
    <w:rsid w:val="00696EE0"/>
    <w:rsid w:val="0069792B"/>
    <w:rsid w:val="00697980"/>
    <w:rsid w:val="006A0A24"/>
    <w:rsid w:val="006A19EF"/>
    <w:rsid w:val="006A24F4"/>
    <w:rsid w:val="006A29FA"/>
    <w:rsid w:val="006A2F98"/>
    <w:rsid w:val="006A43D5"/>
    <w:rsid w:val="006A525B"/>
    <w:rsid w:val="006A5376"/>
    <w:rsid w:val="006A7C69"/>
    <w:rsid w:val="006B0BB8"/>
    <w:rsid w:val="006B2CFC"/>
    <w:rsid w:val="006C045F"/>
    <w:rsid w:val="006C08C5"/>
    <w:rsid w:val="006C1883"/>
    <w:rsid w:val="006C3013"/>
    <w:rsid w:val="006C3A81"/>
    <w:rsid w:val="006C4196"/>
    <w:rsid w:val="006C63B0"/>
    <w:rsid w:val="006C76A2"/>
    <w:rsid w:val="006C792E"/>
    <w:rsid w:val="006D116C"/>
    <w:rsid w:val="006D2E2D"/>
    <w:rsid w:val="006D3535"/>
    <w:rsid w:val="006D3B93"/>
    <w:rsid w:val="006D4EB5"/>
    <w:rsid w:val="006D50A2"/>
    <w:rsid w:val="006D63FE"/>
    <w:rsid w:val="006E0467"/>
    <w:rsid w:val="006E07B4"/>
    <w:rsid w:val="006E0A50"/>
    <w:rsid w:val="006E3EA9"/>
    <w:rsid w:val="006E7554"/>
    <w:rsid w:val="006E7C42"/>
    <w:rsid w:val="006F0EF8"/>
    <w:rsid w:val="006F10C3"/>
    <w:rsid w:val="006F168A"/>
    <w:rsid w:val="006F4368"/>
    <w:rsid w:val="006F5076"/>
    <w:rsid w:val="006F6009"/>
    <w:rsid w:val="0070321D"/>
    <w:rsid w:val="00704418"/>
    <w:rsid w:val="00704440"/>
    <w:rsid w:val="007057BE"/>
    <w:rsid w:val="007060B7"/>
    <w:rsid w:val="007068BA"/>
    <w:rsid w:val="0071199F"/>
    <w:rsid w:val="007128CC"/>
    <w:rsid w:val="00716AB1"/>
    <w:rsid w:val="007200D0"/>
    <w:rsid w:val="00721D52"/>
    <w:rsid w:val="00721D63"/>
    <w:rsid w:val="00723A50"/>
    <w:rsid w:val="00723AED"/>
    <w:rsid w:val="007269B4"/>
    <w:rsid w:val="00726B2E"/>
    <w:rsid w:val="0072763C"/>
    <w:rsid w:val="007309B8"/>
    <w:rsid w:val="00731D79"/>
    <w:rsid w:val="00732C7B"/>
    <w:rsid w:val="00733C45"/>
    <w:rsid w:val="00734D2B"/>
    <w:rsid w:val="007352BC"/>
    <w:rsid w:val="00737705"/>
    <w:rsid w:val="00740215"/>
    <w:rsid w:val="007408D4"/>
    <w:rsid w:val="00741D9A"/>
    <w:rsid w:val="007420AC"/>
    <w:rsid w:val="007425B1"/>
    <w:rsid w:val="00742617"/>
    <w:rsid w:val="00743A85"/>
    <w:rsid w:val="007449D4"/>
    <w:rsid w:val="00745147"/>
    <w:rsid w:val="00750BE5"/>
    <w:rsid w:val="0075113B"/>
    <w:rsid w:val="007519DD"/>
    <w:rsid w:val="00755614"/>
    <w:rsid w:val="007576A3"/>
    <w:rsid w:val="00760F50"/>
    <w:rsid w:val="00762177"/>
    <w:rsid w:val="007635A9"/>
    <w:rsid w:val="00763BFE"/>
    <w:rsid w:val="00764BAE"/>
    <w:rsid w:val="00765806"/>
    <w:rsid w:val="00767093"/>
    <w:rsid w:val="00767891"/>
    <w:rsid w:val="00772CDE"/>
    <w:rsid w:val="007733A7"/>
    <w:rsid w:val="00773C0B"/>
    <w:rsid w:val="00775F88"/>
    <w:rsid w:val="007775E1"/>
    <w:rsid w:val="00780570"/>
    <w:rsid w:val="00783AFA"/>
    <w:rsid w:val="00785427"/>
    <w:rsid w:val="00790540"/>
    <w:rsid w:val="0079192E"/>
    <w:rsid w:val="0079343C"/>
    <w:rsid w:val="00793AA5"/>
    <w:rsid w:val="007968CA"/>
    <w:rsid w:val="007972DF"/>
    <w:rsid w:val="007A05ED"/>
    <w:rsid w:val="007A13D8"/>
    <w:rsid w:val="007A43FF"/>
    <w:rsid w:val="007A459B"/>
    <w:rsid w:val="007A7814"/>
    <w:rsid w:val="007B0525"/>
    <w:rsid w:val="007B0992"/>
    <w:rsid w:val="007B2299"/>
    <w:rsid w:val="007B3918"/>
    <w:rsid w:val="007C1B36"/>
    <w:rsid w:val="007C3C1D"/>
    <w:rsid w:val="007C4F17"/>
    <w:rsid w:val="007C57A5"/>
    <w:rsid w:val="007D199A"/>
    <w:rsid w:val="007D19BB"/>
    <w:rsid w:val="007D2EBE"/>
    <w:rsid w:val="007D42C2"/>
    <w:rsid w:val="007D5624"/>
    <w:rsid w:val="007D670B"/>
    <w:rsid w:val="007D7960"/>
    <w:rsid w:val="007E1C07"/>
    <w:rsid w:val="007E5239"/>
    <w:rsid w:val="007E7D1C"/>
    <w:rsid w:val="007F09AA"/>
    <w:rsid w:val="007F0F70"/>
    <w:rsid w:val="007F2241"/>
    <w:rsid w:val="007F24B6"/>
    <w:rsid w:val="007F29D6"/>
    <w:rsid w:val="007F4372"/>
    <w:rsid w:val="007F65C8"/>
    <w:rsid w:val="00801C7C"/>
    <w:rsid w:val="0080340B"/>
    <w:rsid w:val="00803D94"/>
    <w:rsid w:val="00803DF8"/>
    <w:rsid w:val="00806275"/>
    <w:rsid w:val="00806463"/>
    <w:rsid w:val="00810125"/>
    <w:rsid w:val="008105A7"/>
    <w:rsid w:val="00810F6C"/>
    <w:rsid w:val="00814230"/>
    <w:rsid w:val="00814CFD"/>
    <w:rsid w:val="00815E1D"/>
    <w:rsid w:val="00820356"/>
    <w:rsid w:val="00821BF5"/>
    <w:rsid w:val="008229BA"/>
    <w:rsid w:val="00824151"/>
    <w:rsid w:val="00826202"/>
    <w:rsid w:val="00827DBD"/>
    <w:rsid w:val="008306C8"/>
    <w:rsid w:val="00835DAF"/>
    <w:rsid w:val="00836A4E"/>
    <w:rsid w:val="00836E6D"/>
    <w:rsid w:val="00837B30"/>
    <w:rsid w:val="008418B6"/>
    <w:rsid w:val="008422CA"/>
    <w:rsid w:val="00843D1F"/>
    <w:rsid w:val="00843FC5"/>
    <w:rsid w:val="0084413A"/>
    <w:rsid w:val="00845390"/>
    <w:rsid w:val="0084601B"/>
    <w:rsid w:val="008469A3"/>
    <w:rsid w:val="00850415"/>
    <w:rsid w:val="00852894"/>
    <w:rsid w:val="008528AD"/>
    <w:rsid w:val="008541CA"/>
    <w:rsid w:val="00854E96"/>
    <w:rsid w:val="00855AB3"/>
    <w:rsid w:val="0086010B"/>
    <w:rsid w:val="008606F0"/>
    <w:rsid w:val="00860CAA"/>
    <w:rsid w:val="00862BB3"/>
    <w:rsid w:val="00862F08"/>
    <w:rsid w:val="00864207"/>
    <w:rsid w:val="00865489"/>
    <w:rsid w:val="0086553D"/>
    <w:rsid w:val="008665A6"/>
    <w:rsid w:val="00870B2D"/>
    <w:rsid w:val="00871870"/>
    <w:rsid w:val="008742EE"/>
    <w:rsid w:val="00874FEB"/>
    <w:rsid w:val="0087629E"/>
    <w:rsid w:val="00876E99"/>
    <w:rsid w:val="008777C2"/>
    <w:rsid w:val="00881B6F"/>
    <w:rsid w:val="00881D92"/>
    <w:rsid w:val="00882AA4"/>
    <w:rsid w:val="00883E22"/>
    <w:rsid w:val="00884E43"/>
    <w:rsid w:val="0088759E"/>
    <w:rsid w:val="00887EC6"/>
    <w:rsid w:val="0089084C"/>
    <w:rsid w:val="00890D99"/>
    <w:rsid w:val="008915E4"/>
    <w:rsid w:val="0089240C"/>
    <w:rsid w:val="00892755"/>
    <w:rsid w:val="00892859"/>
    <w:rsid w:val="00893409"/>
    <w:rsid w:val="008934E2"/>
    <w:rsid w:val="00893D9F"/>
    <w:rsid w:val="008A16AD"/>
    <w:rsid w:val="008A2379"/>
    <w:rsid w:val="008A3172"/>
    <w:rsid w:val="008A4329"/>
    <w:rsid w:val="008A54E3"/>
    <w:rsid w:val="008A578E"/>
    <w:rsid w:val="008A670A"/>
    <w:rsid w:val="008B0080"/>
    <w:rsid w:val="008B1519"/>
    <w:rsid w:val="008B2309"/>
    <w:rsid w:val="008B23A0"/>
    <w:rsid w:val="008B3079"/>
    <w:rsid w:val="008B37B5"/>
    <w:rsid w:val="008B47BE"/>
    <w:rsid w:val="008B71AF"/>
    <w:rsid w:val="008B7BCC"/>
    <w:rsid w:val="008C100E"/>
    <w:rsid w:val="008C259D"/>
    <w:rsid w:val="008C33E2"/>
    <w:rsid w:val="008C4CC3"/>
    <w:rsid w:val="008C50C3"/>
    <w:rsid w:val="008C6EA6"/>
    <w:rsid w:val="008C7094"/>
    <w:rsid w:val="008C771E"/>
    <w:rsid w:val="008D1754"/>
    <w:rsid w:val="008D2B97"/>
    <w:rsid w:val="008D3DD5"/>
    <w:rsid w:val="008D49A5"/>
    <w:rsid w:val="008D6C81"/>
    <w:rsid w:val="008D7A86"/>
    <w:rsid w:val="008E03C7"/>
    <w:rsid w:val="008E55DE"/>
    <w:rsid w:val="008E5E08"/>
    <w:rsid w:val="008E6CF0"/>
    <w:rsid w:val="008E7364"/>
    <w:rsid w:val="008F1439"/>
    <w:rsid w:val="008F1863"/>
    <w:rsid w:val="008F34D9"/>
    <w:rsid w:val="008F7051"/>
    <w:rsid w:val="009007F2"/>
    <w:rsid w:val="009014B0"/>
    <w:rsid w:val="009033A9"/>
    <w:rsid w:val="009033B0"/>
    <w:rsid w:val="00903EDE"/>
    <w:rsid w:val="00904546"/>
    <w:rsid w:val="00904652"/>
    <w:rsid w:val="009055F2"/>
    <w:rsid w:val="0090581D"/>
    <w:rsid w:val="00905DCB"/>
    <w:rsid w:val="00905EE6"/>
    <w:rsid w:val="009079D4"/>
    <w:rsid w:val="009141C1"/>
    <w:rsid w:val="0091439C"/>
    <w:rsid w:val="00914A67"/>
    <w:rsid w:val="00920572"/>
    <w:rsid w:val="00920AE8"/>
    <w:rsid w:val="00920BF2"/>
    <w:rsid w:val="00925B5E"/>
    <w:rsid w:val="00926F4C"/>
    <w:rsid w:val="00931093"/>
    <w:rsid w:val="00931855"/>
    <w:rsid w:val="0093360C"/>
    <w:rsid w:val="009336C6"/>
    <w:rsid w:val="009349A9"/>
    <w:rsid w:val="00936C52"/>
    <w:rsid w:val="00936F16"/>
    <w:rsid w:val="0093769E"/>
    <w:rsid w:val="009448B6"/>
    <w:rsid w:val="00946C83"/>
    <w:rsid w:val="009473B5"/>
    <w:rsid w:val="00947B17"/>
    <w:rsid w:val="009542D9"/>
    <w:rsid w:val="0095489B"/>
    <w:rsid w:val="00954B9C"/>
    <w:rsid w:val="00955DB5"/>
    <w:rsid w:val="0095729E"/>
    <w:rsid w:val="00957BB1"/>
    <w:rsid w:val="00962D47"/>
    <w:rsid w:val="00963FB9"/>
    <w:rsid w:val="00966FB9"/>
    <w:rsid w:val="009671CD"/>
    <w:rsid w:val="00970440"/>
    <w:rsid w:val="009713D6"/>
    <w:rsid w:val="00972F49"/>
    <w:rsid w:val="0097436E"/>
    <w:rsid w:val="009751A9"/>
    <w:rsid w:val="00976980"/>
    <w:rsid w:val="00980F9C"/>
    <w:rsid w:val="0098283E"/>
    <w:rsid w:val="009856E5"/>
    <w:rsid w:val="0098632B"/>
    <w:rsid w:val="009908C2"/>
    <w:rsid w:val="0099338F"/>
    <w:rsid w:val="00994D96"/>
    <w:rsid w:val="00996181"/>
    <w:rsid w:val="00997BFB"/>
    <w:rsid w:val="009A01C7"/>
    <w:rsid w:val="009A18C4"/>
    <w:rsid w:val="009A5242"/>
    <w:rsid w:val="009A7348"/>
    <w:rsid w:val="009B11BB"/>
    <w:rsid w:val="009B462C"/>
    <w:rsid w:val="009C15F3"/>
    <w:rsid w:val="009C2312"/>
    <w:rsid w:val="009C3689"/>
    <w:rsid w:val="009C3DF1"/>
    <w:rsid w:val="009C5EA4"/>
    <w:rsid w:val="009C6420"/>
    <w:rsid w:val="009C6FC7"/>
    <w:rsid w:val="009D148C"/>
    <w:rsid w:val="009D2911"/>
    <w:rsid w:val="009D5AC0"/>
    <w:rsid w:val="009D5C0D"/>
    <w:rsid w:val="009D638B"/>
    <w:rsid w:val="009E07C2"/>
    <w:rsid w:val="009E0E52"/>
    <w:rsid w:val="009E1053"/>
    <w:rsid w:val="009E1CEB"/>
    <w:rsid w:val="009E2472"/>
    <w:rsid w:val="009E2BAE"/>
    <w:rsid w:val="009F2589"/>
    <w:rsid w:val="009F396E"/>
    <w:rsid w:val="009F5436"/>
    <w:rsid w:val="009F55FE"/>
    <w:rsid w:val="009F6C8C"/>
    <w:rsid w:val="009F723A"/>
    <w:rsid w:val="009F72F9"/>
    <w:rsid w:val="00A00205"/>
    <w:rsid w:val="00A00AF0"/>
    <w:rsid w:val="00A03CBC"/>
    <w:rsid w:val="00A048A5"/>
    <w:rsid w:val="00A04CE3"/>
    <w:rsid w:val="00A06D8C"/>
    <w:rsid w:val="00A11C50"/>
    <w:rsid w:val="00A12794"/>
    <w:rsid w:val="00A12F05"/>
    <w:rsid w:val="00A13162"/>
    <w:rsid w:val="00A148BE"/>
    <w:rsid w:val="00A14B5A"/>
    <w:rsid w:val="00A14CA0"/>
    <w:rsid w:val="00A150BD"/>
    <w:rsid w:val="00A173A4"/>
    <w:rsid w:val="00A21693"/>
    <w:rsid w:val="00A22C32"/>
    <w:rsid w:val="00A3303C"/>
    <w:rsid w:val="00A342AA"/>
    <w:rsid w:val="00A349C3"/>
    <w:rsid w:val="00A3567F"/>
    <w:rsid w:val="00A37698"/>
    <w:rsid w:val="00A4055B"/>
    <w:rsid w:val="00A41ED3"/>
    <w:rsid w:val="00A43F25"/>
    <w:rsid w:val="00A50EC2"/>
    <w:rsid w:val="00A51A06"/>
    <w:rsid w:val="00A5373A"/>
    <w:rsid w:val="00A545DC"/>
    <w:rsid w:val="00A55560"/>
    <w:rsid w:val="00A5676F"/>
    <w:rsid w:val="00A56D79"/>
    <w:rsid w:val="00A63256"/>
    <w:rsid w:val="00A63445"/>
    <w:rsid w:val="00A67637"/>
    <w:rsid w:val="00A71F39"/>
    <w:rsid w:val="00A75125"/>
    <w:rsid w:val="00A75DF1"/>
    <w:rsid w:val="00A813F4"/>
    <w:rsid w:val="00A81D82"/>
    <w:rsid w:val="00A84CA1"/>
    <w:rsid w:val="00A85B3B"/>
    <w:rsid w:val="00A867DF"/>
    <w:rsid w:val="00A902F2"/>
    <w:rsid w:val="00A9118F"/>
    <w:rsid w:val="00A93E33"/>
    <w:rsid w:val="00AA02D9"/>
    <w:rsid w:val="00AA0363"/>
    <w:rsid w:val="00AA5CB8"/>
    <w:rsid w:val="00AA62E6"/>
    <w:rsid w:val="00AA6DB1"/>
    <w:rsid w:val="00AB1319"/>
    <w:rsid w:val="00AB4FD3"/>
    <w:rsid w:val="00AB5226"/>
    <w:rsid w:val="00AB6970"/>
    <w:rsid w:val="00AB6A71"/>
    <w:rsid w:val="00AB70B1"/>
    <w:rsid w:val="00AC15F8"/>
    <w:rsid w:val="00AC1939"/>
    <w:rsid w:val="00AC1EDF"/>
    <w:rsid w:val="00AC776A"/>
    <w:rsid w:val="00AC7C05"/>
    <w:rsid w:val="00AD0078"/>
    <w:rsid w:val="00AD167C"/>
    <w:rsid w:val="00AD17C7"/>
    <w:rsid w:val="00AD4041"/>
    <w:rsid w:val="00AD61E8"/>
    <w:rsid w:val="00AD77E0"/>
    <w:rsid w:val="00AD7E20"/>
    <w:rsid w:val="00AE0029"/>
    <w:rsid w:val="00AE22C0"/>
    <w:rsid w:val="00AE2F6A"/>
    <w:rsid w:val="00AE302B"/>
    <w:rsid w:val="00AE4A3E"/>
    <w:rsid w:val="00AE5745"/>
    <w:rsid w:val="00AE60D7"/>
    <w:rsid w:val="00AE6859"/>
    <w:rsid w:val="00AE6BA1"/>
    <w:rsid w:val="00AE7264"/>
    <w:rsid w:val="00AF132C"/>
    <w:rsid w:val="00AF2B54"/>
    <w:rsid w:val="00AF302A"/>
    <w:rsid w:val="00AF54F0"/>
    <w:rsid w:val="00AF73E0"/>
    <w:rsid w:val="00B01A4F"/>
    <w:rsid w:val="00B06A5A"/>
    <w:rsid w:val="00B14113"/>
    <w:rsid w:val="00B16BE5"/>
    <w:rsid w:val="00B22DE9"/>
    <w:rsid w:val="00B259DF"/>
    <w:rsid w:val="00B31542"/>
    <w:rsid w:val="00B31841"/>
    <w:rsid w:val="00B3297B"/>
    <w:rsid w:val="00B33CEF"/>
    <w:rsid w:val="00B3502E"/>
    <w:rsid w:val="00B370FA"/>
    <w:rsid w:val="00B371F4"/>
    <w:rsid w:val="00B42A4C"/>
    <w:rsid w:val="00B43BE9"/>
    <w:rsid w:val="00B44B1F"/>
    <w:rsid w:val="00B455DD"/>
    <w:rsid w:val="00B46D31"/>
    <w:rsid w:val="00B4757E"/>
    <w:rsid w:val="00B51A31"/>
    <w:rsid w:val="00B52E9D"/>
    <w:rsid w:val="00B55697"/>
    <w:rsid w:val="00B57751"/>
    <w:rsid w:val="00B64141"/>
    <w:rsid w:val="00B64213"/>
    <w:rsid w:val="00B64E72"/>
    <w:rsid w:val="00B65E87"/>
    <w:rsid w:val="00B71260"/>
    <w:rsid w:val="00B77913"/>
    <w:rsid w:val="00B80662"/>
    <w:rsid w:val="00B80B17"/>
    <w:rsid w:val="00B81195"/>
    <w:rsid w:val="00B81878"/>
    <w:rsid w:val="00B824FB"/>
    <w:rsid w:val="00B82646"/>
    <w:rsid w:val="00B83DE3"/>
    <w:rsid w:val="00B84D46"/>
    <w:rsid w:val="00B86506"/>
    <w:rsid w:val="00B876B1"/>
    <w:rsid w:val="00B87B1A"/>
    <w:rsid w:val="00B92EEA"/>
    <w:rsid w:val="00B930E1"/>
    <w:rsid w:val="00B97359"/>
    <w:rsid w:val="00B97A8F"/>
    <w:rsid w:val="00B97F41"/>
    <w:rsid w:val="00BA09BF"/>
    <w:rsid w:val="00BA403D"/>
    <w:rsid w:val="00BA4E58"/>
    <w:rsid w:val="00BA51C0"/>
    <w:rsid w:val="00BA592A"/>
    <w:rsid w:val="00BA7074"/>
    <w:rsid w:val="00BA7190"/>
    <w:rsid w:val="00BA73CD"/>
    <w:rsid w:val="00BB38E4"/>
    <w:rsid w:val="00BB46CF"/>
    <w:rsid w:val="00BB51E4"/>
    <w:rsid w:val="00BB6E1B"/>
    <w:rsid w:val="00BB7829"/>
    <w:rsid w:val="00BC1555"/>
    <w:rsid w:val="00BC1792"/>
    <w:rsid w:val="00BC2B46"/>
    <w:rsid w:val="00BC2CBC"/>
    <w:rsid w:val="00BC3C55"/>
    <w:rsid w:val="00BC3EDC"/>
    <w:rsid w:val="00BC575F"/>
    <w:rsid w:val="00BC5DF0"/>
    <w:rsid w:val="00BC6972"/>
    <w:rsid w:val="00BD1457"/>
    <w:rsid w:val="00BD1DF6"/>
    <w:rsid w:val="00BD1FF2"/>
    <w:rsid w:val="00BD4232"/>
    <w:rsid w:val="00BD6E9B"/>
    <w:rsid w:val="00BD7B3F"/>
    <w:rsid w:val="00BE2142"/>
    <w:rsid w:val="00BE2AD9"/>
    <w:rsid w:val="00BE3213"/>
    <w:rsid w:val="00BE4C6B"/>
    <w:rsid w:val="00BE71B6"/>
    <w:rsid w:val="00BF1DA0"/>
    <w:rsid w:val="00BF27FE"/>
    <w:rsid w:val="00BF40DE"/>
    <w:rsid w:val="00BF648F"/>
    <w:rsid w:val="00C03AAB"/>
    <w:rsid w:val="00C043B3"/>
    <w:rsid w:val="00C04462"/>
    <w:rsid w:val="00C050B3"/>
    <w:rsid w:val="00C07451"/>
    <w:rsid w:val="00C07763"/>
    <w:rsid w:val="00C079AB"/>
    <w:rsid w:val="00C07D1E"/>
    <w:rsid w:val="00C106F8"/>
    <w:rsid w:val="00C10A16"/>
    <w:rsid w:val="00C10ACA"/>
    <w:rsid w:val="00C10E61"/>
    <w:rsid w:val="00C11912"/>
    <w:rsid w:val="00C11B13"/>
    <w:rsid w:val="00C14787"/>
    <w:rsid w:val="00C14BEA"/>
    <w:rsid w:val="00C1596D"/>
    <w:rsid w:val="00C15B8D"/>
    <w:rsid w:val="00C17010"/>
    <w:rsid w:val="00C20562"/>
    <w:rsid w:val="00C214B3"/>
    <w:rsid w:val="00C215C3"/>
    <w:rsid w:val="00C22A6C"/>
    <w:rsid w:val="00C23A96"/>
    <w:rsid w:val="00C249C6"/>
    <w:rsid w:val="00C31567"/>
    <w:rsid w:val="00C32444"/>
    <w:rsid w:val="00C324CF"/>
    <w:rsid w:val="00C32CC1"/>
    <w:rsid w:val="00C32FBE"/>
    <w:rsid w:val="00C3344E"/>
    <w:rsid w:val="00C34216"/>
    <w:rsid w:val="00C34E6B"/>
    <w:rsid w:val="00C359E5"/>
    <w:rsid w:val="00C36692"/>
    <w:rsid w:val="00C37AB7"/>
    <w:rsid w:val="00C402E0"/>
    <w:rsid w:val="00C40C2F"/>
    <w:rsid w:val="00C426EC"/>
    <w:rsid w:val="00C428C4"/>
    <w:rsid w:val="00C42D4F"/>
    <w:rsid w:val="00C531FB"/>
    <w:rsid w:val="00C54230"/>
    <w:rsid w:val="00C55739"/>
    <w:rsid w:val="00C56635"/>
    <w:rsid w:val="00C57AB7"/>
    <w:rsid w:val="00C60AF7"/>
    <w:rsid w:val="00C61942"/>
    <w:rsid w:val="00C644A9"/>
    <w:rsid w:val="00C6483C"/>
    <w:rsid w:val="00C64AE9"/>
    <w:rsid w:val="00C66CE4"/>
    <w:rsid w:val="00C70CFF"/>
    <w:rsid w:val="00C7139D"/>
    <w:rsid w:val="00C718FE"/>
    <w:rsid w:val="00C71EA4"/>
    <w:rsid w:val="00C73024"/>
    <w:rsid w:val="00C73057"/>
    <w:rsid w:val="00C816C5"/>
    <w:rsid w:val="00C839D6"/>
    <w:rsid w:val="00C85C39"/>
    <w:rsid w:val="00C85D42"/>
    <w:rsid w:val="00C868FA"/>
    <w:rsid w:val="00C86CEC"/>
    <w:rsid w:val="00C8773D"/>
    <w:rsid w:val="00C87ABB"/>
    <w:rsid w:val="00C91831"/>
    <w:rsid w:val="00C93726"/>
    <w:rsid w:val="00C93DEE"/>
    <w:rsid w:val="00C953DF"/>
    <w:rsid w:val="00C971C0"/>
    <w:rsid w:val="00CA0293"/>
    <w:rsid w:val="00CA1AD7"/>
    <w:rsid w:val="00CA4990"/>
    <w:rsid w:val="00CA5F9B"/>
    <w:rsid w:val="00CA65F8"/>
    <w:rsid w:val="00CB14C9"/>
    <w:rsid w:val="00CB4FDE"/>
    <w:rsid w:val="00CB7B76"/>
    <w:rsid w:val="00CC0822"/>
    <w:rsid w:val="00CC18D7"/>
    <w:rsid w:val="00CC222F"/>
    <w:rsid w:val="00CC4C10"/>
    <w:rsid w:val="00CC4DBB"/>
    <w:rsid w:val="00CD0B0C"/>
    <w:rsid w:val="00CD0C3E"/>
    <w:rsid w:val="00CD0E92"/>
    <w:rsid w:val="00CD129A"/>
    <w:rsid w:val="00CD3121"/>
    <w:rsid w:val="00CD5401"/>
    <w:rsid w:val="00CD6CB4"/>
    <w:rsid w:val="00CE2709"/>
    <w:rsid w:val="00CE2D64"/>
    <w:rsid w:val="00CE3B53"/>
    <w:rsid w:val="00CE6198"/>
    <w:rsid w:val="00CE680A"/>
    <w:rsid w:val="00CF0486"/>
    <w:rsid w:val="00CF0C52"/>
    <w:rsid w:val="00CF5081"/>
    <w:rsid w:val="00CF6230"/>
    <w:rsid w:val="00CF6DE3"/>
    <w:rsid w:val="00CF74AA"/>
    <w:rsid w:val="00D017FC"/>
    <w:rsid w:val="00D0226A"/>
    <w:rsid w:val="00D06962"/>
    <w:rsid w:val="00D06A55"/>
    <w:rsid w:val="00D12998"/>
    <w:rsid w:val="00D12FEB"/>
    <w:rsid w:val="00D13147"/>
    <w:rsid w:val="00D13A4F"/>
    <w:rsid w:val="00D17FB0"/>
    <w:rsid w:val="00D208DE"/>
    <w:rsid w:val="00D20E29"/>
    <w:rsid w:val="00D21F2C"/>
    <w:rsid w:val="00D22A7D"/>
    <w:rsid w:val="00D22AEF"/>
    <w:rsid w:val="00D25B51"/>
    <w:rsid w:val="00D32A50"/>
    <w:rsid w:val="00D3368E"/>
    <w:rsid w:val="00D34BF8"/>
    <w:rsid w:val="00D36915"/>
    <w:rsid w:val="00D4533F"/>
    <w:rsid w:val="00D45ED1"/>
    <w:rsid w:val="00D463FF"/>
    <w:rsid w:val="00D4682A"/>
    <w:rsid w:val="00D47D7C"/>
    <w:rsid w:val="00D47F37"/>
    <w:rsid w:val="00D5033F"/>
    <w:rsid w:val="00D5303B"/>
    <w:rsid w:val="00D5362A"/>
    <w:rsid w:val="00D5582C"/>
    <w:rsid w:val="00D5715A"/>
    <w:rsid w:val="00D5761F"/>
    <w:rsid w:val="00D60D5B"/>
    <w:rsid w:val="00D620FA"/>
    <w:rsid w:val="00D62409"/>
    <w:rsid w:val="00D6457F"/>
    <w:rsid w:val="00D64736"/>
    <w:rsid w:val="00D66E6D"/>
    <w:rsid w:val="00D71687"/>
    <w:rsid w:val="00D7221E"/>
    <w:rsid w:val="00D7365A"/>
    <w:rsid w:val="00D74813"/>
    <w:rsid w:val="00D7583A"/>
    <w:rsid w:val="00D76B80"/>
    <w:rsid w:val="00D76E73"/>
    <w:rsid w:val="00D80824"/>
    <w:rsid w:val="00D8126B"/>
    <w:rsid w:val="00D81532"/>
    <w:rsid w:val="00D86376"/>
    <w:rsid w:val="00D91861"/>
    <w:rsid w:val="00D922E6"/>
    <w:rsid w:val="00D9336A"/>
    <w:rsid w:val="00D93B89"/>
    <w:rsid w:val="00D968FB"/>
    <w:rsid w:val="00D97819"/>
    <w:rsid w:val="00DA30BC"/>
    <w:rsid w:val="00DA30EF"/>
    <w:rsid w:val="00DA3A9D"/>
    <w:rsid w:val="00DA3EFD"/>
    <w:rsid w:val="00DA5FAA"/>
    <w:rsid w:val="00DA69C2"/>
    <w:rsid w:val="00DA6D70"/>
    <w:rsid w:val="00DA7FE7"/>
    <w:rsid w:val="00DB24CB"/>
    <w:rsid w:val="00DB33A1"/>
    <w:rsid w:val="00DB3C32"/>
    <w:rsid w:val="00DB4B33"/>
    <w:rsid w:val="00DB6050"/>
    <w:rsid w:val="00DB79E8"/>
    <w:rsid w:val="00DB7EED"/>
    <w:rsid w:val="00DC1AC8"/>
    <w:rsid w:val="00DC2B0A"/>
    <w:rsid w:val="00DC2C34"/>
    <w:rsid w:val="00DC30AD"/>
    <w:rsid w:val="00DC73C9"/>
    <w:rsid w:val="00DD153B"/>
    <w:rsid w:val="00DD2C7B"/>
    <w:rsid w:val="00DD3937"/>
    <w:rsid w:val="00DD66C8"/>
    <w:rsid w:val="00DE2847"/>
    <w:rsid w:val="00DE2C87"/>
    <w:rsid w:val="00DE3951"/>
    <w:rsid w:val="00DE459A"/>
    <w:rsid w:val="00DE5F4C"/>
    <w:rsid w:val="00DE7384"/>
    <w:rsid w:val="00DF27DA"/>
    <w:rsid w:val="00DF4DBE"/>
    <w:rsid w:val="00DF4DC5"/>
    <w:rsid w:val="00DF5443"/>
    <w:rsid w:val="00DF63FB"/>
    <w:rsid w:val="00DF6D9E"/>
    <w:rsid w:val="00E012AC"/>
    <w:rsid w:val="00E04D1A"/>
    <w:rsid w:val="00E04F00"/>
    <w:rsid w:val="00E05D29"/>
    <w:rsid w:val="00E063C5"/>
    <w:rsid w:val="00E1351F"/>
    <w:rsid w:val="00E152FA"/>
    <w:rsid w:val="00E164AC"/>
    <w:rsid w:val="00E179B2"/>
    <w:rsid w:val="00E20BE9"/>
    <w:rsid w:val="00E2124D"/>
    <w:rsid w:val="00E22A99"/>
    <w:rsid w:val="00E27432"/>
    <w:rsid w:val="00E324DD"/>
    <w:rsid w:val="00E32BDB"/>
    <w:rsid w:val="00E36827"/>
    <w:rsid w:val="00E40820"/>
    <w:rsid w:val="00E41EC1"/>
    <w:rsid w:val="00E43110"/>
    <w:rsid w:val="00E45DB7"/>
    <w:rsid w:val="00E4658F"/>
    <w:rsid w:val="00E46E38"/>
    <w:rsid w:val="00E51A09"/>
    <w:rsid w:val="00E54A67"/>
    <w:rsid w:val="00E55F5F"/>
    <w:rsid w:val="00E564BE"/>
    <w:rsid w:val="00E61C0D"/>
    <w:rsid w:val="00E62222"/>
    <w:rsid w:val="00E63EB4"/>
    <w:rsid w:val="00E64C25"/>
    <w:rsid w:val="00E66160"/>
    <w:rsid w:val="00E70D4F"/>
    <w:rsid w:val="00E71329"/>
    <w:rsid w:val="00E71907"/>
    <w:rsid w:val="00E71C7E"/>
    <w:rsid w:val="00E773B3"/>
    <w:rsid w:val="00E8363B"/>
    <w:rsid w:val="00E84966"/>
    <w:rsid w:val="00E873F7"/>
    <w:rsid w:val="00E90D80"/>
    <w:rsid w:val="00E92383"/>
    <w:rsid w:val="00E928B6"/>
    <w:rsid w:val="00E94939"/>
    <w:rsid w:val="00E949AE"/>
    <w:rsid w:val="00E94CED"/>
    <w:rsid w:val="00EA1B3A"/>
    <w:rsid w:val="00EA2109"/>
    <w:rsid w:val="00EA3F4F"/>
    <w:rsid w:val="00EB0D4B"/>
    <w:rsid w:val="00EB2F6C"/>
    <w:rsid w:val="00EB4599"/>
    <w:rsid w:val="00EB45DE"/>
    <w:rsid w:val="00EB4D4F"/>
    <w:rsid w:val="00EB5E27"/>
    <w:rsid w:val="00EC0B30"/>
    <w:rsid w:val="00EC4035"/>
    <w:rsid w:val="00EC6A08"/>
    <w:rsid w:val="00EC6BB4"/>
    <w:rsid w:val="00ED0317"/>
    <w:rsid w:val="00ED05CB"/>
    <w:rsid w:val="00ED06AF"/>
    <w:rsid w:val="00ED4D4E"/>
    <w:rsid w:val="00ED7CB0"/>
    <w:rsid w:val="00EE0387"/>
    <w:rsid w:val="00EE0C77"/>
    <w:rsid w:val="00EE169C"/>
    <w:rsid w:val="00EE4342"/>
    <w:rsid w:val="00EE4E54"/>
    <w:rsid w:val="00EE701D"/>
    <w:rsid w:val="00EE71C1"/>
    <w:rsid w:val="00EE76BC"/>
    <w:rsid w:val="00EE7BDB"/>
    <w:rsid w:val="00EF1131"/>
    <w:rsid w:val="00EF18DE"/>
    <w:rsid w:val="00EF3757"/>
    <w:rsid w:val="00EF4334"/>
    <w:rsid w:val="00EF56F4"/>
    <w:rsid w:val="00EF6009"/>
    <w:rsid w:val="00EF6384"/>
    <w:rsid w:val="00EF63D6"/>
    <w:rsid w:val="00EF6E4B"/>
    <w:rsid w:val="00F027DE"/>
    <w:rsid w:val="00F04828"/>
    <w:rsid w:val="00F05419"/>
    <w:rsid w:val="00F062FB"/>
    <w:rsid w:val="00F07344"/>
    <w:rsid w:val="00F10B08"/>
    <w:rsid w:val="00F1382C"/>
    <w:rsid w:val="00F20251"/>
    <w:rsid w:val="00F212A7"/>
    <w:rsid w:val="00F21319"/>
    <w:rsid w:val="00F22511"/>
    <w:rsid w:val="00F2351F"/>
    <w:rsid w:val="00F23D12"/>
    <w:rsid w:val="00F25719"/>
    <w:rsid w:val="00F30044"/>
    <w:rsid w:val="00F31BEE"/>
    <w:rsid w:val="00F32EE2"/>
    <w:rsid w:val="00F34B62"/>
    <w:rsid w:val="00F35DF9"/>
    <w:rsid w:val="00F37BC9"/>
    <w:rsid w:val="00F400A9"/>
    <w:rsid w:val="00F40456"/>
    <w:rsid w:val="00F435EA"/>
    <w:rsid w:val="00F436BB"/>
    <w:rsid w:val="00F4410A"/>
    <w:rsid w:val="00F447FB"/>
    <w:rsid w:val="00F458FC"/>
    <w:rsid w:val="00F47145"/>
    <w:rsid w:val="00F502A8"/>
    <w:rsid w:val="00F53137"/>
    <w:rsid w:val="00F545BF"/>
    <w:rsid w:val="00F5798F"/>
    <w:rsid w:val="00F57EC9"/>
    <w:rsid w:val="00F62AD3"/>
    <w:rsid w:val="00F65F3F"/>
    <w:rsid w:val="00F67675"/>
    <w:rsid w:val="00F678D5"/>
    <w:rsid w:val="00F70834"/>
    <w:rsid w:val="00F71B56"/>
    <w:rsid w:val="00F731DA"/>
    <w:rsid w:val="00F75707"/>
    <w:rsid w:val="00F77461"/>
    <w:rsid w:val="00F7780A"/>
    <w:rsid w:val="00F77939"/>
    <w:rsid w:val="00F81A61"/>
    <w:rsid w:val="00F82192"/>
    <w:rsid w:val="00F832C8"/>
    <w:rsid w:val="00F85010"/>
    <w:rsid w:val="00F86BDC"/>
    <w:rsid w:val="00F873B3"/>
    <w:rsid w:val="00F94878"/>
    <w:rsid w:val="00FA33FE"/>
    <w:rsid w:val="00FA42B9"/>
    <w:rsid w:val="00FA59D0"/>
    <w:rsid w:val="00FA755A"/>
    <w:rsid w:val="00FB116E"/>
    <w:rsid w:val="00FB2B0F"/>
    <w:rsid w:val="00FB2B59"/>
    <w:rsid w:val="00FB36D8"/>
    <w:rsid w:val="00FB4269"/>
    <w:rsid w:val="00FB4D6B"/>
    <w:rsid w:val="00FB4F6B"/>
    <w:rsid w:val="00FB56A8"/>
    <w:rsid w:val="00FB5FE1"/>
    <w:rsid w:val="00FB60F2"/>
    <w:rsid w:val="00FC0E8D"/>
    <w:rsid w:val="00FC46EF"/>
    <w:rsid w:val="00FC4EC8"/>
    <w:rsid w:val="00FD13B0"/>
    <w:rsid w:val="00FD26CA"/>
    <w:rsid w:val="00FD31B3"/>
    <w:rsid w:val="00FD3705"/>
    <w:rsid w:val="00FD4204"/>
    <w:rsid w:val="00FD5187"/>
    <w:rsid w:val="00FD63EC"/>
    <w:rsid w:val="00FD6986"/>
    <w:rsid w:val="00FD6C62"/>
    <w:rsid w:val="00FE2939"/>
    <w:rsid w:val="00FE3E4C"/>
    <w:rsid w:val="00FE610E"/>
    <w:rsid w:val="00FE716F"/>
    <w:rsid w:val="00FF3CCB"/>
    <w:rsid w:val="00FF57B5"/>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BF5"/>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F435EA"/>
    <w:pPr>
      <w:numPr>
        <w:ilvl w:val="0"/>
        <w:numId w:val="0"/>
      </w:numPr>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F435EA"/>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D2911"/>
    <w:pPr>
      <w:numPr>
        <w:numId w:val="12"/>
      </w:numPr>
      <w:ind w:left="357" w:hanging="357"/>
    </w:pPr>
  </w:style>
  <w:style w:type="paragraph" w:customStyle="1" w:styleId="Bulletlist2">
    <w:name w:val="Bullet list 2"/>
    <w:basedOn w:val="Bulletlist1"/>
    <w:uiPriority w:val="1"/>
    <w:qFormat/>
    <w:rsid w:val="009D2911"/>
    <w:pPr>
      <w:numPr>
        <w:ilvl w:val="1"/>
      </w:numPr>
      <w:ind w:left="850" w:hanging="357"/>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aliases w:val="ONR 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D2911"/>
    <w:pPr>
      <w:pBdr>
        <w:top w:val="single" w:sz="4" w:space="6" w:color="22413A"/>
        <w:bottom w:val="single" w:sz="4" w:space="6" w:color="22413A"/>
      </w:pBdr>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9D2911"/>
    <w:pPr>
      <w:numPr>
        <w:ilvl w:val="2"/>
      </w:numPr>
      <w:ind w:left="1417" w:hanging="357"/>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ParagraphChar">
    <w:name w:val="Paragraph Char"/>
    <w:basedOn w:val="DefaultParagraphFont"/>
    <w:link w:val="Paragraph"/>
    <w:locked/>
    <w:rsid w:val="009D2911"/>
    <w:rPr>
      <w:rFonts w:ascii="Arial" w:hAnsi="Arial"/>
      <w:sz w:val="24"/>
      <w:szCs w:val="22"/>
      <w:lang w:eastAsia="en-US" w:bidi="he-IL"/>
    </w:rPr>
  </w:style>
  <w:style w:type="paragraph" w:customStyle="1" w:styleId="Paragraph">
    <w:name w:val="Paragraph"/>
    <w:basedOn w:val="Normal"/>
    <w:link w:val="ParagraphChar"/>
    <w:qFormat/>
    <w:rsid w:val="009D2911"/>
  </w:style>
  <w:style w:type="paragraph" w:customStyle="1" w:styleId="TabletextBulletlist1">
    <w:name w:val="Table textBullet list 1"/>
    <w:basedOn w:val="Normal"/>
    <w:uiPriority w:val="1"/>
    <w:qFormat/>
    <w:rsid w:val="000477BB"/>
    <w:pPr>
      <w:numPr>
        <w:numId w:val="26"/>
      </w:numPr>
      <w:suppressAutoHyphens/>
      <w:autoSpaceDE w:val="0"/>
      <w:autoSpaceDN w:val="0"/>
      <w:adjustRightInd w:val="0"/>
      <w:spacing w:before="60"/>
      <w:textAlignment w:val="center"/>
    </w:pPr>
    <w:rPr>
      <w:rFonts w:cs="MrEavesXLModOT"/>
      <w:noProof/>
      <w:szCs w:val="28"/>
      <w:lang w:eastAsia="en-GB" w:bidi="ar-SA"/>
    </w:rPr>
  </w:style>
  <w:style w:type="paragraph" w:customStyle="1" w:styleId="ONRBulletlist1">
    <w:name w:val="ONR Bullet list 1"/>
    <w:basedOn w:val="ListParagraph"/>
    <w:uiPriority w:val="99"/>
    <w:rsid w:val="000477BB"/>
    <w:pPr>
      <w:numPr>
        <w:numId w:val="27"/>
      </w:numPr>
      <w:suppressAutoHyphens/>
      <w:autoSpaceDE w:val="0"/>
      <w:autoSpaceDN w:val="0"/>
      <w:adjustRightInd w:val="0"/>
      <w:spacing w:before="0" w:after="240"/>
      <w:contextualSpacing w:val="0"/>
      <w:textAlignment w:val="center"/>
    </w:pPr>
    <w:rPr>
      <w:rFonts w:cs="MrEavesXLModOT"/>
      <w:szCs w:val="28"/>
      <w:lang w:eastAsia="en-GB" w:bidi="ar-SA"/>
    </w:rPr>
  </w:style>
  <w:style w:type="character" w:customStyle="1" w:styleId="ListParagraphChar">
    <w:name w:val="List Paragraph Char"/>
    <w:basedOn w:val="DefaultParagraphFont"/>
    <w:link w:val="ListParagraph"/>
    <w:uiPriority w:val="34"/>
    <w:rsid w:val="000477BB"/>
    <w:rPr>
      <w:rFonts w:ascii="Arial" w:hAnsi="Arial"/>
      <w:sz w:val="24"/>
      <w:szCs w:val="22"/>
      <w:lang w:eastAsia="en-US" w:bidi="he-IL"/>
    </w:rPr>
  </w:style>
  <w:style w:type="paragraph" w:customStyle="1" w:styleId="BodyText1">
    <w:name w:val="Body Text1"/>
    <w:basedOn w:val="Normal"/>
    <w:uiPriority w:val="99"/>
    <w:qFormat/>
    <w:rsid w:val="000477BB"/>
    <w:pPr>
      <w:numPr>
        <w:numId w:val="30"/>
      </w:numPr>
      <w:suppressAutoHyphens/>
      <w:autoSpaceDE w:val="0"/>
      <w:autoSpaceDN w:val="0"/>
      <w:adjustRightInd w:val="0"/>
      <w:spacing w:before="0" w:after="295"/>
      <w:contextualSpacing/>
      <w:textAlignment w:val="center"/>
    </w:pPr>
    <w:rPr>
      <w:rFonts w:cs="MrEavesXLModOT"/>
      <w:szCs w:val="28"/>
      <w:lang w:eastAsia="en-GB" w:bidi="ar-SA"/>
    </w:rPr>
  </w:style>
  <w:style w:type="paragraph" w:customStyle="1" w:styleId="BodyText10">
    <w:name w:val="Body Text10"/>
    <w:basedOn w:val="BodyText1"/>
    <w:link w:val="BodyText1Char"/>
    <w:uiPriority w:val="99"/>
    <w:qFormat/>
    <w:rsid w:val="000477BB"/>
  </w:style>
  <w:style w:type="character" w:customStyle="1" w:styleId="BodyText1Char">
    <w:name w:val="Body Text1 Char"/>
    <w:basedOn w:val="DefaultParagraphFont"/>
    <w:link w:val="BodyText10"/>
    <w:uiPriority w:val="99"/>
    <w:rsid w:val="000477BB"/>
    <w:rPr>
      <w:rFonts w:ascii="Arial" w:hAnsi="Arial" w:cs="MrEavesXLModOT"/>
      <w:sz w:val="24"/>
      <w:szCs w:val="28"/>
    </w:rPr>
  </w:style>
  <w:style w:type="paragraph" w:styleId="CommentSubject">
    <w:name w:val="annotation subject"/>
    <w:basedOn w:val="CommentText"/>
    <w:next w:val="CommentText"/>
    <w:link w:val="CommentSubjectChar"/>
    <w:uiPriority w:val="99"/>
    <w:semiHidden/>
    <w:unhideWhenUsed/>
    <w:rsid w:val="00FC4EC8"/>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C4EC8"/>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AE6859"/>
    <w:rPr>
      <w:color w:val="AA1C76" w:themeColor="followedHyperlink"/>
      <w:u w:val="single"/>
    </w:rPr>
  </w:style>
  <w:style w:type="paragraph" w:styleId="Revision">
    <w:name w:val="Revision"/>
    <w:hidden/>
    <w:uiPriority w:val="99"/>
    <w:semiHidden/>
    <w:rsid w:val="00F2351F"/>
    <w:rPr>
      <w:rFonts w:ascii="Arial" w:hAnsi="Arial"/>
      <w:sz w:val="24"/>
      <w:szCs w:val="22"/>
      <w:lang w:eastAsia="en-US" w:bidi="he-IL"/>
    </w:rPr>
  </w:style>
  <w:style w:type="paragraph" w:styleId="NormalWeb">
    <w:name w:val="Normal (Web)"/>
    <w:basedOn w:val="Normal"/>
    <w:uiPriority w:val="99"/>
    <w:semiHidden/>
    <w:unhideWhenUsed/>
    <w:rsid w:val="006003B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1111">
      <w:bodyDiv w:val="1"/>
      <w:marLeft w:val="0"/>
      <w:marRight w:val="0"/>
      <w:marTop w:val="0"/>
      <w:marBottom w:val="0"/>
      <w:divBdr>
        <w:top w:val="none" w:sz="0" w:space="0" w:color="auto"/>
        <w:left w:val="none" w:sz="0" w:space="0" w:color="auto"/>
        <w:bottom w:val="none" w:sz="0" w:space="0" w:color="auto"/>
        <w:right w:val="none" w:sz="0" w:space="0" w:color="auto"/>
      </w:divBdr>
    </w:div>
    <w:div w:id="18629221">
      <w:bodyDiv w:val="1"/>
      <w:marLeft w:val="0"/>
      <w:marRight w:val="0"/>
      <w:marTop w:val="0"/>
      <w:marBottom w:val="0"/>
      <w:divBdr>
        <w:top w:val="none" w:sz="0" w:space="0" w:color="auto"/>
        <w:left w:val="none" w:sz="0" w:space="0" w:color="auto"/>
        <w:bottom w:val="none" w:sz="0" w:space="0" w:color="auto"/>
        <w:right w:val="none" w:sz="0" w:space="0" w:color="auto"/>
      </w:divBdr>
    </w:div>
    <w:div w:id="23597595">
      <w:bodyDiv w:val="1"/>
      <w:marLeft w:val="0"/>
      <w:marRight w:val="0"/>
      <w:marTop w:val="0"/>
      <w:marBottom w:val="0"/>
      <w:divBdr>
        <w:top w:val="none" w:sz="0" w:space="0" w:color="auto"/>
        <w:left w:val="none" w:sz="0" w:space="0" w:color="auto"/>
        <w:bottom w:val="none" w:sz="0" w:space="0" w:color="auto"/>
        <w:right w:val="none" w:sz="0" w:space="0" w:color="auto"/>
      </w:divBdr>
    </w:div>
    <w:div w:id="3993971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1150360">
      <w:bodyDiv w:val="1"/>
      <w:marLeft w:val="0"/>
      <w:marRight w:val="0"/>
      <w:marTop w:val="0"/>
      <w:marBottom w:val="0"/>
      <w:divBdr>
        <w:top w:val="none" w:sz="0" w:space="0" w:color="auto"/>
        <w:left w:val="none" w:sz="0" w:space="0" w:color="auto"/>
        <w:bottom w:val="none" w:sz="0" w:space="0" w:color="auto"/>
        <w:right w:val="none" w:sz="0" w:space="0" w:color="auto"/>
      </w:divBdr>
    </w:div>
    <w:div w:id="107117676">
      <w:bodyDiv w:val="1"/>
      <w:marLeft w:val="0"/>
      <w:marRight w:val="0"/>
      <w:marTop w:val="0"/>
      <w:marBottom w:val="0"/>
      <w:divBdr>
        <w:top w:val="none" w:sz="0" w:space="0" w:color="auto"/>
        <w:left w:val="none" w:sz="0" w:space="0" w:color="auto"/>
        <w:bottom w:val="none" w:sz="0" w:space="0" w:color="auto"/>
        <w:right w:val="none" w:sz="0" w:space="0" w:color="auto"/>
      </w:divBdr>
    </w:div>
    <w:div w:id="111439129">
      <w:bodyDiv w:val="1"/>
      <w:marLeft w:val="0"/>
      <w:marRight w:val="0"/>
      <w:marTop w:val="0"/>
      <w:marBottom w:val="0"/>
      <w:divBdr>
        <w:top w:val="none" w:sz="0" w:space="0" w:color="auto"/>
        <w:left w:val="none" w:sz="0" w:space="0" w:color="auto"/>
        <w:bottom w:val="none" w:sz="0" w:space="0" w:color="auto"/>
        <w:right w:val="none" w:sz="0" w:space="0" w:color="auto"/>
      </w:divBdr>
    </w:div>
    <w:div w:id="119810627">
      <w:bodyDiv w:val="1"/>
      <w:marLeft w:val="0"/>
      <w:marRight w:val="0"/>
      <w:marTop w:val="0"/>
      <w:marBottom w:val="0"/>
      <w:divBdr>
        <w:top w:val="none" w:sz="0" w:space="0" w:color="auto"/>
        <w:left w:val="none" w:sz="0" w:space="0" w:color="auto"/>
        <w:bottom w:val="none" w:sz="0" w:space="0" w:color="auto"/>
        <w:right w:val="none" w:sz="0" w:space="0" w:color="auto"/>
      </w:divBdr>
    </w:div>
    <w:div w:id="134688274">
      <w:bodyDiv w:val="1"/>
      <w:marLeft w:val="0"/>
      <w:marRight w:val="0"/>
      <w:marTop w:val="0"/>
      <w:marBottom w:val="0"/>
      <w:divBdr>
        <w:top w:val="none" w:sz="0" w:space="0" w:color="auto"/>
        <w:left w:val="none" w:sz="0" w:space="0" w:color="auto"/>
        <w:bottom w:val="none" w:sz="0" w:space="0" w:color="auto"/>
        <w:right w:val="none" w:sz="0" w:space="0" w:color="auto"/>
      </w:divBdr>
    </w:div>
    <w:div w:id="154298674">
      <w:bodyDiv w:val="1"/>
      <w:marLeft w:val="0"/>
      <w:marRight w:val="0"/>
      <w:marTop w:val="0"/>
      <w:marBottom w:val="0"/>
      <w:divBdr>
        <w:top w:val="none" w:sz="0" w:space="0" w:color="auto"/>
        <w:left w:val="none" w:sz="0" w:space="0" w:color="auto"/>
        <w:bottom w:val="none" w:sz="0" w:space="0" w:color="auto"/>
        <w:right w:val="none" w:sz="0" w:space="0" w:color="auto"/>
      </w:divBdr>
    </w:div>
    <w:div w:id="167910301">
      <w:bodyDiv w:val="1"/>
      <w:marLeft w:val="0"/>
      <w:marRight w:val="0"/>
      <w:marTop w:val="0"/>
      <w:marBottom w:val="0"/>
      <w:divBdr>
        <w:top w:val="none" w:sz="0" w:space="0" w:color="auto"/>
        <w:left w:val="none" w:sz="0" w:space="0" w:color="auto"/>
        <w:bottom w:val="none" w:sz="0" w:space="0" w:color="auto"/>
        <w:right w:val="none" w:sz="0" w:space="0" w:color="auto"/>
      </w:divBdr>
    </w:div>
    <w:div w:id="18883559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7963520">
      <w:bodyDiv w:val="1"/>
      <w:marLeft w:val="0"/>
      <w:marRight w:val="0"/>
      <w:marTop w:val="0"/>
      <w:marBottom w:val="0"/>
      <w:divBdr>
        <w:top w:val="none" w:sz="0" w:space="0" w:color="auto"/>
        <w:left w:val="none" w:sz="0" w:space="0" w:color="auto"/>
        <w:bottom w:val="none" w:sz="0" w:space="0" w:color="auto"/>
        <w:right w:val="none" w:sz="0" w:space="0" w:color="auto"/>
      </w:divBdr>
    </w:div>
    <w:div w:id="271404033">
      <w:bodyDiv w:val="1"/>
      <w:marLeft w:val="0"/>
      <w:marRight w:val="0"/>
      <w:marTop w:val="0"/>
      <w:marBottom w:val="0"/>
      <w:divBdr>
        <w:top w:val="none" w:sz="0" w:space="0" w:color="auto"/>
        <w:left w:val="none" w:sz="0" w:space="0" w:color="auto"/>
        <w:bottom w:val="none" w:sz="0" w:space="0" w:color="auto"/>
        <w:right w:val="none" w:sz="0" w:space="0" w:color="auto"/>
      </w:divBdr>
    </w:div>
    <w:div w:id="279799287">
      <w:bodyDiv w:val="1"/>
      <w:marLeft w:val="0"/>
      <w:marRight w:val="0"/>
      <w:marTop w:val="0"/>
      <w:marBottom w:val="0"/>
      <w:divBdr>
        <w:top w:val="none" w:sz="0" w:space="0" w:color="auto"/>
        <w:left w:val="none" w:sz="0" w:space="0" w:color="auto"/>
        <w:bottom w:val="none" w:sz="0" w:space="0" w:color="auto"/>
        <w:right w:val="none" w:sz="0" w:space="0" w:color="auto"/>
      </w:divBdr>
    </w:div>
    <w:div w:id="31130126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6347356">
      <w:bodyDiv w:val="1"/>
      <w:marLeft w:val="0"/>
      <w:marRight w:val="0"/>
      <w:marTop w:val="0"/>
      <w:marBottom w:val="0"/>
      <w:divBdr>
        <w:top w:val="none" w:sz="0" w:space="0" w:color="auto"/>
        <w:left w:val="none" w:sz="0" w:space="0" w:color="auto"/>
        <w:bottom w:val="none" w:sz="0" w:space="0" w:color="auto"/>
        <w:right w:val="none" w:sz="0" w:space="0" w:color="auto"/>
      </w:divBdr>
    </w:div>
    <w:div w:id="382558994">
      <w:bodyDiv w:val="1"/>
      <w:marLeft w:val="0"/>
      <w:marRight w:val="0"/>
      <w:marTop w:val="0"/>
      <w:marBottom w:val="0"/>
      <w:divBdr>
        <w:top w:val="none" w:sz="0" w:space="0" w:color="auto"/>
        <w:left w:val="none" w:sz="0" w:space="0" w:color="auto"/>
        <w:bottom w:val="none" w:sz="0" w:space="0" w:color="auto"/>
        <w:right w:val="none" w:sz="0" w:space="0" w:color="auto"/>
      </w:divBdr>
    </w:div>
    <w:div w:id="397675507">
      <w:bodyDiv w:val="1"/>
      <w:marLeft w:val="0"/>
      <w:marRight w:val="0"/>
      <w:marTop w:val="0"/>
      <w:marBottom w:val="0"/>
      <w:divBdr>
        <w:top w:val="none" w:sz="0" w:space="0" w:color="auto"/>
        <w:left w:val="none" w:sz="0" w:space="0" w:color="auto"/>
        <w:bottom w:val="none" w:sz="0" w:space="0" w:color="auto"/>
        <w:right w:val="none" w:sz="0" w:space="0" w:color="auto"/>
      </w:divBdr>
    </w:div>
    <w:div w:id="414474234">
      <w:bodyDiv w:val="1"/>
      <w:marLeft w:val="0"/>
      <w:marRight w:val="0"/>
      <w:marTop w:val="0"/>
      <w:marBottom w:val="0"/>
      <w:divBdr>
        <w:top w:val="none" w:sz="0" w:space="0" w:color="auto"/>
        <w:left w:val="none" w:sz="0" w:space="0" w:color="auto"/>
        <w:bottom w:val="none" w:sz="0" w:space="0" w:color="auto"/>
        <w:right w:val="none" w:sz="0" w:space="0" w:color="auto"/>
      </w:divBdr>
    </w:div>
    <w:div w:id="428816646">
      <w:bodyDiv w:val="1"/>
      <w:marLeft w:val="0"/>
      <w:marRight w:val="0"/>
      <w:marTop w:val="0"/>
      <w:marBottom w:val="0"/>
      <w:divBdr>
        <w:top w:val="none" w:sz="0" w:space="0" w:color="auto"/>
        <w:left w:val="none" w:sz="0" w:space="0" w:color="auto"/>
        <w:bottom w:val="none" w:sz="0" w:space="0" w:color="auto"/>
        <w:right w:val="none" w:sz="0" w:space="0" w:color="auto"/>
      </w:divBdr>
    </w:div>
    <w:div w:id="44558350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91407080">
      <w:bodyDiv w:val="1"/>
      <w:marLeft w:val="0"/>
      <w:marRight w:val="0"/>
      <w:marTop w:val="0"/>
      <w:marBottom w:val="0"/>
      <w:divBdr>
        <w:top w:val="none" w:sz="0" w:space="0" w:color="auto"/>
        <w:left w:val="none" w:sz="0" w:space="0" w:color="auto"/>
        <w:bottom w:val="none" w:sz="0" w:space="0" w:color="auto"/>
        <w:right w:val="none" w:sz="0" w:space="0" w:color="auto"/>
      </w:divBdr>
    </w:div>
    <w:div w:id="503518687">
      <w:bodyDiv w:val="1"/>
      <w:marLeft w:val="0"/>
      <w:marRight w:val="0"/>
      <w:marTop w:val="0"/>
      <w:marBottom w:val="0"/>
      <w:divBdr>
        <w:top w:val="none" w:sz="0" w:space="0" w:color="auto"/>
        <w:left w:val="none" w:sz="0" w:space="0" w:color="auto"/>
        <w:bottom w:val="none" w:sz="0" w:space="0" w:color="auto"/>
        <w:right w:val="none" w:sz="0" w:space="0" w:color="auto"/>
      </w:divBdr>
    </w:div>
    <w:div w:id="504365934">
      <w:bodyDiv w:val="1"/>
      <w:marLeft w:val="0"/>
      <w:marRight w:val="0"/>
      <w:marTop w:val="0"/>
      <w:marBottom w:val="0"/>
      <w:divBdr>
        <w:top w:val="none" w:sz="0" w:space="0" w:color="auto"/>
        <w:left w:val="none" w:sz="0" w:space="0" w:color="auto"/>
        <w:bottom w:val="none" w:sz="0" w:space="0" w:color="auto"/>
        <w:right w:val="none" w:sz="0" w:space="0" w:color="auto"/>
      </w:divBdr>
    </w:div>
    <w:div w:id="509636216">
      <w:bodyDiv w:val="1"/>
      <w:marLeft w:val="0"/>
      <w:marRight w:val="0"/>
      <w:marTop w:val="0"/>
      <w:marBottom w:val="0"/>
      <w:divBdr>
        <w:top w:val="none" w:sz="0" w:space="0" w:color="auto"/>
        <w:left w:val="none" w:sz="0" w:space="0" w:color="auto"/>
        <w:bottom w:val="none" w:sz="0" w:space="0" w:color="auto"/>
        <w:right w:val="none" w:sz="0" w:space="0" w:color="auto"/>
      </w:divBdr>
    </w:div>
    <w:div w:id="527376951">
      <w:bodyDiv w:val="1"/>
      <w:marLeft w:val="0"/>
      <w:marRight w:val="0"/>
      <w:marTop w:val="0"/>
      <w:marBottom w:val="0"/>
      <w:divBdr>
        <w:top w:val="none" w:sz="0" w:space="0" w:color="auto"/>
        <w:left w:val="none" w:sz="0" w:space="0" w:color="auto"/>
        <w:bottom w:val="none" w:sz="0" w:space="0" w:color="auto"/>
        <w:right w:val="none" w:sz="0" w:space="0" w:color="auto"/>
      </w:divBdr>
    </w:div>
    <w:div w:id="530723789">
      <w:bodyDiv w:val="1"/>
      <w:marLeft w:val="0"/>
      <w:marRight w:val="0"/>
      <w:marTop w:val="0"/>
      <w:marBottom w:val="0"/>
      <w:divBdr>
        <w:top w:val="none" w:sz="0" w:space="0" w:color="auto"/>
        <w:left w:val="none" w:sz="0" w:space="0" w:color="auto"/>
        <w:bottom w:val="none" w:sz="0" w:space="0" w:color="auto"/>
        <w:right w:val="none" w:sz="0" w:space="0" w:color="auto"/>
      </w:divBdr>
    </w:div>
    <w:div w:id="53196536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9433283">
      <w:bodyDiv w:val="1"/>
      <w:marLeft w:val="0"/>
      <w:marRight w:val="0"/>
      <w:marTop w:val="0"/>
      <w:marBottom w:val="0"/>
      <w:divBdr>
        <w:top w:val="none" w:sz="0" w:space="0" w:color="auto"/>
        <w:left w:val="none" w:sz="0" w:space="0" w:color="auto"/>
        <w:bottom w:val="none" w:sz="0" w:space="0" w:color="auto"/>
        <w:right w:val="none" w:sz="0" w:space="0" w:color="auto"/>
      </w:divBdr>
    </w:div>
    <w:div w:id="611477407">
      <w:bodyDiv w:val="1"/>
      <w:marLeft w:val="0"/>
      <w:marRight w:val="0"/>
      <w:marTop w:val="0"/>
      <w:marBottom w:val="0"/>
      <w:divBdr>
        <w:top w:val="none" w:sz="0" w:space="0" w:color="auto"/>
        <w:left w:val="none" w:sz="0" w:space="0" w:color="auto"/>
        <w:bottom w:val="none" w:sz="0" w:space="0" w:color="auto"/>
        <w:right w:val="none" w:sz="0" w:space="0" w:color="auto"/>
      </w:divBdr>
    </w:div>
    <w:div w:id="647979340">
      <w:bodyDiv w:val="1"/>
      <w:marLeft w:val="0"/>
      <w:marRight w:val="0"/>
      <w:marTop w:val="0"/>
      <w:marBottom w:val="0"/>
      <w:divBdr>
        <w:top w:val="none" w:sz="0" w:space="0" w:color="auto"/>
        <w:left w:val="none" w:sz="0" w:space="0" w:color="auto"/>
        <w:bottom w:val="none" w:sz="0" w:space="0" w:color="auto"/>
        <w:right w:val="none" w:sz="0" w:space="0" w:color="auto"/>
      </w:divBdr>
    </w:div>
    <w:div w:id="654384491">
      <w:bodyDiv w:val="1"/>
      <w:marLeft w:val="0"/>
      <w:marRight w:val="0"/>
      <w:marTop w:val="0"/>
      <w:marBottom w:val="0"/>
      <w:divBdr>
        <w:top w:val="none" w:sz="0" w:space="0" w:color="auto"/>
        <w:left w:val="none" w:sz="0" w:space="0" w:color="auto"/>
        <w:bottom w:val="none" w:sz="0" w:space="0" w:color="auto"/>
        <w:right w:val="none" w:sz="0" w:space="0" w:color="auto"/>
      </w:divBdr>
    </w:div>
    <w:div w:id="673841319">
      <w:bodyDiv w:val="1"/>
      <w:marLeft w:val="0"/>
      <w:marRight w:val="0"/>
      <w:marTop w:val="0"/>
      <w:marBottom w:val="0"/>
      <w:divBdr>
        <w:top w:val="none" w:sz="0" w:space="0" w:color="auto"/>
        <w:left w:val="none" w:sz="0" w:space="0" w:color="auto"/>
        <w:bottom w:val="none" w:sz="0" w:space="0" w:color="auto"/>
        <w:right w:val="none" w:sz="0" w:space="0" w:color="auto"/>
      </w:divBdr>
    </w:div>
    <w:div w:id="677925711">
      <w:bodyDiv w:val="1"/>
      <w:marLeft w:val="0"/>
      <w:marRight w:val="0"/>
      <w:marTop w:val="0"/>
      <w:marBottom w:val="0"/>
      <w:divBdr>
        <w:top w:val="none" w:sz="0" w:space="0" w:color="auto"/>
        <w:left w:val="none" w:sz="0" w:space="0" w:color="auto"/>
        <w:bottom w:val="none" w:sz="0" w:space="0" w:color="auto"/>
        <w:right w:val="none" w:sz="0" w:space="0" w:color="auto"/>
      </w:divBdr>
    </w:div>
    <w:div w:id="687097085">
      <w:bodyDiv w:val="1"/>
      <w:marLeft w:val="0"/>
      <w:marRight w:val="0"/>
      <w:marTop w:val="0"/>
      <w:marBottom w:val="0"/>
      <w:divBdr>
        <w:top w:val="none" w:sz="0" w:space="0" w:color="auto"/>
        <w:left w:val="none" w:sz="0" w:space="0" w:color="auto"/>
        <w:bottom w:val="none" w:sz="0" w:space="0" w:color="auto"/>
        <w:right w:val="none" w:sz="0" w:space="0" w:color="auto"/>
      </w:divBdr>
    </w:div>
    <w:div w:id="687105328">
      <w:bodyDiv w:val="1"/>
      <w:marLeft w:val="0"/>
      <w:marRight w:val="0"/>
      <w:marTop w:val="0"/>
      <w:marBottom w:val="0"/>
      <w:divBdr>
        <w:top w:val="none" w:sz="0" w:space="0" w:color="auto"/>
        <w:left w:val="none" w:sz="0" w:space="0" w:color="auto"/>
        <w:bottom w:val="none" w:sz="0" w:space="0" w:color="auto"/>
        <w:right w:val="none" w:sz="0" w:space="0" w:color="auto"/>
      </w:divBdr>
    </w:div>
    <w:div w:id="691492853">
      <w:bodyDiv w:val="1"/>
      <w:marLeft w:val="0"/>
      <w:marRight w:val="0"/>
      <w:marTop w:val="0"/>
      <w:marBottom w:val="0"/>
      <w:divBdr>
        <w:top w:val="none" w:sz="0" w:space="0" w:color="auto"/>
        <w:left w:val="none" w:sz="0" w:space="0" w:color="auto"/>
        <w:bottom w:val="none" w:sz="0" w:space="0" w:color="auto"/>
        <w:right w:val="none" w:sz="0" w:space="0" w:color="auto"/>
      </w:divBdr>
    </w:div>
    <w:div w:id="718475545">
      <w:bodyDiv w:val="1"/>
      <w:marLeft w:val="0"/>
      <w:marRight w:val="0"/>
      <w:marTop w:val="0"/>
      <w:marBottom w:val="0"/>
      <w:divBdr>
        <w:top w:val="none" w:sz="0" w:space="0" w:color="auto"/>
        <w:left w:val="none" w:sz="0" w:space="0" w:color="auto"/>
        <w:bottom w:val="none" w:sz="0" w:space="0" w:color="auto"/>
        <w:right w:val="none" w:sz="0" w:space="0" w:color="auto"/>
      </w:divBdr>
    </w:div>
    <w:div w:id="743576030">
      <w:bodyDiv w:val="1"/>
      <w:marLeft w:val="0"/>
      <w:marRight w:val="0"/>
      <w:marTop w:val="0"/>
      <w:marBottom w:val="0"/>
      <w:divBdr>
        <w:top w:val="none" w:sz="0" w:space="0" w:color="auto"/>
        <w:left w:val="none" w:sz="0" w:space="0" w:color="auto"/>
        <w:bottom w:val="none" w:sz="0" w:space="0" w:color="auto"/>
        <w:right w:val="none" w:sz="0" w:space="0" w:color="auto"/>
      </w:divBdr>
    </w:div>
    <w:div w:id="764689883">
      <w:bodyDiv w:val="1"/>
      <w:marLeft w:val="0"/>
      <w:marRight w:val="0"/>
      <w:marTop w:val="0"/>
      <w:marBottom w:val="0"/>
      <w:divBdr>
        <w:top w:val="none" w:sz="0" w:space="0" w:color="auto"/>
        <w:left w:val="none" w:sz="0" w:space="0" w:color="auto"/>
        <w:bottom w:val="none" w:sz="0" w:space="0" w:color="auto"/>
        <w:right w:val="none" w:sz="0" w:space="0" w:color="auto"/>
      </w:divBdr>
    </w:div>
    <w:div w:id="783887936">
      <w:bodyDiv w:val="1"/>
      <w:marLeft w:val="0"/>
      <w:marRight w:val="0"/>
      <w:marTop w:val="0"/>
      <w:marBottom w:val="0"/>
      <w:divBdr>
        <w:top w:val="none" w:sz="0" w:space="0" w:color="auto"/>
        <w:left w:val="none" w:sz="0" w:space="0" w:color="auto"/>
        <w:bottom w:val="none" w:sz="0" w:space="0" w:color="auto"/>
        <w:right w:val="none" w:sz="0" w:space="0" w:color="auto"/>
      </w:divBdr>
    </w:div>
    <w:div w:id="788163902">
      <w:bodyDiv w:val="1"/>
      <w:marLeft w:val="0"/>
      <w:marRight w:val="0"/>
      <w:marTop w:val="0"/>
      <w:marBottom w:val="0"/>
      <w:divBdr>
        <w:top w:val="none" w:sz="0" w:space="0" w:color="auto"/>
        <w:left w:val="none" w:sz="0" w:space="0" w:color="auto"/>
        <w:bottom w:val="none" w:sz="0" w:space="0" w:color="auto"/>
        <w:right w:val="none" w:sz="0" w:space="0" w:color="auto"/>
      </w:divBdr>
    </w:div>
    <w:div w:id="793869414">
      <w:bodyDiv w:val="1"/>
      <w:marLeft w:val="0"/>
      <w:marRight w:val="0"/>
      <w:marTop w:val="0"/>
      <w:marBottom w:val="0"/>
      <w:divBdr>
        <w:top w:val="none" w:sz="0" w:space="0" w:color="auto"/>
        <w:left w:val="none" w:sz="0" w:space="0" w:color="auto"/>
        <w:bottom w:val="none" w:sz="0" w:space="0" w:color="auto"/>
        <w:right w:val="none" w:sz="0" w:space="0" w:color="auto"/>
      </w:divBdr>
    </w:div>
    <w:div w:id="812602887">
      <w:bodyDiv w:val="1"/>
      <w:marLeft w:val="0"/>
      <w:marRight w:val="0"/>
      <w:marTop w:val="0"/>
      <w:marBottom w:val="0"/>
      <w:divBdr>
        <w:top w:val="none" w:sz="0" w:space="0" w:color="auto"/>
        <w:left w:val="none" w:sz="0" w:space="0" w:color="auto"/>
        <w:bottom w:val="none" w:sz="0" w:space="0" w:color="auto"/>
        <w:right w:val="none" w:sz="0" w:space="0" w:color="auto"/>
      </w:divBdr>
    </w:div>
    <w:div w:id="820344552">
      <w:bodyDiv w:val="1"/>
      <w:marLeft w:val="0"/>
      <w:marRight w:val="0"/>
      <w:marTop w:val="0"/>
      <w:marBottom w:val="0"/>
      <w:divBdr>
        <w:top w:val="none" w:sz="0" w:space="0" w:color="auto"/>
        <w:left w:val="none" w:sz="0" w:space="0" w:color="auto"/>
        <w:bottom w:val="none" w:sz="0" w:space="0" w:color="auto"/>
        <w:right w:val="none" w:sz="0" w:space="0" w:color="auto"/>
      </w:divBdr>
    </w:div>
    <w:div w:id="830146348">
      <w:bodyDiv w:val="1"/>
      <w:marLeft w:val="0"/>
      <w:marRight w:val="0"/>
      <w:marTop w:val="0"/>
      <w:marBottom w:val="0"/>
      <w:divBdr>
        <w:top w:val="none" w:sz="0" w:space="0" w:color="auto"/>
        <w:left w:val="none" w:sz="0" w:space="0" w:color="auto"/>
        <w:bottom w:val="none" w:sz="0" w:space="0" w:color="auto"/>
        <w:right w:val="none" w:sz="0" w:space="0" w:color="auto"/>
      </w:divBdr>
    </w:div>
    <w:div w:id="830633973">
      <w:bodyDiv w:val="1"/>
      <w:marLeft w:val="0"/>
      <w:marRight w:val="0"/>
      <w:marTop w:val="0"/>
      <w:marBottom w:val="0"/>
      <w:divBdr>
        <w:top w:val="none" w:sz="0" w:space="0" w:color="auto"/>
        <w:left w:val="none" w:sz="0" w:space="0" w:color="auto"/>
        <w:bottom w:val="none" w:sz="0" w:space="0" w:color="auto"/>
        <w:right w:val="none" w:sz="0" w:space="0" w:color="auto"/>
      </w:divBdr>
    </w:div>
    <w:div w:id="85388111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7459226">
      <w:bodyDiv w:val="1"/>
      <w:marLeft w:val="0"/>
      <w:marRight w:val="0"/>
      <w:marTop w:val="0"/>
      <w:marBottom w:val="0"/>
      <w:divBdr>
        <w:top w:val="none" w:sz="0" w:space="0" w:color="auto"/>
        <w:left w:val="none" w:sz="0" w:space="0" w:color="auto"/>
        <w:bottom w:val="none" w:sz="0" w:space="0" w:color="auto"/>
        <w:right w:val="none" w:sz="0" w:space="0" w:color="auto"/>
      </w:divBdr>
    </w:div>
    <w:div w:id="1003165225">
      <w:bodyDiv w:val="1"/>
      <w:marLeft w:val="0"/>
      <w:marRight w:val="0"/>
      <w:marTop w:val="0"/>
      <w:marBottom w:val="0"/>
      <w:divBdr>
        <w:top w:val="none" w:sz="0" w:space="0" w:color="auto"/>
        <w:left w:val="none" w:sz="0" w:space="0" w:color="auto"/>
        <w:bottom w:val="none" w:sz="0" w:space="0" w:color="auto"/>
        <w:right w:val="none" w:sz="0" w:space="0" w:color="auto"/>
      </w:divBdr>
    </w:div>
    <w:div w:id="1014381424">
      <w:bodyDiv w:val="1"/>
      <w:marLeft w:val="0"/>
      <w:marRight w:val="0"/>
      <w:marTop w:val="0"/>
      <w:marBottom w:val="0"/>
      <w:divBdr>
        <w:top w:val="none" w:sz="0" w:space="0" w:color="auto"/>
        <w:left w:val="none" w:sz="0" w:space="0" w:color="auto"/>
        <w:bottom w:val="none" w:sz="0" w:space="0" w:color="auto"/>
        <w:right w:val="none" w:sz="0" w:space="0" w:color="auto"/>
      </w:divBdr>
    </w:div>
    <w:div w:id="1027409166">
      <w:bodyDiv w:val="1"/>
      <w:marLeft w:val="0"/>
      <w:marRight w:val="0"/>
      <w:marTop w:val="0"/>
      <w:marBottom w:val="0"/>
      <w:divBdr>
        <w:top w:val="none" w:sz="0" w:space="0" w:color="auto"/>
        <w:left w:val="none" w:sz="0" w:space="0" w:color="auto"/>
        <w:bottom w:val="none" w:sz="0" w:space="0" w:color="auto"/>
        <w:right w:val="none" w:sz="0" w:space="0" w:color="auto"/>
      </w:divBdr>
    </w:div>
    <w:div w:id="1037703952">
      <w:bodyDiv w:val="1"/>
      <w:marLeft w:val="0"/>
      <w:marRight w:val="0"/>
      <w:marTop w:val="0"/>
      <w:marBottom w:val="0"/>
      <w:divBdr>
        <w:top w:val="none" w:sz="0" w:space="0" w:color="auto"/>
        <w:left w:val="none" w:sz="0" w:space="0" w:color="auto"/>
        <w:bottom w:val="none" w:sz="0" w:space="0" w:color="auto"/>
        <w:right w:val="none" w:sz="0" w:space="0" w:color="auto"/>
      </w:divBdr>
    </w:div>
    <w:div w:id="1049576056">
      <w:bodyDiv w:val="1"/>
      <w:marLeft w:val="0"/>
      <w:marRight w:val="0"/>
      <w:marTop w:val="0"/>
      <w:marBottom w:val="0"/>
      <w:divBdr>
        <w:top w:val="none" w:sz="0" w:space="0" w:color="auto"/>
        <w:left w:val="none" w:sz="0" w:space="0" w:color="auto"/>
        <w:bottom w:val="none" w:sz="0" w:space="0" w:color="auto"/>
        <w:right w:val="none" w:sz="0" w:space="0" w:color="auto"/>
      </w:divBdr>
    </w:div>
    <w:div w:id="1053427390">
      <w:bodyDiv w:val="1"/>
      <w:marLeft w:val="0"/>
      <w:marRight w:val="0"/>
      <w:marTop w:val="0"/>
      <w:marBottom w:val="0"/>
      <w:divBdr>
        <w:top w:val="none" w:sz="0" w:space="0" w:color="auto"/>
        <w:left w:val="none" w:sz="0" w:space="0" w:color="auto"/>
        <w:bottom w:val="none" w:sz="0" w:space="0" w:color="auto"/>
        <w:right w:val="none" w:sz="0" w:space="0" w:color="auto"/>
      </w:divBdr>
    </w:div>
    <w:div w:id="1072314171">
      <w:bodyDiv w:val="1"/>
      <w:marLeft w:val="0"/>
      <w:marRight w:val="0"/>
      <w:marTop w:val="0"/>
      <w:marBottom w:val="0"/>
      <w:divBdr>
        <w:top w:val="none" w:sz="0" w:space="0" w:color="auto"/>
        <w:left w:val="none" w:sz="0" w:space="0" w:color="auto"/>
        <w:bottom w:val="none" w:sz="0" w:space="0" w:color="auto"/>
        <w:right w:val="none" w:sz="0" w:space="0" w:color="auto"/>
      </w:divBdr>
    </w:div>
    <w:div w:id="1113473896">
      <w:bodyDiv w:val="1"/>
      <w:marLeft w:val="0"/>
      <w:marRight w:val="0"/>
      <w:marTop w:val="0"/>
      <w:marBottom w:val="0"/>
      <w:divBdr>
        <w:top w:val="none" w:sz="0" w:space="0" w:color="auto"/>
        <w:left w:val="none" w:sz="0" w:space="0" w:color="auto"/>
        <w:bottom w:val="none" w:sz="0" w:space="0" w:color="auto"/>
        <w:right w:val="none" w:sz="0" w:space="0" w:color="auto"/>
      </w:divBdr>
    </w:div>
    <w:div w:id="111767570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8134265">
      <w:bodyDiv w:val="1"/>
      <w:marLeft w:val="0"/>
      <w:marRight w:val="0"/>
      <w:marTop w:val="0"/>
      <w:marBottom w:val="0"/>
      <w:divBdr>
        <w:top w:val="none" w:sz="0" w:space="0" w:color="auto"/>
        <w:left w:val="none" w:sz="0" w:space="0" w:color="auto"/>
        <w:bottom w:val="none" w:sz="0" w:space="0" w:color="auto"/>
        <w:right w:val="none" w:sz="0" w:space="0" w:color="auto"/>
      </w:divBdr>
    </w:div>
    <w:div w:id="1185437376">
      <w:bodyDiv w:val="1"/>
      <w:marLeft w:val="0"/>
      <w:marRight w:val="0"/>
      <w:marTop w:val="0"/>
      <w:marBottom w:val="0"/>
      <w:divBdr>
        <w:top w:val="none" w:sz="0" w:space="0" w:color="auto"/>
        <w:left w:val="none" w:sz="0" w:space="0" w:color="auto"/>
        <w:bottom w:val="none" w:sz="0" w:space="0" w:color="auto"/>
        <w:right w:val="none" w:sz="0" w:space="0" w:color="auto"/>
      </w:divBdr>
    </w:div>
    <w:div w:id="1204244276">
      <w:bodyDiv w:val="1"/>
      <w:marLeft w:val="0"/>
      <w:marRight w:val="0"/>
      <w:marTop w:val="0"/>
      <w:marBottom w:val="0"/>
      <w:divBdr>
        <w:top w:val="none" w:sz="0" w:space="0" w:color="auto"/>
        <w:left w:val="none" w:sz="0" w:space="0" w:color="auto"/>
        <w:bottom w:val="none" w:sz="0" w:space="0" w:color="auto"/>
        <w:right w:val="none" w:sz="0" w:space="0" w:color="auto"/>
      </w:divBdr>
    </w:div>
    <w:div w:id="1239245288">
      <w:bodyDiv w:val="1"/>
      <w:marLeft w:val="0"/>
      <w:marRight w:val="0"/>
      <w:marTop w:val="0"/>
      <w:marBottom w:val="0"/>
      <w:divBdr>
        <w:top w:val="none" w:sz="0" w:space="0" w:color="auto"/>
        <w:left w:val="none" w:sz="0" w:space="0" w:color="auto"/>
        <w:bottom w:val="none" w:sz="0" w:space="0" w:color="auto"/>
        <w:right w:val="none" w:sz="0" w:space="0" w:color="auto"/>
      </w:divBdr>
    </w:div>
    <w:div w:id="1246453850">
      <w:bodyDiv w:val="1"/>
      <w:marLeft w:val="0"/>
      <w:marRight w:val="0"/>
      <w:marTop w:val="0"/>
      <w:marBottom w:val="0"/>
      <w:divBdr>
        <w:top w:val="none" w:sz="0" w:space="0" w:color="auto"/>
        <w:left w:val="none" w:sz="0" w:space="0" w:color="auto"/>
        <w:bottom w:val="none" w:sz="0" w:space="0" w:color="auto"/>
        <w:right w:val="none" w:sz="0" w:space="0" w:color="auto"/>
      </w:divBdr>
    </w:div>
    <w:div w:id="1316422490">
      <w:bodyDiv w:val="1"/>
      <w:marLeft w:val="0"/>
      <w:marRight w:val="0"/>
      <w:marTop w:val="0"/>
      <w:marBottom w:val="0"/>
      <w:divBdr>
        <w:top w:val="none" w:sz="0" w:space="0" w:color="auto"/>
        <w:left w:val="none" w:sz="0" w:space="0" w:color="auto"/>
        <w:bottom w:val="none" w:sz="0" w:space="0" w:color="auto"/>
        <w:right w:val="none" w:sz="0" w:space="0" w:color="auto"/>
      </w:divBdr>
    </w:div>
    <w:div w:id="1321159929">
      <w:bodyDiv w:val="1"/>
      <w:marLeft w:val="0"/>
      <w:marRight w:val="0"/>
      <w:marTop w:val="0"/>
      <w:marBottom w:val="0"/>
      <w:divBdr>
        <w:top w:val="none" w:sz="0" w:space="0" w:color="auto"/>
        <w:left w:val="none" w:sz="0" w:space="0" w:color="auto"/>
        <w:bottom w:val="none" w:sz="0" w:space="0" w:color="auto"/>
        <w:right w:val="none" w:sz="0" w:space="0" w:color="auto"/>
      </w:divBdr>
    </w:div>
    <w:div w:id="134535518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3013181">
      <w:bodyDiv w:val="1"/>
      <w:marLeft w:val="0"/>
      <w:marRight w:val="0"/>
      <w:marTop w:val="0"/>
      <w:marBottom w:val="0"/>
      <w:divBdr>
        <w:top w:val="none" w:sz="0" w:space="0" w:color="auto"/>
        <w:left w:val="none" w:sz="0" w:space="0" w:color="auto"/>
        <w:bottom w:val="none" w:sz="0" w:space="0" w:color="auto"/>
        <w:right w:val="none" w:sz="0" w:space="0" w:color="auto"/>
      </w:divBdr>
    </w:div>
    <w:div w:id="1457675460">
      <w:bodyDiv w:val="1"/>
      <w:marLeft w:val="0"/>
      <w:marRight w:val="0"/>
      <w:marTop w:val="0"/>
      <w:marBottom w:val="0"/>
      <w:divBdr>
        <w:top w:val="none" w:sz="0" w:space="0" w:color="auto"/>
        <w:left w:val="none" w:sz="0" w:space="0" w:color="auto"/>
        <w:bottom w:val="none" w:sz="0" w:space="0" w:color="auto"/>
        <w:right w:val="none" w:sz="0" w:space="0" w:color="auto"/>
      </w:divBdr>
    </w:div>
    <w:div w:id="1490101298">
      <w:bodyDiv w:val="1"/>
      <w:marLeft w:val="0"/>
      <w:marRight w:val="0"/>
      <w:marTop w:val="0"/>
      <w:marBottom w:val="0"/>
      <w:divBdr>
        <w:top w:val="none" w:sz="0" w:space="0" w:color="auto"/>
        <w:left w:val="none" w:sz="0" w:space="0" w:color="auto"/>
        <w:bottom w:val="none" w:sz="0" w:space="0" w:color="auto"/>
        <w:right w:val="none" w:sz="0" w:space="0" w:color="auto"/>
      </w:divBdr>
    </w:div>
    <w:div w:id="1502311111">
      <w:bodyDiv w:val="1"/>
      <w:marLeft w:val="0"/>
      <w:marRight w:val="0"/>
      <w:marTop w:val="0"/>
      <w:marBottom w:val="0"/>
      <w:divBdr>
        <w:top w:val="none" w:sz="0" w:space="0" w:color="auto"/>
        <w:left w:val="none" w:sz="0" w:space="0" w:color="auto"/>
        <w:bottom w:val="none" w:sz="0" w:space="0" w:color="auto"/>
        <w:right w:val="none" w:sz="0" w:space="0" w:color="auto"/>
      </w:divBdr>
    </w:div>
    <w:div w:id="1513645240">
      <w:bodyDiv w:val="1"/>
      <w:marLeft w:val="0"/>
      <w:marRight w:val="0"/>
      <w:marTop w:val="0"/>
      <w:marBottom w:val="0"/>
      <w:divBdr>
        <w:top w:val="none" w:sz="0" w:space="0" w:color="auto"/>
        <w:left w:val="none" w:sz="0" w:space="0" w:color="auto"/>
        <w:bottom w:val="none" w:sz="0" w:space="0" w:color="auto"/>
        <w:right w:val="none" w:sz="0" w:space="0" w:color="auto"/>
      </w:divBdr>
    </w:div>
    <w:div w:id="1543251523">
      <w:bodyDiv w:val="1"/>
      <w:marLeft w:val="0"/>
      <w:marRight w:val="0"/>
      <w:marTop w:val="0"/>
      <w:marBottom w:val="0"/>
      <w:divBdr>
        <w:top w:val="none" w:sz="0" w:space="0" w:color="auto"/>
        <w:left w:val="none" w:sz="0" w:space="0" w:color="auto"/>
        <w:bottom w:val="none" w:sz="0" w:space="0" w:color="auto"/>
        <w:right w:val="none" w:sz="0" w:space="0" w:color="auto"/>
      </w:divBdr>
    </w:div>
    <w:div w:id="1543861510">
      <w:bodyDiv w:val="1"/>
      <w:marLeft w:val="0"/>
      <w:marRight w:val="0"/>
      <w:marTop w:val="0"/>
      <w:marBottom w:val="0"/>
      <w:divBdr>
        <w:top w:val="none" w:sz="0" w:space="0" w:color="auto"/>
        <w:left w:val="none" w:sz="0" w:space="0" w:color="auto"/>
        <w:bottom w:val="none" w:sz="0" w:space="0" w:color="auto"/>
        <w:right w:val="none" w:sz="0" w:space="0" w:color="auto"/>
      </w:divBdr>
    </w:div>
    <w:div w:id="1554853288">
      <w:bodyDiv w:val="1"/>
      <w:marLeft w:val="0"/>
      <w:marRight w:val="0"/>
      <w:marTop w:val="0"/>
      <w:marBottom w:val="0"/>
      <w:divBdr>
        <w:top w:val="none" w:sz="0" w:space="0" w:color="auto"/>
        <w:left w:val="none" w:sz="0" w:space="0" w:color="auto"/>
        <w:bottom w:val="none" w:sz="0" w:space="0" w:color="auto"/>
        <w:right w:val="none" w:sz="0" w:space="0" w:color="auto"/>
      </w:divBdr>
    </w:div>
    <w:div w:id="1560435293">
      <w:bodyDiv w:val="1"/>
      <w:marLeft w:val="0"/>
      <w:marRight w:val="0"/>
      <w:marTop w:val="0"/>
      <w:marBottom w:val="0"/>
      <w:divBdr>
        <w:top w:val="none" w:sz="0" w:space="0" w:color="auto"/>
        <w:left w:val="none" w:sz="0" w:space="0" w:color="auto"/>
        <w:bottom w:val="none" w:sz="0" w:space="0" w:color="auto"/>
        <w:right w:val="none" w:sz="0" w:space="0" w:color="auto"/>
      </w:divBdr>
    </w:div>
    <w:div w:id="1569417719">
      <w:bodyDiv w:val="1"/>
      <w:marLeft w:val="0"/>
      <w:marRight w:val="0"/>
      <w:marTop w:val="0"/>
      <w:marBottom w:val="0"/>
      <w:divBdr>
        <w:top w:val="none" w:sz="0" w:space="0" w:color="auto"/>
        <w:left w:val="none" w:sz="0" w:space="0" w:color="auto"/>
        <w:bottom w:val="none" w:sz="0" w:space="0" w:color="auto"/>
        <w:right w:val="none" w:sz="0" w:space="0" w:color="auto"/>
      </w:divBdr>
    </w:div>
    <w:div w:id="1605726634">
      <w:bodyDiv w:val="1"/>
      <w:marLeft w:val="0"/>
      <w:marRight w:val="0"/>
      <w:marTop w:val="0"/>
      <w:marBottom w:val="0"/>
      <w:divBdr>
        <w:top w:val="none" w:sz="0" w:space="0" w:color="auto"/>
        <w:left w:val="none" w:sz="0" w:space="0" w:color="auto"/>
        <w:bottom w:val="none" w:sz="0" w:space="0" w:color="auto"/>
        <w:right w:val="none" w:sz="0" w:space="0" w:color="auto"/>
      </w:divBdr>
    </w:div>
    <w:div w:id="162025556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581498">
      <w:bodyDiv w:val="1"/>
      <w:marLeft w:val="0"/>
      <w:marRight w:val="0"/>
      <w:marTop w:val="0"/>
      <w:marBottom w:val="0"/>
      <w:divBdr>
        <w:top w:val="none" w:sz="0" w:space="0" w:color="auto"/>
        <w:left w:val="none" w:sz="0" w:space="0" w:color="auto"/>
        <w:bottom w:val="none" w:sz="0" w:space="0" w:color="auto"/>
        <w:right w:val="none" w:sz="0" w:space="0" w:color="auto"/>
      </w:divBdr>
    </w:div>
    <w:div w:id="1633712121">
      <w:bodyDiv w:val="1"/>
      <w:marLeft w:val="0"/>
      <w:marRight w:val="0"/>
      <w:marTop w:val="0"/>
      <w:marBottom w:val="0"/>
      <w:divBdr>
        <w:top w:val="none" w:sz="0" w:space="0" w:color="auto"/>
        <w:left w:val="none" w:sz="0" w:space="0" w:color="auto"/>
        <w:bottom w:val="none" w:sz="0" w:space="0" w:color="auto"/>
        <w:right w:val="none" w:sz="0" w:space="0" w:color="auto"/>
      </w:divBdr>
    </w:div>
    <w:div w:id="1637570029">
      <w:bodyDiv w:val="1"/>
      <w:marLeft w:val="0"/>
      <w:marRight w:val="0"/>
      <w:marTop w:val="0"/>
      <w:marBottom w:val="0"/>
      <w:divBdr>
        <w:top w:val="none" w:sz="0" w:space="0" w:color="auto"/>
        <w:left w:val="none" w:sz="0" w:space="0" w:color="auto"/>
        <w:bottom w:val="none" w:sz="0" w:space="0" w:color="auto"/>
        <w:right w:val="none" w:sz="0" w:space="0" w:color="auto"/>
      </w:divBdr>
    </w:div>
    <w:div w:id="1644503942">
      <w:bodyDiv w:val="1"/>
      <w:marLeft w:val="0"/>
      <w:marRight w:val="0"/>
      <w:marTop w:val="0"/>
      <w:marBottom w:val="0"/>
      <w:divBdr>
        <w:top w:val="none" w:sz="0" w:space="0" w:color="auto"/>
        <w:left w:val="none" w:sz="0" w:space="0" w:color="auto"/>
        <w:bottom w:val="none" w:sz="0" w:space="0" w:color="auto"/>
        <w:right w:val="none" w:sz="0" w:space="0" w:color="auto"/>
      </w:divBdr>
    </w:div>
    <w:div w:id="1653875062">
      <w:bodyDiv w:val="1"/>
      <w:marLeft w:val="0"/>
      <w:marRight w:val="0"/>
      <w:marTop w:val="0"/>
      <w:marBottom w:val="0"/>
      <w:divBdr>
        <w:top w:val="none" w:sz="0" w:space="0" w:color="auto"/>
        <w:left w:val="none" w:sz="0" w:space="0" w:color="auto"/>
        <w:bottom w:val="none" w:sz="0" w:space="0" w:color="auto"/>
        <w:right w:val="none" w:sz="0" w:space="0" w:color="auto"/>
      </w:divBdr>
    </w:div>
    <w:div w:id="1680428229">
      <w:bodyDiv w:val="1"/>
      <w:marLeft w:val="0"/>
      <w:marRight w:val="0"/>
      <w:marTop w:val="0"/>
      <w:marBottom w:val="0"/>
      <w:divBdr>
        <w:top w:val="none" w:sz="0" w:space="0" w:color="auto"/>
        <w:left w:val="none" w:sz="0" w:space="0" w:color="auto"/>
        <w:bottom w:val="none" w:sz="0" w:space="0" w:color="auto"/>
        <w:right w:val="none" w:sz="0" w:space="0" w:color="auto"/>
      </w:divBdr>
    </w:div>
    <w:div w:id="1682466800">
      <w:bodyDiv w:val="1"/>
      <w:marLeft w:val="0"/>
      <w:marRight w:val="0"/>
      <w:marTop w:val="0"/>
      <w:marBottom w:val="0"/>
      <w:divBdr>
        <w:top w:val="none" w:sz="0" w:space="0" w:color="auto"/>
        <w:left w:val="none" w:sz="0" w:space="0" w:color="auto"/>
        <w:bottom w:val="none" w:sz="0" w:space="0" w:color="auto"/>
        <w:right w:val="none" w:sz="0" w:space="0" w:color="auto"/>
      </w:divBdr>
    </w:div>
    <w:div w:id="1712656707">
      <w:bodyDiv w:val="1"/>
      <w:marLeft w:val="0"/>
      <w:marRight w:val="0"/>
      <w:marTop w:val="0"/>
      <w:marBottom w:val="0"/>
      <w:divBdr>
        <w:top w:val="none" w:sz="0" w:space="0" w:color="auto"/>
        <w:left w:val="none" w:sz="0" w:space="0" w:color="auto"/>
        <w:bottom w:val="none" w:sz="0" w:space="0" w:color="auto"/>
        <w:right w:val="none" w:sz="0" w:space="0" w:color="auto"/>
      </w:divBdr>
    </w:div>
    <w:div w:id="1721858727">
      <w:bodyDiv w:val="1"/>
      <w:marLeft w:val="0"/>
      <w:marRight w:val="0"/>
      <w:marTop w:val="0"/>
      <w:marBottom w:val="0"/>
      <w:divBdr>
        <w:top w:val="none" w:sz="0" w:space="0" w:color="auto"/>
        <w:left w:val="none" w:sz="0" w:space="0" w:color="auto"/>
        <w:bottom w:val="none" w:sz="0" w:space="0" w:color="auto"/>
        <w:right w:val="none" w:sz="0" w:space="0" w:color="auto"/>
      </w:divBdr>
    </w:div>
    <w:div w:id="1733573804">
      <w:bodyDiv w:val="1"/>
      <w:marLeft w:val="0"/>
      <w:marRight w:val="0"/>
      <w:marTop w:val="0"/>
      <w:marBottom w:val="0"/>
      <w:divBdr>
        <w:top w:val="none" w:sz="0" w:space="0" w:color="auto"/>
        <w:left w:val="none" w:sz="0" w:space="0" w:color="auto"/>
        <w:bottom w:val="none" w:sz="0" w:space="0" w:color="auto"/>
        <w:right w:val="none" w:sz="0" w:space="0" w:color="auto"/>
      </w:divBdr>
    </w:div>
    <w:div w:id="1742486110">
      <w:bodyDiv w:val="1"/>
      <w:marLeft w:val="0"/>
      <w:marRight w:val="0"/>
      <w:marTop w:val="0"/>
      <w:marBottom w:val="0"/>
      <w:divBdr>
        <w:top w:val="none" w:sz="0" w:space="0" w:color="auto"/>
        <w:left w:val="none" w:sz="0" w:space="0" w:color="auto"/>
        <w:bottom w:val="none" w:sz="0" w:space="0" w:color="auto"/>
        <w:right w:val="none" w:sz="0" w:space="0" w:color="auto"/>
      </w:divBdr>
    </w:div>
    <w:div w:id="1746293651">
      <w:bodyDiv w:val="1"/>
      <w:marLeft w:val="0"/>
      <w:marRight w:val="0"/>
      <w:marTop w:val="0"/>
      <w:marBottom w:val="0"/>
      <w:divBdr>
        <w:top w:val="none" w:sz="0" w:space="0" w:color="auto"/>
        <w:left w:val="none" w:sz="0" w:space="0" w:color="auto"/>
        <w:bottom w:val="none" w:sz="0" w:space="0" w:color="auto"/>
        <w:right w:val="none" w:sz="0" w:space="0" w:color="auto"/>
      </w:divBdr>
    </w:div>
    <w:div w:id="179879094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2862388">
      <w:bodyDiv w:val="1"/>
      <w:marLeft w:val="0"/>
      <w:marRight w:val="0"/>
      <w:marTop w:val="0"/>
      <w:marBottom w:val="0"/>
      <w:divBdr>
        <w:top w:val="none" w:sz="0" w:space="0" w:color="auto"/>
        <w:left w:val="none" w:sz="0" w:space="0" w:color="auto"/>
        <w:bottom w:val="none" w:sz="0" w:space="0" w:color="auto"/>
        <w:right w:val="none" w:sz="0" w:space="0" w:color="auto"/>
      </w:divBdr>
    </w:div>
    <w:div w:id="181852366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5098030">
      <w:bodyDiv w:val="1"/>
      <w:marLeft w:val="0"/>
      <w:marRight w:val="0"/>
      <w:marTop w:val="0"/>
      <w:marBottom w:val="0"/>
      <w:divBdr>
        <w:top w:val="none" w:sz="0" w:space="0" w:color="auto"/>
        <w:left w:val="none" w:sz="0" w:space="0" w:color="auto"/>
        <w:bottom w:val="none" w:sz="0" w:space="0" w:color="auto"/>
        <w:right w:val="none" w:sz="0" w:space="0" w:color="auto"/>
      </w:divBdr>
    </w:div>
    <w:div w:id="1841696124">
      <w:bodyDiv w:val="1"/>
      <w:marLeft w:val="0"/>
      <w:marRight w:val="0"/>
      <w:marTop w:val="0"/>
      <w:marBottom w:val="0"/>
      <w:divBdr>
        <w:top w:val="none" w:sz="0" w:space="0" w:color="auto"/>
        <w:left w:val="none" w:sz="0" w:space="0" w:color="auto"/>
        <w:bottom w:val="none" w:sz="0" w:space="0" w:color="auto"/>
        <w:right w:val="none" w:sz="0" w:space="0" w:color="auto"/>
      </w:divBdr>
    </w:div>
    <w:div w:id="1851137272">
      <w:bodyDiv w:val="1"/>
      <w:marLeft w:val="0"/>
      <w:marRight w:val="0"/>
      <w:marTop w:val="0"/>
      <w:marBottom w:val="0"/>
      <w:divBdr>
        <w:top w:val="none" w:sz="0" w:space="0" w:color="auto"/>
        <w:left w:val="none" w:sz="0" w:space="0" w:color="auto"/>
        <w:bottom w:val="none" w:sz="0" w:space="0" w:color="auto"/>
        <w:right w:val="none" w:sz="0" w:space="0" w:color="auto"/>
      </w:divBdr>
    </w:div>
    <w:div w:id="1856840359">
      <w:bodyDiv w:val="1"/>
      <w:marLeft w:val="0"/>
      <w:marRight w:val="0"/>
      <w:marTop w:val="0"/>
      <w:marBottom w:val="0"/>
      <w:divBdr>
        <w:top w:val="none" w:sz="0" w:space="0" w:color="auto"/>
        <w:left w:val="none" w:sz="0" w:space="0" w:color="auto"/>
        <w:bottom w:val="none" w:sz="0" w:space="0" w:color="auto"/>
        <w:right w:val="none" w:sz="0" w:space="0" w:color="auto"/>
      </w:divBdr>
    </w:div>
    <w:div w:id="1888179916">
      <w:bodyDiv w:val="1"/>
      <w:marLeft w:val="0"/>
      <w:marRight w:val="0"/>
      <w:marTop w:val="0"/>
      <w:marBottom w:val="0"/>
      <w:divBdr>
        <w:top w:val="none" w:sz="0" w:space="0" w:color="auto"/>
        <w:left w:val="none" w:sz="0" w:space="0" w:color="auto"/>
        <w:bottom w:val="none" w:sz="0" w:space="0" w:color="auto"/>
        <w:right w:val="none" w:sz="0" w:space="0" w:color="auto"/>
      </w:divBdr>
    </w:div>
    <w:div w:id="1912763585">
      <w:bodyDiv w:val="1"/>
      <w:marLeft w:val="0"/>
      <w:marRight w:val="0"/>
      <w:marTop w:val="0"/>
      <w:marBottom w:val="0"/>
      <w:divBdr>
        <w:top w:val="none" w:sz="0" w:space="0" w:color="auto"/>
        <w:left w:val="none" w:sz="0" w:space="0" w:color="auto"/>
        <w:bottom w:val="none" w:sz="0" w:space="0" w:color="auto"/>
        <w:right w:val="none" w:sz="0" w:space="0" w:color="auto"/>
      </w:divBdr>
    </w:div>
    <w:div w:id="1939482921">
      <w:bodyDiv w:val="1"/>
      <w:marLeft w:val="0"/>
      <w:marRight w:val="0"/>
      <w:marTop w:val="0"/>
      <w:marBottom w:val="0"/>
      <w:divBdr>
        <w:top w:val="none" w:sz="0" w:space="0" w:color="auto"/>
        <w:left w:val="none" w:sz="0" w:space="0" w:color="auto"/>
        <w:bottom w:val="none" w:sz="0" w:space="0" w:color="auto"/>
        <w:right w:val="none" w:sz="0" w:space="0" w:color="auto"/>
      </w:divBdr>
    </w:div>
    <w:div w:id="1958174431">
      <w:bodyDiv w:val="1"/>
      <w:marLeft w:val="0"/>
      <w:marRight w:val="0"/>
      <w:marTop w:val="0"/>
      <w:marBottom w:val="0"/>
      <w:divBdr>
        <w:top w:val="none" w:sz="0" w:space="0" w:color="auto"/>
        <w:left w:val="none" w:sz="0" w:space="0" w:color="auto"/>
        <w:bottom w:val="none" w:sz="0" w:space="0" w:color="auto"/>
        <w:right w:val="none" w:sz="0" w:space="0" w:color="auto"/>
      </w:divBdr>
    </w:div>
    <w:div w:id="1971082763">
      <w:bodyDiv w:val="1"/>
      <w:marLeft w:val="0"/>
      <w:marRight w:val="0"/>
      <w:marTop w:val="0"/>
      <w:marBottom w:val="0"/>
      <w:divBdr>
        <w:top w:val="none" w:sz="0" w:space="0" w:color="auto"/>
        <w:left w:val="none" w:sz="0" w:space="0" w:color="auto"/>
        <w:bottom w:val="none" w:sz="0" w:space="0" w:color="auto"/>
        <w:right w:val="none" w:sz="0" w:space="0" w:color="auto"/>
      </w:divBdr>
    </w:div>
    <w:div w:id="1975862702">
      <w:bodyDiv w:val="1"/>
      <w:marLeft w:val="0"/>
      <w:marRight w:val="0"/>
      <w:marTop w:val="0"/>
      <w:marBottom w:val="0"/>
      <w:divBdr>
        <w:top w:val="none" w:sz="0" w:space="0" w:color="auto"/>
        <w:left w:val="none" w:sz="0" w:space="0" w:color="auto"/>
        <w:bottom w:val="none" w:sz="0" w:space="0" w:color="auto"/>
        <w:right w:val="none" w:sz="0" w:space="0" w:color="auto"/>
      </w:divBdr>
    </w:div>
    <w:div w:id="1977561113">
      <w:bodyDiv w:val="1"/>
      <w:marLeft w:val="0"/>
      <w:marRight w:val="0"/>
      <w:marTop w:val="0"/>
      <w:marBottom w:val="0"/>
      <w:divBdr>
        <w:top w:val="none" w:sz="0" w:space="0" w:color="auto"/>
        <w:left w:val="none" w:sz="0" w:space="0" w:color="auto"/>
        <w:bottom w:val="none" w:sz="0" w:space="0" w:color="auto"/>
        <w:right w:val="none" w:sz="0" w:space="0" w:color="auto"/>
      </w:divBdr>
    </w:div>
    <w:div w:id="1978296893">
      <w:bodyDiv w:val="1"/>
      <w:marLeft w:val="0"/>
      <w:marRight w:val="0"/>
      <w:marTop w:val="0"/>
      <w:marBottom w:val="0"/>
      <w:divBdr>
        <w:top w:val="none" w:sz="0" w:space="0" w:color="auto"/>
        <w:left w:val="none" w:sz="0" w:space="0" w:color="auto"/>
        <w:bottom w:val="none" w:sz="0" w:space="0" w:color="auto"/>
        <w:right w:val="none" w:sz="0" w:space="0" w:color="auto"/>
      </w:divBdr>
    </w:div>
    <w:div w:id="2045402746">
      <w:bodyDiv w:val="1"/>
      <w:marLeft w:val="0"/>
      <w:marRight w:val="0"/>
      <w:marTop w:val="0"/>
      <w:marBottom w:val="0"/>
      <w:divBdr>
        <w:top w:val="none" w:sz="0" w:space="0" w:color="auto"/>
        <w:left w:val="none" w:sz="0" w:space="0" w:color="auto"/>
        <w:bottom w:val="none" w:sz="0" w:space="0" w:color="auto"/>
        <w:right w:val="none" w:sz="0" w:space="0" w:color="auto"/>
      </w:divBdr>
    </w:div>
    <w:div w:id="206707246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1583070">
      <w:bodyDiv w:val="1"/>
      <w:marLeft w:val="0"/>
      <w:marRight w:val="0"/>
      <w:marTop w:val="0"/>
      <w:marBottom w:val="0"/>
      <w:divBdr>
        <w:top w:val="none" w:sz="0" w:space="0" w:color="auto"/>
        <w:left w:val="none" w:sz="0" w:space="0" w:color="auto"/>
        <w:bottom w:val="none" w:sz="0" w:space="0" w:color="auto"/>
        <w:right w:val="none" w:sz="0" w:space="0" w:color="auto"/>
      </w:divBdr>
    </w:div>
    <w:div w:id="2106610308">
      <w:bodyDiv w:val="1"/>
      <w:marLeft w:val="0"/>
      <w:marRight w:val="0"/>
      <w:marTop w:val="0"/>
      <w:marBottom w:val="0"/>
      <w:divBdr>
        <w:top w:val="none" w:sz="0" w:space="0" w:color="auto"/>
        <w:left w:val="none" w:sz="0" w:space="0" w:color="auto"/>
        <w:bottom w:val="none" w:sz="0" w:space="0" w:color="auto"/>
        <w:right w:val="none" w:sz="0" w:space="0" w:color="auto"/>
      </w:divBdr>
    </w:div>
    <w:div w:id="211243039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XLModOT">
    <w:altName w:val="Calibri"/>
    <w:panose1 w:val="020B0603060502020204"/>
    <w:charset w:val="00"/>
    <w:family w:val="swiss"/>
    <w:notTrueType/>
    <w:pitch w:val="variable"/>
    <w:sig w:usb0="00000003" w:usb1="00000001"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0310"/>
    <w:rsid w:val="00146A64"/>
    <w:rsid w:val="00157EA4"/>
    <w:rsid w:val="00160EB3"/>
    <w:rsid w:val="00183F29"/>
    <w:rsid w:val="00217413"/>
    <w:rsid w:val="002550FD"/>
    <w:rsid w:val="00333F8E"/>
    <w:rsid w:val="00350199"/>
    <w:rsid w:val="00350238"/>
    <w:rsid w:val="003624AC"/>
    <w:rsid w:val="00377808"/>
    <w:rsid w:val="003A2578"/>
    <w:rsid w:val="00537534"/>
    <w:rsid w:val="00590D7E"/>
    <w:rsid w:val="005C51B0"/>
    <w:rsid w:val="005C66D2"/>
    <w:rsid w:val="006971D1"/>
    <w:rsid w:val="006A7316"/>
    <w:rsid w:val="0070054E"/>
    <w:rsid w:val="007154C5"/>
    <w:rsid w:val="00746897"/>
    <w:rsid w:val="00787D31"/>
    <w:rsid w:val="007A459B"/>
    <w:rsid w:val="007C2E17"/>
    <w:rsid w:val="007E6EFC"/>
    <w:rsid w:val="00814781"/>
    <w:rsid w:val="00835E07"/>
    <w:rsid w:val="00845DD1"/>
    <w:rsid w:val="00860CAA"/>
    <w:rsid w:val="00890D99"/>
    <w:rsid w:val="008B37B5"/>
    <w:rsid w:val="009141C1"/>
    <w:rsid w:val="009400BA"/>
    <w:rsid w:val="00963245"/>
    <w:rsid w:val="00996216"/>
    <w:rsid w:val="009F6C8C"/>
    <w:rsid w:val="00A3005A"/>
    <w:rsid w:val="00A75FD3"/>
    <w:rsid w:val="00AB09C4"/>
    <w:rsid w:val="00B326A2"/>
    <w:rsid w:val="00B64213"/>
    <w:rsid w:val="00BD6E9B"/>
    <w:rsid w:val="00BF1DA0"/>
    <w:rsid w:val="00C0424D"/>
    <w:rsid w:val="00C3344E"/>
    <w:rsid w:val="00C41BCC"/>
    <w:rsid w:val="00C61942"/>
    <w:rsid w:val="00D25B51"/>
    <w:rsid w:val="00DD7BA4"/>
    <w:rsid w:val="00E012AC"/>
    <w:rsid w:val="00E013F9"/>
    <w:rsid w:val="00E318CE"/>
    <w:rsid w:val="00E646E1"/>
    <w:rsid w:val="00E90E86"/>
    <w:rsid w:val="00EF4FB8"/>
    <w:rsid w:val="00F062FB"/>
    <w:rsid w:val="00F24950"/>
    <w:rsid w:val="00F93872"/>
    <w:rsid w:val="00FD6C62"/>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495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htt19</b:Tag>
    <b:SourceType>Book</b:SourceType>
    <b:Guid>{2DF7E3D9-01CF-4A05-A427-73907A6EAFD0}</b:Guid>
    <b:Title>https://www.onr.org.uk/publications/regulatory-guidance/regulatory-assessment-and-permissioning/assessment</b:Title>
    <b:RefOrder>13</b:RefOrder>
  </b:Source>
  <b:Source>
    <b:Tag>htt18</b:Tag>
    <b:SourceType>Book</b:SourceType>
    <b:Guid>{FA80A119-49EC-42BD-AC5F-FAAA550F2836}</b:Guid>
    <b:Title>https://www.onr.org.uk/news/all-news/2025/09/nuclear-regulators-renew-transatlantic-agreement</b:Title>
    <b:RefOrder>18</b:RefOrder>
  </b:Source>
  <b:Source>
    <b:Tag>htt25</b:Tag>
    <b:SourceType>Book</b:SourceType>
    <b:Guid>{1280F4B2-A4C1-416D-A5F5-18B80F098DD4}</b:Guid>
    <b:Title>https://www.onr.org.uk/news/all-news/2024/03/onr-signs-memorandum-of-cooperation-with-nrc-and-cnsc</b:Title>
    <b:RefOrder>24</b:RefOrder>
  </b:Source>
  <b:Source>
    <b:Tag>htt34</b:Tag>
    <b:SourceType>Book</b:SourceType>
    <b:Guid>{49F9A9D4-7AFA-475D-87BF-84E8BCC47388}</b:Guid>
    <b:Title>https://www.onr.org.uk/media/yx5dbcfb/holtec-smr-300-step-2-fuel-and-core-assessment-report-for-publication.docx</b:Title>
    <b:RefOrder>17</b:RefOrder>
  </b:Source>
  <b:Source>
    <b:Tag>htt23</b:Tag>
    <b:SourceType>Book</b:SourceType>
    <b:Guid>{54D3E2D7-A47F-4AB9-8375-D2A1CEAE0D22}</b:Guid>
    <b:Title>https://www.onr.org.uk/media/taufoxsv/bwrx-300-gda-step-2-summary-report.pdf</b:Title>
    <b:RefOrder>20</b:RefOrder>
  </b:Source>
  <b:Source>
    <b:Tag>htt35</b:Tag>
    <b:SourceType>Book</b:SourceType>
    <b:Guid>{51A580A9-59A6-4B49-8B0B-C7A390D7A40B}</b:Guid>
    <b:Title>https://www.onr.org.uk/media/paehnckk/bwrx-300-gda-step-2-assessment-report-civil-engineering.pdf</b:Title>
    <b:RefOrder>21</b:RefOrder>
  </b:Source>
  <b:Source>
    <b:Tag>htt31</b:Tag>
    <b:SourceType>Book</b:SourceType>
    <b:Guid>{F3F6BDD9-FB9F-478E-8306-8B2D27C8F51C}</b:Guid>
    <b:Title>https://www.onr.org.uk/media/iexmextu/onr-gda-gd-006.docx</b:Title>
    <b:RefOrder>7</b:RefOrder>
  </b:Source>
  <b:Source>
    <b:Tag>htt33</b:Tag>
    <b:SourceType>Book</b:SourceType>
    <b:Guid>{71DA734C-52DE-408B-B9D2-700F98BA6545}</b:Guid>
    <b:Title>https://www.onr.org.uk/media/4clhuezj/holtec-smr-300-step-2-summary-report-for-publication.docx</b:Title>
    <b:RefOrder>16</b:RefOrder>
  </b:Source>
  <b:Source>
    <b:Tag>htt20</b:Tag>
    <b:SourceType>Book</b:SourceType>
    <b:Guid>{88FED299-6768-4D08-9023-02F56B9CF85D}</b:Guid>
    <b:Title>https://www.onr.org.uk/generic-design-assessment/guidance-on-assessment-of-new-nuclear-power-stations</b:Title>
    <b:RefOrder>14</b:RefOrder>
  </b:Source>
  <b:Source>
    <b:Tag>htt7</b:Tag>
    <b:SourceType>Book</b:SourceType>
    <b:Guid>{8D2BA009-F177-482A-BB88-E7781AA64B00}</b:Guid>
    <b:Title>https://www.onr.org.uk/generic-design-assessment</b:Title>
    <b:RefOrder>5</b:RefOrder>
  </b:Source>
  <b:Source>
    <b:Tag>htt24</b:Tag>
    <b:SourceType>Book</b:SourceType>
    <b:Guid>{94C71D2C-5D7D-4E85-B2C6-8E89FBE328C3}</b:Guid>
    <b:Title>https://www.nrc.gov/docs/ML2310/ML23100A032.pdf</b:Title>
    <b:RefOrder>23</b:RefOrder>
  </b:Source>
  <b:Source>
    <b:Tag>htt16</b:Tag>
    <b:SourceType>Book</b:SourceType>
    <b:Guid>{A265FA57-7476-4530-B7B0-25622B73D994}</b:Guid>
    <b:Title>https://www.iaea.org/topics/nuclear-safety-conventions/joint-convention-safety-spent-fuel-management-and-safety-radioactive-waste</b:Title>
    <b:RefOrder>9</b:RefOrder>
  </b:Source>
  <b:Source>
    <b:Tag>htt15</b:Tag>
    <b:SourceType>Book</b:SourceType>
    <b:Guid>{A9BBFC85-104D-41EB-859E-8E4DB2F11CF3}</b:Guid>
    <b:Title>https://www.iaea.org/topics/nuclear-safety-conventions/convention-nuclear-safety</b:Title>
    <b:RefOrder>8</b:RefOrder>
  </b:Source>
  <b:Source>
    <b:Tag>htt17</b:Tag>
    <b:SourceType>Book</b:SourceType>
    <b:Guid>{5BDC50A1-BE56-42C7-96F3-CA4BEC1B7F62}</b:Guid>
    <b:Title>https://www.iaea.org/sites/default/files/24/11/22-00616e_ns_tech_bro_irrs_final.pdf</b:Title>
    <b:RefOrder>19</b:RefOrder>
  </b:Source>
  <b:Source>
    <b:Tag>htt</b:Tag>
    <b:SourceType>Book</b:SourceType>
    <b:Guid>{F8273241-837A-4252-934C-F31F494C7CA2}</b:Guid>
    <b:Title>https://www.gov.uk/government/publications/prime-ministers-strategic-steer-to-the-nuclear-sector</b:Title>
    <b:RefOrder>1</b:RefOrder>
  </b:Source>
  <b:Source>
    <b:Tag>htt36</b:Tag>
    <b:SourceType>Book</b:SourceType>
    <b:Guid>{397E3195-F8AE-407A-8151-23FD5C66A367}</b:Guid>
    <b:Title>https://www.gov.uk/government/publications/building-our-nuclear-nation-government-response-to-the-nuclear-regulatory-review-2025/building-our-nuclear-nation-government-response-to-the-nuclear-regulatory-review-2025-accessible-webpage</b:Title>
    <b:RefOrder>4</b:RefOrder>
  </b:Source>
  <b:Source>
    <b:Tag>htt2</b:Tag>
    <b:SourceType>Book</b:SourceType>
    <b:Guid>{ACEFC3CC-B152-4972-AE80-FF447A579154}</b:Guid>
    <b:Title>https://www.gov.uk/government/news/golden-age-of-nuclear-delivers-uk-us-deal-on-energy-security</b:Title>
    <b:RefOrder>3</b:RefOrder>
  </b:Source>
  <b:Source>
    <b:Tag>htt22</b:Tag>
    <b:SourceType>Book</b:SourceType>
    <b:Guid>{1E810C47-3F6B-4EAD-BAD6-BF3D5059276A}</b:Guid>
    <b:Title>https://www.canada.ca/en/nuclear-safety-commission/news/2025/04/commission-authorizes-ontario-power-generation-inc-to-construct-1-bwrx-300-reactor-at-the-darlington-new-nuclear-project-site.html</b:Title>
    <b:RefOrder>22</b:RefOrder>
  </b:Source>
  <b:Source>
    <b:Tag>htt37</b:Tag>
    <b:SourceType>Book</b:SourceType>
    <b:Guid>{743E4D0D-B2FB-4AE7-BCAE-DA3E17A19FBB}</b:Guid>
    <b:Title>https://nucleus.iaea.org/sites/smr/SitePages/Nuclear-Harmonization-and-Standardization-Initiative.aspx</b:Title>
    <b:RefOrder>6</b:RefOrder>
  </b:Source>
  <b:Source>
    <b:Tag>htt1</b:Tag>
    <b:SourceType>Book</b:SourceType>
    <b:Guid>{A77CD996-6A50-4AF6-9ADE-3DA18C423D26}</b:Guid>
    <b:Title>https://assets.publishing.service.gov.uk/media/692080f75c394e481336ab89/nuclear-regulatory-review-2025.pdf</b:Title>
    <b:RefOrder>2</b:RefOrder>
  </b:Source>
  <b:Source>
    <b:Tag>htt3</b:Tag>
    <b:SourceType>Book</b:SourceType>
    <b:Guid>{F0D41348-874A-4F82-8E3C-5BD01AC374A2}</b:Guid>
    <b:Title>https://www.onr.org.uk/publications/regulatory-reports/regulatory-policy/onr-rd-pol-002-risk-informed-and-targeted-engagements-rite-policy</b:Title>
    <b:RefOrder>15</b:RefOrder>
  </b:Source>
  <b:Source>
    <b:Tag>htt8</b:Tag>
    <b:SourceType>Book</b:SourceType>
    <b:Guid>{EA1B705E-C8CA-4400-B227-8BD8E92ADBF5}</b:Guid>
    <b:Title>https://www.onr.org.uk/access-to-information/publication-scheme</b:Title>
    <b:RefOrder>10</b:RefOrder>
  </b:Source>
  <b:Source>
    <b:Tag>htt9</b:Tag>
    <b:SourceType>Book</b:SourceType>
    <b:Guid>{7C39B16E-D8D5-4C58-BF11-4F6D45050357}</b:Guid>
    <b:Title>https://naturalresources.wales/about-us/contact-us/publication-scheme/?lang=en</b:Title>
    <b:RefOrder>11</b:RefOrder>
  </b:Source>
  <b:Source>
    <b:Tag>htt10</b:Tag>
    <b:SourceType>Book</b:SourceType>
    <b:Guid>{5B4E08B6-4DC5-4AF3-8C42-D0C57236294A}</b:Guid>
    <b:Title>https://www.gov.uk/government/organisations/environment-agency/about/publication-scheme</b:Title>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EBECDE-7CD7-42A2-942A-D8FB18FA8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3700</Words>
  <Characters>24046</Characters>
  <Application>Microsoft Office Word</Application>
  <DocSecurity>0</DocSecurity>
  <Lines>481</Lines>
  <Paragraphs>178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Leveraging international regulators’ assessments</dc:title>
  <dc:subject/>
  <dc:creator/>
  <cp:keywords/>
  <dc:description/>
  <cp:lastModifiedBy/>
  <cp:revision>1</cp:revision>
  <dcterms:created xsi:type="dcterms:W3CDTF">2026-05-22T10:04:00Z</dcterms:created>
  <dcterms:modified xsi:type="dcterms:W3CDTF">2026-05-22T10:06:00Z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2026-05-22T10:04:44Z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757b9015-4279-4853-987e-41319a24c126</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