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09879CC4" w:rsidR="00D0226A" w:rsidRPr="001E03E1" w:rsidRDefault="00352998"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47308">
                      <w:rPr>
                        <w:sz w:val="72"/>
                        <w:szCs w:val="72"/>
                      </w:rPr>
                      <w:t>Safeguards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3508FB">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7DC7CDB9" w14:textId="4F989345" w:rsidR="00DA6493" w:rsidRDefault="008A147B">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5705901" w:history="1">
        <w:r w:rsidR="00DA6493" w:rsidRPr="00765724">
          <w:rPr>
            <w:rStyle w:val="Hyperlink"/>
          </w:rPr>
          <w:t>1.</w:t>
        </w:r>
        <w:r w:rsidR="00DA6493">
          <w:rPr>
            <w:rFonts w:asciiTheme="minorHAnsi" w:eastAsiaTheme="minorEastAsia" w:hAnsiTheme="minorHAnsi" w:cstheme="minorBidi"/>
            <w:kern w:val="2"/>
            <w:szCs w:val="24"/>
            <w:lang w:eastAsia="en-GB" w:bidi="ar-SA"/>
            <w14:ligatures w14:val="standardContextual"/>
          </w:rPr>
          <w:tab/>
        </w:r>
        <w:r w:rsidR="00DA6493" w:rsidRPr="00765724">
          <w:rPr>
            <w:rStyle w:val="Hyperlink"/>
          </w:rPr>
          <w:t>Introduction</w:t>
        </w:r>
        <w:r w:rsidR="00DA6493">
          <w:rPr>
            <w:webHidden/>
          </w:rPr>
          <w:tab/>
        </w:r>
        <w:r w:rsidR="00DA6493">
          <w:rPr>
            <w:webHidden/>
          </w:rPr>
          <w:fldChar w:fldCharType="begin"/>
        </w:r>
        <w:r w:rsidR="00DA6493">
          <w:rPr>
            <w:webHidden/>
          </w:rPr>
          <w:instrText xml:space="preserve"> PAGEREF _Toc235705901 \h </w:instrText>
        </w:r>
        <w:r w:rsidR="00DA6493">
          <w:rPr>
            <w:webHidden/>
          </w:rPr>
        </w:r>
        <w:r w:rsidR="00DA6493">
          <w:rPr>
            <w:webHidden/>
          </w:rPr>
          <w:fldChar w:fldCharType="separate"/>
        </w:r>
        <w:r w:rsidR="00DA6493">
          <w:rPr>
            <w:webHidden/>
          </w:rPr>
          <w:t>3</w:t>
        </w:r>
        <w:r w:rsidR="00DA6493">
          <w:rPr>
            <w:webHidden/>
          </w:rPr>
          <w:fldChar w:fldCharType="end"/>
        </w:r>
      </w:hyperlink>
    </w:p>
    <w:p w14:paraId="752C303C" w14:textId="3522648A" w:rsidR="00DA6493" w:rsidRDefault="00DA649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05902" w:history="1">
        <w:r w:rsidRPr="00765724">
          <w:rPr>
            <w:rStyle w:val="Hyperlink"/>
          </w:rPr>
          <w:t>2.</w:t>
        </w:r>
        <w:r>
          <w:rPr>
            <w:rFonts w:asciiTheme="minorHAnsi" w:eastAsiaTheme="minorEastAsia" w:hAnsiTheme="minorHAnsi" w:cstheme="minorBidi"/>
            <w:kern w:val="2"/>
            <w:szCs w:val="24"/>
            <w:lang w:eastAsia="en-GB" w:bidi="ar-SA"/>
            <w14:ligatures w14:val="standardContextual"/>
          </w:rPr>
          <w:tab/>
        </w:r>
        <w:r w:rsidRPr="00765724">
          <w:rPr>
            <w:rStyle w:val="Hyperlink"/>
          </w:rPr>
          <w:t>Purpose and scope</w:t>
        </w:r>
        <w:r>
          <w:rPr>
            <w:webHidden/>
          </w:rPr>
          <w:tab/>
        </w:r>
        <w:r>
          <w:rPr>
            <w:webHidden/>
          </w:rPr>
          <w:fldChar w:fldCharType="begin"/>
        </w:r>
        <w:r>
          <w:rPr>
            <w:webHidden/>
          </w:rPr>
          <w:instrText xml:space="preserve"> PAGEREF _Toc235705902 \h </w:instrText>
        </w:r>
        <w:r>
          <w:rPr>
            <w:webHidden/>
          </w:rPr>
        </w:r>
        <w:r>
          <w:rPr>
            <w:webHidden/>
          </w:rPr>
          <w:fldChar w:fldCharType="separate"/>
        </w:r>
        <w:r>
          <w:rPr>
            <w:webHidden/>
          </w:rPr>
          <w:t>4</w:t>
        </w:r>
        <w:r>
          <w:rPr>
            <w:webHidden/>
          </w:rPr>
          <w:fldChar w:fldCharType="end"/>
        </w:r>
      </w:hyperlink>
    </w:p>
    <w:p w14:paraId="3B435BB8" w14:textId="26618699" w:rsidR="00DA6493" w:rsidRDefault="00DA649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05903" w:history="1">
        <w:r w:rsidRPr="00765724">
          <w:rPr>
            <w:rStyle w:val="Hyperlink"/>
          </w:rPr>
          <w:t>3.</w:t>
        </w:r>
        <w:r>
          <w:rPr>
            <w:rFonts w:asciiTheme="minorHAnsi" w:eastAsiaTheme="minorEastAsia" w:hAnsiTheme="minorHAnsi" w:cstheme="minorBidi"/>
            <w:kern w:val="2"/>
            <w:szCs w:val="24"/>
            <w:lang w:eastAsia="en-GB" w:bidi="ar-SA"/>
            <w14:ligatures w14:val="standardContextual"/>
          </w:rPr>
          <w:tab/>
        </w:r>
        <w:r w:rsidRPr="00765724">
          <w:rPr>
            <w:rStyle w:val="Hyperlink"/>
          </w:rPr>
          <w:t>Relationship to relevant legislation</w:t>
        </w:r>
        <w:r>
          <w:rPr>
            <w:webHidden/>
          </w:rPr>
          <w:tab/>
        </w:r>
        <w:r>
          <w:rPr>
            <w:webHidden/>
          </w:rPr>
          <w:fldChar w:fldCharType="begin"/>
        </w:r>
        <w:r>
          <w:rPr>
            <w:webHidden/>
          </w:rPr>
          <w:instrText xml:space="preserve"> PAGEREF _Toc235705903 \h </w:instrText>
        </w:r>
        <w:r>
          <w:rPr>
            <w:webHidden/>
          </w:rPr>
        </w:r>
        <w:r>
          <w:rPr>
            <w:webHidden/>
          </w:rPr>
          <w:fldChar w:fldCharType="separate"/>
        </w:r>
        <w:r>
          <w:rPr>
            <w:webHidden/>
          </w:rPr>
          <w:t>6</w:t>
        </w:r>
        <w:r>
          <w:rPr>
            <w:webHidden/>
          </w:rPr>
          <w:fldChar w:fldCharType="end"/>
        </w:r>
      </w:hyperlink>
    </w:p>
    <w:p w14:paraId="2222674E" w14:textId="621E0DCD" w:rsidR="00DA6493" w:rsidRDefault="00DA649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05904" w:history="1">
        <w:r w:rsidRPr="00765724">
          <w:rPr>
            <w:rStyle w:val="Hyperlink"/>
          </w:rPr>
          <w:t>4.</w:t>
        </w:r>
        <w:r>
          <w:rPr>
            <w:rFonts w:asciiTheme="minorHAnsi" w:eastAsiaTheme="minorEastAsia" w:hAnsiTheme="minorHAnsi" w:cstheme="minorBidi"/>
            <w:kern w:val="2"/>
            <w:szCs w:val="24"/>
            <w:lang w:eastAsia="en-GB" w:bidi="ar-SA"/>
            <w14:ligatures w14:val="standardContextual"/>
          </w:rPr>
          <w:tab/>
        </w:r>
        <w:r w:rsidRPr="00765724">
          <w:rPr>
            <w:rStyle w:val="Hyperlink"/>
          </w:rPr>
          <w:t>Purpose of The Nuclear Safeguards (EU Exit) Regulations 2019</w:t>
        </w:r>
        <w:r>
          <w:rPr>
            <w:webHidden/>
          </w:rPr>
          <w:tab/>
        </w:r>
        <w:r>
          <w:rPr>
            <w:webHidden/>
          </w:rPr>
          <w:fldChar w:fldCharType="begin"/>
        </w:r>
        <w:r>
          <w:rPr>
            <w:webHidden/>
          </w:rPr>
          <w:instrText xml:space="preserve"> PAGEREF _Toc235705904 \h </w:instrText>
        </w:r>
        <w:r>
          <w:rPr>
            <w:webHidden/>
          </w:rPr>
        </w:r>
        <w:r>
          <w:rPr>
            <w:webHidden/>
          </w:rPr>
          <w:fldChar w:fldCharType="separate"/>
        </w:r>
        <w:r>
          <w:rPr>
            <w:webHidden/>
          </w:rPr>
          <w:t>7</w:t>
        </w:r>
        <w:r>
          <w:rPr>
            <w:webHidden/>
          </w:rPr>
          <w:fldChar w:fldCharType="end"/>
        </w:r>
      </w:hyperlink>
    </w:p>
    <w:p w14:paraId="1CE1DD6D" w14:textId="62CC140E" w:rsidR="00DA6493" w:rsidRDefault="00DA649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5705905" w:history="1">
        <w:r w:rsidRPr="00765724">
          <w:rPr>
            <w:rStyle w:val="Hyperlink"/>
          </w:rPr>
          <w:t>5.</w:t>
        </w:r>
        <w:r>
          <w:rPr>
            <w:rFonts w:asciiTheme="minorHAnsi" w:eastAsiaTheme="minorEastAsia" w:hAnsiTheme="minorHAnsi" w:cstheme="minorBidi"/>
            <w:kern w:val="2"/>
            <w:szCs w:val="24"/>
            <w:lang w:eastAsia="en-GB" w:bidi="ar-SA"/>
            <w14:ligatures w14:val="standardContextual"/>
          </w:rPr>
          <w:tab/>
        </w:r>
        <w:r w:rsidRPr="00765724">
          <w:rPr>
            <w:rStyle w:val="Hyperlink"/>
          </w:rPr>
          <w:t>Guidance on inspection of arrangements and their implementation</w:t>
        </w:r>
        <w:r>
          <w:rPr>
            <w:webHidden/>
          </w:rPr>
          <w:tab/>
        </w:r>
        <w:r>
          <w:rPr>
            <w:webHidden/>
          </w:rPr>
          <w:fldChar w:fldCharType="begin"/>
        </w:r>
        <w:r>
          <w:rPr>
            <w:webHidden/>
          </w:rPr>
          <w:instrText xml:space="preserve"> PAGEREF _Toc235705905 \h </w:instrText>
        </w:r>
        <w:r>
          <w:rPr>
            <w:webHidden/>
          </w:rPr>
        </w:r>
        <w:r>
          <w:rPr>
            <w:webHidden/>
          </w:rPr>
          <w:fldChar w:fldCharType="separate"/>
        </w:r>
        <w:r>
          <w:rPr>
            <w:webHidden/>
          </w:rPr>
          <w:t>14</w:t>
        </w:r>
        <w:r>
          <w:rPr>
            <w:webHidden/>
          </w:rPr>
          <w:fldChar w:fldCharType="end"/>
        </w:r>
      </w:hyperlink>
    </w:p>
    <w:p w14:paraId="1FF85A05" w14:textId="50FCEE99"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06" w:history="1">
        <w:r w:rsidRPr="00765724">
          <w:rPr>
            <w:rStyle w:val="Hyperlink"/>
          </w:rPr>
          <w:t>Appendix 1 – Compliance inspection: Nuclear material accountancy inspection activities</w:t>
        </w:r>
        <w:r>
          <w:rPr>
            <w:webHidden/>
          </w:rPr>
          <w:tab/>
        </w:r>
        <w:r>
          <w:rPr>
            <w:webHidden/>
          </w:rPr>
          <w:fldChar w:fldCharType="begin"/>
        </w:r>
        <w:r>
          <w:rPr>
            <w:webHidden/>
          </w:rPr>
          <w:instrText xml:space="preserve"> PAGEREF _Toc235705906 \h </w:instrText>
        </w:r>
        <w:r>
          <w:rPr>
            <w:webHidden/>
          </w:rPr>
        </w:r>
        <w:r>
          <w:rPr>
            <w:webHidden/>
          </w:rPr>
          <w:fldChar w:fldCharType="separate"/>
        </w:r>
        <w:r>
          <w:rPr>
            <w:webHidden/>
          </w:rPr>
          <w:t>21</w:t>
        </w:r>
        <w:r>
          <w:rPr>
            <w:webHidden/>
          </w:rPr>
          <w:fldChar w:fldCharType="end"/>
        </w:r>
      </w:hyperlink>
    </w:p>
    <w:p w14:paraId="15A226DE" w14:textId="292CFE57"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07" w:history="1">
        <w:r w:rsidRPr="00765724">
          <w:rPr>
            <w:rStyle w:val="Hyperlink"/>
          </w:rPr>
          <w:t>Appendix 2 – Compliance inspection: Particular safeguards provisions</w:t>
        </w:r>
        <w:r>
          <w:rPr>
            <w:webHidden/>
          </w:rPr>
          <w:tab/>
        </w:r>
        <w:r>
          <w:rPr>
            <w:webHidden/>
          </w:rPr>
          <w:fldChar w:fldCharType="begin"/>
        </w:r>
        <w:r>
          <w:rPr>
            <w:webHidden/>
          </w:rPr>
          <w:instrText xml:space="preserve"> PAGEREF _Toc235705907 \h </w:instrText>
        </w:r>
        <w:r>
          <w:rPr>
            <w:webHidden/>
          </w:rPr>
        </w:r>
        <w:r>
          <w:rPr>
            <w:webHidden/>
          </w:rPr>
          <w:fldChar w:fldCharType="separate"/>
        </w:r>
        <w:r>
          <w:rPr>
            <w:webHidden/>
          </w:rPr>
          <w:t>26</w:t>
        </w:r>
        <w:r>
          <w:rPr>
            <w:webHidden/>
          </w:rPr>
          <w:fldChar w:fldCharType="end"/>
        </w:r>
      </w:hyperlink>
    </w:p>
    <w:p w14:paraId="08B9DD35" w14:textId="58D74EAC"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08" w:history="1">
        <w:r w:rsidRPr="00765724">
          <w:rPr>
            <w:rStyle w:val="Hyperlink"/>
          </w:rPr>
          <w:t>Appendix 3 – Compliance inspection:  An operators arrangements and activities for a PIT</w:t>
        </w:r>
        <w:r>
          <w:rPr>
            <w:webHidden/>
          </w:rPr>
          <w:tab/>
        </w:r>
        <w:r>
          <w:rPr>
            <w:webHidden/>
          </w:rPr>
          <w:fldChar w:fldCharType="begin"/>
        </w:r>
        <w:r>
          <w:rPr>
            <w:webHidden/>
          </w:rPr>
          <w:instrText xml:space="preserve"> PAGEREF _Toc235705908 \h </w:instrText>
        </w:r>
        <w:r>
          <w:rPr>
            <w:webHidden/>
          </w:rPr>
        </w:r>
        <w:r>
          <w:rPr>
            <w:webHidden/>
          </w:rPr>
          <w:fldChar w:fldCharType="separate"/>
        </w:r>
        <w:r>
          <w:rPr>
            <w:webHidden/>
          </w:rPr>
          <w:t>27</w:t>
        </w:r>
        <w:r>
          <w:rPr>
            <w:webHidden/>
          </w:rPr>
          <w:fldChar w:fldCharType="end"/>
        </w:r>
      </w:hyperlink>
    </w:p>
    <w:p w14:paraId="5D67E377" w14:textId="1C4CD6C6"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09" w:history="1">
        <w:r w:rsidRPr="00765724">
          <w:rPr>
            <w:rStyle w:val="Hyperlink"/>
          </w:rPr>
          <w:t>Appendix 4 – Compliance inspection: Accountancy and Control Plan</w:t>
        </w:r>
        <w:r>
          <w:rPr>
            <w:webHidden/>
          </w:rPr>
          <w:tab/>
        </w:r>
        <w:r>
          <w:rPr>
            <w:webHidden/>
          </w:rPr>
          <w:fldChar w:fldCharType="begin"/>
        </w:r>
        <w:r>
          <w:rPr>
            <w:webHidden/>
          </w:rPr>
          <w:instrText xml:space="preserve"> PAGEREF _Toc235705909 \h </w:instrText>
        </w:r>
        <w:r>
          <w:rPr>
            <w:webHidden/>
          </w:rPr>
        </w:r>
        <w:r>
          <w:rPr>
            <w:webHidden/>
          </w:rPr>
          <w:fldChar w:fldCharType="separate"/>
        </w:r>
        <w:r>
          <w:rPr>
            <w:webHidden/>
          </w:rPr>
          <w:t>38</w:t>
        </w:r>
        <w:r>
          <w:rPr>
            <w:webHidden/>
          </w:rPr>
          <w:fldChar w:fldCharType="end"/>
        </w:r>
      </w:hyperlink>
    </w:p>
    <w:p w14:paraId="758E2252" w14:textId="629ED16A"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10" w:history="1">
        <w:r w:rsidRPr="00765724">
          <w:rPr>
            <w:rStyle w:val="Hyperlink"/>
          </w:rPr>
          <w:t>Appendix 5 – Compliance inspection: Design information</w:t>
        </w:r>
        <w:r>
          <w:rPr>
            <w:webHidden/>
          </w:rPr>
          <w:tab/>
        </w:r>
        <w:r>
          <w:rPr>
            <w:webHidden/>
          </w:rPr>
          <w:fldChar w:fldCharType="begin"/>
        </w:r>
        <w:r>
          <w:rPr>
            <w:webHidden/>
          </w:rPr>
          <w:instrText xml:space="preserve"> PAGEREF _Toc235705910 \h </w:instrText>
        </w:r>
        <w:r>
          <w:rPr>
            <w:webHidden/>
          </w:rPr>
        </w:r>
        <w:r>
          <w:rPr>
            <w:webHidden/>
          </w:rPr>
          <w:fldChar w:fldCharType="separate"/>
        </w:r>
        <w:r>
          <w:rPr>
            <w:webHidden/>
          </w:rPr>
          <w:t>50</w:t>
        </w:r>
        <w:r>
          <w:rPr>
            <w:webHidden/>
          </w:rPr>
          <w:fldChar w:fldCharType="end"/>
        </w:r>
      </w:hyperlink>
    </w:p>
    <w:p w14:paraId="68C798AD" w14:textId="57A23F4B"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11" w:history="1">
        <w:r w:rsidRPr="00765724">
          <w:rPr>
            <w:rStyle w:val="Hyperlink"/>
          </w:rPr>
          <w:t>Appendix 6 – Themed inspections</w:t>
        </w:r>
        <w:r>
          <w:rPr>
            <w:webHidden/>
          </w:rPr>
          <w:tab/>
        </w:r>
        <w:r>
          <w:rPr>
            <w:webHidden/>
          </w:rPr>
          <w:fldChar w:fldCharType="begin"/>
        </w:r>
        <w:r>
          <w:rPr>
            <w:webHidden/>
          </w:rPr>
          <w:instrText xml:space="preserve"> PAGEREF _Toc235705911 \h </w:instrText>
        </w:r>
        <w:r>
          <w:rPr>
            <w:webHidden/>
          </w:rPr>
        </w:r>
        <w:r>
          <w:rPr>
            <w:webHidden/>
          </w:rPr>
          <w:fldChar w:fldCharType="separate"/>
        </w:r>
        <w:r>
          <w:rPr>
            <w:webHidden/>
          </w:rPr>
          <w:t>65</w:t>
        </w:r>
        <w:r>
          <w:rPr>
            <w:webHidden/>
          </w:rPr>
          <w:fldChar w:fldCharType="end"/>
        </w:r>
      </w:hyperlink>
    </w:p>
    <w:p w14:paraId="4C390C79" w14:textId="21965ED6"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12" w:history="1">
        <w:r w:rsidRPr="00765724">
          <w:rPr>
            <w:rStyle w:val="Hyperlink"/>
          </w:rPr>
          <w:t>Appendix 7 – Safeguards system-based inspections</w:t>
        </w:r>
        <w:r>
          <w:rPr>
            <w:webHidden/>
          </w:rPr>
          <w:tab/>
        </w:r>
        <w:r>
          <w:rPr>
            <w:webHidden/>
          </w:rPr>
          <w:fldChar w:fldCharType="begin"/>
        </w:r>
        <w:r>
          <w:rPr>
            <w:webHidden/>
          </w:rPr>
          <w:instrText xml:space="preserve"> PAGEREF _Toc235705912 \h </w:instrText>
        </w:r>
        <w:r>
          <w:rPr>
            <w:webHidden/>
          </w:rPr>
        </w:r>
        <w:r>
          <w:rPr>
            <w:webHidden/>
          </w:rPr>
          <w:fldChar w:fldCharType="separate"/>
        </w:r>
        <w:r>
          <w:rPr>
            <w:webHidden/>
          </w:rPr>
          <w:t>67</w:t>
        </w:r>
        <w:r>
          <w:rPr>
            <w:webHidden/>
          </w:rPr>
          <w:fldChar w:fldCharType="end"/>
        </w:r>
      </w:hyperlink>
    </w:p>
    <w:p w14:paraId="43A05FD0" w14:textId="27E0C8EB"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13" w:history="1">
        <w:r w:rsidRPr="00765724">
          <w:rPr>
            <w:rStyle w:val="Hyperlink"/>
          </w:rPr>
          <w:t>References</w:t>
        </w:r>
        <w:r>
          <w:rPr>
            <w:webHidden/>
          </w:rPr>
          <w:tab/>
        </w:r>
        <w:r>
          <w:rPr>
            <w:webHidden/>
          </w:rPr>
          <w:fldChar w:fldCharType="begin"/>
        </w:r>
        <w:r>
          <w:rPr>
            <w:webHidden/>
          </w:rPr>
          <w:instrText xml:space="preserve"> PAGEREF _Toc235705913 \h </w:instrText>
        </w:r>
        <w:r>
          <w:rPr>
            <w:webHidden/>
          </w:rPr>
        </w:r>
        <w:r>
          <w:rPr>
            <w:webHidden/>
          </w:rPr>
          <w:fldChar w:fldCharType="separate"/>
        </w:r>
        <w:r>
          <w:rPr>
            <w:webHidden/>
          </w:rPr>
          <w:t>70</w:t>
        </w:r>
        <w:r>
          <w:rPr>
            <w:webHidden/>
          </w:rPr>
          <w:fldChar w:fldCharType="end"/>
        </w:r>
      </w:hyperlink>
    </w:p>
    <w:p w14:paraId="7A8890F1" w14:textId="158468D7"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14" w:history="1">
        <w:r w:rsidRPr="00765724">
          <w:rPr>
            <w:rStyle w:val="Hyperlink"/>
          </w:rPr>
          <w:t>Glossary</w:t>
        </w:r>
        <w:r>
          <w:rPr>
            <w:webHidden/>
          </w:rPr>
          <w:tab/>
        </w:r>
        <w:r>
          <w:rPr>
            <w:webHidden/>
          </w:rPr>
          <w:fldChar w:fldCharType="begin"/>
        </w:r>
        <w:r>
          <w:rPr>
            <w:webHidden/>
          </w:rPr>
          <w:instrText xml:space="preserve"> PAGEREF _Toc235705914 \h </w:instrText>
        </w:r>
        <w:r>
          <w:rPr>
            <w:webHidden/>
          </w:rPr>
        </w:r>
        <w:r>
          <w:rPr>
            <w:webHidden/>
          </w:rPr>
          <w:fldChar w:fldCharType="separate"/>
        </w:r>
        <w:r>
          <w:rPr>
            <w:webHidden/>
          </w:rPr>
          <w:t>75</w:t>
        </w:r>
        <w:r>
          <w:rPr>
            <w:webHidden/>
          </w:rPr>
          <w:fldChar w:fldCharType="end"/>
        </w:r>
      </w:hyperlink>
    </w:p>
    <w:p w14:paraId="642D5A58" w14:textId="64FCD6D0" w:rsidR="00DA6493" w:rsidRDefault="00DA6493">
      <w:pPr>
        <w:pStyle w:val="TOC1"/>
        <w:rPr>
          <w:rFonts w:asciiTheme="minorHAnsi" w:eastAsiaTheme="minorEastAsia" w:hAnsiTheme="minorHAnsi" w:cstheme="minorBidi"/>
          <w:kern w:val="2"/>
          <w:szCs w:val="24"/>
          <w:lang w:eastAsia="en-GB" w:bidi="ar-SA"/>
          <w14:ligatures w14:val="standardContextual"/>
        </w:rPr>
      </w:pPr>
      <w:hyperlink w:anchor="_Toc235705915" w:history="1">
        <w:r w:rsidRPr="00765724">
          <w:rPr>
            <w:rStyle w:val="Hyperlink"/>
          </w:rPr>
          <w:t>Document control information</w:t>
        </w:r>
        <w:r>
          <w:rPr>
            <w:webHidden/>
          </w:rPr>
          <w:tab/>
        </w:r>
        <w:r>
          <w:rPr>
            <w:webHidden/>
          </w:rPr>
          <w:fldChar w:fldCharType="begin"/>
        </w:r>
        <w:r>
          <w:rPr>
            <w:webHidden/>
          </w:rPr>
          <w:instrText xml:space="preserve"> PAGEREF _Toc235705915 \h </w:instrText>
        </w:r>
        <w:r>
          <w:rPr>
            <w:webHidden/>
          </w:rPr>
        </w:r>
        <w:r>
          <w:rPr>
            <w:webHidden/>
          </w:rPr>
          <w:fldChar w:fldCharType="separate"/>
        </w:r>
        <w:r>
          <w:rPr>
            <w:webHidden/>
          </w:rPr>
          <w:t>78</w:t>
        </w:r>
        <w:r>
          <w:rPr>
            <w:webHidden/>
          </w:rPr>
          <w:fldChar w:fldCharType="end"/>
        </w:r>
      </w:hyperlink>
    </w:p>
    <w:p w14:paraId="0CC4B54A" w14:textId="3AEFD848" w:rsidR="00267815" w:rsidRDefault="008A147B" w:rsidP="00267815">
      <w:r>
        <w:rPr>
          <w:noProof/>
        </w:rPr>
        <w:fldChar w:fldCharType="end"/>
      </w:r>
    </w:p>
    <w:p w14:paraId="716B9A7E" w14:textId="77777777" w:rsidR="003E098E" w:rsidRDefault="003E098E" w:rsidP="00267815"/>
    <w:p w14:paraId="4812BFF8" w14:textId="1D099CA0" w:rsidR="003E098E" w:rsidRDefault="003E098E" w:rsidP="00267815">
      <w:pPr>
        <w:sectPr w:rsidR="003E098E" w:rsidSect="003508FB">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DD7520">
      <w:pPr>
        <w:pStyle w:val="Heading1"/>
      </w:pPr>
      <w:bookmarkStart w:id="1" w:name="_Toc235705901"/>
      <w:bookmarkEnd w:id="0"/>
      <w:r w:rsidRPr="00223090">
        <w:lastRenderedPageBreak/>
        <w:t>Introduction</w:t>
      </w:r>
      <w:bookmarkEnd w:id="1"/>
    </w:p>
    <w:p w14:paraId="6205C98C" w14:textId="61FBD347" w:rsidR="00547308" w:rsidRPr="004A31C3" w:rsidRDefault="00547308" w:rsidP="004A31C3">
      <w:pPr>
        <w:pStyle w:val="F9-Paragraph"/>
        <w:rPr>
          <w:lang w:bidi="ar-SA"/>
        </w:rPr>
      </w:pPr>
      <w:bookmarkStart w:id="2" w:name="_Hlk64448648"/>
      <w:r w:rsidRPr="004A31C3">
        <w:t>The Nuclear Safeguards (EU Exit) Regulations 2019 (NSR19)</w:t>
      </w:r>
      <w:sdt>
        <w:sdtPr>
          <w:id w:val="-1116753009"/>
          <w:citation/>
        </w:sdtPr>
        <w:sdtEndPr/>
        <w:sdtContent>
          <w:r w:rsidR="003F3C6F" w:rsidRPr="004A31C3">
            <w:fldChar w:fldCharType="begin"/>
          </w:r>
          <w:r w:rsidR="003F3C6F" w:rsidRPr="004A31C3">
            <w:instrText xml:space="preserve"> CITATION HMG6 \l 2057 </w:instrText>
          </w:r>
          <w:r w:rsidR="003F3C6F" w:rsidRPr="004A31C3">
            <w:fldChar w:fldCharType="separate"/>
          </w:r>
          <w:r w:rsidR="00DA6493">
            <w:rPr>
              <w:noProof/>
            </w:rPr>
            <w:t xml:space="preserve"> </w:t>
          </w:r>
          <w:r w:rsidR="00DA6493" w:rsidRPr="00DA6493">
            <w:rPr>
              <w:noProof/>
            </w:rPr>
            <w:t>[1]</w:t>
          </w:r>
          <w:r w:rsidR="003F3C6F" w:rsidRPr="004A31C3">
            <w:fldChar w:fldCharType="end"/>
          </w:r>
        </w:sdtContent>
      </w:sdt>
      <w:r w:rsidR="003F3C6F" w:rsidRPr="004A31C3">
        <w:t xml:space="preserve"> </w:t>
      </w:r>
      <w:r w:rsidRPr="004A31C3">
        <w:t xml:space="preserve">require operators, as defined therein, to make arrangements to comply with obligations under NSR19. ONR inspects compliance with NSR19, and with the arrangements made under them, to judge the suitability of the arrangements made and the adequacy of their implementation. In July 2026 </w:t>
      </w:r>
      <w:r w:rsidR="003F3C6F" w:rsidRPr="004A31C3">
        <w:t>T</w:t>
      </w:r>
      <w:r w:rsidRPr="004A31C3">
        <w:t xml:space="preserve">he Nuclear Safeguards (EU Exit and Fees) (Amendment) Regulations 2026 (NSR26) </w:t>
      </w:r>
      <w:sdt>
        <w:sdtPr>
          <w:id w:val="-2121143072"/>
          <w:citation/>
        </w:sdtPr>
        <w:sdtEndPr/>
        <w:sdtContent>
          <w:r w:rsidR="003F3C6F" w:rsidRPr="004A31C3">
            <w:fldChar w:fldCharType="begin"/>
          </w:r>
          <w:r w:rsidR="003F3C6F" w:rsidRPr="004A31C3">
            <w:instrText xml:space="preserve"> CITATION HMG261 \l 2057 </w:instrText>
          </w:r>
          <w:r w:rsidR="003F3C6F" w:rsidRPr="004A31C3">
            <w:fldChar w:fldCharType="separate"/>
          </w:r>
          <w:r w:rsidR="00DA6493" w:rsidRPr="00DA6493">
            <w:rPr>
              <w:noProof/>
            </w:rPr>
            <w:t>[2]</w:t>
          </w:r>
          <w:r w:rsidR="003F3C6F" w:rsidRPr="004A31C3">
            <w:fldChar w:fldCharType="end"/>
          </w:r>
        </w:sdtContent>
      </w:sdt>
      <w:r w:rsidR="003F3C6F" w:rsidRPr="004A31C3">
        <w:t xml:space="preserve"> </w:t>
      </w:r>
      <w:r w:rsidRPr="004A31C3">
        <w:t>came into force and amended NSR19. This guidance refers to NSR19 as the amended version of the regulations.</w:t>
      </w:r>
    </w:p>
    <w:p w14:paraId="34435E92" w14:textId="30097D9A" w:rsidR="00547308" w:rsidRPr="00547308" w:rsidRDefault="00547308" w:rsidP="004A31C3">
      <w:pPr>
        <w:pStyle w:val="F9-Paragraph"/>
        <w:rPr>
          <w:rFonts w:ascii="Arial Bold" w:hAnsi="Arial Bold"/>
          <w:bCs/>
          <w:caps/>
        </w:rPr>
      </w:pPr>
      <w:r>
        <w:t>Parts of NSR19 are prescriptive, however there are elements which are goal setting and do not prescribe in detail what the operator’s arrangements should contain, this is the responsibility of the operator. To support inspectors undertaking inspections, ONR produces a suite of guides to assist inspectors to make regulatory judgements and decisions in relation to the adequacy of compliance on the site. This inspection guide is part of the suite of documents provided by ONR for this purpose.</w:t>
      </w:r>
    </w:p>
    <w:bookmarkEnd w:id="2"/>
    <w:p w14:paraId="35C1E1D9" w14:textId="77777777" w:rsidR="003F3C6F" w:rsidRDefault="003F3C6F" w:rsidP="00DD7520">
      <w:pPr>
        <w:pStyle w:val="Heading1"/>
        <w:sectPr w:rsidR="003F3C6F" w:rsidSect="003508FB">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616F197D" w14:textId="77244732" w:rsidR="008D49A5" w:rsidRPr="00DD7520" w:rsidRDefault="008D49A5" w:rsidP="00DD7520">
      <w:pPr>
        <w:pStyle w:val="Heading1"/>
      </w:pPr>
      <w:bookmarkStart w:id="3" w:name="_Toc235705902"/>
      <w:r w:rsidRPr="00DD7520">
        <w:lastRenderedPageBreak/>
        <w:t>Purpose</w:t>
      </w:r>
      <w:r w:rsidR="00547308" w:rsidRPr="00DD7520">
        <w:t xml:space="preserve"> and scope</w:t>
      </w:r>
      <w:bookmarkEnd w:id="3"/>
    </w:p>
    <w:p w14:paraId="7FA17362" w14:textId="59B7EC84" w:rsidR="00547308" w:rsidRPr="00547308" w:rsidRDefault="00547308" w:rsidP="004A31C3">
      <w:pPr>
        <w:pStyle w:val="F9-Paragraph"/>
      </w:pPr>
      <w:r w:rsidRPr="00547308">
        <w:t xml:space="preserve">This guide has been prepared as an aid to inspection of </w:t>
      </w:r>
      <w:r w:rsidR="001402B8">
        <w:t>n</w:t>
      </w:r>
      <w:r w:rsidR="001402B8" w:rsidRPr="00547308">
        <w:t xml:space="preserve">uclear </w:t>
      </w:r>
      <w:r w:rsidR="001402B8">
        <w:t>m</w:t>
      </w:r>
      <w:r w:rsidR="001402B8" w:rsidRPr="00547308">
        <w:t xml:space="preserve">aterial </w:t>
      </w:r>
      <w:r w:rsidR="001402B8">
        <w:t>a</w:t>
      </w:r>
      <w:r w:rsidR="001402B8" w:rsidRPr="00547308">
        <w:t>ccountancy</w:t>
      </w:r>
      <w:r w:rsidRPr="00547308">
        <w:t xml:space="preserve">, </w:t>
      </w:r>
      <w:r w:rsidR="001402B8">
        <w:t>c</w:t>
      </w:r>
      <w:r w:rsidR="001402B8" w:rsidRPr="00547308">
        <w:t xml:space="preserve">ontrol </w:t>
      </w:r>
      <w:r w:rsidRPr="00547308">
        <w:t xml:space="preserve">and </w:t>
      </w:r>
      <w:r w:rsidR="001402B8">
        <w:t>s</w:t>
      </w:r>
      <w:r w:rsidR="001402B8" w:rsidRPr="00547308">
        <w:t xml:space="preserve">afeguards </w:t>
      </w:r>
      <w:r w:rsidRPr="00547308">
        <w:t>(NMACS) activities at operator’s sites. It is to be used by ONR predominantly in judging the operator’s compliance with the requirements of NSR19. This guidance provides a framework for these inspection activities, within which the inspector is expected to exercise their discretion and judgement. This framework is provided to facilitate a consistent approach to inspection against NSR19.</w:t>
      </w:r>
    </w:p>
    <w:p w14:paraId="6FD474C7" w14:textId="77777777" w:rsidR="00547308" w:rsidRPr="00547308" w:rsidRDefault="00547308" w:rsidP="004A31C3">
      <w:pPr>
        <w:pStyle w:val="F9-Paragraph"/>
      </w:pPr>
      <w:r w:rsidRPr="00547308">
        <w:t>Note that the requirements of NSR19 relate only to those activities undertaken for civil purposes. Activities for defence purposes are excluded from the UK nuclear safeguards regime, however, the inspector should note there is still some interaction between the civil and defence sectors and where qualifying nuclear material (QNM) is being transferred into or out of the civil safeguards regime, the requirements of NSR19 must be met.</w:t>
      </w:r>
    </w:p>
    <w:p w14:paraId="4490F200" w14:textId="4F475C27" w:rsidR="00547308" w:rsidRPr="00547308" w:rsidRDefault="00547308" w:rsidP="004A31C3">
      <w:pPr>
        <w:pStyle w:val="F9-Paragraph"/>
      </w:pPr>
      <w:r w:rsidRPr="00547308">
        <w:t xml:space="preserve">Safeguards inspections undertaken by ONR will fall into one of two basic categories as follows and any of these </w:t>
      </w:r>
      <w:r w:rsidR="001402B8">
        <w:t>activities</w:t>
      </w:r>
      <w:r w:rsidRPr="00547308">
        <w:t xml:space="preserve"> may be performed in conjunction with inspections </w:t>
      </w:r>
      <w:r w:rsidR="001402B8">
        <w:t>involving other</w:t>
      </w:r>
      <w:r w:rsidRPr="00547308">
        <w:t xml:space="preserve"> ONR purposes. </w:t>
      </w:r>
    </w:p>
    <w:p w14:paraId="07A0BFA6" w14:textId="2C8A73E9" w:rsidR="00547308" w:rsidRPr="00547308" w:rsidRDefault="00547308" w:rsidP="00DD7520">
      <w:pPr>
        <w:pStyle w:val="NumList2"/>
      </w:pPr>
      <w:r w:rsidRPr="00547308">
        <w:rPr>
          <w:b/>
        </w:rPr>
        <w:t>Compliance inspections</w:t>
      </w:r>
      <w:r w:rsidRPr="00547308">
        <w:t xml:space="preserve"> - Inspection of operator arrangements delivering compliance with NSR19. These </w:t>
      </w:r>
      <w:r w:rsidRPr="00DD7520">
        <w:rPr>
          <w:lang w:bidi="he-IL"/>
        </w:rPr>
        <w:t>inspections</w:t>
      </w:r>
      <w:r w:rsidRPr="00547308">
        <w:t xml:space="preserve"> can include </w:t>
      </w:r>
      <w:r w:rsidR="001402B8">
        <w:t>activities in</w:t>
      </w:r>
      <w:r w:rsidRPr="00547308">
        <w:t xml:space="preserve"> one or more of the areas outlined below;</w:t>
      </w:r>
    </w:p>
    <w:p w14:paraId="1E43FD5E" w14:textId="10FC0F9B" w:rsidR="00547308" w:rsidRPr="00DD7520" w:rsidRDefault="00547308" w:rsidP="00DD7520">
      <w:pPr>
        <w:pStyle w:val="NumList1"/>
      </w:pPr>
      <w:r w:rsidRPr="00DD7520">
        <w:t xml:space="preserve">Nuclear material accountancy records and reports – </w:t>
      </w:r>
      <w:r w:rsidR="003F3C6F" w:rsidRPr="00DD7520">
        <w:t>refer to</w:t>
      </w:r>
      <w:r w:rsidRPr="00DD7520">
        <w:t xml:space="preserve"> </w:t>
      </w:r>
      <w:r w:rsidR="008A147B">
        <w:t>‘</w:t>
      </w:r>
      <w:r w:rsidR="008A147B">
        <w:fldChar w:fldCharType="begin"/>
      </w:r>
      <w:r w:rsidR="008A147B">
        <w:instrText xml:space="preserve"> REF _Ref232676408 \h </w:instrText>
      </w:r>
      <w:r w:rsidR="008A147B">
        <w:fldChar w:fldCharType="separate"/>
      </w:r>
      <w:r w:rsidR="00CE3296">
        <w:t>Guidance on inspection of arrangements and their implementation</w:t>
      </w:r>
      <w:r w:rsidR="008A147B">
        <w:fldChar w:fldCharType="end"/>
      </w:r>
      <w:r w:rsidR="008A147B">
        <w:t>’</w:t>
      </w:r>
      <w:r w:rsidRPr="00DD7520">
        <w:t>.</w:t>
      </w:r>
    </w:p>
    <w:p w14:paraId="5EF2AA01" w14:textId="7767EEE9" w:rsidR="00547308" w:rsidRPr="00DD7520" w:rsidRDefault="00547308" w:rsidP="00DD7520">
      <w:pPr>
        <w:pStyle w:val="NumList1"/>
      </w:pPr>
      <w:r w:rsidRPr="00DD7520">
        <w:t xml:space="preserve">Accountancy and Control Plans (ACPs) – </w:t>
      </w:r>
      <w:r w:rsidR="003F3C6F" w:rsidRPr="00DD7520">
        <w:t xml:space="preserve">refer to </w:t>
      </w:r>
      <w:hyperlink w:anchor="_Appendix_4_–" w:history="1">
        <w:r w:rsidR="008A147B">
          <w:rPr>
            <w:rStyle w:val="Hyperlink"/>
          </w:rPr>
          <w:t>A</w:t>
        </w:r>
        <w:r w:rsidRPr="008A147B">
          <w:rPr>
            <w:rStyle w:val="Hyperlink"/>
          </w:rPr>
          <w:t>ppendix 4</w:t>
        </w:r>
      </w:hyperlink>
    </w:p>
    <w:p w14:paraId="4468D20D" w14:textId="75D6B8BF" w:rsidR="00547308" w:rsidRPr="00DD7520" w:rsidRDefault="00547308" w:rsidP="00DD7520">
      <w:pPr>
        <w:pStyle w:val="NumList1"/>
      </w:pPr>
      <w:r w:rsidRPr="00DD7520">
        <w:t xml:space="preserve">Operator design information – </w:t>
      </w:r>
      <w:r w:rsidR="003F3C6F" w:rsidRPr="00DD7520">
        <w:t xml:space="preserve">refer to </w:t>
      </w:r>
      <w:hyperlink w:anchor="_Appendix_5_–" w:history="1">
        <w:r w:rsidR="008A147B">
          <w:rPr>
            <w:rStyle w:val="Hyperlink"/>
          </w:rPr>
          <w:t>A</w:t>
        </w:r>
        <w:r w:rsidRPr="008A147B">
          <w:rPr>
            <w:rStyle w:val="Hyperlink"/>
          </w:rPr>
          <w:t>ppendix 5</w:t>
        </w:r>
      </w:hyperlink>
    </w:p>
    <w:p w14:paraId="62842AE1" w14:textId="2564D95F" w:rsidR="00547308" w:rsidRPr="00DD7520" w:rsidRDefault="00547308" w:rsidP="00DD7520">
      <w:pPr>
        <w:pStyle w:val="NumList1"/>
      </w:pPr>
      <w:r w:rsidRPr="00DD7520">
        <w:t xml:space="preserve">Physical Inventory Taking Evaluation </w:t>
      </w:r>
      <w:r w:rsidR="00FD2194">
        <w:t xml:space="preserve">(PITe) </w:t>
      </w:r>
      <w:r w:rsidRPr="00DD7520">
        <w:t xml:space="preserve">– </w:t>
      </w:r>
      <w:r w:rsidR="003F3C6F" w:rsidRPr="00DD7520">
        <w:t xml:space="preserve">refer to </w:t>
      </w:r>
      <w:hyperlink w:anchor="_Appendix_2_–" w:history="1">
        <w:r w:rsidR="008A147B">
          <w:rPr>
            <w:rStyle w:val="Hyperlink"/>
          </w:rPr>
          <w:t>A</w:t>
        </w:r>
        <w:r w:rsidRPr="008A147B">
          <w:rPr>
            <w:rStyle w:val="Hyperlink"/>
          </w:rPr>
          <w:t>ppendix 2</w:t>
        </w:r>
      </w:hyperlink>
      <w:r w:rsidRPr="00DD7520">
        <w:t>.</w:t>
      </w:r>
    </w:p>
    <w:p w14:paraId="16EAF766" w14:textId="62EF9909" w:rsidR="00547308" w:rsidRPr="00DD7520" w:rsidRDefault="00547308" w:rsidP="004F261E">
      <w:pPr>
        <w:pStyle w:val="NumList1"/>
        <w:numPr>
          <w:ilvl w:val="3"/>
          <w:numId w:val="5"/>
        </w:numPr>
        <w:ind w:left="2268"/>
      </w:pPr>
      <w:r w:rsidRPr="00DD7520">
        <w:t xml:space="preserve">Physical Inventory Verification (PIV) may form a subset of this inspection </w:t>
      </w:r>
      <w:r w:rsidR="001402B8">
        <w:t>activity</w:t>
      </w:r>
      <w:r w:rsidRPr="00DD7520">
        <w:t>.</w:t>
      </w:r>
    </w:p>
    <w:p w14:paraId="2FCDCF98" w14:textId="631C5C2E" w:rsidR="00547308" w:rsidRPr="00547308" w:rsidRDefault="00547308" w:rsidP="00DD7520">
      <w:pPr>
        <w:pStyle w:val="NumList1"/>
      </w:pPr>
      <w:r w:rsidRPr="00547308">
        <w:t>ONR inspection and assessment activities alongside the facilitation of IAEA activities.</w:t>
      </w:r>
    </w:p>
    <w:p w14:paraId="5FB60735" w14:textId="77777777" w:rsidR="004A31C3" w:rsidRDefault="004A31C3" w:rsidP="00DD7520">
      <w:pPr>
        <w:pStyle w:val="NumList2"/>
        <w:rPr>
          <w:b/>
        </w:rPr>
        <w:sectPr w:rsidR="004A31C3" w:rsidSect="003508FB">
          <w:pgSz w:w="11906" w:h="16838" w:code="9"/>
          <w:pgMar w:top="1440" w:right="1440" w:bottom="1440" w:left="1440" w:header="397" w:footer="397" w:gutter="0"/>
          <w:cols w:space="312"/>
          <w:docGrid w:linePitch="360"/>
        </w:sectPr>
      </w:pPr>
    </w:p>
    <w:p w14:paraId="05A1C35A" w14:textId="2445BBAA" w:rsidR="00547308" w:rsidRPr="00547308" w:rsidRDefault="00547308" w:rsidP="00DD7520">
      <w:pPr>
        <w:pStyle w:val="NumList2"/>
      </w:pPr>
      <w:r w:rsidRPr="003F3C6F">
        <w:rPr>
          <w:b/>
        </w:rPr>
        <w:lastRenderedPageBreak/>
        <w:t>Themed inspections</w:t>
      </w:r>
      <w:r w:rsidRPr="00547308">
        <w:t xml:space="preserve"> – inspection of compliance through themed or cross-cutting inspections, especially when regulatory interests span multiple compliance areas. These inspections are valuable for reviewing multiple sites under the same organisation, multiple areas of a site, or wider topics such as documentation, organisational learning, or </w:t>
      </w:r>
      <w:r w:rsidR="001402B8">
        <w:t xml:space="preserve">nuclear material </w:t>
      </w:r>
      <w:r w:rsidRPr="00547308">
        <w:t xml:space="preserve">accountancy systems. These inspections also include </w:t>
      </w:r>
      <w:r w:rsidR="001402B8">
        <w:t>s</w:t>
      </w:r>
      <w:r w:rsidR="001402B8" w:rsidRPr="00547308">
        <w:t xml:space="preserve">afeguards </w:t>
      </w:r>
      <w:r w:rsidR="001402B8">
        <w:t>s</w:t>
      </w:r>
      <w:r w:rsidR="001402B8" w:rsidRPr="00547308">
        <w:t>ystem</w:t>
      </w:r>
      <w:r w:rsidRPr="00547308">
        <w:t>-</w:t>
      </w:r>
      <w:r w:rsidR="001402B8">
        <w:t>b</w:t>
      </w:r>
      <w:r w:rsidR="001402B8" w:rsidRPr="00547308">
        <w:t xml:space="preserve">ased </w:t>
      </w:r>
      <w:r w:rsidR="001402B8">
        <w:t>i</w:t>
      </w:r>
      <w:r w:rsidR="001402B8" w:rsidRPr="00547308">
        <w:t xml:space="preserve">nspections </w:t>
      </w:r>
      <w:r w:rsidRPr="00547308">
        <w:t>(SSBIs) which can be used to assess the adequacy of systems integral to nuclear material accountancy and control (NMAC) performance both within a specific facility or spanning across a site.</w:t>
      </w:r>
    </w:p>
    <w:p w14:paraId="29D011F6" w14:textId="442000B3" w:rsidR="00547308" w:rsidRPr="00547308" w:rsidRDefault="00547308" w:rsidP="004A31C3">
      <w:pPr>
        <w:pStyle w:val="F9-Paragraph"/>
      </w:pPr>
      <w:r w:rsidRPr="00547308">
        <w:t xml:space="preserve">This guide also contains advice on the activities surrounding, and opportunities presented by, the facilitation of </w:t>
      </w:r>
      <w:r w:rsidR="001402B8">
        <w:t>activities performed</w:t>
      </w:r>
      <w:r w:rsidR="001402B8" w:rsidRPr="00547308">
        <w:t xml:space="preserve"> </w:t>
      </w:r>
      <w:r w:rsidRPr="00547308">
        <w:t xml:space="preserve">by the International Atomic Energy Agency (IAEA) </w:t>
      </w:r>
      <w:r w:rsidR="001402B8">
        <w:t xml:space="preserve">in the UK </w:t>
      </w:r>
      <w:r w:rsidRPr="00547308">
        <w:t>as the international safeguards inspectorate.</w:t>
      </w:r>
    </w:p>
    <w:p w14:paraId="2E4DE209" w14:textId="45DBF946" w:rsidR="00547308" w:rsidRPr="00547308" w:rsidRDefault="001402B8" w:rsidP="004A31C3">
      <w:pPr>
        <w:pStyle w:val="F9-Paragraph"/>
      </w:pPr>
      <w:r w:rsidRPr="00547308">
        <w:t>Th</w:t>
      </w:r>
      <w:r>
        <w:t>is</w:t>
      </w:r>
      <w:r w:rsidRPr="00547308">
        <w:t xml:space="preserve"> </w:t>
      </w:r>
      <w:r w:rsidR="00547308" w:rsidRPr="00547308">
        <w:t xml:space="preserve">guidance is for use by all inspectors in ONR undertaking nuclear safeguards inspections. The guidance does not indicate when or to what extent inspections of the requirements of NSR19 should be carried out as these matters are covered in other ONR guidance and individual inspection plans, which are risk informed, targeted and aligned to the ONR Nuclear Safeguards Plan. </w:t>
      </w:r>
    </w:p>
    <w:p w14:paraId="7CE53AAC" w14:textId="6C573FB5" w:rsidR="00547308" w:rsidRPr="00547308" w:rsidRDefault="00547308" w:rsidP="004A31C3">
      <w:pPr>
        <w:pStyle w:val="F9-Paragraph"/>
      </w:pPr>
      <w:r w:rsidRPr="00547308">
        <w:t>It is not anticipated that all the topics recommended for consideration by the inspector will be covered in a single inspection or during their time on site. Some aspects (</w:t>
      </w:r>
      <w:r w:rsidR="003F3C6F">
        <w:t>for example,</w:t>
      </w:r>
      <w:r w:rsidRPr="00547308">
        <w:t xml:space="preserve"> operating and accounting records) need not necessarily be inspected on site and some activities can take place remotely. </w:t>
      </w:r>
    </w:p>
    <w:p w14:paraId="0108DCA9" w14:textId="43A4B4ED" w:rsidR="00547308" w:rsidRPr="00547308" w:rsidRDefault="00547308" w:rsidP="004A31C3">
      <w:pPr>
        <w:pStyle w:val="F9-Paragraph"/>
      </w:pPr>
      <w:r w:rsidRPr="00547308">
        <w:t>General ONR inspection guidance for all disciplines on how to plan, prepare, deliver and write-up an inspection should be used in conjunction with this guidance document</w:t>
      </w:r>
      <w:r w:rsidR="00DD7520">
        <w:t xml:space="preserve"> </w:t>
      </w:r>
      <w:sdt>
        <w:sdtPr>
          <w:id w:val="-870447990"/>
          <w:citation/>
        </w:sdtPr>
        <w:sdtEndPr/>
        <w:sdtContent>
          <w:r w:rsidR="003F3C6F">
            <w:fldChar w:fldCharType="begin"/>
          </w:r>
          <w:r w:rsidR="003F3C6F">
            <w:instrText xml:space="preserve"> CITATION ONR34 \l 2057 </w:instrText>
          </w:r>
          <w:r w:rsidR="003F3C6F">
            <w:fldChar w:fldCharType="separate"/>
          </w:r>
          <w:r w:rsidR="00DA6493" w:rsidRPr="00DA6493">
            <w:rPr>
              <w:noProof/>
            </w:rPr>
            <w:t>[3]</w:t>
          </w:r>
          <w:r w:rsidR="003F3C6F">
            <w:fldChar w:fldCharType="end"/>
          </w:r>
        </w:sdtContent>
      </w:sdt>
      <w:r w:rsidRPr="00547308">
        <w:t>.</w:t>
      </w:r>
    </w:p>
    <w:p w14:paraId="43F09434" w14:textId="77777777" w:rsidR="009E0E52" w:rsidRDefault="009E0E52" w:rsidP="005754AE">
      <w:pPr>
        <w:sectPr w:rsidR="009E0E52" w:rsidSect="003508FB">
          <w:pgSz w:w="11906" w:h="16838" w:code="9"/>
          <w:pgMar w:top="1440" w:right="1440" w:bottom="1440" w:left="1440" w:header="397" w:footer="397" w:gutter="0"/>
          <w:cols w:space="312"/>
          <w:docGrid w:linePitch="360"/>
        </w:sectPr>
      </w:pPr>
    </w:p>
    <w:p w14:paraId="05AAE39A" w14:textId="70F7F167" w:rsidR="008D49A5" w:rsidRDefault="003F3C6F" w:rsidP="00DD7520">
      <w:pPr>
        <w:pStyle w:val="Heading1"/>
      </w:pPr>
      <w:bookmarkStart w:id="4" w:name="_Toc235705903"/>
      <w:r>
        <w:lastRenderedPageBreak/>
        <w:t>Relationship to relevant legislation</w:t>
      </w:r>
      <w:bookmarkEnd w:id="4"/>
    </w:p>
    <w:p w14:paraId="1181F7D2" w14:textId="77777777" w:rsidR="003F3C6F" w:rsidRDefault="003F3C6F" w:rsidP="004A31C3">
      <w:pPr>
        <w:pStyle w:val="F9-Paragraph"/>
        <w:rPr>
          <w:i/>
        </w:rPr>
      </w:pPr>
      <w:r>
        <w:t xml:space="preserve">NSR19 requires operators to have arrangements for accountancy and control of QNM in place and to provide specified information on the QNM it holds to ONR. </w:t>
      </w:r>
    </w:p>
    <w:p w14:paraId="420CED9D" w14:textId="3EA6004A" w:rsidR="003F3C6F" w:rsidRDefault="003F3C6F" w:rsidP="004A31C3">
      <w:pPr>
        <w:pStyle w:val="F9-Paragraph"/>
        <w:rPr>
          <w:i/>
        </w:rPr>
      </w:pPr>
      <w:r>
        <w:t>ONR submit the operator’s safeguards information to the IAEA and the UKs nuclear cooperation agreement (NCA) partners in line with the format and detail required by relevant international obligations. Information transmitted to the IAEA is in fulfilment of the obligations of the United Kingdom under the agreement between the United Kingdom and the IAEA referred to as the Voluntary Offer Agreement</w:t>
      </w:r>
      <w:r w:rsidR="00892629">
        <w:t xml:space="preserve"> (VOA)</w:t>
      </w:r>
      <w:r>
        <w:t xml:space="preserve"> </w:t>
      </w:r>
      <w:sdt>
        <w:sdtPr>
          <w:id w:val="912512218"/>
          <w:citation/>
        </w:sdtPr>
        <w:sdtEndPr/>
        <w:sdtContent>
          <w:r>
            <w:fldChar w:fldCharType="begin"/>
          </w:r>
          <w:r>
            <w:instrText xml:space="preserve"> CITATION IAE10 \l 2057 </w:instrText>
          </w:r>
          <w:r>
            <w:fldChar w:fldCharType="separate"/>
          </w:r>
          <w:r w:rsidR="00DA6493" w:rsidRPr="00DA6493">
            <w:rPr>
              <w:noProof/>
            </w:rPr>
            <w:t>[4]</w:t>
          </w:r>
          <w:r>
            <w:fldChar w:fldCharType="end"/>
          </w:r>
        </w:sdtContent>
      </w:sdt>
      <w:r>
        <w:t xml:space="preserve">. Additional safeguards information is communicated in line with the obligations of other relevant international agreements as set down in the </w:t>
      </w:r>
      <w:r>
        <w:rPr>
          <w:rFonts w:eastAsiaTheme="minorHAnsi"/>
        </w:rPr>
        <w:t xml:space="preserve">Nuclear Safeguards (Fissionable Material and Relevant International Agreements) (EU Exit) Regulations 2019 </w:t>
      </w:r>
      <w:sdt>
        <w:sdtPr>
          <w:rPr>
            <w:rFonts w:eastAsiaTheme="minorHAnsi"/>
          </w:rPr>
          <w:id w:val="-1908830827"/>
          <w:citation/>
        </w:sdtPr>
        <w:sdtEndPr/>
        <w:sdtContent>
          <w:r>
            <w:rPr>
              <w:rFonts w:eastAsiaTheme="minorHAnsi"/>
            </w:rPr>
            <w:fldChar w:fldCharType="begin"/>
          </w:r>
          <w:r>
            <w:rPr>
              <w:rFonts w:eastAsiaTheme="minorHAnsi"/>
            </w:rPr>
            <w:instrText xml:space="preserve"> CITATION HMG19 \l 2057 </w:instrText>
          </w:r>
          <w:r>
            <w:rPr>
              <w:rFonts w:eastAsiaTheme="minorHAnsi"/>
            </w:rPr>
            <w:fldChar w:fldCharType="separate"/>
          </w:r>
          <w:r w:rsidR="00DA6493" w:rsidRPr="00DA6493">
            <w:rPr>
              <w:rFonts w:eastAsiaTheme="minorHAnsi"/>
              <w:noProof/>
            </w:rPr>
            <w:t>[5]</w:t>
          </w:r>
          <w:r>
            <w:rPr>
              <w:rFonts w:eastAsiaTheme="minorHAnsi"/>
            </w:rPr>
            <w:fldChar w:fldCharType="end"/>
          </w:r>
        </w:sdtContent>
      </w:sdt>
      <w:r>
        <w:rPr>
          <w:rFonts w:eastAsiaTheme="minorHAnsi"/>
        </w:rPr>
        <w:t>.</w:t>
      </w:r>
    </w:p>
    <w:p w14:paraId="05046712" w14:textId="1FBAB2B0" w:rsidR="003F3C6F" w:rsidRDefault="003F3C6F" w:rsidP="004A31C3">
      <w:pPr>
        <w:pStyle w:val="F9-Paragraph"/>
        <w:rPr>
          <w:i/>
        </w:rPr>
      </w:pPr>
      <w:r>
        <w:t>How the operator complies with its requirements under NSR19 is predominantly for them to determine. ONR must judge the adequacy of this compliance and ultimately provide assurance that all operators are compliant with NSR19. ONR carries out this function through both assessment</w:t>
      </w:r>
      <w:sdt>
        <w:sdtPr>
          <w:id w:val="-1938056746"/>
          <w:citation/>
        </w:sdtPr>
        <w:sdtEndPr/>
        <w:sdtContent>
          <w:r>
            <w:fldChar w:fldCharType="begin"/>
          </w:r>
          <w:r>
            <w:instrText xml:space="preserve">CITATION ONR293 \l 2057 </w:instrText>
          </w:r>
          <w:r>
            <w:fldChar w:fldCharType="separate"/>
          </w:r>
          <w:r w:rsidR="00DA6493">
            <w:rPr>
              <w:noProof/>
            </w:rPr>
            <w:t xml:space="preserve"> </w:t>
          </w:r>
          <w:r w:rsidR="00DA6493" w:rsidRPr="00DA6493">
            <w:rPr>
              <w:noProof/>
            </w:rPr>
            <w:t>[6]</w:t>
          </w:r>
          <w:r>
            <w:fldChar w:fldCharType="end"/>
          </w:r>
        </w:sdtContent>
      </w:sdt>
      <w:r>
        <w:t xml:space="preserve"> and inspection activities.</w:t>
      </w:r>
    </w:p>
    <w:p w14:paraId="2BFCEDB0" w14:textId="30621393" w:rsidR="00D60BCB" w:rsidRDefault="00D60BCB">
      <w:pPr>
        <w:spacing w:after="0" w:line="240" w:lineRule="auto"/>
      </w:pPr>
    </w:p>
    <w:p w14:paraId="4D93DA50" w14:textId="77777777" w:rsidR="003F3C6F" w:rsidRDefault="003F3C6F" w:rsidP="00DD7520">
      <w:pPr>
        <w:pStyle w:val="Heading1"/>
        <w:sectPr w:rsidR="003F3C6F" w:rsidSect="003508FB">
          <w:pgSz w:w="11906" w:h="16838" w:code="9"/>
          <w:pgMar w:top="1440" w:right="1440" w:bottom="1440" w:left="1440" w:header="397" w:footer="397" w:gutter="0"/>
          <w:cols w:space="312"/>
          <w:docGrid w:linePitch="360"/>
        </w:sectPr>
      </w:pPr>
    </w:p>
    <w:p w14:paraId="19CBAE12" w14:textId="0F43CD8C" w:rsidR="00140E1C" w:rsidRDefault="00D60BCB" w:rsidP="00DD7520">
      <w:pPr>
        <w:pStyle w:val="Heading1"/>
      </w:pPr>
      <w:bookmarkStart w:id="5" w:name="_Toc235705904"/>
      <w:r>
        <w:lastRenderedPageBreak/>
        <w:t xml:space="preserve">Purpose of </w:t>
      </w:r>
      <w:r w:rsidR="003F3C6F">
        <w:t>T</w:t>
      </w:r>
      <w:r w:rsidR="00821337">
        <w:t xml:space="preserve">he </w:t>
      </w:r>
      <w:r w:rsidR="003F3C6F">
        <w:t>Nuclear Safeguards (EU Exit) Regulations 2019</w:t>
      </w:r>
      <w:bookmarkEnd w:id="5"/>
    </w:p>
    <w:p w14:paraId="61F10257" w14:textId="77777777" w:rsidR="003F3C6F" w:rsidRPr="00BB2D42" w:rsidRDefault="003F3C6F" w:rsidP="004A31C3">
      <w:pPr>
        <w:pStyle w:val="F9-Paragraph"/>
        <w:rPr>
          <w:bCs/>
        </w:rPr>
      </w:pPr>
      <w:r w:rsidRPr="001E3CB9">
        <w:t xml:space="preserve">The operator </w:t>
      </w:r>
      <w:r>
        <w:t>is required to</w:t>
      </w:r>
      <w:r w:rsidRPr="001E3CB9">
        <w:t xml:space="preserve"> have arrangements in place to demonstrate compliance with </w:t>
      </w:r>
      <w:r>
        <w:t>NSR19</w:t>
      </w:r>
      <w:r w:rsidRPr="001E3CB9">
        <w:t>.</w:t>
      </w:r>
      <w:r>
        <w:t xml:space="preserve"> With regards to NMAC, operators’ arrangements must meet the requirements of Regulation 6. These arrangements should be described in an ACP (Regulation 7), and the ACP should be kept up to date (Regulation 8). </w:t>
      </w:r>
    </w:p>
    <w:p w14:paraId="75F3C198" w14:textId="77777777" w:rsidR="003F3C6F" w:rsidRPr="007A32C3" w:rsidRDefault="003F3C6F" w:rsidP="004A31C3">
      <w:pPr>
        <w:pStyle w:val="F9-Paragraph"/>
        <w:rPr>
          <w:bCs/>
        </w:rPr>
      </w:pPr>
      <w:r>
        <w:t xml:space="preserve">There is a requirement in NSR19, Regulation 7, for operators to produce ACPs that describe the specific arrangements and procedures required by Regulation 6 of NSR19. </w:t>
      </w:r>
    </w:p>
    <w:p w14:paraId="2356E1A7" w14:textId="77777777" w:rsidR="003F3C6F" w:rsidRDefault="003F3C6F" w:rsidP="004A31C3">
      <w:pPr>
        <w:pStyle w:val="F9-Paragraph"/>
      </w:pPr>
      <w:r w:rsidRPr="001E3CB9">
        <w:t xml:space="preserve">Brief guidance is given below for </w:t>
      </w:r>
      <w:r>
        <w:t xml:space="preserve">the requirements on operators in </w:t>
      </w:r>
      <w:r w:rsidRPr="001E3CB9">
        <w:t xml:space="preserve">each part of </w:t>
      </w:r>
      <w:r>
        <w:t>NSR19 and, thus, the features the inspector should target for understanding and compliance during inspections</w:t>
      </w:r>
      <w:r w:rsidRPr="001E3CB9">
        <w:t>.</w:t>
      </w:r>
    </w:p>
    <w:p w14:paraId="541E1375" w14:textId="77777777" w:rsidR="003F3C6F" w:rsidRPr="001E3CB9" w:rsidRDefault="003F3C6F" w:rsidP="00DD7520">
      <w:pPr>
        <w:pStyle w:val="Heading2"/>
        <w:rPr>
          <w:lang w:eastAsia="en-GB"/>
        </w:rPr>
      </w:pPr>
      <w:r w:rsidRPr="001E3CB9">
        <w:rPr>
          <w:lang w:eastAsia="en-GB"/>
        </w:rPr>
        <w:t xml:space="preserve">Part 1 (Introduction - </w:t>
      </w:r>
      <w:r>
        <w:rPr>
          <w:lang w:eastAsia="en-GB"/>
        </w:rPr>
        <w:t>Regulations</w:t>
      </w:r>
      <w:r w:rsidRPr="001E3CB9">
        <w:rPr>
          <w:lang w:eastAsia="en-GB"/>
        </w:rPr>
        <w:t xml:space="preserve"> 1 and 2)</w:t>
      </w:r>
    </w:p>
    <w:p w14:paraId="20DD4DFE" w14:textId="77777777" w:rsidR="003F3C6F" w:rsidRPr="00430AD9" w:rsidRDefault="003F3C6F" w:rsidP="004A31C3">
      <w:pPr>
        <w:pStyle w:val="F9-Paragraph"/>
        <w:rPr>
          <w:b/>
        </w:rPr>
      </w:pPr>
      <w:r>
        <w:t>This part defines the terms used in NSR19</w:t>
      </w:r>
      <w:r w:rsidRPr="001E3CB9">
        <w:t xml:space="preserve">. </w:t>
      </w:r>
    </w:p>
    <w:p w14:paraId="6505BE9F" w14:textId="77777777" w:rsidR="003F3C6F" w:rsidRPr="00F00206" w:rsidRDefault="003F3C6F" w:rsidP="004A31C3">
      <w:pPr>
        <w:pStyle w:val="F9-Paragraph"/>
        <w:rPr>
          <w:b/>
        </w:rPr>
      </w:pPr>
      <w:r w:rsidRPr="001E3CB9">
        <w:t xml:space="preserve">For the purposes of </w:t>
      </w:r>
      <w:r>
        <w:t>NSR19</w:t>
      </w:r>
      <w:r w:rsidRPr="001E3CB9">
        <w:t xml:space="preserve">, a qualifying nuclear facility </w:t>
      </w:r>
      <w:r>
        <w:t xml:space="preserve">(QNF) </w:t>
      </w:r>
      <w:r w:rsidRPr="001E3CB9">
        <w:t>means a facility (including associated buildings) in which qualifying nuclear material is produced, processed, used, handled, stored, or disposed of.</w:t>
      </w:r>
      <w:r>
        <w:t xml:space="preserve"> </w:t>
      </w:r>
    </w:p>
    <w:p w14:paraId="286EC031" w14:textId="6002A041" w:rsidR="003F3C6F" w:rsidRPr="001E3CB9" w:rsidRDefault="003F3C6F" w:rsidP="004A31C3">
      <w:pPr>
        <w:pStyle w:val="F9-Paragraph"/>
        <w:rPr>
          <w:b/>
        </w:rPr>
      </w:pPr>
      <w:r>
        <w:t xml:space="preserve">A material balance area (MBA) may be comprised of one or more QNF, or one QNF may comprise of multiple MBAs. The operator may propose an MBA structure which should be discussed and agreed with ONR. ONR will then engage with the IAEA to agree </w:t>
      </w:r>
      <w:r w:rsidR="009C627F">
        <w:t xml:space="preserve">and confirm </w:t>
      </w:r>
      <w:r>
        <w:t>the MBA structure.</w:t>
      </w:r>
    </w:p>
    <w:p w14:paraId="3BCFD6E4" w14:textId="77777777" w:rsidR="003F3C6F" w:rsidRPr="001E3CB9" w:rsidRDefault="003F3C6F" w:rsidP="004A31C3">
      <w:pPr>
        <w:pStyle w:val="F9-Paragraph"/>
        <w:rPr>
          <w:b/>
        </w:rPr>
      </w:pPr>
      <w:r w:rsidRPr="001E3CB9">
        <w:t xml:space="preserve">Qualifying nuclear material </w:t>
      </w:r>
      <w:r>
        <w:t>is defined as</w:t>
      </w:r>
      <w:r w:rsidRPr="001E3CB9">
        <w:t>:</w:t>
      </w:r>
    </w:p>
    <w:p w14:paraId="08C23787" w14:textId="077A3661" w:rsidR="00DD7520" w:rsidRDefault="003F3C6F" w:rsidP="004F261E">
      <w:pPr>
        <w:pStyle w:val="NumList2"/>
        <w:numPr>
          <w:ilvl w:val="1"/>
          <w:numId w:val="9"/>
        </w:numPr>
        <w:ind w:left="1276"/>
        <w:rPr>
          <w:lang w:eastAsia="en-GB"/>
        </w:rPr>
      </w:pPr>
      <w:r w:rsidRPr="001E3CB9">
        <w:rPr>
          <w:lang w:eastAsia="en-GB"/>
        </w:rPr>
        <w:t>Fissionable material specified</w:t>
      </w:r>
      <w:r>
        <w:rPr>
          <w:lang w:eastAsia="en-GB"/>
        </w:rPr>
        <w:t xml:space="preserve"> in regulations</w:t>
      </w:r>
      <w:r w:rsidRPr="001E3CB9">
        <w:rPr>
          <w:lang w:eastAsia="en-GB"/>
        </w:rPr>
        <w:t xml:space="preserve"> </w:t>
      </w:r>
      <w:r>
        <w:rPr>
          <w:lang w:eastAsia="en-GB"/>
        </w:rPr>
        <w:t xml:space="preserve">under subsection </w:t>
      </w:r>
      <w:r w:rsidRPr="001E3CB9">
        <w:rPr>
          <w:lang w:eastAsia="en-GB"/>
        </w:rPr>
        <w:t>7 of the Nuclear Safeguards Act 2018</w:t>
      </w:r>
      <w:r>
        <w:rPr>
          <w:lang w:eastAsia="en-GB"/>
        </w:rPr>
        <w:t xml:space="preserve">; i.e., </w:t>
      </w:r>
      <w:r w:rsidR="00DD7520">
        <w:rPr>
          <w:lang w:eastAsia="en-GB"/>
        </w:rPr>
        <w:t>“T</w:t>
      </w:r>
      <w:r>
        <w:rPr>
          <w:lang w:eastAsia="en-GB"/>
        </w:rPr>
        <w:t xml:space="preserve">he </w:t>
      </w:r>
      <w:r w:rsidRPr="00BC1773">
        <w:rPr>
          <w:lang w:eastAsia="en-GB"/>
        </w:rPr>
        <w:t xml:space="preserve">Nuclear Safeguards (Fissionable Material and Relevant International Agreements) (EU Exit) </w:t>
      </w:r>
      <w:r>
        <w:rPr>
          <w:lang w:eastAsia="en-GB"/>
        </w:rPr>
        <w:t>Regulations</w:t>
      </w:r>
      <w:r w:rsidRPr="00BC1773">
        <w:rPr>
          <w:lang w:eastAsia="en-GB"/>
        </w:rPr>
        <w:t xml:space="preserve"> 2019</w:t>
      </w:r>
      <w:r>
        <w:rPr>
          <w:lang w:eastAsia="en-GB"/>
        </w:rPr>
        <w:t>”</w:t>
      </w:r>
      <w:r w:rsidDel="00940B56">
        <w:rPr>
          <w:rStyle w:val="FootnoteReference"/>
          <w:lang w:eastAsia="en-GB"/>
        </w:rPr>
        <w:t xml:space="preserve"> </w:t>
      </w:r>
      <w:r w:rsidRPr="001E3CB9">
        <w:rPr>
          <w:lang w:eastAsia="en-GB"/>
        </w:rPr>
        <w:t>;</w:t>
      </w:r>
    </w:p>
    <w:p w14:paraId="36C53B6B" w14:textId="71454057" w:rsidR="003F3C6F" w:rsidRPr="001E3CB9" w:rsidRDefault="003F3C6F" w:rsidP="004F261E">
      <w:pPr>
        <w:pStyle w:val="NumList2"/>
        <w:numPr>
          <w:ilvl w:val="1"/>
          <w:numId w:val="9"/>
        </w:numPr>
        <w:ind w:left="1276"/>
        <w:rPr>
          <w:lang w:eastAsia="en-GB"/>
        </w:rPr>
      </w:pPr>
      <w:r w:rsidRPr="001E3CB9">
        <w:rPr>
          <w:lang w:eastAsia="en-GB"/>
        </w:rPr>
        <w:t>Source material in the form of:</w:t>
      </w:r>
    </w:p>
    <w:p w14:paraId="47853ADB" w14:textId="77777777" w:rsidR="003F3C6F" w:rsidRPr="001E3CB9" w:rsidRDefault="003F3C6F" w:rsidP="004F261E">
      <w:pPr>
        <w:pStyle w:val="NumList1"/>
        <w:numPr>
          <w:ilvl w:val="0"/>
          <w:numId w:val="10"/>
        </w:numPr>
        <w:ind w:left="1843"/>
        <w:rPr>
          <w:lang w:eastAsia="en-GB"/>
        </w:rPr>
      </w:pPr>
      <w:r w:rsidRPr="001E3CB9">
        <w:rPr>
          <w:lang w:eastAsia="en-GB"/>
        </w:rPr>
        <w:t>Uranium metal, alloy or compound;</w:t>
      </w:r>
    </w:p>
    <w:p w14:paraId="5D2FCC3B" w14:textId="77777777" w:rsidR="003F3C6F" w:rsidRPr="001E3CB9" w:rsidRDefault="003F3C6F" w:rsidP="00DD7520">
      <w:pPr>
        <w:pStyle w:val="NumList1"/>
        <w:rPr>
          <w:lang w:eastAsia="en-GB"/>
        </w:rPr>
      </w:pPr>
      <w:r w:rsidRPr="001E3CB9">
        <w:rPr>
          <w:lang w:eastAsia="en-GB"/>
        </w:rPr>
        <w:t>Thorium metal, alloy or compound, or;</w:t>
      </w:r>
    </w:p>
    <w:p w14:paraId="56B4764F" w14:textId="16D2B5F5" w:rsidR="003F3C6F" w:rsidRDefault="003F3C6F" w:rsidP="00DD7520">
      <w:pPr>
        <w:pStyle w:val="NumList2"/>
        <w:rPr>
          <w:lang w:eastAsia="en-GB"/>
        </w:rPr>
      </w:pPr>
      <w:r w:rsidRPr="001E3CB9">
        <w:rPr>
          <w:lang w:eastAsia="en-GB"/>
        </w:rPr>
        <w:t>Ore containing a substance from which a source material</w:t>
      </w:r>
      <w:r w:rsidR="00892629">
        <w:rPr>
          <w:lang w:eastAsia="en-GB"/>
        </w:rPr>
        <w:t>,</w:t>
      </w:r>
      <w:r w:rsidRPr="001E3CB9">
        <w:rPr>
          <w:lang w:eastAsia="en-GB"/>
        </w:rPr>
        <w:t xml:space="preserve"> falling within paragraph 2</w:t>
      </w:r>
      <w:r w:rsidR="00892629">
        <w:rPr>
          <w:lang w:eastAsia="en-GB"/>
        </w:rPr>
        <w:t>,</w:t>
      </w:r>
      <w:r w:rsidRPr="001E3CB9">
        <w:rPr>
          <w:lang w:eastAsia="en-GB"/>
        </w:rPr>
        <w:t xml:space="preserve"> is capable of being derived.</w:t>
      </w:r>
      <w:r>
        <w:rPr>
          <w:lang w:eastAsia="en-GB"/>
        </w:rPr>
        <w:t xml:space="preserve"> </w:t>
      </w:r>
    </w:p>
    <w:p w14:paraId="642BA6BD" w14:textId="77777777" w:rsidR="003F3C6F" w:rsidRPr="001E3CB9" w:rsidRDefault="003F3C6F" w:rsidP="003F3C6F">
      <w:pPr>
        <w:autoSpaceDE w:val="0"/>
        <w:autoSpaceDN w:val="0"/>
        <w:adjustRightInd w:val="0"/>
        <w:rPr>
          <w:lang w:eastAsia="en-GB"/>
        </w:rPr>
      </w:pPr>
    </w:p>
    <w:p w14:paraId="79A88C07" w14:textId="77777777" w:rsidR="003F3C6F" w:rsidRPr="001E3CB9" w:rsidRDefault="003F3C6F" w:rsidP="00DD7520">
      <w:pPr>
        <w:pStyle w:val="Heading2"/>
        <w:rPr>
          <w:lang w:eastAsia="en-GB"/>
        </w:rPr>
      </w:pPr>
      <w:r w:rsidRPr="001E3CB9">
        <w:rPr>
          <w:lang w:eastAsia="en-GB"/>
        </w:rPr>
        <w:lastRenderedPageBreak/>
        <w:t>Part 2 (Accountancy and control, records</w:t>
      </w:r>
      <w:r>
        <w:rPr>
          <w:lang w:eastAsia="en-GB"/>
        </w:rPr>
        <w:t>,</w:t>
      </w:r>
      <w:r w:rsidRPr="001E3CB9">
        <w:rPr>
          <w:lang w:eastAsia="en-GB"/>
        </w:rPr>
        <w:t xml:space="preserve"> and the provision of information by an operator - </w:t>
      </w:r>
      <w:r>
        <w:rPr>
          <w:lang w:eastAsia="en-GB"/>
        </w:rPr>
        <w:t>Regulations</w:t>
      </w:r>
      <w:r w:rsidRPr="001E3CB9">
        <w:rPr>
          <w:lang w:eastAsia="en-GB"/>
        </w:rPr>
        <w:t xml:space="preserve"> 3 - 20)</w:t>
      </w:r>
    </w:p>
    <w:p w14:paraId="5210F3E9" w14:textId="77777777" w:rsidR="003F3C6F" w:rsidRPr="001E3CB9" w:rsidRDefault="003F3C6F" w:rsidP="004A31C3">
      <w:pPr>
        <w:pStyle w:val="F9-Paragraph"/>
      </w:pPr>
      <w:r>
        <w:t>NSR19</w:t>
      </w:r>
      <w:r w:rsidRPr="001E3CB9">
        <w:t>:</w:t>
      </w:r>
    </w:p>
    <w:p w14:paraId="6F6A05C9" w14:textId="184402F2" w:rsidR="003F3C6F" w:rsidRPr="001E3CB9" w:rsidRDefault="003F3C6F" w:rsidP="004F261E">
      <w:pPr>
        <w:pStyle w:val="NumList2"/>
        <w:numPr>
          <w:ilvl w:val="1"/>
          <w:numId w:val="11"/>
        </w:numPr>
        <w:ind w:left="1276"/>
        <w:rPr>
          <w:lang w:eastAsia="en-GB"/>
        </w:rPr>
      </w:pPr>
      <w:r w:rsidRPr="001E3CB9">
        <w:rPr>
          <w:lang w:eastAsia="en-GB"/>
        </w:rPr>
        <w:t>Require</w:t>
      </w:r>
      <w:r>
        <w:rPr>
          <w:lang w:eastAsia="en-GB"/>
        </w:rPr>
        <w:t>s</w:t>
      </w:r>
      <w:r w:rsidRPr="001E3CB9">
        <w:rPr>
          <w:lang w:eastAsia="en-GB"/>
        </w:rPr>
        <w:t xml:space="preserve"> the operator to declare </w:t>
      </w:r>
      <w:r>
        <w:rPr>
          <w:lang w:eastAsia="en-GB"/>
        </w:rPr>
        <w:t xml:space="preserve">design information </w:t>
      </w:r>
      <w:r w:rsidRPr="001E3CB9">
        <w:rPr>
          <w:lang w:eastAsia="en-GB"/>
        </w:rPr>
        <w:t>f</w:t>
      </w:r>
      <w:r>
        <w:rPr>
          <w:lang w:eastAsia="en-GB"/>
        </w:rPr>
        <w:t>or</w:t>
      </w:r>
      <w:r w:rsidRPr="001E3CB9">
        <w:rPr>
          <w:lang w:eastAsia="en-GB"/>
        </w:rPr>
        <w:t xml:space="preserve"> a </w:t>
      </w:r>
      <w:r>
        <w:rPr>
          <w:lang w:eastAsia="en-GB"/>
        </w:rPr>
        <w:t>QNF</w:t>
      </w:r>
      <w:r w:rsidRPr="001E3CB9">
        <w:rPr>
          <w:lang w:eastAsia="en-GB"/>
        </w:rPr>
        <w:t xml:space="preserve">, including </w:t>
      </w:r>
      <w:r>
        <w:rPr>
          <w:lang w:eastAsia="en-GB"/>
        </w:rPr>
        <w:t xml:space="preserve">for </w:t>
      </w:r>
      <w:r w:rsidRPr="001E3CB9">
        <w:rPr>
          <w:lang w:eastAsia="en-GB"/>
        </w:rPr>
        <w:t xml:space="preserve">those </w:t>
      </w:r>
      <w:r>
        <w:rPr>
          <w:lang w:eastAsia="en-GB"/>
        </w:rPr>
        <w:t xml:space="preserve">facilities </w:t>
      </w:r>
      <w:r w:rsidRPr="001E3CB9">
        <w:rPr>
          <w:lang w:eastAsia="en-GB"/>
        </w:rPr>
        <w:t xml:space="preserve">in existence prior to the commencement of </w:t>
      </w:r>
      <w:r>
        <w:rPr>
          <w:lang w:eastAsia="en-GB"/>
        </w:rPr>
        <w:t>NSR19</w:t>
      </w:r>
      <w:r w:rsidRPr="001E3CB9">
        <w:rPr>
          <w:lang w:eastAsia="en-GB"/>
        </w:rPr>
        <w:t xml:space="preserve">, using the relevant questionnaire shown in Part 1 of Schedule 1 of </w:t>
      </w:r>
      <w:r>
        <w:rPr>
          <w:lang w:eastAsia="en-GB"/>
        </w:rPr>
        <w:t>NSR19</w:t>
      </w:r>
      <w:r w:rsidRPr="001E3CB9">
        <w:rPr>
          <w:lang w:eastAsia="en-GB"/>
        </w:rPr>
        <w:t xml:space="preserve"> (</w:t>
      </w:r>
      <w:r>
        <w:rPr>
          <w:lang w:eastAsia="en-GB"/>
        </w:rPr>
        <w:t>Regulation</w:t>
      </w:r>
      <w:r w:rsidRPr="001E3CB9">
        <w:rPr>
          <w:lang w:eastAsia="en-GB"/>
        </w:rPr>
        <w:t xml:space="preserve"> 3)</w:t>
      </w:r>
      <w:r>
        <w:rPr>
          <w:lang w:eastAsia="en-GB"/>
        </w:rPr>
        <w:t xml:space="preserve">. When </w:t>
      </w:r>
      <w:r w:rsidRPr="001E1C09">
        <w:rPr>
          <w:lang w:eastAsia="en-GB"/>
        </w:rPr>
        <w:t>the</w:t>
      </w:r>
      <w:r>
        <w:rPr>
          <w:lang w:eastAsia="en-GB"/>
        </w:rPr>
        <w:t xml:space="preserve"> operator declares the</w:t>
      </w:r>
      <w:r w:rsidRPr="001E1C09">
        <w:rPr>
          <w:lang w:eastAsia="en-GB"/>
        </w:rPr>
        <w:t xml:space="preserve"> preliminary </w:t>
      </w:r>
      <w:r>
        <w:rPr>
          <w:lang w:eastAsia="en-GB"/>
        </w:rPr>
        <w:t>design information for</w:t>
      </w:r>
      <w:r w:rsidRPr="001E1C09">
        <w:rPr>
          <w:lang w:eastAsia="en-GB"/>
        </w:rPr>
        <w:t xml:space="preserve"> </w:t>
      </w:r>
      <w:r>
        <w:rPr>
          <w:lang w:eastAsia="en-GB"/>
        </w:rPr>
        <w:t>a</w:t>
      </w:r>
      <w:r w:rsidRPr="001E1C09">
        <w:rPr>
          <w:lang w:eastAsia="en-GB"/>
        </w:rPr>
        <w:t xml:space="preserve"> facility as soon as the decision to construct or authorise construction has been taken</w:t>
      </w:r>
      <w:r>
        <w:rPr>
          <w:lang w:eastAsia="en-GB"/>
        </w:rPr>
        <w:t>, the inspector should ensure the facility is added to the Facilities List under Article 1(b) of our VOA</w:t>
      </w:r>
      <w:r w:rsidR="00892629">
        <w:rPr>
          <w:lang w:eastAsia="en-GB"/>
        </w:rPr>
        <w:t xml:space="preserve"> </w:t>
      </w:r>
      <w:sdt>
        <w:sdtPr>
          <w:rPr>
            <w:lang w:eastAsia="en-GB"/>
          </w:rPr>
          <w:id w:val="1630674402"/>
          <w:citation/>
        </w:sdtPr>
        <w:sdtEndPr/>
        <w:sdtContent>
          <w:r w:rsidR="00892629">
            <w:rPr>
              <w:lang w:eastAsia="en-GB"/>
            </w:rPr>
            <w:fldChar w:fldCharType="begin"/>
          </w:r>
          <w:r w:rsidR="00892629">
            <w:rPr>
              <w:lang w:eastAsia="en-GB"/>
            </w:rPr>
            <w:instrText xml:space="preserve"> CITATION IAE10 \l 2057 </w:instrText>
          </w:r>
          <w:r w:rsidR="00892629">
            <w:rPr>
              <w:lang w:eastAsia="en-GB"/>
            </w:rPr>
            <w:fldChar w:fldCharType="separate"/>
          </w:r>
          <w:r w:rsidR="00DA6493" w:rsidRPr="00DA6493">
            <w:rPr>
              <w:noProof/>
              <w:lang w:eastAsia="en-GB"/>
            </w:rPr>
            <w:t>[4]</w:t>
          </w:r>
          <w:r w:rsidR="00892629">
            <w:rPr>
              <w:lang w:eastAsia="en-GB"/>
            </w:rPr>
            <w:fldChar w:fldCharType="end"/>
          </w:r>
        </w:sdtContent>
      </w:sdt>
      <w:r>
        <w:rPr>
          <w:lang w:eastAsia="en-GB"/>
        </w:rPr>
        <w:t>.</w:t>
      </w:r>
    </w:p>
    <w:p w14:paraId="5B2EADB1" w14:textId="77777777" w:rsidR="003F3C6F" w:rsidRPr="001E3CB9" w:rsidRDefault="003F3C6F" w:rsidP="00DD7520">
      <w:pPr>
        <w:pStyle w:val="NumList2"/>
        <w:rPr>
          <w:lang w:eastAsia="en-GB"/>
        </w:rPr>
      </w:pPr>
      <w:r w:rsidRPr="001E3CB9">
        <w:rPr>
          <w:lang w:eastAsia="en-GB"/>
        </w:rPr>
        <w:t>Require</w:t>
      </w:r>
      <w:r>
        <w:rPr>
          <w:lang w:eastAsia="en-GB"/>
        </w:rPr>
        <w:t>s</w:t>
      </w:r>
      <w:r w:rsidRPr="001E3CB9">
        <w:rPr>
          <w:lang w:eastAsia="en-GB"/>
        </w:rPr>
        <w:t xml:space="preserve"> the operator to send an outline programme of activities of a </w:t>
      </w:r>
      <w:r>
        <w:rPr>
          <w:lang w:eastAsia="en-GB"/>
        </w:rPr>
        <w:t>QNF</w:t>
      </w:r>
      <w:r w:rsidRPr="001E3CB9">
        <w:rPr>
          <w:lang w:eastAsia="en-GB"/>
        </w:rPr>
        <w:t xml:space="preserve"> to ONR using the information described in Part 8 of Schedule 1 of </w:t>
      </w:r>
      <w:r>
        <w:rPr>
          <w:lang w:eastAsia="en-GB"/>
        </w:rPr>
        <w:t>NSR19. The annual outline programme of activities for the following calendar year must be received by ONR by 30 September of each year</w:t>
      </w:r>
      <w:r w:rsidRPr="001E3CB9">
        <w:rPr>
          <w:lang w:eastAsia="en-GB"/>
        </w:rPr>
        <w:t xml:space="preserve"> (</w:t>
      </w:r>
      <w:r>
        <w:rPr>
          <w:lang w:eastAsia="en-GB"/>
        </w:rPr>
        <w:t>Regulation</w:t>
      </w:r>
      <w:r w:rsidRPr="001E3CB9">
        <w:rPr>
          <w:lang w:eastAsia="en-GB"/>
        </w:rPr>
        <w:t xml:space="preserve"> 4)</w:t>
      </w:r>
      <w:r>
        <w:rPr>
          <w:lang w:eastAsia="en-GB"/>
        </w:rPr>
        <w:t>.</w:t>
      </w:r>
      <w:r w:rsidRPr="001E3CB9">
        <w:rPr>
          <w:lang w:eastAsia="en-GB"/>
        </w:rPr>
        <w:t xml:space="preserve"> </w:t>
      </w:r>
    </w:p>
    <w:p w14:paraId="72D376AB" w14:textId="56DC03FD" w:rsidR="003F3C6F" w:rsidRPr="001E3CB9" w:rsidRDefault="003F3C6F" w:rsidP="00DD7520">
      <w:pPr>
        <w:pStyle w:val="NumList2"/>
        <w:rPr>
          <w:lang w:eastAsia="en-GB"/>
        </w:rPr>
      </w:pPr>
      <w:r w:rsidRPr="001E3CB9">
        <w:rPr>
          <w:lang w:eastAsia="en-GB"/>
        </w:rPr>
        <w:t>Allow</w:t>
      </w:r>
      <w:r>
        <w:rPr>
          <w:lang w:eastAsia="en-GB"/>
        </w:rPr>
        <w:t>s</w:t>
      </w:r>
      <w:r w:rsidRPr="001E3CB9">
        <w:rPr>
          <w:lang w:eastAsia="en-GB"/>
        </w:rPr>
        <w:t xml:space="preserve"> ONR to impose particular safeguard</w:t>
      </w:r>
      <w:r w:rsidR="009C627F">
        <w:rPr>
          <w:lang w:eastAsia="en-GB"/>
        </w:rPr>
        <w:t>s</w:t>
      </w:r>
      <w:r w:rsidRPr="001E3CB9">
        <w:rPr>
          <w:lang w:eastAsia="en-GB"/>
        </w:rPr>
        <w:t xml:space="preserve"> provisions</w:t>
      </w:r>
      <w:r>
        <w:rPr>
          <w:lang w:eastAsia="en-GB"/>
        </w:rPr>
        <w:t xml:space="preserve"> (PSPs)</w:t>
      </w:r>
      <w:r w:rsidRPr="001E3CB9">
        <w:rPr>
          <w:lang w:eastAsia="en-GB"/>
        </w:rPr>
        <w:t xml:space="preserve"> on an operator in respect of a qualifying nuclear facility. Should </w:t>
      </w:r>
      <w:r>
        <w:rPr>
          <w:lang w:eastAsia="en-GB"/>
        </w:rPr>
        <w:t>PSPs</w:t>
      </w:r>
      <w:r w:rsidRPr="001E3CB9">
        <w:rPr>
          <w:lang w:eastAsia="en-GB"/>
        </w:rPr>
        <w:t xml:space="preserve"> be imposed on an operator, the operator must comply with the requirements of the provisions (</w:t>
      </w:r>
      <w:r>
        <w:rPr>
          <w:lang w:eastAsia="en-GB"/>
        </w:rPr>
        <w:t>Regulation</w:t>
      </w:r>
      <w:r w:rsidRPr="001E3CB9">
        <w:rPr>
          <w:lang w:eastAsia="en-GB"/>
        </w:rPr>
        <w:t xml:space="preserve"> 5)</w:t>
      </w:r>
      <w:r>
        <w:rPr>
          <w:lang w:eastAsia="en-GB"/>
        </w:rPr>
        <w:t>. ONR will engage with operators to fully understand the implications of any imposed PSPs before applying them. Where an IAEA Facility Attachment exists under our VOA</w:t>
      </w:r>
      <w:r w:rsidR="00892629">
        <w:rPr>
          <w:lang w:eastAsia="en-GB"/>
        </w:rPr>
        <w:t xml:space="preserve"> </w:t>
      </w:r>
      <w:sdt>
        <w:sdtPr>
          <w:rPr>
            <w:lang w:eastAsia="en-GB"/>
          </w:rPr>
          <w:id w:val="-245421404"/>
          <w:citation/>
        </w:sdtPr>
        <w:sdtEndPr/>
        <w:sdtContent>
          <w:r w:rsidR="00892629">
            <w:rPr>
              <w:lang w:eastAsia="en-GB"/>
            </w:rPr>
            <w:fldChar w:fldCharType="begin"/>
          </w:r>
          <w:r w:rsidR="00892629">
            <w:rPr>
              <w:lang w:eastAsia="en-GB"/>
            </w:rPr>
            <w:instrText xml:space="preserve"> CITATION IAE10 \l 2057 </w:instrText>
          </w:r>
          <w:r w:rsidR="00892629">
            <w:rPr>
              <w:lang w:eastAsia="en-GB"/>
            </w:rPr>
            <w:fldChar w:fldCharType="separate"/>
          </w:r>
          <w:r w:rsidR="00DA6493" w:rsidRPr="00DA6493">
            <w:rPr>
              <w:noProof/>
              <w:lang w:eastAsia="en-GB"/>
            </w:rPr>
            <w:t>[4]</w:t>
          </w:r>
          <w:r w:rsidR="00892629">
            <w:rPr>
              <w:lang w:eastAsia="en-GB"/>
            </w:rPr>
            <w:fldChar w:fldCharType="end"/>
          </w:r>
        </w:sdtContent>
      </w:sdt>
      <w:r>
        <w:rPr>
          <w:lang w:eastAsia="en-GB"/>
        </w:rPr>
        <w:t>, the inspector should ensure that a PSP is in force reflecting the requirements of that Facility Attachment.</w:t>
      </w:r>
    </w:p>
    <w:p w14:paraId="01078A5C" w14:textId="77777777" w:rsidR="003F3C6F" w:rsidRPr="001E3CB9" w:rsidRDefault="003F3C6F" w:rsidP="00DD7520">
      <w:pPr>
        <w:pStyle w:val="NumList2"/>
        <w:rPr>
          <w:lang w:eastAsia="en-GB"/>
        </w:rPr>
      </w:pPr>
      <w:r w:rsidRPr="001E3CB9">
        <w:rPr>
          <w:lang w:eastAsia="en-GB"/>
        </w:rPr>
        <w:t>Require</w:t>
      </w:r>
      <w:r>
        <w:rPr>
          <w:lang w:eastAsia="en-GB"/>
        </w:rPr>
        <w:t>s</w:t>
      </w:r>
      <w:r w:rsidRPr="001E3CB9">
        <w:rPr>
          <w:lang w:eastAsia="en-GB"/>
        </w:rPr>
        <w:t xml:space="preserve"> an operator of a </w:t>
      </w:r>
      <w:r>
        <w:rPr>
          <w:lang w:eastAsia="en-GB"/>
        </w:rPr>
        <w:t>QNF</w:t>
      </w:r>
      <w:r w:rsidRPr="001E3CB9">
        <w:rPr>
          <w:lang w:eastAsia="en-GB"/>
        </w:rPr>
        <w:t xml:space="preserve"> to maintain a system of accountancy and control of the relevant </w:t>
      </w:r>
      <w:r>
        <w:rPr>
          <w:lang w:eastAsia="en-GB"/>
        </w:rPr>
        <w:t>QNM</w:t>
      </w:r>
      <w:r w:rsidRPr="001E3CB9">
        <w:rPr>
          <w:lang w:eastAsia="en-GB"/>
        </w:rPr>
        <w:t xml:space="preserve"> in each </w:t>
      </w:r>
      <w:r>
        <w:rPr>
          <w:lang w:eastAsia="en-GB"/>
        </w:rPr>
        <w:t>QNF</w:t>
      </w:r>
      <w:r w:rsidRPr="001E3CB9">
        <w:rPr>
          <w:lang w:eastAsia="en-GB"/>
        </w:rPr>
        <w:t xml:space="preserve"> (</w:t>
      </w:r>
      <w:r>
        <w:rPr>
          <w:lang w:eastAsia="en-GB"/>
        </w:rPr>
        <w:t>Regulation</w:t>
      </w:r>
      <w:r w:rsidRPr="001E3CB9">
        <w:rPr>
          <w:lang w:eastAsia="en-GB"/>
        </w:rPr>
        <w:t xml:space="preserve"> 6)</w:t>
      </w:r>
      <w:r>
        <w:rPr>
          <w:lang w:eastAsia="en-GB"/>
        </w:rPr>
        <w:t>.</w:t>
      </w:r>
      <w:r w:rsidRPr="001E3CB9">
        <w:rPr>
          <w:lang w:eastAsia="en-GB"/>
        </w:rPr>
        <w:t xml:space="preserve"> </w:t>
      </w:r>
    </w:p>
    <w:p w14:paraId="361DE516" w14:textId="77777777" w:rsidR="003F3C6F" w:rsidRDefault="003F3C6F" w:rsidP="00DD7520">
      <w:pPr>
        <w:pStyle w:val="NumList2"/>
        <w:rPr>
          <w:lang w:eastAsia="en-GB"/>
        </w:rPr>
      </w:pPr>
      <w:r w:rsidRPr="001E3CB9">
        <w:rPr>
          <w:lang w:eastAsia="en-GB"/>
        </w:rPr>
        <w:t>Require</w:t>
      </w:r>
      <w:r>
        <w:rPr>
          <w:lang w:eastAsia="en-GB"/>
        </w:rPr>
        <w:t>s</w:t>
      </w:r>
      <w:r w:rsidRPr="001E3CB9">
        <w:rPr>
          <w:lang w:eastAsia="en-GB"/>
        </w:rPr>
        <w:t xml:space="preserve"> an operator of a </w:t>
      </w:r>
      <w:r>
        <w:rPr>
          <w:lang w:eastAsia="en-GB"/>
        </w:rPr>
        <w:t>QNF</w:t>
      </w:r>
      <w:r w:rsidRPr="001E3CB9">
        <w:rPr>
          <w:lang w:eastAsia="en-GB"/>
        </w:rPr>
        <w:t xml:space="preserve"> to produce, implement and comply with an </w:t>
      </w:r>
      <w:r>
        <w:rPr>
          <w:lang w:eastAsia="en-GB"/>
        </w:rPr>
        <w:t xml:space="preserve">ACP </w:t>
      </w:r>
      <w:r w:rsidRPr="001E3CB9">
        <w:rPr>
          <w:lang w:eastAsia="en-GB"/>
        </w:rPr>
        <w:t xml:space="preserve">which sets out the accountancy and control system for the </w:t>
      </w:r>
      <w:r>
        <w:rPr>
          <w:lang w:eastAsia="en-GB"/>
        </w:rPr>
        <w:t>QNM</w:t>
      </w:r>
      <w:r w:rsidRPr="001E3CB9">
        <w:rPr>
          <w:lang w:eastAsia="en-GB"/>
        </w:rPr>
        <w:t xml:space="preserve"> in that facility. </w:t>
      </w:r>
    </w:p>
    <w:p w14:paraId="33EA4171" w14:textId="77777777" w:rsidR="003F3C6F" w:rsidRDefault="003F3C6F" w:rsidP="004F261E">
      <w:pPr>
        <w:pStyle w:val="NumList1"/>
        <w:numPr>
          <w:ilvl w:val="0"/>
          <w:numId w:val="12"/>
        </w:numPr>
        <w:ind w:left="1843"/>
        <w:rPr>
          <w:lang w:eastAsia="en-GB"/>
        </w:rPr>
      </w:pPr>
      <w:r w:rsidRPr="001E3CB9">
        <w:rPr>
          <w:lang w:eastAsia="en-GB"/>
        </w:rPr>
        <w:t>An operator must</w:t>
      </w:r>
      <w:r>
        <w:rPr>
          <w:lang w:eastAsia="en-GB"/>
        </w:rPr>
        <w:t>, unless informed in writing by ONR that the matter is, in the ONR’s opinion, unlikely to be prejudicial to the maintenance of the system of safeguards (Regulation 9(2)),</w:t>
      </w:r>
      <w:r w:rsidRPr="001E3CB9">
        <w:rPr>
          <w:lang w:eastAsia="en-GB"/>
        </w:rPr>
        <w:t xml:space="preserve"> implement and comply with the arrangements and procedures described in the </w:t>
      </w:r>
      <w:r>
        <w:rPr>
          <w:lang w:eastAsia="en-GB"/>
        </w:rPr>
        <w:t>ACP. This determination would be made because of inspection and assessment outcomes. As an enabling regulator ONR would communicate this to the operator.</w:t>
      </w:r>
    </w:p>
    <w:p w14:paraId="3CDD4FF0" w14:textId="77777777" w:rsidR="003F3C6F" w:rsidRPr="001E3CB9" w:rsidRDefault="003F3C6F" w:rsidP="00DD7520">
      <w:pPr>
        <w:pStyle w:val="NumList1"/>
        <w:rPr>
          <w:lang w:eastAsia="en-GB"/>
        </w:rPr>
      </w:pPr>
      <w:r>
        <w:rPr>
          <w:lang w:eastAsia="en-GB"/>
        </w:rPr>
        <w:t>An ACP may, in rare circumstances, be approved by ONR, whereupon any changes to that ACP must thereafter be approved by ONR before implementation.</w:t>
      </w:r>
    </w:p>
    <w:p w14:paraId="5667AEED" w14:textId="77777777" w:rsidR="003F3C6F" w:rsidRPr="001E3CB9" w:rsidRDefault="003F3C6F" w:rsidP="00DD7520">
      <w:pPr>
        <w:pStyle w:val="NumList2"/>
        <w:rPr>
          <w:lang w:eastAsia="en-GB"/>
        </w:rPr>
      </w:pPr>
      <w:r w:rsidRPr="001E3CB9">
        <w:rPr>
          <w:lang w:eastAsia="en-GB"/>
        </w:rPr>
        <w:lastRenderedPageBreak/>
        <w:t>An operator must ensure that the operating records</w:t>
      </w:r>
      <w:r>
        <w:rPr>
          <w:lang w:eastAsia="en-GB"/>
        </w:rPr>
        <w:t xml:space="preserve"> and accounting records</w:t>
      </w:r>
      <w:r w:rsidRPr="001E3CB9">
        <w:rPr>
          <w:lang w:eastAsia="en-GB"/>
        </w:rPr>
        <w:t xml:space="preserve"> for each material balance area satisfy the requirements detailed in </w:t>
      </w:r>
      <w:r>
        <w:rPr>
          <w:lang w:eastAsia="en-GB"/>
        </w:rPr>
        <w:t>Regulations</w:t>
      </w:r>
      <w:r w:rsidRPr="001E3CB9">
        <w:rPr>
          <w:lang w:eastAsia="en-GB"/>
        </w:rPr>
        <w:t xml:space="preserve"> 10</w:t>
      </w:r>
      <w:r>
        <w:rPr>
          <w:lang w:eastAsia="en-GB"/>
        </w:rPr>
        <w:t xml:space="preserve"> and 11.</w:t>
      </w:r>
      <w:r w:rsidRPr="001E3CB9">
        <w:rPr>
          <w:lang w:eastAsia="en-GB"/>
        </w:rPr>
        <w:t xml:space="preserve"> </w:t>
      </w:r>
    </w:p>
    <w:p w14:paraId="02032E79" w14:textId="1A2DA1E6" w:rsidR="00543A9C" w:rsidRDefault="003F3C6F" w:rsidP="004A31C3">
      <w:pPr>
        <w:pStyle w:val="NumList2"/>
        <w:rPr>
          <w:lang w:eastAsia="en-GB"/>
        </w:rPr>
      </w:pPr>
      <w:r>
        <w:rPr>
          <w:lang w:eastAsia="en-GB"/>
        </w:rPr>
        <w:t>Regulations</w:t>
      </w:r>
      <w:r w:rsidRPr="001E3CB9">
        <w:rPr>
          <w:lang w:eastAsia="en-GB"/>
        </w:rPr>
        <w:t xml:space="preserve"> 1</w:t>
      </w:r>
      <w:r>
        <w:rPr>
          <w:lang w:eastAsia="en-GB"/>
        </w:rPr>
        <w:t>2</w:t>
      </w:r>
      <w:r w:rsidRPr="001E3CB9">
        <w:rPr>
          <w:lang w:eastAsia="en-GB"/>
        </w:rPr>
        <w:t xml:space="preserve"> – </w:t>
      </w:r>
      <w:r>
        <w:rPr>
          <w:lang w:eastAsia="en-GB"/>
        </w:rPr>
        <w:t>20</w:t>
      </w:r>
      <w:r w:rsidRPr="001E3CB9">
        <w:rPr>
          <w:lang w:eastAsia="en-GB"/>
        </w:rPr>
        <w:t xml:space="preserve"> set out the </w:t>
      </w:r>
      <w:r>
        <w:rPr>
          <w:lang w:eastAsia="en-GB"/>
        </w:rPr>
        <w:t>nuclear material accountancy and other a</w:t>
      </w:r>
      <w:r w:rsidRPr="00924646">
        <w:rPr>
          <w:lang w:eastAsia="en-GB"/>
        </w:rPr>
        <w:t>dditional reporting obligations arising from relevant international agreements and from obligations resulting from international trade</w:t>
      </w:r>
      <w:r>
        <w:rPr>
          <w:lang w:eastAsia="en-GB"/>
        </w:rPr>
        <w:t xml:space="preserve">. </w:t>
      </w:r>
      <w:r w:rsidR="00892629">
        <w:rPr>
          <w:lang w:eastAsia="en-GB"/>
        </w:rPr>
        <w:br/>
      </w:r>
      <w:r>
        <w:rPr>
          <w:lang w:eastAsia="en-GB"/>
        </w:rPr>
        <w:t xml:space="preserve">To achieve these </w:t>
      </w:r>
      <w:r w:rsidRPr="001E3CB9">
        <w:rPr>
          <w:lang w:eastAsia="en-GB"/>
        </w:rPr>
        <w:t>reporting requirements, including the format and timescales,</w:t>
      </w:r>
      <w:r>
        <w:rPr>
          <w:lang w:eastAsia="en-GB"/>
        </w:rPr>
        <w:t xml:space="preserve"> placed upon the operator, the</w:t>
      </w:r>
      <w:r w:rsidRPr="001E3CB9">
        <w:rPr>
          <w:lang w:eastAsia="en-GB"/>
        </w:rPr>
        <w:t xml:space="preserve"> </w:t>
      </w:r>
      <w:r>
        <w:rPr>
          <w:lang w:eastAsia="en-GB"/>
        </w:rPr>
        <w:t>operator</w:t>
      </w:r>
      <w:r w:rsidRPr="001E3CB9">
        <w:rPr>
          <w:lang w:eastAsia="en-GB"/>
        </w:rPr>
        <w:t xml:space="preserve"> should </w:t>
      </w:r>
      <w:r>
        <w:rPr>
          <w:lang w:eastAsia="en-GB"/>
        </w:rPr>
        <w:t xml:space="preserve">have relevant </w:t>
      </w:r>
      <w:r w:rsidRPr="001E3CB9">
        <w:rPr>
          <w:lang w:eastAsia="en-GB"/>
        </w:rPr>
        <w:t>arrangements</w:t>
      </w:r>
      <w:r>
        <w:rPr>
          <w:lang w:eastAsia="en-GB"/>
        </w:rPr>
        <w:t xml:space="preserve"> in place</w:t>
      </w:r>
      <w:r w:rsidRPr="001E3CB9">
        <w:rPr>
          <w:lang w:eastAsia="en-GB"/>
        </w:rPr>
        <w:t>.</w:t>
      </w:r>
    </w:p>
    <w:p w14:paraId="40EF4E41" w14:textId="77777777" w:rsidR="003F3C6F" w:rsidRPr="001E3CB9" w:rsidRDefault="003F3C6F" w:rsidP="00DD7520">
      <w:pPr>
        <w:pStyle w:val="Heading2"/>
        <w:rPr>
          <w:lang w:eastAsia="en-GB"/>
        </w:rPr>
      </w:pPr>
      <w:r w:rsidRPr="001E3CB9">
        <w:rPr>
          <w:lang w:eastAsia="en-GB"/>
        </w:rPr>
        <w:t xml:space="preserve">Part 3 (Exports and </w:t>
      </w:r>
      <w:r>
        <w:rPr>
          <w:lang w:eastAsia="en-GB"/>
        </w:rPr>
        <w:t>I</w:t>
      </w:r>
      <w:r w:rsidRPr="001E3CB9">
        <w:rPr>
          <w:lang w:eastAsia="en-GB"/>
        </w:rPr>
        <w:t xml:space="preserve">mports - </w:t>
      </w:r>
      <w:r>
        <w:rPr>
          <w:lang w:eastAsia="en-GB"/>
        </w:rPr>
        <w:t>Regulations</w:t>
      </w:r>
      <w:r w:rsidRPr="001E3CB9">
        <w:rPr>
          <w:lang w:eastAsia="en-GB"/>
        </w:rPr>
        <w:t xml:space="preserve"> 21 - 24)</w:t>
      </w:r>
    </w:p>
    <w:p w14:paraId="3799FAA4" w14:textId="77777777" w:rsidR="003F3C6F" w:rsidRPr="001E3CB9" w:rsidRDefault="003F3C6F" w:rsidP="004A31C3">
      <w:pPr>
        <w:pStyle w:val="F9-Paragraph"/>
      </w:pPr>
      <w:r>
        <w:t>NSR19</w:t>
      </w:r>
      <w:r w:rsidRPr="001E3CB9">
        <w:t xml:space="preserve"> require</w:t>
      </w:r>
      <w:r>
        <w:t>s</w:t>
      </w:r>
      <w:r w:rsidRPr="001E3CB9">
        <w:t xml:space="preserve"> the operator to give advance notification to the ONR if any qualifying nuclear material is exported from or imported into the UK</w:t>
      </w:r>
      <w:r>
        <w:t xml:space="preserve"> </w:t>
      </w:r>
      <w:r w:rsidRPr="001E3CB9">
        <w:t>(</w:t>
      </w:r>
      <w:r>
        <w:t>Regulations</w:t>
      </w:r>
      <w:r w:rsidRPr="001E3CB9">
        <w:t xml:space="preserve"> 21 and 22).</w:t>
      </w:r>
    </w:p>
    <w:p w14:paraId="2931360E" w14:textId="6784F461" w:rsidR="003F3C6F" w:rsidRPr="001E3CB9" w:rsidRDefault="003F3C6F" w:rsidP="004A31C3">
      <w:pPr>
        <w:pStyle w:val="F9-Paragraph"/>
      </w:pPr>
      <w:r w:rsidRPr="001E3CB9">
        <w:t xml:space="preserve">Should there be loss or </w:t>
      </w:r>
      <w:r>
        <w:t xml:space="preserve">considerable </w:t>
      </w:r>
      <w:r w:rsidRPr="001E3CB9">
        <w:t xml:space="preserve">delay during transfer, then the operator must send a special report to the ONR (as specified in </w:t>
      </w:r>
      <w:r>
        <w:t>Regulation</w:t>
      </w:r>
      <w:r w:rsidRPr="001E3CB9">
        <w:t xml:space="preserve"> 16) as soon as the operator becomes aware (</w:t>
      </w:r>
      <w:r>
        <w:t>Regulation</w:t>
      </w:r>
      <w:r w:rsidRPr="001E3CB9">
        <w:t xml:space="preserve"> 23).</w:t>
      </w:r>
      <w:r>
        <w:t xml:space="preserve"> A “considerable delay” should be considered as any delay that impacts on the date of arrival at the receiving </w:t>
      </w:r>
      <w:r w:rsidR="00AD22F6">
        <w:t>facility</w:t>
      </w:r>
      <w:r>
        <w:t>.</w:t>
      </w:r>
    </w:p>
    <w:p w14:paraId="4819365C" w14:textId="787C8227" w:rsidR="00543A9C" w:rsidRDefault="003F3C6F" w:rsidP="004A31C3">
      <w:pPr>
        <w:pStyle w:val="F9-Paragraph"/>
      </w:pPr>
      <w:r w:rsidRPr="001E3CB9">
        <w:t xml:space="preserve">Should there be any changes in the dates for packing before transfer, transport or unpacking of qualifying nuclear material, which has been given in the notifications under </w:t>
      </w:r>
      <w:r>
        <w:t>Regulations</w:t>
      </w:r>
      <w:r w:rsidRPr="001E3CB9">
        <w:t xml:space="preserve"> 21 and 22, then the operator must inform ONR of this</w:t>
      </w:r>
      <w:r>
        <w:t xml:space="preserve"> without delay</w:t>
      </w:r>
      <w:r w:rsidRPr="001E3CB9">
        <w:t xml:space="preserve"> (</w:t>
      </w:r>
      <w:r>
        <w:t>Regulation</w:t>
      </w:r>
      <w:r w:rsidRPr="001E3CB9">
        <w:t xml:space="preserve"> 24). </w:t>
      </w:r>
    </w:p>
    <w:p w14:paraId="4A9CE758" w14:textId="77777777" w:rsidR="003F3C6F" w:rsidRPr="001E3CB9" w:rsidRDefault="003F3C6F" w:rsidP="00DD7520">
      <w:pPr>
        <w:pStyle w:val="Heading2"/>
        <w:rPr>
          <w:lang w:eastAsia="en-GB"/>
        </w:rPr>
      </w:pPr>
      <w:r w:rsidRPr="001E3CB9">
        <w:rPr>
          <w:lang w:eastAsia="en-GB"/>
        </w:rPr>
        <w:t xml:space="preserve">Part 4 </w:t>
      </w:r>
      <w:r>
        <w:rPr>
          <w:lang w:eastAsia="en-GB"/>
        </w:rPr>
        <w:t xml:space="preserve">and 5 (Carriers and </w:t>
      </w:r>
      <w:r w:rsidRPr="001E3CB9">
        <w:rPr>
          <w:lang w:eastAsia="en-GB"/>
        </w:rPr>
        <w:t>temporary storage agents</w:t>
      </w:r>
      <w:r>
        <w:rPr>
          <w:lang w:eastAsia="en-GB"/>
        </w:rPr>
        <w:t xml:space="preserve"> </w:t>
      </w:r>
      <w:r w:rsidRPr="001E3CB9">
        <w:rPr>
          <w:lang w:eastAsia="en-GB"/>
        </w:rPr>
        <w:t xml:space="preserve">- </w:t>
      </w:r>
      <w:r>
        <w:rPr>
          <w:lang w:eastAsia="en-GB"/>
        </w:rPr>
        <w:t>Regulation</w:t>
      </w:r>
      <w:r w:rsidRPr="001E3CB9">
        <w:rPr>
          <w:lang w:eastAsia="en-GB"/>
        </w:rPr>
        <w:t xml:space="preserve"> 25)</w:t>
      </w:r>
    </w:p>
    <w:p w14:paraId="04C44F2B" w14:textId="78C747C8" w:rsidR="00513C9B" w:rsidRDefault="003F3C6F" w:rsidP="004A31C3">
      <w:pPr>
        <w:pStyle w:val="F9-Paragraph"/>
      </w:pPr>
      <w:r>
        <w:t>NSR19</w:t>
      </w:r>
      <w:r w:rsidRPr="001E3CB9">
        <w:t xml:space="preserve"> require</w:t>
      </w:r>
      <w:r>
        <w:t xml:space="preserve">s that </w:t>
      </w:r>
      <w:r w:rsidRPr="001E3CB9">
        <w:t>any person</w:t>
      </w:r>
      <w:r>
        <w:t>s</w:t>
      </w:r>
      <w:r w:rsidR="00DA6493">
        <w:t>/</w:t>
      </w:r>
      <w:r w:rsidRPr="001E3CB9">
        <w:t>undertaking</w:t>
      </w:r>
      <w:r>
        <w:t>s</w:t>
      </w:r>
      <w:r w:rsidRPr="001E3CB9">
        <w:t xml:space="preserve"> in the UK</w:t>
      </w:r>
      <w:r>
        <w:t xml:space="preserve"> engaged</w:t>
      </w:r>
      <w:r w:rsidRPr="001E3CB9">
        <w:t>, in tran</w:t>
      </w:r>
      <w:r>
        <w:t>sporting, or temporarily storing QNM</w:t>
      </w:r>
      <w:r w:rsidRPr="001E3CB9">
        <w:t xml:space="preserve"> must </w:t>
      </w:r>
      <w:r>
        <w:t>have records for receipt and</w:t>
      </w:r>
      <w:r w:rsidRPr="001E3CB9">
        <w:t xml:space="preserve"> hand</w:t>
      </w:r>
      <w:r>
        <w:t>ling</w:t>
      </w:r>
      <w:r w:rsidRPr="001E3CB9">
        <w:t xml:space="preserve"> </w:t>
      </w:r>
      <w:r>
        <w:t>of the</w:t>
      </w:r>
      <w:r w:rsidRPr="001E3CB9">
        <w:t xml:space="preserve"> material (</w:t>
      </w:r>
      <w:r>
        <w:t>Regulation 25).</w:t>
      </w:r>
    </w:p>
    <w:p w14:paraId="529E5663" w14:textId="77777777" w:rsidR="003F3C6F" w:rsidRPr="001E3CB9" w:rsidRDefault="003F3C6F" w:rsidP="00DD7520">
      <w:pPr>
        <w:pStyle w:val="Heading2"/>
        <w:rPr>
          <w:lang w:eastAsia="en-GB"/>
        </w:rPr>
      </w:pPr>
      <w:r w:rsidRPr="001E3CB9">
        <w:rPr>
          <w:lang w:eastAsia="en-GB"/>
        </w:rPr>
        <w:t xml:space="preserve">Part 6 (Qualifying nuclear material in the form of conditioned and retained waste - </w:t>
      </w:r>
      <w:r>
        <w:rPr>
          <w:lang w:eastAsia="en-GB"/>
        </w:rPr>
        <w:t>Regulations</w:t>
      </w:r>
      <w:r w:rsidRPr="001E3CB9">
        <w:rPr>
          <w:lang w:eastAsia="en-GB"/>
        </w:rPr>
        <w:t xml:space="preserve"> 29 and 30)</w:t>
      </w:r>
    </w:p>
    <w:p w14:paraId="1F65052A" w14:textId="77777777" w:rsidR="003F3C6F" w:rsidRPr="001E3CB9" w:rsidRDefault="003F3C6F" w:rsidP="004A31C3">
      <w:pPr>
        <w:pStyle w:val="F9-Paragraph"/>
      </w:pPr>
      <w:r>
        <w:t>NSR19</w:t>
      </w:r>
      <w:r w:rsidRPr="001E3CB9">
        <w:t>:</w:t>
      </w:r>
    </w:p>
    <w:p w14:paraId="5D2447C5" w14:textId="77777777" w:rsidR="00AD22F6" w:rsidRDefault="003F3C6F" w:rsidP="004F261E">
      <w:pPr>
        <w:pStyle w:val="NumList2"/>
        <w:numPr>
          <w:ilvl w:val="1"/>
          <w:numId w:val="13"/>
        </w:numPr>
        <w:ind w:left="1276"/>
        <w:rPr>
          <w:lang w:eastAsia="en-GB"/>
        </w:rPr>
      </w:pPr>
      <w:r w:rsidRPr="001E3CB9">
        <w:rPr>
          <w:lang w:eastAsia="en-GB"/>
        </w:rPr>
        <w:t>State</w:t>
      </w:r>
      <w:r>
        <w:rPr>
          <w:lang w:eastAsia="en-GB"/>
        </w:rPr>
        <w:t>s</w:t>
      </w:r>
      <w:r w:rsidRPr="001E3CB9">
        <w:rPr>
          <w:lang w:eastAsia="en-GB"/>
        </w:rPr>
        <w:t xml:space="preserve"> that </w:t>
      </w:r>
      <w:r>
        <w:rPr>
          <w:lang w:eastAsia="en-GB"/>
        </w:rPr>
        <w:t>Regulations</w:t>
      </w:r>
      <w:r w:rsidRPr="001E3CB9">
        <w:rPr>
          <w:lang w:eastAsia="en-GB"/>
        </w:rPr>
        <w:t xml:space="preserve"> 10 to 15 do not apply to an operator of a </w:t>
      </w:r>
      <w:r>
        <w:rPr>
          <w:lang w:eastAsia="en-GB"/>
        </w:rPr>
        <w:t>QNF</w:t>
      </w:r>
      <w:r w:rsidRPr="001E3CB9">
        <w:rPr>
          <w:lang w:eastAsia="en-GB"/>
        </w:rPr>
        <w:t xml:space="preserve"> in respect of </w:t>
      </w:r>
      <w:r>
        <w:rPr>
          <w:lang w:eastAsia="en-GB"/>
        </w:rPr>
        <w:t xml:space="preserve">QNM which has been transferred to </w:t>
      </w:r>
      <w:r w:rsidRPr="001E3CB9">
        <w:rPr>
          <w:lang w:eastAsia="en-GB"/>
        </w:rPr>
        <w:t xml:space="preserve">retained or conditioned waste that is stored or treated at the </w:t>
      </w:r>
      <w:r>
        <w:rPr>
          <w:lang w:eastAsia="en-GB"/>
        </w:rPr>
        <w:t>QNF</w:t>
      </w:r>
      <w:r w:rsidRPr="001E3CB9">
        <w:rPr>
          <w:lang w:eastAsia="en-GB"/>
        </w:rPr>
        <w:t xml:space="preserve">. Instead, the operator is to keep accounting records for the conditioned and retained waste which satisfy the requirements of </w:t>
      </w:r>
      <w:r>
        <w:rPr>
          <w:lang w:eastAsia="en-GB"/>
        </w:rPr>
        <w:t>Regulation</w:t>
      </w:r>
      <w:r w:rsidRPr="001E3CB9">
        <w:rPr>
          <w:lang w:eastAsia="en-GB"/>
        </w:rPr>
        <w:t xml:space="preserve"> 29.</w:t>
      </w:r>
      <w:r>
        <w:rPr>
          <w:lang w:eastAsia="en-GB"/>
        </w:rPr>
        <w:t xml:space="preserve"> </w:t>
      </w:r>
    </w:p>
    <w:p w14:paraId="14B695FD" w14:textId="4C492A32" w:rsidR="00B50616" w:rsidRDefault="003F3C6F" w:rsidP="004F261E">
      <w:pPr>
        <w:pStyle w:val="NumList2"/>
        <w:numPr>
          <w:ilvl w:val="1"/>
          <w:numId w:val="13"/>
        </w:numPr>
        <w:ind w:left="1276"/>
        <w:rPr>
          <w:lang w:eastAsia="en-GB"/>
        </w:rPr>
      </w:pPr>
      <w:r>
        <w:rPr>
          <w:lang w:eastAsia="en-GB"/>
        </w:rPr>
        <w:lastRenderedPageBreak/>
        <w:t xml:space="preserve">Inspectors should note that this QNM is still subject to safeguards, under a reduced reporting regime, and must be adequately accounted for and controlled. The quantity of QNM reported in retained or conditioned waste should not change without that QNM being transferred back onto the main QNM account, adjusted or corrected and then reported as transferred back into retained or conditioned waste. Appropriate </w:t>
      </w:r>
      <w:r w:rsidRPr="00D31538">
        <w:rPr>
          <w:lang w:eastAsia="en-GB"/>
        </w:rPr>
        <w:t xml:space="preserve">operating data used to determine </w:t>
      </w:r>
      <w:r>
        <w:rPr>
          <w:lang w:eastAsia="en-GB"/>
        </w:rPr>
        <w:t xml:space="preserve">such </w:t>
      </w:r>
      <w:r w:rsidRPr="00D31538">
        <w:rPr>
          <w:lang w:eastAsia="en-GB"/>
        </w:rPr>
        <w:t>changes</w:t>
      </w:r>
      <w:r>
        <w:rPr>
          <w:lang w:eastAsia="en-GB"/>
        </w:rPr>
        <w:t xml:space="preserve"> should be made available to the inspector when requested.</w:t>
      </w:r>
      <w:r w:rsidR="00AD22F6">
        <w:rPr>
          <w:lang w:eastAsia="en-GB"/>
        </w:rPr>
        <w:t xml:space="preserve"> </w:t>
      </w:r>
    </w:p>
    <w:p w14:paraId="0183E937" w14:textId="53104F5C" w:rsidR="003F3C6F" w:rsidRPr="001E3CB9" w:rsidRDefault="00B50616" w:rsidP="004F261E">
      <w:pPr>
        <w:pStyle w:val="NumList2"/>
        <w:numPr>
          <w:ilvl w:val="1"/>
          <w:numId w:val="13"/>
        </w:numPr>
        <w:ind w:left="1276"/>
        <w:rPr>
          <w:lang w:eastAsia="en-GB"/>
        </w:rPr>
      </w:pPr>
      <w:r>
        <w:rPr>
          <w:lang w:eastAsia="en-GB"/>
        </w:rPr>
        <w:t>The total inventory on the</w:t>
      </w:r>
      <w:r w:rsidR="00AD22F6">
        <w:rPr>
          <w:lang w:eastAsia="en-GB"/>
        </w:rPr>
        <w:t xml:space="preserve"> </w:t>
      </w:r>
      <w:r w:rsidR="00AD22F6" w:rsidRPr="00AD22F6">
        <w:rPr>
          <w:lang w:eastAsia="en-GB"/>
        </w:rPr>
        <w:t>stock list of conditioned and retained waste</w:t>
      </w:r>
      <w:r w:rsidR="00AD22F6">
        <w:rPr>
          <w:lang w:eastAsia="en-GB"/>
        </w:rPr>
        <w:t xml:space="preserve"> should be equal to </w:t>
      </w:r>
      <w:r>
        <w:rPr>
          <w:lang w:eastAsia="en-GB"/>
        </w:rPr>
        <w:t>the quantity of QNM transferred into retained and conditioned waste (TW/TC inventory change codes) minus the quantity of QNM removed from retained and conditioned waste back onto the main QNM inventory (FW/FC inventory change codes).</w:t>
      </w:r>
    </w:p>
    <w:p w14:paraId="33BA1E74" w14:textId="5205643D" w:rsidR="00513C9B" w:rsidRPr="001E3CB9" w:rsidRDefault="003F3C6F" w:rsidP="004A31C3">
      <w:pPr>
        <w:pStyle w:val="NumList2"/>
        <w:rPr>
          <w:lang w:eastAsia="en-GB"/>
        </w:rPr>
      </w:pPr>
      <w:r w:rsidRPr="001E3CB9">
        <w:rPr>
          <w:lang w:eastAsia="en-GB"/>
        </w:rPr>
        <w:t>Set</w:t>
      </w:r>
      <w:r>
        <w:rPr>
          <w:lang w:eastAsia="en-GB"/>
        </w:rPr>
        <w:t>s</w:t>
      </w:r>
      <w:r w:rsidRPr="001E3CB9">
        <w:rPr>
          <w:lang w:eastAsia="en-GB"/>
        </w:rPr>
        <w:t xml:space="preserve"> out the reporting requirements placed on the operator when transferring conditioned waste. The requirements on the operator are outlined in </w:t>
      </w:r>
      <w:r>
        <w:rPr>
          <w:lang w:eastAsia="en-GB"/>
        </w:rPr>
        <w:t>Regulation</w:t>
      </w:r>
      <w:r w:rsidRPr="001E3CB9">
        <w:rPr>
          <w:lang w:eastAsia="en-GB"/>
        </w:rPr>
        <w:t xml:space="preserve"> 30.</w:t>
      </w:r>
    </w:p>
    <w:p w14:paraId="4159BAAD" w14:textId="77777777" w:rsidR="003F3C6F" w:rsidRPr="001E3CB9" w:rsidRDefault="003F3C6F" w:rsidP="00DD7520">
      <w:pPr>
        <w:pStyle w:val="Heading2"/>
        <w:rPr>
          <w:lang w:eastAsia="en-GB"/>
        </w:rPr>
      </w:pPr>
      <w:r w:rsidRPr="001E3CB9">
        <w:rPr>
          <w:lang w:eastAsia="en-GB"/>
        </w:rPr>
        <w:t xml:space="preserve">Part 7 (Qualifying nuclear facility with limited operation and exemption - </w:t>
      </w:r>
      <w:r>
        <w:rPr>
          <w:lang w:eastAsia="en-GB"/>
        </w:rPr>
        <w:t>Regulations</w:t>
      </w:r>
      <w:r w:rsidRPr="001E3CB9">
        <w:rPr>
          <w:lang w:eastAsia="en-GB"/>
        </w:rPr>
        <w:t xml:space="preserve"> 31 and 32)</w:t>
      </w:r>
    </w:p>
    <w:p w14:paraId="2A5B60EE" w14:textId="77777777" w:rsidR="003F3C6F" w:rsidRPr="001E3CB9" w:rsidRDefault="003F3C6F" w:rsidP="004A31C3">
      <w:pPr>
        <w:pStyle w:val="F9-Paragraph"/>
      </w:pPr>
      <w:r w:rsidRPr="001E3CB9">
        <w:t>A qualifying nuclear facility with limited operation</w:t>
      </w:r>
      <w:r>
        <w:t xml:space="preserve"> (QNFLO)</w:t>
      </w:r>
      <w:r w:rsidRPr="001E3CB9">
        <w:t xml:space="preserve"> is defined as:</w:t>
      </w:r>
    </w:p>
    <w:p w14:paraId="0EA25B63" w14:textId="77777777" w:rsidR="003F3C6F" w:rsidRPr="001E3CB9" w:rsidRDefault="003F3C6F" w:rsidP="004F261E">
      <w:pPr>
        <w:pStyle w:val="NumList2"/>
        <w:numPr>
          <w:ilvl w:val="1"/>
          <w:numId w:val="14"/>
        </w:numPr>
        <w:ind w:left="1276"/>
      </w:pPr>
      <w:r w:rsidRPr="001E3CB9">
        <w:t xml:space="preserve">A </w:t>
      </w:r>
      <w:r>
        <w:t xml:space="preserve">QNF </w:t>
      </w:r>
      <w:r w:rsidRPr="001E3CB9">
        <w:t xml:space="preserve">in which less than one effective kilogram of </w:t>
      </w:r>
      <w:r>
        <w:t>QNM</w:t>
      </w:r>
      <w:r w:rsidRPr="001E3CB9">
        <w:t xml:space="preserve"> is produced, processed, stored, handled, disposed of or otherwise used</w:t>
      </w:r>
      <w:r>
        <w:t>, and;</w:t>
      </w:r>
    </w:p>
    <w:p w14:paraId="05989F0A" w14:textId="77777777" w:rsidR="003F3C6F" w:rsidRPr="001E3CB9" w:rsidRDefault="003F3C6F" w:rsidP="00DD7520">
      <w:pPr>
        <w:pStyle w:val="NumList2"/>
      </w:pPr>
      <w:r w:rsidRPr="001E3CB9">
        <w:t>Is not a reactor, a critical facility, a conversion plant, a fabrication plant, a reprocessing plant, an isotope separation plant nor a separate storage installation.</w:t>
      </w:r>
    </w:p>
    <w:p w14:paraId="4B19ED57" w14:textId="77777777" w:rsidR="003F3C6F" w:rsidRPr="001E3CB9" w:rsidRDefault="003F3C6F" w:rsidP="004A31C3">
      <w:pPr>
        <w:pStyle w:val="F9-Paragraph"/>
      </w:pPr>
      <w:r w:rsidRPr="001E3CB9">
        <w:t xml:space="preserve">If an operator of a </w:t>
      </w:r>
      <w:r>
        <w:t>QNF</w:t>
      </w:r>
      <w:r w:rsidRPr="001E3CB9">
        <w:t xml:space="preserve"> believes that the facility satisfies the definition of a </w:t>
      </w:r>
      <w:r>
        <w:t>QNFLO,</w:t>
      </w:r>
      <w:r w:rsidRPr="001E3CB9">
        <w:t xml:space="preserve"> they can apply to the ONR</w:t>
      </w:r>
      <w:r>
        <w:t xml:space="preserve"> to</w:t>
      </w:r>
      <w:r w:rsidRPr="001E3CB9">
        <w:t xml:space="preserve"> </w:t>
      </w:r>
      <w:r>
        <w:t>request a reporting regime with limited reporting requirements provided for in Regulation 31. The requirements of NSR19 Regulations 4, 12 to 15 and 21 to 24 do not apply to operators for whom the limited reporting regime has been granted.</w:t>
      </w:r>
    </w:p>
    <w:p w14:paraId="3CB310FA" w14:textId="77777777" w:rsidR="003F3C6F" w:rsidRPr="007F53C0" w:rsidRDefault="003F3C6F" w:rsidP="004A31C3">
      <w:pPr>
        <w:pStyle w:val="F9-Paragraph"/>
      </w:pPr>
      <w:r w:rsidRPr="001E3CB9">
        <w:t xml:space="preserve">ONR may impose additional requirements concerning the form and frequency </w:t>
      </w:r>
      <w:r w:rsidRPr="007F53C0">
        <w:t xml:space="preserve">of reports under Regulation 31. The operator must supply evidence to show compliance with any additional requirements imposed upon it by ONR. </w:t>
      </w:r>
    </w:p>
    <w:p w14:paraId="659966D8" w14:textId="12CD3E39" w:rsidR="003E4246" w:rsidRPr="007F53C0" w:rsidRDefault="008C0542" w:rsidP="004A31C3">
      <w:pPr>
        <w:pStyle w:val="F9-Paragraph"/>
      </w:pPr>
      <w:r w:rsidRPr="007F53C0">
        <w:t>Where a QNFLO either imports QNM into the UK or exports QNM out of the UK, they should inform ONR within 14 days of the transfer taking place, as</w:t>
      </w:r>
      <w:r w:rsidRPr="008C0542">
        <w:t xml:space="preserve"> required by the addendum to </w:t>
      </w:r>
      <w:r>
        <w:t>regulation 31</w:t>
      </w:r>
      <w:r w:rsidRPr="008C0542">
        <w:t xml:space="preserve"> of NSR19</w:t>
      </w:r>
      <w:r>
        <w:t xml:space="preserve"> </w:t>
      </w:r>
      <w:sdt>
        <w:sdtPr>
          <w:id w:val="846220916"/>
          <w:citation/>
        </w:sdtPr>
        <w:sdtEndPr/>
        <w:sdtContent>
          <w:r w:rsidR="007F53C0">
            <w:fldChar w:fldCharType="begin"/>
          </w:r>
          <w:r w:rsidR="007F53C0">
            <w:instrText xml:space="preserve"> CITATION ONR25 \l 2057 </w:instrText>
          </w:r>
          <w:r w:rsidR="007F53C0">
            <w:fldChar w:fldCharType="separate"/>
          </w:r>
          <w:r w:rsidR="00DA6493" w:rsidRPr="00DA6493">
            <w:rPr>
              <w:noProof/>
            </w:rPr>
            <w:t>[7]</w:t>
          </w:r>
          <w:r w:rsidR="007F53C0">
            <w:fldChar w:fldCharType="end"/>
          </w:r>
        </w:sdtContent>
      </w:sdt>
      <w:r w:rsidRPr="008C0542">
        <w:t>.</w:t>
      </w:r>
    </w:p>
    <w:p w14:paraId="42B051C3" w14:textId="77777777" w:rsidR="004A31C3" w:rsidRDefault="004A31C3" w:rsidP="004A31C3">
      <w:pPr>
        <w:pStyle w:val="F9-Paragraph"/>
        <w:sectPr w:rsidR="004A31C3" w:rsidSect="003508FB">
          <w:pgSz w:w="11906" w:h="16838" w:code="9"/>
          <w:pgMar w:top="1440" w:right="1440" w:bottom="1440" w:left="1440" w:header="397" w:footer="397" w:gutter="0"/>
          <w:cols w:space="312"/>
          <w:docGrid w:linePitch="360"/>
        </w:sectPr>
      </w:pPr>
    </w:p>
    <w:p w14:paraId="3C9F0FA7" w14:textId="77777777" w:rsidR="003F3C6F" w:rsidRDefault="003F3C6F" w:rsidP="004A31C3">
      <w:pPr>
        <w:pStyle w:val="F9-Paragraph"/>
      </w:pPr>
      <w:r>
        <w:lastRenderedPageBreak/>
        <w:t>Regulation 32 sets out two exemptions:</w:t>
      </w:r>
    </w:p>
    <w:p w14:paraId="3D28426D" w14:textId="77777777" w:rsidR="003F3C6F" w:rsidRDefault="003F3C6F" w:rsidP="004F261E">
      <w:pPr>
        <w:pStyle w:val="NumList2"/>
        <w:numPr>
          <w:ilvl w:val="1"/>
          <w:numId w:val="15"/>
        </w:numPr>
        <w:ind w:left="1276"/>
      </w:pPr>
      <w:r>
        <w:t>NSR19</w:t>
      </w:r>
      <w:r w:rsidRPr="001E3CB9">
        <w:t xml:space="preserve"> do</w:t>
      </w:r>
      <w:r>
        <w:t>es</w:t>
      </w:r>
      <w:r w:rsidRPr="001E3CB9">
        <w:t xml:space="preserve"> not apply to a person </w:t>
      </w:r>
      <w:r>
        <w:t>in respect of</w:t>
      </w:r>
      <w:r w:rsidRPr="001E3CB9">
        <w:t xml:space="preserve"> end products which are used for non-nuclear purposes, and which incorporate </w:t>
      </w:r>
      <w:r>
        <w:t>QNM</w:t>
      </w:r>
      <w:r w:rsidRPr="001E3CB9">
        <w:t xml:space="preserve"> which is in</w:t>
      </w:r>
      <w:r>
        <w:t xml:space="preserve"> practice irrecoverable.</w:t>
      </w:r>
      <w:r w:rsidRPr="001E3CB9">
        <w:t xml:space="preserve"> </w:t>
      </w:r>
    </w:p>
    <w:p w14:paraId="55CD932B" w14:textId="17E8705F" w:rsidR="00513C9B" w:rsidRDefault="003F3C6F" w:rsidP="004A31C3">
      <w:pPr>
        <w:pStyle w:val="NumList2"/>
      </w:pPr>
      <w:r>
        <w:t>NSR19</w:t>
      </w:r>
      <w:r w:rsidRPr="001E3CB9">
        <w:t xml:space="preserve"> do</w:t>
      </w:r>
      <w:r>
        <w:t>es</w:t>
      </w:r>
      <w:r w:rsidRPr="001E3CB9">
        <w:t xml:space="preserve"> not apply to a relevant educational institution which holds an amount equal to 0.01 effective kilograms or less of uranium or thorium where, in the case of uranium, the isotopes 235 and 233 comprise 1% or less of the total mass of uranium.</w:t>
      </w:r>
    </w:p>
    <w:p w14:paraId="0562FEEA" w14:textId="77777777" w:rsidR="003F3C6F" w:rsidRPr="001E3CB9" w:rsidRDefault="003F3C6F" w:rsidP="00DD7520">
      <w:pPr>
        <w:pStyle w:val="Heading2"/>
        <w:rPr>
          <w:lang w:eastAsia="en-GB"/>
        </w:rPr>
      </w:pPr>
      <w:r w:rsidRPr="001E3CB9">
        <w:rPr>
          <w:lang w:eastAsia="en-GB"/>
        </w:rPr>
        <w:t xml:space="preserve">Part 8 (Civil activities - </w:t>
      </w:r>
      <w:r>
        <w:rPr>
          <w:lang w:eastAsia="en-GB"/>
        </w:rPr>
        <w:t>Regulations</w:t>
      </w:r>
      <w:r w:rsidRPr="001E3CB9">
        <w:rPr>
          <w:lang w:eastAsia="en-GB"/>
        </w:rPr>
        <w:t xml:space="preserve"> 33 and 34)</w:t>
      </w:r>
    </w:p>
    <w:p w14:paraId="41D9F9B3" w14:textId="77777777" w:rsidR="003F3C6F" w:rsidRDefault="003F3C6F" w:rsidP="004A31C3">
      <w:pPr>
        <w:pStyle w:val="F9-Paragraph"/>
      </w:pPr>
      <w:r>
        <w:t>NSR19</w:t>
      </w:r>
      <w:r w:rsidRPr="001E3CB9">
        <w:t xml:space="preserve"> impose</w:t>
      </w:r>
      <w:r>
        <w:t>s</w:t>
      </w:r>
      <w:r w:rsidRPr="001E3CB9">
        <w:t xml:space="preserve"> duties on the operator if the operator wishes to remove </w:t>
      </w:r>
      <w:r>
        <w:t>QNM</w:t>
      </w:r>
      <w:r w:rsidRPr="001E3CB9">
        <w:t xml:space="preserve"> from civil activities. Before </w:t>
      </w:r>
      <w:r>
        <w:t>QNM</w:t>
      </w:r>
      <w:r w:rsidRPr="001E3CB9">
        <w:t xml:space="preserve"> can be removed from civil activities, </w:t>
      </w:r>
      <w:r>
        <w:t>ONR must provide written consent</w:t>
      </w:r>
      <w:r w:rsidRPr="001E3CB9">
        <w:t xml:space="preserve">. The operator must use the form set out in Part 12 of Schedule 1 to provide advanced notification to ONR of the proposed withdrawal. This application must be received by ONR at least 14 days before the day on which the </w:t>
      </w:r>
      <w:r>
        <w:t>QNM</w:t>
      </w:r>
      <w:r w:rsidRPr="001E3CB9">
        <w:t xml:space="preserve"> is to be withdrawn (</w:t>
      </w:r>
      <w:r>
        <w:t>Regulation</w:t>
      </w:r>
      <w:r w:rsidRPr="001E3CB9">
        <w:t xml:space="preserve"> 33).</w:t>
      </w:r>
    </w:p>
    <w:p w14:paraId="624D25B0" w14:textId="32B49EB6" w:rsidR="003F3C6F" w:rsidRPr="001E3CB9" w:rsidRDefault="003F3C6F" w:rsidP="004A31C3">
      <w:pPr>
        <w:pStyle w:val="F9-Paragraph"/>
      </w:pPr>
      <w:r>
        <w:t>In considering any request for withdrawal of QNM from safeguards, the inspector should note that whilst under the UKs VOA there is a legal right</w:t>
      </w:r>
      <w:r w:rsidRPr="00F3645C">
        <w:t xml:space="preserve"> to withdraw </w:t>
      </w:r>
      <w:r>
        <w:t>QNM</w:t>
      </w:r>
      <w:r w:rsidRPr="00F3645C">
        <w:t xml:space="preserve"> from safeguards for national security reasons, </w:t>
      </w:r>
      <w:r>
        <w:t>the UK has</w:t>
      </w:r>
      <w:r w:rsidRPr="00F3645C">
        <w:t xml:space="preserve"> </w:t>
      </w:r>
      <w:r>
        <w:t>stated in INFCIRC/570</w:t>
      </w:r>
      <w:r w:rsidR="00892629">
        <w:t xml:space="preserve"> </w:t>
      </w:r>
      <w:sdt>
        <w:sdtPr>
          <w:id w:val="-992177961"/>
          <w:citation/>
        </w:sdtPr>
        <w:sdtEndPr/>
        <w:sdtContent>
          <w:r w:rsidR="00892629">
            <w:fldChar w:fldCharType="begin"/>
          </w:r>
          <w:r w:rsidR="00892629">
            <w:instrText xml:space="preserve">CITATION IAE60 \l 2057 </w:instrText>
          </w:r>
          <w:r w:rsidR="00892629">
            <w:fldChar w:fldCharType="separate"/>
          </w:r>
          <w:r w:rsidR="00DA6493" w:rsidRPr="00DA6493">
            <w:rPr>
              <w:noProof/>
            </w:rPr>
            <w:t>[8]</w:t>
          </w:r>
          <w:r w:rsidR="00892629">
            <w:fldChar w:fldCharType="end"/>
          </w:r>
        </w:sdtContent>
      </w:sdt>
      <w:r>
        <w:t xml:space="preserve"> that</w:t>
      </w:r>
      <w:r w:rsidRPr="00F3645C">
        <w:t xml:space="preserve"> such withdrawals will be severely limited. Only small quantities of material not suitable for nuclear explosive purposes will be withdrawn </w:t>
      </w:r>
      <w:r w:rsidR="00D301A2">
        <w:t>(for example,</w:t>
      </w:r>
      <w:r w:rsidRPr="00F3645C">
        <w:t xml:space="preserve"> material purchased from civil manufacturers for such use at defence nuclear facilities as the calibration of instruments and radiography and shielding of radioactive sources)</w:t>
      </w:r>
      <w:r>
        <w:t>.</w:t>
      </w:r>
    </w:p>
    <w:p w14:paraId="22E6BFDD" w14:textId="382AA927" w:rsidR="00513C9B" w:rsidRDefault="003F3C6F" w:rsidP="004A31C3">
      <w:pPr>
        <w:pStyle w:val="F9-Paragraph"/>
      </w:pPr>
      <w:r>
        <w:t>Regulation</w:t>
      </w:r>
      <w:r w:rsidRPr="001E3CB9">
        <w:t xml:space="preserve"> 34 clarifies the scope of </w:t>
      </w:r>
      <w:r>
        <w:t>NSR19</w:t>
      </w:r>
      <w:r w:rsidRPr="001E3CB9">
        <w:t xml:space="preserve"> for </w:t>
      </w:r>
      <w:r>
        <w:t>QNF</w:t>
      </w:r>
      <w:r w:rsidRPr="001E3CB9">
        <w:t xml:space="preserve"> which are partly used for civil activities. </w:t>
      </w:r>
      <w:r>
        <w:t>NSR19</w:t>
      </w:r>
      <w:r w:rsidRPr="001E3CB9">
        <w:t xml:space="preserve"> appl</w:t>
      </w:r>
      <w:r>
        <w:t>ies</w:t>
      </w:r>
      <w:r w:rsidRPr="001E3CB9">
        <w:t xml:space="preserve"> to </w:t>
      </w:r>
      <w:r>
        <w:t>QNM</w:t>
      </w:r>
      <w:r w:rsidRPr="001E3CB9">
        <w:t xml:space="preserve"> used in civil activities but they do not apply to anything done for defence purposes</w:t>
      </w:r>
      <w:r>
        <w:t xml:space="preserve"> within the meaning of section 70 of </w:t>
      </w:r>
      <w:r w:rsidR="00892629">
        <w:t xml:space="preserve">the Energy Act 2013 (TEA13) </w:t>
      </w:r>
      <w:sdt>
        <w:sdtPr>
          <w:id w:val="-46540934"/>
          <w:citation/>
        </w:sdtPr>
        <w:sdtEndPr/>
        <w:sdtContent>
          <w:r w:rsidR="00892629">
            <w:fldChar w:fldCharType="begin"/>
          </w:r>
          <w:r w:rsidR="00892629">
            <w:instrText xml:space="preserve"> CITATION HMG142 \l 2057 </w:instrText>
          </w:r>
          <w:r w:rsidR="00892629">
            <w:fldChar w:fldCharType="separate"/>
          </w:r>
          <w:r w:rsidR="00DA6493" w:rsidRPr="00DA6493">
            <w:rPr>
              <w:noProof/>
            </w:rPr>
            <w:t>[9]</w:t>
          </w:r>
          <w:r w:rsidR="00892629">
            <w:fldChar w:fldCharType="end"/>
          </w:r>
        </w:sdtContent>
      </w:sdt>
      <w:r w:rsidRPr="001E3CB9">
        <w:t>.</w:t>
      </w:r>
    </w:p>
    <w:p w14:paraId="7E524F46" w14:textId="77777777" w:rsidR="003F3C6F" w:rsidRPr="001E3CB9" w:rsidRDefault="003F3C6F" w:rsidP="00DD7520">
      <w:pPr>
        <w:pStyle w:val="Heading2"/>
        <w:rPr>
          <w:lang w:eastAsia="en-GB"/>
        </w:rPr>
      </w:pPr>
      <w:r w:rsidRPr="001E3CB9">
        <w:rPr>
          <w:lang w:eastAsia="en-GB"/>
        </w:rPr>
        <w:t xml:space="preserve">Part 9 (Communication - </w:t>
      </w:r>
      <w:r>
        <w:rPr>
          <w:lang w:eastAsia="en-GB"/>
        </w:rPr>
        <w:t>Regulation</w:t>
      </w:r>
      <w:r w:rsidRPr="001E3CB9">
        <w:rPr>
          <w:lang w:eastAsia="en-GB"/>
        </w:rPr>
        <w:t xml:space="preserve"> 35)</w:t>
      </w:r>
    </w:p>
    <w:p w14:paraId="2BBCEF6A" w14:textId="5DA68B1B" w:rsidR="00A401FA" w:rsidRDefault="003F3C6F" w:rsidP="004A31C3">
      <w:pPr>
        <w:pStyle w:val="F9-Paragraph"/>
      </w:pPr>
      <w:r>
        <w:t>Regulation</w:t>
      </w:r>
      <w:r w:rsidRPr="001E3CB9">
        <w:t xml:space="preserve"> 35 specifies the ways in which an operator can communicate </w:t>
      </w:r>
      <w:r>
        <w:t xml:space="preserve">the information </w:t>
      </w:r>
      <w:r w:rsidRPr="001E3CB9">
        <w:t xml:space="preserve">required by </w:t>
      </w:r>
      <w:r>
        <w:t>NSR19</w:t>
      </w:r>
      <w:r w:rsidRPr="001E3CB9">
        <w:t xml:space="preserve"> to the ONR.</w:t>
      </w:r>
    </w:p>
    <w:p w14:paraId="36EE2C0C" w14:textId="77777777" w:rsidR="004A31C3" w:rsidRDefault="004A31C3" w:rsidP="00DD7520">
      <w:pPr>
        <w:pStyle w:val="Heading2"/>
        <w:rPr>
          <w:lang w:eastAsia="en-GB"/>
        </w:rPr>
        <w:sectPr w:rsidR="004A31C3" w:rsidSect="003508FB">
          <w:pgSz w:w="11906" w:h="16838" w:code="9"/>
          <w:pgMar w:top="1440" w:right="1440" w:bottom="1440" w:left="1440" w:header="397" w:footer="397" w:gutter="0"/>
          <w:cols w:space="312"/>
          <w:docGrid w:linePitch="360"/>
        </w:sectPr>
      </w:pPr>
    </w:p>
    <w:p w14:paraId="765DBE8A" w14:textId="77777777" w:rsidR="003F3C6F" w:rsidRPr="001E3CB9" w:rsidRDefault="003F3C6F" w:rsidP="00DD7520">
      <w:pPr>
        <w:pStyle w:val="Heading2"/>
        <w:rPr>
          <w:lang w:eastAsia="en-GB"/>
        </w:rPr>
      </w:pPr>
      <w:r w:rsidRPr="001E3CB9">
        <w:rPr>
          <w:lang w:eastAsia="en-GB"/>
        </w:rPr>
        <w:lastRenderedPageBreak/>
        <w:t xml:space="preserve">Part 10 (Safeguards equipment - </w:t>
      </w:r>
      <w:r>
        <w:rPr>
          <w:lang w:eastAsia="en-GB"/>
        </w:rPr>
        <w:t>Regulations</w:t>
      </w:r>
      <w:r w:rsidRPr="001E3CB9">
        <w:rPr>
          <w:lang w:eastAsia="en-GB"/>
        </w:rPr>
        <w:t xml:space="preserve"> 36 - 38)</w:t>
      </w:r>
    </w:p>
    <w:p w14:paraId="0563BD7B" w14:textId="77777777" w:rsidR="003F3C6F" w:rsidRPr="001E3CB9" w:rsidRDefault="003F3C6F" w:rsidP="004A31C3">
      <w:pPr>
        <w:pStyle w:val="F9-Paragraph"/>
      </w:pPr>
      <w:r>
        <w:t>NSR19</w:t>
      </w:r>
      <w:r w:rsidRPr="001E3CB9">
        <w:t xml:space="preserve"> require</w:t>
      </w:r>
      <w:r>
        <w:t>s</w:t>
      </w:r>
      <w:r w:rsidRPr="001E3CB9">
        <w:t xml:space="preserve"> the operator to install suitable safeguards equipment in each </w:t>
      </w:r>
      <w:r>
        <w:t>QNF</w:t>
      </w:r>
      <w:r w:rsidRPr="001E3CB9">
        <w:t xml:space="preserve"> if so requested by the ONR. </w:t>
      </w:r>
      <w:r>
        <w:t>ONR does not envisage routine use of its own safeguards equipment as part of regulating compliance with NSR19. If the requirement were to arise, t</w:t>
      </w:r>
      <w:r w:rsidRPr="001E3CB9">
        <w:t xml:space="preserve">he </w:t>
      </w:r>
      <w:r>
        <w:t>inspector</w:t>
      </w:r>
      <w:r w:rsidRPr="001E3CB9">
        <w:t xml:space="preserve"> should note that a PSP may impose requirements on an operator in relation to safeguards equipment (</w:t>
      </w:r>
      <w:r>
        <w:t>Regulation</w:t>
      </w:r>
      <w:r w:rsidRPr="001E3CB9">
        <w:t xml:space="preserve"> 36).</w:t>
      </w:r>
      <w:r>
        <w:t xml:space="preserve"> In any event ONR would engage with the operator throughout the process of installation to ensure the equipment will achieve the desired NMACS outcomes.</w:t>
      </w:r>
    </w:p>
    <w:p w14:paraId="5A3ABDA9" w14:textId="4CD6FBCB" w:rsidR="00A401FA" w:rsidRDefault="003F3C6F" w:rsidP="004A31C3">
      <w:pPr>
        <w:pStyle w:val="F9-Paragraph"/>
      </w:pPr>
      <w:r w:rsidRPr="001E3CB9">
        <w:t xml:space="preserve">If safeguards equipment is installed in a </w:t>
      </w:r>
      <w:r>
        <w:t>QNF</w:t>
      </w:r>
      <w:r w:rsidRPr="001E3CB9">
        <w:t xml:space="preserve">, the operator must permit </w:t>
      </w:r>
      <w:r>
        <w:t>inspector</w:t>
      </w:r>
      <w:r w:rsidRPr="001E3CB9">
        <w:t>s to have reasonable access to that equipment.</w:t>
      </w:r>
      <w:r>
        <w:t xml:space="preserve"> Any maintenance or calibration liabilities for ONR owned equipment would lie with ONR. </w:t>
      </w:r>
    </w:p>
    <w:p w14:paraId="018993EA" w14:textId="77777777" w:rsidR="003F3C6F" w:rsidRPr="001E3CB9" w:rsidRDefault="003F3C6F" w:rsidP="00DD7520">
      <w:pPr>
        <w:pStyle w:val="Heading2"/>
        <w:rPr>
          <w:lang w:eastAsia="en-GB"/>
        </w:rPr>
      </w:pPr>
      <w:r w:rsidRPr="001E3CB9">
        <w:rPr>
          <w:lang w:eastAsia="en-GB"/>
        </w:rPr>
        <w:t xml:space="preserve">Part 11 (The ONR - </w:t>
      </w:r>
      <w:r>
        <w:rPr>
          <w:lang w:eastAsia="en-GB"/>
        </w:rPr>
        <w:t>Regulations</w:t>
      </w:r>
      <w:r w:rsidRPr="001E3CB9">
        <w:rPr>
          <w:lang w:eastAsia="en-GB"/>
        </w:rPr>
        <w:t xml:space="preserve"> 39 - 42)</w:t>
      </w:r>
    </w:p>
    <w:p w14:paraId="15FC1635" w14:textId="77777777" w:rsidR="003F3C6F" w:rsidRPr="001E3CB9" w:rsidRDefault="003F3C6F" w:rsidP="004A31C3">
      <w:pPr>
        <w:pStyle w:val="F9-Paragraph"/>
      </w:pPr>
      <w:r>
        <w:t>This section of NSR19</w:t>
      </w:r>
      <w:r w:rsidRPr="001E3CB9">
        <w:t xml:space="preserve"> outlines </w:t>
      </w:r>
      <w:r>
        <w:t>potential</w:t>
      </w:r>
      <w:r w:rsidRPr="001E3CB9">
        <w:t xml:space="preserve"> activities ONR </w:t>
      </w:r>
      <w:r>
        <w:t xml:space="preserve">can </w:t>
      </w:r>
      <w:r w:rsidRPr="001E3CB9">
        <w:t>undertake on site to assess compliance with the requirements by the operator. The ONR may:</w:t>
      </w:r>
    </w:p>
    <w:p w14:paraId="02ECAA74" w14:textId="77777777" w:rsidR="003F3C6F" w:rsidRPr="001E3CB9" w:rsidRDefault="003F3C6F" w:rsidP="004F261E">
      <w:pPr>
        <w:pStyle w:val="NumList2"/>
        <w:numPr>
          <w:ilvl w:val="1"/>
          <w:numId w:val="16"/>
        </w:numPr>
        <w:ind w:left="1276"/>
      </w:pPr>
      <w:r w:rsidRPr="001E3CB9">
        <w:t>Examine records kept by the operator.</w:t>
      </w:r>
    </w:p>
    <w:p w14:paraId="4C53CFC9" w14:textId="77777777" w:rsidR="003F3C6F" w:rsidRPr="001E3CB9" w:rsidRDefault="003F3C6F" w:rsidP="00DD7520">
      <w:pPr>
        <w:pStyle w:val="NumList2"/>
      </w:pPr>
      <w:r w:rsidRPr="001E3CB9">
        <w:t xml:space="preserve">Make independent measurements of </w:t>
      </w:r>
      <w:r>
        <w:t>QNM</w:t>
      </w:r>
      <w:r w:rsidRPr="001E3CB9">
        <w:t>.</w:t>
      </w:r>
    </w:p>
    <w:p w14:paraId="46573796" w14:textId="77777777" w:rsidR="003F3C6F" w:rsidRPr="001E3CB9" w:rsidRDefault="003F3C6F" w:rsidP="00DD7520">
      <w:pPr>
        <w:pStyle w:val="NumList2"/>
      </w:pPr>
      <w:r w:rsidRPr="001E3CB9">
        <w:t>Apply and make use of surveillance and containment measures.</w:t>
      </w:r>
    </w:p>
    <w:p w14:paraId="1AFC5B53" w14:textId="77777777" w:rsidR="003F3C6F" w:rsidRPr="001E3CB9" w:rsidRDefault="003F3C6F" w:rsidP="00DD7520">
      <w:pPr>
        <w:pStyle w:val="NumList2"/>
      </w:pPr>
      <w:r w:rsidRPr="001E3CB9">
        <w:t>Observe the taking of samples at key measurement points.</w:t>
      </w:r>
    </w:p>
    <w:p w14:paraId="5E482CDB" w14:textId="77777777" w:rsidR="003F3C6F" w:rsidRPr="001E3CB9" w:rsidRDefault="003F3C6F" w:rsidP="00DD7520">
      <w:pPr>
        <w:pStyle w:val="NumList2"/>
      </w:pPr>
      <w:r w:rsidRPr="001E3CB9">
        <w:t>Observe the treatment and analysis of samples and obtain duplicates of samples.</w:t>
      </w:r>
    </w:p>
    <w:p w14:paraId="11EDC61F" w14:textId="77777777" w:rsidR="003F3C6F" w:rsidRPr="001E3CB9" w:rsidRDefault="003F3C6F" w:rsidP="00DD7520">
      <w:pPr>
        <w:pStyle w:val="NumList2"/>
      </w:pPr>
      <w:r w:rsidRPr="001E3CB9">
        <w:t>Verify the functioning and calibration of an operator’s equipment; and</w:t>
      </w:r>
    </w:p>
    <w:p w14:paraId="69D650B3" w14:textId="77777777" w:rsidR="003F3C6F" w:rsidRPr="001E3CB9" w:rsidRDefault="003F3C6F" w:rsidP="00DD7520">
      <w:pPr>
        <w:pStyle w:val="NumList2"/>
      </w:pPr>
      <w:r w:rsidRPr="001E3CB9">
        <w:t xml:space="preserve">Make such observations or measurements as necessary to verify the accuracy of </w:t>
      </w:r>
      <w:r>
        <w:t>submitted design information</w:t>
      </w:r>
      <w:r w:rsidRPr="001E3CB9">
        <w:t>.</w:t>
      </w:r>
    </w:p>
    <w:p w14:paraId="5DE2E121" w14:textId="4341348E" w:rsidR="003F3C6F" w:rsidRDefault="003F3C6F" w:rsidP="004A31C3">
      <w:pPr>
        <w:pStyle w:val="F9-Paragraph"/>
      </w:pPr>
      <w:r w:rsidRPr="001E3CB9">
        <w:t>It should be noted that the above list</w:t>
      </w:r>
      <w:r>
        <w:t xml:space="preserve"> has been taken from Part 11 of NSR19 and is not exhaustive.</w:t>
      </w:r>
      <w:r w:rsidRPr="001E3CB9">
        <w:t xml:space="preserve"> </w:t>
      </w:r>
      <w:r>
        <w:t>T</w:t>
      </w:r>
      <w:r w:rsidRPr="001E3CB9">
        <w:t xml:space="preserve">he </w:t>
      </w:r>
      <w:r w:rsidR="00C30264">
        <w:t>i</w:t>
      </w:r>
      <w:r>
        <w:t>nspector</w:t>
      </w:r>
      <w:r w:rsidRPr="001E3CB9">
        <w:t xml:space="preserve"> may use their discretion to determine what is necessary to assess</w:t>
      </w:r>
      <w:r>
        <w:t xml:space="preserve"> an operator’s</w:t>
      </w:r>
      <w:r w:rsidRPr="001E3CB9">
        <w:t xml:space="preserve"> compliance.</w:t>
      </w:r>
      <w:r>
        <w:t xml:space="preserve"> </w:t>
      </w:r>
    </w:p>
    <w:p w14:paraId="63E3A3BA" w14:textId="583F9AE5" w:rsidR="003F3C6F" w:rsidRDefault="003F3C6F" w:rsidP="004A31C3">
      <w:pPr>
        <w:pStyle w:val="F9-Paragraph"/>
      </w:pPr>
      <w:r>
        <w:t>Schedule 8 of TEA</w:t>
      </w:r>
      <w:r w:rsidR="00892629">
        <w:t>13</w:t>
      </w:r>
      <w:r>
        <w:t xml:space="preserve"> provides further information on the powers that inspectors have been legally authorised with.</w:t>
      </w:r>
    </w:p>
    <w:p w14:paraId="5FC199FF" w14:textId="78D05FC0" w:rsidR="00A401FA" w:rsidRDefault="003F3C6F" w:rsidP="004A31C3">
      <w:pPr>
        <w:pStyle w:val="F9-Paragraph"/>
      </w:pPr>
      <w:r>
        <w:t>NSR19</w:t>
      </w:r>
      <w:r w:rsidRPr="001E3CB9">
        <w:t xml:space="preserve"> require</w:t>
      </w:r>
      <w:r>
        <w:t>s</w:t>
      </w:r>
      <w:r w:rsidRPr="001E3CB9">
        <w:t xml:space="preserve"> the operator, if so instructed by ONR, to send any samples of </w:t>
      </w:r>
      <w:r>
        <w:t>QNM</w:t>
      </w:r>
      <w:r w:rsidRPr="001E3CB9">
        <w:t xml:space="preserve"> which have been taken for ONR’s use to a location specified by ONR.</w:t>
      </w:r>
    </w:p>
    <w:p w14:paraId="63450088" w14:textId="77777777" w:rsidR="003F3C6F" w:rsidRPr="001E3CB9" w:rsidRDefault="003F3C6F" w:rsidP="00DD7520">
      <w:pPr>
        <w:pStyle w:val="Heading2"/>
        <w:rPr>
          <w:caps/>
          <w:lang w:eastAsia="en-GB"/>
        </w:rPr>
      </w:pPr>
      <w:r w:rsidRPr="001E3CB9">
        <w:rPr>
          <w:lang w:eastAsia="en-GB"/>
        </w:rPr>
        <w:lastRenderedPageBreak/>
        <w:t xml:space="preserve">Part 12 (Offences - </w:t>
      </w:r>
      <w:r>
        <w:rPr>
          <w:lang w:eastAsia="en-GB"/>
        </w:rPr>
        <w:t>Regulation</w:t>
      </w:r>
      <w:r w:rsidRPr="001E3CB9">
        <w:rPr>
          <w:lang w:eastAsia="en-GB"/>
        </w:rPr>
        <w:t xml:space="preserve"> 43)</w:t>
      </w:r>
    </w:p>
    <w:p w14:paraId="6932553E" w14:textId="77777777" w:rsidR="003F3C6F" w:rsidRDefault="003F3C6F" w:rsidP="004A31C3">
      <w:pPr>
        <w:pStyle w:val="F9-Paragraph"/>
      </w:pPr>
      <w:r w:rsidRPr="001E3CB9">
        <w:t xml:space="preserve">If an operator fails to comply with </w:t>
      </w:r>
      <w:r>
        <w:t xml:space="preserve">Regulation </w:t>
      </w:r>
      <w:r w:rsidRPr="001E3CB9">
        <w:t>43 then an offence will have been committed.</w:t>
      </w:r>
      <w:r>
        <w:t xml:space="preserve"> </w:t>
      </w:r>
    </w:p>
    <w:p w14:paraId="565AFB79" w14:textId="75AE487A" w:rsidR="00A401FA" w:rsidRDefault="003F3C6F" w:rsidP="004A31C3">
      <w:pPr>
        <w:pStyle w:val="F9-Paragraph"/>
      </w:pPr>
      <w:r>
        <w:t>ONR will use its Enforcement Management Model (EMM)</w:t>
      </w:r>
      <w:r w:rsidR="00892629">
        <w:t xml:space="preserve"> </w:t>
      </w:r>
      <w:sdt>
        <w:sdtPr>
          <w:id w:val="433330638"/>
          <w:citation/>
        </w:sdtPr>
        <w:sdtEndPr/>
        <w:sdtContent>
          <w:r w:rsidR="00892629">
            <w:fldChar w:fldCharType="begin"/>
          </w:r>
          <w:r w:rsidR="00892629">
            <w:instrText xml:space="preserve">CITATION ONR27 \l 2057 </w:instrText>
          </w:r>
          <w:r w:rsidR="00892629">
            <w:fldChar w:fldCharType="separate"/>
          </w:r>
          <w:r w:rsidR="00DA6493" w:rsidRPr="00DA6493">
            <w:rPr>
              <w:noProof/>
            </w:rPr>
            <w:t>[10]</w:t>
          </w:r>
          <w:r w:rsidR="00892629">
            <w:fldChar w:fldCharType="end"/>
          </w:r>
        </w:sdtContent>
      </w:sdt>
      <w:r w:rsidR="00892629">
        <w:t xml:space="preserve"> </w:t>
      </w:r>
      <w:r>
        <w:t xml:space="preserve">to determine the response to an operator failing to comply with NSR19, including committing an offence under Regulation 43. </w:t>
      </w:r>
    </w:p>
    <w:p w14:paraId="63CF5230" w14:textId="77777777" w:rsidR="003F3C6F" w:rsidRPr="00A744E3" w:rsidRDefault="003F3C6F" w:rsidP="00DD7520">
      <w:pPr>
        <w:pStyle w:val="Heading2"/>
        <w:rPr>
          <w:caps/>
          <w:lang w:eastAsia="en-GB"/>
        </w:rPr>
      </w:pPr>
      <w:r w:rsidRPr="00A744E3">
        <w:rPr>
          <w:lang w:eastAsia="en-GB"/>
        </w:rPr>
        <w:t xml:space="preserve">Part 13 (Notification to the Secretary of State - </w:t>
      </w:r>
      <w:r>
        <w:rPr>
          <w:lang w:eastAsia="en-GB"/>
        </w:rPr>
        <w:t>Regulations</w:t>
      </w:r>
      <w:r w:rsidRPr="00A744E3">
        <w:rPr>
          <w:lang w:eastAsia="en-GB"/>
        </w:rPr>
        <w:t xml:space="preserve"> 44 - 49)</w:t>
      </w:r>
    </w:p>
    <w:p w14:paraId="2390F340" w14:textId="79D56988" w:rsidR="003F3C6F" w:rsidRDefault="003F3C6F" w:rsidP="004A31C3">
      <w:pPr>
        <w:pStyle w:val="F9-Paragraph"/>
      </w:pPr>
      <w:r>
        <w:t>Regulations</w:t>
      </w:r>
      <w:r w:rsidRPr="001E3CB9">
        <w:t xml:space="preserve"> 44 to 49 govern the provision of information to the Secretary of State concerning</w:t>
      </w:r>
      <w:r>
        <w:t xml:space="preserve"> QNM, </w:t>
      </w:r>
      <w:r w:rsidRPr="001E3CB9">
        <w:t>non-nuclear material, equipment</w:t>
      </w:r>
      <w:r>
        <w:t>,</w:t>
      </w:r>
      <w:r w:rsidRPr="001E3CB9">
        <w:t xml:space="preserve"> and technology to which a relevant international agreement, as defined in </w:t>
      </w:r>
      <w:r>
        <w:t>t</w:t>
      </w:r>
      <w:r w:rsidRPr="00210154">
        <w:t xml:space="preserve">he Nuclear Safeguards (Fissionable Material and Relevant International Agreements) (EU Exit) </w:t>
      </w:r>
      <w:r>
        <w:t>Regulations</w:t>
      </w:r>
      <w:r w:rsidRPr="00210154">
        <w:t xml:space="preserve"> 201</w:t>
      </w:r>
      <w:r>
        <w:t>9</w:t>
      </w:r>
      <w:r w:rsidRPr="001E3CB9">
        <w:t>, applies.</w:t>
      </w:r>
    </w:p>
    <w:p w14:paraId="0AD0A2BD" w14:textId="19EBC980" w:rsidR="003F3C6F" w:rsidRPr="00F932F4" w:rsidRDefault="003F3C6F" w:rsidP="004A31C3">
      <w:pPr>
        <w:pStyle w:val="F9-Paragraph"/>
      </w:pPr>
      <w:r>
        <w:t>Regulation 44 states that the Secretary of State may provide written advice if operators have relevant items that should be reported on under one or more international agreements</w:t>
      </w:r>
      <w:r w:rsidRPr="00F932F4">
        <w:t xml:space="preserve">. </w:t>
      </w:r>
      <w:r w:rsidRPr="00F932F4">
        <w:rPr>
          <w:rFonts w:asciiTheme="minorHAnsi" w:eastAsiaTheme="minorHAnsi" w:hAnsiTheme="minorHAnsi" w:cstheme="minorBidi"/>
          <w:kern w:val="2"/>
          <w14:ligatures w14:val="standardContextual"/>
        </w:rPr>
        <w:t xml:space="preserve"> </w:t>
      </w:r>
      <w:r w:rsidRPr="00F932F4">
        <w:t xml:space="preserve">In the case of items or equipment which are not QNM, inspectors should direct the operator to seek advice from the </w:t>
      </w:r>
      <w:r w:rsidR="00F54291">
        <w:t>Department of Energy Security and Net-Zero (DESNZ)</w:t>
      </w:r>
      <w:r w:rsidRPr="00F932F4">
        <w:t>.</w:t>
      </w:r>
    </w:p>
    <w:p w14:paraId="00FFE0E4" w14:textId="77777777" w:rsidR="003F3C6F" w:rsidRDefault="003F3C6F" w:rsidP="004A31C3">
      <w:pPr>
        <w:pStyle w:val="F9-Paragraph"/>
      </w:pPr>
      <w:r>
        <w:t>Regulation</w:t>
      </w:r>
      <w:r w:rsidRPr="001E3CB9">
        <w:t xml:space="preserve"> 45 sets out the requirements on an operator of a </w:t>
      </w:r>
      <w:r>
        <w:t>QNF</w:t>
      </w:r>
      <w:r w:rsidRPr="001E3CB9">
        <w:t xml:space="preserve"> or other person to inform the Secretary of State of the receipt, production or transfer of </w:t>
      </w:r>
      <w:r>
        <w:t>any</w:t>
      </w:r>
      <w:r w:rsidRPr="001E3CB9">
        <w:t xml:space="preserve"> relevant non-nuclear material, equipment</w:t>
      </w:r>
      <w:r>
        <w:t>,</w:t>
      </w:r>
      <w:r w:rsidRPr="001E3CB9">
        <w:t xml:space="preserve"> or technology. </w:t>
      </w:r>
    </w:p>
    <w:p w14:paraId="73632F17" w14:textId="77777777" w:rsidR="003F3C6F" w:rsidRDefault="003F3C6F" w:rsidP="004A31C3">
      <w:pPr>
        <w:pStyle w:val="F9-Paragraph"/>
      </w:pPr>
      <w:r>
        <w:t>Regulation</w:t>
      </w:r>
      <w:r w:rsidRPr="001E3CB9">
        <w:t xml:space="preserve"> 46 sets out the time p</w:t>
      </w:r>
      <w:r>
        <w:t>eriod for the notification and Regulation</w:t>
      </w:r>
      <w:r w:rsidRPr="001E3CB9">
        <w:t xml:space="preserve"> 47 requires an operator to notify the Secretary of State of any relevant change. </w:t>
      </w:r>
    </w:p>
    <w:p w14:paraId="3F128243" w14:textId="77777777" w:rsidR="003F3C6F" w:rsidRDefault="003F3C6F" w:rsidP="004A31C3">
      <w:pPr>
        <w:pStyle w:val="F9-Paragraph"/>
      </w:pPr>
      <w:r>
        <w:t>Regulation</w:t>
      </w:r>
      <w:r w:rsidRPr="001E3CB9">
        <w:t xml:space="preserve"> 48 sets out the circumstances in which </w:t>
      </w:r>
      <w:r>
        <w:t>Regulations</w:t>
      </w:r>
      <w:r w:rsidRPr="001E3CB9">
        <w:t xml:space="preserve"> 45 to 47 cease to apply and </w:t>
      </w:r>
      <w:r>
        <w:t>Regulation</w:t>
      </w:r>
      <w:r w:rsidRPr="001E3CB9">
        <w:t xml:space="preserve"> 49 sets out interpretation provisions for Part 13.</w:t>
      </w:r>
    </w:p>
    <w:p w14:paraId="4CFC5F51" w14:textId="72EF0EDF" w:rsidR="00A401FA" w:rsidRDefault="003F3C6F" w:rsidP="004A31C3">
      <w:pPr>
        <w:pStyle w:val="F9-Paragraph"/>
      </w:pPr>
      <w:r>
        <w:t>Part 13 should be considered in conjunction with the arrangements for implementing Nuclear Co-operation Agreements (NCAs) agreed between ONR and the government department, DESNZ.</w:t>
      </w:r>
    </w:p>
    <w:p w14:paraId="0642E387" w14:textId="77777777" w:rsidR="003F3C6F" w:rsidRPr="001E3CB9" w:rsidRDefault="003F3C6F" w:rsidP="00DD7520">
      <w:pPr>
        <w:pStyle w:val="Heading2"/>
        <w:rPr>
          <w:caps/>
          <w:lang w:eastAsia="en-GB"/>
        </w:rPr>
      </w:pPr>
      <w:r w:rsidRPr="001E3CB9">
        <w:rPr>
          <w:lang w:eastAsia="en-GB"/>
        </w:rPr>
        <w:t xml:space="preserve">Part 14 (General - </w:t>
      </w:r>
      <w:r>
        <w:rPr>
          <w:lang w:eastAsia="en-GB"/>
        </w:rPr>
        <w:t>Regulations</w:t>
      </w:r>
      <w:r w:rsidRPr="001E3CB9">
        <w:rPr>
          <w:lang w:eastAsia="en-GB"/>
        </w:rPr>
        <w:t xml:space="preserve"> 50 - 56)</w:t>
      </w:r>
    </w:p>
    <w:p w14:paraId="4F1F6CA3" w14:textId="77777777" w:rsidR="003F3C6F" w:rsidRDefault="003F3C6F" w:rsidP="004A31C3">
      <w:pPr>
        <w:pStyle w:val="F9-Paragraph"/>
      </w:pPr>
      <w:r w:rsidRPr="001E3CB9">
        <w:t xml:space="preserve">The final part of </w:t>
      </w:r>
      <w:r>
        <w:t xml:space="preserve">NSR19 </w:t>
      </w:r>
      <w:r w:rsidRPr="001E3CB9">
        <w:t xml:space="preserve">is the general part and brings into effect all that is contained within the Schedules of </w:t>
      </w:r>
      <w:r>
        <w:t>NSR19</w:t>
      </w:r>
      <w:r w:rsidRPr="001E3CB9">
        <w:t>.</w:t>
      </w:r>
    </w:p>
    <w:p w14:paraId="317A5897" w14:textId="1E51C373" w:rsidR="00D60BCB" w:rsidRDefault="00D60BCB">
      <w:pPr>
        <w:spacing w:after="0" w:line="240" w:lineRule="auto"/>
      </w:pPr>
      <w:r>
        <w:br w:type="page"/>
      </w:r>
    </w:p>
    <w:p w14:paraId="41C3DA1C" w14:textId="35444E9C" w:rsidR="00D60BCB" w:rsidRDefault="00D60BCB" w:rsidP="00DD7520">
      <w:pPr>
        <w:pStyle w:val="Heading1"/>
      </w:pPr>
      <w:bookmarkStart w:id="6" w:name="_Ref232676408"/>
      <w:bookmarkStart w:id="7" w:name="_Toc235705905"/>
      <w:r>
        <w:lastRenderedPageBreak/>
        <w:t xml:space="preserve">Guidance on </w:t>
      </w:r>
      <w:r w:rsidR="002042C2">
        <w:t>i</w:t>
      </w:r>
      <w:r>
        <w:t xml:space="preserve">nspection of </w:t>
      </w:r>
      <w:r w:rsidR="002042C2">
        <w:t>a</w:t>
      </w:r>
      <w:r>
        <w:t xml:space="preserve">rrangements and their </w:t>
      </w:r>
      <w:r w:rsidR="002042C2">
        <w:t>i</w:t>
      </w:r>
      <w:r>
        <w:t>mplementation</w:t>
      </w:r>
      <w:bookmarkEnd w:id="6"/>
      <w:bookmarkEnd w:id="7"/>
    </w:p>
    <w:p w14:paraId="153EBEEF" w14:textId="5F220133" w:rsidR="00892629" w:rsidRDefault="00892629" w:rsidP="004A31C3">
      <w:pPr>
        <w:pStyle w:val="F9-Paragraph"/>
      </w:pPr>
      <w:r w:rsidRPr="00F04304">
        <w:t>A</w:t>
      </w:r>
      <w:r w:rsidR="007F748F">
        <w:t>n</w:t>
      </w:r>
      <w:r w:rsidRPr="00F04304">
        <w:t xml:space="preserve"> inspector may </w:t>
      </w:r>
      <w:r>
        <w:t xml:space="preserve">conduct one of the following types of </w:t>
      </w:r>
      <w:r w:rsidR="00642C94">
        <w:t xml:space="preserve">safeguards </w:t>
      </w:r>
      <w:r>
        <w:t>inspection:</w:t>
      </w:r>
    </w:p>
    <w:p w14:paraId="232F9EFB" w14:textId="77777777" w:rsidR="00892629" w:rsidRDefault="00892629" w:rsidP="004F261E">
      <w:pPr>
        <w:pStyle w:val="NumList2"/>
        <w:numPr>
          <w:ilvl w:val="1"/>
          <w:numId w:val="17"/>
        </w:numPr>
        <w:ind w:left="1276"/>
      </w:pPr>
      <w:r>
        <w:t>Compliance inspection</w:t>
      </w:r>
    </w:p>
    <w:p w14:paraId="74F2D9F3" w14:textId="77777777" w:rsidR="00892629" w:rsidRDefault="00892629" w:rsidP="003B67F9">
      <w:pPr>
        <w:pStyle w:val="NumList2"/>
      </w:pPr>
      <w:r>
        <w:t>Themed inspection (including Safeguards System-Based Inspections)</w:t>
      </w:r>
    </w:p>
    <w:p w14:paraId="23A02628" w14:textId="77777777" w:rsidR="00892629" w:rsidRPr="00F04304" w:rsidRDefault="00892629" w:rsidP="003B67F9">
      <w:pPr>
        <w:pStyle w:val="NumList2"/>
      </w:pPr>
      <w:r>
        <w:t>inspection</w:t>
      </w:r>
      <w:r w:rsidRPr="00491E71">
        <w:t xml:space="preserve"> and assessment activities alongside facilitation of IAEA verification activities</w:t>
      </w:r>
    </w:p>
    <w:p w14:paraId="51E48F24" w14:textId="67464010" w:rsidR="00892629" w:rsidRPr="001E3CB9" w:rsidRDefault="00892629" w:rsidP="004A31C3">
      <w:pPr>
        <w:pStyle w:val="F9-Paragraph"/>
        <w:rPr>
          <w:b/>
        </w:rPr>
      </w:pPr>
      <w:r>
        <w:t xml:space="preserve">Guidance on the types of activities which may form part of these inspections is provided in the remainder of this section and in the associated </w:t>
      </w:r>
      <w:r w:rsidR="000A0A78">
        <w:t>appendices</w:t>
      </w:r>
      <w:r>
        <w:t xml:space="preserve"> to this document. For more general guidance on conducting an inspection, inspectors should refer to the ONR </w:t>
      </w:r>
      <w:r w:rsidRPr="007A1866">
        <w:t>General Inspection Guide</w:t>
      </w:r>
      <w:r>
        <w:t xml:space="preserve"> </w:t>
      </w:r>
      <w:sdt>
        <w:sdtPr>
          <w:id w:val="2112553958"/>
          <w:citation/>
        </w:sdtPr>
        <w:sdtEndPr/>
        <w:sdtContent>
          <w:r>
            <w:fldChar w:fldCharType="begin"/>
          </w:r>
          <w:r>
            <w:instrText xml:space="preserve"> CITATION ONR34 \l 2057 </w:instrText>
          </w:r>
          <w:r>
            <w:fldChar w:fldCharType="separate"/>
          </w:r>
          <w:r w:rsidR="00DA6493" w:rsidRPr="00DA6493">
            <w:rPr>
              <w:noProof/>
            </w:rPr>
            <w:t>[3]</w:t>
          </w:r>
          <w:r>
            <w:fldChar w:fldCharType="end"/>
          </w:r>
        </w:sdtContent>
      </w:sdt>
      <w:r>
        <w:t>.</w:t>
      </w:r>
    </w:p>
    <w:p w14:paraId="48544446" w14:textId="77777777" w:rsidR="00892629" w:rsidRDefault="00892629" w:rsidP="004A31C3">
      <w:pPr>
        <w:pStyle w:val="F9-Paragraph"/>
      </w:pPr>
      <w:r>
        <w:t>F</w:t>
      </w:r>
      <w:r w:rsidRPr="001E3CB9">
        <w:t>or inspections announced in advance, it is good practice</w:t>
      </w:r>
      <w:r>
        <w:t xml:space="preserve"> for the inspector</w:t>
      </w:r>
      <w:r w:rsidRPr="001E3CB9">
        <w:t xml:space="preserve"> to </w:t>
      </w:r>
      <w:r>
        <w:t xml:space="preserve">provide </w:t>
      </w:r>
      <w:r w:rsidRPr="001E3CB9">
        <w:t>the operator with as much information about the scope and nature of the inspection as is practicable.</w:t>
      </w:r>
      <w:r>
        <w:t xml:space="preserve"> </w:t>
      </w:r>
      <w:r w:rsidRPr="001E3CB9">
        <w:t>This ensures that the operator is given every opportunity to provide a true and accurate demonstration of compliance.</w:t>
      </w:r>
    </w:p>
    <w:p w14:paraId="63CC165B" w14:textId="77777777" w:rsidR="00892629" w:rsidRPr="001E3CB9" w:rsidRDefault="00892629" w:rsidP="004A31C3">
      <w:pPr>
        <w:pStyle w:val="F9-Paragraph"/>
      </w:pPr>
      <w:r>
        <w:t>For unannounced inspections, the scope should not be shared with the operator in advance.</w:t>
      </w:r>
    </w:p>
    <w:p w14:paraId="2782949A" w14:textId="77777777" w:rsidR="00892629" w:rsidRDefault="00892629" w:rsidP="004A31C3">
      <w:pPr>
        <w:pStyle w:val="F9-Paragraph"/>
      </w:pPr>
      <w:r>
        <w:t>Inspections may be performed across several regulations in NSR19, multiple facilities or MBAs at a site, and may cover more than one operator system for accountancy and control.</w:t>
      </w:r>
    </w:p>
    <w:p w14:paraId="578B8EDE" w14:textId="77777777" w:rsidR="00892629" w:rsidRDefault="00892629" w:rsidP="004A31C3">
      <w:pPr>
        <w:pStyle w:val="F9-Paragraph"/>
      </w:pPr>
      <w:r w:rsidRPr="001E3CB9">
        <w:t xml:space="preserve">It is for </w:t>
      </w:r>
      <w:r>
        <w:t>inspector</w:t>
      </w:r>
      <w:r w:rsidRPr="001E3CB9">
        <w:t xml:space="preserve">s to apply their experience and discretion to determine the extent and depth of a particular inspection, taking due account of factors such as </w:t>
      </w:r>
      <w:r>
        <w:t>the current safeguards plan, regulatory intelligence and the significance</w:t>
      </w:r>
      <w:r w:rsidRPr="001E3CB9">
        <w:t xml:space="preserve">, complexity and </w:t>
      </w:r>
      <w:r>
        <w:t>purpose</w:t>
      </w:r>
      <w:r w:rsidRPr="001E3CB9">
        <w:t xml:space="preserve"> of the </w:t>
      </w:r>
      <w:r>
        <w:t>QNM</w:t>
      </w:r>
      <w:r w:rsidRPr="001E3CB9">
        <w:t xml:space="preserve"> </w:t>
      </w:r>
      <w:r>
        <w:t xml:space="preserve">and QNF. </w:t>
      </w:r>
    </w:p>
    <w:p w14:paraId="1FF4B9F6" w14:textId="534D9FCB" w:rsidR="00892629" w:rsidRDefault="00892629" w:rsidP="004A31C3">
      <w:pPr>
        <w:pStyle w:val="F9-Paragraph"/>
      </w:pPr>
      <w:r w:rsidRPr="001E3CB9">
        <w:t xml:space="preserve">Guidance is given </w:t>
      </w:r>
      <w:r>
        <w:t>in this document</w:t>
      </w:r>
      <w:r w:rsidRPr="001E3CB9">
        <w:t xml:space="preserve"> on some of the key </w:t>
      </w:r>
      <w:r>
        <w:t>considerations i</w:t>
      </w:r>
      <w:r w:rsidRPr="001E3CB9">
        <w:t>n deciding which arrangements to sample</w:t>
      </w:r>
      <w:r>
        <w:t xml:space="preserve"> and what activities may be worthwhile conducting as part of an inspection.</w:t>
      </w:r>
      <w:r w:rsidRPr="001E3CB9">
        <w:t xml:space="preserve"> </w:t>
      </w:r>
      <w:r>
        <w:t>When planning for an inspection, inspector</w:t>
      </w:r>
      <w:r w:rsidRPr="001E3CB9">
        <w:t xml:space="preserve">s should consider </w:t>
      </w:r>
      <w:r>
        <w:t xml:space="preserve">all forms of regulatory intelligence including </w:t>
      </w:r>
      <w:r w:rsidRPr="001E3CB9">
        <w:t>reported information, events</w:t>
      </w:r>
      <w:r>
        <w:t>,</w:t>
      </w:r>
      <w:r w:rsidRPr="001E3CB9">
        <w:t xml:space="preserve"> </w:t>
      </w:r>
      <w:r>
        <w:t>and</w:t>
      </w:r>
      <w:r w:rsidRPr="001E3CB9">
        <w:t xml:space="preserve"> previous enforcement action taken on the site or at other sites. </w:t>
      </w:r>
      <w:r>
        <w:t xml:space="preserve">This should include the </w:t>
      </w:r>
      <w:r w:rsidRPr="001E3CB9">
        <w:t xml:space="preserve">findings of related </w:t>
      </w:r>
      <w:r>
        <w:t xml:space="preserve">safety or security </w:t>
      </w:r>
      <w:r w:rsidR="005233DE">
        <w:t>regulatory activities</w:t>
      </w:r>
      <w:r>
        <w:t>.</w:t>
      </w:r>
    </w:p>
    <w:p w14:paraId="02ABFC54" w14:textId="77777777" w:rsidR="004A31C3" w:rsidRDefault="004A31C3" w:rsidP="004A31C3">
      <w:pPr>
        <w:pStyle w:val="F9-Paragraph"/>
        <w:sectPr w:rsidR="004A31C3" w:rsidSect="003508FB">
          <w:pgSz w:w="11906" w:h="16838" w:code="9"/>
          <w:pgMar w:top="1440" w:right="1440" w:bottom="1440" w:left="1440" w:header="397" w:footer="397" w:gutter="0"/>
          <w:cols w:space="312"/>
          <w:docGrid w:linePitch="360"/>
        </w:sectPr>
      </w:pPr>
    </w:p>
    <w:p w14:paraId="10687530" w14:textId="0EF23823" w:rsidR="00A401FA" w:rsidRDefault="00892629" w:rsidP="004A31C3">
      <w:pPr>
        <w:pStyle w:val="F9-Paragraph"/>
      </w:pPr>
      <w:r w:rsidRPr="001E3CB9">
        <w:lastRenderedPageBreak/>
        <w:t xml:space="preserve">Where site inspection indicates that an operator's arrangements fall significantly short of </w:t>
      </w:r>
      <w:r>
        <w:t>the requirements of NSR19</w:t>
      </w:r>
      <w:r w:rsidRPr="001E3CB9">
        <w:t>,</w:t>
      </w:r>
      <w:r>
        <w:t xml:space="preserve"> i.e., amber or red inspection ratings,</w:t>
      </w:r>
      <w:r w:rsidRPr="001E3CB9">
        <w:t xml:space="preserve"> and especially where enforcement action appears to be warranted under the </w:t>
      </w:r>
      <w:r>
        <w:t xml:space="preserve">EMM, </w:t>
      </w:r>
      <w:r w:rsidRPr="001E3CB9">
        <w:t xml:space="preserve">the inspector should seek advice from </w:t>
      </w:r>
      <w:r>
        <w:t>th</w:t>
      </w:r>
      <w:r w:rsidRPr="00AC17AB">
        <w:t xml:space="preserve">eir Site Regulatory Lead for safeguards, or the </w:t>
      </w:r>
      <w:r w:rsidR="009742CF">
        <w:t xml:space="preserve">Safeguards </w:t>
      </w:r>
      <w:r w:rsidRPr="00AC17AB">
        <w:t>Head of Regulation</w:t>
      </w:r>
      <w:r w:rsidRPr="001E3CB9">
        <w:t>.</w:t>
      </w:r>
    </w:p>
    <w:p w14:paraId="15B75DB0" w14:textId="1F7475C0" w:rsidR="00892629" w:rsidRDefault="00892629" w:rsidP="00DD7520">
      <w:pPr>
        <w:pStyle w:val="Heading2"/>
      </w:pPr>
      <w:r>
        <w:t xml:space="preserve">Compliance </w:t>
      </w:r>
      <w:r w:rsidR="004A31C3">
        <w:t>i</w:t>
      </w:r>
      <w:r w:rsidRPr="006B42CB">
        <w:t>nspections</w:t>
      </w:r>
    </w:p>
    <w:p w14:paraId="3691ECE6" w14:textId="77777777" w:rsidR="00892629" w:rsidRDefault="00892629" w:rsidP="004A31C3">
      <w:pPr>
        <w:pStyle w:val="F9-Paragraph"/>
      </w:pPr>
      <w:r>
        <w:t>Safeguards compliance</w:t>
      </w:r>
      <w:r w:rsidRPr="001E3CB9">
        <w:t xml:space="preserve"> inspections are those activities involving inspection of an operator in relation to their arrangements for compliance with </w:t>
      </w:r>
      <w:r>
        <w:t>NSR19</w:t>
      </w:r>
      <w:r w:rsidRPr="001E3CB9">
        <w:t>. It is recognised that for a</w:t>
      </w:r>
      <w:r>
        <w:t xml:space="preserve"> QNFLO</w:t>
      </w:r>
      <w:r w:rsidRPr="001E3CB9">
        <w:t xml:space="preserve"> operator</w:t>
      </w:r>
      <w:r>
        <w:t>,</w:t>
      </w:r>
      <w:r w:rsidRPr="001E3CB9">
        <w:t xml:space="preserve"> compliance inspections </w:t>
      </w:r>
      <w:r>
        <w:t>will be proportionate to the activities performed and quantity and type of QNM present</w:t>
      </w:r>
      <w:r w:rsidRPr="001E3CB9">
        <w:t>.</w:t>
      </w:r>
    </w:p>
    <w:p w14:paraId="343E6A4C" w14:textId="6FBEC65D" w:rsidR="00A401FA" w:rsidRPr="004A31C3" w:rsidRDefault="00892629" w:rsidP="004A31C3">
      <w:pPr>
        <w:pStyle w:val="F9-Paragraph"/>
        <w:rPr>
          <w:b/>
          <w:bCs/>
        </w:rPr>
      </w:pPr>
      <w:r>
        <w:t xml:space="preserve">A safeguards compliance inspection may consider compliance with any and all of NSR19. More detailed guidance on </w:t>
      </w:r>
      <w:r w:rsidR="00B04C9C">
        <w:t xml:space="preserve">the range </w:t>
      </w:r>
      <w:r>
        <w:t xml:space="preserve">of </w:t>
      </w:r>
      <w:r w:rsidR="00B04C9C">
        <w:t xml:space="preserve">potential </w:t>
      </w:r>
      <w:r>
        <w:t xml:space="preserve">inspection activities is provided in </w:t>
      </w:r>
      <w:r w:rsidR="000A0A78">
        <w:t>appendices</w:t>
      </w:r>
      <w:r>
        <w:t xml:space="preserve"> to this document.</w:t>
      </w:r>
    </w:p>
    <w:p w14:paraId="542C4647" w14:textId="3E765262" w:rsidR="00892629" w:rsidRDefault="00892629" w:rsidP="00DD7520">
      <w:pPr>
        <w:pStyle w:val="Heading2"/>
      </w:pPr>
      <w:r>
        <w:t xml:space="preserve">Themed </w:t>
      </w:r>
      <w:r w:rsidR="004A31C3">
        <w:t>i</w:t>
      </w:r>
      <w:r>
        <w:t>nspections</w:t>
      </w:r>
    </w:p>
    <w:p w14:paraId="4190FC6B" w14:textId="77777777" w:rsidR="00892629" w:rsidRDefault="00892629" w:rsidP="004A31C3">
      <w:pPr>
        <w:pStyle w:val="F9-Paragraph"/>
      </w:pPr>
      <w:r w:rsidRPr="008704CF">
        <w:t>Compliance may also be assessed through themed or cross-cutting inspections, especially when regulatory interests span multiple compliance areas. An overall rating can be recorded in WIReD.</w:t>
      </w:r>
    </w:p>
    <w:p w14:paraId="72305A8D" w14:textId="77777777" w:rsidR="00892629" w:rsidRPr="00F17A66" w:rsidRDefault="00892629" w:rsidP="004A31C3">
      <w:pPr>
        <w:pStyle w:val="F9-Paragraph"/>
      </w:pPr>
      <w:r>
        <w:t xml:space="preserve">Themed inspections may be cross functional and should have a lead inspector appointed. </w:t>
      </w:r>
      <w:r w:rsidRPr="004E6547">
        <w:t>Using the same inspection team across locations can improve continuity.</w:t>
      </w:r>
      <w:r>
        <w:t xml:space="preserve"> Inspectors </w:t>
      </w:r>
      <w:r w:rsidRPr="004E6547">
        <w:t>should consider the scope and depth of these inspections, adapting plans based on results from earlier inspections to address common issues or themes</w:t>
      </w:r>
      <w:r>
        <w:t>.</w:t>
      </w:r>
    </w:p>
    <w:p w14:paraId="440ED094" w14:textId="77777777" w:rsidR="00892629" w:rsidRDefault="00892629" w:rsidP="004A31C3">
      <w:pPr>
        <w:pStyle w:val="F9-Paragraph"/>
      </w:pPr>
      <w:r>
        <w:t>SSBIs are a subset of themed</w:t>
      </w:r>
      <w:r w:rsidRPr="001E3CB9">
        <w:t xml:space="preserve"> inspection</w:t>
      </w:r>
      <w:r>
        <w:t>s</w:t>
      </w:r>
      <w:r w:rsidRPr="001E3CB9">
        <w:t xml:space="preserve"> of </w:t>
      </w:r>
      <w:r>
        <w:t xml:space="preserve">systems that directly support NMACS across a site, within an MBA, or more generally for an operator. The aim of an SSBI is to obtain assurance that the systems in place for NMACS are proportionate to and appropriate for the QNF and the QNM within it. </w:t>
      </w:r>
    </w:p>
    <w:p w14:paraId="07649343" w14:textId="77777777" w:rsidR="00892629" w:rsidRDefault="00892629" w:rsidP="004A31C3">
      <w:pPr>
        <w:pStyle w:val="F9-Paragraph"/>
      </w:pPr>
      <w:r w:rsidRPr="001E3CB9">
        <w:t xml:space="preserve">It is recognised that </w:t>
      </w:r>
      <w:r>
        <w:t>this would not be an appropriate inspection type</w:t>
      </w:r>
      <w:r w:rsidRPr="001E3CB9">
        <w:t xml:space="preserve"> for an operator of a </w:t>
      </w:r>
      <w:r>
        <w:t>QNFLO, although QNFLO itself may be a theme for inspection purposes</w:t>
      </w:r>
      <w:r w:rsidRPr="001E3CB9">
        <w:t>.</w:t>
      </w:r>
    </w:p>
    <w:p w14:paraId="38722E7B" w14:textId="4EF14DAC" w:rsidR="00A401FA" w:rsidRDefault="00892629" w:rsidP="004A31C3">
      <w:pPr>
        <w:pStyle w:val="F9-Paragraph"/>
      </w:pPr>
      <w:r>
        <w:t xml:space="preserve">More detailed guidance on themed inspection and in particular, SSBIs is provided in the </w:t>
      </w:r>
      <w:r w:rsidR="000A0A78">
        <w:t xml:space="preserve">appendices </w:t>
      </w:r>
      <w:r>
        <w:t>to this document.</w:t>
      </w:r>
    </w:p>
    <w:p w14:paraId="1A3DA6BD" w14:textId="77777777" w:rsidR="00A401FA" w:rsidRDefault="00A401FA">
      <w:pPr>
        <w:spacing w:after="0" w:line="240" w:lineRule="auto"/>
      </w:pPr>
      <w:r>
        <w:br w:type="page"/>
      </w:r>
    </w:p>
    <w:p w14:paraId="0B0C1DDF" w14:textId="77777777" w:rsidR="00892629" w:rsidRPr="00D75571" w:rsidRDefault="00892629" w:rsidP="00DD7520">
      <w:pPr>
        <w:pStyle w:val="Heading2"/>
      </w:pPr>
      <w:r w:rsidRPr="00D01097">
        <w:lastRenderedPageBreak/>
        <w:t>ONR</w:t>
      </w:r>
      <w:r w:rsidRPr="00D75571">
        <w:t xml:space="preserve"> inspection and assessment activities alongside facilitation of IAEA </w:t>
      </w:r>
      <w:r>
        <w:t>verification activities</w:t>
      </w:r>
    </w:p>
    <w:p w14:paraId="6AE2A5D6" w14:textId="6B0C6B84" w:rsidR="00892629" w:rsidRDefault="00892629" w:rsidP="004A31C3">
      <w:pPr>
        <w:pStyle w:val="F9-Paragraph"/>
      </w:pPr>
      <w:r>
        <w:t>A</w:t>
      </w:r>
      <w:r w:rsidRPr="00CE7E67">
        <w:t>s part of meeting</w:t>
      </w:r>
      <w:r>
        <w:t xml:space="preserve"> the UK’s</w:t>
      </w:r>
      <w:r w:rsidRPr="00CE7E67">
        <w:t xml:space="preserve"> international safeguards obligations</w:t>
      </w:r>
      <w:r>
        <w:t>, as the State Regulatory Authority (SRA) for safeguards in the UK, ONR must f</w:t>
      </w:r>
      <w:r w:rsidRPr="00CE7E67">
        <w:t>acilitat</w:t>
      </w:r>
      <w:r>
        <w:t>e the</w:t>
      </w:r>
      <w:r w:rsidRPr="00CE7E67">
        <w:t xml:space="preserve"> IAEA’s verification activities </w:t>
      </w:r>
      <w:r>
        <w:t>under the VOA</w:t>
      </w:r>
      <w:r w:rsidR="00AE6177">
        <w:t xml:space="preserve"> </w:t>
      </w:r>
      <w:sdt>
        <w:sdtPr>
          <w:id w:val="1128972833"/>
          <w:citation/>
        </w:sdtPr>
        <w:sdtEndPr/>
        <w:sdtContent>
          <w:r w:rsidR="00B0755D">
            <w:fldChar w:fldCharType="begin"/>
          </w:r>
          <w:r w:rsidR="00B0755D">
            <w:instrText xml:space="preserve"> CITATION IAE10 \l 2057 </w:instrText>
          </w:r>
          <w:r w:rsidR="00B0755D">
            <w:fldChar w:fldCharType="separate"/>
          </w:r>
          <w:r w:rsidR="00DA6493" w:rsidRPr="00DA6493">
            <w:rPr>
              <w:noProof/>
            </w:rPr>
            <w:t>[4]</w:t>
          </w:r>
          <w:r w:rsidR="00B0755D">
            <w:fldChar w:fldCharType="end"/>
          </w:r>
        </w:sdtContent>
      </w:sdt>
      <w:r>
        <w:t xml:space="preserve">. This facilitation does not necessarily demand the presence of ONR inspectors on site, but where there is such presence, it may provide opportunities for other regulatory activities. </w:t>
      </w:r>
    </w:p>
    <w:p w14:paraId="1400FAEE" w14:textId="77777777" w:rsidR="00892629" w:rsidRPr="008B0907" w:rsidRDefault="00892629" w:rsidP="004A31C3">
      <w:pPr>
        <w:pStyle w:val="F9-Paragraph"/>
      </w:pPr>
      <w:r w:rsidRPr="001E3CB9">
        <w:t xml:space="preserve">The guidance in this section is aimed at all </w:t>
      </w:r>
      <w:r>
        <w:t>inspector</w:t>
      </w:r>
      <w:r w:rsidRPr="001E3CB9">
        <w:t xml:space="preserve">s involved in </w:t>
      </w:r>
      <w:r>
        <w:t>facilitation of IAEA verification activities</w:t>
      </w:r>
      <w:r w:rsidRPr="001E3CB9">
        <w:t xml:space="preserve">. </w:t>
      </w:r>
      <w:r>
        <w:t xml:space="preserve">Inspections during facilitation </w:t>
      </w:r>
      <w:r w:rsidRPr="001E3CB9">
        <w:t>should be considered for in</w:t>
      </w:r>
      <w:r>
        <w:t>corporation</w:t>
      </w:r>
      <w:r w:rsidRPr="001E3CB9">
        <w:t xml:space="preserve"> into each respective </w:t>
      </w:r>
      <w:r>
        <w:t>ASIP</w:t>
      </w:r>
      <w:r w:rsidRPr="001E3CB9">
        <w:t xml:space="preserve"> at the planning stage.</w:t>
      </w:r>
      <w:r>
        <w:t xml:space="preserve"> </w:t>
      </w:r>
    </w:p>
    <w:p w14:paraId="04A73D6D" w14:textId="77777777" w:rsidR="00892629" w:rsidRPr="00583AC1" w:rsidRDefault="00892629" w:rsidP="004A31C3">
      <w:pPr>
        <w:pStyle w:val="F9-Paragraph"/>
      </w:pPr>
      <w:r w:rsidRPr="00583AC1">
        <w:t xml:space="preserve">Prior to the IAEA inspection the </w:t>
      </w:r>
      <w:r>
        <w:t>i</w:t>
      </w:r>
      <w:r w:rsidRPr="00583AC1">
        <w:t xml:space="preserve">nspector should establish or confirm: </w:t>
      </w:r>
    </w:p>
    <w:p w14:paraId="1EEC4495" w14:textId="77777777" w:rsidR="00892629" w:rsidRPr="00E61612" w:rsidRDefault="00892629" w:rsidP="004F261E">
      <w:pPr>
        <w:pStyle w:val="NumList2"/>
        <w:numPr>
          <w:ilvl w:val="1"/>
          <w:numId w:val="18"/>
        </w:numPr>
        <w:ind w:left="1276"/>
      </w:pPr>
      <w:r w:rsidRPr="00E61612">
        <w:t xml:space="preserve">the scope and content of the </w:t>
      </w:r>
      <w:r>
        <w:t xml:space="preserve">IAEA </w:t>
      </w:r>
      <w:r w:rsidRPr="00E61612">
        <w:t>inspection</w:t>
      </w:r>
      <w:r>
        <w:t>.</w:t>
      </w:r>
    </w:p>
    <w:p w14:paraId="690FD4A1" w14:textId="4668AD94" w:rsidR="00892629" w:rsidRPr="00E61612" w:rsidRDefault="00892629" w:rsidP="003B67F9">
      <w:pPr>
        <w:pStyle w:val="NumList2"/>
      </w:pPr>
      <w:r w:rsidRPr="00E61612">
        <w:t xml:space="preserve">that all </w:t>
      </w:r>
      <w:r>
        <w:t xml:space="preserve">IAEA </w:t>
      </w:r>
      <w:r w:rsidR="00B0049D">
        <w:t xml:space="preserve">safeguards </w:t>
      </w:r>
      <w:r>
        <w:t xml:space="preserve">inspectors and other officials </w:t>
      </w:r>
      <w:r w:rsidR="00D301A2">
        <w:t>(for example,</w:t>
      </w:r>
      <w:r>
        <w:t xml:space="preserve"> equipment technicians) </w:t>
      </w:r>
      <w:r w:rsidRPr="00E61612">
        <w:t>have approval to access the site and the facility</w:t>
      </w:r>
      <w:r>
        <w:t>,</w:t>
      </w:r>
      <w:r w:rsidRPr="00E61612">
        <w:t xml:space="preserve"> as well as </w:t>
      </w:r>
      <w:r>
        <w:t xml:space="preserve">a clear understanding of </w:t>
      </w:r>
      <w:r w:rsidRPr="00E61612">
        <w:t xml:space="preserve">where access may be restricted </w:t>
      </w:r>
      <w:r>
        <w:t xml:space="preserve">and/or need to be managed </w:t>
      </w:r>
      <w:r w:rsidR="00D301A2">
        <w:t>(for example,</w:t>
      </w:r>
      <w:r>
        <w:t xml:space="preserve"> for safety or security reasons).</w:t>
      </w:r>
      <w:r w:rsidRPr="00E61612">
        <w:t xml:space="preserve"> </w:t>
      </w:r>
    </w:p>
    <w:p w14:paraId="1F5D0FCA" w14:textId="77777777" w:rsidR="00892629" w:rsidRPr="00E61612" w:rsidRDefault="00892629" w:rsidP="003B67F9">
      <w:pPr>
        <w:pStyle w:val="NumList2"/>
      </w:pPr>
      <w:r w:rsidRPr="00E61612">
        <w:t xml:space="preserve">the scope of the work of the </w:t>
      </w:r>
      <w:r>
        <w:t xml:space="preserve">IAEA </w:t>
      </w:r>
      <w:r w:rsidRPr="00E61612">
        <w:t>under the relevant international agreement, particularly, their rights and obligations</w:t>
      </w:r>
      <w:r>
        <w:t>.</w:t>
      </w:r>
    </w:p>
    <w:p w14:paraId="5033700E" w14:textId="77777777" w:rsidR="00892629" w:rsidRPr="00E61612" w:rsidRDefault="00892629" w:rsidP="003B67F9">
      <w:pPr>
        <w:pStyle w:val="NumList2"/>
      </w:pPr>
      <w:r w:rsidRPr="00E61612">
        <w:t xml:space="preserve">the previous history of the operator with respect to international </w:t>
      </w:r>
      <w:r>
        <w:t xml:space="preserve">safeguards verification </w:t>
      </w:r>
      <w:r w:rsidRPr="00E61612">
        <w:t>and ONR</w:t>
      </w:r>
      <w:r>
        <w:t xml:space="preserve"> safeguards activities.</w:t>
      </w:r>
    </w:p>
    <w:p w14:paraId="605EA15A" w14:textId="55960202" w:rsidR="00892629" w:rsidRDefault="00892629" w:rsidP="004A31C3">
      <w:pPr>
        <w:pStyle w:val="F9-Paragraph"/>
      </w:pPr>
      <w:r>
        <w:t xml:space="preserve">When facilitating IAEA activities, the ONR inspector should be cognisant that they are on </w:t>
      </w:r>
      <w:r w:rsidRPr="00974FC9">
        <w:t xml:space="preserve">a nuclear facility which is under the control of the </w:t>
      </w:r>
      <w:r>
        <w:t>o</w:t>
      </w:r>
      <w:r w:rsidRPr="00974FC9">
        <w:t>perator</w:t>
      </w:r>
      <w:r>
        <w:t xml:space="preserve">, and that ultimate responsibility for safety and security of the facility rests with the operator. Where an operator must refuse an IAEA </w:t>
      </w:r>
      <w:r w:rsidR="008F47B5">
        <w:t xml:space="preserve">safeguards </w:t>
      </w:r>
      <w:r>
        <w:t>inspector’s request to perform an activity on the grounds of safety or security, the ONR inspector should seek to fully understand the reasons and should lead a pragmatic resolution process with both parties. The inspector should consider and establish if there are alternative means of the IAEA meeting their safeguards objectives</w:t>
      </w:r>
      <w:r w:rsidR="00BD60DC">
        <w:t>.</w:t>
      </w:r>
      <w:r>
        <w:t xml:space="preserve">  </w:t>
      </w:r>
    </w:p>
    <w:p w14:paraId="2960D27D" w14:textId="77777777" w:rsidR="00892629" w:rsidRPr="008B0907" w:rsidRDefault="00892629" w:rsidP="004A31C3">
      <w:pPr>
        <w:pStyle w:val="F9-Paragraph"/>
      </w:pPr>
      <w:r>
        <w:t xml:space="preserve">In terms of inspection activity during an IAEA </w:t>
      </w:r>
      <w:r w:rsidRPr="008B0907">
        <w:t>inspection</w:t>
      </w:r>
      <w:r>
        <w:t xml:space="preserve"> the inspector should use their judgement to:</w:t>
      </w:r>
    </w:p>
    <w:p w14:paraId="0277C242" w14:textId="77777777" w:rsidR="00892629" w:rsidRPr="00C9784D" w:rsidRDefault="00892629" w:rsidP="004F261E">
      <w:pPr>
        <w:pStyle w:val="NumList2"/>
        <w:numPr>
          <w:ilvl w:val="1"/>
          <w:numId w:val="19"/>
        </w:numPr>
        <w:ind w:left="1276"/>
      </w:pPr>
      <w:r w:rsidRPr="00C9784D">
        <w:t xml:space="preserve">Attend </w:t>
      </w:r>
      <w:r w:rsidRPr="008B0907">
        <w:t xml:space="preserve">and facilitate understanding at </w:t>
      </w:r>
      <w:r w:rsidRPr="00C9784D">
        <w:t xml:space="preserve">both </w:t>
      </w:r>
      <w:r>
        <w:t>opening and closing meetings, which should be led by the IAEA. During those meetings, the ONR inspector should:</w:t>
      </w:r>
    </w:p>
    <w:p w14:paraId="4763FDF9" w14:textId="77777777" w:rsidR="00892629" w:rsidRPr="00E61612" w:rsidRDefault="00892629" w:rsidP="004F261E">
      <w:pPr>
        <w:pStyle w:val="NumList1"/>
        <w:numPr>
          <w:ilvl w:val="0"/>
          <w:numId w:val="20"/>
        </w:numPr>
        <w:ind w:left="1843"/>
      </w:pPr>
      <w:r w:rsidRPr="008B0907">
        <w:t xml:space="preserve">Ensure that the scope of the inspection is clear </w:t>
      </w:r>
      <w:r>
        <w:t>and understood by all parties.</w:t>
      </w:r>
    </w:p>
    <w:p w14:paraId="62130270" w14:textId="77777777" w:rsidR="00892629" w:rsidRPr="00E61612" w:rsidRDefault="00892629" w:rsidP="003B67F9">
      <w:pPr>
        <w:pStyle w:val="NumList1"/>
      </w:pPr>
      <w:r w:rsidRPr="00E61612">
        <w:lastRenderedPageBreak/>
        <w:t>Ensure the roles and responsibilities of all participants are clear and understood</w:t>
      </w:r>
      <w:r>
        <w:t>,</w:t>
      </w:r>
      <w:r w:rsidRPr="00E61612">
        <w:t xml:space="preserve"> including</w:t>
      </w:r>
      <w:r>
        <w:t xml:space="preserve"> any</w:t>
      </w:r>
      <w:r w:rsidRPr="00E61612">
        <w:t xml:space="preserve"> access restrictions</w:t>
      </w:r>
      <w:r>
        <w:t>.</w:t>
      </w:r>
    </w:p>
    <w:p w14:paraId="0E517063" w14:textId="77777777" w:rsidR="00892629" w:rsidRPr="00E61612" w:rsidRDefault="00892629" w:rsidP="003B67F9">
      <w:pPr>
        <w:pStyle w:val="NumList1"/>
      </w:pPr>
      <w:r w:rsidRPr="00E61612">
        <w:t xml:space="preserve">Ensure that the outcomes, actions </w:t>
      </w:r>
      <w:r>
        <w:t xml:space="preserve">(assigned and time-bound), </w:t>
      </w:r>
      <w:r w:rsidRPr="00E61612">
        <w:t xml:space="preserve">and recommendations are clear </w:t>
      </w:r>
      <w:r>
        <w:t>and understood by all parties.</w:t>
      </w:r>
    </w:p>
    <w:p w14:paraId="77A27AE5" w14:textId="77777777" w:rsidR="00892629" w:rsidRPr="00E61612" w:rsidRDefault="00892629" w:rsidP="003B67F9">
      <w:pPr>
        <w:pStyle w:val="NumList2"/>
      </w:pPr>
      <w:r w:rsidRPr="008B0907">
        <w:t xml:space="preserve">Monitor </w:t>
      </w:r>
      <w:r w:rsidRPr="00E61612">
        <w:t xml:space="preserve">operator activities in support of the </w:t>
      </w:r>
      <w:r>
        <w:t xml:space="preserve">IAEA </w:t>
      </w:r>
      <w:r w:rsidRPr="00E61612">
        <w:t>inspection</w:t>
      </w:r>
      <w:r>
        <w:t xml:space="preserve"> and:</w:t>
      </w:r>
    </w:p>
    <w:p w14:paraId="2F5187F9" w14:textId="77777777" w:rsidR="00892629" w:rsidRPr="00E61612" w:rsidRDefault="00892629" w:rsidP="004F261E">
      <w:pPr>
        <w:pStyle w:val="NumList1"/>
        <w:numPr>
          <w:ilvl w:val="0"/>
          <w:numId w:val="21"/>
        </w:numPr>
        <w:ind w:left="1843"/>
      </w:pPr>
      <w:r w:rsidRPr="00E61612">
        <w:t xml:space="preserve">Confirm </w:t>
      </w:r>
      <w:r>
        <w:t xml:space="preserve">with the operator </w:t>
      </w:r>
      <w:r w:rsidRPr="00E61612">
        <w:t xml:space="preserve">that all activities are </w:t>
      </w:r>
      <w:r>
        <w:t xml:space="preserve">safe and </w:t>
      </w:r>
      <w:r w:rsidRPr="00E61612">
        <w:t>in line with reasonably acceptable NMACS operations</w:t>
      </w:r>
      <w:r>
        <w:t>.</w:t>
      </w:r>
    </w:p>
    <w:p w14:paraId="65DA1AC5" w14:textId="3901B756" w:rsidR="00892629" w:rsidRPr="00E61612" w:rsidRDefault="00892629" w:rsidP="003B67F9">
      <w:pPr>
        <w:pStyle w:val="NumList1"/>
      </w:pPr>
      <w:r w:rsidRPr="00E61612">
        <w:t xml:space="preserve">Ensure that the operator responds effectively to reasonable requests from the </w:t>
      </w:r>
      <w:r>
        <w:t xml:space="preserve">IAEA </w:t>
      </w:r>
      <w:r w:rsidR="00D301A2">
        <w:t>(for example,</w:t>
      </w:r>
      <w:r>
        <w:t xml:space="preserve"> </w:t>
      </w:r>
      <w:r w:rsidRPr="00E61612">
        <w:t>access to certain areas of plant and information)</w:t>
      </w:r>
      <w:r>
        <w:t xml:space="preserve"> without impacting the safety or security of the facility. </w:t>
      </w:r>
    </w:p>
    <w:p w14:paraId="7B41E40F" w14:textId="77777777" w:rsidR="00892629" w:rsidRPr="00E61612" w:rsidRDefault="00892629" w:rsidP="003B67F9">
      <w:pPr>
        <w:pStyle w:val="NumList1"/>
      </w:pPr>
      <w:r w:rsidRPr="00E61612">
        <w:t>Note</w:t>
      </w:r>
      <w:r>
        <w:t xml:space="preserve"> and challenge</w:t>
      </w:r>
      <w:r w:rsidRPr="00E61612">
        <w:t xml:space="preserve"> any operations that appear to fall outside safety or security </w:t>
      </w:r>
      <w:r>
        <w:t>expected good</w:t>
      </w:r>
      <w:r w:rsidRPr="00E61612">
        <w:t xml:space="preserve"> practice</w:t>
      </w:r>
      <w:r>
        <w:t>.</w:t>
      </w:r>
      <w:r w:rsidRPr="00E61612">
        <w:t xml:space="preserve"> </w:t>
      </w:r>
    </w:p>
    <w:p w14:paraId="29D71441" w14:textId="49308D03" w:rsidR="00892629" w:rsidRPr="00E61612" w:rsidRDefault="00892629" w:rsidP="003B67F9">
      <w:pPr>
        <w:pStyle w:val="NumList1"/>
      </w:pPr>
      <w:r w:rsidRPr="00E61612">
        <w:t>Challenge any behaviours</w:t>
      </w:r>
      <w:r w:rsidR="00DA6493">
        <w:t>/</w:t>
      </w:r>
      <w:r w:rsidRPr="00E61612">
        <w:t>activities</w:t>
      </w:r>
      <w:r>
        <w:t xml:space="preserve"> </w:t>
      </w:r>
      <w:r w:rsidRPr="00E61612">
        <w:t>that would appear to result in clear and present danger</w:t>
      </w:r>
      <w:r>
        <w:t>.</w:t>
      </w:r>
    </w:p>
    <w:p w14:paraId="3B30BE61" w14:textId="699BF79B" w:rsidR="00892629" w:rsidRPr="00E61612" w:rsidRDefault="00892629" w:rsidP="003B67F9">
      <w:pPr>
        <w:pStyle w:val="NumList1"/>
      </w:pPr>
      <w:r w:rsidRPr="00E61612">
        <w:t>Where activities appear to be unsafe</w:t>
      </w:r>
      <w:r w:rsidR="00DA6493">
        <w:t>/</w:t>
      </w:r>
      <w:r w:rsidRPr="00E61612">
        <w:t xml:space="preserve">represent poor security behaviour report these to the relevant </w:t>
      </w:r>
      <w:r>
        <w:t>ONR inspector.</w:t>
      </w:r>
      <w:r w:rsidRPr="00E61612">
        <w:t xml:space="preserve"> </w:t>
      </w:r>
    </w:p>
    <w:p w14:paraId="580474FD" w14:textId="2FEC68D3" w:rsidR="00892629" w:rsidRPr="00E61612" w:rsidRDefault="00892629" w:rsidP="003B67F9">
      <w:pPr>
        <w:pStyle w:val="NumList1"/>
      </w:pPr>
      <w:r w:rsidRPr="00E61612">
        <w:t xml:space="preserve">Ensure that the operator responds effectively to any relevant observations made by the </w:t>
      </w:r>
      <w:r>
        <w:t xml:space="preserve">IAEA </w:t>
      </w:r>
      <w:r w:rsidRPr="00E61612">
        <w:t>and</w:t>
      </w:r>
      <w:r w:rsidR="00DA6493">
        <w:t>/</w:t>
      </w:r>
      <w:r w:rsidRPr="00E61612">
        <w:t>or ONR during the inspection</w:t>
      </w:r>
      <w:r>
        <w:t>.</w:t>
      </w:r>
    </w:p>
    <w:p w14:paraId="3E090160" w14:textId="77777777" w:rsidR="00892629" w:rsidRPr="00E61612" w:rsidRDefault="00892629" w:rsidP="003B67F9">
      <w:pPr>
        <w:pStyle w:val="NumList1"/>
      </w:pPr>
      <w:r w:rsidRPr="00E61612">
        <w:t xml:space="preserve">Ensure that </w:t>
      </w:r>
      <w:r>
        <w:t xml:space="preserve">the IAEA </w:t>
      </w:r>
      <w:r w:rsidRPr="00E61612">
        <w:t>does not work outside the scope of the relevant international agreement</w:t>
      </w:r>
      <w:r>
        <w:t>,</w:t>
      </w:r>
      <w:r w:rsidRPr="00E61612">
        <w:t xml:space="preserve"> including access and information requests</w:t>
      </w:r>
      <w:r>
        <w:t>.</w:t>
      </w:r>
    </w:p>
    <w:p w14:paraId="7A869630" w14:textId="77777777" w:rsidR="00892629" w:rsidRPr="00E61612" w:rsidRDefault="00892629" w:rsidP="003B67F9">
      <w:pPr>
        <w:pStyle w:val="NumList1"/>
      </w:pPr>
      <w:r w:rsidRPr="00E61612">
        <w:t>Challenge requests for any activities that appear to result in</w:t>
      </w:r>
      <w:r>
        <w:t xml:space="preserve"> unnecessary risk,</w:t>
      </w:r>
      <w:r w:rsidRPr="00E61612">
        <w:t xml:space="preserve"> or are outside local rules</w:t>
      </w:r>
      <w:r>
        <w:t>.</w:t>
      </w:r>
    </w:p>
    <w:p w14:paraId="6C9AE7C5" w14:textId="77777777" w:rsidR="00892629" w:rsidRPr="00E61612" w:rsidRDefault="00892629" w:rsidP="003B67F9">
      <w:pPr>
        <w:pStyle w:val="NumList2"/>
      </w:pPr>
      <w:r w:rsidRPr="008B0907">
        <w:t xml:space="preserve">Act as the UK and ONR representative </w:t>
      </w:r>
      <w:r w:rsidRPr="00E61612">
        <w:t xml:space="preserve">with respect to outcomes of the </w:t>
      </w:r>
      <w:r>
        <w:t xml:space="preserve">IAEA </w:t>
      </w:r>
      <w:r w:rsidRPr="00E61612">
        <w:t>inspection</w:t>
      </w:r>
      <w:r>
        <w:t xml:space="preserve">, including receipt of the formal </w:t>
      </w:r>
      <w:r w:rsidRPr="00EB242E">
        <w:t xml:space="preserve">IAEA report </w:t>
      </w:r>
      <w:r>
        <w:t xml:space="preserve">on the inspection results and </w:t>
      </w:r>
      <w:r w:rsidRPr="00EB242E">
        <w:t xml:space="preserve">conclusions </w:t>
      </w:r>
      <w:r>
        <w:t>as specified in the VOA. The ONR inspector should:</w:t>
      </w:r>
    </w:p>
    <w:p w14:paraId="0DBA5A85" w14:textId="77777777" w:rsidR="00892629" w:rsidRPr="00E61612" w:rsidRDefault="00892629" w:rsidP="004F261E">
      <w:pPr>
        <w:pStyle w:val="NumList1"/>
        <w:numPr>
          <w:ilvl w:val="0"/>
          <w:numId w:val="22"/>
        </w:numPr>
        <w:ind w:left="1843"/>
      </w:pPr>
      <w:r w:rsidRPr="00E61612">
        <w:t xml:space="preserve">Share </w:t>
      </w:r>
      <w:r>
        <w:t>ONR</w:t>
      </w:r>
      <w:r w:rsidRPr="00E61612">
        <w:t xml:space="preserve"> observations </w:t>
      </w:r>
      <w:r>
        <w:t>with the operator in the first instance and, if appropriate, with the IAEA.</w:t>
      </w:r>
    </w:p>
    <w:p w14:paraId="412F4DCC" w14:textId="77777777" w:rsidR="00892629" w:rsidRPr="00E61612" w:rsidRDefault="00892629" w:rsidP="003B67F9">
      <w:pPr>
        <w:pStyle w:val="NumList1"/>
      </w:pPr>
      <w:r w:rsidRPr="00E61612">
        <w:t xml:space="preserve">Discuss the outcomes of the </w:t>
      </w:r>
      <w:r>
        <w:t xml:space="preserve">IAEA </w:t>
      </w:r>
      <w:r w:rsidRPr="00E61612">
        <w:t xml:space="preserve">inspection </w:t>
      </w:r>
      <w:r>
        <w:t>with</w:t>
      </w:r>
      <w:r w:rsidRPr="00E61612">
        <w:t xml:space="preserve"> the operator and ensure the correct level of understanding</w:t>
      </w:r>
      <w:r>
        <w:t>.</w:t>
      </w:r>
      <w:r w:rsidRPr="00E61612">
        <w:t xml:space="preserve"> </w:t>
      </w:r>
    </w:p>
    <w:p w14:paraId="4EC86EC3" w14:textId="77777777" w:rsidR="00892629" w:rsidRPr="00E61612" w:rsidRDefault="00892629" w:rsidP="003B67F9">
      <w:pPr>
        <w:pStyle w:val="NumList1"/>
      </w:pPr>
      <w:r w:rsidRPr="00E61612">
        <w:t>Post</w:t>
      </w:r>
      <w:r>
        <w:t>-</w:t>
      </w:r>
      <w:r w:rsidRPr="00E61612">
        <w:t>inspection</w:t>
      </w:r>
      <w:r>
        <w:t>,</w:t>
      </w:r>
      <w:r w:rsidRPr="00E61612">
        <w:t xml:space="preserve"> share the formal report from the </w:t>
      </w:r>
      <w:r>
        <w:t>IAEA with the operator.</w:t>
      </w:r>
    </w:p>
    <w:p w14:paraId="7A4E1F01" w14:textId="77777777" w:rsidR="00892629" w:rsidRPr="00E61612" w:rsidRDefault="00892629" w:rsidP="003B67F9">
      <w:pPr>
        <w:pStyle w:val="NumList1"/>
      </w:pPr>
      <w:r w:rsidRPr="00E61612">
        <w:lastRenderedPageBreak/>
        <w:t>U</w:t>
      </w:r>
      <w:r>
        <w:t>se</w:t>
      </w:r>
      <w:r w:rsidRPr="00E61612">
        <w:t xml:space="preserve"> the outcomes of the inspection to inform future ONR regulatory activities</w:t>
      </w:r>
      <w:r>
        <w:t xml:space="preserve">. </w:t>
      </w:r>
    </w:p>
    <w:p w14:paraId="22086659" w14:textId="77777777" w:rsidR="00892629" w:rsidRPr="00E61612" w:rsidRDefault="00892629" w:rsidP="003B67F9">
      <w:pPr>
        <w:pStyle w:val="NumList1"/>
      </w:pPr>
      <w:r w:rsidRPr="00E61612">
        <w:t>Ensure follow</w:t>
      </w:r>
      <w:r>
        <w:t xml:space="preserve"> up</w:t>
      </w:r>
      <w:r w:rsidRPr="00E61612">
        <w:t xml:space="preserve"> of outcomes of inspection and close out of issues raised</w:t>
      </w:r>
      <w:r>
        <w:t>.</w:t>
      </w:r>
    </w:p>
    <w:p w14:paraId="374B16E9" w14:textId="77777777" w:rsidR="00892629" w:rsidRPr="001422C9" w:rsidRDefault="00892629" w:rsidP="003B67F9">
      <w:pPr>
        <w:pStyle w:val="NumList1"/>
      </w:pPr>
      <w:r w:rsidRPr="00E61612">
        <w:t xml:space="preserve">Ensure </w:t>
      </w:r>
      <w:r>
        <w:t>relevant learning</w:t>
      </w:r>
      <w:r w:rsidRPr="00E61612">
        <w:t xml:space="preserve"> is shared </w:t>
      </w:r>
      <w:r>
        <w:t xml:space="preserve">within ONR and with the operator </w:t>
      </w:r>
      <w:r w:rsidRPr="00E61612">
        <w:t xml:space="preserve">at </w:t>
      </w:r>
      <w:r>
        <w:t xml:space="preserve">the </w:t>
      </w:r>
      <w:r w:rsidRPr="00E61612">
        <w:t xml:space="preserve">close out meeting and </w:t>
      </w:r>
      <w:r>
        <w:t>after</w:t>
      </w:r>
      <w:r w:rsidRPr="00E61612">
        <w:t xml:space="preserve"> the inspection</w:t>
      </w:r>
      <w:r>
        <w:t>.</w:t>
      </w:r>
    </w:p>
    <w:p w14:paraId="13A57783" w14:textId="747BEE25" w:rsidR="00A401FA" w:rsidRDefault="00892629" w:rsidP="004A31C3">
      <w:pPr>
        <w:pStyle w:val="F9-Paragraph"/>
      </w:pPr>
      <w:r>
        <w:t xml:space="preserve">During an IAEA inspection, the ONR inspector should be aware that any observed operator shortfall reflects on ONR and the UK as well as the operator. The ONR inspector should carefully consider whether any such observations </w:t>
      </w:r>
      <w:r>
        <w:rPr>
          <w:rFonts w:ascii="Helvetica" w:eastAsiaTheme="minorHAnsi" w:hAnsi="Helvetica" w:cs="Helvetica"/>
        </w:rPr>
        <w:t>should form part of the facilitation inspection or whether they would be better raised and considered separately with the operator. The ONR inspector should consider the different objectives of the ONR and IAEA with regards to safeguards.</w:t>
      </w:r>
    </w:p>
    <w:p w14:paraId="0C43E0C4" w14:textId="77777777" w:rsidR="00892629" w:rsidRPr="001E3CB9" w:rsidRDefault="00892629" w:rsidP="00DD7520">
      <w:pPr>
        <w:pStyle w:val="Heading2"/>
      </w:pPr>
      <w:r>
        <w:t>Cross functional inspection</w:t>
      </w:r>
    </w:p>
    <w:p w14:paraId="231289C2" w14:textId="77777777" w:rsidR="00892629" w:rsidRDefault="00892629" w:rsidP="004A31C3">
      <w:pPr>
        <w:pStyle w:val="F9-Paragraph"/>
      </w:pPr>
      <w:r>
        <w:t>I</w:t>
      </w:r>
      <w:r w:rsidRPr="001E3CB9">
        <w:t xml:space="preserve">nspections </w:t>
      </w:r>
      <w:r>
        <w:t>may be</w:t>
      </w:r>
      <w:r w:rsidRPr="001E3CB9">
        <w:t xml:space="preserve"> undertaken </w:t>
      </w:r>
      <w:r>
        <w:t>in conjunction with</w:t>
      </w:r>
      <w:r w:rsidRPr="001E3CB9">
        <w:t xml:space="preserve"> </w:t>
      </w:r>
      <w:r>
        <w:t>inspectors</w:t>
      </w:r>
      <w:r w:rsidRPr="001E3CB9">
        <w:t xml:space="preserve"> from ONR</w:t>
      </w:r>
      <w:r>
        <w:t>’s other</w:t>
      </w:r>
      <w:r w:rsidRPr="001E3CB9">
        <w:t xml:space="preserve"> </w:t>
      </w:r>
      <w:r>
        <w:t>regulatory purposes</w:t>
      </w:r>
      <w:r w:rsidRPr="001E3CB9">
        <w:t xml:space="preserve">. The guidance in this section is aimed at all </w:t>
      </w:r>
      <w:r>
        <w:t>inspector</w:t>
      </w:r>
      <w:r w:rsidRPr="001E3CB9">
        <w:t>s who</w:t>
      </w:r>
      <w:r>
        <w:t xml:space="preserve"> participate in such inspections that are either </w:t>
      </w:r>
      <w:r w:rsidRPr="001E3CB9">
        <w:t xml:space="preserve">safeguards-focussed </w:t>
      </w:r>
      <w:r>
        <w:t>or have a safeguards element. Joint inspections</w:t>
      </w:r>
      <w:r w:rsidRPr="001E3CB9">
        <w:t xml:space="preserve"> should be considered </w:t>
      </w:r>
      <w:r>
        <w:t xml:space="preserve">at the planning stages of ONRs </w:t>
      </w:r>
      <w:r w:rsidRPr="001E3CB9">
        <w:t>annual</w:t>
      </w:r>
      <w:r>
        <w:t xml:space="preserve"> safeguards</w:t>
      </w:r>
      <w:r w:rsidRPr="001E3CB9">
        <w:t xml:space="preserve"> </w:t>
      </w:r>
      <w:r>
        <w:t>i</w:t>
      </w:r>
      <w:r w:rsidRPr="001E3CB9">
        <w:t xml:space="preserve">ntervention </w:t>
      </w:r>
      <w:r>
        <w:t>plan, but may continue to evolve as other purposes’ plans develop and safeguards inspectors should seek opportunities to work with other ONR purposes where possible.</w:t>
      </w:r>
    </w:p>
    <w:p w14:paraId="193BA70E" w14:textId="3A61CFE3" w:rsidR="00892629" w:rsidRDefault="00892629" w:rsidP="004A31C3">
      <w:pPr>
        <w:pStyle w:val="F9-Paragraph"/>
      </w:pPr>
      <w:r>
        <w:t>Multi-discipline ONR</w:t>
      </w:r>
      <w:r w:rsidRPr="001E3CB9">
        <w:t xml:space="preserve"> inspections </w:t>
      </w:r>
      <w:r>
        <w:t xml:space="preserve">exploit the </w:t>
      </w:r>
      <w:r w:rsidRPr="001E3CB9">
        <w:t xml:space="preserve">synergies between </w:t>
      </w:r>
      <w:r>
        <w:t>different</w:t>
      </w:r>
      <w:r w:rsidRPr="001E3CB9">
        <w:t xml:space="preserve"> specialisms. For example, an inspection o</w:t>
      </w:r>
      <w:r>
        <w:t>n</w:t>
      </w:r>
      <w:r w:rsidRPr="001E3CB9">
        <w:t xml:space="preserve"> the control of nuclear material on site c</w:t>
      </w:r>
      <w:r>
        <w:t>ould</w:t>
      </w:r>
      <w:r w:rsidRPr="001E3CB9">
        <w:t xml:space="preserve"> cover compliance inspections of </w:t>
      </w:r>
      <w:r>
        <w:t>both NSR19</w:t>
      </w:r>
      <w:r w:rsidRPr="001E3CB9">
        <w:t xml:space="preserve"> and site </w:t>
      </w:r>
      <w:r w:rsidR="00D301A2">
        <w:t>L</w:t>
      </w:r>
      <w:r w:rsidRPr="001E3CB9">
        <w:t xml:space="preserve">icence </w:t>
      </w:r>
      <w:r w:rsidR="00D301A2">
        <w:t>C</w:t>
      </w:r>
      <w:r w:rsidRPr="001E3CB9">
        <w:t xml:space="preserve">ondition </w:t>
      </w:r>
      <w:r w:rsidR="00D301A2">
        <w:t xml:space="preserve">(LC) </w:t>
      </w:r>
      <w:r w:rsidRPr="001E3CB9">
        <w:t>4 (Restrictions on nuclear matter on site)</w:t>
      </w:r>
      <w:r>
        <w:t>;</w:t>
      </w:r>
      <w:r w:rsidRPr="001E3CB9">
        <w:t xml:space="preserve"> </w:t>
      </w:r>
      <w:r>
        <w:t>this approach may be more efficient and overall may reduce the cost to operators.</w:t>
      </w:r>
    </w:p>
    <w:p w14:paraId="208473D1" w14:textId="291247CE" w:rsidR="00892629" w:rsidRDefault="00892629" w:rsidP="004A31C3">
      <w:pPr>
        <w:pStyle w:val="F9-Paragraph"/>
      </w:pPr>
      <w:r w:rsidRPr="001E3CB9">
        <w:t xml:space="preserve">Before undertaking </w:t>
      </w:r>
      <w:r>
        <w:t>a joint inspection</w:t>
      </w:r>
      <w:r w:rsidRPr="001E3CB9">
        <w:t>,</w:t>
      </w:r>
      <w:r>
        <w:t xml:space="preserve"> an inspector should</w:t>
      </w:r>
      <w:r w:rsidRPr="001E3CB9">
        <w:t xml:space="preserve"> consult the ONR </w:t>
      </w:r>
      <w:r w:rsidR="00D301A2">
        <w:t>G</w:t>
      </w:r>
      <w:r>
        <w:t xml:space="preserve">eneral </w:t>
      </w:r>
      <w:r w:rsidR="00D301A2">
        <w:t>I</w:t>
      </w:r>
      <w:r>
        <w:t xml:space="preserve">nspection </w:t>
      </w:r>
      <w:r w:rsidR="00D301A2">
        <w:t>G</w:t>
      </w:r>
      <w:r>
        <w:t>uid</w:t>
      </w:r>
      <w:r w:rsidR="00D301A2">
        <w:t>e</w:t>
      </w:r>
      <w:sdt>
        <w:sdtPr>
          <w:id w:val="1596748848"/>
          <w:citation/>
        </w:sdtPr>
        <w:sdtEndPr/>
        <w:sdtContent>
          <w:r w:rsidR="00D301A2">
            <w:fldChar w:fldCharType="begin"/>
          </w:r>
          <w:r w:rsidR="00D301A2">
            <w:instrText xml:space="preserve"> CITATION ONR34 \l 2057 </w:instrText>
          </w:r>
          <w:r w:rsidR="00D301A2">
            <w:fldChar w:fldCharType="separate"/>
          </w:r>
          <w:r w:rsidR="00DA6493">
            <w:rPr>
              <w:noProof/>
            </w:rPr>
            <w:t xml:space="preserve"> </w:t>
          </w:r>
          <w:r w:rsidR="00DA6493" w:rsidRPr="00DA6493">
            <w:rPr>
              <w:noProof/>
            </w:rPr>
            <w:t>[3]</w:t>
          </w:r>
          <w:r w:rsidR="00D301A2">
            <w:fldChar w:fldCharType="end"/>
          </w:r>
        </w:sdtContent>
      </w:sdt>
      <w:r w:rsidRPr="001E3CB9">
        <w:t xml:space="preserve">, to understand the objectives of the different inspection types and specialisms. </w:t>
      </w:r>
    </w:p>
    <w:p w14:paraId="145BE774" w14:textId="77777777" w:rsidR="00892629" w:rsidRDefault="00892629" w:rsidP="004A31C3">
      <w:pPr>
        <w:pStyle w:val="F9-Paragraph"/>
      </w:pPr>
      <w:r>
        <w:t>When planning such inspections, the following points should be followed:</w:t>
      </w:r>
    </w:p>
    <w:p w14:paraId="24CB0E68" w14:textId="77777777" w:rsidR="00892629" w:rsidRDefault="00892629" w:rsidP="004F261E">
      <w:pPr>
        <w:pStyle w:val="NumList2"/>
        <w:numPr>
          <w:ilvl w:val="1"/>
          <w:numId w:val="23"/>
        </w:numPr>
        <w:ind w:left="1276"/>
      </w:pPr>
      <w:r>
        <w:t>The site safeguards lead inspector should use their knowledge and experience of the site to coordinate the safeguards input to the inspections. Ideally these will be captured in advance in the relevant inspection plan.</w:t>
      </w:r>
    </w:p>
    <w:p w14:paraId="1CF46747" w14:textId="77777777" w:rsidR="00892629" w:rsidRDefault="00892629" w:rsidP="003B67F9">
      <w:pPr>
        <w:pStyle w:val="NumList2"/>
      </w:pPr>
      <w:r>
        <w:t xml:space="preserve">The vires for all ONR regulatory purposes should be </w:t>
      </w:r>
      <w:r w:rsidRPr="00010356">
        <w:t>clearly</w:t>
      </w:r>
      <w:r>
        <w:t xml:space="preserve"> </w:t>
      </w:r>
      <w:r w:rsidRPr="00010356">
        <w:t>communicated to those involved</w:t>
      </w:r>
      <w:r>
        <w:t xml:space="preserve"> at the facility to be inspected.</w:t>
      </w:r>
    </w:p>
    <w:p w14:paraId="672ACACF" w14:textId="6E913A7E" w:rsidR="00892629" w:rsidRDefault="00892629" w:rsidP="003B67F9">
      <w:pPr>
        <w:pStyle w:val="NumList2"/>
      </w:pPr>
      <w:r>
        <w:lastRenderedPageBreak/>
        <w:t xml:space="preserve">The technical guidance associated with the aims of the inspection </w:t>
      </w:r>
      <w:r w:rsidR="00D301A2">
        <w:br/>
        <w:t>(for example,</w:t>
      </w:r>
      <w:r>
        <w:t xml:space="preserve"> LC4) should be reviewed, differing expectations noted, and each purpose’s outcomes embedded within the inspection plan.</w:t>
      </w:r>
    </w:p>
    <w:p w14:paraId="6FB353FE" w14:textId="77777777" w:rsidR="00892629" w:rsidRDefault="00892629" w:rsidP="004A31C3">
      <w:pPr>
        <w:pStyle w:val="F9-Paragraph"/>
      </w:pPr>
      <w:r>
        <w:t>Examples of where joint inspections may be considered include but are not limited to:</w:t>
      </w:r>
    </w:p>
    <w:p w14:paraId="4DAA2D96" w14:textId="08E78B49" w:rsidR="00892629" w:rsidRDefault="00892629" w:rsidP="004F261E">
      <w:pPr>
        <w:pStyle w:val="NumList2"/>
        <w:numPr>
          <w:ilvl w:val="1"/>
          <w:numId w:val="24"/>
        </w:numPr>
        <w:ind w:left="1276"/>
      </w:pPr>
      <w:r>
        <w:t>For QNFLO operators, there may exist opportunities to work with ONR’s transport specialism, security</w:t>
      </w:r>
      <w:r w:rsidR="003C23CC">
        <w:t>,</w:t>
      </w:r>
      <w:r>
        <w:t xml:space="preserve"> and supply chain specialists as there are overlaps in those operators.</w:t>
      </w:r>
    </w:p>
    <w:p w14:paraId="14A3A624" w14:textId="4A94D05E" w:rsidR="00892629" w:rsidRDefault="00892629" w:rsidP="003B67F9">
      <w:pPr>
        <w:pStyle w:val="NumList2"/>
      </w:pPr>
      <w:r>
        <w:t xml:space="preserve">Several </w:t>
      </w:r>
      <w:r w:rsidR="00D301A2">
        <w:t xml:space="preserve">LCs </w:t>
      </w:r>
      <w:r>
        <w:t>have overlap with safeguards objectives. For example:</w:t>
      </w:r>
    </w:p>
    <w:p w14:paraId="652973F7" w14:textId="77777777" w:rsidR="00892629" w:rsidRDefault="00892629" w:rsidP="004F261E">
      <w:pPr>
        <w:pStyle w:val="NumList1"/>
        <w:numPr>
          <w:ilvl w:val="0"/>
          <w:numId w:val="25"/>
        </w:numPr>
        <w:ind w:left="1843"/>
      </w:pPr>
      <w:r>
        <w:t>LC4 Restrictions on nuclear matter on the site</w:t>
      </w:r>
    </w:p>
    <w:p w14:paraId="0252B01D" w14:textId="77777777" w:rsidR="00892629" w:rsidRDefault="00892629" w:rsidP="003B67F9">
      <w:pPr>
        <w:pStyle w:val="NumList1"/>
      </w:pPr>
      <w:r>
        <w:t>LC5 Consignment of nuclear matter</w:t>
      </w:r>
    </w:p>
    <w:p w14:paraId="393AF2CC" w14:textId="77777777" w:rsidR="00892629" w:rsidRDefault="00892629" w:rsidP="003B67F9">
      <w:pPr>
        <w:pStyle w:val="NumList1"/>
      </w:pPr>
      <w:r>
        <w:t xml:space="preserve">LC25 </w:t>
      </w:r>
      <w:r w:rsidRPr="008D0515">
        <w:t>Operational records</w:t>
      </w:r>
    </w:p>
    <w:p w14:paraId="258140AC" w14:textId="77777777" w:rsidR="00892629" w:rsidRDefault="00892629" w:rsidP="003B67F9">
      <w:pPr>
        <w:pStyle w:val="NumList1"/>
      </w:pPr>
      <w:r>
        <w:t>LC</w:t>
      </w:r>
      <w:r w:rsidRPr="000B0D65">
        <w:t>10 Training</w:t>
      </w:r>
      <w:r>
        <w:t xml:space="preserve"> – While the operator personnel/areas being inspected by other ONR purposes may not always overlap with safeguards objectives, the methodologies, and effectiveness of training is relevant to all ONR purposes</w:t>
      </w:r>
    </w:p>
    <w:p w14:paraId="6A9AD8AE" w14:textId="77777777" w:rsidR="00892629" w:rsidRPr="00470FFB" w:rsidRDefault="00892629" w:rsidP="003B67F9">
      <w:pPr>
        <w:pStyle w:val="NumList1"/>
      </w:pPr>
      <w:r w:rsidRPr="00470FFB">
        <w:t>LC36 Organisational capability – Changes to th</w:t>
      </w:r>
      <w:r>
        <w:t>e structure of an operator, roles, responsibilities, and accountabilities of operator personnel may be relevant to several ONR purposes.</w:t>
      </w:r>
    </w:p>
    <w:p w14:paraId="51776F04" w14:textId="77777777" w:rsidR="00892629" w:rsidRDefault="00892629" w:rsidP="003B67F9">
      <w:pPr>
        <w:pStyle w:val="NumList2"/>
      </w:pPr>
      <w:r>
        <w:t>Specific activities being conducted by the operator, for example:</w:t>
      </w:r>
    </w:p>
    <w:p w14:paraId="6DEAC431" w14:textId="77777777" w:rsidR="00892629" w:rsidRDefault="00892629" w:rsidP="004F261E">
      <w:pPr>
        <w:pStyle w:val="NumList1"/>
        <w:numPr>
          <w:ilvl w:val="0"/>
          <w:numId w:val="26"/>
        </w:numPr>
        <w:ind w:left="1843"/>
      </w:pPr>
      <w:r>
        <w:t>Construction of new facilities which may affect the safeguards-relevant design information or the ACP</w:t>
      </w:r>
    </w:p>
    <w:p w14:paraId="6275808A" w14:textId="77777777" w:rsidR="00892629" w:rsidRDefault="00892629" w:rsidP="003B67F9">
      <w:pPr>
        <w:pStyle w:val="NumList1"/>
      </w:pPr>
      <w:r>
        <w:t>New activities at operator facilities – for example new analysis being performed, or new QNM flow routes or inventory locations</w:t>
      </w:r>
    </w:p>
    <w:p w14:paraId="50D107F9" w14:textId="77777777" w:rsidR="00892629" w:rsidRDefault="00892629" w:rsidP="003B67F9">
      <w:pPr>
        <w:pStyle w:val="NumList1"/>
      </w:pPr>
      <w:r>
        <w:t>Changes in QNF lifecycle phases – for example permanent shutdown of a reactor, or movement towards fuel free status</w:t>
      </w:r>
    </w:p>
    <w:p w14:paraId="7E2BAD20" w14:textId="77777777" w:rsidR="00892629" w:rsidRDefault="00892629" w:rsidP="003B67F9">
      <w:pPr>
        <w:pStyle w:val="NumList1"/>
      </w:pPr>
      <w:r>
        <w:t>Handover of a site or MBA from one operator to another</w:t>
      </w:r>
    </w:p>
    <w:p w14:paraId="6C9DA460" w14:textId="77777777" w:rsidR="00892629" w:rsidRDefault="00892629" w:rsidP="003B67F9">
      <w:pPr>
        <w:pStyle w:val="NumList2"/>
      </w:pPr>
      <w:r>
        <w:t>Areas needing specialist support, for example:</w:t>
      </w:r>
    </w:p>
    <w:p w14:paraId="76B7EB89" w14:textId="77777777" w:rsidR="00892629" w:rsidRDefault="00892629" w:rsidP="004F261E">
      <w:pPr>
        <w:pStyle w:val="NumList1"/>
        <w:numPr>
          <w:ilvl w:val="0"/>
          <w:numId w:val="27"/>
        </w:numPr>
        <w:ind w:left="1843"/>
      </w:pPr>
      <w:r>
        <w:t>Cyber security – The security of accountancy information and how operators ensure the security of their systems</w:t>
      </w:r>
    </w:p>
    <w:p w14:paraId="08D3DFEF" w14:textId="77777777" w:rsidR="00892629" w:rsidRDefault="00892629" w:rsidP="003B67F9">
      <w:pPr>
        <w:pStyle w:val="NumList1"/>
      </w:pPr>
      <w:r>
        <w:t>Complex areas of a QNF</w:t>
      </w:r>
    </w:p>
    <w:p w14:paraId="43427C5C" w14:textId="7E7691E3" w:rsidR="00892629" w:rsidRDefault="00892629" w:rsidP="003B67F9">
      <w:pPr>
        <w:pStyle w:val="NumList1"/>
      </w:pPr>
      <w:r>
        <w:t>Specialist software or scientific processes – For example the nuclear transformations which occur inside a reactor are modelled using specialist software</w:t>
      </w:r>
      <w:r w:rsidR="00D301A2">
        <w:t>.</w:t>
      </w:r>
    </w:p>
    <w:p w14:paraId="68A9B986" w14:textId="44D6C5FF" w:rsidR="00892629" w:rsidRDefault="00892629" w:rsidP="003B67F9">
      <w:pPr>
        <w:pStyle w:val="NumList2"/>
      </w:pPr>
      <w:r>
        <w:lastRenderedPageBreak/>
        <w:t>Commissioning of new facilities which would benefit from safeguards by design</w:t>
      </w:r>
      <w:r w:rsidR="00D301A2">
        <w:t>:</w:t>
      </w:r>
    </w:p>
    <w:p w14:paraId="523F3D4B" w14:textId="25C7B1E5" w:rsidR="00892629" w:rsidRDefault="00892629" w:rsidP="004F261E">
      <w:pPr>
        <w:pStyle w:val="NumList1"/>
        <w:numPr>
          <w:ilvl w:val="0"/>
          <w:numId w:val="28"/>
        </w:numPr>
        <w:ind w:left="1843"/>
      </w:pPr>
      <w:r>
        <w:t>GDA activities</w:t>
      </w:r>
    </w:p>
    <w:p w14:paraId="2EB62447" w14:textId="79005E8D" w:rsidR="00D60BCB" w:rsidRDefault="00892629" w:rsidP="003B67F9">
      <w:pPr>
        <w:pStyle w:val="NumList1"/>
      </w:pPr>
      <w:r>
        <w:t>Other engagements and assessments of new and emerging technologies</w:t>
      </w:r>
      <w:r w:rsidR="00D60BCB">
        <w:br w:type="page"/>
      </w:r>
    </w:p>
    <w:p w14:paraId="25B0DAC6" w14:textId="77777777" w:rsidR="00821337" w:rsidRDefault="00821337" w:rsidP="00DD7520">
      <w:pPr>
        <w:pStyle w:val="Heading1"/>
        <w:numPr>
          <w:ilvl w:val="0"/>
          <w:numId w:val="0"/>
        </w:numPr>
        <w:ind w:left="851"/>
        <w:sectPr w:rsidR="00821337" w:rsidSect="003508FB">
          <w:pgSz w:w="11906" w:h="16838" w:code="9"/>
          <w:pgMar w:top="1440" w:right="1440" w:bottom="1440" w:left="1440" w:header="397" w:footer="397" w:gutter="0"/>
          <w:cols w:space="312"/>
          <w:docGrid w:linePitch="360"/>
        </w:sectPr>
      </w:pPr>
    </w:p>
    <w:p w14:paraId="1B038B42" w14:textId="6A1E6E64" w:rsidR="00B82646" w:rsidRDefault="009E0E52" w:rsidP="003B67F9">
      <w:pPr>
        <w:pStyle w:val="Heading1"/>
        <w:numPr>
          <w:ilvl w:val="0"/>
          <w:numId w:val="0"/>
        </w:numPr>
        <w:ind w:left="851"/>
      </w:pPr>
      <w:bookmarkStart w:id="8" w:name="_Toc235705906"/>
      <w:r>
        <w:lastRenderedPageBreak/>
        <w:t xml:space="preserve">Appendix </w:t>
      </w:r>
      <w:r w:rsidR="00D301A2">
        <w:t>1</w:t>
      </w:r>
      <w:r>
        <w:t xml:space="preserve"> – </w:t>
      </w:r>
      <w:r w:rsidR="00D301A2">
        <w:t>Compliance inspection: Nuclear material accountancy inspection activities</w:t>
      </w:r>
      <w:bookmarkEnd w:id="8"/>
    </w:p>
    <w:p w14:paraId="0796A0A2" w14:textId="77777777" w:rsidR="00D301A2" w:rsidRDefault="00D301A2" w:rsidP="004A31C3">
      <w:pPr>
        <w:pStyle w:val="F9-Paragraph"/>
        <w:numPr>
          <w:ilvl w:val="0"/>
          <w:numId w:val="29"/>
        </w:numPr>
        <w:ind w:left="851" w:hanging="851"/>
      </w:pPr>
      <w:r>
        <w:t xml:space="preserve">If an inspection includes aspects of nuclear material accountancy compliance within its scope, activities may include </w:t>
      </w:r>
      <w:r w:rsidRPr="001E3CB9">
        <w:t xml:space="preserve">ONR </w:t>
      </w:r>
      <w:r>
        <w:t>examination and inspection of operating and</w:t>
      </w:r>
      <w:r w:rsidRPr="001E3CB9">
        <w:t xml:space="preserve"> </w:t>
      </w:r>
      <w:r>
        <w:t>accounting records, associated nuclear material accounting reports</w:t>
      </w:r>
      <w:r w:rsidRPr="001E3CB9">
        <w:t xml:space="preserve"> and resolving any </w:t>
      </w:r>
      <w:r>
        <w:t>discrepancies or inconsistencies</w:t>
      </w:r>
      <w:r w:rsidRPr="001E3CB9">
        <w:t xml:space="preserve"> through site inspections. </w:t>
      </w:r>
    </w:p>
    <w:p w14:paraId="389D105D" w14:textId="77777777" w:rsidR="00D301A2" w:rsidRDefault="00D301A2" w:rsidP="004A31C3">
      <w:pPr>
        <w:pStyle w:val="F9-Paragraph"/>
      </w:pPr>
      <w:r>
        <w:t>Operating and accounting</w:t>
      </w:r>
      <w:r w:rsidRPr="001E3CB9">
        <w:t xml:space="preserve"> records are examined to establish a </w:t>
      </w:r>
      <w:r>
        <w:t xml:space="preserve">complete and </w:t>
      </w:r>
      <w:r w:rsidRPr="001E3CB9">
        <w:t>correct set of data and to provide confidence to ONR that the operator has an adequa</w:t>
      </w:r>
      <w:r>
        <w:t>te nuclear material accountancy and</w:t>
      </w:r>
      <w:r w:rsidRPr="001E3CB9">
        <w:t xml:space="preserve"> control system established. </w:t>
      </w:r>
    </w:p>
    <w:p w14:paraId="7C898B62" w14:textId="3AB931E6" w:rsidR="00D301A2" w:rsidRDefault="00D301A2" w:rsidP="004A31C3">
      <w:pPr>
        <w:pStyle w:val="F9-Paragraph"/>
      </w:pPr>
      <w:r w:rsidRPr="000E085F">
        <w:t>The basis of an inspection</w:t>
      </w:r>
      <w:r>
        <w:t xml:space="preserve"> considering nuclear material accountancy aspects</w:t>
      </w:r>
      <w:r w:rsidRPr="000E085F">
        <w:t xml:space="preserve"> is the information pr</w:t>
      </w:r>
      <w:r>
        <w:t>ovided to ONR in the accounting reports (</w:t>
      </w:r>
      <w:r w:rsidR="000D139B">
        <w:t>physical inventory listings (</w:t>
      </w:r>
      <w:r>
        <w:t>PILs</w:t>
      </w:r>
      <w:r w:rsidR="000D139B">
        <w:t>)</w:t>
      </w:r>
      <w:r>
        <w:t xml:space="preserve">, </w:t>
      </w:r>
      <w:r w:rsidR="000D139B">
        <w:t>material balance reports (</w:t>
      </w:r>
      <w:r>
        <w:t>MBRs</w:t>
      </w:r>
      <w:r w:rsidR="000D139B">
        <w:t>)</w:t>
      </w:r>
      <w:r>
        <w:t>,</w:t>
      </w:r>
      <w:r w:rsidR="000D139B">
        <w:t xml:space="preserve"> and inventory change reports</w:t>
      </w:r>
      <w:r>
        <w:t xml:space="preserve"> </w:t>
      </w:r>
      <w:r w:rsidR="007F01C6">
        <w:t>(</w:t>
      </w:r>
      <w:r w:rsidRPr="000E085F">
        <w:t>ICRs)</w:t>
      </w:r>
      <w:r w:rsidR="007F01C6">
        <w:t>)</w:t>
      </w:r>
      <w:r>
        <w:t xml:space="preserve"> other notifications</w:t>
      </w:r>
      <w:r w:rsidR="007F01C6">
        <w:t xml:space="preserve"> (e.g. advanced notifications of imports or exports of QNM </w:t>
      </w:r>
      <w:r w:rsidR="009D536D">
        <w:t>and /or requests for termination or withdrawal of QNM)</w:t>
      </w:r>
      <w:r w:rsidRPr="000E085F">
        <w:t xml:space="preserve">, and the operating and accounting records. These records are formed of primary data, known as “source data”, examples of which would be a measurement or a calibration result. Together, these records and reports form the starting point for the </w:t>
      </w:r>
      <w:r>
        <w:t>i</w:t>
      </w:r>
      <w:r w:rsidRPr="000E085F">
        <w:t xml:space="preserve">nspector when planning the scope of </w:t>
      </w:r>
      <w:r w:rsidR="00FE21DC">
        <w:t xml:space="preserve">an </w:t>
      </w:r>
      <w:r w:rsidRPr="000E085F">
        <w:t>accountancy</w:t>
      </w:r>
      <w:r>
        <w:t>-</w:t>
      </w:r>
      <w:r w:rsidRPr="000E085F">
        <w:t>focussed inspection.</w:t>
      </w:r>
      <w:r>
        <w:t xml:space="preserve"> The inspector should follow the thread of information from nuclear material accounting report back to the source data for any sample which they select to interrogate.</w:t>
      </w:r>
    </w:p>
    <w:p w14:paraId="43B5395E" w14:textId="77777777" w:rsidR="00D301A2" w:rsidRDefault="00D301A2" w:rsidP="004A31C3">
      <w:pPr>
        <w:pStyle w:val="F9-Paragraph"/>
      </w:pPr>
      <w:r>
        <w:t xml:space="preserve">As well as inspecting the information in the accounting reports, the inspector may examine the specific arrangements and procedures in place for nuclear material accountancy. This helps build overall confidence in the adequacy of the operator’s nuclear material accountancy arrangements. </w:t>
      </w:r>
    </w:p>
    <w:p w14:paraId="1A66B447" w14:textId="12A1AAD5" w:rsidR="00D301A2" w:rsidRPr="001E3CB9" w:rsidRDefault="00D301A2" w:rsidP="004A31C3">
      <w:pPr>
        <w:pStyle w:val="F9-Paragraph"/>
      </w:pPr>
      <w:r>
        <w:t xml:space="preserve">Those arrangements and procedures should be compliant with NSR19. </w:t>
      </w:r>
      <w:r w:rsidR="003B67F9">
        <w:br/>
      </w:r>
      <w:r>
        <w:t>For instance:</w:t>
      </w:r>
    </w:p>
    <w:p w14:paraId="711EB532" w14:textId="77777777" w:rsidR="00D301A2" w:rsidRPr="001E3CB9" w:rsidRDefault="00D301A2" w:rsidP="004F261E">
      <w:pPr>
        <w:pStyle w:val="NumList2"/>
        <w:numPr>
          <w:ilvl w:val="1"/>
          <w:numId w:val="30"/>
        </w:numPr>
        <w:ind w:left="1276"/>
      </w:pPr>
      <w:r>
        <w:t>The ACP for the QNF should describe the relevant procedures and arrangements in place for accountancy and control of QNM.</w:t>
      </w:r>
      <w:r w:rsidRPr="001E3CB9">
        <w:t xml:space="preserve"> </w:t>
      </w:r>
    </w:p>
    <w:p w14:paraId="421A4237" w14:textId="77777777" w:rsidR="00D301A2" w:rsidRDefault="00D301A2" w:rsidP="003B67F9">
      <w:pPr>
        <w:pStyle w:val="NumList2"/>
      </w:pPr>
      <w:r>
        <w:t>P</w:t>
      </w:r>
      <w:r w:rsidRPr="001E3CB9">
        <w:t xml:space="preserve">rocedures </w:t>
      </w:r>
      <w:r>
        <w:t xml:space="preserve">should be internally consistent with each other, valid, have an up-to-date review or change control history, identifying the appropriate responsible persons. </w:t>
      </w:r>
    </w:p>
    <w:p w14:paraId="046B05FC" w14:textId="77777777" w:rsidR="00D301A2" w:rsidRPr="001E3CB9" w:rsidRDefault="00D301A2" w:rsidP="003B67F9">
      <w:pPr>
        <w:pStyle w:val="NumList2"/>
      </w:pPr>
      <w:r>
        <w:t>It should be possible to establish</w:t>
      </w:r>
      <w:r w:rsidRPr="001E3CB9">
        <w:t xml:space="preserve"> instructions, methods and quality assurance requirements claimed in procedures have been followed and whether any changes made have been correctly incorporated and validated.</w:t>
      </w:r>
    </w:p>
    <w:p w14:paraId="18D14B66" w14:textId="77777777" w:rsidR="00D301A2" w:rsidRPr="001E3CB9" w:rsidRDefault="00D301A2" w:rsidP="003B67F9">
      <w:pPr>
        <w:pStyle w:val="NumList2"/>
      </w:pPr>
      <w:r w:rsidRPr="001E3CB9">
        <w:lastRenderedPageBreak/>
        <w:t xml:space="preserve">The arrangements should be readily available, up to date, </w:t>
      </w:r>
      <w:r>
        <w:t>approved</w:t>
      </w:r>
      <w:r w:rsidRPr="001E3CB9">
        <w:t xml:space="preserve"> by an appropriate </w:t>
      </w:r>
      <w:r>
        <w:t>authority, implemented on site</w:t>
      </w:r>
      <w:r w:rsidRPr="001E3CB9">
        <w:t xml:space="preserve"> and adequately controlled under a suitable system. </w:t>
      </w:r>
    </w:p>
    <w:p w14:paraId="30463A08" w14:textId="77777777" w:rsidR="00D301A2" w:rsidRPr="001E3CB9" w:rsidRDefault="00D301A2" w:rsidP="004A31C3">
      <w:pPr>
        <w:pStyle w:val="F9-Paragraph"/>
      </w:pPr>
      <w:r w:rsidRPr="001E3CB9">
        <w:t xml:space="preserve">The arrangements should show awareness of the reporting requirements placed on the operator as specified in </w:t>
      </w:r>
      <w:r>
        <w:t>NSR19</w:t>
      </w:r>
      <w:r w:rsidRPr="001E3CB9">
        <w:t>. These arrangements should reference the requirements for the following, as a minimum:</w:t>
      </w:r>
    </w:p>
    <w:p w14:paraId="112D24AB" w14:textId="2B904BF3" w:rsidR="00D301A2" w:rsidRPr="001E3CB9" w:rsidRDefault="00D301A2" w:rsidP="004F261E">
      <w:pPr>
        <w:pStyle w:val="NumList2"/>
        <w:numPr>
          <w:ilvl w:val="1"/>
          <w:numId w:val="31"/>
        </w:numPr>
        <w:ind w:left="1276"/>
      </w:pPr>
      <w:r w:rsidRPr="001E3CB9">
        <w:t>I</w:t>
      </w:r>
      <w:r>
        <w:t>CR</w:t>
      </w:r>
      <w:r w:rsidR="00411D6A">
        <w:t>s</w:t>
      </w:r>
      <w:r w:rsidRPr="001E3CB9">
        <w:t xml:space="preserve"> (</w:t>
      </w:r>
      <w:r>
        <w:t>Regulation</w:t>
      </w:r>
      <w:r w:rsidRPr="001E3CB9">
        <w:t xml:space="preserve"> 14)</w:t>
      </w:r>
    </w:p>
    <w:p w14:paraId="0BE46CD8" w14:textId="0D2DB76A" w:rsidR="00D301A2" w:rsidRDefault="00D301A2" w:rsidP="003B67F9">
      <w:pPr>
        <w:pStyle w:val="NumList2"/>
      </w:pPr>
      <w:r w:rsidRPr="001E3CB9">
        <w:t>M</w:t>
      </w:r>
      <w:r>
        <w:t>BR</w:t>
      </w:r>
      <w:r w:rsidR="00411D6A">
        <w:t>s</w:t>
      </w:r>
      <w:r>
        <w:t xml:space="preserve"> </w:t>
      </w:r>
      <w:r w:rsidRPr="001E3CB9">
        <w:t xml:space="preserve">and </w:t>
      </w:r>
      <w:r>
        <w:t>PIL</w:t>
      </w:r>
      <w:r w:rsidR="00411D6A">
        <w:t>s</w:t>
      </w:r>
      <w:r w:rsidRPr="001E3CB9">
        <w:t xml:space="preserve"> (</w:t>
      </w:r>
      <w:r>
        <w:t>Regulation</w:t>
      </w:r>
      <w:r w:rsidRPr="001E3CB9">
        <w:t xml:space="preserve"> 15)</w:t>
      </w:r>
    </w:p>
    <w:p w14:paraId="55306133" w14:textId="77777777" w:rsidR="00D301A2" w:rsidRDefault="00D301A2" w:rsidP="003B67F9">
      <w:pPr>
        <w:pStyle w:val="NumList2"/>
      </w:pPr>
      <w:r>
        <w:t>Special Reports (Regulation 16)</w:t>
      </w:r>
    </w:p>
    <w:p w14:paraId="3C0DCD5A" w14:textId="77777777" w:rsidR="00D301A2" w:rsidRPr="001E3CB9" w:rsidRDefault="00D301A2" w:rsidP="003B67F9">
      <w:pPr>
        <w:pStyle w:val="NumList2"/>
      </w:pPr>
      <w:r>
        <w:t>Exports and Imports (Regulations 21 and 22)</w:t>
      </w:r>
    </w:p>
    <w:p w14:paraId="788BB7C7" w14:textId="583D21EB" w:rsidR="00D301A2" w:rsidRDefault="00D301A2" w:rsidP="004A31C3">
      <w:pPr>
        <w:pStyle w:val="F9-Paragraph"/>
      </w:pPr>
      <w:bookmarkStart w:id="9" w:name="_Ref28079992"/>
      <w:r>
        <w:t xml:space="preserve">The ONMACS provides further clarity on what ONR considers to be good practice for accountancy arrangements </w:t>
      </w:r>
      <w:sdt>
        <w:sdtPr>
          <w:id w:val="837197887"/>
          <w:citation/>
        </w:sdtPr>
        <w:sdtEndPr/>
        <w:sdtContent>
          <w:r>
            <w:fldChar w:fldCharType="begin"/>
          </w:r>
          <w:r>
            <w:instrText xml:space="preserve">CITATION ONR232 \l 2057 </w:instrText>
          </w:r>
          <w:r>
            <w:fldChar w:fldCharType="separate"/>
          </w:r>
          <w:r w:rsidR="00DA6493" w:rsidRPr="00DA6493">
            <w:rPr>
              <w:noProof/>
            </w:rPr>
            <w:t>[11]</w:t>
          </w:r>
          <w:r>
            <w:fldChar w:fldCharType="end"/>
          </w:r>
        </w:sdtContent>
      </w:sdt>
      <w:r>
        <w:t>. Of relevance are ONMACS Fundamental Safeguards Expectations 6 – 9 which describe ONR expectations regarding QNM measurement, QNM tracking, data processing, and material balance evaluation, respectively.</w:t>
      </w:r>
    </w:p>
    <w:p w14:paraId="23165571" w14:textId="5C590E37" w:rsidR="00D301A2" w:rsidRDefault="00D301A2" w:rsidP="004A31C3">
      <w:pPr>
        <w:pStyle w:val="F9-Paragraph"/>
      </w:pPr>
      <w:r>
        <w:t>When including nuclear material accountancy aspects in an inspection</w:t>
      </w:r>
      <w:r w:rsidRPr="001E3CB9">
        <w:t xml:space="preserve">, the </w:t>
      </w:r>
      <w:r>
        <w:t>inspector</w:t>
      </w:r>
      <w:r w:rsidRPr="001E3CB9">
        <w:t xml:space="preserve"> sh</w:t>
      </w:r>
      <w:r>
        <w:t>ould work closely with the nuclear material accountancy specialist inspector</w:t>
      </w:r>
      <w:r w:rsidRPr="001E3CB9">
        <w:t xml:space="preserve"> designated to the relevant facility/site. The </w:t>
      </w:r>
      <w:r>
        <w:t>specialist inspector</w:t>
      </w:r>
      <w:r w:rsidRPr="001E3CB9">
        <w:t xml:space="preserve"> </w:t>
      </w:r>
      <w:r>
        <w:t>can provide relevant regulatory intelligence and the latest nuclear material accountancy assessment outcomes for the area including</w:t>
      </w:r>
      <w:r w:rsidRPr="001E3CB9">
        <w:t xml:space="preserve"> any </w:t>
      </w:r>
      <w:r w:rsidR="00DF64B7">
        <w:t xml:space="preserve">outstanding regulatory issues, </w:t>
      </w:r>
      <w:r w:rsidR="00496C2D">
        <w:t xml:space="preserve">ongoing incidents, </w:t>
      </w:r>
      <w:r>
        <w:t xml:space="preserve">unresolved anomalies, discrepancies, </w:t>
      </w:r>
      <w:r w:rsidRPr="001E3CB9">
        <w:t>unusual inventory changes</w:t>
      </w:r>
      <w:r>
        <w:t>, trends or other questions arising from analysis of the operator’s accounting reports and other submissions.</w:t>
      </w:r>
    </w:p>
    <w:p w14:paraId="2AD8852D" w14:textId="0502D722" w:rsidR="00D301A2" w:rsidRDefault="00D301A2" w:rsidP="004A31C3">
      <w:pPr>
        <w:pStyle w:val="F9-Paragraph"/>
      </w:pPr>
      <w:r>
        <w:t>Discrepancies and inconsistencies within accounting reports should be communicated to the operator as soon as possible after their detection</w:t>
      </w:r>
      <w:r w:rsidR="00405211">
        <w:t xml:space="preserve"> and consideration should be given to raising a regulatory issue to track their resolution to completion</w:t>
      </w:r>
      <w:r>
        <w:t xml:space="preserve">. </w:t>
      </w:r>
    </w:p>
    <w:p w14:paraId="4F79E0DE" w14:textId="77777777" w:rsidR="00D301A2" w:rsidRDefault="00D301A2" w:rsidP="004A31C3">
      <w:pPr>
        <w:pStyle w:val="F9-Paragraph"/>
      </w:pPr>
      <w:r>
        <w:t xml:space="preserve">ONR will use compliance inspections as a method of following-up on discrepancies, inconsistencies and requests for amplification or clarification (Regulation 12), special reports (Regulation 16), and unusual inventory changes that remain unresolved. These inspections allow the inspector to seek clarification where the accounting reports are difficult to understand without viewing the associated operating and accounting records. </w:t>
      </w:r>
    </w:p>
    <w:p w14:paraId="11B49678" w14:textId="77777777" w:rsidR="00D301A2" w:rsidRDefault="00D301A2" w:rsidP="004A31C3">
      <w:pPr>
        <w:pStyle w:val="F9-Paragraph"/>
      </w:pPr>
      <w:r>
        <w:t>Any operator reporting practices which have been recorded as regulatory issues within the Well Informed Regulatory Decisions (WIReD) system should also be considered during the inspection planning phase.</w:t>
      </w:r>
      <w:bookmarkEnd w:id="9"/>
      <w:r>
        <w:t xml:space="preserve"> </w:t>
      </w:r>
    </w:p>
    <w:p w14:paraId="52549135" w14:textId="77777777" w:rsidR="004A31C3" w:rsidRDefault="004A31C3" w:rsidP="004A31C3">
      <w:pPr>
        <w:pStyle w:val="F9-Paragraph"/>
        <w:sectPr w:rsidR="004A31C3" w:rsidSect="003508FB">
          <w:pgSz w:w="11906" w:h="16838" w:code="9"/>
          <w:pgMar w:top="1440" w:right="1440" w:bottom="1440" w:left="1440" w:header="397" w:footer="397" w:gutter="0"/>
          <w:cols w:space="312"/>
          <w:docGrid w:linePitch="360"/>
        </w:sectPr>
      </w:pPr>
      <w:bookmarkStart w:id="10" w:name="_Ref34315530"/>
    </w:p>
    <w:p w14:paraId="57FD29B2" w14:textId="75A7B8AD" w:rsidR="00D301A2" w:rsidRPr="001E3CB9" w:rsidRDefault="00D301A2" w:rsidP="004A31C3">
      <w:pPr>
        <w:pStyle w:val="F9-Paragraph"/>
      </w:pPr>
      <w:r>
        <w:lastRenderedPageBreak/>
        <w:t>The inspector should aim to sample the full breadth of inventory change types at a given MBA with a focus on corrections and unusual or rare inventory changes. All accidental loss, accidental gain, and new measurement transactions should be included in the inspectors sample.</w:t>
      </w:r>
      <w:bookmarkEnd w:id="10"/>
      <w:r>
        <w:t xml:space="preserve"> </w:t>
      </w:r>
      <w:r w:rsidR="007C1B90">
        <w:t xml:space="preserve">Likewise, any reported withdrawals </w:t>
      </w:r>
      <w:r w:rsidR="00857F27">
        <w:t xml:space="preserve">from safeguards or termination of safeguards should be sampled to ensure </w:t>
      </w:r>
      <w:r w:rsidR="00CB1C10">
        <w:t xml:space="preserve">there is traceable evidence of agreement or approval </w:t>
      </w:r>
      <w:r w:rsidR="007A2F31">
        <w:t xml:space="preserve">from ONR and the IAEA </w:t>
      </w:r>
      <w:r w:rsidR="00CB1C10">
        <w:t>to perform those operations.</w:t>
      </w:r>
    </w:p>
    <w:p w14:paraId="26358308" w14:textId="77777777" w:rsidR="00D301A2" w:rsidRDefault="00D301A2" w:rsidP="004A31C3">
      <w:pPr>
        <w:pStyle w:val="F9-Paragraph"/>
      </w:pPr>
      <w:r>
        <w:t>Operating records</w:t>
      </w:r>
      <w:r w:rsidRPr="001E3CB9">
        <w:t xml:space="preserve"> </w:t>
      </w:r>
      <w:r>
        <w:t>are</w:t>
      </w:r>
      <w:r w:rsidRPr="001E3CB9">
        <w:t xml:space="preserve"> those used for capturing data at the </w:t>
      </w:r>
      <w:r>
        <w:t xml:space="preserve">plant level </w:t>
      </w:r>
      <w:r w:rsidRPr="001E3CB9">
        <w:t>where the data originate</w:t>
      </w:r>
      <w:r>
        <w:t>s</w:t>
      </w:r>
      <w:r w:rsidRPr="001E3CB9">
        <w:t xml:space="preserve">. They should </w:t>
      </w:r>
      <w:r>
        <w:t xml:space="preserve">form </w:t>
      </w:r>
      <w:r w:rsidRPr="001E3CB9">
        <w:t>an audit</w:t>
      </w:r>
      <w:r>
        <w:t>able</w:t>
      </w:r>
      <w:r w:rsidRPr="001E3CB9">
        <w:t xml:space="preserve"> trail </w:t>
      </w:r>
      <w:r>
        <w:t xml:space="preserve">to the accounting reports. </w:t>
      </w:r>
      <w:r w:rsidRPr="003D7F2A">
        <w:t xml:space="preserve">Examples of </w:t>
      </w:r>
      <w:r>
        <w:t>operating records</w:t>
      </w:r>
      <w:r w:rsidRPr="003D7F2A">
        <w:t xml:space="preserve"> include movement</w:t>
      </w:r>
      <w:r>
        <w:t xml:space="preserve"> control</w:t>
      </w:r>
      <w:r w:rsidRPr="003D7F2A">
        <w:t xml:space="preserve"> documents, weight or volume records, laboratory records</w:t>
      </w:r>
      <w:r>
        <w:t>, calibration and verification data from measurement equipment,</w:t>
      </w:r>
      <w:r w:rsidRPr="003D7F2A">
        <w:t xml:space="preserve"> and power production records. </w:t>
      </w:r>
    </w:p>
    <w:p w14:paraId="6DF09CED" w14:textId="5B6EF820" w:rsidR="00D301A2" w:rsidRDefault="00B50548" w:rsidP="004A31C3">
      <w:pPr>
        <w:pStyle w:val="F9-Paragraph"/>
      </w:pPr>
      <w:r>
        <w:t>General l</w:t>
      </w:r>
      <w:r w:rsidR="00D301A2" w:rsidRPr="001E3CB9">
        <w:t xml:space="preserve">edgers </w:t>
      </w:r>
      <w:r w:rsidR="00D301A2">
        <w:t xml:space="preserve">and any subsidiary ledgers </w:t>
      </w:r>
      <w:r w:rsidR="00D301A2" w:rsidRPr="001E3CB9">
        <w:t>summari</w:t>
      </w:r>
      <w:r w:rsidR="00D301A2">
        <w:t>s</w:t>
      </w:r>
      <w:r w:rsidR="00D301A2" w:rsidRPr="001E3CB9">
        <w:t>ing inventory changes and providing the book inventory for a given period, inventory change journals, inventory change documents and internal transfer forms are examples of accounting records which can help with verification</w:t>
      </w:r>
      <w:r w:rsidR="00D301A2">
        <w:t xml:space="preserve"> of accountancy report compliance</w:t>
      </w:r>
      <w:r w:rsidR="00D301A2" w:rsidRPr="001E3CB9">
        <w:t>. There</w:t>
      </w:r>
      <w:r w:rsidR="00D301A2">
        <w:t xml:space="preserve"> will be</w:t>
      </w:r>
      <w:r w:rsidR="00D301A2" w:rsidRPr="001E3CB9">
        <w:t xml:space="preserve"> a general ledger for the MBA and </w:t>
      </w:r>
      <w:r w:rsidR="00D301A2">
        <w:t>each QNM</w:t>
      </w:r>
      <w:r w:rsidR="00D301A2" w:rsidRPr="001E3CB9">
        <w:t xml:space="preserve"> categor</w:t>
      </w:r>
      <w:r w:rsidR="00D301A2">
        <w:t>y</w:t>
      </w:r>
      <w:r w:rsidR="00D301A2" w:rsidRPr="001E3CB9">
        <w:t>.</w:t>
      </w:r>
    </w:p>
    <w:p w14:paraId="42C113D4" w14:textId="77777777" w:rsidR="00D301A2" w:rsidRPr="001E3CB9" w:rsidRDefault="00D301A2" w:rsidP="004A31C3">
      <w:pPr>
        <w:pStyle w:val="F9-Paragraph"/>
      </w:pPr>
      <w:r w:rsidRPr="001E3CB9">
        <w:t xml:space="preserve">An operator must ensure that, for each </w:t>
      </w:r>
      <w:r>
        <w:t>MBA</w:t>
      </w:r>
      <w:r w:rsidRPr="001E3CB9">
        <w:t>, the accounting records show all inventory changes</w:t>
      </w:r>
      <w:r>
        <w:t xml:space="preserve"> and</w:t>
      </w:r>
      <w:r w:rsidRPr="001E3CB9">
        <w:t xml:space="preserve"> measurement results used to determine the physical inventory</w:t>
      </w:r>
      <w:r>
        <w:t>.</w:t>
      </w:r>
      <w:r w:rsidRPr="001E3CB9">
        <w:t xml:space="preserve"> </w:t>
      </w:r>
      <w:r>
        <w:t>A</w:t>
      </w:r>
      <w:r w:rsidRPr="001E3CB9">
        <w:t>ll adjustments and corrections that have been made in respect of inventory changes, book inventories</w:t>
      </w:r>
      <w:r>
        <w:t>,</w:t>
      </w:r>
      <w:r w:rsidRPr="001E3CB9">
        <w:t xml:space="preserve"> and physical inventories</w:t>
      </w:r>
      <w:r>
        <w:t xml:space="preserve"> should be fully auditable with the operating records and accounting reports</w:t>
      </w:r>
      <w:r w:rsidRPr="001E3CB9">
        <w:t xml:space="preserve">. </w:t>
      </w:r>
    </w:p>
    <w:p w14:paraId="04227CDE" w14:textId="6105711B" w:rsidR="00D301A2" w:rsidRDefault="00D301A2" w:rsidP="004A31C3">
      <w:pPr>
        <w:pStyle w:val="F9-Paragraph"/>
      </w:pPr>
      <w:r>
        <w:t>The inspector should c</w:t>
      </w:r>
      <w:r w:rsidRPr="001E3CB9">
        <w:t xml:space="preserve">heck that the </w:t>
      </w:r>
      <w:r>
        <w:t>accounting reports</w:t>
      </w:r>
      <w:r w:rsidRPr="001E3CB9">
        <w:t xml:space="preserve">, and any other notifications received, correspond to the actual on-site conditions. </w:t>
      </w:r>
      <w:r>
        <w:br/>
      </w:r>
      <w:r w:rsidRPr="001E3CB9">
        <w:t xml:space="preserve">Special attention should be paid where </w:t>
      </w:r>
      <w:r>
        <w:t>unusual inventory changes</w:t>
      </w:r>
      <w:r w:rsidRPr="001E3CB9">
        <w:t xml:space="preserve"> have occurred</w:t>
      </w:r>
      <w:r>
        <w:t>.</w:t>
      </w:r>
      <w:r w:rsidRPr="001E3CB9">
        <w:t xml:space="preserve"> </w:t>
      </w:r>
    </w:p>
    <w:p w14:paraId="3A1D03C0" w14:textId="77777777" w:rsidR="00D301A2" w:rsidRDefault="00D301A2" w:rsidP="004A31C3">
      <w:pPr>
        <w:pStyle w:val="F9-Paragraph"/>
      </w:pPr>
      <w:r w:rsidRPr="001E3CB9">
        <w:t>The information in the</w:t>
      </w:r>
      <w:r>
        <w:t xml:space="preserve"> accounting</w:t>
      </w:r>
      <w:r w:rsidRPr="001E3CB9">
        <w:t xml:space="preserve"> </w:t>
      </w:r>
      <w:r>
        <w:t>reports</w:t>
      </w:r>
      <w:r w:rsidRPr="001E3CB9">
        <w:t xml:space="preserve"> should be </w:t>
      </w:r>
      <w:r>
        <w:t>fully auditable and consistent</w:t>
      </w:r>
      <w:r w:rsidRPr="001E3CB9">
        <w:t xml:space="preserve"> with the </w:t>
      </w:r>
      <w:r>
        <w:t>operating and accounting records</w:t>
      </w:r>
      <w:r w:rsidRPr="001E3CB9">
        <w:t xml:space="preserve">. </w:t>
      </w:r>
      <w:r>
        <w:t xml:space="preserve">These </w:t>
      </w:r>
      <w:r w:rsidRPr="001E3CB9">
        <w:t xml:space="preserve">records are vital for tracking </w:t>
      </w:r>
      <w:r>
        <w:t>QNM</w:t>
      </w:r>
      <w:r w:rsidRPr="001E3CB9">
        <w:t xml:space="preserve"> flow on site as not all movements </w:t>
      </w:r>
      <w:r>
        <w:t>are required to</w:t>
      </w:r>
      <w:r w:rsidRPr="001E3CB9">
        <w:t xml:space="preserve"> be captured in the operator’s</w:t>
      </w:r>
      <w:r>
        <w:t xml:space="preserve"> accounting</w:t>
      </w:r>
      <w:r w:rsidRPr="001E3CB9">
        <w:t xml:space="preserve"> </w:t>
      </w:r>
      <w:r>
        <w:t>reports to ONR</w:t>
      </w:r>
      <w:r w:rsidRPr="001E3CB9">
        <w:t>.</w:t>
      </w:r>
      <w:r>
        <w:t xml:space="preserve"> Movements of QNM within an MBA will not appear in accounting reports but are still an important aspect of nuclear material control arrangements.</w:t>
      </w:r>
      <w:r w:rsidRPr="001E3CB9">
        <w:t xml:space="preserve"> </w:t>
      </w:r>
      <w:r>
        <w:t>Similarly, although Part 6 of NSR19 does not require operators to report waste handling in accounting reports to ONR, they must maintain a “s</w:t>
      </w:r>
      <w:r w:rsidRPr="00010679">
        <w:t>tock list and accounting records</w:t>
      </w:r>
      <w:r>
        <w:t>” for the QNM in such retained and conditioned waste</w:t>
      </w:r>
      <w:r w:rsidRPr="001E3CB9">
        <w:t xml:space="preserve">. </w:t>
      </w:r>
    </w:p>
    <w:p w14:paraId="11536D28" w14:textId="77777777" w:rsidR="004A31C3" w:rsidRDefault="004A31C3" w:rsidP="004A31C3">
      <w:pPr>
        <w:pStyle w:val="F9-Paragraph"/>
        <w:sectPr w:rsidR="004A31C3" w:rsidSect="003508FB">
          <w:pgSz w:w="11906" w:h="16838" w:code="9"/>
          <w:pgMar w:top="1440" w:right="1440" w:bottom="1440" w:left="1440" w:header="397" w:footer="397" w:gutter="0"/>
          <w:cols w:space="312"/>
          <w:docGrid w:linePitch="360"/>
        </w:sectPr>
      </w:pPr>
    </w:p>
    <w:p w14:paraId="0625B1F3" w14:textId="77777777" w:rsidR="00D301A2" w:rsidRDefault="00D301A2" w:rsidP="004A31C3">
      <w:pPr>
        <w:pStyle w:val="F9-Paragraph"/>
      </w:pPr>
      <w:r>
        <w:lastRenderedPageBreak/>
        <w:t>When inspecting compliance with retained waste reporting requirements, the inspector should confirm with the nuclear material accountancy specialist inspector how much retained waste has been reported in a specific MBA (QNM transferred to retained waste (TW) – QNM transferred out of retained waste (FW)), and ensure this inventory is equal to the operator’s operational records, the retained waste stocklist. The operator should be able to demonstrate that their operational records reconcile with the information they have formally declared to ONR in nuclear material accounting reports.</w:t>
      </w:r>
    </w:p>
    <w:p w14:paraId="6F28588B" w14:textId="77777777" w:rsidR="00D301A2" w:rsidRPr="001E3CB9" w:rsidRDefault="00D301A2" w:rsidP="004A31C3">
      <w:pPr>
        <w:pStyle w:val="F9-Paragraph"/>
      </w:pPr>
      <w:r w:rsidRPr="001E3CB9">
        <w:t xml:space="preserve">The operator </w:t>
      </w:r>
      <w:r>
        <w:t>must</w:t>
      </w:r>
      <w:r w:rsidRPr="001E3CB9">
        <w:t xml:space="preserve"> make available </w:t>
      </w:r>
      <w:r>
        <w:t>any operating or accounting</w:t>
      </w:r>
      <w:r w:rsidRPr="001E3CB9">
        <w:t xml:space="preserve"> records and other relevant supplementary information, upon request by the </w:t>
      </w:r>
      <w:r>
        <w:t>inspector during an inspection</w:t>
      </w:r>
      <w:r w:rsidRPr="001E3CB9">
        <w:t>.</w:t>
      </w:r>
      <w:r>
        <w:t xml:space="preserve"> The inspector should make reasonable time allowances for the operator to retrieve information that may be difficult to access quickly, such as records stored on plant, or in off-site archives.</w:t>
      </w:r>
    </w:p>
    <w:p w14:paraId="79D9BF35" w14:textId="05693974" w:rsidR="00D301A2" w:rsidRPr="001E3CB9" w:rsidRDefault="00D301A2" w:rsidP="004A31C3">
      <w:pPr>
        <w:pStyle w:val="F9-Paragraph"/>
      </w:pPr>
      <w:r>
        <w:t>Inspectors</w:t>
      </w:r>
      <w:r w:rsidRPr="001E3CB9">
        <w:t xml:space="preserve"> should cross-check </w:t>
      </w:r>
      <w:r>
        <w:t>operating and accounting records with the accounting</w:t>
      </w:r>
      <w:r w:rsidRPr="001E3CB9">
        <w:t xml:space="preserve"> </w:t>
      </w:r>
      <w:r>
        <w:t>reports for consistency, completeness, and correctness</w:t>
      </w:r>
      <w:r w:rsidRPr="001E3CB9">
        <w:t>.</w:t>
      </w:r>
      <w:r>
        <w:t xml:space="preserve"> </w:t>
      </w:r>
      <w:r>
        <w:br/>
      </w:r>
      <w:r w:rsidRPr="001E3CB9">
        <w:t xml:space="preserve">The following </w:t>
      </w:r>
      <w:r>
        <w:t xml:space="preserve">types of </w:t>
      </w:r>
      <w:r w:rsidRPr="001E3CB9">
        <w:t xml:space="preserve">information </w:t>
      </w:r>
      <w:r>
        <w:t>may</w:t>
      </w:r>
      <w:r w:rsidRPr="001E3CB9">
        <w:t xml:space="preserve"> be recorded in </w:t>
      </w:r>
      <w:r>
        <w:t>operating records or accounting records and could be confirmed during an inspection including nuclear material accountancy aspects</w:t>
      </w:r>
      <w:r w:rsidRPr="001E3CB9">
        <w:t>:</w:t>
      </w:r>
    </w:p>
    <w:p w14:paraId="3189580E" w14:textId="59CB4C1F" w:rsidR="00D301A2" w:rsidRPr="001E3CB9" w:rsidRDefault="00D301A2" w:rsidP="004F261E">
      <w:pPr>
        <w:pStyle w:val="NumList2"/>
        <w:numPr>
          <w:ilvl w:val="1"/>
          <w:numId w:val="32"/>
        </w:numPr>
        <w:ind w:left="1276"/>
      </w:pPr>
      <w:r w:rsidRPr="001E3CB9">
        <w:t>Change</w:t>
      </w:r>
      <w:r>
        <w:t xml:space="preserve">s to the QNM quantity or category, for example, enrichment or weight; </w:t>
      </w:r>
    </w:p>
    <w:p w14:paraId="7D03D80A" w14:textId="77777777" w:rsidR="00D301A2" w:rsidRPr="001E3CB9" w:rsidRDefault="00D301A2" w:rsidP="003B67F9">
      <w:pPr>
        <w:pStyle w:val="NumList2"/>
      </w:pPr>
      <w:r>
        <w:t>Changes to QNM m</w:t>
      </w:r>
      <w:r w:rsidRPr="001E3CB9">
        <w:t>aterial descript</w:t>
      </w:r>
      <w:r>
        <w:t>ion code (form, container, state)</w:t>
      </w:r>
      <w:r w:rsidRPr="001E3CB9">
        <w:t>;</w:t>
      </w:r>
    </w:p>
    <w:p w14:paraId="1783F85D" w14:textId="77777777" w:rsidR="00D301A2" w:rsidRPr="001E3CB9" w:rsidRDefault="00D301A2" w:rsidP="003B67F9">
      <w:pPr>
        <w:pStyle w:val="NumList2"/>
      </w:pPr>
      <w:r w:rsidRPr="001E3CB9">
        <w:t>Date of change;</w:t>
      </w:r>
    </w:p>
    <w:p w14:paraId="3CDBBDA9" w14:textId="77777777" w:rsidR="00D301A2" w:rsidRPr="001E3CB9" w:rsidRDefault="00D301A2" w:rsidP="003B67F9">
      <w:pPr>
        <w:pStyle w:val="NumList2"/>
      </w:pPr>
      <w:r w:rsidRPr="001E3CB9">
        <w:t>Type of change;</w:t>
      </w:r>
    </w:p>
    <w:p w14:paraId="5507C6DF" w14:textId="77777777" w:rsidR="00D301A2" w:rsidRPr="001E3CB9" w:rsidRDefault="00D301A2" w:rsidP="003B67F9">
      <w:pPr>
        <w:pStyle w:val="NumList2"/>
      </w:pPr>
      <w:r w:rsidRPr="001E3CB9">
        <w:t xml:space="preserve">Information on </w:t>
      </w:r>
      <w:r>
        <w:t>QNM</w:t>
      </w:r>
      <w:r w:rsidRPr="001E3CB9">
        <w:t xml:space="preserve"> movement</w:t>
      </w:r>
      <w:r>
        <w:t xml:space="preserve"> within an MBA</w:t>
      </w:r>
      <w:r w:rsidRPr="001E3CB9">
        <w:t>;</w:t>
      </w:r>
    </w:p>
    <w:p w14:paraId="266547FB" w14:textId="0FFA9A64" w:rsidR="00D301A2" w:rsidRPr="001E3CB9" w:rsidRDefault="00D301A2" w:rsidP="003B67F9">
      <w:pPr>
        <w:pStyle w:val="NumList2"/>
      </w:pPr>
      <w:r w:rsidRPr="001E3CB9">
        <w:t>Batch identity</w:t>
      </w:r>
      <w:r>
        <w:t>, for example, rebatching</w:t>
      </w:r>
      <w:r w:rsidRPr="001E3CB9">
        <w:t>;</w:t>
      </w:r>
    </w:p>
    <w:p w14:paraId="16874266" w14:textId="77777777" w:rsidR="00D301A2" w:rsidRPr="001E3CB9" w:rsidRDefault="00D301A2" w:rsidP="003B67F9">
      <w:pPr>
        <w:pStyle w:val="NumList2"/>
      </w:pPr>
      <w:r w:rsidRPr="001E3CB9">
        <w:t>Number of items in a batch;</w:t>
      </w:r>
    </w:p>
    <w:p w14:paraId="5E0B1134" w14:textId="77777777" w:rsidR="00D301A2" w:rsidRDefault="00D301A2" w:rsidP="003B67F9">
      <w:pPr>
        <w:pStyle w:val="NumList2"/>
      </w:pPr>
      <w:r>
        <w:t>Origin</w:t>
      </w:r>
      <w:r w:rsidRPr="001E3CB9">
        <w:t xml:space="preserve"> of weight</w:t>
      </w:r>
      <w:r>
        <w:t xml:space="preserve"> information</w:t>
      </w:r>
      <w:r w:rsidRPr="001E3CB9">
        <w:t>.</w:t>
      </w:r>
    </w:p>
    <w:p w14:paraId="699FE309" w14:textId="35F48725" w:rsidR="00D301A2" w:rsidRPr="001E3CB9" w:rsidRDefault="00D301A2" w:rsidP="003B67F9">
      <w:pPr>
        <w:pStyle w:val="NumList2"/>
      </w:pPr>
      <w:r>
        <w:t>Explanations for corrections or modifications (for example, deletions and/or additions)</w:t>
      </w:r>
    </w:p>
    <w:p w14:paraId="35D5C6BB" w14:textId="77777777" w:rsidR="00D301A2" w:rsidRPr="004B05C1" w:rsidRDefault="00D301A2" w:rsidP="004A31C3">
      <w:pPr>
        <w:pStyle w:val="F9-Paragraph"/>
      </w:pPr>
      <w:r w:rsidRPr="004B05C1">
        <w:t xml:space="preserve">From the evidence obtained through the on-site inspection, the </w:t>
      </w:r>
      <w:r>
        <w:t>i</w:t>
      </w:r>
      <w:r w:rsidRPr="004B05C1">
        <w:t>nspector should assess the appropriateness of the inventory change codes used and discuss the outcome with the operator.</w:t>
      </w:r>
    </w:p>
    <w:p w14:paraId="488F5546" w14:textId="77777777" w:rsidR="004A31C3" w:rsidRDefault="004A31C3" w:rsidP="004A31C3">
      <w:pPr>
        <w:pStyle w:val="F9-Paragraph"/>
        <w:sectPr w:rsidR="004A31C3" w:rsidSect="003508FB">
          <w:pgSz w:w="11906" w:h="16838" w:code="9"/>
          <w:pgMar w:top="1440" w:right="1440" w:bottom="1440" w:left="1440" w:header="397" w:footer="397" w:gutter="0"/>
          <w:cols w:space="312"/>
          <w:docGrid w:linePitch="360"/>
        </w:sectPr>
      </w:pPr>
    </w:p>
    <w:p w14:paraId="6535D470" w14:textId="6893B3E5" w:rsidR="00D301A2" w:rsidRDefault="00D301A2" w:rsidP="004A31C3">
      <w:pPr>
        <w:pStyle w:val="F9-Paragraph"/>
      </w:pPr>
      <w:r w:rsidRPr="001E3CB9">
        <w:lastRenderedPageBreak/>
        <w:t>If accidental los</w:t>
      </w:r>
      <w:r>
        <w:t>s</w:t>
      </w:r>
      <w:r w:rsidRPr="001E3CB9">
        <w:t>es</w:t>
      </w:r>
      <w:r>
        <w:t>, accidental gains, or new measurements</w:t>
      </w:r>
      <w:r w:rsidRPr="001E3CB9">
        <w:t xml:space="preserve"> have been declared by the operator then the </w:t>
      </w:r>
      <w:r>
        <w:t>inspector</w:t>
      </w:r>
      <w:r w:rsidRPr="001E3CB9">
        <w:t xml:space="preserve"> should request any </w:t>
      </w:r>
      <w:r>
        <w:t>operating or accounting records</w:t>
      </w:r>
      <w:r w:rsidRPr="001E3CB9">
        <w:t xml:space="preserve"> outlining the magnitude and cause of </w:t>
      </w:r>
      <w:r>
        <w:t>these changes</w:t>
      </w:r>
      <w:r w:rsidRPr="001E3CB9">
        <w:t>.</w:t>
      </w:r>
      <w:r>
        <w:t xml:space="preserve"> The operator must provide this information on request by the inspector. </w:t>
      </w:r>
      <w:r>
        <w:br/>
        <w:t>The inspector should make reasonable time allowances for the operator to retrieve information that may be difficult to access quickly, such as records stored on plant, or in off-site archives.</w:t>
      </w:r>
    </w:p>
    <w:p w14:paraId="2E29C979" w14:textId="6592D4E6" w:rsidR="002042C2" w:rsidRDefault="00D301A2" w:rsidP="004A31C3">
      <w:pPr>
        <w:pStyle w:val="F9-Paragraph"/>
      </w:pPr>
      <w:r>
        <w:t>The inspector should consider including item counting and identification checks as an activity to provide assurance that what is declared in the nuclear material accountancy reports and/or records is reflected physically within the facility. Similarly, a plant walkdown can be used to determine if there are items or QNM present in locations where it is not expected to be stored according to the operator declared information. Visual observation during a plant walkdown can also provide assurance as to the operational status of the QNF.</w:t>
      </w:r>
    </w:p>
    <w:p w14:paraId="7AB47CC1" w14:textId="562E2C59" w:rsidR="0095210D" w:rsidRDefault="0095210D">
      <w:pPr>
        <w:spacing w:after="0" w:line="240" w:lineRule="auto"/>
      </w:pPr>
      <w:r>
        <w:br w:type="page"/>
      </w:r>
    </w:p>
    <w:p w14:paraId="55B42321" w14:textId="30FD090A" w:rsidR="00D301A2" w:rsidRPr="00D301A2" w:rsidRDefault="00D301A2" w:rsidP="003B67F9">
      <w:pPr>
        <w:pStyle w:val="Heading1"/>
        <w:numPr>
          <w:ilvl w:val="0"/>
          <w:numId w:val="0"/>
        </w:numPr>
        <w:ind w:left="851"/>
      </w:pPr>
      <w:bookmarkStart w:id="11" w:name="_Appendix_2_–"/>
      <w:bookmarkStart w:id="12" w:name="_Toc235705907"/>
      <w:bookmarkEnd w:id="11"/>
      <w:r>
        <w:lastRenderedPageBreak/>
        <w:t>Appendix 2 – Compliance inspection: Particular safeguards provisions</w:t>
      </w:r>
      <w:bookmarkEnd w:id="12"/>
      <w:r>
        <w:t xml:space="preserve"> </w:t>
      </w:r>
    </w:p>
    <w:p w14:paraId="5890CD96" w14:textId="2DB94B1D" w:rsidR="00DD7520" w:rsidRDefault="00DD7520" w:rsidP="004A31C3">
      <w:pPr>
        <w:pStyle w:val="F9-Paragraph"/>
        <w:numPr>
          <w:ilvl w:val="0"/>
          <w:numId w:val="7"/>
        </w:numPr>
        <w:ind w:left="851" w:hanging="851"/>
      </w:pPr>
      <w:r>
        <w:t>Particular safeguards provisions (</w:t>
      </w:r>
      <w:r w:rsidRPr="001E3CB9">
        <w:t>PSPs</w:t>
      </w:r>
      <w:r>
        <w:t>)</w:t>
      </w:r>
      <w:r w:rsidRPr="001E3CB9">
        <w:t xml:space="preserve"> </w:t>
      </w:r>
      <w:r>
        <w:t>may be imposed on an operator by ONR, for example, where a Facility Attachment is in place by the IAEA. Other circumstances in which this is necessary are expected to be rare.</w:t>
      </w:r>
      <w:r w:rsidRPr="001E3CB9">
        <w:t xml:space="preserve"> </w:t>
      </w:r>
    </w:p>
    <w:p w14:paraId="462BE95B" w14:textId="77777777" w:rsidR="00DD7520" w:rsidRPr="001E3CB9" w:rsidRDefault="00DD7520" w:rsidP="004A31C3">
      <w:pPr>
        <w:pStyle w:val="F9-Paragraph"/>
      </w:pPr>
      <w:r w:rsidRPr="001E3CB9">
        <w:t>Where</w:t>
      </w:r>
      <w:r>
        <w:t xml:space="preserve"> requirements have been placed on an operator with a</w:t>
      </w:r>
      <w:r w:rsidRPr="001E3CB9">
        <w:t xml:space="preserve"> PSP</w:t>
      </w:r>
      <w:r>
        <w:t xml:space="preserve">, </w:t>
      </w:r>
      <w:r w:rsidRPr="001E3CB9">
        <w:t>the</w:t>
      </w:r>
      <w:r>
        <w:t xml:space="preserve"> ONR</w:t>
      </w:r>
      <w:r w:rsidRPr="001E3CB9">
        <w:t xml:space="preserve"> inspector may wish to </w:t>
      </w:r>
      <w:r>
        <w:t>consider</w:t>
      </w:r>
      <w:r w:rsidRPr="001E3CB9">
        <w:t xml:space="preserve"> </w:t>
      </w:r>
      <w:r>
        <w:t xml:space="preserve">PSP </w:t>
      </w:r>
      <w:r w:rsidRPr="001E3CB9">
        <w:t xml:space="preserve">compliance </w:t>
      </w:r>
      <w:r>
        <w:t>as part of a compliance inspection, to</w:t>
      </w:r>
      <w:r w:rsidRPr="001E3CB9">
        <w:t xml:space="preserve"> verify</w:t>
      </w:r>
      <w:r>
        <w:t xml:space="preserve"> that</w:t>
      </w:r>
      <w:r w:rsidRPr="001E3CB9">
        <w:t xml:space="preserve"> the requirements in the PSP are being fulfilled.</w:t>
      </w:r>
      <w:r>
        <w:t xml:space="preserve"> </w:t>
      </w:r>
    </w:p>
    <w:p w14:paraId="1DA4172F" w14:textId="77777777" w:rsidR="00DD7520" w:rsidRDefault="00DD7520" w:rsidP="004A31C3">
      <w:pPr>
        <w:pStyle w:val="F9-Paragraph"/>
      </w:pPr>
      <w:r>
        <w:t>The inspector should:</w:t>
      </w:r>
    </w:p>
    <w:p w14:paraId="3B1A38B9" w14:textId="77777777" w:rsidR="00DD7520" w:rsidRPr="001E3CB9" w:rsidRDefault="00DD7520" w:rsidP="004F261E">
      <w:pPr>
        <w:pStyle w:val="NumList2"/>
        <w:numPr>
          <w:ilvl w:val="1"/>
          <w:numId w:val="33"/>
        </w:numPr>
        <w:ind w:left="1276"/>
      </w:pPr>
      <w:r w:rsidRPr="001E3CB9">
        <w:t xml:space="preserve">Examine the arrangements and procedures </w:t>
      </w:r>
      <w:r>
        <w:t xml:space="preserve">that </w:t>
      </w:r>
      <w:r w:rsidRPr="001E3CB9">
        <w:t>are in place to demonstrate compliance with the requirements detailed in the PSP</w:t>
      </w:r>
      <w:r>
        <w:t xml:space="preserve"> and confirm </w:t>
      </w:r>
      <w:r w:rsidRPr="001E3CB9">
        <w:t>that those arrangements are implemented on site.</w:t>
      </w:r>
    </w:p>
    <w:p w14:paraId="77FED218" w14:textId="365EF927" w:rsidR="00DD7520" w:rsidRDefault="00DD7520" w:rsidP="003B67F9">
      <w:pPr>
        <w:pStyle w:val="NumList2"/>
      </w:pPr>
      <w:r w:rsidRPr="001E3CB9">
        <w:t xml:space="preserve">Examine the procedures </w:t>
      </w:r>
      <w:r>
        <w:t>for consistency, including consistency between safeguards reportable information, for example, PSPs, design information and ACPs</w:t>
      </w:r>
      <w:r w:rsidRPr="001E3CB9">
        <w:t xml:space="preserve">. Review the procedures to establish validity, whether any changes have been made since the last review and whether the identified responsible persons are correct. </w:t>
      </w:r>
    </w:p>
    <w:p w14:paraId="05CEC81A" w14:textId="77777777" w:rsidR="00DD7520" w:rsidRPr="001E3CB9" w:rsidRDefault="00DD7520" w:rsidP="003B67F9">
      <w:pPr>
        <w:pStyle w:val="NumList2"/>
      </w:pPr>
      <w:r w:rsidRPr="001E3CB9">
        <w:t>Note whether instructions, methods and quality assurance requirements claimed in procedures have been followed and whether any changes that have been made have been correctly incorporated and validated.</w:t>
      </w:r>
    </w:p>
    <w:p w14:paraId="68DF37C7" w14:textId="77777777" w:rsidR="00DD7520" w:rsidRDefault="00DD7520" w:rsidP="004A31C3">
      <w:pPr>
        <w:pStyle w:val="F9-Paragraph"/>
      </w:pPr>
      <w:r w:rsidRPr="001E3CB9">
        <w:t xml:space="preserve">The arrangements should be readily available, up to date, signed by an appropriate </w:t>
      </w:r>
      <w:r>
        <w:t>person</w:t>
      </w:r>
      <w:r w:rsidRPr="001E3CB9">
        <w:t xml:space="preserve"> and adequately controlled under a suitable</w:t>
      </w:r>
      <w:r>
        <w:t xml:space="preserve"> management</w:t>
      </w:r>
      <w:r w:rsidRPr="001E3CB9">
        <w:t xml:space="preserve"> system.</w:t>
      </w:r>
    </w:p>
    <w:p w14:paraId="67879ED8" w14:textId="77777777" w:rsidR="00DD7520" w:rsidRDefault="00DD7520" w:rsidP="00DD7520">
      <w:pPr>
        <w:sectPr w:rsidR="00DD7520" w:rsidSect="003508FB">
          <w:pgSz w:w="11906" w:h="16838" w:code="9"/>
          <w:pgMar w:top="1440" w:right="1440" w:bottom="1440" w:left="1440" w:header="397" w:footer="397" w:gutter="0"/>
          <w:cols w:space="312"/>
          <w:docGrid w:linePitch="360"/>
        </w:sectPr>
      </w:pPr>
    </w:p>
    <w:p w14:paraId="41578A3E" w14:textId="50C69597" w:rsidR="00DD7520" w:rsidRDefault="00DD7520" w:rsidP="003B67F9">
      <w:pPr>
        <w:pStyle w:val="Heading1"/>
        <w:numPr>
          <w:ilvl w:val="0"/>
          <w:numId w:val="0"/>
        </w:numPr>
        <w:ind w:left="851"/>
      </w:pPr>
      <w:bookmarkStart w:id="13" w:name="_Toc235705908"/>
      <w:r>
        <w:lastRenderedPageBreak/>
        <w:t xml:space="preserve">Appendix 3 – Compliance inspection: </w:t>
      </w:r>
      <w:r>
        <w:br/>
        <w:t>An operators arrangements and activities</w:t>
      </w:r>
      <w:r w:rsidR="000E5838">
        <w:t xml:space="preserve"> </w:t>
      </w:r>
      <w:r w:rsidR="00102FB0">
        <w:t>for</w:t>
      </w:r>
      <w:r w:rsidR="000E5838">
        <w:t xml:space="preserve"> a PIT</w:t>
      </w:r>
      <w:bookmarkEnd w:id="13"/>
    </w:p>
    <w:p w14:paraId="1824C3BF" w14:textId="3406705E" w:rsidR="00DD7520" w:rsidRPr="00DD7520" w:rsidRDefault="00DD7520" w:rsidP="003B67F9">
      <w:pPr>
        <w:pStyle w:val="Heading2"/>
        <w:numPr>
          <w:ilvl w:val="0"/>
          <w:numId w:val="0"/>
        </w:numPr>
        <w:ind w:left="851"/>
      </w:pPr>
      <w:bookmarkStart w:id="14" w:name="_Toc34904813"/>
      <w:r w:rsidRPr="00DD7520">
        <w:t>Purpose and scope</w:t>
      </w:r>
      <w:bookmarkEnd w:id="14"/>
    </w:p>
    <w:p w14:paraId="55762930" w14:textId="77777777" w:rsidR="00DD7520" w:rsidRPr="004A31C3" w:rsidRDefault="00DD7520" w:rsidP="004A31C3">
      <w:pPr>
        <w:pStyle w:val="F9-Paragraph"/>
        <w:numPr>
          <w:ilvl w:val="0"/>
          <w:numId w:val="34"/>
        </w:numPr>
        <w:ind w:left="851" w:hanging="851"/>
        <w:rPr>
          <w:rFonts w:ascii="Arial Bold" w:hAnsi="Arial Bold"/>
          <w:caps/>
        </w:rPr>
      </w:pPr>
      <w:r w:rsidRPr="0050652B">
        <w:t xml:space="preserve">This appendix </w:t>
      </w:r>
      <w:r>
        <w:t>provides the inspector with</w:t>
      </w:r>
      <w:r w:rsidRPr="0050652B">
        <w:t xml:space="preserve"> guidance on </w:t>
      </w:r>
      <w:r>
        <w:t>potential activities which can be considered for</w:t>
      </w:r>
      <w:r w:rsidRPr="0050652B">
        <w:t xml:space="preserve"> ONR inspections associated with an operator’s Physical Inventory Take (PIT).</w:t>
      </w:r>
    </w:p>
    <w:p w14:paraId="3116F61F" w14:textId="77777777" w:rsidR="00DD7520" w:rsidRPr="00A56E45" w:rsidRDefault="00DD7520" w:rsidP="004A31C3">
      <w:pPr>
        <w:pStyle w:val="F9-Paragraph"/>
        <w:rPr>
          <w:rFonts w:ascii="Arial Bold" w:hAnsi="Arial Bold"/>
          <w:caps/>
        </w:rPr>
      </w:pPr>
      <w:r w:rsidRPr="0050652B">
        <w:t xml:space="preserve">The purpose of a PIT is for the operator to establish the physical inventory within an MBA at a given date and involves the operator identifying, counting, </w:t>
      </w:r>
      <w:r>
        <w:t xml:space="preserve">and </w:t>
      </w:r>
      <w:r w:rsidRPr="0050652B">
        <w:t xml:space="preserve">measuring, or deriving </w:t>
      </w:r>
      <w:r>
        <w:t xml:space="preserve">quantity </w:t>
      </w:r>
      <w:r w:rsidRPr="0050652B">
        <w:t xml:space="preserve">estimates of all </w:t>
      </w:r>
      <w:r>
        <w:t>QNM</w:t>
      </w:r>
      <w:r w:rsidRPr="0050652B">
        <w:t>.</w:t>
      </w:r>
    </w:p>
    <w:p w14:paraId="58ECDB60" w14:textId="77777777" w:rsidR="00DD7520" w:rsidRPr="004655E5" w:rsidRDefault="00DD7520" w:rsidP="004A31C3">
      <w:pPr>
        <w:pStyle w:val="F9-Paragraph"/>
      </w:pPr>
      <w:r>
        <w:t>The inspector should use this guidance</w:t>
      </w:r>
      <w:r w:rsidRPr="004655E5">
        <w:t xml:space="preserve"> to judge the operator’s compliance with the requirements of NSR19, particularly the adequacy and implementation of the arrangements made by the operator</w:t>
      </w:r>
      <w:r>
        <w:t>,</w:t>
      </w:r>
      <w:r w:rsidRPr="004655E5">
        <w:t xml:space="preserve"> to gain assurance of the accuracy of the operator’s physical inventory. </w:t>
      </w:r>
    </w:p>
    <w:p w14:paraId="11A8E318" w14:textId="1CF22577" w:rsidR="00DD7520" w:rsidRDefault="00DD7520" w:rsidP="004A31C3">
      <w:pPr>
        <w:pStyle w:val="F9-Paragraph"/>
      </w:pPr>
      <w:r w:rsidRPr="004655E5">
        <w:t xml:space="preserve">When applying this guidance </w:t>
      </w:r>
      <w:r>
        <w:t>i</w:t>
      </w:r>
      <w:r w:rsidRPr="004655E5">
        <w:t>nspectors should be proportionate.</w:t>
      </w:r>
      <w:r>
        <w:t xml:space="preserve"> </w:t>
      </w:r>
      <w:r w:rsidR="003B67F9">
        <w:br/>
      </w:r>
      <w:r w:rsidRPr="004655E5">
        <w:t xml:space="preserve">The attention applied to a </w:t>
      </w:r>
      <w:r>
        <w:t>QNF</w:t>
      </w:r>
      <w:r w:rsidRPr="004655E5">
        <w:t xml:space="preserve"> should reflect the consequences of safeguards non-compliance (hazard and risk in safeguards terms) posed by the </w:t>
      </w:r>
      <w:r>
        <w:t>QNF</w:t>
      </w:r>
      <w:r w:rsidRPr="004655E5">
        <w:t>, along with other factors such as the operators regulatory performance.</w:t>
      </w:r>
      <w:r>
        <w:t xml:space="preserve"> </w:t>
      </w:r>
      <w:r w:rsidRPr="004655E5">
        <w:t>The factors that inform ONR’s judgement of the level of safeguard</w:t>
      </w:r>
      <w:r>
        <w:t>s</w:t>
      </w:r>
      <w:r w:rsidRPr="004655E5">
        <w:t xml:space="preserve"> related regulatory attention are set out in the regulatory </w:t>
      </w:r>
      <w:r>
        <w:t>plan</w:t>
      </w:r>
      <w:r w:rsidRPr="004655E5">
        <w:t xml:space="preserve"> for the Safeguards sub-</w:t>
      </w:r>
      <w:r>
        <w:t>directorate</w:t>
      </w:r>
      <w:r w:rsidRPr="004655E5">
        <w:t>.</w:t>
      </w:r>
    </w:p>
    <w:p w14:paraId="171CD4CE" w14:textId="6ED1FA43" w:rsidR="00DD7520" w:rsidRPr="004655E5" w:rsidRDefault="00DD7520" w:rsidP="004A31C3">
      <w:pPr>
        <w:pStyle w:val="F9-Paragraph"/>
      </w:pPr>
      <w:r>
        <w:t>An evaluation of the operators PIT is best timed a short period after an operator has conducted a PIT to inspect the implementation of those arrangements without hindering the actual taking of a physical inventory.</w:t>
      </w:r>
    </w:p>
    <w:p w14:paraId="7F1F288A" w14:textId="77777777" w:rsidR="004A31C3" w:rsidRDefault="004A31C3" w:rsidP="003B67F9">
      <w:pPr>
        <w:pStyle w:val="Heading2"/>
        <w:numPr>
          <w:ilvl w:val="0"/>
          <w:numId w:val="0"/>
        </w:numPr>
        <w:ind w:left="851"/>
        <w:sectPr w:rsidR="004A31C3" w:rsidSect="008A147B">
          <w:pgSz w:w="11906" w:h="16838" w:code="9"/>
          <w:pgMar w:top="1440" w:right="1440" w:bottom="1440" w:left="1440" w:header="431" w:footer="567" w:gutter="0"/>
          <w:cols w:space="708"/>
          <w:docGrid w:linePitch="360"/>
        </w:sectPr>
      </w:pPr>
      <w:bookmarkStart w:id="15" w:name="_Toc34904814"/>
    </w:p>
    <w:p w14:paraId="21EC5B70" w14:textId="56F3B0F3" w:rsidR="00DD7520" w:rsidRPr="004655E5" w:rsidRDefault="00DD7520" w:rsidP="003B67F9">
      <w:pPr>
        <w:pStyle w:val="Heading2"/>
        <w:numPr>
          <w:ilvl w:val="0"/>
          <w:numId w:val="0"/>
        </w:numPr>
        <w:ind w:left="851"/>
      </w:pPr>
      <w:r w:rsidRPr="004655E5">
        <w:lastRenderedPageBreak/>
        <w:t>The Nuclear Safeguards (EU Exit) Regulations 2019</w:t>
      </w:r>
      <w:bookmarkEnd w:id="15"/>
    </w:p>
    <w:p w14:paraId="037CA95D" w14:textId="77777777" w:rsidR="00DD7520" w:rsidRPr="004655E5" w:rsidRDefault="00DD7520" w:rsidP="004A31C3">
      <w:pPr>
        <w:pStyle w:val="F9-Paragraph"/>
      </w:pPr>
      <w:r w:rsidRPr="004655E5">
        <w:t>The NSR19 sets out several specific requirements in respect of the PIT and associated reporting activities including:</w:t>
      </w:r>
    </w:p>
    <w:p w14:paraId="607A07CF" w14:textId="681103AF" w:rsidR="00DD7520" w:rsidRPr="004B41CB" w:rsidRDefault="00DD7520" w:rsidP="004F261E">
      <w:pPr>
        <w:pStyle w:val="NumList2"/>
        <w:numPr>
          <w:ilvl w:val="1"/>
          <w:numId w:val="36"/>
        </w:numPr>
        <w:ind w:left="1276"/>
      </w:pPr>
      <w:r>
        <w:t>D</w:t>
      </w:r>
      <w:r w:rsidR="00674994">
        <w:t xml:space="preserve">esign </w:t>
      </w:r>
      <w:r>
        <w:t>I</w:t>
      </w:r>
      <w:r w:rsidR="00674994">
        <w:t xml:space="preserve">nformation </w:t>
      </w:r>
      <w:r>
        <w:t>Q</w:t>
      </w:r>
      <w:r w:rsidR="00674994">
        <w:t>uestionnaires (DIQs)</w:t>
      </w:r>
    </w:p>
    <w:p w14:paraId="448A84CA" w14:textId="425A0DC8" w:rsidR="00DD7520" w:rsidRPr="003B67F9" w:rsidRDefault="00DD7520" w:rsidP="004F261E">
      <w:pPr>
        <w:pStyle w:val="NumList1"/>
        <w:numPr>
          <w:ilvl w:val="0"/>
          <w:numId w:val="37"/>
        </w:numPr>
        <w:ind w:left="1843"/>
        <w:rPr>
          <w:kern w:val="2"/>
          <w:lang w:eastAsia="en-GB"/>
          <w14:ligatures w14:val="standardContextual"/>
        </w:rPr>
      </w:pPr>
      <w:r>
        <w:t>Regulation 3 requires operators to declare safeguards-relevant design information, including arrangements and procedures for physical inventory taking. For the first year after</w:t>
      </w:r>
      <w:r w:rsidR="00674994">
        <w:t xml:space="preserve"> the amended</w:t>
      </w:r>
      <w:r>
        <w:t xml:space="preserve"> </w:t>
      </w:r>
      <w:r w:rsidR="00674994">
        <w:t xml:space="preserve">NSR19 </w:t>
      </w:r>
      <w:r>
        <w:t>comes into force</w:t>
      </w:r>
      <w:r w:rsidR="00674994">
        <w:t xml:space="preserve"> (in July 2026)</w:t>
      </w:r>
      <w:r>
        <w:t xml:space="preserve">, operators </w:t>
      </w:r>
      <w:r w:rsidR="008B041C">
        <w:t xml:space="preserve">must </w:t>
      </w:r>
      <w:r>
        <w:t xml:space="preserve">submit this information using the BTC-based questionnaires in </w:t>
      </w:r>
      <w:r w:rsidR="008B041C">
        <w:t xml:space="preserve">the original </w:t>
      </w:r>
      <w:r>
        <w:t xml:space="preserve">Part 1 of Schedule 1 of NSR19. After that period, all design information must be submitted using the appropriate DIQ in the format set out in </w:t>
      </w:r>
      <w:r w:rsidR="00904865">
        <w:t xml:space="preserve">the amended </w:t>
      </w:r>
      <w:r>
        <w:t>Part 1 of Schedule 1 of NSR</w:t>
      </w:r>
      <w:r w:rsidR="00904865">
        <w:t>19</w:t>
      </w:r>
      <w:r>
        <w:t>. Any BTC that has not already been resubmitted in the appropriate DIQ format must be submitted to ONR in that format within three years of NSR</w:t>
      </w:r>
      <w:r w:rsidR="00904865">
        <w:t>19</w:t>
      </w:r>
      <w:r>
        <w:t xml:space="preserve"> coming into force.</w:t>
      </w:r>
    </w:p>
    <w:p w14:paraId="6E72DBB1" w14:textId="2951C54C" w:rsidR="00DD7520" w:rsidRPr="004B41CB" w:rsidRDefault="00DD7520" w:rsidP="003B67F9">
      <w:pPr>
        <w:pStyle w:val="NumList2"/>
      </w:pPr>
      <w:r>
        <w:t xml:space="preserve"> </w:t>
      </w:r>
      <w:r w:rsidRPr="004B41CB">
        <w:t xml:space="preserve">Programme of Activities </w:t>
      </w:r>
    </w:p>
    <w:p w14:paraId="4762F62F" w14:textId="6CEECC7E" w:rsidR="00DD7520" w:rsidRDefault="00DD7520" w:rsidP="004F261E">
      <w:pPr>
        <w:pStyle w:val="NumList1"/>
        <w:numPr>
          <w:ilvl w:val="0"/>
          <w:numId w:val="38"/>
        </w:numPr>
        <w:ind w:left="1843"/>
      </w:pPr>
      <w:r w:rsidRPr="004655E5">
        <w:t xml:space="preserve">Regulation 4 requires operators </w:t>
      </w:r>
      <w:r w:rsidR="005250FF">
        <w:t xml:space="preserve">to </w:t>
      </w:r>
      <w:r w:rsidRPr="004655E5">
        <w:t>submit a programme of activities for the following calendar year indicating provisional dates for the PIT and then to inform ONR at least 40 days before the day on which the physical inventory is to be taken.</w:t>
      </w:r>
    </w:p>
    <w:p w14:paraId="0AC9A5BC" w14:textId="68632A51" w:rsidR="00DD7520" w:rsidRPr="00F66C4A" w:rsidRDefault="00DD7520" w:rsidP="003B67F9">
      <w:pPr>
        <w:pStyle w:val="NumList2"/>
      </w:pPr>
      <w:r>
        <w:t xml:space="preserve"> </w:t>
      </w:r>
      <w:r w:rsidRPr="00F66C4A">
        <w:t>Particular Safeguards Provisions (PSP)</w:t>
      </w:r>
    </w:p>
    <w:p w14:paraId="74E7E440" w14:textId="77777777" w:rsidR="00DD7520" w:rsidRDefault="00DD7520" w:rsidP="004F261E">
      <w:pPr>
        <w:pStyle w:val="NumList1"/>
        <w:numPr>
          <w:ilvl w:val="0"/>
          <w:numId w:val="39"/>
        </w:numPr>
        <w:ind w:left="1843"/>
      </w:pPr>
      <w:r w:rsidRPr="00F66C4A">
        <w:t xml:space="preserve">Regulation 5(4)(d) enables ONR to impose particular safeguards provisions on an operator relating to the frequency of, and procedures for, taking a physical inventory. </w:t>
      </w:r>
    </w:p>
    <w:p w14:paraId="6637320E" w14:textId="77777777" w:rsidR="00DD7520" w:rsidRPr="00F66C4A" w:rsidRDefault="00DD7520" w:rsidP="003B67F9">
      <w:pPr>
        <w:pStyle w:val="NumList2"/>
      </w:pPr>
      <w:r w:rsidRPr="00F66C4A">
        <w:t xml:space="preserve">Accountancy and Control System </w:t>
      </w:r>
    </w:p>
    <w:p w14:paraId="6E883400" w14:textId="77777777" w:rsidR="00DD7520" w:rsidRDefault="00DD7520" w:rsidP="004F261E">
      <w:pPr>
        <w:pStyle w:val="NumList1"/>
        <w:numPr>
          <w:ilvl w:val="0"/>
          <w:numId w:val="40"/>
        </w:numPr>
        <w:ind w:left="1843"/>
      </w:pPr>
      <w:r w:rsidRPr="004655E5">
        <w:t>Regulation 6</w:t>
      </w:r>
      <w:r>
        <w:t>(3) refers to Schedule 2 which includes the requirements whereby</w:t>
      </w:r>
      <w:r w:rsidRPr="004655E5">
        <w:t xml:space="preserve"> an operator must carry out a PIT, have procedures in place that describe the PIT (including any measurement uncertainties), generate a list of inventory items (LII) and, on request, supply the LII to ONR to assist in ONRs </w:t>
      </w:r>
      <w:r>
        <w:t>inspection and assessment</w:t>
      </w:r>
      <w:r w:rsidRPr="004655E5">
        <w:t xml:space="preserve"> activities.</w:t>
      </w:r>
    </w:p>
    <w:p w14:paraId="7E98A26D" w14:textId="77777777" w:rsidR="00DD7520" w:rsidRPr="001B3D5E" w:rsidRDefault="00DD7520" w:rsidP="003B67F9">
      <w:pPr>
        <w:pStyle w:val="NumList2"/>
      </w:pPr>
      <w:r w:rsidRPr="001B3D5E">
        <w:t>Operating records</w:t>
      </w:r>
    </w:p>
    <w:p w14:paraId="409C327F" w14:textId="77777777" w:rsidR="00DD7520" w:rsidRDefault="00DD7520" w:rsidP="004F261E">
      <w:pPr>
        <w:pStyle w:val="NumList1"/>
        <w:numPr>
          <w:ilvl w:val="0"/>
          <w:numId w:val="41"/>
        </w:numPr>
        <w:ind w:left="1843"/>
      </w:pPr>
      <w:r w:rsidRPr="004655E5">
        <w:t>Regulation 10 requires the operating records set out the sequence of actions to prepare for and take a physical inventory to ensure that the inventory is correct and complete.</w:t>
      </w:r>
    </w:p>
    <w:p w14:paraId="6026C18A" w14:textId="77777777" w:rsidR="003B67F9" w:rsidRDefault="003B67F9" w:rsidP="003B67F9">
      <w:pPr>
        <w:pStyle w:val="NumList2"/>
        <w:sectPr w:rsidR="003B67F9" w:rsidSect="008A147B">
          <w:pgSz w:w="11906" w:h="16838" w:code="9"/>
          <w:pgMar w:top="1440" w:right="1440" w:bottom="1440" w:left="1440" w:header="431" w:footer="567" w:gutter="0"/>
          <w:cols w:space="708"/>
          <w:docGrid w:linePitch="360"/>
        </w:sectPr>
      </w:pPr>
    </w:p>
    <w:p w14:paraId="0C9D31C5" w14:textId="77777777" w:rsidR="00DD7520" w:rsidRPr="001B3D5E" w:rsidRDefault="00DD7520" w:rsidP="003B67F9">
      <w:pPr>
        <w:pStyle w:val="NumList2"/>
      </w:pPr>
      <w:r w:rsidRPr="001B3D5E">
        <w:lastRenderedPageBreak/>
        <w:t>Material balance report and physical inventory listing</w:t>
      </w:r>
    </w:p>
    <w:p w14:paraId="058B03CC" w14:textId="77777777" w:rsidR="00DD7520" w:rsidRDefault="00DD7520" w:rsidP="004F261E">
      <w:pPr>
        <w:pStyle w:val="NumList1"/>
        <w:numPr>
          <w:ilvl w:val="0"/>
          <w:numId w:val="42"/>
        </w:numPr>
        <w:ind w:left="1843"/>
      </w:pPr>
      <w:r w:rsidRPr="004655E5">
        <w:t>Regulation 15(3) sets out the frequency of a PIT.</w:t>
      </w:r>
      <w:r>
        <w:t xml:space="preserve"> A</w:t>
      </w:r>
      <w:r w:rsidRPr="004655E5">
        <w:t xml:space="preserve"> PIT should be taken every calendar year with the period between two successive PITs not exceeding 14 months.</w:t>
      </w:r>
      <w:r>
        <w:t xml:space="preserve"> </w:t>
      </w:r>
    </w:p>
    <w:p w14:paraId="2ABC8BBC" w14:textId="5542785C" w:rsidR="00DD7520" w:rsidRDefault="00DD7520" w:rsidP="003B67F9">
      <w:pPr>
        <w:pStyle w:val="NumList1"/>
      </w:pPr>
      <w:r w:rsidRPr="004655E5">
        <w:t xml:space="preserve">Operators must submit a PIL and </w:t>
      </w:r>
      <w:r>
        <w:t xml:space="preserve">an associated </w:t>
      </w:r>
      <w:r w:rsidRPr="004655E5">
        <w:t>MBR to ONR within 15 days of the PIT as required by Regulation 15(1) and 15(2).</w:t>
      </w:r>
    </w:p>
    <w:p w14:paraId="1E496D9C" w14:textId="77777777" w:rsidR="00DD7520" w:rsidRPr="001B3D5E" w:rsidRDefault="00DD7520" w:rsidP="003B67F9">
      <w:pPr>
        <w:pStyle w:val="NumList2"/>
      </w:pPr>
      <w:r>
        <w:t>QNFLO</w:t>
      </w:r>
    </w:p>
    <w:p w14:paraId="11347B79" w14:textId="3E62FE53" w:rsidR="00746D53" w:rsidRPr="004655E5" w:rsidRDefault="00DD7520" w:rsidP="004A31C3">
      <w:pPr>
        <w:pStyle w:val="NumList1"/>
        <w:numPr>
          <w:ilvl w:val="0"/>
          <w:numId w:val="43"/>
        </w:numPr>
        <w:ind w:left="1843"/>
      </w:pPr>
      <w:r w:rsidRPr="004655E5">
        <w:t xml:space="preserve">Regulation 31 requires those facilities which have been granted the status of a </w:t>
      </w:r>
      <w:r>
        <w:t>QNFLO</w:t>
      </w:r>
      <w:r w:rsidRPr="004655E5">
        <w:t>, to carry out a</w:t>
      </w:r>
      <w:r>
        <w:t xml:space="preserve">n annual </w:t>
      </w:r>
      <w:r w:rsidRPr="004655E5">
        <w:t>PIT and inform ONR of the results of the PIT within 30 days in a form</w:t>
      </w:r>
      <w:r w:rsidR="00D9411E">
        <w:t>at</w:t>
      </w:r>
      <w:r w:rsidRPr="004655E5">
        <w:t xml:space="preserve"> specified by ONR.</w:t>
      </w:r>
    </w:p>
    <w:p w14:paraId="31DECD9E" w14:textId="1763C24A" w:rsidR="00DD7520" w:rsidRPr="004655E5" w:rsidRDefault="00DD7520" w:rsidP="003B67F9">
      <w:pPr>
        <w:pStyle w:val="Heading2"/>
        <w:numPr>
          <w:ilvl w:val="0"/>
          <w:numId w:val="0"/>
        </w:numPr>
        <w:ind w:left="851"/>
      </w:pPr>
      <w:bookmarkStart w:id="16" w:name="_Toc34904815"/>
      <w:r w:rsidRPr="004655E5">
        <w:t xml:space="preserve">Purpose of </w:t>
      </w:r>
      <w:r w:rsidR="003B67F9">
        <w:t>a</w:t>
      </w:r>
      <w:r w:rsidRPr="004655E5">
        <w:t xml:space="preserve"> PIT and related inspection</w:t>
      </w:r>
      <w:r w:rsidR="003B67F9">
        <w:t>s</w:t>
      </w:r>
      <w:r w:rsidRPr="004655E5">
        <w:t xml:space="preserve"> within </w:t>
      </w:r>
      <w:r w:rsidR="003B67F9">
        <w:t>t</w:t>
      </w:r>
      <w:r w:rsidRPr="004655E5">
        <w:t xml:space="preserve">he </w:t>
      </w:r>
      <w:r w:rsidR="003B67F9">
        <w:t>r</w:t>
      </w:r>
      <w:r w:rsidRPr="004655E5">
        <w:t>egulations</w:t>
      </w:r>
      <w:bookmarkEnd w:id="16"/>
    </w:p>
    <w:p w14:paraId="4B830269" w14:textId="77777777" w:rsidR="00DD7520" w:rsidRPr="004655E5" w:rsidRDefault="00DD7520" w:rsidP="004A31C3">
      <w:pPr>
        <w:pStyle w:val="F9-Paragraph"/>
      </w:pPr>
      <w:r w:rsidRPr="004655E5">
        <w:t xml:space="preserve">The purpose of a PIT is for the operator to establish the physical inventory within an MBA at a given date and involves the operator identifying, counting, </w:t>
      </w:r>
      <w:r>
        <w:t xml:space="preserve">and </w:t>
      </w:r>
      <w:r w:rsidRPr="004655E5">
        <w:t>measuring</w:t>
      </w:r>
      <w:r>
        <w:t>,</w:t>
      </w:r>
      <w:r w:rsidRPr="004655E5">
        <w:t xml:space="preserve"> or deriving </w:t>
      </w:r>
      <w:r>
        <w:t xml:space="preserve">quantity </w:t>
      </w:r>
      <w:r w:rsidRPr="004655E5">
        <w:t xml:space="preserve">estimates of all </w:t>
      </w:r>
      <w:r>
        <w:t>QNM</w:t>
      </w:r>
      <w:r w:rsidRPr="004655E5">
        <w:t>.</w:t>
      </w:r>
      <w:r>
        <w:t xml:space="preserve"> </w:t>
      </w:r>
      <w:r w:rsidRPr="004655E5">
        <w:t>The physical inventory is declared by the operator in a PIL.</w:t>
      </w:r>
    </w:p>
    <w:p w14:paraId="7C005214" w14:textId="2FE27370" w:rsidR="00DD7520" w:rsidRPr="004655E5" w:rsidRDefault="00DD7520" w:rsidP="004A31C3">
      <w:pPr>
        <w:pStyle w:val="F9-Paragraph"/>
      </w:pPr>
      <w:r w:rsidRPr="004655E5">
        <w:t xml:space="preserve">The physical inventory should then be compared by the operator to the book balance which is determined by summing all inventory changes in the MBA during the material balance period </w:t>
      </w:r>
      <w:r>
        <w:t xml:space="preserve">(MBP) </w:t>
      </w:r>
      <w:r w:rsidRPr="004655E5">
        <w:t xml:space="preserve">and declared on the MBR. The MBR will record the </w:t>
      </w:r>
      <w:r>
        <w:t>material unaccounted for (MUF), the difference</w:t>
      </w:r>
      <w:r w:rsidRPr="004655E5">
        <w:t xml:space="preserve"> between the physical inventory and book balance.</w:t>
      </w:r>
      <w:r>
        <w:t xml:space="preserve"> </w:t>
      </w:r>
      <w:r w:rsidRPr="004655E5">
        <w:t xml:space="preserve">The </w:t>
      </w:r>
      <w:r>
        <w:t>MUF</w:t>
      </w:r>
      <w:r w:rsidRPr="004655E5">
        <w:t xml:space="preserve"> should </w:t>
      </w:r>
      <w:r>
        <w:t xml:space="preserve">then </w:t>
      </w:r>
      <w:r w:rsidRPr="004655E5">
        <w:t>be</w:t>
      </w:r>
      <w:r>
        <w:t xml:space="preserve"> statistically</w:t>
      </w:r>
      <w:r w:rsidRPr="004655E5">
        <w:t xml:space="preserve"> assessed </w:t>
      </w:r>
      <w:r w:rsidR="004838C4">
        <w:t xml:space="preserve">by the operator </w:t>
      </w:r>
      <w:r w:rsidRPr="004655E5">
        <w:t xml:space="preserve">as </w:t>
      </w:r>
      <w:r>
        <w:t>to its acceptability based on the measurement uncertainties associated with the facility</w:t>
      </w:r>
      <w:r w:rsidRPr="004655E5">
        <w:t>.</w:t>
      </w:r>
      <w:r w:rsidR="00B155B6">
        <w:t xml:space="preserve"> The inspector should compare those measurement uncertainties against those set out in the International Target Values [11]</w:t>
      </w:r>
      <w:r w:rsidR="005D686B">
        <w:t xml:space="preserve">, and </w:t>
      </w:r>
      <w:r w:rsidR="00C57CB3">
        <w:t>make an assessment of whether the facility measurement capabilities are adequate.</w:t>
      </w:r>
    </w:p>
    <w:p w14:paraId="3359C499" w14:textId="77777777" w:rsidR="00DD7520" w:rsidRPr="004655E5" w:rsidRDefault="00DD7520" w:rsidP="004A31C3">
      <w:pPr>
        <w:pStyle w:val="F9-Paragraph"/>
      </w:pPr>
      <w:r w:rsidRPr="004655E5">
        <w:t xml:space="preserve">The PIL and its associated MBR are required to be submitted to ONR </w:t>
      </w:r>
      <w:r>
        <w:t xml:space="preserve">within </w:t>
      </w:r>
      <w:r w:rsidRPr="004655E5">
        <w:t xml:space="preserve">15 days </w:t>
      </w:r>
      <w:r>
        <w:t xml:space="preserve">of </w:t>
      </w:r>
      <w:r w:rsidRPr="004655E5">
        <w:t>completion of the PIT.</w:t>
      </w:r>
    </w:p>
    <w:p w14:paraId="15D7FAD3" w14:textId="52961BBB" w:rsidR="00746D53" w:rsidRDefault="00DD7520" w:rsidP="004A31C3">
      <w:pPr>
        <w:pStyle w:val="F9-Paragraph"/>
      </w:pPr>
      <w:r w:rsidRPr="004655E5">
        <w:t xml:space="preserve">Inspections related to the PIT </w:t>
      </w:r>
      <w:r>
        <w:t>contribute to</w:t>
      </w:r>
      <w:r w:rsidRPr="004655E5">
        <w:t xml:space="preserve"> ONR assurance that the NMACS system, required under Regulation 6, is maintained such that the operator can demonstrate the system and its implementation meets relevant good practice and the requirements specified in NSR19.</w:t>
      </w:r>
    </w:p>
    <w:p w14:paraId="63B2C8FF" w14:textId="77777777" w:rsidR="00746D53" w:rsidRDefault="00746D53">
      <w:pPr>
        <w:spacing w:after="0" w:line="240" w:lineRule="auto"/>
      </w:pPr>
      <w:r>
        <w:br w:type="page"/>
      </w:r>
    </w:p>
    <w:p w14:paraId="3068618C" w14:textId="500F2E65" w:rsidR="00DD7520" w:rsidRPr="004655E5" w:rsidRDefault="00DD7520" w:rsidP="005C1F0B">
      <w:pPr>
        <w:pStyle w:val="Heading2"/>
        <w:numPr>
          <w:ilvl w:val="0"/>
          <w:numId w:val="0"/>
        </w:numPr>
        <w:ind w:left="851"/>
      </w:pPr>
      <w:bookmarkStart w:id="17" w:name="_Toc34904582"/>
      <w:bookmarkStart w:id="18" w:name="_Toc34904584"/>
      <w:bookmarkStart w:id="19" w:name="_Toc34904585"/>
      <w:bookmarkStart w:id="20" w:name="_Toc34904816"/>
      <w:bookmarkEnd w:id="17"/>
      <w:bookmarkEnd w:id="18"/>
      <w:bookmarkEnd w:id="19"/>
      <w:r w:rsidRPr="004655E5">
        <w:lastRenderedPageBreak/>
        <w:t xml:space="preserve">Guidance on PIT preparation and </w:t>
      </w:r>
      <w:r w:rsidR="004F4901">
        <w:t>a</w:t>
      </w:r>
      <w:r w:rsidRPr="004655E5">
        <w:t>rrangements</w:t>
      </w:r>
      <w:bookmarkEnd w:id="20"/>
      <w:r w:rsidRPr="004655E5">
        <w:t xml:space="preserve"> </w:t>
      </w:r>
    </w:p>
    <w:p w14:paraId="2F730317" w14:textId="77777777" w:rsidR="00DD7520" w:rsidRPr="004655E5" w:rsidRDefault="00DD7520" w:rsidP="004A31C3">
      <w:pPr>
        <w:pStyle w:val="F9-Paragraph"/>
        <w:rPr>
          <w:bCs/>
        </w:rPr>
      </w:pPr>
      <w:r w:rsidRPr="004655E5">
        <w:t>ONR’s regulatory expectations related to the operator’s arrangements for taking a physical inventory and their implementation are set out in the ONR Guidance for Nuclear Material Accountancy, Control and Safeguards (ONMACS) Nuclear Material and Accountancy Expectation (MACE) 9.2, and include:</w:t>
      </w:r>
    </w:p>
    <w:p w14:paraId="6A4A4AEA" w14:textId="77777777" w:rsidR="00DD7520" w:rsidRPr="004655E5" w:rsidRDefault="00DD7520" w:rsidP="004F261E">
      <w:pPr>
        <w:pStyle w:val="NumList2"/>
        <w:numPr>
          <w:ilvl w:val="1"/>
          <w:numId w:val="44"/>
        </w:numPr>
        <w:ind w:left="1276"/>
      </w:pPr>
      <w:r w:rsidRPr="004655E5">
        <w:t>that they are readily available, up to date and approved by an appropriate manager or responsible person</w:t>
      </w:r>
      <w:r>
        <w:t>.</w:t>
      </w:r>
    </w:p>
    <w:p w14:paraId="3F28F0BD" w14:textId="77777777" w:rsidR="00DD7520" w:rsidRPr="004655E5" w:rsidRDefault="00DD7520" w:rsidP="004F4901">
      <w:pPr>
        <w:pStyle w:val="NumList2"/>
      </w:pPr>
      <w:r w:rsidRPr="004655E5">
        <w:t>identified job roles and competent persons to perform the activities with clear definitions of responsibilities</w:t>
      </w:r>
      <w:r>
        <w:t>.</w:t>
      </w:r>
    </w:p>
    <w:p w14:paraId="20A8548F" w14:textId="3065F722" w:rsidR="00DD7520" w:rsidRPr="004655E5" w:rsidRDefault="00DD7520" w:rsidP="004F4901">
      <w:pPr>
        <w:pStyle w:val="NumList2"/>
      </w:pPr>
      <w:r w:rsidRPr="004655E5">
        <w:t xml:space="preserve">halting the movement of </w:t>
      </w:r>
      <w:r w:rsidR="00D44CF8">
        <w:t>QNM</w:t>
      </w:r>
      <w:r w:rsidRPr="004655E5">
        <w:t xml:space="preserve"> for the duration of the PIT</w:t>
      </w:r>
      <w:r>
        <w:t xml:space="preserve">. </w:t>
      </w:r>
    </w:p>
    <w:p w14:paraId="74C0B9E1" w14:textId="2623B1EC" w:rsidR="00DD7520" w:rsidRPr="004655E5" w:rsidRDefault="00DD7520" w:rsidP="004F4901">
      <w:pPr>
        <w:pStyle w:val="NumList2"/>
      </w:pPr>
      <w:r w:rsidRPr="004655E5">
        <w:t xml:space="preserve">minimising the amount of </w:t>
      </w:r>
      <w:r w:rsidR="00D44CF8">
        <w:t>QNM</w:t>
      </w:r>
      <w:r w:rsidRPr="004655E5">
        <w:t xml:space="preserve"> held in a process area</w:t>
      </w:r>
      <w:r>
        <w:t xml:space="preserve"> at the time of a PIT. </w:t>
      </w:r>
    </w:p>
    <w:p w14:paraId="20A7D4F7" w14:textId="5C293905" w:rsidR="00DD7520" w:rsidRPr="004655E5" w:rsidRDefault="00DD7520" w:rsidP="004F4901">
      <w:pPr>
        <w:pStyle w:val="NumList2"/>
      </w:pPr>
      <w:r w:rsidRPr="004655E5">
        <w:t xml:space="preserve">ensuring </w:t>
      </w:r>
      <w:r w:rsidR="00D44CF8">
        <w:t>QNM</w:t>
      </w:r>
      <w:r w:rsidRPr="004655E5">
        <w:t xml:space="preserve"> is uniquely identified</w:t>
      </w:r>
      <w:r>
        <w:t>.</w:t>
      </w:r>
    </w:p>
    <w:p w14:paraId="61A1D4AE" w14:textId="77777777" w:rsidR="00DD7520" w:rsidRPr="004655E5" w:rsidRDefault="00DD7520" w:rsidP="004F4901">
      <w:pPr>
        <w:pStyle w:val="NumList2"/>
      </w:pPr>
      <w:r w:rsidRPr="004655E5">
        <w:t>ensuring that there are suitable measurement techniques and technical justifications for estimates of the quantities involved.</w:t>
      </w:r>
    </w:p>
    <w:p w14:paraId="186905F5" w14:textId="77777777" w:rsidR="00DD7520" w:rsidRPr="004655E5" w:rsidRDefault="00DD7520" w:rsidP="004A31C3">
      <w:pPr>
        <w:pStyle w:val="F9-Paragraph"/>
      </w:pPr>
      <w:r w:rsidRPr="004655E5">
        <w:t>To demonstrate compliance with NSR19 and meet the regulatory expectations set out in the ONMACS, the operator should have in place the following arrangements or procedures (where relevant):</w:t>
      </w:r>
    </w:p>
    <w:p w14:paraId="10164D51" w14:textId="77777777" w:rsidR="00DD7520" w:rsidRPr="004655E5" w:rsidRDefault="00DD7520" w:rsidP="004F261E">
      <w:pPr>
        <w:pStyle w:val="NumList2"/>
        <w:numPr>
          <w:ilvl w:val="1"/>
          <w:numId w:val="45"/>
        </w:numPr>
        <w:ind w:left="1276"/>
      </w:pPr>
      <w:r w:rsidRPr="004655E5">
        <w:t xml:space="preserve">arrangements for notifications and submission to ONR of: </w:t>
      </w:r>
    </w:p>
    <w:p w14:paraId="42A0D093" w14:textId="77777777" w:rsidR="00DD7520" w:rsidRPr="00BA7F1A" w:rsidRDefault="00DD7520" w:rsidP="004F261E">
      <w:pPr>
        <w:pStyle w:val="NumList1"/>
        <w:numPr>
          <w:ilvl w:val="0"/>
          <w:numId w:val="46"/>
        </w:numPr>
        <w:ind w:left="1843"/>
      </w:pPr>
      <w:r w:rsidRPr="00BA7F1A">
        <w:t>the programme of activities for the next calendar year by 30 September of the preceding year including estimated PIT date and its likely duration</w:t>
      </w:r>
      <w:r>
        <w:t>.</w:t>
      </w:r>
    </w:p>
    <w:p w14:paraId="2E6E816D" w14:textId="77777777" w:rsidR="00DD7520" w:rsidRPr="00BA7F1A" w:rsidRDefault="00DD7520" w:rsidP="004F4901">
      <w:pPr>
        <w:pStyle w:val="NumList1"/>
      </w:pPr>
      <w:r w:rsidRPr="00BA7F1A">
        <w:t>notification of the confirmed PIT date at least 40 days before the date on which the physical inventory is to be taken</w:t>
      </w:r>
      <w:r>
        <w:t xml:space="preserve">. </w:t>
      </w:r>
    </w:p>
    <w:p w14:paraId="60680D42" w14:textId="77777777" w:rsidR="00DD7520" w:rsidRPr="00BA7F1A" w:rsidRDefault="00DD7520" w:rsidP="004F4901">
      <w:pPr>
        <w:pStyle w:val="NumList1"/>
      </w:pPr>
      <w:r w:rsidRPr="00BA7F1A">
        <w:t xml:space="preserve">for those granted the status of </w:t>
      </w:r>
      <w:r>
        <w:t>QNFLO</w:t>
      </w:r>
      <w:r w:rsidRPr="00BA7F1A">
        <w:t xml:space="preserve"> under Regulation 31 confirmation the PIT has been performed within 30 days of completion of the PIT</w:t>
      </w:r>
      <w:r>
        <w:t>.</w:t>
      </w:r>
    </w:p>
    <w:p w14:paraId="12D194F1" w14:textId="77777777" w:rsidR="00DD7520" w:rsidRPr="00BA7F1A" w:rsidRDefault="00DD7520" w:rsidP="004F4901">
      <w:pPr>
        <w:pStyle w:val="NumList1"/>
      </w:pPr>
      <w:r w:rsidRPr="00BA7F1A">
        <w:t>the PIL and MBR within 15 days of the PIT.</w:t>
      </w:r>
    </w:p>
    <w:p w14:paraId="26846C05" w14:textId="77777777" w:rsidR="00DD7520" w:rsidRPr="004655E5" w:rsidRDefault="00DD7520" w:rsidP="004F4901">
      <w:pPr>
        <w:pStyle w:val="NumList2"/>
        <w:rPr>
          <w:i/>
        </w:rPr>
      </w:pPr>
      <w:r w:rsidRPr="004655E5">
        <w:t>arrangements and procedures describing the actions to prepare for, and under</w:t>
      </w:r>
      <w:r>
        <w:t>take</w:t>
      </w:r>
      <w:r w:rsidRPr="004655E5">
        <w:t>, a PIT and ensure that the inventory is correct and complete including (where applicable):</w:t>
      </w:r>
    </w:p>
    <w:p w14:paraId="4130C732" w14:textId="77777777" w:rsidR="00DD7520" w:rsidRPr="004655E5" w:rsidRDefault="00DD7520" w:rsidP="004F261E">
      <w:pPr>
        <w:numPr>
          <w:ilvl w:val="1"/>
          <w:numId w:val="8"/>
        </w:numPr>
        <w:spacing w:after="120" w:line="240" w:lineRule="auto"/>
      </w:pPr>
      <w:r w:rsidRPr="004655E5">
        <w:t xml:space="preserve">inventory locations, including a flow sheet identifying points where </w:t>
      </w:r>
      <w:r>
        <w:t>QNM</w:t>
      </w:r>
      <w:r w:rsidRPr="004655E5">
        <w:t xml:space="preserve"> can be identified, measured</w:t>
      </w:r>
      <w:r>
        <w:t>,</w:t>
      </w:r>
      <w:r w:rsidRPr="004655E5">
        <w:t xml:space="preserve"> or estimated</w:t>
      </w:r>
      <w:r>
        <w:t>.</w:t>
      </w:r>
    </w:p>
    <w:p w14:paraId="075698AB" w14:textId="2F5CEE3E" w:rsidR="00DD7520" w:rsidRPr="004655E5" w:rsidRDefault="00DD7520" w:rsidP="004F261E">
      <w:pPr>
        <w:numPr>
          <w:ilvl w:val="1"/>
          <w:numId w:val="8"/>
        </w:numPr>
        <w:spacing w:after="120" w:line="240" w:lineRule="auto"/>
      </w:pPr>
      <w:r w:rsidRPr="004655E5">
        <w:lastRenderedPageBreak/>
        <w:t>procedures and methods for operators</w:t>
      </w:r>
      <w:r>
        <w:t>’</w:t>
      </w:r>
      <w:r w:rsidRPr="004655E5">
        <w:t xml:space="preserve"> </w:t>
      </w:r>
      <w:r w:rsidR="00625DD2">
        <w:t>PIT</w:t>
      </w:r>
      <w:r w:rsidRPr="004655E5">
        <w:t xml:space="preserve"> including the method of identifying individual items</w:t>
      </w:r>
      <w:r>
        <w:t>.</w:t>
      </w:r>
    </w:p>
    <w:p w14:paraId="202B80E2" w14:textId="77777777" w:rsidR="00DD7520" w:rsidRPr="004655E5" w:rsidRDefault="00DD7520" w:rsidP="004F261E">
      <w:pPr>
        <w:numPr>
          <w:ilvl w:val="1"/>
          <w:numId w:val="8"/>
        </w:numPr>
        <w:spacing w:after="120" w:line="240" w:lineRule="auto"/>
      </w:pPr>
      <w:r w:rsidRPr="004655E5">
        <w:t xml:space="preserve">descriptions of the physical inventory including any hold ups, buffer levels, delay volumes and unverifiable </w:t>
      </w:r>
      <w:r>
        <w:t>QNM</w:t>
      </w:r>
      <w:r w:rsidRPr="004655E5">
        <w:t xml:space="preserve"> or items</w:t>
      </w:r>
      <w:r>
        <w:t>.</w:t>
      </w:r>
      <w:r w:rsidRPr="004655E5">
        <w:t xml:space="preserve"> </w:t>
      </w:r>
    </w:p>
    <w:p w14:paraId="3FFC30BF" w14:textId="77777777" w:rsidR="00DD7520" w:rsidRPr="004655E5" w:rsidRDefault="00DD7520" w:rsidP="004F261E">
      <w:pPr>
        <w:pStyle w:val="ListParagraph"/>
        <w:numPr>
          <w:ilvl w:val="1"/>
          <w:numId w:val="8"/>
        </w:numPr>
        <w:spacing w:after="120" w:line="240" w:lineRule="auto"/>
      </w:pPr>
      <w:r w:rsidRPr="004655E5">
        <w:t xml:space="preserve">any inaccessible areas or </w:t>
      </w:r>
      <w:r>
        <w:t>other</w:t>
      </w:r>
      <w:r w:rsidRPr="004655E5">
        <w:t xml:space="preserve"> constraints</w:t>
      </w:r>
      <w:r>
        <w:t>.</w:t>
      </w:r>
    </w:p>
    <w:p w14:paraId="48E6F6A3" w14:textId="77777777" w:rsidR="00DD7520" w:rsidRPr="004655E5" w:rsidRDefault="00DD7520" w:rsidP="004F4901">
      <w:pPr>
        <w:pStyle w:val="NumList2"/>
      </w:pPr>
      <w:r w:rsidRPr="004655E5">
        <w:t xml:space="preserve">a measurement quality control programme for </w:t>
      </w:r>
      <w:r>
        <w:t xml:space="preserve">nuclear </w:t>
      </w:r>
      <w:r w:rsidRPr="004655E5">
        <w:t>material accountancy purposes including:</w:t>
      </w:r>
    </w:p>
    <w:p w14:paraId="5F90B097" w14:textId="7D9F68C6" w:rsidR="00DD7520" w:rsidRPr="004655E5" w:rsidRDefault="00DD7520" w:rsidP="004F261E">
      <w:pPr>
        <w:pStyle w:val="NumList1"/>
        <w:numPr>
          <w:ilvl w:val="0"/>
          <w:numId w:val="47"/>
        </w:numPr>
        <w:ind w:left="2127"/>
      </w:pPr>
      <w:r w:rsidRPr="004655E5">
        <w:t>description of methods for determining quantities and for estimating measurement uncertainties</w:t>
      </w:r>
      <w:r w:rsidR="00625DD2">
        <w:t xml:space="preserve"> of QNM inventory</w:t>
      </w:r>
      <w:r>
        <w:t>.</w:t>
      </w:r>
    </w:p>
    <w:p w14:paraId="4CD387D7" w14:textId="77777777" w:rsidR="00DD7520" w:rsidRPr="004655E5" w:rsidRDefault="00DD7520" w:rsidP="004F4901">
      <w:pPr>
        <w:pStyle w:val="NumList1"/>
      </w:pPr>
      <w:r w:rsidRPr="004655E5">
        <w:t>description of the methods for establishing measurements at the flow or inventory measurement points</w:t>
      </w:r>
      <w:r>
        <w:t>,</w:t>
      </w:r>
      <w:r w:rsidRPr="004655E5">
        <w:t xml:space="preserve"> identifying any equations or tables used and calculations to determine quantities</w:t>
      </w:r>
      <w:r>
        <w:t>.</w:t>
      </w:r>
      <w:r w:rsidRPr="004655E5">
        <w:t xml:space="preserve"> </w:t>
      </w:r>
    </w:p>
    <w:p w14:paraId="6A0F2E07" w14:textId="77777777" w:rsidR="00DD7520" w:rsidRPr="004655E5" w:rsidRDefault="00DD7520" w:rsidP="004F4901">
      <w:pPr>
        <w:pStyle w:val="NumList1"/>
      </w:pPr>
      <w:r w:rsidRPr="004655E5">
        <w:t xml:space="preserve">identification of areas or systems where there is </w:t>
      </w:r>
      <w:r>
        <w:t>QNM</w:t>
      </w:r>
      <w:r w:rsidRPr="004655E5">
        <w:t xml:space="preserve"> hold up and how that hold up is measured or estimated</w:t>
      </w:r>
      <w:r>
        <w:t>.</w:t>
      </w:r>
    </w:p>
    <w:p w14:paraId="6365A419" w14:textId="77777777" w:rsidR="00DD7520" w:rsidRPr="004655E5" w:rsidRDefault="00DD7520" w:rsidP="004F4901">
      <w:pPr>
        <w:pStyle w:val="NumList1"/>
      </w:pPr>
      <w:r w:rsidRPr="004655E5">
        <w:t>calibration of measurement and test equipment</w:t>
      </w:r>
      <w:r>
        <w:t>.</w:t>
      </w:r>
    </w:p>
    <w:p w14:paraId="4D553FF4" w14:textId="65889033" w:rsidR="00DD7520" w:rsidRPr="004655E5" w:rsidRDefault="00DD7520" w:rsidP="004F4901">
      <w:pPr>
        <w:pStyle w:val="NumList1"/>
      </w:pPr>
      <w:r w:rsidRPr="004655E5">
        <w:t>demonstrable compliance with relevant good practice such that the measurement results meet international standards, in particular the IAEA International Target Values (ITVs)</w:t>
      </w:r>
      <w:r w:rsidR="003508FB">
        <w:t xml:space="preserve"> </w:t>
      </w:r>
      <w:sdt>
        <w:sdtPr>
          <w:id w:val="70941480"/>
          <w:citation/>
        </w:sdtPr>
        <w:sdtEndPr/>
        <w:sdtContent>
          <w:r w:rsidR="003508FB">
            <w:fldChar w:fldCharType="begin"/>
          </w:r>
          <w:r w:rsidR="003508FB">
            <w:instrText xml:space="preserve"> CITATION Eur10 \l 2057 </w:instrText>
          </w:r>
          <w:r w:rsidR="003508FB">
            <w:fldChar w:fldCharType="separate"/>
          </w:r>
          <w:r w:rsidR="00DA6493" w:rsidRPr="00DA6493">
            <w:rPr>
              <w:noProof/>
            </w:rPr>
            <w:t>[12]</w:t>
          </w:r>
          <w:r w:rsidR="003508FB">
            <w:fldChar w:fldCharType="end"/>
          </w:r>
        </w:sdtContent>
      </w:sdt>
      <w:r w:rsidRPr="004655E5">
        <w:t>.</w:t>
      </w:r>
      <w:r>
        <w:t xml:space="preserve"> </w:t>
      </w:r>
      <w:r w:rsidRPr="004655E5">
        <w:t xml:space="preserve">If the operator cannot </w:t>
      </w:r>
      <w:r>
        <w:t xml:space="preserve">demonstrate that they </w:t>
      </w:r>
      <w:r w:rsidRPr="004655E5">
        <w:t>meet the relevant international standards</w:t>
      </w:r>
      <w:r>
        <w:t>,</w:t>
      </w:r>
      <w:r w:rsidRPr="004655E5">
        <w:t xml:space="preserve"> </w:t>
      </w:r>
      <w:r>
        <w:t xml:space="preserve">then a technically underpinned </w:t>
      </w:r>
      <w:r w:rsidRPr="004655E5">
        <w:t>justification should be provided.</w:t>
      </w:r>
    </w:p>
    <w:p w14:paraId="79D01E65" w14:textId="2E467C0D" w:rsidR="00DD7520" w:rsidRPr="004655E5" w:rsidRDefault="00DD7520" w:rsidP="004F4901">
      <w:pPr>
        <w:pStyle w:val="NumList2"/>
      </w:pPr>
      <w:r w:rsidRPr="004655E5">
        <w:t>The generation of a LII.</w:t>
      </w:r>
      <w:r>
        <w:t xml:space="preserve"> </w:t>
      </w:r>
      <w:r w:rsidRPr="004655E5">
        <w:t>Although the format of the LII is not prescribed</w:t>
      </w:r>
      <w:r>
        <w:t>,</w:t>
      </w:r>
      <w:r w:rsidRPr="004655E5">
        <w:t xml:space="preserve"> relevant good practice is that an LII</w:t>
      </w:r>
      <w:r w:rsidRPr="0099354D">
        <w:t xml:space="preserve"> </w:t>
      </w:r>
      <w:r>
        <w:t>(</w:t>
      </w:r>
      <w:r w:rsidRPr="004655E5">
        <w:t xml:space="preserve">An example of </w:t>
      </w:r>
      <w:r>
        <w:t xml:space="preserve">information typically found in an </w:t>
      </w:r>
      <w:r w:rsidRPr="004655E5">
        <w:t xml:space="preserve">LII is provided in </w:t>
      </w:r>
      <w:r w:rsidR="003508FB">
        <w:fldChar w:fldCharType="begin"/>
      </w:r>
      <w:r w:rsidR="003508FB">
        <w:instrText xml:space="preserve"> REF _Ref232672823 \h </w:instrText>
      </w:r>
      <w:r w:rsidR="003508FB">
        <w:fldChar w:fldCharType="separate"/>
      </w:r>
      <w:r w:rsidR="00CE3296">
        <w:t xml:space="preserve">Table </w:t>
      </w:r>
      <w:r w:rsidR="00CE3296">
        <w:rPr>
          <w:noProof/>
        </w:rPr>
        <w:t>1</w:t>
      </w:r>
      <w:r w:rsidR="003508FB">
        <w:fldChar w:fldCharType="end"/>
      </w:r>
      <w:r>
        <w:t>)</w:t>
      </w:r>
      <w:r w:rsidRPr="004655E5">
        <w:t>:</w:t>
      </w:r>
    </w:p>
    <w:p w14:paraId="402B0FB6" w14:textId="77777777" w:rsidR="00DD7520" w:rsidRPr="004655E5" w:rsidRDefault="00DD7520" w:rsidP="004F261E">
      <w:pPr>
        <w:pStyle w:val="NumList1"/>
        <w:numPr>
          <w:ilvl w:val="0"/>
          <w:numId w:val="48"/>
        </w:numPr>
        <w:ind w:left="1843"/>
      </w:pPr>
      <w:r w:rsidRPr="004655E5">
        <w:t>utilise</w:t>
      </w:r>
      <w:r>
        <w:t>s</w:t>
      </w:r>
      <w:r w:rsidRPr="004655E5">
        <w:t xml:space="preserve"> ‘stratification’ i.e., have </w:t>
      </w:r>
      <w:r>
        <w:t>QNM</w:t>
      </w:r>
      <w:r w:rsidRPr="004655E5">
        <w:t xml:space="preserve"> with similar physical and chemical characteristics and within the same measurement uncertainties (i.e., measured or estimated) or location grouped together</w:t>
      </w:r>
      <w:r>
        <w:t>.</w:t>
      </w:r>
      <w:r w:rsidRPr="004655E5">
        <w:t xml:space="preserve"> </w:t>
      </w:r>
    </w:p>
    <w:p w14:paraId="4F069F3E" w14:textId="77777777" w:rsidR="00DD7520" w:rsidRPr="004655E5" w:rsidRDefault="00DD7520" w:rsidP="004F4901">
      <w:pPr>
        <w:pStyle w:val="NumList1"/>
      </w:pPr>
      <w:r w:rsidRPr="004655E5">
        <w:t>be complete and define identities and locations of all items in an MBA or a specified location within a</w:t>
      </w:r>
      <w:r>
        <w:t>n</w:t>
      </w:r>
      <w:r w:rsidRPr="004655E5">
        <w:t xml:space="preserve"> MBA</w:t>
      </w:r>
      <w:r>
        <w:t>.</w:t>
      </w:r>
    </w:p>
    <w:p w14:paraId="4C17FD77" w14:textId="77777777" w:rsidR="00DD7520" w:rsidRPr="004655E5" w:rsidRDefault="00DD7520" w:rsidP="004F4901">
      <w:pPr>
        <w:pStyle w:val="NumList1"/>
      </w:pPr>
      <w:r w:rsidRPr="004655E5">
        <w:t xml:space="preserve">clearly state any </w:t>
      </w:r>
      <w:r>
        <w:t>QNM</w:t>
      </w:r>
      <w:r w:rsidRPr="004655E5">
        <w:t xml:space="preserve"> within the MBA that the operator has been unable to physically measure or estimate wit</w:t>
      </w:r>
      <w:r>
        <w:t>h the reason clearly recorded.</w:t>
      </w:r>
    </w:p>
    <w:p w14:paraId="3CEFE3A4" w14:textId="77777777" w:rsidR="00DD7520" w:rsidRPr="004655E5" w:rsidRDefault="00DD7520" w:rsidP="004F4901">
      <w:pPr>
        <w:pStyle w:val="NumList2"/>
      </w:pPr>
      <w:r w:rsidRPr="004655E5">
        <w:t xml:space="preserve">Performance of a </w:t>
      </w:r>
      <w:r>
        <w:t>m</w:t>
      </w:r>
      <w:r w:rsidRPr="004655E5">
        <w:t xml:space="preserve">aterial </w:t>
      </w:r>
      <w:r>
        <w:t>b</w:t>
      </w:r>
      <w:r w:rsidRPr="004655E5">
        <w:t xml:space="preserve">alance </w:t>
      </w:r>
      <w:r>
        <w:t>e</w:t>
      </w:r>
      <w:r w:rsidRPr="004655E5">
        <w:t xml:space="preserve">valuation (MBE) to determine if any </w:t>
      </w:r>
      <w:r>
        <w:t>MUF</w:t>
      </w:r>
      <w:r w:rsidRPr="004655E5">
        <w:t xml:space="preserve"> declared on the MBR is consistent with measurement uncertainty or may reflect other causes.</w:t>
      </w:r>
      <w:r>
        <w:t xml:space="preserve"> </w:t>
      </w:r>
      <w:r w:rsidRPr="004655E5">
        <w:t xml:space="preserve">In a process facility this should include: </w:t>
      </w:r>
    </w:p>
    <w:p w14:paraId="59FCD43B" w14:textId="77777777" w:rsidR="00DD7520" w:rsidRPr="004655E5" w:rsidRDefault="00DD7520" w:rsidP="004F261E">
      <w:pPr>
        <w:pStyle w:val="NumList1"/>
        <w:numPr>
          <w:ilvl w:val="0"/>
          <w:numId w:val="49"/>
        </w:numPr>
        <w:ind w:left="1843"/>
      </w:pPr>
      <w:r w:rsidRPr="004655E5">
        <w:t xml:space="preserve">producing a technically justified </w:t>
      </w:r>
      <w:r>
        <w:t>MUF</w:t>
      </w:r>
      <w:r w:rsidRPr="004655E5">
        <w:t xml:space="preserve"> </w:t>
      </w:r>
      <w:r>
        <w:t>a</w:t>
      </w:r>
      <w:r w:rsidRPr="004655E5">
        <w:t xml:space="preserve">ction </w:t>
      </w:r>
      <w:r>
        <w:t>l</w:t>
      </w:r>
      <w:r w:rsidRPr="004655E5">
        <w:t>evel following completion of the PIT</w:t>
      </w:r>
      <w:r>
        <w:t>.</w:t>
      </w:r>
    </w:p>
    <w:p w14:paraId="5366CA7A" w14:textId="77777777" w:rsidR="00DD7520" w:rsidRDefault="00DD7520" w:rsidP="004F4901">
      <w:pPr>
        <w:pStyle w:val="NumList1"/>
      </w:pPr>
      <w:r w:rsidRPr="004655E5">
        <w:lastRenderedPageBreak/>
        <w:t xml:space="preserve">comparing the calculated </w:t>
      </w:r>
      <w:r>
        <w:t>MUF</w:t>
      </w:r>
      <w:r w:rsidRPr="004655E5">
        <w:t xml:space="preserve"> declared on the MBR to the </w:t>
      </w:r>
      <w:r>
        <w:t>MUF action level</w:t>
      </w:r>
      <w:r w:rsidRPr="004655E5">
        <w:t>.</w:t>
      </w:r>
    </w:p>
    <w:p w14:paraId="2FD991EE" w14:textId="0BF98BA5" w:rsidR="00621AAA" w:rsidRPr="004655E5" w:rsidRDefault="00DD7520" w:rsidP="004A31C3">
      <w:pPr>
        <w:pStyle w:val="NumList1"/>
      </w:pPr>
      <w:r>
        <w:t xml:space="preserve">setting out any non-conformance processes or investigation steps in the event of a </w:t>
      </w:r>
      <w:r w:rsidR="00915E74">
        <w:t xml:space="preserve">statistically </w:t>
      </w:r>
      <w:r>
        <w:t>unacceptable MUF.</w:t>
      </w:r>
    </w:p>
    <w:p w14:paraId="0ADC1F5B" w14:textId="5A25D38D" w:rsidR="00DD7520" w:rsidRPr="004655E5" w:rsidRDefault="00DD7520" w:rsidP="004F4901">
      <w:pPr>
        <w:pStyle w:val="Heading2"/>
        <w:numPr>
          <w:ilvl w:val="0"/>
          <w:numId w:val="0"/>
        </w:numPr>
        <w:ind w:left="851"/>
      </w:pPr>
      <w:bookmarkStart w:id="21" w:name="_Toc34904817"/>
      <w:bookmarkStart w:id="22" w:name="_Ref118718894"/>
      <w:r w:rsidRPr="004655E5">
        <w:t xml:space="preserve">Guidance on </w:t>
      </w:r>
      <w:r w:rsidR="004F4901">
        <w:t>i</w:t>
      </w:r>
      <w:r w:rsidRPr="004655E5">
        <w:t xml:space="preserve">nspection of </w:t>
      </w:r>
      <w:r w:rsidR="004F4901">
        <w:t>a</w:t>
      </w:r>
      <w:r w:rsidRPr="004655E5">
        <w:t xml:space="preserve">rrangements and their </w:t>
      </w:r>
      <w:r w:rsidR="004F4901">
        <w:t>i</w:t>
      </w:r>
      <w:r w:rsidRPr="004655E5">
        <w:t>mplementation</w:t>
      </w:r>
      <w:bookmarkEnd w:id="21"/>
      <w:bookmarkEnd w:id="22"/>
    </w:p>
    <w:p w14:paraId="39AB8C46" w14:textId="0E8D735A" w:rsidR="00DD7520" w:rsidRPr="00572648" w:rsidRDefault="00DD7520" w:rsidP="004A31C3">
      <w:pPr>
        <w:pStyle w:val="F9-Paragraph"/>
      </w:pPr>
      <w:r w:rsidRPr="00572648">
        <w:t xml:space="preserve">The following </w:t>
      </w:r>
      <w:r>
        <w:t xml:space="preserve">guidance </w:t>
      </w:r>
      <w:r w:rsidRPr="00572648">
        <w:t xml:space="preserve">is neither an exclusive nor exhaustive description of activities that may be undertaken by ONR </w:t>
      </w:r>
      <w:r w:rsidR="00725A14">
        <w:t>s</w:t>
      </w:r>
      <w:r w:rsidR="00725A14" w:rsidRPr="00572648">
        <w:t xml:space="preserve">afeguards </w:t>
      </w:r>
      <w:r>
        <w:t>i</w:t>
      </w:r>
      <w:r w:rsidRPr="00572648">
        <w:t xml:space="preserve">nspectors. </w:t>
      </w:r>
    </w:p>
    <w:p w14:paraId="05312556" w14:textId="77777777" w:rsidR="00DD7520" w:rsidRPr="004655E5" w:rsidRDefault="00DD7520" w:rsidP="004A31C3">
      <w:pPr>
        <w:pStyle w:val="F9-Paragraph"/>
      </w:pPr>
      <w:r w:rsidRPr="004655E5">
        <w:t xml:space="preserve">Once informed of the operator’s intention to perform a PIT the </w:t>
      </w:r>
      <w:r>
        <w:t>i</w:t>
      </w:r>
      <w:r w:rsidRPr="004655E5">
        <w:t xml:space="preserve">nspector may </w:t>
      </w:r>
      <w:r>
        <w:t>inspect compliance through use of one or more of several activities</w:t>
      </w:r>
      <w:r w:rsidRPr="004655E5">
        <w:t>:</w:t>
      </w:r>
    </w:p>
    <w:p w14:paraId="634BF8E2" w14:textId="08BA0B68" w:rsidR="004F4901" w:rsidRDefault="00DD7520" w:rsidP="004F261E">
      <w:pPr>
        <w:pStyle w:val="NumList2"/>
        <w:numPr>
          <w:ilvl w:val="1"/>
          <w:numId w:val="50"/>
        </w:numPr>
        <w:ind w:left="1276"/>
      </w:pPr>
      <w:r>
        <w:t>An observation of the</w:t>
      </w:r>
      <w:r w:rsidRPr="004655E5">
        <w:t xml:space="preserve"> operator’s PIT to enable the inspector to </w:t>
      </w:r>
      <w:r>
        <w:t>assess</w:t>
      </w:r>
      <w:r w:rsidRPr="004655E5">
        <w:t xml:space="preserve"> the operators PIT process and </w:t>
      </w:r>
      <w:r>
        <w:t xml:space="preserve">implementation of relevant </w:t>
      </w:r>
      <w:r w:rsidRPr="004655E5">
        <w:t>arrangements</w:t>
      </w:r>
      <w:r>
        <w:t xml:space="preserve">. </w:t>
      </w:r>
      <w:r>
        <w:br/>
        <w:t>While possible to observe the live PIT, it is likely that these observations would be move valuable conducted a short time after the PIT (e.g. following receipt of the relevant statutory reports); This will allow additional preparation to take place, including the examination of accounts prior to the inspection, and is less likely to disrupt or place a burden on the operator’s PIT activities.</w:t>
      </w:r>
      <w:r w:rsidR="004F4901">
        <w:t xml:space="preserve"> </w:t>
      </w:r>
      <w:r>
        <w:t>The inspector should focus on the implementation of the operators arrangements, and the taking of the PIT.</w:t>
      </w:r>
    </w:p>
    <w:p w14:paraId="36A1CF63" w14:textId="001E26C4" w:rsidR="00DD7520" w:rsidRPr="004655E5" w:rsidRDefault="00DD7520" w:rsidP="004F261E">
      <w:pPr>
        <w:pStyle w:val="NumList2"/>
        <w:numPr>
          <w:ilvl w:val="1"/>
          <w:numId w:val="50"/>
        </w:numPr>
        <w:ind w:left="1276"/>
      </w:pPr>
      <w:r w:rsidRPr="004655E5">
        <w:t>A Physical Inventory Verification (PIV) which involves the inspector sampling components of the inventory to establish the accuracy and completeness of the PIT</w:t>
      </w:r>
      <w:r>
        <w:t>. A PIV should be arranged as soon as possible after completion of a PIT as QNM movements will likely begin again after the PIT has been completed, and physical reality may no longer reflect the information recorded at the time of the PIT</w:t>
      </w:r>
      <w:r w:rsidR="004F4901">
        <w:t>.</w:t>
      </w:r>
    </w:p>
    <w:p w14:paraId="5B637265" w14:textId="069EE443" w:rsidR="00DD7520" w:rsidRPr="004655E5" w:rsidRDefault="00DD7520" w:rsidP="004F4901">
      <w:pPr>
        <w:pStyle w:val="NumList2"/>
      </w:pPr>
      <w:r>
        <w:t>Other nuclear material accountancy compliance activities,</w:t>
      </w:r>
      <w:r w:rsidRPr="004655E5">
        <w:t xml:space="preserve"> </w:t>
      </w:r>
      <w:r>
        <w:t xml:space="preserve">either </w:t>
      </w:r>
      <w:r w:rsidRPr="004655E5">
        <w:t>as a desk-based exercise</w:t>
      </w:r>
      <w:r>
        <w:t xml:space="preserve"> or on plant</w:t>
      </w:r>
      <w:r w:rsidRPr="004655E5">
        <w:t>.</w:t>
      </w:r>
      <w:r w:rsidR="004F4901">
        <w:t xml:space="preserve"> </w:t>
      </w:r>
      <w:r>
        <w:t>This may</w:t>
      </w:r>
      <w:r w:rsidRPr="004655E5">
        <w:t xml:space="preserve"> involve as</w:t>
      </w:r>
      <w:r>
        <w:t>sessment of the MUF and the MUF action levels,</w:t>
      </w:r>
      <w:r w:rsidRPr="004655E5">
        <w:t xml:space="preserve"> </w:t>
      </w:r>
      <w:r w:rsidRPr="000B053C">
        <w:t xml:space="preserve">and a comparison of the LII to the PIL, </w:t>
      </w:r>
      <w:r w:rsidRPr="004655E5">
        <w:t>which would take place following formal submission of the PIL and MBR.</w:t>
      </w:r>
      <w:r>
        <w:t xml:space="preserve"> </w:t>
      </w:r>
    </w:p>
    <w:p w14:paraId="11287B5D" w14:textId="18A78B3A" w:rsidR="00DD7520" w:rsidRPr="004655E5" w:rsidRDefault="00DD7520" w:rsidP="004A31C3">
      <w:pPr>
        <w:pStyle w:val="F9-Paragraph"/>
      </w:pPr>
      <w:r w:rsidRPr="004655E5">
        <w:t>In addition to the facto</w:t>
      </w:r>
      <w:r w:rsidR="004F4901">
        <w:t>r</w:t>
      </w:r>
      <w:r w:rsidRPr="004655E5">
        <w:t xml:space="preserve">s detailed </w:t>
      </w:r>
      <w:r>
        <w:t xml:space="preserve">above, </w:t>
      </w:r>
      <w:r w:rsidRPr="004655E5">
        <w:t xml:space="preserve">the </w:t>
      </w:r>
      <w:r>
        <w:t>i</w:t>
      </w:r>
      <w:r w:rsidRPr="004655E5">
        <w:t xml:space="preserve">nspector should judge which inspection </w:t>
      </w:r>
      <w:r>
        <w:t>activities are</w:t>
      </w:r>
      <w:r w:rsidRPr="004655E5">
        <w:t xml:space="preserve"> relevant </w:t>
      </w:r>
      <w:r>
        <w:t>for</w:t>
      </w:r>
      <w:r w:rsidRPr="004655E5">
        <w:t xml:space="preserve"> the scope of that inspection based on a number of additional factors, including</w:t>
      </w:r>
      <w:r>
        <w:t xml:space="preserve"> but not limited to</w:t>
      </w:r>
      <w:r w:rsidRPr="004655E5">
        <w:t>:</w:t>
      </w:r>
    </w:p>
    <w:p w14:paraId="59115D20" w14:textId="77777777" w:rsidR="00DD7520" w:rsidRPr="004655E5" w:rsidRDefault="00DD7520" w:rsidP="004F261E">
      <w:pPr>
        <w:pStyle w:val="NumList2"/>
        <w:numPr>
          <w:ilvl w:val="1"/>
          <w:numId w:val="51"/>
        </w:numPr>
        <w:ind w:left="1276"/>
      </w:pPr>
      <w:r w:rsidRPr="004655E5">
        <w:t>regulatory intelligence including any existent or emerging issues in the accounting reports</w:t>
      </w:r>
      <w:r>
        <w:t>.</w:t>
      </w:r>
    </w:p>
    <w:p w14:paraId="0A2E7343" w14:textId="77777777" w:rsidR="00DD7520" w:rsidRPr="004655E5" w:rsidRDefault="00DD7520" w:rsidP="004F4901">
      <w:pPr>
        <w:pStyle w:val="NumList2"/>
      </w:pPr>
      <w:r w:rsidRPr="004655E5">
        <w:t>hazard and external factors including dose rate</w:t>
      </w:r>
      <w:r>
        <w:t>.</w:t>
      </w:r>
    </w:p>
    <w:p w14:paraId="330894A0" w14:textId="77777777" w:rsidR="00DD7520" w:rsidRDefault="00DD7520" w:rsidP="004F4901">
      <w:pPr>
        <w:pStyle w:val="NumList2"/>
      </w:pPr>
      <w:r w:rsidRPr="004655E5">
        <w:t>resource availability/operational schedule.</w:t>
      </w:r>
      <w:r>
        <w:t xml:space="preserve"> </w:t>
      </w:r>
    </w:p>
    <w:p w14:paraId="6B3A9C4F" w14:textId="77777777" w:rsidR="00DD7520" w:rsidRPr="004655E5" w:rsidRDefault="00DD7520" w:rsidP="004A31C3">
      <w:pPr>
        <w:pStyle w:val="F9-Paragraph"/>
      </w:pPr>
      <w:r w:rsidRPr="004655E5">
        <w:lastRenderedPageBreak/>
        <w:t xml:space="preserve">The </w:t>
      </w:r>
      <w:r>
        <w:t>i</w:t>
      </w:r>
      <w:r w:rsidRPr="004655E5">
        <w:t xml:space="preserve">nspector should notify the operator at least </w:t>
      </w:r>
      <w:r>
        <w:t xml:space="preserve">four </w:t>
      </w:r>
      <w:r w:rsidRPr="004655E5">
        <w:t xml:space="preserve">weeks before the inspection </w:t>
      </w:r>
      <w:r>
        <w:t>providing an</w:t>
      </w:r>
      <w:r w:rsidRPr="004655E5">
        <w:t xml:space="preserve"> inspection scope detailing any requests for information or activities that need to be arranged.</w:t>
      </w:r>
    </w:p>
    <w:p w14:paraId="79443676" w14:textId="51956723" w:rsidR="00DD7520" w:rsidRPr="004655E5" w:rsidRDefault="00DD7520" w:rsidP="004A31C3">
      <w:pPr>
        <w:pStyle w:val="F9-Paragraph"/>
      </w:pPr>
      <w:r>
        <w:t xml:space="preserve">Should an inspector observe the operator taking of a </w:t>
      </w:r>
      <w:r w:rsidR="005333CA">
        <w:t>PIT</w:t>
      </w:r>
      <w:r>
        <w:t>, the inspector should</w:t>
      </w:r>
      <w:r w:rsidRPr="004655E5">
        <w:t xml:space="preserve"> inspect the suitability of arrangements and the adequacy of their implementation for any or all the following activities:</w:t>
      </w:r>
    </w:p>
    <w:p w14:paraId="48EA572F" w14:textId="77777777" w:rsidR="00DD7520" w:rsidRPr="004655E5" w:rsidRDefault="00DD7520" w:rsidP="004F261E">
      <w:pPr>
        <w:pStyle w:val="NumList2"/>
        <w:numPr>
          <w:ilvl w:val="1"/>
          <w:numId w:val="52"/>
        </w:numPr>
        <w:ind w:left="1276"/>
      </w:pPr>
      <w:r w:rsidRPr="004655E5">
        <w:t>Establish that the operator ha</w:t>
      </w:r>
      <w:r>
        <w:t>d</w:t>
      </w:r>
      <w:r w:rsidRPr="004655E5">
        <w:t xml:space="preserve"> the </w:t>
      </w:r>
      <w:r>
        <w:t>facility</w:t>
      </w:r>
      <w:r w:rsidRPr="004655E5">
        <w:t xml:space="preserve"> in an appropriate </w:t>
      </w:r>
      <w:r>
        <w:t>condition</w:t>
      </w:r>
      <w:r w:rsidRPr="004655E5">
        <w:t xml:space="preserve"> to ensure the best possible results </w:t>
      </w:r>
      <w:r>
        <w:t>were</w:t>
      </w:r>
      <w:r w:rsidRPr="004655E5">
        <w:t xml:space="preserve"> obtained and they </w:t>
      </w:r>
      <w:r>
        <w:t>were</w:t>
      </w:r>
      <w:r w:rsidRPr="004655E5">
        <w:t xml:space="preserve"> ready for the PIT</w:t>
      </w:r>
      <w:r>
        <w:t>,</w:t>
      </w:r>
      <w:r w:rsidRPr="004655E5">
        <w:t xml:space="preserve"> including minimising the </w:t>
      </w:r>
      <w:r>
        <w:t>amount of QNM</w:t>
      </w:r>
      <w:r w:rsidRPr="004655E5">
        <w:t xml:space="preserve"> in process areas</w:t>
      </w:r>
      <w:r>
        <w:t>.</w:t>
      </w:r>
    </w:p>
    <w:p w14:paraId="611F8BE6" w14:textId="77777777" w:rsidR="00DD7520" w:rsidRPr="004655E5" w:rsidRDefault="00DD7520" w:rsidP="004F4901">
      <w:pPr>
        <w:pStyle w:val="NumList2"/>
      </w:pPr>
      <w:r w:rsidRPr="004655E5">
        <w:t xml:space="preserve">Confirm </w:t>
      </w:r>
      <w:r>
        <w:t>that</w:t>
      </w:r>
      <w:r w:rsidRPr="004655E5">
        <w:t xml:space="preserve"> PIT procedures </w:t>
      </w:r>
      <w:r>
        <w:t>were</w:t>
      </w:r>
      <w:r w:rsidRPr="004655E5">
        <w:t xml:space="preserve"> available, used by those performing the</w:t>
      </w:r>
      <w:r>
        <w:t xml:space="preserve"> PIT, consistent, approved and </w:t>
      </w:r>
      <w:r w:rsidRPr="004655E5">
        <w:t>owned by an appropriate or responsible person</w:t>
      </w:r>
      <w:r>
        <w:t>.</w:t>
      </w:r>
    </w:p>
    <w:p w14:paraId="1246F0FE" w14:textId="77777777" w:rsidR="00DD7520" w:rsidRPr="004655E5" w:rsidRDefault="00DD7520" w:rsidP="004F4901">
      <w:pPr>
        <w:pStyle w:val="NumList2"/>
      </w:pPr>
      <w:r w:rsidRPr="004655E5">
        <w:t xml:space="preserve">Select and review a sample of PIT arrangements and procedures to ensure they describe the responsibility of those involved, the methods they should use and the records that </w:t>
      </w:r>
      <w:r>
        <w:t>were generated.</w:t>
      </w:r>
    </w:p>
    <w:p w14:paraId="4697EC1B" w14:textId="77777777" w:rsidR="00DD7520" w:rsidRPr="004655E5" w:rsidRDefault="00DD7520" w:rsidP="004F4901">
      <w:pPr>
        <w:pStyle w:val="NumList2"/>
      </w:pPr>
      <w:r w:rsidRPr="004655E5">
        <w:t xml:space="preserve">Select a representative sample of the PIT arrangements and check that the procedures </w:t>
      </w:r>
      <w:r>
        <w:t>were</w:t>
      </w:r>
      <w:r w:rsidRPr="004655E5">
        <w:t xml:space="preserve"> implemented correctly, including methods and quality assurance requirements such as: </w:t>
      </w:r>
    </w:p>
    <w:p w14:paraId="4D49AB9D" w14:textId="77777777" w:rsidR="00DD7520" w:rsidRPr="004655E5" w:rsidRDefault="00DD7520" w:rsidP="004F261E">
      <w:pPr>
        <w:pStyle w:val="NumList1"/>
        <w:numPr>
          <w:ilvl w:val="0"/>
          <w:numId w:val="53"/>
        </w:numPr>
        <w:ind w:left="1843"/>
      </w:pPr>
      <w:r w:rsidRPr="004655E5">
        <w:t>In facilities where the operator takes measurements to determine the nuclear material inventory:</w:t>
      </w:r>
    </w:p>
    <w:p w14:paraId="1E497DC7" w14:textId="77777777" w:rsidR="00DD7520" w:rsidRPr="004F4901" w:rsidRDefault="00DD7520" w:rsidP="00FD2194">
      <w:pPr>
        <w:pStyle w:val="BulletList3"/>
      </w:pPr>
      <w:r w:rsidRPr="004F4901">
        <w:t>Examine the relevant procedures to determine the suitability of the measurement.</w:t>
      </w:r>
    </w:p>
    <w:p w14:paraId="046B09AC" w14:textId="77777777" w:rsidR="00DD7520" w:rsidRPr="004F4901" w:rsidRDefault="00DD7520" w:rsidP="00FD2194">
      <w:pPr>
        <w:pStyle w:val="BulletList3"/>
      </w:pPr>
      <w:r w:rsidRPr="004F4901">
        <w:t>Check that up –to-date calibration records are available for all measurement instruments used and ongoing periodic checks have been made between calibrations to ensure continued validity of the measurement system.</w:t>
      </w:r>
    </w:p>
    <w:p w14:paraId="195EBED0" w14:textId="77777777" w:rsidR="00DD7520" w:rsidRPr="004F4901" w:rsidRDefault="00DD7520" w:rsidP="00FD2194">
      <w:pPr>
        <w:pStyle w:val="BulletList3"/>
      </w:pPr>
      <w:r w:rsidRPr="004F4901">
        <w:t>Review any calculations to derive the reported values.</w:t>
      </w:r>
    </w:p>
    <w:p w14:paraId="62CAF54C" w14:textId="77777777" w:rsidR="00DD7520" w:rsidRPr="004655E5" w:rsidRDefault="00DD7520" w:rsidP="004F4901">
      <w:pPr>
        <w:pStyle w:val="NumList2"/>
      </w:pPr>
      <w:r w:rsidRPr="004655E5">
        <w:t xml:space="preserve">Confirm the personnel involved in the PIT </w:t>
      </w:r>
      <w:r>
        <w:t>were</w:t>
      </w:r>
      <w:r w:rsidRPr="004655E5">
        <w:t xml:space="preserve"> suitably qualified and experienced persons (SQEP)</w:t>
      </w:r>
      <w:r>
        <w:t>.</w:t>
      </w:r>
    </w:p>
    <w:p w14:paraId="1F31463E" w14:textId="77777777" w:rsidR="00DD7520" w:rsidRPr="004655E5" w:rsidRDefault="00DD7520" w:rsidP="004F4901">
      <w:pPr>
        <w:pStyle w:val="NumList2"/>
      </w:pPr>
      <w:r w:rsidRPr="004655E5">
        <w:t>Confirm all data processing methods are up</w:t>
      </w:r>
      <w:r>
        <w:t xml:space="preserve"> </w:t>
      </w:r>
      <w:r w:rsidRPr="004655E5">
        <w:t>to</w:t>
      </w:r>
      <w:r>
        <w:t xml:space="preserve"> </w:t>
      </w:r>
      <w:r w:rsidRPr="004655E5">
        <w:t>date, used as instructed by the arrangements, appropriately understood by the user</w:t>
      </w:r>
      <w:r>
        <w:t>,</w:t>
      </w:r>
      <w:r w:rsidRPr="004655E5">
        <w:t xml:space="preserve"> and produce validated outcomes</w:t>
      </w:r>
      <w:r>
        <w:t>.</w:t>
      </w:r>
    </w:p>
    <w:p w14:paraId="40608600" w14:textId="13F6DA27" w:rsidR="00DD7520" w:rsidRPr="004655E5" w:rsidRDefault="00DD7520" w:rsidP="004F4901">
      <w:pPr>
        <w:pStyle w:val="NumList2"/>
      </w:pPr>
      <w:r w:rsidRPr="004655E5">
        <w:t xml:space="preserve">Examine the arrangements and procedures for all measurement activities conducted for </w:t>
      </w:r>
      <w:r w:rsidR="00CF19AD">
        <w:t xml:space="preserve">QNM </w:t>
      </w:r>
      <w:r w:rsidRPr="004655E5">
        <w:t>accountancy purposes and check for compliance with the declared methodologies including:</w:t>
      </w:r>
    </w:p>
    <w:p w14:paraId="520180CC" w14:textId="77777777" w:rsidR="00DD7520" w:rsidRPr="004655E5" w:rsidRDefault="00DD7520" w:rsidP="004F261E">
      <w:pPr>
        <w:pStyle w:val="NumList1"/>
        <w:numPr>
          <w:ilvl w:val="0"/>
          <w:numId w:val="54"/>
        </w:numPr>
        <w:ind w:left="1843"/>
      </w:pPr>
      <w:r w:rsidRPr="004655E5">
        <w:t>Measurement results should be validated, traceable and approved by a responsible person</w:t>
      </w:r>
      <w:r>
        <w:t>.</w:t>
      </w:r>
    </w:p>
    <w:p w14:paraId="1EB6E0F0" w14:textId="77777777" w:rsidR="00DD7520" w:rsidRPr="004655E5" w:rsidRDefault="00DD7520" w:rsidP="004F4901">
      <w:pPr>
        <w:pStyle w:val="NumList1"/>
      </w:pPr>
      <w:r w:rsidRPr="004655E5">
        <w:lastRenderedPageBreak/>
        <w:t>Where the accountancy data is based on calculations from models, both this data and the models should be validated, traceable and approved by a responsible person</w:t>
      </w:r>
      <w:r>
        <w:t>.</w:t>
      </w:r>
    </w:p>
    <w:p w14:paraId="094A1F5C" w14:textId="5EA75E5D" w:rsidR="00621AAA" w:rsidRDefault="00DD7520" w:rsidP="004A31C3">
      <w:pPr>
        <w:pStyle w:val="NumList1"/>
      </w:pPr>
      <w:r w:rsidRPr="004655E5">
        <w:t xml:space="preserve">Relevant good practice is for the measurement results to meet international standards, in particular the ITVs </w:t>
      </w:r>
      <w:sdt>
        <w:sdtPr>
          <w:id w:val="258573649"/>
          <w:citation/>
        </w:sdtPr>
        <w:sdtEndPr/>
        <w:sdtContent>
          <w:r w:rsidR="003508FB">
            <w:fldChar w:fldCharType="begin"/>
          </w:r>
          <w:r w:rsidR="003508FB">
            <w:instrText xml:space="preserve"> CITATION Eur10 \l 2057 </w:instrText>
          </w:r>
          <w:r w:rsidR="003508FB">
            <w:fldChar w:fldCharType="separate"/>
          </w:r>
          <w:r w:rsidR="00DA6493" w:rsidRPr="00DA6493">
            <w:rPr>
              <w:noProof/>
            </w:rPr>
            <w:t>[12]</w:t>
          </w:r>
          <w:r w:rsidR="003508FB">
            <w:fldChar w:fldCharType="end"/>
          </w:r>
        </w:sdtContent>
      </w:sdt>
      <w:r w:rsidRPr="004655E5">
        <w:t>.</w:t>
      </w:r>
      <w:r>
        <w:t xml:space="preserve"> </w:t>
      </w:r>
      <w:r w:rsidRPr="004655E5">
        <w:t xml:space="preserve">If the operator cannot meet the relevant international standards </w:t>
      </w:r>
      <w:r>
        <w:t xml:space="preserve">then a technically underpinned </w:t>
      </w:r>
      <w:r w:rsidRPr="004655E5">
        <w:t>justification should be provided.</w:t>
      </w:r>
    </w:p>
    <w:p w14:paraId="508CA18A" w14:textId="77777777" w:rsidR="00DD7520" w:rsidRPr="004655E5" w:rsidRDefault="00DD7520" w:rsidP="004F4901">
      <w:pPr>
        <w:pStyle w:val="Heading3"/>
        <w:numPr>
          <w:ilvl w:val="0"/>
          <w:numId w:val="0"/>
        </w:numPr>
        <w:ind w:left="851"/>
      </w:pPr>
      <w:r w:rsidRPr="004655E5">
        <w:t>Physical Inventory Verification (PIV)</w:t>
      </w:r>
    </w:p>
    <w:p w14:paraId="3E1E09EB" w14:textId="77777777" w:rsidR="00DD7520" w:rsidRPr="004655E5" w:rsidRDefault="00DD7520" w:rsidP="004A31C3">
      <w:pPr>
        <w:pStyle w:val="F9-Paragraph"/>
        <w:rPr>
          <w:bCs/>
        </w:rPr>
      </w:pPr>
      <w:r>
        <w:t>T</w:t>
      </w:r>
      <w:r w:rsidRPr="004655E5">
        <w:t xml:space="preserve">he </w:t>
      </w:r>
      <w:r>
        <w:t>i</w:t>
      </w:r>
      <w:r w:rsidRPr="004655E5">
        <w:t xml:space="preserve">nspector may judge that it is appropriate to inspect the compliance of an operator’s PIT process and outcome by means of </w:t>
      </w:r>
      <w:r>
        <w:t>performing physical verification of a sample the physical inventory</w:t>
      </w:r>
      <w:r w:rsidRPr="004655E5">
        <w:t xml:space="preserve">. </w:t>
      </w:r>
      <w:r>
        <w:t>This inspection activity need not be standalone and may form part of an inspection alongside other activities undertaken.</w:t>
      </w:r>
    </w:p>
    <w:p w14:paraId="216F4D98" w14:textId="77777777" w:rsidR="00DD7520" w:rsidRPr="004655E5" w:rsidRDefault="00DD7520" w:rsidP="004A31C3">
      <w:pPr>
        <w:pStyle w:val="F9-Paragraph"/>
      </w:pPr>
      <w:r w:rsidRPr="004655E5">
        <w:t xml:space="preserve">The PIV would take place at the closing of a </w:t>
      </w:r>
      <w:r>
        <w:t>MBP</w:t>
      </w:r>
      <w:r w:rsidRPr="004655E5">
        <w:t xml:space="preserve"> and as soon as possible after the completion of the PIT by the operator to minimise the impact on operational activity and whilst the information on the LII is still valid.</w:t>
      </w:r>
    </w:p>
    <w:p w14:paraId="46009629" w14:textId="77777777" w:rsidR="00DD7520" w:rsidRPr="004655E5" w:rsidRDefault="00DD7520" w:rsidP="004A31C3">
      <w:pPr>
        <w:pStyle w:val="F9-Paragraph"/>
      </w:pPr>
      <w:r w:rsidRPr="004655E5">
        <w:t>The PIV enables ONR to assess the physical inventory as taken by the operator and as recorded in the LII and may include any or all the following activities:</w:t>
      </w:r>
    </w:p>
    <w:p w14:paraId="1F8D89D9" w14:textId="77777777" w:rsidR="00DD7520" w:rsidRPr="004655E5" w:rsidRDefault="00DD7520" w:rsidP="004F261E">
      <w:pPr>
        <w:pStyle w:val="NumList2"/>
        <w:numPr>
          <w:ilvl w:val="1"/>
          <w:numId w:val="55"/>
        </w:numPr>
        <w:ind w:left="1276"/>
      </w:pPr>
      <w:r w:rsidRPr="004655E5">
        <w:t>ensure the LII is available no later than the opening meeting of the inspection</w:t>
      </w:r>
      <w:r>
        <w:t>.</w:t>
      </w:r>
    </w:p>
    <w:p w14:paraId="13EE1357" w14:textId="77777777" w:rsidR="00DD7520" w:rsidRPr="004655E5" w:rsidRDefault="00DD7520" w:rsidP="004F4901">
      <w:pPr>
        <w:pStyle w:val="NumList2"/>
      </w:pPr>
      <w:r w:rsidRPr="004655E5">
        <w:t xml:space="preserve">establish how up to date the LII is at the start of the </w:t>
      </w:r>
      <w:r>
        <w:t>i</w:t>
      </w:r>
      <w:r w:rsidRPr="004655E5">
        <w:t xml:space="preserve">nspection period, its usefulness and how correct and complete it is, e.g., if any changes in inventory </w:t>
      </w:r>
      <w:r>
        <w:t xml:space="preserve">has taken </w:t>
      </w:r>
      <w:r w:rsidRPr="004655E5">
        <w:t>place after the PIT</w:t>
      </w:r>
      <w:r>
        <w:t>,</w:t>
      </w:r>
      <w:r w:rsidRPr="004655E5">
        <w:t xml:space="preserve"> the LII is acceptable and adequate if:</w:t>
      </w:r>
    </w:p>
    <w:p w14:paraId="2F68AB5A" w14:textId="77777777" w:rsidR="00DD7520" w:rsidRPr="004655E5" w:rsidRDefault="00DD7520" w:rsidP="004F261E">
      <w:pPr>
        <w:pStyle w:val="NumList1"/>
        <w:numPr>
          <w:ilvl w:val="0"/>
          <w:numId w:val="56"/>
        </w:numPr>
        <w:ind w:left="1843"/>
      </w:pPr>
      <w:r w:rsidRPr="004655E5">
        <w:t xml:space="preserve">Increases in the inventory of the </w:t>
      </w:r>
      <w:r>
        <w:t>QNM</w:t>
      </w:r>
      <w:r w:rsidRPr="004655E5">
        <w:t xml:space="preserve"> are:</w:t>
      </w:r>
    </w:p>
    <w:p w14:paraId="5D825EC1" w14:textId="77777777" w:rsidR="00DD7520" w:rsidRPr="004655E5" w:rsidRDefault="00DD7520" w:rsidP="00FD2194">
      <w:pPr>
        <w:pStyle w:val="BulletList3"/>
      </w:pPr>
      <w:r w:rsidRPr="004655E5">
        <w:t>clearly distinguishable from the inventory at the PIT date</w:t>
      </w:r>
    </w:p>
    <w:p w14:paraId="6D7A01C1" w14:textId="77777777" w:rsidR="00DD7520" w:rsidRPr="004655E5" w:rsidRDefault="00DD7520" w:rsidP="00FD2194">
      <w:pPr>
        <w:pStyle w:val="BulletList3"/>
      </w:pPr>
      <w:r w:rsidRPr="004655E5">
        <w:t>kept physically separate from PIT material</w:t>
      </w:r>
    </w:p>
    <w:p w14:paraId="7CA23BAD" w14:textId="77777777" w:rsidR="00DD7520" w:rsidRPr="004655E5" w:rsidRDefault="00DD7520" w:rsidP="00FD2194">
      <w:pPr>
        <w:pStyle w:val="BulletList3"/>
      </w:pPr>
      <w:r w:rsidRPr="004655E5">
        <w:t>declared if they result from nuclear production.</w:t>
      </w:r>
    </w:p>
    <w:p w14:paraId="63C38251" w14:textId="77777777" w:rsidR="00DD7520" w:rsidRPr="004655E5" w:rsidRDefault="00DD7520" w:rsidP="004F4901">
      <w:pPr>
        <w:pStyle w:val="NumList1"/>
      </w:pPr>
      <w:r w:rsidRPr="004655E5">
        <w:t xml:space="preserve">Decreases in the inventory of the </w:t>
      </w:r>
      <w:r>
        <w:t>QNM</w:t>
      </w:r>
      <w:r w:rsidRPr="004655E5">
        <w:t xml:space="preserve"> are:</w:t>
      </w:r>
    </w:p>
    <w:p w14:paraId="5E6B371D" w14:textId="77777777" w:rsidR="00DD7520" w:rsidRPr="004655E5" w:rsidRDefault="00DD7520" w:rsidP="00FD2194">
      <w:pPr>
        <w:pStyle w:val="BulletList3"/>
      </w:pPr>
      <w:r w:rsidRPr="004655E5">
        <w:t xml:space="preserve">known to ONR because of an inspection or assessment of that </w:t>
      </w:r>
      <w:r>
        <w:t>QNM</w:t>
      </w:r>
      <w:r w:rsidRPr="004655E5">
        <w:t xml:space="preserve"> as it was removed</w:t>
      </w:r>
    </w:p>
    <w:p w14:paraId="522E3DA2" w14:textId="77777777" w:rsidR="00DD7520" w:rsidRPr="004655E5" w:rsidRDefault="00DD7520" w:rsidP="00FD2194">
      <w:pPr>
        <w:pStyle w:val="BulletList3"/>
      </w:pPr>
      <w:r w:rsidRPr="004655E5">
        <w:t xml:space="preserve">confirmed as received by a receipt from the receiver of the </w:t>
      </w:r>
      <w:r>
        <w:t>QNM</w:t>
      </w:r>
    </w:p>
    <w:p w14:paraId="52FF517B" w14:textId="77777777" w:rsidR="00DD7520" w:rsidRPr="004655E5" w:rsidRDefault="00DD7520" w:rsidP="00FD2194">
      <w:pPr>
        <w:pStyle w:val="BulletList3"/>
      </w:pPr>
      <w:r w:rsidRPr="004655E5">
        <w:t>declared if they result from measured discards or nuclear losses.</w:t>
      </w:r>
    </w:p>
    <w:p w14:paraId="36571A7A" w14:textId="4F498AF2" w:rsidR="00DD7520" w:rsidRPr="004655E5" w:rsidRDefault="00DD7520" w:rsidP="004F4901">
      <w:pPr>
        <w:pStyle w:val="NumList2"/>
      </w:pPr>
      <w:r>
        <w:lastRenderedPageBreak/>
        <w:t>t</w:t>
      </w:r>
      <w:r w:rsidRPr="004655E5">
        <w:t xml:space="preserve">he </w:t>
      </w:r>
      <w:r>
        <w:t>i</w:t>
      </w:r>
      <w:r w:rsidRPr="004655E5">
        <w:t>nspector should use their judgement to identify from the LII a sample of components to be checked, for example by physically identifying, counting, asking the operator to check weigh or other means.</w:t>
      </w:r>
      <w:r>
        <w:t xml:space="preserve"> </w:t>
      </w:r>
      <w:r w:rsidR="008A147B">
        <w:br/>
      </w:r>
      <w:r w:rsidRPr="004655E5">
        <w:t>The rationale for selecting the sample components should be recorded along with any results that deviate from expectations</w:t>
      </w:r>
      <w:r>
        <w:t>.</w:t>
      </w:r>
    </w:p>
    <w:p w14:paraId="4AF25D55" w14:textId="6B431FA2" w:rsidR="00621AAA" w:rsidRPr="004655E5" w:rsidRDefault="00DD7520" w:rsidP="004A31C3">
      <w:pPr>
        <w:pStyle w:val="NumList2"/>
      </w:pPr>
      <w:r w:rsidRPr="004655E5">
        <w:t xml:space="preserve">request justification should the operator have any </w:t>
      </w:r>
      <w:r>
        <w:t>QNM</w:t>
      </w:r>
      <w:r w:rsidRPr="004655E5">
        <w:t xml:space="preserve"> indicated on the LII which has either been removed from the inventory after the PIT without adequate assessment, or which cannot be inspected or verified during the PIV due to its specific properties or location.</w:t>
      </w:r>
    </w:p>
    <w:p w14:paraId="1EAA5824" w14:textId="55E18EEB" w:rsidR="00DD7520" w:rsidRPr="004655E5" w:rsidRDefault="00DD7520" w:rsidP="004F4901">
      <w:pPr>
        <w:pStyle w:val="Heading3"/>
        <w:numPr>
          <w:ilvl w:val="0"/>
          <w:numId w:val="0"/>
        </w:numPr>
        <w:ind w:left="851"/>
      </w:pPr>
      <w:r w:rsidRPr="004655E5">
        <w:t xml:space="preserve">Operator PIT </w:t>
      </w:r>
      <w:r w:rsidR="004F4901">
        <w:t>c</w:t>
      </w:r>
      <w:r w:rsidRPr="004655E5">
        <w:t xml:space="preserve">ompletion and </w:t>
      </w:r>
      <w:r w:rsidR="004F4901">
        <w:t>d</w:t>
      </w:r>
      <w:r w:rsidRPr="004655E5">
        <w:t>eclaration</w:t>
      </w:r>
      <w:r w:rsidR="00DA6493">
        <w:t>/</w:t>
      </w:r>
      <w:r w:rsidR="004F4901">
        <w:t>s</w:t>
      </w:r>
      <w:r w:rsidRPr="004655E5">
        <w:t xml:space="preserve">ubmission </w:t>
      </w:r>
      <w:r w:rsidR="004F4901">
        <w:t>a</w:t>
      </w:r>
      <w:r w:rsidRPr="004655E5">
        <w:t xml:space="preserve">ctivities </w:t>
      </w:r>
    </w:p>
    <w:p w14:paraId="08041ABF" w14:textId="77777777" w:rsidR="00DD7520" w:rsidRPr="004655E5" w:rsidRDefault="00DD7520" w:rsidP="004A31C3">
      <w:pPr>
        <w:pStyle w:val="F9-Paragraph"/>
      </w:pPr>
      <w:r w:rsidRPr="004655E5">
        <w:t xml:space="preserve">On completion of </w:t>
      </w:r>
      <w:r>
        <w:t>a</w:t>
      </w:r>
      <w:r w:rsidRPr="004655E5">
        <w:t xml:space="preserve"> PIT and generation of the LII, a PIL report will be prepared by the operator detailing all batches of </w:t>
      </w:r>
      <w:r>
        <w:t>QNM</w:t>
      </w:r>
      <w:r w:rsidRPr="004655E5">
        <w:t xml:space="preserve"> in the MBA. The PIL should be prepared in the format specified in Part 4 of Schedule 1 of NSR19, showing all batches separately, and submitted to ONR within 15 days of the PIT as required by NSR19.</w:t>
      </w:r>
    </w:p>
    <w:p w14:paraId="2082D7AC" w14:textId="77777777" w:rsidR="00DD7520" w:rsidRPr="004655E5" w:rsidRDefault="00DD7520" w:rsidP="004A31C3">
      <w:pPr>
        <w:pStyle w:val="F9-Paragraph"/>
      </w:pPr>
      <w:r w:rsidRPr="004655E5">
        <w:t>The physical inventory determined at the PIT and declare</w:t>
      </w:r>
      <w:r>
        <w:t>d</w:t>
      </w:r>
      <w:r w:rsidRPr="004655E5">
        <w:t xml:space="preserve"> in the PIL is compared by the operator to the book balance which is determined by summing all inventory changes in the MBA during the </w:t>
      </w:r>
      <w:r>
        <w:t>MBP</w:t>
      </w:r>
      <w:r w:rsidRPr="004655E5">
        <w:t xml:space="preserve"> and </w:t>
      </w:r>
      <w:r>
        <w:t xml:space="preserve">is </w:t>
      </w:r>
      <w:r w:rsidRPr="004655E5">
        <w:t>declared on the MBR.</w:t>
      </w:r>
      <w:r>
        <w:t xml:space="preserve"> </w:t>
      </w:r>
      <w:r w:rsidRPr="004655E5">
        <w:t xml:space="preserve">The </w:t>
      </w:r>
      <w:r>
        <w:t>MUF</w:t>
      </w:r>
      <w:r w:rsidRPr="004655E5">
        <w:t xml:space="preserve"> is recor</w:t>
      </w:r>
      <w:r>
        <w:t>ded on the MBR and is calculated</w:t>
      </w:r>
      <w:r w:rsidRPr="004655E5">
        <w:t xml:space="preserve"> as the “ending physical inventory” (PE) minus the “ending book inventory” (BA).</w:t>
      </w:r>
      <w:r>
        <w:t xml:space="preserve"> </w:t>
      </w:r>
      <w:r w:rsidRPr="004655E5">
        <w:t xml:space="preserve">The MBR must be submitted to ONR alongside </w:t>
      </w:r>
      <w:r>
        <w:t>its</w:t>
      </w:r>
      <w:r w:rsidRPr="004655E5">
        <w:t xml:space="preserve"> associated PIL. </w:t>
      </w:r>
    </w:p>
    <w:p w14:paraId="5698A37F" w14:textId="796D431B" w:rsidR="00DD7520" w:rsidRPr="004655E5" w:rsidRDefault="00DD7520" w:rsidP="004A31C3">
      <w:pPr>
        <w:pStyle w:val="F9-Paragraph"/>
      </w:pPr>
      <w:r w:rsidRPr="004655E5">
        <w:t xml:space="preserve">Any </w:t>
      </w:r>
      <w:r>
        <w:t>MUF identified</w:t>
      </w:r>
      <w:r w:rsidRPr="004655E5">
        <w:t xml:space="preserve"> between the physical inventory and book balance recorded in the MBR should be assessed </w:t>
      </w:r>
      <w:r w:rsidR="00697B62">
        <w:t xml:space="preserve">for acceptability </w:t>
      </w:r>
      <w:r w:rsidRPr="004655E5">
        <w:t xml:space="preserve">by the </w:t>
      </w:r>
      <w:r>
        <w:t>i</w:t>
      </w:r>
      <w:r w:rsidRPr="004655E5">
        <w:t>nspector as described under the Material Balance Evaluation section below.</w:t>
      </w:r>
      <w:r>
        <w:t xml:space="preserve"> </w:t>
      </w:r>
    </w:p>
    <w:p w14:paraId="7C815ECF" w14:textId="77777777" w:rsidR="00DD7520" w:rsidRPr="004655E5" w:rsidRDefault="00DD7520" w:rsidP="004F4901">
      <w:pPr>
        <w:pStyle w:val="Heading3"/>
        <w:numPr>
          <w:ilvl w:val="0"/>
          <w:numId w:val="0"/>
        </w:numPr>
        <w:ind w:left="851"/>
      </w:pPr>
      <w:r w:rsidRPr="004655E5">
        <w:t>Material Balance Evaluation</w:t>
      </w:r>
    </w:p>
    <w:p w14:paraId="0A1F1BBF" w14:textId="77777777" w:rsidR="00DD7520" w:rsidRPr="004655E5" w:rsidRDefault="00DD7520" w:rsidP="004A31C3">
      <w:pPr>
        <w:pStyle w:val="F9-Paragraph"/>
      </w:pPr>
      <w:r w:rsidRPr="004655E5">
        <w:t xml:space="preserve">ONR </w:t>
      </w:r>
      <w:r>
        <w:t xml:space="preserve">assessment </w:t>
      </w:r>
      <w:r w:rsidRPr="004655E5">
        <w:t xml:space="preserve">of the PIL and related declarations would normally be an office based activity when all the relevant records and reports </w:t>
      </w:r>
      <w:r>
        <w:t>have been</w:t>
      </w:r>
      <w:r w:rsidRPr="004655E5">
        <w:t xml:space="preserve"> received. </w:t>
      </w:r>
    </w:p>
    <w:p w14:paraId="66781B44" w14:textId="77777777" w:rsidR="00DD7520" w:rsidRPr="004655E5" w:rsidRDefault="00DD7520" w:rsidP="004A31C3">
      <w:pPr>
        <w:pStyle w:val="F9-Paragraph"/>
      </w:pPr>
      <w:r w:rsidRPr="004655E5">
        <w:t xml:space="preserve">During the </w:t>
      </w:r>
      <w:r>
        <w:t>inspection</w:t>
      </w:r>
      <w:r w:rsidRPr="004655E5">
        <w:t xml:space="preserve"> the </w:t>
      </w:r>
      <w:r>
        <w:t>i</w:t>
      </w:r>
      <w:r w:rsidRPr="004655E5">
        <w:t>nspector</w:t>
      </w:r>
      <w:r>
        <w:t xml:space="preserve"> </w:t>
      </w:r>
      <w:r w:rsidRPr="004655E5">
        <w:t>should:</w:t>
      </w:r>
    </w:p>
    <w:p w14:paraId="28BAF857" w14:textId="0822F72F" w:rsidR="00DD7520" w:rsidRPr="004655E5" w:rsidRDefault="00DD7520" w:rsidP="004F261E">
      <w:pPr>
        <w:pStyle w:val="NumList2"/>
        <w:numPr>
          <w:ilvl w:val="1"/>
          <w:numId w:val="57"/>
        </w:numPr>
        <w:ind w:left="1276"/>
      </w:pPr>
      <w:r w:rsidRPr="004655E5">
        <w:t xml:space="preserve">compare the LII from the PIT to the submitted PIL for </w:t>
      </w:r>
      <w:r w:rsidR="00420B86">
        <w:t xml:space="preserve">consistency, </w:t>
      </w:r>
      <w:r w:rsidRPr="004655E5">
        <w:t>completeness and correctness</w:t>
      </w:r>
      <w:r>
        <w:t>.</w:t>
      </w:r>
    </w:p>
    <w:p w14:paraId="27D5E604" w14:textId="77777777" w:rsidR="00DD7520" w:rsidRPr="004655E5" w:rsidRDefault="00DD7520" w:rsidP="004F4901">
      <w:pPr>
        <w:pStyle w:val="NumList2"/>
      </w:pPr>
      <w:r w:rsidRPr="004655E5">
        <w:t xml:space="preserve">confirm the MBR records the </w:t>
      </w:r>
      <w:r>
        <w:t>MUF</w:t>
      </w:r>
      <w:r w:rsidRPr="004655E5">
        <w:t xml:space="preserve"> and assess the declared value against the </w:t>
      </w:r>
      <w:r>
        <w:t>operator produced MUF action level.</w:t>
      </w:r>
    </w:p>
    <w:p w14:paraId="53E5FB12" w14:textId="6A88D599" w:rsidR="00DD7520" w:rsidRDefault="00DD7520" w:rsidP="004A31C3">
      <w:pPr>
        <w:pStyle w:val="F9-Paragraph"/>
      </w:pPr>
      <w:r w:rsidRPr="004655E5">
        <w:t xml:space="preserve">Relevant good practice is for the operator to calculate a technically underpinned </w:t>
      </w:r>
      <w:r>
        <w:t>MUF action level</w:t>
      </w:r>
      <w:r w:rsidRPr="004655E5">
        <w:t xml:space="preserve"> that is specific to the facility and the </w:t>
      </w:r>
      <w:r w:rsidR="00F64EB0">
        <w:t>MBP</w:t>
      </w:r>
      <w:r w:rsidRPr="004655E5">
        <w:t xml:space="preserve"> being assessed (i.e., the </w:t>
      </w:r>
      <w:r w:rsidR="00F64EB0">
        <w:t>facility</w:t>
      </w:r>
      <w:r w:rsidRPr="004655E5">
        <w:t xml:space="preserve">, its </w:t>
      </w:r>
      <w:r w:rsidR="00F64EB0">
        <w:t>QNM</w:t>
      </w:r>
      <w:r w:rsidR="00F64EB0" w:rsidRPr="004655E5">
        <w:t xml:space="preserve"> </w:t>
      </w:r>
      <w:r w:rsidRPr="004655E5">
        <w:t>flows</w:t>
      </w:r>
      <w:r>
        <w:t>, inventory locations</w:t>
      </w:r>
      <w:r w:rsidRPr="004655E5">
        <w:t xml:space="preserve"> and the</w:t>
      </w:r>
      <w:r>
        <w:t>ir associated</w:t>
      </w:r>
      <w:r w:rsidRPr="004655E5">
        <w:t xml:space="preserve"> measurement uncertainties).</w:t>
      </w:r>
      <w:r>
        <w:t xml:space="preserve"> </w:t>
      </w:r>
    </w:p>
    <w:p w14:paraId="38DDD6A7" w14:textId="697E86AB" w:rsidR="00DD7520" w:rsidRPr="004655E5" w:rsidRDefault="00DD7520" w:rsidP="004A31C3">
      <w:pPr>
        <w:pStyle w:val="F9-Paragraph"/>
      </w:pPr>
      <w:r>
        <w:lastRenderedPageBreak/>
        <w:t>Whilst t</w:t>
      </w:r>
      <w:r w:rsidRPr="004655E5">
        <w:t xml:space="preserve">he International Standards of Accountancy included in the IAEA Safeguards Glossary </w:t>
      </w:r>
      <w:sdt>
        <w:sdtPr>
          <w:id w:val="-865053654"/>
          <w:citation/>
        </w:sdtPr>
        <w:sdtEndPr/>
        <w:sdtContent>
          <w:r w:rsidR="004F4901">
            <w:fldChar w:fldCharType="begin"/>
          </w:r>
          <w:r w:rsidR="004F4901">
            <w:instrText xml:space="preserve"> CITATION IAE15 \l 2057 </w:instrText>
          </w:r>
          <w:r w:rsidR="004F4901">
            <w:fldChar w:fldCharType="separate"/>
          </w:r>
          <w:r w:rsidR="00DA6493" w:rsidRPr="00DA6493">
            <w:rPr>
              <w:noProof/>
            </w:rPr>
            <w:t>[13]</w:t>
          </w:r>
          <w:r w:rsidR="004F4901">
            <w:fldChar w:fldCharType="end"/>
          </w:r>
        </w:sdtContent>
      </w:sdt>
      <w:r>
        <w:t xml:space="preserve"> </w:t>
      </w:r>
      <w:r w:rsidRPr="004655E5">
        <w:t>provide generic guidance detailing the expected measurement uncertainty associated with closing a material balance achievable (based on operating experience)</w:t>
      </w:r>
      <w:r w:rsidR="003508FB">
        <w:t>,</w:t>
      </w:r>
      <w:r w:rsidRPr="004655E5">
        <w:t xml:space="preserve"> for specific facility types under normal operations</w:t>
      </w:r>
      <w:r>
        <w:t>, the ITVs</w:t>
      </w:r>
      <w:r w:rsidR="004F4901">
        <w:t xml:space="preserve"> </w:t>
      </w:r>
      <w:sdt>
        <w:sdtPr>
          <w:id w:val="-1380238635"/>
          <w:citation/>
        </w:sdtPr>
        <w:sdtEndPr/>
        <w:sdtContent>
          <w:r w:rsidR="004F4901">
            <w:fldChar w:fldCharType="begin"/>
          </w:r>
          <w:r w:rsidR="004F4901">
            <w:instrText xml:space="preserve"> CITATION Eur10 \l 2057 </w:instrText>
          </w:r>
          <w:r w:rsidR="004F4901">
            <w:fldChar w:fldCharType="separate"/>
          </w:r>
          <w:r w:rsidR="00DA6493" w:rsidRPr="00DA6493">
            <w:rPr>
              <w:noProof/>
            </w:rPr>
            <w:t>[12]</w:t>
          </w:r>
          <w:r w:rsidR="004F4901">
            <w:fldChar w:fldCharType="end"/>
          </w:r>
        </w:sdtContent>
      </w:sdt>
      <w:r>
        <w:t xml:space="preserve"> provide for a more accurate </w:t>
      </w:r>
      <w:r w:rsidR="00FA5320">
        <w:t xml:space="preserve">basis for </w:t>
      </w:r>
      <w:r>
        <w:t xml:space="preserve">calculation </w:t>
      </w:r>
      <w:r w:rsidR="00FA5320">
        <w:t xml:space="preserve">and assessment </w:t>
      </w:r>
      <w:r>
        <w:t xml:space="preserve">of </w:t>
      </w:r>
      <w:r w:rsidR="00FA5320">
        <w:t>MUF action level</w:t>
      </w:r>
      <w:r>
        <w:t xml:space="preserve"> and set the standard for acceptable measurement uncertainties for different measurement techniques and approaches within a facility</w:t>
      </w:r>
      <w:r w:rsidRPr="004655E5">
        <w:t>.</w:t>
      </w:r>
    </w:p>
    <w:p w14:paraId="31809AD6" w14:textId="35A15706" w:rsidR="00DD7520" w:rsidRPr="004655E5" w:rsidRDefault="00DD7520" w:rsidP="004A31C3">
      <w:pPr>
        <w:pStyle w:val="F9-Paragraph"/>
      </w:pPr>
      <w:r w:rsidRPr="004655E5">
        <w:t xml:space="preserve">Analysis by </w:t>
      </w:r>
      <w:r>
        <w:t>in</w:t>
      </w:r>
      <w:r w:rsidRPr="004655E5">
        <w:t xml:space="preserve">spectors of </w:t>
      </w:r>
      <w:r>
        <w:t>MUF</w:t>
      </w:r>
      <w:r w:rsidRPr="004655E5">
        <w:t xml:space="preserve"> and</w:t>
      </w:r>
      <w:r>
        <w:t xml:space="preserve"> MUF action level </w:t>
      </w:r>
      <w:r w:rsidRPr="004655E5">
        <w:t>should identify areas of statistical significance (&gt; 3 standard deviations) and whether the facility measurement system is adequate.</w:t>
      </w:r>
      <w:r>
        <w:t xml:space="preserve"> </w:t>
      </w:r>
      <w:r w:rsidRPr="004655E5">
        <w:t xml:space="preserve">Where there are areas of statistical significance the </w:t>
      </w:r>
      <w:r>
        <w:t>i</w:t>
      </w:r>
      <w:r w:rsidRPr="004655E5">
        <w:t>nspector should seek justification and clarification from the operator</w:t>
      </w:r>
      <w:r>
        <w:t xml:space="preserve"> as to the underlying causes</w:t>
      </w:r>
      <w:r w:rsidRPr="004655E5">
        <w:t>.</w:t>
      </w:r>
      <w:r>
        <w:t xml:space="preserve"> </w:t>
      </w:r>
      <w:r w:rsidR="005A1A42">
        <w:t xml:space="preserve">It is good practice for the operator to perform their own investigations for any MUF greater </w:t>
      </w:r>
      <w:r w:rsidR="00FB6827">
        <w:t>than two standard deviations</w:t>
      </w:r>
      <w:r w:rsidR="009E03F0">
        <w:t>.</w:t>
      </w:r>
    </w:p>
    <w:p w14:paraId="095A4C48" w14:textId="77777777" w:rsidR="004A31C3" w:rsidRDefault="00DD7520" w:rsidP="004A31C3">
      <w:pPr>
        <w:pStyle w:val="F9-Paragraph"/>
      </w:pPr>
      <w:r w:rsidRPr="004655E5">
        <w:t>Further guidance on the regulatory expectations for material balance evaluation has been set out in the ONMACS Nuclear Material Accountancy and Control Expectation (MACE) 9.3.</w:t>
      </w:r>
      <w:r>
        <w:t xml:space="preserve"> </w:t>
      </w:r>
    </w:p>
    <w:p w14:paraId="3594414F" w14:textId="785B4969" w:rsidR="003508FB" w:rsidRDefault="00DD7520" w:rsidP="004A31C3">
      <w:pPr>
        <w:pStyle w:val="F9-Paragraph"/>
        <w:sectPr w:rsidR="003508FB" w:rsidSect="008A147B">
          <w:pgSz w:w="11906" w:h="16838" w:code="9"/>
          <w:pgMar w:top="1440" w:right="1440" w:bottom="1440" w:left="1440" w:header="431" w:footer="567" w:gutter="0"/>
          <w:cols w:space="708"/>
          <w:docGrid w:linePitch="360"/>
        </w:sectPr>
      </w:pPr>
      <w:r w:rsidRPr="004655E5">
        <w:t>The following data and elements for a</w:t>
      </w:r>
      <w:r w:rsidR="003508FB">
        <w:t xml:space="preserve">n </w:t>
      </w:r>
      <w:r w:rsidR="009E03F0">
        <w:t xml:space="preserve">LII </w:t>
      </w:r>
      <w:r w:rsidR="003508FB">
        <w:t>m</w:t>
      </w:r>
      <w:r w:rsidRPr="004655E5">
        <w:t>ay be required as appropriate</w:t>
      </w:r>
      <w:r w:rsidR="003508FB">
        <w:t xml:space="preserve"> </w:t>
      </w:r>
      <w:r w:rsidR="00DA6493">
        <w:t>(see</w:t>
      </w:r>
      <w:r w:rsidR="004A31C3">
        <w:t xml:space="preserve"> </w:t>
      </w:r>
      <w:r w:rsidR="003508FB">
        <w:fldChar w:fldCharType="begin"/>
      </w:r>
      <w:r w:rsidR="003508FB">
        <w:instrText xml:space="preserve"> REF _Ref232672751 \h </w:instrText>
      </w:r>
      <w:r w:rsidR="003508FB">
        <w:fldChar w:fldCharType="separate"/>
      </w:r>
      <w:r w:rsidR="00CE3296">
        <w:t xml:space="preserve">Table </w:t>
      </w:r>
      <w:r w:rsidR="00CE3296">
        <w:rPr>
          <w:noProof/>
        </w:rPr>
        <w:t>1</w:t>
      </w:r>
      <w:r w:rsidR="003508FB">
        <w:fldChar w:fldCharType="end"/>
      </w:r>
      <w:r w:rsidR="003508FB">
        <w:t>).</w:t>
      </w:r>
      <w:bookmarkStart w:id="23" w:name="_Ref232672751"/>
    </w:p>
    <w:p w14:paraId="1005C31B" w14:textId="79BE2880" w:rsidR="003508FB" w:rsidRDefault="003508FB" w:rsidP="003508FB">
      <w:pPr>
        <w:pStyle w:val="Caption"/>
        <w:keepNext/>
        <w:tabs>
          <w:tab w:val="left" w:pos="851"/>
        </w:tabs>
      </w:pPr>
      <w:bookmarkStart w:id="24" w:name="_Ref232672823"/>
      <w:r>
        <w:lastRenderedPageBreak/>
        <w:t xml:space="preserve">Table </w:t>
      </w:r>
      <w:fldSimple w:instr=" SEQ Table \* ARABIC ">
        <w:r w:rsidR="00CE3296">
          <w:rPr>
            <w:noProof/>
          </w:rPr>
          <w:t>1</w:t>
        </w:r>
      </w:fldSimple>
      <w:bookmarkEnd w:id="23"/>
      <w:bookmarkEnd w:id="24"/>
      <w:r>
        <w:t xml:space="preserve"> – Information typically found in an LII. I</w:t>
      </w:r>
      <w:r w:rsidRPr="004655E5">
        <w:t xml:space="preserve">tems </w:t>
      </w:r>
      <w:r>
        <w:t xml:space="preserve">marked ‘*’ </w:t>
      </w:r>
      <w:r w:rsidRPr="004655E5">
        <w:t>are essential to enable the inspector to assess and evaluate any measurement results)</w:t>
      </w:r>
      <w:r>
        <w:t>.</w:t>
      </w:r>
    </w:p>
    <w:tbl>
      <w:tblPr>
        <w:tblStyle w:val="TableGrid"/>
        <w:tblW w:w="5000" w:type="pct"/>
        <w:tblLook w:val="04A0" w:firstRow="1" w:lastRow="0" w:firstColumn="1" w:lastColumn="0" w:noHBand="0" w:noVBand="1"/>
      </w:tblPr>
      <w:tblGrid>
        <w:gridCol w:w="9016"/>
      </w:tblGrid>
      <w:tr w:rsidR="00DD7520" w:rsidRPr="004655E5" w14:paraId="4F6732D6" w14:textId="77777777" w:rsidTr="004A31C3">
        <w:tc>
          <w:tcPr>
            <w:tcW w:w="5000" w:type="pct"/>
          </w:tcPr>
          <w:p w14:paraId="64BD5B5F" w14:textId="77777777" w:rsidR="00DD7520" w:rsidRPr="004655E5" w:rsidRDefault="00DD7520" w:rsidP="003508FB">
            <w:pPr>
              <w:spacing w:before="60" w:after="60"/>
            </w:pPr>
            <w:r w:rsidRPr="004655E5">
              <w:t>Cut-off time and date of PIT*</w:t>
            </w:r>
          </w:p>
        </w:tc>
      </w:tr>
      <w:tr w:rsidR="00DD7520" w:rsidRPr="004655E5" w14:paraId="7E0CC6DB" w14:textId="77777777" w:rsidTr="004A31C3">
        <w:tc>
          <w:tcPr>
            <w:tcW w:w="5000" w:type="pct"/>
          </w:tcPr>
          <w:p w14:paraId="45162817" w14:textId="77777777" w:rsidR="00DD7520" w:rsidRPr="004655E5" w:rsidRDefault="00DD7520" w:rsidP="003508FB">
            <w:pPr>
              <w:spacing w:before="60" w:after="60"/>
            </w:pPr>
            <w:r w:rsidRPr="004655E5">
              <w:t>MBA code*</w:t>
            </w:r>
          </w:p>
        </w:tc>
      </w:tr>
      <w:tr w:rsidR="00DD7520" w:rsidRPr="004655E5" w14:paraId="64E87197" w14:textId="77777777" w:rsidTr="004A31C3">
        <w:tc>
          <w:tcPr>
            <w:tcW w:w="5000" w:type="pct"/>
          </w:tcPr>
          <w:p w14:paraId="4B35AADB" w14:textId="054FE529" w:rsidR="00DD7520" w:rsidRPr="004655E5" w:rsidRDefault="00DD7520" w:rsidP="003508FB">
            <w:pPr>
              <w:spacing w:before="60" w:after="60"/>
            </w:pPr>
            <w:r w:rsidRPr="004655E5">
              <w:t>Locations (KMP</w:t>
            </w:r>
            <w:r w:rsidR="00DA6493">
              <w:t>/</w:t>
            </w:r>
            <w:r w:rsidRPr="004655E5">
              <w:t>other area identification)*</w:t>
            </w:r>
          </w:p>
        </w:tc>
      </w:tr>
      <w:tr w:rsidR="00DD7520" w:rsidRPr="004655E5" w14:paraId="6597E9D6" w14:textId="77777777" w:rsidTr="004A31C3">
        <w:tc>
          <w:tcPr>
            <w:tcW w:w="5000" w:type="pct"/>
          </w:tcPr>
          <w:p w14:paraId="445AAC7C" w14:textId="77777777" w:rsidR="00DD7520" w:rsidRPr="004655E5" w:rsidRDefault="00DD7520" w:rsidP="003508FB">
            <w:pPr>
              <w:spacing w:before="60" w:after="60"/>
            </w:pPr>
            <w:r w:rsidRPr="004655E5">
              <w:t>Stratum identification*</w:t>
            </w:r>
          </w:p>
        </w:tc>
      </w:tr>
      <w:tr w:rsidR="00DD7520" w:rsidRPr="004655E5" w14:paraId="6908C5A2" w14:textId="77777777" w:rsidTr="004A31C3">
        <w:tc>
          <w:tcPr>
            <w:tcW w:w="5000" w:type="pct"/>
          </w:tcPr>
          <w:p w14:paraId="0FF299F3" w14:textId="77777777" w:rsidR="00DD7520" w:rsidRPr="004655E5" w:rsidRDefault="00DD7520" w:rsidP="003508FB">
            <w:pPr>
              <w:spacing w:before="60" w:after="60"/>
            </w:pPr>
            <w:r w:rsidRPr="004655E5">
              <w:t>Item identification reference*</w:t>
            </w:r>
          </w:p>
        </w:tc>
      </w:tr>
      <w:tr w:rsidR="00DD7520" w:rsidRPr="004655E5" w14:paraId="69F09FDB" w14:textId="77777777" w:rsidTr="004A31C3">
        <w:tc>
          <w:tcPr>
            <w:tcW w:w="5000" w:type="pct"/>
          </w:tcPr>
          <w:p w14:paraId="1092C733" w14:textId="77777777" w:rsidR="00DD7520" w:rsidRPr="004655E5" w:rsidRDefault="00DD7520" w:rsidP="003508FB">
            <w:pPr>
              <w:spacing w:before="60" w:after="60"/>
            </w:pPr>
            <w:r w:rsidRPr="004655E5">
              <w:t>Batch identification reference*</w:t>
            </w:r>
          </w:p>
        </w:tc>
      </w:tr>
      <w:tr w:rsidR="00DD7520" w:rsidRPr="004655E5" w14:paraId="374DE641" w14:textId="77777777" w:rsidTr="004A31C3">
        <w:tc>
          <w:tcPr>
            <w:tcW w:w="5000" w:type="pct"/>
          </w:tcPr>
          <w:p w14:paraId="4F317477" w14:textId="77777777" w:rsidR="00DD7520" w:rsidRPr="004655E5" w:rsidRDefault="00DD7520" w:rsidP="003508FB">
            <w:pPr>
              <w:spacing w:before="60" w:after="60"/>
            </w:pPr>
            <w:r w:rsidRPr="004655E5">
              <w:t>Element code*</w:t>
            </w:r>
          </w:p>
        </w:tc>
      </w:tr>
      <w:tr w:rsidR="00DD7520" w:rsidRPr="004655E5" w14:paraId="519B7404" w14:textId="77777777" w:rsidTr="004A31C3">
        <w:tc>
          <w:tcPr>
            <w:tcW w:w="5000" w:type="pct"/>
          </w:tcPr>
          <w:p w14:paraId="42870A1B" w14:textId="77777777" w:rsidR="00DD7520" w:rsidRPr="004655E5" w:rsidRDefault="00DD7520" w:rsidP="003508FB">
            <w:pPr>
              <w:spacing w:before="60" w:after="60"/>
            </w:pPr>
            <w:r w:rsidRPr="004655E5">
              <w:t>Element weight*</w:t>
            </w:r>
          </w:p>
        </w:tc>
      </w:tr>
      <w:tr w:rsidR="00DD7520" w:rsidRPr="004655E5" w14:paraId="52E13CDB" w14:textId="77777777" w:rsidTr="004A31C3">
        <w:tc>
          <w:tcPr>
            <w:tcW w:w="5000" w:type="pct"/>
          </w:tcPr>
          <w:p w14:paraId="53BE9EDC" w14:textId="77F5E834" w:rsidR="00DD7520" w:rsidRPr="004655E5" w:rsidRDefault="00DD7520" w:rsidP="003508FB">
            <w:pPr>
              <w:spacing w:before="60" w:after="60"/>
            </w:pPr>
            <w:r w:rsidRPr="004655E5">
              <w:t xml:space="preserve">Isotope weight </w:t>
            </w:r>
            <w:r w:rsidR="005A1C12">
              <w:t xml:space="preserve">of U-235 </w:t>
            </w:r>
            <w:r w:rsidRPr="004655E5">
              <w:t>for enriched uranium and U-233*</w:t>
            </w:r>
          </w:p>
        </w:tc>
      </w:tr>
      <w:tr w:rsidR="00DD7520" w:rsidRPr="004655E5" w14:paraId="63056C8B" w14:textId="77777777" w:rsidTr="004A31C3">
        <w:tc>
          <w:tcPr>
            <w:tcW w:w="5000" w:type="pct"/>
          </w:tcPr>
          <w:p w14:paraId="25E87CB8" w14:textId="77777777" w:rsidR="00DD7520" w:rsidRPr="004655E5" w:rsidRDefault="00DD7520" w:rsidP="003508FB">
            <w:pPr>
              <w:spacing w:before="60" w:after="60"/>
            </w:pPr>
            <w:r w:rsidRPr="004655E5">
              <w:t>Irradiation status (fresh or irradiated)</w:t>
            </w:r>
          </w:p>
        </w:tc>
      </w:tr>
      <w:tr w:rsidR="00DD7520" w:rsidRPr="004655E5" w14:paraId="4C3B7EFD" w14:textId="77777777" w:rsidTr="004A31C3">
        <w:tc>
          <w:tcPr>
            <w:tcW w:w="5000" w:type="pct"/>
          </w:tcPr>
          <w:p w14:paraId="6221F832" w14:textId="77777777" w:rsidR="00DD7520" w:rsidRPr="004655E5" w:rsidRDefault="00DD7520" w:rsidP="003508FB">
            <w:pPr>
              <w:spacing w:before="60" w:after="60"/>
            </w:pPr>
            <w:r w:rsidRPr="004655E5">
              <w:t>Item description (drum, tray, rod, assembly etc.)</w:t>
            </w:r>
          </w:p>
        </w:tc>
      </w:tr>
      <w:tr w:rsidR="00DD7520" w:rsidRPr="004A31C3" w14:paraId="4EF1F4CB" w14:textId="77777777" w:rsidTr="004A31C3">
        <w:tc>
          <w:tcPr>
            <w:tcW w:w="5000" w:type="pct"/>
          </w:tcPr>
          <w:p w14:paraId="21838E2C" w14:textId="77777777" w:rsidR="00DD7520" w:rsidRPr="004A31C3" w:rsidRDefault="00DD7520" w:rsidP="003508FB">
            <w:pPr>
              <w:spacing w:before="60" w:after="60"/>
            </w:pPr>
            <w:r w:rsidRPr="004A31C3">
              <w:t>Material description (MOX, sintered UO</w:t>
            </w:r>
            <w:r w:rsidRPr="004A31C3">
              <w:rPr>
                <w:vertAlign w:val="subscript"/>
              </w:rPr>
              <w:t>2</w:t>
            </w:r>
            <w:r w:rsidRPr="004A31C3">
              <w:t>, alloy etc.)</w:t>
            </w:r>
          </w:p>
        </w:tc>
      </w:tr>
      <w:tr w:rsidR="00DD7520" w:rsidRPr="004655E5" w14:paraId="0D336851" w14:textId="77777777" w:rsidTr="004A31C3">
        <w:tc>
          <w:tcPr>
            <w:tcW w:w="5000" w:type="pct"/>
          </w:tcPr>
          <w:p w14:paraId="3348DC2D" w14:textId="77777777" w:rsidR="00DD7520" w:rsidRPr="004655E5" w:rsidRDefault="00DD7520" w:rsidP="003508FB">
            <w:pPr>
              <w:spacing w:before="60" w:after="60"/>
            </w:pPr>
            <w:r w:rsidRPr="004655E5">
              <w:t>Material Description Code (MDC)</w:t>
            </w:r>
          </w:p>
        </w:tc>
      </w:tr>
      <w:tr w:rsidR="00DD7520" w:rsidRPr="004655E5" w14:paraId="0D5CE73D" w14:textId="77777777" w:rsidTr="004A31C3">
        <w:tc>
          <w:tcPr>
            <w:tcW w:w="5000" w:type="pct"/>
          </w:tcPr>
          <w:p w14:paraId="0835A739" w14:textId="77777777" w:rsidR="00DD7520" w:rsidRPr="004655E5" w:rsidRDefault="00DD7520" w:rsidP="003508FB">
            <w:pPr>
              <w:spacing w:before="60" w:after="60"/>
            </w:pPr>
            <w:r w:rsidRPr="004655E5">
              <w:t>Gross weight</w:t>
            </w:r>
          </w:p>
        </w:tc>
      </w:tr>
      <w:tr w:rsidR="00DD7520" w:rsidRPr="004655E5" w14:paraId="1DD9949F" w14:textId="77777777" w:rsidTr="004A31C3">
        <w:tc>
          <w:tcPr>
            <w:tcW w:w="5000" w:type="pct"/>
          </w:tcPr>
          <w:p w14:paraId="401FC51C" w14:textId="77777777" w:rsidR="00DD7520" w:rsidRPr="004655E5" w:rsidRDefault="00DD7520" w:rsidP="003508FB">
            <w:pPr>
              <w:spacing w:before="60" w:after="60"/>
            </w:pPr>
            <w:r w:rsidRPr="004655E5">
              <w:t>Tare weight</w:t>
            </w:r>
          </w:p>
        </w:tc>
      </w:tr>
      <w:tr w:rsidR="00DD7520" w:rsidRPr="004655E5" w14:paraId="640AB779" w14:textId="77777777" w:rsidTr="004A31C3">
        <w:tc>
          <w:tcPr>
            <w:tcW w:w="5000" w:type="pct"/>
          </w:tcPr>
          <w:p w14:paraId="3F275C3F" w14:textId="77777777" w:rsidR="00DD7520" w:rsidRPr="004655E5" w:rsidRDefault="00DD7520" w:rsidP="003508FB">
            <w:pPr>
              <w:spacing w:before="60" w:after="60"/>
            </w:pPr>
            <w:r w:rsidRPr="004655E5">
              <w:t>Net weight (of chemical compound)</w:t>
            </w:r>
          </w:p>
        </w:tc>
      </w:tr>
      <w:tr w:rsidR="00DD7520" w:rsidRPr="004655E5" w14:paraId="10AB79D3" w14:textId="77777777" w:rsidTr="004A31C3">
        <w:tc>
          <w:tcPr>
            <w:tcW w:w="5000" w:type="pct"/>
          </w:tcPr>
          <w:p w14:paraId="0A2D8DF4" w14:textId="77777777" w:rsidR="00DD7520" w:rsidRPr="004655E5" w:rsidRDefault="00DD7520" w:rsidP="003508FB">
            <w:pPr>
              <w:spacing w:before="60" w:after="60"/>
            </w:pPr>
            <w:r w:rsidRPr="004655E5">
              <w:t>Element concentration factor (with indication of whether it is nominal, measured or derived)</w:t>
            </w:r>
          </w:p>
        </w:tc>
      </w:tr>
      <w:tr w:rsidR="00DD7520" w:rsidRPr="004655E5" w14:paraId="0320BC3E" w14:textId="77777777" w:rsidTr="004A31C3">
        <w:tc>
          <w:tcPr>
            <w:tcW w:w="5000" w:type="pct"/>
          </w:tcPr>
          <w:p w14:paraId="1D6D3F43" w14:textId="77777777" w:rsidR="00DD7520" w:rsidRPr="004655E5" w:rsidRDefault="00DD7520" w:rsidP="003508FB">
            <w:pPr>
              <w:spacing w:before="60" w:after="60"/>
            </w:pPr>
            <w:r w:rsidRPr="004655E5">
              <w:t xml:space="preserve">Isotope enrichment factor (with indication of whether it is nominal, measured or derived) </w:t>
            </w:r>
          </w:p>
        </w:tc>
      </w:tr>
      <w:tr w:rsidR="00DD7520" w:rsidRPr="004655E5" w14:paraId="1AC781F6" w14:textId="77777777" w:rsidTr="004A31C3">
        <w:tc>
          <w:tcPr>
            <w:tcW w:w="5000" w:type="pct"/>
          </w:tcPr>
          <w:p w14:paraId="19E25444" w14:textId="77777777" w:rsidR="00DD7520" w:rsidRPr="004655E5" w:rsidRDefault="00DD7520" w:rsidP="003508FB">
            <w:pPr>
              <w:spacing w:before="60" w:after="60"/>
            </w:pPr>
            <w:r w:rsidRPr="004655E5">
              <w:t>Poison material (weight %)</w:t>
            </w:r>
          </w:p>
        </w:tc>
      </w:tr>
      <w:tr w:rsidR="00DD7520" w:rsidRPr="004655E5" w14:paraId="66B211AD" w14:textId="77777777" w:rsidTr="004A31C3">
        <w:tc>
          <w:tcPr>
            <w:tcW w:w="5000" w:type="pct"/>
          </w:tcPr>
          <w:p w14:paraId="72D168E5" w14:textId="77777777" w:rsidR="00DD7520" w:rsidRPr="004655E5" w:rsidRDefault="00DD7520" w:rsidP="003508FB">
            <w:pPr>
              <w:spacing w:before="60" w:after="60"/>
            </w:pPr>
            <w:r w:rsidRPr="004655E5">
              <w:t>Volume</w:t>
            </w:r>
          </w:p>
        </w:tc>
      </w:tr>
      <w:tr w:rsidR="00DD7520" w:rsidRPr="004655E5" w14:paraId="01707371" w14:textId="77777777" w:rsidTr="004A31C3">
        <w:tc>
          <w:tcPr>
            <w:tcW w:w="5000" w:type="pct"/>
          </w:tcPr>
          <w:p w14:paraId="585CF6AF" w14:textId="77777777" w:rsidR="00DD7520" w:rsidRPr="004655E5" w:rsidRDefault="00DD7520" w:rsidP="003508FB">
            <w:pPr>
              <w:spacing w:before="60" w:after="60"/>
            </w:pPr>
            <w:r w:rsidRPr="004655E5">
              <w:t>Density</w:t>
            </w:r>
          </w:p>
        </w:tc>
      </w:tr>
      <w:tr w:rsidR="00DD7520" w:rsidRPr="004655E5" w14:paraId="4C5C0626" w14:textId="77777777" w:rsidTr="004A31C3">
        <w:tc>
          <w:tcPr>
            <w:tcW w:w="5000" w:type="pct"/>
          </w:tcPr>
          <w:p w14:paraId="52095DB0" w14:textId="77777777" w:rsidR="00DD7520" w:rsidRPr="004655E5" w:rsidRDefault="00DD7520" w:rsidP="003508FB">
            <w:pPr>
              <w:spacing w:before="60" w:after="60"/>
            </w:pPr>
            <w:r w:rsidRPr="004655E5">
              <w:t>Cooling time of irradiated fuel</w:t>
            </w:r>
          </w:p>
        </w:tc>
      </w:tr>
      <w:tr w:rsidR="00DD7520" w:rsidRPr="004655E5" w14:paraId="11B10F6B" w14:textId="77777777" w:rsidTr="004A31C3">
        <w:tc>
          <w:tcPr>
            <w:tcW w:w="5000" w:type="pct"/>
          </w:tcPr>
          <w:p w14:paraId="0164C39D" w14:textId="77777777" w:rsidR="00DD7520" w:rsidRPr="004655E5" w:rsidRDefault="00DD7520" w:rsidP="003508FB">
            <w:pPr>
              <w:spacing w:before="60" w:after="60"/>
            </w:pPr>
            <w:r w:rsidRPr="004655E5">
              <w:t>Burn up of irradiated fuel</w:t>
            </w:r>
          </w:p>
        </w:tc>
      </w:tr>
      <w:tr w:rsidR="00DD7520" w:rsidRPr="004655E5" w14:paraId="03D27A4C" w14:textId="77777777" w:rsidTr="004A31C3">
        <w:tc>
          <w:tcPr>
            <w:tcW w:w="5000" w:type="pct"/>
          </w:tcPr>
          <w:p w14:paraId="50A923E2" w14:textId="77777777" w:rsidR="00DD7520" w:rsidRPr="004655E5" w:rsidRDefault="00DD7520" w:rsidP="003508FB">
            <w:pPr>
              <w:spacing w:before="60" w:after="60"/>
            </w:pPr>
            <w:r w:rsidRPr="004655E5">
              <w:t>Remarks (if applicable)</w:t>
            </w:r>
          </w:p>
        </w:tc>
      </w:tr>
    </w:tbl>
    <w:p w14:paraId="3CAA61AB" w14:textId="77777777" w:rsidR="00DD7520" w:rsidRPr="004655E5" w:rsidRDefault="00DD7520" w:rsidP="00DD7520">
      <w:pPr>
        <w:ind w:left="1440"/>
        <w:jc w:val="both"/>
      </w:pPr>
    </w:p>
    <w:p w14:paraId="6F71AF77" w14:textId="77777777" w:rsidR="00DD7520" w:rsidRDefault="00DD7520" w:rsidP="00DD7520">
      <w:pPr>
        <w:spacing w:after="200" w:line="276" w:lineRule="auto"/>
        <w:sectPr w:rsidR="00DD7520" w:rsidSect="008A147B">
          <w:pgSz w:w="11906" w:h="16838" w:code="9"/>
          <w:pgMar w:top="1440" w:right="1440" w:bottom="1440" w:left="1440" w:header="431" w:footer="567" w:gutter="0"/>
          <w:cols w:space="708"/>
          <w:docGrid w:linePitch="360"/>
        </w:sectPr>
      </w:pPr>
    </w:p>
    <w:p w14:paraId="1CEF45CE" w14:textId="65FE70B1" w:rsidR="00DD7520" w:rsidRDefault="003508FB" w:rsidP="003508FB">
      <w:pPr>
        <w:pStyle w:val="Heading1"/>
        <w:numPr>
          <w:ilvl w:val="0"/>
          <w:numId w:val="0"/>
        </w:numPr>
        <w:ind w:left="851"/>
      </w:pPr>
      <w:bookmarkStart w:id="25" w:name="_Appendix_4_–"/>
      <w:bookmarkStart w:id="26" w:name="_Toc235705909"/>
      <w:bookmarkEnd w:id="25"/>
      <w:r>
        <w:lastRenderedPageBreak/>
        <w:t xml:space="preserve">Appendix 4 – Compliance inspection: Accountancy and </w:t>
      </w:r>
      <w:r w:rsidR="00E97B4B">
        <w:t>C</w:t>
      </w:r>
      <w:r>
        <w:t xml:space="preserve">ontrol </w:t>
      </w:r>
      <w:r w:rsidR="00E97B4B">
        <w:t>P</w:t>
      </w:r>
      <w:r>
        <w:t>lan</w:t>
      </w:r>
      <w:bookmarkEnd w:id="26"/>
    </w:p>
    <w:p w14:paraId="2255B1A0" w14:textId="6F699DF2" w:rsidR="003508FB" w:rsidRPr="0056318D" w:rsidRDefault="003508FB" w:rsidP="003508FB">
      <w:pPr>
        <w:pStyle w:val="Heading2"/>
        <w:numPr>
          <w:ilvl w:val="0"/>
          <w:numId w:val="0"/>
        </w:numPr>
        <w:ind w:left="851"/>
      </w:pPr>
      <w:r>
        <w:t>Purpose and scope</w:t>
      </w:r>
    </w:p>
    <w:p w14:paraId="4C8C0D08" w14:textId="77777777" w:rsidR="003508FB" w:rsidRPr="0056318D" w:rsidRDefault="003508FB" w:rsidP="004A31C3">
      <w:pPr>
        <w:pStyle w:val="F9-Paragraph"/>
        <w:numPr>
          <w:ilvl w:val="0"/>
          <w:numId w:val="58"/>
        </w:numPr>
        <w:ind w:left="851" w:hanging="851"/>
      </w:pPr>
      <w:r w:rsidRPr="0056318D">
        <w:t xml:space="preserve">The purpose of this appendix is to provide guidance for </w:t>
      </w:r>
      <w:r>
        <w:t>i</w:t>
      </w:r>
      <w:r w:rsidRPr="0056318D">
        <w:t xml:space="preserve">nspectors when planning and carrying out </w:t>
      </w:r>
      <w:r>
        <w:t xml:space="preserve">compliance </w:t>
      </w:r>
      <w:r w:rsidRPr="0056318D">
        <w:t>inspection activities related to an operator’s Accountancy and Control Plan (ACP).</w:t>
      </w:r>
    </w:p>
    <w:p w14:paraId="33DCD7CE" w14:textId="49A47D89" w:rsidR="003508FB" w:rsidRPr="0056318D" w:rsidRDefault="003508FB" w:rsidP="004A31C3">
      <w:pPr>
        <w:pStyle w:val="F9-Paragraph"/>
      </w:pPr>
      <w:r>
        <w:t xml:space="preserve">Inspection of </w:t>
      </w:r>
      <w:r w:rsidR="006C5A2F">
        <w:t xml:space="preserve">elements of </w:t>
      </w:r>
      <w:r>
        <w:t>an ACP</w:t>
      </w:r>
      <w:r w:rsidRPr="0056318D">
        <w:t xml:space="preserve"> involves a set of activities carried out by </w:t>
      </w:r>
      <w:r>
        <w:t>i</w:t>
      </w:r>
      <w:r w:rsidRPr="0056318D">
        <w:t>nspectors at a QNF to assure them that the arrangements and procedures described in the ACP that form the system of accountancy and control are being implemented effectively at the facility.</w:t>
      </w:r>
    </w:p>
    <w:p w14:paraId="3A4FC2E4" w14:textId="6428B3B8" w:rsidR="003508FB" w:rsidRDefault="003508FB" w:rsidP="004A31C3">
      <w:pPr>
        <w:pStyle w:val="F9-Paragraph"/>
      </w:pPr>
      <w:r w:rsidRPr="0056318D">
        <w:t xml:space="preserve">The purpose of </w:t>
      </w:r>
      <w:r>
        <w:t xml:space="preserve">including aspects of </w:t>
      </w:r>
      <w:r w:rsidRPr="0056318D">
        <w:t xml:space="preserve">an ACP </w:t>
      </w:r>
      <w:r>
        <w:t xml:space="preserve">in an </w:t>
      </w:r>
      <w:r w:rsidRPr="0056318D">
        <w:t>inspection</w:t>
      </w:r>
      <w:r>
        <w:t xml:space="preserve"> scope</w:t>
      </w:r>
      <w:r w:rsidRPr="0056318D">
        <w:t xml:space="preserve"> is to ensure that the operator has established a robust accountancy and control system and that its implementation on site complies with the requirements specified in NSR19. However, elements of an operator’s ACP may be inspected </w:t>
      </w:r>
      <w:r w:rsidR="00535B05">
        <w:t xml:space="preserve">or assessed </w:t>
      </w:r>
      <w:r w:rsidRPr="0056318D">
        <w:t>through the other</w:t>
      </w:r>
      <w:r w:rsidR="00535B05">
        <w:t xml:space="preserve"> </w:t>
      </w:r>
      <w:r>
        <w:t>activities</w:t>
      </w:r>
      <w:r w:rsidRPr="0056318D">
        <w:t xml:space="preserve"> depending on the frequency of inspections undertaken at that facility or site. </w:t>
      </w:r>
    </w:p>
    <w:p w14:paraId="20F4827E" w14:textId="77777777" w:rsidR="003508FB" w:rsidRPr="0056318D" w:rsidRDefault="003508FB" w:rsidP="004A31C3">
      <w:pPr>
        <w:pStyle w:val="F9-Paragraph"/>
      </w:pPr>
      <w:r w:rsidRPr="00207904">
        <w:rPr>
          <w:lang w:val="en-US"/>
        </w:rPr>
        <w:t>This guidance has been prepared as an aid for use during the planning, preparation, and implementation of inspection activities carried out by inspectors at</w:t>
      </w:r>
      <w:r w:rsidRPr="0056318D">
        <w:t xml:space="preserve"> </w:t>
      </w:r>
      <w:r>
        <w:t>QNFs</w:t>
      </w:r>
      <w:r w:rsidRPr="0056318D">
        <w:t xml:space="preserve"> subject to NSR19 </w:t>
      </w:r>
      <w:r w:rsidRPr="00207904">
        <w:rPr>
          <w:lang w:val="en-US"/>
        </w:rPr>
        <w:t>and is to be predominantly used in judging the operator’s compliance with NSR19.</w:t>
      </w:r>
    </w:p>
    <w:p w14:paraId="5F3ED132" w14:textId="77777777" w:rsidR="003508FB" w:rsidRPr="0056318D" w:rsidRDefault="003508FB" w:rsidP="004A31C3">
      <w:pPr>
        <w:pStyle w:val="F9-Paragraph"/>
      </w:pPr>
      <w:r w:rsidRPr="0056318D">
        <w:t xml:space="preserve">This appendix sets out the scope and purpose of activities to be performed by </w:t>
      </w:r>
      <w:r>
        <w:t>i</w:t>
      </w:r>
      <w:r w:rsidRPr="0056318D">
        <w:t xml:space="preserve">nspectors during </w:t>
      </w:r>
      <w:r>
        <w:t xml:space="preserve">compliance </w:t>
      </w:r>
      <w:r w:rsidRPr="0056318D">
        <w:t>inspections</w:t>
      </w:r>
      <w:r>
        <w:t xml:space="preserve"> including the ACP</w:t>
      </w:r>
      <w:r w:rsidRPr="0056318D">
        <w:t xml:space="preserve">. The </w:t>
      </w:r>
      <w:r>
        <w:t>i</w:t>
      </w:r>
      <w:r w:rsidRPr="0056318D">
        <w:t xml:space="preserve">nspector </w:t>
      </w:r>
      <w:r>
        <w:t>should be</w:t>
      </w:r>
      <w:r w:rsidRPr="0056318D">
        <w:t xml:space="preserve"> proportionate in applying this guidance in relation to the circumstances of the </w:t>
      </w:r>
      <w:r>
        <w:t>QNF</w:t>
      </w:r>
      <w:r w:rsidRPr="0056318D">
        <w:t xml:space="preserve"> under inspection. </w:t>
      </w:r>
    </w:p>
    <w:p w14:paraId="07EC5890" w14:textId="67E97154" w:rsidR="003508FB" w:rsidRPr="0056318D" w:rsidRDefault="003508FB" w:rsidP="004A31C3">
      <w:pPr>
        <w:pStyle w:val="F9-Paragraph"/>
      </w:pPr>
      <w:r w:rsidRPr="0056318D">
        <w:t xml:space="preserve">This guidance does not indicate the frequency or scope for inspections </w:t>
      </w:r>
      <w:r>
        <w:t>considering</w:t>
      </w:r>
      <w:r w:rsidRPr="0056318D">
        <w:t xml:space="preserve"> the operator’s ACP under NSR19. This is covered in individual inspector’s inspection plans, the scope and content of which are determined using the ONR Safeguards </w:t>
      </w:r>
      <w:r>
        <w:t>s</w:t>
      </w:r>
      <w:r w:rsidRPr="0056318D">
        <w:t>ub-</w:t>
      </w:r>
      <w:r>
        <w:t>d</w:t>
      </w:r>
      <w:r w:rsidRPr="0056318D">
        <w:t>i</w:t>
      </w:r>
      <w:r>
        <w:t>rectorate</w:t>
      </w:r>
      <w:r w:rsidRPr="0056318D">
        <w:t xml:space="preserve"> </w:t>
      </w:r>
      <w:r>
        <w:t>r</w:t>
      </w:r>
      <w:r w:rsidRPr="0056318D">
        <w:t xml:space="preserve">egulatory </w:t>
      </w:r>
      <w:r>
        <w:t xml:space="preserve">plan, </w:t>
      </w:r>
      <w:r w:rsidR="00E97B4B">
        <w:t xml:space="preserve">risk-informed targeted engagement (RITE) </w:t>
      </w:r>
      <w:sdt>
        <w:sdtPr>
          <w:id w:val="625197801"/>
          <w:citation/>
        </w:sdtPr>
        <w:sdtEndPr/>
        <w:sdtContent>
          <w:r w:rsidR="00E97B4B">
            <w:fldChar w:fldCharType="begin"/>
          </w:r>
          <w:r w:rsidR="00E97B4B">
            <w:instrText xml:space="preserve">CITATION ONR6 \l 2057 </w:instrText>
          </w:r>
          <w:r w:rsidR="00E97B4B">
            <w:fldChar w:fldCharType="separate"/>
          </w:r>
          <w:r w:rsidR="00DA6493" w:rsidRPr="00DA6493">
            <w:rPr>
              <w:noProof/>
            </w:rPr>
            <w:t>[14]</w:t>
          </w:r>
          <w:r w:rsidR="00E97B4B">
            <w:fldChar w:fldCharType="end"/>
          </w:r>
        </w:sdtContent>
      </w:sdt>
      <w:r w:rsidRPr="0056318D">
        <w:t xml:space="preserve"> and associated governance</w:t>
      </w:r>
      <w:r>
        <w:t>.</w:t>
      </w:r>
    </w:p>
    <w:p w14:paraId="110E4749" w14:textId="77777777" w:rsidR="003508FB" w:rsidRPr="0056318D" w:rsidRDefault="003508FB" w:rsidP="004A31C3">
      <w:pPr>
        <w:pStyle w:val="F9-Paragraph"/>
      </w:pPr>
      <w:r w:rsidRPr="0056318D">
        <w:t>Note that the requirements of NSR19 relate only to those activities undertaken for civil purposes; activities for defence purposes are excluded from the UK nuclear safeguards regime.</w:t>
      </w:r>
    </w:p>
    <w:p w14:paraId="6B311A6C" w14:textId="77777777" w:rsidR="00E97B4B" w:rsidRDefault="00E97B4B" w:rsidP="004A31C3">
      <w:pPr>
        <w:pStyle w:val="F9-Paragraph"/>
        <w:sectPr w:rsidR="00E97B4B" w:rsidSect="003508FB">
          <w:pgSz w:w="11906" w:h="16838" w:code="9"/>
          <w:pgMar w:top="1440" w:right="1440" w:bottom="1440" w:left="1440" w:header="397" w:footer="397" w:gutter="0"/>
          <w:cols w:space="312"/>
          <w:docGrid w:linePitch="360"/>
        </w:sectPr>
      </w:pPr>
    </w:p>
    <w:p w14:paraId="22979EE6" w14:textId="57457EE3" w:rsidR="003508FB" w:rsidRPr="00157C1C" w:rsidRDefault="00E97B4B" w:rsidP="00E97B4B">
      <w:pPr>
        <w:pStyle w:val="Heading2"/>
        <w:numPr>
          <w:ilvl w:val="0"/>
          <w:numId w:val="0"/>
        </w:numPr>
        <w:ind w:left="851"/>
      </w:pPr>
      <w:r>
        <w:lastRenderedPageBreak/>
        <w:t>Relationship to relevant legislation</w:t>
      </w:r>
      <w:r w:rsidR="003508FB">
        <w:t xml:space="preserve"> </w:t>
      </w:r>
    </w:p>
    <w:p w14:paraId="2DB7A962" w14:textId="77777777" w:rsidR="003508FB" w:rsidRPr="0056318D" w:rsidRDefault="003508FB" w:rsidP="004A31C3">
      <w:pPr>
        <w:pStyle w:val="F9-Paragraph"/>
      </w:pPr>
      <w:r>
        <w:t>NSR19 R</w:t>
      </w:r>
      <w:r w:rsidRPr="0056318D">
        <w:t xml:space="preserve">egulation 7 requires operators to produce an ACP for a </w:t>
      </w:r>
      <w:r>
        <w:t>QNF</w:t>
      </w:r>
      <w:r w:rsidRPr="0056318D">
        <w:rPr>
          <w:vertAlign w:val="superscript"/>
        </w:rPr>
        <w:footnoteReference w:id="2"/>
      </w:r>
      <w:r w:rsidRPr="0056318D">
        <w:t xml:space="preserve"> including </w:t>
      </w:r>
      <w:r>
        <w:t>QNFLOs</w:t>
      </w:r>
      <w:r w:rsidRPr="0056318D">
        <w:t>, which must describe in writing</w:t>
      </w:r>
      <w:r w:rsidRPr="0056318D">
        <w:rPr>
          <w:vertAlign w:val="superscript"/>
        </w:rPr>
        <w:footnoteReference w:id="3"/>
      </w:r>
      <w:r w:rsidRPr="0056318D">
        <w:t xml:space="preserve"> the arrangements and procedures adopted or to be adopted by an operator to establish and maintain a</w:t>
      </w:r>
      <w:r>
        <w:t>n</w:t>
      </w:r>
      <w:r w:rsidRPr="0056318D">
        <w:t xml:space="preserve"> NMAC</w:t>
      </w:r>
      <w:r>
        <w:t>S system</w:t>
      </w:r>
      <w:r w:rsidRPr="0056318D">
        <w:t xml:space="preserve"> as required by Regulation 6. </w:t>
      </w:r>
    </w:p>
    <w:p w14:paraId="79E9E78B" w14:textId="77777777" w:rsidR="003508FB" w:rsidRPr="0056318D" w:rsidRDefault="003508FB" w:rsidP="004A31C3">
      <w:pPr>
        <w:pStyle w:val="F9-Paragraph"/>
      </w:pPr>
      <w:r w:rsidRPr="0056318D">
        <w:t>Regulation 8 relates to the replacement, amendment</w:t>
      </w:r>
      <w:r>
        <w:t>,</w:t>
      </w:r>
      <w:r w:rsidRPr="0056318D">
        <w:t xml:space="preserve"> and revocation of an ACP. Operators must amend the ACP following a change to the </w:t>
      </w:r>
      <w:r>
        <w:t>design information</w:t>
      </w:r>
      <w:r w:rsidRPr="0056318D">
        <w:t xml:space="preserve"> of the QNF and send the amended ACP to ONR within </w:t>
      </w:r>
      <w:r>
        <w:t xml:space="preserve">23 </w:t>
      </w:r>
      <w:r w:rsidRPr="0056318D">
        <w:t>days beginning on the day on which the change is made (unless otherwise specified in a PSP). Operators may amend any parts of the ACP for a QNF that have not been approved by ONR; they must not amend any part of the ACP that has been approved by ONR without the prior written consent of the ONR.</w:t>
      </w:r>
    </w:p>
    <w:p w14:paraId="1D64C2A0" w14:textId="77777777" w:rsidR="003508FB" w:rsidRPr="0056318D" w:rsidRDefault="003508FB" w:rsidP="004A31C3">
      <w:pPr>
        <w:pStyle w:val="F9-Paragraph"/>
      </w:pPr>
      <w:r w:rsidRPr="00207904">
        <w:t>Regulation 9 requires operators to implement and comply with the arrangements and procedures described in the ACP.</w:t>
      </w:r>
      <w:r w:rsidRPr="0056318D">
        <w:rPr>
          <w:vertAlign w:val="superscript"/>
        </w:rPr>
        <w:footnoteReference w:id="4"/>
      </w:r>
      <w:r w:rsidRPr="00207904">
        <w:t xml:space="preserve"> </w:t>
      </w:r>
    </w:p>
    <w:p w14:paraId="6A0ED075" w14:textId="3D4FAACE" w:rsidR="00621AAA" w:rsidRPr="0056318D" w:rsidRDefault="003508FB" w:rsidP="004A31C3">
      <w:pPr>
        <w:pStyle w:val="F9-Paragraph"/>
      </w:pPr>
      <w:r>
        <w:t xml:space="preserve">Prior to an inspection including </w:t>
      </w:r>
      <w:r w:rsidR="00046935">
        <w:t xml:space="preserve">a sample </w:t>
      </w:r>
      <w:r>
        <w:t>of the ACP, inspectors should</w:t>
      </w:r>
      <w:r w:rsidRPr="0056318D">
        <w:t xml:space="preserve"> prepare a pre-inspection briefing for the </w:t>
      </w:r>
      <w:r>
        <w:t>o</w:t>
      </w:r>
      <w:r w:rsidRPr="0056318D">
        <w:t>perator to talk through the provided inspection scope, clarify ONR’s regulatory expectations and requirements relating to the sampled arrangements, and outline in more detail some examples of evidence that may be sought in relation to the FSEs described in ONMACS.</w:t>
      </w:r>
      <w:r>
        <w:t xml:space="preserve"> This guidance should therefore be read and used in conjunction with ONMACS.</w:t>
      </w:r>
    </w:p>
    <w:p w14:paraId="34586552" w14:textId="77777777" w:rsidR="004A31C3" w:rsidRDefault="004A31C3" w:rsidP="00E97B4B">
      <w:pPr>
        <w:pStyle w:val="Heading2"/>
        <w:numPr>
          <w:ilvl w:val="0"/>
          <w:numId w:val="0"/>
        </w:numPr>
        <w:ind w:left="851"/>
        <w:sectPr w:rsidR="004A31C3" w:rsidSect="003508FB">
          <w:pgSz w:w="11906" w:h="16838" w:code="9"/>
          <w:pgMar w:top="1440" w:right="1440" w:bottom="1440" w:left="1440" w:header="397" w:footer="397" w:gutter="0"/>
          <w:cols w:space="312"/>
          <w:docGrid w:linePitch="360"/>
        </w:sectPr>
      </w:pPr>
    </w:p>
    <w:p w14:paraId="609EDDC9" w14:textId="0A7BF03D" w:rsidR="003508FB" w:rsidRDefault="00E97B4B" w:rsidP="00E97B4B">
      <w:pPr>
        <w:pStyle w:val="Heading2"/>
        <w:numPr>
          <w:ilvl w:val="0"/>
          <w:numId w:val="0"/>
        </w:numPr>
        <w:ind w:left="851"/>
      </w:pPr>
      <w:r>
        <w:lastRenderedPageBreak/>
        <w:t>Guidance on inspection against ACPs and their implementation</w:t>
      </w:r>
    </w:p>
    <w:p w14:paraId="49AF44A1" w14:textId="3EB232E0" w:rsidR="003508FB" w:rsidRDefault="003508FB" w:rsidP="004A31C3">
      <w:pPr>
        <w:pStyle w:val="F9-Paragraph"/>
      </w:pPr>
      <w:r w:rsidRPr="0056318D">
        <w:t>The operator must implement and comply with the arrangements and procedures described in the</w:t>
      </w:r>
      <w:r>
        <w:t>ir</w:t>
      </w:r>
      <w:r w:rsidRPr="0056318D">
        <w:t xml:space="preserve"> ACP. </w:t>
      </w:r>
      <w:r>
        <w:t>During inspections which include aspects of the ACP, the safeguards inspector should examine the</w:t>
      </w:r>
      <w:r w:rsidRPr="0056318D">
        <w:t xml:space="preserve"> implementation of the arrangements. ONR uses a sampling approach in deploying its resources</w:t>
      </w:r>
      <w:r>
        <w:t>, and</w:t>
      </w:r>
      <w:r w:rsidRPr="0056318D">
        <w:t xml:space="preserve"> as such, it may not be necessary </w:t>
      </w:r>
      <w:r w:rsidR="00F00EA2">
        <w:t xml:space="preserve">or possible </w:t>
      </w:r>
      <w:r w:rsidRPr="0056318D">
        <w:t>to assess the implementation of every aspect of an ACP in full</w:t>
      </w:r>
      <w:r>
        <w:t>.</w:t>
      </w:r>
      <w:r w:rsidRPr="0056318D">
        <w:t xml:space="preserve"> The breadth and depth of the inspection </w:t>
      </w:r>
      <w:r>
        <w:t>should be</w:t>
      </w:r>
      <w:r w:rsidRPr="0056318D">
        <w:t xml:space="preserve"> established by the inspector as part of the inspection plan. </w:t>
      </w:r>
    </w:p>
    <w:p w14:paraId="63E8C1CF" w14:textId="24FA6D22" w:rsidR="003508FB" w:rsidRPr="0056318D" w:rsidRDefault="003508FB" w:rsidP="004A31C3">
      <w:pPr>
        <w:pStyle w:val="F9-Paragraph"/>
      </w:pPr>
      <w:r w:rsidRPr="0056318D">
        <w:t xml:space="preserve">The </w:t>
      </w:r>
      <w:r>
        <w:t>i</w:t>
      </w:r>
      <w:r w:rsidRPr="0056318D">
        <w:t xml:space="preserve">nspector should confirm that all sampled arrangements and procedures are being implemented as claimed in the ACP. Though the following </w:t>
      </w:r>
      <w:r w:rsidR="006879BA">
        <w:t xml:space="preserve">approach </w:t>
      </w:r>
      <w:r w:rsidRPr="0056318D">
        <w:t>is not exhaustive, this may be done by:</w:t>
      </w:r>
    </w:p>
    <w:p w14:paraId="735FFC8F" w14:textId="77777777" w:rsidR="003508FB" w:rsidRPr="0056318D" w:rsidRDefault="003508FB" w:rsidP="004F261E">
      <w:pPr>
        <w:pStyle w:val="NumList2"/>
        <w:numPr>
          <w:ilvl w:val="1"/>
          <w:numId w:val="59"/>
        </w:numPr>
        <w:ind w:left="1276"/>
      </w:pPr>
      <w:r w:rsidRPr="0056318D">
        <w:t>Discussions with key staff identified in those arrangements and procedures to determine their understanding of process flow, the purpose and use of key equipment, and response to NMACS discrepancies.</w:t>
      </w:r>
    </w:p>
    <w:p w14:paraId="4468FC66" w14:textId="42395761" w:rsidR="003508FB" w:rsidRPr="0056318D" w:rsidRDefault="003508FB" w:rsidP="00E97B4B">
      <w:pPr>
        <w:pStyle w:val="NumList2"/>
      </w:pPr>
      <w:r w:rsidRPr="0056318D">
        <w:t>Observation of physical identifications of QNM items</w:t>
      </w:r>
      <w:r w:rsidR="00DA6493">
        <w:t>/</w:t>
      </w:r>
      <w:r w:rsidRPr="0056318D">
        <w:t>batches, through direct observation or operator photographic/video footage where appropriate, considering safety rules.</w:t>
      </w:r>
    </w:p>
    <w:p w14:paraId="50B3D629" w14:textId="14EB3A66" w:rsidR="00CF2A3E" w:rsidRPr="0056318D" w:rsidRDefault="003508FB" w:rsidP="00E97B4B">
      <w:pPr>
        <w:pStyle w:val="NumList2"/>
      </w:pPr>
      <w:r w:rsidRPr="0056318D">
        <w:t xml:space="preserve">Observation of key </w:t>
      </w:r>
      <w:r w:rsidR="0064401F">
        <w:t xml:space="preserve">operating and </w:t>
      </w:r>
      <w:r w:rsidRPr="0056318D">
        <w:t>accounting records to be produced from the movement of QNM between and within MBAs, followed by the checking of these records against the physical reality.</w:t>
      </w:r>
    </w:p>
    <w:p w14:paraId="758004CB" w14:textId="77777777" w:rsidR="00E97B4B" w:rsidRDefault="003508FB" w:rsidP="00EA6C03">
      <w:pPr>
        <w:pStyle w:val="NumList2"/>
      </w:pPr>
      <w:r w:rsidRPr="0056318D">
        <w:t>Confirming the existence of a non-conformance resolution procedure, as well as its implementation through viewing of records detailing the actions to resolve past discrepancies.</w:t>
      </w:r>
    </w:p>
    <w:p w14:paraId="03CD1563" w14:textId="77777777" w:rsidR="00E97B4B" w:rsidRDefault="00E97B4B" w:rsidP="00E97B4B">
      <w:pPr>
        <w:pStyle w:val="Heading2"/>
        <w:numPr>
          <w:ilvl w:val="0"/>
          <w:numId w:val="0"/>
        </w:numPr>
        <w:ind w:left="851"/>
        <w:rPr>
          <w:rStyle w:val="Strong"/>
          <w:b w:val="0"/>
          <w:bCs w:val="0"/>
        </w:rPr>
        <w:sectPr w:rsidR="00E97B4B" w:rsidSect="003508FB">
          <w:pgSz w:w="11906" w:h="16838" w:code="9"/>
          <w:pgMar w:top="1440" w:right="1440" w:bottom="1440" w:left="1440" w:header="397" w:footer="397" w:gutter="0"/>
          <w:cols w:space="312"/>
          <w:docGrid w:linePitch="360"/>
        </w:sectPr>
      </w:pPr>
    </w:p>
    <w:p w14:paraId="29CC8721" w14:textId="3F3AF10D" w:rsidR="00E97B4B" w:rsidRPr="00E97B4B" w:rsidRDefault="007E6632" w:rsidP="00E97B4B">
      <w:pPr>
        <w:pStyle w:val="Heading2"/>
        <w:numPr>
          <w:ilvl w:val="0"/>
          <w:numId w:val="0"/>
        </w:numPr>
        <w:ind w:left="851"/>
        <w:rPr>
          <w:rStyle w:val="Strong"/>
          <w:b w:val="0"/>
          <w:bCs w:val="0"/>
        </w:rPr>
      </w:pPr>
      <w:r>
        <w:rPr>
          <w:rStyle w:val="Strong"/>
          <w:b w:val="0"/>
          <w:bCs w:val="0"/>
        </w:rPr>
        <w:lastRenderedPageBreak/>
        <w:t>Inspection of an ACP</w:t>
      </w:r>
      <w:r w:rsidR="00E97B4B">
        <w:rPr>
          <w:rStyle w:val="Strong"/>
          <w:b w:val="0"/>
          <w:bCs w:val="0"/>
        </w:rPr>
        <w:t xml:space="preserve"> - Guidance on inspection activities aligned with ONMACS FSEs</w:t>
      </w:r>
    </w:p>
    <w:p w14:paraId="1AC205D5" w14:textId="77777777" w:rsidR="00E97B4B" w:rsidRPr="00C174C2" w:rsidRDefault="00E97B4B" w:rsidP="00E97B4B">
      <w:pPr>
        <w:pStyle w:val="Heading3"/>
        <w:numPr>
          <w:ilvl w:val="0"/>
          <w:numId w:val="0"/>
        </w:numPr>
        <w:ind w:left="851"/>
      </w:pPr>
      <w:r w:rsidRPr="00C174C2">
        <w:t xml:space="preserve">FSE 1 – Leadership and Management for Nuclear Material Accountancy, Control &amp; Safeguards </w:t>
      </w:r>
    </w:p>
    <w:p w14:paraId="20668EE1" w14:textId="7F5F0721" w:rsidR="00E97B4B" w:rsidRPr="0056318D" w:rsidRDefault="00E97B4B" w:rsidP="004A31C3">
      <w:pPr>
        <w:pStyle w:val="F9-Paragraph"/>
      </w:pPr>
      <w:r w:rsidRPr="0056318D">
        <w:t xml:space="preserve">The periodicity of </w:t>
      </w:r>
      <w:r>
        <w:t>l</w:t>
      </w:r>
      <w:r w:rsidRPr="0056318D">
        <w:t xml:space="preserve">eadership and </w:t>
      </w:r>
      <w:r>
        <w:t>m</w:t>
      </w:r>
      <w:r w:rsidRPr="0056318D">
        <w:t xml:space="preserve">anagement for </w:t>
      </w:r>
      <w:r w:rsidRPr="002162E7">
        <w:t>NMACS</w:t>
      </w:r>
      <w:r w:rsidRPr="0056318D">
        <w:t xml:space="preserve"> interventions will be influenced by the annual ONR assessment of the operator’s safeguards performance, together with any findings and regulatory intelligence obtained during previous inspections</w:t>
      </w:r>
      <w:r w:rsidR="007E6632">
        <w:t>, or from other ONR purposes</w:t>
      </w:r>
      <w:r w:rsidRPr="0056318D">
        <w:t xml:space="preserve">. Once these initial considerations have been reviewed, the inspector should be able to define and agree the outcomes and outputs </w:t>
      </w:r>
      <w:r>
        <w:t>sought from an</w:t>
      </w:r>
      <w:r w:rsidRPr="0056318D">
        <w:t xml:space="preserve"> intervention. Where delivery of these objectives identifies the requirement for additional regulatory resources, support from other specialists, for example ONR Leadership and Management for Safety (LMfS) inspectors, should be sought.</w:t>
      </w:r>
    </w:p>
    <w:p w14:paraId="198400B1" w14:textId="77777777" w:rsidR="00E97B4B" w:rsidRPr="0056318D" w:rsidRDefault="00E97B4B" w:rsidP="004A31C3">
      <w:pPr>
        <w:pStyle w:val="F9-Paragraph"/>
      </w:pPr>
      <w:r w:rsidRPr="0056318D">
        <w:t xml:space="preserve">During an inspection targeting arrangements for </w:t>
      </w:r>
      <w:r>
        <w:t>l</w:t>
      </w:r>
      <w:r w:rsidRPr="0056318D">
        <w:t xml:space="preserve">eadership and </w:t>
      </w:r>
      <w:r>
        <w:t>m</w:t>
      </w:r>
      <w:r w:rsidRPr="0056318D">
        <w:t xml:space="preserve">anagement for NMACS, </w:t>
      </w:r>
      <w:r>
        <w:t>i</w:t>
      </w:r>
      <w:r w:rsidRPr="0056318D">
        <w:t>nspectors may wish to consider whether:</w:t>
      </w:r>
    </w:p>
    <w:p w14:paraId="781B4D8E" w14:textId="69DEFA12" w:rsidR="00E97B4B" w:rsidRPr="0056318D" w:rsidRDefault="00E97B4B" w:rsidP="004F261E">
      <w:pPr>
        <w:pStyle w:val="NumList2"/>
        <w:numPr>
          <w:ilvl w:val="1"/>
          <w:numId w:val="60"/>
        </w:numPr>
        <w:ind w:left="1276"/>
      </w:pPr>
      <w:r w:rsidRPr="0056318D">
        <w:t xml:space="preserve">The </w:t>
      </w:r>
      <w:r>
        <w:t>o</w:t>
      </w:r>
      <w:r w:rsidRPr="0056318D">
        <w:t xml:space="preserve">perator’s </w:t>
      </w:r>
      <w:r>
        <w:t>b</w:t>
      </w:r>
      <w:r w:rsidRPr="0056318D">
        <w:t xml:space="preserve">oard of </w:t>
      </w:r>
      <w:r>
        <w:t>d</w:t>
      </w:r>
      <w:r w:rsidRPr="0056318D">
        <w:t>irectors (</w:t>
      </w:r>
      <w:proofErr w:type="spellStart"/>
      <w:r w:rsidRPr="0056318D">
        <w:t>BoD</w:t>
      </w:r>
      <w:proofErr w:type="spellEnd"/>
      <w:r w:rsidRPr="0056318D">
        <w:t xml:space="preserve">) ensures that NMACS is given due priority </w:t>
      </w:r>
      <w:r>
        <w:t>alongside</w:t>
      </w:r>
      <w:r w:rsidRPr="0056318D">
        <w:t xml:space="preserve"> safety and security when providing strategic direction and leadership. This might be evidenced through policy and </w:t>
      </w:r>
      <w:r w:rsidR="00D20E07">
        <w:t xml:space="preserve">the production </w:t>
      </w:r>
      <w:r w:rsidRPr="0056318D">
        <w:t xml:space="preserve"> an </w:t>
      </w:r>
      <w:r>
        <w:t>a</w:t>
      </w:r>
      <w:r w:rsidRPr="0056318D">
        <w:t xml:space="preserve">nnual NMACS </w:t>
      </w:r>
      <w:r>
        <w:t>p</w:t>
      </w:r>
      <w:r w:rsidRPr="0056318D">
        <w:t>erformance report</w:t>
      </w:r>
      <w:r w:rsidR="006E715F">
        <w:t xml:space="preserve"> which is discussed at Board level</w:t>
      </w:r>
      <w:r w:rsidRPr="0056318D">
        <w:t>.</w:t>
      </w:r>
    </w:p>
    <w:p w14:paraId="4A7B36D3" w14:textId="77777777" w:rsidR="00E97B4B" w:rsidRPr="0056318D" w:rsidRDefault="00E97B4B" w:rsidP="00E97B4B">
      <w:pPr>
        <w:pStyle w:val="NumList2"/>
      </w:pPr>
      <w:r w:rsidRPr="0056318D">
        <w:t xml:space="preserve">described mechanisms to ensure the </w:t>
      </w:r>
      <w:proofErr w:type="spellStart"/>
      <w:r w:rsidRPr="0056318D">
        <w:t>BoD</w:t>
      </w:r>
      <w:proofErr w:type="spellEnd"/>
      <w:r w:rsidRPr="0056318D">
        <w:t xml:space="preserve"> receive current, high quality NMACS information on risks are being implemented e.g., </w:t>
      </w:r>
      <w:r>
        <w:t>r</w:t>
      </w:r>
      <w:r w:rsidRPr="0056318D">
        <w:t xml:space="preserve">isk </w:t>
      </w:r>
      <w:r>
        <w:t>c</w:t>
      </w:r>
      <w:r w:rsidRPr="0056318D">
        <w:t xml:space="preserve">ommittee or </w:t>
      </w:r>
      <w:r>
        <w:t>a</w:t>
      </w:r>
      <w:r w:rsidRPr="0056318D">
        <w:t xml:space="preserve">nnual NMACS </w:t>
      </w:r>
      <w:r>
        <w:t>p</w:t>
      </w:r>
      <w:r w:rsidRPr="0056318D">
        <w:t>erformance report.</w:t>
      </w:r>
    </w:p>
    <w:p w14:paraId="73F30867" w14:textId="77777777" w:rsidR="00E97B4B" w:rsidRPr="0056318D" w:rsidRDefault="00E97B4B" w:rsidP="00E97B4B">
      <w:pPr>
        <w:pStyle w:val="NumList2"/>
      </w:pPr>
      <w:r w:rsidRPr="0056318D">
        <w:t xml:space="preserve">the </w:t>
      </w:r>
      <w:r>
        <w:t>b</w:t>
      </w:r>
      <w:r w:rsidRPr="0056318D">
        <w:t>oard has implemented the appropriate membership and competence to assess and act effectively on NMACS information where claimed.</w:t>
      </w:r>
    </w:p>
    <w:p w14:paraId="4D9649C2" w14:textId="77777777" w:rsidR="00E97B4B" w:rsidRPr="0056318D" w:rsidRDefault="00E97B4B" w:rsidP="00E97B4B">
      <w:pPr>
        <w:pStyle w:val="NumList2"/>
      </w:pPr>
      <w:r w:rsidRPr="0056318D">
        <w:t>NMACS, standards and expectation</w:t>
      </w:r>
      <w:r>
        <w:t>s are</w:t>
      </w:r>
      <w:r w:rsidRPr="0056318D">
        <w:t xml:space="preserve"> effectively communicated across the organisation to those with roles of NMACS responsibility or consequence.</w:t>
      </w:r>
    </w:p>
    <w:p w14:paraId="19987883" w14:textId="77777777" w:rsidR="00E97B4B" w:rsidRDefault="00E97B4B" w:rsidP="00E97B4B">
      <w:pPr>
        <w:pStyle w:val="NumList2"/>
      </w:pPr>
      <w:r w:rsidRPr="0056318D">
        <w:t>NMACS activities are included in operational schedules e.g., PIT/PIV.</w:t>
      </w:r>
    </w:p>
    <w:p w14:paraId="750507F9" w14:textId="77777777" w:rsidR="00E97B4B" w:rsidRPr="0056318D" w:rsidRDefault="00E97B4B" w:rsidP="00E97B4B">
      <w:pPr>
        <w:pStyle w:val="NumList2"/>
      </w:pPr>
      <w:r w:rsidRPr="0056318D">
        <w:t>relevant staff are routinely consulted and engaged on NMACS issues such that their skills and knowledge are used to inform decision making at senior levels.</w:t>
      </w:r>
    </w:p>
    <w:p w14:paraId="5D0FCDA5" w14:textId="77777777" w:rsidR="00E97B4B" w:rsidRPr="0056318D" w:rsidRDefault="00E97B4B" w:rsidP="00E97B4B">
      <w:pPr>
        <w:pStyle w:val="NumList2"/>
      </w:pPr>
      <w:r w:rsidRPr="0056318D">
        <w:t xml:space="preserve">NMACS arrangements are included in an </w:t>
      </w:r>
      <w:r>
        <w:t>i</w:t>
      </w:r>
      <w:r w:rsidRPr="0056318D">
        <w:t xml:space="preserve">ntegrated </w:t>
      </w:r>
      <w:r>
        <w:t>m</w:t>
      </w:r>
      <w:r w:rsidRPr="0056318D">
        <w:t xml:space="preserve">anagement </w:t>
      </w:r>
      <w:r>
        <w:t>s</w:t>
      </w:r>
      <w:r w:rsidRPr="0056318D">
        <w:t>ystem that adheres to RGP.</w:t>
      </w:r>
    </w:p>
    <w:p w14:paraId="42512C40" w14:textId="77777777" w:rsidR="00E97B4B" w:rsidRPr="0056318D" w:rsidRDefault="00E97B4B" w:rsidP="00E97B4B">
      <w:pPr>
        <w:pStyle w:val="NumList2"/>
      </w:pPr>
      <w:r w:rsidRPr="0056318D">
        <w:lastRenderedPageBreak/>
        <w:t xml:space="preserve">the </w:t>
      </w:r>
      <w:proofErr w:type="spellStart"/>
      <w:r w:rsidRPr="0056318D">
        <w:t>BoD</w:t>
      </w:r>
      <w:proofErr w:type="spellEnd"/>
      <w:r w:rsidRPr="0056318D">
        <w:t xml:space="preserve"> is an ‘intelligent customer’ with sufficient NMACS competence or experience to ensure assurance reports inform effective decision making.</w:t>
      </w:r>
    </w:p>
    <w:p w14:paraId="3F1B7003" w14:textId="77777777" w:rsidR="00E97B4B" w:rsidRPr="0056318D" w:rsidRDefault="00E97B4B" w:rsidP="00E97B4B">
      <w:pPr>
        <w:pStyle w:val="NumList2"/>
      </w:pPr>
      <w:r w:rsidRPr="0056318D">
        <w:t>the operator design authority’s formal processes understand and maintain NMACS design knowledge and assess the impact of proposed design changes on the functionality, reliability, and availability of NMACS arrangements contained in the ACP.</w:t>
      </w:r>
    </w:p>
    <w:p w14:paraId="1AA4F7FC" w14:textId="77777777" w:rsidR="00E97B4B" w:rsidRPr="0056318D" w:rsidRDefault="00E97B4B" w:rsidP="00E97B4B">
      <w:pPr>
        <w:pStyle w:val="NumList2"/>
      </w:pPr>
      <w:r>
        <w:t>All relevant s</w:t>
      </w:r>
      <w:r w:rsidRPr="0056318D">
        <w:t>takeholders (both internal and external) are involved in the decision-making process.</w:t>
      </w:r>
    </w:p>
    <w:p w14:paraId="45CA50AB" w14:textId="77777777" w:rsidR="00E97B4B" w:rsidRPr="0056318D" w:rsidRDefault="00E97B4B" w:rsidP="00E97B4B">
      <w:pPr>
        <w:pStyle w:val="NumList2"/>
      </w:pPr>
      <w:r w:rsidRPr="0056318D">
        <w:t xml:space="preserve">NMACS is given due consideration alongside </w:t>
      </w:r>
      <w:r>
        <w:t>s</w:t>
      </w:r>
      <w:r w:rsidRPr="0056318D">
        <w:t xml:space="preserve">afety, </w:t>
      </w:r>
      <w:r>
        <w:t>s</w:t>
      </w:r>
      <w:r w:rsidRPr="0056318D">
        <w:t xml:space="preserve">ecurity and </w:t>
      </w:r>
      <w:r>
        <w:t>e</w:t>
      </w:r>
      <w:r w:rsidRPr="0056318D">
        <w:t xml:space="preserve">nvironmental factors to ensure that NMACS is not eroded or de-prioritised, and there is a process for the organisation to make decisions where there may be a conflict between </w:t>
      </w:r>
      <w:r>
        <w:t>s</w:t>
      </w:r>
      <w:r w:rsidRPr="0056318D">
        <w:t xml:space="preserve">afety, </w:t>
      </w:r>
      <w:r>
        <w:t>s</w:t>
      </w:r>
      <w:r w:rsidRPr="0056318D">
        <w:t xml:space="preserve">ecurity, </w:t>
      </w:r>
      <w:r>
        <w:t>e</w:t>
      </w:r>
      <w:r w:rsidRPr="0056318D">
        <w:t>nvironment and NMACS.</w:t>
      </w:r>
    </w:p>
    <w:p w14:paraId="7D858CF4" w14:textId="77777777" w:rsidR="00E97B4B" w:rsidRPr="0056318D" w:rsidRDefault="00E97B4B" w:rsidP="00E97B4B">
      <w:pPr>
        <w:pStyle w:val="NumList2"/>
      </w:pPr>
      <w:r w:rsidRPr="0056318D">
        <w:t xml:space="preserve">There is an independent internal assurance function with clearly defined terms of reference (including responsibility, accountability, and authority), and the </w:t>
      </w:r>
      <w:r>
        <w:t>b</w:t>
      </w:r>
      <w:r w:rsidRPr="0056318D">
        <w:t>oard demonstrates it uses this function and that it values its outputs.</w:t>
      </w:r>
    </w:p>
    <w:p w14:paraId="62DA26D6" w14:textId="67984830" w:rsidR="00621AAA" w:rsidRDefault="00E97B4B" w:rsidP="004A31C3">
      <w:pPr>
        <w:pStyle w:val="NumList2"/>
      </w:pPr>
      <w:r w:rsidRPr="0056318D">
        <w:t xml:space="preserve">the outputs from assurance activities feed a well-defined </w:t>
      </w:r>
      <w:r>
        <w:t>g</w:t>
      </w:r>
      <w:r w:rsidRPr="0056318D">
        <w:t xml:space="preserve">overnance structure. There should be an </w:t>
      </w:r>
      <w:r>
        <w:t>e</w:t>
      </w:r>
      <w:r w:rsidRPr="0056318D">
        <w:t>xecutive meeting to consider NMACS performance for the organisation and determine improvement priorities and re-prioritisation.</w:t>
      </w:r>
    </w:p>
    <w:p w14:paraId="5F456541" w14:textId="77777777" w:rsidR="00E97B4B" w:rsidRPr="00C05532" w:rsidRDefault="00E97B4B" w:rsidP="00E97B4B">
      <w:pPr>
        <w:pStyle w:val="Heading3"/>
        <w:numPr>
          <w:ilvl w:val="0"/>
          <w:numId w:val="0"/>
        </w:numPr>
        <w:ind w:left="851"/>
      </w:pPr>
      <w:r w:rsidRPr="00C05532">
        <w:t>FSE 2 – Organisational Culture</w:t>
      </w:r>
    </w:p>
    <w:p w14:paraId="2A9A6DE1" w14:textId="259A57EA" w:rsidR="00970500" w:rsidRDefault="00970500" w:rsidP="004A31C3">
      <w:pPr>
        <w:pStyle w:val="F9-Paragraph"/>
      </w:pPr>
      <w:r>
        <w:t>The inspector</w:t>
      </w:r>
      <w:r w:rsidR="00B83B5D">
        <w:t xml:space="preserve"> should consider referring to other ONR guidance</w:t>
      </w:r>
      <w:r w:rsidR="009507D5">
        <w:t xml:space="preserve">, around organisational culture when </w:t>
      </w:r>
      <w:r w:rsidR="00875150">
        <w:t>targeting this area</w:t>
      </w:r>
      <w:r w:rsidR="000773EF">
        <w:t xml:space="preserve"> </w:t>
      </w:r>
      <w:sdt>
        <w:sdtPr>
          <w:id w:val="1082564499"/>
          <w:citation/>
        </w:sdtPr>
        <w:sdtEndPr/>
        <w:sdtContent>
          <w:r w:rsidR="002208E1">
            <w:fldChar w:fldCharType="begin"/>
          </w:r>
          <w:r w:rsidR="002208E1">
            <w:instrText xml:space="preserve"> CITATION ONR26 \l 2057 </w:instrText>
          </w:r>
          <w:r w:rsidR="002208E1">
            <w:fldChar w:fldCharType="separate"/>
          </w:r>
          <w:r w:rsidR="00DA6493" w:rsidRPr="00DA6493">
            <w:rPr>
              <w:noProof/>
            </w:rPr>
            <w:t>[15]</w:t>
          </w:r>
          <w:r w:rsidR="002208E1">
            <w:fldChar w:fldCharType="end"/>
          </w:r>
        </w:sdtContent>
      </w:sdt>
      <w:r w:rsidR="002208E1">
        <w:t>.</w:t>
      </w:r>
    </w:p>
    <w:p w14:paraId="044A653B" w14:textId="779F0547" w:rsidR="00E97B4B" w:rsidRPr="0056318D" w:rsidRDefault="00E97B4B" w:rsidP="004A31C3">
      <w:pPr>
        <w:pStyle w:val="F9-Paragraph"/>
      </w:pPr>
      <w:r w:rsidRPr="0056318D">
        <w:t xml:space="preserve">During an inspection targeting NMACS organisational culture, </w:t>
      </w:r>
      <w:r>
        <w:t>i</w:t>
      </w:r>
      <w:r w:rsidRPr="0056318D">
        <w:t>nspectors may wish to consider whether:</w:t>
      </w:r>
    </w:p>
    <w:p w14:paraId="351A2A27" w14:textId="77777777" w:rsidR="00E97B4B" w:rsidRPr="0056318D" w:rsidRDefault="00E97B4B" w:rsidP="004F261E">
      <w:pPr>
        <w:pStyle w:val="NumList2"/>
        <w:numPr>
          <w:ilvl w:val="1"/>
          <w:numId w:val="61"/>
        </w:numPr>
        <w:ind w:left="1276"/>
      </w:pPr>
      <w:r w:rsidRPr="0056318D">
        <w:t>the organisation has a clear and accessible NMACS policy statement that is contained within the overall management system and is reviewed and updated periodically.</w:t>
      </w:r>
    </w:p>
    <w:p w14:paraId="47CFE9F7" w14:textId="77777777" w:rsidR="00E97B4B" w:rsidRPr="0056318D" w:rsidRDefault="00E97B4B" w:rsidP="00E97B4B">
      <w:pPr>
        <w:pStyle w:val="NumList2"/>
      </w:pPr>
      <w:r w:rsidRPr="0056318D">
        <w:t>leaders and managers check to ensure that the NMACS culture of supply chain partners meet their standards and expectations.</w:t>
      </w:r>
    </w:p>
    <w:p w14:paraId="0E4F93BB" w14:textId="77777777" w:rsidR="00E97B4B" w:rsidRPr="0056318D" w:rsidRDefault="00E97B4B" w:rsidP="00E97B4B">
      <w:pPr>
        <w:pStyle w:val="NumList2"/>
      </w:pPr>
      <w:r w:rsidRPr="0056318D">
        <w:t>the operator has a clear mechanism to ensure contractors display ‘site-wide’ behaviours and culture, and tenant organisations and contractors have access to ‘site-wide’ NMACS training and NMACS culture initiatives.</w:t>
      </w:r>
    </w:p>
    <w:p w14:paraId="1DE32F19" w14:textId="77777777" w:rsidR="00E97B4B" w:rsidRPr="0056318D" w:rsidRDefault="00E97B4B" w:rsidP="00E97B4B">
      <w:pPr>
        <w:pStyle w:val="NumList2"/>
      </w:pPr>
      <w:r w:rsidRPr="0056318D">
        <w:lastRenderedPageBreak/>
        <w:t>during investigation of events, the arrangements ensure NMACS culture is considered as a contributing feature and the potential impact of subsequent improvement programmes on NMACS culture considered.</w:t>
      </w:r>
    </w:p>
    <w:p w14:paraId="2F929478" w14:textId="77777777" w:rsidR="00E97B4B" w:rsidRPr="0056318D" w:rsidRDefault="00E97B4B" w:rsidP="00E97B4B">
      <w:pPr>
        <w:pStyle w:val="NumList2"/>
      </w:pPr>
      <w:r w:rsidRPr="0056318D">
        <w:t>leaders and managers display behaviours which demonstrate their commitment to the NMACS policy statement, and support and accept challenge.</w:t>
      </w:r>
    </w:p>
    <w:p w14:paraId="255696E3" w14:textId="77777777" w:rsidR="00E97B4B" w:rsidRPr="0056318D" w:rsidRDefault="00E97B4B" w:rsidP="00E97B4B">
      <w:pPr>
        <w:pStyle w:val="NumList2"/>
      </w:pPr>
      <w:r w:rsidRPr="0056318D">
        <w:t>members of staff with roles and responsibilities that could impact NMACS recognise the NMACS policy statement and can they explain their role in its implementation.</w:t>
      </w:r>
    </w:p>
    <w:p w14:paraId="2F806331" w14:textId="41619D5B" w:rsidR="00621AAA" w:rsidRDefault="00E97B4B" w:rsidP="004A31C3">
      <w:pPr>
        <w:pStyle w:val="NumList2"/>
      </w:pPr>
      <w:r w:rsidRPr="0056318D">
        <w:t>annual reviews of staff performance include an element looking at NMACS performance and culture.</w:t>
      </w:r>
    </w:p>
    <w:p w14:paraId="73174BDF" w14:textId="77777777" w:rsidR="00E97B4B" w:rsidRPr="00C05532" w:rsidRDefault="00E97B4B" w:rsidP="00E97B4B">
      <w:pPr>
        <w:pStyle w:val="Heading3"/>
        <w:numPr>
          <w:ilvl w:val="0"/>
          <w:numId w:val="0"/>
        </w:numPr>
        <w:ind w:left="851"/>
      </w:pPr>
      <w:r w:rsidRPr="00C05532">
        <w:t>FSE 3 – Competence Management</w:t>
      </w:r>
    </w:p>
    <w:p w14:paraId="5FC6A0C5" w14:textId="7D41623E" w:rsidR="00E97B4B" w:rsidRPr="002162E7" w:rsidRDefault="00E97B4B" w:rsidP="004A31C3">
      <w:pPr>
        <w:pStyle w:val="F9-Paragraph"/>
      </w:pPr>
      <w:r w:rsidRPr="002162E7">
        <w:t xml:space="preserve">ONR </w:t>
      </w:r>
      <w:r w:rsidR="001067D0">
        <w:t>publishes other</w:t>
      </w:r>
      <w:r w:rsidRPr="002162E7">
        <w:t xml:space="preserve"> guidance on the inspection of competence management </w:t>
      </w:r>
      <w:r w:rsidR="002208E1">
        <w:t>for</w:t>
      </w:r>
      <w:r w:rsidRPr="002162E7">
        <w:t xml:space="preserve"> safety and security in NS-TAST-GD-027</w:t>
      </w:r>
      <w:r w:rsidR="006D3972">
        <w:t xml:space="preserve"> </w:t>
      </w:r>
      <w:sdt>
        <w:sdtPr>
          <w:id w:val="-14075219"/>
          <w:citation/>
        </w:sdtPr>
        <w:sdtEndPr/>
        <w:sdtContent>
          <w:r w:rsidR="006D3972">
            <w:fldChar w:fldCharType="begin"/>
          </w:r>
          <w:r w:rsidR="006D3972">
            <w:instrText xml:space="preserve"> CITATION ONR51 \l 2057 </w:instrText>
          </w:r>
          <w:r w:rsidR="006D3972">
            <w:fldChar w:fldCharType="separate"/>
          </w:r>
          <w:r w:rsidR="00DA6493" w:rsidRPr="00DA6493">
            <w:rPr>
              <w:noProof/>
            </w:rPr>
            <w:t>[16]</w:t>
          </w:r>
          <w:r w:rsidR="006D3972">
            <w:fldChar w:fldCharType="end"/>
          </w:r>
        </w:sdtContent>
      </w:sdt>
      <w:r w:rsidR="00BB75AB">
        <w:t>,</w:t>
      </w:r>
      <w:r w:rsidR="008A147B">
        <w:t xml:space="preserve"> </w:t>
      </w:r>
      <w:r w:rsidRPr="002162E7">
        <w:t>CNS-TAST-GD-3.3</w:t>
      </w:r>
      <w:r w:rsidR="006D3972">
        <w:t xml:space="preserve"> </w:t>
      </w:r>
      <w:sdt>
        <w:sdtPr>
          <w:id w:val="1411042112"/>
          <w:citation/>
        </w:sdtPr>
        <w:sdtEndPr/>
        <w:sdtContent>
          <w:r w:rsidR="00E47437">
            <w:fldChar w:fldCharType="begin"/>
          </w:r>
          <w:r w:rsidR="00E47437">
            <w:instrText xml:space="preserve"> CITATION ONR240 \l 2057 </w:instrText>
          </w:r>
          <w:r w:rsidR="00E47437">
            <w:fldChar w:fldCharType="separate"/>
          </w:r>
          <w:r w:rsidR="00DA6493" w:rsidRPr="00DA6493">
            <w:rPr>
              <w:noProof/>
            </w:rPr>
            <w:t>[17]</w:t>
          </w:r>
          <w:r w:rsidR="00E47437">
            <w:fldChar w:fldCharType="end"/>
          </w:r>
        </w:sdtContent>
      </w:sdt>
      <w:r w:rsidR="00183EDC">
        <w:t>, NS-INSP-GD-</w:t>
      </w:r>
      <w:r w:rsidR="008D272E">
        <w:t>036</w:t>
      </w:r>
      <w:r w:rsidR="008C3271">
        <w:t xml:space="preserve"> </w:t>
      </w:r>
      <w:sdt>
        <w:sdtPr>
          <w:id w:val="-1875685250"/>
          <w:citation/>
        </w:sdtPr>
        <w:sdtEndPr/>
        <w:sdtContent>
          <w:r w:rsidR="00440088">
            <w:fldChar w:fldCharType="begin"/>
          </w:r>
          <w:r w:rsidR="00440088">
            <w:instrText xml:space="preserve"> CITATION ONR261 \l 2057 </w:instrText>
          </w:r>
          <w:r w:rsidR="00440088">
            <w:fldChar w:fldCharType="separate"/>
          </w:r>
          <w:r w:rsidR="00DA6493" w:rsidRPr="00DA6493">
            <w:rPr>
              <w:noProof/>
            </w:rPr>
            <w:t>[18]</w:t>
          </w:r>
          <w:r w:rsidR="00440088">
            <w:fldChar w:fldCharType="end"/>
          </w:r>
        </w:sdtContent>
      </w:sdt>
      <w:r w:rsidR="008C3271">
        <w:t>,</w:t>
      </w:r>
      <w:r w:rsidR="00440088">
        <w:t xml:space="preserve"> </w:t>
      </w:r>
      <w:r w:rsidR="008D272E">
        <w:t xml:space="preserve">NS-INSP-GD-010 </w:t>
      </w:r>
      <w:sdt>
        <w:sdtPr>
          <w:id w:val="-1063722948"/>
          <w:citation/>
        </w:sdtPr>
        <w:sdtEndPr/>
        <w:sdtContent>
          <w:r w:rsidR="007A2803">
            <w:fldChar w:fldCharType="begin"/>
          </w:r>
          <w:r w:rsidR="007A2803">
            <w:instrText xml:space="preserve"> CITATION ONR262 \l 2057 </w:instrText>
          </w:r>
          <w:r w:rsidR="007A2803">
            <w:fldChar w:fldCharType="separate"/>
          </w:r>
          <w:r w:rsidR="00DA6493" w:rsidRPr="00DA6493">
            <w:rPr>
              <w:noProof/>
            </w:rPr>
            <w:t>[19]</w:t>
          </w:r>
          <w:r w:rsidR="007A2803">
            <w:fldChar w:fldCharType="end"/>
          </w:r>
        </w:sdtContent>
      </w:sdt>
      <w:r w:rsidR="00440088">
        <w:t>,</w:t>
      </w:r>
      <w:r w:rsidR="008D272E">
        <w:t xml:space="preserve"> and NS-INSP-GD-012 </w:t>
      </w:r>
      <w:sdt>
        <w:sdtPr>
          <w:id w:val="-1900433081"/>
          <w:citation/>
        </w:sdtPr>
        <w:sdtEndPr/>
        <w:sdtContent>
          <w:r w:rsidR="00C60FB7">
            <w:fldChar w:fldCharType="begin"/>
          </w:r>
          <w:r w:rsidR="00C60FB7">
            <w:instrText xml:space="preserve"> CITATION ONR263 \l 2057 </w:instrText>
          </w:r>
          <w:r w:rsidR="00C60FB7">
            <w:fldChar w:fldCharType="separate"/>
          </w:r>
          <w:r w:rsidR="00DA6493" w:rsidRPr="00DA6493">
            <w:rPr>
              <w:noProof/>
            </w:rPr>
            <w:t>[20]</w:t>
          </w:r>
          <w:r w:rsidR="00C60FB7">
            <w:fldChar w:fldCharType="end"/>
          </w:r>
        </w:sdtContent>
      </w:sdt>
      <w:r>
        <w:t>. Much of this guidance is equally applicable to safeguards inspectors.</w:t>
      </w:r>
    </w:p>
    <w:p w14:paraId="6212A205" w14:textId="77777777" w:rsidR="00E97B4B" w:rsidRPr="0056318D" w:rsidRDefault="00E97B4B" w:rsidP="004A31C3">
      <w:pPr>
        <w:pStyle w:val="F9-Paragraph"/>
      </w:pPr>
      <w:r w:rsidRPr="0056318D">
        <w:t>Methods and activities that inspectors may wish to employ in confirming the implementation and maintenance of arrangements to manage the competence of those with assigned NMAC roles and responsibilities include:</w:t>
      </w:r>
    </w:p>
    <w:p w14:paraId="7FDE8EB3" w14:textId="77777777" w:rsidR="00E97B4B" w:rsidRPr="0056318D" w:rsidRDefault="00E97B4B" w:rsidP="004F261E">
      <w:pPr>
        <w:pStyle w:val="NumList2"/>
        <w:numPr>
          <w:ilvl w:val="1"/>
          <w:numId w:val="62"/>
        </w:numPr>
        <w:ind w:left="1276" w:hanging="919"/>
      </w:pPr>
      <w:r w:rsidRPr="0056318D">
        <w:t>confirming evidence of the training records of staff, as well as established arrangements for all staff such as training plans</w:t>
      </w:r>
      <w:r>
        <w:t>, competence management and succession planning</w:t>
      </w:r>
      <w:r w:rsidRPr="0056318D">
        <w:t xml:space="preserve">. </w:t>
      </w:r>
    </w:p>
    <w:p w14:paraId="18157705" w14:textId="77777777" w:rsidR="00E97B4B" w:rsidRPr="0056318D" w:rsidRDefault="00E97B4B" w:rsidP="00E97B4B">
      <w:pPr>
        <w:pStyle w:val="NumList2"/>
      </w:pPr>
      <w:r w:rsidRPr="0056318D">
        <w:t xml:space="preserve">discussions and walkthroughs of process with staff to determine familiarity with key processes including non-conformance resolution, escalation and the reporting of </w:t>
      </w:r>
      <w:r>
        <w:t xml:space="preserve">discrepancies and </w:t>
      </w:r>
      <w:r w:rsidRPr="0056318D">
        <w:t>anomalies.</w:t>
      </w:r>
    </w:p>
    <w:p w14:paraId="617AFAB3" w14:textId="218AC6DF" w:rsidR="00621AAA" w:rsidRDefault="00E97B4B" w:rsidP="004A31C3">
      <w:pPr>
        <w:pStyle w:val="F9-Paragraph"/>
      </w:pPr>
      <w:r w:rsidRPr="0056318D">
        <w:t xml:space="preserve">Specific activities that may contribute to the confirmation of competence management and </w:t>
      </w:r>
      <w:r w:rsidR="00A52A73">
        <w:t>suitably qualified and experienced persons (</w:t>
      </w:r>
      <w:r w:rsidRPr="0056318D">
        <w:t>SQEP</w:t>
      </w:r>
      <w:r w:rsidR="00A52A73">
        <w:t>)</w:t>
      </w:r>
      <w:r w:rsidRPr="0056318D">
        <w:t xml:space="preserve"> staff are included throughout this document under the individual material control FSEs 6-10.</w:t>
      </w:r>
    </w:p>
    <w:p w14:paraId="4A42BA1E" w14:textId="77777777" w:rsidR="004A31C3" w:rsidRDefault="004A31C3" w:rsidP="00E97B4B">
      <w:pPr>
        <w:pStyle w:val="Heading3"/>
        <w:numPr>
          <w:ilvl w:val="0"/>
          <w:numId w:val="0"/>
        </w:numPr>
        <w:ind w:left="851"/>
        <w:sectPr w:rsidR="004A31C3" w:rsidSect="003508FB">
          <w:pgSz w:w="11906" w:h="16838" w:code="9"/>
          <w:pgMar w:top="1440" w:right="1440" w:bottom="1440" w:left="1440" w:header="397" w:footer="397" w:gutter="0"/>
          <w:cols w:space="312"/>
          <w:docGrid w:linePitch="360"/>
        </w:sectPr>
      </w:pPr>
    </w:p>
    <w:p w14:paraId="558F70F4" w14:textId="77777777" w:rsidR="00E97B4B" w:rsidRPr="002162E7" w:rsidRDefault="00E97B4B" w:rsidP="00E97B4B">
      <w:pPr>
        <w:pStyle w:val="Heading3"/>
        <w:numPr>
          <w:ilvl w:val="0"/>
          <w:numId w:val="0"/>
        </w:numPr>
        <w:ind w:left="851"/>
      </w:pPr>
      <w:r w:rsidRPr="00C05532">
        <w:lastRenderedPageBreak/>
        <w:t>FSE 4 – Reporting, Anomalies, and Investigations</w:t>
      </w:r>
    </w:p>
    <w:p w14:paraId="7AED1109" w14:textId="77777777" w:rsidR="00E97B4B" w:rsidRPr="0056318D" w:rsidRDefault="00E97B4B" w:rsidP="004A31C3">
      <w:pPr>
        <w:pStyle w:val="F9-Paragraph"/>
      </w:pPr>
      <w:r w:rsidRPr="0056318D">
        <w:t>Methods and activities that inspectors may wish to employ in confirming the implementation and maintenance of arrangements for the timely and accurate reporting of information required by NSR19 include:</w:t>
      </w:r>
    </w:p>
    <w:p w14:paraId="73B382A6" w14:textId="77777777" w:rsidR="00E97B4B" w:rsidRPr="0056318D" w:rsidRDefault="00E97B4B" w:rsidP="004F261E">
      <w:pPr>
        <w:pStyle w:val="NumList2"/>
        <w:numPr>
          <w:ilvl w:val="1"/>
          <w:numId w:val="63"/>
        </w:numPr>
        <w:ind w:left="1276"/>
      </w:pPr>
      <w:r w:rsidRPr="0056318D">
        <w:t>confirming the existence of a procedure to recognise, investigate and document the treatment of non-conformances (or other unusual occurrences) in a timely manner, as well as the application of this procedure through examining records.</w:t>
      </w:r>
    </w:p>
    <w:p w14:paraId="48A80839" w14:textId="77777777" w:rsidR="00E97B4B" w:rsidRPr="0056318D" w:rsidRDefault="00E97B4B" w:rsidP="00E97B4B">
      <w:pPr>
        <w:pStyle w:val="NumList2"/>
      </w:pPr>
      <w:r w:rsidRPr="0056318D">
        <w:t>confirming the responsibilities defined for the internal communication required when actions under NSR19 Regulations 16 &amp; 17 are required, as well as the implementation of the mechanisms under which such personnel will inform the ONR.</w:t>
      </w:r>
    </w:p>
    <w:p w14:paraId="37315175" w14:textId="572C684A" w:rsidR="00621AAA" w:rsidRDefault="00E97B4B" w:rsidP="004A31C3">
      <w:pPr>
        <w:pStyle w:val="NumList2"/>
      </w:pPr>
      <w:r w:rsidRPr="0056318D">
        <w:t>confirming the responsibilities and authority defined to provide further detail or explanation when requested under NSR19 Regulations 3(5)</w:t>
      </w:r>
      <w:r>
        <w:t>, 12(3)</w:t>
      </w:r>
      <w:r w:rsidRPr="0056318D">
        <w:t xml:space="preserve"> and 16(2)</w:t>
      </w:r>
      <w:r w:rsidR="004A31C3">
        <w:t>.</w:t>
      </w:r>
    </w:p>
    <w:p w14:paraId="50DB48B4" w14:textId="77777777" w:rsidR="00E97B4B" w:rsidRPr="00C05532" w:rsidRDefault="00E97B4B" w:rsidP="00E97B4B">
      <w:pPr>
        <w:pStyle w:val="Heading3"/>
        <w:numPr>
          <w:ilvl w:val="0"/>
          <w:numId w:val="0"/>
        </w:numPr>
        <w:ind w:left="851"/>
      </w:pPr>
      <w:r w:rsidRPr="00C05532">
        <w:t>FSE 5 – Reliability, Resilience and Sustainability</w:t>
      </w:r>
    </w:p>
    <w:p w14:paraId="29AD3E6E" w14:textId="3B258B38" w:rsidR="00AC2C5B" w:rsidRDefault="00AC2C5B" w:rsidP="004A31C3">
      <w:pPr>
        <w:pStyle w:val="F9-Paragraph"/>
      </w:pPr>
      <w:r>
        <w:t xml:space="preserve">ONR publishes other associated guidance which the inspector may wish to consider when preparing for an inspection in this area including, </w:t>
      </w:r>
      <w:sdt>
        <w:sdtPr>
          <w:id w:val="1294248183"/>
          <w:citation/>
        </w:sdtPr>
        <w:sdtEndPr/>
        <w:sdtContent>
          <w:r w:rsidR="0055230A">
            <w:fldChar w:fldCharType="begin"/>
          </w:r>
          <w:r w:rsidR="0055230A">
            <w:instrText xml:space="preserve"> CITATION ONR265 \l 2057 </w:instrText>
          </w:r>
          <w:r w:rsidR="0055230A">
            <w:fldChar w:fldCharType="separate"/>
          </w:r>
          <w:r w:rsidR="00DA6493" w:rsidRPr="00DA6493">
            <w:rPr>
              <w:noProof/>
            </w:rPr>
            <w:t>[21]</w:t>
          </w:r>
          <w:r w:rsidR="0055230A">
            <w:fldChar w:fldCharType="end"/>
          </w:r>
        </w:sdtContent>
      </w:sdt>
      <w:r w:rsidR="0055230A">
        <w:t xml:space="preserve">, </w:t>
      </w:r>
      <w:r w:rsidR="00976A77">
        <w:t xml:space="preserve">and NS-INSP-GD-029 </w:t>
      </w:r>
      <w:sdt>
        <w:sdtPr>
          <w:id w:val="1898086454"/>
          <w:citation/>
        </w:sdtPr>
        <w:sdtEndPr/>
        <w:sdtContent>
          <w:r w:rsidR="009D71A8">
            <w:fldChar w:fldCharType="begin"/>
          </w:r>
          <w:r w:rsidR="009D71A8">
            <w:instrText xml:space="preserve"> CITATION ONR264 \l 2057 </w:instrText>
          </w:r>
          <w:r w:rsidR="009D71A8">
            <w:fldChar w:fldCharType="separate"/>
          </w:r>
          <w:r w:rsidR="00DA6493" w:rsidRPr="00DA6493">
            <w:rPr>
              <w:noProof/>
            </w:rPr>
            <w:t>[22]</w:t>
          </w:r>
          <w:r w:rsidR="009D71A8">
            <w:fldChar w:fldCharType="end"/>
          </w:r>
        </w:sdtContent>
      </w:sdt>
      <w:r w:rsidR="00976A77">
        <w:t>.</w:t>
      </w:r>
    </w:p>
    <w:p w14:paraId="07810ABE" w14:textId="5283E9CD" w:rsidR="00E97B4B" w:rsidRPr="0056318D" w:rsidRDefault="00E97B4B" w:rsidP="004A31C3">
      <w:pPr>
        <w:pStyle w:val="F9-Paragraph"/>
      </w:pPr>
      <w:r w:rsidRPr="0056318D">
        <w:t xml:space="preserve">During an inspection targeting </w:t>
      </w:r>
      <w:r>
        <w:t>r</w:t>
      </w:r>
      <w:r w:rsidRPr="0056318D">
        <w:t xml:space="preserve">eliability, </w:t>
      </w:r>
      <w:r>
        <w:t>r</w:t>
      </w:r>
      <w:r w:rsidRPr="0056318D">
        <w:t xml:space="preserve">esilience and </w:t>
      </w:r>
      <w:r>
        <w:t>s</w:t>
      </w:r>
      <w:r w:rsidRPr="0056318D">
        <w:t xml:space="preserve">ustainability, </w:t>
      </w:r>
      <w:r>
        <w:t>i</w:t>
      </w:r>
      <w:r w:rsidRPr="0056318D">
        <w:t xml:space="preserve">nspectors </w:t>
      </w:r>
      <w:r>
        <w:t>should</w:t>
      </w:r>
      <w:r w:rsidRPr="0056318D">
        <w:t xml:space="preserve"> consider whether:</w:t>
      </w:r>
    </w:p>
    <w:p w14:paraId="7C85DD55" w14:textId="77777777" w:rsidR="00E97B4B" w:rsidRPr="0056318D" w:rsidRDefault="00E97B4B" w:rsidP="004F261E">
      <w:pPr>
        <w:pStyle w:val="NumList2"/>
        <w:numPr>
          <w:ilvl w:val="1"/>
          <w:numId w:val="64"/>
        </w:numPr>
        <w:ind w:left="1276"/>
        <w:rPr>
          <w:lang w:eastAsia="en-GB"/>
        </w:rPr>
      </w:pPr>
      <w:r w:rsidRPr="0056318D">
        <w:rPr>
          <w:lang w:eastAsia="en-GB"/>
        </w:rPr>
        <w:t xml:space="preserve">reliability, resilience, and sustainability has been </w:t>
      </w:r>
      <w:r>
        <w:rPr>
          <w:lang w:eastAsia="en-GB"/>
        </w:rPr>
        <w:t xml:space="preserve">included and </w:t>
      </w:r>
      <w:r w:rsidRPr="0056318D">
        <w:rPr>
          <w:lang w:eastAsia="en-GB"/>
        </w:rPr>
        <w:t xml:space="preserve">implemented </w:t>
      </w:r>
      <w:r>
        <w:rPr>
          <w:lang w:eastAsia="en-GB"/>
        </w:rPr>
        <w:t>from</w:t>
      </w:r>
      <w:r w:rsidRPr="0056318D">
        <w:rPr>
          <w:lang w:eastAsia="en-GB"/>
        </w:rPr>
        <w:t xml:space="preserve"> the design stage </w:t>
      </w:r>
      <w:r>
        <w:rPr>
          <w:lang w:eastAsia="en-GB"/>
        </w:rPr>
        <w:t xml:space="preserve">through other lifecycle stages </w:t>
      </w:r>
      <w:r w:rsidRPr="0056318D">
        <w:rPr>
          <w:lang w:eastAsia="en-GB"/>
        </w:rPr>
        <w:t>for any facility or NMACS system, within the relevant operational requirements documentation.</w:t>
      </w:r>
    </w:p>
    <w:p w14:paraId="3688FC91" w14:textId="77777777" w:rsidR="00E97B4B" w:rsidRPr="0056318D" w:rsidRDefault="00E97B4B" w:rsidP="00E97B4B">
      <w:pPr>
        <w:pStyle w:val="NumList2"/>
        <w:rPr>
          <w:lang w:eastAsia="en-GB"/>
        </w:rPr>
      </w:pPr>
      <w:r w:rsidRPr="0056318D">
        <w:rPr>
          <w:lang w:eastAsia="en-GB"/>
        </w:rPr>
        <w:t>there is evidence that the requirements for NMACS systems are regularly reassessed.</w:t>
      </w:r>
    </w:p>
    <w:p w14:paraId="404E15BA" w14:textId="77777777" w:rsidR="00E97B4B" w:rsidRPr="0056318D" w:rsidRDefault="00E97B4B" w:rsidP="00E97B4B">
      <w:pPr>
        <w:pStyle w:val="NumList2"/>
        <w:rPr>
          <w:lang w:eastAsia="en-GB"/>
        </w:rPr>
      </w:pPr>
      <w:r w:rsidRPr="0056318D">
        <w:rPr>
          <w:lang w:eastAsia="en-GB"/>
        </w:rPr>
        <w:t>the competencies required to sustain a nuclear NMACS workforce are maintained through recruitment, retention, and training.</w:t>
      </w:r>
    </w:p>
    <w:p w14:paraId="0EA44C40" w14:textId="77777777" w:rsidR="00E97B4B" w:rsidRPr="0056318D" w:rsidRDefault="00E97B4B" w:rsidP="00E97B4B">
      <w:pPr>
        <w:pStyle w:val="NumList2"/>
        <w:rPr>
          <w:lang w:eastAsia="en-GB"/>
        </w:rPr>
      </w:pPr>
      <w:r w:rsidRPr="0056318D">
        <w:rPr>
          <w:lang w:eastAsia="en-GB"/>
        </w:rPr>
        <w:t>essential services (such as power) necessary for the correct functioning of the NMACS system have the levels of NMACS, reliability and resilience claimed.</w:t>
      </w:r>
    </w:p>
    <w:p w14:paraId="500DF842" w14:textId="01617081" w:rsidR="00E97B4B" w:rsidRPr="0056318D" w:rsidRDefault="00E97B4B" w:rsidP="00E97B4B">
      <w:pPr>
        <w:pStyle w:val="NumList2"/>
        <w:rPr>
          <w:lang w:eastAsia="en-GB"/>
        </w:rPr>
      </w:pPr>
      <w:r w:rsidRPr="0056318D">
        <w:rPr>
          <w:lang w:eastAsia="en-GB"/>
        </w:rPr>
        <w:t xml:space="preserve">NMACS systems ‘fail secure’ as described and if they do not, NMACS requirements are appropriately balanced against </w:t>
      </w:r>
      <w:r>
        <w:rPr>
          <w:lang w:eastAsia="en-GB"/>
        </w:rPr>
        <w:t>other competing</w:t>
      </w:r>
      <w:r w:rsidRPr="0056318D">
        <w:rPr>
          <w:lang w:eastAsia="en-GB"/>
        </w:rPr>
        <w:t xml:space="preserve"> requirements </w:t>
      </w:r>
      <w:r w:rsidR="004A31C3">
        <w:rPr>
          <w:lang w:eastAsia="en-GB"/>
        </w:rPr>
        <w:t>(for example,</w:t>
      </w:r>
      <w:r>
        <w:rPr>
          <w:lang w:eastAsia="en-GB"/>
        </w:rPr>
        <w:t xml:space="preserve"> safety and security) </w:t>
      </w:r>
      <w:r w:rsidRPr="0056318D">
        <w:rPr>
          <w:lang w:eastAsia="en-GB"/>
        </w:rPr>
        <w:t>with compensatory NMACS measures implemented.</w:t>
      </w:r>
    </w:p>
    <w:p w14:paraId="42F9E0FB" w14:textId="77777777" w:rsidR="00E97B4B" w:rsidRPr="0056318D" w:rsidRDefault="00E97B4B" w:rsidP="00E97B4B">
      <w:pPr>
        <w:pStyle w:val="NumList2"/>
        <w:rPr>
          <w:lang w:eastAsia="en-GB"/>
        </w:rPr>
      </w:pPr>
      <w:r w:rsidRPr="0056318D">
        <w:rPr>
          <w:lang w:eastAsia="en-GB"/>
        </w:rPr>
        <w:lastRenderedPageBreak/>
        <w:t>operators’ experience of NMACS system failure and breakdown is in line with reliability claims, trends and recovery and substitution arrangements.</w:t>
      </w:r>
    </w:p>
    <w:p w14:paraId="0738D155" w14:textId="77777777" w:rsidR="00E97B4B" w:rsidRPr="0056318D" w:rsidRDefault="00E97B4B" w:rsidP="00E97B4B">
      <w:pPr>
        <w:pStyle w:val="NumList2"/>
        <w:rPr>
          <w:lang w:eastAsia="en-GB"/>
        </w:rPr>
      </w:pPr>
      <w:r w:rsidRPr="0056318D">
        <w:rPr>
          <w:lang w:eastAsia="en-GB"/>
        </w:rPr>
        <w:t>a process for capturing project assumptions related to EIMT generated by the on-going design and NMACS analyses, along with an auditable record of where these assumptions are recorded in operational documents is being implemented.</w:t>
      </w:r>
    </w:p>
    <w:p w14:paraId="29C35CAF" w14:textId="77777777" w:rsidR="00E97B4B" w:rsidRPr="004E08E1" w:rsidRDefault="00E97B4B" w:rsidP="00E97B4B">
      <w:pPr>
        <w:pStyle w:val="NumList2"/>
        <w:rPr>
          <w:lang w:eastAsia="en-GB"/>
        </w:rPr>
      </w:pPr>
      <w:r w:rsidRPr="0056318D">
        <w:rPr>
          <w:lang w:eastAsia="en-GB"/>
        </w:rPr>
        <w:t xml:space="preserve">the results of human factors assessments of EIMT tasks during testing and commissioning have been implemented; inspectors </w:t>
      </w:r>
      <w:r>
        <w:rPr>
          <w:lang w:eastAsia="en-GB"/>
        </w:rPr>
        <w:t>could</w:t>
      </w:r>
      <w:r w:rsidRPr="0056318D">
        <w:rPr>
          <w:lang w:eastAsia="en-GB"/>
        </w:rPr>
        <w:t xml:space="preserve"> look for error traps and common cause failure mechanisms created by the procedures or </w:t>
      </w:r>
      <w:r w:rsidRPr="004E08E1">
        <w:rPr>
          <w:lang w:eastAsia="en-GB"/>
        </w:rPr>
        <w:t>by operator actions.</w:t>
      </w:r>
    </w:p>
    <w:p w14:paraId="250176F8" w14:textId="0EB44301" w:rsidR="00621AAA" w:rsidRPr="004A31C3" w:rsidRDefault="00E97B4B" w:rsidP="004A31C3">
      <w:pPr>
        <w:pStyle w:val="NumList2"/>
        <w:rPr>
          <w:szCs w:val="26"/>
        </w:rPr>
      </w:pPr>
      <w:r w:rsidRPr="004E08E1">
        <w:rPr>
          <w:lang w:eastAsia="en-GB"/>
        </w:rPr>
        <w:t xml:space="preserve">EIMT is carried out within the specified intervals, and by SQEPs using the claimed tools and procedures and calibrated </w:t>
      </w:r>
      <w:r w:rsidRPr="004E08E1">
        <w:t>as specified in the relevant EIMT and/or calibration procedure.</w:t>
      </w:r>
    </w:p>
    <w:p w14:paraId="603F548D" w14:textId="6E0EBCA9" w:rsidR="00E97B4B" w:rsidRPr="00C05532" w:rsidRDefault="00E97B4B" w:rsidP="00E97B4B">
      <w:pPr>
        <w:pStyle w:val="Heading3"/>
        <w:numPr>
          <w:ilvl w:val="0"/>
          <w:numId w:val="0"/>
        </w:numPr>
        <w:ind w:left="851"/>
      </w:pPr>
      <w:r w:rsidRPr="00C05532">
        <w:t>FSE 6</w:t>
      </w:r>
      <w:r>
        <w:t xml:space="preserve"> – </w:t>
      </w:r>
      <w:r w:rsidRPr="00C05532">
        <w:t>Measurement</w:t>
      </w:r>
      <w:r>
        <w:t xml:space="preserve"> </w:t>
      </w:r>
      <w:r w:rsidRPr="00C05532">
        <w:t>Programme and Control</w:t>
      </w:r>
    </w:p>
    <w:p w14:paraId="789B90AB" w14:textId="77777777" w:rsidR="00E97B4B" w:rsidRPr="0056318D" w:rsidRDefault="00E97B4B" w:rsidP="004A31C3">
      <w:pPr>
        <w:pStyle w:val="F9-Paragraph"/>
      </w:pPr>
      <w:r w:rsidRPr="0056318D">
        <w:t xml:space="preserve">Methods and activities that inspectors </w:t>
      </w:r>
      <w:r>
        <w:t>could</w:t>
      </w:r>
      <w:r w:rsidRPr="0056318D">
        <w:t xml:space="preserve"> employ </w:t>
      </w:r>
      <w:r>
        <w:t>to</w:t>
      </w:r>
      <w:r w:rsidRPr="0056318D">
        <w:t xml:space="preserve"> confirm the implementation and maintenance of a programme of measurement and control activities are </w:t>
      </w:r>
      <w:r>
        <w:t>suggested</w:t>
      </w:r>
      <w:r w:rsidRPr="0056318D">
        <w:t xml:space="preserve"> in this section.</w:t>
      </w:r>
    </w:p>
    <w:p w14:paraId="0309DC19" w14:textId="3BE55986" w:rsidR="00E97B4B" w:rsidRPr="0056318D" w:rsidRDefault="00E97B4B" w:rsidP="004A31C3">
      <w:pPr>
        <w:pStyle w:val="F9-Paragraph"/>
      </w:pPr>
      <w:r w:rsidRPr="0056318D">
        <w:t>When an accreditation against standard ISO/IEC 17025:</w:t>
      </w:r>
      <w:r>
        <w:t xml:space="preserve">2017 </w:t>
      </w:r>
      <w:sdt>
        <w:sdtPr>
          <w:id w:val="-1520152348"/>
          <w:citation/>
        </w:sdtPr>
        <w:sdtEndPr/>
        <w:sdtContent>
          <w:r>
            <w:fldChar w:fldCharType="begin"/>
          </w:r>
          <w:r>
            <w:instrText xml:space="preserve"> CITATION ISO17 \l 2057 </w:instrText>
          </w:r>
          <w:r>
            <w:fldChar w:fldCharType="separate"/>
          </w:r>
          <w:r w:rsidR="00DA6493" w:rsidRPr="00DA6493">
            <w:rPr>
              <w:noProof/>
            </w:rPr>
            <w:t>[23]</w:t>
          </w:r>
          <w:r>
            <w:fldChar w:fldCharType="end"/>
          </w:r>
        </w:sdtContent>
      </w:sdt>
      <w:r>
        <w:t xml:space="preserve"> </w:t>
      </w:r>
      <w:r w:rsidRPr="0056318D">
        <w:t xml:space="preserve">covers the complete measurement system, inspectors may wish to confirm that the measurement methods under the accreditation are the ones used for </w:t>
      </w:r>
      <w:r>
        <w:t xml:space="preserve">nuclear material </w:t>
      </w:r>
      <w:r w:rsidRPr="0056318D">
        <w:t xml:space="preserve">accountancy declarations. Where the measurement system is not accredited, inspectors may wish to confirm the existence of arrangements for making and managing measurements under </w:t>
      </w:r>
      <w:r w:rsidRPr="00F71BF5">
        <w:t>ISO/IEC 10012:2003</w:t>
      </w:r>
      <w:r w:rsidR="005F2169">
        <w:t xml:space="preserve"> </w:t>
      </w:r>
      <w:sdt>
        <w:sdtPr>
          <w:id w:val="850451756"/>
          <w:citation/>
        </w:sdtPr>
        <w:sdtEndPr/>
        <w:sdtContent>
          <w:r w:rsidR="005F2169">
            <w:fldChar w:fldCharType="begin"/>
          </w:r>
          <w:r w:rsidR="005F2169">
            <w:instrText xml:space="preserve"> CITATION ISO03 \l 2057 </w:instrText>
          </w:r>
          <w:r w:rsidR="005F2169">
            <w:fldChar w:fldCharType="separate"/>
          </w:r>
          <w:r w:rsidR="00DA6493" w:rsidRPr="00DA6493">
            <w:rPr>
              <w:noProof/>
            </w:rPr>
            <w:t>[24]</w:t>
          </w:r>
          <w:r w:rsidR="005F2169">
            <w:fldChar w:fldCharType="end"/>
          </w:r>
        </w:sdtContent>
      </w:sdt>
      <w:r>
        <w:t xml:space="preserve"> </w:t>
      </w:r>
      <w:r w:rsidRPr="0056318D">
        <w:t xml:space="preserve">which ensure they are </w:t>
      </w:r>
      <w:r>
        <w:t>being managed effectively</w:t>
      </w:r>
      <w:r w:rsidRPr="0056318D">
        <w:t xml:space="preserve">. </w:t>
      </w:r>
    </w:p>
    <w:p w14:paraId="2C4D54D2" w14:textId="77777777" w:rsidR="00E97B4B" w:rsidRPr="0056318D" w:rsidRDefault="00E97B4B" w:rsidP="004A31C3">
      <w:pPr>
        <w:pStyle w:val="F9-Paragraph"/>
      </w:pPr>
      <w:r w:rsidRPr="0056318D">
        <w:t xml:space="preserve">Inspectors </w:t>
      </w:r>
      <w:r>
        <w:t>should</w:t>
      </w:r>
      <w:r w:rsidRPr="0056318D">
        <w:t xml:space="preserve"> c</w:t>
      </w:r>
      <w:r>
        <w:t>onsider</w:t>
      </w:r>
      <w:r w:rsidRPr="0056318D">
        <w:t xml:space="preserve"> </w:t>
      </w:r>
      <w:r>
        <w:t>whether</w:t>
      </w:r>
      <w:r w:rsidRPr="0056318D">
        <w:t xml:space="preserve"> there is a designated person to approve measurement results, check that they are competent, and check that they are approving results and associated uncertainties.</w:t>
      </w:r>
    </w:p>
    <w:p w14:paraId="2DBBB670" w14:textId="19B79DBC" w:rsidR="00E97B4B" w:rsidRPr="0056318D" w:rsidRDefault="00E97B4B" w:rsidP="004A31C3">
      <w:pPr>
        <w:pStyle w:val="F9-Paragraph"/>
      </w:pPr>
      <w:r w:rsidRPr="0056318D">
        <w:t xml:space="preserve">Inspectors </w:t>
      </w:r>
      <w:r>
        <w:t>should consider</w:t>
      </w:r>
      <w:r w:rsidRPr="0056318D">
        <w:t xml:space="preserve"> the existence of measurement procedures and evidence of the ongoing </w:t>
      </w:r>
      <w:r w:rsidR="00096E9B">
        <w:t xml:space="preserve">calibration and </w:t>
      </w:r>
      <w:r w:rsidRPr="0056318D">
        <w:t>verification of equipment.</w:t>
      </w:r>
    </w:p>
    <w:p w14:paraId="1552AF5F" w14:textId="34CB345E" w:rsidR="00E97B4B" w:rsidRPr="0056318D" w:rsidRDefault="00E97B4B" w:rsidP="004A31C3">
      <w:pPr>
        <w:pStyle w:val="F9-Paragraph"/>
      </w:pPr>
      <w:r w:rsidRPr="0056318D">
        <w:t xml:space="preserve">Sampling should be representative of the </w:t>
      </w:r>
      <w:r w:rsidR="00D43481">
        <w:t xml:space="preserve">QNM </w:t>
      </w:r>
      <w:r>
        <w:t>and</w:t>
      </w:r>
      <w:r w:rsidRPr="0056318D">
        <w:t xml:space="preserve"> inspectors should check for the existence of a sampling plan</w:t>
      </w:r>
      <w:r>
        <w:t xml:space="preserve">, relevant </w:t>
      </w:r>
      <w:r w:rsidRPr="0056318D">
        <w:t xml:space="preserve">procedures, and </w:t>
      </w:r>
      <w:r>
        <w:t>their implementation</w:t>
      </w:r>
      <w:r w:rsidRPr="0056318D">
        <w:t xml:space="preserve">. Sampling plans and sampling procedures should be based on statistical considerations, and </w:t>
      </w:r>
      <w:r>
        <w:t>the approach</w:t>
      </w:r>
      <w:r w:rsidRPr="0056318D">
        <w:t xml:space="preserve"> should be recorded.</w:t>
      </w:r>
    </w:p>
    <w:p w14:paraId="201E8A55" w14:textId="740AC56A" w:rsidR="00E97B4B" w:rsidRPr="0056318D" w:rsidRDefault="00E97B4B" w:rsidP="004A31C3">
      <w:pPr>
        <w:pStyle w:val="F9-Paragraph"/>
      </w:pPr>
      <w:r w:rsidRPr="0056318D">
        <w:t xml:space="preserve">Inspectors </w:t>
      </w:r>
      <w:r>
        <w:t>should consider</w:t>
      </w:r>
      <w:r w:rsidRPr="0056318D">
        <w:t xml:space="preserve"> that the implementation of a records management system </w:t>
      </w:r>
      <w:r w:rsidR="004A31C3">
        <w:t>(for example,</w:t>
      </w:r>
      <w:r w:rsidRPr="0056318D">
        <w:t xml:space="preserve"> traceability from the source data through to data</w:t>
      </w:r>
      <w:r>
        <w:t xml:space="preserve"> included in nuclear material accounting reports</w:t>
      </w:r>
      <w:r w:rsidRPr="0056318D">
        <w:t>) enables the maintenance of a comprehensive record of measurement data.</w:t>
      </w:r>
    </w:p>
    <w:p w14:paraId="4EADA8E8" w14:textId="360E0D8C" w:rsidR="00E97B4B" w:rsidRPr="0056318D" w:rsidRDefault="00E97B4B" w:rsidP="004A31C3">
      <w:pPr>
        <w:pStyle w:val="F9-Paragraph"/>
      </w:pPr>
      <w:r w:rsidRPr="0056318D">
        <w:lastRenderedPageBreak/>
        <w:t xml:space="preserve">Where data provided for the purposes of NMACS is based on calculations that are not direct measurements, inspectors </w:t>
      </w:r>
      <w:r w:rsidR="00A34202">
        <w:t>should</w:t>
      </w:r>
      <w:r w:rsidR="00A34202" w:rsidRPr="0056318D">
        <w:t xml:space="preserve"> </w:t>
      </w:r>
      <w:r w:rsidRPr="0056318D">
        <w:t xml:space="preserve">confirm the calculation method applied is documented, technically justified, and validated with real data where possible. </w:t>
      </w:r>
    </w:p>
    <w:p w14:paraId="7735B7CD" w14:textId="75D6BD15" w:rsidR="00E97B4B" w:rsidRPr="0056318D" w:rsidRDefault="00E97B4B" w:rsidP="004A31C3">
      <w:pPr>
        <w:pStyle w:val="F9-Paragraph"/>
      </w:pPr>
      <w:r>
        <w:t>I</w:t>
      </w:r>
      <w:r w:rsidRPr="0056318D">
        <w:t>nspector</w:t>
      </w:r>
      <w:r>
        <w:t>s</w:t>
      </w:r>
      <w:r w:rsidRPr="0056318D">
        <w:t xml:space="preserve"> </w:t>
      </w:r>
      <w:r>
        <w:t>should consider</w:t>
      </w:r>
      <w:r w:rsidRPr="0056318D">
        <w:t xml:space="preserve"> if measurement methods used are covered by </w:t>
      </w:r>
      <w:r>
        <w:t>relevant</w:t>
      </w:r>
      <w:r w:rsidRPr="0056318D">
        <w:t xml:space="preserve"> international standards, </w:t>
      </w:r>
      <w:r>
        <w:t xml:space="preserve">e.g., </w:t>
      </w:r>
      <w:r w:rsidRPr="0056318D">
        <w:t>ITVs</w:t>
      </w:r>
      <w:r w:rsidR="005F2169">
        <w:t xml:space="preserve"> </w:t>
      </w:r>
      <w:sdt>
        <w:sdtPr>
          <w:id w:val="347296633"/>
          <w:citation/>
        </w:sdtPr>
        <w:sdtEndPr/>
        <w:sdtContent>
          <w:r w:rsidR="005F2169">
            <w:fldChar w:fldCharType="begin"/>
          </w:r>
          <w:r w:rsidR="005F2169">
            <w:instrText xml:space="preserve"> CITATION Eur10 \l 2057 </w:instrText>
          </w:r>
          <w:r w:rsidR="005F2169">
            <w:fldChar w:fldCharType="separate"/>
          </w:r>
          <w:r w:rsidR="00DA6493" w:rsidRPr="00DA6493">
            <w:rPr>
              <w:noProof/>
            </w:rPr>
            <w:t>[12]</w:t>
          </w:r>
          <w:r w:rsidR="005F2169">
            <w:fldChar w:fldCharType="end"/>
          </w:r>
        </w:sdtContent>
      </w:sdt>
      <w:r w:rsidRPr="0056318D">
        <w:t xml:space="preserve">. Where the measurement method is covered then no validation of the approach is necessary from the operator. Where the measurement method is not covered and it is used for nuclear material accountancy and control purposes, then the inspector may seek to understand how that measurement method was validated for use. </w:t>
      </w:r>
    </w:p>
    <w:p w14:paraId="62D92669" w14:textId="77777777" w:rsidR="00E97B4B" w:rsidRPr="0056318D" w:rsidRDefault="00E97B4B" w:rsidP="004A31C3">
      <w:pPr>
        <w:pStyle w:val="F9-Paragraph"/>
      </w:pPr>
      <w:r w:rsidRPr="0056318D">
        <w:t>Regarding traceability of measurement results, inspectors should check calibration procedures, records, calculations, logbook entries, non-conformities, and the associated processes/arr</w:t>
      </w:r>
      <w:r>
        <w:t>angements for their follow-up.</w:t>
      </w:r>
    </w:p>
    <w:p w14:paraId="3FA37C8F" w14:textId="77777777" w:rsidR="00E97B4B" w:rsidRPr="0056318D" w:rsidRDefault="00E97B4B" w:rsidP="004A31C3">
      <w:pPr>
        <w:pStyle w:val="F9-Paragraph"/>
      </w:pPr>
      <w:r w:rsidRPr="0056318D">
        <w:t xml:space="preserve">Inspectors </w:t>
      </w:r>
      <w:r>
        <w:t>should consider</w:t>
      </w:r>
      <w:r w:rsidRPr="0056318D">
        <w:t xml:space="preserve"> whether the calibration range of an instrument is coherent with the typical measurement range of the instrument. The calibration range should cover all measurements and usual measurement quantities should be at or near the middle of the calibration range.</w:t>
      </w:r>
    </w:p>
    <w:p w14:paraId="7DEE61CC" w14:textId="29BB9455" w:rsidR="00E97B4B" w:rsidRDefault="00E97B4B" w:rsidP="004A31C3">
      <w:pPr>
        <w:pStyle w:val="F9-Paragraph"/>
      </w:pPr>
      <w:r w:rsidRPr="0056318D">
        <w:t xml:space="preserve">The inspector </w:t>
      </w:r>
      <w:r>
        <w:t>should consider</w:t>
      </w:r>
      <w:r w:rsidRPr="0056318D">
        <w:t xml:space="preserve"> if reference materials </w:t>
      </w:r>
      <w:r w:rsidR="004A31C3">
        <w:t>(for example,</w:t>
      </w:r>
      <w:r w:rsidRPr="0056318D">
        <w:t xml:space="preserve"> calibration weights, spikes used for analytical calibration etc.) are appropriately stored</w:t>
      </w:r>
      <w:r>
        <w:t xml:space="preserve">, </w:t>
      </w:r>
      <w:r w:rsidRPr="0056318D">
        <w:t xml:space="preserve">have valid certification </w:t>
      </w:r>
      <w:r w:rsidR="004A31C3">
        <w:t>(for example,</w:t>
      </w:r>
      <w:r w:rsidRPr="0056318D">
        <w:t xml:space="preserve"> calibrated value, uncertainty, confidence interval etc.)</w:t>
      </w:r>
      <w:r>
        <w:t xml:space="preserve"> and are maintained</w:t>
      </w:r>
      <w:r w:rsidRPr="0056318D">
        <w:t xml:space="preserve">. </w:t>
      </w:r>
    </w:p>
    <w:p w14:paraId="6BF5D528" w14:textId="08404096" w:rsidR="00621AAA" w:rsidRPr="00C61FA1" w:rsidRDefault="00E97B4B" w:rsidP="004A31C3">
      <w:pPr>
        <w:pStyle w:val="F9-Paragraph"/>
      </w:pPr>
      <w:r w:rsidRPr="0056318D">
        <w:t xml:space="preserve">Accuracy should be determined by the calculation and generation of measurement uncertainty figures for every measurement result. Inspectors should check if this has been performed in accordance with the GUM Guide </w:t>
      </w:r>
      <w:sdt>
        <w:sdtPr>
          <w:id w:val="1848677250"/>
          <w:citation/>
        </w:sdtPr>
        <w:sdtEndPr/>
        <w:sdtContent>
          <w:r w:rsidR="005F2169">
            <w:fldChar w:fldCharType="begin"/>
          </w:r>
          <w:r w:rsidR="005F2169">
            <w:instrText xml:space="preserve"> CITATION JCG081 \l 2057 </w:instrText>
          </w:r>
          <w:r w:rsidR="005F2169">
            <w:fldChar w:fldCharType="separate"/>
          </w:r>
          <w:r w:rsidR="00DA6493" w:rsidRPr="00DA6493">
            <w:rPr>
              <w:noProof/>
            </w:rPr>
            <w:t>[25]</w:t>
          </w:r>
          <w:r w:rsidR="005F2169">
            <w:fldChar w:fldCharType="end"/>
          </w:r>
        </w:sdtContent>
      </w:sdt>
      <w:r>
        <w:t xml:space="preserve"> </w:t>
      </w:r>
      <w:r w:rsidRPr="00C61FA1">
        <w:t>(Limits should be pre-stated, and it should be assessed not only during validation, but on a regular basis for every measurement.</w:t>
      </w:r>
    </w:p>
    <w:p w14:paraId="6D8A2455" w14:textId="77777777" w:rsidR="00E97B4B" w:rsidRPr="00C05532" w:rsidRDefault="00E97B4B" w:rsidP="005F2169">
      <w:pPr>
        <w:pStyle w:val="Heading3"/>
        <w:numPr>
          <w:ilvl w:val="0"/>
          <w:numId w:val="0"/>
        </w:numPr>
        <w:ind w:left="851"/>
      </w:pPr>
      <w:r w:rsidRPr="00C05532">
        <w:t>FSE 7 – Nuclear Material Tracking</w:t>
      </w:r>
    </w:p>
    <w:p w14:paraId="67A0B881" w14:textId="542A895A" w:rsidR="00E97B4B" w:rsidRDefault="00E97B4B" w:rsidP="004A31C3">
      <w:pPr>
        <w:pStyle w:val="F9-Paragraph"/>
      </w:pPr>
      <w:r w:rsidRPr="0056318D">
        <w:t xml:space="preserve">Inspectors </w:t>
      </w:r>
      <w:r>
        <w:t>should consider</w:t>
      </w:r>
      <w:r w:rsidRPr="0056318D">
        <w:t xml:space="preserve"> sampl</w:t>
      </w:r>
      <w:r>
        <w:t>ing</w:t>
      </w:r>
      <w:r w:rsidRPr="0056318D">
        <w:t xml:space="preserve"> </w:t>
      </w:r>
      <w:r>
        <w:t xml:space="preserve">an appropriate number of </w:t>
      </w:r>
      <w:r w:rsidRPr="0056318D">
        <w:t xml:space="preserve">different items or batches of </w:t>
      </w:r>
      <w:r>
        <w:t>QNM</w:t>
      </w:r>
      <w:r w:rsidRPr="0056318D">
        <w:t xml:space="preserve"> to check if the NMAC system is able to provide complete information about the </w:t>
      </w:r>
      <w:r w:rsidR="00546B87">
        <w:t>QNM</w:t>
      </w:r>
      <w:r w:rsidR="00546B87" w:rsidRPr="0056318D">
        <w:t xml:space="preserve"> </w:t>
      </w:r>
      <w:r w:rsidRPr="0056318D">
        <w:t>concerned.</w:t>
      </w:r>
      <w:r>
        <w:t xml:space="preserve"> </w:t>
      </w:r>
      <w:r w:rsidRPr="0056318D">
        <w:t xml:space="preserve">Inspectors should also check records of changes of location, identification, </w:t>
      </w:r>
      <w:r>
        <w:t>form,</w:t>
      </w:r>
      <w:r w:rsidRPr="0056318D">
        <w:t xml:space="preserve"> or quantities </w:t>
      </w:r>
      <w:r>
        <w:t>of</w:t>
      </w:r>
      <w:r w:rsidRPr="0056318D">
        <w:t xml:space="preserve"> </w:t>
      </w:r>
      <w:r>
        <w:t>QNM</w:t>
      </w:r>
      <w:r w:rsidRPr="0056318D">
        <w:t>.</w:t>
      </w:r>
    </w:p>
    <w:p w14:paraId="1BD30ECC" w14:textId="77777777" w:rsidR="00E97B4B" w:rsidRDefault="00E97B4B" w:rsidP="004A31C3">
      <w:pPr>
        <w:pStyle w:val="F9-Paragraph"/>
      </w:pPr>
      <w:r w:rsidRPr="0056318D">
        <w:t xml:space="preserve">Inspectors should confirm that there is a documented process </w:t>
      </w:r>
      <w:r>
        <w:t>to ensure</w:t>
      </w:r>
      <w:r w:rsidRPr="0056318D">
        <w:t xml:space="preserve"> transfers of </w:t>
      </w:r>
      <w:r>
        <w:t>QNM</w:t>
      </w:r>
      <w:r w:rsidRPr="0056318D">
        <w:t xml:space="preserve"> into the </w:t>
      </w:r>
      <w:r>
        <w:t>facility</w:t>
      </w:r>
      <w:r w:rsidRPr="0056318D">
        <w:t xml:space="preserve"> are correctly recorded, and </w:t>
      </w:r>
      <w:r>
        <w:t>the inspector should</w:t>
      </w:r>
      <w:r w:rsidRPr="0056318D">
        <w:t xml:space="preserve"> sample those records.</w:t>
      </w:r>
    </w:p>
    <w:p w14:paraId="0AEB6B19" w14:textId="77777777" w:rsidR="00E97B4B" w:rsidRDefault="00E97B4B" w:rsidP="004A31C3">
      <w:pPr>
        <w:pStyle w:val="F9-Paragraph"/>
      </w:pPr>
      <w:r w:rsidRPr="0056318D">
        <w:t xml:space="preserve">Inspectors should confirm whether, if the required accountancy data relies on results from sampling and analysis, the data has been entered </w:t>
      </w:r>
      <w:r>
        <w:t xml:space="preserve">into the accountancy system correctly </w:t>
      </w:r>
      <w:r w:rsidRPr="0056318D">
        <w:t xml:space="preserve">and </w:t>
      </w:r>
      <w:r>
        <w:t xml:space="preserve">has been </w:t>
      </w:r>
      <w:r w:rsidRPr="0056318D">
        <w:t>identified as provisional and/or estimated pending the return of those analysis results.</w:t>
      </w:r>
    </w:p>
    <w:p w14:paraId="04786066" w14:textId="77777777" w:rsidR="00E97B4B" w:rsidRDefault="00E97B4B" w:rsidP="004A31C3">
      <w:pPr>
        <w:pStyle w:val="F9-Paragraph"/>
      </w:pPr>
      <w:r w:rsidRPr="0056318D">
        <w:lastRenderedPageBreak/>
        <w:t xml:space="preserve">Inspectors </w:t>
      </w:r>
      <w:r>
        <w:t>should ensure</w:t>
      </w:r>
      <w:r w:rsidRPr="0056318D">
        <w:t xml:space="preserve"> that records of items sealed by the operator are retained by the operator.</w:t>
      </w:r>
    </w:p>
    <w:p w14:paraId="1916D304" w14:textId="77777777" w:rsidR="00E97B4B" w:rsidRDefault="00E97B4B" w:rsidP="004A31C3">
      <w:pPr>
        <w:pStyle w:val="F9-Paragraph"/>
      </w:pPr>
      <w:r w:rsidRPr="0056318D">
        <w:t xml:space="preserve">Inspectors </w:t>
      </w:r>
      <w:r>
        <w:t>should ensure</w:t>
      </w:r>
      <w:r w:rsidRPr="0056318D">
        <w:t xml:space="preserve"> that the inventory control by the operator includes physical checks of the inventory. They should also confirm whether the method of performing these checks has been documented, and that they </w:t>
      </w:r>
      <w:r>
        <w:t>are being</w:t>
      </w:r>
      <w:r w:rsidRPr="0056318D">
        <w:t xml:space="preserve"> implemented.</w:t>
      </w:r>
    </w:p>
    <w:p w14:paraId="1BAA0F81" w14:textId="77777777" w:rsidR="00E97B4B" w:rsidRDefault="00E97B4B" w:rsidP="004A31C3">
      <w:pPr>
        <w:pStyle w:val="F9-Paragraph"/>
      </w:pPr>
      <w:r w:rsidRPr="0056318D">
        <w:t xml:space="preserve">Inspectors </w:t>
      </w:r>
      <w:r>
        <w:t>should ensure</w:t>
      </w:r>
      <w:r w:rsidRPr="0056318D">
        <w:t xml:space="preserve"> that any NMA data authentication includes a full audit trail to original source </w:t>
      </w:r>
      <w:r>
        <w:t xml:space="preserve">measurements and </w:t>
      </w:r>
      <w:r w:rsidRPr="0056318D">
        <w:t>document</w:t>
      </w:r>
      <w:r>
        <w:t>ation</w:t>
      </w:r>
      <w:r w:rsidRPr="0056318D">
        <w:t xml:space="preserve">, and that any amendments to source data for </w:t>
      </w:r>
      <w:r>
        <w:t>QNM</w:t>
      </w:r>
      <w:r w:rsidRPr="0056318D">
        <w:t xml:space="preserve"> movements have only been amended with endorsement by </w:t>
      </w:r>
      <w:r>
        <w:t>a SQEP</w:t>
      </w:r>
      <w:r w:rsidRPr="0056318D">
        <w:t>.</w:t>
      </w:r>
    </w:p>
    <w:p w14:paraId="6621938A" w14:textId="77777777" w:rsidR="00E97B4B" w:rsidRDefault="00E97B4B" w:rsidP="004A31C3">
      <w:pPr>
        <w:pStyle w:val="F9-Paragraph"/>
      </w:pPr>
      <w:r w:rsidRPr="0056318D">
        <w:t xml:space="preserve">Inspectors </w:t>
      </w:r>
      <w:r>
        <w:t>should</w:t>
      </w:r>
      <w:r w:rsidRPr="0056318D">
        <w:t xml:space="preserve"> confirm that the documented procedures for identification of </w:t>
      </w:r>
      <w:r>
        <w:t>QNM</w:t>
      </w:r>
      <w:r w:rsidRPr="0056318D">
        <w:t xml:space="preserve"> are being implemented as declared, and that any item identification changes have been recorded. If there </w:t>
      </w:r>
      <w:r>
        <w:t xml:space="preserve">are </w:t>
      </w:r>
      <w:r w:rsidRPr="0056318D">
        <w:t xml:space="preserve">multiple layers of containment, inspectors should confirm that the required information is available to correctly identify the </w:t>
      </w:r>
      <w:r>
        <w:t>QNM</w:t>
      </w:r>
      <w:r w:rsidRPr="0056318D">
        <w:t xml:space="preserve"> content.</w:t>
      </w:r>
    </w:p>
    <w:p w14:paraId="31260082" w14:textId="391D51C1" w:rsidR="00E97B4B" w:rsidRDefault="00E97B4B" w:rsidP="004A31C3">
      <w:pPr>
        <w:pStyle w:val="F9-Paragraph"/>
      </w:pPr>
      <w:r w:rsidRPr="0056318D">
        <w:t xml:space="preserve">Inspectors </w:t>
      </w:r>
      <w:r>
        <w:t>can</w:t>
      </w:r>
      <w:r w:rsidRPr="0056318D">
        <w:t xml:space="preserve"> refer to the </w:t>
      </w:r>
      <w:r>
        <w:t>relevant</w:t>
      </w:r>
      <w:r w:rsidRPr="0056318D">
        <w:t xml:space="preserve"> </w:t>
      </w:r>
      <w:r>
        <w:t>DIQ</w:t>
      </w:r>
      <w:r w:rsidRPr="0056318D">
        <w:t xml:space="preserve"> to confirm whether the different locations in which </w:t>
      </w:r>
      <w:r>
        <w:t>QNM</w:t>
      </w:r>
      <w:r w:rsidRPr="0056318D">
        <w:t xml:space="preserve"> can be held have been identified and are being used as the basis for recording this information. Further ONR guidance on </w:t>
      </w:r>
      <w:r>
        <w:t>DIQ</w:t>
      </w:r>
      <w:r w:rsidRPr="0056318D">
        <w:t xml:space="preserve"> inspection is available </w:t>
      </w:r>
      <w:r>
        <w:t xml:space="preserve">in </w:t>
      </w:r>
      <w:hyperlink w:anchor="_Appendix_5_–" w:history="1">
        <w:r w:rsidRPr="008A147B">
          <w:rPr>
            <w:rStyle w:val="Hyperlink"/>
          </w:rPr>
          <w:t>Appendix 5</w:t>
        </w:r>
      </w:hyperlink>
      <w:r>
        <w:t>.</w:t>
      </w:r>
    </w:p>
    <w:p w14:paraId="19EE39DF" w14:textId="77777777" w:rsidR="00E97B4B" w:rsidRDefault="00E97B4B" w:rsidP="004A31C3">
      <w:pPr>
        <w:pStyle w:val="F9-Paragraph"/>
      </w:pPr>
      <w:r w:rsidRPr="0056318D">
        <w:t xml:space="preserve">Where appropriate, inspectors should confirm whether there is a way to identify specific positions within areas, and whether this identification is being implemented to locate </w:t>
      </w:r>
      <w:r>
        <w:t>QNM</w:t>
      </w:r>
      <w:r w:rsidRPr="0056318D">
        <w:t>.</w:t>
      </w:r>
    </w:p>
    <w:p w14:paraId="632ECDCB" w14:textId="77777777" w:rsidR="00E97B4B" w:rsidRDefault="00E97B4B" w:rsidP="004A31C3">
      <w:pPr>
        <w:pStyle w:val="F9-Paragraph"/>
      </w:pPr>
      <w:r w:rsidRPr="0056318D">
        <w:t xml:space="preserve">Inspectors </w:t>
      </w:r>
      <w:r>
        <w:t>should</w:t>
      </w:r>
      <w:r w:rsidRPr="0056318D">
        <w:t xml:space="preserve"> </w:t>
      </w:r>
      <w:r>
        <w:t xml:space="preserve">consider </w:t>
      </w:r>
      <w:r w:rsidRPr="0056318D">
        <w:t>sampl</w:t>
      </w:r>
      <w:r>
        <w:t>ing</w:t>
      </w:r>
      <w:r w:rsidRPr="0056318D">
        <w:t xml:space="preserve"> specific positions and confirm whether the NMACS system is able to provide complete information on the identification, quantity, and characteristics of the </w:t>
      </w:r>
      <w:r>
        <w:t>QNM</w:t>
      </w:r>
      <w:r w:rsidRPr="0056318D">
        <w:t xml:space="preserve"> present. Inspectors may also wish to confirm </w:t>
      </w:r>
      <w:r>
        <w:t xml:space="preserve">that </w:t>
      </w:r>
      <w:r w:rsidRPr="0056318D">
        <w:t>records of any movements have been retained by the operator.</w:t>
      </w:r>
    </w:p>
    <w:p w14:paraId="1599BDEA" w14:textId="77777777" w:rsidR="00E97B4B" w:rsidRDefault="00E97B4B" w:rsidP="004A31C3">
      <w:pPr>
        <w:pStyle w:val="F9-Paragraph"/>
      </w:pPr>
      <w:r w:rsidRPr="0056318D">
        <w:t xml:space="preserve">Inspectors </w:t>
      </w:r>
      <w:r>
        <w:t>should ensure</w:t>
      </w:r>
      <w:r w:rsidRPr="0056318D">
        <w:t xml:space="preserve"> that the NMACS system can provide complete information on </w:t>
      </w:r>
      <w:r>
        <w:t>QNM</w:t>
      </w:r>
      <w:r w:rsidRPr="0056318D">
        <w:t xml:space="preserve"> that has entered a process or has been subject to repacking.</w:t>
      </w:r>
    </w:p>
    <w:p w14:paraId="46177354" w14:textId="77777777" w:rsidR="00E97B4B" w:rsidRDefault="00E97B4B" w:rsidP="004A31C3">
      <w:pPr>
        <w:pStyle w:val="F9-Paragraph"/>
      </w:pPr>
      <w:r w:rsidRPr="0056318D">
        <w:t xml:space="preserve">Inspectors </w:t>
      </w:r>
      <w:r>
        <w:t>should ensure</w:t>
      </w:r>
      <w:r w:rsidRPr="0056318D">
        <w:t xml:space="preserve"> that the NMACS system can trace the </w:t>
      </w:r>
      <w:r>
        <w:t>QNM</w:t>
      </w:r>
      <w:r w:rsidRPr="0056318D">
        <w:t xml:space="preserve"> from a product to the raw material(s) in the facility.</w:t>
      </w:r>
    </w:p>
    <w:p w14:paraId="0CB035A2" w14:textId="77777777" w:rsidR="00E97B4B" w:rsidRDefault="00E97B4B" w:rsidP="004A31C3">
      <w:pPr>
        <w:pStyle w:val="F9-Paragraph"/>
      </w:pPr>
      <w:r w:rsidRPr="0056318D">
        <w:t xml:space="preserve">Inspectors </w:t>
      </w:r>
      <w:r>
        <w:t>should ensure</w:t>
      </w:r>
      <w:r w:rsidRPr="0056318D">
        <w:t xml:space="preserve"> that procedures for </w:t>
      </w:r>
      <w:r>
        <w:t>identifying</w:t>
      </w:r>
      <w:r w:rsidRPr="0056318D">
        <w:t>, investigating, and documenting NMACS anomalies are being implemented by the operator.</w:t>
      </w:r>
    </w:p>
    <w:p w14:paraId="7E0FDC20" w14:textId="417CABC4" w:rsidR="00621AAA" w:rsidRDefault="00621AAA">
      <w:pPr>
        <w:spacing w:after="0" w:line="240" w:lineRule="auto"/>
      </w:pPr>
      <w:r>
        <w:br w:type="page"/>
      </w:r>
    </w:p>
    <w:p w14:paraId="109FAED7" w14:textId="77777777" w:rsidR="00E97B4B" w:rsidRPr="00C05532" w:rsidRDefault="00E97B4B" w:rsidP="00621AAA">
      <w:pPr>
        <w:pStyle w:val="Heading3"/>
        <w:numPr>
          <w:ilvl w:val="0"/>
          <w:numId w:val="0"/>
        </w:numPr>
        <w:ind w:left="851"/>
      </w:pPr>
      <w:r w:rsidRPr="00C05532">
        <w:lastRenderedPageBreak/>
        <w:t>FSE 8 – Data Processing and Control</w:t>
      </w:r>
    </w:p>
    <w:p w14:paraId="590333B6" w14:textId="77777777" w:rsidR="00E97B4B" w:rsidRDefault="00E97B4B" w:rsidP="004A31C3">
      <w:pPr>
        <w:pStyle w:val="F9-Paragraph"/>
      </w:pPr>
      <w:r w:rsidRPr="0056318D">
        <w:t xml:space="preserve">Inspectors should confirm that safe and secure storage measures of all data required for the proper working of the NMACS system are in place. Standard NMACS and safety tools </w:t>
      </w:r>
      <w:r>
        <w:t xml:space="preserve">such </w:t>
      </w:r>
      <w:r w:rsidRPr="0056318D">
        <w:t>as access records and access rights, as well as automatic back-ups should be included. If these measures are not in place, inspectors should confirm whether a justification by means of risk assessment has been carried out.</w:t>
      </w:r>
    </w:p>
    <w:p w14:paraId="6AE3C380" w14:textId="77777777" w:rsidR="00E97B4B" w:rsidRPr="0056318D" w:rsidRDefault="00E97B4B" w:rsidP="004A31C3">
      <w:pPr>
        <w:pStyle w:val="F9-Paragraph"/>
      </w:pPr>
      <w:r w:rsidRPr="0056318D">
        <w:t xml:space="preserve">Regarding implementation of the data-processing system, </w:t>
      </w:r>
      <w:r>
        <w:t>i</w:t>
      </w:r>
      <w:r w:rsidRPr="0056318D">
        <w:t xml:space="preserve">nspectors should check that the following items are </w:t>
      </w:r>
      <w:r>
        <w:t>captured within</w:t>
      </w:r>
      <w:r w:rsidRPr="0056318D">
        <w:t xml:space="preserve"> the system</w:t>
      </w:r>
      <w:r>
        <w:t xml:space="preserve"> (this information may be automatically generated or manually compiled)</w:t>
      </w:r>
      <w:r w:rsidRPr="0056318D">
        <w:t>:</w:t>
      </w:r>
    </w:p>
    <w:p w14:paraId="3ED00567" w14:textId="77777777" w:rsidR="00E97B4B" w:rsidRDefault="00E97B4B" w:rsidP="004F261E">
      <w:pPr>
        <w:pStyle w:val="NumList2"/>
        <w:numPr>
          <w:ilvl w:val="1"/>
          <w:numId w:val="65"/>
        </w:numPr>
        <w:ind w:left="1276"/>
      </w:pPr>
      <w:r w:rsidRPr="0056318D">
        <w:t>declarations required under NSR19</w:t>
      </w:r>
    </w:p>
    <w:p w14:paraId="4D6C1CA7" w14:textId="77777777" w:rsidR="00E97B4B" w:rsidRPr="0056318D" w:rsidRDefault="00E97B4B" w:rsidP="005F2169">
      <w:pPr>
        <w:pStyle w:val="NumList2"/>
      </w:pPr>
      <w:r>
        <w:t>technically underpinned uncertainty of the material balance</w:t>
      </w:r>
    </w:p>
    <w:p w14:paraId="47942383" w14:textId="7EE42532" w:rsidR="00E97B4B" w:rsidRPr="0056318D" w:rsidRDefault="001D54A6" w:rsidP="005F2169">
      <w:pPr>
        <w:pStyle w:val="NumList2"/>
      </w:pPr>
      <w:r>
        <w:t>documents</w:t>
      </w:r>
      <w:r w:rsidR="00E97B4B" w:rsidRPr="0056318D">
        <w:t xml:space="preserve"> linked to ICRs such as shipping documentation</w:t>
      </w:r>
    </w:p>
    <w:p w14:paraId="19232133" w14:textId="77777777" w:rsidR="00E97B4B" w:rsidRPr="0056318D" w:rsidRDefault="00E97B4B" w:rsidP="005F2169">
      <w:pPr>
        <w:pStyle w:val="NumList2"/>
      </w:pPr>
      <w:r w:rsidRPr="0056318D">
        <w:t>working documentation for routine inventory control e.g., LIIs</w:t>
      </w:r>
    </w:p>
    <w:p w14:paraId="73BD5560" w14:textId="77777777" w:rsidR="00E97B4B" w:rsidRPr="0056318D" w:rsidRDefault="00E97B4B" w:rsidP="005F2169">
      <w:pPr>
        <w:pStyle w:val="NumList2"/>
        <w:rPr>
          <w:color w:val="000000" w:themeColor="text1"/>
        </w:rPr>
      </w:pPr>
      <w:r w:rsidRPr="0056318D">
        <w:rPr>
          <w:color w:val="000000" w:themeColor="text1"/>
        </w:rPr>
        <w:t xml:space="preserve">working documentation for PITs </w:t>
      </w:r>
    </w:p>
    <w:p w14:paraId="41813864" w14:textId="77777777" w:rsidR="00E97B4B" w:rsidRPr="0056318D" w:rsidRDefault="00E97B4B" w:rsidP="005F2169">
      <w:pPr>
        <w:pStyle w:val="NumList2"/>
        <w:rPr>
          <w:color w:val="000000" w:themeColor="text1"/>
        </w:rPr>
      </w:pPr>
      <w:r w:rsidRPr="0056318D">
        <w:rPr>
          <w:color w:val="000000" w:themeColor="text1"/>
        </w:rPr>
        <w:t>LII resulting from PIT and used during PIV or other verification.</w:t>
      </w:r>
    </w:p>
    <w:p w14:paraId="2F9C1D81" w14:textId="77777777" w:rsidR="00E97B4B" w:rsidRPr="00112BC2" w:rsidRDefault="00E97B4B" w:rsidP="004A31C3">
      <w:pPr>
        <w:pStyle w:val="F9-Paragraph"/>
      </w:pPr>
      <w:r w:rsidRPr="00112BC2">
        <w:t xml:space="preserve">Regarding capabilities of the data-processing system, </w:t>
      </w:r>
      <w:r>
        <w:t>i</w:t>
      </w:r>
      <w:r w:rsidRPr="00112BC2">
        <w:t xml:space="preserve">nspectors should check that the following items </w:t>
      </w:r>
      <w:r>
        <w:t>are</w:t>
      </w:r>
      <w:r w:rsidRPr="00112BC2">
        <w:t xml:space="preserve"> produced </w:t>
      </w:r>
      <w:r>
        <w:t>within the system</w:t>
      </w:r>
      <w:r w:rsidRPr="00112BC2">
        <w:t>:</w:t>
      </w:r>
    </w:p>
    <w:p w14:paraId="1324BA41" w14:textId="77777777" w:rsidR="00E97B4B" w:rsidRPr="0056318D" w:rsidRDefault="00E97B4B" w:rsidP="004F261E">
      <w:pPr>
        <w:pStyle w:val="NumList2"/>
        <w:numPr>
          <w:ilvl w:val="1"/>
          <w:numId w:val="66"/>
        </w:numPr>
        <w:ind w:left="1276"/>
      </w:pPr>
      <w:r w:rsidRPr="0056318D">
        <w:t>Provision of inventory lists permitting inventory checking by the operator</w:t>
      </w:r>
    </w:p>
    <w:p w14:paraId="030A01AB" w14:textId="77777777" w:rsidR="00E97B4B" w:rsidRPr="0056318D" w:rsidRDefault="00E97B4B" w:rsidP="005F2169">
      <w:pPr>
        <w:pStyle w:val="NumList2"/>
      </w:pPr>
      <w:r w:rsidRPr="0056318D">
        <w:t>Inventory lists providing any information necessary for identifying discrepancies between the locations described in the records and the real physical location.</w:t>
      </w:r>
    </w:p>
    <w:p w14:paraId="2EE81903" w14:textId="63E9F36A" w:rsidR="00E97B4B" w:rsidRDefault="00E97B4B" w:rsidP="004A31C3">
      <w:pPr>
        <w:pStyle w:val="F9-Paragraph"/>
      </w:pPr>
      <w:r w:rsidRPr="00112BC2">
        <w:t>Inspectors should confirm the capability of the data-processing system to perform match verification between records when there is a double-records keeping system (</w:t>
      </w:r>
      <w:r w:rsidR="000C42B7" w:rsidRPr="000C42B7">
        <w:t>ISO/IEC 27002:2022</w:t>
      </w:r>
      <w:r w:rsidR="000C42B7">
        <w:t xml:space="preserve"> </w:t>
      </w:r>
      <w:sdt>
        <w:sdtPr>
          <w:id w:val="2115628153"/>
          <w:citation/>
        </w:sdtPr>
        <w:sdtEndPr/>
        <w:sdtContent>
          <w:r w:rsidR="000C42B7">
            <w:fldChar w:fldCharType="begin"/>
          </w:r>
          <w:r w:rsidR="000C42B7">
            <w:instrText xml:space="preserve"> CITATION ISO051 \l 2057 </w:instrText>
          </w:r>
          <w:r w:rsidR="000C42B7">
            <w:fldChar w:fldCharType="separate"/>
          </w:r>
          <w:r w:rsidR="00DA6493" w:rsidRPr="00DA6493">
            <w:rPr>
              <w:noProof/>
            </w:rPr>
            <w:t>[26]</w:t>
          </w:r>
          <w:r w:rsidR="000C42B7">
            <w:fldChar w:fldCharType="end"/>
          </w:r>
        </w:sdtContent>
      </w:sdt>
      <w:r>
        <w:t>)</w:t>
      </w:r>
      <w:r w:rsidRPr="00112BC2">
        <w:t>.</w:t>
      </w:r>
    </w:p>
    <w:p w14:paraId="19146634" w14:textId="77777777" w:rsidR="00E97B4B" w:rsidRDefault="00E97B4B" w:rsidP="004A31C3">
      <w:pPr>
        <w:pStyle w:val="F9-Paragraph"/>
      </w:pPr>
      <w:r w:rsidRPr="0056318D">
        <w:t>Inspectors should confirm the implementation of procedures for and records of non-conformities and corrective actions.</w:t>
      </w:r>
    </w:p>
    <w:p w14:paraId="3EA191C3" w14:textId="77777777" w:rsidR="00E97B4B" w:rsidRDefault="00E97B4B" w:rsidP="004A31C3">
      <w:pPr>
        <w:pStyle w:val="F9-Paragraph"/>
      </w:pPr>
      <w:r w:rsidRPr="0056318D">
        <w:t xml:space="preserve">Inspectors </w:t>
      </w:r>
      <w:r>
        <w:t>should consider</w:t>
      </w:r>
      <w:r w:rsidRPr="0056318D">
        <w:t xml:space="preserve"> the capability of the data-processing system to receive information on discrepancies from physical verifications, and records matching, and treat that information for the purpose of providing performance indicators. </w:t>
      </w:r>
    </w:p>
    <w:p w14:paraId="5761BA82" w14:textId="77777777" w:rsidR="00E97B4B" w:rsidRDefault="00E97B4B" w:rsidP="004A31C3">
      <w:pPr>
        <w:pStyle w:val="F9-Paragraph"/>
      </w:pPr>
      <w:r w:rsidRPr="0056318D">
        <w:t xml:space="preserve">Inspectors </w:t>
      </w:r>
      <w:r>
        <w:t>should consider</w:t>
      </w:r>
      <w:r w:rsidRPr="0056318D">
        <w:t xml:space="preserve"> verif</w:t>
      </w:r>
      <w:r>
        <w:t>ying</w:t>
      </w:r>
      <w:r w:rsidRPr="0056318D">
        <w:t xml:space="preserve"> that </w:t>
      </w:r>
      <w:r>
        <w:t xml:space="preserve">any </w:t>
      </w:r>
      <w:r w:rsidRPr="0056318D">
        <w:t>activit</w:t>
      </w:r>
      <w:r>
        <w:t>y logs produced</w:t>
      </w:r>
      <w:r w:rsidRPr="0056318D">
        <w:t xml:space="preserve"> for data-processing execution provide </w:t>
      </w:r>
      <w:r>
        <w:t>the NMAC Manager</w:t>
      </w:r>
      <w:r w:rsidRPr="0056318D">
        <w:t xml:space="preserve"> with </w:t>
      </w:r>
      <w:r>
        <w:t xml:space="preserve">relevant </w:t>
      </w:r>
      <w:r w:rsidRPr="0056318D">
        <w:t>supervisory information.</w:t>
      </w:r>
    </w:p>
    <w:p w14:paraId="5B3CF0CE" w14:textId="77777777" w:rsidR="00E97B4B" w:rsidRPr="0056318D" w:rsidRDefault="00E97B4B" w:rsidP="004A31C3">
      <w:pPr>
        <w:pStyle w:val="F9-Paragraph"/>
      </w:pPr>
      <w:r w:rsidRPr="0056318D">
        <w:lastRenderedPageBreak/>
        <w:t xml:space="preserve">Inspectors </w:t>
      </w:r>
      <w:r>
        <w:t>should consider</w:t>
      </w:r>
      <w:r w:rsidRPr="0056318D">
        <w:t xml:space="preserve"> whether NMA</w:t>
      </w:r>
      <w:r>
        <w:t>C</w:t>
      </w:r>
      <w:r w:rsidRPr="0056318D">
        <w:t>S documentation:</w:t>
      </w:r>
    </w:p>
    <w:p w14:paraId="4BEEF809" w14:textId="77777777" w:rsidR="00E97B4B" w:rsidRPr="0056318D" w:rsidRDefault="00E97B4B" w:rsidP="004F261E">
      <w:pPr>
        <w:pStyle w:val="NumList2"/>
        <w:numPr>
          <w:ilvl w:val="1"/>
          <w:numId w:val="67"/>
        </w:numPr>
        <w:ind w:left="1276"/>
      </w:pPr>
      <w:r w:rsidRPr="0056318D">
        <w:t>is derived and reconcilable with a single set of source data.</w:t>
      </w:r>
    </w:p>
    <w:p w14:paraId="29AE4C02" w14:textId="77777777" w:rsidR="00E97B4B" w:rsidRPr="0056318D" w:rsidRDefault="00E97B4B" w:rsidP="005F2169">
      <w:pPr>
        <w:pStyle w:val="NumList2"/>
      </w:pPr>
      <w:r w:rsidRPr="0056318D">
        <w:t>is appropriately protective</w:t>
      </w:r>
      <w:r>
        <w:t>ly</w:t>
      </w:r>
      <w:r w:rsidRPr="0056318D">
        <w:t xml:space="preserve"> marked in accordance with the classification policy; inspectors may also wish to confirm whether the procedures for protective</w:t>
      </w:r>
      <w:r>
        <w:t>ly</w:t>
      </w:r>
      <w:r w:rsidRPr="0056318D">
        <w:t xml:space="preserve"> marking are being implemented as claimed.</w:t>
      </w:r>
    </w:p>
    <w:p w14:paraId="1EA6C14B" w14:textId="77777777" w:rsidR="00E97B4B" w:rsidRPr="0056318D" w:rsidRDefault="00E97B4B" w:rsidP="005F2169">
      <w:pPr>
        <w:pStyle w:val="NumList2"/>
      </w:pPr>
      <w:r w:rsidRPr="0056318D">
        <w:t>is readily retrievable for independent audit/verification.</w:t>
      </w:r>
    </w:p>
    <w:p w14:paraId="6F3B96D5" w14:textId="5415BE60" w:rsidR="00055A24" w:rsidRPr="0056318D" w:rsidRDefault="00E97B4B" w:rsidP="004A31C3">
      <w:pPr>
        <w:pStyle w:val="NumList2"/>
      </w:pPr>
      <w:r w:rsidRPr="0056318D">
        <w:t>has records that are traceable to an authenticated source and kept in a manner that guarantees traceability.</w:t>
      </w:r>
    </w:p>
    <w:p w14:paraId="28E1FCFD" w14:textId="77777777" w:rsidR="00E97B4B" w:rsidRPr="00C05532" w:rsidRDefault="00E97B4B" w:rsidP="005F2169">
      <w:pPr>
        <w:pStyle w:val="Heading3"/>
        <w:numPr>
          <w:ilvl w:val="0"/>
          <w:numId w:val="0"/>
        </w:numPr>
        <w:ind w:left="851"/>
      </w:pPr>
      <w:r w:rsidRPr="00C05532">
        <w:t>FSE 9 – Material Balance</w:t>
      </w:r>
    </w:p>
    <w:p w14:paraId="00B330CF" w14:textId="2E2BA042" w:rsidR="00E97B4B" w:rsidRDefault="00E97B4B" w:rsidP="004A31C3">
      <w:pPr>
        <w:pStyle w:val="F9-Paragraph"/>
      </w:pPr>
      <w:r w:rsidRPr="0056318D">
        <w:t>Inspectors should confirm whether the nuclear material accounts have been correctly compiled</w:t>
      </w:r>
      <w:r>
        <w:t xml:space="preserve"> in accordance with NSR19</w:t>
      </w:r>
      <w:r w:rsidRPr="0056318D">
        <w:t xml:space="preserve">. Further information is available in </w:t>
      </w:r>
      <w:r w:rsidR="000970EF" w:rsidRPr="004A31C3">
        <w:t>a</w:t>
      </w:r>
      <w:r w:rsidR="000401FD">
        <w:t>n annexe to this document</w:t>
      </w:r>
      <w:r>
        <w:t xml:space="preserve"> </w:t>
      </w:r>
      <w:r w:rsidR="000401FD">
        <w:t>which provides guidance on</w:t>
      </w:r>
      <w:r>
        <w:t xml:space="preserve"> inspections associated with an operator’s PIT</w:t>
      </w:r>
      <w:r w:rsidR="000401FD">
        <w:t>,</w:t>
      </w:r>
      <w:r>
        <w:t xml:space="preserve"> and in SG-TAST-GD-002</w:t>
      </w:r>
      <w:r w:rsidR="005F2169">
        <w:t xml:space="preserve"> </w:t>
      </w:r>
      <w:sdt>
        <w:sdtPr>
          <w:id w:val="1940561102"/>
          <w:citation/>
        </w:sdtPr>
        <w:sdtEndPr/>
        <w:sdtContent>
          <w:r w:rsidR="005F2169">
            <w:fldChar w:fldCharType="begin"/>
          </w:r>
          <w:r w:rsidR="005F2169">
            <w:instrText xml:space="preserve">CITATION ONR295 \l 2057 </w:instrText>
          </w:r>
          <w:r w:rsidR="005F2169">
            <w:fldChar w:fldCharType="separate"/>
          </w:r>
          <w:r w:rsidR="00DA6493" w:rsidRPr="00DA6493">
            <w:rPr>
              <w:noProof/>
            </w:rPr>
            <w:t>[27]</w:t>
          </w:r>
          <w:r w:rsidR="005F2169">
            <w:fldChar w:fldCharType="end"/>
          </w:r>
        </w:sdtContent>
      </w:sdt>
      <w:r w:rsidRPr="0056318D">
        <w:t>.</w:t>
      </w:r>
    </w:p>
    <w:p w14:paraId="75641FD5" w14:textId="77777777" w:rsidR="00E97B4B" w:rsidRDefault="00E97B4B" w:rsidP="004A31C3">
      <w:pPr>
        <w:pStyle w:val="F9-Paragraph"/>
      </w:pPr>
      <w:r w:rsidRPr="0056318D">
        <w:t xml:space="preserve">Inspectors </w:t>
      </w:r>
      <w:r>
        <w:t>should consider</w:t>
      </w:r>
      <w:r w:rsidRPr="0056318D">
        <w:t xml:space="preserve"> whether the procedures for receipt and shipment of </w:t>
      </w:r>
      <w:r>
        <w:t>QNM</w:t>
      </w:r>
      <w:r w:rsidRPr="0056318D">
        <w:t xml:space="preserve"> and associated activities are being implemented as claimed through </w:t>
      </w:r>
      <w:r>
        <w:t xml:space="preserve">a </w:t>
      </w:r>
      <w:r w:rsidRPr="0056318D">
        <w:t>review of</w:t>
      </w:r>
      <w:r>
        <w:t xml:space="preserve"> relevant</w:t>
      </w:r>
      <w:r w:rsidRPr="0056318D">
        <w:t xml:space="preserve"> records.</w:t>
      </w:r>
    </w:p>
    <w:p w14:paraId="1D2615C9" w14:textId="77777777" w:rsidR="00E97B4B" w:rsidRDefault="00E97B4B" w:rsidP="004A31C3">
      <w:pPr>
        <w:pStyle w:val="F9-Paragraph"/>
      </w:pPr>
      <w:r w:rsidRPr="0056318D">
        <w:t xml:space="preserve">Inspectors </w:t>
      </w:r>
      <w:r>
        <w:t>should consider</w:t>
      </w:r>
      <w:r w:rsidRPr="0056318D">
        <w:t xml:space="preserve"> whether the PIT and </w:t>
      </w:r>
      <w:r>
        <w:t>m</w:t>
      </w:r>
      <w:r w:rsidRPr="0056318D">
        <w:t xml:space="preserve">aterial </w:t>
      </w:r>
      <w:r>
        <w:t>b</w:t>
      </w:r>
      <w:r w:rsidRPr="0056318D">
        <w:t xml:space="preserve">alance </w:t>
      </w:r>
      <w:r>
        <w:t>e</w:t>
      </w:r>
      <w:r w:rsidRPr="0056318D">
        <w:t>valuation procedures are being implemented as claimed.</w:t>
      </w:r>
    </w:p>
    <w:p w14:paraId="000DE324" w14:textId="77777777" w:rsidR="00E97B4B" w:rsidRPr="00C05532" w:rsidRDefault="00E97B4B" w:rsidP="005F2169">
      <w:pPr>
        <w:pStyle w:val="Heading3"/>
        <w:numPr>
          <w:ilvl w:val="0"/>
          <w:numId w:val="0"/>
        </w:numPr>
        <w:ind w:left="851"/>
      </w:pPr>
      <w:r w:rsidRPr="00C05532">
        <w:t>FSE 10 – Quality Assurance for Nuclear Material Accountancy and Control</w:t>
      </w:r>
    </w:p>
    <w:p w14:paraId="2FCF8C8F" w14:textId="77777777" w:rsidR="00E97B4B" w:rsidRDefault="00E97B4B" w:rsidP="004A31C3">
      <w:pPr>
        <w:pStyle w:val="F9-Paragraph"/>
      </w:pPr>
      <w:r w:rsidRPr="0056318D">
        <w:t xml:space="preserve">Inspectors </w:t>
      </w:r>
      <w:r>
        <w:t>should consider</w:t>
      </w:r>
      <w:r w:rsidRPr="0056318D">
        <w:t xml:space="preserve"> that the NMACS system performance is being monitored and reviewed through any performance metrics established in associated procedures.</w:t>
      </w:r>
    </w:p>
    <w:p w14:paraId="248DF57C" w14:textId="77777777" w:rsidR="005F2169" w:rsidRDefault="00E97B4B" w:rsidP="004A31C3">
      <w:pPr>
        <w:pStyle w:val="F9-Paragraph"/>
      </w:pPr>
      <w:r w:rsidRPr="0056318D">
        <w:t>Evidence on the implementation of quality assurance should also be gained from undertaking the activities described under the other FSEs above.</w:t>
      </w:r>
    </w:p>
    <w:p w14:paraId="1D3C2644" w14:textId="6187BCA9" w:rsidR="008C1206" w:rsidRDefault="008C1206" w:rsidP="004A31C3">
      <w:pPr>
        <w:pStyle w:val="F9-Paragraph"/>
        <w:numPr>
          <w:ilvl w:val="0"/>
          <w:numId w:val="0"/>
        </w:numPr>
        <w:ind w:left="851"/>
        <w:sectPr w:rsidR="008C1206" w:rsidSect="003508FB">
          <w:pgSz w:w="11906" w:h="16838" w:code="9"/>
          <w:pgMar w:top="1440" w:right="1440" w:bottom="1440" w:left="1440" w:header="397" w:footer="397" w:gutter="0"/>
          <w:cols w:space="312"/>
          <w:docGrid w:linePitch="360"/>
        </w:sectPr>
      </w:pPr>
      <w:r>
        <w:t>Inspectors should engage with the operators’ internal assurance function to understand what activities have taken place, what the outcomes of those activities were and to understand any plans for future quality assurance activities.</w:t>
      </w:r>
    </w:p>
    <w:p w14:paraId="2794BB79" w14:textId="01593DF1" w:rsidR="005F2169" w:rsidRPr="008B0149" w:rsidRDefault="005F2169" w:rsidP="005F2169">
      <w:pPr>
        <w:pStyle w:val="Heading1"/>
        <w:numPr>
          <w:ilvl w:val="0"/>
          <w:numId w:val="0"/>
        </w:numPr>
        <w:ind w:left="851"/>
        <w:rPr>
          <w:rStyle w:val="Strong"/>
          <w:b w:val="0"/>
          <w:bCs w:val="0"/>
        </w:rPr>
      </w:pPr>
      <w:bookmarkStart w:id="27" w:name="_Appendix_5_–"/>
      <w:bookmarkStart w:id="28" w:name="_Toc235705910"/>
      <w:bookmarkEnd w:id="27"/>
      <w:r w:rsidRPr="008B0149">
        <w:rPr>
          <w:rStyle w:val="Strong"/>
          <w:b w:val="0"/>
          <w:bCs w:val="0"/>
        </w:rPr>
        <w:lastRenderedPageBreak/>
        <w:t>Appendix 5 – Compliance inspection: Design information</w:t>
      </w:r>
      <w:bookmarkEnd w:id="28"/>
    </w:p>
    <w:p w14:paraId="0FE8D05A" w14:textId="4C45D5CD" w:rsidR="005F2169" w:rsidRPr="0056318D" w:rsidRDefault="005F2169" w:rsidP="005F2169">
      <w:pPr>
        <w:pStyle w:val="Heading2"/>
        <w:numPr>
          <w:ilvl w:val="0"/>
          <w:numId w:val="0"/>
        </w:numPr>
        <w:ind w:left="851"/>
      </w:pPr>
      <w:r>
        <w:t>Purpose and scope</w:t>
      </w:r>
    </w:p>
    <w:p w14:paraId="718DB36E" w14:textId="286DF3FF" w:rsidR="005F2169" w:rsidRDefault="005F2169" w:rsidP="004A31C3">
      <w:pPr>
        <w:pStyle w:val="F9-Paragraph"/>
        <w:numPr>
          <w:ilvl w:val="0"/>
          <w:numId w:val="68"/>
        </w:numPr>
        <w:ind w:left="851" w:hanging="851"/>
      </w:pPr>
      <w:r w:rsidRPr="0056318D">
        <w:t xml:space="preserve">The purpose of this appendix is to provide guidance for </w:t>
      </w:r>
      <w:r>
        <w:t>i</w:t>
      </w:r>
      <w:r w:rsidRPr="0056318D">
        <w:t xml:space="preserve">nspectors when planning and carrying out inspection activities related to an operator’s </w:t>
      </w:r>
      <w:r>
        <w:t xml:space="preserve">design information (DI) submissions in the form of either a design information questionnaire (DIQ), or basic technical characteristics (BTC). This appendix </w:t>
      </w:r>
      <w:r w:rsidRPr="0056318D">
        <w:t>has been produced a</w:t>
      </w:r>
      <w:r w:rsidRPr="00BC4123">
        <w:t>s an aid for use during inspection activities carried out at</w:t>
      </w:r>
      <w:r w:rsidRPr="0056318D">
        <w:t xml:space="preserve"> </w:t>
      </w:r>
      <w:r>
        <w:t>QNFs</w:t>
      </w:r>
      <w:r w:rsidRPr="0056318D">
        <w:t xml:space="preserve"> subject to NSR19</w:t>
      </w:r>
      <w:r w:rsidRPr="00BC4123">
        <w:t>. It is to be predominantly used in judging the operator’s compliance with NSR19</w:t>
      </w:r>
      <w:r w:rsidR="006255F0">
        <w:t>.</w:t>
      </w:r>
    </w:p>
    <w:p w14:paraId="60D7E227" w14:textId="35676095" w:rsidR="00055A24" w:rsidRPr="0056318D" w:rsidRDefault="005F2169" w:rsidP="004A31C3">
      <w:pPr>
        <w:pStyle w:val="F9-Paragraph"/>
      </w:pPr>
      <w:r w:rsidRPr="0056318D">
        <w:t xml:space="preserve">This appendix sets out the scope and purpose of activities to be performed by </w:t>
      </w:r>
      <w:r>
        <w:t>i</w:t>
      </w:r>
      <w:r w:rsidRPr="0056318D">
        <w:t xml:space="preserve">nspectors </w:t>
      </w:r>
      <w:r>
        <w:t>when considering</w:t>
      </w:r>
      <w:r w:rsidRPr="0056318D">
        <w:t xml:space="preserve"> </w:t>
      </w:r>
      <w:r>
        <w:t>design information submissions during</w:t>
      </w:r>
      <w:r w:rsidRPr="0056318D">
        <w:t xml:space="preserve"> inspections. The </w:t>
      </w:r>
      <w:r>
        <w:t>i</w:t>
      </w:r>
      <w:r w:rsidRPr="0056318D">
        <w:t xml:space="preserve">nspector </w:t>
      </w:r>
      <w:r>
        <w:t>should</w:t>
      </w:r>
      <w:r w:rsidRPr="0056318D">
        <w:t xml:space="preserve"> exercise proportiona</w:t>
      </w:r>
      <w:r>
        <w:t>lity</w:t>
      </w:r>
      <w:r w:rsidRPr="0056318D">
        <w:t xml:space="preserve"> in applying this guidance in relation to the circumstances of the safeguarded </w:t>
      </w:r>
      <w:r>
        <w:t>QNF</w:t>
      </w:r>
      <w:r w:rsidRPr="0056318D">
        <w:t xml:space="preserve"> under inspection. </w:t>
      </w:r>
    </w:p>
    <w:p w14:paraId="0FAB19FE" w14:textId="74F5D0E4" w:rsidR="005F2169" w:rsidRPr="006A7D61" w:rsidRDefault="005F2169" w:rsidP="005F2169">
      <w:pPr>
        <w:pStyle w:val="Heading2"/>
        <w:numPr>
          <w:ilvl w:val="0"/>
          <w:numId w:val="0"/>
        </w:numPr>
        <w:ind w:left="851"/>
      </w:pPr>
      <w:r>
        <w:t>Relationship to relevant legislation</w:t>
      </w:r>
    </w:p>
    <w:p w14:paraId="3210E1E4" w14:textId="4D87174E" w:rsidR="005F2169" w:rsidRDefault="00902F11" w:rsidP="004A31C3">
      <w:pPr>
        <w:pStyle w:val="F9-Paragraph"/>
      </w:pPr>
      <w:r>
        <w:t xml:space="preserve">NSR19 </w:t>
      </w:r>
      <w:r w:rsidR="005F2169">
        <w:t xml:space="preserve">Regulation 3 requires that an operator submit design information to ONR in the form of a BTC or a DIQ using the </w:t>
      </w:r>
      <w:r w:rsidR="005F2169" w:rsidRPr="0056318D">
        <w:t>relevant questionnaire</w:t>
      </w:r>
      <w:r w:rsidR="005F2169">
        <w:t xml:space="preserve"> which can be found in </w:t>
      </w:r>
      <w:r w:rsidR="005F2169" w:rsidRPr="0056318D">
        <w:t>Part 1 of Schedule 1</w:t>
      </w:r>
      <w:r w:rsidR="005F2169">
        <w:t xml:space="preserve"> of</w:t>
      </w:r>
      <w:r w:rsidR="00437AB1">
        <w:t xml:space="preserve"> NSR19</w:t>
      </w:r>
      <w:r w:rsidR="005F2169">
        <w:t>.</w:t>
      </w:r>
      <w:r w:rsidR="00437AB1">
        <w:t xml:space="preserve"> Following the amended NSR19 regulations coming into force in July 2026, the inspector should note that during the </w:t>
      </w:r>
      <w:r w:rsidR="000C06B3">
        <w:t>following three years, in the transitionary period, there is the potential for both BTCs and DIQs to be submitted by operators to ONR.</w:t>
      </w:r>
    </w:p>
    <w:p w14:paraId="19E2F24A" w14:textId="5295D909" w:rsidR="005F2169" w:rsidRDefault="0089141D" w:rsidP="004A31C3">
      <w:pPr>
        <w:pStyle w:val="F9-Paragraph"/>
      </w:pPr>
      <w:r>
        <w:t xml:space="preserve">NSR19 </w:t>
      </w:r>
      <w:r w:rsidR="005F2169">
        <w:t>includes a transition period for the implementation of DIQs as follows:</w:t>
      </w:r>
    </w:p>
    <w:p w14:paraId="3275B017" w14:textId="0E35F409" w:rsidR="005F2169" w:rsidRDefault="005F2169" w:rsidP="00FD2194">
      <w:pPr>
        <w:pStyle w:val="Bulletlist1"/>
      </w:pPr>
      <w:r>
        <w:t>F</w:t>
      </w:r>
      <w:r w:rsidRPr="001A7CE9">
        <w:t>or the first 12 months only BTCs will be accepted for the reporting of all design changes, apart from newly qualifying facilities which will be able to submit DIQs</w:t>
      </w:r>
      <w:r w:rsidR="00CD347E">
        <w:t>.</w:t>
      </w:r>
    </w:p>
    <w:p w14:paraId="67F12677" w14:textId="59B415F8" w:rsidR="005F2169" w:rsidRDefault="005F2169" w:rsidP="00FD2194">
      <w:pPr>
        <w:pStyle w:val="Bulletlist1"/>
      </w:pPr>
      <w:r w:rsidRPr="00894BD5">
        <w:t>For the following</w:t>
      </w:r>
      <w:r w:rsidR="00CD347E">
        <w:t xml:space="preserve"> two</w:t>
      </w:r>
      <w:r w:rsidRPr="00894BD5">
        <w:t xml:space="preserve"> years, all design changes</w:t>
      </w:r>
      <w:r w:rsidR="00CD347E">
        <w:t xml:space="preserve"> and </w:t>
      </w:r>
      <w:r w:rsidR="00A53132">
        <w:t>design information for new QNFs</w:t>
      </w:r>
      <w:r w:rsidRPr="00894BD5">
        <w:t xml:space="preserve"> must be reported via DIQs</w:t>
      </w:r>
    </w:p>
    <w:p w14:paraId="295D8158" w14:textId="1E4139D0" w:rsidR="005F2169" w:rsidRDefault="00A53132" w:rsidP="00FD2194">
      <w:pPr>
        <w:pStyle w:val="Bulletlist1"/>
      </w:pPr>
      <w:r>
        <w:t>By</w:t>
      </w:r>
      <w:r w:rsidRPr="00B56481">
        <w:t xml:space="preserve"> </w:t>
      </w:r>
      <w:r w:rsidR="005F2169" w:rsidRPr="00B56481">
        <w:t xml:space="preserve">the end of the </w:t>
      </w:r>
      <w:r>
        <w:t>three</w:t>
      </w:r>
      <w:r w:rsidR="005F2169" w:rsidRPr="00B56481">
        <w:t xml:space="preserve">-year period, all </w:t>
      </w:r>
      <w:r>
        <w:t>QNFs</w:t>
      </w:r>
      <w:r w:rsidR="005F2169" w:rsidRPr="00B56481">
        <w:t xml:space="preserve"> that have not submitted a DIQ in the preceding 24 months must submit one to ONR</w:t>
      </w:r>
      <w:r>
        <w:t>.</w:t>
      </w:r>
    </w:p>
    <w:p w14:paraId="45A994E8" w14:textId="77777777" w:rsidR="004A31C3" w:rsidRDefault="004A31C3" w:rsidP="004A31C3">
      <w:pPr>
        <w:pStyle w:val="F9-Paragraph"/>
        <w:sectPr w:rsidR="004A31C3" w:rsidSect="003508FB">
          <w:pgSz w:w="11906" w:h="16838" w:code="9"/>
          <w:pgMar w:top="1440" w:right="1440" w:bottom="1440" w:left="1440" w:header="397" w:footer="397" w:gutter="0"/>
          <w:cols w:space="312"/>
          <w:docGrid w:linePitch="360"/>
        </w:sectPr>
      </w:pPr>
    </w:p>
    <w:p w14:paraId="0DAD9DC7" w14:textId="226879DA" w:rsidR="005F2169" w:rsidRDefault="005F2169" w:rsidP="004A31C3">
      <w:pPr>
        <w:pStyle w:val="F9-Paragraph"/>
      </w:pPr>
      <w:r w:rsidRPr="006870B3">
        <w:lastRenderedPageBreak/>
        <w:t xml:space="preserve">During the transition period, </w:t>
      </w:r>
      <w:r>
        <w:t>inspectors are encouraged to work with</w:t>
      </w:r>
      <w:r w:rsidRPr="006870B3">
        <w:t xml:space="preserve"> operators </w:t>
      </w:r>
      <w:r w:rsidR="007E02F2">
        <w:t>whilst they</w:t>
      </w:r>
      <w:r w:rsidRPr="006870B3">
        <w:t xml:space="preserve"> draft DIQs to enable an iterative review process </w:t>
      </w:r>
      <w:r w:rsidR="00486DBB">
        <w:t>and</w:t>
      </w:r>
      <w:r w:rsidR="00486DBB" w:rsidRPr="006870B3">
        <w:t xml:space="preserve"> </w:t>
      </w:r>
      <w:r w:rsidRPr="006870B3">
        <w:t>ensure an efficient and smooth transition</w:t>
      </w:r>
      <w:r w:rsidR="00486DBB">
        <w:t xml:space="preserve">. The inspector should refer to IAEA guidance for the </w:t>
      </w:r>
      <w:r w:rsidR="00FF456D">
        <w:t xml:space="preserve">completion of DIQs [21] </w:t>
      </w:r>
      <w:r w:rsidR="009A4D79">
        <w:t xml:space="preserve">and share this guidance with operators where necessary. This guidance is equally applicable to BTCs as much of the information required </w:t>
      </w:r>
      <w:r w:rsidR="00C63182">
        <w:t>is the same in both documents.</w:t>
      </w:r>
    </w:p>
    <w:p w14:paraId="588A9883" w14:textId="6095F51B" w:rsidR="005F2169" w:rsidRDefault="005F2169" w:rsidP="004A31C3">
      <w:pPr>
        <w:pStyle w:val="F9-Paragraph"/>
      </w:pPr>
      <w:r>
        <w:t xml:space="preserve">Both DIQs and BTCs </w:t>
      </w:r>
      <w:r w:rsidRPr="0056318D">
        <w:t xml:space="preserve">are used to </w:t>
      </w:r>
      <w:r>
        <w:t xml:space="preserve">capture and </w:t>
      </w:r>
      <w:r w:rsidRPr="0056318D">
        <w:t>describe safeguards-relevant design information for QNFs.</w:t>
      </w:r>
    </w:p>
    <w:p w14:paraId="5809B36D" w14:textId="1D17717F" w:rsidR="005F2169" w:rsidRPr="0056318D" w:rsidRDefault="005F2169" w:rsidP="004A31C3">
      <w:pPr>
        <w:pStyle w:val="F9-Paragraph"/>
      </w:pPr>
      <w:r w:rsidRPr="0056318D">
        <w:t xml:space="preserve">Part 1 of Schedule 1 of </w:t>
      </w:r>
      <w:r w:rsidR="00C63182">
        <w:t xml:space="preserve">the original </w:t>
      </w:r>
      <w:r w:rsidRPr="0056318D">
        <w:t>NSR19 specifie</w:t>
      </w:r>
      <w:r w:rsidR="00C63182">
        <w:t>d</w:t>
      </w:r>
      <w:r w:rsidRPr="0056318D">
        <w:t xml:space="preserve"> </w:t>
      </w:r>
      <w:r>
        <w:t xml:space="preserve">the following </w:t>
      </w:r>
      <w:r w:rsidRPr="0056318D">
        <w:t xml:space="preserve">eight types of QNF: </w:t>
      </w:r>
    </w:p>
    <w:p w14:paraId="073554A3" w14:textId="77777777" w:rsidR="005F2169" w:rsidRPr="0056318D" w:rsidRDefault="005F2169" w:rsidP="004F261E">
      <w:pPr>
        <w:pStyle w:val="NumList2"/>
        <w:numPr>
          <w:ilvl w:val="1"/>
          <w:numId w:val="69"/>
        </w:numPr>
        <w:ind w:left="1276"/>
      </w:pPr>
      <w:r w:rsidRPr="0056318D">
        <w:t>Reactors</w:t>
      </w:r>
    </w:p>
    <w:p w14:paraId="23FCA43E" w14:textId="77777777" w:rsidR="005F2169" w:rsidRPr="0056318D" w:rsidRDefault="005F2169" w:rsidP="005F2169">
      <w:pPr>
        <w:pStyle w:val="NumList2"/>
      </w:pPr>
      <w:r w:rsidRPr="0056318D">
        <w:t>Critical and Zero Energy Installations</w:t>
      </w:r>
    </w:p>
    <w:p w14:paraId="2E35ACC0" w14:textId="2DA2019A" w:rsidR="005F2169" w:rsidRPr="0056318D" w:rsidRDefault="005F2169" w:rsidP="005F2169">
      <w:pPr>
        <w:pStyle w:val="NumList2"/>
      </w:pPr>
      <w:r w:rsidRPr="0056318D">
        <w:t xml:space="preserve">QNFs where conversion, fabrication and reprocessing are carried </w:t>
      </w:r>
      <w:r w:rsidR="006B1BA1">
        <w:t>out</w:t>
      </w:r>
    </w:p>
    <w:p w14:paraId="5C310D80" w14:textId="77777777" w:rsidR="005F2169" w:rsidRPr="0056318D" w:rsidRDefault="005F2169" w:rsidP="005F2169">
      <w:pPr>
        <w:pStyle w:val="NumList2"/>
      </w:pPr>
      <w:r w:rsidRPr="0056318D">
        <w:t>QNFs that are used for Storage</w:t>
      </w:r>
    </w:p>
    <w:p w14:paraId="60DFD9D7" w14:textId="77777777" w:rsidR="005F2169" w:rsidRPr="0056318D" w:rsidRDefault="005F2169" w:rsidP="005F2169">
      <w:pPr>
        <w:pStyle w:val="NumList2"/>
      </w:pPr>
      <w:r w:rsidRPr="0056318D">
        <w:t>QNFs where Isotopes are separated</w:t>
      </w:r>
    </w:p>
    <w:p w14:paraId="06B4EDFE" w14:textId="77777777" w:rsidR="005F2169" w:rsidRPr="0056318D" w:rsidRDefault="005F2169" w:rsidP="005F2169">
      <w:pPr>
        <w:pStyle w:val="NumList2"/>
      </w:pPr>
      <w:r w:rsidRPr="0056318D">
        <w:t>QNFs</w:t>
      </w:r>
      <w:r>
        <w:t xml:space="preserve"> </w:t>
      </w:r>
      <w:r w:rsidRPr="0056318D">
        <w:t xml:space="preserve">using qualifying </w:t>
      </w:r>
      <w:r>
        <w:t xml:space="preserve">nuclear </w:t>
      </w:r>
      <w:r w:rsidRPr="0056318D">
        <w:t xml:space="preserve">material in quantities in excess of </w:t>
      </w:r>
      <w:r>
        <w:t>one</w:t>
      </w:r>
      <w:r w:rsidRPr="0056318D">
        <w:t xml:space="preserve"> effective </w:t>
      </w:r>
      <w:r>
        <w:t>k</w:t>
      </w:r>
      <w:r w:rsidRPr="0056318D">
        <w:t>ilogram</w:t>
      </w:r>
    </w:p>
    <w:p w14:paraId="661AD76D" w14:textId="77777777" w:rsidR="005F2169" w:rsidRPr="0056318D" w:rsidRDefault="005F2169" w:rsidP="005F2169">
      <w:pPr>
        <w:pStyle w:val="NumList2"/>
      </w:pPr>
      <w:r w:rsidRPr="0056318D">
        <w:t>QNFs for the treatment and storage of waste</w:t>
      </w:r>
    </w:p>
    <w:p w14:paraId="2EC76C9B" w14:textId="77777777" w:rsidR="005F2169" w:rsidRPr="0056318D" w:rsidRDefault="005F2169" w:rsidP="005F2169">
      <w:pPr>
        <w:pStyle w:val="NumList2"/>
      </w:pPr>
      <w:r w:rsidRPr="0056318D">
        <w:t xml:space="preserve">Other QNF or a QNF with limited </w:t>
      </w:r>
      <w:r>
        <w:t>o</w:t>
      </w:r>
      <w:r w:rsidRPr="0056318D">
        <w:t xml:space="preserve">peration </w:t>
      </w:r>
    </w:p>
    <w:p w14:paraId="339E4163" w14:textId="2769CBB0" w:rsidR="005F2169" w:rsidRDefault="005F2169" w:rsidP="004A31C3">
      <w:pPr>
        <w:pStyle w:val="F9-Paragraph"/>
      </w:pPr>
      <w:r w:rsidRPr="0056318D">
        <w:t xml:space="preserve">Part 1 of Schedule 1 of </w:t>
      </w:r>
      <w:r w:rsidR="006B1BA1">
        <w:t xml:space="preserve">the amended </w:t>
      </w:r>
      <w:r w:rsidRPr="0056318D">
        <w:t>NSR</w:t>
      </w:r>
      <w:r w:rsidR="006B1BA1">
        <w:t>19 (July 2026)</w:t>
      </w:r>
      <w:r w:rsidRPr="0056318D">
        <w:t xml:space="preserve"> specifies </w:t>
      </w:r>
      <w:r>
        <w:t>the following nine</w:t>
      </w:r>
      <w:r w:rsidRPr="0056318D">
        <w:t xml:space="preserve"> types of QNF: </w:t>
      </w:r>
    </w:p>
    <w:p w14:paraId="593F4CF4" w14:textId="77777777" w:rsidR="005F2169" w:rsidRDefault="005F2169" w:rsidP="004F261E">
      <w:pPr>
        <w:pStyle w:val="NumList2"/>
        <w:numPr>
          <w:ilvl w:val="1"/>
          <w:numId w:val="70"/>
        </w:numPr>
        <w:ind w:left="1276"/>
      </w:pPr>
      <w:r w:rsidRPr="0034260B">
        <w:t>Conversion and Fuel Fabrication Facilities</w:t>
      </w:r>
    </w:p>
    <w:p w14:paraId="6C780C3F" w14:textId="77777777" w:rsidR="005F2169" w:rsidRDefault="005F2169" w:rsidP="005F2169">
      <w:pPr>
        <w:pStyle w:val="NumList2"/>
      </w:pPr>
      <w:r w:rsidRPr="00B1231F">
        <w:t>Critical and Subcritical Facilities</w:t>
      </w:r>
    </w:p>
    <w:p w14:paraId="547AC465" w14:textId="77777777" w:rsidR="005F2169" w:rsidRDefault="005F2169" w:rsidP="005F2169">
      <w:pPr>
        <w:pStyle w:val="NumList2"/>
      </w:pPr>
      <w:r w:rsidRPr="00B1231F">
        <w:t>Isotopic Enrichment Facilities</w:t>
      </w:r>
    </w:p>
    <w:p w14:paraId="04CD4C1C" w14:textId="77777777" w:rsidR="005F2169" w:rsidRDefault="005F2169" w:rsidP="005F2169">
      <w:pPr>
        <w:pStyle w:val="NumList2"/>
      </w:pPr>
      <w:r w:rsidRPr="009A265F">
        <w:t>Reprocessing Facilities</w:t>
      </w:r>
    </w:p>
    <w:p w14:paraId="52ED737C" w14:textId="77777777" w:rsidR="005F2169" w:rsidRDefault="005F2169" w:rsidP="005F2169">
      <w:pPr>
        <w:pStyle w:val="NumList2"/>
      </w:pPr>
      <w:r w:rsidRPr="00F070C4">
        <w:t>Research and Development Facilities</w:t>
      </w:r>
    </w:p>
    <w:p w14:paraId="7A74476A" w14:textId="77777777" w:rsidR="005F2169" w:rsidRDefault="005F2169" w:rsidP="005F2169">
      <w:pPr>
        <w:pStyle w:val="NumList2"/>
      </w:pPr>
      <w:r w:rsidRPr="00F070C4">
        <w:t>Research and Power Reactors</w:t>
      </w:r>
    </w:p>
    <w:p w14:paraId="59E4B8E0" w14:textId="77777777" w:rsidR="005F2169" w:rsidRDefault="005F2169" w:rsidP="005F2169">
      <w:pPr>
        <w:pStyle w:val="NumList2"/>
      </w:pPr>
      <w:r w:rsidRPr="0040266D">
        <w:t>Separate Storage Facilities</w:t>
      </w:r>
    </w:p>
    <w:p w14:paraId="36953D85" w14:textId="77777777" w:rsidR="005F2169" w:rsidRDefault="005F2169" w:rsidP="005F2169">
      <w:pPr>
        <w:pStyle w:val="NumList2"/>
      </w:pPr>
      <w:r w:rsidRPr="0040266D">
        <w:t>Spent Fuel Encapsulation Facilities</w:t>
      </w:r>
    </w:p>
    <w:p w14:paraId="1665F07C" w14:textId="77777777" w:rsidR="005F2169" w:rsidRDefault="005F2169" w:rsidP="005F2169">
      <w:pPr>
        <w:pStyle w:val="NumList2"/>
      </w:pPr>
      <w:r w:rsidRPr="00362DA7">
        <w:t>Qualifying Nuclear Facilities with Limited Operation</w:t>
      </w:r>
    </w:p>
    <w:p w14:paraId="0F89FEFE" w14:textId="5BB3A94F" w:rsidR="00A84D2D" w:rsidRDefault="00A84D2D" w:rsidP="004A31C3">
      <w:pPr>
        <w:pStyle w:val="F9-Paragraph"/>
      </w:pPr>
      <w:r>
        <w:lastRenderedPageBreak/>
        <w:t>The inspector should note that w</w:t>
      </w:r>
      <w:r w:rsidR="004B0303">
        <w:t>h</w:t>
      </w:r>
      <w:r>
        <w:t>ilst not included within NSR19, there is also an IAEA DIQ for geological disposal facili</w:t>
      </w:r>
      <w:r w:rsidR="004B0303">
        <w:t>ty’s which is available on request from the IAEA should the inspector wish to use it to facilitate engagements with operators in the UK around a future geological disposal facility.</w:t>
      </w:r>
    </w:p>
    <w:p w14:paraId="5FC77E5E" w14:textId="0B3F1EB7" w:rsidR="005F2169" w:rsidRPr="0056318D" w:rsidRDefault="005F2169" w:rsidP="004A31C3">
      <w:pPr>
        <w:pStyle w:val="F9-Paragraph"/>
      </w:pPr>
      <w:r>
        <w:t>For e</w:t>
      </w:r>
      <w:r w:rsidRPr="0056318D">
        <w:t xml:space="preserve">ach type of facility </w:t>
      </w:r>
      <w:r>
        <w:t xml:space="preserve">the appropriate questionnaire in Part 1 of Schedule 1 must be completed </w:t>
      </w:r>
      <w:r w:rsidRPr="0056318D">
        <w:t>and these all require information at proportionate levels of detail that:</w:t>
      </w:r>
    </w:p>
    <w:p w14:paraId="0347B445" w14:textId="4156FE0D" w:rsidR="005F2169" w:rsidRPr="0056318D" w:rsidRDefault="005F2169" w:rsidP="004F261E">
      <w:pPr>
        <w:pStyle w:val="NumList2"/>
        <w:numPr>
          <w:ilvl w:val="1"/>
          <w:numId w:val="71"/>
        </w:numPr>
        <w:ind w:left="1276"/>
      </w:pPr>
      <w:r w:rsidRPr="0056318D">
        <w:t>Identify the date of issue</w:t>
      </w:r>
      <w:r w:rsidR="00DA6493">
        <w:t>/</w:t>
      </w:r>
      <w:r w:rsidRPr="0056318D">
        <w:t>revision</w:t>
      </w:r>
    </w:p>
    <w:p w14:paraId="70DB5F8E" w14:textId="77777777" w:rsidR="005F2169" w:rsidRPr="0056318D" w:rsidRDefault="005F2169" w:rsidP="005F2169">
      <w:pPr>
        <w:pStyle w:val="NumList2"/>
      </w:pPr>
      <w:r w:rsidRPr="0056318D">
        <w:t xml:space="preserve">Identify the </w:t>
      </w:r>
      <w:r>
        <w:t>QNF</w:t>
      </w:r>
      <w:r w:rsidRPr="0056318D">
        <w:t xml:space="preserve"> - including the operator and location of the </w:t>
      </w:r>
      <w:r>
        <w:t>QNF</w:t>
      </w:r>
      <w:r w:rsidRPr="0056318D">
        <w:t xml:space="preserve"> and types of </w:t>
      </w:r>
      <w:r>
        <w:t>QNM</w:t>
      </w:r>
      <w:r w:rsidRPr="0056318D">
        <w:t xml:space="preserve"> the operator manages there and generally the description of the installation, the form, quantity, location and flow of QNM being used, the layout of the installation, containment features.</w:t>
      </w:r>
    </w:p>
    <w:p w14:paraId="2AEDB609" w14:textId="77777777" w:rsidR="005F2169" w:rsidRPr="0056318D" w:rsidRDefault="005F2169" w:rsidP="005F2169">
      <w:pPr>
        <w:pStyle w:val="NumList2"/>
      </w:pPr>
      <w:r w:rsidRPr="0056318D">
        <w:t xml:space="preserve">Describes the </w:t>
      </w:r>
      <w:r>
        <w:t>a</w:t>
      </w:r>
      <w:r w:rsidRPr="0056318D">
        <w:t xml:space="preserve">ccountancy and </w:t>
      </w:r>
      <w:r>
        <w:t>c</w:t>
      </w:r>
      <w:r w:rsidRPr="0056318D">
        <w:t>ontrol arrangements - in terms of the procedures for QNM Accountancy, Control &amp; Safeguards (NMACS) including procedures for physical inventory taking and organisational arrangements for accountancy and control of QNM.</w:t>
      </w:r>
    </w:p>
    <w:p w14:paraId="7C6D53F4" w14:textId="12C68B7C" w:rsidR="005F2169" w:rsidRDefault="005F2169" w:rsidP="004A31C3">
      <w:pPr>
        <w:pStyle w:val="F9-Paragraph"/>
      </w:pPr>
      <w:r>
        <w:t>Relevant good practice for detail expected in an operators submission of safeguards-relevant design information using the appropriate questionnaire can be found in IAEA guidance</w:t>
      </w:r>
      <w:r w:rsidR="00FA3FA3">
        <w:t xml:space="preserve"> </w:t>
      </w:r>
      <w:sdt>
        <w:sdtPr>
          <w:id w:val="409269732"/>
          <w:citation/>
        </w:sdtPr>
        <w:sdtEndPr/>
        <w:sdtContent>
          <w:r w:rsidR="00FA3FA3">
            <w:fldChar w:fldCharType="begin"/>
          </w:r>
          <w:r w:rsidR="00FA3FA3">
            <w:instrText xml:space="preserve"> CITATION IAE211 \l 2057 </w:instrText>
          </w:r>
          <w:r w:rsidR="00FA3FA3">
            <w:fldChar w:fldCharType="separate"/>
          </w:r>
          <w:r w:rsidR="00DA6493" w:rsidRPr="00DA6493">
            <w:rPr>
              <w:noProof/>
            </w:rPr>
            <w:t>[28]</w:t>
          </w:r>
          <w:r w:rsidR="00FA3FA3">
            <w:fldChar w:fldCharType="end"/>
          </w:r>
        </w:sdtContent>
      </w:sdt>
      <w:r>
        <w:t>.</w:t>
      </w:r>
    </w:p>
    <w:p w14:paraId="093AABEF" w14:textId="24227AF8" w:rsidR="005F2169" w:rsidRDefault="005F2169" w:rsidP="004A31C3">
      <w:pPr>
        <w:pStyle w:val="F9-Paragraph"/>
      </w:pPr>
      <w:r w:rsidRPr="0056318D">
        <w:t xml:space="preserve">Under Regulation 3(3) an </w:t>
      </w:r>
      <w:r>
        <w:t>o</w:t>
      </w:r>
      <w:r w:rsidRPr="0056318D">
        <w:t xml:space="preserve">perator must inform ONR of changes to </w:t>
      </w:r>
      <w:r>
        <w:t>design information within the period of 23 days beginning with the day on which the change is completed.</w:t>
      </w:r>
      <w:r w:rsidRPr="0056318D">
        <w:t xml:space="preserve"> </w:t>
      </w:r>
      <w:r>
        <w:t>I</w:t>
      </w:r>
      <w:r w:rsidRPr="0056318D">
        <w:t xml:space="preserve">t is an ONR expectation that the operator will, in an appropriate and proportionate manner, submit the revised </w:t>
      </w:r>
      <w:r>
        <w:t>DIQ</w:t>
      </w:r>
      <w:r w:rsidRPr="0056318D">
        <w:t xml:space="preserve"> with that change highlighted should it be of NMACS significance to the </w:t>
      </w:r>
      <w:r>
        <w:t>QNF</w:t>
      </w:r>
      <w:r w:rsidRPr="0056318D">
        <w:t>.</w:t>
      </w:r>
      <w:r w:rsidR="00624DEC">
        <w:t xml:space="preserve"> The inspector should also encourage the operator to submit the updated design information as early as possible</w:t>
      </w:r>
      <w:r w:rsidR="00464081">
        <w:t xml:space="preserve">, not using the statutory timescale as a target, to allow sufficient time for </w:t>
      </w:r>
      <w:r w:rsidR="004B1EC7">
        <w:t xml:space="preserve">ONR review, assessment and operator updates following regulatory feedback. </w:t>
      </w:r>
      <w:r w:rsidR="006120F4">
        <w:t>This will support the UK in meeting its international obligations to the IAEA for s</w:t>
      </w:r>
      <w:r w:rsidR="006B38B3">
        <w:t>ubmission of changes to design information.</w:t>
      </w:r>
    </w:p>
    <w:p w14:paraId="2AE29FB4" w14:textId="77777777" w:rsidR="005F2169" w:rsidRDefault="005F2169" w:rsidP="004A31C3">
      <w:pPr>
        <w:pStyle w:val="F9-Paragraph"/>
      </w:pPr>
      <w:r w:rsidRPr="0056318D">
        <w:t>Regulation 3(5) allows the ONR to request in writing any</w:t>
      </w:r>
      <w:r>
        <w:t xml:space="preserve"> </w:t>
      </w:r>
      <w:r w:rsidRPr="0056318D">
        <w:t xml:space="preserve">further details, explanations, amplifications, or clarifications of any information required for regulatory purposes which the operator must then supply. </w:t>
      </w:r>
    </w:p>
    <w:p w14:paraId="531598DA" w14:textId="7E99A3C0" w:rsidR="005F2169" w:rsidRPr="000844C3" w:rsidRDefault="005F2169" w:rsidP="004A31C3">
      <w:pPr>
        <w:pStyle w:val="F9-Paragraph"/>
      </w:pPr>
      <w:r w:rsidRPr="00284F7C">
        <w:t xml:space="preserve">In the case of new QNFs under Regulation 3(2) the operator must </w:t>
      </w:r>
      <w:r>
        <w:t>submit design information</w:t>
      </w:r>
      <w:r w:rsidRPr="00284F7C">
        <w:t xml:space="preserve"> to the </w:t>
      </w:r>
      <w:r w:rsidRPr="000844C3">
        <w:t>ONR at several design and construction stages</w:t>
      </w:r>
      <w:r>
        <w:t xml:space="preserve">. </w:t>
      </w:r>
      <w:r w:rsidRPr="007E0C19">
        <w:t>Regulation 3(2) also requires an operator to provide design information to ONR where there is a change to the type or purpose of a facility.</w:t>
      </w:r>
    </w:p>
    <w:p w14:paraId="7E95C293" w14:textId="33D1BED1" w:rsidR="005F2169" w:rsidRPr="000844C3" w:rsidRDefault="005F2169" w:rsidP="004F261E">
      <w:pPr>
        <w:pStyle w:val="NumList2"/>
        <w:numPr>
          <w:ilvl w:val="1"/>
          <w:numId w:val="72"/>
        </w:numPr>
        <w:ind w:left="1276"/>
      </w:pPr>
      <w:r w:rsidRPr="000844C3">
        <w:lastRenderedPageBreak/>
        <w:t xml:space="preserve">Preliminary </w:t>
      </w:r>
      <w:r>
        <w:t xml:space="preserve">design information </w:t>
      </w:r>
      <w:r w:rsidRPr="000844C3">
        <w:t>- as soon as the decision to construct or authorise construction</w:t>
      </w:r>
      <w:r>
        <w:t xml:space="preserve">, or make a change to </w:t>
      </w:r>
      <w:r w:rsidR="009F7F14">
        <w:t xml:space="preserve">type or purpose of </w:t>
      </w:r>
      <w:r>
        <w:t>a facility</w:t>
      </w:r>
      <w:r w:rsidRPr="000844C3">
        <w:t xml:space="preserve"> has been taken</w:t>
      </w:r>
    </w:p>
    <w:p w14:paraId="52568A5F" w14:textId="77777777" w:rsidR="005F2169" w:rsidRPr="000844C3" w:rsidRDefault="005F2169" w:rsidP="00FA3FA3">
      <w:pPr>
        <w:pStyle w:val="NumList2"/>
      </w:pPr>
      <w:r>
        <w:t>DIQ</w:t>
      </w:r>
      <w:r w:rsidRPr="000844C3">
        <w:t xml:space="preserve"> based on the final design of the QNF using the relevant questionnaire shown in Part 1 of Schedule 1 - not later than 200 days prior to and ending on the day on which construction</w:t>
      </w:r>
      <w:r>
        <w:t xml:space="preserve"> or repurposing</w:t>
      </w:r>
      <w:r w:rsidRPr="000844C3">
        <w:t xml:space="preserve"> is started</w:t>
      </w:r>
    </w:p>
    <w:p w14:paraId="5D0739D9" w14:textId="3E1F39C6" w:rsidR="005F2169" w:rsidRPr="000844C3" w:rsidRDefault="005F2169" w:rsidP="00FA3FA3">
      <w:pPr>
        <w:pStyle w:val="NumList2"/>
      </w:pPr>
      <w:r>
        <w:rPr>
          <w:rFonts w:cs="Arial"/>
          <w:lang w:eastAsia="en-GB"/>
        </w:rPr>
        <w:t>DIQ</w:t>
      </w:r>
      <w:r w:rsidRPr="000844C3">
        <w:rPr>
          <w:rFonts w:cs="Arial"/>
          <w:lang w:eastAsia="en-GB"/>
        </w:rPr>
        <w:t xml:space="preserve"> of the facility as built, using the relevant questionnaire shown in Part 1 of Schedule 1, not later than 200 days before the day on which</w:t>
      </w:r>
      <w:r w:rsidR="00FA3FA3">
        <w:rPr>
          <w:lang w:eastAsia="en-GB"/>
        </w:rPr>
        <w:t>:</w:t>
      </w:r>
    </w:p>
    <w:p w14:paraId="794323C7" w14:textId="77777777" w:rsidR="005F2169" w:rsidRPr="000844C3" w:rsidRDefault="005F2169" w:rsidP="004F261E">
      <w:pPr>
        <w:pStyle w:val="NumList1"/>
        <w:numPr>
          <w:ilvl w:val="0"/>
          <w:numId w:val="73"/>
        </w:numPr>
        <w:ind w:left="1843"/>
      </w:pPr>
      <w:r w:rsidRPr="000844C3">
        <w:t>QNM is first received at the facility</w:t>
      </w:r>
    </w:p>
    <w:p w14:paraId="1FC0835A" w14:textId="77777777" w:rsidR="005F2169" w:rsidRPr="000844C3" w:rsidRDefault="005F2169" w:rsidP="00FA3FA3">
      <w:pPr>
        <w:pStyle w:val="NumList1"/>
      </w:pPr>
      <w:r w:rsidRPr="000844C3">
        <w:t>In the case of a QNF which only treats or stores conditioned or retained waste, the treatment or storage begins; and</w:t>
      </w:r>
    </w:p>
    <w:p w14:paraId="4AA4EC28" w14:textId="0096D296" w:rsidR="00055A24" w:rsidRPr="0056318D" w:rsidRDefault="005F2169" w:rsidP="00DA6493">
      <w:pPr>
        <w:pStyle w:val="F9-Paragraph"/>
      </w:pPr>
      <w:r w:rsidRPr="000844C3">
        <w:t xml:space="preserve">Submissions of the extant and as built declarations should be considered for inspection using the same planning principles as for the </w:t>
      </w:r>
      <w:r>
        <w:t>DIQ</w:t>
      </w:r>
      <w:r w:rsidRPr="000844C3">
        <w:t>s of operating facilities.</w:t>
      </w:r>
    </w:p>
    <w:p w14:paraId="3EFDFC54" w14:textId="09F43F56" w:rsidR="005F2169" w:rsidRPr="00266209" w:rsidRDefault="00FA3FA3" w:rsidP="00FA3FA3">
      <w:pPr>
        <w:pStyle w:val="Heading2"/>
        <w:numPr>
          <w:ilvl w:val="0"/>
          <w:numId w:val="0"/>
        </w:numPr>
        <w:ind w:left="851"/>
      </w:pPr>
      <w:r>
        <w:t xml:space="preserve">Purpose of The </w:t>
      </w:r>
      <w:r w:rsidR="005F2169" w:rsidRPr="00266209">
        <w:t xml:space="preserve">Nuclear Safeguards (EU </w:t>
      </w:r>
      <w:r>
        <w:t>Exit</w:t>
      </w:r>
      <w:r w:rsidR="005F2169" w:rsidRPr="00266209">
        <w:t>) Regulations 2019, Regulation 3</w:t>
      </w:r>
    </w:p>
    <w:p w14:paraId="30C5EC9F" w14:textId="2EDCEA09" w:rsidR="005F2169" w:rsidRDefault="005F2169" w:rsidP="004A31C3">
      <w:pPr>
        <w:pStyle w:val="F9-Paragraph"/>
      </w:pPr>
      <w:r w:rsidRPr="0056318D">
        <w:t xml:space="preserve">The information is used by ONR to ensure that operators comply adequately with NSR19 </w:t>
      </w:r>
      <w:r>
        <w:t>and that the</w:t>
      </w:r>
      <w:r w:rsidRPr="0056318D">
        <w:t xml:space="preserve"> UK</w:t>
      </w:r>
      <w:r>
        <w:t xml:space="preserve"> continues to meet</w:t>
      </w:r>
      <w:r w:rsidRPr="0056318D">
        <w:t xml:space="preserve"> obligations for submission of design information </w:t>
      </w:r>
      <w:r>
        <w:t xml:space="preserve">to the IAEA </w:t>
      </w:r>
      <w:r w:rsidRPr="0056318D">
        <w:t>for all eligible facilities under the UK</w:t>
      </w:r>
      <w:r w:rsidR="00DA6493">
        <w:t>/</w:t>
      </w:r>
      <w:r w:rsidRPr="0056318D">
        <w:t>IAEA Safeguards Agreement</w:t>
      </w:r>
      <w:r w:rsidR="00FA3FA3">
        <w:t xml:space="preserve"> </w:t>
      </w:r>
      <w:sdt>
        <w:sdtPr>
          <w:id w:val="-1858960852"/>
          <w:citation/>
        </w:sdtPr>
        <w:sdtEndPr/>
        <w:sdtContent>
          <w:r w:rsidR="00FA3FA3">
            <w:fldChar w:fldCharType="begin"/>
          </w:r>
          <w:r w:rsidR="00FA3FA3">
            <w:instrText xml:space="preserve"> CITATION IAE10 \l 2057 </w:instrText>
          </w:r>
          <w:r w:rsidR="00FA3FA3">
            <w:fldChar w:fldCharType="separate"/>
          </w:r>
          <w:r w:rsidR="00DA6493" w:rsidRPr="00DA6493">
            <w:rPr>
              <w:noProof/>
            </w:rPr>
            <w:t>[4]</w:t>
          </w:r>
          <w:r w:rsidR="00FA3FA3">
            <w:fldChar w:fldCharType="end"/>
          </w:r>
        </w:sdtContent>
      </w:sdt>
      <w:r w:rsidRPr="0056318D">
        <w:t>.</w:t>
      </w:r>
      <w:r>
        <w:t xml:space="preserve"> </w:t>
      </w:r>
    </w:p>
    <w:p w14:paraId="34135BE4" w14:textId="49E0A7C3" w:rsidR="005F2169" w:rsidRDefault="005F2169" w:rsidP="004A31C3">
      <w:pPr>
        <w:pStyle w:val="F9-Paragraph"/>
      </w:pPr>
      <w:r w:rsidRPr="0056318D">
        <w:t xml:space="preserve">The IAEA uses this information to inform decisions on the designation of facilities for </w:t>
      </w:r>
      <w:r w:rsidR="00DB2947">
        <w:t>implementation of safeguards in the UK</w:t>
      </w:r>
      <w:r w:rsidR="00DB2947" w:rsidRPr="0056318D">
        <w:t xml:space="preserve"> </w:t>
      </w:r>
      <w:r w:rsidRPr="0056318D">
        <w:t>and for its development of the IAEA approach for safeguards inspection and verification at facilities whi</w:t>
      </w:r>
      <w:r>
        <w:t>ch are chosen for designation. IAEA guidance is available to member states which describes the nature and extent of design information expected as part of any submission</w:t>
      </w:r>
      <w:r w:rsidR="00FA3FA3">
        <w:t xml:space="preserve"> </w:t>
      </w:r>
      <w:sdt>
        <w:sdtPr>
          <w:id w:val="878445858"/>
          <w:citation/>
        </w:sdtPr>
        <w:sdtEndPr/>
        <w:sdtContent>
          <w:r w:rsidR="00FA3FA3">
            <w:fldChar w:fldCharType="begin"/>
          </w:r>
          <w:r w:rsidR="00FA3FA3">
            <w:instrText xml:space="preserve"> CITATION IAE211 \l 2057 </w:instrText>
          </w:r>
          <w:r w:rsidR="00FA3FA3">
            <w:fldChar w:fldCharType="separate"/>
          </w:r>
          <w:r w:rsidR="00DA6493" w:rsidRPr="00DA6493">
            <w:rPr>
              <w:noProof/>
            </w:rPr>
            <w:t>[28]</w:t>
          </w:r>
          <w:r w:rsidR="00FA3FA3">
            <w:fldChar w:fldCharType="end"/>
          </w:r>
        </w:sdtContent>
      </w:sdt>
      <w:r>
        <w:t>. Such design information is covered by the required content of both BTCs and DIQs</w:t>
      </w:r>
    </w:p>
    <w:p w14:paraId="65B90248" w14:textId="73F79825" w:rsidR="005F2169" w:rsidRDefault="005F2169" w:rsidP="004A31C3">
      <w:pPr>
        <w:pStyle w:val="F9-Paragraph"/>
      </w:pPr>
      <w:r>
        <w:t>D</w:t>
      </w:r>
      <w:r w:rsidR="00A54F8C">
        <w:t xml:space="preserve">esign information </w:t>
      </w:r>
      <w:r w:rsidRPr="0056318D">
        <w:t xml:space="preserve">is also used by ONR to inform its approach to regulating compliance with NSR19 for the </w:t>
      </w:r>
      <w:r>
        <w:t>QNF</w:t>
      </w:r>
      <w:r w:rsidRPr="0056318D">
        <w:t xml:space="preserve">, including the assessment and inspection of </w:t>
      </w:r>
      <w:r>
        <w:t>ACPs</w:t>
      </w:r>
      <w:r w:rsidRPr="0056318D">
        <w:t xml:space="preserve"> and, where appropriate, the development of </w:t>
      </w:r>
      <w:r>
        <w:t>s</w:t>
      </w:r>
      <w:r w:rsidRPr="0056318D">
        <w:t xml:space="preserve">afeguards </w:t>
      </w:r>
      <w:r>
        <w:t>s</w:t>
      </w:r>
      <w:r w:rsidRPr="0056318D">
        <w:t>ystem</w:t>
      </w:r>
      <w:r>
        <w:t>-b</w:t>
      </w:r>
      <w:r w:rsidRPr="0056318D">
        <w:t xml:space="preserve">ased </w:t>
      </w:r>
      <w:r>
        <w:t>i</w:t>
      </w:r>
      <w:r w:rsidRPr="0056318D">
        <w:t>nspections (SSBIs).</w:t>
      </w:r>
    </w:p>
    <w:p w14:paraId="6B3D6856" w14:textId="77777777" w:rsidR="002B1E6E" w:rsidRDefault="002B1E6E" w:rsidP="004A31C3">
      <w:pPr>
        <w:pStyle w:val="F9-Paragraph"/>
        <w:numPr>
          <w:ilvl w:val="0"/>
          <w:numId w:val="0"/>
        </w:numPr>
        <w:ind w:left="851"/>
      </w:pPr>
    </w:p>
    <w:p w14:paraId="6B6F4680" w14:textId="7C94C24B" w:rsidR="005F2169" w:rsidRPr="00266209" w:rsidRDefault="00FA3FA3" w:rsidP="00FA3FA3">
      <w:pPr>
        <w:pStyle w:val="Heading2"/>
        <w:numPr>
          <w:ilvl w:val="0"/>
          <w:numId w:val="0"/>
        </w:numPr>
        <w:ind w:left="851"/>
      </w:pPr>
      <w:r>
        <w:lastRenderedPageBreak/>
        <w:t xml:space="preserve">Guidance on planning an inspection involving </w:t>
      </w:r>
      <w:r w:rsidR="00F553A3">
        <w:t>submitted design information</w:t>
      </w:r>
    </w:p>
    <w:p w14:paraId="26F086E6" w14:textId="77777777" w:rsidR="005F2169" w:rsidRDefault="005F2169" w:rsidP="004A31C3">
      <w:pPr>
        <w:pStyle w:val="F9-Paragraph"/>
      </w:pPr>
      <w:r w:rsidRPr="0056318D">
        <w:t xml:space="preserve">The purpose of this section is to assist inspectors in identifying aspects of </w:t>
      </w:r>
      <w:r>
        <w:t>design information</w:t>
      </w:r>
      <w:r w:rsidRPr="0056318D">
        <w:t xml:space="preserve"> that can be examined during inspections to establish whether the declaration is </w:t>
      </w:r>
      <w:r>
        <w:t>correct, complete and proportionate</w:t>
      </w:r>
      <w:r w:rsidRPr="0056318D">
        <w:t xml:space="preserve"> and/or that in the inspector’s opinion implementation of the operators</w:t>
      </w:r>
      <w:r>
        <w:t>’</w:t>
      </w:r>
      <w:r w:rsidRPr="0056318D">
        <w:t xml:space="preserve"> declared arrangements demonstrates adequate compliance with NSR19.</w:t>
      </w:r>
      <w:r>
        <w:t xml:space="preserve"> </w:t>
      </w:r>
    </w:p>
    <w:p w14:paraId="7473FCB2" w14:textId="2DD89C03" w:rsidR="005F2169" w:rsidRDefault="005F2169" w:rsidP="004A31C3">
      <w:pPr>
        <w:pStyle w:val="F9-Paragraph"/>
      </w:pPr>
      <w:r w:rsidRPr="0056318D">
        <w:t xml:space="preserve">When </w:t>
      </w:r>
      <w:r>
        <w:t>new design information</w:t>
      </w:r>
      <w:r w:rsidRPr="0056318D">
        <w:t xml:space="preserve"> has been submitted for a planned </w:t>
      </w:r>
      <w:r>
        <w:t>QNF</w:t>
      </w:r>
      <w:r w:rsidRPr="0056318D">
        <w:t xml:space="preserve">, or one under construction, inspection activities should be considered, and focussed by assessment, at the earliest relevant time including, for example, to confirm the design and construction of key NMACS related features of the </w:t>
      </w:r>
      <w:r>
        <w:t>QNF</w:t>
      </w:r>
      <w:r w:rsidRPr="0056318D">
        <w:t xml:space="preserve"> which may become inaccessible following construction during the</w:t>
      </w:r>
      <w:r w:rsidR="003C18E9">
        <w:t xml:space="preserve"> remainder of the</w:t>
      </w:r>
      <w:r w:rsidRPr="0056318D">
        <w:t xml:space="preserve"> facilit</w:t>
      </w:r>
      <w:r>
        <w:t>y</w:t>
      </w:r>
      <w:r w:rsidRPr="0056318D">
        <w:t xml:space="preserve"> lifecycle.</w:t>
      </w:r>
      <w:r>
        <w:t xml:space="preserve"> </w:t>
      </w:r>
      <w:r w:rsidRPr="0056318D">
        <w:t>Detailed assessment may be warranted in the situation of complex facilit</w:t>
      </w:r>
      <w:r>
        <w:t>y’</w:t>
      </w:r>
      <w:r w:rsidRPr="0056318D">
        <w:t xml:space="preserve">s whereupon the guidance for assessment of </w:t>
      </w:r>
      <w:r>
        <w:t>design information</w:t>
      </w:r>
      <w:r w:rsidRPr="0056318D">
        <w:t xml:space="preserve"> should also be used in parallel.</w:t>
      </w:r>
    </w:p>
    <w:p w14:paraId="20B21C05" w14:textId="303DF642" w:rsidR="005F2169" w:rsidRDefault="005F2169" w:rsidP="004A31C3">
      <w:pPr>
        <w:pStyle w:val="F9-Paragraph"/>
      </w:pPr>
      <w:r w:rsidRPr="0056318D">
        <w:t xml:space="preserve">When revised </w:t>
      </w:r>
      <w:r w:rsidR="003C18E9">
        <w:t>or updated</w:t>
      </w:r>
      <w:r w:rsidR="005E6C47">
        <w:t xml:space="preserve"> </w:t>
      </w:r>
      <w:r>
        <w:t>design information</w:t>
      </w:r>
      <w:r w:rsidRPr="0056318D">
        <w:t xml:space="preserve"> is submitted which indicates changes to an operating </w:t>
      </w:r>
      <w:r>
        <w:t>QNF</w:t>
      </w:r>
      <w:r w:rsidRPr="0056318D">
        <w:t xml:space="preserve"> already subject to safeguards regulation by the ONR, inspection activities may be carried out before, during, or after the changes, as is appropriate for the </w:t>
      </w:r>
      <w:r>
        <w:t>QNF</w:t>
      </w:r>
      <w:r w:rsidRPr="0056318D">
        <w:t xml:space="preserve"> to assure ONR that the changes have been implemented as declared and the outcome does not impact on the existing </w:t>
      </w:r>
      <w:r>
        <w:t>regulatory</w:t>
      </w:r>
      <w:r w:rsidRPr="0056318D">
        <w:t xml:space="preserve"> approach being adopted by ONR.</w:t>
      </w:r>
    </w:p>
    <w:p w14:paraId="6BE9C042" w14:textId="77777777" w:rsidR="005F2169" w:rsidRPr="0056318D" w:rsidRDefault="005F2169" w:rsidP="004A31C3">
      <w:pPr>
        <w:pStyle w:val="F9-Paragraph"/>
      </w:pPr>
      <w:r w:rsidRPr="0056318D">
        <w:t xml:space="preserve">Some of the following may help the inspector when planning for </w:t>
      </w:r>
      <w:r>
        <w:t xml:space="preserve">design information </w:t>
      </w:r>
      <w:r w:rsidRPr="0056318D">
        <w:t>inspection. The following list is neither exclusive nor exhaustive and will be subject to review and revision in the light of operational experience:</w:t>
      </w:r>
    </w:p>
    <w:p w14:paraId="01819905" w14:textId="77777777" w:rsidR="005F2169" w:rsidRDefault="005F2169" w:rsidP="004F261E">
      <w:pPr>
        <w:pStyle w:val="NumList2"/>
        <w:numPr>
          <w:ilvl w:val="1"/>
          <w:numId w:val="74"/>
        </w:numPr>
        <w:ind w:left="1276"/>
      </w:pPr>
      <w:r w:rsidRPr="0056318D">
        <w:t xml:space="preserve">Establish that the </w:t>
      </w:r>
      <w:r>
        <w:t>QNM</w:t>
      </w:r>
      <w:r w:rsidRPr="0056318D">
        <w:t xml:space="preserve"> present, </w:t>
      </w:r>
      <w:r>
        <w:t>its use</w:t>
      </w:r>
      <w:r w:rsidRPr="0056318D">
        <w:t xml:space="preserve"> and purpose of the </w:t>
      </w:r>
      <w:r>
        <w:t>QNF</w:t>
      </w:r>
      <w:r w:rsidRPr="0056318D">
        <w:t xml:space="preserve"> are as </w:t>
      </w:r>
      <w:r>
        <w:t>declared</w:t>
      </w:r>
      <w:r w:rsidRPr="0056318D">
        <w:t xml:space="preserve"> in the </w:t>
      </w:r>
      <w:r>
        <w:t>design information</w:t>
      </w:r>
      <w:r w:rsidRPr="0056318D">
        <w:t>.</w:t>
      </w:r>
    </w:p>
    <w:p w14:paraId="63D7FDCD" w14:textId="77777777" w:rsidR="005F2169" w:rsidRPr="0056318D" w:rsidRDefault="005F2169" w:rsidP="00FA3FA3">
      <w:pPr>
        <w:pStyle w:val="NumList2"/>
      </w:pPr>
      <w:r>
        <w:t>Establish essential equipment key to the operation of the facility which will be monitored throughout the facility lifecycle and will support determination of decommissioned for safeguards purposes at the end of the facility lifecycle.</w:t>
      </w:r>
    </w:p>
    <w:p w14:paraId="70308906" w14:textId="77777777" w:rsidR="005F2169" w:rsidRPr="0056318D" w:rsidRDefault="005F2169" w:rsidP="00FA3FA3">
      <w:pPr>
        <w:pStyle w:val="NumList2"/>
      </w:pPr>
      <w:r w:rsidRPr="0056318D">
        <w:t xml:space="preserve">Confirm that the geographical location, buildings, </w:t>
      </w:r>
      <w:r>
        <w:t>QNF</w:t>
      </w:r>
      <w:r w:rsidRPr="0056318D">
        <w:t xml:space="preserve"> layout, quantities of </w:t>
      </w:r>
      <w:r>
        <w:t>QNM</w:t>
      </w:r>
      <w:r w:rsidRPr="0056318D">
        <w:t xml:space="preserve"> and their containment are as </w:t>
      </w:r>
      <w:r>
        <w:t>declared</w:t>
      </w:r>
      <w:r w:rsidRPr="0056318D">
        <w:t xml:space="preserve"> in the </w:t>
      </w:r>
      <w:r>
        <w:t>design information</w:t>
      </w:r>
      <w:r w:rsidRPr="0056318D">
        <w:t>.</w:t>
      </w:r>
    </w:p>
    <w:p w14:paraId="11059189" w14:textId="31627DAB" w:rsidR="005F2169" w:rsidRPr="0056318D" w:rsidRDefault="005F2169" w:rsidP="00FA3FA3">
      <w:pPr>
        <w:pStyle w:val="NumList2"/>
      </w:pPr>
      <w:r w:rsidRPr="0056318D">
        <w:t>Confirm the leadership and management system and that there is a clear understanding of owner</w:t>
      </w:r>
      <w:r w:rsidR="00DA6493">
        <w:t>/</w:t>
      </w:r>
      <w:r w:rsidRPr="0056318D">
        <w:t>operator accountability.</w:t>
      </w:r>
    </w:p>
    <w:p w14:paraId="1DACED0B" w14:textId="77777777" w:rsidR="005F2169" w:rsidRPr="0056318D" w:rsidRDefault="005F2169" w:rsidP="00FA3FA3">
      <w:pPr>
        <w:pStyle w:val="NumList2"/>
      </w:pPr>
      <w:r w:rsidRPr="0056318D">
        <w:t xml:space="preserve">Confirm that a </w:t>
      </w:r>
      <w:r>
        <w:t>nuclear material a</w:t>
      </w:r>
      <w:r w:rsidRPr="0056318D">
        <w:t>ccountancy reporting system is in place and effective.</w:t>
      </w:r>
    </w:p>
    <w:p w14:paraId="0E0E8249" w14:textId="77777777" w:rsidR="005F2169" w:rsidRPr="0056318D" w:rsidRDefault="005F2169" w:rsidP="00FA3FA3">
      <w:pPr>
        <w:pStyle w:val="NumList2"/>
      </w:pPr>
      <w:r w:rsidRPr="0056318D">
        <w:lastRenderedPageBreak/>
        <w:t xml:space="preserve">Confirm that arrangements are in place to report and demonstrate control of </w:t>
      </w:r>
      <w:r>
        <w:t>QNM</w:t>
      </w:r>
      <w:r w:rsidRPr="0056318D">
        <w:t xml:space="preserve"> and are they being followed.</w:t>
      </w:r>
    </w:p>
    <w:p w14:paraId="5DA8E257" w14:textId="77777777" w:rsidR="005F2169" w:rsidRPr="0056318D" w:rsidRDefault="005F2169" w:rsidP="00FA3FA3">
      <w:pPr>
        <w:pStyle w:val="NumList2"/>
      </w:pPr>
      <w:r w:rsidRPr="0056318D">
        <w:t>Identify constraints on the NMACS system.</w:t>
      </w:r>
    </w:p>
    <w:p w14:paraId="330009CF" w14:textId="77777777" w:rsidR="005F2169" w:rsidRPr="0056318D" w:rsidRDefault="005F2169" w:rsidP="00FA3FA3">
      <w:pPr>
        <w:pStyle w:val="NumList2"/>
      </w:pPr>
      <w:r w:rsidRPr="0056318D">
        <w:t>Confirm the accountability and significance of NMACS is understood throughout the management chain.</w:t>
      </w:r>
    </w:p>
    <w:p w14:paraId="23851AC0" w14:textId="77777777" w:rsidR="005F2169" w:rsidRPr="0056318D" w:rsidRDefault="005F2169" w:rsidP="004A31C3">
      <w:pPr>
        <w:pStyle w:val="F9-Paragraph"/>
      </w:pPr>
      <w:r w:rsidRPr="0056318D">
        <w:t xml:space="preserve">Aspects of </w:t>
      </w:r>
      <w:r>
        <w:t>design information</w:t>
      </w:r>
      <w:r w:rsidRPr="0056318D">
        <w:t xml:space="preserve"> such as those listed above may also assist and inform the ONR assessment and inspection of ACPs.</w:t>
      </w:r>
    </w:p>
    <w:p w14:paraId="445FF557" w14:textId="77777777" w:rsidR="005F2169" w:rsidRPr="0056318D" w:rsidRDefault="005F2169" w:rsidP="004A31C3">
      <w:pPr>
        <w:pStyle w:val="F9-Paragraph"/>
      </w:pPr>
      <w:r w:rsidRPr="0056318D">
        <w:t xml:space="preserve">Access to key personnel with the required knowledge of the </w:t>
      </w:r>
      <w:r>
        <w:t>design information</w:t>
      </w:r>
      <w:r w:rsidRPr="0056318D">
        <w:t xml:space="preserve"> and its implementation s</w:t>
      </w:r>
      <w:r>
        <w:t>hould be identified and planned.</w:t>
      </w:r>
    </w:p>
    <w:p w14:paraId="3053F049" w14:textId="2C95818E" w:rsidR="005F2169" w:rsidRDefault="005F2169" w:rsidP="004A31C3">
      <w:pPr>
        <w:pStyle w:val="F9-Paragraph"/>
      </w:pPr>
      <w:r w:rsidRPr="0056318D">
        <w:t xml:space="preserve">The ONR </w:t>
      </w:r>
      <w:r>
        <w:t>i</w:t>
      </w:r>
      <w:r w:rsidRPr="0056318D">
        <w:t xml:space="preserve">nspector should liaise with </w:t>
      </w:r>
      <w:r>
        <w:t xml:space="preserve">other </w:t>
      </w:r>
      <w:r w:rsidRPr="0056318D">
        <w:t xml:space="preserve">ONR colleagues to </w:t>
      </w:r>
      <w:r>
        <w:t>understand</w:t>
      </w:r>
      <w:r w:rsidRPr="0056318D">
        <w:t xml:space="preserve"> any current regulatory intelligence that may impact on or focus an NMACS inspection </w:t>
      </w:r>
      <w:r w:rsidR="004A31C3">
        <w:t>(for example,</w:t>
      </w:r>
      <w:r w:rsidRPr="0056318D">
        <w:t xml:space="preserve"> safety or security inspectors regarding operational challenges or arrangements for containment of and access to QNM).</w:t>
      </w:r>
    </w:p>
    <w:p w14:paraId="2DEAFBA0" w14:textId="005AF5D2" w:rsidR="00055A24" w:rsidRDefault="00CB2032" w:rsidP="00DA6493">
      <w:pPr>
        <w:pStyle w:val="F9-Paragraph"/>
      </w:pPr>
      <w:r>
        <w:t>Other ONR guidance which the inspector may wish to consider includes, NS-INSP-GD-019</w:t>
      </w:r>
      <w:r w:rsidR="004F00AA">
        <w:t xml:space="preserve"> </w:t>
      </w:r>
      <w:sdt>
        <w:sdtPr>
          <w:id w:val="-2002344262"/>
          <w:citation/>
        </w:sdtPr>
        <w:sdtEndPr/>
        <w:sdtContent>
          <w:r w:rsidR="00B1347F">
            <w:fldChar w:fldCharType="begin"/>
          </w:r>
          <w:r w:rsidR="00B1347F">
            <w:instrText xml:space="preserve"> CITATION ONR266 \l 2057 </w:instrText>
          </w:r>
          <w:r w:rsidR="00B1347F">
            <w:fldChar w:fldCharType="separate"/>
          </w:r>
          <w:r w:rsidR="00DA6493" w:rsidRPr="00DA6493">
            <w:rPr>
              <w:noProof/>
            </w:rPr>
            <w:t>[29]</w:t>
          </w:r>
          <w:r w:rsidR="00B1347F">
            <w:fldChar w:fldCharType="end"/>
          </w:r>
        </w:sdtContent>
      </w:sdt>
      <w:r w:rsidR="004F00AA">
        <w:t xml:space="preserve">, NS-INSP-GD-020 </w:t>
      </w:r>
      <w:sdt>
        <w:sdtPr>
          <w:id w:val="1902792079"/>
          <w:citation/>
        </w:sdtPr>
        <w:sdtEndPr/>
        <w:sdtContent>
          <w:r w:rsidR="00CE62E3">
            <w:fldChar w:fldCharType="begin"/>
          </w:r>
          <w:r w:rsidR="00CE62E3">
            <w:instrText xml:space="preserve"> CITATION ONR267 \l 2057 </w:instrText>
          </w:r>
          <w:r w:rsidR="00CE62E3">
            <w:fldChar w:fldCharType="separate"/>
          </w:r>
          <w:r w:rsidR="00DA6493" w:rsidRPr="00DA6493">
            <w:rPr>
              <w:noProof/>
            </w:rPr>
            <w:t>[30]</w:t>
          </w:r>
          <w:r w:rsidR="00CE62E3">
            <w:fldChar w:fldCharType="end"/>
          </w:r>
        </w:sdtContent>
      </w:sdt>
      <w:r w:rsidR="004F00AA">
        <w:t xml:space="preserve">, NS-INSP-GD-021 </w:t>
      </w:r>
      <w:sdt>
        <w:sdtPr>
          <w:id w:val="-1793889289"/>
          <w:citation/>
        </w:sdtPr>
        <w:sdtEndPr/>
        <w:sdtContent>
          <w:r w:rsidR="005B4FE9">
            <w:fldChar w:fldCharType="begin"/>
          </w:r>
          <w:r w:rsidR="005B4FE9">
            <w:instrText xml:space="preserve"> CITATION ONR268 \l 2057 </w:instrText>
          </w:r>
          <w:r w:rsidR="005B4FE9">
            <w:fldChar w:fldCharType="separate"/>
          </w:r>
          <w:r w:rsidR="00DA6493" w:rsidRPr="00DA6493">
            <w:rPr>
              <w:noProof/>
            </w:rPr>
            <w:t>[31]</w:t>
          </w:r>
          <w:r w:rsidR="005B4FE9">
            <w:fldChar w:fldCharType="end"/>
          </w:r>
        </w:sdtContent>
      </w:sdt>
      <w:r w:rsidR="004F00AA">
        <w:t xml:space="preserve">, NS-INSP-GD-022 </w:t>
      </w:r>
      <w:sdt>
        <w:sdtPr>
          <w:id w:val="-1719664912"/>
          <w:citation/>
        </w:sdtPr>
        <w:sdtEndPr/>
        <w:sdtContent>
          <w:r w:rsidR="00354576">
            <w:fldChar w:fldCharType="begin"/>
          </w:r>
          <w:r w:rsidR="00354576">
            <w:instrText xml:space="preserve"> CITATION ONR269 \l 2057 </w:instrText>
          </w:r>
          <w:r w:rsidR="00354576">
            <w:fldChar w:fldCharType="separate"/>
          </w:r>
          <w:r w:rsidR="00DA6493" w:rsidRPr="00DA6493">
            <w:rPr>
              <w:noProof/>
            </w:rPr>
            <w:t>[32]</w:t>
          </w:r>
          <w:r w:rsidR="00354576">
            <w:fldChar w:fldCharType="end"/>
          </w:r>
        </w:sdtContent>
      </w:sdt>
      <w:r w:rsidR="002E421B">
        <w:t xml:space="preserve">, NS-INSP-GD-035 </w:t>
      </w:r>
      <w:sdt>
        <w:sdtPr>
          <w:id w:val="154577773"/>
          <w:citation/>
        </w:sdtPr>
        <w:sdtEndPr/>
        <w:sdtContent>
          <w:r w:rsidR="00354576">
            <w:fldChar w:fldCharType="begin"/>
          </w:r>
          <w:r w:rsidR="00354576">
            <w:instrText xml:space="preserve"> CITATION ONR2610 \l 2057 </w:instrText>
          </w:r>
          <w:r w:rsidR="00354576">
            <w:fldChar w:fldCharType="separate"/>
          </w:r>
          <w:r w:rsidR="00DA6493" w:rsidRPr="00DA6493">
            <w:rPr>
              <w:noProof/>
            </w:rPr>
            <w:t>[33]</w:t>
          </w:r>
          <w:r w:rsidR="00354576">
            <w:fldChar w:fldCharType="end"/>
          </w:r>
        </w:sdtContent>
      </w:sdt>
      <w:r w:rsidR="002E421B">
        <w:t>.</w:t>
      </w:r>
    </w:p>
    <w:p w14:paraId="71DE6F1B" w14:textId="6F374F2C" w:rsidR="005F2169" w:rsidRPr="002C1B0A" w:rsidRDefault="00FA3FA3" w:rsidP="00FA3FA3">
      <w:pPr>
        <w:pStyle w:val="Heading2"/>
        <w:numPr>
          <w:ilvl w:val="0"/>
          <w:numId w:val="0"/>
        </w:numPr>
        <w:ind w:left="851"/>
      </w:pPr>
      <w:r>
        <w:t>Guidance on inspection against BTCs and their implementation</w:t>
      </w:r>
    </w:p>
    <w:p w14:paraId="7D5941DC" w14:textId="77777777" w:rsidR="005F2169" w:rsidRDefault="005F2169" w:rsidP="004A31C3">
      <w:pPr>
        <w:pStyle w:val="F9-Paragraph"/>
      </w:pPr>
      <w:r>
        <w:t>Design information</w:t>
      </w:r>
      <w:r w:rsidRPr="0056318D">
        <w:t xml:space="preserve"> inspection involves a set of activities carried out by </w:t>
      </w:r>
      <w:r>
        <w:t>i</w:t>
      </w:r>
      <w:r w:rsidRPr="0056318D">
        <w:t xml:space="preserve">nspectors at a </w:t>
      </w:r>
      <w:r>
        <w:t>QNF</w:t>
      </w:r>
      <w:r w:rsidRPr="0056318D">
        <w:t xml:space="preserve"> to assure themselves of the </w:t>
      </w:r>
      <w:r>
        <w:t xml:space="preserve">adequacy, </w:t>
      </w:r>
      <w:r w:rsidRPr="0056318D">
        <w:t xml:space="preserve">correctness and completeness of the design information provided by the operator in the </w:t>
      </w:r>
      <w:r>
        <w:t>relevant questionnaire submitted</w:t>
      </w:r>
      <w:r w:rsidRPr="0056318D">
        <w:t xml:space="preserve">. </w:t>
      </w:r>
    </w:p>
    <w:p w14:paraId="64409A38" w14:textId="77777777" w:rsidR="005F2169" w:rsidRDefault="005F2169" w:rsidP="004A31C3">
      <w:pPr>
        <w:pStyle w:val="F9-Paragraph"/>
      </w:pPr>
      <w:r w:rsidRPr="0056318D">
        <w:t xml:space="preserve">The design information is verified to confirm that the as-designed </w:t>
      </w:r>
      <w:r>
        <w:t>QNF</w:t>
      </w:r>
      <w:r w:rsidRPr="0056318D">
        <w:t xml:space="preserve"> during construction and the as-built </w:t>
      </w:r>
      <w:r>
        <w:t>QNF</w:t>
      </w:r>
      <w:r w:rsidRPr="0056318D">
        <w:t xml:space="preserve"> is as declared </w:t>
      </w:r>
      <w:r>
        <w:t xml:space="preserve">in design information </w:t>
      </w:r>
      <w:r w:rsidRPr="0056318D">
        <w:t xml:space="preserve">by the operator. If changes in design information are declared to have taken place, such changes may be confirmed by ONR, including as a possible basis for changing the ONR approach to regulating compliance for the </w:t>
      </w:r>
      <w:r>
        <w:t>QNF</w:t>
      </w:r>
      <w:r w:rsidRPr="0056318D">
        <w:t xml:space="preserve"> against NSR19.</w:t>
      </w:r>
    </w:p>
    <w:p w14:paraId="1D693594" w14:textId="77777777" w:rsidR="005F2169" w:rsidRDefault="005F2169" w:rsidP="004A31C3">
      <w:pPr>
        <w:pStyle w:val="F9-Paragraph"/>
      </w:pPr>
      <w:r w:rsidRPr="0056318D">
        <w:t xml:space="preserve">A </w:t>
      </w:r>
      <w:r>
        <w:t>design information</w:t>
      </w:r>
      <w:r w:rsidRPr="0056318D">
        <w:t xml:space="preserve"> inspection contributes to the cumulative knowledge of the </w:t>
      </w:r>
      <w:r>
        <w:t>QNF</w:t>
      </w:r>
      <w:r w:rsidRPr="0056318D">
        <w:t xml:space="preserve"> design; its operation; and the continued validity of ONR’s approach to regulating compliance.</w:t>
      </w:r>
    </w:p>
    <w:p w14:paraId="7A6C7296" w14:textId="77777777" w:rsidR="00DA6493" w:rsidRDefault="00DA6493" w:rsidP="004A31C3">
      <w:pPr>
        <w:pStyle w:val="F9-Paragraph"/>
        <w:sectPr w:rsidR="00DA6493" w:rsidSect="003508FB">
          <w:pgSz w:w="11906" w:h="16838" w:code="9"/>
          <w:pgMar w:top="1440" w:right="1440" w:bottom="1440" w:left="1440" w:header="397" w:footer="397" w:gutter="0"/>
          <w:cols w:space="312"/>
          <w:docGrid w:linePitch="360"/>
        </w:sectPr>
      </w:pPr>
    </w:p>
    <w:p w14:paraId="6839436F" w14:textId="0C5A0909" w:rsidR="005F2169" w:rsidRPr="00705745" w:rsidRDefault="005F2169" w:rsidP="004A31C3">
      <w:pPr>
        <w:pStyle w:val="F9-Paragraph"/>
      </w:pPr>
      <w:r w:rsidRPr="0056318D">
        <w:lastRenderedPageBreak/>
        <w:t xml:space="preserve">Preliminary </w:t>
      </w:r>
      <w:r>
        <w:t>design</w:t>
      </w:r>
      <w:r w:rsidRPr="0056318D">
        <w:t xml:space="preserve"> information must be provided as soon as the decision is taken to construct a new facility and provides the basis for early consideration of safeguards requirements for any new project (known as </w:t>
      </w:r>
      <w:r>
        <w:t>s</w:t>
      </w:r>
      <w:r w:rsidRPr="0056318D">
        <w:t xml:space="preserve">afeguards by </w:t>
      </w:r>
      <w:r>
        <w:t>d</w:t>
      </w:r>
      <w:r w:rsidRPr="0056318D">
        <w:t>esign (SBD)).</w:t>
      </w:r>
      <w:r>
        <w:t xml:space="preserve"> </w:t>
      </w:r>
      <w:r w:rsidRPr="0056318D">
        <w:t xml:space="preserve">Such early consideration and maintaining </w:t>
      </w:r>
      <w:r>
        <w:t xml:space="preserve">regular </w:t>
      </w:r>
      <w:r w:rsidRPr="0056318D">
        <w:t xml:space="preserve">engagement thereafter </w:t>
      </w:r>
      <w:r w:rsidR="008A16A3" w:rsidRPr="0056318D">
        <w:t>ha</w:t>
      </w:r>
      <w:r w:rsidR="008A16A3">
        <w:t>s</w:t>
      </w:r>
      <w:r w:rsidR="008A16A3" w:rsidRPr="0056318D">
        <w:t xml:space="preserve"> </w:t>
      </w:r>
      <w:r w:rsidRPr="0056318D">
        <w:t>benefits for all stakeholders.</w:t>
      </w:r>
      <w:r>
        <w:t xml:space="preserve"> </w:t>
      </w:r>
      <w:r w:rsidR="00DD6237">
        <w:br/>
      </w:r>
      <w:r w:rsidRPr="0056318D">
        <w:t xml:space="preserve">Examples of these benefits include minimising the risk associated with project scope, schedule, budget, and licensing; and reducing the cost of safeguards implementation to the operator, </w:t>
      </w:r>
      <w:r>
        <w:t>ONR</w:t>
      </w:r>
      <w:r w:rsidRPr="0056318D">
        <w:t xml:space="preserve"> and the IAEA.</w:t>
      </w:r>
      <w:r>
        <w:t xml:space="preserve"> The IAEA has produced a suite of SBD guidance covering the general considerations </w:t>
      </w:r>
      <w:r w:rsidRPr="00F45C82">
        <w:t>for SBD</w:t>
      </w:r>
      <w:r w:rsidR="00FA3FA3">
        <w:t xml:space="preserve"> </w:t>
      </w:r>
      <w:sdt>
        <w:sdtPr>
          <w:id w:val="-1716033555"/>
          <w:citation/>
        </w:sdtPr>
        <w:sdtEndPr/>
        <w:sdtContent>
          <w:r w:rsidR="00FA3FA3">
            <w:fldChar w:fldCharType="begin"/>
          </w:r>
          <w:r w:rsidR="00FA3FA3">
            <w:instrText xml:space="preserve"> CITATION IAE134 \l 2057 </w:instrText>
          </w:r>
          <w:r w:rsidR="00FA3FA3">
            <w:fldChar w:fldCharType="separate"/>
          </w:r>
          <w:r w:rsidR="00DA6493" w:rsidRPr="00DA6493">
            <w:rPr>
              <w:noProof/>
            </w:rPr>
            <w:t>[34]</w:t>
          </w:r>
          <w:r w:rsidR="00FA3FA3">
            <w:fldChar w:fldCharType="end"/>
          </w:r>
        </w:sdtContent>
      </w:sdt>
      <w:r w:rsidRPr="00F45C82">
        <w:t>, and specific</w:t>
      </w:r>
      <w:r>
        <w:t xml:space="preserve"> considerations for different </w:t>
      </w:r>
      <w:r w:rsidRPr="00705745">
        <w:t xml:space="preserve">facility types </w:t>
      </w:r>
      <w:sdt>
        <w:sdtPr>
          <w:id w:val="-1995476124"/>
          <w:citation/>
        </w:sdtPr>
        <w:sdtEndPr/>
        <w:sdtContent>
          <w:r w:rsidR="00FA3FA3">
            <w:fldChar w:fldCharType="begin"/>
          </w:r>
          <w:r w:rsidR="00FA3FA3">
            <w:instrText xml:space="preserve"> CITATION IAE1412 \l 2057 </w:instrText>
          </w:r>
          <w:r w:rsidR="00DD6237">
            <w:instrText xml:space="preserve"> \m IAE175 \m IAE1814 \m IAE176 \m IAE197 \m IAE198 \m IAE251</w:instrText>
          </w:r>
          <w:r w:rsidR="00FA3FA3">
            <w:fldChar w:fldCharType="separate"/>
          </w:r>
          <w:r w:rsidR="00DA6493" w:rsidRPr="00DA6493">
            <w:rPr>
              <w:noProof/>
            </w:rPr>
            <w:t>[35, 36, 37, 38, 39, 40, 41]</w:t>
          </w:r>
          <w:r w:rsidR="00FA3FA3">
            <w:fldChar w:fldCharType="end"/>
          </w:r>
        </w:sdtContent>
      </w:sdt>
      <w:r w:rsidRPr="00705745">
        <w:t>.</w:t>
      </w:r>
    </w:p>
    <w:p w14:paraId="77DCDCE7" w14:textId="0CD1EF74" w:rsidR="005F2169" w:rsidRDefault="005F2169" w:rsidP="004A31C3">
      <w:pPr>
        <w:pStyle w:val="F9-Paragraph"/>
      </w:pPr>
      <w:r>
        <w:t>Design information</w:t>
      </w:r>
      <w:r w:rsidRPr="0056318D">
        <w:t xml:space="preserve"> inspections may be performed throughout the lifetime of a </w:t>
      </w:r>
      <w:r>
        <w:t>QNF</w:t>
      </w:r>
      <w:r w:rsidRPr="0056318D">
        <w:t xml:space="preserve">. The lifecycle phases of a </w:t>
      </w:r>
      <w:r>
        <w:t>QNF</w:t>
      </w:r>
      <w:r w:rsidRPr="0056318D">
        <w:t xml:space="preserve"> are primarily determined by its operating capabilities. The </w:t>
      </w:r>
      <w:r>
        <w:t>design information</w:t>
      </w:r>
      <w:r w:rsidRPr="0056318D">
        <w:t xml:space="preserve"> inspection activities to be carried out are determined not only by the type of </w:t>
      </w:r>
      <w:r>
        <w:t>QNF</w:t>
      </w:r>
      <w:r w:rsidRPr="0056318D">
        <w:t xml:space="preserve">, but also by the lifecycle phase noting different parts of a facility may be in different lifecycle phases. </w:t>
      </w:r>
      <w:r>
        <w:t xml:space="preserve">IAEA </w:t>
      </w:r>
      <w:r w:rsidRPr="00FA3FA3">
        <w:t xml:space="preserve">guidance </w:t>
      </w:r>
      <w:r>
        <w:t>on DIQs</w:t>
      </w:r>
      <w:r w:rsidRPr="0056318D">
        <w:t xml:space="preserve"> describes the </w:t>
      </w:r>
      <w:r>
        <w:t xml:space="preserve">various facility </w:t>
      </w:r>
      <w:r w:rsidRPr="0056318D">
        <w:t xml:space="preserve">lifecycle </w:t>
      </w:r>
      <w:r>
        <w:t>phases</w:t>
      </w:r>
      <w:r w:rsidR="00FA3FA3">
        <w:t xml:space="preserve"> </w:t>
      </w:r>
      <w:sdt>
        <w:sdtPr>
          <w:id w:val="-1684355961"/>
          <w:citation/>
        </w:sdtPr>
        <w:sdtEndPr/>
        <w:sdtContent>
          <w:r w:rsidR="00FA3FA3">
            <w:fldChar w:fldCharType="begin"/>
          </w:r>
          <w:r w:rsidR="00FA3FA3">
            <w:instrText xml:space="preserve"> CITATION IAE211 \l 2057 </w:instrText>
          </w:r>
          <w:r w:rsidR="00FA3FA3">
            <w:fldChar w:fldCharType="separate"/>
          </w:r>
          <w:r w:rsidR="00DA6493" w:rsidRPr="00DA6493">
            <w:rPr>
              <w:noProof/>
            </w:rPr>
            <w:t>[28]</w:t>
          </w:r>
          <w:r w:rsidR="00FA3FA3">
            <w:fldChar w:fldCharType="end"/>
          </w:r>
        </w:sdtContent>
      </w:sdt>
      <w:r>
        <w:t xml:space="preserve">, and further detail can be found in the IAEA </w:t>
      </w:r>
      <w:r w:rsidR="00FA3FA3">
        <w:t>S</w:t>
      </w:r>
      <w:r>
        <w:t xml:space="preserve">afeguards </w:t>
      </w:r>
      <w:r w:rsidR="00FA3FA3">
        <w:t>G</w:t>
      </w:r>
      <w:r>
        <w:t>lossary</w:t>
      </w:r>
      <w:r w:rsidR="00FA3FA3">
        <w:t xml:space="preserve"> </w:t>
      </w:r>
      <w:sdt>
        <w:sdtPr>
          <w:id w:val="-1993091699"/>
          <w:citation/>
        </w:sdtPr>
        <w:sdtEndPr/>
        <w:sdtContent>
          <w:r w:rsidR="00FA3FA3">
            <w:fldChar w:fldCharType="begin"/>
          </w:r>
          <w:r w:rsidR="00FA3FA3">
            <w:instrText xml:space="preserve"> CITATION IAE15 \l 2057 </w:instrText>
          </w:r>
          <w:r w:rsidR="00FA3FA3">
            <w:fldChar w:fldCharType="separate"/>
          </w:r>
          <w:r w:rsidR="00DA6493" w:rsidRPr="00DA6493">
            <w:rPr>
              <w:noProof/>
            </w:rPr>
            <w:t>[13]</w:t>
          </w:r>
          <w:r w:rsidR="00FA3FA3">
            <w:fldChar w:fldCharType="end"/>
          </w:r>
        </w:sdtContent>
      </w:sdt>
      <w:r w:rsidRPr="0056318D">
        <w:t>.</w:t>
      </w:r>
    </w:p>
    <w:p w14:paraId="6F13731D" w14:textId="77777777" w:rsidR="005F2169" w:rsidRDefault="005F2169" w:rsidP="004A31C3">
      <w:pPr>
        <w:pStyle w:val="F9-Paragraph"/>
      </w:pPr>
      <w:r w:rsidRPr="0056318D">
        <w:t xml:space="preserve">Due to specific conditions or operational intentions at a </w:t>
      </w:r>
      <w:r>
        <w:t>QNF</w:t>
      </w:r>
      <w:r w:rsidRPr="0056318D">
        <w:t xml:space="preserve"> it may be useful to prepare a </w:t>
      </w:r>
      <w:r>
        <w:t>design information</w:t>
      </w:r>
      <w:r w:rsidRPr="0056318D">
        <w:t xml:space="preserve"> inspection strategy </w:t>
      </w:r>
      <w:r>
        <w:t>as part of underpinning wider inspection planning</w:t>
      </w:r>
      <w:r w:rsidRPr="0056318D">
        <w:t>. Inspectors should consider the operators</w:t>
      </w:r>
      <w:r>
        <w:t>’</w:t>
      </w:r>
      <w:r w:rsidRPr="0056318D">
        <w:t xml:space="preserve"> plan of key activities to identify </w:t>
      </w:r>
      <w:r>
        <w:t xml:space="preserve">areas </w:t>
      </w:r>
      <w:r w:rsidRPr="0056318D">
        <w:t xml:space="preserve">where ONR </w:t>
      </w:r>
      <w:r>
        <w:t>c</w:t>
      </w:r>
      <w:r w:rsidRPr="0056318D">
        <w:t xml:space="preserve">ould </w:t>
      </w:r>
      <w:r>
        <w:t>include</w:t>
      </w:r>
      <w:r w:rsidRPr="0056318D">
        <w:t xml:space="preserve"> as part of its </w:t>
      </w:r>
      <w:r>
        <w:t>design information</w:t>
      </w:r>
      <w:r w:rsidRPr="0056318D">
        <w:t xml:space="preserve"> inspection strategy, as well as prepare for reactive inspections corresponding to changes in the operators planned schedule if proportionate to do so. The scope and objectives of </w:t>
      </w:r>
      <w:r>
        <w:t>a design information</w:t>
      </w:r>
      <w:r w:rsidRPr="0056318D">
        <w:t xml:space="preserve"> inspection and any methods and activities to be used should be discussed with the operator in advance of the inspection.</w:t>
      </w:r>
    </w:p>
    <w:p w14:paraId="583420A3" w14:textId="17448DCF" w:rsidR="005F2169" w:rsidRDefault="005F2169" w:rsidP="004A31C3">
      <w:pPr>
        <w:pStyle w:val="F9-Paragraph"/>
      </w:pPr>
      <w:r w:rsidRPr="0056318D">
        <w:t xml:space="preserve">The intensity of </w:t>
      </w:r>
      <w:r>
        <w:t>design information</w:t>
      </w:r>
      <w:r w:rsidRPr="0056318D">
        <w:t xml:space="preserve"> inspection during the lifecycle phases of construction and commissioning will differ from that in other phases. </w:t>
      </w:r>
      <w:r w:rsidR="00DD6237">
        <w:br/>
      </w:r>
      <w:r>
        <w:t>Design information</w:t>
      </w:r>
      <w:r w:rsidRPr="0056318D">
        <w:t xml:space="preserve"> inspection activities should be planned and carried out in a manner designed to avoid hampering or delaying the construction and commissioning of facilities. The operator’s construction and commissioning plans should be reviewed with the aim of developing an integrated ONR plan which includes safeguards activities alongside those planned for other ONR purposes</w:t>
      </w:r>
      <w:r>
        <w:t>, including permissioning activities and/or security assessments</w:t>
      </w:r>
      <w:r w:rsidRPr="0056318D">
        <w:t>.</w:t>
      </w:r>
    </w:p>
    <w:p w14:paraId="00649532" w14:textId="77777777" w:rsidR="00DA6493" w:rsidRDefault="00DA6493" w:rsidP="00DD6237">
      <w:pPr>
        <w:pStyle w:val="Heading3"/>
        <w:numPr>
          <w:ilvl w:val="0"/>
          <w:numId w:val="0"/>
        </w:numPr>
        <w:ind w:left="851"/>
        <w:sectPr w:rsidR="00DA6493" w:rsidSect="003508FB">
          <w:pgSz w:w="11906" w:h="16838" w:code="9"/>
          <w:pgMar w:top="1440" w:right="1440" w:bottom="1440" w:left="1440" w:header="397" w:footer="397" w:gutter="0"/>
          <w:cols w:space="312"/>
          <w:docGrid w:linePitch="360"/>
        </w:sectPr>
      </w:pPr>
    </w:p>
    <w:p w14:paraId="1C82D7D4" w14:textId="28B8FEA7" w:rsidR="005F2169" w:rsidRPr="0056318D" w:rsidRDefault="005F2169" w:rsidP="00DD6237">
      <w:pPr>
        <w:pStyle w:val="Heading3"/>
        <w:numPr>
          <w:ilvl w:val="0"/>
          <w:numId w:val="0"/>
        </w:numPr>
        <w:ind w:left="851"/>
      </w:pPr>
      <w:r w:rsidRPr="0056318D">
        <w:lastRenderedPageBreak/>
        <w:t xml:space="preserve">Key </w:t>
      </w:r>
      <w:r w:rsidR="00DD6237">
        <w:t>c</w:t>
      </w:r>
      <w:r w:rsidRPr="0056318D">
        <w:t>onsiderations</w:t>
      </w:r>
    </w:p>
    <w:p w14:paraId="629EAE9D" w14:textId="77777777" w:rsidR="005F2169" w:rsidRPr="0056318D" w:rsidRDefault="005F2169" w:rsidP="004A31C3">
      <w:pPr>
        <w:pStyle w:val="F9-Paragraph"/>
      </w:pPr>
      <w:r w:rsidRPr="0056318D">
        <w:t>As part of a</w:t>
      </w:r>
      <w:r>
        <w:t xml:space="preserve">n </w:t>
      </w:r>
      <w:r w:rsidRPr="0056318D">
        <w:t xml:space="preserve">inspection, </w:t>
      </w:r>
      <w:r>
        <w:t>i</w:t>
      </w:r>
      <w:r w:rsidRPr="0056318D">
        <w:t>nspectors may wish to consider some of the following activities to help them judge the operator’s compliance against Regulation 3 of NSR19:</w:t>
      </w:r>
    </w:p>
    <w:p w14:paraId="7C9DABA0" w14:textId="5D940935" w:rsidR="005F2169" w:rsidRPr="0056318D" w:rsidRDefault="005F2169" w:rsidP="004F261E">
      <w:pPr>
        <w:pStyle w:val="NumList2"/>
        <w:numPr>
          <w:ilvl w:val="1"/>
          <w:numId w:val="75"/>
        </w:numPr>
        <w:ind w:left="1276"/>
      </w:pPr>
      <w:r w:rsidRPr="0056318D">
        <w:t>confirming that the design information submitted to ONR is correct, complete, consistent, and timely and the correct questionnaire has been used.</w:t>
      </w:r>
      <w:r>
        <w:t xml:space="preserve"> IAEA guidance gives some typical examples for different facility types providing a standard for the amount and type of detail required</w:t>
      </w:r>
      <w:r w:rsidR="00DD6237">
        <w:t xml:space="preserve"> </w:t>
      </w:r>
      <w:sdt>
        <w:sdtPr>
          <w:id w:val="-1019536382"/>
          <w:citation/>
        </w:sdtPr>
        <w:sdtEndPr/>
        <w:sdtContent>
          <w:r w:rsidR="00DD6237">
            <w:fldChar w:fldCharType="begin"/>
          </w:r>
          <w:r w:rsidR="00DD6237">
            <w:instrText xml:space="preserve"> CITATION IAE211 \l 2057 </w:instrText>
          </w:r>
          <w:r w:rsidR="00DD6237">
            <w:fldChar w:fldCharType="separate"/>
          </w:r>
          <w:r w:rsidR="00DA6493" w:rsidRPr="00DA6493">
            <w:rPr>
              <w:noProof/>
            </w:rPr>
            <w:t>[28]</w:t>
          </w:r>
          <w:r w:rsidR="00DD6237">
            <w:fldChar w:fldCharType="end"/>
          </w:r>
        </w:sdtContent>
      </w:sdt>
      <w:r>
        <w:t xml:space="preserve">. </w:t>
      </w:r>
    </w:p>
    <w:p w14:paraId="47CE1D39" w14:textId="0D645E16" w:rsidR="005F2169" w:rsidRPr="0056318D" w:rsidRDefault="005F2169" w:rsidP="00DD6237">
      <w:pPr>
        <w:pStyle w:val="NumList2"/>
      </w:pPr>
      <w:r w:rsidRPr="0056318D">
        <w:t xml:space="preserve">confirming the nuclear operations in the </w:t>
      </w:r>
      <w:r>
        <w:t>QNF</w:t>
      </w:r>
      <w:r w:rsidRPr="0056318D">
        <w:t xml:space="preserve"> </w:t>
      </w:r>
      <w:r>
        <w:t>are</w:t>
      </w:r>
      <w:r w:rsidRPr="0056318D">
        <w:t xml:space="preserve"> as declared. </w:t>
      </w:r>
      <w:r w:rsidR="00DD6237">
        <w:br/>
      </w:r>
      <w:r w:rsidRPr="0056318D">
        <w:t xml:space="preserve">In undertaking this activity, </w:t>
      </w:r>
      <w:r>
        <w:t>i</w:t>
      </w:r>
      <w:r w:rsidRPr="0056318D">
        <w:t xml:space="preserve">nspectors might look to physically identify the QNM flow routes and storage locations as declared in the </w:t>
      </w:r>
      <w:r>
        <w:t>design information</w:t>
      </w:r>
      <w:r w:rsidRPr="0056318D">
        <w:t xml:space="preserve"> as part of their inspection. Inspectors may make such observations or measurements necessary to verify the accuracy of </w:t>
      </w:r>
      <w:r>
        <w:t>design information</w:t>
      </w:r>
      <w:r w:rsidRPr="0056318D">
        <w:t xml:space="preserve"> and any changes to them declared under </w:t>
      </w:r>
      <w:r>
        <w:t>R</w:t>
      </w:r>
      <w:r w:rsidRPr="0056318D">
        <w:t>egulation</w:t>
      </w:r>
      <w:r>
        <w:t>s</w:t>
      </w:r>
      <w:r w:rsidRPr="0056318D">
        <w:t xml:space="preserve"> 3 or 31. </w:t>
      </w:r>
    </w:p>
    <w:p w14:paraId="4943F68A" w14:textId="6ADC0A46" w:rsidR="005F2169" w:rsidRPr="0056318D" w:rsidRDefault="005F2169" w:rsidP="00DD6237">
      <w:pPr>
        <w:pStyle w:val="NumList2"/>
      </w:pPr>
      <w:r w:rsidRPr="0056318D">
        <w:t xml:space="preserve">ascertaining the category and quantity of QNM inventory present at the </w:t>
      </w:r>
      <w:r>
        <w:t>QNF</w:t>
      </w:r>
      <w:r w:rsidRPr="0056318D">
        <w:t xml:space="preserve"> to help assess the declared capacity</w:t>
      </w:r>
      <w:r w:rsidR="00DA6493">
        <w:t>/</w:t>
      </w:r>
      <w:r w:rsidRPr="0056318D">
        <w:t xml:space="preserve">throughput of the </w:t>
      </w:r>
      <w:r>
        <w:t>QNF</w:t>
      </w:r>
      <w:r w:rsidRPr="0056318D">
        <w:t>.</w:t>
      </w:r>
    </w:p>
    <w:p w14:paraId="4F55D603" w14:textId="21DD0EA5" w:rsidR="005F2169" w:rsidRPr="0056318D" w:rsidRDefault="005F2169" w:rsidP="00DD6237">
      <w:pPr>
        <w:pStyle w:val="NumList2"/>
      </w:pPr>
      <w:r w:rsidRPr="0056318D">
        <w:t xml:space="preserve">checking that the use and installation of operator </w:t>
      </w:r>
      <w:r>
        <w:t xml:space="preserve">QNM </w:t>
      </w:r>
      <w:r w:rsidRPr="0056318D">
        <w:t xml:space="preserve">accountancy measures is as described in the </w:t>
      </w:r>
      <w:r>
        <w:t>design information</w:t>
      </w:r>
      <w:r w:rsidRPr="0056318D">
        <w:t xml:space="preserve"> and that they continue to be fit for purpose. Inspectors may wish to see the installation, maintenance and servicing schedules</w:t>
      </w:r>
      <w:r>
        <w:t xml:space="preserve"> and </w:t>
      </w:r>
      <w:r w:rsidRPr="0056318D">
        <w:t>requirements of installed accountancy measures, and procedures that assure the control of QNM during such periods, as well as review calibration records</w:t>
      </w:r>
      <w:r>
        <w:t xml:space="preserve"> and measurement approaches</w:t>
      </w:r>
      <w:r w:rsidRPr="0056318D">
        <w:t xml:space="preserve"> against international good practice</w:t>
      </w:r>
      <w:r>
        <w:t xml:space="preserve"> </w:t>
      </w:r>
      <w:sdt>
        <w:sdtPr>
          <w:id w:val="1455300247"/>
          <w:citation/>
        </w:sdtPr>
        <w:sdtEndPr/>
        <w:sdtContent>
          <w:r w:rsidR="00DD6237">
            <w:fldChar w:fldCharType="begin"/>
          </w:r>
          <w:r w:rsidR="00DD6237">
            <w:instrText xml:space="preserve"> CITATION ISO03 \l 2057 </w:instrText>
          </w:r>
          <w:r w:rsidR="00DD6237">
            <w:fldChar w:fldCharType="separate"/>
          </w:r>
          <w:r w:rsidR="00DA6493" w:rsidRPr="00DA6493">
            <w:rPr>
              <w:noProof/>
            </w:rPr>
            <w:t>[24]</w:t>
          </w:r>
          <w:r w:rsidR="00DD6237">
            <w:fldChar w:fldCharType="end"/>
          </w:r>
        </w:sdtContent>
      </w:sdt>
      <w:r w:rsidRPr="0056318D">
        <w:t xml:space="preserve">. </w:t>
      </w:r>
    </w:p>
    <w:p w14:paraId="2B000EAD" w14:textId="77777777" w:rsidR="005F2169" w:rsidRPr="0056318D" w:rsidRDefault="005F2169" w:rsidP="00DD6237">
      <w:pPr>
        <w:pStyle w:val="NumList2"/>
      </w:pPr>
      <w:r w:rsidRPr="0056318D">
        <w:t>confirming that declared accounting records and relevant operating records are being managed appropriately including being correct, appropriate, and up to date, and can be made available to ONR and IAEA inspectors upon request.</w:t>
      </w:r>
    </w:p>
    <w:p w14:paraId="3C3FD7AB" w14:textId="4004964D" w:rsidR="005F2169" w:rsidRPr="0056318D" w:rsidRDefault="005F2169" w:rsidP="00DD6237">
      <w:pPr>
        <w:pStyle w:val="NumList2"/>
      </w:pPr>
      <w:r w:rsidRPr="0056318D">
        <w:t xml:space="preserve">confirming where appropriate the physical QNM throughput and capacity of the </w:t>
      </w:r>
      <w:r>
        <w:t>QNF</w:t>
      </w:r>
      <w:r w:rsidRPr="0056318D">
        <w:t xml:space="preserve"> and comparing this with the declared throughput and capacity </w:t>
      </w:r>
      <w:r w:rsidR="004A31C3">
        <w:t>(for example,</w:t>
      </w:r>
      <w:r w:rsidRPr="0056318D">
        <w:t xml:space="preserve"> inspectors may wish to request the operator to provide the current plant status of the </w:t>
      </w:r>
      <w:r>
        <w:t>QNF</w:t>
      </w:r>
      <w:r w:rsidRPr="0056318D">
        <w:t xml:space="preserve">). </w:t>
      </w:r>
    </w:p>
    <w:p w14:paraId="78418645" w14:textId="77777777" w:rsidR="005F2169" w:rsidRPr="0056318D" w:rsidRDefault="005F2169" w:rsidP="00DD6237">
      <w:pPr>
        <w:pStyle w:val="NumList2"/>
      </w:pPr>
      <w:r w:rsidRPr="0056318D">
        <w:t>confirming that the operator’s QNM flow and inventory verification methods continue to be fit for purpose.</w:t>
      </w:r>
    </w:p>
    <w:p w14:paraId="04C90C64" w14:textId="77777777" w:rsidR="005F2169" w:rsidRPr="0056318D" w:rsidRDefault="005F2169" w:rsidP="00DD6237">
      <w:pPr>
        <w:pStyle w:val="NumList2"/>
      </w:pPr>
      <w:r w:rsidRPr="0056318D">
        <w:t xml:space="preserve">confirming that the </w:t>
      </w:r>
      <w:r>
        <w:t>o</w:t>
      </w:r>
      <w:r w:rsidRPr="0056318D">
        <w:t>perators can demonstrate adequate control of QNM according to the declared arrangements.</w:t>
      </w:r>
    </w:p>
    <w:p w14:paraId="2FED0D9A" w14:textId="77777777" w:rsidR="005F2169" w:rsidRDefault="005F2169" w:rsidP="004A31C3">
      <w:pPr>
        <w:pStyle w:val="F9-Paragraph"/>
      </w:pPr>
      <w:r w:rsidRPr="0056318D">
        <w:lastRenderedPageBreak/>
        <w:t xml:space="preserve">Where inconsistencies with the submitted </w:t>
      </w:r>
      <w:r>
        <w:t>design information</w:t>
      </w:r>
      <w:r w:rsidRPr="0056318D">
        <w:t xml:space="preserve"> are identified, inspectors should seek to initially resolve these through discussion with the operator.</w:t>
      </w:r>
    </w:p>
    <w:p w14:paraId="23F5D4FE" w14:textId="28637CF4" w:rsidR="005F2169" w:rsidRPr="0056318D" w:rsidRDefault="005F2169" w:rsidP="00DD6237">
      <w:pPr>
        <w:pStyle w:val="Heading3"/>
        <w:numPr>
          <w:ilvl w:val="0"/>
          <w:numId w:val="0"/>
        </w:numPr>
        <w:ind w:left="851"/>
      </w:pPr>
      <w:r w:rsidRPr="0056318D">
        <w:t xml:space="preserve">Additional </w:t>
      </w:r>
      <w:r w:rsidR="00DD6237">
        <w:t>c</w:t>
      </w:r>
      <w:r w:rsidRPr="0056318D">
        <w:t>onsiderations</w:t>
      </w:r>
    </w:p>
    <w:p w14:paraId="28F8EB7E" w14:textId="77777777" w:rsidR="005F2169" w:rsidRPr="0056318D" w:rsidRDefault="005F2169" w:rsidP="004A31C3">
      <w:pPr>
        <w:pStyle w:val="F9-Paragraph"/>
      </w:pPr>
      <w:r w:rsidRPr="0056318D">
        <w:t xml:space="preserve">The lifecycle phases of a </w:t>
      </w:r>
      <w:r>
        <w:t>QNF</w:t>
      </w:r>
      <w:r w:rsidRPr="0056318D">
        <w:t xml:space="preserve"> are primarily determined by its operating capabilities; different parts of the </w:t>
      </w:r>
      <w:r>
        <w:t>QNF</w:t>
      </w:r>
      <w:r w:rsidRPr="0056318D">
        <w:t xml:space="preserve"> may themselves be in different lifecycle phases. As it is likely that lifecycle changes will be accompanied by a revision to </w:t>
      </w:r>
      <w:r>
        <w:t>design information</w:t>
      </w:r>
      <w:r w:rsidRPr="0056318D">
        <w:t xml:space="preserve">, ONR’s inspection of the </w:t>
      </w:r>
      <w:r>
        <w:t>design information</w:t>
      </w:r>
      <w:r w:rsidRPr="0056318D">
        <w:t xml:space="preserve"> should be considered at all lifecycle stages of a facility as defined in ONMACS and </w:t>
      </w:r>
      <w:r>
        <w:t>should</w:t>
      </w:r>
      <w:r w:rsidRPr="0056318D">
        <w:t xml:space="preserve"> be targeted and proportionate. </w:t>
      </w:r>
    </w:p>
    <w:p w14:paraId="706F04BB" w14:textId="1EFB3DCD" w:rsidR="005F2169" w:rsidRPr="0056318D" w:rsidRDefault="005F2169" w:rsidP="004A31C3">
      <w:pPr>
        <w:pStyle w:val="F9-Paragraph"/>
      </w:pPr>
      <w:r w:rsidRPr="0056318D">
        <w:t xml:space="preserve">It is the responsibility of the operator to </w:t>
      </w:r>
      <w:r>
        <w:t>update the design information</w:t>
      </w:r>
      <w:r w:rsidRPr="0056318D">
        <w:t xml:space="preserve"> dependent on any changes to the </w:t>
      </w:r>
      <w:r>
        <w:t>QNF</w:t>
      </w:r>
      <w:r w:rsidRPr="0056318D">
        <w:t xml:space="preserve"> or site and submit </w:t>
      </w:r>
      <w:r w:rsidR="002D0ED4">
        <w:t>the information</w:t>
      </w:r>
      <w:r>
        <w:t xml:space="preserve"> </w:t>
      </w:r>
      <w:r w:rsidRPr="0056318D">
        <w:t xml:space="preserve">to the ONR. Upon receiving revised </w:t>
      </w:r>
      <w:r>
        <w:t>design information</w:t>
      </w:r>
      <w:r w:rsidRPr="0056318D">
        <w:t xml:space="preserve"> the inspector may carry out an inspection to confirm the submission and will consider alignment with ONR other purposes. This inspection may form part of an assessment or be standalone reflecting the activities of the site or facility </w:t>
      </w:r>
      <w:r w:rsidR="004A31C3">
        <w:t>(for example,</w:t>
      </w:r>
      <w:r w:rsidRPr="0056318D">
        <w:t xml:space="preserve"> </w:t>
      </w:r>
      <w:r>
        <w:t>p</w:t>
      </w:r>
      <w:r w:rsidRPr="0056318D">
        <w:t>re-</w:t>
      </w:r>
      <w:r>
        <w:t>c</w:t>
      </w:r>
      <w:r w:rsidRPr="0056318D">
        <w:t xml:space="preserve">onstruction </w:t>
      </w:r>
      <w:r>
        <w:t>p</w:t>
      </w:r>
      <w:r w:rsidRPr="0056318D">
        <w:t xml:space="preserve">hase; </w:t>
      </w:r>
      <w:r>
        <w:t>c</w:t>
      </w:r>
      <w:r w:rsidRPr="0056318D">
        <w:t xml:space="preserve">ommissioning, </w:t>
      </w:r>
      <w:r>
        <w:t>d</w:t>
      </w:r>
      <w:r w:rsidRPr="0056318D">
        <w:t>ecommissioning etc).</w:t>
      </w:r>
    </w:p>
    <w:p w14:paraId="6E157078" w14:textId="77777777" w:rsidR="005F2169" w:rsidRPr="0056318D" w:rsidRDefault="005F2169" w:rsidP="004A31C3">
      <w:pPr>
        <w:pStyle w:val="F9-Paragraph"/>
      </w:pPr>
      <w:r>
        <w:t>Some activities</w:t>
      </w:r>
      <w:r w:rsidRPr="0056318D">
        <w:t xml:space="preserve"> that inspectors may wish to employ in carrying out </w:t>
      </w:r>
      <w:r>
        <w:t>design information</w:t>
      </w:r>
      <w:r w:rsidRPr="0056318D">
        <w:t xml:space="preserve"> inspection can include:</w:t>
      </w:r>
    </w:p>
    <w:p w14:paraId="47889338" w14:textId="77777777" w:rsidR="005F2169" w:rsidRPr="0056318D" w:rsidRDefault="005F2169" w:rsidP="004F261E">
      <w:pPr>
        <w:pStyle w:val="NumList2"/>
        <w:numPr>
          <w:ilvl w:val="1"/>
          <w:numId w:val="76"/>
        </w:numPr>
        <w:ind w:left="1276"/>
      </w:pPr>
      <w:r w:rsidRPr="0056318D">
        <w:t>facility walk-through and confirmation of floor plan layouts.</w:t>
      </w:r>
    </w:p>
    <w:p w14:paraId="5D84AD46" w14:textId="77777777" w:rsidR="005F2169" w:rsidRPr="0056318D" w:rsidRDefault="005F2169" w:rsidP="00DD6237">
      <w:pPr>
        <w:pStyle w:val="NumList2"/>
      </w:pPr>
      <w:r w:rsidRPr="0056318D">
        <w:t>physical identification and follow-through of QNM flow routes and</w:t>
      </w:r>
      <w:r>
        <w:t xml:space="preserve"> </w:t>
      </w:r>
      <w:r w:rsidRPr="0056318D">
        <w:t xml:space="preserve">inventory locations, including areas where </w:t>
      </w:r>
      <w:r>
        <w:t>QNM</w:t>
      </w:r>
      <w:r w:rsidRPr="0056318D">
        <w:t xml:space="preserve"> may be difficult to access and/or measure.</w:t>
      </w:r>
    </w:p>
    <w:p w14:paraId="45F83FC7" w14:textId="77777777" w:rsidR="005F2169" w:rsidRPr="0056318D" w:rsidRDefault="005F2169" w:rsidP="00DD6237">
      <w:pPr>
        <w:pStyle w:val="NumList2"/>
      </w:pPr>
      <w:r w:rsidRPr="0056318D">
        <w:t xml:space="preserve">examination of records, and any other information related to the </w:t>
      </w:r>
      <w:r>
        <w:t>QNF</w:t>
      </w:r>
      <w:r w:rsidRPr="0056318D">
        <w:t xml:space="preserve"> and associated NMACS</w:t>
      </w:r>
      <w:r>
        <w:t xml:space="preserve"> arrangements.</w:t>
      </w:r>
    </w:p>
    <w:p w14:paraId="5FB39DF7" w14:textId="412FFCE7" w:rsidR="005F2169" w:rsidRPr="0056318D" w:rsidRDefault="005F2169" w:rsidP="00DD6237">
      <w:pPr>
        <w:pStyle w:val="NumList2"/>
      </w:pPr>
      <w:r w:rsidRPr="0056318D">
        <w:t>establishing that facility equipment which is essential for safeguards purposes is</w:t>
      </w:r>
      <w:r w:rsidR="00DD6237">
        <w:t>,</w:t>
      </w:r>
      <w:r w:rsidRPr="0056318D">
        <w:t xml:space="preserve"> as described in the </w:t>
      </w:r>
      <w:r w:rsidR="0053393A">
        <w:t>design information</w:t>
      </w:r>
      <w:r w:rsidR="0053393A" w:rsidRPr="0056318D">
        <w:t xml:space="preserve"> </w:t>
      </w:r>
      <w:r w:rsidR="004A31C3">
        <w:t>(for example,</w:t>
      </w:r>
      <w:r w:rsidRPr="0056318D">
        <w:t xml:space="preserve"> by confirming its presence, checking its functionality, maintenance, and operation)</w:t>
      </w:r>
      <w:r>
        <w:t>.</w:t>
      </w:r>
    </w:p>
    <w:p w14:paraId="08C0036C" w14:textId="77777777" w:rsidR="005F2169" w:rsidRPr="0056318D" w:rsidRDefault="005F2169" w:rsidP="00DD6237">
      <w:pPr>
        <w:pStyle w:val="NumList2"/>
      </w:pPr>
      <w:r w:rsidRPr="0056318D">
        <w:t>engagement with the relevant key operator personnel.</w:t>
      </w:r>
    </w:p>
    <w:p w14:paraId="494FEEEC" w14:textId="6BBDC33B" w:rsidR="005F2169" w:rsidRDefault="005F2169" w:rsidP="004A31C3">
      <w:pPr>
        <w:pStyle w:val="F9-Paragraph"/>
      </w:pPr>
      <w:r w:rsidRPr="0056318D">
        <w:t>The Essential Equipment List (EEL)</w:t>
      </w:r>
      <w:r>
        <w:t xml:space="preserve"> </w:t>
      </w:r>
      <w:sdt>
        <w:sdtPr>
          <w:id w:val="-1781788003"/>
          <w:citation/>
        </w:sdtPr>
        <w:sdtEndPr/>
        <w:sdtContent>
          <w:r w:rsidR="00DD6237">
            <w:fldChar w:fldCharType="begin"/>
          </w:r>
          <w:r w:rsidR="00DD6237">
            <w:instrText xml:space="preserve"> CITATION Dep22 \l 2057 </w:instrText>
          </w:r>
          <w:r w:rsidR="00DD6237">
            <w:fldChar w:fldCharType="separate"/>
          </w:r>
          <w:r w:rsidR="00DA6493" w:rsidRPr="00DA6493">
            <w:rPr>
              <w:noProof/>
            </w:rPr>
            <w:t>[42]</w:t>
          </w:r>
          <w:r w:rsidR="00DD6237">
            <w:fldChar w:fldCharType="end"/>
          </w:r>
        </w:sdtContent>
      </w:sdt>
      <w:r w:rsidRPr="0056318D">
        <w:t xml:space="preserve"> is safeguards terminology for those items of equipment, systems, and structures necessary for the declared operation of a </w:t>
      </w:r>
      <w:r>
        <w:t>QNF</w:t>
      </w:r>
      <w:r w:rsidRPr="0056318D">
        <w:t xml:space="preserve">. ONR </w:t>
      </w:r>
      <w:r w:rsidR="00A73893">
        <w:t xml:space="preserve">inspectors </w:t>
      </w:r>
      <w:r>
        <w:t>should</w:t>
      </w:r>
      <w:r w:rsidRPr="0056318D">
        <w:t xml:space="preserve"> </w:t>
      </w:r>
      <w:r>
        <w:t>compile</w:t>
      </w:r>
      <w:r w:rsidRPr="0056318D">
        <w:t xml:space="preserve"> EELs for </w:t>
      </w:r>
      <w:r>
        <w:t>QNFs</w:t>
      </w:r>
      <w:r w:rsidRPr="0056318D">
        <w:t>.</w:t>
      </w:r>
      <w:r>
        <w:t xml:space="preserve"> </w:t>
      </w:r>
      <w:r w:rsidRPr="0056318D">
        <w:t>Assessment and inspection of the status</w:t>
      </w:r>
      <w:r>
        <w:t xml:space="preserve"> of equipment on such EELs will</w:t>
      </w:r>
      <w:r w:rsidRPr="0056318D">
        <w:t xml:space="preserve"> inform decisions on whether or not the </w:t>
      </w:r>
      <w:r>
        <w:t>QNF</w:t>
      </w:r>
      <w:r w:rsidRPr="0056318D">
        <w:t xml:space="preserve"> can be considered as decommissioned for safeguards purposes, and </w:t>
      </w:r>
      <w:r>
        <w:t>is also</w:t>
      </w:r>
      <w:r w:rsidRPr="0056318D">
        <w:t xml:space="preserve"> used to support engagement with the IAEA to confirm the removal of </w:t>
      </w:r>
      <w:r>
        <w:t>QNFs</w:t>
      </w:r>
      <w:r w:rsidRPr="0056318D">
        <w:t xml:space="preserve"> from the list of those </w:t>
      </w:r>
      <w:r w:rsidR="00920461">
        <w:t xml:space="preserve">facilities </w:t>
      </w:r>
      <w:r w:rsidRPr="0056318D">
        <w:t>eligible under the UK/IAEA Safeguards Agreement.</w:t>
      </w:r>
    </w:p>
    <w:p w14:paraId="46296A84" w14:textId="4FEF717D" w:rsidR="005F2169" w:rsidRPr="006F7EB7" w:rsidRDefault="005F2169" w:rsidP="00DD6237">
      <w:pPr>
        <w:pStyle w:val="Heading2"/>
        <w:numPr>
          <w:ilvl w:val="0"/>
          <w:numId w:val="0"/>
        </w:numPr>
        <w:ind w:left="851"/>
      </w:pPr>
      <w:bookmarkStart w:id="29" w:name="_Toc13836828"/>
      <w:r w:rsidRPr="006F7EB7">
        <w:lastRenderedPageBreak/>
        <w:t xml:space="preserve">The </w:t>
      </w:r>
      <w:r w:rsidR="00DD6237">
        <w:t>l</w:t>
      </w:r>
      <w:r w:rsidRPr="006F7EB7">
        <w:t xml:space="preserve">ifecycle </w:t>
      </w:r>
      <w:r w:rsidR="00DD6237">
        <w:t>a</w:t>
      </w:r>
      <w:r w:rsidRPr="006F7EB7">
        <w:t xml:space="preserve">pproach for </w:t>
      </w:r>
      <w:r w:rsidR="00DD6237">
        <w:t>a</w:t>
      </w:r>
      <w:r w:rsidRPr="006F7EB7">
        <w:t xml:space="preserve">ssessment and </w:t>
      </w:r>
      <w:r w:rsidR="00DD6237">
        <w:t>i</w:t>
      </w:r>
      <w:r w:rsidRPr="006F7EB7">
        <w:t xml:space="preserve">nspection </w:t>
      </w:r>
      <w:r>
        <w:t>of design information</w:t>
      </w:r>
    </w:p>
    <w:p w14:paraId="3DE82EF5" w14:textId="39DD742E" w:rsidR="005F2169" w:rsidRPr="0056318D" w:rsidRDefault="005F2169" w:rsidP="00DD6237">
      <w:pPr>
        <w:pStyle w:val="Heading3"/>
        <w:numPr>
          <w:ilvl w:val="0"/>
          <w:numId w:val="0"/>
        </w:numPr>
        <w:ind w:left="851"/>
      </w:pPr>
      <w:r w:rsidRPr="0056318D">
        <w:t xml:space="preserve">Facility </w:t>
      </w:r>
      <w:r w:rsidR="00DD6237">
        <w:t>l</w:t>
      </w:r>
      <w:r w:rsidRPr="0056318D">
        <w:t xml:space="preserve">ifecycle </w:t>
      </w:r>
      <w:r w:rsidR="00DD6237">
        <w:t>p</w:t>
      </w:r>
      <w:r w:rsidRPr="0056318D">
        <w:t xml:space="preserve">hases and </w:t>
      </w:r>
      <w:r w:rsidR="00DD6237">
        <w:t>o</w:t>
      </w:r>
      <w:r w:rsidRPr="0056318D">
        <w:t>bjectives</w:t>
      </w:r>
    </w:p>
    <w:p w14:paraId="0F5E4127" w14:textId="4D380377" w:rsidR="005F2169" w:rsidRDefault="005F2169" w:rsidP="004A31C3">
      <w:pPr>
        <w:pStyle w:val="F9-Paragraph"/>
      </w:pPr>
      <w:r>
        <w:t>The o</w:t>
      </w:r>
      <w:r w:rsidRPr="0056318D">
        <w:t xml:space="preserve">perator must declare </w:t>
      </w:r>
      <w:r w:rsidR="00920461">
        <w:t>design information</w:t>
      </w:r>
      <w:r w:rsidR="00920461" w:rsidRPr="0056318D">
        <w:t xml:space="preserve"> </w:t>
      </w:r>
      <w:r w:rsidRPr="0056318D">
        <w:t xml:space="preserve">at several design and construction stages and must </w:t>
      </w:r>
      <w:r w:rsidR="00D45A16">
        <w:t>declare any safeguards-relevant design</w:t>
      </w:r>
      <w:r w:rsidRPr="0056318D">
        <w:t xml:space="preserve"> changes to </w:t>
      </w:r>
      <w:r w:rsidR="00D45A16">
        <w:t>the ONR</w:t>
      </w:r>
      <w:r>
        <w:t>. It is good practice</w:t>
      </w:r>
      <w:r w:rsidRPr="0056318D">
        <w:t xml:space="preserve"> </w:t>
      </w:r>
      <w:r>
        <w:t xml:space="preserve">for the operator to </w:t>
      </w:r>
      <w:r w:rsidRPr="0056318D">
        <w:t>re-submi</w:t>
      </w:r>
      <w:r>
        <w:t xml:space="preserve">t </w:t>
      </w:r>
      <w:r w:rsidR="00E272B5">
        <w:t>design information</w:t>
      </w:r>
      <w:r>
        <w:t xml:space="preserve"> to ONR </w:t>
      </w:r>
      <w:r w:rsidR="00E272B5">
        <w:t xml:space="preserve">as soon as possible after the decision is </w:t>
      </w:r>
      <w:r w:rsidR="00934C46">
        <w:t>made to make the change</w:t>
      </w:r>
      <w:r w:rsidR="00F06561">
        <w:t xml:space="preserve"> to ensure the ONR inspector has sufficient time to review and assess the change and </w:t>
      </w:r>
      <w:r w:rsidR="00703B5B">
        <w:t xml:space="preserve">where necessary, provide any feedback to the operator regarding its </w:t>
      </w:r>
      <w:r w:rsidR="00616532">
        <w:t>adequacy</w:t>
      </w:r>
      <w:r w:rsidR="00703B5B">
        <w:t xml:space="preserve"> and completeness</w:t>
      </w:r>
      <w:r>
        <w:t>.</w:t>
      </w:r>
    </w:p>
    <w:p w14:paraId="2DF627F9" w14:textId="77777777" w:rsidR="005F2169" w:rsidRDefault="005F2169" w:rsidP="004A31C3">
      <w:pPr>
        <w:pStyle w:val="F9-Paragraph"/>
      </w:pPr>
      <w:r w:rsidRPr="0056318D">
        <w:t xml:space="preserve">As a </w:t>
      </w:r>
      <w:r>
        <w:t>QNF</w:t>
      </w:r>
      <w:r w:rsidRPr="0056318D">
        <w:t xml:space="preserve"> moves through its lifecycle phases, the uses of the QNM within the </w:t>
      </w:r>
      <w:r>
        <w:t>QNF</w:t>
      </w:r>
      <w:r w:rsidRPr="0056318D">
        <w:t xml:space="preserve"> change, the operations carried out within it change and can lead to changes in the accountancy and control arrangements.</w:t>
      </w:r>
    </w:p>
    <w:p w14:paraId="576834C7" w14:textId="3D0E564B" w:rsidR="005F2169" w:rsidRDefault="005F2169" w:rsidP="004A31C3">
      <w:pPr>
        <w:pStyle w:val="F9-Paragraph"/>
      </w:pPr>
      <w:r>
        <w:t>I</w:t>
      </w:r>
      <w:r w:rsidRPr="0056318D">
        <w:t xml:space="preserve">t should be anticipated that </w:t>
      </w:r>
      <w:r w:rsidR="00616532">
        <w:t>design information</w:t>
      </w:r>
      <w:r w:rsidR="00616532" w:rsidRPr="0056318D">
        <w:t xml:space="preserve"> </w:t>
      </w:r>
      <w:r w:rsidRPr="0056318D">
        <w:t xml:space="preserve">changes will be declared to ONR throughout </w:t>
      </w:r>
      <w:r>
        <w:t xml:space="preserve">the </w:t>
      </w:r>
      <w:r w:rsidRPr="0056318D">
        <w:t>design process and later lifecycle changes. ONR may elect to assess and</w:t>
      </w:r>
      <w:r w:rsidR="00DA6493">
        <w:t>/</w:t>
      </w:r>
      <w:r w:rsidRPr="0056318D">
        <w:t xml:space="preserve">or inspect the compliance of the </w:t>
      </w:r>
      <w:r w:rsidR="00E82A51">
        <w:t>design information</w:t>
      </w:r>
      <w:r w:rsidR="00E82A51" w:rsidRPr="0056318D">
        <w:t xml:space="preserve"> </w:t>
      </w:r>
      <w:r w:rsidRPr="0056318D">
        <w:t>with NSR19 at any stage using a targeted</w:t>
      </w:r>
      <w:r w:rsidR="00E82A51">
        <w:t>, risk-informed</w:t>
      </w:r>
      <w:r w:rsidRPr="0056318D">
        <w:t xml:space="preserve"> approach </w:t>
      </w:r>
      <w:r>
        <w:t>aligned with</w:t>
      </w:r>
      <w:r w:rsidRPr="0056318D">
        <w:t xml:space="preserve"> the ONR Safeguards </w:t>
      </w:r>
      <w:r>
        <w:t>s</w:t>
      </w:r>
      <w:r w:rsidRPr="0056318D">
        <w:t>ub-</w:t>
      </w:r>
      <w:r w:rsidR="00E16182">
        <w:t>directorate plan</w:t>
      </w:r>
      <w:r w:rsidRPr="0056318D">
        <w:t>.</w:t>
      </w:r>
    </w:p>
    <w:p w14:paraId="53BD8E68" w14:textId="77777777" w:rsidR="005F2169" w:rsidRPr="0056318D" w:rsidRDefault="005F2169" w:rsidP="004A31C3">
      <w:pPr>
        <w:pStyle w:val="F9-Paragraph"/>
      </w:pPr>
      <w:r w:rsidRPr="0056318D">
        <w:t>The safeguards lifecycle can be separated into these phases.</w:t>
      </w:r>
    </w:p>
    <w:p w14:paraId="2A0D1D00" w14:textId="77777777" w:rsidR="005F2169" w:rsidRPr="0056318D" w:rsidRDefault="005F2169" w:rsidP="004F261E">
      <w:pPr>
        <w:pStyle w:val="NumList1"/>
        <w:numPr>
          <w:ilvl w:val="0"/>
          <w:numId w:val="77"/>
        </w:numPr>
        <w:ind w:left="1843"/>
      </w:pPr>
      <w:r w:rsidRPr="0056318D">
        <w:t>Pre-construction phase</w:t>
      </w:r>
    </w:p>
    <w:p w14:paraId="541E4E15" w14:textId="77777777" w:rsidR="005F2169" w:rsidRPr="0056318D" w:rsidRDefault="005F2169" w:rsidP="00DD6237">
      <w:pPr>
        <w:pStyle w:val="NumList1"/>
      </w:pPr>
      <w:r w:rsidRPr="0056318D">
        <w:t>Construction phase</w:t>
      </w:r>
    </w:p>
    <w:p w14:paraId="29A6679A" w14:textId="77777777" w:rsidR="005F2169" w:rsidRPr="0056318D" w:rsidRDefault="005F2169" w:rsidP="00DD6237">
      <w:pPr>
        <w:pStyle w:val="NumList1"/>
      </w:pPr>
      <w:r w:rsidRPr="0056318D">
        <w:t>Commissioning phase</w:t>
      </w:r>
    </w:p>
    <w:p w14:paraId="6FE14EF7" w14:textId="37448FCB" w:rsidR="005F2169" w:rsidRPr="0056318D" w:rsidRDefault="005F2169" w:rsidP="00DD6237">
      <w:pPr>
        <w:pStyle w:val="NumList1"/>
      </w:pPr>
      <w:r w:rsidRPr="0056318D">
        <w:t>Maintenance</w:t>
      </w:r>
      <w:r w:rsidR="00DA6493">
        <w:t>/</w:t>
      </w:r>
      <w:r w:rsidRPr="0056318D">
        <w:t>modification phase</w:t>
      </w:r>
    </w:p>
    <w:p w14:paraId="319F59A2" w14:textId="77777777" w:rsidR="005F2169" w:rsidRPr="0056318D" w:rsidRDefault="005F2169" w:rsidP="00DD6237">
      <w:pPr>
        <w:pStyle w:val="NumList1"/>
      </w:pPr>
      <w:r w:rsidRPr="0056318D">
        <w:t>Operating phase</w:t>
      </w:r>
    </w:p>
    <w:p w14:paraId="493E7817" w14:textId="77777777" w:rsidR="005F2169" w:rsidRPr="0056318D" w:rsidRDefault="005F2169" w:rsidP="00DD6237">
      <w:pPr>
        <w:pStyle w:val="NumList1"/>
      </w:pPr>
      <w:r w:rsidRPr="0056318D">
        <w:t>Shut-down phase</w:t>
      </w:r>
    </w:p>
    <w:p w14:paraId="7C91D4D5" w14:textId="77777777" w:rsidR="005F2169" w:rsidRPr="0056318D" w:rsidRDefault="005F2169" w:rsidP="00DD6237">
      <w:pPr>
        <w:pStyle w:val="NumList1"/>
      </w:pPr>
      <w:r w:rsidRPr="0056318D">
        <w:t>Closed-down phase</w:t>
      </w:r>
    </w:p>
    <w:p w14:paraId="019EDE5A" w14:textId="77777777" w:rsidR="005F2169" w:rsidRPr="0056318D" w:rsidRDefault="005F2169" w:rsidP="00DD6237">
      <w:pPr>
        <w:pStyle w:val="NumList1"/>
      </w:pPr>
      <w:r w:rsidRPr="0056318D">
        <w:t>Decommissioned for safeguards purposes</w:t>
      </w:r>
    </w:p>
    <w:p w14:paraId="46C4D69F" w14:textId="3EDF3F63" w:rsidR="005F2169" w:rsidRDefault="005F2169" w:rsidP="004A31C3">
      <w:pPr>
        <w:pStyle w:val="F9-Paragraph"/>
      </w:pPr>
      <w:r w:rsidRPr="0056318D">
        <w:t xml:space="preserve">The following are guidance on the definition of </w:t>
      </w:r>
      <w:r>
        <w:t>each</w:t>
      </w:r>
      <w:r w:rsidRPr="0056318D">
        <w:t xml:space="preserve"> phase. The objectives are not an exhaustive list, and it is for the inspector to judge which of these (and any other objectives) are to be applied to the </w:t>
      </w:r>
      <w:r>
        <w:t>QNF</w:t>
      </w:r>
      <w:r w:rsidRPr="0056318D">
        <w:t xml:space="preserve"> in that stage of its lifecycle. As maintenance and modification are a specific task these are </w:t>
      </w:r>
      <w:r>
        <w:t>explained</w:t>
      </w:r>
      <w:r w:rsidRPr="0056318D">
        <w:t xml:space="preserve"> in more detail below.</w:t>
      </w:r>
    </w:p>
    <w:p w14:paraId="79C5C2C3" w14:textId="77777777" w:rsidR="00CD2F97" w:rsidRDefault="00CD2F97" w:rsidP="004A31C3">
      <w:pPr>
        <w:pStyle w:val="F9-Paragraph"/>
        <w:numPr>
          <w:ilvl w:val="0"/>
          <w:numId w:val="0"/>
        </w:numPr>
        <w:ind w:left="851"/>
      </w:pPr>
    </w:p>
    <w:p w14:paraId="74F9B83A" w14:textId="5AB0D8C0" w:rsidR="005F2169" w:rsidRPr="0056318D" w:rsidRDefault="005F2169" w:rsidP="00DD6237">
      <w:pPr>
        <w:pStyle w:val="Heading3"/>
        <w:numPr>
          <w:ilvl w:val="0"/>
          <w:numId w:val="0"/>
        </w:numPr>
        <w:ind w:left="851"/>
      </w:pPr>
      <w:r w:rsidRPr="0056318D">
        <w:lastRenderedPageBreak/>
        <w:t xml:space="preserve">Pre-construction </w:t>
      </w:r>
      <w:r w:rsidR="00DF1484">
        <w:t xml:space="preserve">(Planned) </w:t>
      </w:r>
      <w:r w:rsidRPr="0056318D">
        <w:t>phase</w:t>
      </w:r>
    </w:p>
    <w:p w14:paraId="2B1D77E4" w14:textId="77777777" w:rsidR="005F2169" w:rsidRDefault="005F2169" w:rsidP="004A31C3">
      <w:pPr>
        <w:pStyle w:val="F9-Paragraph"/>
      </w:pPr>
      <w:r w:rsidRPr="0056318D">
        <w:t xml:space="preserve">The pre-construction phase for a </w:t>
      </w:r>
      <w:r>
        <w:t>QNF</w:t>
      </w:r>
      <w:r w:rsidRPr="0056318D">
        <w:t xml:space="preserve"> begins as soon as the plan for constructing a nuclear facility or site is decided. This phase includes the planning, design and engineering activities which precede the actual construction of the </w:t>
      </w:r>
      <w:r>
        <w:t>QNF</w:t>
      </w:r>
      <w:r w:rsidRPr="0056318D">
        <w:t xml:space="preserve"> or site.</w:t>
      </w:r>
    </w:p>
    <w:p w14:paraId="248D322F" w14:textId="065A9CEC" w:rsidR="005F2169" w:rsidRDefault="005F2169" w:rsidP="004A31C3">
      <w:pPr>
        <w:pStyle w:val="F9-Paragraph"/>
      </w:pPr>
      <w:r w:rsidRPr="0056318D">
        <w:t xml:space="preserve">An initial approach to regulating compliance against NSR19 can be prepared by assessing the </w:t>
      </w:r>
      <w:r w:rsidR="004958A3">
        <w:t xml:space="preserve">submitted </w:t>
      </w:r>
      <w:r w:rsidRPr="0056318D">
        <w:t xml:space="preserve">preliminary </w:t>
      </w:r>
      <w:r>
        <w:t xml:space="preserve">design </w:t>
      </w:r>
      <w:r w:rsidRPr="0056318D">
        <w:t xml:space="preserve">information. As the design of the </w:t>
      </w:r>
      <w:r>
        <w:t>QNF</w:t>
      </w:r>
      <w:r w:rsidRPr="0056318D">
        <w:t xml:space="preserve"> progresses, there should be</w:t>
      </w:r>
      <w:r>
        <w:t xml:space="preserve"> regular</w:t>
      </w:r>
      <w:r w:rsidRPr="0056318D">
        <w:t xml:space="preserve"> further engagement and provision of more detailed </w:t>
      </w:r>
      <w:r w:rsidR="004958A3">
        <w:t xml:space="preserve">design </w:t>
      </w:r>
      <w:r w:rsidRPr="0056318D">
        <w:t xml:space="preserve">information as necessary to allow ONR to refine the approach. </w:t>
      </w:r>
      <w:r>
        <w:t>The inspector should consider how best to align their activities with those from other ONR purposes.</w:t>
      </w:r>
    </w:p>
    <w:p w14:paraId="57CAEC12" w14:textId="32CDB152" w:rsidR="005F2169" w:rsidRDefault="005F2169" w:rsidP="004A31C3">
      <w:pPr>
        <w:pStyle w:val="F9-Paragraph"/>
      </w:pPr>
      <w:r w:rsidRPr="0056318D">
        <w:t xml:space="preserve">Assessing </w:t>
      </w:r>
      <w:r w:rsidR="001C2B1E">
        <w:t>design</w:t>
      </w:r>
      <w:r w:rsidR="001C2B1E" w:rsidRPr="0056318D">
        <w:t xml:space="preserve"> </w:t>
      </w:r>
      <w:r w:rsidRPr="0056318D">
        <w:t xml:space="preserve">information from the outset and discussing the outcomes with the operator assists inspectors to determine whether </w:t>
      </w:r>
      <w:r>
        <w:t>a QNF</w:t>
      </w:r>
      <w:r w:rsidRPr="0056318D">
        <w:t xml:space="preserve"> design makes or can be made to give adequate provision for NMACS by the operator (including ONR’s ability to inspect the implementation of those arrangements).</w:t>
      </w:r>
    </w:p>
    <w:p w14:paraId="1ECF54D2" w14:textId="181861A5" w:rsidR="005F2169" w:rsidRDefault="005F2169" w:rsidP="004A31C3">
      <w:pPr>
        <w:pStyle w:val="F9-Paragraph"/>
      </w:pPr>
      <w:r w:rsidRPr="0056318D">
        <w:t xml:space="preserve">Inspectors </w:t>
      </w:r>
      <w:r>
        <w:t>should</w:t>
      </w:r>
      <w:r w:rsidRPr="0056318D">
        <w:t xml:space="preserve"> also use </w:t>
      </w:r>
      <w:r w:rsidR="001C2B1E">
        <w:t>design information</w:t>
      </w:r>
      <w:r w:rsidR="001C2B1E" w:rsidRPr="0056318D">
        <w:t xml:space="preserve"> </w:t>
      </w:r>
      <w:r w:rsidRPr="0056318D">
        <w:t xml:space="preserve">submissions on new </w:t>
      </w:r>
      <w:r>
        <w:t>QNFs</w:t>
      </w:r>
      <w:r w:rsidRPr="0056318D">
        <w:t xml:space="preserve"> in this phase to establish and maintain suitable dialogue with the IAEA regarding their appetite for possible designation of the new </w:t>
      </w:r>
      <w:r>
        <w:t>QNF</w:t>
      </w:r>
      <w:r w:rsidRPr="0056318D">
        <w:t xml:space="preserve"> concerned, and therefore the need to prepare for IAEA verification activities and any equipment involved in them.</w:t>
      </w:r>
    </w:p>
    <w:p w14:paraId="12F5AD72" w14:textId="77777777" w:rsidR="005F2169" w:rsidRDefault="005F2169" w:rsidP="004A31C3">
      <w:pPr>
        <w:pStyle w:val="F9-Paragraph"/>
      </w:pPr>
      <w:r w:rsidRPr="0056318D">
        <w:t xml:space="preserve">The objectives in this phase should be focussed on understanding the purpose of the </w:t>
      </w:r>
      <w:r>
        <w:t>QNF</w:t>
      </w:r>
      <w:r w:rsidRPr="0056318D">
        <w:t xml:space="preserve"> and defining its NMACS in the best way to build in NMACS by design.</w:t>
      </w:r>
    </w:p>
    <w:p w14:paraId="38346F28" w14:textId="77777777" w:rsidR="005F2169" w:rsidRPr="0056318D" w:rsidRDefault="005F2169" w:rsidP="00DD6237">
      <w:pPr>
        <w:pStyle w:val="Heading3"/>
        <w:numPr>
          <w:ilvl w:val="0"/>
          <w:numId w:val="0"/>
        </w:numPr>
        <w:ind w:left="851"/>
      </w:pPr>
      <w:r w:rsidRPr="0056318D">
        <w:t>Construction phase</w:t>
      </w:r>
    </w:p>
    <w:p w14:paraId="4E99144B" w14:textId="77777777" w:rsidR="005F2169" w:rsidRPr="0056318D" w:rsidRDefault="005F2169" w:rsidP="004A31C3">
      <w:pPr>
        <w:pStyle w:val="F9-Paragraph"/>
      </w:pPr>
      <w:r w:rsidRPr="0056318D">
        <w:t xml:space="preserve">The construction phase of a </w:t>
      </w:r>
      <w:r>
        <w:t>QNF</w:t>
      </w:r>
      <w:r w:rsidRPr="0056318D">
        <w:t xml:space="preserve"> begins with the commencement of foundations and continues until the entire </w:t>
      </w:r>
      <w:r>
        <w:t>QNF</w:t>
      </w:r>
      <w:r w:rsidRPr="0056318D">
        <w:t xml:space="preserve"> is constructed and ready for commissioning. During the construction phase, the design information will evolve as changes to the design occur.</w:t>
      </w:r>
    </w:p>
    <w:p w14:paraId="61AC5504" w14:textId="5606ADCC" w:rsidR="005F2169" w:rsidRDefault="005F2169" w:rsidP="004A31C3">
      <w:pPr>
        <w:pStyle w:val="F9-Paragraph"/>
      </w:pPr>
      <w:r w:rsidRPr="0056318D">
        <w:t>As construction progresses, or as soon as possible after construction completion, BTC assessment and inspection activities may be carried out to verify specific NMACS related requirements.</w:t>
      </w:r>
      <w:r>
        <w:t xml:space="preserve"> </w:t>
      </w:r>
      <w:r w:rsidRPr="0056318D">
        <w:t xml:space="preserve">For instance, the provision of any </w:t>
      </w:r>
      <w:r>
        <w:t>storage locations</w:t>
      </w:r>
      <w:r w:rsidRPr="0056318D">
        <w:t xml:space="preserve"> </w:t>
      </w:r>
      <w:r>
        <w:t>or</w:t>
      </w:r>
      <w:r w:rsidRPr="0056318D">
        <w:t xml:space="preserve"> retrieval machines that may be utilised for </w:t>
      </w:r>
      <w:r>
        <w:t xml:space="preserve">measurement, control, or </w:t>
      </w:r>
      <w:r w:rsidRPr="0056318D">
        <w:t xml:space="preserve">verification by the </w:t>
      </w:r>
      <w:r>
        <w:t>o</w:t>
      </w:r>
      <w:r w:rsidRPr="0056318D">
        <w:t xml:space="preserve">perator. In the event of the IAEA designating a </w:t>
      </w:r>
      <w:r>
        <w:t>QNF for implementation of safeguards measures</w:t>
      </w:r>
      <w:r w:rsidRPr="0056318D">
        <w:t xml:space="preserve">, negotiation of the IAEA’s verification approach may </w:t>
      </w:r>
      <w:r>
        <w:t xml:space="preserve">result in an approach which </w:t>
      </w:r>
      <w:r w:rsidRPr="0056318D">
        <w:t>include</w:t>
      </w:r>
      <w:r>
        <w:t>s</w:t>
      </w:r>
      <w:r w:rsidRPr="0056318D">
        <w:t xml:space="preserve"> the installation of I</w:t>
      </w:r>
      <w:r>
        <w:t>AEA equipment. The inspector should ensure that any such requirements are incorporated into the operators construction plan</w:t>
      </w:r>
      <w:r w:rsidR="00BD3051">
        <w:t xml:space="preserve"> and facilitate dialogue between the IAEA and operator to ensure </w:t>
      </w:r>
      <w:r w:rsidR="00FB7FD2">
        <w:t>efficient progress and to minimise disruption and burden on the operator</w:t>
      </w:r>
      <w:r>
        <w:t xml:space="preserve">. </w:t>
      </w:r>
    </w:p>
    <w:p w14:paraId="2B465724" w14:textId="77777777" w:rsidR="005F2169" w:rsidRDefault="005F2169" w:rsidP="004A31C3">
      <w:pPr>
        <w:pStyle w:val="F9-Paragraph"/>
      </w:pPr>
      <w:r w:rsidRPr="006F7EB7">
        <w:lastRenderedPageBreak/>
        <w:t xml:space="preserve">The objectives in this phase should be focussed on confirming that the NMACS systems proposed in the design are being installed and the </w:t>
      </w:r>
      <w:r>
        <w:t xml:space="preserve">nuclear material control or nuclear material accountancy </w:t>
      </w:r>
      <w:r w:rsidRPr="006F7EB7">
        <w:t>reporting IT equipment, systems or processes are finalised.</w:t>
      </w:r>
    </w:p>
    <w:p w14:paraId="75B0D29A" w14:textId="77777777" w:rsidR="005F2169" w:rsidRPr="0056318D" w:rsidRDefault="005F2169" w:rsidP="00DD6237">
      <w:pPr>
        <w:pStyle w:val="Heading3"/>
        <w:numPr>
          <w:ilvl w:val="0"/>
          <w:numId w:val="0"/>
        </w:numPr>
        <w:ind w:left="851"/>
      </w:pPr>
      <w:r w:rsidRPr="0056318D">
        <w:t>Commissioning phase</w:t>
      </w:r>
    </w:p>
    <w:p w14:paraId="1B8C60C6" w14:textId="77777777" w:rsidR="005F2169" w:rsidRDefault="005F2169" w:rsidP="004A31C3">
      <w:pPr>
        <w:pStyle w:val="F9-Paragraph"/>
      </w:pPr>
      <w:r w:rsidRPr="006F7EB7">
        <w:t>The commissioning phase of a facility begins after completion of construction and before the facility is operational. This stage will include the use of QNM for testing. Inspectors should ensure the notification requirements set down in NSR19 are met.</w:t>
      </w:r>
    </w:p>
    <w:p w14:paraId="73694519" w14:textId="17671C5A" w:rsidR="005F2169" w:rsidRPr="000C1EE8" w:rsidRDefault="005F2169" w:rsidP="004A31C3">
      <w:pPr>
        <w:pStyle w:val="F9-Paragraph"/>
      </w:pPr>
      <w:r w:rsidRPr="006F7EB7">
        <w:t>Participation by ONR (as well as the IAEA where necessary to support possible designation of the facility for inspection under the UK</w:t>
      </w:r>
      <w:r w:rsidR="00DA6493">
        <w:t>/</w:t>
      </w:r>
      <w:r w:rsidRPr="006F7EB7">
        <w:t xml:space="preserve">IAEA VOA) in testing activities should be arranged jointly with the operator to enable ONR to gain assurance that the NMACS system declared in the </w:t>
      </w:r>
      <w:r w:rsidR="008041A6">
        <w:t>design information</w:t>
      </w:r>
      <w:r w:rsidR="008041A6" w:rsidRPr="006F7EB7">
        <w:t xml:space="preserve"> </w:t>
      </w:r>
      <w:r w:rsidRPr="006F7EB7">
        <w:t xml:space="preserve">is being operated effectively while minimising the interference on the facility’s commissioning phase. </w:t>
      </w:r>
      <w:r w:rsidR="008041A6">
        <w:t>The inspector should consider</w:t>
      </w:r>
      <w:r w:rsidR="00807B47">
        <w:t xml:space="preserve"> influencing the operator to</w:t>
      </w:r>
      <w:r w:rsidR="008041A6">
        <w:t xml:space="preserve"> embed </w:t>
      </w:r>
      <w:r w:rsidR="00807B47">
        <w:t xml:space="preserve">key </w:t>
      </w:r>
      <w:r w:rsidR="008041A6">
        <w:t xml:space="preserve">safeguards </w:t>
      </w:r>
      <w:r w:rsidR="00807B47">
        <w:t>activities within the overall commissioning plan</w:t>
      </w:r>
      <w:r w:rsidR="00E10167">
        <w:t xml:space="preserve">. </w:t>
      </w:r>
      <w:r w:rsidRPr="006F7EB7">
        <w:t>The approach taken to commissioning must ensure that ONR can make an independent assessment.</w:t>
      </w:r>
    </w:p>
    <w:p w14:paraId="288CC0A0" w14:textId="77777777" w:rsidR="005F2169" w:rsidRDefault="005F2169" w:rsidP="004A31C3">
      <w:pPr>
        <w:pStyle w:val="F9-Paragraph"/>
      </w:pPr>
      <w:r w:rsidRPr="006F7EB7">
        <w:t>The objectives in this phase should be focussed on confirming that the NMACS systems installed are being brought on line and set to work, and that testing confirms QNM can be accounted for and controlled proportionately and appropriately.</w:t>
      </w:r>
    </w:p>
    <w:p w14:paraId="6E2A47C8" w14:textId="77777777" w:rsidR="005F2169" w:rsidRPr="0056318D" w:rsidRDefault="005F2169" w:rsidP="00DD6237">
      <w:pPr>
        <w:pStyle w:val="Heading3"/>
        <w:numPr>
          <w:ilvl w:val="0"/>
          <w:numId w:val="0"/>
        </w:numPr>
        <w:ind w:left="851"/>
      </w:pPr>
      <w:r w:rsidRPr="0056318D">
        <w:t>Operating phase</w:t>
      </w:r>
    </w:p>
    <w:p w14:paraId="6710AE6D" w14:textId="6B829AA8" w:rsidR="005F2169" w:rsidRPr="000C1EE8" w:rsidRDefault="005F2169" w:rsidP="004A31C3">
      <w:pPr>
        <w:pStyle w:val="F9-Paragraph"/>
        <w:rPr>
          <w:rFonts w:ascii="Arial Bold" w:hAnsi="Arial Bold"/>
          <w:caps/>
        </w:rPr>
      </w:pPr>
      <w:r w:rsidRPr="000C1EE8">
        <w:t xml:space="preserve">The operating phase (routine operations) of a </w:t>
      </w:r>
      <w:r w:rsidR="00E10167">
        <w:t>QNF</w:t>
      </w:r>
      <w:r w:rsidRPr="000C1EE8">
        <w:t xml:space="preserve"> begins after commissioning is completed and when QNM has been introduced to the </w:t>
      </w:r>
      <w:r w:rsidR="00E10167">
        <w:t>QNF</w:t>
      </w:r>
      <w:r w:rsidRPr="000C1EE8">
        <w:t xml:space="preserve">, so that it may function for its designed purpose. During the operating phase the major objective of </w:t>
      </w:r>
      <w:r w:rsidR="007559ED">
        <w:t>design information</w:t>
      </w:r>
      <w:r w:rsidR="007559ED" w:rsidRPr="000C1EE8">
        <w:t xml:space="preserve"> </w:t>
      </w:r>
      <w:r w:rsidRPr="000C1EE8">
        <w:t xml:space="preserve">assessment and inspection activities is to ensure that the </w:t>
      </w:r>
      <w:r w:rsidR="007559ED">
        <w:t>QNF</w:t>
      </w:r>
      <w:r w:rsidR="007559ED" w:rsidRPr="000C1EE8">
        <w:t xml:space="preserve"> </w:t>
      </w:r>
      <w:r w:rsidRPr="000C1EE8">
        <w:t>is operating in accordance with the declared design information</w:t>
      </w:r>
      <w:r>
        <w:t>, and any safeguards significant modifications have been shared with ONR</w:t>
      </w:r>
      <w:r w:rsidRPr="000C1EE8">
        <w:t xml:space="preserve">. </w:t>
      </w:r>
    </w:p>
    <w:p w14:paraId="5D1453BF" w14:textId="3AC7F09D" w:rsidR="005F2169" w:rsidRPr="0056318D" w:rsidRDefault="005F2169" w:rsidP="00DD6237">
      <w:pPr>
        <w:pStyle w:val="Heading3"/>
        <w:numPr>
          <w:ilvl w:val="0"/>
          <w:numId w:val="0"/>
        </w:numPr>
        <w:ind w:left="851"/>
      </w:pPr>
      <w:r w:rsidRPr="0056318D">
        <w:t>Maintenance</w:t>
      </w:r>
      <w:r w:rsidR="00DA6493">
        <w:t>/</w:t>
      </w:r>
      <w:r w:rsidRPr="0056318D">
        <w:t>modification phase</w:t>
      </w:r>
    </w:p>
    <w:p w14:paraId="6FDDBECB" w14:textId="3D48CB17" w:rsidR="005F2169" w:rsidRPr="000C1EE8" w:rsidRDefault="005F2169" w:rsidP="004A31C3">
      <w:pPr>
        <w:pStyle w:val="F9-Paragraph"/>
        <w:rPr>
          <w:rFonts w:ascii="Arial Bold" w:hAnsi="Arial Bold"/>
          <w:caps/>
        </w:rPr>
      </w:pPr>
      <w:r w:rsidRPr="000C1EE8">
        <w:t>The maintenance</w:t>
      </w:r>
      <w:r w:rsidR="00DA6493">
        <w:t>/</w:t>
      </w:r>
      <w:r w:rsidRPr="000C1EE8">
        <w:t xml:space="preserve">modification phase may involve all or part of a </w:t>
      </w:r>
      <w:r>
        <w:t>QNF</w:t>
      </w:r>
      <w:r w:rsidRPr="000C1EE8">
        <w:t xml:space="preserve">. </w:t>
      </w:r>
      <w:r w:rsidR="00DD6237">
        <w:br/>
      </w:r>
      <w:r w:rsidRPr="000C1EE8">
        <w:t>It may also coincide with other phases, such as operating or shut-down phases. The maintenance</w:t>
      </w:r>
      <w:r w:rsidR="00DA6493">
        <w:t>/</w:t>
      </w:r>
      <w:r w:rsidRPr="000C1EE8">
        <w:t xml:space="preserve">modification phase may include design changes to the </w:t>
      </w:r>
      <w:r>
        <w:t>QNF</w:t>
      </w:r>
      <w:r w:rsidRPr="000C1EE8">
        <w:t xml:space="preserve">. The major objective of </w:t>
      </w:r>
      <w:r w:rsidR="001235D0">
        <w:t>design information</w:t>
      </w:r>
      <w:r w:rsidR="001235D0" w:rsidRPr="000C1EE8">
        <w:t xml:space="preserve"> </w:t>
      </w:r>
      <w:r w:rsidRPr="000C1EE8">
        <w:t xml:space="preserve">inspection activities during this phase is to ensure any changes to the </w:t>
      </w:r>
      <w:r w:rsidR="005477DD">
        <w:t>QNFs</w:t>
      </w:r>
      <w:r w:rsidR="005477DD" w:rsidRPr="000C1EE8">
        <w:t xml:space="preserve"> </w:t>
      </w:r>
      <w:r w:rsidRPr="000C1EE8">
        <w:t xml:space="preserve">design, function, operation, and capability, and essential equipment as defined by ONR have been identified and that the modifications to the </w:t>
      </w:r>
      <w:r w:rsidR="005477DD">
        <w:t>design information</w:t>
      </w:r>
      <w:r w:rsidR="005477DD" w:rsidRPr="000C1EE8">
        <w:t xml:space="preserve"> </w:t>
      </w:r>
      <w:r w:rsidRPr="000C1EE8">
        <w:t>are implemented.</w:t>
      </w:r>
    </w:p>
    <w:p w14:paraId="28ED6DFB" w14:textId="77777777" w:rsidR="005F2169" w:rsidRPr="000C1EE8" w:rsidRDefault="005F2169" w:rsidP="004A31C3">
      <w:pPr>
        <w:pStyle w:val="F9-Paragraph"/>
        <w:rPr>
          <w:rFonts w:ascii="Arial Bold" w:hAnsi="Arial Bold"/>
          <w:caps/>
        </w:rPr>
      </w:pPr>
      <w:r w:rsidRPr="000C1EE8">
        <w:lastRenderedPageBreak/>
        <w:t>Within this phase it is important to recognise that QNM needs to be controlled and accounted for whilst the NMAC systems are going through changes. Thus, the inspector may consider via assessment or inspection whether:</w:t>
      </w:r>
    </w:p>
    <w:p w14:paraId="37A0EFF4" w14:textId="2CD288E3" w:rsidR="005F2169" w:rsidRPr="0056318D" w:rsidRDefault="005F2169" w:rsidP="004F261E">
      <w:pPr>
        <w:pStyle w:val="NumList2"/>
        <w:numPr>
          <w:ilvl w:val="1"/>
          <w:numId w:val="78"/>
        </w:numPr>
        <w:ind w:left="1276"/>
      </w:pPr>
      <w:r w:rsidRPr="0056318D">
        <w:t>The maintenance and</w:t>
      </w:r>
      <w:r w:rsidR="00DA6493">
        <w:t>/</w:t>
      </w:r>
      <w:r w:rsidRPr="0056318D">
        <w:t>or modifications were appropriate for the declared purpose.</w:t>
      </w:r>
    </w:p>
    <w:p w14:paraId="34223F34" w14:textId="080CECE8" w:rsidR="005F2169" w:rsidRPr="0056318D" w:rsidRDefault="005F2169" w:rsidP="00DD6237">
      <w:pPr>
        <w:pStyle w:val="NumList2"/>
      </w:pPr>
      <w:r w:rsidRPr="0056318D">
        <w:t>The work performed met that specified in the maintenance</w:t>
      </w:r>
      <w:r w:rsidR="00DA6493">
        <w:t>/</w:t>
      </w:r>
      <w:r w:rsidRPr="0056318D">
        <w:t xml:space="preserve">modification declared work plan. </w:t>
      </w:r>
    </w:p>
    <w:p w14:paraId="20DF8662" w14:textId="77777777" w:rsidR="005F2169" w:rsidRPr="0056318D" w:rsidRDefault="005F2169" w:rsidP="00DD6237">
      <w:pPr>
        <w:pStyle w:val="NumList2"/>
      </w:pPr>
      <w:r w:rsidRPr="0056318D">
        <w:t>The integrity of the control measures for QNM were compromised during the period of change.</w:t>
      </w:r>
    </w:p>
    <w:p w14:paraId="3A3324EF" w14:textId="79CF0FFD" w:rsidR="005F2169" w:rsidRPr="0056318D" w:rsidRDefault="005F2169" w:rsidP="00DD6237">
      <w:pPr>
        <w:pStyle w:val="NumList2"/>
      </w:pPr>
      <w:r w:rsidRPr="0056318D">
        <w:t>The QNM verification methods were affected by the maintenance</w:t>
      </w:r>
      <w:r w:rsidR="00DA6493">
        <w:t>/</w:t>
      </w:r>
      <w:r w:rsidRPr="0056318D">
        <w:t>modification work.</w:t>
      </w:r>
    </w:p>
    <w:p w14:paraId="571CBBAA" w14:textId="3AAA990C" w:rsidR="005F2169" w:rsidRPr="0056318D" w:rsidRDefault="005F2169" w:rsidP="00DD6237">
      <w:pPr>
        <w:pStyle w:val="NumList2"/>
      </w:pPr>
      <w:r w:rsidRPr="0056318D">
        <w:t>The declared</w:t>
      </w:r>
      <w:r w:rsidR="00645342">
        <w:t xml:space="preserve"> nuclear material</w:t>
      </w:r>
      <w:r w:rsidRPr="0056318D">
        <w:t xml:space="preserve"> accounting and relevant operating procedures after the modification</w:t>
      </w:r>
      <w:r w:rsidR="00DA6493">
        <w:t>/</w:t>
      </w:r>
      <w:r w:rsidRPr="0056318D">
        <w:t>maintenance are correct, appropriate up-to-date and implemented.</w:t>
      </w:r>
    </w:p>
    <w:p w14:paraId="0458569B" w14:textId="77777777" w:rsidR="005F2169" w:rsidRDefault="005F2169" w:rsidP="00DD6237">
      <w:pPr>
        <w:pStyle w:val="NumList2"/>
      </w:pPr>
      <w:r w:rsidRPr="0056318D">
        <w:t xml:space="preserve">The use, function, capacity, and operational status of </w:t>
      </w:r>
      <w:r>
        <w:t>e</w:t>
      </w:r>
      <w:r w:rsidRPr="0056318D">
        <w:t xml:space="preserve">ssential </w:t>
      </w:r>
      <w:r>
        <w:t>e</w:t>
      </w:r>
      <w:r w:rsidRPr="0056318D">
        <w:t>quipment have been modified.</w:t>
      </w:r>
    </w:p>
    <w:p w14:paraId="18E33CD0" w14:textId="77777777" w:rsidR="005F2169" w:rsidRPr="0056318D" w:rsidRDefault="005F2169" w:rsidP="00DD6237">
      <w:pPr>
        <w:pStyle w:val="Heading3"/>
        <w:numPr>
          <w:ilvl w:val="0"/>
          <w:numId w:val="0"/>
        </w:numPr>
        <w:ind w:left="851"/>
      </w:pPr>
      <w:r w:rsidRPr="0056318D">
        <w:t>Shut-down phase</w:t>
      </w:r>
    </w:p>
    <w:p w14:paraId="60A0B6BA" w14:textId="77777777" w:rsidR="005F2169" w:rsidRDefault="005F2169" w:rsidP="004A31C3">
      <w:pPr>
        <w:pStyle w:val="F9-Paragraph"/>
      </w:pPr>
      <w:r w:rsidRPr="000C1EE8">
        <w:t xml:space="preserve">The shut-down phase of a </w:t>
      </w:r>
      <w:r>
        <w:t>QNF</w:t>
      </w:r>
      <w:r w:rsidRPr="000C1EE8">
        <w:t xml:space="preserve"> involves interrupting the operation of a </w:t>
      </w:r>
      <w:r>
        <w:t>QNF</w:t>
      </w:r>
      <w:r w:rsidRPr="000C1EE8">
        <w:t xml:space="preserve"> for a period significantly exceeding that of normal outages. During this phase, the </w:t>
      </w:r>
      <w:r>
        <w:t>QNF</w:t>
      </w:r>
      <w:r w:rsidRPr="000C1EE8">
        <w:t xml:space="preserve"> is not in operation, contains QNM and could be restarted in a short time should the operator choose to do so.</w:t>
      </w:r>
    </w:p>
    <w:p w14:paraId="108EDC22" w14:textId="1491763E" w:rsidR="005F2169" w:rsidRDefault="005F2169" w:rsidP="004A31C3">
      <w:pPr>
        <w:pStyle w:val="F9-Paragraph"/>
      </w:pPr>
      <w:r w:rsidRPr="000C1EE8">
        <w:t xml:space="preserve">During the shut-down phase, ONR continues with </w:t>
      </w:r>
      <w:r w:rsidR="005239CE">
        <w:t>design information</w:t>
      </w:r>
      <w:r w:rsidR="005239CE" w:rsidRPr="000C1EE8">
        <w:t xml:space="preserve"> </w:t>
      </w:r>
      <w:r w:rsidRPr="000C1EE8">
        <w:t xml:space="preserve">inspection activities to ensure that the operational status of the </w:t>
      </w:r>
      <w:r w:rsidR="005239CE">
        <w:t>QNF</w:t>
      </w:r>
      <w:r w:rsidR="005239CE" w:rsidRPr="000C1EE8">
        <w:t xml:space="preserve"> </w:t>
      </w:r>
      <w:r w:rsidRPr="000C1EE8">
        <w:t xml:space="preserve">is as declared and that no undeclared changes are made to the </w:t>
      </w:r>
      <w:r w:rsidR="005239CE">
        <w:t>QNF</w:t>
      </w:r>
      <w:r w:rsidRPr="000C1EE8">
        <w:t>.</w:t>
      </w:r>
    </w:p>
    <w:p w14:paraId="32AF426E" w14:textId="77777777" w:rsidR="005F2169" w:rsidRPr="0056318D" w:rsidRDefault="005F2169" w:rsidP="00DD6237">
      <w:pPr>
        <w:pStyle w:val="Heading3"/>
        <w:numPr>
          <w:ilvl w:val="0"/>
          <w:numId w:val="0"/>
        </w:numPr>
        <w:ind w:left="851"/>
      </w:pPr>
      <w:r w:rsidRPr="0056318D">
        <w:t>Closed-down phase</w:t>
      </w:r>
    </w:p>
    <w:p w14:paraId="0894356E" w14:textId="4C4DC3F0" w:rsidR="005F2169" w:rsidRDefault="005F2169" w:rsidP="004A31C3">
      <w:pPr>
        <w:pStyle w:val="F9-Paragraph"/>
      </w:pPr>
      <w:r w:rsidRPr="000C1EE8">
        <w:t xml:space="preserve">The closed-down phase of a </w:t>
      </w:r>
      <w:r w:rsidR="005239CE">
        <w:t>QNF</w:t>
      </w:r>
      <w:r w:rsidR="005239CE" w:rsidRPr="000C1EE8">
        <w:t xml:space="preserve"> </w:t>
      </w:r>
      <w:r w:rsidRPr="000C1EE8">
        <w:t xml:space="preserve">begins when operations have been stopped and QNM has been removed, but that decommissioning has not started and the potential for undeclared start up remains. A </w:t>
      </w:r>
      <w:r>
        <w:t>QNF</w:t>
      </w:r>
      <w:r w:rsidRPr="000C1EE8">
        <w:t xml:space="preserve"> which has been built but never operated and which has no QNM inventory may also be considered to be in a closed-down phase. ONR should still be performing </w:t>
      </w:r>
      <w:r w:rsidR="00E0009B">
        <w:t>design information</w:t>
      </w:r>
      <w:r w:rsidR="00E0009B" w:rsidRPr="000C1EE8">
        <w:t xml:space="preserve"> </w:t>
      </w:r>
      <w:r w:rsidRPr="000C1EE8">
        <w:t>inspection activities during the closed-down phase – and the IAEA will be doing so for facilities that have been designated</w:t>
      </w:r>
      <w:r w:rsidR="00E0009B">
        <w:t xml:space="preserve"> for IAEA implementation of safeguards</w:t>
      </w:r>
      <w:r w:rsidRPr="000C1EE8">
        <w:t>.</w:t>
      </w:r>
    </w:p>
    <w:p w14:paraId="38D26AAB" w14:textId="77777777" w:rsidR="005F2169" w:rsidRDefault="005F2169" w:rsidP="004A31C3">
      <w:pPr>
        <w:pStyle w:val="F9-Paragraph"/>
      </w:pPr>
      <w:r w:rsidRPr="000C1EE8">
        <w:t xml:space="preserve">A closed-down </w:t>
      </w:r>
      <w:r>
        <w:t>QNF</w:t>
      </w:r>
      <w:r w:rsidRPr="000C1EE8">
        <w:t xml:space="preserve"> may be in either a Care and Maintenance (C&amp;M) phase or a state of decommissioning and as with shut-down </w:t>
      </w:r>
      <w:r>
        <w:t>the work of the inspector focus</w:t>
      </w:r>
      <w:r w:rsidRPr="000C1EE8">
        <w:t>es on assurance related to control of QNM.</w:t>
      </w:r>
      <w:r>
        <w:t xml:space="preserve"> </w:t>
      </w:r>
    </w:p>
    <w:p w14:paraId="7B52F450" w14:textId="5E62991D" w:rsidR="005F2169" w:rsidRPr="000C1EE8" w:rsidRDefault="005F2169" w:rsidP="004A31C3">
      <w:pPr>
        <w:pStyle w:val="F9-Paragraph"/>
      </w:pPr>
      <w:r w:rsidRPr="000C1EE8">
        <w:lastRenderedPageBreak/>
        <w:t xml:space="preserve">A closed-down </w:t>
      </w:r>
      <w:r w:rsidR="00E0009B">
        <w:t>QNF</w:t>
      </w:r>
      <w:r w:rsidR="00E0009B" w:rsidRPr="000C1EE8">
        <w:t xml:space="preserve"> </w:t>
      </w:r>
      <w:r w:rsidRPr="000C1EE8">
        <w:t>is in a C&amp;M phase when:</w:t>
      </w:r>
    </w:p>
    <w:p w14:paraId="3873AB3B" w14:textId="77777777" w:rsidR="005F2169" w:rsidRPr="0056318D" w:rsidRDefault="005F2169" w:rsidP="004F261E">
      <w:pPr>
        <w:pStyle w:val="NumList2"/>
        <w:numPr>
          <w:ilvl w:val="1"/>
          <w:numId w:val="79"/>
        </w:numPr>
        <w:ind w:left="1276"/>
      </w:pPr>
      <w:r w:rsidRPr="0056318D">
        <w:t>Major process operations were never started or have been declared as stopped.</w:t>
      </w:r>
    </w:p>
    <w:p w14:paraId="487CCE2D" w14:textId="77777777" w:rsidR="005F2169" w:rsidRPr="0056318D" w:rsidRDefault="005F2169" w:rsidP="00DD6237">
      <w:pPr>
        <w:pStyle w:val="NumList2"/>
      </w:pPr>
      <w:r w:rsidRPr="0056318D">
        <w:t>QNM inventory was never received or ha</w:t>
      </w:r>
      <w:r>
        <w:t>s</w:t>
      </w:r>
      <w:r w:rsidRPr="0056318D">
        <w:t xml:space="preserve"> been removed or cleaned out to the extent possible.</w:t>
      </w:r>
    </w:p>
    <w:p w14:paraId="76FE62B8" w14:textId="77777777" w:rsidR="005F2169" w:rsidRPr="0056318D" w:rsidRDefault="005F2169" w:rsidP="00DD6237">
      <w:pPr>
        <w:pStyle w:val="NumList2"/>
      </w:pPr>
      <w:r w:rsidRPr="0056318D">
        <w:t>The installation is not in a decommissioning stage, nor has it been decommissioned.</w:t>
      </w:r>
    </w:p>
    <w:p w14:paraId="58AD375D" w14:textId="0798DFF4" w:rsidR="005F2169" w:rsidRDefault="001C113C" w:rsidP="004A31C3">
      <w:pPr>
        <w:pStyle w:val="F9-Paragraph"/>
      </w:pPr>
      <w:r>
        <w:t>Design information</w:t>
      </w:r>
      <w:r w:rsidRPr="000C1EE8">
        <w:t xml:space="preserve"> </w:t>
      </w:r>
      <w:r w:rsidR="005F2169" w:rsidRPr="000C1EE8">
        <w:t xml:space="preserve">inspections are performed during the preservation state to ensure that the </w:t>
      </w:r>
      <w:r w:rsidR="005F2169">
        <w:t>QNF</w:t>
      </w:r>
      <w:r w:rsidR="005F2169" w:rsidRPr="000C1EE8">
        <w:t xml:space="preserve"> is not operating and in a preserved closed-down state. </w:t>
      </w:r>
    </w:p>
    <w:p w14:paraId="0831D364" w14:textId="77777777" w:rsidR="005F2169" w:rsidRPr="000C1EE8" w:rsidRDefault="005F2169" w:rsidP="004A31C3">
      <w:pPr>
        <w:pStyle w:val="F9-Paragraph"/>
      </w:pPr>
      <w:r w:rsidRPr="000C1EE8">
        <w:t xml:space="preserve">A closed-down </w:t>
      </w:r>
      <w:r>
        <w:t>QNF</w:t>
      </w:r>
      <w:r w:rsidRPr="000C1EE8">
        <w:t xml:space="preserve"> is in a state of decommissioning when:</w:t>
      </w:r>
    </w:p>
    <w:p w14:paraId="7A874651" w14:textId="77777777" w:rsidR="005F2169" w:rsidRPr="0056318D" w:rsidRDefault="005F2169" w:rsidP="004F261E">
      <w:pPr>
        <w:pStyle w:val="NumList2"/>
        <w:numPr>
          <w:ilvl w:val="1"/>
          <w:numId w:val="80"/>
        </w:numPr>
        <w:ind w:left="1276"/>
      </w:pPr>
      <w:r w:rsidRPr="0056318D">
        <w:t>It is closed down as defined for a state of preservation.</w:t>
      </w:r>
    </w:p>
    <w:p w14:paraId="32A18AF6" w14:textId="77777777" w:rsidR="005F2169" w:rsidRPr="0056318D" w:rsidRDefault="005F2169" w:rsidP="00DD6237">
      <w:pPr>
        <w:pStyle w:val="NumList2"/>
      </w:pPr>
      <w:r w:rsidRPr="0056318D">
        <w:t>ONR has been informed of the decision to begin decommissioning.</w:t>
      </w:r>
    </w:p>
    <w:p w14:paraId="7A5CCAD1" w14:textId="77777777" w:rsidR="005F2169" w:rsidRPr="0056318D" w:rsidRDefault="005F2169" w:rsidP="00DD6237">
      <w:pPr>
        <w:pStyle w:val="NumList2"/>
      </w:pPr>
      <w:r w:rsidRPr="0056318D">
        <w:t>The removal or rendering inoperable of essential equipment has begun.</w:t>
      </w:r>
    </w:p>
    <w:p w14:paraId="54DDB0C1" w14:textId="243A87CC" w:rsidR="005F2169" w:rsidRDefault="00C255C6" w:rsidP="004A31C3">
      <w:pPr>
        <w:pStyle w:val="F9-Paragraph"/>
      </w:pPr>
      <w:r>
        <w:t>Design information</w:t>
      </w:r>
      <w:r w:rsidRPr="000C1EE8">
        <w:t xml:space="preserve"> </w:t>
      </w:r>
      <w:r w:rsidR="005F2169" w:rsidRPr="000C1EE8">
        <w:t xml:space="preserve">inspection activities are performed during this </w:t>
      </w:r>
      <w:r>
        <w:t>phase</w:t>
      </w:r>
      <w:r w:rsidRPr="000C1EE8">
        <w:t xml:space="preserve"> </w:t>
      </w:r>
      <w:r w:rsidR="005F2169" w:rsidRPr="000C1EE8">
        <w:t xml:space="preserve">to ensure that the </w:t>
      </w:r>
      <w:r w:rsidR="005F2169">
        <w:t>QNF</w:t>
      </w:r>
      <w:r w:rsidR="005F2169" w:rsidRPr="000C1EE8">
        <w:t xml:space="preserve"> is not operating and to confirm the declared decommissioning activities. ONR can confirm the removal and</w:t>
      </w:r>
      <w:r w:rsidR="00DA6493">
        <w:t>/</w:t>
      </w:r>
      <w:r w:rsidR="005F2169" w:rsidRPr="000C1EE8">
        <w:t>or rendering inoperable of the essential equipment (</w:t>
      </w:r>
      <w:r w:rsidR="00DA6493">
        <w:t>refer to</w:t>
      </w:r>
      <w:r w:rsidR="005F2169" w:rsidRPr="000C1EE8">
        <w:t xml:space="preserve"> EEL above) such that the relative difficulty (time and cost) of re-activating or misusing the facility undergoing decommissioning can be assessed. The </w:t>
      </w:r>
      <w:r w:rsidR="0004751B">
        <w:t>design information</w:t>
      </w:r>
      <w:r w:rsidR="0004751B" w:rsidRPr="000C1EE8">
        <w:t xml:space="preserve"> </w:t>
      </w:r>
      <w:r w:rsidR="005F2169" w:rsidRPr="000C1EE8">
        <w:t>inspection activities are performed according to the decommissioning schedule as declared by the operator.</w:t>
      </w:r>
    </w:p>
    <w:p w14:paraId="4D277A72" w14:textId="77777777" w:rsidR="005F2169" w:rsidRPr="0056318D" w:rsidRDefault="005F2169" w:rsidP="00DD6237">
      <w:pPr>
        <w:pStyle w:val="Heading3"/>
        <w:numPr>
          <w:ilvl w:val="0"/>
          <w:numId w:val="0"/>
        </w:numPr>
        <w:ind w:left="851"/>
      </w:pPr>
      <w:r w:rsidRPr="0056318D">
        <w:t>Decommissioned for safeguards purposes</w:t>
      </w:r>
    </w:p>
    <w:p w14:paraId="7E9142E6" w14:textId="665AA51B" w:rsidR="005F2169" w:rsidRPr="000C1EE8" w:rsidRDefault="005F2169" w:rsidP="004A31C3">
      <w:pPr>
        <w:pStyle w:val="F9-Paragraph"/>
      </w:pPr>
      <w:r w:rsidRPr="000C1EE8">
        <w:t xml:space="preserve">NSR19 includes a definition of “Decommissioned </w:t>
      </w:r>
      <w:r>
        <w:t>for safeguards purposes</w:t>
      </w:r>
      <w:r w:rsidR="006B6ED2">
        <w:t>”</w:t>
      </w:r>
      <w:r>
        <w:t xml:space="preserve"> </w:t>
      </w:r>
      <w:r w:rsidRPr="000C1EE8">
        <w:t xml:space="preserve">in relation to a QNF as meaning ‘a </w:t>
      </w:r>
      <w:r>
        <w:t>QNF</w:t>
      </w:r>
      <w:r w:rsidRPr="000C1EE8">
        <w:t xml:space="preserve"> for which it has been confirmed to the satisfaction of the ONR that residual structures and equipment essential for its use have been removed or rendered inoperable so that it is not used to store and can no longer be used to produce, handle, process, dispose of or utilise QNM’.</w:t>
      </w:r>
    </w:p>
    <w:p w14:paraId="25C06971" w14:textId="77777777" w:rsidR="005F2169" w:rsidRDefault="005F2169" w:rsidP="004A31C3">
      <w:pPr>
        <w:pStyle w:val="F9-Paragraph"/>
      </w:pPr>
      <w:r w:rsidRPr="000C1EE8">
        <w:t xml:space="preserve">Removal of QNM is therefore an important factor in determining that a </w:t>
      </w:r>
      <w:r>
        <w:t>QNF</w:t>
      </w:r>
      <w:r w:rsidRPr="000C1EE8">
        <w:t xml:space="preserve"> has been decommissioned for safeguards purposes; and this should have already occurred during closed-down phase. </w:t>
      </w:r>
    </w:p>
    <w:p w14:paraId="36C95B9F" w14:textId="77777777" w:rsidR="00DA6493" w:rsidRDefault="00DA6493" w:rsidP="004A31C3">
      <w:pPr>
        <w:pStyle w:val="F9-Paragraph"/>
        <w:sectPr w:rsidR="00DA6493" w:rsidSect="003508FB">
          <w:pgSz w:w="11906" w:h="16838" w:code="9"/>
          <w:pgMar w:top="1440" w:right="1440" w:bottom="1440" w:left="1440" w:header="397" w:footer="397" w:gutter="0"/>
          <w:cols w:space="312"/>
          <w:docGrid w:linePitch="360"/>
        </w:sectPr>
      </w:pPr>
    </w:p>
    <w:p w14:paraId="6199DF80" w14:textId="3E7CD932" w:rsidR="005F2169" w:rsidRDefault="005F2169" w:rsidP="004A31C3">
      <w:pPr>
        <w:pStyle w:val="F9-Paragraph"/>
      </w:pPr>
      <w:r w:rsidRPr="000C1EE8">
        <w:lastRenderedPageBreak/>
        <w:t>The operator should provide ONR with the updated</w:t>
      </w:r>
      <w:r w:rsidR="006B6ED2">
        <w:t xml:space="preserve"> design</w:t>
      </w:r>
      <w:r w:rsidRPr="000C1EE8">
        <w:t xml:space="preserve"> information specifying the decommissioned status of the facility. </w:t>
      </w:r>
      <w:r w:rsidR="005F1BE4">
        <w:t>Design information</w:t>
      </w:r>
      <w:r w:rsidR="005F1BE4" w:rsidRPr="000C1EE8">
        <w:t xml:space="preserve"> </w:t>
      </w:r>
      <w:r w:rsidRPr="000C1EE8">
        <w:t xml:space="preserve">inspection activities will be scheduled by ONR to confirm that the </w:t>
      </w:r>
      <w:r>
        <w:t>QNF</w:t>
      </w:r>
      <w:r w:rsidRPr="000C1EE8">
        <w:t xml:space="preserve"> has been decommissioned as specified by confirming that sufficient declared essential equipment has been removed or rendered inoperable. Once ONR can determine that the </w:t>
      </w:r>
      <w:r>
        <w:t>QNF</w:t>
      </w:r>
      <w:r w:rsidRPr="000C1EE8">
        <w:t xml:space="preserve"> can no longer be used for its declared purpose, the </w:t>
      </w:r>
      <w:r>
        <w:t>QNF</w:t>
      </w:r>
      <w:r w:rsidRPr="000C1EE8">
        <w:t xml:space="preserve"> is considered decommissioned for safeguards purposes and </w:t>
      </w:r>
      <w:r>
        <w:t xml:space="preserve">the inspector should </w:t>
      </w:r>
      <w:r w:rsidRPr="000C1EE8">
        <w:t xml:space="preserve">inform the operator </w:t>
      </w:r>
      <w:r>
        <w:t xml:space="preserve">in writing </w:t>
      </w:r>
      <w:r w:rsidRPr="000C1EE8">
        <w:t>accordingly.</w:t>
      </w:r>
    </w:p>
    <w:p w14:paraId="4850116F" w14:textId="51D8773F" w:rsidR="00E97B4B" w:rsidRDefault="005F2169" w:rsidP="004A31C3">
      <w:pPr>
        <w:pStyle w:val="F9-Paragraph"/>
      </w:pPr>
      <w:r w:rsidRPr="000C1EE8">
        <w:t xml:space="preserve">ONR will cease to perform </w:t>
      </w:r>
      <w:r w:rsidR="005F1BE4">
        <w:t>design information</w:t>
      </w:r>
      <w:r w:rsidR="005F1BE4" w:rsidRPr="000C1EE8">
        <w:t xml:space="preserve"> </w:t>
      </w:r>
      <w:r w:rsidRPr="000C1EE8">
        <w:t xml:space="preserve">assessment and inspection activities once it has concluded that the </w:t>
      </w:r>
      <w:r>
        <w:t>QNF</w:t>
      </w:r>
      <w:r w:rsidRPr="000C1EE8">
        <w:t xml:space="preserve"> has been decommissioned for safeguards purposes. However, ONR and the operators concerned must bear in mind that the UK</w:t>
      </w:r>
      <w:r w:rsidR="00DA6493">
        <w:t>/</w:t>
      </w:r>
      <w:r w:rsidRPr="000C1EE8">
        <w:t>IAEA Additional Protocol</w:t>
      </w:r>
      <w:sdt>
        <w:sdtPr>
          <w:id w:val="1318449706"/>
          <w:citation/>
        </w:sdtPr>
        <w:sdtEndPr/>
        <w:sdtContent>
          <w:r w:rsidR="00FD2194">
            <w:fldChar w:fldCharType="begin"/>
          </w:r>
          <w:r w:rsidR="00FD2194">
            <w:instrText xml:space="preserve">CITATION ONR294 \l 2057 </w:instrText>
          </w:r>
          <w:r w:rsidR="00FD2194">
            <w:fldChar w:fldCharType="separate"/>
          </w:r>
          <w:r w:rsidR="00DA6493">
            <w:rPr>
              <w:noProof/>
            </w:rPr>
            <w:t xml:space="preserve"> </w:t>
          </w:r>
          <w:r w:rsidR="00DA6493" w:rsidRPr="00DA6493">
            <w:rPr>
              <w:noProof/>
            </w:rPr>
            <w:t>[43]</w:t>
          </w:r>
          <w:r w:rsidR="00FD2194">
            <w:fldChar w:fldCharType="end"/>
          </w:r>
        </w:sdtContent>
      </w:sdt>
      <w:r w:rsidR="00FD2194">
        <w:t xml:space="preserve"> </w:t>
      </w:r>
      <w:r w:rsidRPr="000C1EE8">
        <w:t xml:space="preserve">includes provisions for IAEA </w:t>
      </w:r>
      <w:r>
        <w:t>c</w:t>
      </w:r>
      <w:r w:rsidRPr="000C1EE8">
        <w:t xml:space="preserve">omplementary </w:t>
      </w:r>
      <w:r>
        <w:t>a</w:t>
      </w:r>
      <w:r w:rsidRPr="000C1EE8">
        <w:t xml:space="preserve">ccess to confirm the decommissioned status of a facility which was </w:t>
      </w:r>
      <w:r>
        <w:t>listed as an eligible facility</w:t>
      </w:r>
      <w:r w:rsidRPr="000C1EE8">
        <w:t xml:space="preserve"> under the UK</w:t>
      </w:r>
      <w:r w:rsidR="00DA6493">
        <w:t>/</w:t>
      </w:r>
      <w:r w:rsidRPr="000C1EE8">
        <w:t>IAEA Safeguards Agreement</w:t>
      </w:r>
      <w:r w:rsidR="00FD2194">
        <w:t xml:space="preserve"> </w:t>
      </w:r>
      <w:sdt>
        <w:sdtPr>
          <w:id w:val="-658465097"/>
          <w:citation/>
        </w:sdtPr>
        <w:sdtEndPr/>
        <w:sdtContent>
          <w:r w:rsidR="00FD2194">
            <w:fldChar w:fldCharType="begin"/>
          </w:r>
          <w:r w:rsidR="00FD2194">
            <w:instrText xml:space="preserve"> CITATION IAE10 \l 2057 </w:instrText>
          </w:r>
          <w:r w:rsidR="00FD2194">
            <w:fldChar w:fldCharType="separate"/>
          </w:r>
          <w:r w:rsidR="00DA6493" w:rsidRPr="00DA6493">
            <w:rPr>
              <w:noProof/>
            </w:rPr>
            <w:t>[4]</w:t>
          </w:r>
          <w:r w:rsidR="00FD2194">
            <w:fldChar w:fldCharType="end"/>
          </w:r>
        </w:sdtContent>
      </w:sdt>
      <w:r w:rsidRPr="000C1EE8">
        <w:t>.</w:t>
      </w:r>
      <w:bookmarkEnd w:id="29"/>
    </w:p>
    <w:p w14:paraId="7CDDCD0B" w14:textId="77777777" w:rsidR="00FD2194" w:rsidRDefault="00FD2194" w:rsidP="004A31C3">
      <w:pPr>
        <w:pStyle w:val="F9-Paragraph"/>
        <w:numPr>
          <w:ilvl w:val="0"/>
          <w:numId w:val="0"/>
        </w:numPr>
        <w:ind w:left="851"/>
        <w:sectPr w:rsidR="00FD2194" w:rsidSect="003508FB">
          <w:pgSz w:w="11906" w:h="16838" w:code="9"/>
          <w:pgMar w:top="1440" w:right="1440" w:bottom="1440" w:left="1440" w:header="397" w:footer="397" w:gutter="0"/>
          <w:cols w:space="312"/>
          <w:docGrid w:linePitch="360"/>
        </w:sectPr>
      </w:pPr>
    </w:p>
    <w:p w14:paraId="6410154E" w14:textId="4F0B3298" w:rsidR="00FD2194" w:rsidRPr="00FD2194" w:rsidRDefault="00FD2194" w:rsidP="00FD2194">
      <w:pPr>
        <w:pStyle w:val="Heading1"/>
        <w:numPr>
          <w:ilvl w:val="0"/>
          <w:numId w:val="0"/>
        </w:numPr>
        <w:ind w:left="851"/>
        <w:rPr>
          <w:rStyle w:val="Strong"/>
          <w:b w:val="0"/>
          <w:bCs w:val="0"/>
        </w:rPr>
      </w:pPr>
      <w:bookmarkStart w:id="30" w:name="_Toc235705911"/>
      <w:r w:rsidRPr="00FD2194">
        <w:rPr>
          <w:rStyle w:val="Strong"/>
          <w:b w:val="0"/>
          <w:bCs w:val="0"/>
        </w:rPr>
        <w:lastRenderedPageBreak/>
        <w:t>Appendix 6 – Themed inspections</w:t>
      </w:r>
      <w:bookmarkEnd w:id="30"/>
    </w:p>
    <w:p w14:paraId="3746F939" w14:textId="77777777" w:rsidR="00FD2194" w:rsidRPr="004C58D4" w:rsidRDefault="00FD2194" w:rsidP="00FD2194">
      <w:pPr>
        <w:pStyle w:val="Heading2"/>
        <w:numPr>
          <w:ilvl w:val="0"/>
          <w:numId w:val="0"/>
        </w:numPr>
        <w:ind w:left="851"/>
      </w:pPr>
      <w:r w:rsidRPr="004C58D4">
        <w:t>Purpose and scope</w:t>
      </w:r>
    </w:p>
    <w:p w14:paraId="38D3BEB9" w14:textId="25331DA8" w:rsidR="00FD2194" w:rsidRDefault="00FD2194" w:rsidP="00DA6493">
      <w:pPr>
        <w:pStyle w:val="F9-Paragraph"/>
        <w:numPr>
          <w:ilvl w:val="0"/>
          <w:numId w:val="81"/>
        </w:numPr>
        <w:ind w:left="851" w:hanging="851"/>
      </w:pPr>
      <w:r>
        <w:t xml:space="preserve">This appendix provides supplementary guidance on the planning and delivery of safeguards themed inspections. It should be read in conjunction with ONR-INSP-GD-064 </w:t>
      </w:r>
      <w:sdt>
        <w:sdtPr>
          <w:id w:val="940804766"/>
          <w:citation/>
        </w:sdtPr>
        <w:sdtEndPr/>
        <w:sdtContent>
          <w:r>
            <w:fldChar w:fldCharType="begin"/>
          </w:r>
          <w:r>
            <w:instrText xml:space="preserve"> CITATION ONR34 \l 2057 </w:instrText>
          </w:r>
          <w:r>
            <w:fldChar w:fldCharType="separate"/>
          </w:r>
          <w:r w:rsidR="00DA6493" w:rsidRPr="00DA6493">
            <w:rPr>
              <w:noProof/>
            </w:rPr>
            <w:t>[3]</w:t>
          </w:r>
          <w:r>
            <w:fldChar w:fldCharType="end"/>
          </w:r>
        </w:sdtContent>
      </w:sdt>
      <w:r>
        <w:t>.</w:t>
      </w:r>
    </w:p>
    <w:p w14:paraId="2E488FD5" w14:textId="1985B37F" w:rsidR="00FD2194" w:rsidRDefault="00FD2194" w:rsidP="004A31C3">
      <w:pPr>
        <w:pStyle w:val="F9-Paragraph"/>
      </w:pPr>
      <w:r>
        <w:t>Safeguards themed inspections examine a specific topic across a</w:t>
      </w:r>
      <w:r w:rsidR="004D2D46">
        <w:t>n</w:t>
      </w:r>
      <w:r>
        <w:t xml:space="preserve"> </w:t>
      </w:r>
      <w:r w:rsidR="004D2D46">
        <w:t xml:space="preserve">operator’s </w:t>
      </w:r>
      <w:r>
        <w:t>arrangements and their implementation. For safeguards, this may include the movement, transformation, and accounting of QNM within, into, and out of a facility, or across multiple facilities or MBAs .</w:t>
      </w:r>
    </w:p>
    <w:p w14:paraId="30C2A2F1" w14:textId="77777777" w:rsidR="00FD2194" w:rsidRDefault="00FD2194" w:rsidP="004A31C3">
      <w:pPr>
        <w:pStyle w:val="F9-Paragraph"/>
      </w:pPr>
      <w:r>
        <w:t>These inspections are intended to:</w:t>
      </w:r>
    </w:p>
    <w:p w14:paraId="35F1B2BF" w14:textId="77777777" w:rsidR="00FD2194" w:rsidRPr="00FD2194" w:rsidRDefault="00FD2194" w:rsidP="00FD2194">
      <w:pPr>
        <w:pStyle w:val="Bulletlist1"/>
      </w:pPr>
      <w:r w:rsidRPr="00FD2194">
        <w:t xml:space="preserve">Evaluate the adequacy of arrangements governing QNM flows </w:t>
      </w:r>
    </w:p>
    <w:p w14:paraId="14630FE6" w14:textId="77777777" w:rsidR="00FD2194" w:rsidRPr="00FD2194" w:rsidRDefault="00FD2194" w:rsidP="00FD2194">
      <w:pPr>
        <w:pStyle w:val="Bulletlist1"/>
      </w:pPr>
      <w:r w:rsidRPr="00FD2194">
        <w:t xml:space="preserve">Assess implementation of those arrangements in practice </w:t>
      </w:r>
    </w:p>
    <w:p w14:paraId="599DB012" w14:textId="26552A68" w:rsidR="00055A24" w:rsidRPr="00FD2194" w:rsidRDefault="00FD2194" w:rsidP="00DA6493">
      <w:pPr>
        <w:pStyle w:val="Bulletlist1"/>
      </w:pPr>
      <w:r w:rsidRPr="00FD2194">
        <w:t xml:space="preserve">Compare performance against relevant legislation, and good practice </w:t>
      </w:r>
    </w:p>
    <w:p w14:paraId="1D87676C" w14:textId="21837264" w:rsidR="00FD2194" w:rsidRPr="004C58D4" w:rsidRDefault="00FD2194" w:rsidP="00FD2194">
      <w:pPr>
        <w:pStyle w:val="Heading2"/>
        <w:numPr>
          <w:ilvl w:val="0"/>
          <w:numId w:val="0"/>
        </w:numPr>
        <w:ind w:left="851"/>
      </w:pPr>
      <w:r w:rsidRPr="004C58D4">
        <w:t xml:space="preserve">Inspection </w:t>
      </w:r>
      <w:r>
        <w:t>f</w:t>
      </w:r>
      <w:r w:rsidRPr="004C58D4">
        <w:t xml:space="preserve">ocus </w:t>
      </w:r>
      <w:r>
        <w:t>a</w:t>
      </w:r>
      <w:r w:rsidRPr="004C58D4">
        <w:t>reas</w:t>
      </w:r>
    </w:p>
    <w:p w14:paraId="6E9759D9" w14:textId="77777777" w:rsidR="00FD2194" w:rsidRDefault="00FD2194" w:rsidP="004A31C3">
      <w:pPr>
        <w:pStyle w:val="F9-Paragraph"/>
      </w:pPr>
      <w:r>
        <w:t>Themed inspection should consider, where relevant:</w:t>
      </w:r>
    </w:p>
    <w:p w14:paraId="3F5EBBD7" w14:textId="77777777" w:rsidR="00FD2194" w:rsidRDefault="00FD2194" w:rsidP="00FD2194">
      <w:pPr>
        <w:pStyle w:val="Bulletlist1"/>
      </w:pPr>
      <w:r>
        <w:t xml:space="preserve">Material Balance Areas (MBAs): Definition, control, and interfaces between MBAs </w:t>
      </w:r>
    </w:p>
    <w:p w14:paraId="3058F110" w14:textId="77777777" w:rsidR="00FD2194" w:rsidRDefault="00FD2194" w:rsidP="00FD2194">
      <w:pPr>
        <w:pStyle w:val="Bulletlist1"/>
      </w:pPr>
      <w:r>
        <w:t xml:space="preserve">Flow Measurement Systems: Accuracy, calibration, and reliability of measurement points </w:t>
      </w:r>
    </w:p>
    <w:p w14:paraId="5F24B100" w14:textId="77777777" w:rsidR="00FD2194" w:rsidRDefault="00FD2194" w:rsidP="00FD2194">
      <w:pPr>
        <w:pStyle w:val="Bulletlist1"/>
      </w:pPr>
      <w:r>
        <w:t xml:space="preserve">Accounting and Reporting: Recording of flows, reconciliation processes, and reporting to ONR </w:t>
      </w:r>
    </w:p>
    <w:p w14:paraId="1DA74410" w14:textId="77777777" w:rsidR="00FD2194" w:rsidRDefault="00FD2194" w:rsidP="00FD2194">
      <w:pPr>
        <w:pStyle w:val="Bulletlist1"/>
      </w:pPr>
      <w:r>
        <w:t xml:space="preserve">Inventory Movements: Transfers, receipts, and dispatches of QNM </w:t>
      </w:r>
    </w:p>
    <w:p w14:paraId="34EAE557" w14:textId="77777777" w:rsidR="00FD2194" w:rsidRDefault="00FD2194" w:rsidP="00FD2194">
      <w:pPr>
        <w:pStyle w:val="Bulletlist1"/>
      </w:pPr>
      <w:r>
        <w:t xml:space="preserve">Process Monitoring: Tracking QNM through operational processes (including losses, waste, and hold-up) </w:t>
      </w:r>
    </w:p>
    <w:p w14:paraId="326D180B" w14:textId="77777777" w:rsidR="00FD2194" w:rsidRDefault="00FD2194" w:rsidP="00FD2194">
      <w:pPr>
        <w:pStyle w:val="Bulletlist1"/>
      </w:pPr>
      <w:r>
        <w:t xml:space="preserve">Control Measures: Systems to prevent, detect, and respond to anomalies or discrepancies </w:t>
      </w:r>
    </w:p>
    <w:p w14:paraId="1E4024E1" w14:textId="77777777" w:rsidR="00FD2194" w:rsidRDefault="00FD2194" w:rsidP="00FD2194">
      <w:pPr>
        <w:pStyle w:val="Bulletlist1"/>
      </w:pPr>
      <w:r>
        <w:t xml:space="preserve">Data Integrity: Robustness of systems used to capture and manage flow data </w:t>
      </w:r>
    </w:p>
    <w:p w14:paraId="064C4238" w14:textId="77777777" w:rsidR="00FD2194" w:rsidRDefault="00FD2194" w:rsidP="00FD2194">
      <w:pPr>
        <w:pStyle w:val="Heading2"/>
        <w:sectPr w:rsidR="00FD2194" w:rsidSect="003508FB">
          <w:pgSz w:w="11906" w:h="16838" w:code="9"/>
          <w:pgMar w:top="1440" w:right="1440" w:bottom="1440" w:left="1440" w:header="397" w:footer="397" w:gutter="0"/>
          <w:cols w:space="312"/>
          <w:docGrid w:linePitch="360"/>
        </w:sectPr>
      </w:pPr>
    </w:p>
    <w:p w14:paraId="5A8CBB8F" w14:textId="7B16D40C" w:rsidR="00FD2194" w:rsidRPr="004C58D4" w:rsidRDefault="00FD2194" w:rsidP="00FD2194">
      <w:pPr>
        <w:pStyle w:val="Heading2"/>
        <w:numPr>
          <w:ilvl w:val="0"/>
          <w:numId w:val="0"/>
        </w:numPr>
        <w:ind w:left="851"/>
      </w:pPr>
      <w:r w:rsidRPr="00364212">
        <w:lastRenderedPageBreak/>
        <w:t xml:space="preserve">Inspection </w:t>
      </w:r>
      <w:r>
        <w:t>a</w:t>
      </w:r>
      <w:r w:rsidRPr="00364212">
        <w:t>pproach</w:t>
      </w:r>
    </w:p>
    <w:p w14:paraId="64043F7A" w14:textId="77777777" w:rsidR="00FD2194" w:rsidRDefault="00FD2194" w:rsidP="004A31C3">
      <w:pPr>
        <w:pStyle w:val="F9-Paragraph"/>
      </w:pPr>
      <w:r>
        <w:t>Themed inspections should adopt a structured and evidence-based approach, which may include:</w:t>
      </w:r>
    </w:p>
    <w:p w14:paraId="1204260E" w14:textId="77777777" w:rsidR="00FD2194" w:rsidRDefault="00FD2194" w:rsidP="00FD2194">
      <w:pPr>
        <w:pStyle w:val="Bulletlist1"/>
      </w:pPr>
      <w:r>
        <w:t xml:space="preserve">Sampling of specific QNM flow pathways (e.g. receipt to storage, process to waste) </w:t>
      </w:r>
    </w:p>
    <w:p w14:paraId="4434AECB" w14:textId="77777777" w:rsidR="00FD2194" w:rsidRDefault="00FD2194" w:rsidP="00FD2194">
      <w:pPr>
        <w:pStyle w:val="Bulletlist1"/>
      </w:pPr>
      <w:r>
        <w:t xml:space="preserve">Examination of documentation, records, and safeguards reports </w:t>
      </w:r>
    </w:p>
    <w:p w14:paraId="34227511" w14:textId="77777777" w:rsidR="00FD2194" w:rsidRDefault="00FD2194" w:rsidP="00FD2194">
      <w:pPr>
        <w:pStyle w:val="Bulletlist1"/>
      </w:pPr>
      <w:r>
        <w:t xml:space="preserve">Interviews with relevant personnel </w:t>
      </w:r>
    </w:p>
    <w:p w14:paraId="28F1E66B" w14:textId="77777777" w:rsidR="00FD2194" w:rsidRDefault="00FD2194" w:rsidP="00FD2194">
      <w:pPr>
        <w:pStyle w:val="Bulletlist1"/>
      </w:pPr>
      <w:r>
        <w:t xml:space="preserve">Observation of operations and measurement points </w:t>
      </w:r>
    </w:p>
    <w:p w14:paraId="63215728" w14:textId="77777777" w:rsidR="00FD2194" w:rsidRDefault="00FD2194" w:rsidP="00FD2194">
      <w:pPr>
        <w:pStyle w:val="Bulletlist1"/>
      </w:pPr>
      <w:r>
        <w:t xml:space="preserve">Cross-comparison of declared flows against supporting evidence </w:t>
      </w:r>
    </w:p>
    <w:p w14:paraId="36E77666" w14:textId="7E8DB067" w:rsidR="00055A24" w:rsidRDefault="00FD2194" w:rsidP="00DA6493">
      <w:pPr>
        <w:pStyle w:val="Bulletlist1"/>
      </w:pPr>
      <w:r>
        <w:t>Inspectors should seek to understand both design intent and operational reality, identifying any gaps between arrangements and implementation</w:t>
      </w:r>
    </w:p>
    <w:p w14:paraId="6F3DCA02" w14:textId="0F43FDB0" w:rsidR="00FD2194" w:rsidRPr="004C58D4" w:rsidRDefault="00FD2194" w:rsidP="00FD2194">
      <w:pPr>
        <w:pStyle w:val="Heading2"/>
        <w:numPr>
          <w:ilvl w:val="0"/>
          <w:numId w:val="0"/>
        </w:numPr>
        <w:ind w:left="851"/>
      </w:pPr>
      <w:r w:rsidRPr="00364212">
        <w:t xml:space="preserve">Outputs and </w:t>
      </w:r>
      <w:r>
        <w:t>o</w:t>
      </w:r>
      <w:r w:rsidRPr="00364212">
        <w:t>utcomes</w:t>
      </w:r>
    </w:p>
    <w:p w14:paraId="307BAC75" w14:textId="77777777" w:rsidR="00FD2194" w:rsidRDefault="00FD2194" w:rsidP="004A31C3">
      <w:pPr>
        <w:pStyle w:val="F9-Paragraph"/>
      </w:pPr>
      <w:r>
        <w:t>Findings from themed inspections should:</w:t>
      </w:r>
    </w:p>
    <w:p w14:paraId="1393D68E" w14:textId="3943C3BD" w:rsidR="00FD2194" w:rsidRDefault="00FD2194" w:rsidP="00FD2194">
      <w:pPr>
        <w:pStyle w:val="Bulletlist1"/>
      </w:pPr>
      <w:r>
        <w:t xml:space="preserve">Provide a clear assessment of the </w:t>
      </w:r>
      <w:r w:rsidR="006B5B1E">
        <w:t xml:space="preserve">operator’s </w:t>
      </w:r>
      <w:r>
        <w:t xml:space="preserve">capability to manage and account for QNM flows </w:t>
      </w:r>
    </w:p>
    <w:p w14:paraId="299AB518" w14:textId="77777777" w:rsidR="00FD2194" w:rsidRDefault="00FD2194" w:rsidP="00FD2194">
      <w:pPr>
        <w:pStyle w:val="Bulletlist1"/>
      </w:pPr>
      <w:r>
        <w:t xml:space="preserve">Identify good practices and areas for improvement </w:t>
      </w:r>
    </w:p>
    <w:p w14:paraId="2F221357" w14:textId="77777777" w:rsidR="00FD2194" w:rsidRDefault="00FD2194" w:rsidP="00FD2194">
      <w:pPr>
        <w:pStyle w:val="Bulletlist1"/>
      </w:pPr>
      <w:r>
        <w:t xml:space="preserve">Inform regulatory judgments and any necessary enforcement or follow-up activity </w:t>
      </w:r>
    </w:p>
    <w:p w14:paraId="28DFE7C8" w14:textId="40D7CCAA" w:rsidR="00055A24" w:rsidRDefault="00FD2194" w:rsidP="00DA6493">
      <w:pPr>
        <w:pStyle w:val="Bulletlist1"/>
      </w:pPr>
      <w:r>
        <w:t xml:space="preserve">Support broader insights across </w:t>
      </w:r>
      <w:r w:rsidR="006B5B1E">
        <w:t xml:space="preserve">operators </w:t>
      </w:r>
      <w:r>
        <w:t xml:space="preserve">where themes are applied consistently </w:t>
      </w:r>
    </w:p>
    <w:p w14:paraId="22CE3E35" w14:textId="186A1549" w:rsidR="00FD2194" w:rsidRPr="004C58D4" w:rsidRDefault="00FD2194" w:rsidP="00DA6493">
      <w:pPr>
        <w:pStyle w:val="Heading2"/>
        <w:numPr>
          <w:ilvl w:val="0"/>
          <w:numId w:val="0"/>
        </w:numPr>
        <w:ind w:left="851"/>
      </w:pPr>
      <w:r w:rsidRPr="00364212">
        <w:t xml:space="preserve">Interfaces with </w:t>
      </w:r>
      <w:r>
        <w:t>o</w:t>
      </w:r>
      <w:r w:rsidRPr="00364212">
        <w:t xml:space="preserve">ther </w:t>
      </w:r>
      <w:r>
        <w:t>i</w:t>
      </w:r>
      <w:r w:rsidRPr="00364212">
        <w:t>nspections</w:t>
      </w:r>
    </w:p>
    <w:p w14:paraId="5D352EC6" w14:textId="77777777" w:rsidR="00FD2194" w:rsidRDefault="00FD2194" w:rsidP="004A31C3">
      <w:pPr>
        <w:pStyle w:val="F9-Paragraph"/>
      </w:pPr>
      <w:r>
        <w:t>Themed inspections may complement compliance inspections and other thematic work. Inspectors should ensure appropriate coordination to avoid duplication and maximise regulatory value.</w:t>
      </w:r>
    </w:p>
    <w:p w14:paraId="7BF3DBA6" w14:textId="77777777" w:rsidR="00FD2194" w:rsidRDefault="00FD2194" w:rsidP="00FD2194">
      <w:pPr>
        <w:pStyle w:val="NoSpacing"/>
        <w:rPr>
          <w:rStyle w:val="Strong"/>
        </w:rPr>
        <w:sectPr w:rsidR="00FD2194" w:rsidSect="003508FB">
          <w:pgSz w:w="11906" w:h="16838" w:code="9"/>
          <w:pgMar w:top="1440" w:right="1440" w:bottom="1440" w:left="1440" w:header="397" w:footer="397" w:gutter="0"/>
          <w:cols w:space="312"/>
          <w:docGrid w:linePitch="360"/>
        </w:sectPr>
      </w:pPr>
    </w:p>
    <w:p w14:paraId="5FD31433" w14:textId="7F009807" w:rsidR="00FD2194" w:rsidRPr="00FD2194" w:rsidRDefault="00FD2194" w:rsidP="00FD2194">
      <w:pPr>
        <w:pStyle w:val="Heading1"/>
        <w:numPr>
          <w:ilvl w:val="0"/>
          <w:numId w:val="0"/>
        </w:numPr>
        <w:ind w:left="851"/>
        <w:rPr>
          <w:rStyle w:val="Strong"/>
          <w:b w:val="0"/>
          <w:bCs w:val="0"/>
        </w:rPr>
      </w:pPr>
      <w:bookmarkStart w:id="31" w:name="_Toc235705912"/>
      <w:r w:rsidRPr="00FD2194">
        <w:rPr>
          <w:rStyle w:val="Strong"/>
          <w:b w:val="0"/>
          <w:bCs w:val="0"/>
        </w:rPr>
        <w:lastRenderedPageBreak/>
        <w:t>Appendix 7 – Safeguards system</w:t>
      </w:r>
      <w:r>
        <w:rPr>
          <w:rStyle w:val="Strong"/>
          <w:b w:val="0"/>
          <w:bCs w:val="0"/>
        </w:rPr>
        <w:t>-</w:t>
      </w:r>
      <w:r w:rsidRPr="00FD2194">
        <w:rPr>
          <w:rStyle w:val="Strong"/>
          <w:b w:val="0"/>
          <w:bCs w:val="0"/>
        </w:rPr>
        <w:t>based inspections</w:t>
      </w:r>
      <w:bookmarkEnd w:id="31"/>
    </w:p>
    <w:p w14:paraId="3FBADC4B" w14:textId="77777777" w:rsidR="00FD2194" w:rsidRPr="004801C2" w:rsidRDefault="00FD2194" w:rsidP="00FD2194">
      <w:pPr>
        <w:pStyle w:val="Heading2"/>
        <w:numPr>
          <w:ilvl w:val="0"/>
          <w:numId w:val="0"/>
        </w:numPr>
        <w:ind w:left="851"/>
      </w:pPr>
      <w:r w:rsidRPr="004801C2">
        <w:t>Introduction</w:t>
      </w:r>
    </w:p>
    <w:p w14:paraId="7EA1F512" w14:textId="297E9E7D" w:rsidR="00FD2194" w:rsidRPr="008E12D4" w:rsidRDefault="00FD2194" w:rsidP="00DA6493">
      <w:pPr>
        <w:pStyle w:val="F9-Paragraph"/>
        <w:numPr>
          <w:ilvl w:val="0"/>
          <w:numId w:val="82"/>
        </w:numPr>
        <w:ind w:left="851" w:hanging="851"/>
      </w:pPr>
      <w:r w:rsidRPr="008E12D4">
        <w:t xml:space="preserve">Safeguards </w:t>
      </w:r>
      <w:r>
        <w:t>s</w:t>
      </w:r>
      <w:r w:rsidRPr="008E12D4">
        <w:t>ystem</w:t>
      </w:r>
      <w:r w:rsidRPr="008E12D4">
        <w:noBreakHyphen/>
      </w:r>
      <w:r>
        <w:t>b</w:t>
      </w:r>
      <w:r w:rsidRPr="008E12D4">
        <w:t xml:space="preserve">ased </w:t>
      </w:r>
      <w:r>
        <w:t>i</w:t>
      </w:r>
      <w:r w:rsidRPr="008E12D4">
        <w:t xml:space="preserve">nspections (SSBIs) are a form of themed safeguards inspection. They assess the adequacy of the systems and structures that deliver NMAC within QNFs. </w:t>
      </w:r>
    </w:p>
    <w:p w14:paraId="0DD9405F" w14:textId="4E8762CC" w:rsidR="00055A24" w:rsidRDefault="00FD2194" w:rsidP="00DA6493">
      <w:pPr>
        <w:pStyle w:val="F9-Paragraph"/>
      </w:pPr>
      <w:r w:rsidRPr="001A6A15">
        <w:t xml:space="preserve">Inspectors should apply the relevant principles in </w:t>
      </w:r>
      <w:r w:rsidR="008422E0">
        <w:t xml:space="preserve">the </w:t>
      </w:r>
      <w:r>
        <w:t xml:space="preserve">ONR </w:t>
      </w:r>
      <w:r w:rsidRPr="001A6A15">
        <w:t xml:space="preserve">General Inspection Guide </w:t>
      </w:r>
      <w:sdt>
        <w:sdtPr>
          <w:id w:val="-1252966917"/>
          <w:citation/>
        </w:sdtPr>
        <w:sdtEndPr/>
        <w:sdtContent>
          <w:r>
            <w:fldChar w:fldCharType="begin"/>
          </w:r>
          <w:r>
            <w:instrText xml:space="preserve"> CITATION ONR34 \l 2057 </w:instrText>
          </w:r>
          <w:r>
            <w:fldChar w:fldCharType="separate"/>
          </w:r>
          <w:r w:rsidR="00DA6493" w:rsidRPr="00DA6493">
            <w:rPr>
              <w:noProof/>
            </w:rPr>
            <w:t>[3]</w:t>
          </w:r>
          <w:r>
            <w:fldChar w:fldCharType="end"/>
          </w:r>
        </w:sdtContent>
      </w:sdt>
      <w:r>
        <w:t xml:space="preserve"> </w:t>
      </w:r>
      <w:r w:rsidRPr="001A6A15">
        <w:t>when planning or delivering SSBIs to ensure consistency, proportionality, and effective inspection practice.</w:t>
      </w:r>
    </w:p>
    <w:p w14:paraId="0C26C4FD" w14:textId="77777777" w:rsidR="00FD2194" w:rsidRPr="0020007D" w:rsidRDefault="00FD2194" w:rsidP="00FD2194">
      <w:pPr>
        <w:pStyle w:val="Heading2"/>
        <w:numPr>
          <w:ilvl w:val="0"/>
          <w:numId w:val="0"/>
        </w:numPr>
        <w:ind w:left="851"/>
      </w:pPr>
      <w:r w:rsidRPr="0020007D">
        <w:t>Purpose of SSBIs</w:t>
      </w:r>
    </w:p>
    <w:p w14:paraId="465FC58C" w14:textId="77777777" w:rsidR="00FD2194" w:rsidRPr="001A6A15" w:rsidRDefault="00FD2194" w:rsidP="004A31C3">
      <w:pPr>
        <w:pStyle w:val="F9-Paragraph"/>
      </w:pPr>
      <w:r w:rsidRPr="001A6A15">
        <w:t>SSBIs consist of a series of inspection activities designed to establish:</w:t>
      </w:r>
    </w:p>
    <w:p w14:paraId="632A6911" w14:textId="77777777" w:rsidR="00FD2194" w:rsidRPr="001A6A15" w:rsidRDefault="00FD2194" w:rsidP="00FD2194">
      <w:pPr>
        <w:pStyle w:val="Bulletlist1"/>
      </w:pPr>
      <w:r w:rsidRPr="001A6A15">
        <w:t>how the basic elements of an operator’s ACP are implemented in either individual or interlinked systems and structures that deliver NMAC functionality; and</w:t>
      </w:r>
    </w:p>
    <w:p w14:paraId="6D0DAFE1" w14:textId="77777777" w:rsidR="00FD2194" w:rsidRPr="001A6A15" w:rsidRDefault="00FD2194" w:rsidP="00FD2194">
      <w:pPr>
        <w:pStyle w:val="Bulletlist1"/>
      </w:pPr>
      <w:r w:rsidRPr="001A6A15">
        <w:t>that those systems and structures adequately fulfil their declared NMACS functional requirements.</w:t>
      </w:r>
    </w:p>
    <w:p w14:paraId="41212A7F" w14:textId="77777777" w:rsidR="00FD2194" w:rsidRPr="001A6A15" w:rsidRDefault="00FD2194" w:rsidP="004A31C3">
      <w:pPr>
        <w:pStyle w:val="F9-Paragraph"/>
      </w:pPr>
      <w:r w:rsidRPr="001A6A15">
        <w:t xml:space="preserve">These inspections provide a focused regulatory tool for evaluating an operator’s implementation of accountancy and control arrangements for systems important to NMACS. </w:t>
      </w:r>
    </w:p>
    <w:p w14:paraId="77FB0690" w14:textId="39B9A44F" w:rsidR="00055A24" w:rsidRDefault="00FD2194" w:rsidP="00DA6493">
      <w:pPr>
        <w:pStyle w:val="F9-Paragraph"/>
      </w:pPr>
      <w:r w:rsidRPr="001A6A15">
        <w:t>They are particularly useful for testing the effectiveness and robustness of NMACS</w:t>
      </w:r>
      <w:r w:rsidRPr="001A6A15">
        <w:noBreakHyphen/>
        <w:t>related Systems, Structures and Components (SSCs).</w:t>
      </w:r>
    </w:p>
    <w:p w14:paraId="777C264A" w14:textId="67B1ACF7" w:rsidR="00FD2194" w:rsidRPr="0020007D" w:rsidRDefault="00FD2194" w:rsidP="00FD2194">
      <w:pPr>
        <w:pStyle w:val="Heading2"/>
        <w:numPr>
          <w:ilvl w:val="0"/>
          <w:numId w:val="0"/>
        </w:numPr>
        <w:ind w:left="851"/>
      </w:pPr>
      <w:r w:rsidRPr="0020007D">
        <w:t xml:space="preserve">Sampling </w:t>
      </w:r>
      <w:r>
        <w:t>a</w:t>
      </w:r>
      <w:r w:rsidRPr="0020007D">
        <w:t xml:space="preserve">gainst </w:t>
      </w:r>
      <w:r>
        <w:t>FSEs</w:t>
      </w:r>
    </w:p>
    <w:p w14:paraId="70D5CE14" w14:textId="77777777" w:rsidR="00FD2194" w:rsidRPr="001A6A15" w:rsidRDefault="00FD2194" w:rsidP="004A31C3">
      <w:pPr>
        <w:pStyle w:val="F9-Paragraph"/>
      </w:pPr>
      <w:r w:rsidRPr="001A6A15">
        <w:t>When conducting an SSBI, inspectors should sample the implementation of ACP arrangements against the following FSEs:</w:t>
      </w:r>
    </w:p>
    <w:p w14:paraId="554FD65E" w14:textId="77777777" w:rsidR="00FD2194" w:rsidRPr="001A6A15" w:rsidRDefault="00FD2194" w:rsidP="00FD2194">
      <w:pPr>
        <w:pStyle w:val="Bulletlist1"/>
      </w:pPr>
      <w:r w:rsidRPr="001A6A15">
        <w:t>FSE 3 – Competence Management</w:t>
      </w:r>
    </w:p>
    <w:p w14:paraId="72DFACC9" w14:textId="77777777" w:rsidR="00FD2194" w:rsidRPr="001A6A15" w:rsidRDefault="00FD2194" w:rsidP="00FD2194">
      <w:pPr>
        <w:pStyle w:val="Bulletlist1"/>
      </w:pPr>
      <w:r w:rsidRPr="001A6A15">
        <w:t>FSE 5 – Reliability, Resilience and Sustainability</w:t>
      </w:r>
    </w:p>
    <w:p w14:paraId="09F496A8" w14:textId="77777777" w:rsidR="00FD2194" w:rsidRPr="001A6A15" w:rsidRDefault="00FD2194" w:rsidP="00FD2194">
      <w:pPr>
        <w:pStyle w:val="Bulletlist1"/>
      </w:pPr>
      <w:r w:rsidRPr="001A6A15">
        <w:t>FSE 6 – Measurement Programme and Control</w:t>
      </w:r>
    </w:p>
    <w:p w14:paraId="0744536C" w14:textId="77777777" w:rsidR="00FD2194" w:rsidRPr="001A6A15" w:rsidRDefault="00FD2194" w:rsidP="00FD2194">
      <w:pPr>
        <w:pStyle w:val="Bulletlist1"/>
      </w:pPr>
      <w:r w:rsidRPr="001A6A15">
        <w:t>FSE 7 – Nuclear Material Tracking</w:t>
      </w:r>
    </w:p>
    <w:p w14:paraId="63410609" w14:textId="77777777" w:rsidR="00FD2194" w:rsidRPr="001A6A15" w:rsidRDefault="00FD2194" w:rsidP="00FD2194">
      <w:pPr>
        <w:pStyle w:val="Bulletlist1"/>
      </w:pPr>
      <w:r w:rsidRPr="001A6A15">
        <w:t>FSE 8 – Data Processing and Control</w:t>
      </w:r>
    </w:p>
    <w:p w14:paraId="50918320" w14:textId="77777777" w:rsidR="00FD2194" w:rsidRPr="001A6A15" w:rsidRDefault="00FD2194" w:rsidP="00FD2194">
      <w:pPr>
        <w:pStyle w:val="Bulletlist1"/>
      </w:pPr>
      <w:r w:rsidRPr="001A6A15">
        <w:t>FSE 9 – Material Balance</w:t>
      </w:r>
    </w:p>
    <w:p w14:paraId="16514031" w14:textId="338D9DAA" w:rsidR="00055A24" w:rsidRDefault="00FD2194" w:rsidP="00DA6493">
      <w:pPr>
        <w:pStyle w:val="F9-Paragraph"/>
      </w:pPr>
      <w:r w:rsidRPr="001A6A15">
        <w:lastRenderedPageBreak/>
        <w:t>SSBIs may focus on one, several, or all of these expectations, however, where the intended scope does not align with the purpose of an SSBI, inspectors should consider whether another inspection type may be more appropriate.</w:t>
      </w:r>
    </w:p>
    <w:p w14:paraId="304C3D47" w14:textId="48021E3A" w:rsidR="00FD2194" w:rsidRPr="0020007D" w:rsidRDefault="00FD2194" w:rsidP="00FD2194">
      <w:pPr>
        <w:pStyle w:val="Heading2"/>
        <w:numPr>
          <w:ilvl w:val="0"/>
          <w:numId w:val="0"/>
        </w:numPr>
        <w:ind w:left="851"/>
      </w:pPr>
      <w:r w:rsidRPr="0020007D">
        <w:t xml:space="preserve">Targeted </w:t>
      </w:r>
      <w:r>
        <w:t>s</w:t>
      </w:r>
      <w:r w:rsidRPr="0020007D">
        <w:t xml:space="preserve">election of </w:t>
      </w:r>
      <w:r>
        <w:t>s</w:t>
      </w:r>
      <w:r w:rsidRPr="0020007D">
        <w:t xml:space="preserve">ystems and </w:t>
      </w:r>
      <w:r>
        <w:t>s</w:t>
      </w:r>
      <w:r w:rsidRPr="0020007D">
        <w:t>tructures</w:t>
      </w:r>
    </w:p>
    <w:p w14:paraId="77D7AC06" w14:textId="1F711647" w:rsidR="00FD2194" w:rsidRPr="005C0A15" w:rsidRDefault="00FD2194" w:rsidP="004A31C3">
      <w:pPr>
        <w:pStyle w:val="F9-Paragraph"/>
      </w:pPr>
      <w:r w:rsidRPr="005C0A15">
        <w:t>SSBIs should be directed at systems and structures that either support QNM flows across a site; or deliver similar or related NMACS functions</w:t>
      </w:r>
      <w:r w:rsidRPr="00465B6C">
        <w:t xml:space="preserve"> </w:t>
      </w:r>
      <w:r w:rsidRPr="005C0A15">
        <w:t>broadly categorised below</w:t>
      </w:r>
      <w:r>
        <w:t>:</w:t>
      </w:r>
    </w:p>
    <w:p w14:paraId="27EF5D37" w14:textId="77777777" w:rsidR="00FD2194" w:rsidRPr="005C0A15" w:rsidRDefault="00FD2194" w:rsidP="00FD2194">
      <w:pPr>
        <w:pStyle w:val="Bulletlist1"/>
      </w:pPr>
      <w:r w:rsidRPr="005C0A15">
        <w:t>Identification equipment</w:t>
      </w:r>
    </w:p>
    <w:p w14:paraId="24D7C459" w14:textId="77777777" w:rsidR="00FD2194" w:rsidRPr="005C0A15" w:rsidRDefault="00FD2194" w:rsidP="00FD2194">
      <w:pPr>
        <w:pStyle w:val="Bulletlist1"/>
      </w:pPr>
      <w:r w:rsidRPr="005C0A15">
        <w:t>Computerised tracking systems (without data processing functionality)</w:t>
      </w:r>
    </w:p>
    <w:p w14:paraId="04945B1C" w14:textId="77777777" w:rsidR="00FD2194" w:rsidRPr="005C0A15" w:rsidRDefault="00FD2194" w:rsidP="00FD2194">
      <w:pPr>
        <w:pStyle w:val="Bulletlist1"/>
      </w:pPr>
      <w:r w:rsidRPr="005C0A15">
        <w:t>Integrated tracking and data</w:t>
      </w:r>
      <w:r w:rsidRPr="005C0A15">
        <w:noBreakHyphen/>
        <w:t>processing systems</w:t>
      </w:r>
    </w:p>
    <w:p w14:paraId="2DC4AC30" w14:textId="0AA237AE" w:rsidR="00055A24" w:rsidRDefault="00FD2194" w:rsidP="00DA6493">
      <w:pPr>
        <w:pStyle w:val="Bulletlist1"/>
      </w:pPr>
      <w:r w:rsidRPr="005C0A15">
        <w:t>Measurement systems</w:t>
      </w:r>
    </w:p>
    <w:p w14:paraId="6C87A7EC" w14:textId="6E72CCBC" w:rsidR="00FD2194" w:rsidRPr="0020007D" w:rsidRDefault="00FD2194" w:rsidP="00FD2194">
      <w:pPr>
        <w:pStyle w:val="Heading2"/>
        <w:numPr>
          <w:ilvl w:val="0"/>
          <w:numId w:val="0"/>
        </w:numPr>
        <w:ind w:left="851"/>
      </w:pPr>
      <w:r w:rsidRPr="0020007D">
        <w:t>Risk</w:t>
      </w:r>
      <w:r w:rsidRPr="0020007D">
        <w:noBreakHyphen/>
      </w:r>
      <w:r>
        <w:t>i</w:t>
      </w:r>
      <w:r w:rsidRPr="0020007D">
        <w:t xml:space="preserve">nformed </w:t>
      </w:r>
      <w:r>
        <w:t>t</w:t>
      </w:r>
      <w:r w:rsidRPr="0020007D">
        <w:t xml:space="preserve">argeting of </w:t>
      </w:r>
      <w:r>
        <w:t>s</w:t>
      </w:r>
      <w:r w:rsidRPr="0020007D">
        <w:t>ystems</w:t>
      </w:r>
    </w:p>
    <w:p w14:paraId="2B41FF0C" w14:textId="77777777" w:rsidR="00FD2194" w:rsidRPr="005C0A15" w:rsidRDefault="00FD2194" w:rsidP="004A31C3">
      <w:pPr>
        <w:pStyle w:val="F9-Paragraph"/>
      </w:pPr>
      <w:r w:rsidRPr="005C0A15">
        <w:t>Selection of systems and structures for inspection should follow a risk</w:t>
      </w:r>
      <w:r w:rsidRPr="005C0A15">
        <w:noBreakHyphen/>
        <w:t>informed, proportionate and targeted methodology. Inspectors should prioritise systems that:</w:t>
      </w:r>
    </w:p>
    <w:p w14:paraId="1DE24202" w14:textId="77777777" w:rsidR="00FD2194" w:rsidRPr="005C0A15" w:rsidRDefault="00FD2194" w:rsidP="00FD2194">
      <w:pPr>
        <w:pStyle w:val="Bulletlist1"/>
      </w:pPr>
      <w:r w:rsidRPr="005C0A15">
        <w:t>are fundamental to delivering NMAC functionality;</w:t>
      </w:r>
    </w:p>
    <w:p w14:paraId="0C0B079E" w14:textId="77777777" w:rsidR="00FD2194" w:rsidRPr="005C0A15" w:rsidRDefault="00FD2194" w:rsidP="00FD2194">
      <w:pPr>
        <w:pStyle w:val="Bulletlist1"/>
      </w:pPr>
      <w:r w:rsidRPr="005C0A15">
        <w:t>carry a high consequence of failure;</w:t>
      </w:r>
    </w:p>
    <w:p w14:paraId="1E2FF76A" w14:textId="77777777" w:rsidR="00FD2194" w:rsidRPr="005C0A15" w:rsidRDefault="00FD2194" w:rsidP="00FD2194">
      <w:pPr>
        <w:pStyle w:val="Bulletlist1"/>
      </w:pPr>
      <w:r w:rsidRPr="005C0A15">
        <w:t>have undergone recent changes (modifications, upgrades, operational changes);</w:t>
      </w:r>
    </w:p>
    <w:p w14:paraId="31336E22" w14:textId="77777777" w:rsidR="00FD2194" w:rsidRPr="005C0A15" w:rsidRDefault="00FD2194" w:rsidP="00FD2194">
      <w:pPr>
        <w:pStyle w:val="Bulletlist1"/>
      </w:pPr>
      <w:r w:rsidRPr="005C0A15">
        <w:t>exhibit known or emerging performance concerns;</w:t>
      </w:r>
    </w:p>
    <w:p w14:paraId="1D14D2EA" w14:textId="77777777" w:rsidR="00FD2194" w:rsidRPr="005C0A15" w:rsidRDefault="00FD2194" w:rsidP="00FD2194">
      <w:pPr>
        <w:pStyle w:val="Bulletlist1"/>
      </w:pPr>
      <w:r w:rsidRPr="005C0A15">
        <w:t>support complex or high</w:t>
      </w:r>
      <w:r w:rsidRPr="005C0A15">
        <w:noBreakHyphen/>
        <w:t>volume QNM flows;</w:t>
      </w:r>
    </w:p>
    <w:p w14:paraId="42EC1634" w14:textId="77777777" w:rsidR="00FD2194" w:rsidRPr="005C0A15" w:rsidRDefault="00FD2194" w:rsidP="00FD2194">
      <w:pPr>
        <w:pStyle w:val="Bulletlist1"/>
      </w:pPr>
      <w:r w:rsidRPr="005C0A15">
        <w:t>interact with other systems in ways that create dependencies or single points of vulnerability.</w:t>
      </w:r>
    </w:p>
    <w:p w14:paraId="761C8F65" w14:textId="77777777" w:rsidR="00FD2194" w:rsidRDefault="00FD2194" w:rsidP="004A31C3">
      <w:pPr>
        <w:pStyle w:val="F9-Paragraph"/>
      </w:pPr>
      <w:r w:rsidRPr="005C0A15">
        <w:t>Inspectors should use regulatory intelligence—including previous ONR inspections, operator self</w:t>
      </w:r>
      <w:r w:rsidRPr="005C0A15">
        <w:noBreakHyphen/>
        <w:t>assessments, operational experience, and regulatory observations—to identify which systems warrant examination. This supports a proportionate SSBI design that focuses regulatory effort where it provides the greatest safeguards value and assurance.</w:t>
      </w:r>
    </w:p>
    <w:p w14:paraId="620F38F6" w14:textId="77777777" w:rsidR="00055A24" w:rsidRDefault="00055A24" w:rsidP="004A31C3">
      <w:pPr>
        <w:pStyle w:val="F9-Paragraph"/>
        <w:numPr>
          <w:ilvl w:val="0"/>
          <w:numId w:val="0"/>
        </w:numPr>
        <w:ind w:left="720"/>
      </w:pPr>
    </w:p>
    <w:p w14:paraId="2402A8E9" w14:textId="0469D0C5" w:rsidR="00FD2194" w:rsidRPr="0020007D" w:rsidRDefault="00FD2194" w:rsidP="00DA6493">
      <w:pPr>
        <w:pStyle w:val="Heading2"/>
        <w:numPr>
          <w:ilvl w:val="0"/>
          <w:numId w:val="0"/>
        </w:numPr>
        <w:ind w:left="851"/>
      </w:pPr>
      <w:r w:rsidRPr="0020007D">
        <w:lastRenderedPageBreak/>
        <w:t xml:space="preserve">Inspector </w:t>
      </w:r>
      <w:r>
        <w:t>a</w:t>
      </w:r>
      <w:r w:rsidRPr="0020007D">
        <w:t xml:space="preserve">ssessment and </w:t>
      </w:r>
      <w:r>
        <w:t>o</w:t>
      </w:r>
      <w:r w:rsidRPr="0020007D">
        <w:t>utcomes</w:t>
      </w:r>
    </w:p>
    <w:p w14:paraId="1516ACF1" w14:textId="77777777" w:rsidR="00FD2194" w:rsidRPr="005C0A15" w:rsidRDefault="00FD2194" w:rsidP="004A31C3">
      <w:pPr>
        <w:pStyle w:val="F9-Paragraph"/>
      </w:pPr>
      <w:r w:rsidRPr="005C0A15">
        <w:t>The primary outcome of an SSBI is the inspector’s regulatory judgement on whether the systems and structures examined adequately deliver their declared NMACS functional requirements.</w:t>
      </w:r>
    </w:p>
    <w:p w14:paraId="21F5592B" w14:textId="77777777" w:rsidR="00FD2194" w:rsidRPr="005C0A15" w:rsidRDefault="00FD2194" w:rsidP="004A31C3">
      <w:pPr>
        <w:pStyle w:val="F9-Paragraph"/>
      </w:pPr>
      <w:r w:rsidRPr="005C0A15">
        <w:t xml:space="preserve">Other inspection findings should be appropriately captured and followed up. </w:t>
      </w:r>
    </w:p>
    <w:p w14:paraId="5C6A8243" w14:textId="77777777" w:rsidR="00FD2194" w:rsidRDefault="00FD2194" w:rsidP="004A31C3">
      <w:pPr>
        <w:pStyle w:val="F9-Paragraph"/>
      </w:pPr>
      <w:r w:rsidRPr="005C0A15">
        <w:t>It is possible for multiple shortfalls to be identified while still concluding that the systems and structures inspected adequately fulfil their NMACS function, provided the shortfalls do not undermine overall functional performance</w:t>
      </w:r>
      <w:r w:rsidRPr="00CB65D3">
        <w:rPr>
          <w:b/>
          <w:bCs/>
        </w:rPr>
        <w:t>.</w:t>
      </w:r>
    </w:p>
    <w:p w14:paraId="1EE59B90" w14:textId="77777777" w:rsidR="00FD2194" w:rsidRPr="0056318D" w:rsidRDefault="00FD2194" w:rsidP="004A31C3">
      <w:pPr>
        <w:pStyle w:val="F9-Paragraph"/>
        <w:numPr>
          <w:ilvl w:val="0"/>
          <w:numId w:val="0"/>
        </w:numPr>
        <w:ind w:left="851"/>
      </w:pPr>
    </w:p>
    <w:p w14:paraId="02DA1C3F" w14:textId="664EBB9B" w:rsidR="003508FB" w:rsidRPr="003508FB" w:rsidRDefault="003508FB" w:rsidP="004A31C3">
      <w:pPr>
        <w:pStyle w:val="F9-Paragraph"/>
        <w:numPr>
          <w:ilvl w:val="0"/>
          <w:numId w:val="0"/>
        </w:numPr>
        <w:ind w:left="851"/>
        <w:sectPr w:rsidR="003508FB" w:rsidRPr="003508FB" w:rsidSect="003508FB">
          <w:pgSz w:w="11906" w:h="16838" w:code="9"/>
          <w:pgMar w:top="1440" w:right="1440" w:bottom="1440" w:left="1440" w:header="397" w:footer="397" w:gutter="0"/>
          <w:cols w:space="312"/>
          <w:docGrid w:linePitch="360"/>
        </w:sectPr>
      </w:pPr>
      <w:r>
        <w:br/>
      </w:r>
    </w:p>
    <w:bookmarkStart w:id="32" w:name="_Toc235705913"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FD2194">
          <w:pPr>
            <w:pStyle w:val="Heading1"/>
            <w:numPr>
              <w:ilvl w:val="0"/>
              <w:numId w:val="0"/>
            </w:numPr>
          </w:pPr>
          <w:r>
            <w:t>References</w:t>
          </w:r>
          <w:bookmarkEnd w:id="32"/>
        </w:p>
        <w:sdt>
          <w:sdtPr>
            <w:id w:val="-573587230"/>
            <w:bibliography/>
          </w:sdtPr>
          <w:sdtEndPr/>
          <w:sdtContent>
            <w:p w14:paraId="02272822" w14:textId="77777777" w:rsidR="00DA6493"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DA6493" w14:paraId="0E79C529" w14:textId="77777777" w:rsidTr="00DA6493">
                <w:trPr>
                  <w:divId w:val="1543900582"/>
                  <w:cantSplit/>
                  <w:tblCellSpacing w:w="15" w:type="dxa"/>
                </w:trPr>
                <w:tc>
                  <w:tcPr>
                    <w:tcW w:w="50" w:type="pct"/>
                    <w:hideMark/>
                  </w:tcPr>
                  <w:p w14:paraId="34C94EF3" w14:textId="4804FB3D" w:rsidR="00DA6493" w:rsidRDefault="00DA6493">
                    <w:pPr>
                      <w:pStyle w:val="Bibliography"/>
                      <w:rPr>
                        <w:noProof/>
                        <w:szCs w:val="24"/>
                      </w:rPr>
                    </w:pPr>
                    <w:r>
                      <w:rPr>
                        <w:noProof/>
                      </w:rPr>
                      <w:t xml:space="preserve">[1] </w:t>
                    </w:r>
                  </w:p>
                </w:tc>
                <w:tc>
                  <w:tcPr>
                    <w:tcW w:w="0" w:type="auto"/>
                    <w:hideMark/>
                  </w:tcPr>
                  <w:p w14:paraId="29E6989F" w14:textId="77777777" w:rsidR="00DA6493" w:rsidRDefault="00DA6493">
                    <w:pPr>
                      <w:pStyle w:val="Bibliography"/>
                      <w:rPr>
                        <w:noProof/>
                      </w:rPr>
                    </w:pPr>
                    <w:r>
                      <w:rPr>
                        <w:noProof/>
                      </w:rPr>
                      <w:t>HM Government, “The Nuclear Safeguards (EU Exit) Regulations 2019,” 2019. [Online]. Available: https://www.legislation.gov.uk/uksi/2019/196/contents.</w:t>
                    </w:r>
                  </w:p>
                </w:tc>
              </w:tr>
              <w:tr w:rsidR="00DA6493" w14:paraId="3BC95FD0" w14:textId="77777777" w:rsidTr="00DA6493">
                <w:trPr>
                  <w:divId w:val="1543900582"/>
                  <w:cantSplit/>
                  <w:tblCellSpacing w:w="15" w:type="dxa"/>
                </w:trPr>
                <w:tc>
                  <w:tcPr>
                    <w:tcW w:w="50" w:type="pct"/>
                    <w:hideMark/>
                  </w:tcPr>
                  <w:p w14:paraId="708D6E9D" w14:textId="77777777" w:rsidR="00DA6493" w:rsidRDefault="00DA6493">
                    <w:pPr>
                      <w:pStyle w:val="Bibliography"/>
                      <w:rPr>
                        <w:noProof/>
                      </w:rPr>
                    </w:pPr>
                    <w:r>
                      <w:rPr>
                        <w:noProof/>
                      </w:rPr>
                      <w:t xml:space="preserve">[2] </w:t>
                    </w:r>
                  </w:p>
                </w:tc>
                <w:tc>
                  <w:tcPr>
                    <w:tcW w:w="0" w:type="auto"/>
                    <w:hideMark/>
                  </w:tcPr>
                  <w:p w14:paraId="7CD96A21" w14:textId="77777777" w:rsidR="00DA6493" w:rsidRDefault="00DA6493">
                    <w:pPr>
                      <w:pStyle w:val="Bibliography"/>
                      <w:rPr>
                        <w:noProof/>
                      </w:rPr>
                    </w:pPr>
                    <w:r>
                      <w:rPr>
                        <w:noProof/>
                      </w:rPr>
                      <w:t>HM Government, “The Nuclear Safeguards (EU Exit and Fees) (Amendment) Regulations 2026,” 2026. [Online]. Available: https://www.legislation.gov.uk/ukdsi/2026/9780348282702.</w:t>
                    </w:r>
                  </w:p>
                </w:tc>
              </w:tr>
              <w:tr w:rsidR="00DA6493" w14:paraId="6176FB4B" w14:textId="77777777" w:rsidTr="00DA6493">
                <w:trPr>
                  <w:divId w:val="1543900582"/>
                  <w:cantSplit/>
                  <w:tblCellSpacing w:w="15" w:type="dxa"/>
                </w:trPr>
                <w:tc>
                  <w:tcPr>
                    <w:tcW w:w="50" w:type="pct"/>
                    <w:hideMark/>
                  </w:tcPr>
                  <w:p w14:paraId="376D70BA" w14:textId="77777777" w:rsidR="00DA6493" w:rsidRDefault="00DA6493">
                    <w:pPr>
                      <w:pStyle w:val="Bibliography"/>
                      <w:rPr>
                        <w:noProof/>
                      </w:rPr>
                    </w:pPr>
                    <w:r>
                      <w:rPr>
                        <w:noProof/>
                      </w:rPr>
                      <w:t xml:space="preserve">[3] </w:t>
                    </w:r>
                  </w:p>
                </w:tc>
                <w:tc>
                  <w:tcPr>
                    <w:tcW w:w="0" w:type="auto"/>
                    <w:hideMark/>
                  </w:tcPr>
                  <w:p w14:paraId="7C8A51F4" w14:textId="77777777" w:rsidR="00DA6493" w:rsidRDefault="00DA6493">
                    <w:pPr>
                      <w:pStyle w:val="Bibliography"/>
                      <w:rPr>
                        <w:noProof/>
                      </w:rPr>
                    </w:pPr>
                    <w:r>
                      <w:rPr>
                        <w:noProof/>
                      </w:rPr>
                      <w:t>ONR, “ONR-INSP-GD-064 - General Inspection Guide,” [Online]. Available: Available internally via HOW2 Hub and externally via the ONR website..</w:t>
                    </w:r>
                  </w:p>
                </w:tc>
              </w:tr>
              <w:tr w:rsidR="00DA6493" w14:paraId="0AFCB3D2" w14:textId="77777777" w:rsidTr="00DA6493">
                <w:trPr>
                  <w:divId w:val="1543900582"/>
                  <w:cantSplit/>
                  <w:tblCellSpacing w:w="15" w:type="dxa"/>
                </w:trPr>
                <w:tc>
                  <w:tcPr>
                    <w:tcW w:w="50" w:type="pct"/>
                    <w:hideMark/>
                  </w:tcPr>
                  <w:p w14:paraId="2C935D9D" w14:textId="77777777" w:rsidR="00DA6493" w:rsidRDefault="00DA6493">
                    <w:pPr>
                      <w:pStyle w:val="Bibliography"/>
                      <w:rPr>
                        <w:noProof/>
                      </w:rPr>
                    </w:pPr>
                    <w:r>
                      <w:rPr>
                        <w:noProof/>
                      </w:rPr>
                      <w:t xml:space="preserve">[4] </w:t>
                    </w:r>
                  </w:p>
                </w:tc>
                <w:tc>
                  <w:tcPr>
                    <w:tcW w:w="0" w:type="auto"/>
                    <w:hideMark/>
                  </w:tcPr>
                  <w:p w14:paraId="2C7B230F" w14:textId="77777777" w:rsidR="00DA6493" w:rsidRDefault="00DA6493">
                    <w:pPr>
                      <w:pStyle w:val="Bibliography"/>
                      <w:rPr>
                        <w:noProof/>
                      </w:rPr>
                    </w:pPr>
                    <w:r>
                      <w:rPr>
                        <w:noProof/>
                      </w:rPr>
                      <w:t>IAEA, “INFCIRC/951 - Agreement between the UK of GB and NI and the IAEA for the Application of Safeguards in the UK of GB and NI in Connection with the Treaty on the Non-Proliferation of Nuclear Weapons,” January 2021. [Online]. Available: https://inis.iaea.org/records/wnzs6-5z164.</w:t>
                    </w:r>
                  </w:p>
                </w:tc>
              </w:tr>
              <w:tr w:rsidR="00DA6493" w14:paraId="4F8E0FFE" w14:textId="77777777" w:rsidTr="00DA6493">
                <w:trPr>
                  <w:divId w:val="1543900582"/>
                  <w:cantSplit/>
                  <w:tblCellSpacing w:w="15" w:type="dxa"/>
                </w:trPr>
                <w:tc>
                  <w:tcPr>
                    <w:tcW w:w="50" w:type="pct"/>
                    <w:hideMark/>
                  </w:tcPr>
                  <w:p w14:paraId="1B8B29B3" w14:textId="77777777" w:rsidR="00DA6493" w:rsidRDefault="00DA6493">
                    <w:pPr>
                      <w:pStyle w:val="Bibliography"/>
                      <w:rPr>
                        <w:noProof/>
                      </w:rPr>
                    </w:pPr>
                    <w:r>
                      <w:rPr>
                        <w:noProof/>
                      </w:rPr>
                      <w:t xml:space="preserve">[5] </w:t>
                    </w:r>
                  </w:p>
                </w:tc>
                <w:tc>
                  <w:tcPr>
                    <w:tcW w:w="0" w:type="auto"/>
                    <w:hideMark/>
                  </w:tcPr>
                  <w:p w14:paraId="44CB8A86" w14:textId="77777777" w:rsidR="00DA6493" w:rsidRDefault="00DA6493">
                    <w:pPr>
                      <w:pStyle w:val="Bibliography"/>
                      <w:rPr>
                        <w:noProof/>
                      </w:rPr>
                    </w:pPr>
                    <w:r>
                      <w:rPr>
                        <w:noProof/>
                      </w:rPr>
                      <w:t>HM Government, “The Nuclear Safeguards (Fissionable Material and Relevant International Agreements) (EU Exit) Regulations 2019 (2019/195),” 2019. [Online]. Available: https://www.legislation.gov.uk/uksi/2019/195/contents.</w:t>
                    </w:r>
                  </w:p>
                </w:tc>
              </w:tr>
              <w:tr w:rsidR="00DA6493" w14:paraId="236444C8" w14:textId="77777777" w:rsidTr="00DA6493">
                <w:trPr>
                  <w:divId w:val="1543900582"/>
                  <w:cantSplit/>
                  <w:tblCellSpacing w:w="15" w:type="dxa"/>
                </w:trPr>
                <w:tc>
                  <w:tcPr>
                    <w:tcW w:w="50" w:type="pct"/>
                    <w:hideMark/>
                  </w:tcPr>
                  <w:p w14:paraId="180870E5" w14:textId="77777777" w:rsidR="00DA6493" w:rsidRDefault="00DA6493">
                    <w:pPr>
                      <w:pStyle w:val="Bibliography"/>
                      <w:rPr>
                        <w:noProof/>
                      </w:rPr>
                    </w:pPr>
                    <w:r>
                      <w:rPr>
                        <w:noProof/>
                      </w:rPr>
                      <w:t xml:space="preserve">[6] </w:t>
                    </w:r>
                  </w:p>
                </w:tc>
                <w:tc>
                  <w:tcPr>
                    <w:tcW w:w="0" w:type="auto"/>
                    <w:hideMark/>
                  </w:tcPr>
                  <w:p w14:paraId="16DFD111" w14:textId="77777777" w:rsidR="00DA6493" w:rsidRDefault="00DA6493">
                    <w:pPr>
                      <w:pStyle w:val="Bibliography"/>
                      <w:rPr>
                        <w:noProof/>
                      </w:rPr>
                    </w:pPr>
                    <w:r>
                      <w:rPr>
                        <w:noProof/>
                      </w:rPr>
                      <w:t>ONR, “SG-TAST-GD-001 - Safeguards,” [Online]. Available: Available internally via HOW2 Hub and externally via the ONR website..</w:t>
                    </w:r>
                  </w:p>
                </w:tc>
              </w:tr>
              <w:tr w:rsidR="00DA6493" w14:paraId="11A67428" w14:textId="77777777" w:rsidTr="00DA6493">
                <w:trPr>
                  <w:divId w:val="1543900582"/>
                  <w:cantSplit/>
                  <w:tblCellSpacing w:w="15" w:type="dxa"/>
                </w:trPr>
                <w:tc>
                  <w:tcPr>
                    <w:tcW w:w="50" w:type="pct"/>
                    <w:hideMark/>
                  </w:tcPr>
                  <w:p w14:paraId="58AF6AB2" w14:textId="77777777" w:rsidR="00DA6493" w:rsidRDefault="00DA6493">
                    <w:pPr>
                      <w:pStyle w:val="Bibliography"/>
                      <w:rPr>
                        <w:noProof/>
                      </w:rPr>
                    </w:pPr>
                    <w:r>
                      <w:rPr>
                        <w:noProof/>
                      </w:rPr>
                      <w:t xml:space="preserve">[7] </w:t>
                    </w:r>
                  </w:p>
                </w:tc>
                <w:tc>
                  <w:tcPr>
                    <w:tcW w:w="0" w:type="auto"/>
                    <w:hideMark/>
                  </w:tcPr>
                  <w:p w14:paraId="5C9D17C9" w14:textId="77777777" w:rsidR="00DA6493" w:rsidRDefault="00DA6493">
                    <w:pPr>
                      <w:pStyle w:val="Bibliography"/>
                      <w:rPr>
                        <w:noProof/>
                      </w:rPr>
                    </w:pPr>
                    <w:r>
                      <w:rPr>
                        <w:noProof/>
                      </w:rPr>
                      <w:t>ONR, “Addendum NSR19 Regulation 31 regime for limited operation reporters - SAF 8272 (2025/6644),” ONR, 2025.</w:t>
                    </w:r>
                  </w:p>
                </w:tc>
              </w:tr>
              <w:tr w:rsidR="00DA6493" w14:paraId="1BBFC64B" w14:textId="77777777" w:rsidTr="00DA6493">
                <w:trPr>
                  <w:divId w:val="1543900582"/>
                  <w:cantSplit/>
                  <w:tblCellSpacing w:w="15" w:type="dxa"/>
                </w:trPr>
                <w:tc>
                  <w:tcPr>
                    <w:tcW w:w="50" w:type="pct"/>
                    <w:hideMark/>
                  </w:tcPr>
                  <w:p w14:paraId="39C2D8DB" w14:textId="77777777" w:rsidR="00DA6493" w:rsidRDefault="00DA6493">
                    <w:pPr>
                      <w:pStyle w:val="Bibliography"/>
                      <w:rPr>
                        <w:noProof/>
                      </w:rPr>
                    </w:pPr>
                    <w:r>
                      <w:rPr>
                        <w:noProof/>
                      </w:rPr>
                      <w:t xml:space="preserve">[8] </w:t>
                    </w:r>
                  </w:p>
                </w:tc>
                <w:tc>
                  <w:tcPr>
                    <w:tcW w:w="0" w:type="auto"/>
                    <w:hideMark/>
                  </w:tcPr>
                  <w:p w14:paraId="0306177D" w14:textId="77777777" w:rsidR="00DA6493" w:rsidRDefault="00DA6493">
                    <w:pPr>
                      <w:pStyle w:val="Bibliography"/>
                      <w:rPr>
                        <w:noProof/>
                      </w:rPr>
                    </w:pPr>
                    <w:r>
                      <w:rPr>
                        <w:noProof/>
                      </w:rPr>
                      <w:t>IAEA, “INFCIRC/570 - UK Fissile material Transparency, Safeguards, and Irreversibility Initiatives,” 1998. [Online]. Available: https://www.iaea.org/sites/default/files/infcirc570.pdf.</w:t>
                    </w:r>
                  </w:p>
                </w:tc>
              </w:tr>
              <w:tr w:rsidR="00DA6493" w14:paraId="25E1F39A" w14:textId="77777777" w:rsidTr="00DA6493">
                <w:trPr>
                  <w:divId w:val="1543900582"/>
                  <w:cantSplit/>
                  <w:tblCellSpacing w:w="15" w:type="dxa"/>
                </w:trPr>
                <w:tc>
                  <w:tcPr>
                    <w:tcW w:w="50" w:type="pct"/>
                    <w:hideMark/>
                  </w:tcPr>
                  <w:p w14:paraId="2726E159" w14:textId="77777777" w:rsidR="00DA6493" w:rsidRDefault="00DA6493">
                    <w:pPr>
                      <w:pStyle w:val="Bibliography"/>
                      <w:rPr>
                        <w:noProof/>
                      </w:rPr>
                    </w:pPr>
                    <w:r>
                      <w:rPr>
                        <w:noProof/>
                      </w:rPr>
                      <w:t xml:space="preserve">[9] </w:t>
                    </w:r>
                  </w:p>
                </w:tc>
                <w:tc>
                  <w:tcPr>
                    <w:tcW w:w="0" w:type="auto"/>
                    <w:hideMark/>
                  </w:tcPr>
                  <w:p w14:paraId="199FE35C" w14:textId="77777777" w:rsidR="00DA6493" w:rsidRDefault="00DA6493">
                    <w:pPr>
                      <w:pStyle w:val="Bibliography"/>
                      <w:rPr>
                        <w:noProof/>
                      </w:rPr>
                    </w:pPr>
                    <w:r>
                      <w:rPr>
                        <w:noProof/>
                      </w:rPr>
                      <w:t>HM Government, “Energy Act 2013,” 2013. [Online]. Available: https://www.legislation.gov.uk/ukpga/2013/32/contents.</w:t>
                    </w:r>
                  </w:p>
                </w:tc>
              </w:tr>
              <w:tr w:rsidR="00DA6493" w14:paraId="5B836E48" w14:textId="77777777" w:rsidTr="00DA6493">
                <w:trPr>
                  <w:divId w:val="1543900582"/>
                  <w:cantSplit/>
                  <w:tblCellSpacing w:w="15" w:type="dxa"/>
                </w:trPr>
                <w:tc>
                  <w:tcPr>
                    <w:tcW w:w="50" w:type="pct"/>
                    <w:hideMark/>
                  </w:tcPr>
                  <w:p w14:paraId="684B10BE" w14:textId="77777777" w:rsidR="00DA6493" w:rsidRDefault="00DA6493">
                    <w:pPr>
                      <w:pStyle w:val="Bibliography"/>
                      <w:rPr>
                        <w:noProof/>
                      </w:rPr>
                    </w:pPr>
                    <w:r>
                      <w:rPr>
                        <w:noProof/>
                      </w:rPr>
                      <w:t xml:space="preserve">[10] </w:t>
                    </w:r>
                  </w:p>
                </w:tc>
                <w:tc>
                  <w:tcPr>
                    <w:tcW w:w="0" w:type="auto"/>
                    <w:hideMark/>
                  </w:tcPr>
                  <w:p w14:paraId="22CE32E6" w14:textId="77777777" w:rsidR="00DA6493" w:rsidRDefault="00DA6493">
                    <w:pPr>
                      <w:pStyle w:val="Bibliography"/>
                      <w:rPr>
                        <w:noProof/>
                      </w:rPr>
                    </w:pPr>
                    <w:r>
                      <w:rPr>
                        <w:noProof/>
                      </w:rPr>
                      <w:t>ONR, “ONR-ENF-GD-006 - Enforcement Management Model,” [Online]. Available: Available internally via HOW2 Hub and externally via the ONR website..</w:t>
                    </w:r>
                  </w:p>
                </w:tc>
              </w:tr>
              <w:tr w:rsidR="00DA6493" w14:paraId="0739B918" w14:textId="77777777" w:rsidTr="00DA6493">
                <w:trPr>
                  <w:divId w:val="1543900582"/>
                  <w:cantSplit/>
                  <w:tblCellSpacing w:w="15" w:type="dxa"/>
                </w:trPr>
                <w:tc>
                  <w:tcPr>
                    <w:tcW w:w="50" w:type="pct"/>
                    <w:hideMark/>
                  </w:tcPr>
                  <w:p w14:paraId="5C2A99FE" w14:textId="77777777" w:rsidR="00DA6493" w:rsidRDefault="00DA6493">
                    <w:pPr>
                      <w:pStyle w:val="Bibliography"/>
                      <w:rPr>
                        <w:noProof/>
                      </w:rPr>
                    </w:pPr>
                    <w:r>
                      <w:rPr>
                        <w:noProof/>
                      </w:rPr>
                      <w:t xml:space="preserve">[11] </w:t>
                    </w:r>
                  </w:p>
                </w:tc>
                <w:tc>
                  <w:tcPr>
                    <w:tcW w:w="0" w:type="auto"/>
                    <w:hideMark/>
                  </w:tcPr>
                  <w:p w14:paraId="69629D4E" w14:textId="77777777" w:rsidR="00DA6493" w:rsidRDefault="00DA6493">
                    <w:pPr>
                      <w:pStyle w:val="Bibliography"/>
                      <w:rPr>
                        <w:noProof/>
                      </w:rPr>
                    </w:pPr>
                    <w:r>
                      <w:rPr>
                        <w:noProof/>
                      </w:rPr>
                      <w:t>ONR, “ONR Nuclear Material Accountancy Control &amp; Safeguards (ONMACS),” [Online]. Available: Available internally via HOW2 Hub and externally via the ONR website..</w:t>
                    </w:r>
                  </w:p>
                </w:tc>
              </w:tr>
              <w:tr w:rsidR="00DA6493" w14:paraId="6435CA14" w14:textId="77777777" w:rsidTr="00DA6493">
                <w:trPr>
                  <w:divId w:val="1543900582"/>
                  <w:cantSplit/>
                  <w:tblCellSpacing w:w="15" w:type="dxa"/>
                </w:trPr>
                <w:tc>
                  <w:tcPr>
                    <w:tcW w:w="50" w:type="pct"/>
                    <w:hideMark/>
                  </w:tcPr>
                  <w:p w14:paraId="4C7E7595" w14:textId="77777777" w:rsidR="00DA6493" w:rsidRDefault="00DA6493">
                    <w:pPr>
                      <w:pStyle w:val="Bibliography"/>
                      <w:rPr>
                        <w:noProof/>
                      </w:rPr>
                    </w:pPr>
                    <w:r>
                      <w:rPr>
                        <w:noProof/>
                      </w:rPr>
                      <w:lastRenderedPageBreak/>
                      <w:t xml:space="preserve">[12] </w:t>
                    </w:r>
                  </w:p>
                </w:tc>
                <w:tc>
                  <w:tcPr>
                    <w:tcW w:w="0" w:type="auto"/>
                    <w:hideMark/>
                  </w:tcPr>
                  <w:p w14:paraId="2A71A0E2" w14:textId="77777777" w:rsidR="00DA6493" w:rsidRDefault="00DA6493">
                    <w:pPr>
                      <w:pStyle w:val="Bibliography"/>
                      <w:rPr>
                        <w:noProof/>
                      </w:rPr>
                    </w:pPr>
                    <w:r>
                      <w:rPr>
                        <w:noProof/>
                      </w:rPr>
                      <w:t>European Commission (EC) - Joint Research Centre, “International Target Values for Measurement Uncertainties in Safeguarding Nuclear Materials (STR – 368 (Revision 1.1)),” 2022. [Online]. Available: https://esarda.jrc.ec.europa.eu/publications/international-target-values-measurement-uncertainties-safeguarding-nuclear-materials-2022_en.</w:t>
                    </w:r>
                  </w:p>
                </w:tc>
              </w:tr>
              <w:tr w:rsidR="00DA6493" w14:paraId="416BC5CC" w14:textId="77777777" w:rsidTr="00DA6493">
                <w:trPr>
                  <w:divId w:val="1543900582"/>
                  <w:cantSplit/>
                  <w:tblCellSpacing w:w="15" w:type="dxa"/>
                </w:trPr>
                <w:tc>
                  <w:tcPr>
                    <w:tcW w:w="50" w:type="pct"/>
                    <w:hideMark/>
                  </w:tcPr>
                  <w:p w14:paraId="7E964225" w14:textId="77777777" w:rsidR="00DA6493" w:rsidRDefault="00DA6493">
                    <w:pPr>
                      <w:pStyle w:val="Bibliography"/>
                      <w:rPr>
                        <w:noProof/>
                      </w:rPr>
                    </w:pPr>
                    <w:r>
                      <w:rPr>
                        <w:noProof/>
                      </w:rPr>
                      <w:t xml:space="preserve">[13] </w:t>
                    </w:r>
                  </w:p>
                </w:tc>
                <w:tc>
                  <w:tcPr>
                    <w:tcW w:w="0" w:type="auto"/>
                    <w:hideMark/>
                  </w:tcPr>
                  <w:p w14:paraId="65748052" w14:textId="77777777" w:rsidR="00DA6493" w:rsidRDefault="00DA6493">
                    <w:pPr>
                      <w:pStyle w:val="Bibliography"/>
                      <w:rPr>
                        <w:noProof/>
                      </w:rPr>
                    </w:pPr>
                    <w:r>
                      <w:rPr>
                        <w:noProof/>
                      </w:rPr>
                      <w:t>IAEA, “Safeguards Glossary 2001 Edition - International Nuclear Verification Series No. 3,” [Online]. Available: https://www.iaea.org/publications/6663/iaea-safeguards-glossary.</w:t>
                    </w:r>
                  </w:p>
                </w:tc>
              </w:tr>
              <w:tr w:rsidR="00DA6493" w14:paraId="7EBF1234" w14:textId="77777777" w:rsidTr="00DA6493">
                <w:trPr>
                  <w:divId w:val="1543900582"/>
                  <w:cantSplit/>
                  <w:tblCellSpacing w:w="15" w:type="dxa"/>
                </w:trPr>
                <w:tc>
                  <w:tcPr>
                    <w:tcW w:w="50" w:type="pct"/>
                    <w:hideMark/>
                  </w:tcPr>
                  <w:p w14:paraId="5E8FEE30" w14:textId="77777777" w:rsidR="00DA6493" w:rsidRDefault="00DA6493">
                    <w:pPr>
                      <w:pStyle w:val="Bibliography"/>
                      <w:rPr>
                        <w:noProof/>
                      </w:rPr>
                    </w:pPr>
                    <w:r>
                      <w:rPr>
                        <w:noProof/>
                      </w:rPr>
                      <w:t xml:space="preserve">[14] </w:t>
                    </w:r>
                  </w:p>
                </w:tc>
                <w:tc>
                  <w:tcPr>
                    <w:tcW w:w="0" w:type="auto"/>
                    <w:hideMark/>
                  </w:tcPr>
                  <w:p w14:paraId="52B1816D" w14:textId="77777777" w:rsidR="00DA6493" w:rsidRDefault="00DA6493">
                    <w:pPr>
                      <w:pStyle w:val="Bibliography"/>
                      <w:rPr>
                        <w:noProof/>
                      </w:rPr>
                    </w:pPr>
                    <w:r>
                      <w:rPr>
                        <w:noProof/>
                      </w:rPr>
                      <w:t>ONR, “ONR-RD-POL-002 – Risk Informed &amp; Targeted Engagements (RITE),” [Online]. Available: Available internally via HOW2 Hub and externally via the ONR website..</w:t>
                    </w:r>
                  </w:p>
                </w:tc>
              </w:tr>
              <w:tr w:rsidR="00DA6493" w14:paraId="0FE6F947" w14:textId="77777777" w:rsidTr="00DA6493">
                <w:trPr>
                  <w:divId w:val="1543900582"/>
                  <w:cantSplit/>
                  <w:tblCellSpacing w:w="15" w:type="dxa"/>
                </w:trPr>
                <w:tc>
                  <w:tcPr>
                    <w:tcW w:w="50" w:type="pct"/>
                    <w:hideMark/>
                  </w:tcPr>
                  <w:p w14:paraId="032A4C68" w14:textId="77777777" w:rsidR="00DA6493" w:rsidRDefault="00DA6493">
                    <w:pPr>
                      <w:pStyle w:val="Bibliography"/>
                      <w:rPr>
                        <w:noProof/>
                      </w:rPr>
                    </w:pPr>
                    <w:r>
                      <w:rPr>
                        <w:noProof/>
                      </w:rPr>
                      <w:t xml:space="preserve">[15] </w:t>
                    </w:r>
                  </w:p>
                </w:tc>
                <w:tc>
                  <w:tcPr>
                    <w:tcW w:w="0" w:type="auto"/>
                    <w:hideMark/>
                  </w:tcPr>
                  <w:p w14:paraId="08C1DA79" w14:textId="77777777" w:rsidR="00DA6493" w:rsidRDefault="00DA6493">
                    <w:pPr>
                      <w:pStyle w:val="Bibliography"/>
                      <w:rPr>
                        <w:noProof/>
                      </w:rPr>
                    </w:pPr>
                    <w:r>
                      <w:rPr>
                        <w:noProof/>
                      </w:rPr>
                      <w:t>ONR, “ONR-INSP-GD-070 - Organisational culture guide for inspectors,” June 2026. [Online]. Available: https://www.onr.org.uk/publications/regulatory-guidance/regulatory-inspection/technical-inspection-guides-tigs/nuclear-safety-tigs/ns-insp-gd-070.</w:t>
                    </w:r>
                  </w:p>
                </w:tc>
              </w:tr>
              <w:tr w:rsidR="00DA6493" w14:paraId="394D6DA1" w14:textId="77777777" w:rsidTr="00DA6493">
                <w:trPr>
                  <w:divId w:val="1543900582"/>
                  <w:cantSplit/>
                  <w:tblCellSpacing w:w="15" w:type="dxa"/>
                </w:trPr>
                <w:tc>
                  <w:tcPr>
                    <w:tcW w:w="50" w:type="pct"/>
                    <w:hideMark/>
                  </w:tcPr>
                  <w:p w14:paraId="2AF5CE6F" w14:textId="77777777" w:rsidR="00DA6493" w:rsidRDefault="00DA6493">
                    <w:pPr>
                      <w:pStyle w:val="Bibliography"/>
                      <w:rPr>
                        <w:noProof/>
                      </w:rPr>
                    </w:pPr>
                    <w:r>
                      <w:rPr>
                        <w:noProof/>
                      </w:rPr>
                      <w:t xml:space="preserve">[16] </w:t>
                    </w:r>
                  </w:p>
                </w:tc>
                <w:tc>
                  <w:tcPr>
                    <w:tcW w:w="0" w:type="auto"/>
                    <w:hideMark/>
                  </w:tcPr>
                  <w:p w14:paraId="32FD4504" w14:textId="77777777" w:rsidR="00DA6493" w:rsidRDefault="00DA6493">
                    <w:pPr>
                      <w:pStyle w:val="Bibliography"/>
                      <w:rPr>
                        <w:noProof/>
                      </w:rPr>
                    </w:pPr>
                    <w:r>
                      <w:rPr>
                        <w:noProof/>
                      </w:rPr>
                      <w:t>ONR, “NS-TAST-GD-027 - Training and Assuring Personnel Competence,” [Online]. Available: Available internally via HOW2 Hub and externally via the ONR website..</w:t>
                    </w:r>
                  </w:p>
                </w:tc>
              </w:tr>
              <w:tr w:rsidR="00DA6493" w14:paraId="6C2E33CA" w14:textId="77777777" w:rsidTr="00DA6493">
                <w:trPr>
                  <w:divId w:val="1543900582"/>
                  <w:cantSplit/>
                  <w:tblCellSpacing w:w="15" w:type="dxa"/>
                </w:trPr>
                <w:tc>
                  <w:tcPr>
                    <w:tcW w:w="50" w:type="pct"/>
                    <w:hideMark/>
                  </w:tcPr>
                  <w:p w14:paraId="6A737A09" w14:textId="77777777" w:rsidR="00DA6493" w:rsidRDefault="00DA6493">
                    <w:pPr>
                      <w:pStyle w:val="Bibliography"/>
                      <w:rPr>
                        <w:noProof/>
                      </w:rPr>
                    </w:pPr>
                    <w:r>
                      <w:rPr>
                        <w:noProof/>
                      </w:rPr>
                      <w:t xml:space="preserve">[17] </w:t>
                    </w:r>
                  </w:p>
                </w:tc>
                <w:tc>
                  <w:tcPr>
                    <w:tcW w:w="0" w:type="auto"/>
                    <w:hideMark/>
                  </w:tcPr>
                  <w:p w14:paraId="6B1DAACC" w14:textId="77777777" w:rsidR="00DA6493" w:rsidRDefault="00DA6493">
                    <w:pPr>
                      <w:pStyle w:val="Bibliography"/>
                      <w:rPr>
                        <w:noProof/>
                      </w:rPr>
                    </w:pPr>
                    <w:r>
                      <w:rPr>
                        <w:noProof/>
                      </w:rPr>
                      <w:t>ONR, “CNS-TAST-GD-3.3 - Workspaces Equipment and User Interfaces,” [Online]. Available: Available internally via HOW2 Hub and externally via the ONR website..</w:t>
                    </w:r>
                  </w:p>
                </w:tc>
              </w:tr>
              <w:tr w:rsidR="00DA6493" w14:paraId="39CCB2ED" w14:textId="77777777" w:rsidTr="00DA6493">
                <w:trPr>
                  <w:divId w:val="1543900582"/>
                  <w:cantSplit/>
                  <w:tblCellSpacing w:w="15" w:type="dxa"/>
                </w:trPr>
                <w:tc>
                  <w:tcPr>
                    <w:tcW w:w="50" w:type="pct"/>
                    <w:hideMark/>
                  </w:tcPr>
                  <w:p w14:paraId="4385CAF0" w14:textId="77777777" w:rsidR="00DA6493" w:rsidRDefault="00DA6493">
                    <w:pPr>
                      <w:pStyle w:val="Bibliography"/>
                      <w:rPr>
                        <w:noProof/>
                      </w:rPr>
                    </w:pPr>
                    <w:r>
                      <w:rPr>
                        <w:noProof/>
                      </w:rPr>
                      <w:t xml:space="preserve">[18] </w:t>
                    </w:r>
                  </w:p>
                </w:tc>
                <w:tc>
                  <w:tcPr>
                    <w:tcW w:w="0" w:type="auto"/>
                    <w:hideMark/>
                  </w:tcPr>
                  <w:p w14:paraId="7EC72B15" w14:textId="77777777" w:rsidR="00DA6493" w:rsidRDefault="00DA6493">
                    <w:pPr>
                      <w:pStyle w:val="Bibliography"/>
                      <w:rPr>
                        <w:noProof/>
                      </w:rPr>
                    </w:pPr>
                    <w:r>
                      <w:rPr>
                        <w:noProof/>
                      </w:rPr>
                      <w:t>ONR, “LC 36 – Organisational capability - NS-INSP-GD-036,” April 2026. [Online]. Available: https://www.onr.org.uk/publications/regulatory-guidance/regulatory-inspection/technical-inspection-guides-tigs/nuclear-safety-tigs/ns-insp-gd-036.</w:t>
                    </w:r>
                  </w:p>
                </w:tc>
              </w:tr>
              <w:tr w:rsidR="00DA6493" w14:paraId="14439B74" w14:textId="77777777" w:rsidTr="00DA6493">
                <w:trPr>
                  <w:divId w:val="1543900582"/>
                  <w:cantSplit/>
                  <w:tblCellSpacing w:w="15" w:type="dxa"/>
                </w:trPr>
                <w:tc>
                  <w:tcPr>
                    <w:tcW w:w="50" w:type="pct"/>
                    <w:hideMark/>
                  </w:tcPr>
                  <w:p w14:paraId="7CF8EFF5" w14:textId="77777777" w:rsidR="00DA6493" w:rsidRDefault="00DA6493">
                    <w:pPr>
                      <w:pStyle w:val="Bibliography"/>
                      <w:rPr>
                        <w:noProof/>
                      </w:rPr>
                    </w:pPr>
                    <w:r>
                      <w:rPr>
                        <w:noProof/>
                      </w:rPr>
                      <w:t xml:space="preserve">[19] </w:t>
                    </w:r>
                  </w:p>
                </w:tc>
                <w:tc>
                  <w:tcPr>
                    <w:tcW w:w="0" w:type="auto"/>
                    <w:hideMark/>
                  </w:tcPr>
                  <w:p w14:paraId="751A7D3E" w14:textId="77777777" w:rsidR="00DA6493" w:rsidRDefault="00DA6493">
                    <w:pPr>
                      <w:pStyle w:val="Bibliography"/>
                      <w:rPr>
                        <w:noProof/>
                      </w:rPr>
                    </w:pPr>
                    <w:r>
                      <w:rPr>
                        <w:noProof/>
                      </w:rPr>
                      <w:t>ONR, “Licence Condition 10 - Training - NS-INSP-GD-010,” January 2026. [Online]. Available: https://www.onr.org.uk/publications/regulatory-guidance/regulatory-inspection/technical-inspection-guides-tigs/nuclear-safety-tigs/ns-insp-gd-010.</w:t>
                    </w:r>
                  </w:p>
                </w:tc>
              </w:tr>
              <w:tr w:rsidR="00DA6493" w14:paraId="3BE7F66E" w14:textId="77777777" w:rsidTr="00DA6493">
                <w:trPr>
                  <w:divId w:val="1543900582"/>
                  <w:cantSplit/>
                  <w:tblCellSpacing w:w="15" w:type="dxa"/>
                </w:trPr>
                <w:tc>
                  <w:tcPr>
                    <w:tcW w:w="50" w:type="pct"/>
                    <w:hideMark/>
                  </w:tcPr>
                  <w:p w14:paraId="00AF6239" w14:textId="77777777" w:rsidR="00DA6493" w:rsidRDefault="00DA6493">
                    <w:pPr>
                      <w:pStyle w:val="Bibliography"/>
                      <w:rPr>
                        <w:noProof/>
                      </w:rPr>
                    </w:pPr>
                    <w:r>
                      <w:rPr>
                        <w:noProof/>
                      </w:rPr>
                      <w:t xml:space="preserve">[20] </w:t>
                    </w:r>
                  </w:p>
                </w:tc>
                <w:tc>
                  <w:tcPr>
                    <w:tcW w:w="0" w:type="auto"/>
                    <w:hideMark/>
                  </w:tcPr>
                  <w:p w14:paraId="6357D735" w14:textId="77777777" w:rsidR="00DA6493" w:rsidRDefault="00DA6493">
                    <w:pPr>
                      <w:pStyle w:val="Bibliography"/>
                      <w:rPr>
                        <w:noProof/>
                      </w:rPr>
                    </w:pPr>
                    <w:r>
                      <w:rPr>
                        <w:noProof/>
                      </w:rPr>
                      <w:t>ONR, “Licence Condition 12 – Duly authorised and other suitably qualified and experienced persons - NS-INSP-GD-012 - Issue 4.1,” January 2026. [Online]. Available: https://www.onr.org.uk/publications/regulatory-guidance/regulatory-inspection/technical-inspection-guides-tigs/nuclear-safety-tigs/ns-insp-gd-012.</w:t>
                    </w:r>
                  </w:p>
                </w:tc>
              </w:tr>
              <w:tr w:rsidR="00DA6493" w14:paraId="2A510F8C" w14:textId="77777777" w:rsidTr="00DA6493">
                <w:trPr>
                  <w:divId w:val="1543900582"/>
                  <w:cantSplit/>
                  <w:tblCellSpacing w:w="15" w:type="dxa"/>
                </w:trPr>
                <w:tc>
                  <w:tcPr>
                    <w:tcW w:w="50" w:type="pct"/>
                    <w:hideMark/>
                  </w:tcPr>
                  <w:p w14:paraId="4CE5A7A9" w14:textId="77777777" w:rsidR="00DA6493" w:rsidRDefault="00DA6493">
                    <w:pPr>
                      <w:pStyle w:val="Bibliography"/>
                      <w:rPr>
                        <w:noProof/>
                      </w:rPr>
                    </w:pPr>
                    <w:r>
                      <w:rPr>
                        <w:noProof/>
                      </w:rPr>
                      <w:t xml:space="preserve">[21] </w:t>
                    </w:r>
                  </w:p>
                </w:tc>
                <w:tc>
                  <w:tcPr>
                    <w:tcW w:w="0" w:type="auto"/>
                    <w:hideMark/>
                  </w:tcPr>
                  <w:p w14:paraId="215DE619" w14:textId="77777777" w:rsidR="00DA6493" w:rsidRDefault="00DA6493">
                    <w:pPr>
                      <w:pStyle w:val="Bibliography"/>
                      <w:rPr>
                        <w:noProof/>
                      </w:rPr>
                    </w:pPr>
                    <w:r>
                      <w:rPr>
                        <w:noProof/>
                      </w:rPr>
                      <w:t>ONR, “LC 28 – Examination, Inspection, Maintenance and Testing (EIMT) - NS-INSP-GD-028 - Issue: 9.2,” June 2026. [Online]. Available: https://www.onr.org.uk/publications/regulatory-guidance/regulatory-inspection/technical-inspection-guides-tigs/nuclear-safety-tigs/ns-insp-gd-028.</w:t>
                    </w:r>
                  </w:p>
                </w:tc>
              </w:tr>
              <w:tr w:rsidR="00DA6493" w14:paraId="2FAD9EF3" w14:textId="77777777" w:rsidTr="00DA6493">
                <w:trPr>
                  <w:divId w:val="1543900582"/>
                  <w:cantSplit/>
                  <w:tblCellSpacing w:w="15" w:type="dxa"/>
                </w:trPr>
                <w:tc>
                  <w:tcPr>
                    <w:tcW w:w="50" w:type="pct"/>
                    <w:hideMark/>
                  </w:tcPr>
                  <w:p w14:paraId="02CE25C3" w14:textId="77777777" w:rsidR="00DA6493" w:rsidRDefault="00DA6493">
                    <w:pPr>
                      <w:pStyle w:val="Bibliography"/>
                      <w:rPr>
                        <w:noProof/>
                      </w:rPr>
                    </w:pPr>
                    <w:r>
                      <w:rPr>
                        <w:noProof/>
                      </w:rPr>
                      <w:lastRenderedPageBreak/>
                      <w:t xml:space="preserve">[22] </w:t>
                    </w:r>
                  </w:p>
                </w:tc>
                <w:tc>
                  <w:tcPr>
                    <w:tcW w:w="0" w:type="auto"/>
                    <w:hideMark/>
                  </w:tcPr>
                  <w:p w14:paraId="398B4A49" w14:textId="77777777" w:rsidR="00DA6493" w:rsidRDefault="00DA6493">
                    <w:pPr>
                      <w:pStyle w:val="Bibliography"/>
                      <w:rPr>
                        <w:noProof/>
                      </w:rPr>
                    </w:pPr>
                    <w:r>
                      <w:rPr>
                        <w:noProof/>
                      </w:rPr>
                      <w:t>ONR, “LC29 – Duty to carry out tests, inspections and examinations - NS-INSP-GD-029 - Issue: 6.1,” April 2026. [Online]. Available: https://www.onr.org.uk/publications/regulatory-guidance/regulatory-inspection/technical-inspection-guides-tigs/nuclear-safety-tigs/ns-insp-gd-029.</w:t>
                    </w:r>
                  </w:p>
                </w:tc>
              </w:tr>
              <w:tr w:rsidR="00DA6493" w14:paraId="43226189" w14:textId="77777777" w:rsidTr="00DA6493">
                <w:trPr>
                  <w:divId w:val="1543900582"/>
                  <w:cantSplit/>
                  <w:tblCellSpacing w:w="15" w:type="dxa"/>
                </w:trPr>
                <w:tc>
                  <w:tcPr>
                    <w:tcW w:w="50" w:type="pct"/>
                    <w:hideMark/>
                  </w:tcPr>
                  <w:p w14:paraId="32B7A53F" w14:textId="77777777" w:rsidR="00DA6493" w:rsidRDefault="00DA6493">
                    <w:pPr>
                      <w:pStyle w:val="Bibliography"/>
                      <w:rPr>
                        <w:noProof/>
                      </w:rPr>
                    </w:pPr>
                    <w:r>
                      <w:rPr>
                        <w:noProof/>
                      </w:rPr>
                      <w:t xml:space="preserve">[23] </w:t>
                    </w:r>
                  </w:p>
                </w:tc>
                <w:tc>
                  <w:tcPr>
                    <w:tcW w:w="0" w:type="auto"/>
                    <w:hideMark/>
                  </w:tcPr>
                  <w:p w14:paraId="4A4B3AFA" w14:textId="77777777" w:rsidR="00DA6493" w:rsidRDefault="00DA6493">
                    <w:pPr>
                      <w:pStyle w:val="Bibliography"/>
                      <w:rPr>
                        <w:noProof/>
                      </w:rPr>
                    </w:pPr>
                    <w:r>
                      <w:rPr>
                        <w:noProof/>
                      </w:rPr>
                      <w:t>ISO, “ISO/IEC 17025:2017 - General requirements for the competence of testing and calibration laboratories,” 2017.</w:t>
                    </w:r>
                  </w:p>
                </w:tc>
              </w:tr>
              <w:tr w:rsidR="00DA6493" w14:paraId="0EBF7DDD" w14:textId="77777777" w:rsidTr="00DA6493">
                <w:trPr>
                  <w:divId w:val="1543900582"/>
                  <w:cantSplit/>
                  <w:tblCellSpacing w:w="15" w:type="dxa"/>
                </w:trPr>
                <w:tc>
                  <w:tcPr>
                    <w:tcW w:w="50" w:type="pct"/>
                    <w:hideMark/>
                  </w:tcPr>
                  <w:p w14:paraId="1904A102" w14:textId="77777777" w:rsidR="00DA6493" w:rsidRDefault="00DA6493">
                    <w:pPr>
                      <w:pStyle w:val="Bibliography"/>
                      <w:rPr>
                        <w:noProof/>
                      </w:rPr>
                    </w:pPr>
                    <w:r>
                      <w:rPr>
                        <w:noProof/>
                      </w:rPr>
                      <w:t xml:space="preserve">[24] </w:t>
                    </w:r>
                  </w:p>
                </w:tc>
                <w:tc>
                  <w:tcPr>
                    <w:tcW w:w="0" w:type="auto"/>
                    <w:hideMark/>
                  </w:tcPr>
                  <w:p w14:paraId="61A19434" w14:textId="77777777" w:rsidR="00DA6493" w:rsidRDefault="00DA6493">
                    <w:pPr>
                      <w:pStyle w:val="Bibliography"/>
                      <w:rPr>
                        <w:noProof/>
                      </w:rPr>
                    </w:pPr>
                    <w:r>
                      <w:rPr>
                        <w:noProof/>
                      </w:rPr>
                      <w:t>ISO, “ISO 10012:2003 - Measurement management systems — Requirements for measurement processes and measuring equipment,” 2003.</w:t>
                    </w:r>
                  </w:p>
                </w:tc>
              </w:tr>
              <w:tr w:rsidR="00DA6493" w14:paraId="61EDB86E" w14:textId="77777777" w:rsidTr="00DA6493">
                <w:trPr>
                  <w:divId w:val="1543900582"/>
                  <w:cantSplit/>
                  <w:tblCellSpacing w:w="15" w:type="dxa"/>
                </w:trPr>
                <w:tc>
                  <w:tcPr>
                    <w:tcW w:w="50" w:type="pct"/>
                    <w:hideMark/>
                  </w:tcPr>
                  <w:p w14:paraId="634C3B22" w14:textId="77777777" w:rsidR="00DA6493" w:rsidRDefault="00DA6493">
                    <w:pPr>
                      <w:pStyle w:val="Bibliography"/>
                      <w:rPr>
                        <w:noProof/>
                      </w:rPr>
                    </w:pPr>
                    <w:r>
                      <w:rPr>
                        <w:noProof/>
                      </w:rPr>
                      <w:t xml:space="preserve">[25] </w:t>
                    </w:r>
                  </w:p>
                </w:tc>
                <w:tc>
                  <w:tcPr>
                    <w:tcW w:w="0" w:type="auto"/>
                    <w:hideMark/>
                  </w:tcPr>
                  <w:p w14:paraId="7E857BDD" w14:textId="77777777" w:rsidR="00DA6493" w:rsidRDefault="00DA6493">
                    <w:pPr>
                      <w:pStyle w:val="Bibliography"/>
                      <w:rPr>
                        <w:noProof/>
                      </w:rPr>
                    </w:pPr>
                    <w:r>
                      <w:rPr>
                        <w:noProof/>
                      </w:rPr>
                      <w:t>JCGM, “Evaluation of Measurement Data - Guide to the Expression of Uncertainty in Measurement (GUM) (1st Edition),” 2008.</w:t>
                    </w:r>
                  </w:p>
                </w:tc>
              </w:tr>
              <w:tr w:rsidR="00DA6493" w14:paraId="002BB200" w14:textId="77777777" w:rsidTr="00DA6493">
                <w:trPr>
                  <w:divId w:val="1543900582"/>
                  <w:cantSplit/>
                  <w:tblCellSpacing w:w="15" w:type="dxa"/>
                </w:trPr>
                <w:tc>
                  <w:tcPr>
                    <w:tcW w:w="50" w:type="pct"/>
                    <w:hideMark/>
                  </w:tcPr>
                  <w:p w14:paraId="77C94A92" w14:textId="77777777" w:rsidR="00DA6493" w:rsidRDefault="00DA6493">
                    <w:pPr>
                      <w:pStyle w:val="Bibliography"/>
                      <w:rPr>
                        <w:noProof/>
                      </w:rPr>
                    </w:pPr>
                    <w:r>
                      <w:rPr>
                        <w:noProof/>
                      </w:rPr>
                      <w:t xml:space="preserve">[26] </w:t>
                    </w:r>
                  </w:p>
                </w:tc>
                <w:tc>
                  <w:tcPr>
                    <w:tcW w:w="0" w:type="auto"/>
                    <w:hideMark/>
                  </w:tcPr>
                  <w:p w14:paraId="003EB17D" w14:textId="77777777" w:rsidR="00DA6493" w:rsidRDefault="00DA6493">
                    <w:pPr>
                      <w:pStyle w:val="Bibliography"/>
                      <w:rPr>
                        <w:noProof/>
                      </w:rPr>
                    </w:pPr>
                    <w:r>
                      <w:rPr>
                        <w:noProof/>
                      </w:rPr>
                      <w:t>ISO, “ISO/IEC 27002:2022 - Information security, cybersecurity and privacy protection — Information security controls,” 2022.</w:t>
                    </w:r>
                  </w:p>
                </w:tc>
              </w:tr>
              <w:tr w:rsidR="00DA6493" w14:paraId="50B852B1" w14:textId="77777777" w:rsidTr="00DA6493">
                <w:trPr>
                  <w:divId w:val="1543900582"/>
                  <w:cantSplit/>
                  <w:tblCellSpacing w:w="15" w:type="dxa"/>
                </w:trPr>
                <w:tc>
                  <w:tcPr>
                    <w:tcW w:w="50" w:type="pct"/>
                    <w:hideMark/>
                  </w:tcPr>
                  <w:p w14:paraId="27585636" w14:textId="77777777" w:rsidR="00DA6493" w:rsidRDefault="00DA6493">
                    <w:pPr>
                      <w:pStyle w:val="Bibliography"/>
                      <w:rPr>
                        <w:noProof/>
                      </w:rPr>
                    </w:pPr>
                    <w:r>
                      <w:rPr>
                        <w:noProof/>
                      </w:rPr>
                      <w:t xml:space="preserve">[27] </w:t>
                    </w:r>
                  </w:p>
                </w:tc>
                <w:tc>
                  <w:tcPr>
                    <w:tcW w:w="0" w:type="auto"/>
                    <w:hideMark/>
                  </w:tcPr>
                  <w:p w14:paraId="02F01DEA" w14:textId="77777777" w:rsidR="00DA6493" w:rsidRDefault="00DA6493">
                    <w:pPr>
                      <w:pStyle w:val="Bibliography"/>
                      <w:rPr>
                        <w:noProof/>
                      </w:rPr>
                    </w:pPr>
                    <w:r>
                      <w:rPr>
                        <w:noProof/>
                      </w:rPr>
                      <w:t>ONR, “SG-TAST-GD-002 - Nuclear Material Accountancy,” [Online]. Available: Available internally via HOW2 Hub and externally via the ONR website..</w:t>
                    </w:r>
                  </w:p>
                </w:tc>
              </w:tr>
              <w:tr w:rsidR="00DA6493" w14:paraId="3C2C6D7A" w14:textId="77777777" w:rsidTr="00DA6493">
                <w:trPr>
                  <w:divId w:val="1543900582"/>
                  <w:cantSplit/>
                  <w:tblCellSpacing w:w="15" w:type="dxa"/>
                </w:trPr>
                <w:tc>
                  <w:tcPr>
                    <w:tcW w:w="50" w:type="pct"/>
                    <w:hideMark/>
                  </w:tcPr>
                  <w:p w14:paraId="4A4926BC" w14:textId="77777777" w:rsidR="00DA6493" w:rsidRDefault="00DA6493">
                    <w:pPr>
                      <w:pStyle w:val="Bibliography"/>
                      <w:rPr>
                        <w:noProof/>
                      </w:rPr>
                    </w:pPr>
                    <w:r>
                      <w:rPr>
                        <w:noProof/>
                      </w:rPr>
                      <w:t xml:space="preserve">[28] </w:t>
                    </w:r>
                  </w:p>
                </w:tc>
                <w:tc>
                  <w:tcPr>
                    <w:tcW w:w="0" w:type="auto"/>
                    <w:hideMark/>
                  </w:tcPr>
                  <w:p w14:paraId="735FC599" w14:textId="77777777" w:rsidR="00DA6493" w:rsidRDefault="00DA6493">
                    <w:pPr>
                      <w:pStyle w:val="Bibliography"/>
                      <w:rPr>
                        <w:noProof/>
                      </w:rPr>
                    </w:pPr>
                    <w:r>
                      <w:rPr>
                        <w:noProof/>
                      </w:rPr>
                      <w:t xml:space="preserve">IAEA, “IAEA Design Information Questionnaire (DIQ) Completion Guidance – Parts I and II (STR-398),” 2021. [Online]. </w:t>
                    </w:r>
                  </w:p>
                </w:tc>
              </w:tr>
              <w:tr w:rsidR="00DA6493" w14:paraId="37E75EB0" w14:textId="77777777" w:rsidTr="00DA6493">
                <w:trPr>
                  <w:divId w:val="1543900582"/>
                  <w:cantSplit/>
                  <w:tblCellSpacing w:w="15" w:type="dxa"/>
                </w:trPr>
                <w:tc>
                  <w:tcPr>
                    <w:tcW w:w="50" w:type="pct"/>
                    <w:hideMark/>
                  </w:tcPr>
                  <w:p w14:paraId="0F70B492" w14:textId="77777777" w:rsidR="00DA6493" w:rsidRDefault="00DA6493">
                    <w:pPr>
                      <w:pStyle w:val="Bibliography"/>
                      <w:rPr>
                        <w:noProof/>
                      </w:rPr>
                    </w:pPr>
                    <w:r>
                      <w:rPr>
                        <w:noProof/>
                      </w:rPr>
                      <w:t xml:space="preserve">[29] </w:t>
                    </w:r>
                  </w:p>
                </w:tc>
                <w:tc>
                  <w:tcPr>
                    <w:tcW w:w="0" w:type="auto"/>
                    <w:hideMark/>
                  </w:tcPr>
                  <w:p w14:paraId="71CBF0F2" w14:textId="77777777" w:rsidR="00DA6493" w:rsidRDefault="00DA6493">
                    <w:pPr>
                      <w:pStyle w:val="Bibliography"/>
                      <w:rPr>
                        <w:noProof/>
                      </w:rPr>
                    </w:pPr>
                    <w:r>
                      <w:rPr>
                        <w:noProof/>
                      </w:rPr>
                      <w:t>ONR, “LC19 – Construction or installation of new plant | Issue: 7.2 - NS-INSP-GD-019,” March 2026. [Online]. Available: https://www.onr.org.uk/publications/regulatory-guidance/regulatory-inspection/technical-inspection-guides-tigs/nuclear-safety-tigs/ns-insp-gd-019.</w:t>
                    </w:r>
                  </w:p>
                </w:tc>
              </w:tr>
              <w:tr w:rsidR="00DA6493" w14:paraId="1C28C017" w14:textId="77777777" w:rsidTr="00DA6493">
                <w:trPr>
                  <w:divId w:val="1543900582"/>
                  <w:cantSplit/>
                  <w:tblCellSpacing w:w="15" w:type="dxa"/>
                </w:trPr>
                <w:tc>
                  <w:tcPr>
                    <w:tcW w:w="50" w:type="pct"/>
                    <w:hideMark/>
                  </w:tcPr>
                  <w:p w14:paraId="422859A2" w14:textId="77777777" w:rsidR="00DA6493" w:rsidRDefault="00DA6493">
                    <w:pPr>
                      <w:pStyle w:val="Bibliography"/>
                      <w:rPr>
                        <w:noProof/>
                      </w:rPr>
                    </w:pPr>
                    <w:r>
                      <w:rPr>
                        <w:noProof/>
                      </w:rPr>
                      <w:t xml:space="preserve">[30] </w:t>
                    </w:r>
                  </w:p>
                </w:tc>
                <w:tc>
                  <w:tcPr>
                    <w:tcW w:w="0" w:type="auto"/>
                    <w:hideMark/>
                  </w:tcPr>
                  <w:p w14:paraId="21037192" w14:textId="77777777" w:rsidR="00DA6493" w:rsidRDefault="00DA6493">
                    <w:pPr>
                      <w:pStyle w:val="Bibliography"/>
                      <w:rPr>
                        <w:noProof/>
                      </w:rPr>
                    </w:pPr>
                    <w:r>
                      <w:rPr>
                        <w:noProof/>
                      </w:rPr>
                      <w:t>ONR, “NS-INSP-GD-020 - LC20 – Modification to design of plant under construction | Issue: 7.2,” April 2026. [Online]. Available: https://www.onr.org.uk/publications/regulatory-guidance/regulatory-inspection/technical-inspection-guides-tigs/nuclear-safety-tigs/ns-insp-gd-020.</w:t>
                    </w:r>
                  </w:p>
                </w:tc>
              </w:tr>
              <w:tr w:rsidR="00DA6493" w14:paraId="329355E8" w14:textId="77777777" w:rsidTr="00DA6493">
                <w:trPr>
                  <w:divId w:val="1543900582"/>
                  <w:cantSplit/>
                  <w:tblCellSpacing w:w="15" w:type="dxa"/>
                </w:trPr>
                <w:tc>
                  <w:tcPr>
                    <w:tcW w:w="50" w:type="pct"/>
                    <w:hideMark/>
                  </w:tcPr>
                  <w:p w14:paraId="625DE1DC" w14:textId="77777777" w:rsidR="00DA6493" w:rsidRDefault="00DA6493">
                    <w:pPr>
                      <w:pStyle w:val="Bibliography"/>
                      <w:rPr>
                        <w:noProof/>
                      </w:rPr>
                    </w:pPr>
                    <w:r>
                      <w:rPr>
                        <w:noProof/>
                      </w:rPr>
                      <w:t xml:space="preserve">[31] </w:t>
                    </w:r>
                  </w:p>
                </w:tc>
                <w:tc>
                  <w:tcPr>
                    <w:tcW w:w="0" w:type="auto"/>
                    <w:hideMark/>
                  </w:tcPr>
                  <w:p w14:paraId="46AE94E8" w14:textId="77777777" w:rsidR="00DA6493" w:rsidRDefault="00DA6493">
                    <w:pPr>
                      <w:pStyle w:val="Bibliography"/>
                      <w:rPr>
                        <w:noProof/>
                      </w:rPr>
                    </w:pPr>
                    <w:r>
                      <w:rPr>
                        <w:noProof/>
                      </w:rPr>
                      <w:t>ONR, “NS-INSP-GD-021 - LC21 – Commissioning | Issue: 7.2,” April 2026. [Online]. Available: https://www.onr.org.uk/publications/regulatory-guidance/regulatory-inspection/technical-inspection-guides-tigs/nuclear-safety-tigs/ns-insp-gd-021.</w:t>
                    </w:r>
                  </w:p>
                </w:tc>
              </w:tr>
              <w:tr w:rsidR="00DA6493" w14:paraId="31AC4D28" w14:textId="77777777" w:rsidTr="00DA6493">
                <w:trPr>
                  <w:divId w:val="1543900582"/>
                  <w:cantSplit/>
                  <w:tblCellSpacing w:w="15" w:type="dxa"/>
                </w:trPr>
                <w:tc>
                  <w:tcPr>
                    <w:tcW w:w="50" w:type="pct"/>
                    <w:hideMark/>
                  </w:tcPr>
                  <w:p w14:paraId="59538603" w14:textId="77777777" w:rsidR="00DA6493" w:rsidRDefault="00DA6493">
                    <w:pPr>
                      <w:pStyle w:val="Bibliography"/>
                      <w:rPr>
                        <w:noProof/>
                      </w:rPr>
                    </w:pPr>
                    <w:r>
                      <w:rPr>
                        <w:noProof/>
                      </w:rPr>
                      <w:t xml:space="preserve">[32] </w:t>
                    </w:r>
                  </w:p>
                </w:tc>
                <w:tc>
                  <w:tcPr>
                    <w:tcW w:w="0" w:type="auto"/>
                    <w:hideMark/>
                  </w:tcPr>
                  <w:p w14:paraId="74490E08" w14:textId="77777777" w:rsidR="00DA6493" w:rsidRDefault="00DA6493">
                    <w:pPr>
                      <w:pStyle w:val="Bibliography"/>
                      <w:rPr>
                        <w:noProof/>
                      </w:rPr>
                    </w:pPr>
                    <w:r>
                      <w:rPr>
                        <w:noProof/>
                      </w:rPr>
                      <w:t>ONR, “NS-INSP-GD-022 - LC22 – Modification or experiment on existing plant | Issue: 7.1,” April 2026. [Online]. Available: https://www.onr.org.uk/publications/regulatory-guidance/regulatory-inspection/technical-inspection-guides-tigs/nuclear-safety-tigs/ns-insp-gd-022.</w:t>
                    </w:r>
                  </w:p>
                </w:tc>
              </w:tr>
              <w:tr w:rsidR="00DA6493" w14:paraId="1A1BDDFD" w14:textId="77777777" w:rsidTr="00DA6493">
                <w:trPr>
                  <w:divId w:val="1543900582"/>
                  <w:cantSplit/>
                  <w:tblCellSpacing w:w="15" w:type="dxa"/>
                </w:trPr>
                <w:tc>
                  <w:tcPr>
                    <w:tcW w:w="50" w:type="pct"/>
                    <w:hideMark/>
                  </w:tcPr>
                  <w:p w14:paraId="3A18C1F0" w14:textId="77777777" w:rsidR="00DA6493" w:rsidRDefault="00DA6493">
                    <w:pPr>
                      <w:pStyle w:val="Bibliography"/>
                      <w:rPr>
                        <w:noProof/>
                      </w:rPr>
                    </w:pPr>
                    <w:r>
                      <w:rPr>
                        <w:noProof/>
                      </w:rPr>
                      <w:lastRenderedPageBreak/>
                      <w:t xml:space="preserve">[33] </w:t>
                    </w:r>
                  </w:p>
                </w:tc>
                <w:tc>
                  <w:tcPr>
                    <w:tcW w:w="0" w:type="auto"/>
                    <w:hideMark/>
                  </w:tcPr>
                  <w:p w14:paraId="62D4D5D3" w14:textId="77777777" w:rsidR="00DA6493" w:rsidRDefault="00DA6493">
                    <w:pPr>
                      <w:pStyle w:val="Bibliography"/>
                      <w:rPr>
                        <w:noProof/>
                      </w:rPr>
                    </w:pPr>
                    <w:r>
                      <w:rPr>
                        <w:noProof/>
                      </w:rPr>
                      <w:t>ONR, “NS-INSP-GD-035 - LC35 – Decommissioning | Issue: 7.1,” April 2026. [Online]. Available: https://www.onr.org.uk/publications/regulatory-guidance/regulatory-inspection/technical-inspection-guides-tigs/nuclear-safety-tigs/ns-insp-gd-035.</w:t>
                    </w:r>
                  </w:p>
                </w:tc>
              </w:tr>
              <w:tr w:rsidR="00DA6493" w14:paraId="0B5FB73B" w14:textId="77777777" w:rsidTr="00DA6493">
                <w:trPr>
                  <w:divId w:val="1543900582"/>
                  <w:cantSplit/>
                  <w:tblCellSpacing w:w="15" w:type="dxa"/>
                </w:trPr>
                <w:tc>
                  <w:tcPr>
                    <w:tcW w:w="50" w:type="pct"/>
                    <w:hideMark/>
                  </w:tcPr>
                  <w:p w14:paraId="3A2000B0" w14:textId="77777777" w:rsidR="00DA6493" w:rsidRDefault="00DA6493">
                    <w:pPr>
                      <w:pStyle w:val="Bibliography"/>
                      <w:rPr>
                        <w:noProof/>
                      </w:rPr>
                    </w:pPr>
                    <w:r>
                      <w:rPr>
                        <w:noProof/>
                      </w:rPr>
                      <w:t xml:space="preserve">[34] </w:t>
                    </w:r>
                  </w:p>
                </w:tc>
                <w:tc>
                  <w:tcPr>
                    <w:tcW w:w="0" w:type="auto"/>
                    <w:hideMark/>
                  </w:tcPr>
                  <w:p w14:paraId="78C7283D" w14:textId="77777777" w:rsidR="00DA6493" w:rsidRDefault="00DA6493">
                    <w:pPr>
                      <w:pStyle w:val="Bibliography"/>
                      <w:rPr>
                        <w:noProof/>
                      </w:rPr>
                    </w:pPr>
                    <w:r>
                      <w:rPr>
                        <w:noProof/>
                      </w:rPr>
                      <w:t>IAEA, “Nuclear Energy Series No. NP-T-2.8 - International Safeguards in Nuclear Facility Design and Construction,” 2013. [Online]. Available: https://www.iaea.org/publications/10361/international-safeguards-in-nuclear-facility-design-and-construction.</w:t>
                    </w:r>
                  </w:p>
                </w:tc>
              </w:tr>
              <w:tr w:rsidR="00DA6493" w14:paraId="1894AEF8" w14:textId="77777777" w:rsidTr="00DA6493">
                <w:trPr>
                  <w:divId w:val="1543900582"/>
                  <w:cantSplit/>
                  <w:tblCellSpacing w:w="15" w:type="dxa"/>
                </w:trPr>
                <w:tc>
                  <w:tcPr>
                    <w:tcW w:w="50" w:type="pct"/>
                    <w:hideMark/>
                  </w:tcPr>
                  <w:p w14:paraId="72050AB4" w14:textId="77777777" w:rsidR="00DA6493" w:rsidRDefault="00DA6493">
                    <w:pPr>
                      <w:pStyle w:val="Bibliography"/>
                      <w:rPr>
                        <w:noProof/>
                      </w:rPr>
                    </w:pPr>
                    <w:r>
                      <w:rPr>
                        <w:noProof/>
                      </w:rPr>
                      <w:t xml:space="preserve">[35] </w:t>
                    </w:r>
                  </w:p>
                </w:tc>
                <w:tc>
                  <w:tcPr>
                    <w:tcW w:w="0" w:type="auto"/>
                    <w:hideMark/>
                  </w:tcPr>
                  <w:p w14:paraId="4678850A" w14:textId="77777777" w:rsidR="00DA6493" w:rsidRDefault="00DA6493">
                    <w:pPr>
                      <w:pStyle w:val="Bibliography"/>
                      <w:rPr>
                        <w:noProof/>
                      </w:rPr>
                    </w:pPr>
                    <w:r>
                      <w:rPr>
                        <w:noProof/>
                      </w:rPr>
                      <w:t>IAEA, “Nuclear Energy Series No. NP-T-2.9 - International Safeguards in the Design of Nuclear Reactors,” 2014. [Online]. Available: https://www.iaea.org/publications/10710/international-safeguards-in-the-design-of-nuclear-reactors.</w:t>
                    </w:r>
                  </w:p>
                </w:tc>
              </w:tr>
              <w:tr w:rsidR="00DA6493" w14:paraId="69E0E421" w14:textId="77777777" w:rsidTr="00DA6493">
                <w:trPr>
                  <w:divId w:val="1543900582"/>
                  <w:cantSplit/>
                  <w:tblCellSpacing w:w="15" w:type="dxa"/>
                </w:trPr>
                <w:tc>
                  <w:tcPr>
                    <w:tcW w:w="50" w:type="pct"/>
                    <w:hideMark/>
                  </w:tcPr>
                  <w:p w14:paraId="1B092DDF" w14:textId="77777777" w:rsidR="00DA6493" w:rsidRDefault="00DA6493">
                    <w:pPr>
                      <w:pStyle w:val="Bibliography"/>
                      <w:rPr>
                        <w:noProof/>
                      </w:rPr>
                    </w:pPr>
                    <w:r>
                      <w:rPr>
                        <w:noProof/>
                      </w:rPr>
                      <w:t xml:space="preserve">[36] </w:t>
                    </w:r>
                  </w:p>
                </w:tc>
                <w:tc>
                  <w:tcPr>
                    <w:tcW w:w="0" w:type="auto"/>
                    <w:hideMark/>
                  </w:tcPr>
                  <w:p w14:paraId="4A318C51" w14:textId="77777777" w:rsidR="00DA6493" w:rsidRDefault="00DA6493">
                    <w:pPr>
                      <w:pStyle w:val="Bibliography"/>
                      <w:rPr>
                        <w:noProof/>
                      </w:rPr>
                    </w:pPr>
                    <w:r>
                      <w:rPr>
                        <w:noProof/>
                      </w:rPr>
                      <w:t>IAEA, “Nuclear Energy Series No. NF-T-4.7 - International Safeguards in the Design of Fuel Fabrication Plants,” 2017. [Online]. Available: https://www.iaea.org/publications/10746/international-safeguards-in-the-design-of-fuel-fabrication-plants.</w:t>
                    </w:r>
                  </w:p>
                </w:tc>
              </w:tr>
              <w:tr w:rsidR="00DA6493" w14:paraId="3294077B" w14:textId="77777777" w:rsidTr="00DA6493">
                <w:trPr>
                  <w:divId w:val="1543900582"/>
                  <w:cantSplit/>
                  <w:tblCellSpacing w:w="15" w:type="dxa"/>
                </w:trPr>
                <w:tc>
                  <w:tcPr>
                    <w:tcW w:w="50" w:type="pct"/>
                    <w:hideMark/>
                  </w:tcPr>
                  <w:p w14:paraId="739CA49F" w14:textId="77777777" w:rsidR="00DA6493" w:rsidRDefault="00DA6493">
                    <w:pPr>
                      <w:pStyle w:val="Bibliography"/>
                      <w:rPr>
                        <w:noProof/>
                      </w:rPr>
                    </w:pPr>
                    <w:r>
                      <w:rPr>
                        <w:noProof/>
                      </w:rPr>
                      <w:t xml:space="preserve">[37] </w:t>
                    </w:r>
                  </w:p>
                </w:tc>
                <w:tc>
                  <w:tcPr>
                    <w:tcW w:w="0" w:type="auto"/>
                    <w:hideMark/>
                  </w:tcPr>
                  <w:p w14:paraId="5B645169" w14:textId="77777777" w:rsidR="00DA6493" w:rsidRDefault="00DA6493">
                    <w:pPr>
                      <w:pStyle w:val="Bibliography"/>
                      <w:rPr>
                        <w:noProof/>
                      </w:rPr>
                    </w:pPr>
                    <w:r>
                      <w:rPr>
                        <w:noProof/>
                      </w:rPr>
                      <w:t>IAEA, “Nuclear Energy Series No. NF-T-3.1 - International Safeguards in the Design of Facilities for Long Term Spent Fuel Management,” 2018. [Online]. Available: https://www.iaea.org/publications/10806/international-safeguards-in-the-design-of-facilities-for-long-term-spent-fuel-management.</w:t>
                    </w:r>
                  </w:p>
                </w:tc>
              </w:tr>
              <w:tr w:rsidR="00DA6493" w14:paraId="00FCF6C4" w14:textId="77777777" w:rsidTr="00DA6493">
                <w:trPr>
                  <w:divId w:val="1543900582"/>
                  <w:cantSplit/>
                  <w:tblCellSpacing w:w="15" w:type="dxa"/>
                </w:trPr>
                <w:tc>
                  <w:tcPr>
                    <w:tcW w:w="50" w:type="pct"/>
                    <w:hideMark/>
                  </w:tcPr>
                  <w:p w14:paraId="73EFC775" w14:textId="77777777" w:rsidR="00DA6493" w:rsidRDefault="00DA6493">
                    <w:pPr>
                      <w:pStyle w:val="Bibliography"/>
                      <w:rPr>
                        <w:noProof/>
                      </w:rPr>
                    </w:pPr>
                    <w:r>
                      <w:rPr>
                        <w:noProof/>
                      </w:rPr>
                      <w:t xml:space="preserve">[38] </w:t>
                    </w:r>
                  </w:p>
                </w:tc>
                <w:tc>
                  <w:tcPr>
                    <w:tcW w:w="0" w:type="auto"/>
                    <w:hideMark/>
                  </w:tcPr>
                  <w:p w14:paraId="50C3C22C" w14:textId="77777777" w:rsidR="00DA6493" w:rsidRDefault="00DA6493">
                    <w:pPr>
                      <w:pStyle w:val="Bibliography"/>
                      <w:rPr>
                        <w:noProof/>
                      </w:rPr>
                    </w:pPr>
                    <w:r>
                      <w:rPr>
                        <w:noProof/>
                      </w:rPr>
                      <w:t>IAEA, “Nuclear Energy Series No. NF-T-4.8 - International Safeguards in the Design of Uranium Conversion Plants,” 2017. [Online]. Available: https://www.iaea.org/publications/10759/international-safeguards-in-the-design-of-uranium-conversion-plants.</w:t>
                    </w:r>
                  </w:p>
                </w:tc>
              </w:tr>
              <w:tr w:rsidR="00DA6493" w14:paraId="17C977D3" w14:textId="77777777" w:rsidTr="00DA6493">
                <w:trPr>
                  <w:divId w:val="1543900582"/>
                  <w:cantSplit/>
                  <w:tblCellSpacing w:w="15" w:type="dxa"/>
                </w:trPr>
                <w:tc>
                  <w:tcPr>
                    <w:tcW w:w="50" w:type="pct"/>
                    <w:hideMark/>
                  </w:tcPr>
                  <w:p w14:paraId="03937C72" w14:textId="77777777" w:rsidR="00DA6493" w:rsidRDefault="00DA6493">
                    <w:pPr>
                      <w:pStyle w:val="Bibliography"/>
                      <w:rPr>
                        <w:noProof/>
                      </w:rPr>
                    </w:pPr>
                    <w:r>
                      <w:rPr>
                        <w:noProof/>
                      </w:rPr>
                      <w:t xml:space="preserve">[39] </w:t>
                    </w:r>
                  </w:p>
                </w:tc>
                <w:tc>
                  <w:tcPr>
                    <w:tcW w:w="0" w:type="auto"/>
                    <w:hideMark/>
                  </w:tcPr>
                  <w:p w14:paraId="4C19E094" w14:textId="77777777" w:rsidR="00DA6493" w:rsidRDefault="00DA6493">
                    <w:pPr>
                      <w:pStyle w:val="Bibliography"/>
                      <w:rPr>
                        <w:noProof/>
                      </w:rPr>
                    </w:pPr>
                    <w:r>
                      <w:rPr>
                        <w:noProof/>
                      </w:rPr>
                      <w:t>IAEA, “Nuclear Energy Series No. NF-T-3.2 - International Safeguards in the Design of Reprocessing Plants,” 2019. [Online]. Available: https://www.iaea.org/publications/13454/international-safeguards-in-the-design-of-reprocessing-plants.</w:t>
                    </w:r>
                  </w:p>
                </w:tc>
              </w:tr>
              <w:tr w:rsidR="00DA6493" w14:paraId="1319699C" w14:textId="77777777" w:rsidTr="00DA6493">
                <w:trPr>
                  <w:divId w:val="1543900582"/>
                  <w:cantSplit/>
                  <w:tblCellSpacing w:w="15" w:type="dxa"/>
                </w:trPr>
                <w:tc>
                  <w:tcPr>
                    <w:tcW w:w="50" w:type="pct"/>
                    <w:hideMark/>
                  </w:tcPr>
                  <w:p w14:paraId="27069D04" w14:textId="77777777" w:rsidR="00DA6493" w:rsidRDefault="00DA6493">
                    <w:pPr>
                      <w:pStyle w:val="Bibliography"/>
                      <w:rPr>
                        <w:noProof/>
                      </w:rPr>
                    </w:pPr>
                    <w:r>
                      <w:rPr>
                        <w:noProof/>
                      </w:rPr>
                      <w:t xml:space="preserve">[40] </w:t>
                    </w:r>
                  </w:p>
                </w:tc>
                <w:tc>
                  <w:tcPr>
                    <w:tcW w:w="0" w:type="auto"/>
                    <w:hideMark/>
                  </w:tcPr>
                  <w:p w14:paraId="43C2613E" w14:textId="77777777" w:rsidR="00DA6493" w:rsidRDefault="00DA6493">
                    <w:pPr>
                      <w:pStyle w:val="Bibliography"/>
                      <w:rPr>
                        <w:noProof/>
                      </w:rPr>
                    </w:pPr>
                    <w:r>
                      <w:rPr>
                        <w:noProof/>
                      </w:rPr>
                      <w:t>IAEA, “Nuclear Energy Series No. NF-T-4.10 - International Safeguards in the Design of Enrichment Plants,” 2019. [Online]. Available: https://www.iaea.org/publications/13452/international-safeguards-in-the-design-of-enrichment-plants.</w:t>
                    </w:r>
                  </w:p>
                </w:tc>
              </w:tr>
              <w:tr w:rsidR="00DA6493" w14:paraId="102E40B9" w14:textId="77777777" w:rsidTr="00DA6493">
                <w:trPr>
                  <w:divId w:val="1543900582"/>
                  <w:cantSplit/>
                  <w:tblCellSpacing w:w="15" w:type="dxa"/>
                </w:trPr>
                <w:tc>
                  <w:tcPr>
                    <w:tcW w:w="50" w:type="pct"/>
                    <w:hideMark/>
                  </w:tcPr>
                  <w:p w14:paraId="50F5303B" w14:textId="77777777" w:rsidR="00DA6493" w:rsidRDefault="00DA6493">
                    <w:pPr>
                      <w:pStyle w:val="Bibliography"/>
                      <w:rPr>
                        <w:noProof/>
                      </w:rPr>
                    </w:pPr>
                    <w:r>
                      <w:rPr>
                        <w:noProof/>
                      </w:rPr>
                      <w:t xml:space="preserve">[41] </w:t>
                    </w:r>
                  </w:p>
                </w:tc>
                <w:tc>
                  <w:tcPr>
                    <w:tcW w:w="0" w:type="auto"/>
                    <w:hideMark/>
                  </w:tcPr>
                  <w:p w14:paraId="694827DD" w14:textId="77777777" w:rsidR="00DA6493" w:rsidRDefault="00DA6493">
                    <w:pPr>
                      <w:pStyle w:val="Bibliography"/>
                      <w:rPr>
                        <w:noProof/>
                      </w:rPr>
                    </w:pPr>
                    <w:r>
                      <w:rPr>
                        <w:noProof/>
                      </w:rPr>
                      <w:t>IAEA, “Nuclear Energy Series No. NW-T-1.28 - International Safeguards in the Design of Radioactive Waste Management Programmes,” 2025. [Online]. Available: https://www.iaea.org/publications/15489/international-safeguards-in-the-design-of-radioactive-waste-management-programmes.</w:t>
                    </w:r>
                  </w:p>
                </w:tc>
              </w:tr>
              <w:tr w:rsidR="00DA6493" w14:paraId="3CA4AB52" w14:textId="77777777" w:rsidTr="00DA6493">
                <w:trPr>
                  <w:divId w:val="1543900582"/>
                  <w:cantSplit/>
                  <w:tblCellSpacing w:w="15" w:type="dxa"/>
                </w:trPr>
                <w:tc>
                  <w:tcPr>
                    <w:tcW w:w="50" w:type="pct"/>
                    <w:hideMark/>
                  </w:tcPr>
                  <w:p w14:paraId="5975C136" w14:textId="77777777" w:rsidR="00DA6493" w:rsidRDefault="00DA6493">
                    <w:pPr>
                      <w:pStyle w:val="Bibliography"/>
                      <w:rPr>
                        <w:noProof/>
                      </w:rPr>
                    </w:pPr>
                    <w:r>
                      <w:rPr>
                        <w:noProof/>
                      </w:rPr>
                      <w:lastRenderedPageBreak/>
                      <w:t xml:space="preserve">[42] </w:t>
                    </w:r>
                  </w:p>
                </w:tc>
                <w:tc>
                  <w:tcPr>
                    <w:tcW w:w="0" w:type="auto"/>
                    <w:hideMark/>
                  </w:tcPr>
                  <w:p w14:paraId="158223D0" w14:textId="77777777" w:rsidR="00DA6493" w:rsidRDefault="00DA6493">
                    <w:pPr>
                      <w:pStyle w:val="Bibliography"/>
                      <w:rPr>
                        <w:noProof/>
                      </w:rPr>
                    </w:pPr>
                    <w:r>
                      <w:rPr>
                        <w:noProof/>
                      </w:rPr>
                      <w:t>Department of Trade and Industry, “Definition of Essential Equipment for Facility Operation – An Operator’s Perspective (SRDP-R260),” 2022.</w:t>
                    </w:r>
                  </w:p>
                </w:tc>
              </w:tr>
              <w:tr w:rsidR="00DA6493" w14:paraId="6582F361" w14:textId="77777777" w:rsidTr="00DA6493">
                <w:trPr>
                  <w:divId w:val="1543900582"/>
                  <w:cantSplit/>
                  <w:tblCellSpacing w:w="15" w:type="dxa"/>
                </w:trPr>
                <w:tc>
                  <w:tcPr>
                    <w:tcW w:w="50" w:type="pct"/>
                    <w:hideMark/>
                  </w:tcPr>
                  <w:p w14:paraId="144D2A94" w14:textId="77777777" w:rsidR="00DA6493" w:rsidRDefault="00DA6493">
                    <w:pPr>
                      <w:pStyle w:val="Bibliography"/>
                      <w:rPr>
                        <w:noProof/>
                      </w:rPr>
                    </w:pPr>
                    <w:r>
                      <w:rPr>
                        <w:noProof/>
                      </w:rPr>
                      <w:t xml:space="preserve">[43] </w:t>
                    </w:r>
                  </w:p>
                </w:tc>
                <w:tc>
                  <w:tcPr>
                    <w:tcW w:w="0" w:type="auto"/>
                    <w:hideMark/>
                  </w:tcPr>
                  <w:p w14:paraId="6F6735AC" w14:textId="77777777" w:rsidR="00DA6493" w:rsidRDefault="00DA6493">
                    <w:pPr>
                      <w:pStyle w:val="Bibliography"/>
                      <w:rPr>
                        <w:noProof/>
                      </w:rPr>
                    </w:pPr>
                    <w:r>
                      <w:rPr>
                        <w:noProof/>
                      </w:rPr>
                      <w:t>ONR, “CNSS-SAF-GD-001 - Guidelines for the Preparation and Submission of Declarations Pursuant to Article,” [Online]. Available: Available internally via HOW2 Hub and externally via the ONR website..</w:t>
                    </w:r>
                  </w:p>
                </w:tc>
              </w:tr>
            </w:tbl>
            <w:p w14:paraId="6BBFBFA8" w14:textId="77777777" w:rsidR="00DA6493" w:rsidRDefault="00DA6493">
              <w:pPr>
                <w:divId w:val="1543900582"/>
                <w:rPr>
                  <w:rFonts w:eastAsia="Times New Roman"/>
                  <w:noProof/>
                </w:rPr>
              </w:pPr>
            </w:p>
            <w:p w14:paraId="7CD57A40" w14:textId="35661962" w:rsidR="002042C2" w:rsidRDefault="002042C2" w:rsidP="002042C2">
              <w:r>
                <w:rPr>
                  <w:b/>
                  <w:bCs/>
                  <w:noProof/>
                </w:rPr>
                <w:fldChar w:fldCharType="end"/>
              </w:r>
            </w:p>
          </w:sdtContent>
        </w:sdt>
      </w:sdtContent>
    </w:sdt>
    <w:p w14:paraId="78E10868" w14:textId="77777777" w:rsidR="00FD2194" w:rsidRDefault="00FD2194" w:rsidP="00FD2194">
      <w:pPr>
        <w:pStyle w:val="Heading1"/>
        <w:numPr>
          <w:ilvl w:val="0"/>
          <w:numId w:val="0"/>
        </w:numPr>
        <w:ind w:left="851" w:hanging="851"/>
        <w:sectPr w:rsidR="00FD2194" w:rsidSect="003508FB">
          <w:pgSz w:w="11906" w:h="16838" w:code="9"/>
          <w:pgMar w:top="1440" w:right="1440" w:bottom="1440" w:left="1440" w:header="397" w:footer="397" w:gutter="0"/>
          <w:cols w:space="312"/>
          <w:docGrid w:linePitch="360"/>
        </w:sectPr>
      </w:pPr>
    </w:p>
    <w:p w14:paraId="5D9320E5" w14:textId="66BD7FE9" w:rsidR="002042C2" w:rsidRDefault="002042C2" w:rsidP="00FD2194">
      <w:pPr>
        <w:pStyle w:val="Heading1"/>
        <w:numPr>
          <w:ilvl w:val="0"/>
          <w:numId w:val="0"/>
        </w:numPr>
        <w:ind w:left="851" w:hanging="851"/>
      </w:pPr>
      <w:bookmarkStart w:id="33" w:name="_Toc235705914"/>
      <w:r>
        <w:lastRenderedPageBreak/>
        <w:t>Glossary</w:t>
      </w:r>
      <w:bookmarkEnd w:id="33"/>
    </w:p>
    <w:tbl>
      <w:tblPr>
        <w:tblStyle w:val="ONRTable1"/>
        <w:tblpPr w:leftFromText="180" w:rightFromText="180" w:vertAnchor="text" w:tblpY="1"/>
        <w:tblW w:w="5000" w:type="pct"/>
        <w:tblInd w:w="0" w:type="dxa"/>
        <w:tblLook w:val="04A0" w:firstRow="1" w:lastRow="0" w:firstColumn="1" w:lastColumn="0" w:noHBand="0" w:noVBand="1"/>
      </w:tblPr>
      <w:tblGrid>
        <w:gridCol w:w="2553"/>
        <w:gridCol w:w="6473"/>
      </w:tblGrid>
      <w:tr w:rsidR="00FD2194" w:rsidRPr="00FD2194" w14:paraId="75CAA293" w14:textId="77777777" w:rsidTr="00FD2194">
        <w:trPr>
          <w:cnfStyle w:val="100000000000" w:firstRow="1" w:lastRow="0" w:firstColumn="0" w:lastColumn="0" w:oddVBand="0" w:evenVBand="0" w:oddHBand="0" w:evenHBand="0" w:firstRowFirstColumn="0" w:firstRowLastColumn="0" w:lastRowFirstColumn="0" w:lastRowLastColumn="0"/>
          <w:tblHeader/>
        </w:trPr>
        <w:tc>
          <w:tcPr>
            <w:tcW w:w="1414" w:type="pct"/>
          </w:tcPr>
          <w:p w14:paraId="37B60739" w14:textId="0E1D2614" w:rsidR="00FD2194" w:rsidRPr="00FD2194" w:rsidRDefault="00FD2194" w:rsidP="00FD2194">
            <w:pPr>
              <w:keepNext/>
              <w:keepLines/>
              <w:spacing w:before="60" w:after="60"/>
              <w:rPr>
                <w:rFonts w:asciiTheme="minorHAnsi" w:hAnsiTheme="minorHAnsi" w:cstheme="minorHAnsi"/>
                <w:szCs w:val="24"/>
              </w:rPr>
            </w:pPr>
            <w:r>
              <w:rPr>
                <w:rFonts w:asciiTheme="minorHAnsi" w:hAnsiTheme="minorHAnsi" w:cstheme="minorHAnsi"/>
                <w:szCs w:val="24"/>
              </w:rPr>
              <w:t>Acronym</w:t>
            </w:r>
            <w:r w:rsidR="00DA6493">
              <w:rPr>
                <w:rFonts w:asciiTheme="minorHAnsi" w:hAnsiTheme="minorHAnsi" w:cstheme="minorHAnsi"/>
                <w:szCs w:val="24"/>
              </w:rPr>
              <w:t>/</w:t>
            </w:r>
            <w:r>
              <w:rPr>
                <w:rFonts w:asciiTheme="minorHAnsi" w:hAnsiTheme="minorHAnsi" w:cstheme="minorHAnsi"/>
                <w:szCs w:val="24"/>
              </w:rPr>
              <w:t>initialism</w:t>
            </w:r>
          </w:p>
        </w:tc>
        <w:tc>
          <w:tcPr>
            <w:tcW w:w="3586" w:type="pct"/>
          </w:tcPr>
          <w:p w14:paraId="5D3FDB3D" w14:textId="39EC613C" w:rsidR="00FD2194" w:rsidRPr="00FD2194" w:rsidRDefault="00FD2194" w:rsidP="00FD2194">
            <w:pPr>
              <w:keepNext/>
              <w:keepLines/>
              <w:tabs>
                <w:tab w:val="right" w:pos="4527"/>
              </w:tabs>
              <w:spacing w:before="60" w:after="60"/>
              <w:rPr>
                <w:rFonts w:asciiTheme="minorHAnsi" w:hAnsiTheme="minorHAnsi" w:cstheme="minorHAnsi"/>
                <w:szCs w:val="24"/>
              </w:rPr>
            </w:pPr>
            <w:r>
              <w:rPr>
                <w:rFonts w:asciiTheme="minorHAnsi" w:hAnsiTheme="minorHAnsi" w:cstheme="minorHAnsi"/>
                <w:szCs w:val="24"/>
              </w:rPr>
              <w:t>Description</w:t>
            </w:r>
          </w:p>
        </w:tc>
      </w:tr>
      <w:tr w:rsidR="00FD2194" w:rsidRPr="00FD2194" w14:paraId="091A91B5" w14:textId="77777777" w:rsidTr="00FD2194">
        <w:tc>
          <w:tcPr>
            <w:tcW w:w="1414" w:type="pct"/>
          </w:tcPr>
          <w:p w14:paraId="5F104424" w14:textId="77777777" w:rsidR="00FD2194" w:rsidRPr="00FD2194" w:rsidRDefault="00FD2194" w:rsidP="00FD2194">
            <w:pPr>
              <w:keepNext/>
              <w:keepLines/>
              <w:spacing w:before="60" w:after="60"/>
              <w:rPr>
                <w:rFonts w:asciiTheme="minorHAnsi" w:hAnsiTheme="minorHAnsi" w:cstheme="minorHAnsi"/>
                <w:szCs w:val="24"/>
              </w:rPr>
            </w:pPr>
            <w:r w:rsidRPr="00FD2194">
              <w:rPr>
                <w:rFonts w:asciiTheme="minorHAnsi" w:hAnsiTheme="minorHAnsi" w:cstheme="minorHAnsi"/>
                <w:szCs w:val="24"/>
              </w:rPr>
              <w:t>ACP</w:t>
            </w:r>
          </w:p>
        </w:tc>
        <w:tc>
          <w:tcPr>
            <w:tcW w:w="3586" w:type="pct"/>
          </w:tcPr>
          <w:p w14:paraId="0E12FA57" w14:textId="77777777" w:rsidR="00FD2194" w:rsidRPr="00FD2194" w:rsidRDefault="00FD2194" w:rsidP="00FD2194">
            <w:pPr>
              <w:keepNext/>
              <w:keepLines/>
              <w:tabs>
                <w:tab w:val="right" w:pos="4527"/>
              </w:tabs>
              <w:spacing w:before="60" w:after="60"/>
              <w:rPr>
                <w:rFonts w:asciiTheme="minorHAnsi" w:hAnsiTheme="minorHAnsi" w:cstheme="minorHAnsi"/>
                <w:szCs w:val="24"/>
              </w:rPr>
            </w:pPr>
            <w:r w:rsidRPr="00FD2194">
              <w:rPr>
                <w:rFonts w:asciiTheme="minorHAnsi" w:hAnsiTheme="minorHAnsi" w:cstheme="minorHAnsi"/>
                <w:szCs w:val="24"/>
              </w:rPr>
              <w:t>Accountancy and Control Plan</w:t>
            </w:r>
          </w:p>
        </w:tc>
      </w:tr>
      <w:tr w:rsidR="00FD2194" w:rsidRPr="00FD2194" w14:paraId="2138661C" w14:textId="77777777" w:rsidTr="00FD2194">
        <w:tc>
          <w:tcPr>
            <w:tcW w:w="1414" w:type="pct"/>
          </w:tcPr>
          <w:p w14:paraId="5B5485C6" w14:textId="77777777" w:rsidR="00FD2194" w:rsidRPr="00FD2194" w:rsidRDefault="00FD2194" w:rsidP="00FD2194">
            <w:pPr>
              <w:spacing w:before="60" w:after="60"/>
              <w:rPr>
                <w:rFonts w:asciiTheme="minorHAnsi" w:hAnsiTheme="minorHAnsi" w:cstheme="minorHAnsi"/>
                <w:szCs w:val="24"/>
              </w:rPr>
            </w:pPr>
            <w:proofErr w:type="spellStart"/>
            <w:r w:rsidRPr="00FD2194">
              <w:rPr>
                <w:rFonts w:asciiTheme="minorHAnsi" w:hAnsiTheme="minorHAnsi" w:cstheme="minorHAnsi"/>
                <w:szCs w:val="24"/>
              </w:rPr>
              <w:t>BoD</w:t>
            </w:r>
            <w:proofErr w:type="spellEnd"/>
          </w:p>
        </w:tc>
        <w:tc>
          <w:tcPr>
            <w:tcW w:w="3586" w:type="pct"/>
          </w:tcPr>
          <w:p w14:paraId="549CDF89"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Board of Directors</w:t>
            </w:r>
          </w:p>
        </w:tc>
      </w:tr>
      <w:tr w:rsidR="00FD2194" w:rsidRPr="00FD2194" w14:paraId="096B56B5" w14:textId="77777777" w:rsidTr="00FD2194">
        <w:tc>
          <w:tcPr>
            <w:tcW w:w="1414" w:type="pct"/>
          </w:tcPr>
          <w:p w14:paraId="0BB203C3"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DIQ</w:t>
            </w:r>
          </w:p>
        </w:tc>
        <w:tc>
          <w:tcPr>
            <w:tcW w:w="3586" w:type="pct"/>
          </w:tcPr>
          <w:p w14:paraId="4746FD2C"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Design Information Questionnaire</w:t>
            </w:r>
          </w:p>
        </w:tc>
      </w:tr>
      <w:tr w:rsidR="00FD2194" w:rsidRPr="00FD2194" w14:paraId="6EBE9EB7" w14:textId="77777777" w:rsidTr="00FD2194">
        <w:tc>
          <w:tcPr>
            <w:tcW w:w="1414" w:type="pct"/>
          </w:tcPr>
          <w:p w14:paraId="75EA096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C&amp;M</w:t>
            </w:r>
          </w:p>
        </w:tc>
        <w:tc>
          <w:tcPr>
            <w:tcW w:w="3586" w:type="pct"/>
          </w:tcPr>
          <w:p w14:paraId="2E78E38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Care and Maintenance</w:t>
            </w:r>
          </w:p>
        </w:tc>
      </w:tr>
      <w:tr w:rsidR="00FD2194" w:rsidRPr="00FD2194" w14:paraId="6AFBB276" w14:textId="77777777" w:rsidTr="00FD2194">
        <w:tc>
          <w:tcPr>
            <w:tcW w:w="1414" w:type="pct"/>
          </w:tcPr>
          <w:p w14:paraId="0970726D" w14:textId="356F4053" w:rsidR="00FD2194" w:rsidRPr="00FD2194" w:rsidRDefault="00FD2194" w:rsidP="00055A24">
            <w:pPr>
              <w:spacing w:before="60" w:after="60"/>
              <w:rPr>
                <w:rFonts w:asciiTheme="minorHAnsi" w:hAnsiTheme="minorHAnsi" w:cstheme="minorHAnsi"/>
                <w:szCs w:val="24"/>
              </w:rPr>
            </w:pPr>
            <w:r w:rsidRPr="00FD2194">
              <w:rPr>
                <w:rFonts w:asciiTheme="minorHAnsi" w:hAnsiTheme="minorHAnsi" w:cstheme="minorHAnsi"/>
                <w:szCs w:val="24"/>
              </w:rPr>
              <w:t>DAP</w:t>
            </w:r>
          </w:p>
        </w:tc>
        <w:tc>
          <w:tcPr>
            <w:tcW w:w="3586" w:type="pct"/>
          </w:tcPr>
          <w:p w14:paraId="3EB61977" w14:textId="115F373B" w:rsidR="00FD2194" w:rsidRPr="00FD2194" w:rsidRDefault="00FD2194" w:rsidP="00055A24">
            <w:pPr>
              <w:spacing w:before="60" w:after="60"/>
              <w:rPr>
                <w:rFonts w:asciiTheme="minorHAnsi" w:hAnsiTheme="minorHAnsi" w:cstheme="minorHAnsi"/>
                <w:szCs w:val="24"/>
              </w:rPr>
            </w:pPr>
            <w:r w:rsidRPr="00FD2194">
              <w:rPr>
                <w:rFonts w:asciiTheme="minorHAnsi" w:hAnsiTheme="minorHAnsi" w:cstheme="minorHAnsi"/>
                <w:szCs w:val="24"/>
              </w:rPr>
              <w:t>Duly Authorised Person</w:t>
            </w:r>
          </w:p>
        </w:tc>
      </w:tr>
      <w:tr w:rsidR="00055A24" w:rsidRPr="00FD2194" w14:paraId="3B4B4AEB" w14:textId="77777777" w:rsidTr="00FD2194">
        <w:tc>
          <w:tcPr>
            <w:tcW w:w="1414" w:type="pct"/>
          </w:tcPr>
          <w:p w14:paraId="366F1C37" w14:textId="2A543263" w:rsidR="00055A24" w:rsidRPr="00FD2194" w:rsidRDefault="00055A24" w:rsidP="00FD2194">
            <w:pPr>
              <w:spacing w:before="60" w:after="60"/>
              <w:rPr>
                <w:rFonts w:asciiTheme="minorHAnsi" w:hAnsiTheme="minorHAnsi" w:cstheme="minorHAnsi"/>
                <w:szCs w:val="24"/>
              </w:rPr>
            </w:pPr>
            <w:r w:rsidRPr="00FD2194">
              <w:rPr>
                <w:rFonts w:asciiTheme="minorHAnsi" w:hAnsiTheme="minorHAnsi" w:cstheme="minorHAnsi"/>
                <w:szCs w:val="24"/>
              </w:rPr>
              <w:t>DESNZ</w:t>
            </w:r>
          </w:p>
        </w:tc>
        <w:tc>
          <w:tcPr>
            <w:tcW w:w="3586" w:type="pct"/>
          </w:tcPr>
          <w:p w14:paraId="5F9A3E0C" w14:textId="67E03B99" w:rsidR="00055A24" w:rsidRPr="00FD2194" w:rsidRDefault="00055A24" w:rsidP="00FD2194">
            <w:pPr>
              <w:spacing w:before="60" w:after="60"/>
              <w:rPr>
                <w:rFonts w:asciiTheme="minorHAnsi" w:hAnsiTheme="minorHAnsi" w:cstheme="minorHAnsi"/>
                <w:szCs w:val="24"/>
              </w:rPr>
            </w:pPr>
            <w:r w:rsidRPr="00FD2194">
              <w:rPr>
                <w:rFonts w:asciiTheme="minorHAnsi" w:hAnsiTheme="minorHAnsi" w:cstheme="minorHAnsi"/>
                <w:szCs w:val="24"/>
              </w:rPr>
              <w:t>Department for Energy Security and Net Zero</w:t>
            </w:r>
          </w:p>
        </w:tc>
      </w:tr>
      <w:tr w:rsidR="00FD2194" w:rsidRPr="00FD2194" w14:paraId="0A11602D" w14:textId="77777777" w:rsidTr="00FD2194">
        <w:tc>
          <w:tcPr>
            <w:tcW w:w="1414" w:type="pct"/>
          </w:tcPr>
          <w:p w14:paraId="54FA369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EEL</w:t>
            </w:r>
          </w:p>
        </w:tc>
        <w:tc>
          <w:tcPr>
            <w:tcW w:w="3586" w:type="pct"/>
          </w:tcPr>
          <w:p w14:paraId="1E0D94C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Essential Equipment List</w:t>
            </w:r>
          </w:p>
        </w:tc>
      </w:tr>
      <w:tr w:rsidR="00FD2194" w:rsidRPr="00FD2194" w14:paraId="6DA64113" w14:textId="77777777" w:rsidTr="00FD2194">
        <w:tc>
          <w:tcPr>
            <w:tcW w:w="1414" w:type="pct"/>
          </w:tcPr>
          <w:p w14:paraId="57A35592"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EIMT</w:t>
            </w:r>
          </w:p>
        </w:tc>
        <w:tc>
          <w:tcPr>
            <w:tcW w:w="3586" w:type="pct"/>
          </w:tcPr>
          <w:p w14:paraId="301696DC"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Examination, Inspection, Maintenance and Testing</w:t>
            </w:r>
          </w:p>
        </w:tc>
      </w:tr>
      <w:tr w:rsidR="00FD2194" w:rsidRPr="00FD2194" w14:paraId="440E7A68" w14:textId="77777777" w:rsidTr="00FD2194">
        <w:tc>
          <w:tcPr>
            <w:tcW w:w="1414" w:type="pct"/>
          </w:tcPr>
          <w:p w14:paraId="1E1B56D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EMM</w:t>
            </w:r>
          </w:p>
        </w:tc>
        <w:tc>
          <w:tcPr>
            <w:tcW w:w="3586" w:type="pct"/>
          </w:tcPr>
          <w:p w14:paraId="19E01190"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Enforcement Management Model</w:t>
            </w:r>
          </w:p>
        </w:tc>
      </w:tr>
      <w:tr w:rsidR="00FD2194" w:rsidRPr="00FD2194" w14:paraId="278CD2C1" w14:textId="77777777" w:rsidTr="00FD2194">
        <w:tc>
          <w:tcPr>
            <w:tcW w:w="1414" w:type="pct"/>
          </w:tcPr>
          <w:p w14:paraId="7A7AD15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FA</w:t>
            </w:r>
          </w:p>
        </w:tc>
        <w:tc>
          <w:tcPr>
            <w:tcW w:w="3586" w:type="pct"/>
          </w:tcPr>
          <w:p w14:paraId="54BE6746"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Facility Attachment</w:t>
            </w:r>
          </w:p>
        </w:tc>
      </w:tr>
      <w:tr w:rsidR="00FD2194" w:rsidRPr="00FD2194" w14:paraId="4426DB8E" w14:textId="77777777" w:rsidTr="00FD2194">
        <w:tc>
          <w:tcPr>
            <w:tcW w:w="1414" w:type="pct"/>
          </w:tcPr>
          <w:p w14:paraId="607E0649"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FSE</w:t>
            </w:r>
          </w:p>
        </w:tc>
        <w:tc>
          <w:tcPr>
            <w:tcW w:w="3586" w:type="pct"/>
          </w:tcPr>
          <w:p w14:paraId="5DC405FE"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Fundamental Safeguards Expectation</w:t>
            </w:r>
          </w:p>
        </w:tc>
      </w:tr>
      <w:tr w:rsidR="00FD2194" w:rsidRPr="00FD2194" w14:paraId="161832F8" w14:textId="77777777" w:rsidTr="00FD2194">
        <w:tc>
          <w:tcPr>
            <w:tcW w:w="1414" w:type="pct"/>
          </w:tcPr>
          <w:p w14:paraId="21C1C136" w14:textId="77777777" w:rsidR="00FD2194" w:rsidRPr="00FD2194" w:rsidRDefault="00FD2194" w:rsidP="00FD2194">
            <w:pPr>
              <w:spacing w:before="60" w:after="60"/>
              <w:rPr>
                <w:rFonts w:asciiTheme="minorHAnsi" w:hAnsiTheme="minorHAnsi" w:cstheme="minorHAnsi"/>
                <w:szCs w:val="24"/>
              </w:rPr>
            </w:pPr>
            <w:proofErr w:type="spellStart"/>
            <w:r w:rsidRPr="00FD2194">
              <w:rPr>
                <w:rFonts w:asciiTheme="minorHAnsi" w:hAnsiTheme="minorHAnsi" w:cstheme="minorHAnsi"/>
                <w:szCs w:val="24"/>
              </w:rPr>
              <w:t>FsyP</w:t>
            </w:r>
            <w:proofErr w:type="spellEnd"/>
          </w:p>
        </w:tc>
        <w:tc>
          <w:tcPr>
            <w:tcW w:w="3586" w:type="pct"/>
          </w:tcPr>
          <w:p w14:paraId="211DFA4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Fundamental Security Principle</w:t>
            </w:r>
          </w:p>
        </w:tc>
      </w:tr>
      <w:tr w:rsidR="00FD2194" w:rsidRPr="00FD2194" w14:paraId="6FE4C3B0" w14:textId="77777777" w:rsidTr="00FD2194">
        <w:tc>
          <w:tcPr>
            <w:tcW w:w="1414" w:type="pct"/>
          </w:tcPr>
          <w:p w14:paraId="0DDEF57E"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IAEA</w:t>
            </w:r>
          </w:p>
        </w:tc>
        <w:tc>
          <w:tcPr>
            <w:tcW w:w="3586" w:type="pct"/>
          </w:tcPr>
          <w:p w14:paraId="3D7C981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International Atomic Energy Agency</w:t>
            </w:r>
          </w:p>
        </w:tc>
      </w:tr>
      <w:tr w:rsidR="00FD2194" w:rsidRPr="00FD2194" w14:paraId="013980EB" w14:textId="77777777" w:rsidTr="00FD2194">
        <w:tc>
          <w:tcPr>
            <w:tcW w:w="1414" w:type="pct"/>
          </w:tcPr>
          <w:p w14:paraId="36341C64"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ICR</w:t>
            </w:r>
          </w:p>
        </w:tc>
        <w:tc>
          <w:tcPr>
            <w:tcW w:w="3586" w:type="pct"/>
          </w:tcPr>
          <w:p w14:paraId="08320013"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Inventory Change Report</w:t>
            </w:r>
          </w:p>
        </w:tc>
      </w:tr>
      <w:tr w:rsidR="00FD2194" w:rsidRPr="00FD2194" w14:paraId="194FDDFA" w14:textId="77777777" w:rsidTr="00FD2194">
        <w:trPr>
          <w:trHeight w:val="298"/>
        </w:trPr>
        <w:tc>
          <w:tcPr>
            <w:tcW w:w="1414" w:type="pct"/>
          </w:tcPr>
          <w:p w14:paraId="16136AB3" w14:textId="77777777" w:rsidR="00FD2194" w:rsidRPr="00FD2194" w:rsidRDefault="00FD2194" w:rsidP="00FD2194">
            <w:pPr>
              <w:spacing w:before="60" w:after="60"/>
              <w:rPr>
                <w:rFonts w:asciiTheme="minorHAnsi" w:hAnsiTheme="minorHAnsi" w:cstheme="minorHAnsi"/>
                <w:szCs w:val="24"/>
                <w:highlight w:val="yellow"/>
              </w:rPr>
            </w:pPr>
            <w:r w:rsidRPr="00FD2194">
              <w:rPr>
                <w:rFonts w:asciiTheme="minorHAnsi" w:hAnsiTheme="minorHAnsi" w:cstheme="minorHAnsi"/>
                <w:szCs w:val="24"/>
              </w:rPr>
              <w:t>IR</w:t>
            </w:r>
          </w:p>
        </w:tc>
        <w:tc>
          <w:tcPr>
            <w:tcW w:w="3586" w:type="pct"/>
          </w:tcPr>
          <w:p w14:paraId="01F118C5"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Intervention Record</w:t>
            </w:r>
          </w:p>
        </w:tc>
      </w:tr>
      <w:tr w:rsidR="00FD2194" w:rsidRPr="00FD2194" w14:paraId="75334581" w14:textId="77777777" w:rsidTr="00FD2194">
        <w:tc>
          <w:tcPr>
            <w:tcW w:w="1414" w:type="pct"/>
          </w:tcPr>
          <w:p w14:paraId="28037596"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ITVs</w:t>
            </w:r>
          </w:p>
        </w:tc>
        <w:tc>
          <w:tcPr>
            <w:tcW w:w="3586" w:type="pct"/>
          </w:tcPr>
          <w:p w14:paraId="27C2BF5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International Target Values</w:t>
            </w:r>
          </w:p>
        </w:tc>
      </w:tr>
      <w:tr w:rsidR="00FD2194" w:rsidRPr="00FD2194" w14:paraId="2DF4313B" w14:textId="77777777" w:rsidTr="00FD2194">
        <w:tc>
          <w:tcPr>
            <w:tcW w:w="1414" w:type="pct"/>
          </w:tcPr>
          <w:p w14:paraId="4AFE66B4"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KMP</w:t>
            </w:r>
          </w:p>
        </w:tc>
        <w:tc>
          <w:tcPr>
            <w:tcW w:w="3586" w:type="pct"/>
          </w:tcPr>
          <w:p w14:paraId="1CB6DAC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Key Measurement Point</w:t>
            </w:r>
          </w:p>
        </w:tc>
      </w:tr>
      <w:tr w:rsidR="00FD2194" w:rsidRPr="00FD2194" w14:paraId="39189322" w14:textId="77777777" w:rsidTr="00FD2194">
        <w:tc>
          <w:tcPr>
            <w:tcW w:w="1414" w:type="pct"/>
          </w:tcPr>
          <w:p w14:paraId="0C11609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LC</w:t>
            </w:r>
          </w:p>
        </w:tc>
        <w:tc>
          <w:tcPr>
            <w:tcW w:w="3586" w:type="pct"/>
          </w:tcPr>
          <w:p w14:paraId="11B3C85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Licence Condition</w:t>
            </w:r>
          </w:p>
        </w:tc>
      </w:tr>
      <w:tr w:rsidR="00FD2194" w:rsidRPr="00FD2194" w14:paraId="7DADC4EE" w14:textId="77777777" w:rsidTr="00FD2194">
        <w:tc>
          <w:tcPr>
            <w:tcW w:w="1414" w:type="pct"/>
          </w:tcPr>
          <w:p w14:paraId="7ED152A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LFE</w:t>
            </w:r>
          </w:p>
        </w:tc>
        <w:tc>
          <w:tcPr>
            <w:tcW w:w="3586" w:type="pct"/>
          </w:tcPr>
          <w:p w14:paraId="3F5D69B9"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Learning From Experience</w:t>
            </w:r>
          </w:p>
        </w:tc>
      </w:tr>
      <w:tr w:rsidR="00FD2194" w:rsidRPr="00FD2194" w14:paraId="7B8AD673" w14:textId="77777777" w:rsidTr="00FD2194">
        <w:tc>
          <w:tcPr>
            <w:tcW w:w="1414" w:type="pct"/>
          </w:tcPr>
          <w:p w14:paraId="0E68DFC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LII</w:t>
            </w:r>
          </w:p>
        </w:tc>
        <w:tc>
          <w:tcPr>
            <w:tcW w:w="3586" w:type="pct"/>
          </w:tcPr>
          <w:p w14:paraId="685E0FA3"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List of Inventory Items</w:t>
            </w:r>
          </w:p>
        </w:tc>
      </w:tr>
      <w:tr w:rsidR="00FD2194" w:rsidRPr="00FD2194" w14:paraId="04C56A99" w14:textId="77777777" w:rsidTr="00FD2194">
        <w:tc>
          <w:tcPr>
            <w:tcW w:w="1414" w:type="pct"/>
          </w:tcPr>
          <w:p w14:paraId="1851EBB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LMfS</w:t>
            </w:r>
          </w:p>
        </w:tc>
        <w:tc>
          <w:tcPr>
            <w:tcW w:w="3586" w:type="pct"/>
          </w:tcPr>
          <w:p w14:paraId="19CDBC8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Leadership and Management for Safety</w:t>
            </w:r>
          </w:p>
        </w:tc>
      </w:tr>
      <w:tr w:rsidR="00FD2194" w:rsidRPr="00FD2194" w14:paraId="0329E586" w14:textId="77777777" w:rsidTr="00FD2194">
        <w:tc>
          <w:tcPr>
            <w:tcW w:w="1414" w:type="pct"/>
          </w:tcPr>
          <w:p w14:paraId="249718D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MACE</w:t>
            </w:r>
          </w:p>
        </w:tc>
        <w:tc>
          <w:tcPr>
            <w:tcW w:w="3586" w:type="pct"/>
          </w:tcPr>
          <w:p w14:paraId="53A1D9B5"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Material Accountancy and Control Expectation</w:t>
            </w:r>
          </w:p>
        </w:tc>
      </w:tr>
      <w:tr w:rsidR="00FD2194" w:rsidRPr="00FD2194" w14:paraId="67E4F99E" w14:textId="77777777" w:rsidTr="00FD2194">
        <w:tc>
          <w:tcPr>
            <w:tcW w:w="1414" w:type="pct"/>
          </w:tcPr>
          <w:p w14:paraId="79570750"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MBA</w:t>
            </w:r>
          </w:p>
        </w:tc>
        <w:tc>
          <w:tcPr>
            <w:tcW w:w="3586" w:type="pct"/>
          </w:tcPr>
          <w:p w14:paraId="1AC08CC4"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Material Balance Area</w:t>
            </w:r>
          </w:p>
        </w:tc>
      </w:tr>
      <w:tr w:rsidR="00FD2194" w:rsidRPr="00FD2194" w14:paraId="7B0D9299" w14:textId="77777777" w:rsidTr="00FD2194">
        <w:tc>
          <w:tcPr>
            <w:tcW w:w="1414" w:type="pct"/>
          </w:tcPr>
          <w:p w14:paraId="56490800"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lastRenderedPageBreak/>
              <w:t>MBR</w:t>
            </w:r>
          </w:p>
        </w:tc>
        <w:tc>
          <w:tcPr>
            <w:tcW w:w="3586" w:type="pct"/>
          </w:tcPr>
          <w:p w14:paraId="4AC4CD8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Material Balance Report</w:t>
            </w:r>
          </w:p>
        </w:tc>
      </w:tr>
      <w:tr w:rsidR="00FD2194" w:rsidRPr="00FD2194" w14:paraId="2D5A2DA9" w14:textId="77777777" w:rsidTr="00FD2194">
        <w:tc>
          <w:tcPr>
            <w:tcW w:w="1414" w:type="pct"/>
          </w:tcPr>
          <w:p w14:paraId="52BE00A0"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MUF</w:t>
            </w:r>
          </w:p>
        </w:tc>
        <w:tc>
          <w:tcPr>
            <w:tcW w:w="3586" w:type="pct"/>
          </w:tcPr>
          <w:p w14:paraId="5E2ADC8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Material Unaccounted For</w:t>
            </w:r>
          </w:p>
        </w:tc>
      </w:tr>
      <w:tr w:rsidR="00FD2194" w:rsidRPr="00FD2194" w14:paraId="5293A491" w14:textId="77777777" w:rsidTr="00FD2194">
        <w:tc>
          <w:tcPr>
            <w:tcW w:w="1414" w:type="pct"/>
          </w:tcPr>
          <w:p w14:paraId="77967C5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NCA</w:t>
            </w:r>
          </w:p>
        </w:tc>
        <w:tc>
          <w:tcPr>
            <w:tcW w:w="3586" w:type="pct"/>
          </w:tcPr>
          <w:p w14:paraId="632D0E8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Nuclear Co-operation Agreement</w:t>
            </w:r>
          </w:p>
        </w:tc>
      </w:tr>
      <w:tr w:rsidR="00FD2194" w:rsidRPr="00FD2194" w14:paraId="48F06B4F" w14:textId="77777777" w:rsidTr="00FD2194">
        <w:tc>
          <w:tcPr>
            <w:tcW w:w="1414" w:type="pct"/>
          </w:tcPr>
          <w:p w14:paraId="051D1FC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NDA</w:t>
            </w:r>
          </w:p>
        </w:tc>
        <w:tc>
          <w:tcPr>
            <w:tcW w:w="3586" w:type="pct"/>
          </w:tcPr>
          <w:p w14:paraId="4957D0C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Non-Destructive Assay</w:t>
            </w:r>
          </w:p>
        </w:tc>
      </w:tr>
      <w:tr w:rsidR="00FD2194" w:rsidRPr="00FD2194" w14:paraId="7A16D327" w14:textId="77777777" w:rsidTr="00FD2194">
        <w:tc>
          <w:tcPr>
            <w:tcW w:w="1414" w:type="pct"/>
          </w:tcPr>
          <w:p w14:paraId="4A517E74"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NISR 2003</w:t>
            </w:r>
          </w:p>
        </w:tc>
        <w:tc>
          <w:tcPr>
            <w:tcW w:w="3586" w:type="pct"/>
          </w:tcPr>
          <w:p w14:paraId="336D104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Nuclear Industries Security Regulations 2003</w:t>
            </w:r>
          </w:p>
        </w:tc>
      </w:tr>
      <w:tr w:rsidR="00FD2194" w:rsidRPr="00FD2194" w14:paraId="2EFF9918" w14:textId="77777777" w:rsidTr="00FD2194">
        <w:tc>
          <w:tcPr>
            <w:tcW w:w="1414" w:type="pct"/>
          </w:tcPr>
          <w:p w14:paraId="58AF6B10"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NMAC</w:t>
            </w:r>
          </w:p>
        </w:tc>
        <w:tc>
          <w:tcPr>
            <w:tcW w:w="3586" w:type="pct"/>
          </w:tcPr>
          <w:p w14:paraId="5CAB343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Nuclear Material Accountancy and Control</w:t>
            </w:r>
          </w:p>
        </w:tc>
      </w:tr>
      <w:tr w:rsidR="00FD2194" w:rsidRPr="00FD2194" w14:paraId="66AFD04E" w14:textId="77777777" w:rsidTr="00FD2194">
        <w:trPr>
          <w:trHeight w:val="279"/>
        </w:trPr>
        <w:tc>
          <w:tcPr>
            <w:tcW w:w="1414" w:type="pct"/>
          </w:tcPr>
          <w:p w14:paraId="1EA10982"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NMACS</w:t>
            </w:r>
          </w:p>
        </w:tc>
        <w:tc>
          <w:tcPr>
            <w:tcW w:w="3586" w:type="pct"/>
          </w:tcPr>
          <w:p w14:paraId="22F68743"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Nuclear Material Accountancy, Control, and Safeguards</w:t>
            </w:r>
          </w:p>
        </w:tc>
      </w:tr>
      <w:tr w:rsidR="00FD2194" w:rsidRPr="00FD2194" w14:paraId="4691C3F6" w14:textId="77777777" w:rsidTr="00FD2194">
        <w:trPr>
          <w:trHeight w:val="279"/>
        </w:trPr>
        <w:tc>
          <w:tcPr>
            <w:tcW w:w="1414" w:type="pct"/>
          </w:tcPr>
          <w:p w14:paraId="01D73EA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NMAS</w:t>
            </w:r>
          </w:p>
        </w:tc>
        <w:tc>
          <w:tcPr>
            <w:tcW w:w="3586" w:type="pct"/>
          </w:tcPr>
          <w:p w14:paraId="398BE30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Nuclear Material Accountancy System</w:t>
            </w:r>
          </w:p>
        </w:tc>
      </w:tr>
      <w:tr w:rsidR="00FD2194" w:rsidRPr="00FD2194" w14:paraId="39488089" w14:textId="77777777" w:rsidTr="00FD2194">
        <w:trPr>
          <w:trHeight w:val="279"/>
        </w:trPr>
        <w:tc>
          <w:tcPr>
            <w:tcW w:w="1414" w:type="pct"/>
          </w:tcPr>
          <w:p w14:paraId="6117903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NSR19</w:t>
            </w:r>
          </w:p>
        </w:tc>
        <w:tc>
          <w:tcPr>
            <w:tcW w:w="3586" w:type="pct"/>
          </w:tcPr>
          <w:p w14:paraId="6004F56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The Nuclear Safeguards (EU Exit) Regulations 2019</w:t>
            </w:r>
          </w:p>
        </w:tc>
      </w:tr>
      <w:tr w:rsidR="00FD2194" w:rsidRPr="00FD2194" w14:paraId="4C68968B" w14:textId="77777777" w:rsidTr="00FD2194">
        <w:trPr>
          <w:trHeight w:val="300"/>
        </w:trPr>
        <w:tc>
          <w:tcPr>
            <w:tcW w:w="1414" w:type="pct"/>
          </w:tcPr>
          <w:p w14:paraId="2D77E01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ONMACS</w:t>
            </w:r>
          </w:p>
        </w:tc>
        <w:tc>
          <w:tcPr>
            <w:tcW w:w="3586" w:type="pct"/>
          </w:tcPr>
          <w:p w14:paraId="6ADD71EE"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ONR Guidance for Nuclear Material Accountancy, Control and Safeguards</w:t>
            </w:r>
          </w:p>
        </w:tc>
      </w:tr>
      <w:tr w:rsidR="00FD2194" w:rsidRPr="00FD2194" w14:paraId="39579230" w14:textId="77777777" w:rsidTr="00FD2194">
        <w:trPr>
          <w:trHeight w:val="178"/>
        </w:trPr>
        <w:tc>
          <w:tcPr>
            <w:tcW w:w="1414" w:type="pct"/>
          </w:tcPr>
          <w:p w14:paraId="63643FAA"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ONR</w:t>
            </w:r>
          </w:p>
        </w:tc>
        <w:tc>
          <w:tcPr>
            <w:tcW w:w="3586" w:type="pct"/>
          </w:tcPr>
          <w:p w14:paraId="17EB4F8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Office for Nuclear Regulation</w:t>
            </w:r>
          </w:p>
        </w:tc>
      </w:tr>
      <w:tr w:rsidR="00FD2194" w:rsidRPr="00FD2194" w14:paraId="612B968F" w14:textId="77777777" w:rsidTr="00FD2194">
        <w:trPr>
          <w:trHeight w:val="258"/>
        </w:trPr>
        <w:tc>
          <w:tcPr>
            <w:tcW w:w="1414" w:type="pct"/>
          </w:tcPr>
          <w:p w14:paraId="6F901D9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OIML</w:t>
            </w:r>
          </w:p>
        </w:tc>
        <w:tc>
          <w:tcPr>
            <w:tcW w:w="3586" w:type="pct"/>
          </w:tcPr>
          <w:p w14:paraId="06CC281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International Organisation of Legal Metrology</w:t>
            </w:r>
          </w:p>
        </w:tc>
      </w:tr>
      <w:tr w:rsidR="00FD2194" w:rsidRPr="00FD2194" w14:paraId="5A451E8D" w14:textId="77777777" w:rsidTr="00FD2194">
        <w:trPr>
          <w:trHeight w:val="258"/>
        </w:trPr>
        <w:tc>
          <w:tcPr>
            <w:tcW w:w="1414" w:type="pct"/>
          </w:tcPr>
          <w:p w14:paraId="603BC45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PIL</w:t>
            </w:r>
          </w:p>
        </w:tc>
        <w:tc>
          <w:tcPr>
            <w:tcW w:w="3586" w:type="pct"/>
          </w:tcPr>
          <w:p w14:paraId="6FE90A82"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Physical Inventory Listing</w:t>
            </w:r>
          </w:p>
        </w:tc>
      </w:tr>
      <w:tr w:rsidR="00FD2194" w:rsidRPr="00FD2194" w14:paraId="10344593" w14:textId="77777777" w:rsidTr="00FD2194">
        <w:tc>
          <w:tcPr>
            <w:tcW w:w="1414" w:type="pct"/>
          </w:tcPr>
          <w:p w14:paraId="28B1F4D8"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PIT</w:t>
            </w:r>
          </w:p>
        </w:tc>
        <w:tc>
          <w:tcPr>
            <w:tcW w:w="3586" w:type="pct"/>
          </w:tcPr>
          <w:p w14:paraId="4E0AD25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Physical Inventory Taking</w:t>
            </w:r>
          </w:p>
        </w:tc>
      </w:tr>
      <w:tr w:rsidR="00FD2194" w:rsidRPr="00FD2194" w14:paraId="5DA6101E" w14:textId="77777777" w:rsidTr="00FD2194">
        <w:tc>
          <w:tcPr>
            <w:tcW w:w="1414" w:type="pct"/>
          </w:tcPr>
          <w:p w14:paraId="405DD67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PITe</w:t>
            </w:r>
          </w:p>
        </w:tc>
        <w:tc>
          <w:tcPr>
            <w:tcW w:w="3586" w:type="pct"/>
          </w:tcPr>
          <w:p w14:paraId="6AF8962C" w14:textId="0CF97782"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 xml:space="preserve">Physical Inventory </w:t>
            </w:r>
            <w:r w:rsidR="00382FC2" w:rsidRPr="00FD2194">
              <w:rPr>
                <w:rFonts w:asciiTheme="minorHAnsi" w:hAnsiTheme="minorHAnsi" w:cstheme="minorHAnsi"/>
                <w:szCs w:val="24"/>
              </w:rPr>
              <w:t>Tak</w:t>
            </w:r>
            <w:r w:rsidR="00382FC2">
              <w:rPr>
                <w:rFonts w:asciiTheme="minorHAnsi" w:hAnsiTheme="minorHAnsi" w:cstheme="minorHAnsi"/>
                <w:szCs w:val="24"/>
              </w:rPr>
              <w:t>e</w:t>
            </w:r>
            <w:r w:rsidR="00382FC2" w:rsidRPr="00FD2194">
              <w:rPr>
                <w:rFonts w:asciiTheme="minorHAnsi" w:hAnsiTheme="minorHAnsi" w:cstheme="minorHAnsi"/>
                <w:szCs w:val="24"/>
              </w:rPr>
              <w:t xml:space="preserve"> </w:t>
            </w:r>
            <w:r w:rsidRPr="00FD2194">
              <w:rPr>
                <w:rFonts w:asciiTheme="minorHAnsi" w:hAnsiTheme="minorHAnsi" w:cstheme="minorHAnsi"/>
                <w:szCs w:val="24"/>
              </w:rPr>
              <w:t>Evaluation</w:t>
            </w:r>
          </w:p>
        </w:tc>
      </w:tr>
      <w:tr w:rsidR="00FD2194" w:rsidRPr="00FD2194" w14:paraId="46B89DE5" w14:textId="77777777" w:rsidTr="00FD2194">
        <w:tc>
          <w:tcPr>
            <w:tcW w:w="1414" w:type="pct"/>
          </w:tcPr>
          <w:p w14:paraId="46C52BBC"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PIV</w:t>
            </w:r>
          </w:p>
        </w:tc>
        <w:tc>
          <w:tcPr>
            <w:tcW w:w="3586" w:type="pct"/>
          </w:tcPr>
          <w:p w14:paraId="152BA729"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Physical Inventory Verification</w:t>
            </w:r>
          </w:p>
        </w:tc>
      </w:tr>
      <w:tr w:rsidR="00FD2194" w:rsidRPr="00FD2194" w14:paraId="293DEC3D" w14:textId="77777777" w:rsidTr="00FD2194">
        <w:tc>
          <w:tcPr>
            <w:tcW w:w="1414" w:type="pct"/>
          </w:tcPr>
          <w:p w14:paraId="338E3767"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PSP</w:t>
            </w:r>
          </w:p>
        </w:tc>
        <w:tc>
          <w:tcPr>
            <w:tcW w:w="3586" w:type="pct"/>
          </w:tcPr>
          <w:p w14:paraId="71F042C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Particular Safeguards Provisions</w:t>
            </w:r>
          </w:p>
        </w:tc>
      </w:tr>
      <w:tr w:rsidR="00FD2194" w:rsidRPr="00FD2194" w14:paraId="022E96FC" w14:textId="77777777" w:rsidTr="00FD2194">
        <w:tc>
          <w:tcPr>
            <w:tcW w:w="1414" w:type="pct"/>
          </w:tcPr>
          <w:p w14:paraId="479C9908"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QNF</w:t>
            </w:r>
          </w:p>
        </w:tc>
        <w:tc>
          <w:tcPr>
            <w:tcW w:w="3586" w:type="pct"/>
          </w:tcPr>
          <w:p w14:paraId="5DA79C93"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Qualifying Nuclear Facility</w:t>
            </w:r>
          </w:p>
        </w:tc>
      </w:tr>
      <w:tr w:rsidR="00FD2194" w:rsidRPr="00FD2194" w14:paraId="3E493F2D" w14:textId="77777777" w:rsidTr="00FD2194">
        <w:trPr>
          <w:trHeight w:val="331"/>
        </w:trPr>
        <w:tc>
          <w:tcPr>
            <w:tcW w:w="1414" w:type="pct"/>
          </w:tcPr>
          <w:p w14:paraId="50630462"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QNFLO</w:t>
            </w:r>
          </w:p>
        </w:tc>
        <w:tc>
          <w:tcPr>
            <w:tcW w:w="3586" w:type="pct"/>
          </w:tcPr>
          <w:p w14:paraId="01ABFE59"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Qualifying Nuclear Facility with Limited Operation</w:t>
            </w:r>
          </w:p>
        </w:tc>
      </w:tr>
      <w:tr w:rsidR="00FD2194" w:rsidRPr="00FD2194" w14:paraId="76D76DEC" w14:textId="77777777" w:rsidTr="00FD2194">
        <w:trPr>
          <w:trHeight w:val="331"/>
        </w:trPr>
        <w:tc>
          <w:tcPr>
            <w:tcW w:w="1414" w:type="pct"/>
          </w:tcPr>
          <w:p w14:paraId="1B096696"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QNM</w:t>
            </w:r>
          </w:p>
        </w:tc>
        <w:tc>
          <w:tcPr>
            <w:tcW w:w="3586" w:type="pct"/>
          </w:tcPr>
          <w:p w14:paraId="52B14CA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Qualifying Nuclear Material</w:t>
            </w:r>
          </w:p>
        </w:tc>
      </w:tr>
      <w:tr w:rsidR="00FD2194" w:rsidRPr="00FD2194" w14:paraId="7342A773" w14:textId="77777777" w:rsidTr="00FD2194">
        <w:trPr>
          <w:trHeight w:val="331"/>
        </w:trPr>
        <w:tc>
          <w:tcPr>
            <w:tcW w:w="1414" w:type="pct"/>
          </w:tcPr>
          <w:p w14:paraId="41A0F836"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RPG</w:t>
            </w:r>
          </w:p>
        </w:tc>
        <w:tc>
          <w:tcPr>
            <w:tcW w:w="3586" w:type="pct"/>
          </w:tcPr>
          <w:p w14:paraId="575F04A9"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Relevant Good Practice</w:t>
            </w:r>
          </w:p>
        </w:tc>
      </w:tr>
      <w:tr w:rsidR="00FD2194" w:rsidRPr="00FD2194" w14:paraId="6AA62278" w14:textId="77777777" w:rsidTr="00FD2194">
        <w:trPr>
          <w:trHeight w:val="234"/>
        </w:trPr>
        <w:tc>
          <w:tcPr>
            <w:tcW w:w="1414" w:type="pct"/>
          </w:tcPr>
          <w:p w14:paraId="5F1EE1BC"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SBI</w:t>
            </w:r>
          </w:p>
        </w:tc>
        <w:tc>
          <w:tcPr>
            <w:tcW w:w="3586" w:type="pct"/>
          </w:tcPr>
          <w:p w14:paraId="3EC6C5FC"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System Based Inspection</w:t>
            </w:r>
          </w:p>
        </w:tc>
      </w:tr>
      <w:tr w:rsidR="00FD2194" w:rsidRPr="00FD2194" w14:paraId="12DCAB4D" w14:textId="77777777" w:rsidTr="00FD2194">
        <w:trPr>
          <w:trHeight w:val="20"/>
        </w:trPr>
        <w:tc>
          <w:tcPr>
            <w:tcW w:w="1414" w:type="pct"/>
          </w:tcPr>
          <w:p w14:paraId="02855234"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SBD</w:t>
            </w:r>
          </w:p>
        </w:tc>
        <w:tc>
          <w:tcPr>
            <w:tcW w:w="3586" w:type="pct"/>
          </w:tcPr>
          <w:p w14:paraId="4FAF4AF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Safeguards By Design</w:t>
            </w:r>
          </w:p>
        </w:tc>
      </w:tr>
      <w:tr w:rsidR="00FD2194" w:rsidRPr="00FD2194" w14:paraId="65BAA3C9" w14:textId="77777777" w:rsidTr="00FD2194">
        <w:trPr>
          <w:trHeight w:val="20"/>
        </w:trPr>
        <w:tc>
          <w:tcPr>
            <w:tcW w:w="1414" w:type="pct"/>
          </w:tcPr>
          <w:p w14:paraId="36A455D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SQEP</w:t>
            </w:r>
          </w:p>
        </w:tc>
        <w:tc>
          <w:tcPr>
            <w:tcW w:w="3586" w:type="pct"/>
          </w:tcPr>
          <w:p w14:paraId="597E84D4"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Suitably Qualified and Experienced Person</w:t>
            </w:r>
          </w:p>
        </w:tc>
      </w:tr>
      <w:tr w:rsidR="00FD2194" w:rsidRPr="00FD2194" w14:paraId="4D6CFFB4" w14:textId="77777777" w:rsidTr="00FD2194">
        <w:trPr>
          <w:trHeight w:val="20"/>
        </w:trPr>
        <w:tc>
          <w:tcPr>
            <w:tcW w:w="1414" w:type="pct"/>
          </w:tcPr>
          <w:p w14:paraId="442A5001"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lastRenderedPageBreak/>
              <w:t>SSBI</w:t>
            </w:r>
          </w:p>
        </w:tc>
        <w:tc>
          <w:tcPr>
            <w:tcW w:w="3586" w:type="pct"/>
          </w:tcPr>
          <w:p w14:paraId="264C051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Safeguard System Based Inspection</w:t>
            </w:r>
          </w:p>
        </w:tc>
      </w:tr>
      <w:tr w:rsidR="00FD2194" w:rsidRPr="00FD2194" w14:paraId="2A75F28B" w14:textId="77777777" w:rsidTr="00FD2194">
        <w:trPr>
          <w:trHeight w:val="20"/>
        </w:trPr>
        <w:tc>
          <w:tcPr>
            <w:tcW w:w="1414" w:type="pct"/>
          </w:tcPr>
          <w:p w14:paraId="699A71E2"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SSC</w:t>
            </w:r>
          </w:p>
        </w:tc>
        <w:tc>
          <w:tcPr>
            <w:tcW w:w="3586" w:type="pct"/>
          </w:tcPr>
          <w:p w14:paraId="650FCE9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System, Structure or Component</w:t>
            </w:r>
          </w:p>
        </w:tc>
      </w:tr>
      <w:tr w:rsidR="00FD2194" w:rsidRPr="00FD2194" w14:paraId="001D950E" w14:textId="77777777" w:rsidTr="00FD2194">
        <w:trPr>
          <w:trHeight w:val="20"/>
        </w:trPr>
        <w:tc>
          <w:tcPr>
            <w:tcW w:w="1414" w:type="pct"/>
          </w:tcPr>
          <w:p w14:paraId="09E676F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TAG</w:t>
            </w:r>
          </w:p>
        </w:tc>
        <w:tc>
          <w:tcPr>
            <w:tcW w:w="3586" w:type="pct"/>
          </w:tcPr>
          <w:p w14:paraId="696FC676"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Technical Assessment Guide</w:t>
            </w:r>
          </w:p>
        </w:tc>
      </w:tr>
      <w:tr w:rsidR="00FD2194" w:rsidRPr="00FD2194" w14:paraId="6667E5A1" w14:textId="77777777" w:rsidTr="00FD2194">
        <w:trPr>
          <w:trHeight w:val="20"/>
        </w:trPr>
        <w:tc>
          <w:tcPr>
            <w:tcW w:w="1414" w:type="pct"/>
          </w:tcPr>
          <w:p w14:paraId="09EBFB0D" w14:textId="4C4FAC41"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TEA13</w:t>
            </w:r>
          </w:p>
        </w:tc>
        <w:tc>
          <w:tcPr>
            <w:tcW w:w="3586" w:type="pct"/>
          </w:tcPr>
          <w:p w14:paraId="3D0AE7B5"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 xml:space="preserve">The Energy Act 2013 </w:t>
            </w:r>
          </w:p>
        </w:tc>
      </w:tr>
      <w:tr w:rsidR="00FD2194" w:rsidRPr="00FD2194" w14:paraId="3E7BE3AC" w14:textId="77777777" w:rsidTr="00FD2194">
        <w:trPr>
          <w:trHeight w:val="20"/>
        </w:trPr>
        <w:tc>
          <w:tcPr>
            <w:tcW w:w="1414" w:type="pct"/>
          </w:tcPr>
          <w:p w14:paraId="3AE14F12"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TIG</w:t>
            </w:r>
          </w:p>
        </w:tc>
        <w:tc>
          <w:tcPr>
            <w:tcW w:w="3586" w:type="pct"/>
          </w:tcPr>
          <w:p w14:paraId="70A3297F"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Technical Inspection Guidance</w:t>
            </w:r>
          </w:p>
        </w:tc>
      </w:tr>
      <w:tr w:rsidR="00FD2194" w:rsidRPr="00FD2194" w14:paraId="45D23FEC" w14:textId="77777777" w:rsidTr="00FD2194">
        <w:trPr>
          <w:trHeight w:val="88"/>
        </w:trPr>
        <w:tc>
          <w:tcPr>
            <w:tcW w:w="1414" w:type="pct"/>
          </w:tcPr>
          <w:p w14:paraId="31DA251D"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VOA</w:t>
            </w:r>
          </w:p>
        </w:tc>
        <w:tc>
          <w:tcPr>
            <w:tcW w:w="3586" w:type="pct"/>
          </w:tcPr>
          <w:p w14:paraId="18CE8508" w14:textId="63A1DE74"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Voluntary Offer Safeguards Agreement (INFCIRC/951)</w:t>
            </w:r>
            <w:r>
              <w:rPr>
                <w:rFonts w:asciiTheme="minorHAnsi" w:hAnsiTheme="minorHAnsi" w:cstheme="minorHAnsi"/>
                <w:szCs w:val="24"/>
              </w:rPr>
              <w:t xml:space="preserve"> </w:t>
            </w:r>
            <w:sdt>
              <w:sdtPr>
                <w:rPr>
                  <w:rFonts w:asciiTheme="minorHAnsi" w:hAnsiTheme="minorHAnsi" w:cstheme="minorHAnsi"/>
                  <w:szCs w:val="24"/>
                </w:rPr>
                <w:id w:val="-55788886"/>
                <w:citation/>
              </w:sdtPr>
              <w:sdtEndPr/>
              <w:sdtContent>
                <w:r>
                  <w:rPr>
                    <w:rFonts w:asciiTheme="minorHAnsi" w:hAnsiTheme="minorHAnsi" w:cstheme="minorHAnsi"/>
                    <w:szCs w:val="24"/>
                  </w:rPr>
                  <w:fldChar w:fldCharType="begin"/>
                </w:r>
                <w:r>
                  <w:rPr>
                    <w:rFonts w:asciiTheme="minorHAnsi" w:hAnsiTheme="minorHAnsi" w:cstheme="minorHAnsi"/>
                    <w:szCs w:val="24"/>
                  </w:rPr>
                  <w:instrText xml:space="preserve"> CITATION IAE10 \l 2057 </w:instrText>
                </w:r>
                <w:r>
                  <w:rPr>
                    <w:rFonts w:asciiTheme="minorHAnsi" w:hAnsiTheme="minorHAnsi" w:cstheme="minorHAnsi"/>
                    <w:szCs w:val="24"/>
                  </w:rPr>
                  <w:fldChar w:fldCharType="separate"/>
                </w:r>
                <w:r w:rsidR="00DA6493" w:rsidRPr="00DA6493">
                  <w:rPr>
                    <w:rFonts w:asciiTheme="minorHAnsi" w:hAnsiTheme="minorHAnsi" w:cstheme="minorHAnsi"/>
                    <w:noProof/>
                    <w:szCs w:val="24"/>
                  </w:rPr>
                  <w:t>[4]</w:t>
                </w:r>
                <w:r>
                  <w:rPr>
                    <w:rFonts w:asciiTheme="minorHAnsi" w:hAnsiTheme="minorHAnsi" w:cstheme="minorHAnsi"/>
                    <w:szCs w:val="24"/>
                  </w:rPr>
                  <w:fldChar w:fldCharType="end"/>
                </w:r>
              </w:sdtContent>
            </w:sdt>
          </w:p>
        </w:tc>
      </w:tr>
      <w:tr w:rsidR="00FD2194" w:rsidRPr="00FD2194" w14:paraId="244E97A2" w14:textId="77777777" w:rsidTr="00FD2194">
        <w:trPr>
          <w:trHeight w:val="88"/>
        </w:trPr>
        <w:tc>
          <w:tcPr>
            <w:tcW w:w="1414" w:type="pct"/>
          </w:tcPr>
          <w:p w14:paraId="2DEB2D88"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WIReD</w:t>
            </w:r>
          </w:p>
        </w:tc>
        <w:tc>
          <w:tcPr>
            <w:tcW w:w="3586" w:type="pct"/>
          </w:tcPr>
          <w:p w14:paraId="323E8A5B" w14:textId="77777777" w:rsidR="00FD2194" w:rsidRPr="00FD2194" w:rsidRDefault="00FD2194" w:rsidP="00FD2194">
            <w:pPr>
              <w:spacing w:before="60" w:after="60"/>
              <w:rPr>
                <w:rFonts w:asciiTheme="minorHAnsi" w:hAnsiTheme="minorHAnsi" w:cstheme="minorHAnsi"/>
                <w:szCs w:val="24"/>
              </w:rPr>
            </w:pPr>
            <w:r w:rsidRPr="00FD2194">
              <w:rPr>
                <w:rFonts w:asciiTheme="minorHAnsi" w:hAnsiTheme="minorHAnsi" w:cstheme="minorHAnsi"/>
                <w:szCs w:val="24"/>
              </w:rPr>
              <w:t>Well Informed Regulatory Decisions</w:t>
            </w:r>
          </w:p>
        </w:tc>
      </w:tr>
    </w:tbl>
    <w:p w14:paraId="00C9F6DE" w14:textId="77777777" w:rsidR="00FD2194" w:rsidRDefault="00FD2194" w:rsidP="002042C2"/>
    <w:p w14:paraId="03973FCE" w14:textId="77777777" w:rsidR="00930E37" w:rsidRDefault="00930E37" w:rsidP="002042C2"/>
    <w:p w14:paraId="6DB6E9BC" w14:textId="77777777" w:rsidR="00084ABE" w:rsidRDefault="00084ABE" w:rsidP="00DD7520">
      <w:pPr>
        <w:pStyle w:val="Heading1"/>
        <w:numPr>
          <w:ilvl w:val="0"/>
          <w:numId w:val="0"/>
        </w:numPr>
        <w:ind w:left="851"/>
        <w:sectPr w:rsidR="00084ABE" w:rsidSect="003508FB">
          <w:pgSz w:w="11906" w:h="16838" w:code="9"/>
          <w:pgMar w:top="1440" w:right="1440" w:bottom="1440" w:left="1440" w:header="397" w:footer="397" w:gutter="0"/>
          <w:cols w:space="312"/>
          <w:docGrid w:linePitch="360"/>
        </w:sectPr>
      </w:pPr>
    </w:p>
    <w:p w14:paraId="07D791C5" w14:textId="77777777" w:rsidR="00930E37" w:rsidRPr="00595C8C" w:rsidRDefault="00930E37" w:rsidP="00FD2194">
      <w:pPr>
        <w:pStyle w:val="Heading1"/>
        <w:numPr>
          <w:ilvl w:val="0"/>
          <w:numId w:val="0"/>
        </w:numPr>
      </w:pPr>
      <w:bookmarkStart w:id="34" w:name="_Toc235705915"/>
      <w:r>
        <w:lastRenderedPageBreak/>
        <w:t>Document control information</w:t>
      </w:r>
      <w:bookmarkEnd w:id="34"/>
    </w:p>
    <w:p w14:paraId="47B60150" w14:textId="2A4E92BE" w:rsidR="00930E37" w:rsidRPr="00196ADB" w:rsidRDefault="00930E37" w:rsidP="00930E37">
      <w:pPr>
        <w:rPr>
          <w:szCs w:val="24"/>
        </w:rPr>
      </w:pPr>
      <w:r w:rsidRPr="00196ADB">
        <w:rPr>
          <w:b/>
          <w:bCs/>
          <w:szCs w:val="24"/>
        </w:rPr>
        <w:t>Authored by</w:t>
      </w:r>
      <w:r w:rsidRPr="00196ADB">
        <w:rPr>
          <w:szCs w:val="24"/>
        </w:rPr>
        <w:t xml:space="preserve"> – </w:t>
      </w:r>
      <w:r w:rsidR="003A59F6">
        <w:rPr>
          <w:szCs w:val="24"/>
        </w:rPr>
        <w:t>Safeguards Inspector</w:t>
      </w:r>
    </w:p>
    <w:p w14:paraId="2C5D42AA" w14:textId="45F2FF56" w:rsidR="00930E37" w:rsidRPr="00196ADB" w:rsidRDefault="00930E37" w:rsidP="00930E37">
      <w:pPr>
        <w:rPr>
          <w:szCs w:val="24"/>
        </w:rPr>
      </w:pPr>
      <w:r w:rsidRPr="00196ADB">
        <w:rPr>
          <w:b/>
          <w:bCs/>
          <w:szCs w:val="24"/>
        </w:rPr>
        <w:t>Approved by</w:t>
      </w:r>
      <w:r w:rsidRPr="00196ADB">
        <w:rPr>
          <w:szCs w:val="24"/>
        </w:rPr>
        <w:t xml:space="preserve"> –</w:t>
      </w:r>
      <w:r w:rsidR="00547308">
        <w:rPr>
          <w:szCs w:val="24"/>
        </w:rPr>
        <w:t xml:space="preserve"> </w:t>
      </w:r>
      <w:r>
        <w:rPr>
          <w:szCs w:val="24"/>
        </w:rPr>
        <w:t xml:space="preserve">Head of Profession for </w:t>
      </w:r>
      <w:r w:rsidR="003A59F6">
        <w:rPr>
          <w:szCs w:val="24"/>
        </w:rPr>
        <w:t>Safeguards</w:t>
      </w:r>
    </w:p>
    <w:p w14:paraId="10D33D1E" w14:textId="0FB17525"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59F6">
            <w:rPr>
              <w:szCs w:val="24"/>
            </w:rPr>
            <w:t>5</w:t>
          </w:r>
        </w:sdtContent>
      </w:sdt>
    </w:p>
    <w:p w14:paraId="12DC54B5" w14:textId="1A1D1122" w:rsidR="00930E37" w:rsidRPr="00196ADB" w:rsidRDefault="00930E37" w:rsidP="00930E37">
      <w:pPr>
        <w:rPr>
          <w:szCs w:val="24"/>
        </w:rPr>
      </w:pPr>
      <w:r>
        <w:rPr>
          <w:b/>
          <w:bCs/>
          <w:szCs w:val="24"/>
        </w:rPr>
        <w:t>Published</w:t>
      </w:r>
      <w:r w:rsidRPr="00196ADB">
        <w:rPr>
          <w:szCs w:val="24"/>
        </w:rPr>
        <w:t xml:space="preserve">: </w:t>
      </w:r>
      <w:r w:rsidR="00055A24">
        <w:rPr>
          <w:szCs w:val="24"/>
        </w:rPr>
        <w:t>July</w:t>
      </w:r>
      <w:r w:rsidR="00547308">
        <w:rPr>
          <w:szCs w:val="24"/>
        </w:rPr>
        <w:t xml:space="preserve"> 2026</w:t>
      </w:r>
    </w:p>
    <w:p w14:paraId="29AA6F0F" w14:textId="241293E6"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055A24">
        <w:rPr>
          <w:szCs w:val="24"/>
        </w:rPr>
        <w:t>July</w:t>
      </w:r>
      <w:r w:rsidR="00547308">
        <w:rPr>
          <w:szCs w:val="24"/>
        </w:rPr>
        <w:t xml:space="preserve"> 2029</w:t>
      </w:r>
    </w:p>
    <w:p w14:paraId="0A735AFC" w14:textId="36A44738"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DA6493">
        <w:rPr>
          <w:szCs w:val="24"/>
        </w:rPr>
        <w:t>SG-INSP-GD-001</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124"/>
        <w:gridCol w:w="7892"/>
      </w:tblGrid>
      <w:tr w:rsidR="00930E37" w:rsidRPr="00B23A5E" w14:paraId="1216A18F" w14:textId="77777777" w:rsidTr="003A59F6">
        <w:trPr>
          <w:cnfStyle w:val="100000000000" w:firstRow="1" w:lastRow="0" w:firstColumn="0" w:lastColumn="0" w:oddVBand="0" w:evenVBand="0" w:oddHBand="0" w:evenHBand="0" w:firstRowFirstColumn="0" w:firstRowLastColumn="0" w:lastRowFirstColumn="0" w:lastRowLastColumn="0"/>
        </w:trPr>
        <w:tc>
          <w:tcPr>
            <w:tcW w:w="1124" w:type="dxa"/>
          </w:tcPr>
          <w:p w14:paraId="3C3F26F3" w14:textId="77777777" w:rsidR="00930E37" w:rsidRPr="00B23A5E" w:rsidRDefault="00930E37" w:rsidP="00CF24A9">
            <w:pPr>
              <w:spacing w:before="60" w:after="60"/>
              <w:rPr>
                <w:b w:val="0"/>
                <w:bCs/>
              </w:rPr>
            </w:pPr>
            <w:r w:rsidRPr="00B23A5E">
              <w:rPr>
                <w:b w:val="0"/>
                <w:bCs/>
              </w:rPr>
              <w:t>Issue</w:t>
            </w:r>
          </w:p>
        </w:tc>
        <w:tc>
          <w:tcPr>
            <w:tcW w:w="7892"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3A59F6" w14:paraId="1D25BD44" w14:textId="77777777" w:rsidTr="003A59F6">
        <w:tc>
          <w:tcPr>
            <w:tcW w:w="1124" w:type="dxa"/>
          </w:tcPr>
          <w:p w14:paraId="09409656" w14:textId="6375F30F" w:rsidR="003A59F6" w:rsidRDefault="003A59F6" w:rsidP="003A59F6">
            <w:pPr>
              <w:spacing w:before="60" w:after="60"/>
            </w:pPr>
            <w:r>
              <w:t>1</w:t>
            </w:r>
          </w:p>
        </w:tc>
        <w:tc>
          <w:tcPr>
            <w:tcW w:w="7892" w:type="dxa"/>
          </w:tcPr>
          <w:p w14:paraId="0DD41B3D" w14:textId="6C9F8249" w:rsidR="003A59F6" w:rsidRDefault="003A59F6" w:rsidP="003A59F6">
            <w:pPr>
              <w:spacing w:before="60" w:after="60"/>
            </w:pPr>
            <w:r w:rsidRPr="00BE0130">
              <w:t>Comments incorporated from operator community following sharing of draft versions in March 2020</w:t>
            </w:r>
            <w:r>
              <w:t>.</w:t>
            </w:r>
          </w:p>
        </w:tc>
      </w:tr>
      <w:tr w:rsidR="003A59F6" w14:paraId="6C98964E" w14:textId="77777777" w:rsidTr="003A59F6">
        <w:tc>
          <w:tcPr>
            <w:tcW w:w="1124" w:type="dxa"/>
          </w:tcPr>
          <w:p w14:paraId="3EDA00A9" w14:textId="3E5BFFC2" w:rsidR="003A59F6" w:rsidRDefault="003A59F6" w:rsidP="003A59F6">
            <w:pPr>
              <w:spacing w:before="60" w:after="60"/>
            </w:pPr>
            <w:r>
              <w:t>2</w:t>
            </w:r>
          </w:p>
        </w:tc>
        <w:tc>
          <w:tcPr>
            <w:tcW w:w="7892" w:type="dxa"/>
          </w:tcPr>
          <w:p w14:paraId="4C582537" w14:textId="09DD1687" w:rsidR="003A59F6" w:rsidRDefault="003A59F6" w:rsidP="003A59F6">
            <w:pPr>
              <w:spacing w:before="60" w:after="60"/>
            </w:pPr>
            <w:r w:rsidRPr="00C174F4">
              <w:t>Comments incorporated from operator community following sharing of draft versions in September 2020</w:t>
            </w:r>
            <w:r>
              <w:t>.</w:t>
            </w:r>
          </w:p>
        </w:tc>
      </w:tr>
      <w:tr w:rsidR="003A59F6" w14:paraId="2A4E42BA" w14:textId="77777777" w:rsidTr="003A59F6">
        <w:tc>
          <w:tcPr>
            <w:tcW w:w="1124" w:type="dxa"/>
          </w:tcPr>
          <w:p w14:paraId="0ED01BF2" w14:textId="098F4845" w:rsidR="003A59F6" w:rsidRDefault="003A59F6" w:rsidP="00CF24A9">
            <w:pPr>
              <w:spacing w:before="60" w:after="60"/>
            </w:pPr>
            <w:r>
              <w:t>3</w:t>
            </w:r>
          </w:p>
        </w:tc>
        <w:tc>
          <w:tcPr>
            <w:tcW w:w="7892" w:type="dxa"/>
          </w:tcPr>
          <w:p w14:paraId="60CCC27E" w14:textId="06AC8C54" w:rsidR="003A59F6" w:rsidRDefault="003A59F6" w:rsidP="003A59F6">
            <w:pPr>
              <w:spacing w:before="60" w:after="60"/>
            </w:pPr>
            <w:r w:rsidRPr="003A59F6">
              <w:t>Comments incorporated from ONR Safeguards inspector use of the draft version in trial inspection activities throughout the UK SSAC</w:t>
            </w:r>
            <w:r>
              <w:t>.</w:t>
            </w:r>
          </w:p>
        </w:tc>
      </w:tr>
      <w:tr w:rsidR="003A59F6" w14:paraId="42C09FFB" w14:textId="77777777" w:rsidTr="003A59F6">
        <w:tc>
          <w:tcPr>
            <w:tcW w:w="1124" w:type="dxa"/>
          </w:tcPr>
          <w:p w14:paraId="1128C327" w14:textId="24902A57" w:rsidR="003A59F6" w:rsidRDefault="003A59F6" w:rsidP="00CF24A9">
            <w:pPr>
              <w:spacing w:before="60" w:after="60"/>
            </w:pPr>
            <w:r>
              <w:t>4</w:t>
            </w:r>
          </w:p>
        </w:tc>
        <w:tc>
          <w:tcPr>
            <w:tcW w:w="7892" w:type="dxa"/>
          </w:tcPr>
          <w:p w14:paraId="63D37872" w14:textId="7ACD5EAD" w:rsidR="003A59F6" w:rsidRDefault="003A59F6" w:rsidP="003A59F6">
            <w:pPr>
              <w:spacing w:before="60" w:after="60"/>
            </w:pPr>
            <w:r w:rsidRPr="003A59F6">
              <w:t>Minor clarifications and consistency improvements based on experience of first two years of ONR Safeguards inspections as safeguards regulator in the UK</w:t>
            </w:r>
            <w:r>
              <w:t>.</w:t>
            </w:r>
          </w:p>
        </w:tc>
      </w:tr>
      <w:tr w:rsidR="003A59F6" w14:paraId="67305F98" w14:textId="77777777" w:rsidTr="003A59F6">
        <w:tc>
          <w:tcPr>
            <w:tcW w:w="1124" w:type="dxa"/>
          </w:tcPr>
          <w:p w14:paraId="7F494FE0" w14:textId="495BB68E" w:rsidR="003A59F6" w:rsidRDefault="003A59F6" w:rsidP="00CF24A9">
            <w:pPr>
              <w:spacing w:before="60" w:after="60"/>
            </w:pPr>
            <w:r>
              <w:t>4.1</w:t>
            </w:r>
          </w:p>
        </w:tc>
        <w:tc>
          <w:tcPr>
            <w:tcW w:w="7892" w:type="dxa"/>
          </w:tcPr>
          <w:p w14:paraId="3A8A501E" w14:textId="0A9D4300" w:rsidR="003A59F6" w:rsidRPr="003A59F6" w:rsidRDefault="003A59F6" w:rsidP="003A59F6">
            <w:pPr>
              <w:spacing w:before="60" w:after="60"/>
            </w:pPr>
            <w:r w:rsidRPr="00916416">
              <w:t>Review date extended to allow time for formal consultation which is being coordinated by DESNZ in relation to the review/update of related legislation.</w:t>
            </w:r>
          </w:p>
        </w:tc>
      </w:tr>
      <w:tr w:rsidR="003A59F6" w14:paraId="3E339132" w14:textId="77777777" w:rsidTr="003A59F6">
        <w:tc>
          <w:tcPr>
            <w:tcW w:w="1124" w:type="dxa"/>
          </w:tcPr>
          <w:p w14:paraId="548D0ADB" w14:textId="33B5FE98" w:rsidR="003A59F6" w:rsidRDefault="003A59F6" w:rsidP="003A59F6">
            <w:pPr>
              <w:spacing w:before="60" w:after="60"/>
            </w:pPr>
            <w:r>
              <w:t>5</w:t>
            </w:r>
          </w:p>
        </w:tc>
        <w:tc>
          <w:tcPr>
            <w:tcW w:w="7892" w:type="dxa"/>
          </w:tcPr>
          <w:p w14:paraId="41E66167" w14:textId="096F1D3B" w:rsidR="003A59F6" w:rsidRDefault="003A59F6" w:rsidP="003A59F6">
            <w:pPr>
              <w:spacing w:before="60" w:after="60"/>
            </w:pPr>
            <w:r w:rsidRPr="003A59F6">
              <w:t>Major review in line with ONR document review schedule with simplification using ONRs AI review tool and reflecting changes to Nuclear Safeguards (EU Exit) Regulations 2019 being amended by Nuclear Safeguards (EU Exit and Fees)(Amendment) Regulations 2026</w:t>
            </w:r>
            <w:r>
              <w:t>.</w:t>
            </w:r>
          </w:p>
        </w:tc>
      </w:tr>
    </w:tbl>
    <w:p w14:paraId="5AB38FA4" w14:textId="77777777" w:rsidR="00084ABE" w:rsidRDefault="00084ABE" w:rsidP="002042C2">
      <w:pPr>
        <w:rPr>
          <w:b/>
          <w:bCs/>
          <w:sz w:val="20"/>
          <w:szCs w:val="18"/>
        </w:rPr>
      </w:pPr>
    </w:p>
    <w:sectPr w:rsidR="00084ABE" w:rsidSect="003508FB">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47CC" w14:textId="77777777" w:rsidR="00352998" w:rsidRDefault="00352998" w:rsidP="007D199A">
      <w:pPr>
        <w:spacing w:after="0"/>
      </w:pPr>
      <w:r>
        <w:separator/>
      </w:r>
    </w:p>
    <w:p w14:paraId="6097536B" w14:textId="77777777" w:rsidR="00352998" w:rsidRDefault="00352998"/>
  </w:endnote>
  <w:endnote w:type="continuationSeparator" w:id="0">
    <w:p w14:paraId="3EF2471F" w14:textId="77777777" w:rsidR="00352998" w:rsidRDefault="00352998" w:rsidP="007D199A">
      <w:pPr>
        <w:spacing w:after="0"/>
      </w:pPr>
      <w:r>
        <w:continuationSeparator/>
      </w:r>
    </w:p>
    <w:p w14:paraId="6F9F3365" w14:textId="77777777" w:rsidR="00352998" w:rsidRDefault="00352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2865D88E" w:rsidR="00CE6198" w:rsidRPr="008A147B" w:rsidRDefault="008A147B" w:rsidP="00B23A5E">
    <w:pPr>
      <w:pStyle w:val="Footer"/>
      <w:rPr>
        <w:rStyle w:val="PageNumber"/>
        <w:color w:val="22413A"/>
        <w:sz w:val="24"/>
      </w:rPr>
    </w:pPr>
    <w:r w:rsidRPr="008A147B">
      <w:rPr>
        <w:rStyle w:val="PageNumber"/>
        <w:color w:val="22413A"/>
        <w:sz w:val="24"/>
      </w:rPr>
      <w:t xml:space="preserve">Page </w:t>
    </w:r>
    <w:r w:rsidRPr="008A147B">
      <w:rPr>
        <w:rStyle w:val="PageNumber"/>
        <w:color w:val="22413A"/>
        <w:sz w:val="24"/>
      </w:rPr>
      <w:fldChar w:fldCharType="begin"/>
    </w:r>
    <w:r w:rsidRPr="008A147B">
      <w:rPr>
        <w:rStyle w:val="PageNumber"/>
        <w:color w:val="22413A"/>
        <w:sz w:val="24"/>
      </w:rPr>
      <w:instrText>PAGE  \* Arabic  \* MERGEFORMAT</w:instrText>
    </w:r>
    <w:r w:rsidRPr="008A147B">
      <w:rPr>
        <w:rStyle w:val="PageNumber"/>
        <w:color w:val="22413A"/>
        <w:sz w:val="24"/>
      </w:rPr>
      <w:fldChar w:fldCharType="separate"/>
    </w:r>
    <w:r w:rsidRPr="008A147B">
      <w:rPr>
        <w:rStyle w:val="PageNumber"/>
        <w:color w:val="22413A"/>
        <w:sz w:val="24"/>
      </w:rPr>
      <w:t>1</w:t>
    </w:r>
    <w:r w:rsidRPr="008A147B">
      <w:rPr>
        <w:rStyle w:val="PageNumber"/>
        <w:color w:val="22413A"/>
        <w:sz w:val="24"/>
      </w:rPr>
      <w:fldChar w:fldCharType="end"/>
    </w:r>
    <w:r w:rsidRPr="008A147B">
      <w:rPr>
        <w:rStyle w:val="PageNumber"/>
        <w:color w:val="22413A"/>
        <w:sz w:val="24"/>
      </w:rPr>
      <w:t xml:space="preserve"> of </w:t>
    </w:r>
    <w:r w:rsidRPr="008A147B">
      <w:rPr>
        <w:rStyle w:val="PageNumber"/>
        <w:color w:val="22413A"/>
        <w:sz w:val="24"/>
      </w:rPr>
      <w:fldChar w:fldCharType="begin"/>
    </w:r>
    <w:r w:rsidRPr="008A147B">
      <w:rPr>
        <w:rStyle w:val="PageNumber"/>
        <w:color w:val="22413A"/>
        <w:sz w:val="24"/>
      </w:rPr>
      <w:instrText>NUMPAGES  \* Arabic  \* MERGEFORMAT</w:instrText>
    </w:r>
    <w:r w:rsidRPr="008A147B">
      <w:rPr>
        <w:rStyle w:val="PageNumber"/>
        <w:color w:val="22413A"/>
        <w:sz w:val="24"/>
      </w:rPr>
      <w:fldChar w:fldCharType="separate"/>
    </w:r>
    <w:r w:rsidRPr="008A147B">
      <w:rPr>
        <w:rStyle w:val="PageNumber"/>
        <w:color w:val="22413A"/>
        <w:sz w:val="24"/>
      </w:rPr>
      <w:t>2</w:t>
    </w:r>
    <w:r w:rsidRPr="008A147B">
      <w:rPr>
        <w:rStyle w:val="PageNumber"/>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1BD1" w14:textId="77777777" w:rsidR="00352998" w:rsidRPr="005E0344" w:rsidRDefault="00352998" w:rsidP="005E0344">
      <w:pPr>
        <w:spacing w:after="120"/>
        <w:rPr>
          <w:color w:val="000000" w:themeColor="text2"/>
        </w:rPr>
      </w:pPr>
      <w:r w:rsidRPr="005E0344">
        <w:rPr>
          <w:color w:val="000000" w:themeColor="text2"/>
        </w:rPr>
        <w:separator/>
      </w:r>
    </w:p>
  </w:footnote>
  <w:footnote w:type="continuationSeparator" w:id="0">
    <w:p w14:paraId="3B035B0B" w14:textId="77777777" w:rsidR="00352998" w:rsidRPr="005E0344" w:rsidRDefault="00352998" w:rsidP="0090581D">
      <w:pPr>
        <w:spacing w:after="120"/>
        <w:rPr>
          <w:color w:val="000000" w:themeColor="text2"/>
        </w:rPr>
      </w:pPr>
      <w:r w:rsidRPr="005E0344">
        <w:rPr>
          <w:color w:val="000000" w:themeColor="text2"/>
        </w:rPr>
        <w:continuationSeparator/>
      </w:r>
    </w:p>
    <w:p w14:paraId="0AC88B18" w14:textId="77777777" w:rsidR="00352998" w:rsidRDefault="00352998"/>
  </w:footnote>
  <w:footnote w:type="continuationNotice" w:id="1">
    <w:p w14:paraId="14AA025E" w14:textId="77777777" w:rsidR="00352998" w:rsidRDefault="00352998">
      <w:pPr>
        <w:spacing w:after="0"/>
      </w:pPr>
    </w:p>
    <w:p w14:paraId="59298BA4" w14:textId="77777777" w:rsidR="00352998" w:rsidRDefault="00352998"/>
  </w:footnote>
  <w:footnote w:id="2">
    <w:p w14:paraId="03056657" w14:textId="1A0A286E" w:rsidR="003508FB" w:rsidRDefault="003508FB" w:rsidP="00E97B4B">
      <w:pPr>
        <w:pStyle w:val="FootnoteText"/>
        <w:ind w:left="0" w:firstLine="0"/>
      </w:pPr>
      <w:r>
        <w:rPr>
          <w:rStyle w:val="FootnoteReference"/>
        </w:rPr>
        <w:footnoteRef/>
      </w:r>
      <w:r>
        <w:t xml:space="preserve"> Qualifying nuclear facility is defined in NSR19 and Section 76A of </w:t>
      </w:r>
      <w:r w:rsidR="00E97B4B">
        <w:t>t</w:t>
      </w:r>
      <w:r>
        <w:t>he Energy Act 2013 as “a facility (including associated buildings) in which qualifying nuclear material is produced, processed, used, handled, stored or disposed of”</w:t>
      </w:r>
    </w:p>
  </w:footnote>
  <w:footnote w:id="3">
    <w:p w14:paraId="0133C6D1" w14:textId="77777777" w:rsidR="003508FB" w:rsidRDefault="003508FB" w:rsidP="00E97B4B">
      <w:pPr>
        <w:pStyle w:val="FootnoteText"/>
        <w:ind w:left="0" w:firstLine="0"/>
      </w:pPr>
      <w:r>
        <w:rPr>
          <w:rStyle w:val="FootnoteReference"/>
        </w:rPr>
        <w:footnoteRef/>
      </w:r>
      <w:r>
        <w:t xml:space="preserve"> Writing includes the use of electronic media</w:t>
      </w:r>
    </w:p>
  </w:footnote>
  <w:footnote w:id="4">
    <w:p w14:paraId="3A5EDDAD" w14:textId="77777777" w:rsidR="003508FB" w:rsidRDefault="003508FB" w:rsidP="00E97B4B">
      <w:pPr>
        <w:pStyle w:val="FootnoteText"/>
        <w:ind w:left="0" w:firstLine="0"/>
      </w:pPr>
      <w:r>
        <w:rPr>
          <w:rStyle w:val="FootnoteReference"/>
        </w:rPr>
        <w:footnoteRef/>
      </w:r>
      <w:r>
        <w:t xml:space="preserve"> </w:t>
      </w:r>
      <w:r>
        <w:rPr>
          <w:color w:val="000000"/>
        </w:rPr>
        <w:t>Concerning a matter arising which could be regarded as an operator having failed to comply with these arrangements and procedures, this will not be the case if the ONR has previously informed the operator in writing that in the ONR’s opinion, it is unlikely to be prejudicial to the maintenance of the system of accountancy and control in respect of the QNM at the QNF.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AC2A840" w:rsidR="00177666" w:rsidRPr="00196ADB" w:rsidRDefault="00352998"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47308">
          <w:rPr>
            <w:sz w:val="20"/>
            <w:szCs w:val="24"/>
          </w:rPr>
          <w:t>Safeguards</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A59F6">
          <w:rPr>
            <w:sz w:val="20"/>
            <w:szCs w:val="24"/>
          </w:rPr>
          <w:t>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4BBD"/>
    <w:multiLevelType w:val="multilevel"/>
    <w:tmpl w:val="8D56C6A0"/>
    <w:styleLink w:val="StyleBulletedSymbolsymbolBefore16cmHanging063cm1"/>
    <w:lvl w:ilvl="0">
      <w:start w:val="1"/>
      <w:numFmt w:val="bullet"/>
      <w:lvlText w:val=""/>
      <w:lvlJc w:val="left"/>
      <w:pPr>
        <w:tabs>
          <w:tab w:val="num" w:pos="1627"/>
        </w:tabs>
        <w:ind w:left="1627" w:hanging="720"/>
      </w:pPr>
      <w:rPr>
        <w:rFonts w:ascii="Symbol" w:hAnsi="Symbol" w:cs="Times New Roman" w:hint="default"/>
        <w:sz w:val="22"/>
        <w:szCs w:val="22"/>
      </w:rPr>
    </w:lvl>
    <w:lvl w:ilvl="1">
      <w:start w:val="1"/>
      <w:numFmt w:val="lowerRoman"/>
      <w:lvlText w:val="%2)"/>
      <w:lvlJc w:val="left"/>
      <w:pPr>
        <w:tabs>
          <w:tab w:val="num" w:pos="1440"/>
        </w:tabs>
        <w:ind w:left="1440" w:hanging="533"/>
      </w:pPr>
      <w:rPr>
        <w:rFonts w:hint="default"/>
        <w:sz w:val="22"/>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2886688E"/>
    <w:multiLevelType w:val="hybridMultilevel"/>
    <w:tmpl w:val="1FAED6C4"/>
    <w:lvl w:ilvl="0" w:tplc="07021708">
      <w:start w:val="1"/>
      <w:numFmt w:val="decimal"/>
      <w:lvlText w:val="%1."/>
      <w:lvlJc w:val="left"/>
      <w:pPr>
        <w:ind w:left="1440" w:hanging="360"/>
      </w:pPr>
      <w:rPr>
        <w:rFonts w:hint="default"/>
        <w:i w:val="0"/>
      </w:rPr>
    </w:lvl>
    <w:lvl w:ilvl="1" w:tplc="0809001B">
      <w:start w:val="1"/>
      <w:numFmt w:val="lowerRoman"/>
      <w:lvlText w:val="%2."/>
      <w:lvlJc w:val="right"/>
      <w:pPr>
        <w:ind w:left="2160" w:hanging="360"/>
      </w:pPr>
      <w:rPr>
        <w:rFonts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06D14A2"/>
    <w:multiLevelType w:val="multilevel"/>
    <w:tmpl w:val="EA4E469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E83E54"/>
    <w:multiLevelType w:val="hybridMultilevel"/>
    <w:tmpl w:val="3A44CE20"/>
    <w:lvl w:ilvl="0" w:tplc="31F605EA">
      <w:start w:val="1"/>
      <w:numFmt w:val="decimal"/>
      <w:pStyle w:val="F9-Paragraph"/>
      <w:lvlText w:val="%1."/>
      <w:lvlJc w:val="left"/>
      <w:pPr>
        <w:ind w:left="720" w:hanging="360"/>
      </w:pPr>
      <w:rPr>
        <w:rFonts w:asciiTheme="minorHAnsi" w:hAnsiTheme="minorHAnsi" w:cstheme="minorHAnsi" w:hint="default"/>
        <w:b w:val="0"/>
        <w:bCs/>
        <w:i w:val="0"/>
        <w:i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902408"/>
    <w:multiLevelType w:val="multilevel"/>
    <w:tmpl w:val="994A2726"/>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18A0F99"/>
    <w:multiLevelType w:val="multilevel"/>
    <w:tmpl w:val="DFDA556C"/>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i w:val="0"/>
        <w:i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54E67BEE"/>
    <w:lvl w:ilvl="0" w:tplc="D85612D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BAADA60">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6"/>
  </w:num>
  <w:num w:numId="2" w16cid:durableId="802893121">
    <w:abstractNumId w:val="5"/>
  </w:num>
  <w:num w:numId="3" w16cid:durableId="874538197">
    <w:abstractNumId w:val="2"/>
  </w:num>
  <w:num w:numId="4" w16cid:durableId="1864591591">
    <w:abstractNumId w:val="3"/>
  </w:num>
  <w:num w:numId="5" w16cid:durableId="832574242">
    <w:abstractNumId w:val="4"/>
  </w:num>
  <w:num w:numId="6" w16cid:durableId="1493062241">
    <w:abstractNumId w:val="0"/>
  </w:num>
  <w:num w:numId="7" w16cid:durableId="1184829398">
    <w:abstractNumId w:val="3"/>
    <w:lvlOverride w:ilvl="0">
      <w:startOverride w:val="1"/>
    </w:lvlOverride>
  </w:num>
  <w:num w:numId="8" w16cid:durableId="257451729">
    <w:abstractNumId w:val="1"/>
  </w:num>
  <w:num w:numId="9" w16cid:durableId="1284650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89691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9366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60712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5091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9126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54334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12863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2663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14776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777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86461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677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9926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5860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6297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2223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1647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6877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4790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4683510">
    <w:abstractNumId w:val="3"/>
    <w:lvlOverride w:ilvl="0">
      <w:startOverride w:val="1"/>
    </w:lvlOverride>
  </w:num>
  <w:num w:numId="30" w16cid:durableId="941719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61409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54592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92909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4594916">
    <w:abstractNumId w:val="3"/>
    <w:lvlOverride w:ilvl="0">
      <w:startOverride w:val="1"/>
    </w:lvlOverride>
  </w:num>
  <w:num w:numId="35" w16cid:durableId="11872591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8800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0525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9112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5367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94526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020627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29107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83336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89069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485494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39803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58696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478911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94934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941673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721334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80571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82375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83989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766553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3233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909609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53374274">
    <w:abstractNumId w:val="3"/>
    <w:lvlOverride w:ilvl="0">
      <w:startOverride w:val="1"/>
    </w:lvlOverride>
  </w:num>
  <w:num w:numId="59" w16cid:durableId="8650214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03506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34419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60818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87865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22578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658535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724312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747645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62269907">
    <w:abstractNumId w:val="3"/>
    <w:lvlOverride w:ilvl="0">
      <w:startOverride w:val="1"/>
    </w:lvlOverride>
  </w:num>
  <w:num w:numId="69" w16cid:durableId="1894000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0057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56403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1521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458981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06932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106558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60494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93364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48701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98579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550204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77759572">
    <w:abstractNumId w:val="3"/>
    <w:lvlOverride w:ilvl="0">
      <w:startOverride w:val="1"/>
    </w:lvlOverride>
  </w:num>
  <w:num w:numId="82" w16cid:durableId="179392159">
    <w:abstractNumId w:val="3"/>
    <w:lvlOverride w:ilvl="0">
      <w:startOverride w:val="1"/>
    </w:lvlOverride>
  </w:num>
  <w:num w:numId="83" w16cid:durableId="338582668">
    <w:abstractNumId w:val="3"/>
  </w:num>
  <w:num w:numId="84" w16cid:durableId="941841496">
    <w:abstractNumId w:val="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2033"/>
    <w:rsid w:val="00024522"/>
    <w:rsid w:val="00024B2E"/>
    <w:rsid w:val="00027F4F"/>
    <w:rsid w:val="00030430"/>
    <w:rsid w:val="0003078E"/>
    <w:rsid w:val="00031B89"/>
    <w:rsid w:val="0003693D"/>
    <w:rsid w:val="000401FD"/>
    <w:rsid w:val="0004440F"/>
    <w:rsid w:val="00046935"/>
    <w:rsid w:val="0004751B"/>
    <w:rsid w:val="00052C8A"/>
    <w:rsid w:val="000548C8"/>
    <w:rsid w:val="00055850"/>
    <w:rsid w:val="00055A24"/>
    <w:rsid w:val="00064A1B"/>
    <w:rsid w:val="00075605"/>
    <w:rsid w:val="00075C66"/>
    <w:rsid w:val="000773EF"/>
    <w:rsid w:val="000817D4"/>
    <w:rsid w:val="00082879"/>
    <w:rsid w:val="00084ABE"/>
    <w:rsid w:val="00091EEA"/>
    <w:rsid w:val="0009225F"/>
    <w:rsid w:val="00096E9B"/>
    <w:rsid w:val="000970EF"/>
    <w:rsid w:val="000A0A78"/>
    <w:rsid w:val="000A105C"/>
    <w:rsid w:val="000C06B3"/>
    <w:rsid w:val="000C0D45"/>
    <w:rsid w:val="000C2DDC"/>
    <w:rsid w:val="000C42B7"/>
    <w:rsid w:val="000C5F5A"/>
    <w:rsid w:val="000D139B"/>
    <w:rsid w:val="000D2FD4"/>
    <w:rsid w:val="000D3232"/>
    <w:rsid w:val="000D54F8"/>
    <w:rsid w:val="000E5838"/>
    <w:rsid w:val="000F1B7B"/>
    <w:rsid w:val="000F2ED4"/>
    <w:rsid w:val="001028E8"/>
    <w:rsid w:val="00102FB0"/>
    <w:rsid w:val="00103043"/>
    <w:rsid w:val="001067D0"/>
    <w:rsid w:val="00122FCC"/>
    <w:rsid w:val="001235D0"/>
    <w:rsid w:val="00124C2B"/>
    <w:rsid w:val="00126752"/>
    <w:rsid w:val="00130B30"/>
    <w:rsid w:val="0013372F"/>
    <w:rsid w:val="001402B8"/>
    <w:rsid w:val="00140E1C"/>
    <w:rsid w:val="00147AE4"/>
    <w:rsid w:val="001571E5"/>
    <w:rsid w:val="00176DB5"/>
    <w:rsid w:val="00177666"/>
    <w:rsid w:val="00183EDC"/>
    <w:rsid w:val="001849CA"/>
    <w:rsid w:val="00185410"/>
    <w:rsid w:val="00192352"/>
    <w:rsid w:val="00196ADB"/>
    <w:rsid w:val="001B4D5A"/>
    <w:rsid w:val="001C113C"/>
    <w:rsid w:val="001C2B1E"/>
    <w:rsid w:val="001C4D63"/>
    <w:rsid w:val="001D0DE0"/>
    <w:rsid w:val="001D54A6"/>
    <w:rsid w:val="001D5AFF"/>
    <w:rsid w:val="001D74B4"/>
    <w:rsid w:val="001E03E1"/>
    <w:rsid w:val="001F059F"/>
    <w:rsid w:val="00200811"/>
    <w:rsid w:val="00200CA1"/>
    <w:rsid w:val="002042C2"/>
    <w:rsid w:val="0021338D"/>
    <w:rsid w:val="00214199"/>
    <w:rsid w:val="00214D43"/>
    <w:rsid w:val="002208E1"/>
    <w:rsid w:val="00223090"/>
    <w:rsid w:val="002238B4"/>
    <w:rsid w:val="002244A6"/>
    <w:rsid w:val="002319AB"/>
    <w:rsid w:val="002319AC"/>
    <w:rsid w:val="00234342"/>
    <w:rsid w:val="0024040D"/>
    <w:rsid w:val="00251CD7"/>
    <w:rsid w:val="00255FA3"/>
    <w:rsid w:val="00257288"/>
    <w:rsid w:val="00261D77"/>
    <w:rsid w:val="00261FB6"/>
    <w:rsid w:val="002629F8"/>
    <w:rsid w:val="00263396"/>
    <w:rsid w:val="002659FA"/>
    <w:rsid w:val="00267815"/>
    <w:rsid w:val="00280DDF"/>
    <w:rsid w:val="002917FF"/>
    <w:rsid w:val="00291856"/>
    <w:rsid w:val="00292ADF"/>
    <w:rsid w:val="00296DBB"/>
    <w:rsid w:val="002A0DEC"/>
    <w:rsid w:val="002B1C53"/>
    <w:rsid w:val="002B1E6E"/>
    <w:rsid w:val="002B6666"/>
    <w:rsid w:val="002D0ED4"/>
    <w:rsid w:val="002E0BE4"/>
    <w:rsid w:val="002E3B58"/>
    <w:rsid w:val="002E3E8A"/>
    <w:rsid w:val="002E421B"/>
    <w:rsid w:val="002E4C53"/>
    <w:rsid w:val="002E6A6A"/>
    <w:rsid w:val="002F3397"/>
    <w:rsid w:val="002F6FD6"/>
    <w:rsid w:val="0030380D"/>
    <w:rsid w:val="00312411"/>
    <w:rsid w:val="00323E71"/>
    <w:rsid w:val="00326F77"/>
    <w:rsid w:val="003401B0"/>
    <w:rsid w:val="00345D54"/>
    <w:rsid w:val="00346C8E"/>
    <w:rsid w:val="003508FB"/>
    <w:rsid w:val="00352998"/>
    <w:rsid w:val="00354576"/>
    <w:rsid w:val="00367B30"/>
    <w:rsid w:val="00367BD5"/>
    <w:rsid w:val="00382FC2"/>
    <w:rsid w:val="00390327"/>
    <w:rsid w:val="00393B78"/>
    <w:rsid w:val="003A01E9"/>
    <w:rsid w:val="003A59F6"/>
    <w:rsid w:val="003A7FA3"/>
    <w:rsid w:val="003B053F"/>
    <w:rsid w:val="003B0C9A"/>
    <w:rsid w:val="003B67F9"/>
    <w:rsid w:val="003C0306"/>
    <w:rsid w:val="003C114C"/>
    <w:rsid w:val="003C18E9"/>
    <w:rsid w:val="003C23CC"/>
    <w:rsid w:val="003C465D"/>
    <w:rsid w:val="003C743E"/>
    <w:rsid w:val="003D0718"/>
    <w:rsid w:val="003D495D"/>
    <w:rsid w:val="003D5793"/>
    <w:rsid w:val="003E098E"/>
    <w:rsid w:val="003E2FAE"/>
    <w:rsid w:val="003E4246"/>
    <w:rsid w:val="003E56EC"/>
    <w:rsid w:val="003F3C6F"/>
    <w:rsid w:val="00405211"/>
    <w:rsid w:val="00407CF7"/>
    <w:rsid w:val="00411D6A"/>
    <w:rsid w:val="00415ED6"/>
    <w:rsid w:val="00417CAF"/>
    <w:rsid w:val="00420A11"/>
    <w:rsid w:val="00420B86"/>
    <w:rsid w:val="00422265"/>
    <w:rsid w:val="004373A7"/>
    <w:rsid w:val="00437AB1"/>
    <w:rsid w:val="00437D94"/>
    <w:rsid w:val="00440088"/>
    <w:rsid w:val="0044030C"/>
    <w:rsid w:val="00464081"/>
    <w:rsid w:val="004648A4"/>
    <w:rsid w:val="004701A1"/>
    <w:rsid w:val="00471380"/>
    <w:rsid w:val="004838C4"/>
    <w:rsid w:val="00486DBB"/>
    <w:rsid w:val="00494F0D"/>
    <w:rsid w:val="004958A3"/>
    <w:rsid w:val="00496BFD"/>
    <w:rsid w:val="00496C2D"/>
    <w:rsid w:val="004A31C3"/>
    <w:rsid w:val="004A3DF2"/>
    <w:rsid w:val="004B0303"/>
    <w:rsid w:val="004B1EC7"/>
    <w:rsid w:val="004C361D"/>
    <w:rsid w:val="004C4891"/>
    <w:rsid w:val="004D2C89"/>
    <w:rsid w:val="004D2D46"/>
    <w:rsid w:val="004E3932"/>
    <w:rsid w:val="004E4F75"/>
    <w:rsid w:val="004F00AA"/>
    <w:rsid w:val="004F1E79"/>
    <w:rsid w:val="004F261E"/>
    <w:rsid w:val="004F4901"/>
    <w:rsid w:val="004F5F33"/>
    <w:rsid w:val="0050103A"/>
    <w:rsid w:val="00511B0F"/>
    <w:rsid w:val="00513C9B"/>
    <w:rsid w:val="00516600"/>
    <w:rsid w:val="005233DE"/>
    <w:rsid w:val="005239CE"/>
    <w:rsid w:val="005250FF"/>
    <w:rsid w:val="005333CA"/>
    <w:rsid w:val="0053393A"/>
    <w:rsid w:val="00535B05"/>
    <w:rsid w:val="00543A9C"/>
    <w:rsid w:val="00546B87"/>
    <w:rsid w:val="00547308"/>
    <w:rsid w:val="005477DD"/>
    <w:rsid w:val="0055230A"/>
    <w:rsid w:val="0055388E"/>
    <w:rsid w:val="005754AE"/>
    <w:rsid w:val="00577FB5"/>
    <w:rsid w:val="005852D1"/>
    <w:rsid w:val="00587A22"/>
    <w:rsid w:val="005905A6"/>
    <w:rsid w:val="0059299D"/>
    <w:rsid w:val="00595C8C"/>
    <w:rsid w:val="00597747"/>
    <w:rsid w:val="005A1A42"/>
    <w:rsid w:val="005A1C12"/>
    <w:rsid w:val="005A49B8"/>
    <w:rsid w:val="005A4CDD"/>
    <w:rsid w:val="005B4FE9"/>
    <w:rsid w:val="005B57E4"/>
    <w:rsid w:val="005B5ABD"/>
    <w:rsid w:val="005C140A"/>
    <w:rsid w:val="005C1E52"/>
    <w:rsid w:val="005C1F0B"/>
    <w:rsid w:val="005C3367"/>
    <w:rsid w:val="005C6763"/>
    <w:rsid w:val="005D3164"/>
    <w:rsid w:val="005D4EDE"/>
    <w:rsid w:val="005D686B"/>
    <w:rsid w:val="005E0344"/>
    <w:rsid w:val="005E0A7B"/>
    <w:rsid w:val="005E440B"/>
    <w:rsid w:val="005E6C47"/>
    <w:rsid w:val="005F1BE4"/>
    <w:rsid w:val="005F2169"/>
    <w:rsid w:val="005F2C85"/>
    <w:rsid w:val="005F4047"/>
    <w:rsid w:val="00605ADB"/>
    <w:rsid w:val="00611C9F"/>
    <w:rsid w:val="006120F4"/>
    <w:rsid w:val="00612362"/>
    <w:rsid w:val="00616532"/>
    <w:rsid w:val="00621AAA"/>
    <w:rsid w:val="006248DE"/>
    <w:rsid w:val="00624DEC"/>
    <w:rsid w:val="006255F0"/>
    <w:rsid w:val="00625DD2"/>
    <w:rsid w:val="00627555"/>
    <w:rsid w:val="006322A0"/>
    <w:rsid w:val="006361FD"/>
    <w:rsid w:val="0064226F"/>
    <w:rsid w:val="00642C94"/>
    <w:rsid w:val="00642DDB"/>
    <w:rsid w:val="0064401F"/>
    <w:rsid w:val="00645342"/>
    <w:rsid w:val="00653298"/>
    <w:rsid w:val="00663A7C"/>
    <w:rsid w:val="00667DF2"/>
    <w:rsid w:val="00670DF1"/>
    <w:rsid w:val="00671345"/>
    <w:rsid w:val="00672A9B"/>
    <w:rsid w:val="00674994"/>
    <w:rsid w:val="00675884"/>
    <w:rsid w:val="006879BA"/>
    <w:rsid w:val="00696EE0"/>
    <w:rsid w:val="00697980"/>
    <w:rsid w:val="00697B62"/>
    <w:rsid w:val="006A19EF"/>
    <w:rsid w:val="006A43D5"/>
    <w:rsid w:val="006A525B"/>
    <w:rsid w:val="006B1BA1"/>
    <w:rsid w:val="006B38B3"/>
    <w:rsid w:val="006B5B1E"/>
    <w:rsid w:val="006B6ED2"/>
    <w:rsid w:val="006C045F"/>
    <w:rsid w:val="006C4196"/>
    <w:rsid w:val="006C5A2F"/>
    <w:rsid w:val="006C63B0"/>
    <w:rsid w:val="006C76A2"/>
    <w:rsid w:val="006C792E"/>
    <w:rsid w:val="006D116C"/>
    <w:rsid w:val="006D3972"/>
    <w:rsid w:val="006E715F"/>
    <w:rsid w:val="006E7C42"/>
    <w:rsid w:val="006F168A"/>
    <w:rsid w:val="006F5076"/>
    <w:rsid w:val="006F6009"/>
    <w:rsid w:val="006F7E5F"/>
    <w:rsid w:val="0070321D"/>
    <w:rsid w:val="00703B5B"/>
    <w:rsid w:val="007068BA"/>
    <w:rsid w:val="00716AB1"/>
    <w:rsid w:val="00721D63"/>
    <w:rsid w:val="00723B63"/>
    <w:rsid w:val="00723C09"/>
    <w:rsid w:val="00724B2B"/>
    <w:rsid w:val="00725A14"/>
    <w:rsid w:val="00732C7B"/>
    <w:rsid w:val="00734D2B"/>
    <w:rsid w:val="00737705"/>
    <w:rsid w:val="007408D4"/>
    <w:rsid w:val="007420AC"/>
    <w:rsid w:val="00742617"/>
    <w:rsid w:val="00746D53"/>
    <w:rsid w:val="00754338"/>
    <w:rsid w:val="007559ED"/>
    <w:rsid w:val="00783AFA"/>
    <w:rsid w:val="00785427"/>
    <w:rsid w:val="00790540"/>
    <w:rsid w:val="007968CA"/>
    <w:rsid w:val="007A2803"/>
    <w:rsid w:val="007A2F31"/>
    <w:rsid w:val="007A43FF"/>
    <w:rsid w:val="007A4511"/>
    <w:rsid w:val="007A72FA"/>
    <w:rsid w:val="007B3918"/>
    <w:rsid w:val="007C1B90"/>
    <w:rsid w:val="007C3C1D"/>
    <w:rsid w:val="007D199A"/>
    <w:rsid w:val="007D2EBE"/>
    <w:rsid w:val="007E02F2"/>
    <w:rsid w:val="007E1C07"/>
    <w:rsid w:val="007E2573"/>
    <w:rsid w:val="007E6632"/>
    <w:rsid w:val="007F01C6"/>
    <w:rsid w:val="007F24B6"/>
    <w:rsid w:val="007F2D69"/>
    <w:rsid w:val="007F53C0"/>
    <w:rsid w:val="007F748F"/>
    <w:rsid w:val="008002DE"/>
    <w:rsid w:val="00803D94"/>
    <w:rsid w:val="008041A6"/>
    <w:rsid w:val="00807B47"/>
    <w:rsid w:val="00821337"/>
    <w:rsid w:val="008229BA"/>
    <w:rsid w:val="00824151"/>
    <w:rsid w:val="008422E0"/>
    <w:rsid w:val="00843A3B"/>
    <w:rsid w:val="00845390"/>
    <w:rsid w:val="0084601B"/>
    <w:rsid w:val="00846A6F"/>
    <w:rsid w:val="00857F27"/>
    <w:rsid w:val="008606F0"/>
    <w:rsid w:val="00865489"/>
    <w:rsid w:val="0086553D"/>
    <w:rsid w:val="00874FEB"/>
    <w:rsid w:val="00875150"/>
    <w:rsid w:val="00881B6F"/>
    <w:rsid w:val="00881EFF"/>
    <w:rsid w:val="00882AA4"/>
    <w:rsid w:val="00883E22"/>
    <w:rsid w:val="00884E43"/>
    <w:rsid w:val="00887EC6"/>
    <w:rsid w:val="0089084C"/>
    <w:rsid w:val="0089141D"/>
    <w:rsid w:val="00892629"/>
    <w:rsid w:val="00893409"/>
    <w:rsid w:val="00893D9F"/>
    <w:rsid w:val="008A147B"/>
    <w:rsid w:val="008A16A3"/>
    <w:rsid w:val="008A2379"/>
    <w:rsid w:val="008A4329"/>
    <w:rsid w:val="008A578E"/>
    <w:rsid w:val="008B0149"/>
    <w:rsid w:val="008B015A"/>
    <w:rsid w:val="008B041C"/>
    <w:rsid w:val="008B1519"/>
    <w:rsid w:val="008B7BCC"/>
    <w:rsid w:val="008C0542"/>
    <w:rsid w:val="008C1206"/>
    <w:rsid w:val="008C3271"/>
    <w:rsid w:val="008C50C3"/>
    <w:rsid w:val="008C7094"/>
    <w:rsid w:val="008D272E"/>
    <w:rsid w:val="008D2B97"/>
    <w:rsid w:val="008D49A5"/>
    <w:rsid w:val="008D6C81"/>
    <w:rsid w:val="008E6CF0"/>
    <w:rsid w:val="008F1439"/>
    <w:rsid w:val="008F47B5"/>
    <w:rsid w:val="008F5040"/>
    <w:rsid w:val="008F580F"/>
    <w:rsid w:val="008F7051"/>
    <w:rsid w:val="00902F11"/>
    <w:rsid w:val="009033A9"/>
    <w:rsid w:val="00904865"/>
    <w:rsid w:val="0090581D"/>
    <w:rsid w:val="0091439C"/>
    <w:rsid w:val="00915E74"/>
    <w:rsid w:val="00920461"/>
    <w:rsid w:val="00920572"/>
    <w:rsid w:val="00920BF2"/>
    <w:rsid w:val="00930E37"/>
    <w:rsid w:val="009349A9"/>
    <w:rsid w:val="00934C46"/>
    <w:rsid w:val="009350FE"/>
    <w:rsid w:val="00936C52"/>
    <w:rsid w:val="009436C1"/>
    <w:rsid w:val="00945609"/>
    <w:rsid w:val="009507D5"/>
    <w:rsid w:val="0095210D"/>
    <w:rsid w:val="00952D9E"/>
    <w:rsid w:val="0095489B"/>
    <w:rsid w:val="00962487"/>
    <w:rsid w:val="00966FB9"/>
    <w:rsid w:val="009671CD"/>
    <w:rsid w:val="00970500"/>
    <w:rsid w:val="009742CF"/>
    <w:rsid w:val="009751A9"/>
    <w:rsid w:val="00976A77"/>
    <w:rsid w:val="00980F9C"/>
    <w:rsid w:val="0098632B"/>
    <w:rsid w:val="00997BFB"/>
    <w:rsid w:val="009A4D79"/>
    <w:rsid w:val="009A7348"/>
    <w:rsid w:val="009B462C"/>
    <w:rsid w:val="009B7543"/>
    <w:rsid w:val="009C15F3"/>
    <w:rsid w:val="009C3689"/>
    <w:rsid w:val="009C5CC8"/>
    <w:rsid w:val="009C627F"/>
    <w:rsid w:val="009D536D"/>
    <w:rsid w:val="009D71A8"/>
    <w:rsid w:val="009E03F0"/>
    <w:rsid w:val="009E07C2"/>
    <w:rsid w:val="009E0A99"/>
    <w:rsid w:val="009E0E52"/>
    <w:rsid w:val="009E2C47"/>
    <w:rsid w:val="009F72F9"/>
    <w:rsid w:val="009F7F14"/>
    <w:rsid w:val="00A00205"/>
    <w:rsid w:val="00A00AF0"/>
    <w:rsid w:val="00A14B5A"/>
    <w:rsid w:val="00A34202"/>
    <w:rsid w:val="00A34A99"/>
    <w:rsid w:val="00A3567F"/>
    <w:rsid w:val="00A37698"/>
    <w:rsid w:val="00A401FA"/>
    <w:rsid w:val="00A41ED3"/>
    <w:rsid w:val="00A52A73"/>
    <w:rsid w:val="00A53132"/>
    <w:rsid w:val="00A54F8C"/>
    <w:rsid w:val="00A73893"/>
    <w:rsid w:val="00A80F82"/>
    <w:rsid w:val="00A81D82"/>
    <w:rsid w:val="00A84D2D"/>
    <w:rsid w:val="00A86402"/>
    <w:rsid w:val="00A9118F"/>
    <w:rsid w:val="00A93E33"/>
    <w:rsid w:val="00AA2B4A"/>
    <w:rsid w:val="00AA4330"/>
    <w:rsid w:val="00AB3129"/>
    <w:rsid w:val="00AB6970"/>
    <w:rsid w:val="00AB7B08"/>
    <w:rsid w:val="00AC1939"/>
    <w:rsid w:val="00AC2C5B"/>
    <w:rsid w:val="00AC7C05"/>
    <w:rsid w:val="00AD167C"/>
    <w:rsid w:val="00AD17C7"/>
    <w:rsid w:val="00AD22F6"/>
    <w:rsid w:val="00AD4041"/>
    <w:rsid w:val="00AE302B"/>
    <w:rsid w:val="00AE4DF6"/>
    <w:rsid w:val="00AE6177"/>
    <w:rsid w:val="00B0049D"/>
    <w:rsid w:val="00B0248D"/>
    <w:rsid w:val="00B04C9C"/>
    <w:rsid w:val="00B0755D"/>
    <w:rsid w:val="00B1347F"/>
    <w:rsid w:val="00B155B6"/>
    <w:rsid w:val="00B16BE5"/>
    <w:rsid w:val="00B1766D"/>
    <w:rsid w:val="00B17A2B"/>
    <w:rsid w:val="00B23A5E"/>
    <w:rsid w:val="00B259DF"/>
    <w:rsid w:val="00B44B1F"/>
    <w:rsid w:val="00B50548"/>
    <w:rsid w:val="00B50616"/>
    <w:rsid w:val="00B53027"/>
    <w:rsid w:val="00B64141"/>
    <w:rsid w:val="00B64E72"/>
    <w:rsid w:val="00B77913"/>
    <w:rsid w:val="00B824FB"/>
    <w:rsid w:val="00B82646"/>
    <w:rsid w:val="00B83B5D"/>
    <w:rsid w:val="00B97359"/>
    <w:rsid w:val="00B97A8F"/>
    <w:rsid w:val="00BA4E58"/>
    <w:rsid w:val="00BA7074"/>
    <w:rsid w:val="00BB75AB"/>
    <w:rsid w:val="00BB7829"/>
    <w:rsid w:val="00BD0B6E"/>
    <w:rsid w:val="00BD1457"/>
    <w:rsid w:val="00BD3051"/>
    <w:rsid w:val="00BD60DC"/>
    <w:rsid w:val="00BE2AD9"/>
    <w:rsid w:val="00BE662E"/>
    <w:rsid w:val="00BF27FE"/>
    <w:rsid w:val="00C043B3"/>
    <w:rsid w:val="00C079AB"/>
    <w:rsid w:val="00C10E61"/>
    <w:rsid w:val="00C14787"/>
    <w:rsid w:val="00C1596D"/>
    <w:rsid w:val="00C15B8D"/>
    <w:rsid w:val="00C17010"/>
    <w:rsid w:val="00C20562"/>
    <w:rsid w:val="00C215C3"/>
    <w:rsid w:val="00C23A96"/>
    <w:rsid w:val="00C249C6"/>
    <w:rsid w:val="00C255C6"/>
    <w:rsid w:val="00C30264"/>
    <w:rsid w:val="00C32CC1"/>
    <w:rsid w:val="00C426EC"/>
    <w:rsid w:val="00C54B0C"/>
    <w:rsid w:val="00C57CB3"/>
    <w:rsid w:val="00C60FB7"/>
    <w:rsid w:val="00C63182"/>
    <w:rsid w:val="00C6483C"/>
    <w:rsid w:val="00C64AE9"/>
    <w:rsid w:val="00C70CFF"/>
    <w:rsid w:val="00C718FE"/>
    <w:rsid w:val="00C83AD5"/>
    <w:rsid w:val="00C86CEC"/>
    <w:rsid w:val="00C8773D"/>
    <w:rsid w:val="00C87ABB"/>
    <w:rsid w:val="00C91831"/>
    <w:rsid w:val="00C953DF"/>
    <w:rsid w:val="00C963E6"/>
    <w:rsid w:val="00CB1C10"/>
    <w:rsid w:val="00CB2032"/>
    <w:rsid w:val="00CD2F97"/>
    <w:rsid w:val="00CD347E"/>
    <w:rsid w:val="00CD5401"/>
    <w:rsid w:val="00CE01DE"/>
    <w:rsid w:val="00CE2709"/>
    <w:rsid w:val="00CE2D64"/>
    <w:rsid w:val="00CE3296"/>
    <w:rsid w:val="00CE6198"/>
    <w:rsid w:val="00CE62E3"/>
    <w:rsid w:val="00CE6CD6"/>
    <w:rsid w:val="00CF10B0"/>
    <w:rsid w:val="00CF19AD"/>
    <w:rsid w:val="00CF2A3E"/>
    <w:rsid w:val="00CF4344"/>
    <w:rsid w:val="00CF6230"/>
    <w:rsid w:val="00D017FC"/>
    <w:rsid w:val="00D0226A"/>
    <w:rsid w:val="00D13147"/>
    <w:rsid w:val="00D20E07"/>
    <w:rsid w:val="00D301A2"/>
    <w:rsid w:val="00D4039F"/>
    <w:rsid w:val="00D43481"/>
    <w:rsid w:val="00D44CF8"/>
    <w:rsid w:val="00D45A16"/>
    <w:rsid w:val="00D463FF"/>
    <w:rsid w:val="00D5715A"/>
    <w:rsid w:val="00D60BCB"/>
    <w:rsid w:val="00D71687"/>
    <w:rsid w:val="00D74813"/>
    <w:rsid w:val="00D9411E"/>
    <w:rsid w:val="00DA1054"/>
    <w:rsid w:val="00DA30BC"/>
    <w:rsid w:val="00DA6493"/>
    <w:rsid w:val="00DA69C2"/>
    <w:rsid w:val="00DA6D70"/>
    <w:rsid w:val="00DB2947"/>
    <w:rsid w:val="00DB3CA5"/>
    <w:rsid w:val="00DB6050"/>
    <w:rsid w:val="00DC2C34"/>
    <w:rsid w:val="00DD6237"/>
    <w:rsid w:val="00DD7520"/>
    <w:rsid w:val="00DE0235"/>
    <w:rsid w:val="00DE2C87"/>
    <w:rsid w:val="00DE459A"/>
    <w:rsid w:val="00DF1484"/>
    <w:rsid w:val="00DF27DA"/>
    <w:rsid w:val="00DF4DBE"/>
    <w:rsid w:val="00DF64B7"/>
    <w:rsid w:val="00E0009B"/>
    <w:rsid w:val="00E07125"/>
    <w:rsid w:val="00E10167"/>
    <w:rsid w:val="00E16182"/>
    <w:rsid w:val="00E272B5"/>
    <w:rsid w:val="00E40820"/>
    <w:rsid w:val="00E4658F"/>
    <w:rsid w:val="00E47437"/>
    <w:rsid w:val="00E54A67"/>
    <w:rsid w:val="00E607CD"/>
    <w:rsid w:val="00E61C0D"/>
    <w:rsid w:val="00E63EB4"/>
    <w:rsid w:val="00E66160"/>
    <w:rsid w:val="00E71329"/>
    <w:rsid w:val="00E74FE0"/>
    <w:rsid w:val="00E82A51"/>
    <w:rsid w:val="00E8363B"/>
    <w:rsid w:val="00E84966"/>
    <w:rsid w:val="00E92383"/>
    <w:rsid w:val="00E97B4B"/>
    <w:rsid w:val="00EA1B3A"/>
    <w:rsid w:val="00EA2109"/>
    <w:rsid w:val="00EA6C03"/>
    <w:rsid w:val="00EB057A"/>
    <w:rsid w:val="00EB6ECB"/>
    <w:rsid w:val="00EC74C1"/>
    <w:rsid w:val="00ED4D4E"/>
    <w:rsid w:val="00EE0C77"/>
    <w:rsid w:val="00EE4138"/>
    <w:rsid w:val="00EE4E54"/>
    <w:rsid w:val="00EE70B0"/>
    <w:rsid w:val="00EF4334"/>
    <w:rsid w:val="00F00EA2"/>
    <w:rsid w:val="00F05AC8"/>
    <w:rsid w:val="00F06561"/>
    <w:rsid w:val="00F436BB"/>
    <w:rsid w:val="00F47145"/>
    <w:rsid w:val="00F54291"/>
    <w:rsid w:val="00F545BF"/>
    <w:rsid w:val="00F553A3"/>
    <w:rsid w:val="00F64300"/>
    <w:rsid w:val="00F64EB0"/>
    <w:rsid w:val="00F71B56"/>
    <w:rsid w:val="00F832C8"/>
    <w:rsid w:val="00F873B3"/>
    <w:rsid w:val="00F87C3A"/>
    <w:rsid w:val="00FA00BE"/>
    <w:rsid w:val="00FA33FE"/>
    <w:rsid w:val="00FA3FA3"/>
    <w:rsid w:val="00FA400F"/>
    <w:rsid w:val="00FA42B9"/>
    <w:rsid w:val="00FA5320"/>
    <w:rsid w:val="00FA755A"/>
    <w:rsid w:val="00FA76D3"/>
    <w:rsid w:val="00FB2B0F"/>
    <w:rsid w:val="00FB4F6B"/>
    <w:rsid w:val="00FB5FE1"/>
    <w:rsid w:val="00FB6827"/>
    <w:rsid w:val="00FB7FD2"/>
    <w:rsid w:val="00FC0E8D"/>
    <w:rsid w:val="00FC46EF"/>
    <w:rsid w:val="00FD0A1C"/>
    <w:rsid w:val="00FD2194"/>
    <w:rsid w:val="00FD31B3"/>
    <w:rsid w:val="00FD4204"/>
    <w:rsid w:val="00FE21DC"/>
    <w:rsid w:val="00FF3CCB"/>
    <w:rsid w:val="00FF456D"/>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DD752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DD7520"/>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nhideWhenUsed/>
    <w:qFormat/>
    <w:rsid w:val="00547308"/>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nhideWhenUsed/>
    <w:qFormat/>
    <w:rsid w:val="00547308"/>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nhideWhenUsed/>
    <w:qFormat/>
    <w:rsid w:val="00547308"/>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DD7520"/>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DD7520"/>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FD2194"/>
    <w:pPr>
      <w:numPr>
        <w:numId w:val="1"/>
      </w:numPr>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DD7520"/>
    <w:pPr>
      <w:numPr>
        <w:numId w:val="5"/>
      </w:numPr>
      <w:spacing w:before="240" w:after="120"/>
      <w:ind w:left="1843"/>
    </w:pPr>
    <w:rPr>
      <w:rFonts w:asciiTheme="minorHAnsi" w:eastAsiaTheme="minorHAnsi" w:hAnsiTheme="minorHAnsi" w:cstheme="minorBidi"/>
      <w:bCs/>
      <w:lang w:bidi="ar-SA"/>
    </w:rPr>
  </w:style>
  <w:style w:type="paragraph" w:customStyle="1" w:styleId="NumList2">
    <w:name w:val="Num List 2"/>
    <w:basedOn w:val="Normal"/>
    <w:uiPriority w:val="1"/>
    <w:qFormat/>
    <w:rsid w:val="00DD7520"/>
    <w:pPr>
      <w:numPr>
        <w:ilvl w:val="1"/>
        <w:numId w:val="2"/>
      </w:numPr>
      <w:spacing w:before="240" w:after="120"/>
      <w:ind w:left="1276"/>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4F4901"/>
    <w:pPr>
      <w:numPr>
        <w:ilvl w:val="2"/>
      </w:numPr>
      <w:ind w:left="2268"/>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4A31C3"/>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4A31C3"/>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semiHidden/>
    <w:rsid w:val="00547308"/>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semiHidden/>
    <w:rsid w:val="00547308"/>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semiHidden/>
    <w:rsid w:val="00547308"/>
    <w:rPr>
      <w:rFonts w:ascii="Arial" w:eastAsia="Times New Roman" w:hAnsi="Arial"/>
      <w:sz w:val="22"/>
      <w:szCs w:val="22"/>
      <w:lang w:eastAsia="en-US"/>
    </w:rPr>
  </w:style>
  <w:style w:type="paragraph" w:customStyle="1" w:styleId="TSHeadingNumbered1">
    <w:name w:val="TS Heading Numbered 1"/>
    <w:basedOn w:val="Normal"/>
    <w:autoRedefine/>
    <w:rsid w:val="00547308"/>
    <w:pPr>
      <w:tabs>
        <w:tab w:val="num" w:pos="-31680"/>
      </w:tabs>
      <w:spacing w:before="120" w:after="120" w:line="240" w:lineRule="auto"/>
      <w:ind w:left="720" w:hanging="720"/>
      <w:outlineLvl w:val="0"/>
    </w:pPr>
    <w:rPr>
      <w:rFonts w:ascii="Arial Bold" w:eastAsia="Times New Roman" w:hAnsi="Arial Bold" w:cs="Times New Roman"/>
      <w:b/>
      <w:caps/>
      <w:sz w:val="22"/>
      <w:szCs w:val="24"/>
      <w:lang w:eastAsia="en-GB" w:bidi="ar-SA"/>
    </w:rPr>
  </w:style>
  <w:style w:type="paragraph" w:customStyle="1" w:styleId="TSHeadingNumbered11">
    <w:name w:val="TS Heading Numbered 1.1"/>
    <w:basedOn w:val="TSHeadingNumbered1"/>
    <w:rsid w:val="00547308"/>
    <w:rPr>
      <w:rFonts w:ascii="Arial" w:hAnsi="Arial"/>
      <w:b w:val="0"/>
      <w:caps w:val="0"/>
    </w:rPr>
  </w:style>
  <w:style w:type="paragraph" w:customStyle="1" w:styleId="TSHeadingNumbered111">
    <w:name w:val="TS Heading Numbered 1.1.1"/>
    <w:basedOn w:val="TSHeadingNumbered1"/>
    <w:rsid w:val="00547308"/>
  </w:style>
  <w:style w:type="paragraph" w:customStyle="1" w:styleId="TSHeadingNumbered1111">
    <w:name w:val="TS Heading Numbered 1.1.1.1"/>
    <w:basedOn w:val="TSHeadingNumbered1"/>
    <w:rsid w:val="00547308"/>
  </w:style>
  <w:style w:type="paragraph" w:customStyle="1" w:styleId="TSNumberedParagraph11">
    <w:name w:val="TS Numbered Paragraph 1.1"/>
    <w:basedOn w:val="TSHeadingNumbered11"/>
    <w:link w:val="TSNumberedParagraph11Char"/>
    <w:rsid w:val="003F3C6F"/>
    <w:pPr>
      <w:numPr>
        <w:ilvl w:val="1"/>
      </w:numPr>
      <w:tabs>
        <w:tab w:val="num" w:pos="-31680"/>
      </w:tabs>
      <w:ind w:left="720" w:hanging="720"/>
    </w:pPr>
  </w:style>
  <w:style w:type="numbering" w:customStyle="1" w:styleId="StyleBulletedSymbolsymbolBefore16cmHanging063cm1">
    <w:name w:val="Style Bulleted Symbol (symbol) Before:  1.6 cm Hanging:  0.63 cm1"/>
    <w:basedOn w:val="NoList"/>
    <w:rsid w:val="003F3C6F"/>
    <w:pPr>
      <w:numPr>
        <w:numId w:val="6"/>
      </w:numPr>
    </w:pPr>
  </w:style>
  <w:style w:type="character" w:customStyle="1" w:styleId="TSNumberedParagraph11Char">
    <w:name w:val="TS Numbered Paragraph 1.1 Char"/>
    <w:link w:val="TSNumberedParagraph11"/>
    <w:locked/>
    <w:rsid w:val="003F3C6F"/>
    <w:rPr>
      <w:rFonts w:ascii="Arial" w:eastAsia="Times New Roman" w:hAnsi="Arial" w:cs="Times New Roman"/>
      <w:sz w:val="22"/>
      <w:szCs w:val="24"/>
    </w:rPr>
  </w:style>
  <w:style w:type="paragraph" w:styleId="ListNumber4">
    <w:name w:val="List Number 4"/>
    <w:basedOn w:val="Normal"/>
    <w:rsid w:val="00DD7520"/>
    <w:pPr>
      <w:tabs>
        <w:tab w:val="num" w:pos="-31680"/>
      </w:tabs>
      <w:spacing w:after="120" w:line="240" w:lineRule="auto"/>
    </w:pPr>
    <w:rPr>
      <w:rFonts w:eastAsiaTheme="minorHAnsi"/>
      <w:sz w:val="22"/>
      <w:lang w:bidi="ar-SA"/>
    </w:rPr>
  </w:style>
  <w:style w:type="paragraph" w:styleId="NoSpacing">
    <w:name w:val="No Spacing"/>
    <w:uiPriority w:val="1"/>
    <w:qFormat/>
    <w:rsid w:val="00E97B4B"/>
    <w:rPr>
      <w:rFonts w:ascii="Arial" w:eastAsia="Times New Roman" w:hAnsi="Arial" w:cs="Times New Roman"/>
      <w:sz w:val="22"/>
      <w:szCs w:val="24"/>
      <w:lang w:eastAsia="en-US"/>
    </w:rPr>
  </w:style>
  <w:style w:type="paragraph" w:styleId="CommentSubject">
    <w:name w:val="annotation subject"/>
    <w:basedOn w:val="CommentText"/>
    <w:next w:val="CommentText"/>
    <w:link w:val="CommentSubjectChar"/>
    <w:uiPriority w:val="99"/>
    <w:semiHidden/>
    <w:unhideWhenUsed/>
    <w:rsid w:val="008002DE"/>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002DE"/>
    <w:rPr>
      <w:rFonts w:ascii="Arial" w:eastAsiaTheme="minorHAnsi" w:hAnsi="Arial" w:cstheme="minorBidi"/>
      <w:b/>
      <w:bCs/>
      <w:lang w:eastAsia="en-US" w:bidi="he-IL"/>
    </w:rPr>
  </w:style>
  <w:style w:type="paragraph" w:styleId="Revision">
    <w:name w:val="Revision"/>
    <w:hidden/>
    <w:uiPriority w:val="99"/>
    <w:semiHidden/>
    <w:rsid w:val="001402B8"/>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245">
      <w:bodyDiv w:val="1"/>
      <w:marLeft w:val="0"/>
      <w:marRight w:val="0"/>
      <w:marTop w:val="0"/>
      <w:marBottom w:val="0"/>
      <w:divBdr>
        <w:top w:val="none" w:sz="0" w:space="0" w:color="auto"/>
        <w:left w:val="none" w:sz="0" w:space="0" w:color="auto"/>
        <w:bottom w:val="none" w:sz="0" w:space="0" w:color="auto"/>
        <w:right w:val="none" w:sz="0" w:space="0" w:color="auto"/>
      </w:divBdr>
    </w:div>
    <w:div w:id="36127332">
      <w:bodyDiv w:val="1"/>
      <w:marLeft w:val="0"/>
      <w:marRight w:val="0"/>
      <w:marTop w:val="0"/>
      <w:marBottom w:val="0"/>
      <w:divBdr>
        <w:top w:val="none" w:sz="0" w:space="0" w:color="auto"/>
        <w:left w:val="none" w:sz="0" w:space="0" w:color="auto"/>
        <w:bottom w:val="none" w:sz="0" w:space="0" w:color="auto"/>
        <w:right w:val="none" w:sz="0" w:space="0" w:color="auto"/>
      </w:divBdr>
    </w:div>
    <w:div w:id="40401754">
      <w:bodyDiv w:val="1"/>
      <w:marLeft w:val="0"/>
      <w:marRight w:val="0"/>
      <w:marTop w:val="0"/>
      <w:marBottom w:val="0"/>
      <w:divBdr>
        <w:top w:val="none" w:sz="0" w:space="0" w:color="auto"/>
        <w:left w:val="none" w:sz="0" w:space="0" w:color="auto"/>
        <w:bottom w:val="none" w:sz="0" w:space="0" w:color="auto"/>
        <w:right w:val="none" w:sz="0" w:space="0" w:color="auto"/>
      </w:divBdr>
    </w:div>
    <w:div w:id="40905203">
      <w:bodyDiv w:val="1"/>
      <w:marLeft w:val="0"/>
      <w:marRight w:val="0"/>
      <w:marTop w:val="0"/>
      <w:marBottom w:val="0"/>
      <w:divBdr>
        <w:top w:val="none" w:sz="0" w:space="0" w:color="auto"/>
        <w:left w:val="none" w:sz="0" w:space="0" w:color="auto"/>
        <w:bottom w:val="none" w:sz="0" w:space="0" w:color="auto"/>
        <w:right w:val="none" w:sz="0" w:space="0" w:color="auto"/>
      </w:divBdr>
    </w:div>
    <w:div w:id="46686073">
      <w:bodyDiv w:val="1"/>
      <w:marLeft w:val="0"/>
      <w:marRight w:val="0"/>
      <w:marTop w:val="0"/>
      <w:marBottom w:val="0"/>
      <w:divBdr>
        <w:top w:val="none" w:sz="0" w:space="0" w:color="auto"/>
        <w:left w:val="none" w:sz="0" w:space="0" w:color="auto"/>
        <w:bottom w:val="none" w:sz="0" w:space="0" w:color="auto"/>
        <w:right w:val="none" w:sz="0" w:space="0" w:color="auto"/>
      </w:divBdr>
    </w:div>
    <w:div w:id="50857105">
      <w:bodyDiv w:val="1"/>
      <w:marLeft w:val="0"/>
      <w:marRight w:val="0"/>
      <w:marTop w:val="0"/>
      <w:marBottom w:val="0"/>
      <w:divBdr>
        <w:top w:val="none" w:sz="0" w:space="0" w:color="auto"/>
        <w:left w:val="none" w:sz="0" w:space="0" w:color="auto"/>
        <w:bottom w:val="none" w:sz="0" w:space="0" w:color="auto"/>
        <w:right w:val="none" w:sz="0" w:space="0" w:color="auto"/>
      </w:divBdr>
    </w:div>
    <w:div w:id="53235114">
      <w:bodyDiv w:val="1"/>
      <w:marLeft w:val="0"/>
      <w:marRight w:val="0"/>
      <w:marTop w:val="0"/>
      <w:marBottom w:val="0"/>
      <w:divBdr>
        <w:top w:val="none" w:sz="0" w:space="0" w:color="auto"/>
        <w:left w:val="none" w:sz="0" w:space="0" w:color="auto"/>
        <w:bottom w:val="none" w:sz="0" w:space="0" w:color="auto"/>
        <w:right w:val="none" w:sz="0" w:space="0" w:color="auto"/>
      </w:divBdr>
    </w:div>
    <w:div w:id="56516257">
      <w:bodyDiv w:val="1"/>
      <w:marLeft w:val="0"/>
      <w:marRight w:val="0"/>
      <w:marTop w:val="0"/>
      <w:marBottom w:val="0"/>
      <w:divBdr>
        <w:top w:val="none" w:sz="0" w:space="0" w:color="auto"/>
        <w:left w:val="none" w:sz="0" w:space="0" w:color="auto"/>
        <w:bottom w:val="none" w:sz="0" w:space="0" w:color="auto"/>
        <w:right w:val="none" w:sz="0" w:space="0" w:color="auto"/>
      </w:divBdr>
    </w:div>
    <w:div w:id="68844248">
      <w:bodyDiv w:val="1"/>
      <w:marLeft w:val="0"/>
      <w:marRight w:val="0"/>
      <w:marTop w:val="0"/>
      <w:marBottom w:val="0"/>
      <w:divBdr>
        <w:top w:val="none" w:sz="0" w:space="0" w:color="auto"/>
        <w:left w:val="none" w:sz="0" w:space="0" w:color="auto"/>
        <w:bottom w:val="none" w:sz="0" w:space="0" w:color="auto"/>
        <w:right w:val="none" w:sz="0" w:space="0" w:color="auto"/>
      </w:divBdr>
    </w:div>
    <w:div w:id="72550909">
      <w:bodyDiv w:val="1"/>
      <w:marLeft w:val="0"/>
      <w:marRight w:val="0"/>
      <w:marTop w:val="0"/>
      <w:marBottom w:val="0"/>
      <w:divBdr>
        <w:top w:val="none" w:sz="0" w:space="0" w:color="auto"/>
        <w:left w:val="none" w:sz="0" w:space="0" w:color="auto"/>
        <w:bottom w:val="none" w:sz="0" w:space="0" w:color="auto"/>
        <w:right w:val="none" w:sz="0" w:space="0" w:color="auto"/>
      </w:divBdr>
    </w:div>
    <w:div w:id="74085908">
      <w:bodyDiv w:val="1"/>
      <w:marLeft w:val="0"/>
      <w:marRight w:val="0"/>
      <w:marTop w:val="0"/>
      <w:marBottom w:val="0"/>
      <w:divBdr>
        <w:top w:val="none" w:sz="0" w:space="0" w:color="auto"/>
        <w:left w:val="none" w:sz="0" w:space="0" w:color="auto"/>
        <w:bottom w:val="none" w:sz="0" w:space="0" w:color="auto"/>
        <w:right w:val="none" w:sz="0" w:space="0" w:color="auto"/>
      </w:divBdr>
    </w:div>
    <w:div w:id="7471167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8453338">
      <w:bodyDiv w:val="1"/>
      <w:marLeft w:val="0"/>
      <w:marRight w:val="0"/>
      <w:marTop w:val="0"/>
      <w:marBottom w:val="0"/>
      <w:divBdr>
        <w:top w:val="none" w:sz="0" w:space="0" w:color="auto"/>
        <w:left w:val="none" w:sz="0" w:space="0" w:color="auto"/>
        <w:bottom w:val="none" w:sz="0" w:space="0" w:color="auto"/>
        <w:right w:val="none" w:sz="0" w:space="0" w:color="auto"/>
      </w:divBdr>
    </w:div>
    <w:div w:id="102499469">
      <w:bodyDiv w:val="1"/>
      <w:marLeft w:val="0"/>
      <w:marRight w:val="0"/>
      <w:marTop w:val="0"/>
      <w:marBottom w:val="0"/>
      <w:divBdr>
        <w:top w:val="none" w:sz="0" w:space="0" w:color="auto"/>
        <w:left w:val="none" w:sz="0" w:space="0" w:color="auto"/>
        <w:bottom w:val="none" w:sz="0" w:space="0" w:color="auto"/>
        <w:right w:val="none" w:sz="0" w:space="0" w:color="auto"/>
      </w:divBdr>
    </w:div>
    <w:div w:id="103352017">
      <w:bodyDiv w:val="1"/>
      <w:marLeft w:val="0"/>
      <w:marRight w:val="0"/>
      <w:marTop w:val="0"/>
      <w:marBottom w:val="0"/>
      <w:divBdr>
        <w:top w:val="none" w:sz="0" w:space="0" w:color="auto"/>
        <w:left w:val="none" w:sz="0" w:space="0" w:color="auto"/>
        <w:bottom w:val="none" w:sz="0" w:space="0" w:color="auto"/>
        <w:right w:val="none" w:sz="0" w:space="0" w:color="auto"/>
      </w:divBdr>
    </w:div>
    <w:div w:id="112752227">
      <w:bodyDiv w:val="1"/>
      <w:marLeft w:val="0"/>
      <w:marRight w:val="0"/>
      <w:marTop w:val="0"/>
      <w:marBottom w:val="0"/>
      <w:divBdr>
        <w:top w:val="none" w:sz="0" w:space="0" w:color="auto"/>
        <w:left w:val="none" w:sz="0" w:space="0" w:color="auto"/>
        <w:bottom w:val="none" w:sz="0" w:space="0" w:color="auto"/>
        <w:right w:val="none" w:sz="0" w:space="0" w:color="auto"/>
      </w:divBdr>
    </w:div>
    <w:div w:id="119343508">
      <w:bodyDiv w:val="1"/>
      <w:marLeft w:val="0"/>
      <w:marRight w:val="0"/>
      <w:marTop w:val="0"/>
      <w:marBottom w:val="0"/>
      <w:divBdr>
        <w:top w:val="none" w:sz="0" w:space="0" w:color="auto"/>
        <w:left w:val="none" w:sz="0" w:space="0" w:color="auto"/>
        <w:bottom w:val="none" w:sz="0" w:space="0" w:color="auto"/>
        <w:right w:val="none" w:sz="0" w:space="0" w:color="auto"/>
      </w:divBdr>
    </w:div>
    <w:div w:id="121387693">
      <w:bodyDiv w:val="1"/>
      <w:marLeft w:val="0"/>
      <w:marRight w:val="0"/>
      <w:marTop w:val="0"/>
      <w:marBottom w:val="0"/>
      <w:divBdr>
        <w:top w:val="none" w:sz="0" w:space="0" w:color="auto"/>
        <w:left w:val="none" w:sz="0" w:space="0" w:color="auto"/>
        <w:bottom w:val="none" w:sz="0" w:space="0" w:color="auto"/>
        <w:right w:val="none" w:sz="0" w:space="0" w:color="auto"/>
      </w:divBdr>
    </w:div>
    <w:div w:id="121926434">
      <w:bodyDiv w:val="1"/>
      <w:marLeft w:val="0"/>
      <w:marRight w:val="0"/>
      <w:marTop w:val="0"/>
      <w:marBottom w:val="0"/>
      <w:divBdr>
        <w:top w:val="none" w:sz="0" w:space="0" w:color="auto"/>
        <w:left w:val="none" w:sz="0" w:space="0" w:color="auto"/>
        <w:bottom w:val="none" w:sz="0" w:space="0" w:color="auto"/>
        <w:right w:val="none" w:sz="0" w:space="0" w:color="auto"/>
      </w:divBdr>
    </w:div>
    <w:div w:id="123813532">
      <w:bodyDiv w:val="1"/>
      <w:marLeft w:val="0"/>
      <w:marRight w:val="0"/>
      <w:marTop w:val="0"/>
      <w:marBottom w:val="0"/>
      <w:divBdr>
        <w:top w:val="none" w:sz="0" w:space="0" w:color="auto"/>
        <w:left w:val="none" w:sz="0" w:space="0" w:color="auto"/>
        <w:bottom w:val="none" w:sz="0" w:space="0" w:color="auto"/>
        <w:right w:val="none" w:sz="0" w:space="0" w:color="auto"/>
      </w:divBdr>
    </w:div>
    <w:div w:id="125009697">
      <w:bodyDiv w:val="1"/>
      <w:marLeft w:val="0"/>
      <w:marRight w:val="0"/>
      <w:marTop w:val="0"/>
      <w:marBottom w:val="0"/>
      <w:divBdr>
        <w:top w:val="none" w:sz="0" w:space="0" w:color="auto"/>
        <w:left w:val="none" w:sz="0" w:space="0" w:color="auto"/>
        <w:bottom w:val="none" w:sz="0" w:space="0" w:color="auto"/>
        <w:right w:val="none" w:sz="0" w:space="0" w:color="auto"/>
      </w:divBdr>
    </w:div>
    <w:div w:id="125128216">
      <w:bodyDiv w:val="1"/>
      <w:marLeft w:val="0"/>
      <w:marRight w:val="0"/>
      <w:marTop w:val="0"/>
      <w:marBottom w:val="0"/>
      <w:divBdr>
        <w:top w:val="none" w:sz="0" w:space="0" w:color="auto"/>
        <w:left w:val="none" w:sz="0" w:space="0" w:color="auto"/>
        <w:bottom w:val="none" w:sz="0" w:space="0" w:color="auto"/>
        <w:right w:val="none" w:sz="0" w:space="0" w:color="auto"/>
      </w:divBdr>
    </w:div>
    <w:div w:id="143788322">
      <w:bodyDiv w:val="1"/>
      <w:marLeft w:val="0"/>
      <w:marRight w:val="0"/>
      <w:marTop w:val="0"/>
      <w:marBottom w:val="0"/>
      <w:divBdr>
        <w:top w:val="none" w:sz="0" w:space="0" w:color="auto"/>
        <w:left w:val="none" w:sz="0" w:space="0" w:color="auto"/>
        <w:bottom w:val="none" w:sz="0" w:space="0" w:color="auto"/>
        <w:right w:val="none" w:sz="0" w:space="0" w:color="auto"/>
      </w:divBdr>
    </w:div>
    <w:div w:id="149102474">
      <w:bodyDiv w:val="1"/>
      <w:marLeft w:val="0"/>
      <w:marRight w:val="0"/>
      <w:marTop w:val="0"/>
      <w:marBottom w:val="0"/>
      <w:divBdr>
        <w:top w:val="none" w:sz="0" w:space="0" w:color="auto"/>
        <w:left w:val="none" w:sz="0" w:space="0" w:color="auto"/>
        <w:bottom w:val="none" w:sz="0" w:space="0" w:color="auto"/>
        <w:right w:val="none" w:sz="0" w:space="0" w:color="auto"/>
      </w:divBdr>
    </w:div>
    <w:div w:id="164904960">
      <w:bodyDiv w:val="1"/>
      <w:marLeft w:val="0"/>
      <w:marRight w:val="0"/>
      <w:marTop w:val="0"/>
      <w:marBottom w:val="0"/>
      <w:divBdr>
        <w:top w:val="none" w:sz="0" w:space="0" w:color="auto"/>
        <w:left w:val="none" w:sz="0" w:space="0" w:color="auto"/>
        <w:bottom w:val="none" w:sz="0" w:space="0" w:color="auto"/>
        <w:right w:val="none" w:sz="0" w:space="0" w:color="auto"/>
      </w:divBdr>
    </w:div>
    <w:div w:id="165168262">
      <w:bodyDiv w:val="1"/>
      <w:marLeft w:val="0"/>
      <w:marRight w:val="0"/>
      <w:marTop w:val="0"/>
      <w:marBottom w:val="0"/>
      <w:divBdr>
        <w:top w:val="none" w:sz="0" w:space="0" w:color="auto"/>
        <w:left w:val="none" w:sz="0" w:space="0" w:color="auto"/>
        <w:bottom w:val="none" w:sz="0" w:space="0" w:color="auto"/>
        <w:right w:val="none" w:sz="0" w:space="0" w:color="auto"/>
      </w:divBdr>
    </w:div>
    <w:div w:id="165681584">
      <w:bodyDiv w:val="1"/>
      <w:marLeft w:val="0"/>
      <w:marRight w:val="0"/>
      <w:marTop w:val="0"/>
      <w:marBottom w:val="0"/>
      <w:divBdr>
        <w:top w:val="none" w:sz="0" w:space="0" w:color="auto"/>
        <w:left w:val="none" w:sz="0" w:space="0" w:color="auto"/>
        <w:bottom w:val="none" w:sz="0" w:space="0" w:color="auto"/>
        <w:right w:val="none" w:sz="0" w:space="0" w:color="auto"/>
      </w:divBdr>
    </w:div>
    <w:div w:id="177696076">
      <w:bodyDiv w:val="1"/>
      <w:marLeft w:val="0"/>
      <w:marRight w:val="0"/>
      <w:marTop w:val="0"/>
      <w:marBottom w:val="0"/>
      <w:divBdr>
        <w:top w:val="none" w:sz="0" w:space="0" w:color="auto"/>
        <w:left w:val="none" w:sz="0" w:space="0" w:color="auto"/>
        <w:bottom w:val="none" w:sz="0" w:space="0" w:color="auto"/>
        <w:right w:val="none" w:sz="0" w:space="0" w:color="auto"/>
      </w:divBdr>
    </w:div>
    <w:div w:id="183518991">
      <w:bodyDiv w:val="1"/>
      <w:marLeft w:val="0"/>
      <w:marRight w:val="0"/>
      <w:marTop w:val="0"/>
      <w:marBottom w:val="0"/>
      <w:divBdr>
        <w:top w:val="none" w:sz="0" w:space="0" w:color="auto"/>
        <w:left w:val="none" w:sz="0" w:space="0" w:color="auto"/>
        <w:bottom w:val="none" w:sz="0" w:space="0" w:color="auto"/>
        <w:right w:val="none" w:sz="0" w:space="0" w:color="auto"/>
      </w:divBdr>
    </w:div>
    <w:div w:id="183633864">
      <w:bodyDiv w:val="1"/>
      <w:marLeft w:val="0"/>
      <w:marRight w:val="0"/>
      <w:marTop w:val="0"/>
      <w:marBottom w:val="0"/>
      <w:divBdr>
        <w:top w:val="none" w:sz="0" w:space="0" w:color="auto"/>
        <w:left w:val="none" w:sz="0" w:space="0" w:color="auto"/>
        <w:bottom w:val="none" w:sz="0" w:space="0" w:color="auto"/>
        <w:right w:val="none" w:sz="0" w:space="0" w:color="auto"/>
      </w:divBdr>
    </w:div>
    <w:div w:id="183791637">
      <w:bodyDiv w:val="1"/>
      <w:marLeft w:val="0"/>
      <w:marRight w:val="0"/>
      <w:marTop w:val="0"/>
      <w:marBottom w:val="0"/>
      <w:divBdr>
        <w:top w:val="none" w:sz="0" w:space="0" w:color="auto"/>
        <w:left w:val="none" w:sz="0" w:space="0" w:color="auto"/>
        <w:bottom w:val="none" w:sz="0" w:space="0" w:color="auto"/>
        <w:right w:val="none" w:sz="0" w:space="0" w:color="auto"/>
      </w:divBdr>
    </w:div>
    <w:div w:id="191001006">
      <w:bodyDiv w:val="1"/>
      <w:marLeft w:val="0"/>
      <w:marRight w:val="0"/>
      <w:marTop w:val="0"/>
      <w:marBottom w:val="0"/>
      <w:divBdr>
        <w:top w:val="none" w:sz="0" w:space="0" w:color="auto"/>
        <w:left w:val="none" w:sz="0" w:space="0" w:color="auto"/>
        <w:bottom w:val="none" w:sz="0" w:space="0" w:color="auto"/>
        <w:right w:val="none" w:sz="0" w:space="0" w:color="auto"/>
      </w:divBdr>
    </w:div>
    <w:div w:id="194536662">
      <w:bodyDiv w:val="1"/>
      <w:marLeft w:val="0"/>
      <w:marRight w:val="0"/>
      <w:marTop w:val="0"/>
      <w:marBottom w:val="0"/>
      <w:divBdr>
        <w:top w:val="none" w:sz="0" w:space="0" w:color="auto"/>
        <w:left w:val="none" w:sz="0" w:space="0" w:color="auto"/>
        <w:bottom w:val="none" w:sz="0" w:space="0" w:color="auto"/>
        <w:right w:val="none" w:sz="0" w:space="0" w:color="auto"/>
      </w:divBdr>
    </w:div>
    <w:div w:id="19755044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8995189">
      <w:bodyDiv w:val="1"/>
      <w:marLeft w:val="0"/>
      <w:marRight w:val="0"/>
      <w:marTop w:val="0"/>
      <w:marBottom w:val="0"/>
      <w:divBdr>
        <w:top w:val="none" w:sz="0" w:space="0" w:color="auto"/>
        <w:left w:val="none" w:sz="0" w:space="0" w:color="auto"/>
        <w:bottom w:val="none" w:sz="0" w:space="0" w:color="auto"/>
        <w:right w:val="none" w:sz="0" w:space="0" w:color="auto"/>
      </w:divBdr>
    </w:div>
    <w:div w:id="210388667">
      <w:bodyDiv w:val="1"/>
      <w:marLeft w:val="0"/>
      <w:marRight w:val="0"/>
      <w:marTop w:val="0"/>
      <w:marBottom w:val="0"/>
      <w:divBdr>
        <w:top w:val="none" w:sz="0" w:space="0" w:color="auto"/>
        <w:left w:val="none" w:sz="0" w:space="0" w:color="auto"/>
        <w:bottom w:val="none" w:sz="0" w:space="0" w:color="auto"/>
        <w:right w:val="none" w:sz="0" w:space="0" w:color="auto"/>
      </w:divBdr>
    </w:div>
    <w:div w:id="212354520">
      <w:bodyDiv w:val="1"/>
      <w:marLeft w:val="0"/>
      <w:marRight w:val="0"/>
      <w:marTop w:val="0"/>
      <w:marBottom w:val="0"/>
      <w:divBdr>
        <w:top w:val="none" w:sz="0" w:space="0" w:color="auto"/>
        <w:left w:val="none" w:sz="0" w:space="0" w:color="auto"/>
        <w:bottom w:val="none" w:sz="0" w:space="0" w:color="auto"/>
        <w:right w:val="none" w:sz="0" w:space="0" w:color="auto"/>
      </w:divBdr>
    </w:div>
    <w:div w:id="216547606">
      <w:bodyDiv w:val="1"/>
      <w:marLeft w:val="0"/>
      <w:marRight w:val="0"/>
      <w:marTop w:val="0"/>
      <w:marBottom w:val="0"/>
      <w:divBdr>
        <w:top w:val="none" w:sz="0" w:space="0" w:color="auto"/>
        <w:left w:val="none" w:sz="0" w:space="0" w:color="auto"/>
        <w:bottom w:val="none" w:sz="0" w:space="0" w:color="auto"/>
        <w:right w:val="none" w:sz="0" w:space="0" w:color="auto"/>
      </w:divBdr>
    </w:div>
    <w:div w:id="235433837">
      <w:bodyDiv w:val="1"/>
      <w:marLeft w:val="0"/>
      <w:marRight w:val="0"/>
      <w:marTop w:val="0"/>
      <w:marBottom w:val="0"/>
      <w:divBdr>
        <w:top w:val="none" w:sz="0" w:space="0" w:color="auto"/>
        <w:left w:val="none" w:sz="0" w:space="0" w:color="auto"/>
        <w:bottom w:val="none" w:sz="0" w:space="0" w:color="auto"/>
        <w:right w:val="none" w:sz="0" w:space="0" w:color="auto"/>
      </w:divBdr>
    </w:div>
    <w:div w:id="239296097">
      <w:bodyDiv w:val="1"/>
      <w:marLeft w:val="0"/>
      <w:marRight w:val="0"/>
      <w:marTop w:val="0"/>
      <w:marBottom w:val="0"/>
      <w:divBdr>
        <w:top w:val="none" w:sz="0" w:space="0" w:color="auto"/>
        <w:left w:val="none" w:sz="0" w:space="0" w:color="auto"/>
        <w:bottom w:val="none" w:sz="0" w:space="0" w:color="auto"/>
        <w:right w:val="none" w:sz="0" w:space="0" w:color="auto"/>
      </w:divBdr>
    </w:div>
    <w:div w:id="240480923">
      <w:bodyDiv w:val="1"/>
      <w:marLeft w:val="0"/>
      <w:marRight w:val="0"/>
      <w:marTop w:val="0"/>
      <w:marBottom w:val="0"/>
      <w:divBdr>
        <w:top w:val="none" w:sz="0" w:space="0" w:color="auto"/>
        <w:left w:val="none" w:sz="0" w:space="0" w:color="auto"/>
        <w:bottom w:val="none" w:sz="0" w:space="0" w:color="auto"/>
        <w:right w:val="none" w:sz="0" w:space="0" w:color="auto"/>
      </w:divBdr>
    </w:div>
    <w:div w:id="240604273">
      <w:bodyDiv w:val="1"/>
      <w:marLeft w:val="0"/>
      <w:marRight w:val="0"/>
      <w:marTop w:val="0"/>
      <w:marBottom w:val="0"/>
      <w:divBdr>
        <w:top w:val="none" w:sz="0" w:space="0" w:color="auto"/>
        <w:left w:val="none" w:sz="0" w:space="0" w:color="auto"/>
        <w:bottom w:val="none" w:sz="0" w:space="0" w:color="auto"/>
        <w:right w:val="none" w:sz="0" w:space="0" w:color="auto"/>
      </w:divBdr>
    </w:div>
    <w:div w:id="241910074">
      <w:bodyDiv w:val="1"/>
      <w:marLeft w:val="0"/>
      <w:marRight w:val="0"/>
      <w:marTop w:val="0"/>
      <w:marBottom w:val="0"/>
      <w:divBdr>
        <w:top w:val="none" w:sz="0" w:space="0" w:color="auto"/>
        <w:left w:val="none" w:sz="0" w:space="0" w:color="auto"/>
        <w:bottom w:val="none" w:sz="0" w:space="0" w:color="auto"/>
        <w:right w:val="none" w:sz="0" w:space="0" w:color="auto"/>
      </w:divBdr>
    </w:div>
    <w:div w:id="249778953">
      <w:bodyDiv w:val="1"/>
      <w:marLeft w:val="0"/>
      <w:marRight w:val="0"/>
      <w:marTop w:val="0"/>
      <w:marBottom w:val="0"/>
      <w:divBdr>
        <w:top w:val="none" w:sz="0" w:space="0" w:color="auto"/>
        <w:left w:val="none" w:sz="0" w:space="0" w:color="auto"/>
        <w:bottom w:val="none" w:sz="0" w:space="0" w:color="auto"/>
        <w:right w:val="none" w:sz="0" w:space="0" w:color="auto"/>
      </w:divBdr>
    </w:div>
    <w:div w:id="249851400">
      <w:bodyDiv w:val="1"/>
      <w:marLeft w:val="0"/>
      <w:marRight w:val="0"/>
      <w:marTop w:val="0"/>
      <w:marBottom w:val="0"/>
      <w:divBdr>
        <w:top w:val="none" w:sz="0" w:space="0" w:color="auto"/>
        <w:left w:val="none" w:sz="0" w:space="0" w:color="auto"/>
        <w:bottom w:val="none" w:sz="0" w:space="0" w:color="auto"/>
        <w:right w:val="none" w:sz="0" w:space="0" w:color="auto"/>
      </w:divBdr>
    </w:div>
    <w:div w:id="251010137">
      <w:bodyDiv w:val="1"/>
      <w:marLeft w:val="0"/>
      <w:marRight w:val="0"/>
      <w:marTop w:val="0"/>
      <w:marBottom w:val="0"/>
      <w:divBdr>
        <w:top w:val="none" w:sz="0" w:space="0" w:color="auto"/>
        <w:left w:val="none" w:sz="0" w:space="0" w:color="auto"/>
        <w:bottom w:val="none" w:sz="0" w:space="0" w:color="auto"/>
        <w:right w:val="none" w:sz="0" w:space="0" w:color="auto"/>
      </w:divBdr>
    </w:div>
    <w:div w:id="254478098">
      <w:bodyDiv w:val="1"/>
      <w:marLeft w:val="0"/>
      <w:marRight w:val="0"/>
      <w:marTop w:val="0"/>
      <w:marBottom w:val="0"/>
      <w:divBdr>
        <w:top w:val="none" w:sz="0" w:space="0" w:color="auto"/>
        <w:left w:val="none" w:sz="0" w:space="0" w:color="auto"/>
        <w:bottom w:val="none" w:sz="0" w:space="0" w:color="auto"/>
        <w:right w:val="none" w:sz="0" w:space="0" w:color="auto"/>
      </w:divBdr>
    </w:div>
    <w:div w:id="258685890">
      <w:bodyDiv w:val="1"/>
      <w:marLeft w:val="0"/>
      <w:marRight w:val="0"/>
      <w:marTop w:val="0"/>
      <w:marBottom w:val="0"/>
      <w:divBdr>
        <w:top w:val="none" w:sz="0" w:space="0" w:color="auto"/>
        <w:left w:val="none" w:sz="0" w:space="0" w:color="auto"/>
        <w:bottom w:val="none" w:sz="0" w:space="0" w:color="auto"/>
        <w:right w:val="none" w:sz="0" w:space="0" w:color="auto"/>
      </w:divBdr>
    </w:div>
    <w:div w:id="267323728">
      <w:bodyDiv w:val="1"/>
      <w:marLeft w:val="0"/>
      <w:marRight w:val="0"/>
      <w:marTop w:val="0"/>
      <w:marBottom w:val="0"/>
      <w:divBdr>
        <w:top w:val="none" w:sz="0" w:space="0" w:color="auto"/>
        <w:left w:val="none" w:sz="0" w:space="0" w:color="auto"/>
        <w:bottom w:val="none" w:sz="0" w:space="0" w:color="auto"/>
        <w:right w:val="none" w:sz="0" w:space="0" w:color="auto"/>
      </w:divBdr>
    </w:div>
    <w:div w:id="267662188">
      <w:bodyDiv w:val="1"/>
      <w:marLeft w:val="0"/>
      <w:marRight w:val="0"/>
      <w:marTop w:val="0"/>
      <w:marBottom w:val="0"/>
      <w:divBdr>
        <w:top w:val="none" w:sz="0" w:space="0" w:color="auto"/>
        <w:left w:val="none" w:sz="0" w:space="0" w:color="auto"/>
        <w:bottom w:val="none" w:sz="0" w:space="0" w:color="auto"/>
        <w:right w:val="none" w:sz="0" w:space="0" w:color="auto"/>
      </w:divBdr>
    </w:div>
    <w:div w:id="270206374">
      <w:bodyDiv w:val="1"/>
      <w:marLeft w:val="0"/>
      <w:marRight w:val="0"/>
      <w:marTop w:val="0"/>
      <w:marBottom w:val="0"/>
      <w:divBdr>
        <w:top w:val="none" w:sz="0" w:space="0" w:color="auto"/>
        <w:left w:val="none" w:sz="0" w:space="0" w:color="auto"/>
        <w:bottom w:val="none" w:sz="0" w:space="0" w:color="auto"/>
        <w:right w:val="none" w:sz="0" w:space="0" w:color="auto"/>
      </w:divBdr>
    </w:div>
    <w:div w:id="270556895">
      <w:bodyDiv w:val="1"/>
      <w:marLeft w:val="0"/>
      <w:marRight w:val="0"/>
      <w:marTop w:val="0"/>
      <w:marBottom w:val="0"/>
      <w:divBdr>
        <w:top w:val="none" w:sz="0" w:space="0" w:color="auto"/>
        <w:left w:val="none" w:sz="0" w:space="0" w:color="auto"/>
        <w:bottom w:val="none" w:sz="0" w:space="0" w:color="auto"/>
        <w:right w:val="none" w:sz="0" w:space="0" w:color="auto"/>
      </w:divBdr>
    </w:div>
    <w:div w:id="274555290">
      <w:bodyDiv w:val="1"/>
      <w:marLeft w:val="0"/>
      <w:marRight w:val="0"/>
      <w:marTop w:val="0"/>
      <w:marBottom w:val="0"/>
      <w:divBdr>
        <w:top w:val="none" w:sz="0" w:space="0" w:color="auto"/>
        <w:left w:val="none" w:sz="0" w:space="0" w:color="auto"/>
        <w:bottom w:val="none" w:sz="0" w:space="0" w:color="auto"/>
        <w:right w:val="none" w:sz="0" w:space="0" w:color="auto"/>
      </w:divBdr>
    </w:div>
    <w:div w:id="279335583">
      <w:bodyDiv w:val="1"/>
      <w:marLeft w:val="0"/>
      <w:marRight w:val="0"/>
      <w:marTop w:val="0"/>
      <w:marBottom w:val="0"/>
      <w:divBdr>
        <w:top w:val="none" w:sz="0" w:space="0" w:color="auto"/>
        <w:left w:val="none" w:sz="0" w:space="0" w:color="auto"/>
        <w:bottom w:val="none" w:sz="0" w:space="0" w:color="auto"/>
        <w:right w:val="none" w:sz="0" w:space="0" w:color="auto"/>
      </w:divBdr>
    </w:div>
    <w:div w:id="281813778">
      <w:bodyDiv w:val="1"/>
      <w:marLeft w:val="0"/>
      <w:marRight w:val="0"/>
      <w:marTop w:val="0"/>
      <w:marBottom w:val="0"/>
      <w:divBdr>
        <w:top w:val="none" w:sz="0" w:space="0" w:color="auto"/>
        <w:left w:val="none" w:sz="0" w:space="0" w:color="auto"/>
        <w:bottom w:val="none" w:sz="0" w:space="0" w:color="auto"/>
        <w:right w:val="none" w:sz="0" w:space="0" w:color="auto"/>
      </w:divBdr>
    </w:div>
    <w:div w:id="282418813">
      <w:bodyDiv w:val="1"/>
      <w:marLeft w:val="0"/>
      <w:marRight w:val="0"/>
      <w:marTop w:val="0"/>
      <w:marBottom w:val="0"/>
      <w:divBdr>
        <w:top w:val="none" w:sz="0" w:space="0" w:color="auto"/>
        <w:left w:val="none" w:sz="0" w:space="0" w:color="auto"/>
        <w:bottom w:val="none" w:sz="0" w:space="0" w:color="auto"/>
        <w:right w:val="none" w:sz="0" w:space="0" w:color="auto"/>
      </w:divBdr>
    </w:div>
    <w:div w:id="285476609">
      <w:bodyDiv w:val="1"/>
      <w:marLeft w:val="0"/>
      <w:marRight w:val="0"/>
      <w:marTop w:val="0"/>
      <w:marBottom w:val="0"/>
      <w:divBdr>
        <w:top w:val="none" w:sz="0" w:space="0" w:color="auto"/>
        <w:left w:val="none" w:sz="0" w:space="0" w:color="auto"/>
        <w:bottom w:val="none" w:sz="0" w:space="0" w:color="auto"/>
        <w:right w:val="none" w:sz="0" w:space="0" w:color="auto"/>
      </w:divBdr>
    </w:div>
    <w:div w:id="288248351">
      <w:bodyDiv w:val="1"/>
      <w:marLeft w:val="0"/>
      <w:marRight w:val="0"/>
      <w:marTop w:val="0"/>
      <w:marBottom w:val="0"/>
      <w:divBdr>
        <w:top w:val="none" w:sz="0" w:space="0" w:color="auto"/>
        <w:left w:val="none" w:sz="0" w:space="0" w:color="auto"/>
        <w:bottom w:val="none" w:sz="0" w:space="0" w:color="auto"/>
        <w:right w:val="none" w:sz="0" w:space="0" w:color="auto"/>
      </w:divBdr>
    </w:div>
    <w:div w:id="289553088">
      <w:bodyDiv w:val="1"/>
      <w:marLeft w:val="0"/>
      <w:marRight w:val="0"/>
      <w:marTop w:val="0"/>
      <w:marBottom w:val="0"/>
      <w:divBdr>
        <w:top w:val="none" w:sz="0" w:space="0" w:color="auto"/>
        <w:left w:val="none" w:sz="0" w:space="0" w:color="auto"/>
        <w:bottom w:val="none" w:sz="0" w:space="0" w:color="auto"/>
        <w:right w:val="none" w:sz="0" w:space="0" w:color="auto"/>
      </w:divBdr>
    </w:div>
    <w:div w:id="293487620">
      <w:bodyDiv w:val="1"/>
      <w:marLeft w:val="0"/>
      <w:marRight w:val="0"/>
      <w:marTop w:val="0"/>
      <w:marBottom w:val="0"/>
      <w:divBdr>
        <w:top w:val="none" w:sz="0" w:space="0" w:color="auto"/>
        <w:left w:val="none" w:sz="0" w:space="0" w:color="auto"/>
        <w:bottom w:val="none" w:sz="0" w:space="0" w:color="auto"/>
        <w:right w:val="none" w:sz="0" w:space="0" w:color="auto"/>
      </w:divBdr>
    </w:div>
    <w:div w:id="315036672">
      <w:bodyDiv w:val="1"/>
      <w:marLeft w:val="0"/>
      <w:marRight w:val="0"/>
      <w:marTop w:val="0"/>
      <w:marBottom w:val="0"/>
      <w:divBdr>
        <w:top w:val="none" w:sz="0" w:space="0" w:color="auto"/>
        <w:left w:val="none" w:sz="0" w:space="0" w:color="auto"/>
        <w:bottom w:val="none" w:sz="0" w:space="0" w:color="auto"/>
        <w:right w:val="none" w:sz="0" w:space="0" w:color="auto"/>
      </w:divBdr>
    </w:div>
    <w:div w:id="317658681">
      <w:bodyDiv w:val="1"/>
      <w:marLeft w:val="0"/>
      <w:marRight w:val="0"/>
      <w:marTop w:val="0"/>
      <w:marBottom w:val="0"/>
      <w:divBdr>
        <w:top w:val="none" w:sz="0" w:space="0" w:color="auto"/>
        <w:left w:val="none" w:sz="0" w:space="0" w:color="auto"/>
        <w:bottom w:val="none" w:sz="0" w:space="0" w:color="auto"/>
        <w:right w:val="none" w:sz="0" w:space="0" w:color="auto"/>
      </w:divBdr>
    </w:div>
    <w:div w:id="320737150">
      <w:bodyDiv w:val="1"/>
      <w:marLeft w:val="0"/>
      <w:marRight w:val="0"/>
      <w:marTop w:val="0"/>
      <w:marBottom w:val="0"/>
      <w:divBdr>
        <w:top w:val="none" w:sz="0" w:space="0" w:color="auto"/>
        <w:left w:val="none" w:sz="0" w:space="0" w:color="auto"/>
        <w:bottom w:val="none" w:sz="0" w:space="0" w:color="auto"/>
        <w:right w:val="none" w:sz="0" w:space="0" w:color="auto"/>
      </w:divBdr>
    </w:div>
    <w:div w:id="322439286">
      <w:bodyDiv w:val="1"/>
      <w:marLeft w:val="0"/>
      <w:marRight w:val="0"/>
      <w:marTop w:val="0"/>
      <w:marBottom w:val="0"/>
      <w:divBdr>
        <w:top w:val="none" w:sz="0" w:space="0" w:color="auto"/>
        <w:left w:val="none" w:sz="0" w:space="0" w:color="auto"/>
        <w:bottom w:val="none" w:sz="0" w:space="0" w:color="auto"/>
        <w:right w:val="none" w:sz="0" w:space="0" w:color="auto"/>
      </w:divBdr>
    </w:div>
    <w:div w:id="322781747">
      <w:bodyDiv w:val="1"/>
      <w:marLeft w:val="0"/>
      <w:marRight w:val="0"/>
      <w:marTop w:val="0"/>
      <w:marBottom w:val="0"/>
      <w:divBdr>
        <w:top w:val="none" w:sz="0" w:space="0" w:color="auto"/>
        <w:left w:val="none" w:sz="0" w:space="0" w:color="auto"/>
        <w:bottom w:val="none" w:sz="0" w:space="0" w:color="auto"/>
        <w:right w:val="none" w:sz="0" w:space="0" w:color="auto"/>
      </w:divBdr>
    </w:div>
    <w:div w:id="32887640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890460">
      <w:bodyDiv w:val="1"/>
      <w:marLeft w:val="0"/>
      <w:marRight w:val="0"/>
      <w:marTop w:val="0"/>
      <w:marBottom w:val="0"/>
      <w:divBdr>
        <w:top w:val="none" w:sz="0" w:space="0" w:color="auto"/>
        <w:left w:val="none" w:sz="0" w:space="0" w:color="auto"/>
        <w:bottom w:val="none" w:sz="0" w:space="0" w:color="auto"/>
        <w:right w:val="none" w:sz="0" w:space="0" w:color="auto"/>
      </w:divBdr>
    </w:div>
    <w:div w:id="351344576">
      <w:bodyDiv w:val="1"/>
      <w:marLeft w:val="0"/>
      <w:marRight w:val="0"/>
      <w:marTop w:val="0"/>
      <w:marBottom w:val="0"/>
      <w:divBdr>
        <w:top w:val="none" w:sz="0" w:space="0" w:color="auto"/>
        <w:left w:val="none" w:sz="0" w:space="0" w:color="auto"/>
        <w:bottom w:val="none" w:sz="0" w:space="0" w:color="auto"/>
        <w:right w:val="none" w:sz="0" w:space="0" w:color="auto"/>
      </w:divBdr>
    </w:div>
    <w:div w:id="357851370">
      <w:bodyDiv w:val="1"/>
      <w:marLeft w:val="0"/>
      <w:marRight w:val="0"/>
      <w:marTop w:val="0"/>
      <w:marBottom w:val="0"/>
      <w:divBdr>
        <w:top w:val="none" w:sz="0" w:space="0" w:color="auto"/>
        <w:left w:val="none" w:sz="0" w:space="0" w:color="auto"/>
        <w:bottom w:val="none" w:sz="0" w:space="0" w:color="auto"/>
        <w:right w:val="none" w:sz="0" w:space="0" w:color="auto"/>
      </w:divBdr>
    </w:div>
    <w:div w:id="358823539">
      <w:bodyDiv w:val="1"/>
      <w:marLeft w:val="0"/>
      <w:marRight w:val="0"/>
      <w:marTop w:val="0"/>
      <w:marBottom w:val="0"/>
      <w:divBdr>
        <w:top w:val="none" w:sz="0" w:space="0" w:color="auto"/>
        <w:left w:val="none" w:sz="0" w:space="0" w:color="auto"/>
        <w:bottom w:val="none" w:sz="0" w:space="0" w:color="auto"/>
        <w:right w:val="none" w:sz="0" w:space="0" w:color="auto"/>
      </w:divBdr>
    </w:div>
    <w:div w:id="361320195">
      <w:bodyDiv w:val="1"/>
      <w:marLeft w:val="0"/>
      <w:marRight w:val="0"/>
      <w:marTop w:val="0"/>
      <w:marBottom w:val="0"/>
      <w:divBdr>
        <w:top w:val="none" w:sz="0" w:space="0" w:color="auto"/>
        <w:left w:val="none" w:sz="0" w:space="0" w:color="auto"/>
        <w:bottom w:val="none" w:sz="0" w:space="0" w:color="auto"/>
        <w:right w:val="none" w:sz="0" w:space="0" w:color="auto"/>
      </w:divBdr>
    </w:div>
    <w:div w:id="361438787">
      <w:bodyDiv w:val="1"/>
      <w:marLeft w:val="0"/>
      <w:marRight w:val="0"/>
      <w:marTop w:val="0"/>
      <w:marBottom w:val="0"/>
      <w:divBdr>
        <w:top w:val="none" w:sz="0" w:space="0" w:color="auto"/>
        <w:left w:val="none" w:sz="0" w:space="0" w:color="auto"/>
        <w:bottom w:val="none" w:sz="0" w:space="0" w:color="auto"/>
        <w:right w:val="none" w:sz="0" w:space="0" w:color="auto"/>
      </w:divBdr>
    </w:div>
    <w:div w:id="363016779">
      <w:bodyDiv w:val="1"/>
      <w:marLeft w:val="0"/>
      <w:marRight w:val="0"/>
      <w:marTop w:val="0"/>
      <w:marBottom w:val="0"/>
      <w:divBdr>
        <w:top w:val="none" w:sz="0" w:space="0" w:color="auto"/>
        <w:left w:val="none" w:sz="0" w:space="0" w:color="auto"/>
        <w:bottom w:val="none" w:sz="0" w:space="0" w:color="auto"/>
        <w:right w:val="none" w:sz="0" w:space="0" w:color="auto"/>
      </w:divBdr>
    </w:div>
    <w:div w:id="371157247">
      <w:bodyDiv w:val="1"/>
      <w:marLeft w:val="0"/>
      <w:marRight w:val="0"/>
      <w:marTop w:val="0"/>
      <w:marBottom w:val="0"/>
      <w:divBdr>
        <w:top w:val="none" w:sz="0" w:space="0" w:color="auto"/>
        <w:left w:val="none" w:sz="0" w:space="0" w:color="auto"/>
        <w:bottom w:val="none" w:sz="0" w:space="0" w:color="auto"/>
        <w:right w:val="none" w:sz="0" w:space="0" w:color="auto"/>
      </w:divBdr>
    </w:div>
    <w:div w:id="376512322">
      <w:bodyDiv w:val="1"/>
      <w:marLeft w:val="0"/>
      <w:marRight w:val="0"/>
      <w:marTop w:val="0"/>
      <w:marBottom w:val="0"/>
      <w:divBdr>
        <w:top w:val="none" w:sz="0" w:space="0" w:color="auto"/>
        <w:left w:val="none" w:sz="0" w:space="0" w:color="auto"/>
        <w:bottom w:val="none" w:sz="0" w:space="0" w:color="auto"/>
        <w:right w:val="none" w:sz="0" w:space="0" w:color="auto"/>
      </w:divBdr>
    </w:div>
    <w:div w:id="393435414">
      <w:bodyDiv w:val="1"/>
      <w:marLeft w:val="0"/>
      <w:marRight w:val="0"/>
      <w:marTop w:val="0"/>
      <w:marBottom w:val="0"/>
      <w:divBdr>
        <w:top w:val="none" w:sz="0" w:space="0" w:color="auto"/>
        <w:left w:val="none" w:sz="0" w:space="0" w:color="auto"/>
        <w:bottom w:val="none" w:sz="0" w:space="0" w:color="auto"/>
        <w:right w:val="none" w:sz="0" w:space="0" w:color="auto"/>
      </w:divBdr>
    </w:div>
    <w:div w:id="398286154">
      <w:bodyDiv w:val="1"/>
      <w:marLeft w:val="0"/>
      <w:marRight w:val="0"/>
      <w:marTop w:val="0"/>
      <w:marBottom w:val="0"/>
      <w:divBdr>
        <w:top w:val="none" w:sz="0" w:space="0" w:color="auto"/>
        <w:left w:val="none" w:sz="0" w:space="0" w:color="auto"/>
        <w:bottom w:val="none" w:sz="0" w:space="0" w:color="auto"/>
        <w:right w:val="none" w:sz="0" w:space="0" w:color="auto"/>
      </w:divBdr>
    </w:div>
    <w:div w:id="400753522">
      <w:bodyDiv w:val="1"/>
      <w:marLeft w:val="0"/>
      <w:marRight w:val="0"/>
      <w:marTop w:val="0"/>
      <w:marBottom w:val="0"/>
      <w:divBdr>
        <w:top w:val="none" w:sz="0" w:space="0" w:color="auto"/>
        <w:left w:val="none" w:sz="0" w:space="0" w:color="auto"/>
        <w:bottom w:val="none" w:sz="0" w:space="0" w:color="auto"/>
        <w:right w:val="none" w:sz="0" w:space="0" w:color="auto"/>
      </w:divBdr>
    </w:div>
    <w:div w:id="403720074">
      <w:bodyDiv w:val="1"/>
      <w:marLeft w:val="0"/>
      <w:marRight w:val="0"/>
      <w:marTop w:val="0"/>
      <w:marBottom w:val="0"/>
      <w:divBdr>
        <w:top w:val="none" w:sz="0" w:space="0" w:color="auto"/>
        <w:left w:val="none" w:sz="0" w:space="0" w:color="auto"/>
        <w:bottom w:val="none" w:sz="0" w:space="0" w:color="auto"/>
        <w:right w:val="none" w:sz="0" w:space="0" w:color="auto"/>
      </w:divBdr>
    </w:div>
    <w:div w:id="404227334">
      <w:bodyDiv w:val="1"/>
      <w:marLeft w:val="0"/>
      <w:marRight w:val="0"/>
      <w:marTop w:val="0"/>
      <w:marBottom w:val="0"/>
      <w:divBdr>
        <w:top w:val="none" w:sz="0" w:space="0" w:color="auto"/>
        <w:left w:val="none" w:sz="0" w:space="0" w:color="auto"/>
        <w:bottom w:val="none" w:sz="0" w:space="0" w:color="auto"/>
        <w:right w:val="none" w:sz="0" w:space="0" w:color="auto"/>
      </w:divBdr>
    </w:div>
    <w:div w:id="405538492">
      <w:bodyDiv w:val="1"/>
      <w:marLeft w:val="0"/>
      <w:marRight w:val="0"/>
      <w:marTop w:val="0"/>
      <w:marBottom w:val="0"/>
      <w:divBdr>
        <w:top w:val="none" w:sz="0" w:space="0" w:color="auto"/>
        <w:left w:val="none" w:sz="0" w:space="0" w:color="auto"/>
        <w:bottom w:val="none" w:sz="0" w:space="0" w:color="auto"/>
        <w:right w:val="none" w:sz="0" w:space="0" w:color="auto"/>
      </w:divBdr>
    </w:div>
    <w:div w:id="408425831">
      <w:bodyDiv w:val="1"/>
      <w:marLeft w:val="0"/>
      <w:marRight w:val="0"/>
      <w:marTop w:val="0"/>
      <w:marBottom w:val="0"/>
      <w:divBdr>
        <w:top w:val="none" w:sz="0" w:space="0" w:color="auto"/>
        <w:left w:val="none" w:sz="0" w:space="0" w:color="auto"/>
        <w:bottom w:val="none" w:sz="0" w:space="0" w:color="auto"/>
        <w:right w:val="none" w:sz="0" w:space="0" w:color="auto"/>
      </w:divBdr>
    </w:div>
    <w:div w:id="411002249">
      <w:bodyDiv w:val="1"/>
      <w:marLeft w:val="0"/>
      <w:marRight w:val="0"/>
      <w:marTop w:val="0"/>
      <w:marBottom w:val="0"/>
      <w:divBdr>
        <w:top w:val="none" w:sz="0" w:space="0" w:color="auto"/>
        <w:left w:val="none" w:sz="0" w:space="0" w:color="auto"/>
        <w:bottom w:val="none" w:sz="0" w:space="0" w:color="auto"/>
        <w:right w:val="none" w:sz="0" w:space="0" w:color="auto"/>
      </w:divBdr>
    </w:div>
    <w:div w:id="412047313">
      <w:bodyDiv w:val="1"/>
      <w:marLeft w:val="0"/>
      <w:marRight w:val="0"/>
      <w:marTop w:val="0"/>
      <w:marBottom w:val="0"/>
      <w:divBdr>
        <w:top w:val="none" w:sz="0" w:space="0" w:color="auto"/>
        <w:left w:val="none" w:sz="0" w:space="0" w:color="auto"/>
        <w:bottom w:val="none" w:sz="0" w:space="0" w:color="auto"/>
        <w:right w:val="none" w:sz="0" w:space="0" w:color="auto"/>
      </w:divBdr>
    </w:div>
    <w:div w:id="419253280">
      <w:bodyDiv w:val="1"/>
      <w:marLeft w:val="0"/>
      <w:marRight w:val="0"/>
      <w:marTop w:val="0"/>
      <w:marBottom w:val="0"/>
      <w:divBdr>
        <w:top w:val="none" w:sz="0" w:space="0" w:color="auto"/>
        <w:left w:val="none" w:sz="0" w:space="0" w:color="auto"/>
        <w:bottom w:val="none" w:sz="0" w:space="0" w:color="auto"/>
        <w:right w:val="none" w:sz="0" w:space="0" w:color="auto"/>
      </w:divBdr>
    </w:div>
    <w:div w:id="422336552">
      <w:bodyDiv w:val="1"/>
      <w:marLeft w:val="0"/>
      <w:marRight w:val="0"/>
      <w:marTop w:val="0"/>
      <w:marBottom w:val="0"/>
      <w:divBdr>
        <w:top w:val="none" w:sz="0" w:space="0" w:color="auto"/>
        <w:left w:val="none" w:sz="0" w:space="0" w:color="auto"/>
        <w:bottom w:val="none" w:sz="0" w:space="0" w:color="auto"/>
        <w:right w:val="none" w:sz="0" w:space="0" w:color="auto"/>
      </w:divBdr>
    </w:div>
    <w:div w:id="422579903">
      <w:bodyDiv w:val="1"/>
      <w:marLeft w:val="0"/>
      <w:marRight w:val="0"/>
      <w:marTop w:val="0"/>
      <w:marBottom w:val="0"/>
      <w:divBdr>
        <w:top w:val="none" w:sz="0" w:space="0" w:color="auto"/>
        <w:left w:val="none" w:sz="0" w:space="0" w:color="auto"/>
        <w:bottom w:val="none" w:sz="0" w:space="0" w:color="auto"/>
        <w:right w:val="none" w:sz="0" w:space="0" w:color="auto"/>
      </w:divBdr>
    </w:div>
    <w:div w:id="423301049">
      <w:bodyDiv w:val="1"/>
      <w:marLeft w:val="0"/>
      <w:marRight w:val="0"/>
      <w:marTop w:val="0"/>
      <w:marBottom w:val="0"/>
      <w:divBdr>
        <w:top w:val="none" w:sz="0" w:space="0" w:color="auto"/>
        <w:left w:val="none" w:sz="0" w:space="0" w:color="auto"/>
        <w:bottom w:val="none" w:sz="0" w:space="0" w:color="auto"/>
        <w:right w:val="none" w:sz="0" w:space="0" w:color="auto"/>
      </w:divBdr>
    </w:div>
    <w:div w:id="424037457">
      <w:bodyDiv w:val="1"/>
      <w:marLeft w:val="0"/>
      <w:marRight w:val="0"/>
      <w:marTop w:val="0"/>
      <w:marBottom w:val="0"/>
      <w:divBdr>
        <w:top w:val="none" w:sz="0" w:space="0" w:color="auto"/>
        <w:left w:val="none" w:sz="0" w:space="0" w:color="auto"/>
        <w:bottom w:val="none" w:sz="0" w:space="0" w:color="auto"/>
        <w:right w:val="none" w:sz="0" w:space="0" w:color="auto"/>
      </w:divBdr>
    </w:div>
    <w:div w:id="432090196">
      <w:bodyDiv w:val="1"/>
      <w:marLeft w:val="0"/>
      <w:marRight w:val="0"/>
      <w:marTop w:val="0"/>
      <w:marBottom w:val="0"/>
      <w:divBdr>
        <w:top w:val="none" w:sz="0" w:space="0" w:color="auto"/>
        <w:left w:val="none" w:sz="0" w:space="0" w:color="auto"/>
        <w:bottom w:val="none" w:sz="0" w:space="0" w:color="auto"/>
        <w:right w:val="none" w:sz="0" w:space="0" w:color="auto"/>
      </w:divBdr>
    </w:div>
    <w:div w:id="433936168">
      <w:bodyDiv w:val="1"/>
      <w:marLeft w:val="0"/>
      <w:marRight w:val="0"/>
      <w:marTop w:val="0"/>
      <w:marBottom w:val="0"/>
      <w:divBdr>
        <w:top w:val="none" w:sz="0" w:space="0" w:color="auto"/>
        <w:left w:val="none" w:sz="0" w:space="0" w:color="auto"/>
        <w:bottom w:val="none" w:sz="0" w:space="0" w:color="auto"/>
        <w:right w:val="none" w:sz="0" w:space="0" w:color="auto"/>
      </w:divBdr>
    </w:div>
    <w:div w:id="434709893">
      <w:bodyDiv w:val="1"/>
      <w:marLeft w:val="0"/>
      <w:marRight w:val="0"/>
      <w:marTop w:val="0"/>
      <w:marBottom w:val="0"/>
      <w:divBdr>
        <w:top w:val="none" w:sz="0" w:space="0" w:color="auto"/>
        <w:left w:val="none" w:sz="0" w:space="0" w:color="auto"/>
        <w:bottom w:val="none" w:sz="0" w:space="0" w:color="auto"/>
        <w:right w:val="none" w:sz="0" w:space="0" w:color="auto"/>
      </w:divBdr>
    </w:div>
    <w:div w:id="444471741">
      <w:bodyDiv w:val="1"/>
      <w:marLeft w:val="0"/>
      <w:marRight w:val="0"/>
      <w:marTop w:val="0"/>
      <w:marBottom w:val="0"/>
      <w:divBdr>
        <w:top w:val="none" w:sz="0" w:space="0" w:color="auto"/>
        <w:left w:val="none" w:sz="0" w:space="0" w:color="auto"/>
        <w:bottom w:val="none" w:sz="0" w:space="0" w:color="auto"/>
        <w:right w:val="none" w:sz="0" w:space="0" w:color="auto"/>
      </w:divBdr>
    </w:div>
    <w:div w:id="44453953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7010658">
      <w:bodyDiv w:val="1"/>
      <w:marLeft w:val="0"/>
      <w:marRight w:val="0"/>
      <w:marTop w:val="0"/>
      <w:marBottom w:val="0"/>
      <w:divBdr>
        <w:top w:val="none" w:sz="0" w:space="0" w:color="auto"/>
        <w:left w:val="none" w:sz="0" w:space="0" w:color="auto"/>
        <w:bottom w:val="none" w:sz="0" w:space="0" w:color="auto"/>
        <w:right w:val="none" w:sz="0" w:space="0" w:color="auto"/>
      </w:divBdr>
    </w:div>
    <w:div w:id="470906960">
      <w:bodyDiv w:val="1"/>
      <w:marLeft w:val="0"/>
      <w:marRight w:val="0"/>
      <w:marTop w:val="0"/>
      <w:marBottom w:val="0"/>
      <w:divBdr>
        <w:top w:val="none" w:sz="0" w:space="0" w:color="auto"/>
        <w:left w:val="none" w:sz="0" w:space="0" w:color="auto"/>
        <w:bottom w:val="none" w:sz="0" w:space="0" w:color="auto"/>
        <w:right w:val="none" w:sz="0" w:space="0" w:color="auto"/>
      </w:divBdr>
    </w:div>
    <w:div w:id="483745248">
      <w:bodyDiv w:val="1"/>
      <w:marLeft w:val="0"/>
      <w:marRight w:val="0"/>
      <w:marTop w:val="0"/>
      <w:marBottom w:val="0"/>
      <w:divBdr>
        <w:top w:val="none" w:sz="0" w:space="0" w:color="auto"/>
        <w:left w:val="none" w:sz="0" w:space="0" w:color="auto"/>
        <w:bottom w:val="none" w:sz="0" w:space="0" w:color="auto"/>
        <w:right w:val="none" w:sz="0" w:space="0" w:color="auto"/>
      </w:divBdr>
    </w:div>
    <w:div w:id="497354610">
      <w:bodyDiv w:val="1"/>
      <w:marLeft w:val="0"/>
      <w:marRight w:val="0"/>
      <w:marTop w:val="0"/>
      <w:marBottom w:val="0"/>
      <w:divBdr>
        <w:top w:val="none" w:sz="0" w:space="0" w:color="auto"/>
        <w:left w:val="none" w:sz="0" w:space="0" w:color="auto"/>
        <w:bottom w:val="none" w:sz="0" w:space="0" w:color="auto"/>
        <w:right w:val="none" w:sz="0" w:space="0" w:color="auto"/>
      </w:divBdr>
    </w:div>
    <w:div w:id="498230632">
      <w:bodyDiv w:val="1"/>
      <w:marLeft w:val="0"/>
      <w:marRight w:val="0"/>
      <w:marTop w:val="0"/>
      <w:marBottom w:val="0"/>
      <w:divBdr>
        <w:top w:val="none" w:sz="0" w:space="0" w:color="auto"/>
        <w:left w:val="none" w:sz="0" w:space="0" w:color="auto"/>
        <w:bottom w:val="none" w:sz="0" w:space="0" w:color="auto"/>
        <w:right w:val="none" w:sz="0" w:space="0" w:color="auto"/>
      </w:divBdr>
    </w:div>
    <w:div w:id="500969593">
      <w:bodyDiv w:val="1"/>
      <w:marLeft w:val="0"/>
      <w:marRight w:val="0"/>
      <w:marTop w:val="0"/>
      <w:marBottom w:val="0"/>
      <w:divBdr>
        <w:top w:val="none" w:sz="0" w:space="0" w:color="auto"/>
        <w:left w:val="none" w:sz="0" w:space="0" w:color="auto"/>
        <w:bottom w:val="none" w:sz="0" w:space="0" w:color="auto"/>
        <w:right w:val="none" w:sz="0" w:space="0" w:color="auto"/>
      </w:divBdr>
    </w:div>
    <w:div w:id="503396792">
      <w:bodyDiv w:val="1"/>
      <w:marLeft w:val="0"/>
      <w:marRight w:val="0"/>
      <w:marTop w:val="0"/>
      <w:marBottom w:val="0"/>
      <w:divBdr>
        <w:top w:val="none" w:sz="0" w:space="0" w:color="auto"/>
        <w:left w:val="none" w:sz="0" w:space="0" w:color="auto"/>
        <w:bottom w:val="none" w:sz="0" w:space="0" w:color="auto"/>
        <w:right w:val="none" w:sz="0" w:space="0" w:color="auto"/>
      </w:divBdr>
    </w:div>
    <w:div w:id="506335833">
      <w:bodyDiv w:val="1"/>
      <w:marLeft w:val="0"/>
      <w:marRight w:val="0"/>
      <w:marTop w:val="0"/>
      <w:marBottom w:val="0"/>
      <w:divBdr>
        <w:top w:val="none" w:sz="0" w:space="0" w:color="auto"/>
        <w:left w:val="none" w:sz="0" w:space="0" w:color="auto"/>
        <w:bottom w:val="none" w:sz="0" w:space="0" w:color="auto"/>
        <w:right w:val="none" w:sz="0" w:space="0" w:color="auto"/>
      </w:divBdr>
    </w:div>
    <w:div w:id="508520822">
      <w:bodyDiv w:val="1"/>
      <w:marLeft w:val="0"/>
      <w:marRight w:val="0"/>
      <w:marTop w:val="0"/>
      <w:marBottom w:val="0"/>
      <w:divBdr>
        <w:top w:val="none" w:sz="0" w:space="0" w:color="auto"/>
        <w:left w:val="none" w:sz="0" w:space="0" w:color="auto"/>
        <w:bottom w:val="none" w:sz="0" w:space="0" w:color="auto"/>
        <w:right w:val="none" w:sz="0" w:space="0" w:color="auto"/>
      </w:divBdr>
    </w:div>
    <w:div w:id="512959568">
      <w:bodyDiv w:val="1"/>
      <w:marLeft w:val="0"/>
      <w:marRight w:val="0"/>
      <w:marTop w:val="0"/>
      <w:marBottom w:val="0"/>
      <w:divBdr>
        <w:top w:val="none" w:sz="0" w:space="0" w:color="auto"/>
        <w:left w:val="none" w:sz="0" w:space="0" w:color="auto"/>
        <w:bottom w:val="none" w:sz="0" w:space="0" w:color="auto"/>
        <w:right w:val="none" w:sz="0" w:space="0" w:color="auto"/>
      </w:divBdr>
    </w:div>
    <w:div w:id="517088628">
      <w:bodyDiv w:val="1"/>
      <w:marLeft w:val="0"/>
      <w:marRight w:val="0"/>
      <w:marTop w:val="0"/>
      <w:marBottom w:val="0"/>
      <w:divBdr>
        <w:top w:val="none" w:sz="0" w:space="0" w:color="auto"/>
        <w:left w:val="none" w:sz="0" w:space="0" w:color="auto"/>
        <w:bottom w:val="none" w:sz="0" w:space="0" w:color="auto"/>
        <w:right w:val="none" w:sz="0" w:space="0" w:color="auto"/>
      </w:divBdr>
    </w:div>
    <w:div w:id="52818428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2137621">
      <w:bodyDiv w:val="1"/>
      <w:marLeft w:val="0"/>
      <w:marRight w:val="0"/>
      <w:marTop w:val="0"/>
      <w:marBottom w:val="0"/>
      <w:divBdr>
        <w:top w:val="none" w:sz="0" w:space="0" w:color="auto"/>
        <w:left w:val="none" w:sz="0" w:space="0" w:color="auto"/>
        <w:bottom w:val="none" w:sz="0" w:space="0" w:color="auto"/>
        <w:right w:val="none" w:sz="0" w:space="0" w:color="auto"/>
      </w:divBdr>
    </w:div>
    <w:div w:id="544760724">
      <w:bodyDiv w:val="1"/>
      <w:marLeft w:val="0"/>
      <w:marRight w:val="0"/>
      <w:marTop w:val="0"/>
      <w:marBottom w:val="0"/>
      <w:divBdr>
        <w:top w:val="none" w:sz="0" w:space="0" w:color="auto"/>
        <w:left w:val="none" w:sz="0" w:space="0" w:color="auto"/>
        <w:bottom w:val="none" w:sz="0" w:space="0" w:color="auto"/>
        <w:right w:val="none" w:sz="0" w:space="0" w:color="auto"/>
      </w:divBdr>
    </w:div>
    <w:div w:id="545795899">
      <w:bodyDiv w:val="1"/>
      <w:marLeft w:val="0"/>
      <w:marRight w:val="0"/>
      <w:marTop w:val="0"/>
      <w:marBottom w:val="0"/>
      <w:divBdr>
        <w:top w:val="none" w:sz="0" w:space="0" w:color="auto"/>
        <w:left w:val="none" w:sz="0" w:space="0" w:color="auto"/>
        <w:bottom w:val="none" w:sz="0" w:space="0" w:color="auto"/>
        <w:right w:val="none" w:sz="0" w:space="0" w:color="auto"/>
      </w:divBdr>
    </w:div>
    <w:div w:id="549457628">
      <w:bodyDiv w:val="1"/>
      <w:marLeft w:val="0"/>
      <w:marRight w:val="0"/>
      <w:marTop w:val="0"/>
      <w:marBottom w:val="0"/>
      <w:divBdr>
        <w:top w:val="none" w:sz="0" w:space="0" w:color="auto"/>
        <w:left w:val="none" w:sz="0" w:space="0" w:color="auto"/>
        <w:bottom w:val="none" w:sz="0" w:space="0" w:color="auto"/>
        <w:right w:val="none" w:sz="0" w:space="0" w:color="auto"/>
      </w:divBdr>
    </w:div>
    <w:div w:id="549995090">
      <w:bodyDiv w:val="1"/>
      <w:marLeft w:val="0"/>
      <w:marRight w:val="0"/>
      <w:marTop w:val="0"/>
      <w:marBottom w:val="0"/>
      <w:divBdr>
        <w:top w:val="none" w:sz="0" w:space="0" w:color="auto"/>
        <w:left w:val="none" w:sz="0" w:space="0" w:color="auto"/>
        <w:bottom w:val="none" w:sz="0" w:space="0" w:color="auto"/>
        <w:right w:val="none" w:sz="0" w:space="0" w:color="auto"/>
      </w:divBdr>
    </w:div>
    <w:div w:id="555240236">
      <w:bodyDiv w:val="1"/>
      <w:marLeft w:val="0"/>
      <w:marRight w:val="0"/>
      <w:marTop w:val="0"/>
      <w:marBottom w:val="0"/>
      <w:divBdr>
        <w:top w:val="none" w:sz="0" w:space="0" w:color="auto"/>
        <w:left w:val="none" w:sz="0" w:space="0" w:color="auto"/>
        <w:bottom w:val="none" w:sz="0" w:space="0" w:color="auto"/>
        <w:right w:val="none" w:sz="0" w:space="0" w:color="auto"/>
      </w:divBdr>
    </w:div>
    <w:div w:id="556092371">
      <w:bodyDiv w:val="1"/>
      <w:marLeft w:val="0"/>
      <w:marRight w:val="0"/>
      <w:marTop w:val="0"/>
      <w:marBottom w:val="0"/>
      <w:divBdr>
        <w:top w:val="none" w:sz="0" w:space="0" w:color="auto"/>
        <w:left w:val="none" w:sz="0" w:space="0" w:color="auto"/>
        <w:bottom w:val="none" w:sz="0" w:space="0" w:color="auto"/>
        <w:right w:val="none" w:sz="0" w:space="0" w:color="auto"/>
      </w:divBdr>
    </w:div>
    <w:div w:id="556741020">
      <w:bodyDiv w:val="1"/>
      <w:marLeft w:val="0"/>
      <w:marRight w:val="0"/>
      <w:marTop w:val="0"/>
      <w:marBottom w:val="0"/>
      <w:divBdr>
        <w:top w:val="none" w:sz="0" w:space="0" w:color="auto"/>
        <w:left w:val="none" w:sz="0" w:space="0" w:color="auto"/>
        <w:bottom w:val="none" w:sz="0" w:space="0" w:color="auto"/>
        <w:right w:val="none" w:sz="0" w:space="0" w:color="auto"/>
      </w:divBdr>
    </w:div>
    <w:div w:id="559442658">
      <w:bodyDiv w:val="1"/>
      <w:marLeft w:val="0"/>
      <w:marRight w:val="0"/>
      <w:marTop w:val="0"/>
      <w:marBottom w:val="0"/>
      <w:divBdr>
        <w:top w:val="none" w:sz="0" w:space="0" w:color="auto"/>
        <w:left w:val="none" w:sz="0" w:space="0" w:color="auto"/>
        <w:bottom w:val="none" w:sz="0" w:space="0" w:color="auto"/>
        <w:right w:val="none" w:sz="0" w:space="0" w:color="auto"/>
      </w:divBdr>
    </w:div>
    <w:div w:id="561788823">
      <w:bodyDiv w:val="1"/>
      <w:marLeft w:val="0"/>
      <w:marRight w:val="0"/>
      <w:marTop w:val="0"/>
      <w:marBottom w:val="0"/>
      <w:divBdr>
        <w:top w:val="none" w:sz="0" w:space="0" w:color="auto"/>
        <w:left w:val="none" w:sz="0" w:space="0" w:color="auto"/>
        <w:bottom w:val="none" w:sz="0" w:space="0" w:color="auto"/>
        <w:right w:val="none" w:sz="0" w:space="0" w:color="auto"/>
      </w:divBdr>
    </w:div>
    <w:div w:id="563218878">
      <w:bodyDiv w:val="1"/>
      <w:marLeft w:val="0"/>
      <w:marRight w:val="0"/>
      <w:marTop w:val="0"/>
      <w:marBottom w:val="0"/>
      <w:divBdr>
        <w:top w:val="none" w:sz="0" w:space="0" w:color="auto"/>
        <w:left w:val="none" w:sz="0" w:space="0" w:color="auto"/>
        <w:bottom w:val="none" w:sz="0" w:space="0" w:color="auto"/>
        <w:right w:val="none" w:sz="0" w:space="0" w:color="auto"/>
      </w:divBdr>
    </w:div>
    <w:div w:id="563374335">
      <w:bodyDiv w:val="1"/>
      <w:marLeft w:val="0"/>
      <w:marRight w:val="0"/>
      <w:marTop w:val="0"/>
      <w:marBottom w:val="0"/>
      <w:divBdr>
        <w:top w:val="none" w:sz="0" w:space="0" w:color="auto"/>
        <w:left w:val="none" w:sz="0" w:space="0" w:color="auto"/>
        <w:bottom w:val="none" w:sz="0" w:space="0" w:color="auto"/>
        <w:right w:val="none" w:sz="0" w:space="0" w:color="auto"/>
      </w:divBdr>
    </w:div>
    <w:div w:id="572545090">
      <w:bodyDiv w:val="1"/>
      <w:marLeft w:val="0"/>
      <w:marRight w:val="0"/>
      <w:marTop w:val="0"/>
      <w:marBottom w:val="0"/>
      <w:divBdr>
        <w:top w:val="none" w:sz="0" w:space="0" w:color="auto"/>
        <w:left w:val="none" w:sz="0" w:space="0" w:color="auto"/>
        <w:bottom w:val="none" w:sz="0" w:space="0" w:color="auto"/>
        <w:right w:val="none" w:sz="0" w:space="0" w:color="auto"/>
      </w:divBdr>
    </w:div>
    <w:div w:id="575626140">
      <w:bodyDiv w:val="1"/>
      <w:marLeft w:val="0"/>
      <w:marRight w:val="0"/>
      <w:marTop w:val="0"/>
      <w:marBottom w:val="0"/>
      <w:divBdr>
        <w:top w:val="none" w:sz="0" w:space="0" w:color="auto"/>
        <w:left w:val="none" w:sz="0" w:space="0" w:color="auto"/>
        <w:bottom w:val="none" w:sz="0" w:space="0" w:color="auto"/>
        <w:right w:val="none" w:sz="0" w:space="0" w:color="auto"/>
      </w:divBdr>
    </w:div>
    <w:div w:id="578292079">
      <w:bodyDiv w:val="1"/>
      <w:marLeft w:val="0"/>
      <w:marRight w:val="0"/>
      <w:marTop w:val="0"/>
      <w:marBottom w:val="0"/>
      <w:divBdr>
        <w:top w:val="none" w:sz="0" w:space="0" w:color="auto"/>
        <w:left w:val="none" w:sz="0" w:space="0" w:color="auto"/>
        <w:bottom w:val="none" w:sz="0" w:space="0" w:color="auto"/>
        <w:right w:val="none" w:sz="0" w:space="0" w:color="auto"/>
      </w:divBdr>
    </w:div>
    <w:div w:id="581334037">
      <w:bodyDiv w:val="1"/>
      <w:marLeft w:val="0"/>
      <w:marRight w:val="0"/>
      <w:marTop w:val="0"/>
      <w:marBottom w:val="0"/>
      <w:divBdr>
        <w:top w:val="none" w:sz="0" w:space="0" w:color="auto"/>
        <w:left w:val="none" w:sz="0" w:space="0" w:color="auto"/>
        <w:bottom w:val="none" w:sz="0" w:space="0" w:color="auto"/>
        <w:right w:val="none" w:sz="0" w:space="0" w:color="auto"/>
      </w:divBdr>
    </w:div>
    <w:div w:id="610356246">
      <w:bodyDiv w:val="1"/>
      <w:marLeft w:val="0"/>
      <w:marRight w:val="0"/>
      <w:marTop w:val="0"/>
      <w:marBottom w:val="0"/>
      <w:divBdr>
        <w:top w:val="none" w:sz="0" w:space="0" w:color="auto"/>
        <w:left w:val="none" w:sz="0" w:space="0" w:color="auto"/>
        <w:bottom w:val="none" w:sz="0" w:space="0" w:color="auto"/>
        <w:right w:val="none" w:sz="0" w:space="0" w:color="auto"/>
      </w:divBdr>
    </w:div>
    <w:div w:id="618147446">
      <w:bodyDiv w:val="1"/>
      <w:marLeft w:val="0"/>
      <w:marRight w:val="0"/>
      <w:marTop w:val="0"/>
      <w:marBottom w:val="0"/>
      <w:divBdr>
        <w:top w:val="none" w:sz="0" w:space="0" w:color="auto"/>
        <w:left w:val="none" w:sz="0" w:space="0" w:color="auto"/>
        <w:bottom w:val="none" w:sz="0" w:space="0" w:color="auto"/>
        <w:right w:val="none" w:sz="0" w:space="0" w:color="auto"/>
      </w:divBdr>
    </w:div>
    <w:div w:id="622150146">
      <w:bodyDiv w:val="1"/>
      <w:marLeft w:val="0"/>
      <w:marRight w:val="0"/>
      <w:marTop w:val="0"/>
      <w:marBottom w:val="0"/>
      <w:divBdr>
        <w:top w:val="none" w:sz="0" w:space="0" w:color="auto"/>
        <w:left w:val="none" w:sz="0" w:space="0" w:color="auto"/>
        <w:bottom w:val="none" w:sz="0" w:space="0" w:color="auto"/>
        <w:right w:val="none" w:sz="0" w:space="0" w:color="auto"/>
      </w:divBdr>
    </w:div>
    <w:div w:id="623930510">
      <w:bodyDiv w:val="1"/>
      <w:marLeft w:val="0"/>
      <w:marRight w:val="0"/>
      <w:marTop w:val="0"/>
      <w:marBottom w:val="0"/>
      <w:divBdr>
        <w:top w:val="none" w:sz="0" w:space="0" w:color="auto"/>
        <w:left w:val="none" w:sz="0" w:space="0" w:color="auto"/>
        <w:bottom w:val="none" w:sz="0" w:space="0" w:color="auto"/>
        <w:right w:val="none" w:sz="0" w:space="0" w:color="auto"/>
      </w:divBdr>
    </w:div>
    <w:div w:id="625082876">
      <w:bodyDiv w:val="1"/>
      <w:marLeft w:val="0"/>
      <w:marRight w:val="0"/>
      <w:marTop w:val="0"/>
      <w:marBottom w:val="0"/>
      <w:divBdr>
        <w:top w:val="none" w:sz="0" w:space="0" w:color="auto"/>
        <w:left w:val="none" w:sz="0" w:space="0" w:color="auto"/>
        <w:bottom w:val="none" w:sz="0" w:space="0" w:color="auto"/>
        <w:right w:val="none" w:sz="0" w:space="0" w:color="auto"/>
      </w:divBdr>
    </w:div>
    <w:div w:id="627781010">
      <w:bodyDiv w:val="1"/>
      <w:marLeft w:val="0"/>
      <w:marRight w:val="0"/>
      <w:marTop w:val="0"/>
      <w:marBottom w:val="0"/>
      <w:divBdr>
        <w:top w:val="none" w:sz="0" w:space="0" w:color="auto"/>
        <w:left w:val="none" w:sz="0" w:space="0" w:color="auto"/>
        <w:bottom w:val="none" w:sz="0" w:space="0" w:color="auto"/>
        <w:right w:val="none" w:sz="0" w:space="0" w:color="auto"/>
      </w:divBdr>
    </w:div>
    <w:div w:id="637884702">
      <w:bodyDiv w:val="1"/>
      <w:marLeft w:val="0"/>
      <w:marRight w:val="0"/>
      <w:marTop w:val="0"/>
      <w:marBottom w:val="0"/>
      <w:divBdr>
        <w:top w:val="none" w:sz="0" w:space="0" w:color="auto"/>
        <w:left w:val="none" w:sz="0" w:space="0" w:color="auto"/>
        <w:bottom w:val="none" w:sz="0" w:space="0" w:color="auto"/>
        <w:right w:val="none" w:sz="0" w:space="0" w:color="auto"/>
      </w:divBdr>
    </w:div>
    <w:div w:id="639771766">
      <w:bodyDiv w:val="1"/>
      <w:marLeft w:val="0"/>
      <w:marRight w:val="0"/>
      <w:marTop w:val="0"/>
      <w:marBottom w:val="0"/>
      <w:divBdr>
        <w:top w:val="none" w:sz="0" w:space="0" w:color="auto"/>
        <w:left w:val="none" w:sz="0" w:space="0" w:color="auto"/>
        <w:bottom w:val="none" w:sz="0" w:space="0" w:color="auto"/>
        <w:right w:val="none" w:sz="0" w:space="0" w:color="auto"/>
      </w:divBdr>
    </w:div>
    <w:div w:id="640697056">
      <w:bodyDiv w:val="1"/>
      <w:marLeft w:val="0"/>
      <w:marRight w:val="0"/>
      <w:marTop w:val="0"/>
      <w:marBottom w:val="0"/>
      <w:divBdr>
        <w:top w:val="none" w:sz="0" w:space="0" w:color="auto"/>
        <w:left w:val="none" w:sz="0" w:space="0" w:color="auto"/>
        <w:bottom w:val="none" w:sz="0" w:space="0" w:color="auto"/>
        <w:right w:val="none" w:sz="0" w:space="0" w:color="auto"/>
      </w:divBdr>
    </w:div>
    <w:div w:id="640967979">
      <w:bodyDiv w:val="1"/>
      <w:marLeft w:val="0"/>
      <w:marRight w:val="0"/>
      <w:marTop w:val="0"/>
      <w:marBottom w:val="0"/>
      <w:divBdr>
        <w:top w:val="none" w:sz="0" w:space="0" w:color="auto"/>
        <w:left w:val="none" w:sz="0" w:space="0" w:color="auto"/>
        <w:bottom w:val="none" w:sz="0" w:space="0" w:color="auto"/>
        <w:right w:val="none" w:sz="0" w:space="0" w:color="auto"/>
      </w:divBdr>
    </w:div>
    <w:div w:id="642808227">
      <w:bodyDiv w:val="1"/>
      <w:marLeft w:val="0"/>
      <w:marRight w:val="0"/>
      <w:marTop w:val="0"/>
      <w:marBottom w:val="0"/>
      <w:divBdr>
        <w:top w:val="none" w:sz="0" w:space="0" w:color="auto"/>
        <w:left w:val="none" w:sz="0" w:space="0" w:color="auto"/>
        <w:bottom w:val="none" w:sz="0" w:space="0" w:color="auto"/>
        <w:right w:val="none" w:sz="0" w:space="0" w:color="auto"/>
      </w:divBdr>
    </w:div>
    <w:div w:id="655576971">
      <w:bodyDiv w:val="1"/>
      <w:marLeft w:val="0"/>
      <w:marRight w:val="0"/>
      <w:marTop w:val="0"/>
      <w:marBottom w:val="0"/>
      <w:divBdr>
        <w:top w:val="none" w:sz="0" w:space="0" w:color="auto"/>
        <w:left w:val="none" w:sz="0" w:space="0" w:color="auto"/>
        <w:bottom w:val="none" w:sz="0" w:space="0" w:color="auto"/>
        <w:right w:val="none" w:sz="0" w:space="0" w:color="auto"/>
      </w:divBdr>
    </w:div>
    <w:div w:id="661003872">
      <w:bodyDiv w:val="1"/>
      <w:marLeft w:val="0"/>
      <w:marRight w:val="0"/>
      <w:marTop w:val="0"/>
      <w:marBottom w:val="0"/>
      <w:divBdr>
        <w:top w:val="none" w:sz="0" w:space="0" w:color="auto"/>
        <w:left w:val="none" w:sz="0" w:space="0" w:color="auto"/>
        <w:bottom w:val="none" w:sz="0" w:space="0" w:color="auto"/>
        <w:right w:val="none" w:sz="0" w:space="0" w:color="auto"/>
      </w:divBdr>
    </w:div>
    <w:div w:id="662320587">
      <w:bodyDiv w:val="1"/>
      <w:marLeft w:val="0"/>
      <w:marRight w:val="0"/>
      <w:marTop w:val="0"/>
      <w:marBottom w:val="0"/>
      <w:divBdr>
        <w:top w:val="none" w:sz="0" w:space="0" w:color="auto"/>
        <w:left w:val="none" w:sz="0" w:space="0" w:color="auto"/>
        <w:bottom w:val="none" w:sz="0" w:space="0" w:color="auto"/>
        <w:right w:val="none" w:sz="0" w:space="0" w:color="auto"/>
      </w:divBdr>
    </w:div>
    <w:div w:id="663511696">
      <w:bodyDiv w:val="1"/>
      <w:marLeft w:val="0"/>
      <w:marRight w:val="0"/>
      <w:marTop w:val="0"/>
      <w:marBottom w:val="0"/>
      <w:divBdr>
        <w:top w:val="none" w:sz="0" w:space="0" w:color="auto"/>
        <w:left w:val="none" w:sz="0" w:space="0" w:color="auto"/>
        <w:bottom w:val="none" w:sz="0" w:space="0" w:color="auto"/>
        <w:right w:val="none" w:sz="0" w:space="0" w:color="auto"/>
      </w:divBdr>
    </w:div>
    <w:div w:id="675117234">
      <w:bodyDiv w:val="1"/>
      <w:marLeft w:val="0"/>
      <w:marRight w:val="0"/>
      <w:marTop w:val="0"/>
      <w:marBottom w:val="0"/>
      <w:divBdr>
        <w:top w:val="none" w:sz="0" w:space="0" w:color="auto"/>
        <w:left w:val="none" w:sz="0" w:space="0" w:color="auto"/>
        <w:bottom w:val="none" w:sz="0" w:space="0" w:color="auto"/>
        <w:right w:val="none" w:sz="0" w:space="0" w:color="auto"/>
      </w:divBdr>
    </w:div>
    <w:div w:id="675613407">
      <w:bodyDiv w:val="1"/>
      <w:marLeft w:val="0"/>
      <w:marRight w:val="0"/>
      <w:marTop w:val="0"/>
      <w:marBottom w:val="0"/>
      <w:divBdr>
        <w:top w:val="none" w:sz="0" w:space="0" w:color="auto"/>
        <w:left w:val="none" w:sz="0" w:space="0" w:color="auto"/>
        <w:bottom w:val="none" w:sz="0" w:space="0" w:color="auto"/>
        <w:right w:val="none" w:sz="0" w:space="0" w:color="auto"/>
      </w:divBdr>
    </w:div>
    <w:div w:id="676925074">
      <w:bodyDiv w:val="1"/>
      <w:marLeft w:val="0"/>
      <w:marRight w:val="0"/>
      <w:marTop w:val="0"/>
      <w:marBottom w:val="0"/>
      <w:divBdr>
        <w:top w:val="none" w:sz="0" w:space="0" w:color="auto"/>
        <w:left w:val="none" w:sz="0" w:space="0" w:color="auto"/>
        <w:bottom w:val="none" w:sz="0" w:space="0" w:color="auto"/>
        <w:right w:val="none" w:sz="0" w:space="0" w:color="auto"/>
      </w:divBdr>
    </w:div>
    <w:div w:id="684598301">
      <w:bodyDiv w:val="1"/>
      <w:marLeft w:val="0"/>
      <w:marRight w:val="0"/>
      <w:marTop w:val="0"/>
      <w:marBottom w:val="0"/>
      <w:divBdr>
        <w:top w:val="none" w:sz="0" w:space="0" w:color="auto"/>
        <w:left w:val="none" w:sz="0" w:space="0" w:color="auto"/>
        <w:bottom w:val="none" w:sz="0" w:space="0" w:color="auto"/>
        <w:right w:val="none" w:sz="0" w:space="0" w:color="auto"/>
      </w:divBdr>
    </w:div>
    <w:div w:id="688601861">
      <w:bodyDiv w:val="1"/>
      <w:marLeft w:val="0"/>
      <w:marRight w:val="0"/>
      <w:marTop w:val="0"/>
      <w:marBottom w:val="0"/>
      <w:divBdr>
        <w:top w:val="none" w:sz="0" w:space="0" w:color="auto"/>
        <w:left w:val="none" w:sz="0" w:space="0" w:color="auto"/>
        <w:bottom w:val="none" w:sz="0" w:space="0" w:color="auto"/>
        <w:right w:val="none" w:sz="0" w:space="0" w:color="auto"/>
      </w:divBdr>
    </w:div>
    <w:div w:id="692729778">
      <w:bodyDiv w:val="1"/>
      <w:marLeft w:val="0"/>
      <w:marRight w:val="0"/>
      <w:marTop w:val="0"/>
      <w:marBottom w:val="0"/>
      <w:divBdr>
        <w:top w:val="none" w:sz="0" w:space="0" w:color="auto"/>
        <w:left w:val="none" w:sz="0" w:space="0" w:color="auto"/>
        <w:bottom w:val="none" w:sz="0" w:space="0" w:color="auto"/>
        <w:right w:val="none" w:sz="0" w:space="0" w:color="auto"/>
      </w:divBdr>
    </w:div>
    <w:div w:id="698315277">
      <w:bodyDiv w:val="1"/>
      <w:marLeft w:val="0"/>
      <w:marRight w:val="0"/>
      <w:marTop w:val="0"/>
      <w:marBottom w:val="0"/>
      <w:divBdr>
        <w:top w:val="none" w:sz="0" w:space="0" w:color="auto"/>
        <w:left w:val="none" w:sz="0" w:space="0" w:color="auto"/>
        <w:bottom w:val="none" w:sz="0" w:space="0" w:color="auto"/>
        <w:right w:val="none" w:sz="0" w:space="0" w:color="auto"/>
      </w:divBdr>
    </w:div>
    <w:div w:id="700283934">
      <w:bodyDiv w:val="1"/>
      <w:marLeft w:val="0"/>
      <w:marRight w:val="0"/>
      <w:marTop w:val="0"/>
      <w:marBottom w:val="0"/>
      <w:divBdr>
        <w:top w:val="none" w:sz="0" w:space="0" w:color="auto"/>
        <w:left w:val="none" w:sz="0" w:space="0" w:color="auto"/>
        <w:bottom w:val="none" w:sz="0" w:space="0" w:color="auto"/>
        <w:right w:val="none" w:sz="0" w:space="0" w:color="auto"/>
      </w:divBdr>
    </w:div>
    <w:div w:id="703556489">
      <w:bodyDiv w:val="1"/>
      <w:marLeft w:val="0"/>
      <w:marRight w:val="0"/>
      <w:marTop w:val="0"/>
      <w:marBottom w:val="0"/>
      <w:divBdr>
        <w:top w:val="none" w:sz="0" w:space="0" w:color="auto"/>
        <w:left w:val="none" w:sz="0" w:space="0" w:color="auto"/>
        <w:bottom w:val="none" w:sz="0" w:space="0" w:color="auto"/>
        <w:right w:val="none" w:sz="0" w:space="0" w:color="auto"/>
      </w:divBdr>
    </w:div>
    <w:div w:id="709769475">
      <w:bodyDiv w:val="1"/>
      <w:marLeft w:val="0"/>
      <w:marRight w:val="0"/>
      <w:marTop w:val="0"/>
      <w:marBottom w:val="0"/>
      <w:divBdr>
        <w:top w:val="none" w:sz="0" w:space="0" w:color="auto"/>
        <w:left w:val="none" w:sz="0" w:space="0" w:color="auto"/>
        <w:bottom w:val="none" w:sz="0" w:space="0" w:color="auto"/>
        <w:right w:val="none" w:sz="0" w:space="0" w:color="auto"/>
      </w:divBdr>
    </w:div>
    <w:div w:id="719406080">
      <w:bodyDiv w:val="1"/>
      <w:marLeft w:val="0"/>
      <w:marRight w:val="0"/>
      <w:marTop w:val="0"/>
      <w:marBottom w:val="0"/>
      <w:divBdr>
        <w:top w:val="none" w:sz="0" w:space="0" w:color="auto"/>
        <w:left w:val="none" w:sz="0" w:space="0" w:color="auto"/>
        <w:bottom w:val="none" w:sz="0" w:space="0" w:color="auto"/>
        <w:right w:val="none" w:sz="0" w:space="0" w:color="auto"/>
      </w:divBdr>
    </w:div>
    <w:div w:id="723140283">
      <w:bodyDiv w:val="1"/>
      <w:marLeft w:val="0"/>
      <w:marRight w:val="0"/>
      <w:marTop w:val="0"/>
      <w:marBottom w:val="0"/>
      <w:divBdr>
        <w:top w:val="none" w:sz="0" w:space="0" w:color="auto"/>
        <w:left w:val="none" w:sz="0" w:space="0" w:color="auto"/>
        <w:bottom w:val="none" w:sz="0" w:space="0" w:color="auto"/>
        <w:right w:val="none" w:sz="0" w:space="0" w:color="auto"/>
      </w:divBdr>
    </w:div>
    <w:div w:id="730037427">
      <w:bodyDiv w:val="1"/>
      <w:marLeft w:val="0"/>
      <w:marRight w:val="0"/>
      <w:marTop w:val="0"/>
      <w:marBottom w:val="0"/>
      <w:divBdr>
        <w:top w:val="none" w:sz="0" w:space="0" w:color="auto"/>
        <w:left w:val="none" w:sz="0" w:space="0" w:color="auto"/>
        <w:bottom w:val="none" w:sz="0" w:space="0" w:color="auto"/>
        <w:right w:val="none" w:sz="0" w:space="0" w:color="auto"/>
      </w:divBdr>
    </w:div>
    <w:div w:id="731539432">
      <w:bodyDiv w:val="1"/>
      <w:marLeft w:val="0"/>
      <w:marRight w:val="0"/>
      <w:marTop w:val="0"/>
      <w:marBottom w:val="0"/>
      <w:divBdr>
        <w:top w:val="none" w:sz="0" w:space="0" w:color="auto"/>
        <w:left w:val="none" w:sz="0" w:space="0" w:color="auto"/>
        <w:bottom w:val="none" w:sz="0" w:space="0" w:color="auto"/>
        <w:right w:val="none" w:sz="0" w:space="0" w:color="auto"/>
      </w:divBdr>
    </w:div>
    <w:div w:id="732848646">
      <w:bodyDiv w:val="1"/>
      <w:marLeft w:val="0"/>
      <w:marRight w:val="0"/>
      <w:marTop w:val="0"/>
      <w:marBottom w:val="0"/>
      <w:divBdr>
        <w:top w:val="none" w:sz="0" w:space="0" w:color="auto"/>
        <w:left w:val="none" w:sz="0" w:space="0" w:color="auto"/>
        <w:bottom w:val="none" w:sz="0" w:space="0" w:color="auto"/>
        <w:right w:val="none" w:sz="0" w:space="0" w:color="auto"/>
      </w:divBdr>
    </w:div>
    <w:div w:id="735401986">
      <w:bodyDiv w:val="1"/>
      <w:marLeft w:val="0"/>
      <w:marRight w:val="0"/>
      <w:marTop w:val="0"/>
      <w:marBottom w:val="0"/>
      <w:divBdr>
        <w:top w:val="none" w:sz="0" w:space="0" w:color="auto"/>
        <w:left w:val="none" w:sz="0" w:space="0" w:color="auto"/>
        <w:bottom w:val="none" w:sz="0" w:space="0" w:color="auto"/>
        <w:right w:val="none" w:sz="0" w:space="0" w:color="auto"/>
      </w:divBdr>
    </w:div>
    <w:div w:id="735857113">
      <w:bodyDiv w:val="1"/>
      <w:marLeft w:val="0"/>
      <w:marRight w:val="0"/>
      <w:marTop w:val="0"/>
      <w:marBottom w:val="0"/>
      <w:divBdr>
        <w:top w:val="none" w:sz="0" w:space="0" w:color="auto"/>
        <w:left w:val="none" w:sz="0" w:space="0" w:color="auto"/>
        <w:bottom w:val="none" w:sz="0" w:space="0" w:color="auto"/>
        <w:right w:val="none" w:sz="0" w:space="0" w:color="auto"/>
      </w:divBdr>
    </w:div>
    <w:div w:id="743335480">
      <w:bodyDiv w:val="1"/>
      <w:marLeft w:val="0"/>
      <w:marRight w:val="0"/>
      <w:marTop w:val="0"/>
      <w:marBottom w:val="0"/>
      <w:divBdr>
        <w:top w:val="none" w:sz="0" w:space="0" w:color="auto"/>
        <w:left w:val="none" w:sz="0" w:space="0" w:color="auto"/>
        <w:bottom w:val="none" w:sz="0" w:space="0" w:color="auto"/>
        <w:right w:val="none" w:sz="0" w:space="0" w:color="auto"/>
      </w:divBdr>
    </w:div>
    <w:div w:id="746921584">
      <w:bodyDiv w:val="1"/>
      <w:marLeft w:val="0"/>
      <w:marRight w:val="0"/>
      <w:marTop w:val="0"/>
      <w:marBottom w:val="0"/>
      <w:divBdr>
        <w:top w:val="none" w:sz="0" w:space="0" w:color="auto"/>
        <w:left w:val="none" w:sz="0" w:space="0" w:color="auto"/>
        <w:bottom w:val="none" w:sz="0" w:space="0" w:color="auto"/>
        <w:right w:val="none" w:sz="0" w:space="0" w:color="auto"/>
      </w:divBdr>
    </w:div>
    <w:div w:id="747845287">
      <w:bodyDiv w:val="1"/>
      <w:marLeft w:val="0"/>
      <w:marRight w:val="0"/>
      <w:marTop w:val="0"/>
      <w:marBottom w:val="0"/>
      <w:divBdr>
        <w:top w:val="none" w:sz="0" w:space="0" w:color="auto"/>
        <w:left w:val="none" w:sz="0" w:space="0" w:color="auto"/>
        <w:bottom w:val="none" w:sz="0" w:space="0" w:color="auto"/>
        <w:right w:val="none" w:sz="0" w:space="0" w:color="auto"/>
      </w:divBdr>
    </w:div>
    <w:div w:id="748424144">
      <w:bodyDiv w:val="1"/>
      <w:marLeft w:val="0"/>
      <w:marRight w:val="0"/>
      <w:marTop w:val="0"/>
      <w:marBottom w:val="0"/>
      <w:divBdr>
        <w:top w:val="none" w:sz="0" w:space="0" w:color="auto"/>
        <w:left w:val="none" w:sz="0" w:space="0" w:color="auto"/>
        <w:bottom w:val="none" w:sz="0" w:space="0" w:color="auto"/>
        <w:right w:val="none" w:sz="0" w:space="0" w:color="auto"/>
      </w:divBdr>
    </w:div>
    <w:div w:id="766197038">
      <w:bodyDiv w:val="1"/>
      <w:marLeft w:val="0"/>
      <w:marRight w:val="0"/>
      <w:marTop w:val="0"/>
      <w:marBottom w:val="0"/>
      <w:divBdr>
        <w:top w:val="none" w:sz="0" w:space="0" w:color="auto"/>
        <w:left w:val="none" w:sz="0" w:space="0" w:color="auto"/>
        <w:bottom w:val="none" w:sz="0" w:space="0" w:color="auto"/>
        <w:right w:val="none" w:sz="0" w:space="0" w:color="auto"/>
      </w:divBdr>
    </w:div>
    <w:div w:id="770204081">
      <w:bodyDiv w:val="1"/>
      <w:marLeft w:val="0"/>
      <w:marRight w:val="0"/>
      <w:marTop w:val="0"/>
      <w:marBottom w:val="0"/>
      <w:divBdr>
        <w:top w:val="none" w:sz="0" w:space="0" w:color="auto"/>
        <w:left w:val="none" w:sz="0" w:space="0" w:color="auto"/>
        <w:bottom w:val="none" w:sz="0" w:space="0" w:color="auto"/>
        <w:right w:val="none" w:sz="0" w:space="0" w:color="auto"/>
      </w:divBdr>
    </w:div>
    <w:div w:id="772361754">
      <w:bodyDiv w:val="1"/>
      <w:marLeft w:val="0"/>
      <w:marRight w:val="0"/>
      <w:marTop w:val="0"/>
      <w:marBottom w:val="0"/>
      <w:divBdr>
        <w:top w:val="none" w:sz="0" w:space="0" w:color="auto"/>
        <w:left w:val="none" w:sz="0" w:space="0" w:color="auto"/>
        <w:bottom w:val="none" w:sz="0" w:space="0" w:color="auto"/>
        <w:right w:val="none" w:sz="0" w:space="0" w:color="auto"/>
      </w:divBdr>
    </w:div>
    <w:div w:id="780413870">
      <w:bodyDiv w:val="1"/>
      <w:marLeft w:val="0"/>
      <w:marRight w:val="0"/>
      <w:marTop w:val="0"/>
      <w:marBottom w:val="0"/>
      <w:divBdr>
        <w:top w:val="none" w:sz="0" w:space="0" w:color="auto"/>
        <w:left w:val="none" w:sz="0" w:space="0" w:color="auto"/>
        <w:bottom w:val="none" w:sz="0" w:space="0" w:color="auto"/>
        <w:right w:val="none" w:sz="0" w:space="0" w:color="auto"/>
      </w:divBdr>
    </w:div>
    <w:div w:id="787965002">
      <w:bodyDiv w:val="1"/>
      <w:marLeft w:val="0"/>
      <w:marRight w:val="0"/>
      <w:marTop w:val="0"/>
      <w:marBottom w:val="0"/>
      <w:divBdr>
        <w:top w:val="none" w:sz="0" w:space="0" w:color="auto"/>
        <w:left w:val="none" w:sz="0" w:space="0" w:color="auto"/>
        <w:bottom w:val="none" w:sz="0" w:space="0" w:color="auto"/>
        <w:right w:val="none" w:sz="0" w:space="0" w:color="auto"/>
      </w:divBdr>
    </w:div>
    <w:div w:id="793056077">
      <w:bodyDiv w:val="1"/>
      <w:marLeft w:val="0"/>
      <w:marRight w:val="0"/>
      <w:marTop w:val="0"/>
      <w:marBottom w:val="0"/>
      <w:divBdr>
        <w:top w:val="none" w:sz="0" w:space="0" w:color="auto"/>
        <w:left w:val="none" w:sz="0" w:space="0" w:color="auto"/>
        <w:bottom w:val="none" w:sz="0" w:space="0" w:color="auto"/>
        <w:right w:val="none" w:sz="0" w:space="0" w:color="auto"/>
      </w:divBdr>
    </w:div>
    <w:div w:id="806632103">
      <w:bodyDiv w:val="1"/>
      <w:marLeft w:val="0"/>
      <w:marRight w:val="0"/>
      <w:marTop w:val="0"/>
      <w:marBottom w:val="0"/>
      <w:divBdr>
        <w:top w:val="none" w:sz="0" w:space="0" w:color="auto"/>
        <w:left w:val="none" w:sz="0" w:space="0" w:color="auto"/>
        <w:bottom w:val="none" w:sz="0" w:space="0" w:color="auto"/>
        <w:right w:val="none" w:sz="0" w:space="0" w:color="auto"/>
      </w:divBdr>
    </w:div>
    <w:div w:id="818611767">
      <w:bodyDiv w:val="1"/>
      <w:marLeft w:val="0"/>
      <w:marRight w:val="0"/>
      <w:marTop w:val="0"/>
      <w:marBottom w:val="0"/>
      <w:divBdr>
        <w:top w:val="none" w:sz="0" w:space="0" w:color="auto"/>
        <w:left w:val="none" w:sz="0" w:space="0" w:color="auto"/>
        <w:bottom w:val="none" w:sz="0" w:space="0" w:color="auto"/>
        <w:right w:val="none" w:sz="0" w:space="0" w:color="auto"/>
      </w:divBdr>
    </w:div>
    <w:div w:id="820923304">
      <w:bodyDiv w:val="1"/>
      <w:marLeft w:val="0"/>
      <w:marRight w:val="0"/>
      <w:marTop w:val="0"/>
      <w:marBottom w:val="0"/>
      <w:divBdr>
        <w:top w:val="none" w:sz="0" w:space="0" w:color="auto"/>
        <w:left w:val="none" w:sz="0" w:space="0" w:color="auto"/>
        <w:bottom w:val="none" w:sz="0" w:space="0" w:color="auto"/>
        <w:right w:val="none" w:sz="0" w:space="0" w:color="auto"/>
      </w:divBdr>
    </w:div>
    <w:div w:id="823814757">
      <w:bodyDiv w:val="1"/>
      <w:marLeft w:val="0"/>
      <w:marRight w:val="0"/>
      <w:marTop w:val="0"/>
      <w:marBottom w:val="0"/>
      <w:divBdr>
        <w:top w:val="none" w:sz="0" w:space="0" w:color="auto"/>
        <w:left w:val="none" w:sz="0" w:space="0" w:color="auto"/>
        <w:bottom w:val="none" w:sz="0" w:space="0" w:color="auto"/>
        <w:right w:val="none" w:sz="0" w:space="0" w:color="auto"/>
      </w:divBdr>
    </w:div>
    <w:div w:id="828407746">
      <w:bodyDiv w:val="1"/>
      <w:marLeft w:val="0"/>
      <w:marRight w:val="0"/>
      <w:marTop w:val="0"/>
      <w:marBottom w:val="0"/>
      <w:divBdr>
        <w:top w:val="none" w:sz="0" w:space="0" w:color="auto"/>
        <w:left w:val="none" w:sz="0" w:space="0" w:color="auto"/>
        <w:bottom w:val="none" w:sz="0" w:space="0" w:color="auto"/>
        <w:right w:val="none" w:sz="0" w:space="0" w:color="auto"/>
      </w:divBdr>
    </w:div>
    <w:div w:id="834687686">
      <w:bodyDiv w:val="1"/>
      <w:marLeft w:val="0"/>
      <w:marRight w:val="0"/>
      <w:marTop w:val="0"/>
      <w:marBottom w:val="0"/>
      <w:divBdr>
        <w:top w:val="none" w:sz="0" w:space="0" w:color="auto"/>
        <w:left w:val="none" w:sz="0" w:space="0" w:color="auto"/>
        <w:bottom w:val="none" w:sz="0" w:space="0" w:color="auto"/>
        <w:right w:val="none" w:sz="0" w:space="0" w:color="auto"/>
      </w:divBdr>
    </w:div>
    <w:div w:id="834956817">
      <w:bodyDiv w:val="1"/>
      <w:marLeft w:val="0"/>
      <w:marRight w:val="0"/>
      <w:marTop w:val="0"/>
      <w:marBottom w:val="0"/>
      <w:divBdr>
        <w:top w:val="none" w:sz="0" w:space="0" w:color="auto"/>
        <w:left w:val="none" w:sz="0" w:space="0" w:color="auto"/>
        <w:bottom w:val="none" w:sz="0" w:space="0" w:color="auto"/>
        <w:right w:val="none" w:sz="0" w:space="0" w:color="auto"/>
      </w:divBdr>
    </w:div>
    <w:div w:id="836383252">
      <w:bodyDiv w:val="1"/>
      <w:marLeft w:val="0"/>
      <w:marRight w:val="0"/>
      <w:marTop w:val="0"/>
      <w:marBottom w:val="0"/>
      <w:divBdr>
        <w:top w:val="none" w:sz="0" w:space="0" w:color="auto"/>
        <w:left w:val="none" w:sz="0" w:space="0" w:color="auto"/>
        <w:bottom w:val="none" w:sz="0" w:space="0" w:color="auto"/>
        <w:right w:val="none" w:sz="0" w:space="0" w:color="auto"/>
      </w:divBdr>
    </w:div>
    <w:div w:id="848371989">
      <w:bodyDiv w:val="1"/>
      <w:marLeft w:val="0"/>
      <w:marRight w:val="0"/>
      <w:marTop w:val="0"/>
      <w:marBottom w:val="0"/>
      <w:divBdr>
        <w:top w:val="none" w:sz="0" w:space="0" w:color="auto"/>
        <w:left w:val="none" w:sz="0" w:space="0" w:color="auto"/>
        <w:bottom w:val="none" w:sz="0" w:space="0" w:color="auto"/>
        <w:right w:val="none" w:sz="0" w:space="0" w:color="auto"/>
      </w:divBdr>
    </w:div>
    <w:div w:id="855652331">
      <w:bodyDiv w:val="1"/>
      <w:marLeft w:val="0"/>
      <w:marRight w:val="0"/>
      <w:marTop w:val="0"/>
      <w:marBottom w:val="0"/>
      <w:divBdr>
        <w:top w:val="none" w:sz="0" w:space="0" w:color="auto"/>
        <w:left w:val="none" w:sz="0" w:space="0" w:color="auto"/>
        <w:bottom w:val="none" w:sz="0" w:space="0" w:color="auto"/>
        <w:right w:val="none" w:sz="0" w:space="0" w:color="auto"/>
      </w:divBdr>
    </w:div>
    <w:div w:id="858735777">
      <w:bodyDiv w:val="1"/>
      <w:marLeft w:val="0"/>
      <w:marRight w:val="0"/>
      <w:marTop w:val="0"/>
      <w:marBottom w:val="0"/>
      <w:divBdr>
        <w:top w:val="none" w:sz="0" w:space="0" w:color="auto"/>
        <w:left w:val="none" w:sz="0" w:space="0" w:color="auto"/>
        <w:bottom w:val="none" w:sz="0" w:space="0" w:color="auto"/>
        <w:right w:val="none" w:sz="0" w:space="0" w:color="auto"/>
      </w:divBdr>
    </w:div>
    <w:div w:id="871649880">
      <w:bodyDiv w:val="1"/>
      <w:marLeft w:val="0"/>
      <w:marRight w:val="0"/>
      <w:marTop w:val="0"/>
      <w:marBottom w:val="0"/>
      <w:divBdr>
        <w:top w:val="none" w:sz="0" w:space="0" w:color="auto"/>
        <w:left w:val="none" w:sz="0" w:space="0" w:color="auto"/>
        <w:bottom w:val="none" w:sz="0" w:space="0" w:color="auto"/>
        <w:right w:val="none" w:sz="0" w:space="0" w:color="auto"/>
      </w:divBdr>
    </w:div>
    <w:div w:id="872498670">
      <w:bodyDiv w:val="1"/>
      <w:marLeft w:val="0"/>
      <w:marRight w:val="0"/>
      <w:marTop w:val="0"/>
      <w:marBottom w:val="0"/>
      <w:divBdr>
        <w:top w:val="none" w:sz="0" w:space="0" w:color="auto"/>
        <w:left w:val="none" w:sz="0" w:space="0" w:color="auto"/>
        <w:bottom w:val="none" w:sz="0" w:space="0" w:color="auto"/>
        <w:right w:val="none" w:sz="0" w:space="0" w:color="auto"/>
      </w:divBdr>
    </w:div>
    <w:div w:id="873424766">
      <w:bodyDiv w:val="1"/>
      <w:marLeft w:val="0"/>
      <w:marRight w:val="0"/>
      <w:marTop w:val="0"/>
      <w:marBottom w:val="0"/>
      <w:divBdr>
        <w:top w:val="none" w:sz="0" w:space="0" w:color="auto"/>
        <w:left w:val="none" w:sz="0" w:space="0" w:color="auto"/>
        <w:bottom w:val="none" w:sz="0" w:space="0" w:color="auto"/>
        <w:right w:val="none" w:sz="0" w:space="0" w:color="auto"/>
      </w:divBdr>
    </w:div>
    <w:div w:id="874806439">
      <w:bodyDiv w:val="1"/>
      <w:marLeft w:val="0"/>
      <w:marRight w:val="0"/>
      <w:marTop w:val="0"/>
      <w:marBottom w:val="0"/>
      <w:divBdr>
        <w:top w:val="none" w:sz="0" w:space="0" w:color="auto"/>
        <w:left w:val="none" w:sz="0" w:space="0" w:color="auto"/>
        <w:bottom w:val="none" w:sz="0" w:space="0" w:color="auto"/>
        <w:right w:val="none" w:sz="0" w:space="0" w:color="auto"/>
      </w:divBdr>
    </w:div>
    <w:div w:id="879055597">
      <w:bodyDiv w:val="1"/>
      <w:marLeft w:val="0"/>
      <w:marRight w:val="0"/>
      <w:marTop w:val="0"/>
      <w:marBottom w:val="0"/>
      <w:divBdr>
        <w:top w:val="none" w:sz="0" w:space="0" w:color="auto"/>
        <w:left w:val="none" w:sz="0" w:space="0" w:color="auto"/>
        <w:bottom w:val="none" w:sz="0" w:space="0" w:color="auto"/>
        <w:right w:val="none" w:sz="0" w:space="0" w:color="auto"/>
      </w:divBdr>
    </w:div>
    <w:div w:id="880366999">
      <w:bodyDiv w:val="1"/>
      <w:marLeft w:val="0"/>
      <w:marRight w:val="0"/>
      <w:marTop w:val="0"/>
      <w:marBottom w:val="0"/>
      <w:divBdr>
        <w:top w:val="none" w:sz="0" w:space="0" w:color="auto"/>
        <w:left w:val="none" w:sz="0" w:space="0" w:color="auto"/>
        <w:bottom w:val="none" w:sz="0" w:space="0" w:color="auto"/>
        <w:right w:val="none" w:sz="0" w:space="0" w:color="auto"/>
      </w:divBdr>
    </w:div>
    <w:div w:id="880945164">
      <w:bodyDiv w:val="1"/>
      <w:marLeft w:val="0"/>
      <w:marRight w:val="0"/>
      <w:marTop w:val="0"/>
      <w:marBottom w:val="0"/>
      <w:divBdr>
        <w:top w:val="none" w:sz="0" w:space="0" w:color="auto"/>
        <w:left w:val="none" w:sz="0" w:space="0" w:color="auto"/>
        <w:bottom w:val="none" w:sz="0" w:space="0" w:color="auto"/>
        <w:right w:val="none" w:sz="0" w:space="0" w:color="auto"/>
      </w:divBdr>
    </w:div>
    <w:div w:id="880946511">
      <w:bodyDiv w:val="1"/>
      <w:marLeft w:val="0"/>
      <w:marRight w:val="0"/>
      <w:marTop w:val="0"/>
      <w:marBottom w:val="0"/>
      <w:divBdr>
        <w:top w:val="none" w:sz="0" w:space="0" w:color="auto"/>
        <w:left w:val="none" w:sz="0" w:space="0" w:color="auto"/>
        <w:bottom w:val="none" w:sz="0" w:space="0" w:color="auto"/>
        <w:right w:val="none" w:sz="0" w:space="0" w:color="auto"/>
      </w:divBdr>
    </w:div>
    <w:div w:id="885095615">
      <w:bodyDiv w:val="1"/>
      <w:marLeft w:val="0"/>
      <w:marRight w:val="0"/>
      <w:marTop w:val="0"/>
      <w:marBottom w:val="0"/>
      <w:divBdr>
        <w:top w:val="none" w:sz="0" w:space="0" w:color="auto"/>
        <w:left w:val="none" w:sz="0" w:space="0" w:color="auto"/>
        <w:bottom w:val="none" w:sz="0" w:space="0" w:color="auto"/>
        <w:right w:val="none" w:sz="0" w:space="0" w:color="auto"/>
      </w:divBdr>
    </w:div>
    <w:div w:id="890774738">
      <w:bodyDiv w:val="1"/>
      <w:marLeft w:val="0"/>
      <w:marRight w:val="0"/>
      <w:marTop w:val="0"/>
      <w:marBottom w:val="0"/>
      <w:divBdr>
        <w:top w:val="none" w:sz="0" w:space="0" w:color="auto"/>
        <w:left w:val="none" w:sz="0" w:space="0" w:color="auto"/>
        <w:bottom w:val="none" w:sz="0" w:space="0" w:color="auto"/>
        <w:right w:val="none" w:sz="0" w:space="0" w:color="auto"/>
      </w:divBdr>
    </w:div>
    <w:div w:id="893467848">
      <w:bodyDiv w:val="1"/>
      <w:marLeft w:val="0"/>
      <w:marRight w:val="0"/>
      <w:marTop w:val="0"/>
      <w:marBottom w:val="0"/>
      <w:divBdr>
        <w:top w:val="none" w:sz="0" w:space="0" w:color="auto"/>
        <w:left w:val="none" w:sz="0" w:space="0" w:color="auto"/>
        <w:bottom w:val="none" w:sz="0" w:space="0" w:color="auto"/>
        <w:right w:val="none" w:sz="0" w:space="0" w:color="auto"/>
      </w:divBdr>
    </w:div>
    <w:div w:id="895043545">
      <w:bodyDiv w:val="1"/>
      <w:marLeft w:val="0"/>
      <w:marRight w:val="0"/>
      <w:marTop w:val="0"/>
      <w:marBottom w:val="0"/>
      <w:divBdr>
        <w:top w:val="none" w:sz="0" w:space="0" w:color="auto"/>
        <w:left w:val="none" w:sz="0" w:space="0" w:color="auto"/>
        <w:bottom w:val="none" w:sz="0" w:space="0" w:color="auto"/>
        <w:right w:val="none" w:sz="0" w:space="0" w:color="auto"/>
      </w:divBdr>
    </w:div>
    <w:div w:id="899903812">
      <w:bodyDiv w:val="1"/>
      <w:marLeft w:val="0"/>
      <w:marRight w:val="0"/>
      <w:marTop w:val="0"/>
      <w:marBottom w:val="0"/>
      <w:divBdr>
        <w:top w:val="none" w:sz="0" w:space="0" w:color="auto"/>
        <w:left w:val="none" w:sz="0" w:space="0" w:color="auto"/>
        <w:bottom w:val="none" w:sz="0" w:space="0" w:color="auto"/>
        <w:right w:val="none" w:sz="0" w:space="0" w:color="auto"/>
      </w:divBdr>
    </w:div>
    <w:div w:id="900798480">
      <w:bodyDiv w:val="1"/>
      <w:marLeft w:val="0"/>
      <w:marRight w:val="0"/>
      <w:marTop w:val="0"/>
      <w:marBottom w:val="0"/>
      <w:divBdr>
        <w:top w:val="none" w:sz="0" w:space="0" w:color="auto"/>
        <w:left w:val="none" w:sz="0" w:space="0" w:color="auto"/>
        <w:bottom w:val="none" w:sz="0" w:space="0" w:color="auto"/>
        <w:right w:val="none" w:sz="0" w:space="0" w:color="auto"/>
      </w:divBdr>
    </w:div>
    <w:div w:id="901251125">
      <w:bodyDiv w:val="1"/>
      <w:marLeft w:val="0"/>
      <w:marRight w:val="0"/>
      <w:marTop w:val="0"/>
      <w:marBottom w:val="0"/>
      <w:divBdr>
        <w:top w:val="none" w:sz="0" w:space="0" w:color="auto"/>
        <w:left w:val="none" w:sz="0" w:space="0" w:color="auto"/>
        <w:bottom w:val="none" w:sz="0" w:space="0" w:color="auto"/>
        <w:right w:val="none" w:sz="0" w:space="0" w:color="auto"/>
      </w:divBdr>
    </w:div>
    <w:div w:id="903494933">
      <w:bodyDiv w:val="1"/>
      <w:marLeft w:val="0"/>
      <w:marRight w:val="0"/>
      <w:marTop w:val="0"/>
      <w:marBottom w:val="0"/>
      <w:divBdr>
        <w:top w:val="none" w:sz="0" w:space="0" w:color="auto"/>
        <w:left w:val="none" w:sz="0" w:space="0" w:color="auto"/>
        <w:bottom w:val="none" w:sz="0" w:space="0" w:color="auto"/>
        <w:right w:val="none" w:sz="0" w:space="0" w:color="auto"/>
      </w:divBdr>
    </w:div>
    <w:div w:id="905264347">
      <w:bodyDiv w:val="1"/>
      <w:marLeft w:val="0"/>
      <w:marRight w:val="0"/>
      <w:marTop w:val="0"/>
      <w:marBottom w:val="0"/>
      <w:divBdr>
        <w:top w:val="none" w:sz="0" w:space="0" w:color="auto"/>
        <w:left w:val="none" w:sz="0" w:space="0" w:color="auto"/>
        <w:bottom w:val="none" w:sz="0" w:space="0" w:color="auto"/>
        <w:right w:val="none" w:sz="0" w:space="0" w:color="auto"/>
      </w:divBdr>
    </w:div>
    <w:div w:id="906305790">
      <w:bodyDiv w:val="1"/>
      <w:marLeft w:val="0"/>
      <w:marRight w:val="0"/>
      <w:marTop w:val="0"/>
      <w:marBottom w:val="0"/>
      <w:divBdr>
        <w:top w:val="none" w:sz="0" w:space="0" w:color="auto"/>
        <w:left w:val="none" w:sz="0" w:space="0" w:color="auto"/>
        <w:bottom w:val="none" w:sz="0" w:space="0" w:color="auto"/>
        <w:right w:val="none" w:sz="0" w:space="0" w:color="auto"/>
      </w:divBdr>
    </w:div>
    <w:div w:id="909389555">
      <w:bodyDiv w:val="1"/>
      <w:marLeft w:val="0"/>
      <w:marRight w:val="0"/>
      <w:marTop w:val="0"/>
      <w:marBottom w:val="0"/>
      <w:divBdr>
        <w:top w:val="none" w:sz="0" w:space="0" w:color="auto"/>
        <w:left w:val="none" w:sz="0" w:space="0" w:color="auto"/>
        <w:bottom w:val="none" w:sz="0" w:space="0" w:color="auto"/>
        <w:right w:val="none" w:sz="0" w:space="0" w:color="auto"/>
      </w:divBdr>
    </w:div>
    <w:div w:id="914821851">
      <w:bodyDiv w:val="1"/>
      <w:marLeft w:val="0"/>
      <w:marRight w:val="0"/>
      <w:marTop w:val="0"/>
      <w:marBottom w:val="0"/>
      <w:divBdr>
        <w:top w:val="none" w:sz="0" w:space="0" w:color="auto"/>
        <w:left w:val="none" w:sz="0" w:space="0" w:color="auto"/>
        <w:bottom w:val="none" w:sz="0" w:space="0" w:color="auto"/>
        <w:right w:val="none" w:sz="0" w:space="0" w:color="auto"/>
      </w:divBdr>
    </w:div>
    <w:div w:id="917010264">
      <w:bodyDiv w:val="1"/>
      <w:marLeft w:val="0"/>
      <w:marRight w:val="0"/>
      <w:marTop w:val="0"/>
      <w:marBottom w:val="0"/>
      <w:divBdr>
        <w:top w:val="none" w:sz="0" w:space="0" w:color="auto"/>
        <w:left w:val="none" w:sz="0" w:space="0" w:color="auto"/>
        <w:bottom w:val="none" w:sz="0" w:space="0" w:color="auto"/>
        <w:right w:val="none" w:sz="0" w:space="0" w:color="auto"/>
      </w:divBdr>
    </w:div>
    <w:div w:id="918712931">
      <w:bodyDiv w:val="1"/>
      <w:marLeft w:val="0"/>
      <w:marRight w:val="0"/>
      <w:marTop w:val="0"/>
      <w:marBottom w:val="0"/>
      <w:divBdr>
        <w:top w:val="none" w:sz="0" w:space="0" w:color="auto"/>
        <w:left w:val="none" w:sz="0" w:space="0" w:color="auto"/>
        <w:bottom w:val="none" w:sz="0" w:space="0" w:color="auto"/>
        <w:right w:val="none" w:sz="0" w:space="0" w:color="auto"/>
      </w:divBdr>
    </w:div>
    <w:div w:id="921521852">
      <w:bodyDiv w:val="1"/>
      <w:marLeft w:val="0"/>
      <w:marRight w:val="0"/>
      <w:marTop w:val="0"/>
      <w:marBottom w:val="0"/>
      <w:divBdr>
        <w:top w:val="none" w:sz="0" w:space="0" w:color="auto"/>
        <w:left w:val="none" w:sz="0" w:space="0" w:color="auto"/>
        <w:bottom w:val="none" w:sz="0" w:space="0" w:color="auto"/>
        <w:right w:val="none" w:sz="0" w:space="0" w:color="auto"/>
      </w:divBdr>
    </w:div>
    <w:div w:id="926116306">
      <w:bodyDiv w:val="1"/>
      <w:marLeft w:val="0"/>
      <w:marRight w:val="0"/>
      <w:marTop w:val="0"/>
      <w:marBottom w:val="0"/>
      <w:divBdr>
        <w:top w:val="none" w:sz="0" w:space="0" w:color="auto"/>
        <w:left w:val="none" w:sz="0" w:space="0" w:color="auto"/>
        <w:bottom w:val="none" w:sz="0" w:space="0" w:color="auto"/>
        <w:right w:val="none" w:sz="0" w:space="0" w:color="auto"/>
      </w:divBdr>
    </w:div>
    <w:div w:id="926962731">
      <w:bodyDiv w:val="1"/>
      <w:marLeft w:val="0"/>
      <w:marRight w:val="0"/>
      <w:marTop w:val="0"/>
      <w:marBottom w:val="0"/>
      <w:divBdr>
        <w:top w:val="none" w:sz="0" w:space="0" w:color="auto"/>
        <w:left w:val="none" w:sz="0" w:space="0" w:color="auto"/>
        <w:bottom w:val="none" w:sz="0" w:space="0" w:color="auto"/>
        <w:right w:val="none" w:sz="0" w:space="0" w:color="auto"/>
      </w:divBdr>
    </w:div>
    <w:div w:id="943003687">
      <w:bodyDiv w:val="1"/>
      <w:marLeft w:val="0"/>
      <w:marRight w:val="0"/>
      <w:marTop w:val="0"/>
      <w:marBottom w:val="0"/>
      <w:divBdr>
        <w:top w:val="none" w:sz="0" w:space="0" w:color="auto"/>
        <w:left w:val="none" w:sz="0" w:space="0" w:color="auto"/>
        <w:bottom w:val="none" w:sz="0" w:space="0" w:color="auto"/>
        <w:right w:val="none" w:sz="0" w:space="0" w:color="auto"/>
      </w:divBdr>
    </w:div>
    <w:div w:id="943609968">
      <w:bodyDiv w:val="1"/>
      <w:marLeft w:val="0"/>
      <w:marRight w:val="0"/>
      <w:marTop w:val="0"/>
      <w:marBottom w:val="0"/>
      <w:divBdr>
        <w:top w:val="none" w:sz="0" w:space="0" w:color="auto"/>
        <w:left w:val="none" w:sz="0" w:space="0" w:color="auto"/>
        <w:bottom w:val="none" w:sz="0" w:space="0" w:color="auto"/>
        <w:right w:val="none" w:sz="0" w:space="0" w:color="auto"/>
      </w:divBdr>
    </w:div>
    <w:div w:id="947927019">
      <w:bodyDiv w:val="1"/>
      <w:marLeft w:val="0"/>
      <w:marRight w:val="0"/>
      <w:marTop w:val="0"/>
      <w:marBottom w:val="0"/>
      <w:divBdr>
        <w:top w:val="none" w:sz="0" w:space="0" w:color="auto"/>
        <w:left w:val="none" w:sz="0" w:space="0" w:color="auto"/>
        <w:bottom w:val="none" w:sz="0" w:space="0" w:color="auto"/>
        <w:right w:val="none" w:sz="0" w:space="0" w:color="auto"/>
      </w:divBdr>
    </w:div>
    <w:div w:id="952519349">
      <w:bodyDiv w:val="1"/>
      <w:marLeft w:val="0"/>
      <w:marRight w:val="0"/>
      <w:marTop w:val="0"/>
      <w:marBottom w:val="0"/>
      <w:divBdr>
        <w:top w:val="none" w:sz="0" w:space="0" w:color="auto"/>
        <w:left w:val="none" w:sz="0" w:space="0" w:color="auto"/>
        <w:bottom w:val="none" w:sz="0" w:space="0" w:color="auto"/>
        <w:right w:val="none" w:sz="0" w:space="0" w:color="auto"/>
      </w:divBdr>
    </w:div>
    <w:div w:id="954139717">
      <w:bodyDiv w:val="1"/>
      <w:marLeft w:val="0"/>
      <w:marRight w:val="0"/>
      <w:marTop w:val="0"/>
      <w:marBottom w:val="0"/>
      <w:divBdr>
        <w:top w:val="none" w:sz="0" w:space="0" w:color="auto"/>
        <w:left w:val="none" w:sz="0" w:space="0" w:color="auto"/>
        <w:bottom w:val="none" w:sz="0" w:space="0" w:color="auto"/>
        <w:right w:val="none" w:sz="0" w:space="0" w:color="auto"/>
      </w:divBdr>
    </w:div>
    <w:div w:id="956912494">
      <w:bodyDiv w:val="1"/>
      <w:marLeft w:val="0"/>
      <w:marRight w:val="0"/>
      <w:marTop w:val="0"/>
      <w:marBottom w:val="0"/>
      <w:divBdr>
        <w:top w:val="none" w:sz="0" w:space="0" w:color="auto"/>
        <w:left w:val="none" w:sz="0" w:space="0" w:color="auto"/>
        <w:bottom w:val="none" w:sz="0" w:space="0" w:color="auto"/>
        <w:right w:val="none" w:sz="0" w:space="0" w:color="auto"/>
      </w:divBdr>
    </w:div>
    <w:div w:id="961377843">
      <w:bodyDiv w:val="1"/>
      <w:marLeft w:val="0"/>
      <w:marRight w:val="0"/>
      <w:marTop w:val="0"/>
      <w:marBottom w:val="0"/>
      <w:divBdr>
        <w:top w:val="none" w:sz="0" w:space="0" w:color="auto"/>
        <w:left w:val="none" w:sz="0" w:space="0" w:color="auto"/>
        <w:bottom w:val="none" w:sz="0" w:space="0" w:color="auto"/>
        <w:right w:val="none" w:sz="0" w:space="0" w:color="auto"/>
      </w:divBdr>
    </w:div>
    <w:div w:id="964240499">
      <w:bodyDiv w:val="1"/>
      <w:marLeft w:val="0"/>
      <w:marRight w:val="0"/>
      <w:marTop w:val="0"/>
      <w:marBottom w:val="0"/>
      <w:divBdr>
        <w:top w:val="none" w:sz="0" w:space="0" w:color="auto"/>
        <w:left w:val="none" w:sz="0" w:space="0" w:color="auto"/>
        <w:bottom w:val="none" w:sz="0" w:space="0" w:color="auto"/>
        <w:right w:val="none" w:sz="0" w:space="0" w:color="auto"/>
      </w:divBdr>
    </w:div>
    <w:div w:id="96628038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3119579">
      <w:bodyDiv w:val="1"/>
      <w:marLeft w:val="0"/>
      <w:marRight w:val="0"/>
      <w:marTop w:val="0"/>
      <w:marBottom w:val="0"/>
      <w:divBdr>
        <w:top w:val="none" w:sz="0" w:space="0" w:color="auto"/>
        <w:left w:val="none" w:sz="0" w:space="0" w:color="auto"/>
        <w:bottom w:val="none" w:sz="0" w:space="0" w:color="auto"/>
        <w:right w:val="none" w:sz="0" w:space="0" w:color="auto"/>
      </w:divBdr>
    </w:div>
    <w:div w:id="990328956">
      <w:bodyDiv w:val="1"/>
      <w:marLeft w:val="0"/>
      <w:marRight w:val="0"/>
      <w:marTop w:val="0"/>
      <w:marBottom w:val="0"/>
      <w:divBdr>
        <w:top w:val="none" w:sz="0" w:space="0" w:color="auto"/>
        <w:left w:val="none" w:sz="0" w:space="0" w:color="auto"/>
        <w:bottom w:val="none" w:sz="0" w:space="0" w:color="auto"/>
        <w:right w:val="none" w:sz="0" w:space="0" w:color="auto"/>
      </w:divBdr>
    </w:div>
    <w:div w:id="991561122">
      <w:bodyDiv w:val="1"/>
      <w:marLeft w:val="0"/>
      <w:marRight w:val="0"/>
      <w:marTop w:val="0"/>
      <w:marBottom w:val="0"/>
      <w:divBdr>
        <w:top w:val="none" w:sz="0" w:space="0" w:color="auto"/>
        <w:left w:val="none" w:sz="0" w:space="0" w:color="auto"/>
        <w:bottom w:val="none" w:sz="0" w:space="0" w:color="auto"/>
        <w:right w:val="none" w:sz="0" w:space="0" w:color="auto"/>
      </w:divBdr>
    </w:div>
    <w:div w:id="996494988">
      <w:bodyDiv w:val="1"/>
      <w:marLeft w:val="0"/>
      <w:marRight w:val="0"/>
      <w:marTop w:val="0"/>
      <w:marBottom w:val="0"/>
      <w:divBdr>
        <w:top w:val="none" w:sz="0" w:space="0" w:color="auto"/>
        <w:left w:val="none" w:sz="0" w:space="0" w:color="auto"/>
        <w:bottom w:val="none" w:sz="0" w:space="0" w:color="auto"/>
        <w:right w:val="none" w:sz="0" w:space="0" w:color="auto"/>
      </w:divBdr>
    </w:div>
    <w:div w:id="1003321569">
      <w:bodyDiv w:val="1"/>
      <w:marLeft w:val="0"/>
      <w:marRight w:val="0"/>
      <w:marTop w:val="0"/>
      <w:marBottom w:val="0"/>
      <w:divBdr>
        <w:top w:val="none" w:sz="0" w:space="0" w:color="auto"/>
        <w:left w:val="none" w:sz="0" w:space="0" w:color="auto"/>
        <w:bottom w:val="none" w:sz="0" w:space="0" w:color="auto"/>
        <w:right w:val="none" w:sz="0" w:space="0" w:color="auto"/>
      </w:divBdr>
    </w:div>
    <w:div w:id="1005130178">
      <w:bodyDiv w:val="1"/>
      <w:marLeft w:val="0"/>
      <w:marRight w:val="0"/>
      <w:marTop w:val="0"/>
      <w:marBottom w:val="0"/>
      <w:divBdr>
        <w:top w:val="none" w:sz="0" w:space="0" w:color="auto"/>
        <w:left w:val="none" w:sz="0" w:space="0" w:color="auto"/>
        <w:bottom w:val="none" w:sz="0" w:space="0" w:color="auto"/>
        <w:right w:val="none" w:sz="0" w:space="0" w:color="auto"/>
      </w:divBdr>
    </w:div>
    <w:div w:id="1007370967">
      <w:bodyDiv w:val="1"/>
      <w:marLeft w:val="0"/>
      <w:marRight w:val="0"/>
      <w:marTop w:val="0"/>
      <w:marBottom w:val="0"/>
      <w:divBdr>
        <w:top w:val="none" w:sz="0" w:space="0" w:color="auto"/>
        <w:left w:val="none" w:sz="0" w:space="0" w:color="auto"/>
        <w:bottom w:val="none" w:sz="0" w:space="0" w:color="auto"/>
        <w:right w:val="none" w:sz="0" w:space="0" w:color="auto"/>
      </w:divBdr>
    </w:div>
    <w:div w:id="1011569710">
      <w:bodyDiv w:val="1"/>
      <w:marLeft w:val="0"/>
      <w:marRight w:val="0"/>
      <w:marTop w:val="0"/>
      <w:marBottom w:val="0"/>
      <w:divBdr>
        <w:top w:val="none" w:sz="0" w:space="0" w:color="auto"/>
        <w:left w:val="none" w:sz="0" w:space="0" w:color="auto"/>
        <w:bottom w:val="none" w:sz="0" w:space="0" w:color="auto"/>
        <w:right w:val="none" w:sz="0" w:space="0" w:color="auto"/>
      </w:divBdr>
    </w:div>
    <w:div w:id="1014842643">
      <w:bodyDiv w:val="1"/>
      <w:marLeft w:val="0"/>
      <w:marRight w:val="0"/>
      <w:marTop w:val="0"/>
      <w:marBottom w:val="0"/>
      <w:divBdr>
        <w:top w:val="none" w:sz="0" w:space="0" w:color="auto"/>
        <w:left w:val="none" w:sz="0" w:space="0" w:color="auto"/>
        <w:bottom w:val="none" w:sz="0" w:space="0" w:color="auto"/>
        <w:right w:val="none" w:sz="0" w:space="0" w:color="auto"/>
      </w:divBdr>
    </w:div>
    <w:div w:id="1016225130">
      <w:bodyDiv w:val="1"/>
      <w:marLeft w:val="0"/>
      <w:marRight w:val="0"/>
      <w:marTop w:val="0"/>
      <w:marBottom w:val="0"/>
      <w:divBdr>
        <w:top w:val="none" w:sz="0" w:space="0" w:color="auto"/>
        <w:left w:val="none" w:sz="0" w:space="0" w:color="auto"/>
        <w:bottom w:val="none" w:sz="0" w:space="0" w:color="auto"/>
        <w:right w:val="none" w:sz="0" w:space="0" w:color="auto"/>
      </w:divBdr>
    </w:div>
    <w:div w:id="1018047186">
      <w:bodyDiv w:val="1"/>
      <w:marLeft w:val="0"/>
      <w:marRight w:val="0"/>
      <w:marTop w:val="0"/>
      <w:marBottom w:val="0"/>
      <w:divBdr>
        <w:top w:val="none" w:sz="0" w:space="0" w:color="auto"/>
        <w:left w:val="none" w:sz="0" w:space="0" w:color="auto"/>
        <w:bottom w:val="none" w:sz="0" w:space="0" w:color="auto"/>
        <w:right w:val="none" w:sz="0" w:space="0" w:color="auto"/>
      </w:divBdr>
    </w:div>
    <w:div w:id="1024213011">
      <w:bodyDiv w:val="1"/>
      <w:marLeft w:val="0"/>
      <w:marRight w:val="0"/>
      <w:marTop w:val="0"/>
      <w:marBottom w:val="0"/>
      <w:divBdr>
        <w:top w:val="none" w:sz="0" w:space="0" w:color="auto"/>
        <w:left w:val="none" w:sz="0" w:space="0" w:color="auto"/>
        <w:bottom w:val="none" w:sz="0" w:space="0" w:color="auto"/>
        <w:right w:val="none" w:sz="0" w:space="0" w:color="auto"/>
      </w:divBdr>
    </w:div>
    <w:div w:id="1025986284">
      <w:bodyDiv w:val="1"/>
      <w:marLeft w:val="0"/>
      <w:marRight w:val="0"/>
      <w:marTop w:val="0"/>
      <w:marBottom w:val="0"/>
      <w:divBdr>
        <w:top w:val="none" w:sz="0" w:space="0" w:color="auto"/>
        <w:left w:val="none" w:sz="0" w:space="0" w:color="auto"/>
        <w:bottom w:val="none" w:sz="0" w:space="0" w:color="auto"/>
        <w:right w:val="none" w:sz="0" w:space="0" w:color="auto"/>
      </w:divBdr>
    </w:div>
    <w:div w:id="1028989542">
      <w:bodyDiv w:val="1"/>
      <w:marLeft w:val="0"/>
      <w:marRight w:val="0"/>
      <w:marTop w:val="0"/>
      <w:marBottom w:val="0"/>
      <w:divBdr>
        <w:top w:val="none" w:sz="0" w:space="0" w:color="auto"/>
        <w:left w:val="none" w:sz="0" w:space="0" w:color="auto"/>
        <w:bottom w:val="none" w:sz="0" w:space="0" w:color="auto"/>
        <w:right w:val="none" w:sz="0" w:space="0" w:color="auto"/>
      </w:divBdr>
    </w:div>
    <w:div w:id="1032347105">
      <w:bodyDiv w:val="1"/>
      <w:marLeft w:val="0"/>
      <w:marRight w:val="0"/>
      <w:marTop w:val="0"/>
      <w:marBottom w:val="0"/>
      <w:divBdr>
        <w:top w:val="none" w:sz="0" w:space="0" w:color="auto"/>
        <w:left w:val="none" w:sz="0" w:space="0" w:color="auto"/>
        <w:bottom w:val="none" w:sz="0" w:space="0" w:color="auto"/>
        <w:right w:val="none" w:sz="0" w:space="0" w:color="auto"/>
      </w:divBdr>
    </w:div>
    <w:div w:id="1032462190">
      <w:bodyDiv w:val="1"/>
      <w:marLeft w:val="0"/>
      <w:marRight w:val="0"/>
      <w:marTop w:val="0"/>
      <w:marBottom w:val="0"/>
      <w:divBdr>
        <w:top w:val="none" w:sz="0" w:space="0" w:color="auto"/>
        <w:left w:val="none" w:sz="0" w:space="0" w:color="auto"/>
        <w:bottom w:val="none" w:sz="0" w:space="0" w:color="auto"/>
        <w:right w:val="none" w:sz="0" w:space="0" w:color="auto"/>
      </w:divBdr>
    </w:div>
    <w:div w:id="1036857284">
      <w:bodyDiv w:val="1"/>
      <w:marLeft w:val="0"/>
      <w:marRight w:val="0"/>
      <w:marTop w:val="0"/>
      <w:marBottom w:val="0"/>
      <w:divBdr>
        <w:top w:val="none" w:sz="0" w:space="0" w:color="auto"/>
        <w:left w:val="none" w:sz="0" w:space="0" w:color="auto"/>
        <w:bottom w:val="none" w:sz="0" w:space="0" w:color="auto"/>
        <w:right w:val="none" w:sz="0" w:space="0" w:color="auto"/>
      </w:divBdr>
    </w:div>
    <w:div w:id="1040664424">
      <w:bodyDiv w:val="1"/>
      <w:marLeft w:val="0"/>
      <w:marRight w:val="0"/>
      <w:marTop w:val="0"/>
      <w:marBottom w:val="0"/>
      <w:divBdr>
        <w:top w:val="none" w:sz="0" w:space="0" w:color="auto"/>
        <w:left w:val="none" w:sz="0" w:space="0" w:color="auto"/>
        <w:bottom w:val="none" w:sz="0" w:space="0" w:color="auto"/>
        <w:right w:val="none" w:sz="0" w:space="0" w:color="auto"/>
      </w:divBdr>
    </w:div>
    <w:div w:id="1042482834">
      <w:bodyDiv w:val="1"/>
      <w:marLeft w:val="0"/>
      <w:marRight w:val="0"/>
      <w:marTop w:val="0"/>
      <w:marBottom w:val="0"/>
      <w:divBdr>
        <w:top w:val="none" w:sz="0" w:space="0" w:color="auto"/>
        <w:left w:val="none" w:sz="0" w:space="0" w:color="auto"/>
        <w:bottom w:val="none" w:sz="0" w:space="0" w:color="auto"/>
        <w:right w:val="none" w:sz="0" w:space="0" w:color="auto"/>
      </w:divBdr>
    </w:div>
    <w:div w:id="1045250142">
      <w:bodyDiv w:val="1"/>
      <w:marLeft w:val="0"/>
      <w:marRight w:val="0"/>
      <w:marTop w:val="0"/>
      <w:marBottom w:val="0"/>
      <w:divBdr>
        <w:top w:val="none" w:sz="0" w:space="0" w:color="auto"/>
        <w:left w:val="none" w:sz="0" w:space="0" w:color="auto"/>
        <w:bottom w:val="none" w:sz="0" w:space="0" w:color="auto"/>
        <w:right w:val="none" w:sz="0" w:space="0" w:color="auto"/>
      </w:divBdr>
    </w:div>
    <w:div w:id="1050882614">
      <w:bodyDiv w:val="1"/>
      <w:marLeft w:val="0"/>
      <w:marRight w:val="0"/>
      <w:marTop w:val="0"/>
      <w:marBottom w:val="0"/>
      <w:divBdr>
        <w:top w:val="none" w:sz="0" w:space="0" w:color="auto"/>
        <w:left w:val="none" w:sz="0" w:space="0" w:color="auto"/>
        <w:bottom w:val="none" w:sz="0" w:space="0" w:color="auto"/>
        <w:right w:val="none" w:sz="0" w:space="0" w:color="auto"/>
      </w:divBdr>
    </w:div>
    <w:div w:id="1052846112">
      <w:bodyDiv w:val="1"/>
      <w:marLeft w:val="0"/>
      <w:marRight w:val="0"/>
      <w:marTop w:val="0"/>
      <w:marBottom w:val="0"/>
      <w:divBdr>
        <w:top w:val="none" w:sz="0" w:space="0" w:color="auto"/>
        <w:left w:val="none" w:sz="0" w:space="0" w:color="auto"/>
        <w:bottom w:val="none" w:sz="0" w:space="0" w:color="auto"/>
        <w:right w:val="none" w:sz="0" w:space="0" w:color="auto"/>
      </w:divBdr>
    </w:div>
    <w:div w:id="1053119575">
      <w:bodyDiv w:val="1"/>
      <w:marLeft w:val="0"/>
      <w:marRight w:val="0"/>
      <w:marTop w:val="0"/>
      <w:marBottom w:val="0"/>
      <w:divBdr>
        <w:top w:val="none" w:sz="0" w:space="0" w:color="auto"/>
        <w:left w:val="none" w:sz="0" w:space="0" w:color="auto"/>
        <w:bottom w:val="none" w:sz="0" w:space="0" w:color="auto"/>
        <w:right w:val="none" w:sz="0" w:space="0" w:color="auto"/>
      </w:divBdr>
    </w:div>
    <w:div w:id="1057778197">
      <w:bodyDiv w:val="1"/>
      <w:marLeft w:val="0"/>
      <w:marRight w:val="0"/>
      <w:marTop w:val="0"/>
      <w:marBottom w:val="0"/>
      <w:divBdr>
        <w:top w:val="none" w:sz="0" w:space="0" w:color="auto"/>
        <w:left w:val="none" w:sz="0" w:space="0" w:color="auto"/>
        <w:bottom w:val="none" w:sz="0" w:space="0" w:color="auto"/>
        <w:right w:val="none" w:sz="0" w:space="0" w:color="auto"/>
      </w:divBdr>
    </w:div>
    <w:div w:id="1059093072">
      <w:bodyDiv w:val="1"/>
      <w:marLeft w:val="0"/>
      <w:marRight w:val="0"/>
      <w:marTop w:val="0"/>
      <w:marBottom w:val="0"/>
      <w:divBdr>
        <w:top w:val="none" w:sz="0" w:space="0" w:color="auto"/>
        <w:left w:val="none" w:sz="0" w:space="0" w:color="auto"/>
        <w:bottom w:val="none" w:sz="0" w:space="0" w:color="auto"/>
        <w:right w:val="none" w:sz="0" w:space="0" w:color="auto"/>
      </w:divBdr>
    </w:div>
    <w:div w:id="1080831585">
      <w:bodyDiv w:val="1"/>
      <w:marLeft w:val="0"/>
      <w:marRight w:val="0"/>
      <w:marTop w:val="0"/>
      <w:marBottom w:val="0"/>
      <w:divBdr>
        <w:top w:val="none" w:sz="0" w:space="0" w:color="auto"/>
        <w:left w:val="none" w:sz="0" w:space="0" w:color="auto"/>
        <w:bottom w:val="none" w:sz="0" w:space="0" w:color="auto"/>
        <w:right w:val="none" w:sz="0" w:space="0" w:color="auto"/>
      </w:divBdr>
    </w:div>
    <w:div w:id="1105343630">
      <w:bodyDiv w:val="1"/>
      <w:marLeft w:val="0"/>
      <w:marRight w:val="0"/>
      <w:marTop w:val="0"/>
      <w:marBottom w:val="0"/>
      <w:divBdr>
        <w:top w:val="none" w:sz="0" w:space="0" w:color="auto"/>
        <w:left w:val="none" w:sz="0" w:space="0" w:color="auto"/>
        <w:bottom w:val="none" w:sz="0" w:space="0" w:color="auto"/>
        <w:right w:val="none" w:sz="0" w:space="0" w:color="auto"/>
      </w:divBdr>
    </w:div>
    <w:div w:id="1105539915">
      <w:bodyDiv w:val="1"/>
      <w:marLeft w:val="0"/>
      <w:marRight w:val="0"/>
      <w:marTop w:val="0"/>
      <w:marBottom w:val="0"/>
      <w:divBdr>
        <w:top w:val="none" w:sz="0" w:space="0" w:color="auto"/>
        <w:left w:val="none" w:sz="0" w:space="0" w:color="auto"/>
        <w:bottom w:val="none" w:sz="0" w:space="0" w:color="auto"/>
        <w:right w:val="none" w:sz="0" w:space="0" w:color="auto"/>
      </w:divBdr>
    </w:div>
    <w:div w:id="1109742725">
      <w:bodyDiv w:val="1"/>
      <w:marLeft w:val="0"/>
      <w:marRight w:val="0"/>
      <w:marTop w:val="0"/>
      <w:marBottom w:val="0"/>
      <w:divBdr>
        <w:top w:val="none" w:sz="0" w:space="0" w:color="auto"/>
        <w:left w:val="none" w:sz="0" w:space="0" w:color="auto"/>
        <w:bottom w:val="none" w:sz="0" w:space="0" w:color="auto"/>
        <w:right w:val="none" w:sz="0" w:space="0" w:color="auto"/>
      </w:divBdr>
    </w:div>
    <w:div w:id="1117024388">
      <w:bodyDiv w:val="1"/>
      <w:marLeft w:val="0"/>
      <w:marRight w:val="0"/>
      <w:marTop w:val="0"/>
      <w:marBottom w:val="0"/>
      <w:divBdr>
        <w:top w:val="none" w:sz="0" w:space="0" w:color="auto"/>
        <w:left w:val="none" w:sz="0" w:space="0" w:color="auto"/>
        <w:bottom w:val="none" w:sz="0" w:space="0" w:color="auto"/>
        <w:right w:val="none" w:sz="0" w:space="0" w:color="auto"/>
      </w:divBdr>
    </w:div>
    <w:div w:id="1117333373">
      <w:bodyDiv w:val="1"/>
      <w:marLeft w:val="0"/>
      <w:marRight w:val="0"/>
      <w:marTop w:val="0"/>
      <w:marBottom w:val="0"/>
      <w:divBdr>
        <w:top w:val="none" w:sz="0" w:space="0" w:color="auto"/>
        <w:left w:val="none" w:sz="0" w:space="0" w:color="auto"/>
        <w:bottom w:val="none" w:sz="0" w:space="0" w:color="auto"/>
        <w:right w:val="none" w:sz="0" w:space="0" w:color="auto"/>
      </w:divBdr>
    </w:div>
    <w:div w:id="1118648713">
      <w:bodyDiv w:val="1"/>
      <w:marLeft w:val="0"/>
      <w:marRight w:val="0"/>
      <w:marTop w:val="0"/>
      <w:marBottom w:val="0"/>
      <w:divBdr>
        <w:top w:val="none" w:sz="0" w:space="0" w:color="auto"/>
        <w:left w:val="none" w:sz="0" w:space="0" w:color="auto"/>
        <w:bottom w:val="none" w:sz="0" w:space="0" w:color="auto"/>
        <w:right w:val="none" w:sz="0" w:space="0" w:color="auto"/>
      </w:divBdr>
    </w:div>
    <w:div w:id="1119446271">
      <w:bodyDiv w:val="1"/>
      <w:marLeft w:val="0"/>
      <w:marRight w:val="0"/>
      <w:marTop w:val="0"/>
      <w:marBottom w:val="0"/>
      <w:divBdr>
        <w:top w:val="none" w:sz="0" w:space="0" w:color="auto"/>
        <w:left w:val="none" w:sz="0" w:space="0" w:color="auto"/>
        <w:bottom w:val="none" w:sz="0" w:space="0" w:color="auto"/>
        <w:right w:val="none" w:sz="0" w:space="0" w:color="auto"/>
      </w:divBdr>
    </w:div>
    <w:div w:id="1119690824">
      <w:bodyDiv w:val="1"/>
      <w:marLeft w:val="0"/>
      <w:marRight w:val="0"/>
      <w:marTop w:val="0"/>
      <w:marBottom w:val="0"/>
      <w:divBdr>
        <w:top w:val="none" w:sz="0" w:space="0" w:color="auto"/>
        <w:left w:val="none" w:sz="0" w:space="0" w:color="auto"/>
        <w:bottom w:val="none" w:sz="0" w:space="0" w:color="auto"/>
        <w:right w:val="none" w:sz="0" w:space="0" w:color="auto"/>
      </w:divBdr>
    </w:div>
    <w:div w:id="1122114475">
      <w:bodyDiv w:val="1"/>
      <w:marLeft w:val="0"/>
      <w:marRight w:val="0"/>
      <w:marTop w:val="0"/>
      <w:marBottom w:val="0"/>
      <w:divBdr>
        <w:top w:val="none" w:sz="0" w:space="0" w:color="auto"/>
        <w:left w:val="none" w:sz="0" w:space="0" w:color="auto"/>
        <w:bottom w:val="none" w:sz="0" w:space="0" w:color="auto"/>
        <w:right w:val="none" w:sz="0" w:space="0" w:color="auto"/>
      </w:divBdr>
    </w:div>
    <w:div w:id="1124735655">
      <w:bodyDiv w:val="1"/>
      <w:marLeft w:val="0"/>
      <w:marRight w:val="0"/>
      <w:marTop w:val="0"/>
      <w:marBottom w:val="0"/>
      <w:divBdr>
        <w:top w:val="none" w:sz="0" w:space="0" w:color="auto"/>
        <w:left w:val="none" w:sz="0" w:space="0" w:color="auto"/>
        <w:bottom w:val="none" w:sz="0" w:space="0" w:color="auto"/>
        <w:right w:val="none" w:sz="0" w:space="0" w:color="auto"/>
      </w:divBdr>
    </w:div>
    <w:div w:id="1124885394">
      <w:bodyDiv w:val="1"/>
      <w:marLeft w:val="0"/>
      <w:marRight w:val="0"/>
      <w:marTop w:val="0"/>
      <w:marBottom w:val="0"/>
      <w:divBdr>
        <w:top w:val="none" w:sz="0" w:space="0" w:color="auto"/>
        <w:left w:val="none" w:sz="0" w:space="0" w:color="auto"/>
        <w:bottom w:val="none" w:sz="0" w:space="0" w:color="auto"/>
        <w:right w:val="none" w:sz="0" w:space="0" w:color="auto"/>
      </w:divBdr>
    </w:div>
    <w:div w:id="1125270642">
      <w:bodyDiv w:val="1"/>
      <w:marLeft w:val="0"/>
      <w:marRight w:val="0"/>
      <w:marTop w:val="0"/>
      <w:marBottom w:val="0"/>
      <w:divBdr>
        <w:top w:val="none" w:sz="0" w:space="0" w:color="auto"/>
        <w:left w:val="none" w:sz="0" w:space="0" w:color="auto"/>
        <w:bottom w:val="none" w:sz="0" w:space="0" w:color="auto"/>
        <w:right w:val="none" w:sz="0" w:space="0" w:color="auto"/>
      </w:divBdr>
    </w:div>
    <w:div w:id="1126506720">
      <w:bodyDiv w:val="1"/>
      <w:marLeft w:val="0"/>
      <w:marRight w:val="0"/>
      <w:marTop w:val="0"/>
      <w:marBottom w:val="0"/>
      <w:divBdr>
        <w:top w:val="none" w:sz="0" w:space="0" w:color="auto"/>
        <w:left w:val="none" w:sz="0" w:space="0" w:color="auto"/>
        <w:bottom w:val="none" w:sz="0" w:space="0" w:color="auto"/>
        <w:right w:val="none" w:sz="0" w:space="0" w:color="auto"/>
      </w:divBdr>
    </w:div>
    <w:div w:id="1130636429">
      <w:bodyDiv w:val="1"/>
      <w:marLeft w:val="0"/>
      <w:marRight w:val="0"/>
      <w:marTop w:val="0"/>
      <w:marBottom w:val="0"/>
      <w:divBdr>
        <w:top w:val="none" w:sz="0" w:space="0" w:color="auto"/>
        <w:left w:val="none" w:sz="0" w:space="0" w:color="auto"/>
        <w:bottom w:val="none" w:sz="0" w:space="0" w:color="auto"/>
        <w:right w:val="none" w:sz="0" w:space="0" w:color="auto"/>
      </w:divBdr>
    </w:div>
    <w:div w:id="1131481295">
      <w:bodyDiv w:val="1"/>
      <w:marLeft w:val="0"/>
      <w:marRight w:val="0"/>
      <w:marTop w:val="0"/>
      <w:marBottom w:val="0"/>
      <w:divBdr>
        <w:top w:val="none" w:sz="0" w:space="0" w:color="auto"/>
        <w:left w:val="none" w:sz="0" w:space="0" w:color="auto"/>
        <w:bottom w:val="none" w:sz="0" w:space="0" w:color="auto"/>
        <w:right w:val="none" w:sz="0" w:space="0" w:color="auto"/>
      </w:divBdr>
    </w:div>
    <w:div w:id="1132286317">
      <w:bodyDiv w:val="1"/>
      <w:marLeft w:val="0"/>
      <w:marRight w:val="0"/>
      <w:marTop w:val="0"/>
      <w:marBottom w:val="0"/>
      <w:divBdr>
        <w:top w:val="none" w:sz="0" w:space="0" w:color="auto"/>
        <w:left w:val="none" w:sz="0" w:space="0" w:color="auto"/>
        <w:bottom w:val="none" w:sz="0" w:space="0" w:color="auto"/>
        <w:right w:val="none" w:sz="0" w:space="0" w:color="auto"/>
      </w:divBdr>
    </w:div>
    <w:div w:id="113233400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0727251">
      <w:bodyDiv w:val="1"/>
      <w:marLeft w:val="0"/>
      <w:marRight w:val="0"/>
      <w:marTop w:val="0"/>
      <w:marBottom w:val="0"/>
      <w:divBdr>
        <w:top w:val="none" w:sz="0" w:space="0" w:color="auto"/>
        <w:left w:val="none" w:sz="0" w:space="0" w:color="auto"/>
        <w:bottom w:val="none" w:sz="0" w:space="0" w:color="auto"/>
        <w:right w:val="none" w:sz="0" w:space="0" w:color="auto"/>
      </w:divBdr>
    </w:div>
    <w:div w:id="1141272215">
      <w:bodyDiv w:val="1"/>
      <w:marLeft w:val="0"/>
      <w:marRight w:val="0"/>
      <w:marTop w:val="0"/>
      <w:marBottom w:val="0"/>
      <w:divBdr>
        <w:top w:val="none" w:sz="0" w:space="0" w:color="auto"/>
        <w:left w:val="none" w:sz="0" w:space="0" w:color="auto"/>
        <w:bottom w:val="none" w:sz="0" w:space="0" w:color="auto"/>
        <w:right w:val="none" w:sz="0" w:space="0" w:color="auto"/>
      </w:divBdr>
    </w:div>
    <w:div w:id="1150950204">
      <w:bodyDiv w:val="1"/>
      <w:marLeft w:val="0"/>
      <w:marRight w:val="0"/>
      <w:marTop w:val="0"/>
      <w:marBottom w:val="0"/>
      <w:divBdr>
        <w:top w:val="none" w:sz="0" w:space="0" w:color="auto"/>
        <w:left w:val="none" w:sz="0" w:space="0" w:color="auto"/>
        <w:bottom w:val="none" w:sz="0" w:space="0" w:color="auto"/>
        <w:right w:val="none" w:sz="0" w:space="0" w:color="auto"/>
      </w:divBdr>
    </w:div>
    <w:div w:id="1152478246">
      <w:bodyDiv w:val="1"/>
      <w:marLeft w:val="0"/>
      <w:marRight w:val="0"/>
      <w:marTop w:val="0"/>
      <w:marBottom w:val="0"/>
      <w:divBdr>
        <w:top w:val="none" w:sz="0" w:space="0" w:color="auto"/>
        <w:left w:val="none" w:sz="0" w:space="0" w:color="auto"/>
        <w:bottom w:val="none" w:sz="0" w:space="0" w:color="auto"/>
        <w:right w:val="none" w:sz="0" w:space="0" w:color="auto"/>
      </w:divBdr>
    </w:div>
    <w:div w:id="1153716093">
      <w:bodyDiv w:val="1"/>
      <w:marLeft w:val="0"/>
      <w:marRight w:val="0"/>
      <w:marTop w:val="0"/>
      <w:marBottom w:val="0"/>
      <w:divBdr>
        <w:top w:val="none" w:sz="0" w:space="0" w:color="auto"/>
        <w:left w:val="none" w:sz="0" w:space="0" w:color="auto"/>
        <w:bottom w:val="none" w:sz="0" w:space="0" w:color="auto"/>
        <w:right w:val="none" w:sz="0" w:space="0" w:color="auto"/>
      </w:divBdr>
    </w:div>
    <w:div w:id="1155995360">
      <w:bodyDiv w:val="1"/>
      <w:marLeft w:val="0"/>
      <w:marRight w:val="0"/>
      <w:marTop w:val="0"/>
      <w:marBottom w:val="0"/>
      <w:divBdr>
        <w:top w:val="none" w:sz="0" w:space="0" w:color="auto"/>
        <w:left w:val="none" w:sz="0" w:space="0" w:color="auto"/>
        <w:bottom w:val="none" w:sz="0" w:space="0" w:color="auto"/>
        <w:right w:val="none" w:sz="0" w:space="0" w:color="auto"/>
      </w:divBdr>
    </w:div>
    <w:div w:id="1158620306">
      <w:bodyDiv w:val="1"/>
      <w:marLeft w:val="0"/>
      <w:marRight w:val="0"/>
      <w:marTop w:val="0"/>
      <w:marBottom w:val="0"/>
      <w:divBdr>
        <w:top w:val="none" w:sz="0" w:space="0" w:color="auto"/>
        <w:left w:val="none" w:sz="0" w:space="0" w:color="auto"/>
        <w:bottom w:val="none" w:sz="0" w:space="0" w:color="auto"/>
        <w:right w:val="none" w:sz="0" w:space="0" w:color="auto"/>
      </w:divBdr>
    </w:div>
    <w:div w:id="1163937788">
      <w:bodyDiv w:val="1"/>
      <w:marLeft w:val="0"/>
      <w:marRight w:val="0"/>
      <w:marTop w:val="0"/>
      <w:marBottom w:val="0"/>
      <w:divBdr>
        <w:top w:val="none" w:sz="0" w:space="0" w:color="auto"/>
        <w:left w:val="none" w:sz="0" w:space="0" w:color="auto"/>
        <w:bottom w:val="none" w:sz="0" w:space="0" w:color="auto"/>
        <w:right w:val="none" w:sz="0" w:space="0" w:color="auto"/>
      </w:divBdr>
    </w:div>
    <w:div w:id="1165558836">
      <w:bodyDiv w:val="1"/>
      <w:marLeft w:val="0"/>
      <w:marRight w:val="0"/>
      <w:marTop w:val="0"/>
      <w:marBottom w:val="0"/>
      <w:divBdr>
        <w:top w:val="none" w:sz="0" w:space="0" w:color="auto"/>
        <w:left w:val="none" w:sz="0" w:space="0" w:color="auto"/>
        <w:bottom w:val="none" w:sz="0" w:space="0" w:color="auto"/>
        <w:right w:val="none" w:sz="0" w:space="0" w:color="auto"/>
      </w:divBdr>
    </w:div>
    <w:div w:id="1167287478">
      <w:bodyDiv w:val="1"/>
      <w:marLeft w:val="0"/>
      <w:marRight w:val="0"/>
      <w:marTop w:val="0"/>
      <w:marBottom w:val="0"/>
      <w:divBdr>
        <w:top w:val="none" w:sz="0" w:space="0" w:color="auto"/>
        <w:left w:val="none" w:sz="0" w:space="0" w:color="auto"/>
        <w:bottom w:val="none" w:sz="0" w:space="0" w:color="auto"/>
        <w:right w:val="none" w:sz="0" w:space="0" w:color="auto"/>
      </w:divBdr>
    </w:div>
    <w:div w:id="1195652476">
      <w:bodyDiv w:val="1"/>
      <w:marLeft w:val="0"/>
      <w:marRight w:val="0"/>
      <w:marTop w:val="0"/>
      <w:marBottom w:val="0"/>
      <w:divBdr>
        <w:top w:val="none" w:sz="0" w:space="0" w:color="auto"/>
        <w:left w:val="none" w:sz="0" w:space="0" w:color="auto"/>
        <w:bottom w:val="none" w:sz="0" w:space="0" w:color="auto"/>
        <w:right w:val="none" w:sz="0" w:space="0" w:color="auto"/>
      </w:divBdr>
    </w:div>
    <w:div w:id="1196625194">
      <w:bodyDiv w:val="1"/>
      <w:marLeft w:val="0"/>
      <w:marRight w:val="0"/>
      <w:marTop w:val="0"/>
      <w:marBottom w:val="0"/>
      <w:divBdr>
        <w:top w:val="none" w:sz="0" w:space="0" w:color="auto"/>
        <w:left w:val="none" w:sz="0" w:space="0" w:color="auto"/>
        <w:bottom w:val="none" w:sz="0" w:space="0" w:color="auto"/>
        <w:right w:val="none" w:sz="0" w:space="0" w:color="auto"/>
      </w:divBdr>
    </w:div>
    <w:div w:id="1208029752">
      <w:bodyDiv w:val="1"/>
      <w:marLeft w:val="0"/>
      <w:marRight w:val="0"/>
      <w:marTop w:val="0"/>
      <w:marBottom w:val="0"/>
      <w:divBdr>
        <w:top w:val="none" w:sz="0" w:space="0" w:color="auto"/>
        <w:left w:val="none" w:sz="0" w:space="0" w:color="auto"/>
        <w:bottom w:val="none" w:sz="0" w:space="0" w:color="auto"/>
        <w:right w:val="none" w:sz="0" w:space="0" w:color="auto"/>
      </w:divBdr>
    </w:div>
    <w:div w:id="1212572397">
      <w:bodyDiv w:val="1"/>
      <w:marLeft w:val="0"/>
      <w:marRight w:val="0"/>
      <w:marTop w:val="0"/>
      <w:marBottom w:val="0"/>
      <w:divBdr>
        <w:top w:val="none" w:sz="0" w:space="0" w:color="auto"/>
        <w:left w:val="none" w:sz="0" w:space="0" w:color="auto"/>
        <w:bottom w:val="none" w:sz="0" w:space="0" w:color="auto"/>
        <w:right w:val="none" w:sz="0" w:space="0" w:color="auto"/>
      </w:divBdr>
    </w:div>
    <w:div w:id="1221668917">
      <w:bodyDiv w:val="1"/>
      <w:marLeft w:val="0"/>
      <w:marRight w:val="0"/>
      <w:marTop w:val="0"/>
      <w:marBottom w:val="0"/>
      <w:divBdr>
        <w:top w:val="none" w:sz="0" w:space="0" w:color="auto"/>
        <w:left w:val="none" w:sz="0" w:space="0" w:color="auto"/>
        <w:bottom w:val="none" w:sz="0" w:space="0" w:color="auto"/>
        <w:right w:val="none" w:sz="0" w:space="0" w:color="auto"/>
      </w:divBdr>
    </w:div>
    <w:div w:id="1224026005">
      <w:bodyDiv w:val="1"/>
      <w:marLeft w:val="0"/>
      <w:marRight w:val="0"/>
      <w:marTop w:val="0"/>
      <w:marBottom w:val="0"/>
      <w:divBdr>
        <w:top w:val="none" w:sz="0" w:space="0" w:color="auto"/>
        <w:left w:val="none" w:sz="0" w:space="0" w:color="auto"/>
        <w:bottom w:val="none" w:sz="0" w:space="0" w:color="auto"/>
        <w:right w:val="none" w:sz="0" w:space="0" w:color="auto"/>
      </w:divBdr>
    </w:div>
    <w:div w:id="1229733572">
      <w:bodyDiv w:val="1"/>
      <w:marLeft w:val="0"/>
      <w:marRight w:val="0"/>
      <w:marTop w:val="0"/>
      <w:marBottom w:val="0"/>
      <w:divBdr>
        <w:top w:val="none" w:sz="0" w:space="0" w:color="auto"/>
        <w:left w:val="none" w:sz="0" w:space="0" w:color="auto"/>
        <w:bottom w:val="none" w:sz="0" w:space="0" w:color="auto"/>
        <w:right w:val="none" w:sz="0" w:space="0" w:color="auto"/>
      </w:divBdr>
    </w:div>
    <w:div w:id="1232543405">
      <w:bodyDiv w:val="1"/>
      <w:marLeft w:val="0"/>
      <w:marRight w:val="0"/>
      <w:marTop w:val="0"/>
      <w:marBottom w:val="0"/>
      <w:divBdr>
        <w:top w:val="none" w:sz="0" w:space="0" w:color="auto"/>
        <w:left w:val="none" w:sz="0" w:space="0" w:color="auto"/>
        <w:bottom w:val="none" w:sz="0" w:space="0" w:color="auto"/>
        <w:right w:val="none" w:sz="0" w:space="0" w:color="auto"/>
      </w:divBdr>
    </w:div>
    <w:div w:id="1234044411">
      <w:bodyDiv w:val="1"/>
      <w:marLeft w:val="0"/>
      <w:marRight w:val="0"/>
      <w:marTop w:val="0"/>
      <w:marBottom w:val="0"/>
      <w:divBdr>
        <w:top w:val="none" w:sz="0" w:space="0" w:color="auto"/>
        <w:left w:val="none" w:sz="0" w:space="0" w:color="auto"/>
        <w:bottom w:val="none" w:sz="0" w:space="0" w:color="auto"/>
        <w:right w:val="none" w:sz="0" w:space="0" w:color="auto"/>
      </w:divBdr>
    </w:div>
    <w:div w:id="1253902554">
      <w:bodyDiv w:val="1"/>
      <w:marLeft w:val="0"/>
      <w:marRight w:val="0"/>
      <w:marTop w:val="0"/>
      <w:marBottom w:val="0"/>
      <w:divBdr>
        <w:top w:val="none" w:sz="0" w:space="0" w:color="auto"/>
        <w:left w:val="none" w:sz="0" w:space="0" w:color="auto"/>
        <w:bottom w:val="none" w:sz="0" w:space="0" w:color="auto"/>
        <w:right w:val="none" w:sz="0" w:space="0" w:color="auto"/>
      </w:divBdr>
    </w:div>
    <w:div w:id="1255631477">
      <w:bodyDiv w:val="1"/>
      <w:marLeft w:val="0"/>
      <w:marRight w:val="0"/>
      <w:marTop w:val="0"/>
      <w:marBottom w:val="0"/>
      <w:divBdr>
        <w:top w:val="none" w:sz="0" w:space="0" w:color="auto"/>
        <w:left w:val="none" w:sz="0" w:space="0" w:color="auto"/>
        <w:bottom w:val="none" w:sz="0" w:space="0" w:color="auto"/>
        <w:right w:val="none" w:sz="0" w:space="0" w:color="auto"/>
      </w:divBdr>
    </w:div>
    <w:div w:id="1271283178">
      <w:bodyDiv w:val="1"/>
      <w:marLeft w:val="0"/>
      <w:marRight w:val="0"/>
      <w:marTop w:val="0"/>
      <w:marBottom w:val="0"/>
      <w:divBdr>
        <w:top w:val="none" w:sz="0" w:space="0" w:color="auto"/>
        <w:left w:val="none" w:sz="0" w:space="0" w:color="auto"/>
        <w:bottom w:val="none" w:sz="0" w:space="0" w:color="auto"/>
        <w:right w:val="none" w:sz="0" w:space="0" w:color="auto"/>
      </w:divBdr>
    </w:div>
    <w:div w:id="1278442558">
      <w:bodyDiv w:val="1"/>
      <w:marLeft w:val="0"/>
      <w:marRight w:val="0"/>
      <w:marTop w:val="0"/>
      <w:marBottom w:val="0"/>
      <w:divBdr>
        <w:top w:val="none" w:sz="0" w:space="0" w:color="auto"/>
        <w:left w:val="none" w:sz="0" w:space="0" w:color="auto"/>
        <w:bottom w:val="none" w:sz="0" w:space="0" w:color="auto"/>
        <w:right w:val="none" w:sz="0" w:space="0" w:color="auto"/>
      </w:divBdr>
    </w:div>
    <w:div w:id="1289702989">
      <w:bodyDiv w:val="1"/>
      <w:marLeft w:val="0"/>
      <w:marRight w:val="0"/>
      <w:marTop w:val="0"/>
      <w:marBottom w:val="0"/>
      <w:divBdr>
        <w:top w:val="none" w:sz="0" w:space="0" w:color="auto"/>
        <w:left w:val="none" w:sz="0" w:space="0" w:color="auto"/>
        <w:bottom w:val="none" w:sz="0" w:space="0" w:color="auto"/>
        <w:right w:val="none" w:sz="0" w:space="0" w:color="auto"/>
      </w:divBdr>
    </w:div>
    <w:div w:id="1294018693">
      <w:bodyDiv w:val="1"/>
      <w:marLeft w:val="0"/>
      <w:marRight w:val="0"/>
      <w:marTop w:val="0"/>
      <w:marBottom w:val="0"/>
      <w:divBdr>
        <w:top w:val="none" w:sz="0" w:space="0" w:color="auto"/>
        <w:left w:val="none" w:sz="0" w:space="0" w:color="auto"/>
        <w:bottom w:val="none" w:sz="0" w:space="0" w:color="auto"/>
        <w:right w:val="none" w:sz="0" w:space="0" w:color="auto"/>
      </w:divBdr>
    </w:div>
    <w:div w:id="1300263608">
      <w:bodyDiv w:val="1"/>
      <w:marLeft w:val="0"/>
      <w:marRight w:val="0"/>
      <w:marTop w:val="0"/>
      <w:marBottom w:val="0"/>
      <w:divBdr>
        <w:top w:val="none" w:sz="0" w:space="0" w:color="auto"/>
        <w:left w:val="none" w:sz="0" w:space="0" w:color="auto"/>
        <w:bottom w:val="none" w:sz="0" w:space="0" w:color="auto"/>
        <w:right w:val="none" w:sz="0" w:space="0" w:color="auto"/>
      </w:divBdr>
    </w:div>
    <w:div w:id="1300576195">
      <w:bodyDiv w:val="1"/>
      <w:marLeft w:val="0"/>
      <w:marRight w:val="0"/>
      <w:marTop w:val="0"/>
      <w:marBottom w:val="0"/>
      <w:divBdr>
        <w:top w:val="none" w:sz="0" w:space="0" w:color="auto"/>
        <w:left w:val="none" w:sz="0" w:space="0" w:color="auto"/>
        <w:bottom w:val="none" w:sz="0" w:space="0" w:color="auto"/>
        <w:right w:val="none" w:sz="0" w:space="0" w:color="auto"/>
      </w:divBdr>
    </w:div>
    <w:div w:id="1313561315">
      <w:bodyDiv w:val="1"/>
      <w:marLeft w:val="0"/>
      <w:marRight w:val="0"/>
      <w:marTop w:val="0"/>
      <w:marBottom w:val="0"/>
      <w:divBdr>
        <w:top w:val="none" w:sz="0" w:space="0" w:color="auto"/>
        <w:left w:val="none" w:sz="0" w:space="0" w:color="auto"/>
        <w:bottom w:val="none" w:sz="0" w:space="0" w:color="auto"/>
        <w:right w:val="none" w:sz="0" w:space="0" w:color="auto"/>
      </w:divBdr>
    </w:div>
    <w:div w:id="1325159581">
      <w:bodyDiv w:val="1"/>
      <w:marLeft w:val="0"/>
      <w:marRight w:val="0"/>
      <w:marTop w:val="0"/>
      <w:marBottom w:val="0"/>
      <w:divBdr>
        <w:top w:val="none" w:sz="0" w:space="0" w:color="auto"/>
        <w:left w:val="none" w:sz="0" w:space="0" w:color="auto"/>
        <w:bottom w:val="none" w:sz="0" w:space="0" w:color="auto"/>
        <w:right w:val="none" w:sz="0" w:space="0" w:color="auto"/>
      </w:divBdr>
    </w:div>
    <w:div w:id="1326589168">
      <w:bodyDiv w:val="1"/>
      <w:marLeft w:val="0"/>
      <w:marRight w:val="0"/>
      <w:marTop w:val="0"/>
      <w:marBottom w:val="0"/>
      <w:divBdr>
        <w:top w:val="none" w:sz="0" w:space="0" w:color="auto"/>
        <w:left w:val="none" w:sz="0" w:space="0" w:color="auto"/>
        <w:bottom w:val="none" w:sz="0" w:space="0" w:color="auto"/>
        <w:right w:val="none" w:sz="0" w:space="0" w:color="auto"/>
      </w:divBdr>
    </w:div>
    <w:div w:id="1327707951">
      <w:bodyDiv w:val="1"/>
      <w:marLeft w:val="0"/>
      <w:marRight w:val="0"/>
      <w:marTop w:val="0"/>
      <w:marBottom w:val="0"/>
      <w:divBdr>
        <w:top w:val="none" w:sz="0" w:space="0" w:color="auto"/>
        <w:left w:val="none" w:sz="0" w:space="0" w:color="auto"/>
        <w:bottom w:val="none" w:sz="0" w:space="0" w:color="auto"/>
        <w:right w:val="none" w:sz="0" w:space="0" w:color="auto"/>
      </w:divBdr>
    </w:div>
    <w:div w:id="1335961285">
      <w:bodyDiv w:val="1"/>
      <w:marLeft w:val="0"/>
      <w:marRight w:val="0"/>
      <w:marTop w:val="0"/>
      <w:marBottom w:val="0"/>
      <w:divBdr>
        <w:top w:val="none" w:sz="0" w:space="0" w:color="auto"/>
        <w:left w:val="none" w:sz="0" w:space="0" w:color="auto"/>
        <w:bottom w:val="none" w:sz="0" w:space="0" w:color="auto"/>
        <w:right w:val="none" w:sz="0" w:space="0" w:color="auto"/>
      </w:divBdr>
    </w:div>
    <w:div w:id="1340238119">
      <w:bodyDiv w:val="1"/>
      <w:marLeft w:val="0"/>
      <w:marRight w:val="0"/>
      <w:marTop w:val="0"/>
      <w:marBottom w:val="0"/>
      <w:divBdr>
        <w:top w:val="none" w:sz="0" w:space="0" w:color="auto"/>
        <w:left w:val="none" w:sz="0" w:space="0" w:color="auto"/>
        <w:bottom w:val="none" w:sz="0" w:space="0" w:color="auto"/>
        <w:right w:val="none" w:sz="0" w:space="0" w:color="auto"/>
      </w:divBdr>
    </w:div>
    <w:div w:id="1341010285">
      <w:bodyDiv w:val="1"/>
      <w:marLeft w:val="0"/>
      <w:marRight w:val="0"/>
      <w:marTop w:val="0"/>
      <w:marBottom w:val="0"/>
      <w:divBdr>
        <w:top w:val="none" w:sz="0" w:space="0" w:color="auto"/>
        <w:left w:val="none" w:sz="0" w:space="0" w:color="auto"/>
        <w:bottom w:val="none" w:sz="0" w:space="0" w:color="auto"/>
        <w:right w:val="none" w:sz="0" w:space="0" w:color="auto"/>
      </w:divBdr>
    </w:div>
    <w:div w:id="1345597640">
      <w:bodyDiv w:val="1"/>
      <w:marLeft w:val="0"/>
      <w:marRight w:val="0"/>
      <w:marTop w:val="0"/>
      <w:marBottom w:val="0"/>
      <w:divBdr>
        <w:top w:val="none" w:sz="0" w:space="0" w:color="auto"/>
        <w:left w:val="none" w:sz="0" w:space="0" w:color="auto"/>
        <w:bottom w:val="none" w:sz="0" w:space="0" w:color="auto"/>
        <w:right w:val="none" w:sz="0" w:space="0" w:color="auto"/>
      </w:divBdr>
    </w:div>
    <w:div w:id="1348093706">
      <w:bodyDiv w:val="1"/>
      <w:marLeft w:val="0"/>
      <w:marRight w:val="0"/>
      <w:marTop w:val="0"/>
      <w:marBottom w:val="0"/>
      <w:divBdr>
        <w:top w:val="none" w:sz="0" w:space="0" w:color="auto"/>
        <w:left w:val="none" w:sz="0" w:space="0" w:color="auto"/>
        <w:bottom w:val="none" w:sz="0" w:space="0" w:color="auto"/>
        <w:right w:val="none" w:sz="0" w:space="0" w:color="auto"/>
      </w:divBdr>
    </w:div>
    <w:div w:id="1354919449">
      <w:bodyDiv w:val="1"/>
      <w:marLeft w:val="0"/>
      <w:marRight w:val="0"/>
      <w:marTop w:val="0"/>
      <w:marBottom w:val="0"/>
      <w:divBdr>
        <w:top w:val="none" w:sz="0" w:space="0" w:color="auto"/>
        <w:left w:val="none" w:sz="0" w:space="0" w:color="auto"/>
        <w:bottom w:val="none" w:sz="0" w:space="0" w:color="auto"/>
        <w:right w:val="none" w:sz="0" w:space="0" w:color="auto"/>
      </w:divBdr>
    </w:div>
    <w:div w:id="1356614767">
      <w:bodyDiv w:val="1"/>
      <w:marLeft w:val="0"/>
      <w:marRight w:val="0"/>
      <w:marTop w:val="0"/>
      <w:marBottom w:val="0"/>
      <w:divBdr>
        <w:top w:val="none" w:sz="0" w:space="0" w:color="auto"/>
        <w:left w:val="none" w:sz="0" w:space="0" w:color="auto"/>
        <w:bottom w:val="none" w:sz="0" w:space="0" w:color="auto"/>
        <w:right w:val="none" w:sz="0" w:space="0" w:color="auto"/>
      </w:divBdr>
    </w:div>
    <w:div w:id="1356923834">
      <w:bodyDiv w:val="1"/>
      <w:marLeft w:val="0"/>
      <w:marRight w:val="0"/>
      <w:marTop w:val="0"/>
      <w:marBottom w:val="0"/>
      <w:divBdr>
        <w:top w:val="none" w:sz="0" w:space="0" w:color="auto"/>
        <w:left w:val="none" w:sz="0" w:space="0" w:color="auto"/>
        <w:bottom w:val="none" w:sz="0" w:space="0" w:color="auto"/>
        <w:right w:val="none" w:sz="0" w:space="0" w:color="auto"/>
      </w:divBdr>
    </w:div>
    <w:div w:id="1366370132">
      <w:bodyDiv w:val="1"/>
      <w:marLeft w:val="0"/>
      <w:marRight w:val="0"/>
      <w:marTop w:val="0"/>
      <w:marBottom w:val="0"/>
      <w:divBdr>
        <w:top w:val="none" w:sz="0" w:space="0" w:color="auto"/>
        <w:left w:val="none" w:sz="0" w:space="0" w:color="auto"/>
        <w:bottom w:val="none" w:sz="0" w:space="0" w:color="auto"/>
        <w:right w:val="none" w:sz="0" w:space="0" w:color="auto"/>
      </w:divBdr>
    </w:div>
    <w:div w:id="1370257250">
      <w:bodyDiv w:val="1"/>
      <w:marLeft w:val="0"/>
      <w:marRight w:val="0"/>
      <w:marTop w:val="0"/>
      <w:marBottom w:val="0"/>
      <w:divBdr>
        <w:top w:val="none" w:sz="0" w:space="0" w:color="auto"/>
        <w:left w:val="none" w:sz="0" w:space="0" w:color="auto"/>
        <w:bottom w:val="none" w:sz="0" w:space="0" w:color="auto"/>
        <w:right w:val="none" w:sz="0" w:space="0" w:color="auto"/>
      </w:divBdr>
    </w:div>
    <w:div w:id="1375737136">
      <w:bodyDiv w:val="1"/>
      <w:marLeft w:val="0"/>
      <w:marRight w:val="0"/>
      <w:marTop w:val="0"/>
      <w:marBottom w:val="0"/>
      <w:divBdr>
        <w:top w:val="none" w:sz="0" w:space="0" w:color="auto"/>
        <w:left w:val="none" w:sz="0" w:space="0" w:color="auto"/>
        <w:bottom w:val="none" w:sz="0" w:space="0" w:color="auto"/>
        <w:right w:val="none" w:sz="0" w:space="0" w:color="auto"/>
      </w:divBdr>
    </w:div>
    <w:div w:id="1376808230">
      <w:bodyDiv w:val="1"/>
      <w:marLeft w:val="0"/>
      <w:marRight w:val="0"/>
      <w:marTop w:val="0"/>
      <w:marBottom w:val="0"/>
      <w:divBdr>
        <w:top w:val="none" w:sz="0" w:space="0" w:color="auto"/>
        <w:left w:val="none" w:sz="0" w:space="0" w:color="auto"/>
        <w:bottom w:val="none" w:sz="0" w:space="0" w:color="auto"/>
        <w:right w:val="none" w:sz="0" w:space="0" w:color="auto"/>
      </w:divBdr>
    </w:div>
    <w:div w:id="1380518516">
      <w:bodyDiv w:val="1"/>
      <w:marLeft w:val="0"/>
      <w:marRight w:val="0"/>
      <w:marTop w:val="0"/>
      <w:marBottom w:val="0"/>
      <w:divBdr>
        <w:top w:val="none" w:sz="0" w:space="0" w:color="auto"/>
        <w:left w:val="none" w:sz="0" w:space="0" w:color="auto"/>
        <w:bottom w:val="none" w:sz="0" w:space="0" w:color="auto"/>
        <w:right w:val="none" w:sz="0" w:space="0" w:color="auto"/>
      </w:divBdr>
    </w:div>
    <w:div w:id="1381707108">
      <w:bodyDiv w:val="1"/>
      <w:marLeft w:val="0"/>
      <w:marRight w:val="0"/>
      <w:marTop w:val="0"/>
      <w:marBottom w:val="0"/>
      <w:divBdr>
        <w:top w:val="none" w:sz="0" w:space="0" w:color="auto"/>
        <w:left w:val="none" w:sz="0" w:space="0" w:color="auto"/>
        <w:bottom w:val="none" w:sz="0" w:space="0" w:color="auto"/>
        <w:right w:val="none" w:sz="0" w:space="0" w:color="auto"/>
      </w:divBdr>
    </w:div>
    <w:div w:id="1385518967">
      <w:bodyDiv w:val="1"/>
      <w:marLeft w:val="0"/>
      <w:marRight w:val="0"/>
      <w:marTop w:val="0"/>
      <w:marBottom w:val="0"/>
      <w:divBdr>
        <w:top w:val="none" w:sz="0" w:space="0" w:color="auto"/>
        <w:left w:val="none" w:sz="0" w:space="0" w:color="auto"/>
        <w:bottom w:val="none" w:sz="0" w:space="0" w:color="auto"/>
        <w:right w:val="none" w:sz="0" w:space="0" w:color="auto"/>
      </w:divBdr>
    </w:div>
    <w:div w:id="1393776170">
      <w:bodyDiv w:val="1"/>
      <w:marLeft w:val="0"/>
      <w:marRight w:val="0"/>
      <w:marTop w:val="0"/>
      <w:marBottom w:val="0"/>
      <w:divBdr>
        <w:top w:val="none" w:sz="0" w:space="0" w:color="auto"/>
        <w:left w:val="none" w:sz="0" w:space="0" w:color="auto"/>
        <w:bottom w:val="none" w:sz="0" w:space="0" w:color="auto"/>
        <w:right w:val="none" w:sz="0" w:space="0" w:color="auto"/>
      </w:divBdr>
    </w:div>
    <w:div w:id="1398472936">
      <w:bodyDiv w:val="1"/>
      <w:marLeft w:val="0"/>
      <w:marRight w:val="0"/>
      <w:marTop w:val="0"/>
      <w:marBottom w:val="0"/>
      <w:divBdr>
        <w:top w:val="none" w:sz="0" w:space="0" w:color="auto"/>
        <w:left w:val="none" w:sz="0" w:space="0" w:color="auto"/>
        <w:bottom w:val="none" w:sz="0" w:space="0" w:color="auto"/>
        <w:right w:val="none" w:sz="0" w:space="0" w:color="auto"/>
      </w:divBdr>
    </w:div>
    <w:div w:id="140437757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8138247">
      <w:bodyDiv w:val="1"/>
      <w:marLeft w:val="0"/>
      <w:marRight w:val="0"/>
      <w:marTop w:val="0"/>
      <w:marBottom w:val="0"/>
      <w:divBdr>
        <w:top w:val="none" w:sz="0" w:space="0" w:color="auto"/>
        <w:left w:val="none" w:sz="0" w:space="0" w:color="auto"/>
        <w:bottom w:val="none" w:sz="0" w:space="0" w:color="auto"/>
        <w:right w:val="none" w:sz="0" w:space="0" w:color="auto"/>
      </w:divBdr>
    </w:div>
    <w:div w:id="1427650461">
      <w:bodyDiv w:val="1"/>
      <w:marLeft w:val="0"/>
      <w:marRight w:val="0"/>
      <w:marTop w:val="0"/>
      <w:marBottom w:val="0"/>
      <w:divBdr>
        <w:top w:val="none" w:sz="0" w:space="0" w:color="auto"/>
        <w:left w:val="none" w:sz="0" w:space="0" w:color="auto"/>
        <w:bottom w:val="none" w:sz="0" w:space="0" w:color="auto"/>
        <w:right w:val="none" w:sz="0" w:space="0" w:color="auto"/>
      </w:divBdr>
    </w:div>
    <w:div w:id="1427925648">
      <w:bodyDiv w:val="1"/>
      <w:marLeft w:val="0"/>
      <w:marRight w:val="0"/>
      <w:marTop w:val="0"/>
      <w:marBottom w:val="0"/>
      <w:divBdr>
        <w:top w:val="none" w:sz="0" w:space="0" w:color="auto"/>
        <w:left w:val="none" w:sz="0" w:space="0" w:color="auto"/>
        <w:bottom w:val="none" w:sz="0" w:space="0" w:color="auto"/>
        <w:right w:val="none" w:sz="0" w:space="0" w:color="auto"/>
      </w:divBdr>
    </w:div>
    <w:div w:id="1430587069">
      <w:bodyDiv w:val="1"/>
      <w:marLeft w:val="0"/>
      <w:marRight w:val="0"/>
      <w:marTop w:val="0"/>
      <w:marBottom w:val="0"/>
      <w:divBdr>
        <w:top w:val="none" w:sz="0" w:space="0" w:color="auto"/>
        <w:left w:val="none" w:sz="0" w:space="0" w:color="auto"/>
        <w:bottom w:val="none" w:sz="0" w:space="0" w:color="auto"/>
        <w:right w:val="none" w:sz="0" w:space="0" w:color="auto"/>
      </w:divBdr>
    </w:div>
    <w:div w:id="143400881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4376596">
      <w:bodyDiv w:val="1"/>
      <w:marLeft w:val="0"/>
      <w:marRight w:val="0"/>
      <w:marTop w:val="0"/>
      <w:marBottom w:val="0"/>
      <w:divBdr>
        <w:top w:val="none" w:sz="0" w:space="0" w:color="auto"/>
        <w:left w:val="none" w:sz="0" w:space="0" w:color="auto"/>
        <w:bottom w:val="none" w:sz="0" w:space="0" w:color="auto"/>
        <w:right w:val="none" w:sz="0" w:space="0" w:color="auto"/>
      </w:divBdr>
    </w:div>
    <w:div w:id="1444760510">
      <w:bodyDiv w:val="1"/>
      <w:marLeft w:val="0"/>
      <w:marRight w:val="0"/>
      <w:marTop w:val="0"/>
      <w:marBottom w:val="0"/>
      <w:divBdr>
        <w:top w:val="none" w:sz="0" w:space="0" w:color="auto"/>
        <w:left w:val="none" w:sz="0" w:space="0" w:color="auto"/>
        <w:bottom w:val="none" w:sz="0" w:space="0" w:color="auto"/>
        <w:right w:val="none" w:sz="0" w:space="0" w:color="auto"/>
      </w:divBdr>
    </w:div>
    <w:div w:id="1445032903">
      <w:bodyDiv w:val="1"/>
      <w:marLeft w:val="0"/>
      <w:marRight w:val="0"/>
      <w:marTop w:val="0"/>
      <w:marBottom w:val="0"/>
      <w:divBdr>
        <w:top w:val="none" w:sz="0" w:space="0" w:color="auto"/>
        <w:left w:val="none" w:sz="0" w:space="0" w:color="auto"/>
        <w:bottom w:val="none" w:sz="0" w:space="0" w:color="auto"/>
        <w:right w:val="none" w:sz="0" w:space="0" w:color="auto"/>
      </w:divBdr>
    </w:div>
    <w:div w:id="1446733098">
      <w:bodyDiv w:val="1"/>
      <w:marLeft w:val="0"/>
      <w:marRight w:val="0"/>
      <w:marTop w:val="0"/>
      <w:marBottom w:val="0"/>
      <w:divBdr>
        <w:top w:val="none" w:sz="0" w:space="0" w:color="auto"/>
        <w:left w:val="none" w:sz="0" w:space="0" w:color="auto"/>
        <w:bottom w:val="none" w:sz="0" w:space="0" w:color="auto"/>
        <w:right w:val="none" w:sz="0" w:space="0" w:color="auto"/>
      </w:divBdr>
    </w:div>
    <w:div w:id="1462260005">
      <w:bodyDiv w:val="1"/>
      <w:marLeft w:val="0"/>
      <w:marRight w:val="0"/>
      <w:marTop w:val="0"/>
      <w:marBottom w:val="0"/>
      <w:divBdr>
        <w:top w:val="none" w:sz="0" w:space="0" w:color="auto"/>
        <w:left w:val="none" w:sz="0" w:space="0" w:color="auto"/>
        <w:bottom w:val="none" w:sz="0" w:space="0" w:color="auto"/>
        <w:right w:val="none" w:sz="0" w:space="0" w:color="auto"/>
      </w:divBdr>
    </w:div>
    <w:div w:id="1462990565">
      <w:bodyDiv w:val="1"/>
      <w:marLeft w:val="0"/>
      <w:marRight w:val="0"/>
      <w:marTop w:val="0"/>
      <w:marBottom w:val="0"/>
      <w:divBdr>
        <w:top w:val="none" w:sz="0" w:space="0" w:color="auto"/>
        <w:left w:val="none" w:sz="0" w:space="0" w:color="auto"/>
        <w:bottom w:val="none" w:sz="0" w:space="0" w:color="auto"/>
        <w:right w:val="none" w:sz="0" w:space="0" w:color="auto"/>
      </w:divBdr>
    </w:div>
    <w:div w:id="1464881541">
      <w:bodyDiv w:val="1"/>
      <w:marLeft w:val="0"/>
      <w:marRight w:val="0"/>
      <w:marTop w:val="0"/>
      <w:marBottom w:val="0"/>
      <w:divBdr>
        <w:top w:val="none" w:sz="0" w:space="0" w:color="auto"/>
        <w:left w:val="none" w:sz="0" w:space="0" w:color="auto"/>
        <w:bottom w:val="none" w:sz="0" w:space="0" w:color="auto"/>
        <w:right w:val="none" w:sz="0" w:space="0" w:color="auto"/>
      </w:divBdr>
    </w:div>
    <w:div w:id="1472357351">
      <w:bodyDiv w:val="1"/>
      <w:marLeft w:val="0"/>
      <w:marRight w:val="0"/>
      <w:marTop w:val="0"/>
      <w:marBottom w:val="0"/>
      <w:divBdr>
        <w:top w:val="none" w:sz="0" w:space="0" w:color="auto"/>
        <w:left w:val="none" w:sz="0" w:space="0" w:color="auto"/>
        <w:bottom w:val="none" w:sz="0" w:space="0" w:color="auto"/>
        <w:right w:val="none" w:sz="0" w:space="0" w:color="auto"/>
      </w:divBdr>
    </w:div>
    <w:div w:id="1472753487">
      <w:bodyDiv w:val="1"/>
      <w:marLeft w:val="0"/>
      <w:marRight w:val="0"/>
      <w:marTop w:val="0"/>
      <w:marBottom w:val="0"/>
      <w:divBdr>
        <w:top w:val="none" w:sz="0" w:space="0" w:color="auto"/>
        <w:left w:val="none" w:sz="0" w:space="0" w:color="auto"/>
        <w:bottom w:val="none" w:sz="0" w:space="0" w:color="auto"/>
        <w:right w:val="none" w:sz="0" w:space="0" w:color="auto"/>
      </w:divBdr>
    </w:div>
    <w:div w:id="1482381615">
      <w:bodyDiv w:val="1"/>
      <w:marLeft w:val="0"/>
      <w:marRight w:val="0"/>
      <w:marTop w:val="0"/>
      <w:marBottom w:val="0"/>
      <w:divBdr>
        <w:top w:val="none" w:sz="0" w:space="0" w:color="auto"/>
        <w:left w:val="none" w:sz="0" w:space="0" w:color="auto"/>
        <w:bottom w:val="none" w:sz="0" w:space="0" w:color="auto"/>
        <w:right w:val="none" w:sz="0" w:space="0" w:color="auto"/>
      </w:divBdr>
    </w:div>
    <w:div w:id="1483426314">
      <w:bodyDiv w:val="1"/>
      <w:marLeft w:val="0"/>
      <w:marRight w:val="0"/>
      <w:marTop w:val="0"/>
      <w:marBottom w:val="0"/>
      <w:divBdr>
        <w:top w:val="none" w:sz="0" w:space="0" w:color="auto"/>
        <w:left w:val="none" w:sz="0" w:space="0" w:color="auto"/>
        <w:bottom w:val="none" w:sz="0" w:space="0" w:color="auto"/>
        <w:right w:val="none" w:sz="0" w:space="0" w:color="auto"/>
      </w:divBdr>
    </w:div>
    <w:div w:id="1488669559">
      <w:bodyDiv w:val="1"/>
      <w:marLeft w:val="0"/>
      <w:marRight w:val="0"/>
      <w:marTop w:val="0"/>
      <w:marBottom w:val="0"/>
      <w:divBdr>
        <w:top w:val="none" w:sz="0" w:space="0" w:color="auto"/>
        <w:left w:val="none" w:sz="0" w:space="0" w:color="auto"/>
        <w:bottom w:val="none" w:sz="0" w:space="0" w:color="auto"/>
        <w:right w:val="none" w:sz="0" w:space="0" w:color="auto"/>
      </w:divBdr>
    </w:div>
    <w:div w:id="1492483318">
      <w:bodyDiv w:val="1"/>
      <w:marLeft w:val="0"/>
      <w:marRight w:val="0"/>
      <w:marTop w:val="0"/>
      <w:marBottom w:val="0"/>
      <w:divBdr>
        <w:top w:val="none" w:sz="0" w:space="0" w:color="auto"/>
        <w:left w:val="none" w:sz="0" w:space="0" w:color="auto"/>
        <w:bottom w:val="none" w:sz="0" w:space="0" w:color="auto"/>
        <w:right w:val="none" w:sz="0" w:space="0" w:color="auto"/>
      </w:divBdr>
    </w:div>
    <w:div w:id="1493527008">
      <w:bodyDiv w:val="1"/>
      <w:marLeft w:val="0"/>
      <w:marRight w:val="0"/>
      <w:marTop w:val="0"/>
      <w:marBottom w:val="0"/>
      <w:divBdr>
        <w:top w:val="none" w:sz="0" w:space="0" w:color="auto"/>
        <w:left w:val="none" w:sz="0" w:space="0" w:color="auto"/>
        <w:bottom w:val="none" w:sz="0" w:space="0" w:color="auto"/>
        <w:right w:val="none" w:sz="0" w:space="0" w:color="auto"/>
      </w:divBdr>
    </w:div>
    <w:div w:id="1504392057">
      <w:bodyDiv w:val="1"/>
      <w:marLeft w:val="0"/>
      <w:marRight w:val="0"/>
      <w:marTop w:val="0"/>
      <w:marBottom w:val="0"/>
      <w:divBdr>
        <w:top w:val="none" w:sz="0" w:space="0" w:color="auto"/>
        <w:left w:val="none" w:sz="0" w:space="0" w:color="auto"/>
        <w:bottom w:val="none" w:sz="0" w:space="0" w:color="auto"/>
        <w:right w:val="none" w:sz="0" w:space="0" w:color="auto"/>
      </w:divBdr>
    </w:div>
    <w:div w:id="1514153139">
      <w:bodyDiv w:val="1"/>
      <w:marLeft w:val="0"/>
      <w:marRight w:val="0"/>
      <w:marTop w:val="0"/>
      <w:marBottom w:val="0"/>
      <w:divBdr>
        <w:top w:val="none" w:sz="0" w:space="0" w:color="auto"/>
        <w:left w:val="none" w:sz="0" w:space="0" w:color="auto"/>
        <w:bottom w:val="none" w:sz="0" w:space="0" w:color="auto"/>
        <w:right w:val="none" w:sz="0" w:space="0" w:color="auto"/>
      </w:divBdr>
    </w:div>
    <w:div w:id="1518620252">
      <w:bodyDiv w:val="1"/>
      <w:marLeft w:val="0"/>
      <w:marRight w:val="0"/>
      <w:marTop w:val="0"/>
      <w:marBottom w:val="0"/>
      <w:divBdr>
        <w:top w:val="none" w:sz="0" w:space="0" w:color="auto"/>
        <w:left w:val="none" w:sz="0" w:space="0" w:color="auto"/>
        <w:bottom w:val="none" w:sz="0" w:space="0" w:color="auto"/>
        <w:right w:val="none" w:sz="0" w:space="0" w:color="auto"/>
      </w:divBdr>
    </w:div>
    <w:div w:id="1530411960">
      <w:bodyDiv w:val="1"/>
      <w:marLeft w:val="0"/>
      <w:marRight w:val="0"/>
      <w:marTop w:val="0"/>
      <w:marBottom w:val="0"/>
      <w:divBdr>
        <w:top w:val="none" w:sz="0" w:space="0" w:color="auto"/>
        <w:left w:val="none" w:sz="0" w:space="0" w:color="auto"/>
        <w:bottom w:val="none" w:sz="0" w:space="0" w:color="auto"/>
        <w:right w:val="none" w:sz="0" w:space="0" w:color="auto"/>
      </w:divBdr>
    </w:div>
    <w:div w:id="1534221890">
      <w:bodyDiv w:val="1"/>
      <w:marLeft w:val="0"/>
      <w:marRight w:val="0"/>
      <w:marTop w:val="0"/>
      <w:marBottom w:val="0"/>
      <w:divBdr>
        <w:top w:val="none" w:sz="0" w:space="0" w:color="auto"/>
        <w:left w:val="none" w:sz="0" w:space="0" w:color="auto"/>
        <w:bottom w:val="none" w:sz="0" w:space="0" w:color="auto"/>
        <w:right w:val="none" w:sz="0" w:space="0" w:color="auto"/>
      </w:divBdr>
    </w:div>
    <w:div w:id="1539271387">
      <w:bodyDiv w:val="1"/>
      <w:marLeft w:val="0"/>
      <w:marRight w:val="0"/>
      <w:marTop w:val="0"/>
      <w:marBottom w:val="0"/>
      <w:divBdr>
        <w:top w:val="none" w:sz="0" w:space="0" w:color="auto"/>
        <w:left w:val="none" w:sz="0" w:space="0" w:color="auto"/>
        <w:bottom w:val="none" w:sz="0" w:space="0" w:color="auto"/>
        <w:right w:val="none" w:sz="0" w:space="0" w:color="auto"/>
      </w:divBdr>
    </w:div>
    <w:div w:id="1543900582">
      <w:bodyDiv w:val="1"/>
      <w:marLeft w:val="0"/>
      <w:marRight w:val="0"/>
      <w:marTop w:val="0"/>
      <w:marBottom w:val="0"/>
      <w:divBdr>
        <w:top w:val="none" w:sz="0" w:space="0" w:color="auto"/>
        <w:left w:val="none" w:sz="0" w:space="0" w:color="auto"/>
        <w:bottom w:val="none" w:sz="0" w:space="0" w:color="auto"/>
        <w:right w:val="none" w:sz="0" w:space="0" w:color="auto"/>
      </w:divBdr>
    </w:div>
    <w:div w:id="1550148094">
      <w:bodyDiv w:val="1"/>
      <w:marLeft w:val="0"/>
      <w:marRight w:val="0"/>
      <w:marTop w:val="0"/>
      <w:marBottom w:val="0"/>
      <w:divBdr>
        <w:top w:val="none" w:sz="0" w:space="0" w:color="auto"/>
        <w:left w:val="none" w:sz="0" w:space="0" w:color="auto"/>
        <w:bottom w:val="none" w:sz="0" w:space="0" w:color="auto"/>
        <w:right w:val="none" w:sz="0" w:space="0" w:color="auto"/>
      </w:divBdr>
    </w:div>
    <w:div w:id="1552108168">
      <w:bodyDiv w:val="1"/>
      <w:marLeft w:val="0"/>
      <w:marRight w:val="0"/>
      <w:marTop w:val="0"/>
      <w:marBottom w:val="0"/>
      <w:divBdr>
        <w:top w:val="none" w:sz="0" w:space="0" w:color="auto"/>
        <w:left w:val="none" w:sz="0" w:space="0" w:color="auto"/>
        <w:bottom w:val="none" w:sz="0" w:space="0" w:color="auto"/>
        <w:right w:val="none" w:sz="0" w:space="0" w:color="auto"/>
      </w:divBdr>
    </w:div>
    <w:div w:id="1555039134">
      <w:bodyDiv w:val="1"/>
      <w:marLeft w:val="0"/>
      <w:marRight w:val="0"/>
      <w:marTop w:val="0"/>
      <w:marBottom w:val="0"/>
      <w:divBdr>
        <w:top w:val="none" w:sz="0" w:space="0" w:color="auto"/>
        <w:left w:val="none" w:sz="0" w:space="0" w:color="auto"/>
        <w:bottom w:val="none" w:sz="0" w:space="0" w:color="auto"/>
        <w:right w:val="none" w:sz="0" w:space="0" w:color="auto"/>
      </w:divBdr>
    </w:div>
    <w:div w:id="1555463567">
      <w:bodyDiv w:val="1"/>
      <w:marLeft w:val="0"/>
      <w:marRight w:val="0"/>
      <w:marTop w:val="0"/>
      <w:marBottom w:val="0"/>
      <w:divBdr>
        <w:top w:val="none" w:sz="0" w:space="0" w:color="auto"/>
        <w:left w:val="none" w:sz="0" w:space="0" w:color="auto"/>
        <w:bottom w:val="none" w:sz="0" w:space="0" w:color="auto"/>
        <w:right w:val="none" w:sz="0" w:space="0" w:color="auto"/>
      </w:divBdr>
    </w:div>
    <w:div w:id="1561864764">
      <w:bodyDiv w:val="1"/>
      <w:marLeft w:val="0"/>
      <w:marRight w:val="0"/>
      <w:marTop w:val="0"/>
      <w:marBottom w:val="0"/>
      <w:divBdr>
        <w:top w:val="none" w:sz="0" w:space="0" w:color="auto"/>
        <w:left w:val="none" w:sz="0" w:space="0" w:color="auto"/>
        <w:bottom w:val="none" w:sz="0" w:space="0" w:color="auto"/>
        <w:right w:val="none" w:sz="0" w:space="0" w:color="auto"/>
      </w:divBdr>
    </w:div>
    <w:div w:id="1562446078">
      <w:bodyDiv w:val="1"/>
      <w:marLeft w:val="0"/>
      <w:marRight w:val="0"/>
      <w:marTop w:val="0"/>
      <w:marBottom w:val="0"/>
      <w:divBdr>
        <w:top w:val="none" w:sz="0" w:space="0" w:color="auto"/>
        <w:left w:val="none" w:sz="0" w:space="0" w:color="auto"/>
        <w:bottom w:val="none" w:sz="0" w:space="0" w:color="auto"/>
        <w:right w:val="none" w:sz="0" w:space="0" w:color="auto"/>
      </w:divBdr>
    </w:div>
    <w:div w:id="1565221451">
      <w:bodyDiv w:val="1"/>
      <w:marLeft w:val="0"/>
      <w:marRight w:val="0"/>
      <w:marTop w:val="0"/>
      <w:marBottom w:val="0"/>
      <w:divBdr>
        <w:top w:val="none" w:sz="0" w:space="0" w:color="auto"/>
        <w:left w:val="none" w:sz="0" w:space="0" w:color="auto"/>
        <w:bottom w:val="none" w:sz="0" w:space="0" w:color="auto"/>
        <w:right w:val="none" w:sz="0" w:space="0" w:color="auto"/>
      </w:divBdr>
    </w:div>
    <w:div w:id="1572539414">
      <w:bodyDiv w:val="1"/>
      <w:marLeft w:val="0"/>
      <w:marRight w:val="0"/>
      <w:marTop w:val="0"/>
      <w:marBottom w:val="0"/>
      <w:divBdr>
        <w:top w:val="none" w:sz="0" w:space="0" w:color="auto"/>
        <w:left w:val="none" w:sz="0" w:space="0" w:color="auto"/>
        <w:bottom w:val="none" w:sz="0" w:space="0" w:color="auto"/>
        <w:right w:val="none" w:sz="0" w:space="0" w:color="auto"/>
      </w:divBdr>
    </w:div>
    <w:div w:id="1576013948">
      <w:bodyDiv w:val="1"/>
      <w:marLeft w:val="0"/>
      <w:marRight w:val="0"/>
      <w:marTop w:val="0"/>
      <w:marBottom w:val="0"/>
      <w:divBdr>
        <w:top w:val="none" w:sz="0" w:space="0" w:color="auto"/>
        <w:left w:val="none" w:sz="0" w:space="0" w:color="auto"/>
        <w:bottom w:val="none" w:sz="0" w:space="0" w:color="auto"/>
        <w:right w:val="none" w:sz="0" w:space="0" w:color="auto"/>
      </w:divBdr>
    </w:div>
    <w:div w:id="1576472132">
      <w:bodyDiv w:val="1"/>
      <w:marLeft w:val="0"/>
      <w:marRight w:val="0"/>
      <w:marTop w:val="0"/>
      <w:marBottom w:val="0"/>
      <w:divBdr>
        <w:top w:val="none" w:sz="0" w:space="0" w:color="auto"/>
        <w:left w:val="none" w:sz="0" w:space="0" w:color="auto"/>
        <w:bottom w:val="none" w:sz="0" w:space="0" w:color="auto"/>
        <w:right w:val="none" w:sz="0" w:space="0" w:color="auto"/>
      </w:divBdr>
    </w:div>
    <w:div w:id="1594434404">
      <w:bodyDiv w:val="1"/>
      <w:marLeft w:val="0"/>
      <w:marRight w:val="0"/>
      <w:marTop w:val="0"/>
      <w:marBottom w:val="0"/>
      <w:divBdr>
        <w:top w:val="none" w:sz="0" w:space="0" w:color="auto"/>
        <w:left w:val="none" w:sz="0" w:space="0" w:color="auto"/>
        <w:bottom w:val="none" w:sz="0" w:space="0" w:color="auto"/>
        <w:right w:val="none" w:sz="0" w:space="0" w:color="auto"/>
      </w:divBdr>
    </w:div>
    <w:div w:id="1594512168">
      <w:bodyDiv w:val="1"/>
      <w:marLeft w:val="0"/>
      <w:marRight w:val="0"/>
      <w:marTop w:val="0"/>
      <w:marBottom w:val="0"/>
      <w:divBdr>
        <w:top w:val="none" w:sz="0" w:space="0" w:color="auto"/>
        <w:left w:val="none" w:sz="0" w:space="0" w:color="auto"/>
        <w:bottom w:val="none" w:sz="0" w:space="0" w:color="auto"/>
        <w:right w:val="none" w:sz="0" w:space="0" w:color="auto"/>
      </w:divBdr>
    </w:div>
    <w:div w:id="1597442131">
      <w:bodyDiv w:val="1"/>
      <w:marLeft w:val="0"/>
      <w:marRight w:val="0"/>
      <w:marTop w:val="0"/>
      <w:marBottom w:val="0"/>
      <w:divBdr>
        <w:top w:val="none" w:sz="0" w:space="0" w:color="auto"/>
        <w:left w:val="none" w:sz="0" w:space="0" w:color="auto"/>
        <w:bottom w:val="none" w:sz="0" w:space="0" w:color="auto"/>
        <w:right w:val="none" w:sz="0" w:space="0" w:color="auto"/>
      </w:divBdr>
    </w:div>
    <w:div w:id="1598638347">
      <w:bodyDiv w:val="1"/>
      <w:marLeft w:val="0"/>
      <w:marRight w:val="0"/>
      <w:marTop w:val="0"/>
      <w:marBottom w:val="0"/>
      <w:divBdr>
        <w:top w:val="none" w:sz="0" w:space="0" w:color="auto"/>
        <w:left w:val="none" w:sz="0" w:space="0" w:color="auto"/>
        <w:bottom w:val="none" w:sz="0" w:space="0" w:color="auto"/>
        <w:right w:val="none" w:sz="0" w:space="0" w:color="auto"/>
      </w:divBdr>
    </w:div>
    <w:div w:id="1599486122">
      <w:bodyDiv w:val="1"/>
      <w:marLeft w:val="0"/>
      <w:marRight w:val="0"/>
      <w:marTop w:val="0"/>
      <w:marBottom w:val="0"/>
      <w:divBdr>
        <w:top w:val="none" w:sz="0" w:space="0" w:color="auto"/>
        <w:left w:val="none" w:sz="0" w:space="0" w:color="auto"/>
        <w:bottom w:val="none" w:sz="0" w:space="0" w:color="auto"/>
        <w:right w:val="none" w:sz="0" w:space="0" w:color="auto"/>
      </w:divBdr>
    </w:div>
    <w:div w:id="1602488007">
      <w:bodyDiv w:val="1"/>
      <w:marLeft w:val="0"/>
      <w:marRight w:val="0"/>
      <w:marTop w:val="0"/>
      <w:marBottom w:val="0"/>
      <w:divBdr>
        <w:top w:val="none" w:sz="0" w:space="0" w:color="auto"/>
        <w:left w:val="none" w:sz="0" w:space="0" w:color="auto"/>
        <w:bottom w:val="none" w:sz="0" w:space="0" w:color="auto"/>
        <w:right w:val="none" w:sz="0" w:space="0" w:color="auto"/>
      </w:divBdr>
    </w:div>
    <w:div w:id="1602832314">
      <w:bodyDiv w:val="1"/>
      <w:marLeft w:val="0"/>
      <w:marRight w:val="0"/>
      <w:marTop w:val="0"/>
      <w:marBottom w:val="0"/>
      <w:divBdr>
        <w:top w:val="none" w:sz="0" w:space="0" w:color="auto"/>
        <w:left w:val="none" w:sz="0" w:space="0" w:color="auto"/>
        <w:bottom w:val="none" w:sz="0" w:space="0" w:color="auto"/>
        <w:right w:val="none" w:sz="0" w:space="0" w:color="auto"/>
      </w:divBdr>
    </w:div>
    <w:div w:id="1604143917">
      <w:bodyDiv w:val="1"/>
      <w:marLeft w:val="0"/>
      <w:marRight w:val="0"/>
      <w:marTop w:val="0"/>
      <w:marBottom w:val="0"/>
      <w:divBdr>
        <w:top w:val="none" w:sz="0" w:space="0" w:color="auto"/>
        <w:left w:val="none" w:sz="0" w:space="0" w:color="auto"/>
        <w:bottom w:val="none" w:sz="0" w:space="0" w:color="auto"/>
        <w:right w:val="none" w:sz="0" w:space="0" w:color="auto"/>
      </w:divBdr>
    </w:div>
    <w:div w:id="1604680523">
      <w:bodyDiv w:val="1"/>
      <w:marLeft w:val="0"/>
      <w:marRight w:val="0"/>
      <w:marTop w:val="0"/>
      <w:marBottom w:val="0"/>
      <w:divBdr>
        <w:top w:val="none" w:sz="0" w:space="0" w:color="auto"/>
        <w:left w:val="none" w:sz="0" w:space="0" w:color="auto"/>
        <w:bottom w:val="none" w:sz="0" w:space="0" w:color="auto"/>
        <w:right w:val="none" w:sz="0" w:space="0" w:color="auto"/>
      </w:divBdr>
    </w:div>
    <w:div w:id="1611399922">
      <w:bodyDiv w:val="1"/>
      <w:marLeft w:val="0"/>
      <w:marRight w:val="0"/>
      <w:marTop w:val="0"/>
      <w:marBottom w:val="0"/>
      <w:divBdr>
        <w:top w:val="none" w:sz="0" w:space="0" w:color="auto"/>
        <w:left w:val="none" w:sz="0" w:space="0" w:color="auto"/>
        <w:bottom w:val="none" w:sz="0" w:space="0" w:color="auto"/>
        <w:right w:val="none" w:sz="0" w:space="0" w:color="auto"/>
      </w:divBdr>
    </w:div>
    <w:div w:id="1618752931">
      <w:bodyDiv w:val="1"/>
      <w:marLeft w:val="0"/>
      <w:marRight w:val="0"/>
      <w:marTop w:val="0"/>
      <w:marBottom w:val="0"/>
      <w:divBdr>
        <w:top w:val="none" w:sz="0" w:space="0" w:color="auto"/>
        <w:left w:val="none" w:sz="0" w:space="0" w:color="auto"/>
        <w:bottom w:val="none" w:sz="0" w:space="0" w:color="auto"/>
        <w:right w:val="none" w:sz="0" w:space="0" w:color="auto"/>
      </w:divBdr>
    </w:div>
    <w:div w:id="162280968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0724017">
      <w:bodyDiv w:val="1"/>
      <w:marLeft w:val="0"/>
      <w:marRight w:val="0"/>
      <w:marTop w:val="0"/>
      <w:marBottom w:val="0"/>
      <w:divBdr>
        <w:top w:val="none" w:sz="0" w:space="0" w:color="auto"/>
        <w:left w:val="none" w:sz="0" w:space="0" w:color="auto"/>
        <w:bottom w:val="none" w:sz="0" w:space="0" w:color="auto"/>
        <w:right w:val="none" w:sz="0" w:space="0" w:color="auto"/>
      </w:divBdr>
    </w:div>
    <w:div w:id="1647390186">
      <w:bodyDiv w:val="1"/>
      <w:marLeft w:val="0"/>
      <w:marRight w:val="0"/>
      <w:marTop w:val="0"/>
      <w:marBottom w:val="0"/>
      <w:divBdr>
        <w:top w:val="none" w:sz="0" w:space="0" w:color="auto"/>
        <w:left w:val="none" w:sz="0" w:space="0" w:color="auto"/>
        <w:bottom w:val="none" w:sz="0" w:space="0" w:color="auto"/>
        <w:right w:val="none" w:sz="0" w:space="0" w:color="auto"/>
      </w:divBdr>
    </w:div>
    <w:div w:id="1650553160">
      <w:bodyDiv w:val="1"/>
      <w:marLeft w:val="0"/>
      <w:marRight w:val="0"/>
      <w:marTop w:val="0"/>
      <w:marBottom w:val="0"/>
      <w:divBdr>
        <w:top w:val="none" w:sz="0" w:space="0" w:color="auto"/>
        <w:left w:val="none" w:sz="0" w:space="0" w:color="auto"/>
        <w:bottom w:val="none" w:sz="0" w:space="0" w:color="auto"/>
        <w:right w:val="none" w:sz="0" w:space="0" w:color="auto"/>
      </w:divBdr>
    </w:div>
    <w:div w:id="1652293914">
      <w:bodyDiv w:val="1"/>
      <w:marLeft w:val="0"/>
      <w:marRight w:val="0"/>
      <w:marTop w:val="0"/>
      <w:marBottom w:val="0"/>
      <w:divBdr>
        <w:top w:val="none" w:sz="0" w:space="0" w:color="auto"/>
        <w:left w:val="none" w:sz="0" w:space="0" w:color="auto"/>
        <w:bottom w:val="none" w:sz="0" w:space="0" w:color="auto"/>
        <w:right w:val="none" w:sz="0" w:space="0" w:color="auto"/>
      </w:divBdr>
    </w:div>
    <w:div w:id="1656109518">
      <w:bodyDiv w:val="1"/>
      <w:marLeft w:val="0"/>
      <w:marRight w:val="0"/>
      <w:marTop w:val="0"/>
      <w:marBottom w:val="0"/>
      <w:divBdr>
        <w:top w:val="none" w:sz="0" w:space="0" w:color="auto"/>
        <w:left w:val="none" w:sz="0" w:space="0" w:color="auto"/>
        <w:bottom w:val="none" w:sz="0" w:space="0" w:color="auto"/>
        <w:right w:val="none" w:sz="0" w:space="0" w:color="auto"/>
      </w:divBdr>
    </w:div>
    <w:div w:id="1660422892">
      <w:bodyDiv w:val="1"/>
      <w:marLeft w:val="0"/>
      <w:marRight w:val="0"/>
      <w:marTop w:val="0"/>
      <w:marBottom w:val="0"/>
      <w:divBdr>
        <w:top w:val="none" w:sz="0" w:space="0" w:color="auto"/>
        <w:left w:val="none" w:sz="0" w:space="0" w:color="auto"/>
        <w:bottom w:val="none" w:sz="0" w:space="0" w:color="auto"/>
        <w:right w:val="none" w:sz="0" w:space="0" w:color="auto"/>
      </w:divBdr>
    </w:div>
    <w:div w:id="1665813844">
      <w:bodyDiv w:val="1"/>
      <w:marLeft w:val="0"/>
      <w:marRight w:val="0"/>
      <w:marTop w:val="0"/>
      <w:marBottom w:val="0"/>
      <w:divBdr>
        <w:top w:val="none" w:sz="0" w:space="0" w:color="auto"/>
        <w:left w:val="none" w:sz="0" w:space="0" w:color="auto"/>
        <w:bottom w:val="none" w:sz="0" w:space="0" w:color="auto"/>
        <w:right w:val="none" w:sz="0" w:space="0" w:color="auto"/>
      </w:divBdr>
    </w:div>
    <w:div w:id="1667634964">
      <w:bodyDiv w:val="1"/>
      <w:marLeft w:val="0"/>
      <w:marRight w:val="0"/>
      <w:marTop w:val="0"/>
      <w:marBottom w:val="0"/>
      <w:divBdr>
        <w:top w:val="none" w:sz="0" w:space="0" w:color="auto"/>
        <w:left w:val="none" w:sz="0" w:space="0" w:color="auto"/>
        <w:bottom w:val="none" w:sz="0" w:space="0" w:color="auto"/>
        <w:right w:val="none" w:sz="0" w:space="0" w:color="auto"/>
      </w:divBdr>
    </w:div>
    <w:div w:id="1668361678">
      <w:bodyDiv w:val="1"/>
      <w:marLeft w:val="0"/>
      <w:marRight w:val="0"/>
      <w:marTop w:val="0"/>
      <w:marBottom w:val="0"/>
      <w:divBdr>
        <w:top w:val="none" w:sz="0" w:space="0" w:color="auto"/>
        <w:left w:val="none" w:sz="0" w:space="0" w:color="auto"/>
        <w:bottom w:val="none" w:sz="0" w:space="0" w:color="auto"/>
        <w:right w:val="none" w:sz="0" w:space="0" w:color="auto"/>
      </w:divBdr>
    </w:div>
    <w:div w:id="1669408368">
      <w:bodyDiv w:val="1"/>
      <w:marLeft w:val="0"/>
      <w:marRight w:val="0"/>
      <w:marTop w:val="0"/>
      <w:marBottom w:val="0"/>
      <w:divBdr>
        <w:top w:val="none" w:sz="0" w:space="0" w:color="auto"/>
        <w:left w:val="none" w:sz="0" w:space="0" w:color="auto"/>
        <w:bottom w:val="none" w:sz="0" w:space="0" w:color="auto"/>
        <w:right w:val="none" w:sz="0" w:space="0" w:color="auto"/>
      </w:divBdr>
    </w:div>
    <w:div w:id="1672441607">
      <w:bodyDiv w:val="1"/>
      <w:marLeft w:val="0"/>
      <w:marRight w:val="0"/>
      <w:marTop w:val="0"/>
      <w:marBottom w:val="0"/>
      <w:divBdr>
        <w:top w:val="none" w:sz="0" w:space="0" w:color="auto"/>
        <w:left w:val="none" w:sz="0" w:space="0" w:color="auto"/>
        <w:bottom w:val="none" w:sz="0" w:space="0" w:color="auto"/>
        <w:right w:val="none" w:sz="0" w:space="0" w:color="auto"/>
      </w:divBdr>
    </w:div>
    <w:div w:id="1680306089">
      <w:bodyDiv w:val="1"/>
      <w:marLeft w:val="0"/>
      <w:marRight w:val="0"/>
      <w:marTop w:val="0"/>
      <w:marBottom w:val="0"/>
      <w:divBdr>
        <w:top w:val="none" w:sz="0" w:space="0" w:color="auto"/>
        <w:left w:val="none" w:sz="0" w:space="0" w:color="auto"/>
        <w:bottom w:val="none" w:sz="0" w:space="0" w:color="auto"/>
        <w:right w:val="none" w:sz="0" w:space="0" w:color="auto"/>
      </w:divBdr>
    </w:div>
    <w:div w:id="1686781543">
      <w:bodyDiv w:val="1"/>
      <w:marLeft w:val="0"/>
      <w:marRight w:val="0"/>
      <w:marTop w:val="0"/>
      <w:marBottom w:val="0"/>
      <w:divBdr>
        <w:top w:val="none" w:sz="0" w:space="0" w:color="auto"/>
        <w:left w:val="none" w:sz="0" w:space="0" w:color="auto"/>
        <w:bottom w:val="none" w:sz="0" w:space="0" w:color="auto"/>
        <w:right w:val="none" w:sz="0" w:space="0" w:color="auto"/>
      </w:divBdr>
    </w:div>
    <w:div w:id="1688487391">
      <w:bodyDiv w:val="1"/>
      <w:marLeft w:val="0"/>
      <w:marRight w:val="0"/>
      <w:marTop w:val="0"/>
      <w:marBottom w:val="0"/>
      <w:divBdr>
        <w:top w:val="none" w:sz="0" w:space="0" w:color="auto"/>
        <w:left w:val="none" w:sz="0" w:space="0" w:color="auto"/>
        <w:bottom w:val="none" w:sz="0" w:space="0" w:color="auto"/>
        <w:right w:val="none" w:sz="0" w:space="0" w:color="auto"/>
      </w:divBdr>
    </w:div>
    <w:div w:id="1690251019">
      <w:bodyDiv w:val="1"/>
      <w:marLeft w:val="0"/>
      <w:marRight w:val="0"/>
      <w:marTop w:val="0"/>
      <w:marBottom w:val="0"/>
      <w:divBdr>
        <w:top w:val="none" w:sz="0" w:space="0" w:color="auto"/>
        <w:left w:val="none" w:sz="0" w:space="0" w:color="auto"/>
        <w:bottom w:val="none" w:sz="0" w:space="0" w:color="auto"/>
        <w:right w:val="none" w:sz="0" w:space="0" w:color="auto"/>
      </w:divBdr>
    </w:div>
    <w:div w:id="1691682561">
      <w:bodyDiv w:val="1"/>
      <w:marLeft w:val="0"/>
      <w:marRight w:val="0"/>
      <w:marTop w:val="0"/>
      <w:marBottom w:val="0"/>
      <w:divBdr>
        <w:top w:val="none" w:sz="0" w:space="0" w:color="auto"/>
        <w:left w:val="none" w:sz="0" w:space="0" w:color="auto"/>
        <w:bottom w:val="none" w:sz="0" w:space="0" w:color="auto"/>
        <w:right w:val="none" w:sz="0" w:space="0" w:color="auto"/>
      </w:divBdr>
    </w:div>
    <w:div w:id="1698002551">
      <w:bodyDiv w:val="1"/>
      <w:marLeft w:val="0"/>
      <w:marRight w:val="0"/>
      <w:marTop w:val="0"/>
      <w:marBottom w:val="0"/>
      <w:divBdr>
        <w:top w:val="none" w:sz="0" w:space="0" w:color="auto"/>
        <w:left w:val="none" w:sz="0" w:space="0" w:color="auto"/>
        <w:bottom w:val="none" w:sz="0" w:space="0" w:color="auto"/>
        <w:right w:val="none" w:sz="0" w:space="0" w:color="auto"/>
      </w:divBdr>
    </w:div>
    <w:div w:id="1704860674">
      <w:bodyDiv w:val="1"/>
      <w:marLeft w:val="0"/>
      <w:marRight w:val="0"/>
      <w:marTop w:val="0"/>
      <w:marBottom w:val="0"/>
      <w:divBdr>
        <w:top w:val="none" w:sz="0" w:space="0" w:color="auto"/>
        <w:left w:val="none" w:sz="0" w:space="0" w:color="auto"/>
        <w:bottom w:val="none" w:sz="0" w:space="0" w:color="auto"/>
        <w:right w:val="none" w:sz="0" w:space="0" w:color="auto"/>
      </w:divBdr>
    </w:div>
    <w:div w:id="1731882832">
      <w:bodyDiv w:val="1"/>
      <w:marLeft w:val="0"/>
      <w:marRight w:val="0"/>
      <w:marTop w:val="0"/>
      <w:marBottom w:val="0"/>
      <w:divBdr>
        <w:top w:val="none" w:sz="0" w:space="0" w:color="auto"/>
        <w:left w:val="none" w:sz="0" w:space="0" w:color="auto"/>
        <w:bottom w:val="none" w:sz="0" w:space="0" w:color="auto"/>
        <w:right w:val="none" w:sz="0" w:space="0" w:color="auto"/>
      </w:divBdr>
    </w:div>
    <w:div w:id="1746218752">
      <w:bodyDiv w:val="1"/>
      <w:marLeft w:val="0"/>
      <w:marRight w:val="0"/>
      <w:marTop w:val="0"/>
      <w:marBottom w:val="0"/>
      <w:divBdr>
        <w:top w:val="none" w:sz="0" w:space="0" w:color="auto"/>
        <w:left w:val="none" w:sz="0" w:space="0" w:color="auto"/>
        <w:bottom w:val="none" w:sz="0" w:space="0" w:color="auto"/>
        <w:right w:val="none" w:sz="0" w:space="0" w:color="auto"/>
      </w:divBdr>
    </w:div>
    <w:div w:id="1746563332">
      <w:bodyDiv w:val="1"/>
      <w:marLeft w:val="0"/>
      <w:marRight w:val="0"/>
      <w:marTop w:val="0"/>
      <w:marBottom w:val="0"/>
      <w:divBdr>
        <w:top w:val="none" w:sz="0" w:space="0" w:color="auto"/>
        <w:left w:val="none" w:sz="0" w:space="0" w:color="auto"/>
        <w:bottom w:val="none" w:sz="0" w:space="0" w:color="auto"/>
        <w:right w:val="none" w:sz="0" w:space="0" w:color="auto"/>
      </w:divBdr>
    </w:div>
    <w:div w:id="1747802408">
      <w:bodyDiv w:val="1"/>
      <w:marLeft w:val="0"/>
      <w:marRight w:val="0"/>
      <w:marTop w:val="0"/>
      <w:marBottom w:val="0"/>
      <w:divBdr>
        <w:top w:val="none" w:sz="0" w:space="0" w:color="auto"/>
        <w:left w:val="none" w:sz="0" w:space="0" w:color="auto"/>
        <w:bottom w:val="none" w:sz="0" w:space="0" w:color="auto"/>
        <w:right w:val="none" w:sz="0" w:space="0" w:color="auto"/>
      </w:divBdr>
    </w:div>
    <w:div w:id="1750610591">
      <w:bodyDiv w:val="1"/>
      <w:marLeft w:val="0"/>
      <w:marRight w:val="0"/>
      <w:marTop w:val="0"/>
      <w:marBottom w:val="0"/>
      <w:divBdr>
        <w:top w:val="none" w:sz="0" w:space="0" w:color="auto"/>
        <w:left w:val="none" w:sz="0" w:space="0" w:color="auto"/>
        <w:bottom w:val="none" w:sz="0" w:space="0" w:color="auto"/>
        <w:right w:val="none" w:sz="0" w:space="0" w:color="auto"/>
      </w:divBdr>
    </w:div>
    <w:div w:id="1755395089">
      <w:bodyDiv w:val="1"/>
      <w:marLeft w:val="0"/>
      <w:marRight w:val="0"/>
      <w:marTop w:val="0"/>
      <w:marBottom w:val="0"/>
      <w:divBdr>
        <w:top w:val="none" w:sz="0" w:space="0" w:color="auto"/>
        <w:left w:val="none" w:sz="0" w:space="0" w:color="auto"/>
        <w:bottom w:val="none" w:sz="0" w:space="0" w:color="auto"/>
        <w:right w:val="none" w:sz="0" w:space="0" w:color="auto"/>
      </w:divBdr>
    </w:div>
    <w:div w:id="1760327509">
      <w:bodyDiv w:val="1"/>
      <w:marLeft w:val="0"/>
      <w:marRight w:val="0"/>
      <w:marTop w:val="0"/>
      <w:marBottom w:val="0"/>
      <w:divBdr>
        <w:top w:val="none" w:sz="0" w:space="0" w:color="auto"/>
        <w:left w:val="none" w:sz="0" w:space="0" w:color="auto"/>
        <w:bottom w:val="none" w:sz="0" w:space="0" w:color="auto"/>
        <w:right w:val="none" w:sz="0" w:space="0" w:color="auto"/>
      </w:divBdr>
    </w:div>
    <w:div w:id="1763186314">
      <w:bodyDiv w:val="1"/>
      <w:marLeft w:val="0"/>
      <w:marRight w:val="0"/>
      <w:marTop w:val="0"/>
      <w:marBottom w:val="0"/>
      <w:divBdr>
        <w:top w:val="none" w:sz="0" w:space="0" w:color="auto"/>
        <w:left w:val="none" w:sz="0" w:space="0" w:color="auto"/>
        <w:bottom w:val="none" w:sz="0" w:space="0" w:color="auto"/>
        <w:right w:val="none" w:sz="0" w:space="0" w:color="auto"/>
      </w:divBdr>
    </w:div>
    <w:div w:id="1775176377">
      <w:bodyDiv w:val="1"/>
      <w:marLeft w:val="0"/>
      <w:marRight w:val="0"/>
      <w:marTop w:val="0"/>
      <w:marBottom w:val="0"/>
      <w:divBdr>
        <w:top w:val="none" w:sz="0" w:space="0" w:color="auto"/>
        <w:left w:val="none" w:sz="0" w:space="0" w:color="auto"/>
        <w:bottom w:val="none" w:sz="0" w:space="0" w:color="auto"/>
        <w:right w:val="none" w:sz="0" w:space="0" w:color="auto"/>
      </w:divBdr>
    </w:div>
    <w:div w:id="1779180539">
      <w:bodyDiv w:val="1"/>
      <w:marLeft w:val="0"/>
      <w:marRight w:val="0"/>
      <w:marTop w:val="0"/>
      <w:marBottom w:val="0"/>
      <w:divBdr>
        <w:top w:val="none" w:sz="0" w:space="0" w:color="auto"/>
        <w:left w:val="none" w:sz="0" w:space="0" w:color="auto"/>
        <w:bottom w:val="none" w:sz="0" w:space="0" w:color="auto"/>
        <w:right w:val="none" w:sz="0" w:space="0" w:color="auto"/>
      </w:divBdr>
    </w:div>
    <w:div w:id="1789817077">
      <w:bodyDiv w:val="1"/>
      <w:marLeft w:val="0"/>
      <w:marRight w:val="0"/>
      <w:marTop w:val="0"/>
      <w:marBottom w:val="0"/>
      <w:divBdr>
        <w:top w:val="none" w:sz="0" w:space="0" w:color="auto"/>
        <w:left w:val="none" w:sz="0" w:space="0" w:color="auto"/>
        <w:bottom w:val="none" w:sz="0" w:space="0" w:color="auto"/>
        <w:right w:val="none" w:sz="0" w:space="0" w:color="auto"/>
      </w:divBdr>
    </w:div>
    <w:div w:id="1791508382">
      <w:bodyDiv w:val="1"/>
      <w:marLeft w:val="0"/>
      <w:marRight w:val="0"/>
      <w:marTop w:val="0"/>
      <w:marBottom w:val="0"/>
      <w:divBdr>
        <w:top w:val="none" w:sz="0" w:space="0" w:color="auto"/>
        <w:left w:val="none" w:sz="0" w:space="0" w:color="auto"/>
        <w:bottom w:val="none" w:sz="0" w:space="0" w:color="auto"/>
        <w:right w:val="none" w:sz="0" w:space="0" w:color="auto"/>
      </w:divBdr>
    </w:div>
    <w:div w:id="1800681730">
      <w:bodyDiv w:val="1"/>
      <w:marLeft w:val="0"/>
      <w:marRight w:val="0"/>
      <w:marTop w:val="0"/>
      <w:marBottom w:val="0"/>
      <w:divBdr>
        <w:top w:val="none" w:sz="0" w:space="0" w:color="auto"/>
        <w:left w:val="none" w:sz="0" w:space="0" w:color="auto"/>
        <w:bottom w:val="none" w:sz="0" w:space="0" w:color="auto"/>
        <w:right w:val="none" w:sz="0" w:space="0" w:color="auto"/>
      </w:divBdr>
    </w:div>
    <w:div w:id="180134210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809948">
      <w:bodyDiv w:val="1"/>
      <w:marLeft w:val="0"/>
      <w:marRight w:val="0"/>
      <w:marTop w:val="0"/>
      <w:marBottom w:val="0"/>
      <w:divBdr>
        <w:top w:val="none" w:sz="0" w:space="0" w:color="auto"/>
        <w:left w:val="none" w:sz="0" w:space="0" w:color="auto"/>
        <w:bottom w:val="none" w:sz="0" w:space="0" w:color="auto"/>
        <w:right w:val="none" w:sz="0" w:space="0" w:color="auto"/>
      </w:divBdr>
    </w:div>
    <w:div w:id="1806073804">
      <w:bodyDiv w:val="1"/>
      <w:marLeft w:val="0"/>
      <w:marRight w:val="0"/>
      <w:marTop w:val="0"/>
      <w:marBottom w:val="0"/>
      <w:divBdr>
        <w:top w:val="none" w:sz="0" w:space="0" w:color="auto"/>
        <w:left w:val="none" w:sz="0" w:space="0" w:color="auto"/>
        <w:bottom w:val="none" w:sz="0" w:space="0" w:color="auto"/>
        <w:right w:val="none" w:sz="0" w:space="0" w:color="auto"/>
      </w:divBdr>
    </w:div>
    <w:div w:id="1811366385">
      <w:bodyDiv w:val="1"/>
      <w:marLeft w:val="0"/>
      <w:marRight w:val="0"/>
      <w:marTop w:val="0"/>
      <w:marBottom w:val="0"/>
      <w:divBdr>
        <w:top w:val="none" w:sz="0" w:space="0" w:color="auto"/>
        <w:left w:val="none" w:sz="0" w:space="0" w:color="auto"/>
        <w:bottom w:val="none" w:sz="0" w:space="0" w:color="auto"/>
        <w:right w:val="none" w:sz="0" w:space="0" w:color="auto"/>
      </w:divBdr>
    </w:div>
    <w:div w:id="1812558555">
      <w:bodyDiv w:val="1"/>
      <w:marLeft w:val="0"/>
      <w:marRight w:val="0"/>
      <w:marTop w:val="0"/>
      <w:marBottom w:val="0"/>
      <w:divBdr>
        <w:top w:val="none" w:sz="0" w:space="0" w:color="auto"/>
        <w:left w:val="none" w:sz="0" w:space="0" w:color="auto"/>
        <w:bottom w:val="none" w:sz="0" w:space="0" w:color="auto"/>
        <w:right w:val="none" w:sz="0" w:space="0" w:color="auto"/>
      </w:divBdr>
    </w:div>
    <w:div w:id="1813598858">
      <w:bodyDiv w:val="1"/>
      <w:marLeft w:val="0"/>
      <w:marRight w:val="0"/>
      <w:marTop w:val="0"/>
      <w:marBottom w:val="0"/>
      <w:divBdr>
        <w:top w:val="none" w:sz="0" w:space="0" w:color="auto"/>
        <w:left w:val="none" w:sz="0" w:space="0" w:color="auto"/>
        <w:bottom w:val="none" w:sz="0" w:space="0" w:color="auto"/>
        <w:right w:val="none" w:sz="0" w:space="0" w:color="auto"/>
      </w:divBdr>
    </w:div>
    <w:div w:id="1814325071">
      <w:bodyDiv w:val="1"/>
      <w:marLeft w:val="0"/>
      <w:marRight w:val="0"/>
      <w:marTop w:val="0"/>
      <w:marBottom w:val="0"/>
      <w:divBdr>
        <w:top w:val="none" w:sz="0" w:space="0" w:color="auto"/>
        <w:left w:val="none" w:sz="0" w:space="0" w:color="auto"/>
        <w:bottom w:val="none" w:sz="0" w:space="0" w:color="auto"/>
        <w:right w:val="none" w:sz="0" w:space="0" w:color="auto"/>
      </w:divBdr>
    </w:div>
    <w:div w:id="181868995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4396533">
      <w:bodyDiv w:val="1"/>
      <w:marLeft w:val="0"/>
      <w:marRight w:val="0"/>
      <w:marTop w:val="0"/>
      <w:marBottom w:val="0"/>
      <w:divBdr>
        <w:top w:val="none" w:sz="0" w:space="0" w:color="auto"/>
        <w:left w:val="none" w:sz="0" w:space="0" w:color="auto"/>
        <w:bottom w:val="none" w:sz="0" w:space="0" w:color="auto"/>
        <w:right w:val="none" w:sz="0" w:space="0" w:color="auto"/>
      </w:divBdr>
    </w:div>
    <w:div w:id="1826361139">
      <w:bodyDiv w:val="1"/>
      <w:marLeft w:val="0"/>
      <w:marRight w:val="0"/>
      <w:marTop w:val="0"/>
      <w:marBottom w:val="0"/>
      <w:divBdr>
        <w:top w:val="none" w:sz="0" w:space="0" w:color="auto"/>
        <w:left w:val="none" w:sz="0" w:space="0" w:color="auto"/>
        <w:bottom w:val="none" w:sz="0" w:space="0" w:color="auto"/>
        <w:right w:val="none" w:sz="0" w:space="0" w:color="auto"/>
      </w:divBdr>
    </w:div>
    <w:div w:id="1831406395">
      <w:bodyDiv w:val="1"/>
      <w:marLeft w:val="0"/>
      <w:marRight w:val="0"/>
      <w:marTop w:val="0"/>
      <w:marBottom w:val="0"/>
      <w:divBdr>
        <w:top w:val="none" w:sz="0" w:space="0" w:color="auto"/>
        <w:left w:val="none" w:sz="0" w:space="0" w:color="auto"/>
        <w:bottom w:val="none" w:sz="0" w:space="0" w:color="auto"/>
        <w:right w:val="none" w:sz="0" w:space="0" w:color="auto"/>
      </w:divBdr>
    </w:div>
    <w:div w:id="1834643250">
      <w:bodyDiv w:val="1"/>
      <w:marLeft w:val="0"/>
      <w:marRight w:val="0"/>
      <w:marTop w:val="0"/>
      <w:marBottom w:val="0"/>
      <w:divBdr>
        <w:top w:val="none" w:sz="0" w:space="0" w:color="auto"/>
        <w:left w:val="none" w:sz="0" w:space="0" w:color="auto"/>
        <w:bottom w:val="none" w:sz="0" w:space="0" w:color="auto"/>
        <w:right w:val="none" w:sz="0" w:space="0" w:color="auto"/>
      </w:divBdr>
    </w:div>
    <w:div w:id="1835875970">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839883129">
      <w:bodyDiv w:val="1"/>
      <w:marLeft w:val="0"/>
      <w:marRight w:val="0"/>
      <w:marTop w:val="0"/>
      <w:marBottom w:val="0"/>
      <w:divBdr>
        <w:top w:val="none" w:sz="0" w:space="0" w:color="auto"/>
        <w:left w:val="none" w:sz="0" w:space="0" w:color="auto"/>
        <w:bottom w:val="none" w:sz="0" w:space="0" w:color="auto"/>
        <w:right w:val="none" w:sz="0" w:space="0" w:color="auto"/>
      </w:divBdr>
    </w:div>
    <w:div w:id="1850024975">
      <w:bodyDiv w:val="1"/>
      <w:marLeft w:val="0"/>
      <w:marRight w:val="0"/>
      <w:marTop w:val="0"/>
      <w:marBottom w:val="0"/>
      <w:divBdr>
        <w:top w:val="none" w:sz="0" w:space="0" w:color="auto"/>
        <w:left w:val="none" w:sz="0" w:space="0" w:color="auto"/>
        <w:bottom w:val="none" w:sz="0" w:space="0" w:color="auto"/>
        <w:right w:val="none" w:sz="0" w:space="0" w:color="auto"/>
      </w:divBdr>
    </w:div>
    <w:div w:id="1859462769">
      <w:bodyDiv w:val="1"/>
      <w:marLeft w:val="0"/>
      <w:marRight w:val="0"/>
      <w:marTop w:val="0"/>
      <w:marBottom w:val="0"/>
      <w:divBdr>
        <w:top w:val="none" w:sz="0" w:space="0" w:color="auto"/>
        <w:left w:val="none" w:sz="0" w:space="0" w:color="auto"/>
        <w:bottom w:val="none" w:sz="0" w:space="0" w:color="auto"/>
        <w:right w:val="none" w:sz="0" w:space="0" w:color="auto"/>
      </w:divBdr>
    </w:div>
    <w:div w:id="1861892118">
      <w:bodyDiv w:val="1"/>
      <w:marLeft w:val="0"/>
      <w:marRight w:val="0"/>
      <w:marTop w:val="0"/>
      <w:marBottom w:val="0"/>
      <w:divBdr>
        <w:top w:val="none" w:sz="0" w:space="0" w:color="auto"/>
        <w:left w:val="none" w:sz="0" w:space="0" w:color="auto"/>
        <w:bottom w:val="none" w:sz="0" w:space="0" w:color="auto"/>
        <w:right w:val="none" w:sz="0" w:space="0" w:color="auto"/>
      </w:divBdr>
    </w:div>
    <w:div w:id="1868904146">
      <w:bodyDiv w:val="1"/>
      <w:marLeft w:val="0"/>
      <w:marRight w:val="0"/>
      <w:marTop w:val="0"/>
      <w:marBottom w:val="0"/>
      <w:divBdr>
        <w:top w:val="none" w:sz="0" w:space="0" w:color="auto"/>
        <w:left w:val="none" w:sz="0" w:space="0" w:color="auto"/>
        <w:bottom w:val="none" w:sz="0" w:space="0" w:color="auto"/>
        <w:right w:val="none" w:sz="0" w:space="0" w:color="auto"/>
      </w:divBdr>
    </w:div>
    <w:div w:id="1877891475">
      <w:bodyDiv w:val="1"/>
      <w:marLeft w:val="0"/>
      <w:marRight w:val="0"/>
      <w:marTop w:val="0"/>
      <w:marBottom w:val="0"/>
      <w:divBdr>
        <w:top w:val="none" w:sz="0" w:space="0" w:color="auto"/>
        <w:left w:val="none" w:sz="0" w:space="0" w:color="auto"/>
        <w:bottom w:val="none" w:sz="0" w:space="0" w:color="auto"/>
        <w:right w:val="none" w:sz="0" w:space="0" w:color="auto"/>
      </w:divBdr>
    </w:div>
    <w:div w:id="1882664636">
      <w:bodyDiv w:val="1"/>
      <w:marLeft w:val="0"/>
      <w:marRight w:val="0"/>
      <w:marTop w:val="0"/>
      <w:marBottom w:val="0"/>
      <w:divBdr>
        <w:top w:val="none" w:sz="0" w:space="0" w:color="auto"/>
        <w:left w:val="none" w:sz="0" w:space="0" w:color="auto"/>
        <w:bottom w:val="none" w:sz="0" w:space="0" w:color="auto"/>
        <w:right w:val="none" w:sz="0" w:space="0" w:color="auto"/>
      </w:divBdr>
    </w:div>
    <w:div w:id="1883589259">
      <w:bodyDiv w:val="1"/>
      <w:marLeft w:val="0"/>
      <w:marRight w:val="0"/>
      <w:marTop w:val="0"/>
      <w:marBottom w:val="0"/>
      <w:divBdr>
        <w:top w:val="none" w:sz="0" w:space="0" w:color="auto"/>
        <w:left w:val="none" w:sz="0" w:space="0" w:color="auto"/>
        <w:bottom w:val="none" w:sz="0" w:space="0" w:color="auto"/>
        <w:right w:val="none" w:sz="0" w:space="0" w:color="auto"/>
      </w:divBdr>
    </w:div>
    <w:div w:id="1885212194">
      <w:bodyDiv w:val="1"/>
      <w:marLeft w:val="0"/>
      <w:marRight w:val="0"/>
      <w:marTop w:val="0"/>
      <w:marBottom w:val="0"/>
      <w:divBdr>
        <w:top w:val="none" w:sz="0" w:space="0" w:color="auto"/>
        <w:left w:val="none" w:sz="0" w:space="0" w:color="auto"/>
        <w:bottom w:val="none" w:sz="0" w:space="0" w:color="auto"/>
        <w:right w:val="none" w:sz="0" w:space="0" w:color="auto"/>
      </w:divBdr>
    </w:div>
    <w:div w:id="1885288362">
      <w:bodyDiv w:val="1"/>
      <w:marLeft w:val="0"/>
      <w:marRight w:val="0"/>
      <w:marTop w:val="0"/>
      <w:marBottom w:val="0"/>
      <w:divBdr>
        <w:top w:val="none" w:sz="0" w:space="0" w:color="auto"/>
        <w:left w:val="none" w:sz="0" w:space="0" w:color="auto"/>
        <w:bottom w:val="none" w:sz="0" w:space="0" w:color="auto"/>
        <w:right w:val="none" w:sz="0" w:space="0" w:color="auto"/>
      </w:divBdr>
    </w:div>
    <w:div w:id="1885562580">
      <w:bodyDiv w:val="1"/>
      <w:marLeft w:val="0"/>
      <w:marRight w:val="0"/>
      <w:marTop w:val="0"/>
      <w:marBottom w:val="0"/>
      <w:divBdr>
        <w:top w:val="none" w:sz="0" w:space="0" w:color="auto"/>
        <w:left w:val="none" w:sz="0" w:space="0" w:color="auto"/>
        <w:bottom w:val="none" w:sz="0" w:space="0" w:color="auto"/>
        <w:right w:val="none" w:sz="0" w:space="0" w:color="auto"/>
      </w:divBdr>
    </w:div>
    <w:div w:id="1888641255">
      <w:bodyDiv w:val="1"/>
      <w:marLeft w:val="0"/>
      <w:marRight w:val="0"/>
      <w:marTop w:val="0"/>
      <w:marBottom w:val="0"/>
      <w:divBdr>
        <w:top w:val="none" w:sz="0" w:space="0" w:color="auto"/>
        <w:left w:val="none" w:sz="0" w:space="0" w:color="auto"/>
        <w:bottom w:val="none" w:sz="0" w:space="0" w:color="auto"/>
        <w:right w:val="none" w:sz="0" w:space="0" w:color="auto"/>
      </w:divBdr>
    </w:div>
    <w:div w:id="1892420812">
      <w:bodyDiv w:val="1"/>
      <w:marLeft w:val="0"/>
      <w:marRight w:val="0"/>
      <w:marTop w:val="0"/>
      <w:marBottom w:val="0"/>
      <w:divBdr>
        <w:top w:val="none" w:sz="0" w:space="0" w:color="auto"/>
        <w:left w:val="none" w:sz="0" w:space="0" w:color="auto"/>
        <w:bottom w:val="none" w:sz="0" w:space="0" w:color="auto"/>
        <w:right w:val="none" w:sz="0" w:space="0" w:color="auto"/>
      </w:divBdr>
    </w:div>
    <w:div w:id="1892499972">
      <w:bodyDiv w:val="1"/>
      <w:marLeft w:val="0"/>
      <w:marRight w:val="0"/>
      <w:marTop w:val="0"/>
      <w:marBottom w:val="0"/>
      <w:divBdr>
        <w:top w:val="none" w:sz="0" w:space="0" w:color="auto"/>
        <w:left w:val="none" w:sz="0" w:space="0" w:color="auto"/>
        <w:bottom w:val="none" w:sz="0" w:space="0" w:color="auto"/>
        <w:right w:val="none" w:sz="0" w:space="0" w:color="auto"/>
      </w:divBdr>
    </w:div>
    <w:div w:id="1893271197">
      <w:bodyDiv w:val="1"/>
      <w:marLeft w:val="0"/>
      <w:marRight w:val="0"/>
      <w:marTop w:val="0"/>
      <w:marBottom w:val="0"/>
      <w:divBdr>
        <w:top w:val="none" w:sz="0" w:space="0" w:color="auto"/>
        <w:left w:val="none" w:sz="0" w:space="0" w:color="auto"/>
        <w:bottom w:val="none" w:sz="0" w:space="0" w:color="auto"/>
        <w:right w:val="none" w:sz="0" w:space="0" w:color="auto"/>
      </w:divBdr>
    </w:div>
    <w:div w:id="1900482254">
      <w:bodyDiv w:val="1"/>
      <w:marLeft w:val="0"/>
      <w:marRight w:val="0"/>
      <w:marTop w:val="0"/>
      <w:marBottom w:val="0"/>
      <w:divBdr>
        <w:top w:val="none" w:sz="0" w:space="0" w:color="auto"/>
        <w:left w:val="none" w:sz="0" w:space="0" w:color="auto"/>
        <w:bottom w:val="none" w:sz="0" w:space="0" w:color="auto"/>
        <w:right w:val="none" w:sz="0" w:space="0" w:color="auto"/>
      </w:divBdr>
    </w:div>
    <w:div w:id="1907911884">
      <w:bodyDiv w:val="1"/>
      <w:marLeft w:val="0"/>
      <w:marRight w:val="0"/>
      <w:marTop w:val="0"/>
      <w:marBottom w:val="0"/>
      <w:divBdr>
        <w:top w:val="none" w:sz="0" w:space="0" w:color="auto"/>
        <w:left w:val="none" w:sz="0" w:space="0" w:color="auto"/>
        <w:bottom w:val="none" w:sz="0" w:space="0" w:color="auto"/>
        <w:right w:val="none" w:sz="0" w:space="0" w:color="auto"/>
      </w:divBdr>
    </w:div>
    <w:div w:id="1908954684">
      <w:bodyDiv w:val="1"/>
      <w:marLeft w:val="0"/>
      <w:marRight w:val="0"/>
      <w:marTop w:val="0"/>
      <w:marBottom w:val="0"/>
      <w:divBdr>
        <w:top w:val="none" w:sz="0" w:space="0" w:color="auto"/>
        <w:left w:val="none" w:sz="0" w:space="0" w:color="auto"/>
        <w:bottom w:val="none" w:sz="0" w:space="0" w:color="auto"/>
        <w:right w:val="none" w:sz="0" w:space="0" w:color="auto"/>
      </w:divBdr>
    </w:div>
    <w:div w:id="1909801510">
      <w:bodyDiv w:val="1"/>
      <w:marLeft w:val="0"/>
      <w:marRight w:val="0"/>
      <w:marTop w:val="0"/>
      <w:marBottom w:val="0"/>
      <w:divBdr>
        <w:top w:val="none" w:sz="0" w:space="0" w:color="auto"/>
        <w:left w:val="none" w:sz="0" w:space="0" w:color="auto"/>
        <w:bottom w:val="none" w:sz="0" w:space="0" w:color="auto"/>
        <w:right w:val="none" w:sz="0" w:space="0" w:color="auto"/>
      </w:divBdr>
    </w:div>
    <w:div w:id="1915897761">
      <w:bodyDiv w:val="1"/>
      <w:marLeft w:val="0"/>
      <w:marRight w:val="0"/>
      <w:marTop w:val="0"/>
      <w:marBottom w:val="0"/>
      <w:divBdr>
        <w:top w:val="none" w:sz="0" w:space="0" w:color="auto"/>
        <w:left w:val="none" w:sz="0" w:space="0" w:color="auto"/>
        <w:bottom w:val="none" w:sz="0" w:space="0" w:color="auto"/>
        <w:right w:val="none" w:sz="0" w:space="0" w:color="auto"/>
      </w:divBdr>
    </w:div>
    <w:div w:id="1918249064">
      <w:bodyDiv w:val="1"/>
      <w:marLeft w:val="0"/>
      <w:marRight w:val="0"/>
      <w:marTop w:val="0"/>
      <w:marBottom w:val="0"/>
      <w:divBdr>
        <w:top w:val="none" w:sz="0" w:space="0" w:color="auto"/>
        <w:left w:val="none" w:sz="0" w:space="0" w:color="auto"/>
        <w:bottom w:val="none" w:sz="0" w:space="0" w:color="auto"/>
        <w:right w:val="none" w:sz="0" w:space="0" w:color="auto"/>
      </w:divBdr>
    </w:div>
    <w:div w:id="1927961990">
      <w:bodyDiv w:val="1"/>
      <w:marLeft w:val="0"/>
      <w:marRight w:val="0"/>
      <w:marTop w:val="0"/>
      <w:marBottom w:val="0"/>
      <w:divBdr>
        <w:top w:val="none" w:sz="0" w:space="0" w:color="auto"/>
        <w:left w:val="none" w:sz="0" w:space="0" w:color="auto"/>
        <w:bottom w:val="none" w:sz="0" w:space="0" w:color="auto"/>
        <w:right w:val="none" w:sz="0" w:space="0" w:color="auto"/>
      </w:divBdr>
    </w:div>
    <w:div w:id="1928882669">
      <w:bodyDiv w:val="1"/>
      <w:marLeft w:val="0"/>
      <w:marRight w:val="0"/>
      <w:marTop w:val="0"/>
      <w:marBottom w:val="0"/>
      <w:divBdr>
        <w:top w:val="none" w:sz="0" w:space="0" w:color="auto"/>
        <w:left w:val="none" w:sz="0" w:space="0" w:color="auto"/>
        <w:bottom w:val="none" w:sz="0" w:space="0" w:color="auto"/>
        <w:right w:val="none" w:sz="0" w:space="0" w:color="auto"/>
      </w:divBdr>
    </w:div>
    <w:div w:id="1937595238">
      <w:bodyDiv w:val="1"/>
      <w:marLeft w:val="0"/>
      <w:marRight w:val="0"/>
      <w:marTop w:val="0"/>
      <w:marBottom w:val="0"/>
      <w:divBdr>
        <w:top w:val="none" w:sz="0" w:space="0" w:color="auto"/>
        <w:left w:val="none" w:sz="0" w:space="0" w:color="auto"/>
        <w:bottom w:val="none" w:sz="0" w:space="0" w:color="auto"/>
        <w:right w:val="none" w:sz="0" w:space="0" w:color="auto"/>
      </w:divBdr>
    </w:div>
    <w:div w:id="1943299122">
      <w:bodyDiv w:val="1"/>
      <w:marLeft w:val="0"/>
      <w:marRight w:val="0"/>
      <w:marTop w:val="0"/>
      <w:marBottom w:val="0"/>
      <w:divBdr>
        <w:top w:val="none" w:sz="0" w:space="0" w:color="auto"/>
        <w:left w:val="none" w:sz="0" w:space="0" w:color="auto"/>
        <w:bottom w:val="none" w:sz="0" w:space="0" w:color="auto"/>
        <w:right w:val="none" w:sz="0" w:space="0" w:color="auto"/>
      </w:divBdr>
    </w:div>
    <w:div w:id="1952735645">
      <w:bodyDiv w:val="1"/>
      <w:marLeft w:val="0"/>
      <w:marRight w:val="0"/>
      <w:marTop w:val="0"/>
      <w:marBottom w:val="0"/>
      <w:divBdr>
        <w:top w:val="none" w:sz="0" w:space="0" w:color="auto"/>
        <w:left w:val="none" w:sz="0" w:space="0" w:color="auto"/>
        <w:bottom w:val="none" w:sz="0" w:space="0" w:color="auto"/>
        <w:right w:val="none" w:sz="0" w:space="0" w:color="auto"/>
      </w:divBdr>
    </w:div>
    <w:div w:id="1953318362">
      <w:bodyDiv w:val="1"/>
      <w:marLeft w:val="0"/>
      <w:marRight w:val="0"/>
      <w:marTop w:val="0"/>
      <w:marBottom w:val="0"/>
      <w:divBdr>
        <w:top w:val="none" w:sz="0" w:space="0" w:color="auto"/>
        <w:left w:val="none" w:sz="0" w:space="0" w:color="auto"/>
        <w:bottom w:val="none" w:sz="0" w:space="0" w:color="auto"/>
        <w:right w:val="none" w:sz="0" w:space="0" w:color="auto"/>
      </w:divBdr>
    </w:div>
    <w:div w:id="1954632127">
      <w:bodyDiv w:val="1"/>
      <w:marLeft w:val="0"/>
      <w:marRight w:val="0"/>
      <w:marTop w:val="0"/>
      <w:marBottom w:val="0"/>
      <w:divBdr>
        <w:top w:val="none" w:sz="0" w:space="0" w:color="auto"/>
        <w:left w:val="none" w:sz="0" w:space="0" w:color="auto"/>
        <w:bottom w:val="none" w:sz="0" w:space="0" w:color="auto"/>
        <w:right w:val="none" w:sz="0" w:space="0" w:color="auto"/>
      </w:divBdr>
    </w:div>
    <w:div w:id="1962955686">
      <w:bodyDiv w:val="1"/>
      <w:marLeft w:val="0"/>
      <w:marRight w:val="0"/>
      <w:marTop w:val="0"/>
      <w:marBottom w:val="0"/>
      <w:divBdr>
        <w:top w:val="none" w:sz="0" w:space="0" w:color="auto"/>
        <w:left w:val="none" w:sz="0" w:space="0" w:color="auto"/>
        <w:bottom w:val="none" w:sz="0" w:space="0" w:color="auto"/>
        <w:right w:val="none" w:sz="0" w:space="0" w:color="auto"/>
      </w:divBdr>
    </w:div>
    <w:div w:id="1967270141">
      <w:bodyDiv w:val="1"/>
      <w:marLeft w:val="0"/>
      <w:marRight w:val="0"/>
      <w:marTop w:val="0"/>
      <w:marBottom w:val="0"/>
      <w:divBdr>
        <w:top w:val="none" w:sz="0" w:space="0" w:color="auto"/>
        <w:left w:val="none" w:sz="0" w:space="0" w:color="auto"/>
        <w:bottom w:val="none" w:sz="0" w:space="0" w:color="auto"/>
        <w:right w:val="none" w:sz="0" w:space="0" w:color="auto"/>
      </w:divBdr>
    </w:div>
    <w:div w:id="1968777892">
      <w:bodyDiv w:val="1"/>
      <w:marLeft w:val="0"/>
      <w:marRight w:val="0"/>
      <w:marTop w:val="0"/>
      <w:marBottom w:val="0"/>
      <w:divBdr>
        <w:top w:val="none" w:sz="0" w:space="0" w:color="auto"/>
        <w:left w:val="none" w:sz="0" w:space="0" w:color="auto"/>
        <w:bottom w:val="none" w:sz="0" w:space="0" w:color="auto"/>
        <w:right w:val="none" w:sz="0" w:space="0" w:color="auto"/>
      </w:divBdr>
    </w:div>
    <w:div w:id="1970671790">
      <w:bodyDiv w:val="1"/>
      <w:marLeft w:val="0"/>
      <w:marRight w:val="0"/>
      <w:marTop w:val="0"/>
      <w:marBottom w:val="0"/>
      <w:divBdr>
        <w:top w:val="none" w:sz="0" w:space="0" w:color="auto"/>
        <w:left w:val="none" w:sz="0" w:space="0" w:color="auto"/>
        <w:bottom w:val="none" w:sz="0" w:space="0" w:color="auto"/>
        <w:right w:val="none" w:sz="0" w:space="0" w:color="auto"/>
      </w:divBdr>
    </w:div>
    <w:div w:id="1971472383">
      <w:bodyDiv w:val="1"/>
      <w:marLeft w:val="0"/>
      <w:marRight w:val="0"/>
      <w:marTop w:val="0"/>
      <w:marBottom w:val="0"/>
      <w:divBdr>
        <w:top w:val="none" w:sz="0" w:space="0" w:color="auto"/>
        <w:left w:val="none" w:sz="0" w:space="0" w:color="auto"/>
        <w:bottom w:val="none" w:sz="0" w:space="0" w:color="auto"/>
        <w:right w:val="none" w:sz="0" w:space="0" w:color="auto"/>
      </w:divBdr>
    </w:div>
    <w:div w:id="1993563114">
      <w:bodyDiv w:val="1"/>
      <w:marLeft w:val="0"/>
      <w:marRight w:val="0"/>
      <w:marTop w:val="0"/>
      <w:marBottom w:val="0"/>
      <w:divBdr>
        <w:top w:val="none" w:sz="0" w:space="0" w:color="auto"/>
        <w:left w:val="none" w:sz="0" w:space="0" w:color="auto"/>
        <w:bottom w:val="none" w:sz="0" w:space="0" w:color="auto"/>
        <w:right w:val="none" w:sz="0" w:space="0" w:color="auto"/>
      </w:divBdr>
    </w:div>
    <w:div w:id="1996101584">
      <w:bodyDiv w:val="1"/>
      <w:marLeft w:val="0"/>
      <w:marRight w:val="0"/>
      <w:marTop w:val="0"/>
      <w:marBottom w:val="0"/>
      <w:divBdr>
        <w:top w:val="none" w:sz="0" w:space="0" w:color="auto"/>
        <w:left w:val="none" w:sz="0" w:space="0" w:color="auto"/>
        <w:bottom w:val="none" w:sz="0" w:space="0" w:color="auto"/>
        <w:right w:val="none" w:sz="0" w:space="0" w:color="auto"/>
      </w:divBdr>
    </w:div>
    <w:div w:id="1996452560">
      <w:bodyDiv w:val="1"/>
      <w:marLeft w:val="0"/>
      <w:marRight w:val="0"/>
      <w:marTop w:val="0"/>
      <w:marBottom w:val="0"/>
      <w:divBdr>
        <w:top w:val="none" w:sz="0" w:space="0" w:color="auto"/>
        <w:left w:val="none" w:sz="0" w:space="0" w:color="auto"/>
        <w:bottom w:val="none" w:sz="0" w:space="0" w:color="auto"/>
        <w:right w:val="none" w:sz="0" w:space="0" w:color="auto"/>
      </w:divBdr>
    </w:div>
    <w:div w:id="2005930860">
      <w:bodyDiv w:val="1"/>
      <w:marLeft w:val="0"/>
      <w:marRight w:val="0"/>
      <w:marTop w:val="0"/>
      <w:marBottom w:val="0"/>
      <w:divBdr>
        <w:top w:val="none" w:sz="0" w:space="0" w:color="auto"/>
        <w:left w:val="none" w:sz="0" w:space="0" w:color="auto"/>
        <w:bottom w:val="none" w:sz="0" w:space="0" w:color="auto"/>
        <w:right w:val="none" w:sz="0" w:space="0" w:color="auto"/>
      </w:divBdr>
    </w:div>
    <w:div w:id="2010257274">
      <w:bodyDiv w:val="1"/>
      <w:marLeft w:val="0"/>
      <w:marRight w:val="0"/>
      <w:marTop w:val="0"/>
      <w:marBottom w:val="0"/>
      <w:divBdr>
        <w:top w:val="none" w:sz="0" w:space="0" w:color="auto"/>
        <w:left w:val="none" w:sz="0" w:space="0" w:color="auto"/>
        <w:bottom w:val="none" w:sz="0" w:space="0" w:color="auto"/>
        <w:right w:val="none" w:sz="0" w:space="0" w:color="auto"/>
      </w:divBdr>
    </w:div>
    <w:div w:id="2015449932">
      <w:bodyDiv w:val="1"/>
      <w:marLeft w:val="0"/>
      <w:marRight w:val="0"/>
      <w:marTop w:val="0"/>
      <w:marBottom w:val="0"/>
      <w:divBdr>
        <w:top w:val="none" w:sz="0" w:space="0" w:color="auto"/>
        <w:left w:val="none" w:sz="0" w:space="0" w:color="auto"/>
        <w:bottom w:val="none" w:sz="0" w:space="0" w:color="auto"/>
        <w:right w:val="none" w:sz="0" w:space="0" w:color="auto"/>
      </w:divBdr>
    </w:div>
    <w:div w:id="2025864857">
      <w:bodyDiv w:val="1"/>
      <w:marLeft w:val="0"/>
      <w:marRight w:val="0"/>
      <w:marTop w:val="0"/>
      <w:marBottom w:val="0"/>
      <w:divBdr>
        <w:top w:val="none" w:sz="0" w:space="0" w:color="auto"/>
        <w:left w:val="none" w:sz="0" w:space="0" w:color="auto"/>
        <w:bottom w:val="none" w:sz="0" w:space="0" w:color="auto"/>
        <w:right w:val="none" w:sz="0" w:space="0" w:color="auto"/>
      </w:divBdr>
    </w:div>
    <w:div w:id="2028167855">
      <w:bodyDiv w:val="1"/>
      <w:marLeft w:val="0"/>
      <w:marRight w:val="0"/>
      <w:marTop w:val="0"/>
      <w:marBottom w:val="0"/>
      <w:divBdr>
        <w:top w:val="none" w:sz="0" w:space="0" w:color="auto"/>
        <w:left w:val="none" w:sz="0" w:space="0" w:color="auto"/>
        <w:bottom w:val="none" w:sz="0" w:space="0" w:color="auto"/>
        <w:right w:val="none" w:sz="0" w:space="0" w:color="auto"/>
      </w:divBdr>
    </w:div>
    <w:div w:id="2028361508">
      <w:bodyDiv w:val="1"/>
      <w:marLeft w:val="0"/>
      <w:marRight w:val="0"/>
      <w:marTop w:val="0"/>
      <w:marBottom w:val="0"/>
      <w:divBdr>
        <w:top w:val="none" w:sz="0" w:space="0" w:color="auto"/>
        <w:left w:val="none" w:sz="0" w:space="0" w:color="auto"/>
        <w:bottom w:val="none" w:sz="0" w:space="0" w:color="auto"/>
        <w:right w:val="none" w:sz="0" w:space="0" w:color="auto"/>
      </w:divBdr>
    </w:div>
    <w:div w:id="2028407200">
      <w:bodyDiv w:val="1"/>
      <w:marLeft w:val="0"/>
      <w:marRight w:val="0"/>
      <w:marTop w:val="0"/>
      <w:marBottom w:val="0"/>
      <w:divBdr>
        <w:top w:val="none" w:sz="0" w:space="0" w:color="auto"/>
        <w:left w:val="none" w:sz="0" w:space="0" w:color="auto"/>
        <w:bottom w:val="none" w:sz="0" w:space="0" w:color="auto"/>
        <w:right w:val="none" w:sz="0" w:space="0" w:color="auto"/>
      </w:divBdr>
    </w:div>
    <w:div w:id="2029479078">
      <w:bodyDiv w:val="1"/>
      <w:marLeft w:val="0"/>
      <w:marRight w:val="0"/>
      <w:marTop w:val="0"/>
      <w:marBottom w:val="0"/>
      <w:divBdr>
        <w:top w:val="none" w:sz="0" w:space="0" w:color="auto"/>
        <w:left w:val="none" w:sz="0" w:space="0" w:color="auto"/>
        <w:bottom w:val="none" w:sz="0" w:space="0" w:color="auto"/>
        <w:right w:val="none" w:sz="0" w:space="0" w:color="auto"/>
      </w:divBdr>
    </w:div>
    <w:div w:id="2046978081">
      <w:bodyDiv w:val="1"/>
      <w:marLeft w:val="0"/>
      <w:marRight w:val="0"/>
      <w:marTop w:val="0"/>
      <w:marBottom w:val="0"/>
      <w:divBdr>
        <w:top w:val="none" w:sz="0" w:space="0" w:color="auto"/>
        <w:left w:val="none" w:sz="0" w:space="0" w:color="auto"/>
        <w:bottom w:val="none" w:sz="0" w:space="0" w:color="auto"/>
        <w:right w:val="none" w:sz="0" w:space="0" w:color="auto"/>
      </w:divBdr>
    </w:div>
    <w:div w:id="2052879086">
      <w:bodyDiv w:val="1"/>
      <w:marLeft w:val="0"/>
      <w:marRight w:val="0"/>
      <w:marTop w:val="0"/>
      <w:marBottom w:val="0"/>
      <w:divBdr>
        <w:top w:val="none" w:sz="0" w:space="0" w:color="auto"/>
        <w:left w:val="none" w:sz="0" w:space="0" w:color="auto"/>
        <w:bottom w:val="none" w:sz="0" w:space="0" w:color="auto"/>
        <w:right w:val="none" w:sz="0" w:space="0" w:color="auto"/>
      </w:divBdr>
    </w:div>
    <w:div w:id="2055157145">
      <w:bodyDiv w:val="1"/>
      <w:marLeft w:val="0"/>
      <w:marRight w:val="0"/>
      <w:marTop w:val="0"/>
      <w:marBottom w:val="0"/>
      <w:divBdr>
        <w:top w:val="none" w:sz="0" w:space="0" w:color="auto"/>
        <w:left w:val="none" w:sz="0" w:space="0" w:color="auto"/>
        <w:bottom w:val="none" w:sz="0" w:space="0" w:color="auto"/>
        <w:right w:val="none" w:sz="0" w:space="0" w:color="auto"/>
      </w:divBdr>
    </w:div>
    <w:div w:id="2067607082">
      <w:bodyDiv w:val="1"/>
      <w:marLeft w:val="0"/>
      <w:marRight w:val="0"/>
      <w:marTop w:val="0"/>
      <w:marBottom w:val="0"/>
      <w:divBdr>
        <w:top w:val="none" w:sz="0" w:space="0" w:color="auto"/>
        <w:left w:val="none" w:sz="0" w:space="0" w:color="auto"/>
        <w:bottom w:val="none" w:sz="0" w:space="0" w:color="auto"/>
        <w:right w:val="none" w:sz="0" w:space="0" w:color="auto"/>
      </w:divBdr>
    </w:div>
    <w:div w:id="2069113240">
      <w:bodyDiv w:val="1"/>
      <w:marLeft w:val="0"/>
      <w:marRight w:val="0"/>
      <w:marTop w:val="0"/>
      <w:marBottom w:val="0"/>
      <w:divBdr>
        <w:top w:val="none" w:sz="0" w:space="0" w:color="auto"/>
        <w:left w:val="none" w:sz="0" w:space="0" w:color="auto"/>
        <w:bottom w:val="none" w:sz="0" w:space="0" w:color="auto"/>
        <w:right w:val="none" w:sz="0" w:space="0" w:color="auto"/>
      </w:divBdr>
    </w:div>
    <w:div w:id="2071612670">
      <w:bodyDiv w:val="1"/>
      <w:marLeft w:val="0"/>
      <w:marRight w:val="0"/>
      <w:marTop w:val="0"/>
      <w:marBottom w:val="0"/>
      <w:divBdr>
        <w:top w:val="none" w:sz="0" w:space="0" w:color="auto"/>
        <w:left w:val="none" w:sz="0" w:space="0" w:color="auto"/>
        <w:bottom w:val="none" w:sz="0" w:space="0" w:color="auto"/>
        <w:right w:val="none" w:sz="0" w:space="0" w:color="auto"/>
      </w:divBdr>
    </w:div>
    <w:div w:id="2076195021">
      <w:bodyDiv w:val="1"/>
      <w:marLeft w:val="0"/>
      <w:marRight w:val="0"/>
      <w:marTop w:val="0"/>
      <w:marBottom w:val="0"/>
      <w:divBdr>
        <w:top w:val="none" w:sz="0" w:space="0" w:color="auto"/>
        <w:left w:val="none" w:sz="0" w:space="0" w:color="auto"/>
        <w:bottom w:val="none" w:sz="0" w:space="0" w:color="auto"/>
        <w:right w:val="none" w:sz="0" w:space="0" w:color="auto"/>
      </w:divBdr>
    </w:div>
    <w:div w:id="2078091109">
      <w:bodyDiv w:val="1"/>
      <w:marLeft w:val="0"/>
      <w:marRight w:val="0"/>
      <w:marTop w:val="0"/>
      <w:marBottom w:val="0"/>
      <w:divBdr>
        <w:top w:val="none" w:sz="0" w:space="0" w:color="auto"/>
        <w:left w:val="none" w:sz="0" w:space="0" w:color="auto"/>
        <w:bottom w:val="none" w:sz="0" w:space="0" w:color="auto"/>
        <w:right w:val="none" w:sz="0" w:space="0" w:color="auto"/>
      </w:divBdr>
    </w:div>
    <w:div w:id="2081293271">
      <w:bodyDiv w:val="1"/>
      <w:marLeft w:val="0"/>
      <w:marRight w:val="0"/>
      <w:marTop w:val="0"/>
      <w:marBottom w:val="0"/>
      <w:divBdr>
        <w:top w:val="none" w:sz="0" w:space="0" w:color="auto"/>
        <w:left w:val="none" w:sz="0" w:space="0" w:color="auto"/>
        <w:bottom w:val="none" w:sz="0" w:space="0" w:color="auto"/>
        <w:right w:val="none" w:sz="0" w:space="0" w:color="auto"/>
      </w:divBdr>
    </w:div>
    <w:div w:id="208137060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9978125">
      <w:bodyDiv w:val="1"/>
      <w:marLeft w:val="0"/>
      <w:marRight w:val="0"/>
      <w:marTop w:val="0"/>
      <w:marBottom w:val="0"/>
      <w:divBdr>
        <w:top w:val="none" w:sz="0" w:space="0" w:color="auto"/>
        <w:left w:val="none" w:sz="0" w:space="0" w:color="auto"/>
        <w:bottom w:val="none" w:sz="0" w:space="0" w:color="auto"/>
        <w:right w:val="none" w:sz="0" w:space="0" w:color="auto"/>
      </w:divBdr>
    </w:div>
    <w:div w:id="2100054831">
      <w:bodyDiv w:val="1"/>
      <w:marLeft w:val="0"/>
      <w:marRight w:val="0"/>
      <w:marTop w:val="0"/>
      <w:marBottom w:val="0"/>
      <w:divBdr>
        <w:top w:val="none" w:sz="0" w:space="0" w:color="auto"/>
        <w:left w:val="none" w:sz="0" w:space="0" w:color="auto"/>
        <w:bottom w:val="none" w:sz="0" w:space="0" w:color="auto"/>
        <w:right w:val="none" w:sz="0" w:space="0" w:color="auto"/>
      </w:divBdr>
    </w:div>
    <w:div w:id="2108310493">
      <w:bodyDiv w:val="1"/>
      <w:marLeft w:val="0"/>
      <w:marRight w:val="0"/>
      <w:marTop w:val="0"/>
      <w:marBottom w:val="0"/>
      <w:divBdr>
        <w:top w:val="none" w:sz="0" w:space="0" w:color="auto"/>
        <w:left w:val="none" w:sz="0" w:space="0" w:color="auto"/>
        <w:bottom w:val="none" w:sz="0" w:space="0" w:color="auto"/>
        <w:right w:val="none" w:sz="0" w:space="0" w:color="auto"/>
      </w:divBdr>
    </w:div>
    <w:div w:id="2110809756">
      <w:bodyDiv w:val="1"/>
      <w:marLeft w:val="0"/>
      <w:marRight w:val="0"/>
      <w:marTop w:val="0"/>
      <w:marBottom w:val="0"/>
      <w:divBdr>
        <w:top w:val="none" w:sz="0" w:space="0" w:color="auto"/>
        <w:left w:val="none" w:sz="0" w:space="0" w:color="auto"/>
        <w:bottom w:val="none" w:sz="0" w:space="0" w:color="auto"/>
        <w:right w:val="none" w:sz="0" w:space="0" w:color="auto"/>
      </w:divBdr>
    </w:div>
    <w:div w:id="211262118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5146301">
      <w:bodyDiv w:val="1"/>
      <w:marLeft w:val="0"/>
      <w:marRight w:val="0"/>
      <w:marTop w:val="0"/>
      <w:marBottom w:val="0"/>
      <w:divBdr>
        <w:top w:val="none" w:sz="0" w:space="0" w:color="auto"/>
        <w:left w:val="none" w:sz="0" w:space="0" w:color="auto"/>
        <w:bottom w:val="none" w:sz="0" w:space="0" w:color="auto"/>
        <w:right w:val="none" w:sz="0" w:space="0" w:color="auto"/>
      </w:divBdr>
    </w:div>
    <w:div w:id="213702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14199"/>
    <w:rsid w:val="002550FD"/>
    <w:rsid w:val="00291856"/>
    <w:rsid w:val="00333F8E"/>
    <w:rsid w:val="00350199"/>
    <w:rsid w:val="003D5793"/>
    <w:rsid w:val="00563843"/>
    <w:rsid w:val="005A49B8"/>
    <w:rsid w:val="006C6A1B"/>
    <w:rsid w:val="007154C5"/>
    <w:rsid w:val="00764F6F"/>
    <w:rsid w:val="007D6B45"/>
    <w:rsid w:val="007F2D69"/>
    <w:rsid w:val="0083336C"/>
    <w:rsid w:val="008344B5"/>
    <w:rsid w:val="00835E07"/>
    <w:rsid w:val="008A2DA3"/>
    <w:rsid w:val="00945609"/>
    <w:rsid w:val="00A009A6"/>
    <w:rsid w:val="00A657B0"/>
    <w:rsid w:val="00A80F82"/>
    <w:rsid w:val="00A94CD7"/>
    <w:rsid w:val="00AB7B08"/>
    <w:rsid w:val="00B715EB"/>
    <w:rsid w:val="00BD0B6E"/>
    <w:rsid w:val="00BE217F"/>
    <w:rsid w:val="00C17C1E"/>
    <w:rsid w:val="00C41BCC"/>
    <w:rsid w:val="00C54B0C"/>
    <w:rsid w:val="00C83AD5"/>
    <w:rsid w:val="00D10F47"/>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HMG6</b:Tag>
    <b:SourceType>InternetSite</b:SourceType>
    <b:Guid>{9A0C482C-70AF-45B3-91C6-7D4324280FC8}</b:Guid>
    <b:Title>The Nuclear Safeguards (EU Exit) Regulations 2019</b:Title>
    <b:Author>
      <b:Author>
        <b:Corporate>HM Government</b:Corporate>
      </b:Author>
    </b:Author>
    <b:Year>2019</b:Year>
    <b:URL>https://www.legislation.gov.uk/uksi/2019/196/contents</b:URL>
    <b:RefOrder>1</b:RefOrder>
  </b:Source>
  <b:Source>
    <b:Tag>HMG261</b:Tag>
    <b:SourceType>InternetSite</b:SourceType>
    <b:Guid>{86546A36-FC3C-4FBB-BDB3-E26F9FA7762D}</b:Guid>
    <b:Author>
      <b:Author>
        <b:Corporate>HM Government</b:Corporate>
      </b:Author>
    </b:Author>
    <b:Title>The Nuclear Safeguards (EU Exit and Fees) (Amendment) Regulations 2026 </b:Title>
    <b:Year>2026</b:Year>
    <b:URL>https://www.legislation.gov.uk/ukdsi/2026/9780348282702</b:URL>
    <b:RefOrder>2</b:RefOrder>
  </b:Source>
  <b:Source>
    <b:Tag>ONR34</b:Tag>
    <b:SourceType>DocumentFromInternetSite</b:SourceType>
    <b:Guid>{7CA40745-B228-43FF-B580-1ED280E39A79}</b:Guid>
    <b:Author>
      <b:Author>
        <b:Corporate>ONR</b:Corporate>
      </b:Author>
    </b:Author>
    <b:Title>ONR-INSP-GD-064 - General Inspection Guide</b:Title>
    <b:URL>Available internally via HOW2 Hub and externally via the ONR website.</b:URL>
    <b:RefOrder>3</b:RefOrder>
  </b:Source>
  <b:Source>
    <b:Tag>HMG19</b:Tag>
    <b:SourceType>InternetSite</b:SourceType>
    <b:Guid>{0CE1EF5E-CB89-463F-89B2-1B32BF563895}</b:Guid>
    <b:Author>
      <b:Author>
        <b:Corporate>HM Government</b:Corporate>
      </b:Author>
    </b:Author>
    <b:Title>The Nuclear Safeguards (Fissionable Material and Relevant International Agreements) (EU Exit) Regulations 2019 (2019/195)</b:Title>
    <b:Year>2019</b:Year>
    <b:URL>https://www.legislation.gov.uk/uksi/2019/195/contents</b:URL>
    <b:RefOrder>5</b:RefOrder>
  </b:Source>
  <b:Source>
    <b:Tag>IAE10</b:Tag>
    <b:SourceType>InternetSite</b:SourceType>
    <b:Guid>{12C46969-37B4-49AF-8F85-E7265085EE8E}</b:Guid>
    <b:Author>
      <b:Author>
        <b:Corporate>IAEA</b:Corporate>
      </b:Author>
    </b:Author>
    <b:Title>INFCIRC/951 - Agreement between the UK of GB and NI and the IAEA for the Application of Safeguards in the UK of GB and NI in Connection with the Treaty on the Non-Proliferation of Nuclear Weapons</b:Title>
    <b:Year>2021</b:Year>
    <b:Month>January</b:Month>
    <b:URL>https://inis.iaea.org/records/wnzs6-5z164</b:URL>
    <b:RefOrder>4</b:RefOrder>
  </b:Source>
  <b:Source>
    <b:Tag>ONR293</b:Tag>
    <b:SourceType>DocumentFromInternetSite</b:SourceType>
    <b:Guid>{C4709694-664D-46F1-AF02-A2DD1BF79A51}</b:Guid>
    <b:Author>
      <b:Author>
        <b:Corporate>ONR</b:Corporate>
      </b:Author>
    </b:Author>
    <b:Title>SG-TAST-GD-001 - Safeguards</b:Title>
    <b:URL>Available internally via HOW2 Hub and externally via the ONR website.</b:URL>
    <b:RefOrder>6</b:RefOrder>
  </b:Source>
  <b:Source>
    <b:Tag>IAE60</b:Tag>
    <b:SourceType>DocumentFromInternetSite</b:SourceType>
    <b:Guid>{E2642E59-8E1A-4BA3-8F7F-001BA1B4BD98}</b:Guid>
    <b:URL>https://www.iaea.org/sites/default/files/infcirc570.pdf</b:URL>
    <b:Author>
      <b:Author>
        <b:Corporate>IAEA</b:Corporate>
      </b:Author>
    </b:Author>
    <b:Title>INFCIRC/570 - UK Fissile material Transparency, Safeguards, and Irreversibility Initiatives</b:Title>
    <b:Year>1998</b:Year>
    <b:RefOrder>8</b:RefOrder>
  </b:Source>
  <b:Source>
    <b:Tag>HMG142</b:Tag>
    <b:SourceType>InternetSite</b:SourceType>
    <b:Guid>{1F4E9D80-ADF4-48BE-B6AD-52CBA497A383}</b:Guid>
    <b:Author>
      <b:Author>
        <b:Corporate>HM Government</b:Corporate>
      </b:Author>
    </b:Author>
    <b:Title>Energy Act 2013</b:Title>
    <b:Year>2013</b:Year>
    <b:URL>https://www.legislation.gov.uk/ukpga/2013/32/contents</b:URL>
    <b:RefOrder>9</b:RefOrder>
  </b:Source>
  <b:Source>
    <b:Tag>ONR27</b:Tag>
    <b:SourceType>DocumentFromInternetSite</b:SourceType>
    <b:Guid>{B644232E-CEB0-4724-8EE4-828E704C2B79}</b:Guid>
    <b:Author>
      <b:Author>
        <b:Corporate>ONR</b:Corporate>
      </b:Author>
    </b:Author>
    <b:Title>ONR-ENF-GD-006 - Enforcement Management Model</b:Title>
    <b:URL>Available internally via HOW2 Hub and externally via the ONR website.</b:URL>
    <b:RefOrder>10</b:RefOrder>
  </b:Source>
  <b:Source>
    <b:Tag>ONR232</b:Tag>
    <b:SourceType>DocumentFromInternetSite</b:SourceType>
    <b:Guid>{1B0EBAD7-6738-4EAB-8FC8-CA09DD32BC18}</b:Guid>
    <b:Author>
      <b:Author>
        <b:Corporate>ONR</b:Corporate>
      </b:Author>
    </b:Author>
    <b:Title>ONR Nuclear Material Accountancy Control &amp; Safeguards (ONMACS)</b:Title>
    <b:URL>Available internally via HOW2 Hub and externally via the ONR website.</b:URL>
    <b:RefOrder>11</b:RefOrder>
  </b:Source>
  <b:Source>
    <b:Tag>IAE15</b:Tag>
    <b:SourceType>InternetSite</b:SourceType>
    <b:Guid>{CFC18F4C-AF97-4D13-923D-5CEBA4DD8872}</b:Guid>
    <b:Author>
      <b:Author>
        <b:Corporate>IAEA</b:Corporate>
      </b:Author>
    </b:Author>
    <b:Title>Safeguards Glossary 2001 Edition - International Nuclear Verification Series No. 3</b:Title>
    <b:URL>https://www.iaea.org/publications/6663/iaea-safeguards-glossary</b:URL>
    <b:RefOrder>13</b:RefOrder>
  </b:Source>
  <b:Source>
    <b:Tag>Eur10</b:Tag>
    <b:SourceType>InternetSite</b:SourceType>
    <b:Guid>{A95F682C-CAD8-4977-81A5-95E6D0A31463}</b:Guid>
    <b:Author>
      <b:Author>
        <b:Corporate>European Commission (EC) - Joint Research Centre</b:Corporate>
      </b:Author>
    </b:Author>
    <b:Title>International Target Values for Measurement Uncertainties in Safeguarding Nuclear Materials (STR – 368 (Revision 1.1))</b:Title>
    <b:Year>2022</b:Year>
    <b:URL>https://esarda.jrc.ec.europa.eu/publications/international-target-values-measurement-uncertainties-safeguarding-nuclear-materials-2022_en</b:URL>
    <b:RefOrder>12</b:RefOrder>
  </b:Source>
  <b:Source>
    <b:Tag>ONR6</b:Tag>
    <b:SourceType>DocumentFromInternetSite</b:SourceType>
    <b:Guid>{0A7308C9-F437-4DBB-B127-88427365CBEF}</b:Guid>
    <b:Author>
      <b:Author>
        <b:Corporate>ONR</b:Corporate>
      </b:Author>
    </b:Author>
    <b:Title>ONR-RD-POL-002 – Risk Informed &amp; Targeted Engagements (RITE)</b:Title>
    <b:URL>Available internally via HOW2 Hub and externally via the ONR website.</b:URL>
    <b:RefOrder>14</b:RefOrder>
  </b:Source>
  <b:Source>
    <b:Tag>ISO17</b:Tag>
    <b:SourceType>ElectronicSource</b:SourceType>
    <b:Guid>{C2C81011-9FE8-4B6B-858E-DCDFC53F96F1}</b:Guid>
    <b:Author>
      <b:Author>
        <b:Corporate>ISO</b:Corporate>
      </b:Author>
    </b:Author>
    <b:Title>ISO/IEC 17025:2017 - General requirements for the competence of testing and calibration laboratories</b:Title>
    <b:Year>2017</b:Year>
    <b:RefOrder>23</b:RefOrder>
  </b:Source>
  <b:Source>
    <b:Tag>ISO03</b:Tag>
    <b:SourceType>ElectronicSource</b:SourceType>
    <b:Guid>{F2AC0DA7-3E52-45E6-A1B9-8640AAD7159E}</b:Guid>
    <b:Author>
      <b:Author>
        <b:Corporate>ISO</b:Corporate>
      </b:Author>
    </b:Author>
    <b:Title>ISO 10012:2003 - Measurement management systems — Requirements for measurement processes and measuring equipment</b:Title>
    <b:Year>2003</b:Year>
    <b:RefOrder>24</b:RefOrder>
  </b:Source>
  <b:Source>
    <b:Tag>JCG081</b:Tag>
    <b:SourceType>ElectronicSource</b:SourceType>
    <b:Guid>{CB774F70-7578-438F-BAB2-2C1B300A10C9}</b:Guid>
    <b:Author>
      <b:Author>
        <b:Corporate>JCGM</b:Corporate>
      </b:Author>
    </b:Author>
    <b:Title>Evaluation of Measurement Data - Guide to the Expression of Uncertainty in Measurement (GUM) (1st Edition)</b:Title>
    <b:Year>2008</b:Year>
    <b:RefOrder>25</b:RefOrder>
  </b:Source>
  <b:Source>
    <b:Tag>ONR295</b:Tag>
    <b:SourceType>DocumentFromInternetSite</b:SourceType>
    <b:Guid>{5A9C9206-4E7B-4157-89F2-A8A1D8D05896}</b:Guid>
    <b:Author>
      <b:Author>
        <b:Corporate>ONR</b:Corporate>
      </b:Author>
    </b:Author>
    <b:Title>SG-TAST-GD-002 - Nuclear Material Accountancy</b:Title>
    <b:URL>Available internally via HOW2 Hub and externally via the ONR website.</b:URL>
    <b:RefOrder>27</b:RefOrder>
  </b:Source>
  <b:Source>
    <b:Tag>IAE211</b:Tag>
    <b:SourceType>DocumentFromInternetSite</b:SourceType>
    <b:Guid>{5ACD0700-978F-445E-B890-9DB7D27B9350}</b:Guid>
    <b:Author>
      <b:Author>
        <b:Corporate>IAEA</b:Corporate>
      </b:Author>
    </b:Author>
    <b:Title>IAEA Design Information Questionnaire (DIQ) Completion Guidance – Parts I and II (STR-398)</b:Title>
    <b:Year>2021</b:Year>
    <b:RefOrder>28</b:RefOrder>
  </b:Source>
  <b:Source>
    <b:Tag>IAE134</b:Tag>
    <b:SourceType>InternetSite</b:SourceType>
    <b:Guid>{3171CA6D-FAEC-43FC-8046-4A5F81CC3CCE}</b:Guid>
    <b:Author>
      <b:Author>
        <b:Corporate>IAEA</b:Corporate>
      </b:Author>
    </b:Author>
    <b:Title>Nuclear Energy Series No. NP-T-2.8 - International Safeguards in Nuclear Facility Design and Construction</b:Title>
    <b:Year>2013</b:Year>
    <b:URL>https://www.iaea.org/publications/10361/international-safeguards-in-nuclear-facility-design-and-construction</b:URL>
    <b:RefOrder>34</b:RefOrder>
  </b:Source>
  <b:Source>
    <b:Tag>IAE1412</b:Tag>
    <b:SourceType>InternetSite</b:SourceType>
    <b:Guid>{1D08B482-3130-4354-BFFA-BB50FBDEEFA3}</b:Guid>
    <b:Author>
      <b:Author>
        <b:Corporate>IAEA</b:Corporate>
      </b:Author>
    </b:Author>
    <b:Title>Nuclear Energy Series No. NP-T-2.9 - International Safeguards in the Design of Nuclear Reactors</b:Title>
    <b:Year>2014</b:Year>
    <b:URL>https://www.iaea.org/publications/10710/international-safeguards-in-the-design-of-nuclear-reactors</b:URL>
    <b:RefOrder>35</b:RefOrder>
  </b:Source>
  <b:Source>
    <b:Tag>IAE175</b:Tag>
    <b:SourceType>InternetSite</b:SourceType>
    <b:Guid>{348AD4C5-167F-45E8-A8FB-79C1FBCF48D4}</b:Guid>
    <b:Author>
      <b:Author>
        <b:Corporate>IAEA</b:Corporate>
      </b:Author>
    </b:Author>
    <b:Title>Nuclear Energy Series No. NF-T-4.7 - International Safeguards in the Design of Fuel Fabrication Plants</b:Title>
    <b:Year>2017</b:Year>
    <b:URL>https://www.iaea.org/publications/10746/international-safeguards-in-the-design-of-fuel-fabrication-plants</b:URL>
    <b:RefOrder>36</b:RefOrder>
  </b:Source>
  <b:Source>
    <b:Tag>IAE1814</b:Tag>
    <b:SourceType>InternetSite</b:SourceType>
    <b:Guid>{06387BA9-57C9-4AA0-AD25-F0F366A01FC6}</b:Guid>
    <b:Author>
      <b:Author>
        <b:Corporate>IAEA</b:Corporate>
      </b:Author>
    </b:Author>
    <b:Title>Nuclear Energy Series No. NF-T-3.1 - International Safeguards in the Design of Facilities for Long Term Spent Fuel Management</b:Title>
    <b:Year>2018</b:Year>
    <b:URL>https://www.iaea.org/publications/10806/international-safeguards-in-the-design-of-facilities-for-long-term-spent-fuel-management</b:URL>
    <b:RefOrder>37</b:RefOrder>
  </b:Source>
  <b:Source>
    <b:Tag>IAE176</b:Tag>
    <b:SourceType>InternetSite</b:SourceType>
    <b:Guid>{90790C57-24A9-4E0A-AF78-BE1B421E1DF3}</b:Guid>
    <b:Author>
      <b:Author>
        <b:Corporate>IAEA</b:Corporate>
      </b:Author>
    </b:Author>
    <b:Title>Nuclear Energy Series No. NF-T-4.8 - International Safeguards in the Design of Uranium Conversion Plants</b:Title>
    <b:Year>2017</b:Year>
    <b:URL>https://www.iaea.org/publications/10759/international-safeguards-in-the-design-of-uranium-conversion-plants</b:URL>
    <b:RefOrder>38</b:RefOrder>
  </b:Source>
  <b:Source>
    <b:Tag>IAE197</b:Tag>
    <b:SourceType>InternetSite</b:SourceType>
    <b:Guid>{52695D0E-F679-4C3C-B35A-04C250F99F64}</b:Guid>
    <b:Author>
      <b:Author>
        <b:Corporate>IAEA</b:Corporate>
      </b:Author>
    </b:Author>
    <b:Title>Nuclear Energy Series No. NF-T-3.2 - International Safeguards in the Design of Reprocessing Plants</b:Title>
    <b:Year>2019</b:Year>
    <b:URL>https://www.iaea.org/publications/13454/international-safeguards-in-the-design-of-reprocessing-plants</b:URL>
    <b:RefOrder>39</b:RefOrder>
  </b:Source>
  <b:Source>
    <b:Tag>IAE198</b:Tag>
    <b:SourceType>InternetSite</b:SourceType>
    <b:Guid>{2FF4E37D-94BD-428D-A55A-4082DD15E6BB}</b:Guid>
    <b:Author>
      <b:Author>
        <b:Corporate>IAEA</b:Corporate>
      </b:Author>
    </b:Author>
    <b:Title>Nuclear Energy Series No. NF-T-4.10 - International Safeguards in the Design of Enrichment Plants</b:Title>
    <b:Year>2019</b:Year>
    <b:URL>https://www.iaea.org/publications/13452/international-safeguards-in-the-design-of-enrichment-plants</b:URL>
    <b:RefOrder>40</b:RefOrder>
  </b:Source>
  <b:Source>
    <b:Tag>IAE251</b:Tag>
    <b:SourceType>InternetSite</b:SourceType>
    <b:Guid>{DF53467A-DF0C-4F3E-AA41-05C98018E233}</b:Guid>
    <b:Author>
      <b:Author>
        <b:Corporate>IAEA</b:Corporate>
      </b:Author>
    </b:Author>
    <b:Title>Nuclear Energy Series No. NW-T-1.28 - International Safeguards in the Design of Radioactive Waste Management Programmes</b:Title>
    <b:Year>2025</b:Year>
    <b:URL>https://www.iaea.org/publications/15489/international-safeguards-in-the-design-of-radioactive-waste-management-programmes</b:URL>
    <b:RefOrder>41</b:RefOrder>
  </b:Source>
  <b:Source>
    <b:Tag>Dep22</b:Tag>
    <b:SourceType>ElectronicSource</b:SourceType>
    <b:Guid>{A116A24A-658F-482F-9B2A-ABC35888EFEA}</b:Guid>
    <b:Author>
      <b:Author>
        <b:Corporate>Department of Trade and Industry</b:Corporate>
      </b:Author>
    </b:Author>
    <b:Title>Definition of Essential Equipment for Facility Operation – An Operator’s Perspective (SRDP-R260)</b:Title>
    <b:Year>2022</b:Year>
    <b:RefOrder>42</b:RefOrder>
  </b:Source>
  <b:Source>
    <b:Tag>ONR294</b:Tag>
    <b:SourceType>DocumentFromInternetSite</b:SourceType>
    <b:Guid>{CA8C3EE1-F1A6-4A6E-9922-0C168CD12E35}</b:Guid>
    <b:Author>
      <b:Author>
        <b:Corporate>ONR</b:Corporate>
      </b:Author>
    </b:Author>
    <b:Title>CNSS-SAF-GD-001 - Guidelines for the Preparation and Submission of Declarations Pursuant to Article</b:Title>
    <b:URL>Available internally via HOW2 Hub and externally via the ONR website.</b:URL>
    <b:RefOrder>43</b:RefOrder>
  </b:Source>
  <b:Source>
    <b:Tag>ONR51</b:Tag>
    <b:SourceType>DocumentFromInternetSite</b:SourceType>
    <b:Guid>{F0D62252-DD84-4680-AAB2-CB317FE6E85E}</b:Guid>
    <b:Author>
      <b:Author>
        <b:Corporate>ONR</b:Corporate>
      </b:Author>
    </b:Author>
    <b:Title>NS-TAST-GD-027 - Training and Assuring Personnel Competence</b:Title>
    <b:URL>Available internally via HOW2 Hub and externally via the ONR website.</b:URL>
    <b:RefOrder>16</b:RefOrder>
  </b:Source>
  <b:Source>
    <b:Tag>ONR240</b:Tag>
    <b:SourceType>DocumentFromInternetSite</b:SourceType>
    <b:Guid>{FD16B152-732A-4DAD-830C-9ED62507C248}</b:Guid>
    <b:Title>CNS-TAST-GD-3.3 - Workspaces Equipment and User Interfaces</b:Title>
    <b:Author>
      <b:Author>
        <b:Corporate>ONR</b:Corporate>
      </b:Author>
    </b:Author>
    <b:URL>Available internally via HOW2 Hub and externally via the ONR website.</b:URL>
    <b:RefOrder>17</b:RefOrder>
  </b:Source>
  <b:Source>
    <b:Tag>ONR25</b:Tag>
    <b:SourceType>ElectronicSource</b:SourceType>
    <b:Guid>{8BFE8C4B-BB6C-4EA2-80C9-294CE0B89D83}</b:Guid>
    <b:Title>Addendum NSR19 Regulation 31 regime for limited operation reporters - SAF 8272 (2025/6644)</b:Title>
    <b:Year>2025</b:Year>
    <b:Publisher>ONR</b:Publisher>
    <b:Author>
      <b:Author>
        <b:NameList>
          <b:Person>
            <b:Last>ONR</b:Last>
          </b:Person>
        </b:NameList>
      </b:Author>
    </b:Author>
    <b:RefOrder>7</b:RefOrder>
  </b:Source>
  <b:Source>
    <b:Tag>ONR26</b:Tag>
    <b:SourceType>DocumentFromInternetSite</b:SourceType>
    <b:Guid>{8C35E69D-690B-4853-BE0B-AF846E874719}</b:Guid>
    <b:Title>ONR-INSP-GD-070 - Organisational culture guide for inspectors</b:Title>
    <b:Year>2026</b:Year>
    <b:Author>
      <b:Author>
        <b:NameList>
          <b:Person>
            <b:Last>ONR</b:Last>
          </b:Person>
        </b:NameList>
      </b:Author>
    </b:Author>
    <b:Month>June</b:Month>
    <b:URL>https://www.onr.org.uk/publications/regulatory-guidance/regulatory-inspection/technical-inspection-guides-tigs/nuclear-safety-tigs/ns-insp-gd-070</b:URL>
    <b:RefOrder>15</b:RefOrder>
  </b:Source>
  <b:Source>
    <b:Tag>ONR261</b:Tag>
    <b:SourceType>DocumentFromInternetSite</b:SourceType>
    <b:Guid>{94277EB5-5187-4D9F-B1D3-AE26BFD38919}</b:Guid>
    <b:Author>
      <b:Author>
        <b:NameList>
          <b:Person>
            <b:Last>ONR</b:Last>
          </b:Person>
        </b:NameList>
      </b:Author>
    </b:Author>
    <b:Title>LC 36 – Organisational capability - NS-INSP-GD-036</b:Title>
    <b:Year>2026</b:Year>
    <b:Month>April</b:Month>
    <b:URL>https://www.onr.org.uk/publications/regulatory-guidance/regulatory-inspection/technical-inspection-guides-tigs/nuclear-safety-tigs/ns-insp-gd-036</b:URL>
    <b:RefOrder>18</b:RefOrder>
  </b:Source>
  <b:Source>
    <b:Tag>ONR262</b:Tag>
    <b:SourceType>DocumentFromInternetSite</b:SourceType>
    <b:Guid>{755C270E-E604-491D-83C4-794697E874D1}</b:Guid>
    <b:Author>
      <b:Author>
        <b:Corporate>ONR</b:Corporate>
      </b:Author>
    </b:Author>
    <b:Title>Licence Condition 10 - Training - NS-INSP-GD-010</b:Title>
    <b:Year>2026</b:Year>
    <b:Month>January</b:Month>
    <b:URL>https://www.onr.org.uk/publications/regulatory-guidance/regulatory-inspection/technical-inspection-guides-tigs/nuclear-safety-tigs/ns-insp-gd-010</b:URL>
    <b:RefOrder>19</b:RefOrder>
  </b:Source>
  <b:Source>
    <b:Tag>ONR263</b:Tag>
    <b:SourceType>DocumentFromInternetSite</b:SourceType>
    <b:Guid>{0361FDE6-DB2A-4F5C-A856-28F053E7B497}</b:Guid>
    <b:Author>
      <b:Author>
        <b:Corporate>ONR</b:Corporate>
      </b:Author>
    </b:Author>
    <b:Title>Licence Condition 12 – Duly authorised and other suitably qualified and experienced persons - NS-INSP-GD-012 - Issue 4.1</b:Title>
    <b:Year>2026</b:Year>
    <b:Month>January</b:Month>
    <b:URL>https://www.onr.org.uk/publications/regulatory-guidance/regulatory-inspection/technical-inspection-guides-tigs/nuclear-safety-tigs/ns-insp-gd-012</b:URL>
    <b:RefOrder>20</b:RefOrder>
  </b:Source>
  <b:Source>
    <b:Tag>ONR264</b:Tag>
    <b:SourceType>DocumentFromInternetSite</b:SourceType>
    <b:Guid>{302B424B-5891-4BC4-91E1-0D63BD07439D}</b:Guid>
    <b:Author>
      <b:Author>
        <b:Corporate>ONR</b:Corporate>
      </b:Author>
    </b:Author>
    <b:Title>LC29 – Duty to carry out tests, inspections and examinations - NS-INSP-GD-029 - Issue: 6.1</b:Title>
    <b:Year>2026</b:Year>
    <b:Month>April</b:Month>
    <b:URL>https://www.onr.org.uk/publications/regulatory-guidance/regulatory-inspection/technical-inspection-guides-tigs/nuclear-safety-tigs/ns-insp-gd-029</b:URL>
    <b:RefOrder>22</b:RefOrder>
  </b:Source>
  <b:Source>
    <b:Tag>ONR265</b:Tag>
    <b:SourceType>DocumentFromInternetSite</b:SourceType>
    <b:Guid>{415FB749-0D9B-4D43-B7E7-FF33FD6670EA}</b:Guid>
    <b:Author>
      <b:Author>
        <b:Corporate>ONR</b:Corporate>
      </b:Author>
    </b:Author>
    <b:Title>LC 28 – Examination, Inspection, Maintenance and Testing (EIMT) - NS-INSP-GD-028 - Issue: 9.2</b:Title>
    <b:Year>2026</b:Year>
    <b:Month>June</b:Month>
    <b:URL>https://www.onr.org.uk/publications/regulatory-guidance/regulatory-inspection/technical-inspection-guides-tigs/nuclear-safety-tigs/ns-insp-gd-028</b:URL>
    <b:RefOrder>21</b:RefOrder>
  </b:Source>
  <b:Source>
    <b:Tag>ISO051</b:Tag>
    <b:SourceType>ElectronicSource</b:SourceType>
    <b:Guid>{E8A26176-8907-4729-BA42-DA833D44F992}</b:Guid>
    <b:Author>
      <b:Author>
        <b:Corporate>ISO</b:Corporate>
      </b:Author>
    </b:Author>
    <b:Title>ISO/IEC 27002:2022 -  Information security, cybersecurity and privacy protection — Information security controls</b:Title>
    <b:Year>2022</b:Year>
    <b:RefOrder>26</b:RefOrder>
  </b:Source>
  <b:Source>
    <b:Tag>ONR266</b:Tag>
    <b:SourceType>DocumentFromInternetSite</b:SourceType>
    <b:Guid>{F4FC6D94-906A-4017-8B7D-8A45EF759C48}</b:Guid>
    <b:Author>
      <b:Author>
        <b:Corporate>ONR</b:Corporate>
      </b:Author>
    </b:Author>
    <b:Title>LC19 – Construction or installation of new plant | Issue: 7.2 - NS-INSP-GD-019</b:Title>
    <b:Year>2026</b:Year>
    <b:Month>March</b:Month>
    <b:URL>https://www.onr.org.uk/publications/regulatory-guidance/regulatory-inspection/technical-inspection-guides-tigs/nuclear-safety-tigs/ns-insp-gd-019</b:URL>
    <b:RefOrder>29</b:RefOrder>
  </b:Source>
  <b:Source>
    <b:Tag>ONR267</b:Tag>
    <b:SourceType>DocumentFromInternetSite</b:SourceType>
    <b:Guid>{00621E02-0F4A-4DF8-B68C-52BFAED5D18C}</b:Guid>
    <b:Author>
      <b:Author>
        <b:Corporate>ONR</b:Corporate>
      </b:Author>
    </b:Author>
    <b:Title>NS-INSP-GD-020 - LC20 – Modification to design of plant under construction | Issue: 7.2</b:Title>
    <b:Year>2026</b:Year>
    <b:Month>April</b:Month>
    <b:URL>https://www.onr.org.uk/publications/regulatory-guidance/regulatory-inspection/technical-inspection-guides-tigs/nuclear-safety-tigs/ns-insp-gd-020</b:URL>
    <b:RefOrder>30</b:RefOrder>
  </b:Source>
  <b:Source>
    <b:Tag>ONR268</b:Tag>
    <b:SourceType>DocumentFromInternetSite</b:SourceType>
    <b:Guid>{0A232DE8-A325-4DBF-B438-76F0F865A2A7}</b:Guid>
    <b:Author>
      <b:Author>
        <b:Corporate>ONR</b:Corporate>
      </b:Author>
    </b:Author>
    <b:Title>NS-INSP-GD-021 - LC21 – Commissioning | Issue: 7.2</b:Title>
    <b:Year>2026</b:Year>
    <b:Month>April</b:Month>
    <b:URL>https://www.onr.org.uk/publications/regulatory-guidance/regulatory-inspection/technical-inspection-guides-tigs/nuclear-safety-tigs/ns-insp-gd-021</b:URL>
    <b:RefOrder>31</b:RefOrder>
  </b:Source>
  <b:Source>
    <b:Tag>ONR269</b:Tag>
    <b:SourceType>DocumentFromInternetSite</b:SourceType>
    <b:Guid>{8CBCB700-F719-4400-A943-853DD2FF7C9A}</b:Guid>
    <b:Author>
      <b:Author>
        <b:Corporate>ONR</b:Corporate>
      </b:Author>
    </b:Author>
    <b:Title>NS-INSP-GD-022 - LC22 – Modification or experiment on existing plant | Issue: 7.1</b:Title>
    <b:Year>2026</b:Year>
    <b:Month>April</b:Month>
    <b:URL>https://www.onr.org.uk/publications/regulatory-guidance/regulatory-inspection/technical-inspection-guides-tigs/nuclear-safety-tigs/ns-insp-gd-022</b:URL>
    <b:RefOrder>32</b:RefOrder>
  </b:Source>
  <b:Source>
    <b:Tag>ONR2610</b:Tag>
    <b:SourceType>DocumentFromInternetSite</b:SourceType>
    <b:Guid>{31A85922-EA92-453A-86B4-C7A60B4DA57A}</b:Guid>
    <b:Author>
      <b:Author>
        <b:Corporate>ONR</b:Corporate>
      </b:Author>
    </b:Author>
    <b:Title>NS-INSP-GD-035 - LC35 – Decommissioning | Issue: 7.1</b:Title>
    <b:Year>2026</b:Year>
    <b:Month>April</b:Month>
    <b:URL>https://www.onr.org.uk/publications/regulatory-guidance/regulatory-inspection/technical-inspection-guides-tigs/nuclear-safety-tigs/ns-insp-gd-035</b:URL>
    <b:RefOrder>33</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3.xml><?xml version="1.0" encoding="utf-8"?>
<ds:datastoreItem xmlns:ds="http://schemas.openxmlformats.org/officeDocument/2006/customXml" ds:itemID="{302464A8-7BA5-4131-8D06-4B18A77BE91D}">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4.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5.xml><?xml version="1.0" encoding="utf-8"?>
<ds:datastoreItem xmlns:ds="http://schemas.openxmlformats.org/officeDocument/2006/customXml" ds:itemID="{53522E1C-60D1-4154-90EA-8766434BF927}">
  <ds:schemaRefs>
    <ds:schemaRef ds:uri="http://schemas.openxmlformats.org/officeDocument/2006/bibliography"/>
  </ds:schemaRefs>
</ds:datastoreItem>
</file>

<file path=customXml/itemProps6.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7.xml><?xml version="1.0" encoding="utf-8"?>
<ds:datastoreItem xmlns:ds="http://schemas.openxmlformats.org/officeDocument/2006/customXml" ds:itemID="{67830FF7-5D6D-4942-A652-B23366791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78</Pages>
  <Words>20700</Words>
  <Characters>119026</Characters>
  <Application>Microsoft Office Word</Application>
  <DocSecurity>0</DocSecurity>
  <Lines>2587</Lines>
  <Paragraphs>1135</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138591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Safeguards</dc:title>
  <dc:subject>[Subtitle or description]</dc:subject>
  <cp:keywords>[Key words separated by commas]</cp:keywords>
  <dc:description/>
  <cp:revision>2</cp:revision>
  <cp:lastPrinted>2016-11-28T11:35:00Z</cp:lastPrinted>
  <dcterms:created xsi:type="dcterms:W3CDTF">2026-07-23T12:32:00Z</dcterms:created>
  <dcterms:modified xsi:type="dcterms:W3CDTF">2026-07-23T12:32:00Z</dcterms:modified>
  <cp:contentStatus>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