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534F773B" w:rsidR="00D0226A" w:rsidRPr="001E03E1" w:rsidRDefault="00F35122" w:rsidP="001E03E1">
                <w:pPr>
                  <w:pStyle w:val="CoverTitle"/>
                  <w:rPr>
                    <w:szCs w:val="90"/>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1B6DD8" w:rsidRPr="00340C85">
                      <w:rPr>
                        <w:sz w:val="56"/>
                        <w:szCs w:val="56"/>
                      </w:rPr>
                      <w:t>T</w:t>
                    </w:r>
                    <w:r>
                      <w:rPr>
                        <w:sz w:val="56"/>
                        <w:szCs w:val="56"/>
                      </w:rPr>
                      <w:t>he</w:t>
                    </w:r>
                    <w:r w:rsidR="001B6DD8" w:rsidRPr="00340C85">
                      <w:rPr>
                        <w:sz w:val="56"/>
                        <w:szCs w:val="56"/>
                      </w:rPr>
                      <w:t xml:space="preserve"> </w:t>
                    </w:r>
                    <w:r>
                      <w:rPr>
                        <w:sz w:val="56"/>
                        <w:szCs w:val="56"/>
                      </w:rPr>
                      <w:t>regulation</w:t>
                    </w:r>
                    <w:r w:rsidR="001B6DD8" w:rsidRPr="00340C85">
                      <w:rPr>
                        <w:sz w:val="56"/>
                        <w:szCs w:val="56"/>
                      </w:rPr>
                      <w:t xml:space="preserve"> </w:t>
                    </w:r>
                    <w:r>
                      <w:rPr>
                        <w:sz w:val="56"/>
                        <w:szCs w:val="56"/>
                      </w:rPr>
                      <w:t>of</w:t>
                    </w:r>
                    <w:r w:rsidR="001B6DD8" w:rsidRPr="00340C85">
                      <w:rPr>
                        <w:sz w:val="56"/>
                        <w:szCs w:val="56"/>
                      </w:rPr>
                      <w:t xml:space="preserve"> L</w:t>
                    </w:r>
                    <w:r>
                      <w:rPr>
                        <w:sz w:val="56"/>
                        <w:szCs w:val="56"/>
                      </w:rPr>
                      <w:t>ife</w:t>
                    </w:r>
                    <w:r w:rsidR="001B6DD8" w:rsidRPr="00340C85">
                      <w:rPr>
                        <w:sz w:val="56"/>
                        <w:szCs w:val="56"/>
                      </w:rPr>
                      <w:t xml:space="preserve"> F</w:t>
                    </w:r>
                    <w:r>
                      <w:rPr>
                        <w:sz w:val="56"/>
                        <w:szCs w:val="56"/>
                      </w:rPr>
                      <w:t>ire</w:t>
                    </w:r>
                    <w:r w:rsidR="001B6DD8" w:rsidRPr="00340C85">
                      <w:rPr>
                        <w:sz w:val="56"/>
                        <w:szCs w:val="56"/>
                      </w:rPr>
                      <w:t xml:space="preserve"> S</w:t>
                    </w:r>
                    <w:r>
                      <w:rPr>
                        <w:sz w:val="56"/>
                        <w:szCs w:val="56"/>
                      </w:rPr>
                      <w:t>afety</w:t>
                    </w:r>
                    <w:r w:rsidR="001B6DD8" w:rsidRPr="00340C85">
                      <w:rPr>
                        <w:sz w:val="56"/>
                        <w:szCs w:val="56"/>
                      </w:rPr>
                      <w:t xml:space="preserve"> </w:t>
                    </w:r>
                    <w:r>
                      <w:rPr>
                        <w:sz w:val="56"/>
                        <w:szCs w:val="56"/>
                      </w:rPr>
                      <w:t>on</w:t>
                    </w:r>
                    <w:r w:rsidR="001B6DD8" w:rsidRPr="00340C85">
                      <w:rPr>
                        <w:sz w:val="56"/>
                        <w:szCs w:val="56"/>
                      </w:rPr>
                      <w:t xml:space="preserve"> </w:t>
                    </w:r>
                    <w:r>
                      <w:rPr>
                        <w:sz w:val="56"/>
                        <w:szCs w:val="56"/>
                      </w:rPr>
                      <w:t>nuclear</w:t>
                    </w:r>
                    <w:r w:rsidR="001B6DD8" w:rsidRPr="00340C85">
                      <w:rPr>
                        <w:sz w:val="56"/>
                        <w:szCs w:val="56"/>
                      </w:rPr>
                      <w:t xml:space="preserve"> </w:t>
                    </w:r>
                    <w:r>
                      <w:rPr>
                        <w:sz w:val="56"/>
                        <w:szCs w:val="56"/>
                      </w:rPr>
                      <w:t>licensed</w:t>
                    </w:r>
                    <w:r w:rsidR="001B6DD8" w:rsidRPr="00340C85">
                      <w:rPr>
                        <w:sz w:val="56"/>
                        <w:szCs w:val="56"/>
                      </w:rPr>
                      <w:t xml:space="preserve"> </w:t>
                    </w:r>
                    <w:r>
                      <w:rPr>
                        <w:sz w:val="56"/>
                        <w:szCs w:val="56"/>
                      </w:rPr>
                      <w:t>sites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3A6CC438" w:rsidR="00004C16" w:rsidRPr="00004C16" w:rsidRDefault="00004C16" w:rsidP="00004C16">
      <w:pPr>
        <w:rPr>
          <w:color w:val="005F63"/>
          <w:sz w:val="36"/>
          <w:szCs w:val="36"/>
        </w:rPr>
      </w:pPr>
      <w:r w:rsidRPr="00004C16">
        <w:rPr>
          <w:color w:val="005F63"/>
          <w:sz w:val="36"/>
          <w:szCs w:val="36"/>
        </w:rPr>
        <w:lastRenderedPageBreak/>
        <w:t xml:space="preserve">ONR </w:t>
      </w:r>
      <w:r w:rsidR="00D60BCB">
        <w:rPr>
          <w:color w:val="005F63"/>
          <w:sz w:val="36"/>
          <w:szCs w:val="36"/>
        </w:rPr>
        <w:t>Technical Inspection Guide</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0894DE90" w:rsidR="00004C16" w:rsidRDefault="00F35122" w:rsidP="00004C16">
          <w:r>
            <w:rPr>
              <w:rStyle w:val="Style2"/>
            </w:rPr>
            <w:t>The regulation of Life Fire Safety on nuclear licensed sites</w:t>
          </w:r>
        </w:p>
      </w:sdtContent>
    </w:sdt>
    <w:p w14:paraId="61A25C0F" w14:textId="77777777" w:rsidR="00004C16" w:rsidRDefault="00004C16" w:rsidP="00004C16">
      <w:pPr>
        <w:rPr>
          <w:sz w:val="28"/>
          <w:szCs w:val="28"/>
        </w:rPr>
      </w:pPr>
    </w:p>
    <w:p w14:paraId="4D99E381" w14:textId="223EF2B3" w:rsidR="00004C16" w:rsidRPr="00004C16" w:rsidRDefault="00004C16" w:rsidP="00004C16">
      <w:pPr>
        <w:rPr>
          <w:sz w:val="28"/>
          <w:szCs w:val="28"/>
        </w:rPr>
      </w:pPr>
      <w:r w:rsidRPr="00004C16">
        <w:rPr>
          <w:sz w:val="28"/>
          <w:szCs w:val="28"/>
        </w:rPr>
        <w:t xml:space="preserve">Authored by – </w:t>
      </w:r>
      <w:r w:rsidR="001B6DD8">
        <w:rPr>
          <w:sz w:val="28"/>
          <w:szCs w:val="28"/>
        </w:rPr>
        <w:t>Life Fire Safety Inspector</w:t>
      </w:r>
    </w:p>
    <w:p w14:paraId="23B9A867" w14:textId="1F92C210" w:rsidR="00004C16" w:rsidRDefault="00004C16" w:rsidP="00004C16">
      <w:pPr>
        <w:rPr>
          <w:sz w:val="28"/>
          <w:szCs w:val="28"/>
        </w:rPr>
      </w:pPr>
      <w:r w:rsidRPr="00004C16">
        <w:rPr>
          <w:sz w:val="28"/>
          <w:szCs w:val="28"/>
        </w:rPr>
        <w:t xml:space="preserve">Approved by – </w:t>
      </w:r>
      <w:r w:rsidR="00821337">
        <w:rPr>
          <w:sz w:val="28"/>
          <w:szCs w:val="28"/>
        </w:rPr>
        <w:t xml:space="preserve">Professional Lead – </w:t>
      </w:r>
      <w:r w:rsidR="00845562">
        <w:rPr>
          <w:sz w:val="28"/>
          <w:szCs w:val="28"/>
        </w:rPr>
        <w:t>Nuclear Internal Hazards</w:t>
      </w:r>
      <w:r w:rsidR="002157BA">
        <w:rPr>
          <w:sz w:val="28"/>
          <w:szCs w:val="28"/>
        </w:rPr>
        <w:t xml:space="preserve"> &amp; Site Safety</w:t>
      </w:r>
    </w:p>
    <w:p w14:paraId="1014BEF0" w14:textId="77777777" w:rsidR="00821337" w:rsidRPr="00004C16" w:rsidRDefault="00821337" w:rsidP="00004C16">
      <w:pPr>
        <w:rPr>
          <w:sz w:val="28"/>
          <w:szCs w:val="28"/>
        </w:rPr>
      </w:pPr>
    </w:p>
    <w:p w14:paraId="247E3769" w14:textId="614120AF"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14CAB">
            <w:rPr>
              <w:sz w:val="28"/>
              <w:szCs w:val="28"/>
            </w:rPr>
            <w:t>2</w:t>
          </w:r>
        </w:sdtContent>
      </w:sdt>
    </w:p>
    <w:p w14:paraId="19206F45" w14:textId="162882BB" w:rsidR="00004C16" w:rsidRDefault="00004C16" w:rsidP="00004C16">
      <w:pPr>
        <w:rPr>
          <w:sz w:val="28"/>
          <w:szCs w:val="28"/>
        </w:rPr>
      </w:pPr>
      <w:r w:rsidRPr="00004C16">
        <w:rPr>
          <w:sz w:val="28"/>
          <w:szCs w:val="28"/>
        </w:rPr>
        <w:t xml:space="preserve">Publication Date: </w:t>
      </w:r>
      <w:r w:rsidR="00714CAB">
        <w:rPr>
          <w:sz w:val="28"/>
          <w:szCs w:val="28"/>
        </w:rPr>
        <w:t>March</w:t>
      </w:r>
      <w:r w:rsidRPr="00004C16">
        <w:rPr>
          <w:sz w:val="28"/>
          <w:szCs w:val="28"/>
        </w:rPr>
        <w:t>-</w:t>
      </w:r>
      <w:r w:rsidR="00714CAB">
        <w:rPr>
          <w:sz w:val="28"/>
          <w:szCs w:val="28"/>
        </w:rPr>
        <w:t>23</w:t>
      </w:r>
    </w:p>
    <w:p w14:paraId="22297511" w14:textId="14C7D7AE" w:rsidR="005C1E52" w:rsidRDefault="005C1E52" w:rsidP="00004C16">
      <w:pPr>
        <w:rPr>
          <w:sz w:val="28"/>
          <w:szCs w:val="28"/>
        </w:rPr>
      </w:pPr>
      <w:r w:rsidRPr="005C1E52">
        <w:rPr>
          <w:sz w:val="28"/>
          <w:szCs w:val="28"/>
        </w:rPr>
        <w:t>Next Major Review Date</w:t>
      </w:r>
      <w:r>
        <w:rPr>
          <w:sz w:val="28"/>
          <w:szCs w:val="28"/>
        </w:rPr>
        <w:t>:</w:t>
      </w:r>
      <w:r w:rsidRPr="005C1E52">
        <w:rPr>
          <w:sz w:val="28"/>
          <w:szCs w:val="28"/>
        </w:rPr>
        <w:t xml:space="preserve"> M</w:t>
      </w:r>
      <w:r w:rsidR="00272193">
        <w:rPr>
          <w:sz w:val="28"/>
          <w:szCs w:val="28"/>
        </w:rPr>
        <w:t>arch</w:t>
      </w:r>
      <w:r w:rsidRPr="005C1E52">
        <w:rPr>
          <w:sz w:val="28"/>
          <w:szCs w:val="28"/>
        </w:rPr>
        <w:t>-</w:t>
      </w:r>
      <w:r w:rsidR="00272193">
        <w:rPr>
          <w:sz w:val="28"/>
          <w:szCs w:val="28"/>
        </w:rPr>
        <w:t>26</w:t>
      </w:r>
    </w:p>
    <w:p w14:paraId="5C6B9B2F" w14:textId="09A4F14C" w:rsidR="006F7E5F" w:rsidRPr="00004C16" w:rsidRDefault="006F7E5F" w:rsidP="00004C16">
      <w:pPr>
        <w:rPr>
          <w:sz w:val="28"/>
          <w:szCs w:val="28"/>
        </w:rPr>
      </w:pPr>
      <w:r>
        <w:rPr>
          <w:sz w:val="28"/>
          <w:szCs w:val="28"/>
        </w:rPr>
        <w:t xml:space="preserve">Doc. Ref.: </w:t>
      </w:r>
      <w:r w:rsidR="00340C85" w:rsidRPr="00340C85">
        <w:rPr>
          <w:sz w:val="28"/>
          <w:szCs w:val="28"/>
        </w:rPr>
        <w:t>NS-INSP-GD-073</w:t>
      </w:r>
    </w:p>
    <w:p w14:paraId="55057C62" w14:textId="7227E523" w:rsidR="00004C16" w:rsidRPr="00004C16" w:rsidRDefault="00004C16" w:rsidP="00004C16">
      <w:pPr>
        <w:rPr>
          <w:sz w:val="28"/>
          <w:szCs w:val="28"/>
        </w:rPr>
      </w:pPr>
      <w:r w:rsidRPr="00004C16">
        <w:rPr>
          <w:sz w:val="28"/>
          <w:szCs w:val="28"/>
        </w:rPr>
        <w:t>Record Ref. No.:</w:t>
      </w:r>
      <w:r w:rsidR="00340C85">
        <w:rPr>
          <w:sz w:val="28"/>
          <w:szCs w:val="28"/>
        </w:rPr>
        <w:t xml:space="preserve"> </w:t>
      </w:r>
      <w:r w:rsidR="00340C85" w:rsidRPr="00340C85">
        <w:rPr>
          <w:sz w:val="28"/>
          <w:szCs w:val="28"/>
        </w:rPr>
        <w:t>2021/12525</w:t>
      </w:r>
    </w:p>
    <w:p w14:paraId="39BC0EA4" w14:textId="77777777" w:rsidR="00420A11" w:rsidRDefault="00420A11" w:rsidP="00323E71"/>
    <w:p w14:paraId="5798DFED" w14:textId="77777777" w:rsidR="001D0DE0" w:rsidRPr="00595C8C" w:rsidRDefault="00595C8C" w:rsidP="00595C8C">
      <w:pPr>
        <w:rPr>
          <w:color w:val="22413A"/>
          <w:sz w:val="48"/>
          <w:szCs w:val="44"/>
        </w:rPr>
      </w:pPr>
      <w:r w:rsidRPr="00595C8C">
        <w:rPr>
          <w:color w:val="22413A"/>
          <w:sz w:val="48"/>
          <w:szCs w:val="44"/>
        </w:rPr>
        <w:t>Revision Commentary</w:t>
      </w:r>
    </w:p>
    <w:tbl>
      <w:tblPr>
        <w:tblStyle w:val="ONRTable1"/>
        <w:tblW w:w="0" w:type="auto"/>
        <w:tblInd w:w="10" w:type="dxa"/>
        <w:tblLook w:val="04A0" w:firstRow="1" w:lastRow="0" w:firstColumn="1" w:lastColumn="0" w:noHBand="0" w:noVBand="1"/>
      </w:tblPr>
      <w:tblGrid>
        <w:gridCol w:w="2684"/>
        <w:gridCol w:w="7052"/>
      </w:tblGrid>
      <w:tr w:rsidR="00595C8C" w14:paraId="116B87DF" w14:textId="77777777" w:rsidTr="00595C8C">
        <w:trPr>
          <w:cnfStyle w:val="100000000000" w:firstRow="1" w:lastRow="0" w:firstColumn="0" w:lastColumn="0" w:oddVBand="0" w:evenVBand="0" w:oddHBand="0" w:evenHBand="0" w:firstRowFirstColumn="0" w:firstRowLastColumn="0" w:lastRowFirstColumn="0" w:lastRowLastColumn="0"/>
        </w:trPr>
        <w:tc>
          <w:tcPr>
            <w:tcW w:w="2684" w:type="dxa"/>
          </w:tcPr>
          <w:p w14:paraId="72366D01" w14:textId="5285E8FF" w:rsidR="00595C8C" w:rsidRDefault="00595C8C" w:rsidP="00595C8C">
            <w:pPr>
              <w:spacing w:before="60" w:after="60"/>
            </w:pPr>
            <w:r>
              <w:t>Issue</w:t>
            </w:r>
            <w:r w:rsidR="004E3932">
              <w:t xml:space="preserve"> No.</w:t>
            </w:r>
          </w:p>
        </w:tc>
        <w:tc>
          <w:tcPr>
            <w:tcW w:w="7052" w:type="dxa"/>
          </w:tcPr>
          <w:p w14:paraId="2D00C3FD" w14:textId="26176D05" w:rsidR="00595C8C" w:rsidRDefault="00595C8C" w:rsidP="00595C8C">
            <w:pPr>
              <w:spacing w:before="60" w:after="60"/>
            </w:pPr>
            <w:r>
              <w:t>Description of Update(s)</w:t>
            </w:r>
          </w:p>
        </w:tc>
      </w:tr>
      <w:tr w:rsidR="00595C8C" w14:paraId="0B4E4E42" w14:textId="77777777" w:rsidTr="00595C8C">
        <w:tc>
          <w:tcPr>
            <w:tcW w:w="2684" w:type="dxa"/>
          </w:tcPr>
          <w:p w14:paraId="65482A03" w14:textId="51A9D8EB" w:rsidR="00595C8C" w:rsidRDefault="00272193" w:rsidP="00595C8C">
            <w:pPr>
              <w:spacing w:before="60" w:after="60"/>
            </w:pPr>
            <w:r>
              <w:t>2</w:t>
            </w:r>
          </w:p>
        </w:tc>
        <w:tc>
          <w:tcPr>
            <w:tcW w:w="7052" w:type="dxa"/>
          </w:tcPr>
          <w:p w14:paraId="1C80912E" w14:textId="5E75F4B6" w:rsidR="00595C8C" w:rsidRDefault="003B4760" w:rsidP="00595C8C">
            <w:pPr>
              <w:spacing w:before="60" w:after="60"/>
            </w:pPr>
            <w:r>
              <w:t xml:space="preserve">Amended to include </w:t>
            </w:r>
            <w:r w:rsidR="005A53AF">
              <w:t>updated information and references</w:t>
            </w:r>
          </w:p>
        </w:tc>
      </w:tr>
    </w:tbl>
    <w:p w14:paraId="1FDB4B56" w14:textId="6C10B266" w:rsidR="00595C8C" w:rsidRDefault="00595C8C" w:rsidP="00323E71">
      <w:pPr>
        <w:sectPr w:rsidR="00595C8C" w:rsidSect="004C4891">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68E9A3D4" w14:textId="53A18308" w:rsidR="00340C85" w:rsidRDefault="00AD167C">
      <w:pPr>
        <w:pStyle w:val="TOC1"/>
        <w:tabs>
          <w:tab w:val="left" w:pos="720"/>
        </w:tabs>
        <w:rPr>
          <w:rFonts w:asciiTheme="minorHAnsi" w:eastAsiaTheme="minorEastAsia" w:hAnsiTheme="minorHAnsi" w:cstheme="minorBidi"/>
          <w:sz w:val="22"/>
          <w:lang w:eastAsia="en-GB" w:bidi="ar-SA"/>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128721139" w:history="1">
        <w:r w:rsidR="00340C85" w:rsidRPr="00044AEE">
          <w:rPr>
            <w:rStyle w:val="Hyperlink"/>
          </w:rPr>
          <w:t>1.</w:t>
        </w:r>
        <w:r w:rsidR="00340C85">
          <w:rPr>
            <w:rFonts w:asciiTheme="minorHAnsi" w:eastAsiaTheme="minorEastAsia" w:hAnsiTheme="minorHAnsi" w:cstheme="minorBidi"/>
            <w:sz w:val="22"/>
            <w:lang w:eastAsia="en-GB" w:bidi="ar-SA"/>
          </w:rPr>
          <w:tab/>
        </w:r>
        <w:r w:rsidR="00340C85" w:rsidRPr="00044AEE">
          <w:rPr>
            <w:rStyle w:val="Hyperlink"/>
          </w:rPr>
          <w:t>Introduction</w:t>
        </w:r>
        <w:r w:rsidR="00340C85">
          <w:rPr>
            <w:webHidden/>
          </w:rPr>
          <w:tab/>
        </w:r>
        <w:r w:rsidR="00340C85">
          <w:rPr>
            <w:webHidden/>
          </w:rPr>
          <w:fldChar w:fldCharType="begin"/>
        </w:r>
        <w:r w:rsidR="00340C85">
          <w:rPr>
            <w:webHidden/>
          </w:rPr>
          <w:instrText xml:space="preserve"> PAGEREF _Toc128721139 \h </w:instrText>
        </w:r>
        <w:r w:rsidR="00340C85">
          <w:rPr>
            <w:webHidden/>
          </w:rPr>
        </w:r>
        <w:r w:rsidR="00340C85">
          <w:rPr>
            <w:webHidden/>
          </w:rPr>
          <w:fldChar w:fldCharType="separate"/>
        </w:r>
        <w:r w:rsidR="00340C85">
          <w:rPr>
            <w:webHidden/>
          </w:rPr>
          <w:t>4</w:t>
        </w:r>
        <w:r w:rsidR="00340C85">
          <w:rPr>
            <w:webHidden/>
          </w:rPr>
          <w:fldChar w:fldCharType="end"/>
        </w:r>
      </w:hyperlink>
    </w:p>
    <w:p w14:paraId="663EE789" w14:textId="4B431907" w:rsidR="00340C85" w:rsidRDefault="00F35122">
      <w:pPr>
        <w:pStyle w:val="TOC2"/>
        <w:tabs>
          <w:tab w:val="left" w:pos="1100"/>
        </w:tabs>
        <w:rPr>
          <w:rFonts w:asciiTheme="minorHAnsi" w:eastAsiaTheme="minorEastAsia" w:hAnsiTheme="minorHAnsi" w:cstheme="minorBidi"/>
          <w:sz w:val="22"/>
          <w:lang w:eastAsia="en-GB" w:bidi="ar-SA"/>
        </w:rPr>
      </w:pPr>
      <w:hyperlink w:anchor="_Toc128721140" w:history="1">
        <w:r w:rsidR="00340C85" w:rsidRPr="00044AEE">
          <w:rPr>
            <w:rStyle w:val="Hyperlink"/>
          </w:rPr>
          <w:t>1.1.</w:t>
        </w:r>
        <w:r w:rsidR="00340C85">
          <w:rPr>
            <w:rFonts w:asciiTheme="minorHAnsi" w:eastAsiaTheme="minorEastAsia" w:hAnsiTheme="minorHAnsi" w:cstheme="minorBidi"/>
            <w:sz w:val="22"/>
            <w:lang w:eastAsia="en-GB" w:bidi="ar-SA"/>
          </w:rPr>
          <w:tab/>
        </w:r>
        <w:r w:rsidR="00340C85" w:rsidRPr="00044AEE">
          <w:rPr>
            <w:rStyle w:val="Hyperlink"/>
          </w:rPr>
          <w:t>Purpose</w:t>
        </w:r>
        <w:r w:rsidR="00340C85">
          <w:rPr>
            <w:webHidden/>
          </w:rPr>
          <w:tab/>
        </w:r>
        <w:r w:rsidR="00340C85">
          <w:rPr>
            <w:webHidden/>
          </w:rPr>
          <w:fldChar w:fldCharType="begin"/>
        </w:r>
        <w:r w:rsidR="00340C85">
          <w:rPr>
            <w:webHidden/>
          </w:rPr>
          <w:instrText xml:space="preserve"> PAGEREF _Toc128721140 \h </w:instrText>
        </w:r>
        <w:r w:rsidR="00340C85">
          <w:rPr>
            <w:webHidden/>
          </w:rPr>
        </w:r>
        <w:r w:rsidR="00340C85">
          <w:rPr>
            <w:webHidden/>
          </w:rPr>
          <w:fldChar w:fldCharType="separate"/>
        </w:r>
        <w:r w:rsidR="00340C85">
          <w:rPr>
            <w:webHidden/>
          </w:rPr>
          <w:t>4</w:t>
        </w:r>
        <w:r w:rsidR="00340C85">
          <w:rPr>
            <w:webHidden/>
          </w:rPr>
          <w:fldChar w:fldCharType="end"/>
        </w:r>
      </w:hyperlink>
    </w:p>
    <w:p w14:paraId="164565B6" w14:textId="0EADF7F5" w:rsidR="00340C85" w:rsidRDefault="00F35122">
      <w:pPr>
        <w:pStyle w:val="TOC2"/>
        <w:tabs>
          <w:tab w:val="left" w:pos="1100"/>
        </w:tabs>
        <w:rPr>
          <w:rFonts w:asciiTheme="minorHAnsi" w:eastAsiaTheme="minorEastAsia" w:hAnsiTheme="minorHAnsi" w:cstheme="minorBidi"/>
          <w:sz w:val="22"/>
          <w:lang w:eastAsia="en-GB" w:bidi="ar-SA"/>
        </w:rPr>
      </w:pPr>
      <w:hyperlink w:anchor="_Toc128721141" w:history="1">
        <w:r w:rsidR="00340C85" w:rsidRPr="00044AEE">
          <w:rPr>
            <w:rStyle w:val="Hyperlink"/>
          </w:rPr>
          <w:t>1.2.</w:t>
        </w:r>
        <w:r w:rsidR="00340C85">
          <w:rPr>
            <w:rFonts w:asciiTheme="minorHAnsi" w:eastAsiaTheme="minorEastAsia" w:hAnsiTheme="minorHAnsi" w:cstheme="minorBidi"/>
            <w:sz w:val="22"/>
            <w:lang w:eastAsia="en-GB" w:bidi="ar-SA"/>
          </w:rPr>
          <w:tab/>
        </w:r>
        <w:r w:rsidR="00340C85" w:rsidRPr="00044AEE">
          <w:rPr>
            <w:rStyle w:val="Hyperlink"/>
          </w:rPr>
          <w:t>Scope and Applicability</w:t>
        </w:r>
        <w:r w:rsidR="00340C85">
          <w:rPr>
            <w:webHidden/>
          </w:rPr>
          <w:tab/>
        </w:r>
        <w:r w:rsidR="00340C85">
          <w:rPr>
            <w:webHidden/>
          </w:rPr>
          <w:fldChar w:fldCharType="begin"/>
        </w:r>
        <w:r w:rsidR="00340C85">
          <w:rPr>
            <w:webHidden/>
          </w:rPr>
          <w:instrText xml:space="preserve"> PAGEREF _Toc128721141 \h </w:instrText>
        </w:r>
        <w:r w:rsidR="00340C85">
          <w:rPr>
            <w:webHidden/>
          </w:rPr>
        </w:r>
        <w:r w:rsidR="00340C85">
          <w:rPr>
            <w:webHidden/>
          </w:rPr>
          <w:fldChar w:fldCharType="separate"/>
        </w:r>
        <w:r w:rsidR="00340C85">
          <w:rPr>
            <w:webHidden/>
          </w:rPr>
          <w:t>4</w:t>
        </w:r>
        <w:r w:rsidR="00340C85">
          <w:rPr>
            <w:webHidden/>
          </w:rPr>
          <w:fldChar w:fldCharType="end"/>
        </w:r>
      </w:hyperlink>
    </w:p>
    <w:p w14:paraId="7F5BC304" w14:textId="60BF957A" w:rsidR="00340C85" w:rsidRDefault="00F35122">
      <w:pPr>
        <w:pStyle w:val="TOC1"/>
        <w:tabs>
          <w:tab w:val="left" w:pos="720"/>
        </w:tabs>
        <w:rPr>
          <w:rFonts w:asciiTheme="minorHAnsi" w:eastAsiaTheme="minorEastAsia" w:hAnsiTheme="minorHAnsi" w:cstheme="minorBidi"/>
          <w:sz w:val="22"/>
          <w:lang w:eastAsia="en-GB" w:bidi="ar-SA"/>
        </w:rPr>
      </w:pPr>
      <w:hyperlink w:anchor="_Toc128721142" w:history="1">
        <w:r w:rsidR="00340C85" w:rsidRPr="00044AEE">
          <w:rPr>
            <w:rStyle w:val="Hyperlink"/>
          </w:rPr>
          <w:t>2.</w:t>
        </w:r>
        <w:r w:rsidR="00340C85">
          <w:rPr>
            <w:rFonts w:asciiTheme="minorHAnsi" w:eastAsiaTheme="minorEastAsia" w:hAnsiTheme="minorHAnsi" w:cstheme="minorBidi"/>
            <w:sz w:val="22"/>
            <w:lang w:eastAsia="en-GB" w:bidi="ar-SA"/>
          </w:rPr>
          <w:tab/>
        </w:r>
        <w:r w:rsidR="00340C85" w:rsidRPr="00044AEE">
          <w:rPr>
            <w:rStyle w:val="Hyperlink"/>
          </w:rPr>
          <w:t>Assessment of General Fire Precautions</w:t>
        </w:r>
        <w:r w:rsidR="00340C85">
          <w:rPr>
            <w:webHidden/>
          </w:rPr>
          <w:tab/>
        </w:r>
        <w:r w:rsidR="00340C85">
          <w:rPr>
            <w:webHidden/>
          </w:rPr>
          <w:fldChar w:fldCharType="begin"/>
        </w:r>
        <w:r w:rsidR="00340C85">
          <w:rPr>
            <w:webHidden/>
          </w:rPr>
          <w:instrText xml:space="preserve"> PAGEREF _Toc128721142 \h </w:instrText>
        </w:r>
        <w:r w:rsidR="00340C85">
          <w:rPr>
            <w:webHidden/>
          </w:rPr>
        </w:r>
        <w:r w:rsidR="00340C85">
          <w:rPr>
            <w:webHidden/>
          </w:rPr>
          <w:fldChar w:fldCharType="separate"/>
        </w:r>
        <w:r w:rsidR="00340C85">
          <w:rPr>
            <w:webHidden/>
          </w:rPr>
          <w:t>6</w:t>
        </w:r>
        <w:r w:rsidR="00340C85">
          <w:rPr>
            <w:webHidden/>
          </w:rPr>
          <w:fldChar w:fldCharType="end"/>
        </w:r>
      </w:hyperlink>
    </w:p>
    <w:p w14:paraId="7E5570BA" w14:textId="243D313F" w:rsidR="00340C85" w:rsidRDefault="00F35122">
      <w:pPr>
        <w:pStyle w:val="TOC1"/>
        <w:tabs>
          <w:tab w:val="left" w:pos="720"/>
        </w:tabs>
        <w:rPr>
          <w:rFonts w:asciiTheme="minorHAnsi" w:eastAsiaTheme="minorEastAsia" w:hAnsiTheme="minorHAnsi" w:cstheme="minorBidi"/>
          <w:sz w:val="22"/>
          <w:lang w:eastAsia="en-GB" w:bidi="ar-SA"/>
        </w:rPr>
      </w:pPr>
      <w:hyperlink w:anchor="_Toc128721143" w:history="1">
        <w:r w:rsidR="00340C85" w:rsidRPr="00044AEE">
          <w:rPr>
            <w:rStyle w:val="Hyperlink"/>
          </w:rPr>
          <w:t>3.</w:t>
        </w:r>
        <w:r w:rsidR="00340C85">
          <w:rPr>
            <w:rFonts w:asciiTheme="minorHAnsi" w:eastAsiaTheme="minorEastAsia" w:hAnsiTheme="minorHAnsi" w:cstheme="minorBidi"/>
            <w:sz w:val="22"/>
            <w:lang w:eastAsia="en-GB" w:bidi="ar-SA"/>
          </w:rPr>
          <w:tab/>
        </w:r>
        <w:r w:rsidR="00340C85" w:rsidRPr="00044AEE">
          <w:rPr>
            <w:rStyle w:val="Hyperlink"/>
          </w:rPr>
          <w:t>Enforcement and Matters of Evident &amp; Potential Major Concern</w:t>
        </w:r>
        <w:r w:rsidR="00340C85">
          <w:rPr>
            <w:webHidden/>
          </w:rPr>
          <w:tab/>
        </w:r>
        <w:r w:rsidR="00340C85">
          <w:rPr>
            <w:webHidden/>
          </w:rPr>
          <w:fldChar w:fldCharType="begin"/>
        </w:r>
        <w:r w:rsidR="00340C85">
          <w:rPr>
            <w:webHidden/>
          </w:rPr>
          <w:instrText xml:space="preserve"> PAGEREF _Toc128721143 \h </w:instrText>
        </w:r>
        <w:r w:rsidR="00340C85">
          <w:rPr>
            <w:webHidden/>
          </w:rPr>
        </w:r>
        <w:r w:rsidR="00340C85">
          <w:rPr>
            <w:webHidden/>
          </w:rPr>
          <w:fldChar w:fldCharType="separate"/>
        </w:r>
        <w:r w:rsidR="00340C85">
          <w:rPr>
            <w:webHidden/>
          </w:rPr>
          <w:t>8</w:t>
        </w:r>
        <w:r w:rsidR="00340C85">
          <w:rPr>
            <w:webHidden/>
          </w:rPr>
          <w:fldChar w:fldCharType="end"/>
        </w:r>
      </w:hyperlink>
    </w:p>
    <w:p w14:paraId="2ED28E93" w14:textId="0673AABC" w:rsidR="00340C85" w:rsidRDefault="00F35122">
      <w:pPr>
        <w:pStyle w:val="TOC1"/>
        <w:rPr>
          <w:rFonts w:asciiTheme="minorHAnsi" w:eastAsiaTheme="minorEastAsia" w:hAnsiTheme="minorHAnsi" w:cstheme="minorBidi"/>
          <w:sz w:val="22"/>
          <w:lang w:eastAsia="en-GB" w:bidi="ar-SA"/>
        </w:rPr>
      </w:pPr>
      <w:hyperlink w:anchor="_Toc128721144" w:history="1">
        <w:r w:rsidR="00340C85" w:rsidRPr="00044AEE">
          <w:rPr>
            <w:rStyle w:val="Hyperlink"/>
          </w:rPr>
          <w:t>References</w:t>
        </w:r>
        <w:r w:rsidR="00340C85">
          <w:rPr>
            <w:webHidden/>
          </w:rPr>
          <w:tab/>
        </w:r>
        <w:r w:rsidR="00340C85">
          <w:rPr>
            <w:webHidden/>
          </w:rPr>
          <w:fldChar w:fldCharType="begin"/>
        </w:r>
        <w:r w:rsidR="00340C85">
          <w:rPr>
            <w:webHidden/>
          </w:rPr>
          <w:instrText xml:space="preserve"> PAGEREF _Toc128721144 \h </w:instrText>
        </w:r>
        <w:r w:rsidR="00340C85">
          <w:rPr>
            <w:webHidden/>
          </w:rPr>
        </w:r>
        <w:r w:rsidR="00340C85">
          <w:rPr>
            <w:webHidden/>
          </w:rPr>
          <w:fldChar w:fldCharType="separate"/>
        </w:r>
        <w:r w:rsidR="00340C85">
          <w:rPr>
            <w:webHidden/>
          </w:rPr>
          <w:t>9</w:t>
        </w:r>
        <w:r w:rsidR="00340C85">
          <w:rPr>
            <w:webHidden/>
          </w:rPr>
          <w:fldChar w:fldCharType="end"/>
        </w:r>
      </w:hyperlink>
    </w:p>
    <w:p w14:paraId="5EB472BE" w14:textId="47BC4C29" w:rsidR="00340C85" w:rsidRDefault="00F35122">
      <w:pPr>
        <w:pStyle w:val="TOC1"/>
        <w:rPr>
          <w:rFonts w:asciiTheme="minorHAnsi" w:eastAsiaTheme="minorEastAsia" w:hAnsiTheme="minorHAnsi" w:cstheme="minorBidi"/>
          <w:sz w:val="22"/>
          <w:lang w:eastAsia="en-GB" w:bidi="ar-SA"/>
        </w:rPr>
      </w:pPr>
      <w:hyperlink w:anchor="_Toc128721145" w:history="1">
        <w:r w:rsidR="00340C85" w:rsidRPr="00044AEE">
          <w:rPr>
            <w:rStyle w:val="Hyperlink"/>
          </w:rPr>
          <w:t>Appendix A – Matters of Evident and Potential Major Concern</w:t>
        </w:r>
        <w:r w:rsidR="00340C85">
          <w:rPr>
            <w:webHidden/>
          </w:rPr>
          <w:tab/>
        </w:r>
        <w:r w:rsidR="00340C85">
          <w:rPr>
            <w:webHidden/>
          </w:rPr>
          <w:fldChar w:fldCharType="begin"/>
        </w:r>
        <w:r w:rsidR="00340C85">
          <w:rPr>
            <w:webHidden/>
          </w:rPr>
          <w:instrText xml:space="preserve"> PAGEREF _Toc128721145 \h </w:instrText>
        </w:r>
        <w:r w:rsidR="00340C85">
          <w:rPr>
            <w:webHidden/>
          </w:rPr>
        </w:r>
        <w:r w:rsidR="00340C85">
          <w:rPr>
            <w:webHidden/>
          </w:rPr>
          <w:fldChar w:fldCharType="separate"/>
        </w:r>
        <w:r w:rsidR="00340C85">
          <w:rPr>
            <w:webHidden/>
          </w:rPr>
          <w:t>10</w:t>
        </w:r>
        <w:r w:rsidR="00340C85">
          <w:rPr>
            <w:webHidden/>
          </w:rPr>
          <w:fldChar w:fldCharType="end"/>
        </w:r>
      </w:hyperlink>
    </w:p>
    <w:p w14:paraId="0CC4B54A" w14:textId="4BA2DEF4" w:rsidR="00267815" w:rsidRDefault="00AD167C" w:rsidP="00267815">
      <w:r>
        <w:fldChar w:fldCharType="end"/>
      </w:r>
    </w:p>
    <w:p w14:paraId="716B9A7E" w14:textId="77777777" w:rsidR="003E098E" w:rsidRDefault="003E098E" w:rsidP="00267815"/>
    <w:p w14:paraId="4812BFF8" w14:textId="77777777" w:rsidR="003E098E" w:rsidRDefault="003E098E" w:rsidP="00267815">
      <w:pPr>
        <w:sectPr w:rsidR="003E098E" w:rsidSect="00B82646">
          <w:headerReference w:type="even" r:id="rId17"/>
          <w:headerReference w:type="default" r:id="rId18"/>
          <w:footerReference w:type="even" r:id="rId19"/>
          <w:footerReference w:type="default" r:id="rId20"/>
          <w:pgSz w:w="11906" w:h="16838" w:code="9"/>
          <w:pgMar w:top="1440" w:right="1080" w:bottom="1440" w:left="1080" w:header="397" w:footer="397" w:gutter="0"/>
          <w:cols w:space="312"/>
          <w:docGrid w:linePitch="360"/>
        </w:sectPr>
      </w:pPr>
    </w:p>
    <w:bookmarkEnd w:id="0"/>
    <w:p w14:paraId="1312A29B" w14:textId="77777777" w:rsidR="00FA00BE" w:rsidRDefault="00FA00BE" w:rsidP="00FA00BE"/>
    <w:p w14:paraId="43A875A4" w14:textId="7F61F835" w:rsidR="008D49A5" w:rsidRPr="00223090" w:rsidRDefault="008D49A5" w:rsidP="00223090">
      <w:pPr>
        <w:pStyle w:val="Heading1"/>
      </w:pPr>
      <w:bookmarkStart w:id="1" w:name="_Toc128721139"/>
      <w:r w:rsidRPr="00223090">
        <w:t>Introduction</w:t>
      </w:r>
      <w:bookmarkEnd w:id="1"/>
    </w:p>
    <w:p w14:paraId="10107D31" w14:textId="67DED134" w:rsidR="00AB6230" w:rsidRDefault="00AB6230" w:rsidP="00AB6230">
      <w:pPr>
        <w:pStyle w:val="F9-Paragraph"/>
        <w:numPr>
          <w:ilvl w:val="0"/>
          <w:numId w:val="27"/>
        </w:numPr>
      </w:pPr>
      <w:bookmarkStart w:id="2" w:name="_Hlk64448648"/>
      <w:r w:rsidRPr="00AB6230">
        <w:t>Responsibility for the regulation of site safety, including fire safety provisions, on nuclear sites is a core purpose of ONR under the Energy Act 2013. The relevant statutory provisions for Life Fire Safety (LFS) are contained within the Regulatory Reform (Fire Safety) Order 2005 (FSO) [1] and the Fire (Scotland) Act 2005 (FSA) [2]. Therefore, ONR has a regulatory requirement to ensure that the nuclear industry is taking appropriate measures to control all risks to life from fire arising from their undertakings.</w:t>
      </w:r>
    </w:p>
    <w:p w14:paraId="6A0CA150" w14:textId="77777777" w:rsidR="00B05122" w:rsidRDefault="00B05122" w:rsidP="00B05122">
      <w:pPr>
        <w:pStyle w:val="F9-Paragraph"/>
        <w:numPr>
          <w:ilvl w:val="0"/>
          <w:numId w:val="0"/>
        </w:numPr>
        <w:ind w:left="720"/>
      </w:pPr>
    </w:p>
    <w:p w14:paraId="4DE1980B" w14:textId="77A98BDF" w:rsidR="008D49A5" w:rsidRPr="00AA78A4" w:rsidRDefault="00B05122" w:rsidP="00A212F4">
      <w:pPr>
        <w:pStyle w:val="F9-Paragraph"/>
        <w:numPr>
          <w:ilvl w:val="0"/>
          <w:numId w:val="27"/>
        </w:numPr>
      </w:pPr>
      <w:r w:rsidRPr="00B05122">
        <w:t>Life Fire Safety is linked to, but differs from, Process Fire Safety (PFS), which requires adequate arrangements to protect engineering systems, process systems, and safety equipment from damage by fire to safeguard against the possibility of a release of radiation. Guidance relating to ONR’s expectations for these arrangements can be found in ONR’s Safety Assessment Principles for Nuclear Facilities 2014 edition Revision 1 – January 2020. [3]</w:t>
      </w:r>
    </w:p>
    <w:p w14:paraId="616F197D" w14:textId="77777777" w:rsidR="008D49A5" w:rsidRPr="00FA33FE" w:rsidRDefault="008D49A5" w:rsidP="00FA33FE">
      <w:pPr>
        <w:pStyle w:val="Heading2"/>
      </w:pPr>
      <w:bookmarkStart w:id="3" w:name="_Toc128721140"/>
      <w:bookmarkEnd w:id="2"/>
      <w:r w:rsidRPr="00FA33FE">
        <w:t>Purpose</w:t>
      </w:r>
      <w:bookmarkEnd w:id="3"/>
    </w:p>
    <w:p w14:paraId="10EB7506" w14:textId="77777777" w:rsidR="00A212F4" w:rsidRPr="00A212F4" w:rsidRDefault="000C5F5A" w:rsidP="00A212F4">
      <w:pPr>
        <w:pStyle w:val="F9-Paragraph"/>
      </w:pPr>
      <w:r w:rsidRPr="008172D0">
        <w:t xml:space="preserve">To support inspectors undertaking compliance inspection, ONR produces a suite of guides to assist inspectors to make regulatory judgements and decisions in relation to the adequacy of compliance, and the safety of activities on the site. </w:t>
      </w:r>
      <w:r w:rsidR="00A212F4" w:rsidRPr="00A212F4">
        <w:t>This Technical Inspection Guide therefore provides guidance to all ONR Inspectors on the arrangements for the regulation of life fire safety on ONR’s sites (GB nuclear licensed sites, new nuclear build, and authorised defence sites)</w:t>
      </w:r>
    </w:p>
    <w:p w14:paraId="546293A4" w14:textId="1BF85F6B" w:rsidR="008D49A5" w:rsidRDefault="008D49A5" w:rsidP="00FA00BE">
      <w:pPr>
        <w:pStyle w:val="Heading2"/>
      </w:pPr>
      <w:bookmarkStart w:id="4" w:name="_Toc128721141"/>
      <w:r>
        <w:t>Scope and Applicability</w:t>
      </w:r>
      <w:bookmarkEnd w:id="4"/>
    </w:p>
    <w:p w14:paraId="248734D4" w14:textId="303FE02B" w:rsidR="00F467DD" w:rsidRDefault="00F467DD" w:rsidP="00F467DD">
      <w:pPr>
        <w:pStyle w:val="F9-Paragraph"/>
      </w:pPr>
      <w:r w:rsidRPr="00F467DD">
        <w:t xml:space="preserve">The guide describes the role of ONR in the regulation of conventional fire safety (life safety).and describes certain activities of the LFS discipline of ONR’s Nuclear Internal Hazards and Site Safety (NIHSS) Specialism in its delivery of strategic proactive and reactive regulation of the management of CFS at GB nuclear sites. It does not describe the full range of ONR’s LFS regulatory activities (such as the inspection of management systems which overlaps with work of the HOC Specialism) but seeks to draw the attention of all ONR Inspectors to activities on site where they may need to </w:t>
      </w:r>
      <w:proofErr w:type="gramStart"/>
      <w:r w:rsidRPr="00F467DD">
        <w:t>take action</w:t>
      </w:r>
      <w:proofErr w:type="gramEnd"/>
      <w:r w:rsidRPr="00F467DD">
        <w:t xml:space="preserve">.  This includes advice to ONR inspectors encountering matters of evident concern, matters of potential major concern and other matters concerning fire safety statutory compliance on ONR’s sites as described in ONR Guide NS-INSP-GD-51 Dealing with Matters of Evident Concern and Potential Major Concern. [4] See section </w:t>
      </w:r>
      <w:r w:rsidR="00F14C4B">
        <w:t>3</w:t>
      </w:r>
      <w:r w:rsidRPr="00F467DD">
        <w:t xml:space="preserve"> and Annex A for further information.</w:t>
      </w:r>
    </w:p>
    <w:p w14:paraId="79394831" w14:textId="77777777" w:rsidR="008917E1" w:rsidRPr="00F467DD" w:rsidRDefault="008917E1" w:rsidP="008917E1">
      <w:pPr>
        <w:pStyle w:val="F9-Paragraph"/>
        <w:numPr>
          <w:ilvl w:val="0"/>
          <w:numId w:val="0"/>
        </w:numPr>
        <w:ind w:left="851"/>
      </w:pPr>
    </w:p>
    <w:p w14:paraId="65DB8B14" w14:textId="07D1C9AC" w:rsidR="001B4D5A" w:rsidRDefault="008917E1" w:rsidP="0029494A">
      <w:pPr>
        <w:pStyle w:val="F9-Paragraph"/>
      </w:pPr>
      <w:r w:rsidRPr="008917E1">
        <w:t xml:space="preserve">ONR has a statutory obligation to regulate life fire safety arrangements on nuclear licensed sites by virtue of the Regulatory Reform (Fire Safety) Order 2005, and the Fire (Scotland) Act, as amended by the Energy Act 2013.  This responsibility, delivered by specialist inspectors within the NIHSS Specialism, is independent of </w:t>
      </w:r>
      <w:r w:rsidRPr="008917E1">
        <w:lastRenderedPageBreak/>
        <w:t>nuclear safety requirements or site licence conditions, and is cross-cutting across all ONR divisions including New Reactors. However, where LFS requirements overlap with requirements for other ONR core purposes, disciplines, and Specialisms, NIHSS inspectors will engage with other ONR Specialists as necessary.</w:t>
      </w:r>
    </w:p>
    <w:p w14:paraId="43F09434" w14:textId="77777777" w:rsidR="009E0E52" w:rsidRDefault="009E0E52" w:rsidP="005754AE">
      <w:pPr>
        <w:sectPr w:rsidR="009E0E52" w:rsidSect="00B82646">
          <w:headerReference w:type="even" r:id="rId21"/>
          <w:headerReference w:type="default" r:id="rId22"/>
          <w:footerReference w:type="even" r:id="rId23"/>
          <w:pgSz w:w="11906" w:h="16838" w:code="9"/>
          <w:pgMar w:top="1440" w:right="1080" w:bottom="1440" w:left="1080" w:header="397" w:footer="397" w:gutter="0"/>
          <w:cols w:space="312"/>
          <w:docGrid w:linePitch="360"/>
        </w:sectPr>
      </w:pPr>
    </w:p>
    <w:p w14:paraId="05AAE39A" w14:textId="20D52E6C" w:rsidR="008D49A5" w:rsidRDefault="00483FD7" w:rsidP="00223090">
      <w:pPr>
        <w:pStyle w:val="Heading1"/>
      </w:pPr>
      <w:bookmarkStart w:id="5" w:name="_Toc128721142"/>
      <w:r>
        <w:lastRenderedPageBreak/>
        <w:t xml:space="preserve">Assessment of </w:t>
      </w:r>
      <w:r w:rsidR="00B37B3B">
        <w:t>General Fire Precautions</w:t>
      </w:r>
      <w:bookmarkEnd w:id="5"/>
    </w:p>
    <w:p w14:paraId="465C8C09" w14:textId="513D4981" w:rsidR="00344205" w:rsidRDefault="00344205" w:rsidP="00344205">
      <w:pPr>
        <w:pStyle w:val="F9-Paragraph"/>
      </w:pPr>
      <w:r w:rsidRPr="00344205">
        <w:t>ONR specialist inspectors regulate LFS adopting a strategic approach to proactive regulatory interventions, including the licensee’s fire safety management arrangements, to ensure systems are robust and comply with the law. Inspectors will identify any underlying issues to secure sustained compliance. Where duty holders are non-compliant with statutory requirements, ONR will consider appropriate and proportionate action in accordance with ONR’s Enforcement Policy Statement [5] and Enforcement Management Model to secure compliance. [6]</w:t>
      </w:r>
    </w:p>
    <w:p w14:paraId="3739AF35" w14:textId="77777777" w:rsidR="00544AF4" w:rsidRPr="00344205" w:rsidRDefault="00544AF4" w:rsidP="00544AF4">
      <w:pPr>
        <w:pStyle w:val="F9-Paragraph"/>
        <w:numPr>
          <w:ilvl w:val="0"/>
          <w:numId w:val="0"/>
        </w:numPr>
        <w:ind w:left="851"/>
      </w:pPr>
    </w:p>
    <w:p w14:paraId="13F81298" w14:textId="3B0359D3" w:rsidR="009F6114" w:rsidRDefault="009F6114" w:rsidP="009F6114">
      <w:pPr>
        <w:pStyle w:val="F9-Paragraph"/>
      </w:pPr>
      <w:r w:rsidRPr="009F6114">
        <w:t>ONR expects the provision of such general fire precautions as will ensure, so far as is reasonably practicable (SFAIRP), the safety of all employees, and all relevant persons who may be present on a licensed site, including any appropriate fire precautions as may also be reasonably required on a site, appropriate to risk, to ensure that premises are safe. Furthermore, ONR expects the use of effective internal assurance of these provisions by the industry.</w:t>
      </w:r>
    </w:p>
    <w:p w14:paraId="0A99B7C4" w14:textId="77777777" w:rsidR="00544AF4" w:rsidRPr="009F6114" w:rsidRDefault="00544AF4" w:rsidP="00544AF4">
      <w:pPr>
        <w:pStyle w:val="F9-Paragraph"/>
        <w:numPr>
          <w:ilvl w:val="0"/>
          <w:numId w:val="0"/>
        </w:numPr>
      </w:pPr>
    </w:p>
    <w:p w14:paraId="7EF6E629" w14:textId="77777777" w:rsidR="00544AF4" w:rsidRDefault="00544AF4" w:rsidP="00544AF4">
      <w:pPr>
        <w:pStyle w:val="F9-Paragraph"/>
      </w:pPr>
      <w:r>
        <w:t>The principal purpose of LFS specialist inspectors is to support ONR’s operational divisions to deliver effective LFS regulation according to agreed work-plans, and to support other regulatory work as appropriate. This work includes:</w:t>
      </w:r>
    </w:p>
    <w:p w14:paraId="60E8AC80" w14:textId="77777777" w:rsidR="00544AF4" w:rsidRDefault="00544AF4" w:rsidP="00544AF4">
      <w:pPr>
        <w:pStyle w:val="F9-Paragraph"/>
        <w:numPr>
          <w:ilvl w:val="0"/>
          <w:numId w:val="28"/>
        </w:numPr>
        <w:ind w:firstLine="414"/>
      </w:pPr>
      <w:r>
        <w:t xml:space="preserve">Post-fire investigations, and notifiable events, </w:t>
      </w:r>
    </w:p>
    <w:p w14:paraId="592EA335" w14:textId="77777777" w:rsidR="00544AF4" w:rsidRDefault="00544AF4" w:rsidP="00D30817">
      <w:pPr>
        <w:pStyle w:val="F9-Paragraph"/>
        <w:numPr>
          <w:ilvl w:val="0"/>
          <w:numId w:val="28"/>
        </w:numPr>
        <w:ind w:left="1418" w:hanging="284"/>
      </w:pPr>
      <w:r>
        <w:t xml:space="preserve">The provision of general fire safety advice to sites upon request, </w:t>
      </w:r>
      <w:proofErr w:type="gramStart"/>
      <w:r>
        <w:t>in order to</w:t>
      </w:r>
      <w:proofErr w:type="gramEnd"/>
      <w:r>
        <w:t xml:space="preserve"> ensure compliance with relevant regulations, </w:t>
      </w:r>
    </w:p>
    <w:p w14:paraId="6D3819FE" w14:textId="77777777" w:rsidR="00544AF4" w:rsidRDefault="00544AF4" w:rsidP="00D30817">
      <w:pPr>
        <w:pStyle w:val="F9-Paragraph"/>
        <w:numPr>
          <w:ilvl w:val="0"/>
          <w:numId w:val="28"/>
        </w:numPr>
        <w:ind w:left="1418" w:hanging="284"/>
      </w:pPr>
      <w:r>
        <w:t>Engaging with industry stakeholders on design proposals for new build projects,</w:t>
      </w:r>
    </w:p>
    <w:p w14:paraId="1C4A1B23" w14:textId="77777777" w:rsidR="00544AF4" w:rsidRDefault="00544AF4" w:rsidP="00D30817">
      <w:pPr>
        <w:pStyle w:val="F9-Paragraph"/>
        <w:numPr>
          <w:ilvl w:val="0"/>
          <w:numId w:val="28"/>
        </w:numPr>
        <w:ind w:left="1418" w:hanging="284"/>
      </w:pPr>
      <w:r>
        <w:t>Consulting with local authority building control authorities or approved inspectors to assess compliance with relevant UK Building Regulations for new build proposals or significant alterations to existing non-nuclear buildings. [7] [8]</w:t>
      </w:r>
    </w:p>
    <w:p w14:paraId="61FFDCEA" w14:textId="77777777" w:rsidR="00544AF4" w:rsidRDefault="00544AF4" w:rsidP="00D30817">
      <w:pPr>
        <w:pStyle w:val="F9-Paragraph"/>
        <w:numPr>
          <w:ilvl w:val="0"/>
          <w:numId w:val="28"/>
        </w:numPr>
        <w:ind w:left="1418" w:hanging="284"/>
      </w:pPr>
      <w:r>
        <w:t>LFS requirements are also considered as part of ONR’s Generic Design Assessment (GDA) process, and specialist inspectors provide advice and assessment to ONRs New Reactors Programme.</w:t>
      </w:r>
    </w:p>
    <w:p w14:paraId="2FCAD6A0" w14:textId="77777777" w:rsidR="00544AF4" w:rsidRDefault="00544AF4" w:rsidP="00D30817">
      <w:pPr>
        <w:pStyle w:val="F9-Paragraph"/>
        <w:numPr>
          <w:ilvl w:val="0"/>
          <w:numId w:val="28"/>
        </w:numPr>
        <w:ind w:left="1418" w:hanging="284"/>
      </w:pPr>
      <w:r>
        <w:t xml:space="preserve">The selection and investigation of workplace concerns and whistleblowing (protected disclosure).  Details can be found in ONR-ENF-GD-005-Revision 3:  Process for Conducting Investigations. [9] </w:t>
      </w:r>
    </w:p>
    <w:p w14:paraId="139874E5" w14:textId="2573DFC2" w:rsidR="00544AF4" w:rsidRDefault="00544AF4" w:rsidP="00544AF4">
      <w:pPr>
        <w:pStyle w:val="F9-Paragraph"/>
        <w:numPr>
          <w:ilvl w:val="0"/>
          <w:numId w:val="0"/>
        </w:numPr>
        <w:ind w:left="851"/>
      </w:pPr>
      <w:r>
        <w:t xml:space="preserve">    </w:t>
      </w:r>
    </w:p>
    <w:p w14:paraId="5AC93494" w14:textId="483C141C" w:rsidR="00544AF4" w:rsidRDefault="00544AF4" w:rsidP="00544AF4">
      <w:pPr>
        <w:pStyle w:val="F9-Paragraph"/>
        <w:numPr>
          <w:ilvl w:val="0"/>
          <w:numId w:val="0"/>
        </w:numPr>
        <w:ind w:left="851"/>
      </w:pPr>
      <w:r>
        <w:t>The integration and alignment of ONR divisional and LFS strategies, and the provision of specialist LFS resource to divisional teams, continues and enables the prioritisation and targeting of the holistic risk profile across ONR sites.</w:t>
      </w:r>
    </w:p>
    <w:p w14:paraId="43DC649E" w14:textId="77777777" w:rsidR="00DF3F81" w:rsidRDefault="00DF3F81" w:rsidP="00544AF4">
      <w:pPr>
        <w:pStyle w:val="F9-Paragraph"/>
        <w:numPr>
          <w:ilvl w:val="0"/>
          <w:numId w:val="0"/>
        </w:numPr>
        <w:ind w:left="851"/>
      </w:pPr>
    </w:p>
    <w:p w14:paraId="0FB5B138" w14:textId="790CD132" w:rsidR="00EB5E0C" w:rsidRDefault="00EB5E0C" w:rsidP="00EB5E0C">
      <w:pPr>
        <w:pStyle w:val="F9-Paragraph"/>
      </w:pPr>
      <w:r w:rsidRPr="00EB5E0C">
        <w:t>Any ONR inspector undertaking work on ONR sites involving specific LFS topics</w:t>
      </w:r>
      <w:r>
        <w:t xml:space="preserve"> </w:t>
      </w:r>
      <w:r w:rsidRPr="00EB5E0C">
        <w:t>or matters where LFS has ‘cross-cutting’ potential, should liaise with the relevant specialist inspectors who will seek to provide advice, assistance, and support as necessary.</w:t>
      </w:r>
    </w:p>
    <w:p w14:paraId="7BC25629" w14:textId="77777777" w:rsidR="00DF3F81" w:rsidRPr="00EB5E0C" w:rsidRDefault="00DF3F81" w:rsidP="00DF3F81">
      <w:pPr>
        <w:pStyle w:val="F9-Paragraph"/>
        <w:numPr>
          <w:ilvl w:val="0"/>
          <w:numId w:val="0"/>
        </w:numPr>
        <w:ind w:left="851"/>
      </w:pPr>
    </w:p>
    <w:p w14:paraId="629AB51C" w14:textId="7817678E" w:rsidR="00DF3F81" w:rsidRPr="00DF3F81" w:rsidRDefault="00DF3F81" w:rsidP="00DF3F81">
      <w:pPr>
        <w:pStyle w:val="F9-Paragraph"/>
      </w:pPr>
      <w:r w:rsidRPr="00DF3F81">
        <w:t xml:space="preserve">All ONR inspectors are expected to respond to Matters of Evident Concern (MEC), and Potential Major Concern if observed on site (see section </w:t>
      </w:r>
      <w:r w:rsidR="00F14C4B">
        <w:t>3</w:t>
      </w:r>
      <w:r w:rsidRPr="00DF3F81">
        <w:t>).</w:t>
      </w:r>
    </w:p>
    <w:p w14:paraId="329A20A6" w14:textId="018D1907" w:rsidR="00E122B6" w:rsidRPr="00E122B6" w:rsidRDefault="00E122B6" w:rsidP="00E122B6">
      <w:pPr>
        <w:pStyle w:val="F9-Paragraph"/>
      </w:pPr>
      <w:r w:rsidRPr="00E122B6">
        <w:lastRenderedPageBreak/>
        <w:t xml:space="preserve">Any identified LFS issues should be referred to ONR specialist LFS inspectors who undertake regulatory activities in relation to life fire safety, including the approval of building design, PMPs, the assessment of site-specific fire risk assessments and expert assessment of fire incident investigations. They can provide advice on process fire precautions, site exercises and emergency response capabilities. They also provide life safety fire assessments to GDA, and fire safety guidance in the licensing and construction of new reactor sites.  </w:t>
      </w:r>
    </w:p>
    <w:p w14:paraId="645013BF" w14:textId="2EEE1422" w:rsidR="00D60BCB" w:rsidRDefault="00D60BCB" w:rsidP="00E122B6">
      <w:pPr>
        <w:pStyle w:val="F9-Paragraph"/>
        <w:numPr>
          <w:ilvl w:val="0"/>
          <w:numId w:val="0"/>
        </w:numPr>
        <w:ind w:left="851"/>
      </w:pPr>
    </w:p>
    <w:p w14:paraId="5555B9BE" w14:textId="77777777" w:rsidR="00D60BCB" w:rsidRDefault="00D60BCB" w:rsidP="00D60BCB"/>
    <w:p w14:paraId="2BFCEDB0" w14:textId="77777777" w:rsidR="00D60BCB" w:rsidRDefault="00D60BCB">
      <w:pPr>
        <w:spacing w:after="0" w:line="240" w:lineRule="auto"/>
      </w:pPr>
      <w:r>
        <w:br w:type="page"/>
      </w:r>
    </w:p>
    <w:p w14:paraId="19CBAE12" w14:textId="3A104DDB" w:rsidR="00140E1C" w:rsidRDefault="001163A8" w:rsidP="00D60BCB">
      <w:pPr>
        <w:pStyle w:val="Heading1"/>
      </w:pPr>
      <w:bookmarkStart w:id="6" w:name="_Toc128721143"/>
      <w:r w:rsidRPr="001163A8">
        <w:lastRenderedPageBreak/>
        <w:t>Enforcement and Matters of Evident &amp; Potential Major Concern</w:t>
      </w:r>
      <w:bookmarkEnd w:id="6"/>
    </w:p>
    <w:p w14:paraId="7868E2F6" w14:textId="169AF667" w:rsidR="008467B4" w:rsidRDefault="008467B4" w:rsidP="008467B4">
      <w:pPr>
        <w:pStyle w:val="F9-Paragraph"/>
      </w:pPr>
      <w:r w:rsidRPr="008467B4">
        <w:t>Enforcement decisions relating to LFS matters on an ONR site must involve prompt consideration of any potential implications for ONR core purposes, including nuclear safety, arising from the proposed action; all inspectors must consult with the appropriate ONR Divisions and any relevant specialisms.</w:t>
      </w:r>
    </w:p>
    <w:p w14:paraId="51EB9439" w14:textId="77777777" w:rsidR="00AD4C13" w:rsidRPr="008467B4" w:rsidRDefault="00AD4C13" w:rsidP="00AD4C13">
      <w:pPr>
        <w:pStyle w:val="F9-Paragraph"/>
        <w:numPr>
          <w:ilvl w:val="0"/>
          <w:numId w:val="0"/>
        </w:numPr>
        <w:ind w:left="851"/>
      </w:pPr>
    </w:p>
    <w:p w14:paraId="61540A3C" w14:textId="69CD7F91" w:rsidR="0099466B" w:rsidRDefault="0099466B" w:rsidP="0099466B">
      <w:pPr>
        <w:pStyle w:val="F9-Paragraph"/>
      </w:pPr>
      <w:r w:rsidRPr="0099466B">
        <w:t xml:space="preserve">All ONR warranted Inspectors are required to deal with any significant Site Safety Hazards they observe (or are made aware of), that have the potential to cause death or serious injury on any ONR regulated site, as matters of evident and potential major concern. For further guidance see HSE’s Operational Circular OC 18/12 [10], </w:t>
      </w:r>
      <w:proofErr w:type="gramStart"/>
      <w:r w:rsidRPr="0099466B">
        <w:t>and also</w:t>
      </w:r>
      <w:proofErr w:type="gramEnd"/>
      <w:r w:rsidRPr="0099466B">
        <w:t xml:space="preserve"> </w:t>
      </w:r>
      <w:r w:rsidR="00951C8E">
        <w:t>section 7.1</w:t>
      </w:r>
      <w:r w:rsidRPr="0099466B">
        <w:t xml:space="preserve"> of ONR Guide ONR-GD-064 Revision 5</w:t>
      </w:r>
      <w:r w:rsidR="000B7D52">
        <w:t>.3</w:t>
      </w:r>
      <w:r w:rsidRPr="0099466B">
        <w:t>: ‘General Inspection Guide’. [11] For guidance on matters of evident concern and matters of potential major concern specific to life fire safety, see Annex A of this guide.</w:t>
      </w:r>
    </w:p>
    <w:p w14:paraId="4CB78977" w14:textId="77777777" w:rsidR="00AD4C13" w:rsidRPr="0099466B" w:rsidRDefault="00AD4C13" w:rsidP="00AD4C13">
      <w:pPr>
        <w:pStyle w:val="F9-Paragraph"/>
        <w:numPr>
          <w:ilvl w:val="0"/>
          <w:numId w:val="0"/>
        </w:numPr>
      </w:pPr>
    </w:p>
    <w:p w14:paraId="31785BE9" w14:textId="026F5676" w:rsidR="008B69C9" w:rsidRDefault="008B69C9" w:rsidP="008B69C9">
      <w:pPr>
        <w:pStyle w:val="F9-Paragraph"/>
      </w:pPr>
      <w:r w:rsidRPr="008B69C9">
        <w:t xml:space="preserve">In circumstances where an ONR Inspector is of the opinion that a work activity is being undertaken (or likely to be undertaken) on an ONR site by, or under the control of a nuclear licensee, </w:t>
      </w:r>
      <w:proofErr w:type="gramStart"/>
      <w:r w:rsidRPr="008B69C9">
        <w:t>contractor</w:t>
      </w:r>
      <w:proofErr w:type="gramEnd"/>
      <w:r w:rsidRPr="008B69C9">
        <w:t xml:space="preserve"> or other person, involves (or will involve) a risk of serious personal injury, the ONR inspector should take appropriate action to eliminate or reduce the risk to an acceptable level.  If the ONR Inspector is unsure of the appropriate </w:t>
      </w:r>
      <w:proofErr w:type="gramStart"/>
      <w:r w:rsidRPr="008B69C9">
        <w:t>action</w:t>
      </w:r>
      <w:proofErr w:type="gramEnd"/>
      <w:r w:rsidRPr="008B69C9">
        <w:t xml:space="preserve"> they should seek advice from LFS/NIHSS Specialist inspectors.  If no advice is available, the ONR inspector should stop the activity giving rise to serious risk either by verbal advice or, where there is risk of serious personal injury as described above, by the service of an immediate Prohibition Notice. The inspector’s line manager should be informed of the enforcement action as soon as possible.</w:t>
      </w:r>
    </w:p>
    <w:p w14:paraId="0454B15B" w14:textId="77777777" w:rsidR="00AD4C13" w:rsidRPr="008B69C9" w:rsidRDefault="00AD4C13" w:rsidP="00AD4C13">
      <w:pPr>
        <w:pStyle w:val="F9-Paragraph"/>
        <w:numPr>
          <w:ilvl w:val="0"/>
          <w:numId w:val="0"/>
        </w:numPr>
      </w:pPr>
    </w:p>
    <w:p w14:paraId="4344C528" w14:textId="758E5868" w:rsidR="00D60BCB" w:rsidRDefault="00075425" w:rsidP="00C963E6">
      <w:pPr>
        <w:pStyle w:val="F9-Paragraph"/>
      </w:pPr>
      <w:r w:rsidRPr="00075425">
        <w:t xml:space="preserve">If a matter is brought to the attention of an ONR inspector by safety representatives or workers, the ONR inspector should investigate the matter to establish the seriousness of the potential hazard and, if a risk is identified which meets the criteria in paragraph </w:t>
      </w:r>
      <w:r w:rsidR="00140A18">
        <w:t>1</w:t>
      </w:r>
      <w:r w:rsidR="00F14C4B">
        <w:t>4</w:t>
      </w:r>
      <w:r w:rsidR="00747131">
        <w:t>.</w:t>
      </w:r>
      <w:r w:rsidRPr="00075425">
        <w:t xml:space="preserve"> above and Annex A</w:t>
      </w:r>
      <w:r w:rsidR="00AD4C13">
        <w:t>.</w:t>
      </w:r>
    </w:p>
    <w:p w14:paraId="06B296C1" w14:textId="77777777" w:rsidR="00AD4C13" w:rsidRDefault="00AD4C13" w:rsidP="00AD4C13">
      <w:pPr>
        <w:pStyle w:val="F9-Paragraph"/>
        <w:numPr>
          <w:ilvl w:val="0"/>
          <w:numId w:val="0"/>
        </w:numPr>
      </w:pPr>
    </w:p>
    <w:p w14:paraId="122329CF" w14:textId="58F95DF7" w:rsidR="00AD4C13" w:rsidRDefault="00AD4C13" w:rsidP="00C963E6">
      <w:pPr>
        <w:pStyle w:val="F9-Paragraph"/>
      </w:pPr>
      <w:r w:rsidRPr="00AD4C13">
        <w:t>Matters of evident and potential major concern are set out in A</w:t>
      </w:r>
      <w:r w:rsidR="00254CB6">
        <w:t>ppendix</w:t>
      </w:r>
      <w:r w:rsidRPr="00AD4C13">
        <w:t xml:space="preserve"> A to this guidance.</w:t>
      </w:r>
    </w:p>
    <w:p w14:paraId="27EEFE25" w14:textId="77777777" w:rsidR="00D60BCB" w:rsidRPr="00502DB9" w:rsidRDefault="00D60BCB" w:rsidP="00D60BCB"/>
    <w:p w14:paraId="317A5897" w14:textId="253D9849" w:rsidR="00D60BCB" w:rsidRDefault="00D60BCB">
      <w:pPr>
        <w:spacing w:after="0" w:line="240" w:lineRule="auto"/>
      </w:pPr>
    </w:p>
    <w:p w14:paraId="4707FDB7" w14:textId="189D1D1D" w:rsidR="00E61978" w:rsidRDefault="00E61978">
      <w:pPr>
        <w:spacing w:after="0" w:line="240" w:lineRule="auto"/>
      </w:pPr>
    </w:p>
    <w:p w14:paraId="5E72ADE3" w14:textId="77777777" w:rsidR="00E61978" w:rsidRDefault="00E61978">
      <w:pPr>
        <w:spacing w:after="0" w:line="240" w:lineRule="auto"/>
      </w:pPr>
    </w:p>
    <w:p w14:paraId="2EB62447" w14:textId="423C1BCA" w:rsidR="00D60BCB" w:rsidRDefault="00D60BCB">
      <w:pPr>
        <w:spacing w:after="0" w:line="240" w:lineRule="auto"/>
      </w:pPr>
    </w:p>
    <w:p w14:paraId="697B57E8" w14:textId="77777777" w:rsidR="00D60BCB" w:rsidRPr="00D60BCB" w:rsidRDefault="00D60BCB" w:rsidP="00D60BCB"/>
    <w:p w14:paraId="29717B60" w14:textId="77777777" w:rsidR="00D60BCB" w:rsidRPr="00D60BCB" w:rsidRDefault="00D60BCB" w:rsidP="00D60BCB"/>
    <w:p w14:paraId="25B0DAC6" w14:textId="77777777" w:rsidR="00821337" w:rsidRDefault="00821337" w:rsidP="00FA33FE">
      <w:pPr>
        <w:pStyle w:val="Heading1"/>
        <w:numPr>
          <w:ilvl w:val="0"/>
          <w:numId w:val="0"/>
        </w:numPr>
        <w:ind w:left="851" w:hanging="851"/>
        <w:rPr>
          <w:color w:val="auto"/>
          <w:sz w:val="24"/>
        </w:rPr>
        <w:sectPr w:rsidR="00821337" w:rsidSect="00B82646">
          <w:pgSz w:w="11906" w:h="16838" w:code="9"/>
          <w:pgMar w:top="1440" w:right="1080" w:bottom="1440" w:left="1080" w:header="397" w:footer="397" w:gutter="0"/>
          <w:cols w:space="312"/>
          <w:docGrid w:linePitch="360"/>
        </w:sectPr>
      </w:pPr>
    </w:p>
    <w:bookmarkStart w:id="7" w:name="_Toc128721144" w:displacedByCustomXml="next"/>
    <w:sdt>
      <w:sdtPr>
        <w:rPr>
          <w:color w:val="auto"/>
          <w:sz w:val="24"/>
        </w:rPr>
        <w:id w:val="-652758001"/>
        <w:docPartObj>
          <w:docPartGallery w:val="Bibliographies"/>
          <w:docPartUnique/>
        </w:docPartObj>
      </w:sdtPr>
      <w:sdtEndPr/>
      <w:sdtContent>
        <w:p w14:paraId="7C314F13" w14:textId="3CB0FAA4" w:rsidR="00140E1C" w:rsidRDefault="00140E1C" w:rsidP="00FA33FE">
          <w:pPr>
            <w:pStyle w:val="Heading1"/>
            <w:numPr>
              <w:ilvl w:val="0"/>
              <w:numId w:val="0"/>
            </w:numPr>
            <w:ind w:left="851" w:hanging="851"/>
          </w:pPr>
          <w:r>
            <w:t>References</w:t>
          </w:r>
          <w:bookmarkEnd w:id="7"/>
        </w:p>
        <w:sdt>
          <w:sdtPr>
            <w:id w:val="-573587230"/>
            <w:bibliography/>
          </w:sdtPr>
          <w:sdtEndPr/>
          <w:sdtContent>
            <w:p w14:paraId="6440279A" w14:textId="64A38499" w:rsidR="006A420D" w:rsidRDefault="00140E1C">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6A420D" w14:paraId="45DE78B2" w14:textId="77777777">
                <w:trPr>
                  <w:divId w:val="1639139744"/>
                  <w:tblCellSpacing w:w="15" w:type="dxa"/>
                </w:trPr>
                <w:tc>
                  <w:tcPr>
                    <w:tcW w:w="50" w:type="pct"/>
                    <w:hideMark/>
                  </w:tcPr>
                  <w:p w14:paraId="163EC1A3" w14:textId="1C0E1B75" w:rsidR="006A420D" w:rsidRDefault="006A420D">
                    <w:pPr>
                      <w:pStyle w:val="Bibliography"/>
                      <w:rPr>
                        <w:noProof/>
                        <w:szCs w:val="24"/>
                      </w:rPr>
                    </w:pPr>
                    <w:r>
                      <w:rPr>
                        <w:noProof/>
                      </w:rPr>
                      <w:t xml:space="preserve">[1] </w:t>
                    </w:r>
                  </w:p>
                </w:tc>
                <w:tc>
                  <w:tcPr>
                    <w:tcW w:w="0" w:type="auto"/>
                    <w:hideMark/>
                  </w:tcPr>
                  <w:p w14:paraId="0097427D" w14:textId="7022CBAE" w:rsidR="006A420D" w:rsidRDefault="006A420D">
                    <w:pPr>
                      <w:pStyle w:val="Bibliography"/>
                      <w:rPr>
                        <w:noProof/>
                      </w:rPr>
                    </w:pPr>
                    <w:r>
                      <w:rPr>
                        <w:noProof/>
                      </w:rPr>
                      <w:t>The Regulatory Reform (Fire Safety) Order 2005</w:t>
                    </w:r>
                    <w:r w:rsidR="001E3C56">
                      <w:rPr>
                        <w:noProof/>
                      </w:rPr>
                      <w:t>,</w:t>
                    </w:r>
                    <w:r>
                      <w:rPr>
                        <w:noProof/>
                      </w:rPr>
                      <w:t xml:space="preserve"> UK Government, 2006.</w:t>
                    </w:r>
                    <w:r w:rsidR="00863CA1">
                      <w:rPr>
                        <w:noProof/>
                      </w:rPr>
                      <w:t xml:space="preserve"> </w:t>
                    </w:r>
                    <w:r w:rsidR="00863CA1" w:rsidRPr="00863CA1">
                      <w:rPr>
                        <w:noProof/>
                      </w:rPr>
                      <w:t>www.legislation.gov.uk/uksi/2005/1541/pdfs/uksi_20051541_en.pdf</w:t>
                    </w:r>
                  </w:p>
                </w:tc>
              </w:tr>
              <w:tr w:rsidR="006A420D" w14:paraId="462D8708" w14:textId="77777777">
                <w:trPr>
                  <w:divId w:val="1639139744"/>
                  <w:tblCellSpacing w:w="15" w:type="dxa"/>
                </w:trPr>
                <w:tc>
                  <w:tcPr>
                    <w:tcW w:w="50" w:type="pct"/>
                    <w:hideMark/>
                  </w:tcPr>
                  <w:p w14:paraId="02C922DB" w14:textId="77777777" w:rsidR="006A420D" w:rsidRDefault="006A420D">
                    <w:pPr>
                      <w:pStyle w:val="Bibliography"/>
                      <w:rPr>
                        <w:noProof/>
                      </w:rPr>
                    </w:pPr>
                    <w:r>
                      <w:rPr>
                        <w:noProof/>
                      </w:rPr>
                      <w:t xml:space="preserve">[2] </w:t>
                    </w:r>
                  </w:p>
                </w:tc>
                <w:tc>
                  <w:tcPr>
                    <w:tcW w:w="0" w:type="auto"/>
                    <w:hideMark/>
                  </w:tcPr>
                  <w:p w14:paraId="794AD07F" w14:textId="59928B1F" w:rsidR="006A420D" w:rsidRDefault="006A420D" w:rsidP="00863CA1">
                    <w:pPr>
                      <w:pStyle w:val="Bibliography"/>
                      <w:tabs>
                        <w:tab w:val="center" w:pos="4597"/>
                      </w:tabs>
                      <w:rPr>
                        <w:noProof/>
                      </w:rPr>
                    </w:pPr>
                    <w:r>
                      <w:rPr>
                        <w:noProof/>
                      </w:rPr>
                      <w:t>The Fire (Scotland) Act 2005 (Part 3).</w:t>
                    </w:r>
                    <w:r w:rsidR="00863CA1">
                      <w:t xml:space="preserve"> </w:t>
                    </w:r>
                    <w:r w:rsidR="00D551E4">
                      <w:t xml:space="preserve">                 </w:t>
                    </w:r>
                    <w:r w:rsidR="00863CA1" w:rsidRPr="00863CA1">
                      <w:rPr>
                        <w:noProof/>
                      </w:rPr>
                      <w:t>www.legislation.gov.uk/asp/2005/5/contents</w:t>
                    </w:r>
                  </w:p>
                </w:tc>
              </w:tr>
              <w:tr w:rsidR="006A420D" w14:paraId="2AA534C9" w14:textId="77777777">
                <w:trPr>
                  <w:divId w:val="1639139744"/>
                  <w:tblCellSpacing w:w="15" w:type="dxa"/>
                </w:trPr>
                <w:tc>
                  <w:tcPr>
                    <w:tcW w:w="50" w:type="pct"/>
                    <w:hideMark/>
                  </w:tcPr>
                  <w:p w14:paraId="5BA2283A" w14:textId="77777777" w:rsidR="006A420D" w:rsidRDefault="006A420D">
                    <w:pPr>
                      <w:pStyle w:val="Bibliography"/>
                      <w:rPr>
                        <w:noProof/>
                      </w:rPr>
                    </w:pPr>
                    <w:r>
                      <w:rPr>
                        <w:noProof/>
                      </w:rPr>
                      <w:t xml:space="preserve">[3] </w:t>
                    </w:r>
                  </w:p>
                </w:tc>
                <w:tc>
                  <w:tcPr>
                    <w:tcW w:w="0" w:type="auto"/>
                    <w:hideMark/>
                  </w:tcPr>
                  <w:p w14:paraId="76EE2F9B" w14:textId="39D2A247" w:rsidR="006A420D" w:rsidRDefault="00C3615B">
                    <w:pPr>
                      <w:pStyle w:val="Bibliography"/>
                      <w:rPr>
                        <w:noProof/>
                      </w:rPr>
                    </w:pPr>
                    <w:r>
                      <w:rPr>
                        <w:noProof/>
                      </w:rPr>
                      <w:t>Sa</w:t>
                    </w:r>
                    <w:r w:rsidR="006A420D">
                      <w:rPr>
                        <w:noProof/>
                      </w:rPr>
                      <w:t>fety Assessment Principles for Nuclear Facilities 2014 Edition (Revision 1 - Jaunuary 2020).</w:t>
                    </w:r>
                    <w:r w:rsidR="00A13D38">
                      <w:rPr>
                        <w:noProof/>
                      </w:rPr>
                      <w:t xml:space="preserve"> </w:t>
                    </w:r>
                    <w:r w:rsidR="00D551E4">
                      <w:rPr>
                        <w:noProof/>
                      </w:rPr>
                      <w:t xml:space="preserve">                                                       </w:t>
                    </w:r>
                    <w:r w:rsidR="00A13D38" w:rsidRPr="00A13D38">
                      <w:rPr>
                        <w:noProof/>
                      </w:rPr>
                      <w:t>www.onr.org.uk/saps/saps2014.pdf</w:t>
                    </w:r>
                    <w:r w:rsidR="004D30A4">
                      <w:rPr>
                        <w:noProof/>
                      </w:rPr>
                      <w:t xml:space="preserve"> </w:t>
                    </w:r>
                    <w:r w:rsidR="00A13D38">
                      <w:rPr>
                        <w:noProof/>
                      </w:rPr>
                      <w:t xml:space="preserve"> </w:t>
                    </w:r>
                  </w:p>
                </w:tc>
              </w:tr>
              <w:tr w:rsidR="006A420D" w14:paraId="04D61E24" w14:textId="77777777">
                <w:trPr>
                  <w:divId w:val="1639139744"/>
                  <w:tblCellSpacing w:w="15" w:type="dxa"/>
                </w:trPr>
                <w:tc>
                  <w:tcPr>
                    <w:tcW w:w="50" w:type="pct"/>
                    <w:hideMark/>
                  </w:tcPr>
                  <w:p w14:paraId="1EE6D704" w14:textId="77777777" w:rsidR="006A420D" w:rsidRDefault="006A420D">
                    <w:pPr>
                      <w:pStyle w:val="Bibliography"/>
                      <w:rPr>
                        <w:noProof/>
                      </w:rPr>
                    </w:pPr>
                    <w:r>
                      <w:rPr>
                        <w:noProof/>
                      </w:rPr>
                      <w:t xml:space="preserve">[4] </w:t>
                    </w:r>
                  </w:p>
                </w:tc>
                <w:tc>
                  <w:tcPr>
                    <w:tcW w:w="0" w:type="auto"/>
                    <w:hideMark/>
                  </w:tcPr>
                  <w:p w14:paraId="18D37FAF" w14:textId="07B1D64B" w:rsidR="006A420D" w:rsidRDefault="006A420D">
                    <w:pPr>
                      <w:pStyle w:val="Bibliography"/>
                      <w:rPr>
                        <w:noProof/>
                      </w:rPr>
                    </w:pPr>
                    <w:r>
                      <w:rPr>
                        <w:noProof/>
                      </w:rPr>
                      <w:t>NS-INSP-GD-051 Revision 9: Dealing with Matters of Evident and Potential Major Concern, 2022.</w:t>
                    </w:r>
                    <w:r w:rsidR="00232901">
                      <w:t xml:space="preserve"> </w:t>
                    </w:r>
                    <w:r w:rsidR="00D551E4">
                      <w:t xml:space="preserve">                                                     </w:t>
                    </w:r>
                    <w:r w:rsidR="00232901" w:rsidRPr="00232901">
                      <w:rPr>
                        <w:noProof/>
                      </w:rPr>
                      <w:t>www.onr.org.uk/operational/tech_insp_guides/</w:t>
                    </w:r>
                  </w:p>
                </w:tc>
              </w:tr>
              <w:tr w:rsidR="006A420D" w14:paraId="6DA799F9" w14:textId="77777777">
                <w:trPr>
                  <w:divId w:val="1639139744"/>
                  <w:tblCellSpacing w:w="15" w:type="dxa"/>
                </w:trPr>
                <w:tc>
                  <w:tcPr>
                    <w:tcW w:w="50" w:type="pct"/>
                    <w:hideMark/>
                  </w:tcPr>
                  <w:p w14:paraId="254EFC15" w14:textId="77777777" w:rsidR="006A420D" w:rsidRDefault="006A420D">
                    <w:pPr>
                      <w:pStyle w:val="Bibliography"/>
                      <w:rPr>
                        <w:noProof/>
                      </w:rPr>
                    </w:pPr>
                    <w:r>
                      <w:rPr>
                        <w:noProof/>
                      </w:rPr>
                      <w:t xml:space="preserve">[5] </w:t>
                    </w:r>
                  </w:p>
                </w:tc>
                <w:tc>
                  <w:tcPr>
                    <w:tcW w:w="0" w:type="auto"/>
                    <w:hideMark/>
                  </w:tcPr>
                  <w:p w14:paraId="62298386" w14:textId="4F5FAEFF" w:rsidR="006A420D" w:rsidRDefault="006A420D">
                    <w:pPr>
                      <w:pStyle w:val="Bibliography"/>
                      <w:rPr>
                        <w:noProof/>
                      </w:rPr>
                    </w:pPr>
                    <w:r>
                      <w:rPr>
                        <w:noProof/>
                      </w:rPr>
                      <w:t>ONR-ENF-POL-001 Revision 1: ONR Enforcement Policy Statement, 2020.</w:t>
                    </w:r>
                    <w:r w:rsidR="0043476F">
                      <w:t xml:space="preserve"> </w:t>
                    </w:r>
                    <w:r w:rsidR="0043476F" w:rsidRPr="0043476F">
                      <w:rPr>
                        <w:noProof/>
                      </w:rPr>
                      <w:t>www.onr.org.uk/enforcement.htm</w:t>
                    </w:r>
                  </w:p>
                </w:tc>
              </w:tr>
              <w:tr w:rsidR="006A420D" w14:paraId="27C6266D" w14:textId="77777777" w:rsidTr="0029036A">
                <w:trPr>
                  <w:divId w:val="1639139744"/>
                  <w:trHeight w:val="766"/>
                  <w:tblCellSpacing w:w="15" w:type="dxa"/>
                </w:trPr>
                <w:tc>
                  <w:tcPr>
                    <w:tcW w:w="50" w:type="pct"/>
                    <w:hideMark/>
                  </w:tcPr>
                  <w:p w14:paraId="51CACDAE" w14:textId="77777777" w:rsidR="006A420D" w:rsidRDefault="006A420D">
                    <w:pPr>
                      <w:pStyle w:val="Bibliography"/>
                      <w:rPr>
                        <w:noProof/>
                      </w:rPr>
                    </w:pPr>
                    <w:r>
                      <w:rPr>
                        <w:noProof/>
                      </w:rPr>
                      <w:t xml:space="preserve">[6] </w:t>
                    </w:r>
                  </w:p>
                </w:tc>
                <w:tc>
                  <w:tcPr>
                    <w:tcW w:w="0" w:type="auto"/>
                    <w:hideMark/>
                  </w:tcPr>
                  <w:p w14:paraId="6C417F86" w14:textId="5F0C4DB3" w:rsidR="006A420D" w:rsidRDefault="006A420D">
                    <w:pPr>
                      <w:pStyle w:val="Bibliography"/>
                      <w:rPr>
                        <w:noProof/>
                      </w:rPr>
                    </w:pPr>
                    <w:r>
                      <w:rPr>
                        <w:noProof/>
                      </w:rPr>
                      <w:t>ONR-ENF-GD-006 Revision 4: Enforcement,</w:t>
                    </w:r>
                    <w:r w:rsidR="00945159">
                      <w:rPr>
                        <w:noProof/>
                      </w:rPr>
                      <w:t xml:space="preserve"> </w:t>
                    </w:r>
                    <w:r>
                      <w:rPr>
                        <w:noProof/>
                      </w:rPr>
                      <w:t>2021.</w:t>
                    </w:r>
                    <w:r w:rsidR="0019455E">
                      <w:t xml:space="preserve"> </w:t>
                    </w:r>
                    <w:r w:rsidR="0019455E" w:rsidRPr="0019455E">
                      <w:rPr>
                        <w:noProof/>
                      </w:rPr>
                      <w:t>www.onr.org.uk/operational/tech_insp_guides/</w:t>
                    </w:r>
                  </w:p>
                </w:tc>
              </w:tr>
              <w:tr w:rsidR="006A420D" w14:paraId="7C12B7B3" w14:textId="77777777">
                <w:trPr>
                  <w:divId w:val="1639139744"/>
                  <w:tblCellSpacing w:w="15" w:type="dxa"/>
                </w:trPr>
                <w:tc>
                  <w:tcPr>
                    <w:tcW w:w="50" w:type="pct"/>
                    <w:hideMark/>
                  </w:tcPr>
                  <w:p w14:paraId="77BCE90E" w14:textId="77777777" w:rsidR="006A420D" w:rsidRDefault="006A420D">
                    <w:pPr>
                      <w:pStyle w:val="Bibliography"/>
                      <w:rPr>
                        <w:noProof/>
                      </w:rPr>
                    </w:pPr>
                    <w:r>
                      <w:rPr>
                        <w:noProof/>
                      </w:rPr>
                      <w:t xml:space="preserve">[7] </w:t>
                    </w:r>
                  </w:p>
                </w:tc>
                <w:tc>
                  <w:tcPr>
                    <w:tcW w:w="0" w:type="auto"/>
                    <w:hideMark/>
                  </w:tcPr>
                  <w:p w14:paraId="2545A68A" w14:textId="17330B6B" w:rsidR="006A420D" w:rsidRDefault="0029036A">
                    <w:pPr>
                      <w:pStyle w:val="Bibliography"/>
                      <w:rPr>
                        <w:noProof/>
                      </w:rPr>
                    </w:pPr>
                    <w:r>
                      <w:rPr>
                        <w:noProof/>
                      </w:rPr>
                      <w:t xml:space="preserve">The Building Regulations 2010 (England &amp; Wales). </w:t>
                    </w:r>
                    <w:r w:rsidR="00A61156" w:rsidRPr="00A61156">
                      <w:rPr>
                        <w:noProof/>
                      </w:rPr>
                      <w:t>www.legislation.gov.uk/uksi/2010/2214/contents</w:t>
                    </w:r>
                  </w:p>
                </w:tc>
              </w:tr>
              <w:tr w:rsidR="006A420D" w14:paraId="4D881F5D" w14:textId="77777777">
                <w:trPr>
                  <w:divId w:val="1639139744"/>
                  <w:tblCellSpacing w:w="15" w:type="dxa"/>
                </w:trPr>
                <w:tc>
                  <w:tcPr>
                    <w:tcW w:w="50" w:type="pct"/>
                    <w:hideMark/>
                  </w:tcPr>
                  <w:p w14:paraId="751E3760" w14:textId="77777777" w:rsidR="006A420D" w:rsidRDefault="006A420D">
                    <w:pPr>
                      <w:pStyle w:val="Bibliography"/>
                      <w:rPr>
                        <w:noProof/>
                      </w:rPr>
                    </w:pPr>
                    <w:r>
                      <w:rPr>
                        <w:noProof/>
                      </w:rPr>
                      <w:t xml:space="preserve">[8] </w:t>
                    </w:r>
                  </w:p>
                </w:tc>
                <w:tc>
                  <w:tcPr>
                    <w:tcW w:w="0" w:type="auto"/>
                    <w:hideMark/>
                  </w:tcPr>
                  <w:p w14:paraId="233F46B4" w14:textId="763C6917" w:rsidR="006A420D" w:rsidRDefault="0029036A">
                    <w:pPr>
                      <w:pStyle w:val="Bibliography"/>
                    </w:pPr>
                    <w:r>
                      <w:rPr>
                        <w:noProof/>
                      </w:rPr>
                      <w:t>The Building (Scotland) Regulations 2004.</w:t>
                    </w:r>
                    <w:r w:rsidR="00CB4513">
                      <w:t xml:space="preserve"> </w:t>
                    </w:r>
                    <w:r w:rsidR="00D551E4">
                      <w:t xml:space="preserve">  </w:t>
                    </w:r>
                    <w:r w:rsidR="00CB4513" w:rsidRPr="00CB4513">
                      <w:rPr>
                        <w:noProof/>
                      </w:rPr>
                      <w:t>www.legislation.gov.uk/ssi/2004/406/made</w:t>
                    </w:r>
                  </w:p>
                </w:tc>
              </w:tr>
              <w:tr w:rsidR="006A420D" w14:paraId="01AFFE2E" w14:textId="77777777">
                <w:trPr>
                  <w:divId w:val="1639139744"/>
                  <w:tblCellSpacing w:w="15" w:type="dxa"/>
                </w:trPr>
                <w:tc>
                  <w:tcPr>
                    <w:tcW w:w="50" w:type="pct"/>
                    <w:hideMark/>
                  </w:tcPr>
                  <w:p w14:paraId="7A28008F" w14:textId="77777777" w:rsidR="006A420D" w:rsidRDefault="006A420D">
                    <w:pPr>
                      <w:pStyle w:val="Bibliography"/>
                      <w:rPr>
                        <w:noProof/>
                      </w:rPr>
                    </w:pPr>
                    <w:r>
                      <w:rPr>
                        <w:noProof/>
                      </w:rPr>
                      <w:t xml:space="preserve">[9] </w:t>
                    </w:r>
                  </w:p>
                </w:tc>
                <w:tc>
                  <w:tcPr>
                    <w:tcW w:w="0" w:type="auto"/>
                    <w:hideMark/>
                  </w:tcPr>
                  <w:p w14:paraId="6BAA5C9E" w14:textId="501C2A32" w:rsidR="006A420D" w:rsidRDefault="0029036A">
                    <w:pPr>
                      <w:pStyle w:val="Bibliography"/>
                      <w:rPr>
                        <w:noProof/>
                      </w:rPr>
                    </w:pPr>
                    <w:r>
                      <w:rPr>
                        <w:noProof/>
                      </w:rPr>
                      <w:t>ONR-ENF-GD-005 Revision 4: Process for Conducting Investigations, 2021.</w:t>
                    </w:r>
                    <w:r w:rsidR="00A10978">
                      <w:t xml:space="preserve"> </w:t>
                    </w:r>
                    <w:r w:rsidR="00A10978" w:rsidRPr="00A10978">
                      <w:rPr>
                        <w:noProof/>
                      </w:rPr>
                      <w:t>www.onr.org.uk/operational/investigations/onr-enf-gd-005.pdf</w:t>
                    </w:r>
                  </w:p>
                </w:tc>
              </w:tr>
              <w:tr w:rsidR="006A420D" w14:paraId="7BB7E249" w14:textId="77777777">
                <w:trPr>
                  <w:divId w:val="1639139744"/>
                  <w:tblCellSpacing w:w="15" w:type="dxa"/>
                </w:trPr>
                <w:tc>
                  <w:tcPr>
                    <w:tcW w:w="50" w:type="pct"/>
                    <w:hideMark/>
                  </w:tcPr>
                  <w:p w14:paraId="57B6EA06" w14:textId="77777777" w:rsidR="006A420D" w:rsidRDefault="006A420D">
                    <w:pPr>
                      <w:pStyle w:val="Bibliography"/>
                      <w:rPr>
                        <w:noProof/>
                      </w:rPr>
                    </w:pPr>
                    <w:r>
                      <w:rPr>
                        <w:noProof/>
                      </w:rPr>
                      <w:t xml:space="preserve">[10] </w:t>
                    </w:r>
                  </w:p>
                </w:tc>
                <w:tc>
                  <w:tcPr>
                    <w:tcW w:w="0" w:type="auto"/>
                    <w:hideMark/>
                  </w:tcPr>
                  <w:p w14:paraId="1F3CD4AE" w14:textId="038E38F8" w:rsidR="006A420D" w:rsidRDefault="006A420D">
                    <w:pPr>
                      <w:pStyle w:val="Bibliography"/>
                      <w:rPr>
                        <w:noProof/>
                      </w:rPr>
                    </w:pPr>
                    <w:r>
                      <w:rPr>
                        <w:noProof/>
                      </w:rPr>
                      <w:t>Health &amp; Safety Executive, Operational Circular OC 18/12 Version 4 - Matters of Evident Concern and Potential Major Concern.</w:t>
                    </w:r>
                    <w:r w:rsidR="00A61156">
                      <w:rPr>
                        <w:noProof/>
                      </w:rPr>
                      <w:t xml:space="preserve"> </w:t>
                    </w:r>
                    <w:r w:rsidR="00A61156" w:rsidRPr="00A61156">
                      <w:rPr>
                        <w:noProof/>
                      </w:rPr>
                      <w:t>www.hse.gov.uk/foi/internalops/ocs/001-099/18_12.htm</w:t>
                    </w:r>
                  </w:p>
                </w:tc>
              </w:tr>
              <w:tr w:rsidR="006A420D" w14:paraId="351740C8" w14:textId="77777777">
                <w:trPr>
                  <w:divId w:val="1639139744"/>
                  <w:tblCellSpacing w:w="15" w:type="dxa"/>
                </w:trPr>
                <w:tc>
                  <w:tcPr>
                    <w:tcW w:w="50" w:type="pct"/>
                    <w:hideMark/>
                  </w:tcPr>
                  <w:p w14:paraId="58710ADF" w14:textId="77777777" w:rsidR="006A420D" w:rsidRDefault="006A420D">
                    <w:pPr>
                      <w:pStyle w:val="Bibliography"/>
                      <w:rPr>
                        <w:noProof/>
                      </w:rPr>
                    </w:pPr>
                    <w:r>
                      <w:rPr>
                        <w:noProof/>
                      </w:rPr>
                      <w:t xml:space="preserve">[11] </w:t>
                    </w:r>
                  </w:p>
                </w:tc>
                <w:tc>
                  <w:tcPr>
                    <w:tcW w:w="0" w:type="auto"/>
                    <w:hideMark/>
                  </w:tcPr>
                  <w:p w14:paraId="03BAECB3" w14:textId="316924F2" w:rsidR="006A420D" w:rsidRDefault="006A420D">
                    <w:pPr>
                      <w:pStyle w:val="Bibliography"/>
                      <w:rPr>
                        <w:noProof/>
                      </w:rPr>
                    </w:pPr>
                    <w:r>
                      <w:rPr>
                        <w:noProof/>
                      </w:rPr>
                      <w:t>ONR-INSP-GD-064 revision 5.3: General Inspection Guide, 2022.</w:t>
                    </w:r>
                    <w:r w:rsidR="00834FFA">
                      <w:t xml:space="preserve"> </w:t>
                    </w:r>
                    <w:r w:rsidR="00834FFA" w:rsidRPr="00834FFA">
                      <w:rPr>
                        <w:noProof/>
                      </w:rPr>
                      <w:t>www.onr.org.uk/operational/tech_insp_guides/onr-insp-gd-064.pdf</w:t>
                    </w:r>
                  </w:p>
                </w:tc>
              </w:tr>
            </w:tbl>
            <w:p w14:paraId="581D0382" w14:textId="77777777" w:rsidR="006A420D" w:rsidRDefault="006A420D">
              <w:pPr>
                <w:divId w:val="1639139744"/>
                <w:rPr>
                  <w:rFonts w:eastAsia="Times New Roman"/>
                  <w:noProof/>
                </w:rPr>
              </w:pPr>
            </w:p>
            <w:p w14:paraId="0AB37AA6" w14:textId="2834BE08" w:rsidR="00140E1C" w:rsidRDefault="00140E1C">
              <w:r>
                <w:rPr>
                  <w:b/>
                  <w:bCs/>
                  <w:noProof/>
                </w:rPr>
                <w:fldChar w:fldCharType="end"/>
              </w:r>
            </w:p>
          </w:sdtContent>
        </w:sdt>
      </w:sdtContent>
    </w:sdt>
    <w:p w14:paraId="5A5193B3" w14:textId="77777777" w:rsidR="00140E1C" w:rsidRDefault="00140E1C" w:rsidP="00223090">
      <w:pPr>
        <w:pStyle w:val="Heading1"/>
        <w:sectPr w:rsidR="00140E1C" w:rsidSect="00B82646">
          <w:pgSz w:w="11906" w:h="16838" w:code="9"/>
          <w:pgMar w:top="1440" w:right="1080" w:bottom="1440" w:left="1080" w:header="397" w:footer="397" w:gutter="0"/>
          <w:cols w:space="312"/>
          <w:docGrid w:linePitch="360"/>
        </w:sectPr>
      </w:pPr>
    </w:p>
    <w:p w14:paraId="1B038B42" w14:textId="7CBE16AD" w:rsidR="00B82646" w:rsidRDefault="009E0E52" w:rsidP="00FA33FE">
      <w:pPr>
        <w:pStyle w:val="Heading1"/>
        <w:numPr>
          <w:ilvl w:val="0"/>
          <w:numId w:val="0"/>
        </w:numPr>
      </w:pPr>
      <w:bookmarkStart w:id="8" w:name="_Toc128721145"/>
      <w:r>
        <w:lastRenderedPageBreak/>
        <w:t xml:space="preserve">Appendix A – </w:t>
      </w:r>
      <w:r w:rsidR="003C57E5">
        <w:t xml:space="preserve">Matters of </w:t>
      </w:r>
      <w:r w:rsidR="00093714">
        <w:t xml:space="preserve">Evident and </w:t>
      </w:r>
      <w:r w:rsidR="003C57E5">
        <w:t>Potential</w:t>
      </w:r>
      <w:r w:rsidR="00093714">
        <w:t xml:space="preserve"> Major Concern</w:t>
      </w:r>
      <w:bookmarkEnd w:id="8"/>
    </w:p>
    <w:p w14:paraId="39A4071D" w14:textId="2835902D" w:rsidR="003B17C5" w:rsidRPr="00A552A7" w:rsidRDefault="003B17C5" w:rsidP="003B17C5">
      <w:pPr>
        <w:rPr>
          <w:b/>
          <w:bCs/>
        </w:rPr>
      </w:pPr>
      <w:r>
        <w:t xml:space="preserve"> </w:t>
      </w:r>
      <w:r w:rsidRPr="00093714">
        <w:rPr>
          <w:b/>
          <w:bCs/>
        </w:rPr>
        <w:t>Definitions</w:t>
      </w:r>
    </w:p>
    <w:p w14:paraId="0FCC73CB" w14:textId="44B0FBF6" w:rsidR="003B17C5" w:rsidRDefault="003B17C5" w:rsidP="00A552A7">
      <w:pPr>
        <w:ind w:left="851" w:hanging="851"/>
      </w:pPr>
      <w:r>
        <w:t xml:space="preserve">            1. </w:t>
      </w:r>
      <w:r w:rsidRPr="00A552A7">
        <w:rPr>
          <w:i/>
          <w:iCs/>
        </w:rPr>
        <w:t xml:space="preserve">A Matter of Evident Concern (MEC) is a matter that creates a risk of serious personal injury or </w:t>
      </w:r>
      <w:proofErr w:type="gramStart"/>
      <w:r w:rsidRPr="00A552A7">
        <w:rPr>
          <w:i/>
          <w:iCs/>
        </w:rPr>
        <w:t>ill-health</w:t>
      </w:r>
      <w:proofErr w:type="gramEnd"/>
      <w:r w:rsidRPr="00A552A7">
        <w:rPr>
          <w:i/>
          <w:iCs/>
        </w:rPr>
        <w:t xml:space="preserve"> and which are observed (i.e. self-evident) or brought to the attention of an ONR inspector.</w:t>
      </w:r>
      <w:r>
        <w:t xml:space="preserve"> </w:t>
      </w:r>
    </w:p>
    <w:p w14:paraId="08730B9A" w14:textId="0706DC5C" w:rsidR="003B17C5" w:rsidRPr="00A552A7" w:rsidRDefault="003B17C5" w:rsidP="00A552A7">
      <w:pPr>
        <w:ind w:left="851" w:hanging="851"/>
        <w:rPr>
          <w:i/>
          <w:iCs/>
        </w:rPr>
      </w:pPr>
      <w:r>
        <w:tab/>
        <w:t xml:space="preserve">2.  </w:t>
      </w:r>
      <w:r w:rsidRPr="00A552A7">
        <w:rPr>
          <w:i/>
          <w:iCs/>
        </w:rPr>
        <w:t>A Matter of Potential Major Concern (MPMC) is a matter which has a realistic potential to cause either multiple fatalities or multiple cases of acute or chronic ill</w:t>
      </w:r>
      <w:r w:rsidR="00A552A7" w:rsidRPr="00A552A7">
        <w:rPr>
          <w:i/>
          <w:iCs/>
        </w:rPr>
        <w:t xml:space="preserve"> </w:t>
      </w:r>
      <w:r w:rsidRPr="00A552A7">
        <w:rPr>
          <w:i/>
          <w:iCs/>
        </w:rPr>
        <w:t xml:space="preserve">health. </w:t>
      </w:r>
    </w:p>
    <w:p w14:paraId="0F85D2FA" w14:textId="1E194871" w:rsidR="003B17C5" w:rsidRPr="00A552A7" w:rsidRDefault="003B17C5" w:rsidP="003B17C5">
      <w:pPr>
        <w:rPr>
          <w:b/>
          <w:bCs/>
        </w:rPr>
      </w:pPr>
      <w:r w:rsidRPr="00093714">
        <w:rPr>
          <w:b/>
          <w:bCs/>
        </w:rPr>
        <w:t xml:space="preserve">Indicative issues to consider specific to identifying Potential for Fire and Explosion / Inadequate Means of Escape </w:t>
      </w:r>
    </w:p>
    <w:p w14:paraId="1BFB6C0E" w14:textId="77777777" w:rsidR="003B17C5" w:rsidRDefault="003B17C5" w:rsidP="009C01F5">
      <w:pPr>
        <w:ind w:left="709" w:hanging="709"/>
      </w:pPr>
      <w:r>
        <w:t>1.</w:t>
      </w:r>
      <w:r>
        <w:tab/>
        <w:t>Blocked or obstructed means of escape, for example: locked fire doors, fire doors blocked by equipment.</w:t>
      </w:r>
    </w:p>
    <w:p w14:paraId="176D2783" w14:textId="77777777" w:rsidR="003B17C5" w:rsidRDefault="003B17C5" w:rsidP="009C01F5">
      <w:pPr>
        <w:ind w:left="709" w:hanging="709"/>
      </w:pPr>
      <w:r>
        <w:t>2.</w:t>
      </w:r>
      <w:r>
        <w:tab/>
        <w:t>Open or defective fire doors on any escape route, for example: doors wedged or held open, defective, or missing self-closing devices, fire doors fail to close fully, final exit doors fail to open.</w:t>
      </w:r>
    </w:p>
    <w:p w14:paraId="51917892" w14:textId="77777777" w:rsidR="003B17C5" w:rsidRDefault="003B17C5" w:rsidP="003B17C5">
      <w:r>
        <w:t>3.</w:t>
      </w:r>
      <w:r>
        <w:tab/>
        <w:t>Defective or isolated fire alarm systems.</w:t>
      </w:r>
    </w:p>
    <w:p w14:paraId="54CB6AC7" w14:textId="77777777" w:rsidR="003B17C5" w:rsidRDefault="003B17C5" w:rsidP="003B17C5">
      <w:r>
        <w:t>4.</w:t>
      </w:r>
      <w:r>
        <w:tab/>
        <w:t>Regular false fire alarms.</w:t>
      </w:r>
    </w:p>
    <w:p w14:paraId="1ACC4A28" w14:textId="77777777" w:rsidR="003B17C5" w:rsidRDefault="003B17C5" w:rsidP="003B17C5">
      <w:r>
        <w:t>5.</w:t>
      </w:r>
      <w:r>
        <w:tab/>
        <w:t>Defective emergency lighting systems.</w:t>
      </w:r>
    </w:p>
    <w:p w14:paraId="2A45AFA8" w14:textId="77777777" w:rsidR="003B17C5" w:rsidRDefault="003B17C5" w:rsidP="003B17C5">
      <w:r>
        <w:t>6.</w:t>
      </w:r>
      <w:r>
        <w:tab/>
        <w:t>Inadequate emergency signage.</w:t>
      </w:r>
    </w:p>
    <w:p w14:paraId="4E7092AD" w14:textId="77777777" w:rsidR="003B17C5" w:rsidRDefault="003B17C5" w:rsidP="009C01F5">
      <w:pPr>
        <w:ind w:left="709" w:hanging="709"/>
      </w:pPr>
      <w:r>
        <w:t>7.</w:t>
      </w:r>
      <w:r>
        <w:tab/>
        <w:t>Inadequate testing and maintenance arrangements for fire alarms, emergency lighting, fire-fighting equipment.</w:t>
      </w:r>
    </w:p>
    <w:p w14:paraId="4FB7DE19" w14:textId="77777777" w:rsidR="003B17C5" w:rsidRDefault="003B17C5" w:rsidP="003B17C5">
      <w:r>
        <w:t>8.</w:t>
      </w:r>
      <w:r>
        <w:tab/>
        <w:t>Inadequate Fire Risk Assessments.</w:t>
      </w:r>
    </w:p>
    <w:p w14:paraId="5BD04A75" w14:textId="77777777" w:rsidR="003B17C5" w:rsidRDefault="003B17C5" w:rsidP="009C01F5">
      <w:pPr>
        <w:ind w:left="709" w:hanging="709"/>
      </w:pPr>
      <w:r>
        <w:t>9.</w:t>
      </w:r>
      <w:r>
        <w:tab/>
        <w:t>Inadequate staff training, for example: Infrequent fire drills, absence of Personal Evacuation Plans (PEEPs) for occupants requiring assistance to evacuate the premises.</w:t>
      </w:r>
    </w:p>
    <w:p w14:paraId="60C5617D" w14:textId="77777777" w:rsidR="003B17C5" w:rsidRDefault="003B17C5" w:rsidP="009C01F5">
      <w:pPr>
        <w:ind w:left="709" w:hanging="709"/>
      </w:pPr>
      <w:r>
        <w:t>10.</w:t>
      </w:r>
      <w:r>
        <w:tab/>
        <w:t>Accumulations of flammable materials in escape routes, for example: corridors and stairways.</w:t>
      </w:r>
    </w:p>
    <w:p w14:paraId="0F39E356" w14:textId="77777777" w:rsidR="003B17C5" w:rsidRDefault="003B17C5" w:rsidP="003B17C5">
      <w:r>
        <w:t>11.</w:t>
      </w:r>
      <w:r>
        <w:tab/>
        <w:t>Combustible materials being stored in non-designated laydown areas.</w:t>
      </w:r>
    </w:p>
    <w:p w14:paraId="3AD31570" w14:textId="77777777" w:rsidR="003B17C5" w:rsidRDefault="003B17C5" w:rsidP="003B17C5">
      <w:r>
        <w:t>12.</w:t>
      </w:r>
      <w:r>
        <w:tab/>
        <w:t>Uncontrolled Hot Work with the potential to cause fire.</w:t>
      </w:r>
    </w:p>
    <w:p w14:paraId="4EEA3032" w14:textId="77777777" w:rsidR="003B17C5" w:rsidRDefault="003B17C5" w:rsidP="003B17C5">
      <w:r>
        <w:t>13.</w:t>
      </w:r>
      <w:r>
        <w:tab/>
        <w:t>Poor storage of highly flammable liquids (HFLs) and flammable solids.</w:t>
      </w:r>
    </w:p>
    <w:p w14:paraId="0947C516" w14:textId="77777777" w:rsidR="003B17C5" w:rsidRDefault="003B17C5" w:rsidP="005C7E5D">
      <w:pPr>
        <w:ind w:left="709" w:hanging="709"/>
      </w:pPr>
      <w:r>
        <w:lastRenderedPageBreak/>
        <w:t>14.</w:t>
      </w:r>
      <w:r>
        <w:tab/>
        <w:t>LPG storage and associated pipework, for example: underground pipework, the   security of the store, proximity of vehicles.</w:t>
      </w:r>
    </w:p>
    <w:p w14:paraId="21608515" w14:textId="77777777" w:rsidR="003B17C5" w:rsidRDefault="003B17C5" w:rsidP="003B17C5">
      <w:r>
        <w:t>15.</w:t>
      </w:r>
      <w:r>
        <w:tab/>
        <w:t>Building modifications which have not been assessed by SQEP fire engineer.</w:t>
      </w:r>
    </w:p>
    <w:p w14:paraId="0EDE30ED" w14:textId="77777777" w:rsidR="003B17C5" w:rsidRDefault="003B17C5" w:rsidP="003B17C5">
      <w:r>
        <w:t>16.</w:t>
      </w:r>
      <w:r>
        <w:tab/>
        <w:t>Construction processes without a suitable &amp; sufficient risk assessment.</w:t>
      </w:r>
    </w:p>
    <w:p w14:paraId="21F99301" w14:textId="38409046" w:rsidR="001B4D5A" w:rsidRDefault="003B17C5" w:rsidP="005C7E5D">
      <w:pPr>
        <w:ind w:left="709" w:hanging="709"/>
      </w:pPr>
      <w:r>
        <w:t>17.</w:t>
      </w:r>
      <w:r>
        <w:tab/>
      </w:r>
      <w:r w:rsidR="005C7E5D" w:rsidRPr="00727D46">
        <w:t xml:space="preserve">Presence of electric vehicles, accompanying charging arrangements and/or bulk energy storage facilities (battery banks) in unsuitable areas of sites </w:t>
      </w:r>
      <w:proofErr w:type="gramStart"/>
      <w:r w:rsidR="005C7E5D" w:rsidRPr="00727D46">
        <w:t>e.g.</w:t>
      </w:r>
      <w:proofErr w:type="gramEnd"/>
      <w:r w:rsidR="005C7E5D" w:rsidRPr="00727D46">
        <w:t xml:space="preserve"> near combustible inventories without a suitable and sufficient risk assessment and controls in place</w:t>
      </w:r>
      <w:r w:rsidR="005C7E5D">
        <w:t>.</w:t>
      </w:r>
    </w:p>
    <w:p w14:paraId="344801F0" w14:textId="497F3059" w:rsidR="00727D46" w:rsidRDefault="00727D46" w:rsidP="003B17C5"/>
    <w:p w14:paraId="2F6EB035" w14:textId="446AADFB" w:rsidR="00727D46" w:rsidRDefault="00727D46" w:rsidP="003B17C5"/>
    <w:p w14:paraId="62643D2F" w14:textId="77777777" w:rsidR="005C7E5D" w:rsidRDefault="005C7E5D"/>
    <w:sectPr w:rsidR="005C7E5D"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6193E" w14:textId="77777777" w:rsidR="008A7147" w:rsidRDefault="008A7147" w:rsidP="007D199A">
      <w:pPr>
        <w:spacing w:after="0"/>
      </w:pPr>
      <w:r>
        <w:separator/>
      </w:r>
    </w:p>
    <w:p w14:paraId="6B83195E" w14:textId="77777777" w:rsidR="008A7147" w:rsidRDefault="008A7147"/>
  </w:endnote>
  <w:endnote w:type="continuationSeparator" w:id="0">
    <w:p w14:paraId="4F26A0A8" w14:textId="77777777" w:rsidR="008A7147" w:rsidRDefault="008A7147" w:rsidP="007D199A">
      <w:pPr>
        <w:spacing w:after="0"/>
      </w:pPr>
      <w:r>
        <w:continuationSeparator/>
      </w:r>
    </w:p>
    <w:p w14:paraId="17EE1BB5" w14:textId="77777777" w:rsidR="008A7147" w:rsidRDefault="008A71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7FFB" w14:textId="77777777" w:rsidR="006135BD" w:rsidRDefault="006135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3857291F" w:rsidR="007C3C1D" w:rsidRPr="006A525B" w:rsidRDefault="003B77D7" w:rsidP="007C3C1D">
    <w:pPr>
      <w:pStyle w:val="Footer"/>
      <w:jc w:val="left"/>
      <w:rPr>
        <w:szCs w:val="24"/>
      </w:rPr>
    </w:pPr>
    <w:r>
      <w:rPr>
        <w:szCs w:val="24"/>
      </w:rPr>
      <w:t>NS</w:t>
    </w:r>
    <w:r w:rsidR="006A525B" w:rsidRPr="006A525B">
      <w:rPr>
        <w:szCs w:val="24"/>
      </w:rPr>
      <w:t>-</w:t>
    </w:r>
    <w:r>
      <w:rPr>
        <w:szCs w:val="24"/>
      </w:rPr>
      <w:t>INSP</w:t>
    </w:r>
    <w:r w:rsidR="006A525B" w:rsidRPr="006A525B">
      <w:rPr>
        <w:szCs w:val="24"/>
      </w:rPr>
      <w:t>-</w:t>
    </w:r>
    <w:r w:rsidR="000F5F8B">
      <w:rPr>
        <w:szCs w:val="24"/>
      </w:rPr>
      <w:t>GD-</w:t>
    </w:r>
    <w:r w:rsidR="00821337">
      <w:rPr>
        <w:szCs w:val="24"/>
      </w:rPr>
      <w:t>0</w:t>
    </w:r>
    <w:r w:rsidR="000F5F8B">
      <w:rPr>
        <w:szCs w:val="24"/>
      </w:rPr>
      <w:t>73</w:t>
    </w:r>
    <w:r w:rsidR="006A525B" w:rsidRPr="006A525B">
      <w:rPr>
        <w:szCs w:val="24"/>
      </w:rPr>
      <w:t xml:space="preserve"> (Issue </w:t>
    </w:r>
    <w:r w:rsidR="000F5F8B">
      <w:rPr>
        <w:szCs w:val="24"/>
      </w:rPr>
      <w:t>2</w:t>
    </w:r>
    <w:r w:rsidR="006A525B"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4A8E9" w14:textId="77777777" w:rsidR="006135BD" w:rsidRDefault="006135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C0FA" w14:textId="77777777" w:rsidR="00261FB6" w:rsidRPr="008229BA" w:rsidRDefault="00261FB6" w:rsidP="00261FB6">
    <w:pPr>
      <w:pStyle w:val="Footer"/>
      <w:rPr>
        <w:rStyle w:val="PageNumber"/>
        <w:color w:val="22413A"/>
        <w:sz w:val="24"/>
      </w:rPr>
    </w:pPr>
    <w:r w:rsidRPr="008229BA">
      <w:t xml:space="preserve">Page </w:t>
    </w:r>
    <w:r w:rsidRPr="008229BA">
      <w:fldChar w:fldCharType="begin"/>
    </w:r>
    <w:r w:rsidRPr="008229BA">
      <w:instrText xml:space="preserve"> PAGE   \* MERGEFORMAT </w:instrText>
    </w:r>
    <w:r w:rsidRPr="008229BA">
      <w:fldChar w:fldCharType="separate"/>
    </w:r>
    <w:r>
      <w:t>4</w:t>
    </w:r>
    <w:r w:rsidRPr="008229BA">
      <w:fldChar w:fldCharType="end"/>
    </w:r>
  </w:p>
  <w:p w14:paraId="3F2208BD" w14:textId="77777777" w:rsidR="00CE6198" w:rsidRPr="00CE6198" w:rsidRDefault="00CE6198" w:rsidP="008229BA">
    <w:pPr>
      <w:pStyle w:val="Footer"/>
      <w:rPr>
        <w:rStyle w:val="PageNumber"/>
        <w: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ED624" w14:textId="77777777" w:rsidR="008A7147" w:rsidRPr="005E0344" w:rsidRDefault="008A7147" w:rsidP="005E0344">
      <w:pPr>
        <w:spacing w:after="120"/>
        <w:rPr>
          <w:color w:val="000000" w:themeColor="text2"/>
        </w:rPr>
      </w:pPr>
      <w:r w:rsidRPr="005E0344">
        <w:rPr>
          <w:color w:val="000000" w:themeColor="text2"/>
        </w:rPr>
        <w:separator/>
      </w:r>
    </w:p>
  </w:footnote>
  <w:footnote w:type="continuationSeparator" w:id="0">
    <w:p w14:paraId="29414363" w14:textId="77777777" w:rsidR="008A7147" w:rsidRPr="005E0344" w:rsidRDefault="008A7147" w:rsidP="0090581D">
      <w:pPr>
        <w:spacing w:after="120"/>
        <w:rPr>
          <w:color w:val="000000" w:themeColor="text2"/>
        </w:rPr>
      </w:pPr>
      <w:r w:rsidRPr="005E0344">
        <w:rPr>
          <w:color w:val="000000" w:themeColor="text2"/>
        </w:rPr>
        <w:continuationSeparator/>
      </w:r>
    </w:p>
    <w:p w14:paraId="47C2EB28" w14:textId="77777777" w:rsidR="008A7147" w:rsidRDefault="008A7147"/>
  </w:footnote>
  <w:footnote w:type="continuationNotice" w:id="1">
    <w:p w14:paraId="502E58F6" w14:textId="77777777" w:rsidR="008A7147" w:rsidRDefault="008A7147">
      <w:pPr>
        <w:spacing w:after="0"/>
      </w:pPr>
    </w:p>
    <w:p w14:paraId="1D17B2CE" w14:textId="77777777" w:rsidR="008A7147" w:rsidRDefault="008A71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34CA" w14:textId="77777777" w:rsidR="006135BD" w:rsidRDefault="006135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EE4E" w14:textId="77777777" w:rsidR="006135BD" w:rsidRDefault="006135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72A0609" w:rsidR="00177666" w:rsidRPr="009E0E52" w:rsidRDefault="00F35122" w:rsidP="009E0E52">
    <w:pPr>
      <w:pStyle w:val="Header"/>
    </w:pPr>
    <w:sdt>
      <w:sdt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t>The regulation of Life Fire Safety on nuclear licensed sites</w:t>
        </w:r>
      </w:sdtContent>
    </w:sdt>
    <w:r w:rsidR="004E3932">
      <w:t xml:space="preserve"> | Issue No.: </w:t>
    </w:r>
    <w:sdt>
      <w:sdt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714CAB">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A348E9"/>
    <w:multiLevelType w:val="hybridMultilevel"/>
    <w:tmpl w:val="D010814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9416296">
    <w:abstractNumId w:val="9"/>
  </w:num>
  <w:num w:numId="2" w16cid:durableId="664283776">
    <w:abstractNumId w:val="7"/>
  </w:num>
  <w:num w:numId="3" w16cid:durableId="544415891">
    <w:abstractNumId w:val="6"/>
  </w:num>
  <w:num w:numId="4" w16cid:durableId="1261525993">
    <w:abstractNumId w:val="5"/>
  </w:num>
  <w:num w:numId="5" w16cid:durableId="1022048867">
    <w:abstractNumId w:val="4"/>
  </w:num>
  <w:num w:numId="6" w16cid:durableId="220601697">
    <w:abstractNumId w:val="8"/>
  </w:num>
  <w:num w:numId="7" w16cid:durableId="1054155456">
    <w:abstractNumId w:val="3"/>
  </w:num>
  <w:num w:numId="8" w16cid:durableId="1564439515">
    <w:abstractNumId w:val="2"/>
  </w:num>
  <w:num w:numId="9" w16cid:durableId="1399209234">
    <w:abstractNumId w:val="1"/>
  </w:num>
  <w:num w:numId="10" w16cid:durableId="124087438">
    <w:abstractNumId w:val="0"/>
  </w:num>
  <w:num w:numId="11" w16cid:durableId="1327786769">
    <w:abstractNumId w:val="10"/>
  </w:num>
  <w:num w:numId="12" w16cid:durableId="1926381689">
    <w:abstractNumId w:val="22"/>
  </w:num>
  <w:num w:numId="13" w16cid:durableId="1769227821">
    <w:abstractNumId w:val="15"/>
  </w:num>
  <w:num w:numId="14" w16cid:durableId="221598375">
    <w:abstractNumId w:val="12"/>
  </w:num>
  <w:num w:numId="15" w16cid:durableId="1434284762">
    <w:abstractNumId w:val="22"/>
    <w:lvlOverride w:ilvl="0">
      <w:startOverride w:val="1"/>
    </w:lvlOverride>
  </w:num>
  <w:num w:numId="16" w16cid:durableId="1432122549">
    <w:abstractNumId w:val="15"/>
    <w:lvlOverride w:ilvl="0">
      <w:startOverride w:val="1"/>
    </w:lvlOverride>
  </w:num>
  <w:num w:numId="17" w16cid:durableId="1179540441">
    <w:abstractNumId w:val="12"/>
    <w:lvlOverride w:ilvl="0">
      <w:startOverride w:val="1"/>
    </w:lvlOverride>
  </w:num>
  <w:num w:numId="18" w16cid:durableId="1516725027">
    <w:abstractNumId w:val="21"/>
  </w:num>
  <w:num w:numId="19" w16cid:durableId="1575747711">
    <w:abstractNumId w:val="18"/>
  </w:num>
  <w:num w:numId="20" w16cid:durableId="2009743687">
    <w:abstractNumId w:val="14"/>
  </w:num>
  <w:num w:numId="21" w16cid:durableId="705526029">
    <w:abstractNumId w:val="19"/>
  </w:num>
  <w:num w:numId="22" w16cid:durableId="654604172">
    <w:abstractNumId w:val="13"/>
  </w:num>
  <w:num w:numId="23" w16cid:durableId="199317923">
    <w:abstractNumId w:val="23"/>
  </w:num>
  <w:num w:numId="24" w16cid:durableId="1685210286">
    <w:abstractNumId w:val="17"/>
  </w:num>
  <w:num w:numId="25" w16cid:durableId="154343970">
    <w:abstractNumId w:val="16"/>
  </w:num>
  <w:num w:numId="26" w16cid:durableId="263344642">
    <w:abstractNumId w:val="20"/>
  </w:num>
  <w:num w:numId="27" w16cid:durableId="1420517811">
    <w:abstractNumId w:val="16"/>
    <w:lvlOverride w:ilvl="0">
      <w:startOverride w:val="1"/>
    </w:lvlOverride>
  </w:num>
  <w:num w:numId="28" w16cid:durableId="16860511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3AD4"/>
    <w:rsid w:val="00014814"/>
    <w:rsid w:val="00022033"/>
    <w:rsid w:val="00024522"/>
    <w:rsid w:val="00024B2E"/>
    <w:rsid w:val="00027F4F"/>
    <w:rsid w:val="00030430"/>
    <w:rsid w:val="0003078E"/>
    <w:rsid w:val="00031B89"/>
    <w:rsid w:val="0003693D"/>
    <w:rsid w:val="0004440F"/>
    <w:rsid w:val="00052C8A"/>
    <w:rsid w:val="000548C8"/>
    <w:rsid w:val="00064A1B"/>
    <w:rsid w:val="00075425"/>
    <w:rsid w:val="00075605"/>
    <w:rsid w:val="00075C66"/>
    <w:rsid w:val="000817D4"/>
    <w:rsid w:val="00082879"/>
    <w:rsid w:val="00091EEA"/>
    <w:rsid w:val="0009225F"/>
    <w:rsid w:val="00093714"/>
    <w:rsid w:val="000A105C"/>
    <w:rsid w:val="000B7D52"/>
    <w:rsid w:val="000C2DDC"/>
    <w:rsid w:val="000C5F5A"/>
    <w:rsid w:val="000D2FD4"/>
    <w:rsid w:val="000D3232"/>
    <w:rsid w:val="000F1B7B"/>
    <w:rsid w:val="000F2ED4"/>
    <w:rsid w:val="000F5F8B"/>
    <w:rsid w:val="001028E8"/>
    <w:rsid w:val="001163A8"/>
    <w:rsid w:val="00122FCC"/>
    <w:rsid w:val="00124C2B"/>
    <w:rsid w:val="00126752"/>
    <w:rsid w:val="00130B30"/>
    <w:rsid w:val="00140A18"/>
    <w:rsid w:val="00140E1C"/>
    <w:rsid w:val="00147AE4"/>
    <w:rsid w:val="001571E5"/>
    <w:rsid w:val="00177666"/>
    <w:rsid w:val="001849CA"/>
    <w:rsid w:val="00185410"/>
    <w:rsid w:val="00192352"/>
    <w:rsid w:val="0019455E"/>
    <w:rsid w:val="001B293F"/>
    <w:rsid w:val="001B4D5A"/>
    <w:rsid w:val="001B6DD8"/>
    <w:rsid w:val="001C2F0A"/>
    <w:rsid w:val="001C4D63"/>
    <w:rsid w:val="001D0DE0"/>
    <w:rsid w:val="001D5AFF"/>
    <w:rsid w:val="001D74B4"/>
    <w:rsid w:val="001E03E1"/>
    <w:rsid w:val="001E3C56"/>
    <w:rsid w:val="001F059F"/>
    <w:rsid w:val="00200811"/>
    <w:rsid w:val="00200CA1"/>
    <w:rsid w:val="00206D25"/>
    <w:rsid w:val="0021338D"/>
    <w:rsid w:val="00214D43"/>
    <w:rsid w:val="002157BA"/>
    <w:rsid w:val="00223090"/>
    <w:rsid w:val="002238B4"/>
    <w:rsid w:val="002319AB"/>
    <w:rsid w:val="002319AC"/>
    <w:rsid w:val="00232901"/>
    <w:rsid w:val="00234342"/>
    <w:rsid w:val="0024040D"/>
    <w:rsid w:val="00251CD7"/>
    <w:rsid w:val="00254CB6"/>
    <w:rsid w:val="00255FA3"/>
    <w:rsid w:val="00257288"/>
    <w:rsid w:val="00261FB6"/>
    <w:rsid w:val="002629F8"/>
    <w:rsid w:val="00263396"/>
    <w:rsid w:val="002659FA"/>
    <w:rsid w:val="00267815"/>
    <w:rsid w:val="00272193"/>
    <w:rsid w:val="00280DDF"/>
    <w:rsid w:val="0029036A"/>
    <w:rsid w:val="002917FF"/>
    <w:rsid w:val="00292ADF"/>
    <w:rsid w:val="0029494A"/>
    <w:rsid w:val="00296DBB"/>
    <w:rsid w:val="00297839"/>
    <w:rsid w:val="002A0DEC"/>
    <w:rsid w:val="002B1C53"/>
    <w:rsid w:val="002E0BE4"/>
    <w:rsid w:val="002E3B58"/>
    <w:rsid w:val="002E3E8A"/>
    <w:rsid w:val="002E6A6A"/>
    <w:rsid w:val="002F3397"/>
    <w:rsid w:val="0030380D"/>
    <w:rsid w:val="00312411"/>
    <w:rsid w:val="00323E71"/>
    <w:rsid w:val="00326F77"/>
    <w:rsid w:val="003401B0"/>
    <w:rsid w:val="00340C85"/>
    <w:rsid w:val="0034328F"/>
    <w:rsid w:val="00344205"/>
    <w:rsid w:val="00346C8E"/>
    <w:rsid w:val="00367BD5"/>
    <w:rsid w:val="00390327"/>
    <w:rsid w:val="00390ACD"/>
    <w:rsid w:val="00393B78"/>
    <w:rsid w:val="003A01E9"/>
    <w:rsid w:val="003B17C5"/>
    <w:rsid w:val="003B4760"/>
    <w:rsid w:val="003B77D7"/>
    <w:rsid w:val="003C0306"/>
    <w:rsid w:val="003C114C"/>
    <w:rsid w:val="003C465D"/>
    <w:rsid w:val="003C57E5"/>
    <w:rsid w:val="003D495D"/>
    <w:rsid w:val="003E098E"/>
    <w:rsid w:val="003E2FAE"/>
    <w:rsid w:val="00407CF7"/>
    <w:rsid w:val="00410F0D"/>
    <w:rsid w:val="00415ED6"/>
    <w:rsid w:val="00417CAF"/>
    <w:rsid w:val="00420A11"/>
    <w:rsid w:val="00422265"/>
    <w:rsid w:val="004253C3"/>
    <w:rsid w:val="0043476F"/>
    <w:rsid w:val="004373A7"/>
    <w:rsid w:val="00437D94"/>
    <w:rsid w:val="0044030C"/>
    <w:rsid w:val="004648A4"/>
    <w:rsid w:val="00471380"/>
    <w:rsid w:val="00483FD7"/>
    <w:rsid w:val="00494F0D"/>
    <w:rsid w:val="00496BFD"/>
    <w:rsid w:val="004A3DF2"/>
    <w:rsid w:val="004C361D"/>
    <w:rsid w:val="004C4891"/>
    <w:rsid w:val="004D2C89"/>
    <w:rsid w:val="004D30A4"/>
    <w:rsid w:val="004E3932"/>
    <w:rsid w:val="004F1E79"/>
    <w:rsid w:val="004F4B81"/>
    <w:rsid w:val="004F5F33"/>
    <w:rsid w:val="0050103A"/>
    <w:rsid w:val="005067E3"/>
    <w:rsid w:val="00511B0F"/>
    <w:rsid w:val="00542C9E"/>
    <w:rsid w:val="00544AF4"/>
    <w:rsid w:val="005467D9"/>
    <w:rsid w:val="0055388E"/>
    <w:rsid w:val="00561A72"/>
    <w:rsid w:val="005754AE"/>
    <w:rsid w:val="00577FB5"/>
    <w:rsid w:val="005852D1"/>
    <w:rsid w:val="00587A22"/>
    <w:rsid w:val="0059299D"/>
    <w:rsid w:val="00595C8C"/>
    <w:rsid w:val="00597747"/>
    <w:rsid w:val="005A4CDD"/>
    <w:rsid w:val="005A53AF"/>
    <w:rsid w:val="005B3796"/>
    <w:rsid w:val="005B57E4"/>
    <w:rsid w:val="005B5ABD"/>
    <w:rsid w:val="005C140A"/>
    <w:rsid w:val="005C1E52"/>
    <w:rsid w:val="005C3367"/>
    <w:rsid w:val="005C6763"/>
    <w:rsid w:val="005C7E5D"/>
    <w:rsid w:val="005D3164"/>
    <w:rsid w:val="005E0344"/>
    <w:rsid w:val="005E440B"/>
    <w:rsid w:val="005F2C85"/>
    <w:rsid w:val="00605ADB"/>
    <w:rsid w:val="00611C9F"/>
    <w:rsid w:val="006135BD"/>
    <w:rsid w:val="006248DE"/>
    <w:rsid w:val="00627555"/>
    <w:rsid w:val="006322A0"/>
    <w:rsid w:val="006361FD"/>
    <w:rsid w:val="0064226F"/>
    <w:rsid w:val="00642DDB"/>
    <w:rsid w:val="00653298"/>
    <w:rsid w:val="006559D5"/>
    <w:rsid w:val="00662F67"/>
    <w:rsid w:val="00663A7C"/>
    <w:rsid w:val="0066448A"/>
    <w:rsid w:val="00667DF2"/>
    <w:rsid w:val="00670DF1"/>
    <w:rsid w:val="00671345"/>
    <w:rsid w:val="00672A9B"/>
    <w:rsid w:val="00675884"/>
    <w:rsid w:val="00692228"/>
    <w:rsid w:val="00696EE0"/>
    <w:rsid w:val="00697980"/>
    <w:rsid w:val="006A19EF"/>
    <w:rsid w:val="006A420D"/>
    <w:rsid w:val="006A43D5"/>
    <w:rsid w:val="006A525B"/>
    <w:rsid w:val="006C045F"/>
    <w:rsid w:val="006C4196"/>
    <w:rsid w:val="006C63B0"/>
    <w:rsid w:val="006C76A2"/>
    <w:rsid w:val="006C792E"/>
    <w:rsid w:val="006D116C"/>
    <w:rsid w:val="006E7C42"/>
    <w:rsid w:val="006F168A"/>
    <w:rsid w:val="006F5076"/>
    <w:rsid w:val="006F6009"/>
    <w:rsid w:val="006F7E5F"/>
    <w:rsid w:val="0070321D"/>
    <w:rsid w:val="007068BA"/>
    <w:rsid w:val="00714CAB"/>
    <w:rsid w:val="00716AB1"/>
    <w:rsid w:val="00721D63"/>
    <w:rsid w:val="00724B2B"/>
    <w:rsid w:val="00727D46"/>
    <w:rsid w:val="00732C7B"/>
    <w:rsid w:val="00732D33"/>
    <w:rsid w:val="00734D2B"/>
    <w:rsid w:val="00737705"/>
    <w:rsid w:val="007408D4"/>
    <w:rsid w:val="007420AC"/>
    <w:rsid w:val="00742617"/>
    <w:rsid w:val="00747131"/>
    <w:rsid w:val="00763785"/>
    <w:rsid w:val="00783AFA"/>
    <w:rsid w:val="00785427"/>
    <w:rsid w:val="00790540"/>
    <w:rsid w:val="007968CA"/>
    <w:rsid w:val="007A43FF"/>
    <w:rsid w:val="007B3918"/>
    <w:rsid w:val="007C3C1D"/>
    <w:rsid w:val="007D199A"/>
    <w:rsid w:val="007D2EBE"/>
    <w:rsid w:val="007E1C07"/>
    <w:rsid w:val="007F24B6"/>
    <w:rsid w:val="00803D94"/>
    <w:rsid w:val="00821337"/>
    <w:rsid w:val="008229BA"/>
    <w:rsid w:val="00824151"/>
    <w:rsid w:val="00834FFA"/>
    <w:rsid w:val="00845390"/>
    <w:rsid w:val="00845562"/>
    <w:rsid w:val="0084601B"/>
    <w:rsid w:val="008467B4"/>
    <w:rsid w:val="008606F0"/>
    <w:rsid w:val="00863CA1"/>
    <w:rsid w:val="00865489"/>
    <w:rsid w:val="0086553D"/>
    <w:rsid w:val="00874FEB"/>
    <w:rsid w:val="00881B6F"/>
    <w:rsid w:val="00882AA4"/>
    <w:rsid w:val="00883E22"/>
    <w:rsid w:val="00884E43"/>
    <w:rsid w:val="00887EC6"/>
    <w:rsid w:val="0089084C"/>
    <w:rsid w:val="008917E1"/>
    <w:rsid w:val="00893409"/>
    <w:rsid w:val="00893D9F"/>
    <w:rsid w:val="008A2379"/>
    <w:rsid w:val="008A4329"/>
    <w:rsid w:val="008A578E"/>
    <w:rsid w:val="008A7147"/>
    <w:rsid w:val="008B1519"/>
    <w:rsid w:val="008B560F"/>
    <w:rsid w:val="008B5A48"/>
    <w:rsid w:val="008B69C9"/>
    <w:rsid w:val="008B7BCC"/>
    <w:rsid w:val="008C50C3"/>
    <w:rsid w:val="008C7094"/>
    <w:rsid w:val="008D2B97"/>
    <w:rsid w:val="008D49A5"/>
    <w:rsid w:val="008D6C81"/>
    <w:rsid w:val="008E6CF0"/>
    <w:rsid w:val="008F1439"/>
    <w:rsid w:val="008F3575"/>
    <w:rsid w:val="008F7051"/>
    <w:rsid w:val="009033A9"/>
    <w:rsid w:val="0090581D"/>
    <w:rsid w:val="0091439C"/>
    <w:rsid w:val="00920572"/>
    <w:rsid w:val="00920BF2"/>
    <w:rsid w:val="0092248B"/>
    <w:rsid w:val="009349A9"/>
    <w:rsid w:val="00936C52"/>
    <w:rsid w:val="009405FD"/>
    <w:rsid w:val="00945159"/>
    <w:rsid w:val="00950651"/>
    <w:rsid w:val="00951C8E"/>
    <w:rsid w:val="0095489B"/>
    <w:rsid w:val="00966FB9"/>
    <w:rsid w:val="009671CD"/>
    <w:rsid w:val="009751A9"/>
    <w:rsid w:val="00980F9C"/>
    <w:rsid w:val="0098632B"/>
    <w:rsid w:val="0099466B"/>
    <w:rsid w:val="00997BFB"/>
    <w:rsid w:val="009A7348"/>
    <w:rsid w:val="009B462C"/>
    <w:rsid w:val="009C01F5"/>
    <w:rsid w:val="009C15F3"/>
    <w:rsid w:val="009C3689"/>
    <w:rsid w:val="009D00EB"/>
    <w:rsid w:val="009D04B3"/>
    <w:rsid w:val="009E07C2"/>
    <w:rsid w:val="009E0E52"/>
    <w:rsid w:val="009F6114"/>
    <w:rsid w:val="009F72F9"/>
    <w:rsid w:val="00A00205"/>
    <w:rsid w:val="00A00AF0"/>
    <w:rsid w:val="00A00C90"/>
    <w:rsid w:val="00A10978"/>
    <w:rsid w:val="00A13D38"/>
    <w:rsid w:val="00A14B5A"/>
    <w:rsid w:val="00A212F4"/>
    <w:rsid w:val="00A22C0D"/>
    <w:rsid w:val="00A3567F"/>
    <w:rsid w:val="00A37698"/>
    <w:rsid w:val="00A41ED3"/>
    <w:rsid w:val="00A552A7"/>
    <w:rsid w:val="00A61156"/>
    <w:rsid w:val="00A81D82"/>
    <w:rsid w:val="00A9118F"/>
    <w:rsid w:val="00A93E33"/>
    <w:rsid w:val="00AB3129"/>
    <w:rsid w:val="00AB6230"/>
    <w:rsid w:val="00AB6970"/>
    <w:rsid w:val="00AC1939"/>
    <w:rsid w:val="00AC7C05"/>
    <w:rsid w:val="00AD167C"/>
    <w:rsid w:val="00AD17C7"/>
    <w:rsid w:val="00AD4041"/>
    <w:rsid w:val="00AD4C13"/>
    <w:rsid w:val="00AE302B"/>
    <w:rsid w:val="00B0248D"/>
    <w:rsid w:val="00B05122"/>
    <w:rsid w:val="00B16BE5"/>
    <w:rsid w:val="00B259DF"/>
    <w:rsid w:val="00B37B3B"/>
    <w:rsid w:val="00B44B1F"/>
    <w:rsid w:val="00B5028D"/>
    <w:rsid w:val="00B64141"/>
    <w:rsid w:val="00B64E72"/>
    <w:rsid w:val="00B77913"/>
    <w:rsid w:val="00B824FB"/>
    <w:rsid w:val="00B82646"/>
    <w:rsid w:val="00B97359"/>
    <w:rsid w:val="00B97A8F"/>
    <w:rsid w:val="00BA371B"/>
    <w:rsid w:val="00BA4E58"/>
    <w:rsid w:val="00BA7074"/>
    <w:rsid w:val="00BB7829"/>
    <w:rsid w:val="00BD1457"/>
    <w:rsid w:val="00BD4F06"/>
    <w:rsid w:val="00BE2AD9"/>
    <w:rsid w:val="00BF27FE"/>
    <w:rsid w:val="00C043B3"/>
    <w:rsid w:val="00C053F8"/>
    <w:rsid w:val="00C079AB"/>
    <w:rsid w:val="00C10E61"/>
    <w:rsid w:val="00C14787"/>
    <w:rsid w:val="00C1596D"/>
    <w:rsid w:val="00C15B8D"/>
    <w:rsid w:val="00C17010"/>
    <w:rsid w:val="00C20562"/>
    <w:rsid w:val="00C215C3"/>
    <w:rsid w:val="00C23A96"/>
    <w:rsid w:val="00C249C6"/>
    <w:rsid w:val="00C32CC1"/>
    <w:rsid w:val="00C3615B"/>
    <w:rsid w:val="00C426EC"/>
    <w:rsid w:val="00C6483C"/>
    <w:rsid w:val="00C64AE9"/>
    <w:rsid w:val="00C70CFF"/>
    <w:rsid w:val="00C718FE"/>
    <w:rsid w:val="00C8295A"/>
    <w:rsid w:val="00C86CEC"/>
    <w:rsid w:val="00C8773D"/>
    <w:rsid w:val="00C87ABB"/>
    <w:rsid w:val="00C91831"/>
    <w:rsid w:val="00C953DF"/>
    <w:rsid w:val="00C963E6"/>
    <w:rsid w:val="00CB4513"/>
    <w:rsid w:val="00CC5CCC"/>
    <w:rsid w:val="00CD5401"/>
    <w:rsid w:val="00CE2709"/>
    <w:rsid w:val="00CE2D64"/>
    <w:rsid w:val="00CE6198"/>
    <w:rsid w:val="00CE6CD6"/>
    <w:rsid w:val="00CF6230"/>
    <w:rsid w:val="00D017FC"/>
    <w:rsid w:val="00D0226A"/>
    <w:rsid w:val="00D13147"/>
    <w:rsid w:val="00D30817"/>
    <w:rsid w:val="00D463FF"/>
    <w:rsid w:val="00D551E4"/>
    <w:rsid w:val="00D5715A"/>
    <w:rsid w:val="00D60BCB"/>
    <w:rsid w:val="00D71687"/>
    <w:rsid w:val="00D74813"/>
    <w:rsid w:val="00DA30BC"/>
    <w:rsid w:val="00DA69C2"/>
    <w:rsid w:val="00DA6D70"/>
    <w:rsid w:val="00DB6050"/>
    <w:rsid w:val="00DC24CC"/>
    <w:rsid w:val="00DC2C34"/>
    <w:rsid w:val="00DD2162"/>
    <w:rsid w:val="00DD7D6E"/>
    <w:rsid w:val="00DE2C87"/>
    <w:rsid w:val="00DE459A"/>
    <w:rsid w:val="00DF0790"/>
    <w:rsid w:val="00DF27DA"/>
    <w:rsid w:val="00DF3F81"/>
    <w:rsid w:val="00DF4DBE"/>
    <w:rsid w:val="00E122B6"/>
    <w:rsid w:val="00E3070D"/>
    <w:rsid w:val="00E40820"/>
    <w:rsid w:val="00E4658F"/>
    <w:rsid w:val="00E54A67"/>
    <w:rsid w:val="00E61978"/>
    <w:rsid w:val="00E61C0D"/>
    <w:rsid w:val="00E63EB4"/>
    <w:rsid w:val="00E66160"/>
    <w:rsid w:val="00E71329"/>
    <w:rsid w:val="00E8363B"/>
    <w:rsid w:val="00E84966"/>
    <w:rsid w:val="00E92383"/>
    <w:rsid w:val="00EA1B3A"/>
    <w:rsid w:val="00EA2109"/>
    <w:rsid w:val="00EB5E0C"/>
    <w:rsid w:val="00ED4D4E"/>
    <w:rsid w:val="00EE0C77"/>
    <w:rsid w:val="00EE4E54"/>
    <w:rsid w:val="00EF4334"/>
    <w:rsid w:val="00F14C4B"/>
    <w:rsid w:val="00F21056"/>
    <w:rsid w:val="00F35122"/>
    <w:rsid w:val="00F401E3"/>
    <w:rsid w:val="00F436BB"/>
    <w:rsid w:val="00F467DD"/>
    <w:rsid w:val="00F47145"/>
    <w:rsid w:val="00F545BF"/>
    <w:rsid w:val="00F71B56"/>
    <w:rsid w:val="00F832C8"/>
    <w:rsid w:val="00F873B3"/>
    <w:rsid w:val="00F97F65"/>
    <w:rsid w:val="00FA00BE"/>
    <w:rsid w:val="00FA33FE"/>
    <w:rsid w:val="00FA42B9"/>
    <w:rsid w:val="00FA755A"/>
    <w:rsid w:val="00FB2B0F"/>
    <w:rsid w:val="00FB4F6B"/>
    <w:rsid w:val="00FB5FE1"/>
    <w:rsid w:val="00FC0E8D"/>
    <w:rsid w:val="00FC46EF"/>
    <w:rsid w:val="00FD31B3"/>
    <w:rsid w:val="00FD4204"/>
    <w:rsid w:val="00FD4F00"/>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963E6"/>
    <w:pPr>
      <w:numPr>
        <w:numId w:val="12"/>
      </w:numPr>
      <w:ind w:left="1134"/>
    </w:pPr>
    <w:rPr>
      <w:bCs/>
      <w:noProof/>
    </w:rPr>
  </w:style>
  <w:style w:type="paragraph" w:customStyle="1" w:styleId="Bulletlist2">
    <w:name w:val="Bullet list 2"/>
    <w:basedOn w:val="Bulletlist1"/>
    <w:uiPriority w:val="1"/>
    <w:qFormat/>
    <w:rsid w:val="00C963E6"/>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963E6"/>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C963E6"/>
    <w:pPr>
      <w:numPr>
        <w:numId w:val="26"/>
      </w:numPr>
      <w:ind w:left="1276" w:hanging="283"/>
    </w:pPr>
    <w:rPr>
      <w:rFonts w:asciiTheme="minorHAnsi" w:eastAsiaTheme="minorHAnsi" w:hAnsiTheme="minorHAnsi" w:cstheme="minorBidi"/>
      <w:bCs/>
      <w:noProof/>
      <w:lang w:bidi="ar-SA"/>
    </w:rPr>
  </w:style>
  <w:style w:type="paragraph" w:customStyle="1" w:styleId="NumList2">
    <w:name w:val="Num List 2"/>
    <w:basedOn w:val="Normal"/>
    <w:uiPriority w:val="1"/>
    <w:qFormat/>
    <w:rsid w:val="00C963E6"/>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C963E6"/>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C963E6"/>
    <w:pPr>
      <w:numPr>
        <w:numId w:val="25"/>
      </w:numPr>
      <w:ind w:left="851" w:hanging="851"/>
    </w:pPr>
  </w:style>
  <w:style w:type="character" w:customStyle="1" w:styleId="F9-ParagraphChar">
    <w:name w:val="F9 - # Paragraph Char"/>
    <w:basedOn w:val="DefaultParagraphFont"/>
    <w:link w:val="F9-Paragraph"/>
    <w:rsid w:val="00C963E6"/>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7873957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3018774">
      <w:bodyDiv w:val="1"/>
      <w:marLeft w:val="0"/>
      <w:marRight w:val="0"/>
      <w:marTop w:val="0"/>
      <w:marBottom w:val="0"/>
      <w:divBdr>
        <w:top w:val="none" w:sz="0" w:space="0" w:color="auto"/>
        <w:left w:val="none" w:sz="0" w:space="0" w:color="auto"/>
        <w:bottom w:val="none" w:sz="0" w:space="0" w:color="auto"/>
        <w:right w:val="none" w:sz="0" w:space="0" w:color="auto"/>
      </w:divBdr>
    </w:div>
    <w:div w:id="37624738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44188481">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1831777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361977403">
      <w:bodyDiv w:val="1"/>
      <w:marLeft w:val="0"/>
      <w:marRight w:val="0"/>
      <w:marTop w:val="0"/>
      <w:marBottom w:val="0"/>
      <w:divBdr>
        <w:top w:val="none" w:sz="0" w:space="0" w:color="auto"/>
        <w:left w:val="none" w:sz="0" w:space="0" w:color="auto"/>
        <w:bottom w:val="none" w:sz="0" w:space="0" w:color="auto"/>
        <w:right w:val="none" w:sz="0" w:space="0" w:color="auto"/>
      </w:divBdr>
    </w:div>
    <w:div w:id="139173598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90442776">
      <w:bodyDiv w:val="1"/>
      <w:marLeft w:val="0"/>
      <w:marRight w:val="0"/>
      <w:marTop w:val="0"/>
      <w:marBottom w:val="0"/>
      <w:divBdr>
        <w:top w:val="none" w:sz="0" w:space="0" w:color="auto"/>
        <w:left w:val="none" w:sz="0" w:space="0" w:color="auto"/>
        <w:bottom w:val="none" w:sz="0" w:space="0" w:color="auto"/>
        <w:right w:val="none" w:sz="0" w:space="0" w:color="auto"/>
      </w:divBdr>
    </w:div>
    <w:div w:id="1562129947">
      <w:bodyDiv w:val="1"/>
      <w:marLeft w:val="0"/>
      <w:marRight w:val="0"/>
      <w:marTop w:val="0"/>
      <w:marBottom w:val="0"/>
      <w:divBdr>
        <w:top w:val="none" w:sz="0" w:space="0" w:color="auto"/>
        <w:left w:val="none" w:sz="0" w:space="0" w:color="auto"/>
        <w:bottom w:val="none" w:sz="0" w:space="0" w:color="auto"/>
        <w:right w:val="none" w:sz="0" w:space="0" w:color="auto"/>
      </w:divBdr>
    </w:div>
    <w:div w:id="160310010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9139744">
      <w:bodyDiv w:val="1"/>
      <w:marLeft w:val="0"/>
      <w:marRight w:val="0"/>
      <w:marTop w:val="0"/>
      <w:marBottom w:val="0"/>
      <w:divBdr>
        <w:top w:val="none" w:sz="0" w:space="0" w:color="auto"/>
        <w:left w:val="none" w:sz="0" w:space="0" w:color="auto"/>
        <w:bottom w:val="none" w:sz="0" w:space="0" w:color="auto"/>
        <w:right w:val="none" w:sz="0" w:space="0" w:color="auto"/>
      </w:divBdr>
    </w:div>
    <w:div w:id="175762702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3155792">
      <w:bodyDiv w:val="1"/>
      <w:marLeft w:val="0"/>
      <w:marRight w:val="0"/>
      <w:marTop w:val="0"/>
      <w:marBottom w:val="0"/>
      <w:divBdr>
        <w:top w:val="none" w:sz="0" w:space="0" w:color="auto"/>
        <w:left w:val="none" w:sz="0" w:space="0" w:color="auto"/>
        <w:bottom w:val="none" w:sz="0" w:space="0" w:color="auto"/>
        <w:right w:val="none" w:sz="0" w:space="0" w:color="auto"/>
      </w:divBdr>
    </w:div>
    <w:div w:id="1880510123">
      <w:bodyDiv w:val="1"/>
      <w:marLeft w:val="0"/>
      <w:marRight w:val="0"/>
      <w:marTop w:val="0"/>
      <w:marBottom w:val="0"/>
      <w:divBdr>
        <w:top w:val="none" w:sz="0" w:space="0" w:color="auto"/>
        <w:left w:val="none" w:sz="0" w:space="0" w:color="auto"/>
        <w:bottom w:val="none" w:sz="0" w:space="0" w:color="auto"/>
        <w:right w:val="none" w:sz="0" w:space="0" w:color="auto"/>
      </w:divBdr>
    </w:div>
    <w:div w:id="194356698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5696E"/>
    <w:rsid w:val="00183F29"/>
    <w:rsid w:val="00230299"/>
    <w:rsid w:val="002550FD"/>
    <w:rsid w:val="00333F8E"/>
    <w:rsid w:val="00350199"/>
    <w:rsid w:val="004D60E2"/>
    <w:rsid w:val="007154C5"/>
    <w:rsid w:val="00764F6F"/>
    <w:rsid w:val="00835E07"/>
    <w:rsid w:val="00A657B0"/>
    <w:rsid w:val="00A91EE8"/>
    <w:rsid w:val="00C17C1E"/>
    <w:rsid w:val="00C41BCC"/>
    <w:rsid w:val="00DD7BA4"/>
    <w:rsid w:val="00E27559"/>
    <w:rsid w:val="00E318CE"/>
    <w:rsid w:val="00E64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Gov06</b:Tag>
    <b:SourceType>ElectronicSource</b:SourceType>
    <b:Guid>{8747CC6A-2CC4-4654-866C-0EAF87F1581E}</b:Guid>
    <b:Title>The Regulatory Reform (Fire Safety) Order 2005</b:Title>
    <b:Year>2006</b:Year>
    <b:ShortTitle>Fire Safety Order 2005</b:ShortTitle>
    <b:Publisher>UK Government</b:Publisher>
    <b:StandardNumber>S.I. No.1541</b:StandardNumber>
    <b:URL>https://www.legislation.gov.uk/uksi/2005/1541/pdfs/uksi_20051541_en.pdf</b:URL>
    <b:RefOrder>1</b:RefOrder>
  </b:Source>
  <b:Source>
    <b:Tag>The</b:Tag>
    <b:SourceType>ElectronicSource</b:SourceType>
    <b:Guid>{810F7600-AB8D-4B7B-8787-407D5472EF83}</b:Guid>
    <b:Title>The Fire (Scotland) Act 2005 (Part 3)</b:Title>
    <b:URL>hppts://www.legislation.gov.uk/asp/2005/5/contents</b:URL>
    <b:RefOrder>2</b:RefOrder>
  </b:Source>
  <b:Source>
    <b:Tag>Off20</b:Tag>
    <b:SourceType>ElectronicSource</b:SourceType>
    <b:Guid>{D6AFBD0F-0552-45CA-8E61-889DBB110563}</b:Guid>
    <b:Title>ONR-ENF-POL-001 Revision 1: ONR Enforcement Policy Statement</b:Title>
    <b:Year>2020</b:Year>
    <b:Author>
      <b:Author>
        <b:Corporate>Office for Nuclear Regulation</b:Corporate>
      </b:Author>
    </b:Author>
    <b:URL>https://www.onr.org.uk/enforcement.htm</b:URL>
    <b:RefOrder>3</b:RefOrder>
  </b:Source>
  <b:Source>
    <b:Tag>The1</b:Tag>
    <b:SourceType>ElectronicSource</b:SourceType>
    <b:Guid>{04C8BCB5-AD0A-4B3B-BC4E-25255D11C199}</b:Guid>
    <b:Title>The Building (Scotland) Regulations 2004</b:Title>
    <b:URL>https://www.legislation.gov.uk/ssi/2004/406/made</b:URL>
    <b:RefOrder>4</b:RefOrder>
  </b:Source>
  <b:Source>
    <b:Tag>UKG</b:Tag>
    <b:SourceType>ElectronicSource</b:SourceType>
    <b:Guid>{E0F60640-5380-4442-A385-1B7CDF5DFA4C}</b:Guid>
    <b:Title>The Building Regulations 2010 (England &amp; Wales)</b:Title>
    <b:Author>
      <b:Author>
        <b:Corporate>UK Government</b:Corporate>
      </b:Author>
    </b:Author>
    <b:URL>https://www.legislation.gov.uk/uksi/2010/2214/contents</b:URL>
    <b:RefOrder>5</b:RefOrder>
  </b:Source>
  <b:Source>
    <b:Tag>Hea</b:Tag>
    <b:SourceType>ElectronicSource</b:SourceType>
    <b:Guid>{9D8229E7-426C-4360-9ABB-0B6A144990C8}</b:Guid>
    <b:Author>
      <b:Author>
        <b:Corporate>Health &amp; Safety Executive</b:Corporate>
      </b:Author>
    </b:Author>
    <b:Title>Operational Circular OC 18/12 Version 4 -  Matters of Evident Concern and Potential Major Concern</b:Title>
    <b:URL>https://www.hse.gov.uk/foi/internalops/ocs/001-099/18_12.htm</b:URL>
    <b:RefOrder>6</b:RefOrder>
  </b:Source>
  <b:Source>
    <b:Tag>off22</b:Tag>
    <b:SourceType>ElectronicSource</b:SourceType>
    <b:Guid>{0FDEB391-5847-40A5-80D4-9FB53D9C0C71}</b:Guid>
    <b:Title>ONR-INSP-GD-064 revision 5.3: General Inspection Guide</b:Title>
    <b:Year>2022</b:Year>
    <b:URL>https://www.onr.org.uk/operational/tech_insp_guides/onr-insp-gd-064.pdf</b:URL>
    <b:RefOrder>7</b:RefOrder>
  </b:Source>
  <b:Source>
    <b:Tag>Off14</b:Tag>
    <b:SourceType>ElectronicSource</b:SourceType>
    <b:Guid>{4F7A010F-A7CF-48A9-9739-75F35B3850BA}</b:Guid>
    <b:Title>Safety Assessment Principles for Nuclear Facilities 2014 Edition (Revision 1 - Jaunuary 2020)</b:Title>
    <b:Author>
      <b:Author>
        <b:Corporate>Office for Nuclear Regulation</b:Corporate>
      </b:Author>
    </b:Author>
    <b:URL>https://www.onr.org.uk/saps/saps2014.pdf </b:URL>
    <b:RefOrder>8</b:RefOrder>
  </b:Source>
  <b:Source>
    <b:Tag>Off21</b:Tag>
    <b:SourceType>ElectronicSource</b:SourceType>
    <b:Guid>{C30F0525-599D-420E-B413-2970DA66AA98}</b:Guid>
    <b:Title>ONR-ENF-GD-005 Revision 4: Process for Conducting Investigations</b:Title>
    <b:Year>2021</b:Year>
    <b:URL>https://www.onr.org.uk/operational/investigations/onr-enf-gd-005.pdf</b:URL>
    <b:RefOrder>9</b:RefOrder>
  </b:Source>
  <b:Source>
    <b:Tag>Off1</b:Tag>
    <b:SourceType>ElectronicSource</b:SourceType>
    <b:Guid>{F152BA99-203D-40FD-9F14-215C2C61E7F1}</b:Guid>
    <b:Author>
      <b:Author>
        <b:Corporate>Office for Nuclear Regulation</b:Corporate>
      </b:Author>
    </b:Author>
    <b:Title>ONR-ENF-GD-006 Revision 4: Enforcement</b:Title>
    <b:Year>2021</b:Year>
    <b:URL>https://www.onr.org.uk/enforcement.htm</b:URL>
    <b:RefOrder>10</b:RefOrder>
  </b:Source>
  <b:Source>
    <b:Tag>Off22</b:Tag>
    <b:SourceType>DocumentFromInternetSite</b:SourceType>
    <b:Guid>{23929DFF-7E20-4BD5-A78B-2539C9D0110A}</b:Guid>
    <b:Author>
      <b:Author>
        <b:Corporate>Office for Nuclear Regulation</b:Corporate>
      </b:Author>
    </b:Author>
    <b:Title>NS-INSP-GD-051 Revision 9: Dealing with Matters of Evident and Potential Major Concern</b:Title>
    <b:Year>2022</b:Year>
    <b:URL>https://www.onr.org.uk/operational/tech_insp_guides/</b:URL>
    <b:LCID>en-GB</b:LCID>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F11DFC-7777-40A7-A40E-F347EBA4B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2</TotalTime>
  <Pages>11</Pages>
  <Words>2035</Words>
  <Characters>11600</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regulation of Life Fire Safety on nuclear licensed sites</dc:title>
  <dc:subject>[Subtitle or description]</dc:subject>
  <cp:keywords>[Key words separated by commas]</cp:keywords>
  <dc:description/>
  <cp:revision>2</cp:revision>
  <cp:lastPrinted>2023-02-28T09:53:00Z</cp:lastPrinted>
  <dcterms:created xsi:type="dcterms:W3CDTF">2023-03-06T14:31:00Z</dcterms:created>
  <dcterms:modified xsi:type="dcterms:W3CDTF">2023-03-06T14:31:00Z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