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5883F379" w:rsidR="00595C8C" w:rsidRPr="00595C8C" w:rsidRDefault="00595C8C" w:rsidP="00595C8C">
            <w:pPr>
              <w:pStyle w:val="InnerCoverTitle"/>
              <w:rPr>
                <w:sz w:val="36"/>
                <w:szCs w:val="36"/>
              </w:rPr>
            </w:pPr>
            <w:r w:rsidRPr="00595C8C">
              <w:rPr>
                <w:sz w:val="36"/>
                <w:szCs w:val="36"/>
              </w:rPr>
              <w:t xml:space="preserve">ONR </w:t>
            </w:r>
            <w:r w:rsidR="00D60BCB">
              <w:rPr>
                <w:sz w:val="36"/>
                <w:szCs w:val="36"/>
              </w:rPr>
              <w:t>Technical Inspection Guide (TIG)</w:t>
            </w:r>
          </w:p>
          <w:sdt>
            <w:sdtPr>
              <w:rPr>
                <w:sz w:val="72"/>
                <w:szCs w:val="72"/>
              </w:rPr>
              <w:id w:val="1228188510"/>
              <w:placeholder>
                <w:docPart w:val="DefaultPlaceholder_-1854013440"/>
              </w:placeholder>
            </w:sdtPr>
            <w:sdtContent>
              <w:p w14:paraId="7C4EA414" w14:textId="377D9575" w:rsidR="00D0226A" w:rsidRPr="001E03E1" w:rsidRDefault="00000000" w:rsidP="001E03E1">
                <w:pPr>
                  <w:pStyle w:val="CoverTitle"/>
                  <w:rPr>
                    <w:szCs w:val="90"/>
                  </w:rPr>
                </w:pPr>
                <w:sdt>
                  <w:sdtPr>
                    <w:rPr>
                      <w:sz w:val="64"/>
                      <w:szCs w:val="64"/>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C04325" w:rsidRPr="00C04325">
                      <w:rPr>
                        <w:sz w:val="64"/>
                        <w:szCs w:val="64"/>
                      </w:rPr>
                      <w:t>LC35 – Decommissioning</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FDB4B56" w14:textId="6C10B266" w:rsidR="00595C8C" w:rsidRDefault="00595C8C" w:rsidP="00323E71">
      <w:pPr>
        <w:sectPr w:rsidR="00595C8C" w:rsidSect="00B23A5E">
          <w:headerReference w:type="default" r:id="rId16"/>
          <w:footerReference w:type="default" r:id="rId17"/>
          <w:headerReference w:type="first" r:id="rId18"/>
          <w:footerReference w:type="first" r:id="rId19"/>
          <w:pgSz w:w="11906" w:h="16838" w:code="9"/>
          <w:pgMar w:top="1440" w:right="1440" w:bottom="1440" w:left="1440" w:header="397" w:footer="397" w:gutter="0"/>
          <w:cols w:space="312"/>
          <w:titlePg/>
          <w:docGrid w:linePitch="360"/>
        </w:sectPr>
      </w:pPr>
    </w:p>
    <w:p w14:paraId="3AE5EE98" w14:textId="77777777" w:rsidR="00267815" w:rsidRPr="00EE0C77" w:rsidRDefault="00267815" w:rsidP="00EE0C77">
      <w:pPr>
        <w:pStyle w:val="ContentsHeading"/>
      </w:pPr>
      <w:r w:rsidRPr="00EE0C77">
        <w:lastRenderedPageBreak/>
        <w:t>Co</w:t>
      </w:r>
      <w:r w:rsidRPr="00257288">
        <w:t>n</w:t>
      </w:r>
      <w:r w:rsidRPr="00420A11">
        <w:t>ten</w:t>
      </w:r>
      <w:r w:rsidRPr="00EE0C77">
        <w:t>ts</w:t>
      </w:r>
    </w:p>
    <w:p w14:paraId="4213660C" w14:textId="4689BEA1" w:rsidR="008E4E22" w:rsidRDefault="00AD167C">
      <w:pPr>
        <w:pStyle w:val="TOC1"/>
        <w:tabs>
          <w:tab w:val="left" w:pos="720"/>
        </w:tabs>
        <w:rPr>
          <w:rFonts w:asciiTheme="minorHAnsi" w:eastAsiaTheme="minorEastAsia" w:hAnsiTheme="minorHAnsi" w:cstheme="minorBidi"/>
          <w:kern w:val="2"/>
          <w:szCs w:val="24"/>
          <w:lang w:eastAsia="en-GB" w:bidi="ar-SA"/>
          <w14:ligatures w14:val="standardContextual"/>
        </w:rPr>
      </w:pPr>
      <w:r>
        <w:fldChar w:fldCharType="begin"/>
      </w:r>
      <w:r w:rsidR="00716AB1" w:rsidRPr="00893D9F">
        <w:instrText xml:space="preserve"> TOC \h \z \t "Heading 1,</w:instrText>
      </w:r>
      <w:r w:rsidR="009C15F3" w:rsidRPr="00893D9F">
        <w:instrText>1</w:instrText>
      </w:r>
      <w:r w:rsidR="00716AB1" w:rsidRPr="00893D9F">
        <w:instrText>,Heading 2,</w:instrText>
      </w:r>
      <w:r w:rsidR="009C15F3" w:rsidRPr="00893D9F">
        <w:instrText>2</w:instrText>
      </w:r>
      <w:r w:rsidR="00716AB1" w:rsidRPr="00893D9F">
        <w:instrText xml:space="preserve">" </w:instrText>
      </w:r>
      <w:r>
        <w:fldChar w:fldCharType="separate"/>
      </w:r>
      <w:hyperlink w:anchor="_Toc226729119" w:history="1">
        <w:r w:rsidR="008E4E22" w:rsidRPr="001F6432">
          <w:rPr>
            <w:rStyle w:val="Hyperlink"/>
          </w:rPr>
          <w:t>1.</w:t>
        </w:r>
        <w:r w:rsidR="008E4E22">
          <w:rPr>
            <w:rFonts w:asciiTheme="minorHAnsi" w:eastAsiaTheme="minorEastAsia" w:hAnsiTheme="minorHAnsi" w:cstheme="minorBidi"/>
            <w:kern w:val="2"/>
            <w:szCs w:val="24"/>
            <w:lang w:eastAsia="en-GB" w:bidi="ar-SA"/>
            <w14:ligatures w14:val="standardContextual"/>
          </w:rPr>
          <w:tab/>
        </w:r>
        <w:r w:rsidR="008E4E22" w:rsidRPr="001F6432">
          <w:rPr>
            <w:rStyle w:val="Hyperlink"/>
          </w:rPr>
          <w:t>Introduction</w:t>
        </w:r>
        <w:r w:rsidR="008E4E22">
          <w:rPr>
            <w:webHidden/>
          </w:rPr>
          <w:tab/>
        </w:r>
        <w:r w:rsidR="008E4E22">
          <w:rPr>
            <w:webHidden/>
          </w:rPr>
          <w:fldChar w:fldCharType="begin"/>
        </w:r>
        <w:r w:rsidR="008E4E22">
          <w:rPr>
            <w:webHidden/>
          </w:rPr>
          <w:instrText xml:space="preserve"> PAGEREF _Toc226729119 \h </w:instrText>
        </w:r>
        <w:r w:rsidR="008E4E22">
          <w:rPr>
            <w:webHidden/>
          </w:rPr>
        </w:r>
        <w:r w:rsidR="008E4E22">
          <w:rPr>
            <w:webHidden/>
          </w:rPr>
          <w:fldChar w:fldCharType="separate"/>
        </w:r>
        <w:r w:rsidR="008E4E22">
          <w:rPr>
            <w:webHidden/>
          </w:rPr>
          <w:t>3</w:t>
        </w:r>
        <w:r w:rsidR="008E4E22">
          <w:rPr>
            <w:webHidden/>
          </w:rPr>
          <w:fldChar w:fldCharType="end"/>
        </w:r>
      </w:hyperlink>
    </w:p>
    <w:p w14:paraId="7D3EBB63" w14:textId="49ABCCB7" w:rsidR="008E4E22" w:rsidRDefault="008E4E22">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6729120" w:history="1">
        <w:r w:rsidRPr="001F6432">
          <w:rPr>
            <w:rStyle w:val="Hyperlink"/>
          </w:rPr>
          <w:t>2.</w:t>
        </w:r>
        <w:r>
          <w:rPr>
            <w:rFonts w:asciiTheme="minorHAnsi" w:eastAsiaTheme="minorEastAsia" w:hAnsiTheme="minorHAnsi" w:cstheme="minorBidi"/>
            <w:kern w:val="2"/>
            <w:szCs w:val="24"/>
            <w:lang w:eastAsia="en-GB" w:bidi="ar-SA"/>
            <w14:ligatures w14:val="standardContextual"/>
          </w:rPr>
          <w:tab/>
        </w:r>
        <w:r w:rsidRPr="001F6432">
          <w:rPr>
            <w:rStyle w:val="Hyperlink"/>
          </w:rPr>
          <w:t>Licence Condition 35 – Decommissioning</w:t>
        </w:r>
        <w:r>
          <w:rPr>
            <w:webHidden/>
          </w:rPr>
          <w:tab/>
        </w:r>
        <w:r>
          <w:rPr>
            <w:webHidden/>
          </w:rPr>
          <w:fldChar w:fldCharType="begin"/>
        </w:r>
        <w:r>
          <w:rPr>
            <w:webHidden/>
          </w:rPr>
          <w:instrText xml:space="preserve"> PAGEREF _Toc226729120 \h </w:instrText>
        </w:r>
        <w:r>
          <w:rPr>
            <w:webHidden/>
          </w:rPr>
        </w:r>
        <w:r>
          <w:rPr>
            <w:webHidden/>
          </w:rPr>
          <w:fldChar w:fldCharType="separate"/>
        </w:r>
        <w:r>
          <w:rPr>
            <w:webHidden/>
          </w:rPr>
          <w:t>4</w:t>
        </w:r>
        <w:r>
          <w:rPr>
            <w:webHidden/>
          </w:rPr>
          <w:fldChar w:fldCharType="end"/>
        </w:r>
      </w:hyperlink>
    </w:p>
    <w:p w14:paraId="6AA7CDC8" w14:textId="532AE625" w:rsidR="008E4E22" w:rsidRDefault="008E4E22">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6729121" w:history="1">
        <w:r w:rsidRPr="001F6432">
          <w:rPr>
            <w:rStyle w:val="Hyperlink"/>
          </w:rPr>
          <w:t>3.</w:t>
        </w:r>
        <w:r>
          <w:rPr>
            <w:rFonts w:asciiTheme="minorHAnsi" w:eastAsiaTheme="minorEastAsia" w:hAnsiTheme="minorHAnsi" w:cstheme="minorBidi"/>
            <w:kern w:val="2"/>
            <w:szCs w:val="24"/>
            <w:lang w:eastAsia="en-GB" w:bidi="ar-SA"/>
            <w14:ligatures w14:val="standardContextual"/>
          </w:rPr>
          <w:tab/>
        </w:r>
        <w:r w:rsidRPr="001F6432">
          <w:rPr>
            <w:rStyle w:val="Hyperlink"/>
          </w:rPr>
          <w:t>Purpose of the Licence Condition</w:t>
        </w:r>
        <w:r>
          <w:rPr>
            <w:webHidden/>
          </w:rPr>
          <w:tab/>
        </w:r>
        <w:r>
          <w:rPr>
            <w:webHidden/>
          </w:rPr>
          <w:fldChar w:fldCharType="begin"/>
        </w:r>
        <w:r>
          <w:rPr>
            <w:webHidden/>
          </w:rPr>
          <w:instrText xml:space="preserve"> PAGEREF _Toc226729121 \h </w:instrText>
        </w:r>
        <w:r>
          <w:rPr>
            <w:webHidden/>
          </w:rPr>
        </w:r>
        <w:r>
          <w:rPr>
            <w:webHidden/>
          </w:rPr>
          <w:fldChar w:fldCharType="separate"/>
        </w:r>
        <w:r>
          <w:rPr>
            <w:webHidden/>
          </w:rPr>
          <w:t>5</w:t>
        </w:r>
        <w:r>
          <w:rPr>
            <w:webHidden/>
          </w:rPr>
          <w:fldChar w:fldCharType="end"/>
        </w:r>
      </w:hyperlink>
    </w:p>
    <w:p w14:paraId="428E6592" w14:textId="3D5DCD0C" w:rsidR="008E4E22" w:rsidRDefault="008E4E22">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6729122" w:history="1">
        <w:r w:rsidRPr="001F6432">
          <w:rPr>
            <w:rStyle w:val="Hyperlink"/>
          </w:rPr>
          <w:t>4.</w:t>
        </w:r>
        <w:r>
          <w:rPr>
            <w:rFonts w:asciiTheme="minorHAnsi" w:eastAsiaTheme="minorEastAsia" w:hAnsiTheme="minorHAnsi" w:cstheme="minorBidi"/>
            <w:kern w:val="2"/>
            <w:szCs w:val="24"/>
            <w:lang w:eastAsia="en-GB" w:bidi="ar-SA"/>
            <w14:ligatures w14:val="standardContextual"/>
          </w:rPr>
          <w:tab/>
        </w:r>
        <w:r w:rsidRPr="001F6432">
          <w:rPr>
            <w:rStyle w:val="Hyperlink"/>
          </w:rPr>
          <w:t>Guidance on arrangements for Licence Condition 35</w:t>
        </w:r>
        <w:r>
          <w:rPr>
            <w:webHidden/>
          </w:rPr>
          <w:tab/>
        </w:r>
        <w:r>
          <w:rPr>
            <w:webHidden/>
          </w:rPr>
          <w:fldChar w:fldCharType="begin"/>
        </w:r>
        <w:r>
          <w:rPr>
            <w:webHidden/>
          </w:rPr>
          <w:instrText xml:space="preserve"> PAGEREF _Toc226729122 \h </w:instrText>
        </w:r>
        <w:r>
          <w:rPr>
            <w:webHidden/>
          </w:rPr>
        </w:r>
        <w:r>
          <w:rPr>
            <w:webHidden/>
          </w:rPr>
          <w:fldChar w:fldCharType="separate"/>
        </w:r>
        <w:r>
          <w:rPr>
            <w:webHidden/>
          </w:rPr>
          <w:t>7</w:t>
        </w:r>
        <w:r>
          <w:rPr>
            <w:webHidden/>
          </w:rPr>
          <w:fldChar w:fldCharType="end"/>
        </w:r>
      </w:hyperlink>
    </w:p>
    <w:p w14:paraId="6BDB6BCD" w14:textId="7B047BFC" w:rsidR="008E4E22" w:rsidRDefault="008E4E22">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6729123" w:history="1">
        <w:r w:rsidRPr="001F6432">
          <w:rPr>
            <w:rStyle w:val="Hyperlink"/>
          </w:rPr>
          <w:t>5.</w:t>
        </w:r>
        <w:r>
          <w:rPr>
            <w:rFonts w:asciiTheme="minorHAnsi" w:eastAsiaTheme="minorEastAsia" w:hAnsiTheme="minorHAnsi" w:cstheme="minorBidi"/>
            <w:kern w:val="2"/>
            <w:szCs w:val="24"/>
            <w:lang w:eastAsia="en-GB" w:bidi="ar-SA"/>
            <w14:ligatures w14:val="standardContextual"/>
          </w:rPr>
          <w:tab/>
        </w:r>
        <w:r w:rsidRPr="001F6432">
          <w:rPr>
            <w:rStyle w:val="Hyperlink"/>
          </w:rPr>
          <w:t>Guidance on inspection of arrangements and their implementation</w:t>
        </w:r>
        <w:r>
          <w:rPr>
            <w:webHidden/>
          </w:rPr>
          <w:tab/>
        </w:r>
        <w:r>
          <w:rPr>
            <w:webHidden/>
          </w:rPr>
          <w:fldChar w:fldCharType="begin"/>
        </w:r>
        <w:r>
          <w:rPr>
            <w:webHidden/>
          </w:rPr>
          <w:instrText xml:space="preserve"> PAGEREF _Toc226729123 \h </w:instrText>
        </w:r>
        <w:r>
          <w:rPr>
            <w:webHidden/>
          </w:rPr>
        </w:r>
        <w:r>
          <w:rPr>
            <w:webHidden/>
          </w:rPr>
          <w:fldChar w:fldCharType="separate"/>
        </w:r>
        <w:r>
          <w:rPr>
            <w:webHidden/>
          </w:rPr>
          <w:t>9</w:t>
        </w:r>
        <w:r>
          <w:rPr>
            <w:webHidden/>
          </w:rPr>
          <w:fldChar w:fldCharType="end"/>
        </w:r>
      </w:hyperlink>
    </w:p>
    <w:p w14:paraId="5BC3888A" w14:textId="2F36690E" w:rsidR="008E4E22" w:rsidRDefault="008E4E22">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6729124" w:history="1">
        <w:r w:rsidRPr="001F6432">
          <w:rPr>
            <w:rStyle w:val="Hyperlink"/>
          </w:rPr>
          <w:t>5.1.</w:t>
        </w:r>
        <w:r>
          <w:rPr>
            <w:rFonts w:asciiTheme="minorHAnsi" w:eastAsiaTheme="minorEastAsia" w:hAnsiTheme="minorHAnsi" w:cstheme="minorBidi"/>
            <w:kern w:val="2"/>
            <w:szCs w:val="24"/>
            <w:lang w:eastAsia="en-GB" w:bidi="ar-SA"/>
            <w14:ligatures w14:val="standardContextual"/>
          </w:rPr>
          <w:tab/>
        </w:r>
        <w:r w:rsidRPr="001F6432">
          <w:rPr>
            <w:rStyle w:val="Hyperlink"/>
          </w:rPr>
          <w:t>Further reading</w:t>
        </w:r>
        <w:r>
          <w:rPr>
            <w:webHidden/>
          </w:rPr>
          <w:tab/>
        </w:r>
        <w:r>
          <w:rPr>
            <w:webHidden/>
          </w:rPr>
          <w:fldChar w:fldCharType="begin"/>
        </w:r>
        <w:r>
          <w:rPr>
            <w:webHidden/>
          </w:rPr>
          <w:instrText xml:space="preserve"> PAGEREF _Toc226729124 \h </w:instrText>
        </w:r>
        <w:r>
          <w:rPr>
            <w:webHidden/>
          </w:rPr>
        </w:r>
        <w:r>
          <w:rPr>
            <w:webHidden/>
          </w:rPr>
          <w:fldChar w:fldCharType="separate"/>
        </w:r>
        <w:r>
          <w:rPr>
            <w:webHidden/>
          </w:rPr>
          <w:t>11</w:t>
        </w:r>
        <w:r>
          <w:rPr>
            <w:webHidden/>
          </w:rPr>
          <w:fldChar w:fldCharType="end"/>
        </w:r>
      </w:hyperlink>
    </w:p>
    <w:p w14:paraId="7759F3B7" w14:textId="37EADD42" w:rsidR="008E4E22" w:rsidRDefault="008E4E22">
      <w:pPr>
        <w:pStyle w:val="TOC1"/>
        <w:rPr>
          <w:rFonts w:asciiTheme="minorHAnsi" w:eastAsiaTheme="minorEastAsia" w:hAnsiTheme="minorHAnsi" w:cstheme="minorBidi"/>
          <w:kern w:val="2"/>
          <w:szCs w:val="24"/>
          <w:lang w:eastAsia="en-GB" w:bidi="ar-SA"/>
          <w14:ligatures w14:val="standardContextual"/>
        </w:rPr>
      </w:pPr>
      <w:hyperlink w:anchor="_Toc226729125" w:history="1">
        <w:r w:rsidRPr="001F6432">
          <w:rPr>
            <w:rStyle w:val="Hyperlink"/>
          </w:rPr>
          <w:t>Appendix 1 – Lifecycle</w:t>
        </w:r>
        <w:r w:rsidRPr="001F6432">
          <w:rPr>
            <w:rStyle w:val="Hyperlink"/>
          </w:rPr>
          <w:noBreakHyphen/>
          <w:t>based inspection considerations for Licence Condition 35</w:t>
        </w:r>
        <w:r>
          <w:rPr>
            <w:webHidden/>
          </w:rPr>
          <w:tab/>
        </w:r>
        <w:r>
          <w:rPr>
            <w:webHidden/>
          </w:rPr>
          <w:fldChar w:fldCharType="begin"/>
        </w:r>
        <w:r>
          <w:rPr>
            <w:webHidden/>
          </w:rPr>
          <w:instrText xml:space="preserve"> PAGEREF _Toc226729125 \h </w:instrText>
        </w:r>
        <w:r>
          <w:rPr>
            <w:webHidden/>
          </w:rPr>
        </w:r>
        <w:r>
          <w:rPr>
            <w:webHidden/>
          </w:rPr>
          <w:fldChar w:fldCharType="separate"/>
        </w:r>
        <w:r>
          <w:rPr>
            <w:webHidden/>
          </w:rPr>
          <w:t>12</w:t>
        </w:r>
        <w:r>
          <w:rPr>
            <w:webHidden/>
          </w:rPr>
          <w:fldChar w:fldCharType="end"/>
        </w:r>
      </w:hyperlink>
    </w:p>
    <w:p w14:paraId="50E7AEA9" w14:textId="01B7157B" w:rsidR="008E4E22" w:rsidRDefault="008E4E22">
      <w:pPr>
        <w:pStyle w:val="TOC2"/>
        <w:rPr>
          <w:rFonts w:asciiTheme="minorHAnsi" w:eastAsiaTheme="minorEastAsia" w:hAnsiTheme="minorHAnsi" w:cstheme="minorBidi"/>
          <w:kern w:val="2"/>
          <w:szCs w:val="24"/>
          <w:lang w:eastAsia="en-GB" w:bidi="ar-SA"/>
          <w14:ligatures w14:val="standardContextual"/>
        </w:rPr>
      </w:pPr>
      <w:hyperlink w:anchor="_Toc226729126" w:history="1">
        <w:r w:rsidRPr="001F6432">
          <w:rPr>
            <w:rStyle w:val="Hyperlink"/>
          </w:rPr>
          <w:t>Facility under design</w:t>
        </w:r>
        <w:r>
          <w:rPr>
            <w:webHidden/>
          </w:rPr>
          <w:tab/>
        </w:r>
        <w:r>
          <w:rPr>
            <w:webHidden/>
          </w:rPr>
          <w:fldChar w:fldCharType="begin"/>
        </w:r>
        <w:r>
          <w:rPr>
            <w:webHidden/>
          </w:rPr>
          <w:instrText xml:space="preserve"> PAGEREF _Toc226729126 \h </w:instrText>
        </w:r>
        <w:r>
          <w:rPr>
            <w:webHidden/>
          </w:rPr>
        </w:r>
        <w:r>
          <w:rPr>
            <w:webHidden/>
          </w:rPr>
          <w:fldChar w:fldCharType="separate"/>
        </w:r>
        <w:r>
          <w:rPr>
            <w:webHidden/>
          </w:rPr>
          <w:t>12</w:t>
        </w:r>
        <w:r>
          <w:rPr>
            <w:webHidden/>
          </w:rPr>
          <w:fldChar w:fldCharType="end"/>
        </w:r>
      </w:hyperlink>
    </w:p>
    <w:p w14:paraId="63247AE9" w14:textId="43E53F9A" w:rsidR="008E4E22" w:rsidRDefault="008E4E22">
      <w:pPr>
        <w:pStyle w:val="TOC2"/>
        <w:rPr>
          <w:rFonts w:asciiTheme="minorHAnsi" w:eastAsiaTheme="minorEastAsia" w:hAnsiTheme="minorHAnsi" w:cstheme="minorBidi"/>
          <w:kern w:val="2"/>
          <w:szCs w:val="24"/>
          <w:lang w:eastAsia="en-GB" w:bidi="ar-SA"/>
          <w14:ligatures w14:val="standardContextual"/>
        </w:rPr>
      </w:pPr>
      <w:hyperlink w:anchor="_Toc226729127" w:history="1">
        <w:r w:rsidRPr="001F6432">
          <w:rPr>
            <w:rStyle w:val="Hyperlink"/>
          </w:rPr>
          <w:t>Facilities under construction</w:t>
        </w:r>
        <w:r>
          <w:rPr>
            <w:webHidden/>
          </w:rPr>
          <w:tab/>
        </w:r>
        <w:r>
          <w:rPr>
            <w:webHidden/>
          </w:rPr>
          <w:fldChar w:fldCharType="begin"/>
        </w:r>
        <w:r>
          <w:rPr>
            <w:webHidden/>
          </w:rPr>
          <w:instrText xml:space="preserve"> PAGEREF _Toc226729127 \h </w:instrText>
        </w:r>
        <w:r>
          <w:rPr>
            <w:webHidden/>
          </w:rPr>
        </w:r>
        <w:r>
          <w:rPr>
            <w:webHidden/>
          </w:rPr>
          <w:fldChar w:fldCharType="separate"/>
        </w:r>
        <w:r>
          <w:rPr>
            <w:webHidden/>
          </w:rPr>
          <w:t>13</w:t>
        </w:r>
        <w:r>
          <w:rPr>
            <w:webHidden/>
          </w:rPr>
          <w:fldChar w:fldCharType="end"/>
        </w:r>
      </w:hyperlink>
    </w:p>
    <w:p w14:paraId="098C1D9B" w14:textId="5BD36198" w:rsidR="008E4E22" w:rsidRDefault="008E4E22">
      <w:pPr>
        <w:pStyle w:val="TOC2"/>
        <w:rPr>
          <w:rFonts w:asciiTheme="minorHAnsi" w:eastAsiaTheme="minorEastAsia" w:hAnsiTheme="minorHAnsi" w:cstheme="minorBidi"/>
          <w:kern w:val="2"/>
          <w:szCs w:val="24"/>
          <w:lang w:eastAsia="en-GB" w:bidi="ar-SA"/>
          <w14:ligatures w14:val="standardContextual"/>
        </w:rPr>
      </w:pPr>
      <w:hyperlink w:anchor="_Toc226729128" w:history="1">
        <w:r w:rsidRPr="001F6432">
          <w:rPr>
            <w:rStyle w:val="Hyperlink"/>
          </w:rPr>
          <w:t>Facilities undergoing modification</w:t>
        </w:r>
        <w:r>
          <w:rPr>
            <w:webHidden/>
          </w:rPr>
          <w:tab/>
        </w:r>
        <w:r>
          <w:rPr>
            <w:webHidden/>
          </w:rPr>
          <w:fldChar w:fldCharType="begin"/>
        </w:r>
        <w:r>
          <w:rPr>
            <w:webHidden/>
          </w:rPr>
          <w:instrText xml:space="preserve"> PAGEREF _Toc226729128 \h </w:instrText>
        </w:r>
        <w:r>
          <w:rPr>
            <w:webHidden/>
          </w:rPr>
        </w:r>
        <w:r>
          <w:rPr>
            <w:webHidden/>
          </w:rPr>
          <w:fldChar w:fldCharType="separate"/>
        </w:r>
        <w:r>
          <w:rPr>
            <w:webHidden/>
          </w:rPr>
          <w:t>13</w:t>
        </w:r>
        <w:r>
          <w:rPr>
            <w:webHidden/>
          </w:rPr>
          <w:fldChar w:fldCharType="end"/>
        </w:r>
      </w:hyperlink>
    </w:p>
    <w:p w14:paraId="5F58786E" w14:textId="4BBC261B" w:rsidR="008E4E22" w:rsidRDefault="008E4E22">
      <w:pPr>
        <w:pStyle w:val="TOC2"/>
        <w:rPr>
          <w:rFonts w:asciiTheme="minorHAnsi" w:eastAsiaTheme="minorEastAsia" w:hAnsiTheme="minorHAnsi" w:cstheme="minorBidi"/>
          <w:kern w:val="2"/>
          <w:szCs w:val="24"/>
          <w:lang w:eastAsia="en-GB" w:bidi="ar-SA"/>
          <w14:ligatures w14:val="standardContextual"/>
        </w:rPr>
      </w:pPr>
      <w:hyperlink w:anchor="_Toc226729129" w:history="1">
        <w:r w:rsidRPr="001F6432">
          <w:rPr>
            <w:rStyle w:val="Hyperlink"/>
          </w:rPr>
          <w:t>Facilities in operation</w:t>
        </w:r>
        <w:r>
          <w:rPr>
            <w:webHidden/>
          </w:rPr>
          <w:tab/>
        </w:r>
        <w:r>
          <w:rPr>
            <w:webHidden/>
          </w:rPr>
          <w:fldChar w:fldCharType="begin"/>
        </w:r>
        <w:r>
          <w:rPr>
            <w:webHidden/>
          </w:rPr>
          <w:instrText xml:space="preserve"> PAGEREF _Toc226729129 \h </w:instrText>
        </w:r>
        <w:r>
          <w:rPr>
            <w:webHidden/>
          </w:rPr>
        </w:r>
        <w:r>
          <w:rPr>
            <w:webHidden/>
          </w:rPr>
          <w:fldChar w:fldCharType="separate"/>
        </w:r>
        <w:r>
          <w:rPr>
            <w:webHidden/>
          </w:rPr>
          <w:t>13</w:t>
        </w:r>
        <w:r>
          <w:rPr>
            <w:webHidden/>
          </w:rPr>
          <w:fldChar w:fldCharType="end"/>
        </w:r>
      </w:hyperlink>
    </w:p>
    <w:p w14:paraId="60110BD8" w14:textId="2CA406BE" w:rsidR="008E4E22" w:rsidRDefault="008E4E22">
      <w:pPr>
        <w:pStyle w:val="TOC2"/>
        <w:rPr>
          <w:rFonts w:asciiTheme="minorHAnsi" w:eastAsiaTheme="minorEastAsia" w:hAnsiTheme="minorHAnsi" w:cstheme="minorBidi"/>
          <w:kern w:val="2"/>
          <w:szCs w:val="24"/>
          <w:lang w:eastAsia="en-GB" w:bidi="ar-SA"/>
          <w14:ligatures w14:val="standardContextual"/>
        </w:rPr>
      </w:pPr>
      <w:hyperlink w:anchor="_Toc226729130" w:history="1">
        <w:r w:rsidRPr="001F6432">
          <w:rPr>
            <w:rStyle w:val="Hyperlink"/>
          </w:rPr>
          <w:t>Facilities transitioning to decommissioning (POCO)</w:t>
        </w:r>
        <w:r>
          <w:rPr>
            <w:webHidden/>
          </w:rPr>
          <w:tab/>
        </w:r>
        <w:r>
          <w:rPr>
            <w:webHidden/>
          </w:rPr>
          <w:fldChar w:fldCharType="begin"/>
        </w:r>
        <w:r>
          <w:rPr>
            <w:webHidden/>
          </w:rPr>
          <w:instrText xml:space="preserve"> PAGEREF _Toc226729130 \h </w:instrText>
        </w:r>
        <w:r>
          <w:rPr>
            <w:webHidden/>
          </w:rPr>
        </w:r>
        <w:r>
          <w:rPr>
            <w:webHidden/>
          </w:rPr>
          <w:fldChar w:fldCharType="separate"/>
        </w:r>
        <w:r>
          <w:rPr>
            <w:webHidden/>
          </w:rPr>
          <w:t>14</w:t>
        </w:r>
        <w:r>
          <w:rPr>
            <w:webHidden/>
          </w:rPr>
          <w:fldChar w:fldCharType="end"/>
        </w:r>
      </w:hyperlink>
    </w:p>
    <w:p w14:paraId="09004F4A" w14:textId="39AA9A6F" w:rsidR="008E4E22" w:rsidRDefault="008E4E22">
      <w:pPr>
        <w:pStyle w:val="TOC2"/>
        <w:rPr>
          <w:rFonts w:asciiTheme="minorHAnsi" w:eastAsiaTheme="minorEastAsia" w:hAnsiTheme="minorHAnsi" w:cstheme="minorBidi"/>
          <w:kern w:val="2"/>
          <w:szCs w:val="24"/>
          <w:lang w:eastAsia="en-GB" w:bidi="ar-SA"/>
          <w14:ligatures w14:val="standardContextual"/>
        </w:rPr>
      </w:pPr>
      <w:hyperlink w:anchor="_Toc226729131" w:history="1">
        <w:r w:rsidRPr="001F6432">
          <w:rPr>
            <w:rStyle w:val="Hyperlink"/>
          </w:rPr>
          <w:t>Facilities undergoing decommissioning</w:t>
        </w:r>
        <w:r>
          <w:rPr>
            <w:webHidden/>
          </w:rPr>
          <w:tab/>
        </w:r>
        <w:r>
          <w:rPr>
            <w:webHidden/>
          </w:rPr>
          <w:fldChar w:fldCharType="begin"/>
        </w:r>
        <w:r>
          <w:rPr>
            <w:webHidden/>
          </w:rPr>
          <w:instrText xml:space="preserve"> PAGEREF _Toc226729131 \h </w:instrText>
        </w:r>
        <w:r>
          <w:rPr>
            <w:webHidden/>
          </w:rPr>
        </w:r>
        <w:r>
          <w:rPr>
            <w:webHidden/>
          </w:rPr>
          <w:fldChar w:fldCharType="separate"/>
        </w:r>
        <w:r>
          <w:rPr>
            <w:webHidden/>
          </w:rPr>
          <w:t>14</w:t>
        </w:r>
        <w:r>
          <w:rPr>
            <w:webHidden/>
          </w:rPr>
          <w:fldChar w:fldCharType="end"/>
        </w:r>
      </w:hyperlink>
    </w:p>
    <w:p w14:paraId="6BEE79FC" w14:textId="740D077D" w:rsidR="008E4E22" w:rsidRDefault="008E4E22">
      <w:pPr>
        <w:pStyle w:val="TOC2"/>
        <w:rPr>
          <w:rFonts w:asciiTheme="minorHAnsi" w:eastAsiaTheme="minorEastAsia" w:hAnsiTheme="minorHAnsi" w:cstheme="minorBidi"/>
          <w:kern w:val="2"/>
          <w:szCs w:val="24"/>
          <w:lang w:eastAsia="en-GB" w:bidi="ar-SA"/>
          <w14:ligatures w14:val="standardContextual"/>
        </w:rPr>
      </w:pPr>
      <w:hyperlink w:anchor="_Toc226729132" w:history="1">
        <w:r w:rsidRPr="001F6432">
          <w:rPr>
            <w:rStyle w:val="Hyperlink"/>
          </w:rPr>
          <w:t>Facilities entering / within care and maintenance</w:t>
        </w:r>
        <w:r>
          <w:rPr>
            <w:webHidden/>
          </w:rPr>
          <w:tab/>
        </w:r>
        <w:r>
          <w:rPr>
            <w:webHidden/>
          </w:rPr>
          <w:fldChar w:fldCharType="begin"/>
        </w:r>
        <w:r>
          <w:rPr>
            <w:webHidden/>
          </w:rPr>
          <w:instrText xml:space="preserve"> PAGEREF _Toc226729132 \h </w:instrText>
        </w:r>
        <w:r>
          <w:rPr>
            <w:webHidden/>
          </w:rPr>
        </w:r>
        <w:r>
          <w:rPr>
            <w:webHidden/>
          </w:rPr>
          <w:fldChar w:fldCharType="separate"/>
        </w:r>
        <w:r>
          <w:rPr>
            <w:webHidden/>
          </w:rPr>
          <w:t>15</w:t>
        </w:r>
        <w:r>
          <w:rPr>
            <w:webHidden/>
          </w:rPr>
          <w:fldChar w:fldCharType="end"/>
        </w:r>
      </w:hyperlink>
    </w:p>
    <w:p w14:paraId="36CAA9EA" w14:textId="21376255" w:rsidR="008E4E22" w:rsidRDefault="008E4E22">
      <w:pPr>
        <w:pStyle w:val="TOC1"/>
        <w:rPr>
          <w:rFonts w:asciiTheme="minorHAnsi" w:eastAsiaTheme="minorEastAsia" w:hAnsiTheme="minorHAnsi" w:cstheme="minorBidi"/>
          <w:kern w:val="2"/>
          <w:szCs w:val="24"/>
          <w:lang w:eastAsia="en-GB" w:bidi="ar-SA"/>
          <w14:ligatures w14:val="standardContextual"/>
        </w:rPr>
      </w:pPr>
      <w:hyperlink w:anchor="_Toc226729133" w:history="1">
        <w:r w:rsidRPr="001F6432">
          <w:rPr>
            <w:rStyle w:val="Hyperlink"/>
          </w:rPr>
          <w:t>Appendix 2 – Guidance on the inspection of EIADR arrangements and their implementation</w:t>
        </w:r>
        <w:r>
          <w:rPr>
            <w:webHidden/>
          </w:rPr>
          <w:tab/>
        </w:r>
        <w:r>
          <w:rPr>
            <w:webHidden/>
          </w:rPr>
          <w:fldChar w:fldCharType="begin"/>
        </w:r>
        <w:r>
          <w:rPr>
            <w:webHidden/>
          </w:rPr>
          <w:instrText xml:space="preserve"> PAGEREF _Toc226729133 \h </w:instrText>
        </w:r>
        <w:r>
          <w:rPr>
            <w:webHidden/>
          </w:rPr>
        </w:r>
        <w:r>
          <w:rPr>
            <w:webHidden/>
          </w:rPr>
          <w:fldChar w:fldCharType="separate"/>
        </w:r>
        <w:r>
          <w:rPr>
            <w:webHidden/>
          </w:rPr>
          <w:t>16</w:t>
        </w:r>
        <w:r>
          <w:rPr>
            <w:webHidden/>
          </w:rPr>
          <w:fldChar w:fldCharType="end"/>
        </w:r>
      </w:hyperlink>
    </w:p>
    <w:p w14:paraId="17E5491B" w14:textId="53350F8B" w:rsidR="008E4E22" w:rsidRDefault="008E4E22">
      <w:pPr>
        <w:pStyle w:val="TOC2"/>
        <w:rPr>
          <w:rFonts w:asciiTheme="minorHAnsi" w:eastAsiaTheme="minorEastAsia" w:hAnsiTheme="minorHAnsi" w:cstheme="minorBidi"/>
          <w:kern w:val="2"/>
          <w:szCs w:val="24"/>
          <w:lang w:eastAsia="en-GB" w:bidi="ar-SA"/>
          <w14:ligatures w14:val="standardContextual"/>
        </w:rPr>
      </w:pPr>
      <w:hyperlink w:anchor="_Toc226729134" w:history="1">
        <w:r w:rsidRPr="001F6432">
          <w:rPr>
            <w:rStyle w:val="Hyperlink"/>
          </w:rPr>
          <w:t>Purpose and scope</w:t>
        </w:r>
        <w:r>
          <w:rPr>
            <w:webHidden/>
          </w:rPr>
          <w:tab/>
        </w:r>
        <w:r>
          <w:rPr>
            <w:webHidden/>
          </w:rPr>
          <w:fldChar w:fldCharType="begin"/>
        </w:r>
        <w:r>
          <w:rPr>
            <w:webHidden/>
          </w:rPr>
          <w:instrText xml:space="preserve"> PAGEREF _Toc226729134 \h </w:instrText>
        </w:r>
        <w:r>
          <w:rPr>
            <w:webHidden/>
          </w:rPr>
        </w:r>
        <w:r>
          <w:rPr>
            <w:webHidden/>
          </w:rPr>
          <w:fldChar w:fldCharType="separate"/>
        </w:r>
        <w:r>
          <w:rPr>
            <w:webHidden/>
          </w:rPr>
          <w:t>16</w:t>
        </w:r>
        <w:r>
          <w:rPr>
            <w:webHidden/>
          </w:rPr>
          <w:fldChar w:fldCharType="end"/>
        </w:r>
      </w:hyperlink>
    </w:p>
    <w:p w14:paraId="52325524" w14:textId="2A6C74D1" w:rsidR="008E4E22" w:rsidRDefault="008E4E22">
      <w:pPr>
        <w:pStyle w:val="TOC2"/>
        <w:rPr>
          <w:rFonts w:asciiTheme="minorHAnsi" w:eastAsiaTheme="minorEastAsia" w:hAnsiTheme="minorHAnsi" w:cstheme="minorBidi"/>
          <w:kern w:val="2"/>
          <w:szCs w:val="24"/>
          <w:lang w:eastAsia="en-GB" w:bidi="ar-SA"/>
          <w14:ligatures w14:val="standardContextual"/>
        </w:rPr>
      </w:pPr>
      <w:hyperlink w:anchor="_Toc226729135" w:history="1">
        <w:r w:rsidRPr="001F6432">
          <w:rPr>
            <w:rStyle w:val="Hyperlink"/>
          </w:rPr>
          <w:t>Guidance</w:t>
        </w:r>
        <w:r>
          <w:rPr>
            <w:webHidden/>
          </w:rPr>
          <w:tab/>
        </w:r>
        <w:r>
          <w:rPr>
            <w:webHidden/>
          </w:rPr>
          <w:fldChar w:fldCharType="begin"/>
        </w:r>
        <w:r>
          <w:rPr>
            <w:webHidden/>
          </w:rPr>
          <w:instrText xml:space="preserve"> PAGEREF _Toc226729135 \h </w:instrText>
        </w:r>
        <w:r>
          <w:rPr>
            <w:webHidden/>
          </w:rPr>
        </w:r>
        <w:r>
          <w:rPr>
            <w:webHidden/>
          </w:rPr>
          <w:fldChar w:fldCharType="separate"/>
        </w:r>
        <w:r>
          <w:rPr>
            <w:webHidden/>
          </w:rPr>
          <w:t>16</w:t>
        </w:r>
        <w:r>
          <w:rPr>
            <w:webHidden/>
          </w:rPr>
          <w:fldChar w:fldCharType="end"/>
        </w:r>
      </w:hyperlink>
    </w:p>
    <w:p w14:paraId="6FF93917" w14:textId="74578FE6" w:rsidR="008E4E22" w:rsidRDefault="008E4E22">
      <w:pPr>
        <w:pStyle w:val="TOC1"/>
        <w:rPr>
          <w:rFonts w:asciiTheme="minorHAnsi" w:eastAsiaTheme="minorEastAsia" w:hAnsiTheme="minorHAnsi" w:cstheme="minorBidi"/>
          <w:kern w:val="2"/>
          <w:szCs w:val="24"/>
          <w:lang w:eastAsia="en-GB" w:bidi="ar-SA"/>
          <w14:ligatures w14:val="standardContextual"/>
        </w:rPr>
      </w:pPr>
      <w:hyperlink w:anchor="_Toc226729136" w:history="1">
        <w:r w:rsidRPr="001F6432">
          <w:rPr>
            <w:rStyle w:val="Hyperlink"/>
          </w:rPr>
          <w:t>References</w:t>
        </w:r>
        <w:r>
          <w:rPr>
            <w:webHidden/>
          </w:rPr>
          <w:tab/>
        </w:r>
        <w:r>
          <w:rPr>
            <w:webHidden/>
          </w:rPr>
          <w:fldChar w:fldCharType="begin"/>
        </w:r>
        <w:r>
          <w:rPr>
            <w:webHidden/>
          </w:rPr>
          <w:instrText xml:space="preserve"> PAGEREF _Toc226729136 \h </w:instrText>
        </w:r>
        <w:r>
          <w:rPr>
            <w:webHidden/>
          </w:rPr>
        </w:r>
        <w:r>
          <w:rPr>
            <w:webHidden/>
          </w:rPr>
          <w:fldChar w:fldCharType="separate"/>
        </w:r>
        <w:r>
          <w:rPr>
            <w:webHidden/>
          </w:rPr>
          <w:t>20</w:t>
        </w:r>
        <w:r>
          <w:rPr>
            <w:webHidden/>
          </w:rPr>
          <w:fldChar w:fldCharType="end"/>
        </w:r>
      </w:hyperlink>
    </w:p>
    <w:p w14:paraId="47102097" w14:textId="3544C792" w:rsidR="008E4E22" w:rsidRDefault="008E4E22">
      <w:pPr>
        <w:pStyle w:val="TOC1"/>
        <w:rPr>
          <w:rFonts w:asciiTheme="minorHAnsi" w:eastAsiaTheme="minorEastAsia" w:hAnsiTheme="minorHAnsi" w:cstheme="minorBidi"/>
          <w:kern w:val="2"/>
          <w:szCs w:val="24"/>
          <w:lang w:eastAsia="en-GB" w:bidi="ar-SA"/>
          <w14:ligatures w14:val="standardContextual"/>
        </w:rPr>
      </w:pPr>
      <w:hyperlink w:anchor="_Toc226729137" w:history="1">
        <w:r w:rsidRPr="001F6432">
          <w:rPr>
            <w:rStyle w:val="Hyperlink"/>
          </w:rPr>
          <w:t>Document control information</w:t>
        </w:r>
        <w:r>
          <w:rPr>
            <w:webHidden/>
          </w:rPr>
          <w:tab/>
        </w:r>
        <w:r>
          <w:rPr>
            <w:webHidden/>
          </w:rPr>
          <w:fldChar w:fldCharType="begin"/>
        </w:r>
        <w:r>
          <w:rPr>
            <w:webHidden/>
          </w:rPr>
          <w:instrText xml:space="preserve"> PAGEREF _Toc226729137 \h </w:instrText>
        </w:r>
        <w:r>
          <w:rPr>
            <w:webHidden/>
          </w:rPr>
        </w:r>
        <w:r>
          <w:rPr>
            <w:webHidden/>
          </w:rPr>
          <w:fldChar w:fldCharType="separate"/>
        </w:r>
        <w:r>
          <w:rPr>
            <w:webHidden/>
          </w:rPr>
          <w:t>20</w:t>
        </w:r>
        <w:r>
          <w:rPr>
            <w:webHidden/>
          </w:rPr>
          <w:fldChar w:fldCharType="end"/>
        </w:r>
      </w:hyperlink>
    </w:p>
    <w:p w14:paraId="0CC4B54A" w14:textId="50BF16CC" w:rsidR="00267815" w:rsidRDefault="00AD167C" w:rsidP="00267815">
      <w:r>
        <w:fldChar w:fldCharType="end"/>
      </w:r>
    </w:p>
    <w:p w14:paraId="716B9A7E" w14:textId="77777777" w:rsidR="003E098E" w:rsidRDefault="003E098E" w:rsidP="00267815"/>
    <w:p w14:paraId="4812BFF8" w14:textId="1D099CA0" w:rsidR="003E098E" w:rsidRDefault="003E098E" w:rsidP="00267815">
      <w:pPr>
        <w:sectPr w:rsidR="003E098E" w:rsidSect="00084ABE">
          <w:headerReference w:type="even" r:id="rId20"/>
          <w:headerReference w:type="default" r:id="rId21"/>
          <w:footerReference w:type="even" r:id="rId22"/>
          <w:footerReference w:type="default" r:id="rId23"/>
          <w:pgSz w:w="11906" w:h="16838" w:code="9"/>
          <w:pgMar w:top="1440" w:right="1440" w:bottom="1440" w:left="1440" w:header="397" w:footer="397" w:gutter="0"/>
          <w:cols w:space="312"/>
          <w:docGrid w:linePitch="360"/>
        </w:sectPr>
      </w:pPr>
    </w:p>
    <w:p w14:paraId="43A875A4" w14:textId="7F61F835" w:rsidR="008D49A5" w:rsidRPr="00223090" w:rsidRDefault="008D49A5" w:rsidP="00076F40">
      <w:pPr>
        <w:pStyle w:val="Heading1"/>
      </w:pPr>
      <w:bookmarkStart w:id="1" w:name="_Toc226729119"/>
      <w:bookmarkEnd w:id="0"/>
      <w:r w:rsidRPr="00223090">
        <w:lastRenderedPageBreak/>
        <w:t>Introduction</w:t>
      </w:r>
      <w:bookmarkEnd w:id="1"/>
    </w:p>
    <w:p w14:paraId="475EA11B" w14:textId="77777777" w:rsidR="007D40F1" w:rsidRDefault="000612BF" w:rsidP="00076F40">
      <w:pPr>
        <w:pStyle w:val="F9-Paragraph"/>
      </w:pPr>
      <w:bookmarkStart w:id="2" w:name="_Hlk64448648"/>
      <w:r w:rsidRPr="00076F40">
        <w:t xml:space="preserve">Technical Inspection Guides (TIG) support inspectors undertaking compliance inspections to make regulatory judgements in relation to the adequacy of compliance and in providing regulatory advice on specific Licence Conditions (LCs) to licensees. </w:t>
      </w:r>
    </w:p>
    <w:p w14:paraId="4254F7F5" w14:textId="4199E122" w:rsidR="000612BF" w:rsidRPr="00076F40" w:rsidRDefault="000612BF" w:rsidP="00076F40">
      <w:pPr>
        <w:pStyle w:val="F9-Paragraph"/>
      </w:pPr>
      <w:r w:rsidRPr="00076F40">
        <w:t>LC35 sits alongside LC19–22 within the same coherent suite of licence conditions, providing regulatory control over the final stage of the plant lifecycle by ensuring that decommissioning activities are properly planned, justified and controlled, and that changes arising during the transition from operation to decommissioning are managed without compromising nuclear safety.</w:t>
      </w:r>
    </w:p>
    <w:p w14:paraId="50B93B5C" w14:textId="77777777" w:rsidR="000612BF" w:rsidRDefault="000612BF" w:rsidP="00076F40">
      <w:pPr>
        <w:pStyle w:val="F9-Paragraph"/>
      </w:pPr>
      <w:r w:rsidRPr="001C2394">
        <w:t>While not exhaustive or mandatory, the guidance offers a clear framework for inspectors to assess the adequacy of compliance.</w:t>
      </w:r>
      <w:r w:rsidRPr="002136D0">
        <w:t xml:space="preserve"> Inspectors should also refer to</w:t>
      </w:r>
      <w:r>
        <w:t>:</w:t>
      </w:r>
    </w:p>
    <w:p w14:paraId="6D270B97" w14:textId="6B58689F" w:rsidR="000612BF" w:rsidRPr="007D40F1" w:rsidRDefault="000612BF" w:rsidP="007D40F1">
      <w:pPr>
        <w:pStyle w:val="Bulletlist1"/>
      </w:pPr>
      <w:r w:rsidRPr="007D40F1">
        <w:t>ONR policy on Risk-Informed and Targeted Engagements (RITE)</w:t>
      </w:r>
      <w:sdt>
        <w:sdtPr>
          <w:id w:val="196125768"/>
          <w:citation/>
        </w:sdtPr>
        <w:sdtContent>
          <w:r w:rsidRPr="007D40F1">
            <w:fldChar w:fldCharType="begin"/>
          </w:r>
          <w:r w:rsidRPr="007D40F1">
            <w:instrText xml:space="preserve">CITATION ONR2 \l 2057 </w:instrText>
          </w:r>
          <w:r w:rsidRPr="007D40F1">
            <w:fldChar w:fldCharType="separate"/>
          </w:r>
          <w:r w:rsidR="00FB6A35" w:rsidRPr="007D40F1">
            <w:t xml:space="preserve"> [1]</w:t>
          </w:r>
          <w:r w:rsidRPr="007D40F1">
            <w:fldChar w:fldCharType="end"/>
          </w:r>
        </w:sdtContent>
      </w:sdt>
      <w:r w:rsidRPr="007D40F1">
        <w:t>, which guides risk-based prioritisation in regulatory interventions and supports decisions on engaging with dutyholders.</w:t>
      </w:r>
    </w:p>
    <w:p w14:paraId="0DF49186" w14:textId="410220DD" w:rsidR="000612BF" w:rsidRPr="007D40F1" w:rsidRDefault="000612BF" w:rsidP="007D40F1">
      <w:pPr>
        <w:pStyle w:val="Bulletlist1"/>
      </w:pPr>
      <w:r w:rsidRPr="007D40F1">
        <w:t xml:space="preserve">NS-TAST-GD-026 – Decommissioning </w:t>
      </w:r>
      <w:sdt>
        <w:sdtPr>
          <w:id w:val="114500930"/>
          <w:citation/>
        </w:sdtPr>
        <w:sdtContent>
          <w:r w:rsidRPr="007D40F1">
            <w:fldChar w:fldCharType="begin"/>
          </w:r>
          <w:r w:rsidRPr="007D40F1">
            <w:instrText xml:space="preserve"> CITATION ONR35 \l 2057 </w:instrText>
          </w:r>
          <w:r w:rsidRPr="007D40F1">
            <w:fldChar w:fldCharType="separate"/>
          </w:r>
          <w:r w:rsidR="00FB6A35" w:rsidRPr="007D40F1">
            <w:t>[2]</w:t>
          </w:r>
          <w:r w:rsidRPr="007D40F1">
            <w:fldChar w:fldCharType="end"/>
          </w:r>
        </w:sdtContent>
      </w:sdt>
    </w:p>
    <w:p w14:paraId="043D6009" w14:textId="77777777" w:rsidR="007D40F1" w:rsidRDefault="007D40F1" w:rsidP="00076F40">
      <w:pPr>
        <w:pStyle w:val="Heading1"/>
        <w:sectPr w:rsidR="007D40F1" w:rsidSect="00B23A5E">
          <w:headerReference w:type="even" r:id="rId24"/>
          <w:headerReference w:type="default" r:id="rId25"/>
          <w:footerReference w:type="even" r:id="rId26"/>
          <w:pgSz w:w="11906" w:h="16838" w:code="9"/>
          <w:pgMar w:top="1440" w:right="1440" w:bottom="1440" w:left="1440" w:header="397" w:footer="397" w:gutter="0"/>
          <w:cols w:space="312"/>
          <w:docGrid w:linePitch="360"/>
        </w:sectPr>
      </w:pPr>
      <w:bookmarkStart w:id="3" w:name="_Toc118110448"/>
      <w:bookmarkStart w:id="4" w:name="_Toc226016890"/>
      <w:bookmarkEnd w:id="2"/>
    </w:p>
    <w:p w14:paraId="76C7FDD1" w14:textId="52716358" w:rsidR="005128A1" w:rsidRPr="007739D2" w:rsidRDefault="005128A1" w:rsidP="00076F40">
      <w:pPr>
        <w:pStyle w:val="Heading1"/>
      </w:pPr>
      <w:bookmarkStart w:id="5" w:name="_Toc226729120"/>
      <w:r w:rsidRPr="007739D2">
        <w:lastRenderedPageBreak/>
        <w:t>Licence Condition 3</w:t>
      </w:r>
      <w:r w:rsidR="007D40F1">
        <w:t xml:space="preserve">5 – </w:t>
      </w:r>
      <w:r w:rsidRPr="007739D2">
        <w:t>Decommissioning</w:t>
      </w:r>
      <w:bookmarkEnd w:id="3"/>
      <w:bookmarkEnd w:id="4"/>
      <w:bookmarkEnd w:id="5"/>
      <w:r w:rsidR="007D40F1">
        <w:t xml:space="preserve"> </w:t>
      </w:r>
    </w:p>
    <w:p w14:paraId="71612BC4" w14:textId="77777777" w:rsidR="005128A1" w:rsidRPr="00D22AC6" w:rsidRDefault="005128A1" w:rsidP="007D40F1">
      <w:pPr>
        <w:pStyle w:val="Bulletlist1"/>
        <w:numPr>
          <w:ilvl w:val="0"/>
          <w:numId w:val="0"/>
        </w:numPr>
        <w:ind w:left="851"/>
      </w:pPr>
      <w:r>
        <w:t xml:space="preserve">35(1): </w:t>
      </w:r>
      <w:r w:rsidRPr="00D22AC6">
        <w:t>The licensee shall make and implement adequate arrangements for the decommissioning of any plant or process which may affect safety.</w:t>
      </w:r>
    </w:p>
    <w:p w14:paraId="37D8ED53" w14:textId="77777777" w:rsidR="005128A1" w:rsidRPr="00D22AC6" w:rsidRDefault="005128A1" w:rsidP="007D40F1">
      <w:pPr>
        <w:pStyle w:val="Bulletlist1"/>
        <w:numPr>
          <w:ilvl w:val="0"/>
          <w:numId w:val="0"/>
        </w:numPr>
        <w:ind w:left="851"/>
      </w:pPr>
      <w:r>
        <w:t>35</w:t>
      </w:r>
      <w:r w:rsidRPr="00D22AC6">
        <w:t>(2)</w:t>
      </w:r>
      <w:r>
        <w:t xml:space="preserve">: </w:t>
      </w:r>
      <w:r w:rsidRPr="00D22AC6">
        <w:t>The licensee shall make arrangements for the production and implementation of decommissioning programmes for each plant.</w:t>
      </w:r>
    </w:p>
    <w:p w14:paraId="18154B04" w14:textId="77777777" w:rsidR="005128A1" w:rsidRPr="00D22AC6" w:rsidRDefault="005128A1" w:rsidP="007D40F1">
      <w:pPr>
        <w:pStyle w:val="Bulletlist1"/>
        <w:numPr>
          <w:ilvl w:val="0"/>
          <w:numId w:val="0"/>
        </w:numPr>
        <w:ind w:left="851"/>
      </w:pPr>
      <w:r w:rsidRPr="00D22AC6">
        <w:t>35(3)</w:t>
      </w:r>
      <w:r>
        <w:t xml:space="preserve">: </w:t>
      </w:r>
      <w:r w:rsidRPr="00D22AC6">
        <w:t xml:space="preserve">The licensee shall submit to ONR for </w:t>
      </w:r>
      <w:r w:rsidRPr="00776F3A">
        <w:rPr>
          <w:shd w:val="clear" w:color="auto" w:fill="9BBB59"/>
        </w:rPr>
        <w:t>approval</w:t>
      </w:r>
      <w:r w:rsidRPr="00D22AC6">
        <w:t xml:space="preserve"> such part or parts of the aforesaid arrangements or programmes as ONR may </w:t>
      </w:r>
      <w:r w:rsidRPr="001449DC">
        <w:rPr>
          <w:shd w:val="clear" w:color="auto" w:fill="4BACC6"/>
        </w:rPr>
        <w:t>specify</w:t>
      </w:r>
      <w:r w:rsidRPr="00D22AC6">
        <w:t>.</w:t>
      </w:r>
    </w:p>
    <w:p w14:paraId="03EBA555" w14:textId="77777777" w:rsidR="005128A1" w:rsidRPr="00D22AC6" w:rsidRDefault="005128A1" w:rsidP="007D40F1">
      <w:pPr>
        <w:pStyle w:val="Bulletlist1"/>
        <w:numPr>
          <w:ilvl w:val="0"/>
          <w:numId w:val="0"/>
        </w:numPr>
        <w:ind w:left="851"/>
      </w:pPr>
      <w:r w:rsidRPr="00D22AC6">
        <w:t>35(4)</w:t>
      </w:r>
      <w:r>
        <w:t xml:space="preserve">: </w:t>
      </w:r>
      <w:r w:rsidRPr="00D22AC6">
        <w:t xml:space="preserve">The licensee shall ensure that once approved no alteration or amendment is made to the approved arrangements or programmes unless ONR has </w:t>
      </w:r>
      <w:r w:rsidRPr="00776F3A">
        <w:rPr>
          <w:shd w:val="clear" w:color="auto" w:fill="9BBB59"/>
        </w:rPr>
        <w:t>approved</w:t>
      </w:r>
      <w:r w:rsidRPr="00D22AC6">
        <w:t xml:space="preserve"> such alteration or amendment.</w:t>
      </w:r>
    </w:p>
    <w:p w14:paraId="02326F4C" w14:textId="77777777" w:rsidR="005128A1" w:rsidRPr="00D22AC6" w:rsidRDefault="005128A1" w:rsidP="007D40F1">
      <w:pPr>
        <w:pStyle w:val="Bulletlist1"/>
        <w:numPr>
          <w:ilvl w:val="0"/>
          <w:numId w:val="0"/>
        </w:numPr>
        <w:ind w:left="851"/>
      </w:pPr>
      <w:r w:rsidRPr="00D22AC6">
        <w:t>35(5)</w:t>
      </w:r>
      <w:r>
        <w:t xml:space="preserve">: </w:t>
      </w:r>
      <w:r w:rsidRPr="00D22AC6">
        <w:t>The aforesaid arrangements shall where appropriate divide the decommissioning into stages.</w:t>
      </w:r>
      <w:r>
        <w:t xml:space="preserve"> </w:t>
      </w:r>
      <w:r w:rsidRPr="00D22AC6">
        <w:t xml:space="preserve">Where ONR so </w:t>
      </w:r>
      <w:r w:rsidRPr="001449DC">
        <w:rPr>
          <w:shd w:val="clear" w:color="auto" w:fill="4BACC6"/>
        </w:rPr>
        <w:t>specifies</w:t>
      </w:r>
      <w:r w:rsidRPr="00D22AC6">
        <w:t xml:space="preserve"> the licensee shall not commence nor thereafter proceed from one stage to the next of the decommissioning without the </w:t>
      </w:r>
      <w:r w:rsidRPr="007403B8">
        <w:rPr>
          <w:shd w:val="clear" w:color="auto" w:fill="F79646"/>
        </w:rPr>
        <w:t>consen</w:t>
      </w:r>
      <w:r>
        <w:rPr>
          <w:shd w:val="clear" w:color="auto" w:fill="F79646"/>
        </w:rPr>
        <w:t xml:space="preserve">t </w:t>
      </w:r>
      <w:r w:rsidRPr="00D22AC6">
        <w:t>of ONR.</w:t>
      </w:r>
      <w:r>
        <w:t xml:space="preserve"> </w:t>
      </w:r>
      <w:r w:rsidRPr="00D22AC6">
        <w:t>The arrangements shall include a requirement for the provision of adequate documentation to justify the safety of the proposed decommissioning and shall where appropriate provide for the submission of this documentation to ONR.</w:t>
      </w:r>
    </w:p>
    <w:p w14:paraId="63E459AD" w14:textId="77777777" w:rsidR="005128A1" w:rsidRPr="00D22AC6" w:rsidRDefault="005128A1" w:rsidP="007D40F1">
      <w:pPr>
        <w:pStyle w:val="Bulletlist1"/>
        <w:numPr>
          <w:ilvl w:val="0"/>
          <w:numId w:val="0"/>
        </w:numPr>
        <w:ind w:left="851"/>
      </w:pPr>
      <w:r w:rsidRPr="00D22AC6">
        <w:t>35(6)</w:t>
      </w:r>
      <w:r>
        <w:t xml:space="preserve">: </w:t>
      </w:r>
      <w:r w:rsidRPr="00D22AC6">
        <w:t xml:space="preserve">The licensee shall, if so </w:t>
      </w:r>
      <w:r w:rsidRPr="00366273">
        <w:rPr>
          <w:shd w:val="clear" w:color="auto" w:fill="B2A1C7"/>
        </w:rPr>
        <w:t>directed</w:t>
      </w:r>
      <w:r w:rsidRPr="00D22AC6">
        <w:t xml:space="preserve"> by ONR where it appears to them to be in the interests of safety, commence decommissioning in accordance with the aforesaid arrangements and decommissioning programmes.</w:t>
      </w:r>
    </w:p>
    <w:p w14:paraId="4A511BFD" w14:textId="77777777" w:rsidR="005128A1" w:rsidRDefault="005128A1" w:rsidP="007D40F1">
      <w:pPr>
        <w:pStyle w:val="Bulletlist1"/>
        <w:numPr>
          <w:ilvl w:val="0"/>
          <w:numId w:val="0"/>
        </w:numPr>
        <w:ind w:left="851"/>
      </w:pPr>
      <w:r w:rsidRPr="00D22AC6">
        <w:t>35(7)</w:t>
      </w:r>
      <w:r>
        <w:t>: T</w:t>
      </w:r>
      <w:r w:rsidRPr="00D22AC6">
        <w:t xml:space="preserve">he licensee shall, if so </w:t>
      </w:r>
      <w:r w:rsidRPr="00366273">
        <w:rPr>
          <w:shd w:val="clear" w:color="auto" w:fill="B2A1C7"/>
        </w:rPr>
        <w:t>directed</w:t>
      </w:r>
      <w:r w:rsidRPr="00D22AC6">
        <w:t xml:space="preserve"> by ONR, halt the decommissioning of a plant and the licensee shall not recommence such decommissioning without the </w:t>
      </w:r>
      <w:r w:rsidRPr="007403B8">
        <w:rPr>
          <w:shd w:val="clear" w:color="auto" w:fill="F79646"/>
        </w:rPr>
        <w:t>consent</w:t>
      </w:r>
      <w:r w:rsidRPr="00D22AC6">
        <w:t xml:space="preserve"> of ONR.</w:t>
      </w:r>
    </w:p>
    <w:p w14:paraId="35FFB4C5" w14:textId="77777777" w:rsidR="007D40F1" w:rsidRDefault="007D40F1" w:rsidP="00076F40">
      <w:pPr>
        <w:pStyle w:val="Heading1"/>
        <w:sectPr w:rsidR="007D40F1" w:rsidSect="00B23A5E">
          <w:pgSz w:w="11906" w:h="16838" w:code="9"/>
          <w:pgMar w:top="1440" w:right="1440" w:bottom="1440" w:left="1440" w:header="397" w:footer="397" w:gutter="0"/>
          <w:cols w:space="312"/>
          <w:docGrid w:linePitch="360"/>
        </w:sectPr>
      </w:pPr>
      <w:bookmarkStart w:id="6" w:name="_Toc226016891"/>
    </w:p>
    <w:p w14:paraId="51DE3051" w14:textId="77777777" w:rsidR="00A43C36" w:rsidRPr="006A1E26" w:rsidRDefault="00A43C36" w:rsidP="00076F40">
      <w:pPr>
        <w:pStyle w:val="Heading1"/>
      </w:pPr>
      <w:bookmarkStart w:id="7" w:name="_Toc226729121"/>
      <w:r w:rsidRPr="006A1E26">
        <w:lastRenderedPageBreak/>
        <w:t>Purpose of the Licence Condition</w:t>
      </w:r>
      <w:bookmarkEnd w:id="6"/>
      <w:bookmarkEnd w:id="7"/>
    </w:p>
    <w:p w14:paraId="09FFC3DC" w14:textId="5863635E" w:rsidR="006E5055" w:rsidRPr="000A6690" w:rsidRDefault="006E5055" w:rsidP="00076F40">
      <w:pPr>
        <w:pStyle w:val="F9-Paragraph"/>
      </w:pPr>
      <w:r w:rsidRPr="000A6690">
        <w:t>This section sets out the purpose of LC35, its relationship to other relevant legal and regulatory requirements, and key linkages with other licence conditions (particularly LC19–LC23).</w:t>
      </w:r>
    </w:p>
    <w:p w14:paraId="340992CF" w14:textId="77777777" w:rsidR="006E5055" w:rsidRPr="000A6690" w:rsidRDefault="006E5055" w:rsidP="00076F40">
      <w:pPr>
        <w:pStyle w:val="F9-Paragraph"/>
      </w:pPr>
      <w:r w:rsidRPr="000A6690">
        <w:t>This guidance applies across the full lifecycle of any plant or process. Although decommissioning is the final lifecycle stage, it should be considered at the design stage and throughout operation, modification and transition activities. Inspectors should therefore target LC35 expectations where changes to plant or processes could affect decommissioning.</w:t>
      </w:r>
    </w:p>
    <w:p w14:paraId="65DB8B14" w14:textId="77E7ECC1" w:rsidR="001B4D5A" w:rsidRPr="000A6690" w:rsidRDefault="006E5055" w:rsidP="00076F40">
      <w:pPr>
        <w:pStyle w:val="F9-Paragraph"/>
      </w:pPr>
      <w:r w:rsidRPr="000A6690">
        <w:t>LC35(1) requires the licensee to make and implement adequate arrangements for decommissioning any nuclear safety</w:t>
      </w:r>
      <w:r w:rsidRPr="000A6690">
        <w:noBreakHyphen/>
        <w:t>related plant or process on a licensed site. The intent is to ensure decommissioning is planned and delivered such that risks to workers and the public are reduced so far as is reasonably practicable (SFAIRP), including where modifications to existing plant or processes may affect future decommissioning.</w:t>
      </w:r>
    </w:p>
    <w:p w14:paraId="53B54932" w14:textId="0CDDA667" w:rsidR="007662E4" w:rsidRPr="000A6690" w:rsidRDefault="007D5844" w:rsidP="00076F40">
      <w:pPr>
        <w:pStyle w:val="F9-Paragraph"/>
      </w:pPr>
      <w:r w:rsidRPr="000A6690">
        <w:t>LC35(2) requires the licensee to establish and implement a decommissioning programme (or programmes) for each plant. Programmes should identify the resources needed to deliver a systematic and progressive reduction in hazard to a defined end state within a justified timescale.</w:t>
      </w:r>
    </w:p>
    <w:p w14:paraId="39425047" w14:textId="29320184" w:rsidR="007D5844" w:rsidRPr="000A6690" w:rsidRDefault="00230EA0" w:rsidP="00076F40">
      <w:pPr>
        <w:pStyle w:val="F9-Paragraph"/>
      </w:pPr>
      <w:r w:rsidRPr="000A6690">
        <w:t>LC35(3)–(4) provide ONR with powers to specify parts of the arrangements or programmes for approval and to require further approval for any subsequent changes. This may include, for example, arrangements for monitoring and reporting decommissioning progress across a licensed site.</w:t>
      </w:r>
    </w:p>
    <w:p w14:paraId="7BB2BD83" w14:textId="77777777" w:rsidR="009F75B9" w:rsidRPr="000A6690" w:rsidRDefault="009F75B9" w:rsidP="00076F40">
      <w:pPr>
        <w:pStyle w:val="F9-Paragraph"/>
      </w:pPr>
      <w:r w:rsidRPr="000A6690">
        <w:t>Where appropriate, LC35(5) requires decommissioning to be divided into sequential stages, with each stage delivering a systematic and progressive reduction in hazard. ONR may specify hold points between stages; the licensee then requires ONR consent to commence decommissioning or to proceed from one stage to the next.</w:t>
      </w:r>
    </w:p>
    <w:p w14:paraId="4ACF9E43" w14:textId="23FAFA5E" w:rsidR="00230EA0" w:rsidRPr="009F75B9" w:rsidRDefault="009F75B9" w:rsidP="00076F40">
      <w:pPr>
        <w:pStyle w:val="F9-Paragraph"/>
      </w:pPr>
      <w:r w:rsidRPr="000A6690">
        <w:t>LC35(5) also requires adequate documentation to justify the safety of proposed decommissioning activities. For major projects, this will normally be a safety case consistent with LC23 requirements. Where decommissioning is staged, each stage should be supported by a proportionate safety case describing the start and end configurations and the activities required to move between them, demonstrating risk reduction SFAIRP.</w:t>
      </w:r>
    </w:p>
    <w:p w14:paraId="3051AC08" w14:textId="46C5A90A" w:rsidR="00B51380" w:rsidRPr="000A6690" w:rsidRDefault="00B51380" w:rsidP="00076F40">
      <w:pPr>
        <w:pStyle w:val="F9-Paragraph"/>
      </w:pPr>
      <w:r w:rsidRPr="000A6690">
        <w:t>LC35(6) provides ONR with the power to direct a licensee to commence decommissioning in accordance with its arrangements and programmes where this appears to ONR to be in the interests of safety.</w:t>
      </w:r>
    </w:p>
    <w:p w14:paraId="48418BAB" w14:textId="77777777" w:rsidR="00B51380" w:rsidRPr="000A6690" w:rsidRDefault="00B51380" w:rsidP="00076F40">
      <w:pPr>
        <w:pStyle w:val="F9-Paragraph"/>
      </w:pPr>
      <w:r w:rsidRPr="000A6690">
        <w:lastRenderedPageBreak/>
        <w:t>LC35(7) provides ONR with the power to direct a licensee to halt decommissioning. Recommencement requires ONR consent.</w:t>
      </w:r>
    </w:p>
    <w:p w14:paraId="2BFCEDB0" w14:textId="605AD520" w:rsidR="00D60BCB" w:rsidRPr="001C2394" w:rsidRDefault="00EA72A9" w:rsidP="00076F40">
      <w:pPr>
        <w:pStyle w:val="F9-Paragraph"/>
        <w:rPr>
          <w:rFonts w:cs="Times New Roman"/>
          <w:szCs w:val="24"/>
        </w:rPr>
      </w:pPr>
      <w:r w:rsidRPr="000A6690">
        <w:t>Decommissioning of nuclear power stations and reactors (&gt;1 kW continuous thermal load) is also subject to the Nuclear Reactors (Environmental Impact Assessment for Decommissioning) Regulations 1999 (as amended) (EIADR) and, where applicable, cannot commence without ONR consent. EIADR does not apply to projects that commenced before 19 November 1999 and does not apply to ‘Authorised Defence Sites’ under Crown control. EIADR therefore applies to decommissioning of nuclear submarines where work is carried out on a nuclear licensed site, but not where it is carried out on an ‘Authorised Defence Site’. Guidance on inspecting EIADR arrangements is provided in Appendix 2</w:t>
      </w:r>
      <w:r w:rsidR="00590349">
        <w:rPr>
          <w:rFonts w:cs="Times New Roman"/>
          <w:szCs w:val="24"/>
        </w:rPr>
        <w:t>.</w:t>
      </w:r>
    </w:p>
    <w:p w14:paraId="5507EBA0" w14:textId="77777777" w:rsidR="007D40F1" w:rsidRDefault="007D40F1" w:rsidP="00076F40">
      <w:pPr>
        <w:pStyle w:val="Heading1"/>
        <w:sectPr w:rsidR="007D40F1" w:rsidSect="00B23A5E">
          <w:pgSz w:w="11906" w:h="16838" w:code="9"/>
          <w:pgMar w:top="1440" w:right="1440" w:bottom="1440" w:left="1440" w:header="397" w:footer="397" w:gutter="0"/>
          <w:cols w:space="312"/>
          <w:docGrid w:linePitch="360"/>
        </w:sectPr>
      </w:pPr>
      <w:bookmarkStart w:id="8" w:name="_Toc226016892"/>
    </w:p>
    <w:p w14:paraId="332DB411" w14:textId="65891C1E" w:rsidR="00E603B3" w:rsidRPr="00C317C1" w:rsidRDefault="00E603B3" w:rsidP="00076F40">
      <w:pPr>
        <w:pStyle w:val="Heading1"/>
      </w:pPr>
      <w:bookmarkStart w:id="9" w:name="_Toc226729122"/>
      <w:r w:rsidRPr="00C317C1">
        <w:lastRenderedPageBreak/>
        <w:t xml:space="preserve">Guidance on arrangements for </w:t>
      </w:r>
      <w:bookmarkEnd w:id="8"/>
      <w:r w:rsidR="003B1A77">
        <w:t>Licence Condition 35</w:t>
      </w:r>
      <w:bookmarkEnd w:id="9"/>
    </w:p>
    <w:p w14:paraId="6CA6E7AB" w14:textId="666CA020" w:rsidR="00B53D5C" w:rsidRDefault="00B53D5C" w:rsidP="00076F40">
      <w:pPr>
        <w:pStyle w:val="F9-Paragraph"/>
      </w:pPr>
      <w:r>
        <w:t>Each licensee should have satisfactory a</w:t>
      </w:r>
      <w:r w:rsidRPr="00695E7A">
        <w:t xml:space="preserve">rrangements </w:t>
      </w:r>
      <w:r>
        <w:t>to address all the requirements of LC35 including a means to comply with the regulatory powers in LC35(3), 35(4), 35(5), 35(6) and 35(7), in the event of those powers being applied by ONR. The arrangements should be readily available, up-to-date and controlled under a management system compliant with the requirements of LC17 (Management Systems).</w:t>
      </w:r>
    </w:p>
    <w:p w14:paraId="5A127392" w14:textId="77777777" w:rsidR="00B53D5C" w:rsidRPr="00B53D5C" w:rsidRDefault="00B53D5C" w:rsidP="00076F40">
      <w:pPr>
        <w:pStyle w:val="F9-Paragraph"/>
      </w:pPr>
      <w:r>
        <w:t>Decommissioning arrangements should address all relevant requirements for nuclear safety, conventional safety, security and transport, including applicable statutory duties.</w:t>
      </w:r>
    </w:p>
    <w:p w14:paraId="10E889F9" w14:textId="77777777" w:rsidR="00B53D5C" w:rsidRPr="00B53D5C" w:rsidRDefault="00B53D5C" w:rsidP="00076F40">
      <w:pPr>
        <w:pStyle w:val="F9-Paragraph"/>
      </w:pPr>
      <w:r>
        <w:t>LC35(1) requires the licensee to document how redundant, operational and proposed plant or processes will be decommissioned safely at end</w:t>
      </w:r>
      <w:r>
        <w:noBreakHyphen/>
        <w:t>of</w:t>
      </w:r>
      <w:r>
        <w:noBreakHyphen/>
        <w:t>life, in a manner compatible with the intended site end state. ONR interprets this as a comprehensive decommissioning strategy and plan, consistent with UK Government policy that operators should “produce and maintain a decommissioning strategy and plans for its sites”. Further guidance on ONR’s assessment of decommissioning strategies is provided in Ref. [2].</w:t>
      </w:r>
    </w:p>
    <w:p w14:paraId="697E9E76" w14:textId="7EF8DF75" w:rsidR="00983CE6" w:rsidRDefault="00B53D5C" w:rsidP="00076F40">
      <w:pPr>
        <w:pStyle w:val="F9-Paragraph"/>
      </w:pPr>
      <w:r>
        <w:t xml:space="preserve">Decommissioning should commence as soon as is reasonably practicable, taking account of relevant factors (see ONR SAP DC.3, ‘Timing of decommissioning’) </w:t>
      </w:r>
      <w:sdt>
        <w:sdtPr>
          <w:id w:val="-1345323945"/>
          <w:citation/>
        </w:sdtPr>
        <w:sdtContent>
          <w:r>
            <w:fldChar w:fldCharType="begin"/>
          </w:r>
          <w:r>
            <w:instrText xml:space="preserve"> CITATION ON \l 2057 </w:instrText>
          </w:r>
          <w:r>
            <w:fldChar w:fldCharType="separate"/>
          </w:r>
          <w:r w:rsidR="00FB6A35" w:rsidRPr="00FB6A35">
            <w:rPr>
              <w:noProof/>
            </w:rPr>
            <w:t>[3]</w:t>
          </w:r>
          <w:r>
            <w:fldChar w:fldCharType="end"/>
          </w:r>
        </w:sdtContent>
      </w:sdt>
      <w:r>
        <w:t>. Where deferral is proposed, the duration and rationale should be explicitly justified in the safety case and strategy. The safety case should demonstrate that risks remain acceptable, reduced SFAIRP and properly controlled throughout the deferment period (typically ‘Care and Maintenance’), including any requirements for periodic review/EMIT. So far as reasonably practicable, passive safety principles should be implemented before deferral, and the licensee should demonstrate that future decommissioning and the management of resulting wastes will not be prejudiced</w:t>
      </w:r>
      <w:r w:rsidR="00983CE6">
        <w:t xml:space="preserve">. </w:t>
      </w:r>
    </w:p>
    <w:p w14:paraId="6D985F9A" w14:textId="0E002A0D" w:rsidR="00983CE6" w:rsidRPr="00227E8F" w:rsidRDefault="00983CE6" w:rsidP="00076F40">
      <w:pPr>
        <w:pStyle w:val="F9-Paragraph"/>
      </w:pPr>
      <w:r>
        <w:t>The decommissioning strategy should be a live document that describes the site’s liabilities, the envisaged scope of decommissioning, and the preferred approaches. It should consider options and timescales and define the target end state. The strategy should be reviewed and updated throughout the facility lifecycle, with detail proportionate to the radiological hazard and increasing as the start of decommissioning approaches. It should provide the basis for the decommissioning plan; further expectations are set out in Ref</w:t>
      </w:r>
      <w:r w:rsidR="004908F6">
        <w:t xml:space="preserve"> </w:t>
      </w:r>
      <w:r>
        <w:t>[</w:t>
      </w:r>
      <w:r w:rsidR="00FF35E9">
        <w:t>2</w:t>
      </w:r>
      <w:r>
        <w:t>].</w:t>
      </w:r>
    </w:p>
    <w:p w14:paraId="0998804C" w14:textId="77777777" w:rsidR="00983CE6" w:rsidRPr="00227E8F" w:rsidRDefault="00983CE6" w:rsidP="00076F40">
      <w:pPr>
        <w:pStyle w:val="F9-Paragraph"/>
      </w:pPr>
      <w:r>
        <w:t xml:space="preserve">In line with LC35(2), the licensee should produce a decommissioning programme for each facility. Programmes should align with the decommissioning strategy, mature as the facility approaches end of </w:t>
      </w:r>
      <w:r>
        <w:lastRenderedPageBreak/>
        <w:t>operations, and demonstrate continued, systematic hazard reduction to a clearly defined and justified end state.</w:t>
      </w:r>
    </w:p>
    <w:p w14:paraId="2D6FB626" w14:textId="77777777" w:rsidR="00293FF1" w:rsidRPr="00227E8F" w:rsidRDefault="00293FF1" w:rsidP="00076F40">
      <w:pPr>
        <w:pStyle w:val="F9-Paragraph"/>
      </w:pPr>
      <w:r w:rsidRPr="00227E8F">
        <w:t>As a minimum, the decommissioning programme should:</w:t>
      </w:r>
    </w:p>
    <w:p w14:paraId="31AB97F6" w14:textId="77777777" w:rsidR="00293FF1" w:rsidRPr="00227E8F" w:rsidRDefault="00293FF1" w:rsidP="007D40F1">
      <w:pPr>
        <w:pStyle w:val="Bulletlist1"/>
      </w:pPr>
      <w:r>
        <w:t>B</w:t>
      </w:r>
      <w:r w:rsidRPr="00227E8F">
        <w:t>e consistent with the decommissioning strategy;</w:t>
      </w:r>
    </w:p>
    <w:p w14:paraId="1EF18F23" w14:textId="77777777" w:rsidR="00293FF1" w:rsidRPr="00227E8F" w:rsidRDefault="00293FF1" w:rsidP="007D40F1">
      <w:pPr>
        <w:pStyle w:val="Bulletlist1"/>
      </w:pPr>
      <w:r>
        <w:t>D</w:t>
      </w:r>
      <w:r w:rsidRPr="00227E8F">
        <w:t>escribe how decommissioning of each facility will be staged within the overall site programme, including the required waste management (treatment and disposal) facilities on and off the licensed site;</w:t>
      </w:r>
    </w:p>
    <w:p w14:paraId="340CF23B" w14:textId="77777777" w:rsidR="00293FF1" w:rsidRPr="00227E8F" w:rsidRDefault="00293FF1" w:rsidP="007D40F1">
      <w:pPr>
        <w:pStyle w:val="Bulletlist1"/>
      </w:pPr>
      <w:r>
        <w:t>I</w:t>
      </w:r>
      <w:r w:rsidRPr="00227E8F">
        <w:t>dentify the human resources needed to deliver decommissioning safely, with significant organisational changes justified in accordance with LC36; and</w:t>
      </w:r>
    </w:p>
    <w:p w14:paraId="6FB583F8" w14:textId="77777777" w:rsidR="00293FF1" w:rsidRPr="00227E8F" w:rsidRDefault="00293FF1" w:rsidP="007D40F1">
      <w:pPr>
        <w:pStyle w:val="Bulletlist1"/>
      </w:pPr>
      <w:r>
        <w:t>D</w:t>
      </w:r>
      <w:r w:rsidRPr="00227E8F">
        <w:t>efine hazard</w:t>
      </w:r>
      <w:r w:rsidRPr="00227E8F">
        <w:noBreakHyphen/>
        <w:t>reduction milestones and the characterisation required to demonstrate achievement of the intended end state.</w:t>
      </w:r>
    </w:p>
    <w:p w14:paraId="17F0E1E2" w14:textId="7F4EF0FD" w:rsidR="00255504" w:rsidRDefault="00255504" w:rsidP="00076F40">
      <w:pPr>
        <w:pStyle w:val="F9-Paragraph"/>
      </w:pPr>
      <w:r w:rsidRPr="00E37344">
        <w:t>ONR expects an adequate waste management strategy to be in place, before decommissioning commences, for all wastes expected to be generated. Where prolonged storage of Higher Activity Wastes (HAW) pending a Geological Disposal Facility (GDF) is necessary, wastes should be stored</w:t>
      </w:r>
      <w:r>
        <w:t>,</w:t>
      </w:r>
      <w:r w:rsidRPr="00E37344">
        <w:t xml:space="preserve"> so far as reasonably practicable</w:t>
      </w:r>
      <w:r>
        <w:t>,</w:t>
      </w:r>
      <w:r w:rsidRPr="00E37344">
        <w:t xml:space="preserve"> in accordance with good engineering practice and in a passively safe condition, supported by an appropriate safety case.</w:t>
      </w:r>
    </w:p>
    <w:p w14:paraId="4344C528" w14:textId="7AE52680" w:rsidR="00D60BCB" w:rsidRDefault="00FB6A35" w:rsidP="00076F40">
      <w:pPr>
        <w:pStyle w:val="F9-Paragraph"/>
      </w:pPr>
      <w:r w:rsidRPr="00FB6A35">
        <w:t xml:space="preserve">Further details on regulatory expectations can be found in Ref </w:t>
      </w:r>
      <w:sdt>
        <w:sdtPr>
          <w:id w:val="2076778275"/>
          <w:citation/>
        </w:sdtPr>
        <w:sdtContent>
          <w:r w:rsidRPr="00FB6A35">
            <w:fldChar w:fldCharType="begin"/>
          </w:r>
          <w:r w:rsidRPr="00FB6A35">
            <w:instrText xml:space="preserve"> CITATION ONR117 \l 2057 </w:instrText>
          </w:r>
          <w:r w:rsidRPr="00FB6A35">
            <w:fldChar w:fldCharType="separate"/>
          </w:r>
          <w:r w:rsidRPr="00FB6A35">
            <w:t>[4]</w:t>
          </w:r>
          <w:r w:rsidRPr="00FB6A35">
            <w:fldChar w:fldCharType="end"/>
          </w:r>
        </w:sdtContent>
      </w:sdt>
      <w:r w:rsidRPr="00FB6A35">
        <w:t xml:space="preserve"> and the Joint Guidance from the ONR, the Environment Agency, the Scottish Environment Protection Agency and Natural Resources Wales to Nuclear Licensees on ‘The Management of Higher Activity Radioactive Waste on Nuclear Licensed Sites’ </w:t>
      </w:r>
      <w:sdt>
        <w:sdtPr>
          <w:id w:val="1815527466"/>
          <w:citation/>
        </w:sdtPr>
        <w:sdtContent>
          <w:r w:rsidRPr="00FB6A35">
            <w:fldChar w:fldCharType="begin"/>
          </w:r>
          <w:r w:rsidRPr="00FB6A35">
            <w:instrText xml:space="preserve"> CITATION ONR2118 \l 2057 </w:instrText>
          </w:r>
          <w:r w:rsidRPr="00FB6A35">
            <w:fldChar w:fldCharType="separate"/>
          </w:r>
          <w:r w:rsidRPr="00FB6A35">
            <w:t>[5]</w:t>
          </w:r>
          <w:r w:rsidRPr="00FB6A35">
            <w:fldChar w:fldCharType="end"/>
          </w:r>
        </w:sdtContent>
      </w:sdt>
      <w:r w:rsidRPr="00FB6A35">
        <w:t>.</w:t>
      </w:r>
    </w:p>
    <w:p w14:paraId="188FBE50" w14:textId="77777777" w:rsidR="007D40F1" w:rsidRDefault="007D40F1" w:rsidP="00076F40">
      <w:pPr>
        <w:pStyle w:val="Heading1"/>
        <w:sectPr w:rsidR="007D40F1" w:rsidSect="00B23A5E">
          <w:pgSz w:w="11906" w:h="16838" w:code="9"/>
          <w:pgMar w:top="1440" w:right="1440" w:bottom="1440" w:left="1440" w:header="397" w:footer="397" w:gutter="0"/>
          <w:cols w:space="312"/>
          <w:docGrid w:linePitch="360"/>
        </w:sectPr>
      </w:pPr>
      <w:bookmarkStart w:id="10" w:name="_Toc226016893"/>
    </w:p>
    <w:p w14:paraId="4BB3CC69" w14:textId="77777777" w:rsidR="009C2276" w:rsidRPr="001D222C" w:rsidRDefault="009C2276" w:rsidP="00076F40">
      <w:pPr>
        <w:pStyle w:val="Heading1"/>
      </w:pPr>
      <w:bookmarkStart w:id="11" w:name="_Toc226729123"/>
      <w:r w:rsidRPr="001D222C">
        <w:lastRenderedPageBreak/>
        <w:t>Guidance on inspection of arrangements and their implementation</w:t>
      </w:r>
      <w:bookmarkEnd w:id="10"/>
      <w:bookmarkEnd w:id="11"/>
    </w:p>
    <w:p w14:paraId="7F544285" w14:textId="3E0F40E9" w:rsidR="00611077" w:rsidRDefault="00611077" w:rsidP="00076F40">
      <w:pPr>
        <w:pStyle w:val="F9-Paragraph"/>
      </w:pPr>
      <w:r>
        <w:t>Aspects of the decommissioning strategy that the inspector may sample include:</w:t>
      </w:r>
    </w:p>
    <w:p w14:paraId="5FDC7635" w14:textId="3F0D2AB3" w:rsidR="00D10AE2" w:rsidRDefault="00397B3B" w:rsidP="007D40F1">
      <w:pPr>
        <w:pStyle w:val="Bulletlist1"/>
      </w:pPr>
      <w:r>
        <w:t>I</w:t>
      </w:r>
      <w:r w:rsidRPr="00227E8F">
        <w:t>dentify the human resources needed to deliver decommissioning safely, with significant organisational changes justified in accordance with LC36</w:t>
      </w:r>
      <w:r w:rsidR="00D10AE2">
        <w:t>.</w:t>
      </w:r>
    </w:p>
    <w:p w14:paraId="39DD1249" w14:textId="1AAC5242" w:rsidR="00397B3B" w:rsidRPr="00227E8F" w:rsidRDefault="00D10AE2" w:rsidP="007D40F1">
      <w:pPr>
        <w:pStyle w:val="Bulletlist1"/>
      </w:pPr>
      <w:r>
        <w:t>D</w:t>
      </w:r>
      <w:r w:rsidRPr="00227E8F">
        <w:t>efine hazard</w:t>
      </w:r>
      <w:r w:rsidRPr="00227E8F">
        <w:noBreakHyphen/>
        <w:t>reduction milestones and the characterisation required to demonstrate achievement of the intended end state</w:t>
      </w:r>
    </w:p>
    <w:p w14:paraId="49F32AEE" w14:textId="77777777" w:rsidR="00D50C3D" w:rsidRDefault="00D50C3D" w:rsidP="007D40F1">
      <w:pPr>
        <w:pStyle w:val="Bulletlist1"/>
      </w:pPr>
      <w:r w:rsidRPr="00D07C69">
        <w:rPr>
          <w:b/>
        </w:rPr>
        <w:t>Decommissioning optioneering</w:t>
      </w:r>
      <w:r>
        <w:t>: consideration of options for decommissioning redundant, operational and proposed facilities, including the rationale for the preferred option. Where the preferred option is not immediate dismantling, provide a robust justification for any period of deferment.</w:t>
      </w:r>
    </w:p>
    <w:p w14:paraId="10C2CBD9" w14:textId="77777777" w:rsidR="00D50C3D" w:rsidRDefault="00D50C3D" w:rsidP="007D40F1">
      <w:pPr>
        <w:pStyle w:val="Bulletlist1"/>
      </w:pPr>
      <w:r w:rsidRPr="00D07C69">
        <w:rPr>
          <w:b/>
        </w:rPr>
        <w:t>Definition of decommissioning scope</w:t>
      </w:r>
      <w:r>
        <w:t>: description of the current facility status and associated liabilities, including estimates of the types and quantities of radioactive waste expected to arise during decommissioning (including secondary wastes), and defined end states for plant, buildings and the overall licensed site.</w:t>
      </w:r>
    </w:p>
    <w:p w14:paraId="1C130014" w14:textId="77777777" w:rsidR="00D50C3D" w:rsidRDefault="00D50C3D" w:rsidP="007D40F1">
      <w:pPr>
        <w:pStyle w:val="Bulletlist1"/>
      </w:pPr>
      <w:r w:rsidRPr="00D07C69">
        <w:rPr>
          <w:b/>
        </w:rPr>
        <w:t>Interdependencies and waste strategy</w:t>
      </w:r>
      <w:r>
        <w:t>: identification of interdependencies with other on- and off-site facilities and how these will be managed (including downstream radioactive waste and effluent management systems), supported by a clear strategy for managing all wastes expected to arise during decommissioning, including retrieval and management of wastes from legacy facilities.</w:t>
      </w:r>
    </w:p>
    <w:p w14:paraId="65E89CAE" w14:textId="75253AFD" w:rsidR="00611077" w:rsidRDefault="00D50C3D" w:rsidP="007D40F1">
      <w:pPr>
        <w:pStyle w:val="Bulletlist1"/>
      </w:pPr>
      <w:r w:rsidRPr="00D07C69">
        <w:rPr>
          <w:b/>
        </w:rPr>
        <w:t>Knowledge management for decommissioning</w:t>
      </w:r>
      <w:r>
        <w:t>: clear interfaces with LC19, LC20 and LC22 arrangements to ensure changes consider impacts on decommissioning, and arrangements to generate, record and maintain institutional knowledge throughout the facility lifecycle (e.g. design/construction records for future inaccessible areas; operational and survey-derived radionuclide information including significant events/incidents; lessons learned from similar decommissioning projects; and records of modifications or change of use that could affect decommissioning).</w:t>
      </w:r>
    </w:p>
    <w:p w14:paraId="6E35DF84" w14:textId="77777777" w:rsidR="00390B19" w:rsidRDefault="00390B19" w:rsidP="00076F40">
      <w:pPr>
        <w:pStyle w:val="F9-Paragraph"/>
      </w:pPr>
      <w:r w:rsidRPr="00184505">
        <w:t>The inspector should confirm that the licensee has a decommissioning programme that identifies key milestones and priorities for the systematic reduction of hazard, consistent with the decommissioning strategy</w:t>
      </w:r>
      <w:r>
        <w:t>.</w:t>
      </w:r>
    </w:p>
    <w:p w14:paraId="1E7AF657" w14:textId="77777777" w:rsidR="007D40F1" w:rsidRDefault="007D40F1" w:rsidP="00076F40">
      <w:pPr>
        <w:pStyle w:val="F9-Paragraph"/>
        <w:sectPr w:rsidR="007D40F1" w:rsidSect="00B23A5E">
          <w:pgSz w:w="11906" w:h="16838" w:code="9"/>
          <w:pgMar w:top="1440" w:right="1440" w:bottom="1440" w:left="1440" w:header="397" w:footer="397" w:gutter="0"/>
          <w:cols w:space="312"/>
          <w:docGrid w:linePitch="360"/>
        </w:sectPr>
      </w:pPr>
    </w:p>
    <w:p w14:paraId="7D30B1E9" w14:textId="7F87CE94" w:rsidR="00D60BCB" w:rsidRDefault="00390B19" w:rsidP="00076F40">
      <w:pPr>
        <w:pStyle w:val="F9-Paragraph"/>
      </w:pPr>
      <w:r w:rsidRPr="006B63D6">
        <w:lastRenderedPageBreak/>
        <w:t>The inspector may sample the licensee’s decommissioning plan, which should describe how each facility will be decommissioned. The plan should demonstrate how operational history and lifecycle information are captured, maintained and made accessible to inform decommissioning, including all data relevant to decommissioning activities, covering both conventional and radiological hazards. Examples of knowledge important to decommissioning may include</w:t>
      </w:r>
      <w:r>
        <w:t>:</w:t>
      </w:r>
    </w:p>
    <w:p w14:paraId="267DD7E6" w14:textId="77777777" w:rsidR="00351E13" w:rsidRPr="00AC2B0D" w:rsidRDefault="00351E13" w:rsidP="007D40F1">
      <w:pPr>
        <w:pStyle w:val="Bulletlist1"/>
      </w:pPr>
      <w:r w:rsidRPr="00AC2B0D">
        <w:t>As</w:t>
      </w:r>
      <w:r w:rsidRPr="00AC2B0D">
        <w:noBreakHyphen/>
        <w:t xml:space="preserve">built construction materials and methods, where available, particularly for older plant and processes. </w:t>
      </w:r>
    </w:p>
    <w:p w14:paraId="44D06A4C" w14:textId="77777777" w:rsidR="00351E13" w:rsidRPr="00AC2B0D" w:rsidRDefault="00351E13" w:rsidP="007D40F1">
      <w:pPr>
        <w:pStyle w:val="Bulletlist1"/>
      </w:pPr>
      <w:r w:rsidRPr="00AC2B0D">
        <w:t xml:space="preserve">Modifications to plant, operational limits or conditions that may affect safety during decommissioning (e.g. increased component irradiation due to extended operation). </w:t>
      </w:r>
    </w:p>
    <w:p w14:paraId="0A8AB3FD" w14:textId="77777777" w:rsidR="00351E13" w:rsidRPr="00AC2B0D" w:rsidRDefault="00351E13" w:rsidP="007D40F1">
      <w:pPr>
        <w:pStyle w:val="Bulletlist1"/>
      </w:pPr>
      <w:r w:rsidRPr="00AC2B0D">
        <w:t xml:space="preserve">Records of abnormal events, including unexpected reactions or process upsets. </w:t>
      </w:r>
    </w:p>
    <w:p w14:paraId="0627A43D" w14:textId="77777777" w:rsidR="00351E13" w:rsidRPr="00AC2B0D" w:rsidRDefault="00351E13" w:rsidP="007D40F1">
      <w:pPr>
        <w:pStyle w:val="Bulletlist1"/>
      </w:pPr>
      <w:r w:rsidRPr="00AC2B0D">
        <w:t xml:space="preserve">History of leaks and escapes, including recovery actions and any residual ground contamination. </w:t>
      </w:r>
    </w:p>
    <w:p w14:paraId="39D47BE5" w14:textId="77777777" w:rsidR="00351E13" w:rsidRPr="00AC2B0D" w:rsidRDefault="00351E13" w:rsidP="007D40F1">
      <w:pPr>
        <w:pStyle w:val="Bulletlist1"/>
      </w:pPr>
      <w:r w:rsidRPr="00AC2B0D">
        <w:t xml:space="preserve">Known defects and equipment obsolescence relevant to decommissioning activities. </w:t>
      </w:r>
    </w:p>
    <w:p w14:paraId="27A1E1D3" w14:textId="77777777" w:rsidR="00351E13" w:rsidRPr="00AC2B0D" w:rsidRDefault="00351E13" w:rsidP="007D40F1">
      <w:pPr>
        <w:pStyle w:val="Bulletlist1"/>
      </w:pPr>
      <w:r w:rsidRPr="00AC2B0D">
        <w:t xml:space="preserve">Location of concealed services (e.g. redundant services that remain energised). </w:t>
      </w:r>
    </w:p>
    <w:p w14:paraId="08612922" w14:textId="77777777" w:rsidR="00351E13" w:rsidRPr="00AC2B0D" w:rsidRDefault="00351E13" w:rsidP="007D40F1">
      <w:pPr>
        <w:pStyle w:val="Bulletlist1"/>
      </w:pPr>
      <w:r w:rsidRPr="00AC2B0D">
        <w:t xml:space="preserve">Inventories of radioactive materials and wastes. </w:t>
      </w:r>
    </w:p>
    <w:p w14:paraId="1273A9CA" w14:textId="77777777" w:rsidR="00351E13" w:rsidRPr="00AC2B0D" w:rsidRDefault="00351E13" w:rsidP="007D40F1">
      <w:pPr>
        <w:pStyle w:val="Bulletlist1"/>
      </w:pPr>
      <w:r w:rsidRPr="00AC2B0D">
        <w:t xml:space="preserve">Waste package records to support future storage, transport and disposal. </w:t>
      </w:r>
    </w:p>
    <w:p w14:paraId="7A4552D7" w14:textId="77777777" w:rsidR="00351E13" w:rsidRPr="00AC2B0D" w:rsidRDefault="00351E13" w:rsidP="007D40F1">
      <w:pPr>
        <w:pStyle w:val="Bulletlist1"/>
      </w:pPr>
      <w:r w:rsidRPr="00AC2B0D">
        <w:t>Asbestos information, including registers of asbestos</w:t>
      </w:r>
      <w:r w:rsidRPr="00AC2B0D">
        <w:noBreakHyphen/>
        <w:t>containing materials and survey records (noting that operational</w:t>
      </w:r>
      <w:r w:rsidRPr="00AC2B0D">
        <w:noBreakHyphen/>
        <w:t xml:space="preserve">phase surveys may not be sufficient for decommissioning). </w:t>
      </w:r>
    </w:p>
    <w:p w14:paraId="5088059B" w14:textId="77777777" w:rsidR="00351E13" w:rsidRDefault="00351E13" w:rsidP="007D40F1">
      <w:pPr>
        <w:pStyle w:val="Bulletlist1"/>
      </w:pPr>
      <w:r w:rsidRPr="00AC2B0D">
        <w:t>Radiation survey data, including contamination of asbestos or other materials that may complicate decommissioning.</w:t>
      </w:r>
    </w:p>
    <w:p w14:paraId="52A75F43" w14:textId="77777777" w:rsidR="007D40F1" w:rsidRDefault="007D40F1" w:rsidP="007D40F1">
      <w:pPr>
        <w:pStyle w:val="Heading2"/>
        <w:sectPr w:rsidR="007D40F1" w:rsidSect="00B23A5E">
          <w:pgSz w:w="11906" w:h="16838" w:code="9"/>
          <w:pgMar w:top="1440" w:right="1440" w:bottom="1440" w:left="1440" w:header="397" w:footer="397" w:gutter="0"/>
          <w:cols w:space="312"/>
          <w:docGrid w:linePitch="360"/>
        </w:sectPr>
      </w:pPr>
    </w:p>
    <w:p w14:paraId="47310ACE" w14:textId="77777777" w:rsidR="007D40F1" w:rsidRPr="007D40F1" w:rsidRDefault="004B71C4" w:rsidP="007D40F1">
      <w:pPr>
        <w:pStyle w:val="Heading2"/>
      </w:pPr>
      <w:bookmarkStart w:id="12" w:name="_Toc226729124"/>
      <w:r w:rsidRPr="00822FA1">
        <w:lastRenderedPageBreak/>
        <w:t xml:space="preserve">Further </w:t>
      </w:r>
      <w:r w:rsidR="007D40F1">
        <w:t>r</w:t>
      </w:r>
      <w:r w:rsidRPr="00822FA1">
        <w:t>eading</w:t>
      </w:r>
      <w:bookmarkEnd w:id="12"/>
    </w:p>
    <w:p w14:paraId="35DE3379" w14:textId="1C88CD19" w:rsidR="00351E13" w:rsidRDefault="004B71C4" w:rsidP="00076F40">
      <w:pPr>
        <w:pStyle w:val="F9-Paragraph"/>
      </w:pPr>
      <w:r>
        <w:t>I</w:t>
      </w:r>
      <w:r w:rsidRPr="006B31D3">
        <w:t>nternational standards and guidance provide authoritative reference material on the principles, requirements and good practice for the safe decommissioning of nuclear and radiological facilities. They include high</w:t>
      </w:r>
      <w:r w:rsidRPr="006B31D3">
        <w:noBreakHyphen/>
        <w:t>level safety principles, regulatory requirements and detailed guidance on safety assessment, waste management, and decommissioning strategies, published by the IAEA and WENRA. Collectively, these documents support a consistent, risk</w:t>
      </w:r>
      <w:r w:rsidRPr="006B31D3">
        <w:noBreakHyphen/>
        <w:t>informed approach to decommissioning and provide useful context for inspectors when considering alignment with international best practice.</w:t>
      </w:r>
    </w:p>
    <w:p w14:paraId="3289E16B" w14:textId="2EFC9F4D" w:rsidR="00AF4629" w:rsidRDefault="00AF4629">
      <w:pPr>
        <w:spacing w:after="0" w:line="240" w:lineRule="auto"/>
      </w:pPr>
      <w:r>
        <w:br w:type="page"/>
      </w:r>
    </w:p>
    <w:p w14:paraId="07B4D816" w14:textId="3271F98C" w:rsidR="00AF4629" w:rsidRPr="00C82170" w:rsidRDefault="00AF4629" w:rsidP="008E4E22">
      <w:pPr>
        <w:pStyle w:val="Heading1"/>
        <w:numPr>
          <w:ilvl w:val="0"/>
          <w:numId w:val="0"/>
        </w:numPr>
      </w:pPr>
      <w:bookmarkStart w:id="13" w:name="_Toc226729125"/>
      <w:r w:rsidRPr="00C82170">
        <w:lastRenderedPageBreak/>
        <w:t>Appendix 1 – Lifecycle</w:t>
      </w:r>
      <w:r w:rsidRPr="00C82170">
        <w:noBreakHyphen/>
      </w:r>
      <w:r w:rsidR="008E4E22">
        <w:t>b</w:t>
      </w:r>
      <w:r w:rsidRPr="00C82170">
        <w:t xml:space="preserve">ased </w:t>
      </w:r>
      <w:r w:rsidR="008E4E22">
        <w:t>i</w:t>
      </w:r>
      <w:r w:rsidRPr="00C82170">
        <w:t xml:space="preserve">nspection </w:t>
      </w:r>
      <w:r w:rsidR="008E4E22">
        <w:t>c</w:t>
      </w:r>
      <w:r w:rsidRPr="00C82170">
        <w:t xml:space="preserve">onsiderations for </w:t>
      </w:r>
      <w:r w:rsidR="008E4E22">
        <w:t>Licence Condition 35</w:t>
      </w:r>
      <w:bookmarkEnd w:id="13"/>
    </w:p>
    <w:p w14:paraId="3FD286E7" w14:textId="77777777" w:rsidR="00AF4629" w:rsidRDefault="00AF4629" w:rsidP="007D40F1">
      <w:pPr>
        <w:pStyle w:val="Heading2"/>
        <w:numPr>
          <w:ilvl w:val="0"/>
          <w:numId w:val="0"/>
        </w:numPr>
        <w:ind w:left="851" w:hanging="851"/>
      </w:pPr>
      <w:bookmarkStart w:id="14" w:name="_Toc117070011"/>
      <w:bookmarkStart w:id="15" w:name="_Toc226729126"/>
      <w:r>
        <w:t>Facility under design</w:t>
      </w:r>
      <w:bookmarkEnd w:id="14"/>
      <w:bookmarkEnd w:id="15"/>
    </w:p>
    <w:p w14:paraId="0A8E2DA1" w14:textId="77777777" w:rsidR="00AF4629" w:rsidRDefault="00AF4629" w:rsidP="007D40F1">
      <w:pPr>
        <w:pStyle w:val="F9-Paragraph"/>
        <w:numPr>
          <w:ilvl w:val="0"/>
          <w:numId w:val="8"/>
        </w:numPr>
        <w:ind w:left="851" w:hanging="851"/>
      </w:pPr>
      <w:r w:rsidRPr="00C82170">
        <w:t>Decommissioning should be considered at the design stage for all new facilities. Licensee arrangements should require development of a decommissioning strategy during design, with intended methods based on current, proven technologies.</w:t>
      </w:r>
    </w:p>
    <w:p w14:paraId="61F33C5D" w14:textId="393365E5" w:rsidR="00AF4629" w:rsidRDefault="00330609" w:rsidP="007D40F1">
      <w:pPr>
        <w:pStyle w:val="F9-Paragraph"/>
      </w:pPr>
      <w:r w:rsidRPr="00C82170">
        <w:t>For compliance with LC35, inspectors may consider whether the design adequately addresses</w:t>
      </w:r>
      <w:r>
        <w:t xml:space="preserve">: </w:t>
      </w:r>
    </w:p>
    <w:p w14:paraId="4065667F" w14:textId="77777777" w:rsidR="000E29DE" w:rsidRPr="007D40F1" w:rsidRDefault="000E29DE" w:rsidP="007D40F1">
      <w:pPr>
        <w:pStyle w:val="Bulletlist1"/>
      </w:pPr>
      <w:r w:rsidRPr="007D40F1">
        <w:t>Access and egress routes to support removal of large plant and processes.</w:t>
      </w:r>
    </w:p>
    <w:p w14:paraId="0D19DE25" w14:textId="77777777" w:rsidR="000E29DE" w:rsidRPr="007D40F1" w:rsidRDefault="000E29DE" w:rsidP="007D40F1">
      <w:pPr>
        <w:pStyle w:val="Bulletlist1"/>
      </w:pPr>
      <w:r w:rsidRPr="007D40F1">
        <w:t>The realism of assumptions underpinning the decommissioning strategy, with a precautionary approach to uncertainty.</w:t>
      </w:r>
    </w:p>
    <w:p w14:paraId="346BFA46" w14:textId="77777777" w:rsidR="000E29DE" w:rsidRPr="007D40F1" w:rsidRDefault="000E29DE" w:rsidP="007D40F1">
      <w:pPr>
        <w:pStyle w:val="Bulletlist1"/>
      </w:pPr>
      <w:r w:rsidRPr="007D40F1">
        <w:t>Provision of sufficient space around large plant items requiring in</w:t>
      </w:r>
      <w:r w:rsidRPr="007D40F1">
        <w:noBreakHyphen/>
        <w:t>situ decommissioning.</w:t>
      </w:r>
    </w:p>
    <w:p w14:paraId="2D6D1830" w14:textId="77777777" w:rsidR="000E29DE" w:rsidRPr="007D40F1" w:rsidRDefault="000E29DE" w:rsidP="007D40F1">
      <w:pPr>
        <w:pStyle w:val="Bulletlist1"/>
      </w:pPr>
      <w:r w:rsidRPr="007D40F1">
        <w:t>Availability of lay</w:t>
      </w:r>
      <w:r w:rsidRPr="007D40F1">
        <w:noBreakHyphen/>
        <w:t>down areas to support decommissioning activities in addition to operational maintenance.</w:t>
      </w:r>
    </w:p>
    <w:p w14:paraId="4D45AB39" w14:textId="77777777" w:rsidR="000E29DE" w:rsidRPr="007D40F1" w:rsidRDefault="000E29DE" w:rsidP="007D40F1">
      <w:pPr>
        <w:pStyle w:val="Bulletlist1"/>
      </w:pPr>
      <w:r w:rsidRPr="007D40F1">
        <w:t>The compatibility of below</w:t>
      </w:r>
      <w:r w:rsidRPr="007D40F1">
        <w:noBreakHyphen/>
        <w:t>ground active services with the intended site end state.</w:t>
      </w:r>
    </w:p>
    <w:p w14:paraId="04C695FB" w14:textId="77777777" w:rsidR="000E29DE" w:rsidRPr="007D40F1" w:rsidRDefault="000E29DE" w:rsidP="007D40F1">
      <w:pPr>
        <w:pStyle w:val="Bulletlist1"/>
      </w:pPr>
      <w:r w:rsidRPr="007D40F1">
        <w:t>Measures to minimise contamination spread and avoid contamination traps.</w:t>
      </w:r>
    </w:p>
    <w:p w14:paraId="517483B7" w14:textId="77777777" w:rsidR="000E29DE" w:rsidRPr="007D40F1" w:rsidRDefault="000E29DE" w:rsidP="007D40F1">
      <w:pPr>
        <w:pStyle w:val="Bulletlist1"/>
      </w:pPr>
      <w:r w:rsidRPr="007D40F1">
        <w:t>Ventilation design to minimise contamination spread and future decommissioning scope.</w:t>
      </w:r>
    </w:p>
    <w:p w14:paraId="7DEDF2E5" w14:textId="77777777" w:rsidR="000E29DE" w:rsidRPr="007D40F1" w:rsidRDefault="000E29DE" w:rsidP="007D40F1">
      <w:pPr>
        <w:pStyle w:val="Bulletlist1"/>
      </w:pPr>
      <w:r w:rsidRPr="007D40F1">
        <w:t>Potential adverse impacts of modular construction methods that may not be readily reversible.</w:t>
      </w:r>
    </w:p>
    <w:p w14:paraId="2C8C3F37" w14:textId="77777777" w:rsidR="000E29DE" w:rsidRPr="007D40F1" w:rsidRDefault="000E29DE" w:rsidP="007D40F1">
      <w:pPr>
        <w:pStyle w:val="Bulletlist1"/>
      </w:pPr>
      <w:r w:rsidRPr="007D40F1">
        <w:t>Materials selection to reduce activation and facilitate decontamination (e.g. high</w:t>
      </w:r>
      <w:r w:rsidRPr="007D40F1">
        <w:noBreakHyphen/>
        <w:t>purity metals, suitable surface finishes).</w:t>
      </w:r>
    </w:p>
    <w:p w14:paraId="1B61FCEC" w14:textId="77777777" w:rsidR="000E29DE" w:rsidRPr="007D40F1" w:rsidRDefault="000E29DE" w:rsidP="007D40F1">
      <w:pPr>
        <w:pStyle w:val="Bulletlist1"/>
      </w:pPr>
      <w:r w:rsidRPr="007D40F1">
        <w:t>Incorporation of lifting features to support decommissioning.</w:t>
      </w:r>
    </w:p>
    <w:p w14:paraId="19309858" w14:textId="77777777" w:rsidR="000E29DE" w:rsidRPr="007D40F1" w:rsidRDefault="000E29DE" w:rsidP="007D40F1">
      <w:pPr>
        <w:pStyle w:val="Bulletlist1"/>
      </w:pPr>
      <w:r w:rsidRPr="007D40F1">
        <w:t>Impacts of new facilities on the site</w:t>
      </w:r>
      <w:r w:rsidRPr="007D40F1">
        <w:noBreakHyphen/>
        <w:t>wide decommissioning strategy and programme.</w:t>
      </w:r>
    </w:p>
    <w:p w14:paraId="3DA29CF7" w14:textId="5A638BF7" w:rsidR="00D70144" w:rsidRPr="00C82170" w:rsidRDefault="00D70144" w:rsidP="007D40F1">
      <w:pPr>
        <w:pStyle w:val="Heading2"/>
        <w:numPr>
          <w:ilvl w:val="0"/>
          <w:numId w:val="0"/>
        </w:numPr>
        <w:ind w:left="851" w:hanging="851"/>
      </w:pPr>
      <w:bookmarkStart w:id="16" w:name="_Toc226729127"/>
      <w:r w:rsidRPr="00C82170">
        <w:lastRenderedPageBreak/>
        <w:t xml:space="preserve">Facilities </w:t>
      </w:r>
      <w:r w:rsidR="007D40F1">
        <w:t>u</w:t>
      </w:r>
      <w:r w:rsidRPr="00C82170">
        <w:t xml:space="preserve">nder </w:t>
      </w:r>
      <w:r w:rsidR="007D40F1">
        <w:t>c</w:t>
      </w:r>
      <w:r w:rsidRPr="00C82170">
        <w:t>onstruction</w:t>
      </w:r>
      <w:bookmarkEnd w:id="16"/>
    </w:p>
    <w:p w14:paraId="2F954691" w14:textId="03DF8900" w:rsidR="00330609" w:rsidRDefault="00B145AA" w:rsidP="007D40F1">
      <w:pPr>
        <w:pStyle w:val="F9-Paragraph"/>
      </w:pPr>
      <w:r>
        <w:t xml:space="preserve">When </w:t>
      </w:r>
      <w:r w:rsidRPr="00C82170">
        <w:t>inspecting facilities under construction, the design</w:t>
      </w:r>
      <w:r w:rsidRPr="00C82170">
        <w:noBreakHyphen/>
        <w:t>stage considerations remain applicable. Inspectors may also consider the adequacy of arrangements for capturing, controlling and retaining as</w:t>
      </w:r>
      <w:r w:rsidRPr="00C82170">
        <w:noBreakHyphen/>
        <w:t>built records for use during decommissioning</w:t>
      </w:r>
    </w:p>
    <w:p w14:paraId="762352C9" w14:textId="3813DF9C" w:rsidR="00B145AA" w:rsidRDefault="002C298A" w:rsidP="007D40F1">
      <w:pPr>
        <w:pStyle w:val="Heading2"/>
        <w:numPr>
          <w:ilvl w:val="0"/>
          <w:numId w:val="0"/>
        </w:numPr>
      </w:pPr>
      <w:bookmarkStart w:id="17" w:name="_Toc226729128"/>
      <w:r w:rsidRPr="00C82170">
        <w:t xml:space="preserve">Facilities </w:t>
      </w:r>
      <w:r w:rsidR="007D40F1">
        <w:t>u</w:t>
      </w:r>
      <w:r w:rsidRPr="00C82170">
        <w:t xml:space="preserve">ndergoing </w:t>
      </w:r>
      <w:r w:rsidR="007D40F1">
        <w:t>m</w:t>
      </w:r>
      <w:r w:rsidRPr="00C82170">
        <w:t>odification</w:t>
      </w:r>
      <w:bookmarkEnd w:id="17"/>
    </w:p>
    <w:p w14:paraId="23F1C696" w14:textId="77777777" w:rsidR="008D6102" w:rsidRPr="00C82170" w:rsidRDefault="008D6102" w:rsidP="007D40F1">
      <w:pPr>
        <w:pStyle w:val="F9-Paragraph"/>
      </w:pPr>
      <w:r w:rsidRPr="00C82170">
        <w:t>When inspecting modifications in line with LC22, inspectors may consider:</w:t>
      </w:r>
    </w:p>
    <w:p w14:paraId="0D5C34EC" w14:textId="77777777" w:rsidR="008D6102" w:rsidRPr="00C82170" w:rsidRDefault="008D6102" w:rsidP="007D40F1">
      <w:pPr>
        <w:pStyle w:val="Bulletlist1"/>
      </w:pPr>
      <w:r w:rsidRPr="00C82170">
        <w:t>Changes to design features that could affect the decommissioning strategy.</w:t>
      </w:r>
    </w:p>
    <w:p w14:paraId="2566FFB4" w14:textId="77777777" w:rsidR="008D6102" w:rsidRPr="00C82170" w:rsidRDefault="008D6102" w:rsidP="007D40F1">
      <w:pPr>
        <w:pStyle w:val="Bulletlist1"/>
      </w:pPr>
      <w:r w:rsidRPr="00C82170">
        <w:t>Impacts on the future decommissioning working environment, including new physical, radiological or conventional hazards.</w:t>
      </w:r>
    </w:p>
    <w:p w14:paraId="7B6C582E" w14:textId="77777777" w:rsidR="008D6102" w:rsidRPr="00C82170" w:rsidRDefault="008D6102" w:rsidP="007D40F1">
      <w:pPr>
        <w:pStyle w:val="Bulletlist1"/>
      </w:pPr>
      <w:r w:rsidRPr="00C82170">
        <w:t>Effects on plant or process lifetimes that may increase radiological inventories.</w:t>
      </w:r>
    </w:p>
    <w:p w14:paraId="067FDAF8" w14:textId="77777777" w:rsidR="008D6102" w:rsidRPr="00C82170" w:rsidRDefault="008D6102" w:rsidP="007D40F1">
      <w:pPr>
        <w:pStyle w:val="Bulletlist1"/>
      </w:pPr>
      <w:r w:rsidRPr="00C82170">
        <w:t>Impacts on interdependencies between facilities, including new or altered waste streams.</w:t>
      </w:r>
    </w:p>
    <w:p w14:paraId="7200121D" w14:textId="77777777" w:rsidR="008D6102" w:rsidRPr="00C82170" w:rsidRDefault="008D6102" w:rsidP="007D40F1">
      <w:pPr>
        <w:pStyle w:val="Bulletlist1"/>
      </w:pPr>
      <w:r w:rsidRPr="00C82170">
        <w:t>Consequences for the site decommissioning strategy, programme and end state.</w:t>
      </w:r>
    </w:p>
    <w:p w14:paraId="07C3E151" w14:textId="6BBB20EA" w:rsidR="008D6102" w:rsidRPr="00C82170" w:rsidRDefault="008D6102" w:rsidP="007D40F1">
      <w:pPr>
        <w:pStyle w:val="Heading2"/>
        <w:numPr>
          <w:ilvl w:val="0"/>
          <w:numId w:val="0"/>
        </w:numPr>
        <w:ind w:left="851" w:hanging="851"/>
      </w:pPr>
      <w:bookmarkStart w:id="18" w:name="_Toc226729129"/>
      <w:r w:rsidRPr="00C82170">
        <w:t xml:space="preserve">Facilities in </w:t>
      </w:r>
      <w:r w:rsidR="007D40F1">
        <w:t>o</w:t>
      </w:r>
      <w:r w:rsidRPr="00C82170">
        <w:t>peration</w:t>
      </w:r>
      <w:bookmarkEnd w:id="18"/>
    </w:p>
    <w:p w14:paraId="00A7A0CB" w14:textId="77777777" w:rsidR="008D6102" w:rsidRPr="00C82170" w:rsidRDefault="008D6102" w:rsidP="007D40F1">
      <w:pPr>
        <w:pStyle w:val="F9-Paragraph"/>
      </w:pPr>
      <w:r w:rsidRPr="00C82170">
        <w:t>When inspecting operational facilities, inspectors may consider whether the licensee:</w:t>
      </w:r>
    </w:p>
    <w:p w14:paraId="39D04059" w14:textId="77777777" w:rsidR="008D6102" w:rsidRPr="00C82170" w:rsidRDefault="008D6102" w:rsidP="007D40F1">
      <w:pPr>
        <w:pStyle w:val="Bulletlist1"/>
      </w:pPr>
      <w:r w:rsidRPr="00C82170">
        <w:t>Undertakes periodic review of the decommissioning strategy and programme, consistent with LC15.</w:t>
      </w:r>
    </w:p>
    <w:p w14:paraId="05415D72" w14:textId="77777777" w:rsidR="008D6102" w:rsidRPr="00C82170" w:rsidRDefault="008D6102" w:rsidP="007D40F1">
      <w:pPr>
        <w:pStyle w:val="Bulletlist1"/>
      </w:pPr>
      <w:r w:rsidRPr="00C82170">
        <w:t>Reviews the continued validity of assumptions underpinning decommissioning plans.</w:t>
      </w:r>
    </w:p>
    <w:p w14:paraId="37AA8574" w14:textId="77777777" w:rsidR="008D6102" w:rsidRPr="00C82170" w:rsidRDefault="008D6102" w:rsidP="007D40F1">
      <w:pPr>
        <w:pStyle w:val="Bulletlist1"/>
      </w:pPr>
      <w:r w:rsidRPr="00C82170">
        <w:t>Considers ageing effects, including the development of high</w:t>
      </w:r>
      <w:r w:rsidRPr="00C82170">
        <w:noBreakHyphen/>
        <w:t>dose or degraded areas that may challenge decommissioning.</w:t>
      </w:r>
    </w:p>
    <w:p w14:paraId="23CE7EF8" w14:textId="77777777" w:rsidR="008D6102" w:rsidRPr="00C82170" w:rsidRDefault="008D6102" w:rsidP="007D40F1">
      <w:pPr>
        <w:pStyle w:val="F9-Paragraph"/>
      </w:pPr>
      <w:r w:rsidRPr="00C82170">
        <w:t>For reactors approaching the end of generation, inspectors should consider whether EIADR requirements have been adequately addressed.</w:t>
      </w:r>
    </w:p>
    <w:p w14:paraId="16970005" w14:textId="77777777" w:rsidR="007D40F1" w:rsidRDefault="007D40F1" w:rsidP="007D40F1">
      <w:pPr>
        <w:pStyle w:val="Heading2"/>
        <w:numPr>
          <w:ilvl w:val="0"/>
          <w:numId w:val="0"/>
        </w:numPr>
        <w:ind w:left="851" w:hanging="851"/>
        <w:sectPr w:rsidR="007D40F1" w:rsidSect="00B23A5E">
          <w:pgSz w:w="11906" w:h="16838" w:code="9"/>
          <w:pgMar w:top="1440" w:right="1440" w:bottom="1440" w:left="1440" w:header="397" w:footer="397" w:gutter="0"/>
          <w:cols w:space="312"/>
          <w:docGrid w:linePitch="360"/>
        </w:sectPr>
      </w:pPr>
    </w:p>
    <w:p w14:paraId="43E9C30A" w14:textId="6186BCF2" w:rsidR="008D6102" w:rsidRPr="00C82170" w:rsidRDefault="008D6102" w:rsidP="007D40F1">
      <w:pPr>
        <w:pStyle w:val="Heading2"/>
        <w:numPr>
          <w:ilvl w:val="0"/>
          <w:numId w:val="0"/>
        </w:numPr>
        <w:ind w:left="851" w:hanging="851"/>
      </w:pPr>
      <w:bookmarkStart w:id="19" w:name="_Toc226729130"/>
      <w:r w:rsidRPr="00C82170">
        <w:lastRenderedPageBreak/>
        <w:t xml:space="preserve">Facilities </w:t>
      </w:r>
      <w:r w:rsidR="007D40F1">
        <w:t>t</w:t>
      </w:r>
      <w:r w:rsidRPr="00C82170">
        <w:t xml:space="preserve">ransitioning to </w:t>
      </w:r>
      <w:r w:rsidR="007D40F1">
        <w:t>d</w:t>
      </w:r>
      <w:r w:rsidRPr="00C82170">
        <w:t>ecommissioning (POCO)</w:t>
      </w:r>
      <w:bookmarkEnd w:id="19"/>
    </w:p>
    <w:p w14:paraId="79EC3364" w14:textId="77777777" w:rsidR="008D6102" w:rsidRPr="00C82170" w:rsidRDefault="008D6102" w:rsidP="007D40F1">
      <w:pPr>
        <w:pStyle w:val="F9-Paragraph"/>
      </w:pPr>
      <w:r w:rsidRPr="00C82170">
        <w:t>When inspecting facilities transitioning from operations to decommissioning, inspectors may consider:</w:t>
      </w:r>
    </w:p>
    <w:p w14:paraId="757C7E95" w14:textId="77777777" w:rsidR="008D6102" w:rsidRPr="00C82170" w:rsidRDefault="008D6102" w:rsidP="007D40F1">
      <w:pPr>
        <w:pStyle w:val="Bulletlist1"/>
      </w:pPr>
      <w:r w:rsidRPr="00C82170">
        <w:t>Preparations for decommissioning, including POCO activities and management of residual operational wastes.</w:t>
      </w:r>
    </w:p>
    <w:p w14:paraId="441112B0" w14:textId="77777777" w:rsidR="008D6102" w:rsidRPr="00C82170" w:rsidRDefault="008D6102" w:rsidP="007D40F1">
      <w:pPr>
        <w:pStyle w:val="Bulletlist1"/>
      </w:pPr>
      <w:r w:rsidRPr="00C82170">
        <w:t>The need for new or modified facilities to support decommissioning activities (e.g. waste recovery and processing).</w:t>
      </w:r>
    </w:p>
    <w:p w14:paraId="5E06CDD1" w14:textId="77777777" w:rsidR="008D6102" w:rsidRPr="00C82170" w:rsidRDefault="008D6102" w:rsidP="007D40F1">
      <w:pPr>
        <w:pStyle w:val="Bulletlist1"/>
      </w:pPr>
      <w:r w:rsidRPr="00C82170">
        <w:t>Decommissioning programme milestones reflecting significant steps in site risk reduction.</w:t>
      </w:r>
    </w:p>
    <w:p w14:paraId="4612A9A3" w14:textId="77777777" w:rsidR="008D6102" w:rsidRPr="00C82170" w:rsidRDefault="008D6102" w:rsidP="007D40F1">
      <w:pPr>
        <w:pStyle w:val="Bulletlist1"/>
      </w:pPr>
      <w:r w:rsidRPr="00C82170">
        <w:t>Characterisation and survey work necessary to enable decommissioning to commence.</w:t>
      </w:r>
    </w:p>
    <w:p w14:paraId="55029C78" w14:textId="70C45831" w:rsidR="008D6102" w:rsidRPr="00C82170" w:rsidRDefault="008D6102" w:rsidP="007D40F1">
      <w:pPr>
        <w:pStyle w:val="Heading2"/>
        <w:numPr>
          <w:ilvl w:val="0"/>
          <w:numId w:val="0"/>
        </w:numPr>
        <w:ind w:left="851" w:hanging="851"/>
      </w:pPr>
      <w:bookmarkStart w:id="20" w:name="_Toc226729131"/>
      <w:r w:rsidRPr="00C82170">
        <w:t xml:space="preserve">Facilities </w:t>
      </w:r>
      <w:r w:rsidR="007D40F1">
        <w:t>u</w:t>
      </w:r>
      <w:r w:rsidRPr="00C82170">
        <w:t xml:space="preserve">ndergoing </w:t>
      </w:r>
      <w:r w:rsidR="007D40F1">
        <w:t>d</w:t>
      </w:r>
      <w:r w:rsidRPr="00C82170">
        <w:t>ecommissioning</w:t>
      </w:r>
      <w:bookmarkEnd w:id="20"/>
    </w:p>
    <w:p w14:paraId="603981A8" w14:textId="77777777" w:rsidR="008D6102" w:rsidRPr="00C82170" w:rsidRDefault="008D6102" w:rsidP="007D40F1">
      <w:pPr>
        <w:pStyle w:val="F9-Paragraph"/>
      </w:pPr>
      <w:r w:rsidRPr="00C82170">
        <w:t>As decommissioning progresses, inspectors should expect increasing understanding of facility conditions through targeted surveys and intrusive investigations, with lessons learned informing dynamic safety management and record retention.</w:t>
      </w:r>
    </w:p>
    <w:p w14:paraId="192FF09C" w14:textId="77777777" w:rsidR="008D6102" w:rsidRPr="00C82170" w:rsidRDefault="008D6102" w:rsidP="007D40F1">
      <w:pPr>
        <w:pStyle w:val="F9-Paragraph"/>
      </w:pPr>
      <w:r w:rsidRPr="00C82170">
        <w:t>When inspecting decommissioning activities, inspectors may consider whether the licensee has:</w:t>
      </w:r>
    </w:p>
    <w:p w14:paraId="5F2E5DB2" w14:textId="77777777" w:rsidR="008D6102" w:rsidRPr="00C82170" w:rsidRDefault="008D6102" w:rsidP="007D40F1">
      <w:pPr>
        <w:pStyle w:val="Bulletlist1"/>
      </w:pPr>
      <w:r w:rsidRPr="00C82170">
        <w:t>Clear demarcation of decommissioning areas and controlled access/egress.</w:t>
      </w:r>
    </w:p>
    <w:p w14:paraId="10CD6B61" w14:textId="77777777" w:rsidR="008D6102" w:rsidRPr="00C82170" w:rsidRDefault="008D6102" w:rsidP="007D40F1">
      <w:pPr>
        <w:pStyle w:val="Bulletlist1"/>
      </w:pPr>
      <w:r w:rsidRPr="00C82170">
        <w:t>Suitable and sufficient systems of work that are implemented effectively.</w:t>
      </w:r>
    </w:p>
    <w:p w14:paraId="339D296D" w14:textId="77777777" w:rsidR="008D6102" w:rsidRPr="00C82170" w:rsidRDefault="008D6102" w:rsidP="007D40F1">
      <w:pPr>
        <w:pStyle w:val="Bulletlist1"/>
      </w:pPr>
      <w:r w:rsidRPr="00C82170">
        <w:t>Incorporated relevant operational experience into decommissioning methodologies.</w:t>
      </w:r>
    </w:p>
    <w:p w14:paraId="2F4B157D" w14:textId="77777777" w:rsidR="008D6102" w:rsidRPr="00C82170" w:rsidRDefault="008D6102" w:rsidP="007D40F1">
      <w:pPr>
        <w:pStyle w:val="Bulletlist1"/>
      </w:pPr>
      <w:r w:rsidRPr="00C82170">
        <w:t>Demonstrated effective management of interdependencies with other facilities and services.</w:t>
      </w:r>
    </w:p>
    <w:p w14:paraId="6E841C8C" w14:textId="77777777" w:rsidR="008D6102" w:rsidRPr="00C82170" w:rsidRDefault="008D6102" w:rsidP="007D40F1">
      <w:pPr>
        <w:pStyle w:val="Bulletlist1"/>
      </w:pPr>
      <w:r w:rsidRPr="00C82170">
        <w:t>A strategy to avoid creation of new contaminated land or groundwater and to remediate legacy contamination.</w:t>
      </w:r>
    </w:p>
    <w:p w14:paraId="5D481347" w14:textId="77777777" w:rsidR="008D6102" w:rsidRPr="00C82170" w:rsidRDefault="008D6102" w:rsidP="007D40F1">
      <w:pPr>
        <w:pStyle w:val="Bulletlist1"/>
      </w:pPr>
      <w:r w:rsidRPr="00C82170">
        <w:t>Adequate arrangements to manage degradation risks that could lead to loss of containment or structural failure.</w:t>
      </w:r>
    </w:p>
    <w:p w14:paraId="311884B4" w14:textId="77777777" w:rsidR="008D6102" w:rsidRPr="00C82170" w:rsidRDefault="008D6102" w:rsidP="007D40F1">
      <w:pPr>
        <w:pStyle w:val="F9-Paragraph"/>
      </w:pPr>
      <w:r w:rsidRPr="00C82170">
        <w:t>As radiological hazards reduce, inspectors should consider the increasing significance of conventional safety risks and seek advice from ONR Conventional Health and Safety Specialist Inspectors as appropriate.</w:t>
      </w:r>
    </w:p>
    <w:p w14:paraId="14A7B52D" w14:textId="7D80BB17" w:rsidR="008D6102" w:rsidRPr="00C82170" w:rsidRDefault="008D6102" w:rsidP="007D40F1">
      <w:pPr>
        <w:pStyle w:val="Heading2"/>
        <w:numPr>
          <w:ilvl w:val="0"/>
          <w:numId w:val="0"/>
        </w:numPr>
      </w:pPr>
      <w:bookmarkStart w:id="21" w:name="_Toc226729132"/>
      <w:r w:rsidRPr="00C82170">
        <w:lastRenderedPageBreak/>
        <w:t xml:space="preserve">Facilities </w:t>
      </w:r>
      <w:r w:rsidR="007D40F1">
        <w:t>e</w:t>
      </w:r>
      <w:r w:rsidRPr="00C82170">
        <w:t>ntering</w:t>
      </w:r>
      <w:r w:rsidR="007D40F1">
        <w:t xml:space="preserve"> / w</w:t>
      </w:r>
      <w:r w:rsidRPr="00C82170">
        <w:t xml:space="preserve">ithin </w:t>
      </w:r>
      <w:r w:rsidR="007D40F1">
        <w:t>c</w:t>
      </w:r>
      <w:r w:rsidRPr="00C82170">
        <w:t xml:space="preserve">are and </w:t>
      </w:r>
      <w:r w:rsidR="007D40F1">
        <w:t>m</w:t>
      </w:r>
      <w:r w:rsidRPr="00C82170">
        <w:t>aintenance</w:t>
      </w:r>
      <w:bookmarkEnd w:id="21"/>
    </w:p>
    <w:p w14:paraId="00DE3347" w14:textId="774C7D99" w:rsidR="008D6102" w:rsidRPr="00C82170" w:rsidRDefault="008D6102" w:rsidP="007D40F1">
      <w:pPr>
        <w:pStyle w:val="F9-Paragraph"/>
      </w:pPr>
      <w:r w:rsidRPr="00C82170">
        <w:t xml:space="preserve">Care and </w:t>
      </w:r>
      <w:r w:rsidR="007D40F1">
        <w:t>m</w:t>
      </w:r>
      <w:r w:rsidRPr="00C82170">
        <w:t>aintenance (C&amp;M) is a planned quiescent phase within a deferred decommissioning strategy, typically between preparation and final site clearance phases.</w:t>
      </w:r>
    </w:p>
    <w:p w14:paraId="6761D98C" w14:textId="77777777" w:rsidR="008D6102" w:rsidRPr="00C82170" w:rsidRDefault="008D6102" w:rsidP="007D40F1">
      <w:pPr>
        <w:pStyle w:val="F9-Paragraph"/>
      </w:pPr>
      <w:r w:rsidRPr="00C82170">
        <w:t>Where C&amp;M is proposed, the licensee should demonstrate that the facility is passively safe and risks are reduced SFAIRP prior to entry and throughout the C&amp;M period.</w:t>
      </w:r>
    </w:p>
    <w:p w14:paraId="2FE3B6E3" w14:textId="77777777" w:rsidR="008D6102" w:rsidRPr="00C82170" w:rsidRDefault="008D6102" w:rsidP="007D40F1">
      <w:pPr>
        <w:pStyle w:val="F9-Paragraph"/>
      </w:pPr>
      <w:r w:rsidRPr="00C82170">
        <w:t>Inspectors should consider implications of deferred decommissioning, including future availability of waste treatment and disposal routes.</w:t>
      </w:r>
    </w:p>
    <w:p w14:paraId="4DEBFE67" w14:textId="77777777" w:rsidR="008D6102" w:rsidRPr="00C82170" w:rsidRDefault="008D6102" w:rsidP="007D40F1">
      <w:pPr>
        <w:pStyle w:val="F9-Paragraph"/>
      </w:pPr>
      <w:r w:rsidRPr="00C82170">
        <w:t>When inspecting facilities entering or within C&amp;M, inspectors may consider:</w:t>
      </w:r>
    </w:p>
    <w:p w14:paraId="718B8A62" w14:textId="77777777" w:rsidR="008D6102" w:rsidRPr="00C82170" w:rsidRDefault="008D6102" w:rsidP="007D40F1">
      <w:pPr>
        <w:pStyle w:val="Bulletlist1"/>
      </w:pPr>
      <w:r w:rsidRPr="00C82170">
        <w:t>Adequacy of maintenance arrangements to ensure plant integrity throughout deferral.</w:t>
      </w:r>
    </w:p>
    <w:p w14:paraId="1148D10F" w14:textId="77777777" w:rsidR="008D6102" w:rsidRPr="00C82170" w:rsidRDefault="008D6102" w:rsidP="007D40F1">
      <w:pPr>
        <w:pStyle w:val="Bulletlist1"/>
      </w:pPr>
      <w:r w:rsidRPr="00C82170">
        <w:t>Whether remaining inventories are demonstrably passively safe, SFAIRP.</w:t>
      </w:r>
    </w:p>
    <w:p w14:paraId="3188DEE1" w14:textId="77777777" w:rsidR="008D6102" w:rsidRPr="00C82170" w:rsidRDefault="008D6102" w:rsidP="007D40F1">
      <w:pPr>
        <w:pStyle w:val="Bulletlist1"/>
      </w:pPr>
      <w:r w:rsidRPr="00C82170">
        <w:t>Minimisation of reliance on active safety systems.</w:t>
      </w:r>
    </w:p>
    <w:p w14:paraId="6ADB1A94" w14:textId="77777777" w:rsidR="008D6102" w:rsidRPr="00C82170" w:rsidRDefault="008D6102" w:rsidP="007D40F1">
      <w:pPr>
        <w:pStyle w:val="Bulletlist1"/>
      </w:pPr>
      <w:r w:rsidRPr="00C82170">
        <w:t>Adequacy of reassurance monitoring arrangements.</w:t>
      </w:r>
    </w:p>
    <w:p w14:paraId="72978C7C" w14:textId="77777777" w:rsidR="008D6102" w:rsidRPr="00C82170" w:rsidRDefault="008D6102" w:rsidP="007D40F1">
      <w:pPr>
        <w:pStyle w:val="Bulletlist1"/>
      </w:pPr>
      <w:r w:rsidRPr="00C82170">
        <w:t>Retention and accessibility of records for the deferral period, including residual hazards and inventories.</w:t>
      </w:r>
    </w:p>
    <w:p w14:paraId="3AF56077" w14:textId="77777777" w:rsidR="008D6102" w:rsidRPr="00C82170" w:rsidRDefault="008D6102" w:rsidP="007D40F1">
      <w:pPr>
        <w:pStyle w:val="Bulletlist1"/>
      </w:pPr>
      <w:r w:rsidRPr="00C82170">
        <w:t>Land quality management and groundwater monitoring arrangements.</w:t>
      </w:r>
    </w:p>
    <w:p w14:paraId="728292F7" w14:textId="77777777" w:rsidR="008D6102" w:rsidRPr="00C82170" w:rsidRDefault="008D6102" w:rsidP="007D40F1">
      <w:pPr>
        <w:pStyle w:val="Bulletlist1"/>
      </w:pPr>
      <w:r w:rsidRPr="00C82170">
        <w:t>Management of secondary waste arisings.</w:t>
      </w:r>
    </w:p>
    <w:p w14:paraId="164CF07D" w14:textId="77777777" w:rsidR="008D6102" w:rsidRPr="00C82170" w:rsidRDefault="008D6102" w:rsidP="007D40F1">
      <w:pPr>
        <w:pStyle w:val="Bulletlist1"/>
      </w:pPr>
      <w:r w:rsidRPr="00C82170">
        <w:t>Site management arrangements (manned or unmanned).</w:t>
      </w:r>
    </w:p>
    <w:p w14:paraId="06DE9473" w14:textId="571CC788" w:rsidR="008D6102" w:rsidRDefault="008D6102">
      <w:pPr>
        <w:spacing w:after="0" w:line="240" w:lineRule="auto"/>
      </w:pPr>
      <w:r>
        <w:br w:type="page"/>
      </w:r>
    </w:p>
    <w:p w14:paraId="04AABECC" w14:textId="1DCFA5B7" w:rsidR="00E04496" w:rsidRPr="00AE482E" w:rsidRDefault="00E04496" w:rsidP="00076F40">
      <w:pPr>
        <w:pStyle w:val="Heading1"/>
        <w:numPr>
          <w:ilvl w:val="0"/>
          <w:numId w:val="0"/>
        </w:numPr>
      </w:pPr>
      <w:bookmarkStart w:id="22" w:name="_Toc118110454"/>
      <w:bookmarkStart w:id="23" w:name="_Toc226729133"/>
      <w:r w:rsidRPr="00AE482E">
        <w:lastRenderedPageBreak/>
        <w:t xml:space="preserve">Appendix 2 – Guidance on </w:t>
      </w:r>
      <w:r w:rsidR="007D40F1">
        <w:t>the i</w:t>
      </w:r>
      <w:r w:rsidRPr="00AE482E">
        <w:t xml:space="preserve">nspection of EIADR </w:t>
      </w:r>
      <w:r w:rsidR="007D40F1">
        <w:t>a</w:t>
      </w:r>
      <w:r w:rsidRPr="00AE482E">
        <w:t xml:space="preserve">rrangements and their </w:t>
      </w:r>
      <w:r w:rsidR="007D40F1">
        <w:t>i</w:t>
      </w:r>
      <w:r w:rsidRPr="00AE482E">
        <w:t>mplementation</w:t>
      </w:r>
      <w:bookmarkEnd w:id="22"/>
      <w:bookmarkEnd w:id="23"/>
    </w:p>
    <w:p w14:paraId="25665374" w14:textId="3D1E79D7" w:rsidR="00E04496" w:rsidRDefault="00E04496" w:rsidP="007D40F1">
      <w:pPr>
        <w:pStyle w:val="Heading2"/>
        <w:numPr>
          <w:ilvl w:val="0"/>
          <w:numId w:val="0"/>
        </w:numPr>
      </w:pPr>
      <w:bookmarkStart w:id="24" w:name="_Toc117070019"/>
      <w:bookmarkStart w:id="25" w:name="_Toc226729134"/>
      <w:r>
        <w:t xml:space="preserve">Purpose and </w:t>
      </w:r>
      <w:r w:rsidR="007D40F1">
        <w:t>s</w:t>
      </w:r>
      <w:r>
        <w:t>cope</w:t>
      </w:r>
      <w:bookmarkEnd w:id="24"/>
      <w:bookmarkEnd w:id="25"/>
    </w:p>
    <w:p w14:paraId="619C5D95" w14:textId="77777777" w:rsidR="00E04496" w:rsidRDefault="00E04496" w:rsidP="007D40F1">
      <w:pPr>
        <w:pStyle w:val="F9-Paragraph"/>
        <w:numPr>
          <w:ilvl w:val="0"/>
          <w:numId w:val="9"/>
        </w:numPr>
        <w:ind w:left="851" w:hanging="851"/>
      </w:pPr>
      <w:r w:rsidRPr="00236688">
        <w:t>The Nuclear Reactors (Environmental Impact Assessment for Decommissioning) Regulations</w:t>
      </w:r>
      <w:r>
        <w:t xml:space="preserve"> 1999 (as amended) (EIADR) requires the environmental impact of projects to decommission nuclear power stations and other nuclear reactors to be considered in detail before ONR consent for the decommissioning project is granted. EIADR applies to the whole decommissioning project from the point at which work is undertaken to permanently prevent the continued operation of the power station or reactor, through to final site clearance.</w:t>
      </w:r>
    </w:p>
    <w:p w14:paraId="46BF122B" w14:textId="77777777" w:rsidR="00E04496" w:rsidRDefault="00E04496" w:rsidP="007D40F1">
      <w:pPr>
        <w:pStyle w:val="F9-Paragraph"/>
      </w:pPr>
      <w:r w:rsidRPr="00BD4DF2">
        <w:t>This appendix provides guidance for ONR inspectors on undertaking inspections for ongoing compliance with EIADR, including confirming effective implementation of mitigation and monitoring measures set out in the Environmental Statement and reported through the annual Environmental Management Plan, and regulating compliance with the standard conditions attached to ONR’s EIADR consent. Further guidance on the EIADR application process and Environmental Statement content is provided in ONR’s TAG for EIADR</w:t>
      </w:r>
      <w:r>
        <w:t xml:space="preserve"> </w:t>
      </w:r>
      <w:sdt>
        <w:sdtPr>
          <w:id w:val="-639966105"/>
          <w:citation/>
        </w:sdtPr>
        <w:sdtContent>
          <w:r>
            <w:fldChar w:fldCharType="begin"/>
          </w:r>
          <w:r>
            <w:instrText xml:space="preserve"> CITATION 105 \l 2057 </w:instrText>
          </w:r>
          <w:r>
            <w:fldChar w:fldCharType="separate"/>
          </w:r>
          <w:r w:rsidRPr="003D7FB6">
            <w:rPr>
              <w:noProof/>
            </w:rPr>
            <w:t>[4]</w:t>
          </w:r>
          <w:r>
            <w:fldChar w:fldCharType="end"/>
          </w:r>
        </w:sdtContent>
      </w:sdt>
    </w:p>
    <w:p w14:paraId="79287688" w14:textId="745E15A0" w:rsidR="007D40F1" w:rsidRDefault="007D40F1" w:rsidP="007D40F1">
      <w:pPr>
        <w:pStyle w:val="Heading2"/>
        <w:numPr>
          <w:ilvl w:val="0"/>
          <w:numId w:val="0"/>
        </w:numPr>
      </w:pPr>
      <w:bookmarkStart w:id="26" w:name="_Toc226729135"/>
      <w:r>
        <w:t>Guidance</w:t>
      </w:r>
      <w:bookmarkEnd w:id="26"/>
    </w:p>
    <w:p w14:paraId="56F9B3E7" w14:textId="212A91CF" w:rsidR="00E04496" w:rsidRPr="00DE54D6" w:rsidRDefault="00E04496" w:rsidP="007D40F1">
      <w:pPr>
        <w:pStyle w:val="F9-Paragraph"/>
      </w:pPr>
      <w:r w:rsidRPr="00DE54D6">
        <w:t>EIADR requires ONR consent before a decommissioning project may commence. Inspectors will engage with licensees through routine regulatory engagement and EIADR compliance inspections to address any shortfalls in EIADR arrangements or implementation throughout the project. As a guide, EIADR compliance inspections are typically undertaken at approximately five</w:t>
      </w:r>
      <w:r w:rsidRPr="00DE54D6">
        <w:noBreakHyphen/>
        <w:t>year intervals, but may be more frequent depending on the pace and nature of decommissioning. Where appropriate, inspectors should consider undertaking integrated LC35 and EIADR inspections.</w:t>
      </w:r>
    </w:p>
    <w:p w14:paraId="4477880C" w14:textId="77777777" w:rsidR="00E04496" w:rsidRPr="0007157C" w:rsidRDefault="00E04496" w:rsidP="007D40F1">
      <w:pPr>
        <w:pStyle w:val="F9-Paragraph"/>
      </w:pPr>
      <w:r w:rsidRPr="0007157C">
        <w:t>The Environmental Statement should support effective environmental management throughout the decommissioning project. Ongoing EIADR compliance includes monitoring environmental impacts, confirming delivery of the consented project, and reviewing reporting on decommissioning progress and the effectiveness of mitigation measures through annual Environmental Management Plans</w:t>
      </w:r>
    </w:p>
    <w:p w14:paraId="4C462E15" w14:textId="77777777" w:rsidR="007D40F1" w:rsidRDefault="007D40F1" w:rsidP="007D40F1">
      <w:pPr>
        <w:pStyle w:val="F9-Paragraph"/>
        <w:sectPr w:rsidR="007D40F1" w:rsidSect="00B23A5E">
          <w:pgSz w:w="11906" w:h="16838" w:code="9"/>
          <w:pgMar w:top="1440" w:right="1440" w:bottom="1440" w:left="1440" w:header="397" w:footer="397" w:gutter="0"/>
          <w:cols w:space="312"/>
          <w:docGrid w:linePitch="360"/>
        </w:sectPr>
      </w:pPr>
    </w:p>
    <w:p w14:paraId="38AB1A1D" w14:textId="77777777" w:rsidR="00E04496" w:rsidRPr="0007157C" w:rsidRDefault="00E04496" w:rsidP="007D40F1">
      <w:pPr>
        <w:pStyle w:val="F9-Paragraph"/>
      </w:pPr>
      <w:r w:rsidRPr="0007157C">
        <w:lastRenderedPageBreak/>
        <w:t>Licensees should have adequate arrangements for EIADR compliance, including the management of changes to the decommissioning project. These arrangements should address implementation of mitigation and monitoring measures set out in the Environmental Statement and conditions attached to ONR’s consent, be maintained throughout the project, and be controlled under an appropriate management system</w:t>
      </w:r>
    </w:p>
    <w:p w14:paraId="171597A4" w14:textId="77777777" w:rsidR="00E04496" w:rsidRPr="009B537B" w:rsidRDefault="00E04496" w:rsidP="007D40F1">
      <w:pPr>
        <w:pStyle w:val="F9-Paragraph"/>
      </w:pPr>
      <w:r w:rsidRPr="009B537B">
        <w:t>Inspectors should be aware that licensees may use an Environmental Management System as part of their integrated management arrangements. The use of an EMS is recognised as good practice for managing environmental impacts, and accreditation (e.g. ISO 14001) provides assurance that a recognised industry standard has been achieved</w:t>
      </w:r>
    </w:p>
    <w:p w14:paraId="32671E89" w14:textId="77777777" w:rsidR="00E04496" w:rsidRPr="0084170E" w:rsidRDefault="00E04496" w:rsidP="007D40F1">
      <w:pPr>
        <w:pStyle w:val="F9-Paragraph"/>
      </w:pPr>
      <w:r w:rsidRPr="0084170E">
        <w:t>Inspectors may sample the licensee’s EIADR arrangements during compliance inspections, including arrangements for modification and change control for decommissioning activities, to confirm that EIADR considerations are appropriately embedded (e.g. within the Plant Modification Process). Inspectors may also sample arrangements for managing wastes arising from decommissioning, noting ONR’s expectation that an adequate waste management strategy is in place and that wastes are managed throughout the project in accordance with LC32</w:t>
      </w:r>
    </w:p>
    <w:p w14:paraId="390B2AD6" w14:textId="77777777" w:rsidR="00E04496" w:rsidRDefault="00E04496" w:rsidP="007D40F1">
      <w:pPr>
        <w:pStyle w:val="F9-Paragraph"/>
      </w:pPr>
      <w:r>
        <w:t>Under the conditions attached to EIADR consent, ONR requires the licensee to prepare and implement an EMP to cover mitigation measures to prevent, reduce and where possible offset any significant effects on the environment. The consent conditions state that the EMP shall:</w:t>
      </w:r>
    </w:p>
    <w:p w14:paraId="7C772F00" w14:textId="77777777" w:rsidR="00E04496" w:rsidRDefault="00E04496" w:rsidP="007D40F1">
      <w:pPr>
        <w:pStyle w:val="Bulletlist1"/>
      </w:pPr>
      <w:r>
        <w:t>List the mitigation measures that are already identified.</w:t>
      </w:r>
    </w:p>
    <w:p w14:paraId="03531C59" w14:textId="77777777" w:rsidR="00E04496" w:rsidRDefault="00E04496" w:rsidP="007D40F1">
      <w:pPr>
        <w:pStyle w:val="Bulletlist1"/>
      </w:pPr>
      <w:r>
        <w:t>List the options to implement work activities where mitigation measures may be required but where selection of an option will only be possible in the future.</w:t>
      </w:r>
    </w:p>
    <w:p w14:paraId="267333DD" w14:textId="77777777" w:rsidR="00E04496" w:rsidRDefault="00E04496" w:rsidP="007D40F1">
      <w:pPr>
        <w:pStyle w:val="Bulletlist1"/>
      </w:pPr>
      <w:r>
        <w:t>Identify mitigation measures for options that have been selected, giving reasons for their selection.</w:t>
      </w:r>
    </w:p>
    <w:p w14:paraId="2C995B3D" w14:textId="77777777" w:rsidR="00E04496" w:rsidRDefault="00E04496" w:rsidP="007D40F1">
      <w:pPr>
        <w:pStyle w:val="Bulletlist1"/>
      </w:pPr>
      <w:r>
        <w:t>List the work activities where mitigation measures may be required but where assessments to identify mitigation measures will only be possible in the future.</w:t>
      </w:r>
    </w:p>
    <w:p w14:paraId="124DF540" w14:textId="77777777" w:rsidR="00E04496" w:rsidRDefault="00E04496" w:rsidP="007D40F1">
      <w:pPr>
        <w:pStyle w:val="Bulletlist1"/>
      </w:pPr>
      <w:r>
        <w:t>Identify mitigation measures from assessments carried out, giving reasons for their selection.</w:t>
      </w:r>
    </w:p>
    <w:p w14:paraId="53C653AB" w14:textId="77777777" w:rsidR="00E04496" w:rsidRDefault="00E04496" w:rsidP="007D40F1">
      <w:pPr>
        <w:pStyle w:val="Bulletlist1"/>
      </w:pPr>
      <w:r>
        <w:t>Describe the effectiveness of mitigation measures over time.</w:t>
      </w:r>
    </w:p>
    <w:p w14:paraId="7A84A288" w14:textId="77777777" w:rsidR="00E04496" w:rsidRDefault="00E04496" w:rsidP="007D40F1">
      <w:pPr>
        <w:pStyle w:val="Bulletlist1"/>
      </w:pPr>
      <w:r>
        <w:t xml:space="preserve">Describe significant changes to the mitigation measures in light of experience, giving reasons for such changes. </w:t>
      </w:r>
    </w:p>
    <w:p w14:paraId="4D5C2C53" w14:textId="77777777" w:rsidR="00E04496" w:rsidRDefault="00E04496" w:rsidP="007D40F1">
      <w:pPr>
        <w:pStyle w:val="F9-Paragraph"/>
      </w:pPr>
      <w:r>
        <w:lastRenderedPageBreak/>
        <w:t>The EMP should link directly back to the ES and conditions imposed by ONR, and facilitates effective environmental management by:</w:t>
      </w:r>
    </w:p>
    <w:p w14:paraId="641D3BCD" w14:textId="77777777" w:rsidR="00E04496" w:rsidRDefault="00E04496" w:rsidP="007D40F1">
      <w:pPr>
        <w:pStyle w:val="Bulletlist1"/>
      </w:pPr>
      <w:r>
        <w:t>Creating a framework for ensuring and demonstrating conformance with legislative requirements, mitigation and monitoring set out in the ES and conditions attached to consent.</w:t>
      </w:r>
    </w:p>
    <w:p w14:paraId="508C0488" w14:textId="77777777" w:rsidR="00E04496" w:rsidRDefault="00E04496" w:rsidP="007D40F1">
      <w:pPr>
        <w:pStyle w:val="Bulletlist1"/>
      </w:pPr>
      <w:r>
        <w:t>Providing a link between design and implementation stages of the decommissioning project.</w:t>
      </w:r>
    </w:p>
    <w:p w14:paraId="2696C62D" w14:textId="77777777" w:rsidR="00E04496" w:rsidRDefault="00E04496" w:rsidP="007D40F1">
      <w:pPr>
        <w:pStyle w:val="Bulletlist1"/>
      </w:pPr>
      <w:r>
        <w:t>Ensuring a communication and feedback system is in place between relevant stakeholders.</w:t>
      </w:r>
    </w:p>
    <w:p w14:paraId="013D6DFD" w14:textId="77777777" w:rsidR="00E04496" w:rsidRPr="00AC15EB" w:rsidRDefault="00E04496" w:rsidP="007D40F1">
      <w:pPr>
        <w:pStyle w:val="F9-Paragraph"/>
      </w:pPr>
      <w:r w:rsidRPr="00AC15EB">
        <w:t>Inspectors should satisfy themselves that agreed mitigation measures, monitoring arrangements and consent conditions are clearly and sufficiently detailed in the Environmental Management Plan (EMP to enable ongoing compliance inspections to be undertaken against the EMP, rather than the Environmental Statement.</w:t>
      </w:r>
    </w:p>
    <w:p w14:paraId="2CB13AE2" w14:textId="77777777" w:rsidR="00E04496" w:rsidRPr="00442CF8" w:rsidRDefault="00E04496" w:rsidP="007D40F1">
      <w:pPr>
        <w:pStyle w:val="F9-Paragraph"/>
      </w:pPr>
      <w:r w:rsidRPr="00442CF8">
        <w:t>EIADR consent conditions require the licensee to submit the EMP to ONR for regular review, typically on an annual basis. ONR may agree a different submission frequency with the licensee, for example during Care and Maintenance where the site is in a quiescent state. Licensees should also have arrangements for more frequent, ad hoc reporting where data indicates poor performance or non</w:t>
      </w:r>
      <w:r w:rsidRPr="00442CF8">
        <w:noBreakHyphen/>
        <w:t>conformance</w:t>
      </w:r>
      <w:r>
        <w:t>.</w:t>
      </w:r>
    </w:p>
    <w:p w14:paraId="262CBDE1" w14:textId="77777777" w:rsidR="00E04496" w:rsidRPr="00442CF8" w:rsidRDefault="00E04496" w:rsidP="007D40F1">
      <w:pPr>
        <w:pStyle w:val="F9-Paragraph"/>
      </w:pPr>
      <w:r w:rsidRPr="00442CF8">
        <w:t>Where detailed design of mitigation and monitoring arrangements is developed post</w:t>
      </w:r>
      <w:r w:rsidRPr="00442CF8">
        <w:noBreakHyphen/>
        <w:t>consent, the licensee should ensure the EMP captures progress with the decommissioning project and the ongoing effectiveness of mitigation. Inspectors should be satisfied that proposed mitigation is deliverable; evidence of stakeholder involvement (e.g. contractors) and any required programme of consultation should be set out in the EMP.</w:t>
      </w:r>
    </w:p>
    <w:p w14:paraId="1D7D348C" w14:textId="77777777" w:rsidR="00E04496" w:rsidRPr="004A36F1" w:rsidRDefault="00E04496" w:rsidP="007D40F1">
      <w:pPr>
        <w:pStyle w:val="F9-Paragraph"/>
      </w:pPr>
      <w:r w:rsidRPr="004A36F1">
        <w:t>Any additional mitigation or monitoring requirements arising post</w:t>
      </w:r>
      <w:r w:rsidRPr="004A36F1">
        <w:noBreakHyphen/>
        <w:t>consent should be documented in the EMP, with justification. The EMP should avoid duplication by referencing existing monitoring regimes and the relevant environmental regulator or competent authority.</w:t>
      </w:r>
    </w:p>
    <w:p w14:paraId="6755ABD9" w14:textId="77777777" w:rsidR="00E04496" w:rsidRDefault="00E04496" w:rsidP="007D40F1">
      <w:pPr>
        <w:pStyle w:val="F9-Paragraph"/>
      </w:pPr>
      <w:r w:rsidRPr="004A36F1">
        <w:t>Inspectors may undertake site inspections to confirm mitigation or monitoring measures are in place prior to the commencement of a decommissioning activity or stage, and may also inspect following completion where the licensee has committed to a defined end state</w:t>
      </w:r>
      <w:r>
        <w:t>.</w:t>
      </w:r>
    </w:p>
    <w:p w14:paraId="09DD0A34" w14:textId="77777777" w:rsidR="007D40F1" w:rsidRDefault="007D40F1" w:rsidP="007D40F1">
      <w:pPr>
        <w:pStyle w:val="F9-Paragraph"/>
        <w:sectPr w:rsidR="007D40F1" w:rsidSect="00B23A5E">
          <w:pgSz w:w="11906" w:h="16838" w:code="9"/>
          <w:pgMar w:top="1440" w:right="1440" w:bottom="1440" w:left="1440" w:header="397" w:footer="397" w:gutter="0"/>
          <w:cols w:space="312"/>
          <w:docGrid w:linePitch="360"/>
        </w:sectPr>
      </w:pPr>
    </w:p>
    <w:p w14:paraId="5CAE82E1" w14:textId="77777777" w:rsidR="00E04496" w:rsidRDefault="00E04496" w:rsidP="007D40F1">
      <w:pPr>
        <w:pStyle w:val="F9-Paragraph"/>
      </w:pPr>
      <w:r>
        <w:lastRenderedPageBreak/>
        <w:t>It is the licensee’s responsibility to confirm that its claims in the ES are being met. The licensee should undertake evaluation (or environmental impact auditing), which involves:</w:t>
      </w:r>
    </w:p>
    <w:p w14:paraId="2DDFC835" w14:textId="77777777" w:rsidR="00E04496" w:rsidRDefault="00E04496" w:rsidP="007D40F1">
      <w:pPr>
        <w:pStyle w:val="Bulletlist1"/>
      </w:pPr>
      <w:r>
        <w:t>Comparing the impacts predicted in the ES with those that actually occur.</w:t>
      </w:r>
    </w:p>
    <w:p w14:paraId="7D106441" w14:textId="77777777" w:rsidR="00E04496" w:rsidRDefault="00E04496" w:rsidP="007D40F1">
      <w:pPr>
        <w:pStyle w:val="Bulletlist1"/>
      </w:pPr>
      <w:r>
        <w:t>Assessing whether the impact prediction in the ES is satisfactory.</w:t>
      </w:r>
    </w:p>
    <w:p w14:paraId="78E30AFE" w14:textId="77777777" w:rsidR="00E04496" w:rsidRDefault="00E04496" w:rsidP="007D40F1">
      <w:pPr>
        <w:pStyle w:val="F9-Paragraph"/>
      </w:pPr>
      <w:r w:rsidRPr="00F90CCA">
        <w:t>As</w:t>
      </w:r>
      <w:r>
        <w:t xml:space="preserve"> part of EIADR compliance inspections, Inspectors may choose to sample evidence of the licensee’s evaluation, for example in the form of assessment/data analysis reports. Other documents that could be sampled include: </w:t>
      </w:r>
    </w:p>
    <w:p w14:paraId="3929BC5E" w14:textId="77777777" w:rsidR="00E04496" w:rsidRDefault="00E04496" w:rsidP="007D40F1">
      <w:pPr>
        <w:pStyle w:val="Bulletlist1"/>
      </w:pPr>
      <w:r>
        <w:t>Information on relevant surveys or studies conducted to monitor environmental impact as a result of the decommissioning project.</w:t>
      </w:r>
    </w:p>
    <w:p w14:paraId="112C3300" w14:textId="77777777" w:rsidR="00E04496" w:rsidRDefault="00E04496" w:rsidP="007D40F1">
      <w:pPr>
        <w:pStyle w:val="Bulletlist1"/>
      </w:pPr>
      <w:r>
        <w:t>System health reports for systems related to environmental monitoring.</w:t>
      </w:r>
    </w:p>
    <w:p w14:paraId="67AD3A19" w14:textId="77777777" w:rsidR="00E04496" w:rsidRPr="005324CC" w:rsidRDefault="00E04496" w:rsidP="007D40F1">
      <w:pPr>
        <w:pStyle w:val="F9-Paragraph"/>
      </w:pPr>
      <w:r w:rsidRPr="005324CC">
        <w:t>The licensee’s evaluation activities and ONR compliance inspections should inform ongoing environmental management of the decommissioning project. Inspectors should confirm that relevant lessons learned are implemented and reflected in the EMP. Where licensees undertake multiple decommissioning projects, learning from one project should be used to improve environmental performance across the wider programme.</w:t>
      </w:r>
    </w:p>
    <w:p w14:paraId="7B9ACCA3" w14:textId="77777777" w:rsidR="00E04496" w:rsidRPr="00286136" w:rsidRDefault="00E04496" w:rsidP="007D40F1">
      <w:pPr>
        <w:pStyle w:val="F9-Paragraph"/>
      </w:pPr>
      <w:r w:rsidRPr="00286136">
        <w:t xml:space="preserve">Given the duration of decommissioning projects, changes may arise that challenge assumptions or assessments in the Environmental Statement, including legislative changes or changes to the environmental baseline. </w:t>
      </w:r>
    </w:p>
    <w:p w14:paraId="7CA97735" w14:textId="77777777" w:rsidR="00E04496" w:rsidRPr="00286136" w:rsidRDefault="00E04496" w:rsidP="007D40F1">
      <w:pPr>
        <w:pStyle w:val="F9-Paragraph"/>
      </w:pPr>
      <w:r w:rsidRPr="00286136">
        <w:t>Any changes to, or extensions of, a decommissioning project must be considered under Regulation 13 of EIADR. Licensees should have arrangements to identify and assess such changes and to determine whether an application to ONR for a determination is required. Inspectors should satisfy themselves that screening arrangements are robust and consistent with ONR EIADR guidance and the EIADR TAG</w:t>
      </w:r>
    </w:p>
    <w:p w14:paraId="0C4F1EF9" w14:textId="77777777" w:rsidR="00E04496" w:rsidRPr="00884B6A" w:rsidRDefault="00E04496" w:rsidP="007D40F1">
      <w:pPr>
        <w:pStyle w:val="F9-Paragraph"/>
      </w:pPr>
      <w:r w:rsidRPr="00884B6A">
        <w:t>Screening assessments should provide sufficient information to demonstrate how potential environmental impacts are identified, assessed and recorded, including the criteria used to judge significance. Inspectors should also confirm that cumulative impacts arising from multiple changes are appropriately considered.</w:t>
      </w:r>
    </w:p>
    <w:p w14:paraId="5263ED87" w14:textId="77777777" w:rsidR="00E04496" w:rsidRPr="00884B6A" w:rsidRDefault="00E04496" w:rsidP="007D40F1">
      <w:pPr>
        <w:pStyle w:val="F9-Paragraph"/>
      </w:pPr>
      <w:r w:rsidRPr="00884B6A">
        <w:t>Where</w:t>
      </w:r>
      <w:r>
        <w:t xml:space="preserve"> there are changes or an extension in the decommissioning project, then Inspectors should satisfy themselves that any further mitigation, monitoring requirements and conditions are included in an updated EMP</w:t>
      </w:r>
      <w:r w:rsidRPr="00884B6A">
        <w:t>.</w:t>
      </w:r>
    </w:p>
    <w:p w14:paraId="25B0DAC6" w14:textId="77777777" w:rsidR="00821337" w:rsidRDefault="00821337" w:rsidP="007D40F1">
      <w:pPr>
        <w:pStyle w:val="Heading1"/>
        <w:numPr>
          <w:ilvl w:val="0"/>
          <w:numId w:val="0"/>
        </w:numPr>
        <w:sectPr w:rsidR="00821337" w:rsidSect="00B23A5E">
          <w:pgSz w:w="11906" w:h="16838" w:code="9"/>
          <w:pgMar w:top="1440" w:right="1440" w:bottom="1440" w:left="1440" w:header="397" w:footer="397" w:gutter="0"/>
          <w:cols w:space="312"/>
          <w:docGrid w:linePitch="360"/>
        </w:sectPr>
      </w:pPr>
    </w:p>
    <w:bookmarkStart w:id="27" w:name="_Toc226729136" w:displacedByCustomXml="next"/>
    <w:sdt>
      <w:sdtPr>
        <w:rPr>
          <w:color w:val="auto"/>
          <w:sz w:val="24"/>
        </w:rPr>
        <w:id w:val="-652758001"/>
        <w:docPartObj>
          <w:docPartGallery w:val="Bibliographies"/>
          <w:docPartUnique/>
        </w:docPartObj>
      </w:sdtPr>
      <w:sdtContent>
        <w:p w14:paraId="5F37DAE5" w14:textId="0DEDDD1A" w:rsidR="002042C2" w:rsidRDefault="002042C2" w:rsidP="007D40F1">
          <w:pPr>
            <w:pStyle w:val="Heading1"/>
            <w:numPr>
              <w:ilvl w:val="0"/>
              <w:numId w:val="0"/>
            </w:numPr>
            <w:ind w:left="851" w:hanging="851"/>
          </w:pPr>
          <w:r>
            <w:t>References</w:t>
          </w:r>
          <w:bookmarkEnd w:id="27"/>
        </w:p>
        <w:sdt>
          <w:sdtPr>
            <w:id w:val="-573587230"/>
            <w:bibliography/>
          </w:sdtPr>
          <w:sdtContent>
            <w:p w14:paraId="25689792" w14:textId="77777777" w:rsidR="00FB6A35" w:rsidRDefault="002042C2" w:rsidP="002042C2">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FB6A35" w14:paraId="5B9B1120" w14:textId="77777777">
                <w:trPr>
                  <w:divId w:val="118576916"/>
                  <w:tblCellSpacing w:w="15" w:type="dxa"/>
                </w:trPr>
                <w:tc>
                  <w:tcPr>
                    <w:tcW w:w="50" w:type="pct"/>
                    <w:hideMark/>
                  </w:tcPr>
                  <w:p w14:paraId="3514956F" w14:textId="3E5030B0" w:rsidR="00FB6A35" w:rsidRDefault="00FB6A35">
                    <w:pPr>
                      <w:pStyle w:val="Bibliography"/>
                      <w:rPr>
                        <w:noProof/>
                        <w:szCs w:val="24"/>
                      </w:rPr>
                    </w:pPr>
                    <w:r>
                      <w:rPr>
                        <w:noProof/>
                      </w:rPr>
                      <w:t xml:space="preserve">[1] </w:t>
                    </w:r>
                  </w:p>
                </w:tc>
                <w:tc>
                  <w:tcPr>
                    <w:tcW w:w="0" w:type="auto"/>
                    <w:hideMark/>
                  </w:tcPr>
                  <w:p w14:paraId="71B58422" w14:textId="77777777" w:rsidR="00FB6A35" w:rsidRDefault="00FB6A35">
                    <w:pPr>
                      <w:pStyle w:val="Bibliography"/>
                      <w:rPr>
                        <w:noProof/>
                      </w:rPr>
                    </w:pPr>
                    <w:r>
                      <w:rPr>
                        <w:noProof/>
                      </w:rPr>
                      <w:t>ONR, “ONR-RD-POL-002 - Risk Informed and Targeted Engagements,” [Online]. Available: To ONR staff via HOW2 Hub (Internal ONR system).</w:t>
                    </w:r>
                  </w:p>
                </w:tc>
              </w:tr>
              <w:tr w:rsidR="00FB6A35" w14:paraId="0C3C86BF" w14:textId="77777777">
                <w:trPr>
                  <w:divId w:val="118576916"/>
                  <w:tblCellSpacing w:w="15" w:type="dxa"/>
                </w:trPr>
                <w:tc>
                  <w:tcPr>
                    <w:tcW w:w="50" w:type="pct"/>
                    <w:hideMark/>
                  </w:tcPr>
                  <w:p w14:paraId="66ECCD5E" w14:textId="77777777" w:rsidR="00FB6A35" w:rsidRDefault="00FB6A35">
                    <w:pPr>
                      <w:pStyle w:val="Bibliography"/>
                      <w:rPr>
                        <w:noProof/>
                      </w:rPr>
                    </w:pPr>
                    <w:r>
                      <w:rPr>
                        <w:noProof/>
                      </w:rPr>
                      <w:t xml:space="preserve">[2] </w:t>
                    </w:r>
                  </w:p>
                </w:tc>
                <w:tc>
                  <w:tcPr>
                    <w:tcW w:w="0" w:type="auto"/>
                    <w:hideMark/>
                  </w:tcPr>
                  <w:p w14:paraId="258F79B3" w14:textId="77777777" w:rsidR="00FB6A35" w:rsidRDefault="00FB6A35">
                    <w:pPr>
                      <w:pStyle w:val="Bibliography"/>
                      <w:rPr>
                        <w:noProof/>
                      </w:rPr>
                    </w:pPr>
                    <w:r>
                      <w:rPr>
                        <w:noProof/>
                      </w:rPr>
                      <w:t xml:space="preserve">ONR, “NS-TAST-GD-026 - Decommissioning”. </w:t>
                    </w:r>
                  </w:p>
                </w:tc>
              </w:tr>
              <w:tr w:rsidR="00FB6A35" w14:paraId="19E26B8A" w14:textId="77777777">
                <w:trPr>
                  <w:divId w:val="118576916"/>
                  <w:tblCellSpacing w:w="15" w:type="dxa"/>
                </w:trPr>
                <w:tc>
                  <w:tcPr>
                    <w:tcW w:w="50" w:type="pct"/>
                    <w:hideMark/>
                  </w:tcPr>
                  <w:p w14:paraId="090A0224" w14:textId="77777777" w:rsidR="00FB6A35" w:rsidRDefault="00FB6A35">
                    <w:pPr>
                      <w:pStyle w:val="Bibliography"/>
                      <w:rPr>
                        <w:noProof/>
                      </w:rPr>
                    </w:pPr>
                    <w:r>
                      <w:rPr>
                        <w:noProof/>
                      </w:rPr>
                      <w:t xml:space="preserve">[3] </w:t>
                    </w:r>
                  </w:p>
                </w:tc>
                <w:tc>
                  <w:tcPr>
                    <w:tcW w:w="0" w:type="auto"/>
                    <w:hideMark/>
                  </w:tcPr>
                  <w:p w14:paraId="6000CDC2" w14:textId="77777777" w:rsidR="00FB6A35" w:rsidRDefault="00FB6A35">
                    <w:pPr>
                      <w:pStyle w:val="Bibliography"/>
                      <w:rPr>
                        <w:noProof/>
                      </w:rPr>
                    </w:pPr>
                    <w:r>
                      <w:rPr>
                        <w:noProof/>
                      </w:rPr>
                      <w:t xml:space="preserve">ONR, “Safety Assessment Principles for Nuclear Facilities, ONR, 2014”. </w:t>
                    </w:r>
                  </w:p>
                </w:tc>
              </w:tr>
              <w:tr w:rsidR="00FB6A35" w14:paraId="16417F04" w14:textId="77777777">
                <w:trPr>
                  <w:divId w:val="118576916"/>
                  <w:tblCellSpacing w:w="15" w:type="dxa"/>
                </w:trPr>
                <w:tc>
                  <w:tcPr>
                    <w:tcW w:w="50" w:type="pct"/>
                    <w:hideMark/>
                  </w:tcPr>
                  <w:p w14:paraId="1E443B5E" w14:textId="77777777" w:rsidR="00FB6A35" w:rsidRDefault="00FB6A35">
                    <w:pPr>
                      <w:pStyle w:val="Bibliography"/>
                      <w:rPr>
                        <w:noProof/>
                      </w:rPr>
                    </w:pPr>
                    <w:r>
                      <w:rPr>
                        <w:noProof/>
                      </w:rPr>
                      <w:t xml:space="preserve">[4] </w:t>
                    </w:r>
                  </w:p>
                </w:tc>
                <w:tc>
                  <w:tcPr>
                    <w:tcW w:w="0" w:type="auto"/>
                    <w:hideMark/>
                  </w:tcPr>
                  <w:p w14:paraId="3AA63B66" w14:textId="77777777" w:rsidR="00FB6A35" w:rsidRDefault="00FB6A35">
                    <w:pPr>
                      <w:pStyle w:val="Bibliography"/>
                      <w:rPr>
                        <w:noProof/>
                      </w:rPr>
                    </w:pPr>
                    <w:r>
                      <w:rPr>
                        <w:noProof/>
                      </w:rPr>
                      <w:t>ONR, “NS-TAST-GD-024 - Management of Radioactive Material and Radioactive Waste on Nuclear Licensed Sites”.</w:t>
                    </w:r>
                  </w:p>
                </w:tc>
              </w:tr>
              <w:tr w:rsidR="00FB6A35" w:rsidRPr="00852694" w14:paraId="3C1009FA" w14:textId="77777777">
                <w:trPr>
                  <w:divId w:val="118576916"/>
                  <w:tblCellSpacing w:w="15" w:type="dxa"/>
                </w:trPr>
                <w:tc>
                  <w:tcPr>
                    <w:tcW w:w="50" w:type="pct"/>
                    <w:hideMark/>
                  </w:tcPr>
                  <w:p w14:paraId="69B27073" w14:textId="77777777" w:rsidR="00FB6A35" w:rsidRDefault="00FB6A35">
                    <w:pPr>
                      <w:pStyle w:val="Bibliography"/>
                      <w:rPr>
                        <w:noProof/>
                      </w:rPr>
                    </w:pPr>
                    <w:r>
                      <w:rPr>
                        <w:noProof/>
                      </w:rPr>
                      <w:t xml:space="preserve">[5] </w:t>
                    </w:r>
                  </w:p>
                </w:tc>
                <w:tc>
                  <w:tcPr>
                    <w:tcW w:w="0" w:type="auto"/>
                    <w:hideMark/>
                  </w:tcPr>
                  <w:p w14:paraId="7D90EE39" w14:textId="77777777" w:rsidR="00FB6A35" w:rsidRPr="00FB6A35" w:rsidRDefault="00FB6A35">
                    <w:pPr>
                      <w:pStyle w:val="Bibliography"/>
                      <w:rPr>
                        <w:noProof/>
                        <w:lang w:val="fr-FR"/>
                      </w:rPr>
                    </w:pPr>
                    <w:r>
                      <w:rPr>
                        <w:noProof/>
                      </w:rPr>
                      <w:t xml:space="preserve">ONR, “The management of higher activity radioactive waste on nuclear licensed sites,” July 2021. </w:t>
                    </w:r>
                    <w:r w:rsidRPr="00FB6A35">
                      <w:rPr>
                        <w:noProof/>
                        <w:lang w:val="fr-FR"/>
                      </w:rPr>
                      <w:t>[Online]. Available: https://www.onr.org.uk/wastemanage/waste-management-joint-guidance.pdf.</w:t>
                    </w:r>
                  </w:p>
                </w:tc>
              </w:tr>
            </w:tbl>
            <w:p w14:paraId="7CD57A40" w14:textId="0847C6F1" w:rsidR="002042C2" w:rsidRDefault="002042C2" w:rsidP="002042C2">
              <w:r>
                <w:rPr>
                  <w:b/>
                  <w:bCs/>
                  <w:noProof/>
                </w:rPr>
                <w:fldChar w:fldCharType="end"/>
              </w:r>
            </w:p>
          </w:sdtContent>
        </w:sdt>
      </w:sdtContent>
    </w:sdt>
    <w:p w14:paraId="07D791C5" w14:textId="77777777" w:rsidR="00930E37" w:rsidRPr="00595C8C" w:rsidRDefault="00930E37" w:rsidP="007D40F1">
      <w:pPr>
        <w:pStyle w:val="Heading1"/>
        <w:numPr>
          <w:ilvl w:val="0"/>
          <w:numId w:val="0"/>
        </w:numPr>
      </w:pPr>
      <w:bookmarkStart w:id="28" w:name="_Toc226729137"/>
      <w:r>
        <w:t>Document control information</w:t>
      </w:r>
      <w:bookmarkEnd w:id="28"/>
    </w:p>
    <w:p w14:paraId="47B60150" w14:textId="5B73EB53" w:rsidR="00930E37" w:rsidRPr="00196ADB" w:rsidRDefault="00930E37" w:rsidP="00930E37">
      <w:pPr>
        <w:rPr>
          <w:szCs w:val="24"/>
        </w:rPr>
      </w:pPr>
      <w:r w:rsidRPr="00196ADB">
        <w:rPr>
          <w:b/>
          <w:bCs/>
          <w:szCs w:val="24"/>
        </w:rPr>
        <w:t>Authored by</w:t>
      </w:r>
      <w:r w:rsidRPr="00196ADB">
        <w:rPr>
          <w:szCs w:val="24"/>
        </w:rPr>
        <w:t xml:space="preserve"> – </w:t>
      </w:r>
      <w:r w:rsidR="002F6E52">
        <w:rPr>
          <w:szCs w:val="24"/>
        </w:rPr>
        <w:t>Nuclear Safety Inspector</w:t>
      </w:r>
    </w:p>
    <w:p w14:paraId="2C5D42AA" w14:textId="7947DBC6" w:rsidR="00930E37" w:rsidRPr="00196ADB" w:rsidRDefault="00930E37" w:rsidP="00930E37">
      <w:pPr>
        <w:rPr>
          <w:szCs w:val="24"/>
        </w:rPr>
      </w:pPr>
      <w:r w:rsidRPr="00196ADB">
        <w:rPr>
          <w:b/>
          <w:bCs/>
          <w:szCs w:val="24"/>
        </w:rPr>
        <w:t>Approved by</w:t>
      </w:r>
      <w:r w:rsidRPr="00196ADB">
        <w:rPr>
          <w:szCs w:val="24"/>
        </w:rPr>
        <w:t xml:space="preserve"> –</w:t>
      </w:r>
      <w:r w:rsidR="007D40F1">
        <w:rPr>
          <w:szCs w:val="24"/>
        </w:rPr>
        <w:t xml:space="preserve"> </w:t>
      </w:r>
      <w:r>
        <w:rPr>
          <w:szCs w:val="24"/>
        </w:rPr>
        <w:t xml:space="preserve">Head of Profession for </w:t>
      </w:r>
      <w:r w:rsidR="002F6E52">
        <w:rPr>
          <w:szCs w:val="24"/>
        </w:rPr>
        <w:t>Operational Inspection</w:t>
      </w:r>
    </w:p>
    <w:p w14:paraId="10D33D1E" w14:textId="19BD6F4A" w:rsidR="00930E37" w:rsidRPr="00196ADB" w:rsidRDefault="00930E37" w:rsidP="00930E37">
      <w:pPr>
        <w:rPr>
          <w:szCs w:val="24"/>
        </w:rPr>
      </w:pPr>
      <w:r w:rsidRPr="00196ADB">
        <w:rPr>
          <w:b/>
          <w:bCs/>
          <w:szCs w:val="24"/>
        </w:rPr>
        <w:t>Issue</w:t>
      </w:r>
      <w:r>
        <w:rPr>
          <w:b/>
          <w:bCs/>
          <w:szCs w:val="24"/>
        </w:rPr>
        <w:t>:</w:t>
      </w:r>
      <w:r w:rsidRPr="00196ADB">
        <w:rPr>
          <w:szCs w:val="24"/>
        </w:rPr>
        <w:t xml:space="preserve"> </w:t>
      </w:r>
      <w:sdt>
        <w:sdtPr>
          <w:rPr>
            <w:szCs w:val="24"/>
          </w:rPr>
          <w:alias w:val="Issue No."/>
          <w:tag w:val=""/>
          <w:id w:val="-894428327"/>
          <w:placeholder>
            <w:docPart w:val="4BFF33CE9ACF45B4BD9D9653F86AF5B6"/>
          </w:placeholder>
          <w:dataBinding w:prefixMappings="xmlns:ns0='http://purl.org/dc/elements/1.1/' xmlns:ns1='http://schemas.openxmlformats.org/package/2006/metadata/core-properties' " w:xpath="/ns1:coreProperties[1]/ns1:contentStatus[1]" w:storeItemID="{6C3C8BC8-F283-45AE-878A-BAB7291924A1}"/>
          <w:text/>
        </w:sdtPr>
        <w:sdtContent>
          <w:r w:rsidR="00FF2133">
            <w:rPr>
              <w:szCs w:val="24"/>
            </w:rPr>
            <w:t>7.1</w:t>
          </w:r>
        </w:sdtContent>
      </w:sdt>
    </w:p>
    <w:p w14:paraId="12DC54B5" w14:textId="0E1162DC" w:rsidR="00930E37" w:rsidRPr="00196ADB" w:rsidRDefault="00930E37" w:rsidP="00930E37">
      <w:pPr>
        <w:rPr>
          <w:szCs w:val="24"/>
        </w:rPr>
      </w:pPr>
      <w:r>
        <w:rPr>
          <w:b/>
          <w:bCs/>
          <w:szCs w:val="24"/>
        </w:rPr>
        <w:t>Published</w:t>
      </w:r>
      <w:r w:rsidRPr="00196ADB">
        <w:rPr>
          <w:szCs w:val="24"/>
        </w:rPr>
        <w:t xml:space="preserve">: </w:t>
      </w:r>
      <w:r w:rsidR="00FF2133">
        <w:rPr>
          <w:szCs w:val="24"/>
        </w:rPr>
        <w:t>April</w:t>
      </w:r>
      <w:r>
        <w:rPr>
          <w:szCs w:val="24"/>
        </w:rPr>
        <w:t xml:space="preserve"> </w:t>
      </w:r>
      <w:r w:rsidR="00FF2133">
        <w:rPr>
          <w:szCs w:val="24"/>
        </w:rPr>
        <w:t>26</w:t>
      </w:r>
    </w:p>
    <w:p w14:paraId="29AA6F0F" w14:textId="365FCF59" w:rsidR="00930E37" w:rsidRPr="00196ADB" w:rsidRDefault="00930E37" w:rsidP="00930E37">
      <w:pPr>
        <w:rPr>
          <w:szCs w:val="24"/>
        </w:rPr>
      </w:pPr>
      <w:r w:rsidRPr="00196ADB">
        <w:rPr>
          <w:b/>
          <w:bCs/>
          <w:szCs w:val="24"/>
        </w:rPr>
        <w:t xml:space="preserve">Next </w:t>
      </w:r>
      <w:r>
        <w:rPr>
          <w:b/>
          <w:bCs/>
          <w:szCs w:val="24"/>
        </w:rPr>
        <w:t>scheduled review</w:t>
      </w:r>
      <w:r w:rsidRPr="00196ADB">
        <w:rPr>
          <w:szCs w:val="24"/>
        </w:rPr>
        <w:t xml:space="preserve">: </w:t>
      </w:r>
      <w:r w:rsidR="00D019C4">
        <w:rPr>
          <w:szCs w:val="24"/>
        </w:rPr>
        <w:t>April 27</w:t>
      </w:r>
    </w:p>
    <w:p w14:paraId="0A735AFC" w14:textId="05C6120F" w:rsidR="00930E37" w:rsidRPr="00196ADB" w:rsidRDefault="00930E37" w:rsidP="00930E37">
      <w:pPr>
        <w:rPr>
          <w:szCs w:val="24"/>
        </w:rPr>
      </w:pPr>
      <w:r w:rsidRPr="00196ADB">
        <w:rPr>
          <w:b/>
          <w:bCs/>
          <w:szCs w:val="24"/>
        </w:rPr>
        <w:t>Doc</w:t>
      </w:r>
      <w:r>
        <w:rPr>
          <w:b/>
          <w:bCs/>
          <w:szCs w:val="24"/>
        </w:rPr>
        <w:t>ument reference</w:t>
      </w:r>
      <w:r w:rsidRPr="00196ADB">
        <w:rPr>
          <w:szCs w:val="24"/>
        </w:rPr>
        <w:t xml:space="preserve">: </w:t>
      </w:r>
      <w:r w:rsidR="00852694">
        <w:rPr>
          <w:szCs w:val="24"/>
        </w:rPr>
        <w:t>NS-INSP-GD-035</w:t>
      </w:r>
    </w:p>
    <w:p w14:paraId="7D13A83B" w14:textId="69B64CEB" w:rsidR="00930E37" w:rsidRPr="00FA613A" w:rsidRDefault="00930E37" w:rsidP="00852694">
      <w:pPr>
        <w:rPr>
          <w:szCs w:val="24"/>
        </w:rPr>
      </w:pPr>
      <w:r w:rsidRPr="00196ADB">
        <w:rPr>
          <w:b/>
          <w:bCs/>
          <w:szCs w:val="24"/>
        </w:rPr>
        <w:t xml:space="preserve">Record </w:t>
      </w:r>
      <w:r>
        <w:rPr>
          <w:b/>
          <w:bCs/>
          <w:szCs w:val="24"/>
        </w:rPr>
        <w:t>reference</w:t>
      </w:r>
      <w:r w:rsidRPr="00196ADB">
        <w:rPr>
          <w:szCs w:val="24"/>
        </w:rPr>
        <w:t xml:space="preserve">: </w:t>
      </w:r>
      <w:r w:rsidR="00852694" w:rsidRPr="00852694">
        <w:rPr>
          <w:szCs w:val="24"/>
        </w:rPr>
        <w:t>ONRHH-822789359-20638</w:t>
      </w:r>
    </w:p>
    <w:p w14:paraId="7629CA34" w14:textId="77777777" w:rsidR="00930E37" w:rsidRDefault="00930E37" w:rsidP="00930E37">
      <w:pPr>
        <w:pStyle w:val="Caption"/>
        <w:keepNext/>
      </w:pPr>
      <w:r>
        <w:t>Revision commentary</w:t>
      </w:r>
    </w:p>
    <w:tbl>
      <w:tblPr>
        <w:tblStyle w:val="ONRTable1"/>
        <w:tblW w:w="0" w:type="auto"/>
        <w:tblInd w:w="10" w:type="dxa"/>
        <w:tblLook w:val="04A0" w:firstRow="1" w:lastRow="0" w:firstColumn="1" w:lastColumn="0" w:noHBand="0" w:noVBand="1"/>
      </w:tblPr>
      <w:tblGrid>
        <w:gridCol w:w="1550"/>
        <w:gridCol w:w="7466"/>
      </w:tblGrid>
      <w:tr w:rsidR="00930E37" w:rsidRPr="00B23A5E" w14:paraId="1216A18F" w14:textId="77777777" w:rsidTr="00CF24A9">
        <w:trPr>
          <w:cnfStyle w:val="100000000000" w:firstRow="1" w:lastRow="0" w:firstColumn="0" w:lastColumn="0" w:oddVBand="0" w:evenVBand="0" w:oddHBand="0" w:evenHBand="0" w:firstRowFirstColumn="0" w:firstRowLastColumn="0" w:lastRowFirstColumn="0" w:lastRowLastColumn="0"/>
        </w:trPr>
        <w:tc>
          <w:tcPr>
            <w:tcW w:w="1550" w:type="dxa"/>
          </w:tcPr>
          <w:p w14:paraId="3C3F26F3" w14:textId="77777777" w:rsidR="00930E37" w:rsidRPr="00B23A5E" w:rsidRDefault="00930E37" w:rsidP="00CF24A9">
            <w:pPr>
              <w:spacing w:before="60" w:after="60"/>
              <w:rPr>
                <w:b w:val="0"/>
                <w:bCs/>
              </w:rPr>
            </w:pPr>
            <w:r w:rsidRPr="00B23A5E">
              <w:rPr>
                <w:b w:val="0"/>
                <w:bCs/>
              </w:rPr>
              <w:t>Issue</w:t>
            </w:r>
          </w:p>
        </w:tc>
        <w:tc>
          <w:tcPr>
            <w:tcW w:w="7466" w:type="dxa"/>
          </w:tcPr>
          <w:p w14:paraId="5DC60E12" w14:textId="77777777" w:rsidR="00930E37" w:rsidRPr="00B23A5E" w:rsidRDefault="00930E37" w:rsidP="00CF24A9">
            <w:pPr>
              <w:spacing w:before="60" w:after="60"/>
              <w:rPr>
                <w:b w:val="0"/>
                <w:bCs/>
              </w:rPr>
            </w:pPr>
            <w:r w:rsidRPr="00B23A5E">
              <w:rPr>
                <w:b w:val="0"/>
                <w:bCs/>
              </w:rPr>
              <w:t xml:space="preserve">Description of </w:t>
            </w:r>
            <w:r>
              <w:rPr>
                <w:b w:val="0"/>
                <w:bCs/>
              </w:rPr>
              <w:t>u</w:t>
            </w:r>
            <w:r w:rsidRPr="00B23A5E">
              <w:rPr>
                <w:b w:val="0"/>
                <w:bCs/>
              </w:rPr>
              <w:t>pdate(s)</w:t>
            </w:r>
          </w:p>
        </w:tc>
      </w:tr>
      <w:tr w:rsidR="00661ACB" w14:paraId="1D25BD44" w14:textId="77777777" w:rsidTr="00CF24A9">
        <w:tc>
          <w:tcPr>
            <w:tcW w:w="1550" w:type="dxa"/>
          </w:tcPr>
          <w:p w14:paraId="09409656" w14:textId="445F1528" w:rsidR="00661ACB" w:rsidRDefault="00661ACB" w:rsidP="00661ACB">
            <w:pPr>
              <w:spacing w:before="60" w:after="60"/>
            </w:pPr>
            <w:r>
              <w:t>7</w:t>
            </w:r>
          </w:p>
        </w:tc>
        <w:tc>
          <w:tcPr>
            <w:tcW w:w="7466" w:type="dxa"/>
          </w:tcPr>
          <w:p w14:paraId="0DD41B3D" w14:textId="0E0361BF" w:rsidR="00661ACB" w:rsidRDefault="00661ACB" w:rsidP="00661ACB">
            <w:pPr>
              <w:spacing w:before="60" w:after="60"/>
            </w:pPr>
            <w:r>
              <w:t>Appendix added with guidance to inspectors on conducting EIADR compliance inspections.</w:t>
            </w:r>
          </w:p>
        </w:tc>
      </w:tr>
      <w:tr w:rsidR="00661ACB" w14:paraId="55592D15" w14:textId="77777777" w:rsidTr="00CF24A9">
        <w:tc>
          <w:tcPr>
            <w:tcW w:w="1550" w:type="dxa"/>
          </w:tcPr>
          <w:p w14:paraId="0EDEAEA1" w14:textId="6A0BAA9E" w:rsidR="00661ACB" w:rsidRDefault="00661ACB" w:rsidP="00661ACB">
            <w:pPr>
              <w:spacing w:before="60" w:after="60"/>
            </w:pPr>
            <w:r>
              <w:t>7.1</w:t>
            </w:r>
          </w:p>
        </w:tc>
        <w:tc>
          <w:tcPr>
            <w:tcW w:w="7466" w:type="dxa"/>
          </w:tcPr>
          <w:p w14:paraId="0FDE11AF" w14:textId="1CC5FFD5" w:rsidR="00661ACB" w:rsidRDefault="00CE74B1" w:rsidP="00661ACB">
            <w:pPr>
              <w:spacing w:before="60" w:after="60"/>
            </w:pPr>
            <w:r>
              <w:t xml:space="preserve">Improved clarity and </w:t>
            </w:r>
            <w:r w:rsidR="00FF2133">
              <w:t>updated to new template</w:t>
            </w:r>
          </w:p>
        </w:tc>
      </w:tr>
    </w:tbl>
    <w:p w14:paraId="17669631" w14:textId="77B3795B" w:rsidR="00930E37" w:rsidRPr="00FF2133" w:rsidRDefault="00930E37" w:rsidP="00FA613A"/>
    <w:sectPr w:rsidR="00930E37" w:rsidRPr="00FF2133" w:rsidSect="00B23A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B5BC7" w14:textId="77777777" w:rsidR="00B821BE" w:rsidRDefault="00B821BE" w:rsidP="007D199A">
      <w:pPr>
        <w:spacing w:after="0"/>
      </w:pPr>
      <w:r>
        <w:separator/>
      </w:r>
    </w:p>
    <w:p w14:paraId="5F7CD761" w14:textId="77777777" w:rsidR="00B821BE" w:rsidRDefault="00B821BE"/>
  </w:endnote>
  <w:endnote w:type="continuationSeparator" w:id="0">
    <w:p w14:paraId="12FB855A" w14:textId="77777777" w:rsidR="00B821BE" w:rsidRDefault="00B821BE" w:rsidP="007D199A">
      <w:pPr>
        <w:spacing w:after="0"/>
      </w:pPr>
      <w:r>
        <w:continuationSeparator/>
      </w:r>
    </w:p>
    <w:p w14:paraId="56378FB5" w14:textId="77777777" w:rsidR="00B821BE" w:rsidRDefault="00B821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47AC9C34" w:rsidR="007C3C1D" w:rsidRPr="00196ADB" w:rsidRDefault="006A525B" w:rsidP="007C3C1D">
    <w:pPr>
      <w:pStyle w:val="Footer"/>
      <w:jc w:val="left"/>
      <w:rPr>
        <w:sz w:val="22"/>
      </w:rPr>
    </w:pPr>
    <w:r w:rsidRPr="00196ADB">
      <w:rPr>
        <w:sz w:val="22"/>
      </w:rPr>
      <w:t>ONR-DOC-TEMP-</w:t>
    </w:r>
    <w:r w:rsidR="00821337" w:rsidRPr="00196ADB">
      <w:rPr>
        <w:sz w:val="22"/>
      </w:rPr>
      <w:t>003</w:t>
    </w:r>
    <w:r w:rsidRPr="00196ADB">
      <w:rPr>
        <w:sz w:val="22"/>
      </w:rPr>
      <w:t xml:space="preserve"> (Issue </w:t>
    </w:r>
    <w:r w:rsidR="00821337" w:rsidRPr="00196ADB">
      <w:rPr>
        <w:sz w:val="22"/>
      </w:rPr>
      <w:t>3</w:t>
    </w:r>
    <w:r w:rsidR="00B23A5E" w:rsidRPr="00196ADB">
      <w:rPr>
        <w:sz w:val="22"/>
      </w:rPr>
      <w:t>.</w:t>
    </w:r>
    <w:r w:rsidR="00EB6ECB">
      <w:rPr>
        <w:sz w:val="22"/>
      </w:rPr>
      <w:t>5</w:t>
    </w:r>
    <w:r w:rsidRPr="00196ADB">
      <w:rPr>
        <w:sz w:val="22"/>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DD047" w14:textId="61416359" w:rsidR="00084ABE" w:rsidRDefault="00084ABE" w:rsidP="00084ABE">
    <w:pPr>
      <w:pStyle w:val="Footer"/>
      <w:jc w:val="left"/>
    </w:pPr>
    <w:r>
      <w:tab/>
    </w:r>
    <w:r>
      <w:tab/>
      <w:t xml:space="preserve">Page | </w:t>
    </w:r>
    <w:r>
      <w:fldChar w:fldCharType="begin"/>
    </w:r>
    <w:r>
      <w:instrText>PAGE   \* MERGEFORMAT</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44C0D" w14:textId="77777777" w:rsidR="00CE6198" w:rsidRDefault="00CE6198" w:rsidP="008229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08BD" w14:textId="71E303B1" w:rsidR="00CE6198" w:rsidRPr="00B23A5E" w:rsidRDefault="00B23A5E" w:rsidP="00B23A5E">
    <w:pPr>
      <w:pStyle w:val="Footer"/>
      <w:rPr>
        <w:rStyle w:val="PageNumber"/>
        <w:color w:val="22413A"/>
        <w:sz w:val="24"/>
      </w:rPr>
    </w:pPr>
    <w:r w:rsidRPr="00B23A5E">
      <w:rPr>
        <w:rStyle w:val="PageNumber"/>
        <w:color w:val="22413A"/>
        <w:sz w:val="24"/>
      </w:rPr>
      <w:t xml:space="preserve">Page | </w:t>
    </w:r>
    <w:r w:rsidRPr="00B23A5E">
      <w:rPr>
        <w:rStyle w:val="PageNumber"/>
        <w:color w:val="22413A"/>
        <w:sz w:val="24"/>
      </w:rPr>
      <w:fldChar w:fldCharType="begin"/>
    </w:r>
    <w:r w:rsidRPr="00B23A5E">
      <w:rPr>
        <w:rStyle w:val="PageNumber"/>
        <w:color w:val="22413A"/>
        <w:sz w:val="24"/>
      </w:rPr>
      <w:instrText xml:space="preserve"> PAGE   \* MERGEFORMAT </w:instrText>
    </w:r>
    <w:r w:rsidRPr="00B23A5E">
      <w:rPr>
        <w:rStyle w:val="PageNumber"/>
        <w:color w:val="22413A"/>
        <w:sz w:val="24"/>
      </w:rPr>
      <w:fldChar w:fldCharType="separate"/>
    </w:r>
    <w:r w:rsidRPr="00B23A5E">
      <w:rPr>
        <w:rStyle w:val="PageNumber"/>
        <w:noProof/>
        <w:color w:val="22413A"/>
        <w:sz w:val="24"/>
      </w:rPr>
      <w:t>1</w:t>
    </w:r>
    <w:r w:rsidRPr="00B23A5E">
      <w:rPr>
        <w:rStyle w:val="PageNumber"/>
        <w:noProof/>
        <w:color w:val="22413A"/>
        <w:sz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61DDC" w14:textId="77777777" w:rsidR="00B821BE" w:rsidRPr="005E0344" w:rsidRDefault="00B821BE" w:rsidP="005E0344">
      <w:pPr>
        <w:spacing w:after="120"/>
        <w:rPr>
          <w:color w:val="000000" w:themeColor="text2"/>
        </w:rPr>
      </w:pPr>
      <w:r w:rsidRPr="005E0344">
        <w:rPr>
          <w:color w:val="000000" w:themeColor="text2"/>
        </w:rPr>
        <w:separator/>
      </w:r>
    </w:p>
  </w:footnote>
  <w:footnote w:type="continuationSeparator" w:id="0">
    <w:p w14:paraId="413BBB6C" w14:textId="77777777" w:rsidR="00B821BE" w:rsidRPr="005E0344" w:rsidRDefault="00B821BE" w:rsidP="0090581D">
      <w:pPr>
        <w:spacing w:after="120"/>
        <w:rPr>
          <w:color w:val="000000" w:themeColor="text2"/>
        </w:rPr>
      </w:pPr>
      <w:r w:rsidRPr="005E0344">
        <w:rPr>
          <w:color w:val="000000" w:themeColor="text2"/>
        </w:rPr>
        <w:continuationSeparator/>
      </w:r>
    </w:p>
    <w:p w14:paraId="2B91EB1D" w14:textId="77777777" w:rsidR="00B821BE" w:rsidRDefault="00B821BE"/>
  </w:footnote>
  <w:footnote w:type="continuationNotice" w:id="1">
    <w:p w14:paraId="3F2DCBB5" w14:textId="77777777" w:rsidR="00B821BE" w:rsidRDefault="00B821BE">
      <w:pPr>
        <w:spacing w:after="0"/>
      </w:pPr>
    </w:p>
    <w:p w14:paraId="5AECB8E4" w14:textId="77777777" w:rsidR="00B821BE" w:rsidRDefault="00B821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35CE5" w14:textId="77777777" w:rsidR="00084ABE" w:rsidRDefault="00084ABE" w:rsidP="00084ABE">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88BC" w14:textId="77777777" w:rsidR="00267815" w:rsidRPr="00267815" w:rsidRDefault="00267815"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A3E0" w14:textId="77777777" w:rsidR="00CE6198" w:rsidRDefault="00CE6198" w:rsidP="00091EEA">
    <w:pPr>
      <w:pStyle w:val="Header"/>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6B0B5B7C" w:rsidR="00177666" w:rsidRPr="00196ADB" w:rsidRDefault="00000000"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Content>
        <w:r w:rsidR="0009220F">
          <w:rPr>
            <w:sz w:val="20"/>
            <w:szCs w:val="24"/>
          </w:rPr>
          <w:t>LC35 – Decommissioning</w:t>
        </w:r>
      </w:sdtContent>
    </w:sdt>
    <w:r w:rsidR="004E3932" w:rsidRPr="00196ADB">
      <w:rPr>
        <w:sz w:val="20"/>
        <w:szCs w:val="24"/>
      </w:rPr>
      <w:t xml:space="preserve"> | Issue: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FF2133">
          <w:rPr>
            <w:sz w:val="20"/>
            <w:szCs w:val="24"/>
          </w:rPr>
          <w:t>7.1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DE5AE2"/>
    <w:multiLevelType w:val="hybridMultilevel"/>
    <w:tmpl w:val="C3A4251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306D14A2"/>
    <w:multiLevelType w:val="multilevel"/>
    <w:tmpl w:val="4E6E5B6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DD547F5"/>
    <w:multiLevelType w:val="hybridMultilevel"/>
    <w:tmpl w:val="26E8E1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4E83E54"/>
    <w:multiLevelType w:val="hybridMultilevel"/>
    <w:tmpl w:val="3782F012"/>
    <w:lvl w:ilvl="0" w:tplc="74E88C3A">
      <w:start w:val="1"/>
      <w:numFmt w:val="decimal"/>
      <w:pStyle w:val="F9-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5F46359"/>
    <w:multiLevelType w:val="hybridMultilevel"/>
    <w:tmpl w:val="34E6CB8E"/>
    <w:lvl w:ilvl="0" w:tplc="8396A116">
      <w:start w:val="1"/>
      <w:numFmt w:val="bullet"/>
      <w:pStyle w:val="Bulletlist1"/>
      <w:lvlText w:val=""/>
      <w:lvlJc w:val="left"/>
      <w:pPr>
        <w:ind w:left="360" w:hanging="360"/>
      </w:pPr>
      <w:rPr>
        <w:rFonts w:ascii="Symbol" w:hAnsi="Symbol" w:hint="default"/>
        <w:strike w:val="0"/>
        <w:dstrike w:val="0"/>
        <w:color w:val="07716C" w:themeColor="accent1"/>
        <w:sz w:val="24"/>
      </w:rPr>
    </w:lvl>
    <w:lvl w:ilvl="1" w:tplc="AE78E28A">
      <w:start w:val="1"/>
      <w:numFmt w:val="bullet"/>
      <w:pStyle w:val="Bulletlist2"/>
      <w:lvlText w:val="o"/>
      <w:lvlJc w:val="left"/>
      <w:pPr>
        <w:ind w:left="1440" w:hanging="360"/>
      </w:pPr>
      <w:rPr>
        <w:rFonts w:ascii="Courier New" w:hAnsi="Courier New" w:cs="Courier New" w:hint="default"/>
      </w:rPr>
    </w:lvl>
    <w:lvl w:ilvl="2" w:tplc="6730F43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5146277">
    <w:abstractNumId w:val="6"/>
  </w:num>
  <w:num w:numId="2" w16cid:durableId="802893121">
    <w:abstractNumId w:val="5"/>
  </w:num>
  <w:num w:numId="3" w16cid:durableId="874538197">
    <w:abstractNumId w:val="1"/>
  </w:num>
  <w:num w:numId="4" w16cid:durableId="832574242">
    <w:abstractNumId w:val="4"/>
  </w:num>
  <w:num w:numId="5" w16cid:durableId="1391732823">
    <w:abstractNumId w:val="3"/>
  </w:num>
  <w:num w:numId="6" w16cid:durableId="1471705119">
    <w:abstractNumId w:val="0"/>
  </w:num>
  <w:num w:numId="7" w16cid:durableId="14352777">
    <w:abstractNumId w:val="2"/>
  </w:num>
  <w:num w:numId="8" w16cid:durableId="539048428">
    <w:abstractNumId w:val="3"/>
    <w:lvlOverride w:ilvl="0">
      <w:startOverride w:val="1"/>
    </w:lvlOverride>
  </w:num>
  <w:num w:numId="9" w16cid:durableId="772169338">
    <w:abstractNumId w:val="3"/>
    <w:lvlOverride w:ilvl="0">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04C16"/>
    <w:rsid w:val="00011177"/>
    <w:rsid w:val="00014814"/>
    <w:rsid w:val="00022033"/>
    <w:rsid w:val="00024522"/>
    <w:rsid w:val="00024B2E"/>
    <w:rsid w:val="00027F4F"/>
    <w:rsid w:val="00030430"/>
    <w:rsid w:val="0003078E"/>
    <w:rsid w:val="00031B89"/>
    <w:rsid w:val="0003693D"/>
    <w:rsid w:val="0004440F"/>
    <w:rsid w:val="00052C8A"/>
    <w:rsid w:val="000548C8"/>
    <w:rsid w:val="00055850"/>
    <w:rsid w:val="000612BF"/>
    <w:rsid w:val="00064A1B"/>
    <w:rsid w:val="00075605"/>
    <w:rsid w:val="00075C66"/>
    <w:rsid w:val="00076F40"/>
    <w:rsid w:val="000817D4"/>
    <w:rsid w:val="00082879"/>
    <w:rsid w:val="00084ABE"/>
    <w:rsid w:val="00091EEA"/>
    <w:rsid w:val="0009220F"/>
    <w:rsid w:val="0009225F"/>
    <w:rsid w:val="000A105C"/>
    <w:rsid w:val="000A6690"/>
    <w:rsid w:val="000C2DDC"/>
    <w:rsid w:val="000C5F5A"/>
    <w:rsid w:val="000D2FD4"/>
    <w:rsid w:val="000D3232"/>
    <w:rsid w:val="000E29DE"/>
    <w:rsid w:val="000F1B7B"/>
    <w:rsid w:val="000F2ED4"/>
    <w:rsid w:val="001028E8"/>
    <w:rsid w:val="00103043"/>
    <w:rsid w:val="00122FCC"/>
    <w:rsid w:val="00124C2B"/>
    <w:rsid w:val="00126752"/>
    <w:rsid w:val="00130B30"/>
    <w:rsid w:val="00140E1C"/>
    <w:rsid w:val="00147AE4"/>
    <w:rsid w:val="001571E5"/>
    <w:rsid w:val="00176B29"/>
    <w:rsid w:val="00176DB5"/>
    <w:rsid w:val="00177666"/>
    <w:rsid w:val="001849CA"/>
    <w:rsid w:val="00185410"/>
    <w:rsid w:val="00192352"/>
    <w:rsid w:val="00196ADB"/>
    <w:rsid w:val="001B4D5A"/>
    <w:rsid w:val="001C2394"/>
    <w:rsid w:val="001C4D63"/>
    <w:rsid w:val="001C7603"/>
    <w:rsid w:val="001D0DE0"/>
    <w:rsid w:val="001D5AFF"/>
    <w:rsid w:val="001D74B4"/>
    <w:rsid w:val="001E03E1"/>
    <w:rsid w:val="001F059F"/>
    <w:rsid w:val="00200811"/>
    <w:rsid w:val="00200CA1"/>
    <w:rsid w:val="002042C2"/>
    <w:rsid w:val="0021338D"/>
    <w:rsid w:val="00214D43"/>
    <w:rsid w:val="00223090"/>
    <w:rsid w:val="002238B4"/>
    <w:rsid w:val="00225BC2"/>
    <w:rsid w:val="00230EA0"/>
    <w:rsid w:val="002319AB"/>
    <w:rsid w:val="002319AC"/>
    <w:rsid w:val="00234342"/>
    <w:rsid w:val="0024040D"/>
    <w:rsid w:val="00251CD7"/>
    <w:rsid w:val="00255504"/>
    <w:rsid w:val="00255FA3"/>
    <w:rsid w:val="00257288"/>
    <w:rsid w:val="00261FB6"/>
    <w:rsid w:val="002629F8"/>
    <w:rsid w:val="00263396"/>
    <w:rsid w:val="002659FA"/>
    <w:rsid w:val="00267815"/>
    <w:rsid w:val="00280DDF"/>
    <w:rsid w:val="002917FF"/>
    <w:rsid w:val="00292ADF"/>
    <w:rsid w:val="00293FF1"/>
    <w:rsid w:val="00296DBB"/>
    <w:rsid w:val="002A0DEC"/>
    <w:rsid w:val="002B1C53"/>
    <w:rsid w:val="002B6666"/>
    <w:rsid w:val="002C298A"/>
    <w:rsid w:val="002E0BE4"/>
    <w:rsid w:val="002E3B58"/>
    <w:rsid w:val="002E3E8A"/>
    <w:rsid w:val="002E6A6A"/>
    <w:rsid w:val="002F3397"/>
    <w:rsid w:val="002F6E52"/>
    <w:rsid w:val="003008B4"/>
    <w:rsid w:val="0030380D"/>
    <w:rsid w:val="00312411"/>
    <w:rsid w:val="00323E71"/>
    <w:rsid w:val="00326F77"/>
    <w:rsid w:val="00330609"/>
    <w:rsid w:val="003401B0"/>
    <w:rsid w:val="00345D54"/>
    <w:rsid w:val="00346C8E"/>
    <w:rsid w:val="00351E13"/>
    <w:rsid w:val="00367B30"/>
    <w:rsid w:val="00367BD5"/>
    <w:rsid w:val="003826EC"/>
    <w:rsid w:val="00390327"/>
    <w:rsid w:val="00390B19"/>
    <w:rsid w:val="00393B78"/>
    <w:rsid w:val="00397B3B"/>
    <w:rsid w:val="003A01E9"/>
    <w:rsid w:val="003B0C9A"/>
    <w:rsid w:val="003B1A77"/>
    <w:rsid w:val="003C0306"/>
    <w:rsid w:val="003C114C"/>
    <w:rsid w:val="003C465D"/>
    <w:rsid w:val="003D0718"/>
    <w:rsid w:val="003D23E7"/>
    <w:rsid w:val="003D495D"/>
    <w:rsid w:val="003D5793"/>
    <w:rsid w:val="003E098E"/>
    <w:rsid w:val="003E2FAE"/>
    <w:rsid w:val="003E56EC"/>
    <w:rsid w:val="00407CF7"/>
    <w:rsid w:val="00415ED6"/>
    <w:rsid w:val="00417CAF"/>
    <w:rsid w:val="00420A11"/>
    <w:rsid w:val="00422265"/>
    <w:rsid w:val="00426559"/>
    <w:rsid w:val="004373A7"/>
    <w:rsid w:val="00437D94"/>
    <w:rsid w:val="0044030C"/>
    <w:rsid w:val="004648A4"/>
    <w:rsid w:val="00471380"/>
    <w:rsid w:val="004908F6"/>
    <w:rsid w:val="00494F0D"/>
    <w:rsid w:val="00496BFD"/>
    <w:rsid w:val="004A3DF2"/>
    <w:rsid w:val="004B71C4"/>
    <w:rsid w:val="004C0C1C"/>
    <w:rsid w:val="004C361D"/>
    <w:rsid w:val="004C4891"/>
    <w:rsid w:val="004D2C89"/>
    <w:rsid w:val="004E1CC5"/>
    <w:rsid w:val="004E3932"/>
    <w:rsid w:val="004F1E79"/>
    <w:rsid w:val="004F5F33"/>
    <w:rsid w:val="0050103A"/>
    <w:rsid w:val="00511B0F"/>
    <w:rsid w:val="005128A1"/>
    <w:rsid w:val="005260AB"/>
    <w:rsid w:val="0055388E"/>
    <w:rsid w:val="005754AE"/>
    <w:rsid w:val="00577FB5"/>
    <w:rsid w:val="005852D1"/>
    <w:rsid w:val="00587A22"/>
    <w:rsid w:val="00590349"/>
    <w:rsid w:val="0059299D"/>
    <w:rsid w:val="00595C8C"/>
    <w:rsid w:val="00597747"/>
    <w:rsid w:val="005A49B8"/>
    <w:rsid w:val="005A4CDD"/>
    <w:rsid w:val="005B57E4"/>
    <w:rsid w:val="005B5ABD"/>
    <w:rsid w:val="005C140A"/>
    <w:rsid w:val="005C1E52"/>
    <w:rsid w:val="005C3367"/>
    <w:rsid w:val="005C6763"/>
    <w:rsid w:val="005D3164"/>
    <w:rsid w:val="005E0344"/>
    <w:rsid w:val="005E440B"/>
    <w:rsid w:val="005F2C85"/>
    <w:rsid w:val="00605ADB"/>
    <w:rsid w:val="00611077"/>
    <w:rsid w:val="00611C9F"/>
    <w:rsid w:val="0062167A"/>
    <w:rsid w:val="006232C0"/>
    <w:rsid w:val="006248DE"/>
    <w:rsid w:val="00627555"/>
    <w:rsid w:val="006322A0"/>
    <w:rsid w:val="006361FD"/>
    <w:rsid w:val="00642113"/>
    <w:rsid w:val="0064226F"/>
    <w:rsid w:val="00642DDB"/>
    <w:rsid w:val="00653298"/>
    <w:rsid w:val="00661ACB"/>
    <w:rsid w:val="00663A7C"/>
    <w:rsid w:val="00667DF2"/>
    <w:rsid w:val="00670DF1"/>
    <w:rsid w:val="00671345"/>
    <w:rsid w:val="00672A9B"/>
    <w:rsid w:val="00675884"/>
    <w:rsid w:val="00696EE0"/>
    <w:rsid w:val="00697980"/>
    <w:rsid w:val="006A19EF"/>
    <w:rsid w:val="006A1E26"/>
    <w:rsid w:val="006A43D5"/>
    <w:rsid w:val="006A525B"/>
    <w:rsid w:val="006A7BB5"/>
    <w:rsid w:val="006C045F"/>
    <w:rsid w:val="006C4196"/>
    <w:rsid w:val="006C63B0"/>
    <w:rsid w:val="006C76A2"/>
    <w:rsid w:val="006C792E"/>
    <w:rsid w:val="006D0C4E"/>
    <w:rsid w:val="006D116C"/>
    <w:rsid w:val="006E5055"/>
    <w:rsid w:val="006E7C42"/>
    <w:rsid w:val="006F168A"/>
    <w:rsid w:val="006F5076"/>
    <w:rsid w:val="006F6009"/>
    <w:rsid w:val="006F7E5F"/>
    <w:rsid w:val="0070321D"/>
    <w:rsid w:val="007068BA"/>
    <w:rsid w:val="00716AB1"/>
    <w:rsid w:val="00721D63"/>
    <w:rsid w:val="00723B63"/>
    <w:rsid w:val="00724B2B"/>
    <w:rsid w:val="00732C7B"/>
    <w:rsid w:val="00734D2B"/>
    <w:rsid w:val="00737705"/>
    <w:rsid w:val="007408D4"/>
    <w:rsid w:val="007420AC"/>
    <w:rsid w:val="00742617"/>
    <w:rsid w:val="00761C0F"/>
    <w:rsid w:val="007662E4"/>
    <w:rsid w:val="00783AFA"/>
    <w:rsid w:val="00785427"/>
    <w:rsid w:val="00790540"/>
    <w:rsid w:val="007968CA"/>
    <w:rsid w:val="007A43FF"/>
    <w:rsid w:val="007A72FA"/>
    <w:rsid w:val="007B3918"/>
    <w:rsid w:val="007C180C"/>
    <w:rsid w:val="007C3C1D"/>
    <w:rsid w:val="007D199A"/>
    <w:rsid w:val="007D2EBE"/>
    <w:rsid w:val="007D40F1"/>
    <w:rsid w:val="007D5844"/>
    <w:rsid w:val="007E1C07"/>
    <w:rsid w:val="007F24B6"/>
    <w:rsid w:val="00803D94"/>
    <w:rsid w:val="00821337"/>
    <w:rsid w:val="008229BA"/>
    <w:rsid w:val="00824151"/>
    <w:rsid w:val="00845390"/>
    <w:rsid w:val="0084601B"/>
    <w:rsid w:val="00852694"/>
    <w:rsid w:val="008606F0"/>
    <w:rsid w:val="00865489"/>
    <w:rsid w:val="0086553D"/>
    <w:rsid w:val="00874FEB"/>
    <w:rsid w:val="00881B6F"/>
    <w:rsid w:val="00882AA4"/>
    <w:rsid w:val="00883E22"/>
    <w:rsid w:val="00884E43"/>
    <w:rsid w:val="00887EC6"/>
    <w:rsid w:val="0089084C"/>
    <w:rsid w:val="00893409"/>
    <w:rsid w:val="00893D9F"/>
    <w:rsid w:val="008A2379"/>
    <w:rsid w:val="008A4329"/>
    <w:rsid w:val="008A578E"/>
    <w:rsid w:val="008B015A"/>
    <w:rsid w:val="008B1519"/>
    <w:rsid w:val="008B5F2F"/>
    <w:rsid w:val="008B7BCC"/>
    <w:rsid w:val="008C048C"/>
    <w:rsid w:val="008C50C3"/>
    <w:rsid w:val="008C7094"/>
    <w:rsid w:val="008D2B97"/>
    <w:rsid w:val="008D49A5"/>
    <w:rsid w:val="008D6102"/>
    <w:rsid w:val="008D6C81"/>
    <w:rsid w:val="008E4E22"/>
    <w:rsid w:val="008E6CF0"/>
    <w:rsid w:val="008F1439"/>
    <w:rsid w:val="008F7051"/>
    <w:rsid w:val="009033A9"/>
    <w:rsid w:val="0090581D"/>
    <w:rsid w:val="0091439C"/>
    <w:rsid w:val="00920572"/>
    <w:rsid w:val="00920BF2"/>
    <w:rsid w:val="00930E37"/>
    <w:rsid w:val="009349A9"/>
    <w:rsid w:val="00936C52"/>
    <w:rsid w:val="009436C1"/>
    <w:rsid w:val="0095489B"/>
    <w:rsid w:val="00966FB9"/>
    <w:rsid w:val="009671CD"/>
    <w:rsid w:val="009751A9"/>
    <w:rsid w:val="00980F9C"/>
    <w:rsid w:val="00983CE6"/>
    <w:rsid w:val="0098632B"/>
    <w:rsid w:val="00997BFB"/>
    <w:rsid w:val="009A54A4"/>
    <w:rsid w:val="009A7348"/>
    <w:rsid w:val="009B462C"/>
    <w:rsid w:val="009C15F3"/>
    <w:rsid w:val="009C2276"/>
    <w:rsid w:val="009C3689"/>
    <w:rsid w:val="009E07C2"/>
    <w:rsid w:val="009E0E52"/>
    <w:rsid w:val="009F72F9"/>
    <w:rsid w:val="009F75B9"/>
    <w:rsid w:val="00A00205"/>
    <w:rsid w:val="00A00AF0"/>
    <w:rsid w:val="00A14B5A"/>
    <w:rsid w:val="00A3567F"/>
    <w:rsid w:val="00A37698"/>
    <w:rsid w:val="00A41ED3"/>
    <w:rsid w:val="00A43C36"/>
    <w:rsid w:val="00A47782"/>
    <w:rsid w:val="00A81D82"/>
    <w:rsid w:val="00A9118F"/>
    <w:rsid w:val="00A93E33"/>
    <w:rsid w:val="00AA034D"/>
    <w:rsid w:val="00AA238E"/>
    <w:rsid w:val="00AB3129"/>
    <w:rsid w:val="00AB6970"/>
    <w:rsid w:val="00AC1939"/>
    <w:rsid w:val="00AC7C05"/>
    <w:rsid w:val="00AD167C"/>
    <w:rsid w:val="00AD17C7"/>
    <w:rsid w:val="00AD4041"/>
    <w:rsid w:val="00AE302B"/>
    <w:rsid w:val="00AE689F"/>
    <w:rsid w:val="00AF4629"/>
    <w:rsid w:val="00B018EA"/>
    <w:rsid w:val="00B0248D"/>
    <w:rsid w:val="00B145AA"/>
    <w:rsid w:val="00B16BE5"/>
    <w:rsid w:val="00B23A5E"/>
    <w:rsid w:val="00B259DF"/>
    <w:rsid w:val="00B44B1F"/>
    <w:rsid w:val="00B51380"/>
    <w:rsid w:val="00B53D5C"/>
    <w:rsid w:val="00B61839"/>
    <w:rsid w:val="00B64141"/>
    <w:rsid w:val="00B64E72"/>
    <w:rsid w:val="00B711AF"/>
    <w:rsid w:val="00B7383C"/>
    <w:rsid w:val="00B77913"/>
    <w:rsid w:val="00B821BE"/>
    <w:rsid w:val="00B824FB"/>
    <w:rsid w:val="00B82646"/>
    <w:rsid w:val="00B97359"/>
    <w:rsid w:val="00B97A8F"/>
    <w:rsid w:val="00BA4E58"/>
    <w:rsid w:val="00BA7074"/>
    <w:rsid w:val="00BA7F86"/>
    <w:rsid w:val="00BB7829"/>
    <w:rsid w:val="00BD1457"/>
    <w:rsid w:val="00BE2AD9"/>
    <w:rsid w:val="00BE662E"/>
    <w:rsid w:val="00BF02F5"/>
    <w:rsid w:val="00BF0D32"/>
    <w:rsid w:val="00BF27FE"/>
    <w:rsid w:val="00C04325"/>
    <w:rsid w:val="00C043B3"/>
    <w:rsid w:val="00C05685"/>
    <w:rsid w:val="00C079AB"/>
    <w:rsid w:val="00C10E61"/>
    <w:rsid w:val="00C14787"/>
    <w:rsid w:val="00C1596D"/>
    <w:rsid w:val="00C15B8D"/>
    <w:rsid w:val="00C17010"/>
    <w:rsid w:val="00C20562"/>
    <w:rsid w:val="00C215C3"/>
    <w:rsid w:val="00C23A96"/>
    <w:rsid w:val="00C249C6"/>
    <w:rsid w:val="00C32CC1"/>
    <w:rsid w:val="00C426EC"/>
    <w:rsid w:val="00C52CB2"/>
    <w:rsid w:val="00C6483C"/>
    <w:rsid w:val="00C64AE9"/>
    <w:rsid w:val="00C70CFF"/>
    <w:rsid w:val="00C718FE"/>
    <w:rsid w:val="00C86CEC"/>
    <w:rsid w:val="00C8773D"/>
    <w:rsid w:val="00C87ABB"/>
    <w:rsid w:val="00C91831"/>
    <w:rsid w:val="00C91BEF"/>
    <w:rsid w:val="00C953DF"/>
    <w:rsid w:val="00C963E6"/>
    <w:rsid w:val="00CD4338"/>
    <w:rsid w:val="00CD5401"/>
    <w:rsid w:val="00CE2709"/>
    <w:rsid w:val="00CE2D64"/>
    <w:rsid w:val="00CE3271"/>
    <w:rsid w:val="00CE6198"/>
    <w:rsid w:val="00CE6CD6"/>
    <w:rsid w:val="00CE748E"/>
    <w:rsid w:val="00CE74B1"/>
    <w:rsid w:val="00CF6230"/>
    <w:rsid w:val="00D017FC"/>
    <w:rsid w:val="00D019C4"/>
    <w:rsid w:val="00D0226A"/>
    <w:rsid w:val="00D07C69"/>
    <w:rsid w:val="00D10AE2"/>
    <w:rsid w:val="00D13147"/>
    <w:rsid w:val="00D21FB2"/>
    <w:rsid w:val="00D463FF"/>
    <w:rsid w:val="00D50C3D"/>
    <w:rsid w:val="00D5715A"/>
    <w:rsid w:val="00D60BCB"/>
    <w:rsid w:val="00D70144"/>
    <w:rsid w:val="00D71687"/>
    <w:rsid w:val="00D74813"/>
    <w:rsid w:val="00DA30BC"/>
    <w:rsid w:val="00DA69C2"/>
    <w:rsid w:val="00DA6D70"/>
    <w:rsid w:val="00DB6050"/>
    <w:rsid w:val="00DC2C34"/>
    <w:rsid w:val="00DE2C87"/>
    <w:rsid w:val="00DE459A"/>
    <w:rsid w:val="00DF27DA"/>
    <w:rsid w:val="00DF4DBE"/>
    <w:rsid w:val="00E04496"/>
    <w:rsid w:val="00E40820"/>
    <w:rsid w:val="00E4658F"/>
    <w:rsid w:val="00E54A67"/>
    <w:rsid w:val="00E603B3"/>
    <w:rsid w:val="00E607CD"/>
    <w:rsid w:val="00E61C0D"/>
    <w:rsid w:val="00E63EB4"/>
    <w:rsid w:val="00E66160"/>
    <w:rsid w:val="00E71329"/>
    <w:rsid w:val="00E74FE0"/>
    <w:rsid w:val="00E8363B"/>
    <w:rsid w:val="00E84966"/>
    <w:rsid w:val="00E92383"/>
    <w:rsid w:val="00EA1B3A"/>
    <w:rsid w:val="00EA2109"/>
    <w:rsid w:val="00EA72A9"/>
    <w:rsid w:val="00EB057A"/>
    <w:rsid w:val="00EB6ECB"/>
    <w:rsid w:val="00EC4262"/>
    <w:rsid w:val="00ED3B76"/>
    <w:rsid w:val="00ED4D4E"/>
    <w:rsid w:val="00ED5438"/>
    <w:rsid w:val="00EE0C77"/>
    <w:rsid w:val="00EE4E54"/>
    <w:rsid w:val="00EF4334"/>
    <w:rsid w:val="00F436BB"/>
    <w:rsid w:val="00F47145"/>
    <w:rsid w:val="00F545BF"/>
    <w:rsid w:val="00F57D02"/>
    <w:rsid w:val="00F71B56"/>
    <w:rsid w:val="00F832C8"/>
    <w:rsid w:val="00F850AC"/>
    <w:rsid w:val="00F873B3"/>
    <w:rsid w:val="00FA00BE"/>
    <w:rsid w:val="00FA33FE"/>
    <w:rsid w:val="00FA42B9"/>
    <w:rsid w:val="00FA613A"/>
    <w:rsid w:val="00FA755A"/>
    <w:rsid w:val="00FB2B0F"/>
    <w:rsid w:val="00FB4F6B"/>
    <w:rsid w:val="00FB5FE1"/>
    <w:rsid w:val="00FB6A35"/>
    <w:rsid w:val="00FC0E8D"/>
    <w:rsid w:val="00FC46EF"/>
    <w:rsid w:val="00FD31B3"/>
    <w:rsid w:val="00FD3429"/>
    <w:rsid w:val="00FD4204"/>
    <w:rsid w:val="00FF2133"/>
    <w:rsid w:val="00FF35E9"/>
    <w:rsid w:val="00FF392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076F40"/>
    <w:pPr>
      <w:keepNext/>
      <w:numPr>
        <w:numId w:val="3"/>
      </w:numPr>
      <w:spacing w:before="240"/>
      <w:ind w:left="851" w:hanging="851"/>
      <w:outlineLvl w:val="0"/>
    </w:pPr>
    <w:rPr>
      <w:color w:val="22413A"/>
      <w:sz w:val="48"/>
    </w:rPr>
  </w:style>
  <w:style w:type="paragraph" w:styleId="Heading2">
    <w:name w:val="heading 2"/>
    <w:basedOn w:val="Normal"/>
    <w:next w:val="Normal"/>
    <w:link w:val="Heading2Char"/>
    <w:qFormat/>
    <w:rsid w:val="007D40F1"/>
    <w:pPr>
      <w:keepNext/>
      <w:numPr>
        <w:ilvl w:val="1"/>
        <w:numId w:val="3"/>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7D40F1"/>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076F4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7D40F1"/>
    <w:pPr>
      <w:numPr>
        <w:numId w:val="1"/>
      </w:numPr>
      <w:spacing w:before="240" w:after="120"/>
      <w:ind w:left="1276" w:hanging="357"/>
    </w:pPr>
    <w:rPr>
      <w:bCs/>
    </w:rPr>
  </w:style>
  <w:style w:type="paragraph" w:customStyle="1" w:styleId="Bulletlist2">
    <w:name w:val="Bullet list 2"/>
    <w:basedOn w:val="Bulletlist1"/>
    <w:uiPriority w:val="1"/>
    <w:qFormat/>
    <w:rsid w:val="00B23A5E"/>
    <w:pPr>
      <w:numPr>
        <w:ilvl w:val="1"/>
      </w:numPr>
      <w:ind w:left="1560"/>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B23A5E"/>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B23A5E"/>
    <w:pPr>
      <w:numPr>
        <w:numId w:val="4"/>
      </w:numPr>
      <w:ind w:left="1276" w:hanging="283"/>
    </w:pPr>
    <w:rPr>
      <w:rFonts w:asciiTheme="minorHAnsi" w:eastAsiaTheme="minorHAnsi" w:hAnsiTheme="minorHAnsi" w:cstheme="minorBidi"/>
      <w:bCs/>
      <w:lang w:bidi="ar-SA"/>
    </w:rPr>
  </w:style>
  <w:style w:type="paragraph" w:customStyle="1" w:styleId="NumList2">
    <w:name w:val="Num List 2"/>
    <w:basedOn w:val="Normal"/>
    <w:uiPriority w:val="1"/>
    <w:qFormat/>
    <w:rsid w:val="00B23A5E"/>
    <w:pPr>
      <w:numPr>
        <w:ilvl w:val="1"/>
        <w:numId w:val="2"/>
      </w:numPr>
      <w:ind w:left="1276" w:hanging="425"/>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B23A5E"/>
    <w:pPr>
      <w:numPr>
        <w:ilvl w:val="2"/>
      </w:numPr>
      <w:ind w:left="1985"/>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076F40"/>
    <w:pPr>
      <w:numPr>
        <w:numId w:val="5"/>
      </w:numPr>
      <w:spacing w:before="240" w:after="120"/>
      <w:ind w:left="851" w:hanging="851"/>
      <w:contextualSpacing w:val="0"/>
    </w:pPr>
  </w:style>
  <w:style w:type="character" w:customStyle="1" w:styleId="F9-ParagraphChar">
    <w:name w:val="F9 - # Paragraph Char"/>
    <w:basedOn w:val="DefaultParagraphFont"/>
    <w:link w:val="F9-Paragraph"/>
    <w:rsid w:val="00076F40"/>
    <w:rPr>
      <w:rFonts w:ascii="Arial" w:hAnsi="Arial"/>
      <w:sz w:val="24"/>
      <w:szCs w:val="22"/>
      <w:lang w:eastAsia="en-US" w:bidi="he-IL"/>
    </w:rPr>
  </w:style>
  <w:style w:type="paragraph" w:styleId="NormalWeb">
    <w:name w:val="Normal (Web)"/>
    <w:basedOn w:val="Normal"/>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qFormat/>
    <w:rsid w:val="00FA00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2480815">
      <w:bodyDiv w:val="1"/>
      <w:marLeft w:val="0"/>
      <w:marRight w:val="0"/>
      <w:marTop w:val="0"/>
      <w:marBottom w:val="0"/>
      <w:divBdr>
        <w:top w:val="none" w:sz="0" w:space="0" w:color="auto"/>
        <w:left w:val="none" w:sz="0" w:space="0" w:color="auto"/>
        <w:bottom w:val="none" w:sz="0" w:space="0" w:color="auto"/>
        <w:right w:val="none" w:sz="0" w:space="0" w:color="auto"/>
      </w:divBdr>
    </w:div>
    <w:div w:id="118576916">
      <w:bodyDiv w:val="1"/>
      <w:marLeft w:val="0"/>
      <w:marRight w:val="0"/>
      <w:marTop w:val="0"/>
      <w:marBottom w:val="0"/>
      <w:divBdr>
        <w:top w:val="none" w:sz="0" w:space="0" w:color="auto"/>
        <w:left w:val="none" w:sz="0" w:space="0" w:color="auto"/>
        <w:bottom w:val="none" w:sz="0" w:space="0" w:color="auto"/>
        <w:right w:val="none" w:sz="0" w:space="0" w:color="auto"/>
      </w:divBdr>
    </w:div>
    <w:div w:id="176578857">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51009536">
      <w:bodyDiv w:val="1"/>
      <w:marLeft w:val="0"/>
      <w:marRight w:val="0"/>
      <w:marTop w:val="0"/>
      <w:marBottom w:val="0"/>
      <w:divBdr>
        <w:top w:val="none" w:sz="0" w:space="0" w:color="auto"/>
        <w:left w:val="none" w:sz="0" w:space="0" w:color="auto"/>
        <w:bottom w:val="none" w:sz="0" w:space="0" w:color="auto"/>
        <w:right w:val="none" w:sz="0" w:space="0" w:color="auto"/>
      </w:divBdr>
    </w:div>
    <w:div w:id="309481281">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1694338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671761285">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33461391">
      <w:bodyDiv w:val="1"/>
      <w:marLeft w:val="0"/>
      <w:marRight w:val="0"/>
      <w:marTop w:val="0"/>
      <w:marBottom w:val="0"/>
      <w:divBdr>
        <w:top w:val="none" w:sz="0" w:space="0" w:color="auto"/>
        <w:left w:val="none" w:sz="0" w:space="0" w:color="auto"/>
        <w:bottom w:val="none" w:sz="0" w:space="0" w:color="auto"/>
        <w:right w:val="none" w:sz="0" w:space="0" w:color="auto"/>
      </w:divBdr>
    </w:div>
    <w:div w:id="112160917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97279566">
      <w:bodyDiv w:val="1"/>
      <w:marLeft w:val="0"/>
      <w:marRight w:val="0"/>
      <w:marTop w:val="0"/>
      <w:marBottom w:val="0"/>
      <w:divBdr>
        <w:top w:val="none" w:sz="0" w:space="0" w:color="auto"/>
        <w:left w:val="none" w:sz="0" w:space="0" w:color="auto"/>
        <w:bottom w:val="none" w:sz="0" w:space="0" w:color="auto"/>
        <w:right w:val="none" w:sz="0" w:space="0" w:color="auto"/>
      </w:divBdr>
    </w:div>
    <w:div w:id="1300651076">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702242531">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4599183">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footnotes" Target="footnotes.xml"/><Relationship Id="rId18" Type="http://schemas.openxmlformats.org/officeDocument/2006/relationships/header" Target="header2.xml"/><Relationship Id="rId26" Type="http://schemas.openxmlformats.org/officeDocument/2006/relationships/footer" Target="footer5.xml"/><Relationship Id="rId3" Type="http://schemas.openxmlformats.org/officeDocument/2006/relationships/customXml" Target="../customXml/item2.xml"/><Relationship Id="rId21" Type="http://schemas.openxmlformats.org/officeDocument/2006/relationships/header" Target="header4.xm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footer" Target="footer1.xml"/><Relationship Id="rId25" Type="http://schemas.openxmlformats.org/officeDocument/2006/relationships/header" Target="header6.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24" Type="http://schemas.openxmlformats.org/officeDocument/2006/relationships/header" Target="header5.xml"/><Relationship Id="rId5" Type="http://schemas.openxmlformats.org/officeDocument/2006/relationships/customXml" Target="../customXml/item4.xml"/><Relationship Id="rId15" Type="http://schemas.openxmlformats.org/officeDocument/2006/relationships/image" Target="media/image1.png"/><Relationship Id="rId23" Type="http://schemas.openxmlformats.org/officeDocument/2006/relationships/footer" Target="footer4.xml"/><Relationship Id="rId28" Type="http://schemas.openxmlformats.org/officeDocument/2006/relationships/glossaryDocument" Target="glossary/document.xml"/><Relationship Id="rId10" Type="http://schemas.openxmlformats.org/officeDocument/2006/relationships/styles" Target="styles.xml"/><Relationship Id="rId19" Type="http://schemas.openxmlformats.org/officeDocument/2006/relationships/footer" Target="footer2.xm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4BFF33CE9ACF45B4BD9D9653F86AF5B6"/>
        <w:category>
          <w:name w:val="General"/>
          <w:gallery w:val="placeholder"/>
        </w:category>
        <w:types>
          <w:type w:val="bbPlcHdr"/>
        </w:types>
        <w:behaviors>
          <w:behavior w:val="content"/>
        </w:behaviors>
        <w:guid w:val="{7CD666C1-130E-4748-A724-97987CA52528}"/>
      </w:docPartPr>
      <w:docPartBody>
        <w:p w:rsidR="00EB73F1" w:rsidRDefault="00EB73F1" w:rsidP="00EB73F1">
          <w:pPr>
            <w:pStyle w:val="4BFF33CE9ACF45B4BD9D9653F86AF5B6"/>
          </w:pPr>
          <w:r w:rsidRPr="00812B14">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04701"/>
    <w:rsid w:val="000D6E9E"/>
    <w:rsid w:val="001101B7"/>
    <w:rsid w:val="00176DB5"/>
    <w:rsid w:val="00183F29"/>
    <w:rsid w:val="00191F9B"/>
    <w:rsid w:val="002550FD"/>
    <w:rsid w:val="00333F8E"/>
    <w:rsid w:val="00350199"/>
    <w:rsid w:val="003D5793"/>
    <w:rsid w:val="00426559"/>
    <w:rsid w:val="005A49B8"/>
    <w:rsid w:val="007154C5"/>
    <w:rsid w:val="00761C0F"/>
    <w:rsid w:val="00764F6F"/>
    <w:rsid w:val="0083336C"/>
    <w:rsid w:val="00835E07"/>
    <w:rsid w:val="008B5F2F"/>
    <w:rsid w:val="00963405"/>
    <w:rsid w:val="009A54A4"/>
    <w:rsid w:val="009E3B57"/>
    <w:rsid w:val="009E6880"/>
    <w:rsid w:val="00A009A6"/>
    <w:rsid w:val="00A657B0"/>
    <w:rsid w:val="00AE689F"/>
    <w:rsid w:val="00B711AF"/>
    <w:rsid w:val="00BA7F86"/>
    <w:rsid w:val="00BF0D32"/>
    <w:rsid w:val="00C17C1E"/>
    <w:rsid w:val="00C41BCC"/>
    <w:rsid w:val="00DD7BA4"/>
    <w:rsid w:val="00E27559"/>
    <w:rsid w:val="00E318CE"/>
    <w:rsid w:val="00E646E1"/>
    <w:rsid w:val="00EB0F01"/>
    <w:rsid w:val="00EB73F1"/>
    <w:rsid w:val="00ED5438"/>
    <w:rsid w:val="00F8439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73F1"/>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4BFF33CE9ACF45B4BD9D9653F86AF5B6">
    <w:name w:val="4BFF33CE9ACF45B4BD9D9653F86AF5B6"/>
    <w:rsid w:val="00EB73F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20" ma:contentTypeDescription="" ma:contentTypeScope="" ma:versionID="5b57e419ffb840abb95ac6618f3e3a8b">
  <xsd:schema xmlns:xsd="http://www.w3.org/2001/XMLSchema" xmlns:xs="http://www.w3.org/2001/XMLSchema" xmlns:p="http://schemas.microsoft.com/office/2006/metadata/properties" xmlns:ns2="8c4e2855-9588-4bc9-9890-af639bd565eb" xmlns:ns3="05350e14-297a-489c-ad04-faf6563b232c" xmlns:ns4="fbd4c4c3-96d4-4265-b68e-6a383a5dca66" targetNamespace="http://schemas.microsoft.com/office/2006/metadata/properties" ma:root="true" ma:fieldsID="f04dd8d70902c340475265b30303215b" ns2:_="" ns3:_="" ns4:_="">
    <xsd:import namespace="8c4e2855-9588-4bc9-9890-af639bd565eb"/>
    <xsd:import namespace="05350e14-297a-489c-ad04-faf6563b232c"/>
    <xsd:import namespace="fbd4c4c3-96d4-4265-b68e-6a383a5dca66"/>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element ref="ns3:TaxKeywordTaxHTField" minOccurs="0"/>
                <xsd:element ref="ns3:TaxCatchAll" minOccurs="0"/>
                <xsd:element ref="ns4:dd2817321d504f1caee75a1112d299d4" minOccurs="0"/>
                <xsd:element ref="ns4:PCR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union memberTypes="dms:Text">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un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union memberTypes="dms:Text">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Technical Director"/>
            </xsd:restriction>
          </xsd:simpleType>
        </xsd:un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rporate Security Manager"/>
              <xsd:enumeration value="Data Protection Compliance Lead"/>
              <xsd:enumeration value="Deputy Director of Regulation (TD)"/>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Privat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ory Policy and Standards"/>
              <xsd:enumeration value="Head of Risk and Assurance"/>
              <xsd:enumeration value="HoR - Advanced Nuclear Technologies (ANTs) and Holtec SMR-300 GDA"/>
              <xsd:enumeration value="HoR - Emergency Preparedness and Response"/>
              <xsd:enumeration value="HoR - Rolls-Royce SMR (GDA)"/>
              <xsd:enumeration value="HoR - Transport Competent Authority (TCA)"/>
              <xsd:enumeration value="HoR - Sellafield Compliance Intelligence and Enforcement"/>
              <xsd:enumeration value="HoR - Sellafield Project Delivery"/>
              <xsd:enumeration value="HoR - Sellafield Decommissioning"/>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SW Manager"/>
              <xsd:enumeration value="Information Management Manage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TaxKeywordTaxHTField" ma:index="30"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31" nillable="true" ma:displayName="Taxonomy Catch All Column" ma:hidden="true" ma:list="{85a4ca9d-4aea-456d-868e-8e20a97dbaed}" ma:internalName="TaxCatchAll" ma:showField="CatchAllData" ma:web="05350e14-297a-489c-ad04-faf6563b23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d4c4c3-96d4-4265-b68e-6a383a5dca66" elementFormDefault="qualified">
    <xsd:import namespace="http://schemas.microsoft.com/office/2006/documentManagement/types"/>
    <xsd:import namespace="http://schemas.microsoft.com/office/infopath/2007/PartnerControls"/>
    <xsd:element name="dd2817321d504f1caee75a1112d299d4" ma:index="33" nillable="true" ma:taxonomy="true" ma:internalName="dd2817321d504f1caee75a1112d299d4" ma:taxonomyFieldName="Topic" ma:displayName="Topic" ma:default="" ma:fieldId="{dd281732-1d50-4f1c-aee7-5a1112d299d4}" ma:taxonomyMulti="true" ma:sspId="66693000-3e12-4b44-a742-9a2ba35b7d28" ma:termSetId="7b4e1cbc-bd02-4183-9474-8a15f7a1216f" ma:anchorId="00000000-0000-0000-0000-000000000000" ma:open="false" ma:isKeyword="false">
      <xsd:complexType>
        <xsd:sequence>
          <xsd:element ref="pc:Terms" minOccurs="0" maxOccurs="1"/>
        </xsd:sequence>
      </xsd:complexType>
    </xsd:element>
    <xsd:element name="PCR_x003f_" ma:index="34" nillable="true" ma:displayName="PCR?" ma:default="0" ma:description="Document forms part of the Policy Compliance Report for ARAC." ma:format="Dropdown" ma:internalName="PCR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IEEE2006OfficeOnline.xsl" StyleName="IEEE" Version="2006">
  <b:Source>
    <b:Tag>ONR2</b:Tag>
    <b:SourceType>DocumentFromInternetSite</b:SourceType>
    <b:Guid>{FE6E47C9-41DD-4D86-855A-D3C19AFA070E}</b:Guid>
    <b:Author>
      <b:Author>
        <b:Corporate>ONR</b:Corporate>
      </b:Author>
    </b:Author>
    <b:Title>ONR-RD-POL-002 - Risk Informed and Targeted Engagements</b:Title>
    <b:URL>To ONR staff via HOW2 Hub (Internal ONR system)</b:URL>
    <b:RefOrder>1</b:RefOrder>
  </b:Source>
  <b:Source>
    <b:Tag>ONR35</b:Tag>
    <b:SourceType>JournalArticle</b:SourceType>
    <b:Guid>{AAB2E62A-70C8-447B-BAB2-5BFABF024175}</b:Guid>
    <b:Author>
      <b:Author>
        <b:NameList>
          <b:Person>
            <b:Last>ONR</b:Last>
          </b:Person>
        </b:NameList>
      </b:Author>
    </b:Author>
    <b:Title>NS-TAST-GD-026 - Decommissioning</b:Title>
    <b:RefOrder>2</b:RefOrder>
  </b:Source>
  <b:Source>
    <b:Tag>ON</b:Tag>
    <b:SourceType>JournalArticle</b:SourceType>
    <b:Guid>{9BA160B1-EC0D-49C1-8C26-590750A29078}</b:Guid>
    <b:Author>
      <b:Author>
        <b:NameList>
          <b:Person>
            <b:Last>ONR</b:Last>
          </b:Person>
        </b:NameList>
      </b:Author>
    </b:Author>
    <b:Title>Safety Assessment Principles for Nuclear Facilities, ONR, 2014</b:Title>
    <b:RefOrder>3</b:RefOrder>
  </b:Source>
  <b:Source>
    <b:Tag>ONR117</b:Tag>
    <b:SourceType>ElectronicSource</b:SourceType>
    <b:Guid>{C6BB74D6-55B1-4EC5-AAD3-FF9BF7349D4F}</b:Guid>
    <b:Title>NS-TAST-GD-024 - Management of Radioactive Material and Radioactive Waste on Nuclear Licensed Sites</b:Title>
    <b:Author>
      <b:Author>
        <b:Corporate>ONR</b:Corporate>
      </b:Author>
    </b:Author>
    <b:RefOrder>4</b:RefOrder>
  </b:Source>
  <b:Source>
    <b:Tag>ONR2118</b:Tag>
    <b:SourceType>DocumentFromInternetSite</b:SourceType>
    <b:Guid>{407C3AA9-035C-47DF-A4C9-4FD5E814CB95}</b:Guid>
    <b:Author>
      <b:Author>
        <b:Corporate>ONR</b:Corporate>
      </b:Author>
    </b:Author>
    <b:Title>The management of higher activity radioactive waste on nuclear licensed sites</b:Title>
    <b:Year>2021</b:Year>
    <b:Month>July</b:Month>
    <b:URL>https://www.onr.org.uk/wastemanage/waste-management-joint-guidance.pdf</b:URL>
    <b:RefOrder>5</b:RefOrder>
  </b:Source>
  <b:Source>
    <b:Tag>105</b:Tag>
    <b:SourceType>JournalArticle</b:SourceType>
    <b:Guid>{52A8706D-E9D2-4D2B-A4B6-1CCD5332F70D}</b:Guid>
    <b:Author>
      <b:Author>
        <b:NameList>
          <b:Person>
            <b:Last>ONR</b:Last>
          </b:Person>
        </b:NameList>
      </b:Author>
    </b:Author>
    <b:Title>NS-TAST-GD-105 - The Assessment of Environmental Impact Assessment (EIA) Decommissioning Regulation Submissions</b:Title>
    <b:RefOrder>4</b:RefOrder>
  </b:Source>
</b:Sourc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TaxKeywordTaxHTField xmlns="05350e14-297a-489c-ad04-faf6563b232c">
      <Terms xmlns="http://schemas.microsoft.com/office/infopath/2007/PartnerControls">
        <TermInfo xmlns="http://schemas.microsoft.com/office/infopath/2007/PartnerControls">
          <TermName xmlns="http://schemas.microsoft.com/office/infopath/2007/PartnerControls">[Key words separated by commas]</TermName>
          <TermId xmlns="http://schemas.microsoft.com/office/infopath/2007/PartnerControls">f43e2310-82d5-44d8-a731-b695dd9d1339</TermId>
        </TermInfo>
      </Terms>
    </TaxKeywordTaxHTField>
    <PolicyPortalDocRef xmlns="8c4e2855-9588-4bc9-9890-af639bd565eb" xsi:nil="true"/>
    <PolicyPortalDocType xmlns="8c4e2855-9588-4bc9-9890-af639bd565eb" xsi:nil="true"/>
    <PolicyPortalIssueDate xmlns="8c4e2855-9588-4bc9-9890-af639bd565eb" xsi:nil="true"/>
    <PolicyPortalIssueNo xmlns="8c4e2855-9588-4bc9-9890-af639bd565eb" xsi:nil="true"/>
    <PolicyPortalOldDocRef xmlns="8c4e2855-9588-4bc9-9890-af639bd565eb" xsi:nil="true"/>
    <PolicyPortalOldRecordRef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TaxCatchAll xmlns="05350e14-297a-489c-ad04-faf6563b232c"/>
    <dd2817321d504f1caee75a1112d299d4 xmlns="fbd4c4c3-96d4-4265-b68e-6a383a5dca66">
      <Terms xmlns="http://schemas.microsoft.com/office/infopath/2007/PartnerControls"/>
    </dd2817321d504f1caee75a1112d299d4>
    <PolicyPortalReviewDate xmlns="8c4e2855-9588-4bc9-9890-af639bd565eb" xsi:nil="true"/>
    <PCR_x003f_ xmlns="fbd4c4c3-96d4-4265-b68e-6a383a5dca66">false</PCR_x003f_>
    <PolicyPortalIssueHistoryComments xmlns="8c4e2855-9588-4bc9-9890-af639bd565eb"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SharedContentType xmlns="Microsoft.SharePoint.Taxonomy.ContentTypeSync" SourceId="66693000-3e12-4b44-a742-9a2ba35b7d28" ContentTypeId="0x0101000C70A82DFAAC384DB9F6EBA2C8B87C57" PreviousValue="false"/>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8CA5DC8-158E-4481-90CD-67448B752C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fbd4c4c3-96d4-4265-b68e-6a383a5dc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A2A14D-0797-4239-83CD-55864CCB8293}">
  <ds:schemaRefs>
    <ds:schemaRef ds:uri="http://schemas.openxmlformats.org/officeDocument/2006/bibliography"/>
  </ds:schemaRefs>
</ds:datastoreItem>
</file>

<file path=customXml/itemProps4.xml><?xml version="1.0" encoding="utf-8"?>
<ds:datastoreItem xmlns:ds="http://schemas.openxmlformats.org/officeDocument/2006/customXml" ds:itemID="{8D22D2C3-0647-4775-99DE-D51655502E22}">
  <ds:schemaRefs>
    <ds:schemaRef ds:uri="http://schemas.microsoft.com/sharepoint/events"/>
  </ds:schemaRefs>
</ds:datastoreItem>
</file>

<file path=customXml/itemProps5.xml><?xml version="1.0" encoding="utf-8"?>
<ds:datastoreItem xmlns:ds="http://schemas.openxmlformats.org/officeDocument/2006/customXml" ds:itemID="{302464A8-7BA5-4131-8D06-4B18A77BE91D}">
  <ds:schemaRefs>
    <ds:schemaRef ds:uri="http://schemas.microsoft.com/office/2006/metadata/properties"/>
    <ds:schemaRef ds:uri="http://schemas.microsoft.com/office/infopath/2007/PartnerControls"/>
    <ds:schemaRef ds:uri="8c4e2855-9588-4bc9-9890-af639bd565eb"/>
    <ds:schemaRef ds:uri="05350e14-297a-489c-ad04-faf6563b232c"/>
    <ds:schemaRef ds:uri="fbd4c4c3-96d4-4265-b68e-6a383a5dca66"/>
  </ds:schemaRefs>
</ds:datastoreItem>
</file>

<file path=customXml/itemProps6.xml><?xml version="1.0" encoding="utf-8"?>
<ds:datastoreItem xmlns:ds="http://schemas.openxmlformats.org/officeDocument/2006/customXml" ds:itemID="{2F1E7696-64D0-4E76-BD09-5F47C27AB98C}">
  <ds:schemaRefs>
    <ds:schemaRef ds:uri="http://schemas.microsoft.com/sharepoint/v3/contenttype/forms"/>
  </ds:schemaRefs>
</ds:datastoreItem>
</file>

<file path=customXml/itemProps7.xml><?xml version="1.0" encoding="utf-8"?>
<ds:datastoreItem xmlns:ds="http://schemas.openxmlformats.org/officeDocument/2006/customXml" ds:itemID="{39F6E29E-4D6C-4FE1-A4DB-1CD1F83F906D}">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20</Pages>
  <Words>4744</Words>
  <Characters>27047</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Office for Nuclear Regulation</Company>
  <LinksUpToDate>false</LinksUpToDate>
  <CharactersWithSpaces>31728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LC35 – Decommissioning</dc:title>
  <dc:subject>[Subtitle or description]</dc:subject>
  <cp:keywords>[Key words separated by commas]</cp:keywords>
  <dc:description/>
  <cp:revision>3</cp:revision>
  <cp:lastPrinted>2016-11-28T11:35:00Z</cp:lastPrinted>
  <dcterms:created xsi:type="dcterms:W3CDTF">2026-05-05T12:12:00Z</dcterms:created>
  <dcterms:modified xsi:type="dcterms:W3CDTF">2026-05-05T12:12:00Z</dcterms:modified>
  <cp:contentStatus>7.1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ies>
</file>