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0F2531" w14:paraId="6FF9A0F4" w14:textId="77777777" w:rsidTr="005037E4">
        <w:trPr>
          <w:trHeight w:hRule="exact" w:val="3170"/>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0F2531" w:rsidRDefault="00595C8C" w:rsidP="00595C8C">
            <w:pPr>
              <w:pStyle w:val="InnerCoverTitle"/>
              <w:rPr>
                <w:sz w:val="36"/>
                <w:szCs w:val="36"/>
              </w:rPr>
            </w:pPr>
            <w:r w:rsidRPr="000F2531">
              <w:rPr>
                <w:sz w:val="36"/>
                <w:szCs w:val="36"/>
              </w:rPr>
              <w:t xml:space="preserve">ONR </w:t>
            </w:r>
            <w:r w:rsidR="00D60BCB" w:rsidRPr="000F2531">
              <w:rPr>
                <w:sz w:val="36"/>
                <w:szCs w:val="36"/>
              </w:rPr>
              <w:t>Technical Inspection Guide (TIG)</w:t>
            </w:r>
          </w:p>
          <w:sdt>
            <w:sdtPr>
              <w:rPr>
                <w:sz w:val="56"/>
                <w:szCs w:val="56"/>
              </w:rPr>
              <w:id w:val="1228188510"/>
              <w:placeholder>
                <w:docPart w:val="DefaultPlaceholder_-1854013440"/>
              </w:placeholder>
            </w:sdtPr>
            <w:sdtEndPr/>
            <w:sdtContent>
              <w:p w14:paraId="7C4EA414" w14:textId="7B2987C9" w:rsidR="00D0226A" w:rsidRPr="000F2531" w:rsidRDefault="00112CF8"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F2531" w:rsidRPr="005037E4">
                      <w:rPr>
                        <w:sz w:val="56"/>
                        <w:szCs w:val="56"/>
                      </w:rPr>
                      <w:t>LC</w:t>
                    </w:r>
                    <w:r w:rsidR="005037E4" w:rsidRPr="005037E4">
                      <w:rPr>
                        <w:sz w:val="56"/>
                        <w:szCs w:val="56"/>
                      </w:rPr>
                      <w:t xml:space="preserve"> </w:t>
                    </w:r>
                    <w:r w:rsidR="000F2531" w:rsidRPr="005037E4">
                      <w:rPr>
                        <w:sz w:val="56"/>
                        <w:szCs w:val="56"/>
                      </w:rPr>
                      <w:t xml:space="preserve">34 – Leakage and </w:t>
                    </w:r>
                    <w:r w:rsidR="005037E4" w:rsidRPr="005037E4">
                      <w:rPr>
                        <w:sz w:val="56"/>
                        <w:szCs w:val="56"/>
                      </w:rPr>
                      <w:t>e</w:t>
                    </w:r>
                    <w:r w:rsidR="000F2531" w:rsidRPr="005037E4">
                      <w:rPr>
                        <w:sz w:val="56"/>
                        <w:szCs w:val="56"/>
                      </w:rPr>
                      <w:t xml:space="preserve">scape of </w:t>
                    </w:r>
                    <w:r w:rsidR="005037E4" w:rsidRPr="005037E4">
                      <w:rPr>
                        <w:sz w:val="56"/>
                        <w:szCs w:val="56"/>
                      </w:rPr>
                      <w:t>r</w:t>
                    </w:r>
                    <w:r w:rsidR="000F2531" w:rsidRPr="005037E4">
                      <w:rPr>
                        <w:sz w:val="56"/>
                        <w:szCs w:val="56"/>
                      </w:rPr>
                      <w:t xml:space="preserve">adioactive </w:t>
                    </w:r>
                    <w:r w:rsidR="005037E4" w:rsidRPr="005037E4">
                      <w:rPr>
                        <w:sz w:val="56"/>
                        <w:szCs w:val="56"/>
                      </w:rPr>
                      <w:t>m</w:t>
                    </w:r>
                    <w:r w:rsidR="000F2531" w:rsidRPr="005037E4">
                      <w:rPr>
                        <w:sz w:val="56"/>
                        <w:szCs w:val="56"/>
                      </w:rPr>
                      <w:t xml:space="preserve">aterial and </w:t>
                    </w:r>
                    <w:r w:rsidR="005037E4" w:rsidRPr="005037E4">
                      <w:rPr>
                        <w:sz w:val="56"/>
                        <w:szCs w:val="56"/>
                      </w:rPr>
                      <w:t>r</w:t>
                    </w:r>
                    <w:r w:rsidR="000F2531" w:rsidRPr="005037E4">
                      <w:rPr>
                        <w:sz w:val="56"/>
                        <w:szCs w:val="56"/>
                      </w:rPr>
                      <w:t xml:space="preserve">adioactive </w:t>
                    </w:r>
                    <w:r w:rsidR="005037E4" w:rsidRPr="005037E4">
                      <w:rPr>
                        <w:sz w:val="56"/>
                        <w:szCs w:val="56"/>
                      </w:rPr>
                      <w:t>w</w:t>
                    </w:r>
                    <w:r w:rsidR="000F2531" w:rsidRPr="005037E4">
                      <w:rPr>
                        <w:sz w:val="56"/>
                        <w:szCs w:val="56"/>
                      </w:rPr>
                      <w:t>aste</w:t>
                    </w:r>
                  </w:sdtContent>
                </w:sdt>
              </w:p>
            </w:sdtContent>
          </w:sdt>
        </w:tc>
      </w:tr>
    </w:tbl>
    <w:p w14:paraId="56A09D10" w14:textId="77777777" w:rsidR="00D0226A" w:rsidRPr="000F2531" w:rsidRDefault="00D0226A">
      <w:pPr>
        <w:spacing w:after="0"/>
      </w:pPr>
    </w:p>
    <w:p w14:paraId="6AB6425B" w14:textId="77777777" w:rsidR="00D0226A" w:rsidRPr="000F2531"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0F2531" w:rsidRDefault="00267815">
      <w:pPr>
        <w:spacing w:after="0"/>
      </w:pPr>
      <w:r w:rsidRPr="000F2531">
        <w:br w:type="page"/>
      </w:r>
    </w:p>
    <w:p w14:paraId="1FDB4B56" w14:textId="6C10B266" w:rsidR="00595C8C" w:rsidRDefault="00595C8C" w:rsidP="00323E71">
      <w:pPr>
        <w:sectPr w:rsidR="00595C8C" w:rsidSect="005037E4">
          <w:headerReference w:type="default" r:id="rId16"/>
          <w:pgSz w:w="11906" w:h="16838" w:code="9"/>
          <w:pgMar w:top="1440" w:right="1440" w:bottom="1440" w:left="1440" w:header="397" w:footer="397" w:gutter="0"/>
          <w:cols w:space="312"/>
          <w:titlePg/>
          <w:docGrid w:linePitch="360"/>
        </w:sectPr>
      </w:pPr>
    </w:p>
    <w:p w14:paraId="43A875A4" w14:textId="7F61F835" w:rsidR="008D49A5" w:rsidRPr="004A57CE" w:rsidRDefault="008D49A5" w:rsidP="005037E4">
      <w:pPr>
        <w:pStyle w:val="Heading1"/>
      </w:pPr>
      <w:bookmarkStart w:id="1" w:name="_Toc217043171"/>
      <w:bookmarkEnd w:id="0"/>
      <w:r w:rsidRPr="004A57CE">
        <w:lastRenderedPageBreak/>
        <w:t>Introduction</w:t>
      </w:r>
      <w:bookmarkEnd w:id="1"/>
    </w:p>
    <w:p w14:paraId="4DE1980B" w14:textId="12E2479E" w:rsidR="008D49A5" w:rsidRDefault="001D2567" w:rsidP="005037E4">
      <w:pPr>
        <w:pStyle w:val="F9-Paragraph"/>
      </w:pPr>
      <w:bookmarkStart w:id="2" w:name="_Hlk64448648"/>
      <w:r w:rsidRPr="00F82A4D">
        <w:t xml:space="preserve">Technical Inspection Guides (TIG) support inspectors undertaking compliance inspections to make regulatory judgements in relation to the adequacy of compliance and in providing regulatory advice on specific Licence Conditions (LCs) to licensees. The purpose of this guidance is to facilitate a consistent approach to </w:t>
      </w:r>
      <w:r w:rsidR="005037E4">
        <w:t>LC 34</w:t>
      </w:r>
      <w:r w:rsidR="000C5F5A">
        <w:t>.</w:t>
      </w:r>
    </w:p>
    <w:p w14:paraId="04AC89FF" w14:textId="124EBB28" w:rsidR="002F617C" w:rsidRDefault="00472A27" w:rsidP="005037E4">
      <w:pPr>
        <w:pStyle w:val="F9-Paragraph"/>
      </w:pPr>
      <w:r w:rsidRPr="001F6AEA">
        <w:rPr>
          <w:rFonts w:cs="Times New Roman"/>
          <w:szCs w:val="24"/>
        </w:rPr>
        <w:t>While not exhaustive or mandatory, the guidance offers a clear framework for inspectors to assess the adequacy of compliance.</w:t>
      </w:r>
      <w:r w:rsidR="001F6AEA">
        <w:rPr>
          <w:rFonts w:cs="Times New Roman"/>
          <w:szCs w:val="24"/>
        </w:rPr>
        <w:t xml:space="preserve"> </w:t>
      </w:r>
      <w:r w:rsidR="009E2FC1" w:rsidRPr="00C71586">
        <w:t xml:space="preserve">Inspectors should also refer to the ONR </w:t>
      </w:r>
      <w:r w:rsidR="00A973FA">
        <w:t>Policy</w:t>
      </w:r>
      <w:r w:rsidR="009E2FC1" w:rsidRPr="00C71586">
        <w:t xml:space="preserve"> on Risk-Informed and Targeted Engagements (RITE)</w:t>
      </w:r>
      <w:r w:rsidR="001F00DA">
        <w:t xml:space="preserve"> </w:t>
      </w:r>
      <w:sdt>
        <w:sdtPr>
          <w:id w:val="-368990351"/>
          <w:citation/>
        </w:sdtPr>
        <w:sdtEndPr/>
        <w:sdtContent>
          <w:r w:rsidR="008F6565">
            <w:fldChar w:fldCharType="begin"/>
          </w:r>
          <w:r w:rsidR="00A973FA">
            <w:instrText xml:space="preserve">CITATION ONR2 \l 2057 </w:instrText>
          </w:r>
          <w:r w:rsidR="008F6565">
            <w:fldChar w:fldCharType="separate"/>
          </w:r>
          <w:r w:rsidR="00A973FA" w:rsidRPr="00A973FA">
            <w:rPr>
              <w:noProof/>
            </w:rPr>
            <w:t>[1]</w:t>
          </w:r>
          <w:r w:rsidR="008F6565">
            <w:fldChar w:fldCharType="end"/>
          </w:r>
        </w:sdtContent>
      </w:sdt>
      <w:r w:rsidR="001F6AEA">
        <w:t>,</w:t>
      </w:r>
      <w:r w:rsidR="009E2FC1">
        <w:t xml:space="preserve"> </w:t>
      </w:r>
      <w:r w:rsidR="009E2FC1" w:rsidRPr="00C71586">
        <w:t>which guides risk-based prioriti</w:t>
      </w:r>
      <w:r w:rsidR="009E2FC1">
        <w:t>s</w:t>
      </w:r>
      <w:r w:rsidR="009E2FC1" w:rsidRPr="00C71586">
        <w:t xml:space="preserve">ation in regulatory interventions and supports decisions on engaging with </w:t>
      </w:r>
      <w:r w:rsidR="00A973FA">
        <w:t>d</w:t>
      </w:r>
      <w:r w:rsidR="009E2FC1" w:rsidRPr="00C71586">
        <w:t>utyholders</w:t>
      </w:r>
      <w:r w:rsidR="009E2FC1">
        <w:t>.</w:t>
      </w:r>
      <w:bookmarkEnd w:id="2"/>
    </w:p>
    <w:p w14:paraId="7EF151B0" w14:textId="77777777" w:rsidR="005037E4" w:rsidRDefault="005037E4" w:rsidP="005037E4">
      <w:pPr>
        <w:pStyle w:val="Heading1"/>
        <w:sectPr w:rsidR="005037E4" w:rsidSect="005037E4">
          <w:headerReference w:type="even" r:id="rId17"/>
          <w:headerReference w:type="default" r:id="rId18"/>
          <w:footerReference w:type="even" r:id="rId19"/>
          <w:pgSz w:w="11906" w:h="16838" w:code="9"/>
          <w:pgMar w:top="1440" w:right="1440" w:bottom="1440" w:left="1440" w:header="397" w:footer="397" w:gutter="0"/>
          <w:cols w:space="312"/>
          <w:docGrid w:linePitch="360"/>
        </w:sectPr>
      </w:pPr>
      <w:bookmarkStart w:id="3" w:name="_Toc217043172"/>
    </w:p>
    <w:p w14:paraId="05AAE39A" w14:textId="7FBA83D0" w:rsidR="008D49A5" w:rsidRDefault="00A973FA" w:rsidP="005037E4">
      <w:pPr>
        <w:pStyle w:val="Heading1"/>
      </w:pPr>
      <w:r>
        <w:lastRenderedPageBreak/>
        <w:t>LC</w:t>
      </w:r>
      <w:r w:rsidR="00D60BCB" w:rsidRPr="005037E4">
        <w:t xml:space="preserve"> </w:t>
      </w:r>
      <w:r w:rsidR="006B5209" w:rsidRPr="005037E4">
        <w:t>34</w:t>
      </w:r>
      <w:r w:rsidR="00D60BCB" w:rsidRPr="005037E4">
        <w:t xml:space="preserve">: </w:t>
      </w:r>
      <w:r w:rsidR="006B5209" w:rsidRPr="005037E4">
        <w:t>Leakage and escape of radioactive material and radioactive waste</w:t>
      </w:r>
      <w:bookmarkEnd w:id="3"/>
    </w:p>
    <w:p w14:paraId="7613FF98" w14:textId="43FD6479" w:rsidR="005037E4" w:rsidRPr="005037E4" w:rsidRDefault="005037E4" w:rsidP="005037E4">
      <w:pPr>
        <w:pStyle w:val="F9-Paragraph"/>
      </w:pPr>
      <w:r>
        <w:t xml:space="preserve">Wording of LC 34, as quoted in ONR’s Licence Condition Handbook </w:t>
      </w:r>
      <w:sdt>
        <w:sdtPr>
          <w:id w:val="1047338724"/>
          <w:citation/>
        </w:sdtPr>
        <w:sdtEndPr/>
        <w:sdtContent>
          <w:r>
            <w:fldChar w:fldCharType="begin"/>
          </w:r>
          <w:r w:rsidR="00A973FA">
            <w:instrText xml:space="preserve">CITATION ONR46 \l 2057 </w:instrText>
          </w:r>
          <w:r>
            <w:fldChar w:fldCharType="separate"/>
          </w:r>
          <w:r w:rsidR="00A973FA" w:rsidRPr="00A973FA">
            <w:rPr>
              <w:noProof/>
            </w:rPr>
            <w:t>[2]</w:t>
          </w:r>
          <w:r>
            <w:fldChar w:fldCharType="end"/>
          </w:r>
        </w:sdtContent>
      </w:sdt>
      <w:r>
        <w:t>:</w:t>
      </w:r>
    </w:p>
    <w:p w14:paraId="13C62A37" w14:textId="5605407D" w:rsidR="00EA7AEB" w:rsidRPr="005037E4" w:rsidRDefault="00A973FA" w:rsidP="005037E4">
      <w:pPr>
        <w:pStyle w:val="QuoteText"/>
      </w:pPr>
      <w:r>
        <w:t xml:space="preserve">34 </w:t>
      </w:r>
      <w:r w:rsidR="00EA7AEB" w:rsidRPr="005037E4">
        <w:t>(1) The licensee shall ensure, so far as is reasonably practicable, that radioactive material and radioactive waste on the site is at all times adequately controlled or contained so that it cannot leak or otherwise escape from such control or containment.</w:t>
      </w:r>
    </w:p>
    <w:p w14:paraId="17A15810" w14:textId="39655094" w:rsidR="00EA7AEB" w:rsidRPr="005037E4" w:rsidRDefault="00A973FA" w:rsidP="005037E4">
      <w:pPr>
        <w:pStyle w:val="QuoteText"/>
      </w:pPr>
      <w:r>
        <w:t xml:space="preserve">34 </w:t>
      </w:r>
      <w:r w:rsidR="00EA7AEB" w:rsidRPr="005037E4">
        <w:t>(2) Notwithstanding paragraph 1 of this condition the licensee shall ensure, so far as is reasonably practicable, that no such leak or escape of radioactive material or radioactive waste can occur without being detected, and that any such leak or escape is then notified, recorded, investigated and reported in accordance with arrangements made under Condition 7.</w:t>
      </w:r>
    </w:p>
    <w:p w14:paraId="23F6ACD9" w14:textId="26012EDC" w:rsidR="00A24609" w:rsidRDefault="00A24609" w:rsidP="005037E4">
      <w:pPr>
        <w:pStyle w:val="F9-Paragraph"/>
      </w:pPr>
      <w:r w:rsidRPr="005037E4">
        <w:t xml:space="preserve">The wording of </w:t>
      </w:r>
      <w:r w:rsidR="00A973FA">
        <w:t xml:space="preserve">34 </w:t>
      </w:r>
      <w:r w:rsidRPr="005037E4">
        <w:t>(3) is different for licensed nuclear sites in England</w:t>
      </w:r>
      <w:r w:rsidR="005037E4">
        <w:t xml:space="preserve"> </w:t>
      </w:r>
      <w:r>
        <w:t>/</w:t>
      </w:r>
      <w:r w:rsidR="005037E4">
        <w:t xml:space="preserve"> </w:t>
      </w:r>
      <w:r>
        <w:t>Wales and Scotland to reflect the different environmental legislation that applies in each country.</w:t>
      </w:r>
      <w:r w:rsidR="005037E4">
        <w:t xml:space="preserve"> </w:t>
      </w:r>
    </w:p>
    <w:p w14:paraId="174C5D67" w14:textId="2AB5B096" w:rsidR="00C421DB" w:rsidRDefault="0051170A" w:rsidP="005037E4">
      <w:pPr>
        <w:pStyle w:val="F9-Paragraph"/>
      </w:pPr>
      <w:r>
        <w:t xml:space="preserve">On licensed sites in England and Wales, 34(3) is worded </w:t>
      </w:r>
      <w:r w:rsidR="00941AB8">
        <w:t>a</w:t>
      </w:r>
      <w:r>
        <w:t>s follows:</w:t>
      </w:r>
    </w:p>
    <w:p w14:paraId="1A70427E" w14:textId="2ED3BEBC" w:rsidR="00941AB8" w:rsidRDefault="00A973FA" w:rsidP="005037E4">
      <w:pPr>
        <w:pStyle w:val="QuoteText"/>
      </w:pPr>
      <w:r>
        <w:t xml:space="preserve">34 </w:t>
      </w:r>
      <w:r w:rsidR="00C46962">
        <w:t>(3)</w:t>
      </w:r>
      <w:r w:rsidR="005037E4">
        <w:t xml:space="preserve"> </w:t>
      </w:r>
      <w:r w:rsidR="00C46962">
        <w:t xml:space="preserve">Nothing in this condition shall apply to discharges or releases of radioactive waste in accordance with an approved operating rule or </w:t>
      </w:r>
      <w:r w:rsidR="00282F59" w:rsidRPr="00582F6C">
        <w:t>environmental permit</w:t>
      </w:r>
      <w:r w:rsidR="00282F59">
        <w:t xml:space="preserve">, or an existing </w:t>
      </w:r>
      <w:r w:rsidR="00282F59" w:rsidRPr="00582F6C">
        <w:t>permit</w:t>
      </w:r>
      <w:r w:rsidR="00282F59">
        <w:t xml:space="preserve"> which has become an </w:t>
      </w:r>
      <w:r w:rsidR="00282F59" w:rsidRPr="00582F6C">
        <w:t>environmental permit</w:t>
      </w:r>
      <w:r w:rsidR="00282F59">
        <w:t xml:space="preserve">, granted under the </w:t>
      </w:r>
      <w:r w:rsidR="00282F59" w:rsidRPr="00582F6C">
        <w:t>Environmental Permitting (England and Wales) Regulations 2016</w:t>
      </w:r>
      <w:r w:rsidR="00282F59">
        <w:t>.</w:t>
      </w:r>
    </w:p>
    <w:p w14:paraId="2A229A38" w14:textId="1F3DC4B7" w:rsidR="00F17085" w:rsidRDefault="00F17085" w:rsidP="005037E4">
      <w:pPr>
        <w:pStyle w:val="F9-Paragraph"/>
      </w:pPr>
      <w:r>
        <w:t xml:space="preserve">On nuclear licensed sites in Scotland, </w:t>
      </w:r>
      <w:r w:rsidR="00A973FA">
        <w:t xml:space="preserve">34 </w:t>
      </w:r>
      <w:r>
        <w:t>(3) is currently worded as follows</w:t>
      </w:r>
      <w:r w:rsidR="00C11D15">
        <w:t xml:space="preserve">, noting that references to either </w:t>
      </w:r>
      <w:r w:rsidR="00C11D15" w:rsidRPr="00EE19C6">
        <w:t>Radioactive Substances Act</w:t>
      </w:r>
      <w:r w:rsidR="00D15D2A">
        <w:t xml:space="preserve"> should be read as the Environmental Authorisations (Scotland) Regulations 2018</w:t>
      </w:r>
      <w:r>
        <w:t>:</w:t>
      </w:r>
    </w:p>
    <w:p w14:paraId="58A145B6" w14:textId="2C922915" w:rsidR="009F0EF2" w:rsidRDefault="00A973FA" w:rsidP="005037E4">
      <w:pPr>
        <w:pStyle w:val="QuoteText"/>
      </w:pPr>
      <w:r>
        <w:t xml:space="preserve">34 </w:t>
      </w:r>
      <w:r w:rsidR="00282F59">
        <w:t>(3)</w:t>
      </w:r>
      <w:r w:rsidR="005037E4">
        <w:t xml:space="preserve"> </w:t>
      </w:r>
      <w:r w:rsidR="00282F59">
        <w:t>Nothing in this condition shall apply to discharges or releases of radioactive waste in accordance with an approved operating rule or</w:t>
      </w:r>
      <w:r w:rsidR="00A772F8">
        <w:t xml:space="preserve">, </w:t>
      </w:r>
      <w:r w:rsidR="006C7C98" w:rsidRPr="00EE19C6">
        <w:t>disposal authorisations</w:t>
      </w:r>
      <w:r w:rsidR="006C7C98">
        <w:t xml:space="preserve"> granted under the </w:t>
      </w:r>
      <w:r w:rsidR="006C7C98" w:rsidRPr="00EE19C6">
        <w:t>Radioactive Substances Act 1960</w:t>
      </w:r>
      <w:r w:rsidR="003C7F21">
        <w:t xml:space="preserve"> or, as the case may be, the </w:t>
      </w:r>
      <w:r w:rsidR="003C7F21" w:rsidRPr="00EE19C6">
        <w:t>Radioactive Substances Act 1993</w:t>
      </w:r>
      <w:r w:rsidR="003C7F21">
        <w:t>.</w:t>
      </w:r>
    </w:p>
    <w:p w14:paraId="2300686A" w14:textId="77777777" w:rsidR="005037E4" w:rsidRDefault="005037E4" w:rsidP="005037E4">
      <w:pPr>
        <w:pStyle w:val="Heading2"/>
        <w:sectPr w:rsidR="005037E4" w:rsidSect="005037E4">
          <w:pgSz w:w="11906" w:h="16838" w:code="9"/>
          <w:pgMar w:top="1440" w:right="1440" w:bottom="1440" w:left="1440" w:header="397" w:footer="397" w:gutter="0"/>
          <w:cols w:space="312"/>
          <w:docGrid w:linePitch="360"/>
        </w:sectPr>
      </w:pPr>
      <w:bookmarkStart w:id="4" w:name="_Toc217043173"/>
    </w:p>
    <w:p w14:paraId="21F894E0" w14:textId="0542E2E5" w:rsidR="00E9344D" w:rsidRPr="00472A27" w:rsidRDefault="00E9344D" w:rsidP="005037E4">
      <w:pPr>
        <w:pStyle w:val="Heading2"/>
      </w:pPr>
      <w:r>
        <w:lastRenderedPageBreak/>
        <w:t>Applicability</w:t>
      </w:r>
      <w:bookmarkEnd w:id="4"/>
    </w:p>
    <w:p w14:paraId="58742A6B" w14:textId="245BEA72" w:rsidR="00E9344D" w:rsidRDefault="00E9344D" w:rsidP="005037E4">
      <w:pPr>
        <w:pStyle w:val="F9-Paragraph"/>
      </w:pPr>
      <w:r w:rsidRPr="00CE60CE">
        <w:t>LC</w:t>
      </w:r>
      <w:r w:rsidR="005037E4">
        <w:t xml:space="preserve"> </w:t>
      </w:r>
      <w:r w:rsidRPr="00CE60CE">
        <w:t xml:space="preserve">34 requires licensees to control and contain all forms of radioactive material and </w:t>
      </w:r>
      <w:r w:rsidR="001B20EE">
        <w:t xml:space="preserve">radioactive </w:t>
      </w:r>
      <w:r w:rsidRPr="00CE60CE">
        <w:t>waste</w:t>
      </w:r>
      <w:r w:rsidR="00F4097F">
        <w:t xml:space="preserve">, </w:t>
      </w:r>
      <w:r w:rsidRPr="00CE60CE">
        <w:t>solid, liquid, and gaseous</w:t>
      </w:r>
      <w:r w:rsidR="00F4097F">
        <w:t xml:space="preserve"> </w:t>
      </w:r>
      <w:r w:rsidRPr="00CE60CE">
        <w:t xml:space="preserve">to prevent leakage or escape, including unintended releases to land or groundwater. It also mandates prompt detection, notification, investigation, and reporting of any such incidents. </w:t>
      </w:r>
    </w:p>
    <w:p w14:paraId="4B57C10E" w14:textId="6E040CF4" w:rsidR="00E9344D" w:rsidRDefault="00041E96" w:rsidP="005037E4">
      <w:pPr>
        <w:pStyle w:val="F9-Paragraph"/>
      </w:pPr>
      <w:r w:rsidRPr="00041E96">
        <w:t>LC</w:t>
      </w:r>
      <w:r w:rsidR="005037E4">
        <w:t xml:space="preserve"> </w:t>
      </w:r>
      <w:r w:rsidRPr="00041E96">
        <w:t xml:space="preserve">34 is focused on </w:t>
      </w:r>
      <w:r w:rsidRPr="00F67124">
        <w:t>unplanned</w:t>
      </w:r>
      <w:r w:rsidRPr="00041E96">
        <w:t xml:space="preserve"> leak or escape</w:t>
      </w:r>
      <w:r w:rsidR="000740BD">
        <w:t xml:space="preserve"> of </w:t>
      </w:r>
      <w:r w:rsidR="00B91C43">
        <w:t>radioactive material or radioactive waste</w:t>
      </w:r>
      <w:r w:rsidRPr="00041E96">
        <w:t xml:space="preserve"> on the site. </w:t>
      </w:r>
      <w:r w:rsidR="005037E4">
        <w:t>LC 34</w:t>
      </w:r>
      <w:r w:rsidR="003D547C" w:rsidRPr="00D42E6C">
        <w:t xml:space="preserve"> covers all forms of radioactive material and radioactive waste on the licensed site – including nuclear fuel, process materials, contaminated equipment, and wastes in solid, liquid or gaseous form. </w:t>
      </w:r>
      <w:r w:rsidRPr="00F67124">
        <w:t>Planned and controlled discharges</w:t>
      </w:r>
      <w:r w:rsidRPr="00041E96">
        <w:t xml:space="preserve"> (such as authori</w:t>
      </w:r>
      <w:r w:rsidR="00F67124">
        <w:t>s</w:t>
      </w:r>
      <w:r w:rsidRPr="00041E96">
        <w:t xml:space="preserve">ed liquid or gaseous effluent releases to the environment) are regulated by the </w:t>
      </w:r>
      <w:r w:rsidR="005F60DC">
        <w:t xml:space="preserve">relevant </w:t>
      </w:r>
      <w:r w:rsidRPr="00041E96">
        <w:t>environment agenc</w:t>
      </w:r>
      <w:r w:rsidR="005F60DC">
        <w:t>y</w:t>
      </w:r>
      <w:r w:rsidRPr="00041E96">
        <w:t xml:space="preserve"> via </w:t>
      </w:r>
      <w:r w:rsidR="005F60DC">
        <w:t>radioactive substances</w:t>
      </w:r>
      <w:r w:rsidR="00F12A2C">
        <w:t xml:space="preserve"> activity </w:t>
      </w:r>
      <w:r w:rsidRPr="00041E96">
        <w:t xml:space="preserve">permits and are explicitly </w:t>
      </w:r>
      <w:r w:rsidRPr="00F67124">
        <w:t xml:space="preserve">excluded from </w:t>
      </w:r>
      <w:r w:rsidR="005037E4">
        <w:t>LC 34</w:t>
      </w:r>
      <w:r w:rsidRPr="00041E96">
        <w:t>.</w:t>
      </w:r>
      <w:r w:rsidR="00F67124">
        <w:t xml:space="preserve"> </w:t>
      </w:r>
    </w:p>
    <w:p w14:paraId="2CB8CA1B" w14:textId="25C0CBC1" w:rsidR="00327A4F" w:rsidRDefault="00327A4F" w:rsidP="005037E4">
      <w:pPr>
        <w:pStyle w:val="F9-Paragraph"/>
      </w:pPr>
      <w:r w:rsidRPr="00711F89">
        <w:t xml:space="preserve">ONR </w:t>
      </w:r>
      <w:r>
        <w:t>works</w:t>
      </w:r>
      <w:r w:rsidRPr="00711F89">
        <w:t xml:space="preserve"> with the relevant environment regulator (EA in England</w:t>
      </w:r>
      <w:sdt>
        <w:sdtPr>
          <w:id w:val="-1551761179"/>
          <w:citation/>
        </w:sdtPr>
        <w:sdtEndPr/>
        <w:sdtContent>
          <w:r w:rsidR="00EE2613">
            <w:fldChar w:fldCharType="begin"/>
          </w:r>
          <w:r w:rsidR="005037E4">
            <w:instrText xml:space="preserve">CITATION ONR45 \l 2057 </w:instrText>
          </w:r>
          <w:r w:rsidR="00EE2613">
            <w:fldChar w:fldCharType="separate"/>
          </w:r>
          <w:r w:rsidR="005037E4">
            <w:rPr>
              <w:noProof/>
            </w:rPr>
            <w:t xml:space="preserve"> </w:t>
          </w:r>
          <w:r w:rsidR="005037E4" w:rsidRPr="005037E4">
            <w:rPr>
              <w:noProof/>
            </w:rPr>
            <w:t>[3]</w:t>
          </w:r>
          <w:r w:rsidR="00EE2613">
            <w:fldChar w:fldCharType="end"/>
          </w:r>
        </w:sdtContent>
      </w:sdt>
      <w:r w:rsidRPr="00711F89">
        <w:t>, SEPA in Scotland</w:t>
      </w:r>
      <w:r w:rsidR="00EE2613">
        <w:t xml:space="preserve"> </w:t>
      </w:r>
      <w:sdt>
        <w:sdtPr>
          <w:id w:val="1541392927"/>
          <w:citation/>
        </w:sdtPr>
        <w:sdtEndPr/>
        <w:sdtContent>
          <w:r w:rsidR="0001641D">
            <w:fldChar w:fldCharType="begin"/>
          </w:r>
          <w:r w:rsidR="00A973FA">
            <w:instrText xml:space="preserve">CITATION ONR46 \l 2057 </w:instrText>
          </w:r>
          <w:r w:rsidR="0001641D">
            <w:fldChar w:fldCharType="separate"/>
          </w:r>
          <w:r w:rsidR="00A973FA" w:rsidRPr="00A973FA">
            <w:rPr>
              <w:noProof/>
            </w:rPr>
            <w:t>[2]</w:t>
          </w:r>
          <w:r w:rsidR="0001641D">
            <w:fldChar w:fldCharType="end"/>
          </w:r>
        </w:sdtContent>
      </w:sdt>
      <w:r w:rsidRPr="00711F89">
        <w:t>, or NRW in Wales</w:t>
      </w:r>
      <w:sdt>
        <w:sdtPr>
          <w:id w:val="1128743177"/>
          <w:citation/>
        </w:sdtPr>
        <w:sdtEndPr/>
        <w:sdtContent>
          <w:r w:rsidR="00727FB8">
            <w:fldChar w:fldCharType="begin"/>
          </w:r>
          <w:r w:rsidR="005037E4">
            <w:instrText xml:space="preserve">CITATION ONR47 \l 2057 </w:instrText>
          </w:r>
          <w:r w:rsidR="00727FB8">
            <w:fldChar w:fldCharType="separate"/>
          </w:r>
          <w:r w:rsidR="005037E4">
            <w:rPr>
              <w:noProof/>
            </w:rPr>
            <w:t xml:space="preserve"> </w:t>
          </w:r>
          <w:r w:rsidR="005037E4" w:rsidRPr="005037E4">
            <w:rPr>
              <w:noProof/>
            </w:rPr>
            <w:t>[4]</w:t>
          </w:r>
          <w:r w:rsidR="00727FB8">
            <w:fldChar w:fldCharType="end"/>
          </w:r>
        </w:sdtContent>
      </w:sdt>
      <w:r w:rsidRPr="00711F89">
        <w:t xml:space="preserve">) on </w:t>
      </w:r>
      <w:r>
        <w:t>regulation of</w:t>
      </w:r>
      <w:r w:rsidRPr="00711F89">
        <w:t xml:space="preserve"> radioactive material and </w:t>
      </w:r>
      <w:r w:rsidR="00247E3E" w:rsidRPr="00284024">
        <w:t xml:space="preserve">radioactive </w:t>
      </w:r>
      <w:r w:rsidRPr="00711F89">
        <w:t xml:space="preserve">waste on licensed nuclear sites. Inspectors should review </w:t>
      </w:r>
      <w:hyperlink r:id="rId20" w:history="1">
        <w:r w:rsidRPr="007D67F8">
          <w:rPr>
            <w:rStyle w:val="Hyperlink"/>
          </w:rPr>
          <w:t>ONR’s Memoranda of Understanding</w:t>
        </w:r>
      </w:hyperlink>
      <w:r w:rsidRPr="00711F89">
        <w:t xml:space="preserve"> with </w:t>
      </w:r>
      <w:r>
        <w:t>each agency</w:t>
      </w:r>
      <w:r w:rsidRPr="00711F89">
        <w:t xml:space="preserve"> for guidance on responsibilities and lead roles</w:t>
      </w:r>
      <w:r w:rsidR="00EE2613">
        <w:t>.</w:t>
      </w:r>
    </w:p>
    <w:p w14:paraId="566B2331" w14:textId="77777777" w:rsidR="005037E4" w:rsidRDefault="005037E4" w:rsidP="005037E4">
      <w:pPr>
        <w:pStyle w:val="Heading1"/>
        <w:sectPr w:rsidR="005037E4" w:rsidSect="005037E4">
          <w:pgSz w:w="11906" w:h="16838" w:code="9"/>
          <w:pgMar w:top="1440" w:right="1440" w:bottom="1440" w:left="1440" w:header="397" w:footer="397" w:gutter="0"/>
          <w:cols w:space="312"/>
          <w:docGrid w:linePitch="360"/>
        </w:sectPr>
      </w:pPr>
      <w:bookmarkStart w:id="5" w:name="_Toc217043174"/>
    </w:p>
    <w:p w14:paraId="19CBAE12" w14:textId="65F4E0A5" w:rsidR="00140E1C" w:rsidRPr="00E44774" w:rsidRDefault="00D60BCB" w:rsidP="005037E4">
      <w:pPr>
        <w:pStyle w:val="Heading1"/>
      </w:pPr>
      <w:r w:rsidRPr="00E44774">
        <w:lastRenderedPageBreak/>
        <w:t xml:space="preserve">Purpose </w:t>
      </w:r>
      <w:r w:rsidR="00871C6A" w:rsidRPr="00E44774">
        <w:t xml:space="preserve">and </w:t>
      </w:r>
      <w:r w:rsidR="005037E4">
        <w:t>o</w:t>
      </w:r>
      <w:r w:rsidR="00871C6A" w:rsidRPr="00E44774">
        <w:t>utcomes of LC</w:t>
      </w:r>
      <w:r w:rsidR="005037E4">
        <w:t xml:space="preserve"> </w:t>
      </w:r>
      <w:r w:rsidR="00871C6A" w:rsidRPr="00E44774">
        <w:t>34</w:t>
      </w:r>
      <w:bookmarkEnd w:id="5"/>
    </w:p>
    <w:p w14:paraId="4CBA733F" w14:textId="55BB6CA1" w:rsidR="00796C11" w:rsidRDefault="005037E4" w:rsidP="00796C11">
      <w:pPr>
        <w:pStyle w:val="F9-Paragraph"/>
      </w:pPr>
      <w:r>
        <w:t>LC 34</w:t>
      </w:r>
      <w:r w:rsidR="00796C11" w:rsidRPr="00CB2580">
        <w:t xml:space="preserve"> requires effective containment of radioactive material and </w:t>
      </w:r>
      <w:r w:rsidR="0002592D">
        <w:t xml:space="preserve">radioactive </w:t>
      </w:r>
      <w:r w:rsidR="00796C11" w:rsidRPr="00CB2580">
        <w:t xml:space="preserve">waste to prevent any unintended leak or escape, and </w:t>
      </w:r>
      <w:r w:rsidR="0098567E" w:rsidRPr="00CB2580">
        <w:t>requires</w:t>
      </w:r>
      <w:r w:rsidR="00796C11" w:rsidRPr="00CB2580">
        <w:t xml:space="preserve"> prompt detection and response if such a leak occurs. In essence, the regulatory intent of </w:t>
      </w:r>
      <w:r>
        <w:t>LC 34</w:t>
      </w:r>
      <w:r w:rsidR="00796C11" w:rsidRPr="00CB2580">
        <w:t xml:space="preserve"> is to ensure that at all times nuclear licensees keep their radioactive inventory (whether solid, liquid, or gaseous) under adequate control so that it cannot escape into the environment or areas it shouldn’t be, and that any loss of containment is swiftly identified, reported, and mitigated.</w:t>
      </w:r>
    </w:p>
    <w:p w14:paraId="68999486" w14:textId="3A1A4893" w:rsidR="00C376D0" w:rsidRDefault="00953691" w:rsidP="00796C11">
      <w:pPr>
        <w:pStyle w:val="F9-Paragraph"/>
      </w:pPr>
      <w:r>
        <w:t xml:space="preserve">Regulatory outcomes </w:t>
      </w:r>
      <w:r w:rsidR="00C376D0">
        <w:t xml:space="preserve">associated with compliance with </w:t>
      </w:r>
      <w:r w:rsidR="005037E4">
        <w:t>LC 34</w:t>
      </w:r>
      <w:r w:rsidR="00C376D0">
        <w:t xml:space="preserve"> are:</w:t>
      </w:r>
    </w:p>
    <w:p w14:paraId="2D68197A" w14:textId="6073480C" w:rsidR="00C376D0" w:rsidRDefault="00764D9B" w:rsidP="005037E4">
      <w:pPr>
        <w:pStyle w:val="Bulletlist1"/>
      </w:pPr>
      <w:r>
        <w:t>Maintaining robust containment</w:t>
      </w:r>
    </w:p>
    <w:p w14:paraId="2FE65074" w14:textId="3EC0CB2D" w:rsidR="00764D9B" w:rsidRDefault="00764D9B" w:rsidP="005037E4">
      <w:pPr>
        <w:pStyle w:val="Bulletlist1"/>
      </w:pPr>
      <w:r>
        <w:t>Effective leak detection</w:t>
      </w:r>
    </w:p>
    <w:p w14:paraId="6708505A" w14:textId="5EEB218B" w:rsidR="00764D9B" w:rsidRDefault="0047566B" w:rsidP="005037E4">
      <w:pPr>
        <w:pStyle w:val="Bulletlist1"/>
      </w:pPr>
      <w:r>
        <w:t>Rigorous</w:t>
      </w:r>
      <w:r w:rsidR="00764D9B">
        <w:t xml:space="preserve"> </w:t>
      </w:r>
      <w:r>
        <w:t>m</w:t>
      </w:r>
      <w:r w:rsidR="00764D9B">
        <w:t>aintenance</w:t>
      </w:r>
    </w:p>
    <w:p w14:paraId="5DC63442" w14:textId="4F7E78DD" w:rsidR="00764D9B" w:rsidRPr="00CB2580" w:rsidRDefault="004269E2" w:rsidP="005037E4">
      <w:pPr>
        <w:pStyle w:val="Bulletlist1"/>
      </w:pPr>
      <w:r>
        <w:t>Effective</w:t>
      </w:r>
      <w:r w:rsidR="00764D9B">
        <w:t xml:space="preserve"> incident response</w:t>
      </w:r>
    </w:p>
    <w:p w14:paraId="30E80F28" w14:textId="755187D8" w:rsidR="00A02F97" w:rsidRPr="001227AB" w:rsidRDefault="00AB47BE" w:rsidP="00766AEF">
      <w:pPr>
        <w:pStyle w:val="F9-Paragraph"/>
      </w:pPr>
      <w:r w:rsidRPr="00AB47BE">
        <w:t xml:space="preserve">All activities involving radioactive material or waste—such as treatment, storage, or transport—are considered “operations” under LC 1. </w:t>
      </w:r>
      <w:r w:rsidR="00A973FA">
        <w:br/>
      </w:r>
      <w:r w:rsidR="004F65D3" w:rsidRPr="004F65D3">
        <w:t xml:space="preserve">Inspectors should </w:t>
      </w:r>
      <w:r w:rsidR="00515FA7">
        <w:t xml:space="preserve">also </w:t>
      </w:r>
      <w:r w:rsidR="004F65D3" w:rsidRPr="004F65D3">
        <w:t>consider relevant IRR17 requirements</w:t>
      </w:r>
      <w:r w:rsidR="008F5577">
        <w:rPr>
          <w:rStyle w:val="FootnoteReference"/>
        </w:rPr>
        <w:footnoteReference w:id="2"/>
      </w:r>
      <w:r w:rsidR="003C75C1">
        <w:t xml:space="preserve">, </w:t>
      </w:r>
      <w:r w:rsidR="004F65D3" w:rsidRPr="004F65D3">
        <w:t>such as exposure restrictions, engineering controls, sealed sources, accounting, movement, and incident notification</w:t>
      </w:r>
      <w:r w:rsidR="00515FA7">
        <w:t xml:space="preserve"> </w:t>
      </w:r>
      <w:r w:rsidR="004F65D3" w:rsidRPr="004F65D3">
        <w:t xml:space="preserve">when inspecting </w:t>
      </w:r>
      <w:r w:rsidR="005037E4">
        <w:t>LC 34</w:t>
      </w:r>
      <w:r w:rsidR="004F65D3" w:rsidRPr="004F65D3">
        <w:t xml:space="preserve"> compliance. Significant releases above IRR17 thresholds must be promptly reported to ONR, triggering investigation. Licensees should ensure reporting aligns with both IRR17 and LC7 requirements.</w:t>
      </w:r>
    </w:p>
    <w:p w14:paraId="5AB2404F" w14:textId="77777777" w:rsidR="005037E4" w:rsidRDefault="005037E4" w:rsidP="005037E4">
      <w:pPr>
        <w:pStyle w:val="Heading1"/>
        <w:sectPr w:rsidR="005037E4" w:rsidSect="005037E4">
          <w:pgSz w:w="11906" w:h="16838" w:code="9"/>
          <w:pgMar w:top="1440" w:right="1440" w:bottom="1440" w:left="1440" w:header="397" w:footer="397" w:gutter="0"/>
          <w:cols w:space="312"/>
          <w:docGrid w:linePitch="360"/>
        </w:sectPr>
      </w:pPr>
      <w:bookmarkStart w:id="6" w:name="_Ref168477300"/>
      <w:bookmarkStart w:id="7" w:name="_Toc217043175"/>
    </w:p>
    <w:p w14:paraId="540E3FBF" w14:textId="34CD2440" w:rsidR="00D60BCB" w:rsidRPr="00E44774" w:rsidRDefault="00D60BCB" w:rsidP="005037E4">
      <w:pPr>
        <w:pStyle w:val="Heading1"/>
      </w:pPr>
      <w:r w:rsidRPr="00E44774">
        <w:lastRenderedPageBreak/>
        <w:t xml:space="preserve">Guidance on </w:t>
      </w:r>
      <w:r w:rsidR="005037E4">
        <w:t>a</w:t>
      </w:r>
      <w:r w:rsidRPr="00E44774">
        <w:t xml:space="preserve">rrangements </w:t>
      </w:r>
      <w:r w:rsidR="00723854">
        <w:t xml:space="preserve">and </w:t>
      </w:r>
      <w:r w:rsidR="005037E4">
        <w:t>i</w:t>
      </w:r>
      <w:r w:rsidR="00723854">
        <w:t xml:space="preserve">nspection of the </w:t>
      </w:r>
      <w:r w:rsidR="005037E4">
        <w:t>i</w:t>
      </w:r>
      <w:r w:rsidR="00723854">
        <w:t xml:space="preserve">mplementation </w:t>
      </w:r>
      <w:r w:rsidRPr="00E44774">
        <w:t xml:space="preserve">for </w:t>
      </w:r>
      <w:r w:rsidR="005037E4">
        <w:br/>
        <w:t>LC 34</w:t>
      </w:r>
      <w:bookmarkEnd w:id="6"/>
      <w:bookmarkEnd w:id="7"/>
    </w:p>
    <w:p w14:paraId="68E30AF1" w14:textId="53D57117" w:rsidR="00CA7262" w:rsidRPr="006E0606" w:rsidRDefault="00CA7262" w:rsidP="00CA7262">
      <w:pPr>
        <w:pStyle w:val="F9-Paragraph"/>
        <w:ind w:left="720" w:hanging="720"/>
      </w:pPr>
      <w:r w:rsidRPr="006E0606">
        <w:t xml:space="preserve">In judging the adequacy of the arrangements, it is important to sample not only their scope and adequacy, but also their practical implementation. </w:t>
      </w:r>
      <w:r w:rsidR="00A973FA">
        <w:br/>
      </w:r>
      <w:r w:rsidRPr="006E0606">
        <w:t>This involves discussions with various levels of management and the workforce performing the tasks. When assessing the adequacy of the arrangements consider</w:t>
      </w:r>
      <w:r w:rsidR="00D528F6">
        <w:t xml:space="preserve"> whether</w:t>
      </w:r>
      <w:r w:rsidRPr="006E0606">
        <w:t xml:space="preserve">: </w:t>
      </w:r>
    </w:p>
    <w:p w14:paraId="168549E5" w14:textId="77777777" w:rsidR="00A316A0" w:rsidRDefault="009B6E10" w:rsidP="005037E4">
      <w:pPr>
        <w:pStyle w:val="Bulletlist1"/>
      </w:pPr>
      <w:r w:rsidRPr="009B6E10">
        <w:rPr>
          <w:b/>
        </w:rPr>
        <w:t>A</w:t>
      </w:r>
      <w:r w:rsidR="001646FD" w:rsidRPr="009B6E10">
        <w:rPr>
          <w:b/>
        </w:rPr>
        <w:t>rrangements</w:t>
      </w:r>
      <w:r w:rsidR="001646FD" w:rsidRPr="006E0606">
        <w:t xml:space="preserve"> are </w:t>
      </w:r>
      <w:r w:rsidR="001646FD" w:rsidRPr="006E0606">
        <w:rPr>
          <w:color w:val="000000"/>
        </w:rPr>
        <w:t>documented within the licensee’s safety management system,</w:t>
      </w:r>
      <w:r w:rsidR="001646FD" w:rsidRPr="006E0606">
        <w:t xml:space="preserve"> current and authorised by an appropriate SQEP individual</w:t>
      </w:r>
      <w:r w:rsidR="000D4409">
        <w:t>.</w:t>
      </w:r>
      <w:r w:rsidR="000D4409" w:rsidRPr="000D4409">
        <w:t xml:space="preserve"> </w:t>
      </w:r>
    </w:p>
    <w:p w14:paraId="0BBD7469" w14:textId="4650E1D6" w:rsidR="001646FD" w:rsidRPr="001646FD" w:rsidRDefault="00A316A0" w:rsidP="005037E4">
      <w:pPr>
        <w:pStyle w:val="Bulletlist1"/>
      </w:pPr>
      <w:r w:rsidRPr="00A316A0">
        <w:rPr>
          <w:b/>
        </w:rPr>
        <w:t>R</w:t>
      </w:r>
      <w:r w:rsidR="000D4409" w:rsidRPr="00A316A0">
        <w:rPr>
          <w:b/>
        </w:rPr>
        <w:t>oles and responsibilities</w:t>
      </w:r>
      <w:r w:rsidR="000D4409" w:rsidRPr="006E0606">
        <w:t xml:space="preserve"> of staff involved in the processes are clearly defined with associated training, experience and qualifications specified. Confirm that arrangements identify management expectations for all staff with regard to reporting incidents. </w:t>
      </w:r>
    </w:p>
    <w:p w14:paraId="7672A58D" w14:textId="08F7EB0E" w:rsidR="007D6CFB" w:rsidRPr="007D6CFB" w:rsidRDefault="00AC5C2C" w:rsidP="005037E4">
      <w:pPr>
        <w:pStyle w:val="Bulletlist1"/>
      </w:pPr>
      <w:r w:rsidRPr="009A69EE">
        <w:rPr>
          <w:b/>
        </w:rPr>
        <w:t>Safety cases</w:t>
      </w:r>
      <w:r w:rsidRPr="00AC5C2C">
        <w:t xml:space="preserve"> must set justified limits, conditions, and operating instructions for all activities involving containment of radioactive material and </w:t>
      </w:r>
      <w:r w:rsidR="004415CC">
        <w:t xml:space="preserve">radioactive </w:t>
      </w:r>
      <w:r w:rsidRPr="00AC5C2C">
        <w:t xml:space="preserve">waste, identifying foreseeable leakage routes and assigning safety functions to relevant SSCs. </w:t>
      </w:r>
    </w:p>
    <w:p w14:paraId="6CD19823" w14:textId="2BCB48AD" w:rsidR="0088482F" w:rsidRDefault="00B93124" w:rsidP="005037E4">
      <w:pPr>
        <w:pStyle w:val="Bulletlist1"/>
      </w:pPr>
      <w:r w:rsidRPr="00B93124">
        <w:rPr>
          <w:b/>
        </w:rPr>
        <w:t>Multiple containment barriers</w:t>
      </w:r>
      <w:r w:rsidRPr="00B93124">
        <w:t xml:space="preserve"> are required where radiological hazards are high, with leak detection systems and procedures to halt operations and protect personnel if leaks are detected. All SSCs involved in containment and leak detection must have assigned safety functions</w:t>
      </w:r>
      <w:r w:rsidR="0088482F">
        <w:t>.</w:t>
      </w:r>
    </w:p>
    <w:p w14:paraId="12BAC8B1" w14:textId="420F5A2D" w:rsidR="0088482F" w:rsidRDefault="00B93124" w:rsidP="005037E4">
      <w:pPr>
        <w:pStyle w:val="Bulletlist1"/>
      </w:pPr>
      <w:r w:rsidRPr="00B93124">
        <w:rPr>
          <w:b/>
        </w:rPr>
        <w:t>Effective management oversight</w:t>
      </w:r>
      <w:r w:rsidRPr="00B93124">
        <w:t xml:space="preserve"> is essential for the design, operation, maintenance, and decommissioning of all SSCs that prevent leakage or escape, including leak detection systems</w:t>
      </w:r>
      <w:r w:rsidR="0088482F">
        <w:t>.</w:t>
      </w:r>
    </w:p>
    <w:p w14:paraId="5DE6A522" w14:textId="2ABACD4E" w:rsidR="00454D53" w:rsidRPr="00454D53" w:rsidRDefault="00454D53" w:rsidP="005037E4">
      <w:pPr>
        <w:pStyle w:val="Bulletlist1"/>
      </w:pPr>
      <w:r w:rsidRPr="00454D53">
        <w:rPr>
          <w:b/>
        </w:rPr>
        <w:t>Detection &amp; Monitoring:</w:t>
      </w:r>
      <w:r w:rsidRPr="00454D53">
        <w:t xml:space="preserve"> Provide systems to detect, locate, and monitor any leakage or escape using all practicable methods (e.g.</w:t>
      </w:r>
      <w:r w:rsidR="006B4ECE">
        <w:t xml:space="preserve"> </w:t>
      </w:r>
      <w:r w:rsidRPr="00454D53">
        <w:t>plant walk-downs, CCTV, visual inspections, radiation monitors).</w:t>
      </w:r>
    </w:p>
    <w:p w14:paraId="38EBEF46" w14:textId="2EC5860B" w:rsidR="00454D53" w:rsidRPr="00454D53" w:rsidRDefault="00454D53" w:rsidP="005037E4">
      <w:pPr>
        <w:pStyle w:val="Bulletlist1"/>
      </w:pPr>
      <w:r w:rsidRPr="00454D53">
        <w:rPr>
          <w:b/>
        </w:rPr>
        <w:t>Ventilation Systems:</w:t>
      </w:r>
      <w:r w:rsidRPr="00454D53">
        <w:t xml:space="preserve"> Clearly identify ventilation systems contributing to containment, assign safety functions, and define actions for faults—especially for glove box operations with airborne contamination. </w:t>
      </w:r>
    </w:p>
    <w:p w14:paraId="4E471EE1" w14:textId="515725D9" w:rsidR="00454D53" w:rsidRPr="00454D53" w:rsidRDefault="00454D53" w:rsidP="005037E4">
      <w:pPr>
        <w:pStyle w:val="Bulletlist1"/>
      </w:pPr>
      <w:r w:rsidRPr="00454D53">
        <w:rPr>
          <w:b/>
        </w:rPr>
        <w:t>Plant Modifications:</w:t>
      </w:r>
      <w:r w:rsidRPr="00454D53">
        <w:t xml:space="preserve"> Ensure changes to plant or processes do not compromise containment or SSCs’ ability to prevent leaks. </w:t>
      </w:r>
    </w:p>
    <w:p w14:paraId="5C199D40" w14:textId="77777777" w:rsidR="005037E4" w:rsidRDefault="005037E4" w:rsidP="005037E4">
      <w:pPr>
        <w:pStyle w:val="Bulletlist1"/>
        <w:rPr>
          <w:b/>
        </w:rPr>
        <w:sectPr w:rsidR="005037E4" w:rsidSect="005037E4">
          <w:pgSz w:w="11906" w:h="16838" w:code="9"/>
          <w:pgMar w:top="1440" w:right="1440" w:bottom="1440" w:left="1440" w:header="397" w:footer="397" w:gutter="0"/>
          <w:cols w:space="312"/>
          <w:docGrid w:linePitch="360"/>
        </w:sectPr>
      </w:pPr>
    </w:p>
    <w:p w14:paraId="36E0363A" w14:textId="501E8FDE" w:rsidR="00454D53" w:rsidRDefault="00454D53" w:rsidP="005037E4">
      <w:pPr>
        <w:pStyle w:val="Bulletlist1"/>
      </w:pPr>
      <w:r w:rsidRPr="00454D53">
        <w:rPr>
          <w:b/>
        </w:rPr>
        <w:lastRenderedPageBreak/>
        <w:t>Records Management:</w:t>
      </w:r>
      <w:r w:rsidRPr="00454D53">
        <w:t xml:space="preserve"> Maintain systems for generating and retaining records on radioactive material and </w:t>
      </w:r>
      <w:r w:rsidR="004415CC">
        <w:t xml:space="preserve">radioactive </w:t>
      </w:r>
      <w:r w:rsidRPr="00454D53">
        <w:t xml:space="preserve">waste, including identification, location, </w:t>
      </w:r>
      <w:r w:rsidR="0058003A">
        <w:t xml:space="preserve">form, </w:t>
      </w:r>
      <w:r w:rsidRPr="00454D53">
        <w:t xml:space="preserve">activity, and date, with cross-references to relevant </w:t>
      </w:r>
      <w:r w:rsidR="00051211">
        <w:t>LC’s.</w:t>
      </w:r>
      <w:r w:rsidR="001142DB">
        <w:t xml:space="preserve"> The arrangements should include </w:t>
      </w:r>
      <w:r w:rsidR="001142DB" w:rsidRPr="00F90C10">
        <w:t xml:space="preserve">regular review </w:t>
      </w:r>
      <w:r w:rsidR="001142DB">
        <w:t xml:space="preserve">of </w:t>
      </w:r>
      <w:r w:rsidR="001142DB" w:rsidRPr="00F90C10">
        <w:t>data to detect diversion or leaks.</w:t>
      </w:r>
    </w:p>
    <w:p w14:paraId="68CAD54D" w14:textId="04D8DCBC" w:rsidR="00F90C10" w:rsidRPr="00F90C10" w:rsidRDefault="00F90C10" w:rsidP="005037E4">
      <w:pPr>
        <w:pStyle w:val="Bulletlist1"/>
      </w:pPr>
      <w:r w:rsidRPr="00F90C10">
        <w:rPr>
          <w:b/>
        </w:rPr>
        <w:t>Regular EIMT:</w:t>
      </w:r>
      <w:r w:rsidRPr="00F90C10">
        <w:t xml:space="preserve"> Implement regular Examination, Inspection, Maintenance, and Testing for all SSCs involved in leak detection and containment. </w:t>
      </w:r>
    </w:p>
    <w:p w14:paraId="4865E149" w14:textId="7321E14E" w:rsidR="00F90C10" w:rsidRPr="00F90C10" w:rsidRDefault="00F90C10" w:rsidP="005037E4">
      <w:pPr>
        <w:pStyle w:val="Bulletlist1"/>
      </w:pPr>
      <w:r w:rsidRPr="00F90C10">
        <w:rPr>
          <w:b/>
        </w:rPr>
        <w:t>Comprehensive Coverage:</w:t>
      </w:r>
      <w:r w:rsidRPr="00F90C10">
        <w:t xml:space="preserve"> EIMT should cover all vessels, ponds, piping, tanks, drains, and storage </w:t>
      </w:r>
      <w:r w:rsidR="000E0D65">
        <w:t>locations</w:t>
      </w:r>
      <w:r w:rsidR="000E0D65" w:rsidRPr="00F90C10">
        <w:t xml:space="preserve"> </w:t>
      </w:r>
      <w:r w:rsidR="000E0D65">
        <w:t>containing</w:t>
      </w:r>
      <w:r w:rsidR="000E0D65" w:rsidRPr="00F90C10">
        <w:t xml:space="preserve"> </w:t>
      </w:r>
      <w:r w:rsidRPr="00F90C10">
        <w:t>radioactive material</w:t>
      </w:r>
      <w:r w:rsidR="000E0D65">
        <w:t xml:space="preserve"> and radioactive </w:t>
      </w:r>
      <w:r w:rsidRPr="00F90C10">
        <w:t xml:space="preserve">waste. </w:t>
      </w:r>
    </w:p>
    <w:p w14:paraId="07808018" w14:textId="231322B6" w:rsidR="00F90C10" w:rsidRPr="00F90C10" w:rsidRDefault="00F90C10" w:rsidP="005037E4">
      <w:pPr>
        <w:pStyle w:val="Bulletlist1"/>
      </w:pPr>
      <w:r w:rsidRPr="00F90C10">
        <w:rPr>
          <w:b/>
        </w:rPr>
        <w:t>Storage Safety:</w:t>
      </w:r>
      <w:r w:rsidRPr="00F90C10">
        <w:t xml:space="preserve"> Identify all storage locations and ensure storage is safe and secure for the required period</w:t>
      </w:r>
      <w:r w:rsidR="005D6704">
        <w:t>, including arrangements for control of temporary storage areas</w:t>
      </w:r>
      <w:r w:rsidR="00F76521">
        <w:t xml:space="preserve"> that clearly </w:t>
      </w:r>
      <w:r w:rsidR="006529BC">
        <w:t xml:space="preserve">set requirements to </w:t>
      </w:r>
      <w:r w:rsidR="00F76521">
        <w:t xml:space="preserve">define ownership and </w:t>
      </w:r>
      <w:r w:rsidR="006529BC">
        <w:t xml:space="preserve">the </w:t>
      </w:r>
      <w:r w:rsidR="00F76521">
        <w:t xml:space="preserve">justified </w:t>
      </w:r>
      <w:r w:rsidR="006529BC">
        <w:t xml:space="preserve">storage </w:t>
      </w:r>
      <w:r w:rsidR="00F76521">
        <w:t>period</w:t>
      </w:r>
      <w:r w:rsidRPr="00F90C10">
        <w:t xml:space="preserve">. </w:t>
      </w:r>
    </w:p>
    <w:p w14:paraId="67BED2A3" w14:textId="040FBE24" w:rsidR="00F90C10" w:rsidRPr="00F90C10" w:rsidRDefault="00276EBC" w:rsidP="005037E4">
      <w:pPr>
        <w:pStyle w:val="Bulletlist1"/>
      </w:pPr>
      <w:r w:rsidRPr="00A3178A">
        <w:rPr>
          <w:b/>
        </w:rPr>
        <w:t>Passive safety</w:t>
      </w:r>
      <w:r w:rsidR="00F90C10" w:rsidRPr="00A3178A">
        <w:rPr>
          <w:b/>
        </w:rPr>
        <w:t>:</w:t>
      </w:r>
      <w:r w:rsidR="00F90C10" w:rsidRPr="00F90C10">
        <w:t xml:space="preserve"> </w:t>
      </w:r>
      <w:r>
        <w:t>L</w:t>
      </w:r>
      <w:r w:rsidR="00F90C10" w:rsidRPr="00F90C10">
        <w:t xml:space="preserve">ong-term </w:t>
      </w:r>
      <w:r>
        <w:t xml:space="preserve">storage of </w:t>
      </w:r>
      <w:r w:rsidR="00F90C10" w:rsidRPr="00F90C10">
        <w:t xml:space="preserve">radioactive waste </w:t>
      </w:r>
      <w:r>
        <w:t xml:space="preserve">should be in </w:t>
      </w:r>
      <w:r w:rsidR="00301C85">
        <w:t xml:space="preserve">a </w:t>
      </w:r>
      <w:r>
        <w:t>passively safe</w:t>
      </w:r>
      <w:r w:rsidR="00301C85">
        <w:t>,</w:t>
      </w:r>
      <w:r w:rsidRPr="00F90C10">
        <w:t xml:space="preserve"> </w:t>
      </w:r>
      <w:r w:rsidR="00F90C10" w:rsidRPr="00F90C10">
        <w:t>immobilised form within suitable containment</w:t>
      </w:r>
      <w:r w:rsidR="00301C85">
        <w:t xml:space="preserve">. </w:t>
      </w:r>
      <w:r w:rsidR="001B07FC">
        <w:t xml:space="preserve">The </w:t>
      </w:r>
      <w:r w:rsidR="00F90C10" w:rsidRPr="00F90C10">
        <w:t xml:space="preserve">safety case </w:t>
      </w:r>
      <w:r w:rsidR="001B07FC">
        <w:t xml:space="preserve">should </w:t>
      </w:r>
      <w:r w:rsidR="00710C00">
        <w:t>underpin future management and eventual disposability of radioactive waste</w:t>
      </w:r>
      <w:r w:rsidR="00A3178A">
        <w:t xml:space="preserve">; this may be summarised in </w:t>
      </w:r>
      <w:r w:rsidR="00F90C10" w:rsidRPr="00F90C10">
        <w:t xml:space="preserve">a Radioactive Waste Management Case (RWMC). </w:t>
      </w:r>
    </w:p>
    <w:p w14:paraId="00506711" w14:textId="77777777" w:rsidR="008B6581" w:rsidRPr="008B6581" w:rsidRDefault="00F90C10" w:rsidP="005037E4">
      <w:pPr>
        <w:pStyle w:val="Bulletlist1"/>
      </w:pPr>
      <w:r w:rsidRPr="00F90C10">
        <w:rPr>
          <w:b/>
        </w:rPr>
        <w:t>Incident Reporting:</w:t>
      </w:r>
      <w:r w:rsidRPr="00F90C10">
        <w:t xml:space="preserve"> Establish clear processes for notification, investigation, and reporting of leaks or escapes, in line with LC7 and IRR17 requirements.</w:t>
      </w:r>
      <w:r w:rsidR="008B6581" w:rsidRPr="008B6581">
        <w:t xml:space="preserve"> </w:t>
      </w:r>
    </w:p>
    <w:p w14:paraId="778D73CD" w14:textId="7AA0A7C0" w:rsidR="00F90C10" w:rsidRDefault="008B6581" w:rsidP="005037E4">
      <w:pPr>
        <w:pStyle w:val="Bulletlist1"/>
      </w:pPr>
      <w:r w:rsidRPr="008B6581">
        <w:rPr>
          <w:b/>
        </w:rPr>
        <w:t>International Safeguards</w:t>
      </w:r>
      <w:r w:rsidRPr="008B6581">
        <w:t xml:space="preserve"> data can help demonstrate that radioactive materials and wastes are not being diverted due to leakage or escape. If relied upon, the licensee should clearly state this and ensure the analyses’ significance for nuclear safety and environmental protection is recognised</w:t>
      </w:r>
    </w:p>
    <w:p w14:paraId="5CBB58C2" w14:textId="79ED4830" w:rsidR="00D60BCB" w:rsidRPr="00435CDB" w:rsidRDefault="005E609B" w:rsidP="005037E4">
      <w:pPr>
        <w:pStyle w:val="F9-Paragraph"/>
      </w:pPr>
      <w:r w:rsidRPr="005E609B">
        <w:rPr>
          <w:b/>
          <w:bCs/>
          <w:lang w:val="en"/>
        </w:rPr>
        <w:t>Implementation</w:t>
      </w:r>
      <w:r>
        <w:rPr>
          <w:lang w:val="en"/>
        </w:rPr>
        <w:t>:</w:t>
      </w:r>
      <w:r w:rsidR="001C2C24">
        <w:rPr>
          <w:lang w:val="en"/>
        </w:rPr>
        <w:t xml:space="preserve"> </w:t>
      </w:r>
      <w:r w:rsidR="009A4FD5" w:rsidRPr="009A4FD5">
        <w:t xml:space="preserve">Key factors that may determine the scope and objectives of an </w:t>
      </w:r>
      <w:r w:rsidR="005037E4">
        <w:t>LC 34</w:t>
      </w:r>
      <w:r w:rsidR="009A4FD5" w:rsidRPr="009A4FD5">
        <w:t xml:space="preserve"> compliance inspection include:</w:t>
      </w:r>
    </w:p>
    <w:p w14:paraId="3FA7EEC4" w14:textId="2558E607" w:rsidR="009024AE" w:rsidRPr="00270DCE" w:rsidRDefault="008E4787" w:rsidP="005037E4">
      <w:pPr>
        <w:pStyle w:val="Bulletlist1"/>
      </w:pPr>
      <w:r>
        <w:t>LC11 arrangements and r</w:t>
      </w:r>
      <w:r w:rsidR="009024AE" w:rsidRPr="009A4FD5">
        <w:t>ecent events or near-misses associated with leakage or escape of radioactive materials or radioactive wastes</w:t>
      </w:r>
      <w:r w:rsidR="00CA3987">
        <w:t>.</w:t>
      </w:r>
      <w:r w:rsidR="00CA3987" w:rsidRPr="00CA3987">
        <w:t xml:space="preserve"> </w:t>
      </w:r>
      <w:r w:rsidR="00CA3987">
        <w:t>Risks from liquid leaks may escalate if evaporation leads to airborne contamination and internal exposure.</w:t>
      </w:r>
    </w:p>
    <w:p w14:paraId="287FBB42" w14:textId="77777777" w:rsidR="009024AE" w:rsidRPr="00270DCE" w:rsidRDefault="009024AE" w:rsidP="005037E4">
      <w:pPr>
        <w:pStyle w:val="Bulletlist1"/>
      </w:pPr>
      <w:r w:rsidRPr="009A4FD5">
        <w:t>Recently implemented or impending modifications to the licensee’s processes, plans, safety cases, plant or personnel of relevance to leakage or escape of radioactive materials or radioactive wastes;</w:t>
      </w:r>
    </w:p>
    <w:p w14:paraId="2112659A" w14:textId="77777777" w:rsidR="005037E4" w:rsidRDefault="005037E4" w:rsidP="005037E4">
      <w:pPr>
        <w:pStyle w:val="Bulletlist1"/>
        <w:sectPr w:rsidR="005037E4" w:rsidSect="005037E4">
          <w:pgSz w:w="11906" w:h="16838" w:code="9"/>
          <w:pgMar w:top="1440" w:right="1440" w:bottom="1440" w:left="1440" w:header="397" w:footer="397" w:gutter="0"/>
          <w:cols w:space="312"/>
          <w:docGrid w:linePitch="360"/>
        </w:sectPr>
      </w:pPr>
    </w:p>
    <w:p w14:paraId="5211B4C5" w14:textId="765FEAB8" w:rsidR="00284024" w:rsidRPr="00284024" w:rsidRDefault="008B14A4" w:rsidP="005037E4">
      <w:pPr>
        <w:pStyle w:val="Bulletlist1"/>
      </w:pPr>
      <w:r>
        <w:lastRenderedPageBreak/>
        <w:t>Multi-barrier containment systems should not be allowed to degrade; primary containment is the main control, with secondary/tertiary barriers as sensible mitigation for foreseeable failures.</w:t>
      </w:r>
      <w:r w:rsidR="003A5D77">
        <w:t xml:space="preserve"> </w:t>
      </w:r>
      <w:r w:rsidR="00284024" w:rsidRPr="00284024">
        <w:t xml:space="preserve">Good practice is to provide secondary (and, where appropriate, tertiary) containment for all tanks, mobile bowsers, and bulk storage containers holding mobile radioactive material and </w:t>
      </w:r>
      <w:r w:rsidR="00300282" w:rsidRPr="00284024">
        <w:t xml:space="preserve">radioactive </w:t>
      </w:r>
      <w:r w:rsidR="00284024" w:rsidRPr="00284024">
        <w:t xml:space="preserve">waste. </w:t>
      </w:r>
    </w:p>
    <w:p w14:paraId="5F1A70F9" w14:textId="36FB296C" w:rsidR="00284024" w:rsidRDefault="00284024" w:rsidP="005037E4">
      <w:pPr>
        <w:pStyle w:val="Bulletlist1"/>
      </w:pPr>
      <w:r w:rsidRPr="00284024">
        <w:t>Secondary containment</w:t>
      </w:r>
      <w:r w:rsidR="00B01F0E">
        <w:t xml:space="preserve">, </w:t>
      </w:r>
      <w:r w:rsidRPr="00284024">
        <w:t>typically bunds</w:t>
      </w:r>
      <w:r w:rsidR="00B01F0E">
        <w:t xml:space="preserve">, </w:t>
      </w:r>
      <w:r w:rsidRPr="00284024">
        <w:t xml:space="preserve">should also be provided around storage and operational areas where mobile radioactive material or </w:t>
      </w:r>
      <w:r w:rsidR="00300282" w:rsidRPr="00284024">
        <w:t xml:space="preserve">radioactive </w:t>
      </w:r>
      <w:r w:rsidRPr="00284024">
        <w:t>waste are handled, including during decontamination or fluid transfer.</w:t>
      </w:r>
    </w:p>
    <w:p w14:paraId="18952E03" w14:textId="643BC945" w:rsidR="00F516E0" w:rsidRPr="00F516E0" w:rsidRDefault="00F516E0" w:rsidP="005037E4">
      <w:pPr>
        <w:pStyle w:val="Bulletlist1"/>
      </w:pPr>
      <w:r w:rsidRPr="00F516E0">
        <w:t xml:space="preserve">Confirm secondary containments are regularly inspected and maintained to ensure effective oversight of all associated SSCs (e.g., level alarms). </w:t>
      </w:r>
    </w:p>
    <w:p w14:paraId="2E12DC0B" w14:textId="64A54C15" w:rsidR="00F516E0" w:rsidRPr="00F516E0" w:rsidRDefault="00F516E0" w:rsidP="005037E4">
      <w:pPr>
        <w:pStyle w:val="Bulletlist1"/>
      </w:pPr>
      <w:r w:rsidRPr="00F516E0">
        <w:t xml:space="preserve">Verify all reasonable measures are taken to prevent accumulation of liquids in secondary containments from sources other than primary containment (e.g., weatherproofing). </w:t>
      </w:r>
    </w:p>
    <w:p w14:paraId="24905941" w14:textId="3464B0AC" w:rsidR="00F516E0" w:rsidRPr="00F516E0" w:rsidRDefault="00F516E0" w:rsidP="005037E4">
      <w:pPr>
        <w:pStyle w:val="Bulletlist1"/>
      </w:pPr>
      <w:r w:rsidRPr="00F516E0">
        <w:t xml:space="preserve">Ensure timely detection of leaks in secondary containment systems located out of routine view. </w:t>
      </w:r>
    </w:p>
    <w:p w14:paraId="1952AA32" w14:textId="49A54458" w:rsidR="00F516E0" w:rsidRDefault="00F516E0" w:rsidP="005037E4">
      <w:pPr>
        <w:pStyle w:val="Bulletlist1"/>
      </w:pPr>
      <w:r w:rsidRPr="00F516E0">
        <w:t>Assess whether there are effective means to recover any foreseeable leaks into secondary containment.</w:t>
      </w:r>
    </w:p>
    <w:p w14:paraId="7237BFED" w14:textId="605455CC" w:rsidR="00871D4A" w:rsidRPr="00871D4A" w:rsidRDefault="0009542A" w:rsidP="005037E4">
      <w:pPr>
        <w:pStyle w:val="F9-Paragraph"/>
      </w:pPr>
      <w:r w:rsidRPr="0009542A">
        <w:t>SSCs with leak detection and monitoring functions</w:t>
      </w:r>
      <w:r>
        <w:t xml:space="preserve">, </w:t>
      </w:r>
      <w:r w:rsidRPr="0009542A">
        <w:t>such as level indicators and alarms</w:t>
      </w:r>
      <w:r>
        <w:t xml:space="preserve">, </w:t>
      </w:r>
      <w:r w:rsidRPr="0009542A">
        <w:t xml:space="preserve">are essential for preventing </w:t>
      </w:r>
      <w:r w:rsidR="00C51037">
        <w:t>undetected</w:t>
      </w:r>
      <w:r w:rsidR="00C51037" w:rsidRPr="0009542A">
        <w:t xml:space="preserve"> </w:t>
      </w:r>
      <w:r w:rsidRPr="0009542A">
        <w:t>leakage or escape of radioactive materials and wastes. Inspectors should consider the adequacy, coverage, and responsiveness of these systems</w:t>
      </w:r>
      <w:r w:rsidR="00F01822">
        <w:t>, particularly:</w:t>
      </w:r>
    </w:p>
    <w:p w14:paraId="6C5A0674" w14:textId="691C229B" w:rsidR="00FE5B54" w:rsidRDefault="00FE5B54" w:rsidP="005037E4">
      <w:pPr>
        <w:pStyle w:val="Bulletlist1"/>
      </w:pPr>
      <w:r>
        <w:t xml:space="preserve">Ensure the safety case appropriately recognises the role of alarms and indicators in </w:t>
      </w:r>
      <w:r w:rsidR="00BF6EA1">
        <w:t xml:space="preserve">detecting </w:t>
      </w:r>
      <w:r>
        <w:t xml:space="preserve">leakage or escape. Verify all SSCs with leak detection and monitoring functions have suitable safety designations. </w:t>
      </w:r>
    </w:p>
    <w:p w14:paraId="1D95E524" w14:textId="5FB9F98E" w:rsidR="00CE41F5" w:rsidRDefault="00CE41F5" w:rsidP="005037E4">
      <w:pPr>
        <w:pStyle w:val="Bulletlist1"/>
      </w:pPr>
      <w:r>
        <w:t>Confirm alarms and level indicators provide comprehensive coverage across the site, ensuring accurate knowledge of all areas at risk of leakage or escape.</w:t>
      </w:r>
      <w:r w:rsidR="00FE5B54">
        <w:t xml:space="preserve"> </w:t>
      </w:r>
      <w:r>
        <w:t>Check alarms and indicators are routed to staffed areas for timely SQEP response.</w:t>
      </w:r>
      <w:r w:rsidR="00900AE4">
        <w:t xml:space="preserve"> </w:t>
      </w:r>
      <w:r>
        <w:t>Where alarms cannot be provided, confirm regular plant walk-downs are conducted to assure no leakage or escape.</w:t>
      </w:r>
    </w:p>
    <w:p w14:paraId="1A84588B" w14:textId="4B5283B6" w:rsidR="00CE41F5" w:rsidRDefault="00CE41F5" w:rsidP="005037E4">
      <w:pPr>
        <w:pStyle w:val="Bulletlist1"/>
      </w:pPr>
      <w:r>
        <w:t>Assess whether EIMT includes regular, thorough proof testing of the overall system, not just individual components.</w:t>
      </w:r>
    </w:p>
    <w:p w14:paraId="62458464" w14:textId="4BD98E06" w:rsidR="00CE41F5" w:rsidRDefault="00CE41F5" w:rsidP="005037E4">
      <w:pPr>
        <w:pStyle w:val="Bulletlist1"/>
      </w:pPr>
      <w:r>
        <w:t>Ensure the operating philosophy requires robust responses to alarms and does not tolerate routine alarm activation.</w:t>
      </w:r>
    </w:p>
    <w:p w14:paraId="5C4EA352" w14:textId="02B923B1" w:rsidR="001C726B" w:rsidRPr="00CE41F5" w:rsidRDefault="00CE41F5" w:rsidP="005037E4">
      <w:pPr>
        <w:pStyle w:val="Bulletlist1"/>
      </w:pPr>
      <w:r>
        <w:t>Confirm trending of key data is undertaken to identify changes that may indicate leakage or escape.</w:t>
      </w:r>
    </w:p>
    <w:p w14:paraId="58517155" w14:textId="77777777" w:rsidR="005037E4" w:rsidRDefault="005037E4" w:rsidP="00756CAC">
      <w:pPr>
        <w:pStyle w:val="F9-Paragraph"/>
        <w:sectPr w:rsidR="005037E4" w:rsidSect="005037E4">
          <w:pgSz w:w="11906" w:h="16838" w:code="9"/>
          <w:pgMar w:top="1440" w:right="1440" w:bottom="1440" w:left="1440" w:header="397" w:footer="397" w:gutter="0"/>
          <w:cols w:space="312"/>
          <w:docGrid w:linePitch="360"/>
        </w:sectPr>
      </w:pPr>
    </w:p>
    <w:p w14:paraId="79CB813D" w14:textId="3DB14CDE" w:rsidR="00D42EF1" w:rsidRDefault="00D42EF1" w:rsidP="00756CAC">
      <w:pPr>
        <w:pStyle w:val="F9-Paragraph"/>
      </w:pPr>
      <w:r>
        <w:lastRenderedPageBreak/>
        <w:t xml:space="preserve">Licensees must have procedures to ensure prompt and appropriate operator action in the event of a leak or escape, including risk minimisation, timely clean-up, and updates to safety cases. Inspectors should verify the adequacy of these responses and provisions for assessing radiological consequences and mitigating risks. </w:t>
      </w:r>
    </w:p>
    <w:p w14:paraId="3D59AD3E" w14:textId="1150C4AD" w:rsidR="00756CAC" w:rsidRPr="00756CAC" w:rsidRDefault="00756CAC" w:rsidP="00756CAC">
      <w:pPr>
        <w:pStyle w:val="F9-Paragraph"/>
      </w:pPr>
      <w:r>
        <w:t xml:space="preserve">In </w:t>
      </w:r>
      <w:r w:rsidR="00953691">
        <w:t xml:space="preserve">legacy </w:t>
      </w:r>
      <w:r>
        <w:t>facilities with compromised containment, where repairs are not feasible, licensees must demonstrate that risks are managed ALARP, provide justification for unrepaired containment, and implement mitigation measures. Such cases should be escalated to ONR management and the relevant environment agency</w:t>
      </w:r>
      <w:r w:rsidR="000B6DBD">
        <w:t>, where relevant</w:t>
      </w:r>
      <w:r>
        <w:t xml:space="preserve">. Where removal of </w:t>
      </w:r>
      <w:r w:rsidR="00A70390">
        <w:t xml:space="preserve">inventory </w:t>
      </w:r>
      <w:r>
        <w:t xml:space="preserve">is the only practicable solution, regulatory expectations must balance safe, timely retrieval with ongoing risk management. Compliance with </w:t>
      </w:r>
      <w:r w:rsidR="005037E4">
        <w:t>LC 34</w:t>
      </w:r>
      <w:r>
        <w:t xml:space="preserve"> must be considered throughout the retrieval process, as addressed in modification proposals.</w:t>
      </w:r>
    </w:p>
    <w:p w14:paraId="55BA84EF" w14:textId="55C7D816" w:rsidR="00FC5D1E" w:rsidRPr="002C141B" w:rsidRDefault="00672CF3" w:rsidP="00672CF3">
      <w:pPr>
        <w:pStyle w:val="F9-Paragraph"/>
      </w:pPr>
      <w:r w:rsidRPr="00672CF3">
        <w:t xml:space="preserve">SSCs that prevent leakage or escape of radioactive material and </w:t>
      </w:r>
      <w:r w:rsidR="004220DF" w:rsidRPr="00284024">
        <w:t xml:space="preserve">radioactive </w:t>
      </w:r>
      <w:r w:rsidRPr="00672CF3">
        <w:t>waste often serve additional operational or safety functions. Inspectors should ensure that licensees appropriately recognise and maintain containment features, and do not overlook their importance in favour of other functions</w:t>
      </w:r>
      <w:r w:rsidR="00AC1F4F">
        <w:t>, particularly</w:t>
      </w:r>
      <w:r w:rsidR="002C141B">
        <w:rPr>
          <w:lang w:val="en"/>
        </w:rPr>
        <w:t>:</w:t>
      </w:r>
    </w:p>
    <w:p w14:paraId="608218FE" w14:textId="67E2BEB2" w:rsidR="002C141B" w:rsidRPr="00AC1F4F" w:rsidRDefault="002C141B" w:rsidP="005037E4">
      <w:pPr>
        <w:pStyle w:val="Bulletlist1"/>
      </w:pPr>
      <w:r w:rsidRPr="00AC1F4F">
        <w:t>Gloveboxes</w:t>
      </w:r>
      <w:r w:rsidR="00AC1F4F">
        <w:t xml:space="preserve"> </w:t>
      </w:r>
      <w:r w:rsidRPr="00AC1F4F">
        <w:t>that provide a pressure boundary</w:t>
      </w:r>
    </w:p>
    <w:p w14:paraId="55442EA1" w14:textId="44BED449" w:rsidR="002C141B" w:rsidRPr="00AC1F4F" w:rsidRDefault="002C141B" w:rsidP="005037E4">
      <w:pPr>
        <w:pStyle w:val="Bulletlist1"/>
      </w:pPr>
      <w:r w:rsidRPr="00AC1F4F">
        <w:t>Ventilation systems</w:t>
      </w:r>
    </w:p>
    <w:p w14:paraId="021AE036" w14:textId="41B61D3B" w:rsidR="002C141B" w:rsidRPr="00AC1F4F" w:rsidRDefault="002C141B" w:rsidP="005037E4">
      <w:pPr>
        <w:pStyle w:val="Bulletlist1"/>
      </w:pPr>
      <w:r w:rsidRPr="00AC1F4F">
        <w:t>Fuel storage pond civil structures</w:t>
      </w:r>
    </w:p>
    <w:p w14:paraId="7F95C252" w14:textId="08B4F88B" w:rsidR="002C141B" w:rsidRDefault="002C141B" w:rsidP="005037E4">
      <w:pPr>
        <w:pStyle w:val="Bulletlist1"/>
      </w:pPr>
      <w:r w:rsidRPr="00AC1F4F">
        <w:t>Effluent treatment plant civil structures and associated pipework.</w:t>
      </w:r>
    </w:p>
    <w:p w14:paraId="152D7686" w14:textId="27A37579" w:rsidR="00F4034C" w:rsidRDefault="00F4034C" w:rsidP="00F4034C">
      <w:pPr>
        <w:pStyle w:val="F9-Paragraph"/>
      </w:pPr>
      <w:r w:rsidRPr="00251BCC">
        <w:t>Additional guidance</w:t>
      </w:r>
      <w:r w:rsidR="008A0A71">
        <w:t>,</w:t>
      </w:r>
      <w:r w:rsidRPr="00251BCC">
        <w:t xml:space="preserve"> </w:t>
      </w:r>
      <w:r w:rsidR="008A0A71">
        <w:t xml:space="preserve">which may be relevant, </w:t>
      </w:r>
      <w:r>
        <w:rPr>
          <w:color w:val="000000"/>
        </w:rPr>
        <w:t xml:space="preserve">on ONR’s expectations regarding </w:t>
      </w:r>
      <w:r w:rsidR="005037E4">
        <w:rPr>
          <w:color w:val="000000"/>
        </w:rPr>
        <w:t>LC 34</w:t>
      </w:r>
      <w:r>
        <w:rPr>
          <w:color w:val="000000"/>
        </w:rPr>
        <w:t xml:space="preserve"> and containment </w:t>
      </w:r>
      <w:r w:rsidRPr="00251BCC">
        <w:t>is available in the following ONR Technical Assessment Guides (TAG):</w:t>
      </w:r>
    </w:p>
    <w:p w14:paraId="0C28C268" w14:textId="1E918C83" w:rsidR="00F4034C" w:rsidRPr="00961045" w:rsidRDefault="00F4034C" w:rsidP="005037E4">
      <w:pPr>
        <w:pStyle w:val="Bulletlist1"/>
      </w:pPr>
      <w:hyperlink r:id="rId21" w:history="1">
        <w:r w:rsidRPr="001A5396">
          <w:rPr>
            <w:rStyle w:val="Hyperlink"/>
          </w:rPr>
          <w:t>NS-TAST-GD-019 – Essential Services</w:t>
        </w:r>
      </w:hyperlink>
    </w:p>
    <w:p w14:paraId="12B6CD73" w14:textId="1ABC85EB" w:rsidR="00F4034C" w:rsidRPr="00961045" w:rsidRDefault="00F4034C" w:rsidP="005037E4">
      <w:pPr>
        <w:pStyle w:val="Bulletlist1"/>
      </w:pPr>
      <w:hyperlink r:id="rId22" w:history="1">
        <w:r w:rsidRPr="007209B3">
          <w:rPr>
            <w:rStyle w:val="Hyperlink"/>
          </w:rPr>
          <w:t>NS-TAST-GD-020 – Civil engineering containments for reactor plants</w:t>
        </w:r>
      </w:hyperlink>
    </w:p>
    <w:p w14:paraId="09F47B10" w14:textId="2CE65DCF" w:rsidR="00F4034C" w:rsidRPr="00961045" w:rsidRDefault="00F4034C" w:rsidP="005037E4">
      <w:pPr>
        <w:pStyle w:val="Bulletlist1"/>
      </w:pPr>
      <w:hyperlink r:id="rId23" w:history="1">
        <w:r w:rsidRPr="00204315">
          <w:rPr>
            <w:rStyle w:val="Hyperlink"/>
          </w:rPr>
          <w:t>NS-TAST-GD-021 – Containment: Chemical Plants</w:t>
        </w:r>
      </w:hyperlink>
    </w:p>
    <w:p w14:paraId="5D4CE532" w14:textId="6900B816" w:rsidR="002C141B" w:rsidRPr="002C141B" w:rsidRDefault="0014264B" w:rsidP="0014264B">
      <w:pPr>
        <w:pStyle w:val="F9-Paragraph"/>
      </w:pPr>
      <w:r w:rsidRPr="0014264B">
        <w:t xml:space="preserve">Buildings with restricted-access areas (e.g., basements, sumps) are vulnerable to water ingress and leakage. Radioactive material and </w:t>
      </w:r>
      <w:r w:rsidR="003A1AC5" w:rsidRPr="00284024">
        <w:t xml:space="preserve">radioactive </w:t>
      </w:r>
      <w:r w:rsidRPr="0014264B">
        <w:t>waste should be segregated from potential leak paths, especially in facilities handling large volumes of radioactive liquids.</w:t>
      </w:r>
      <w:r w:rsidR="002C141B" w:rsidRPr="002C141B">
        <w:rPr>
          <w:lang w:val="en"/>
        </w:rPr>
        <w:t xml:space="preserve"> Factors an </w:t>
      </w:r>
      <w:r w:rsidR="0082121C">
        <w:rPr>
          <w:lang w:val="en"/>
        </w:rPr>
        <w:t>i</w:t>
      </w:r>
      <w:r w:rsidR="002C141B" w:rsidRPr="002C141B">
        <w:rPr>
          <w:lang w:val="en"/>
        </w:rPr>
        <w:t>nspector may wish to consider in these situations include</w:t>
      </w:r>
      <w:r w:rsidR="002C141B">
        <w:rPr>
          <w:lang w:val="en"/>
        </w:rPr>
        <w:t>:</w:t>
      </w:r>
    </w:p>
    <w:p w14:paraId="6F877A9B" w14:textId="1C75BDA8" w:rsidR="008B3B74" w:rsidRPr="008B3B74" w:rsidRDefault="008B3B74" w:rsidP="005037E4">
      <w:pPr>
        <w:pStyle w:val="Bulletlist1"/>
      </w:pPr>
      <w:r w:rsidRPr="008B3B74">
        <w:t xml:space="preserve">Confirm the licensee has comprehensive, accurate data on the status and condition of all sumps, voids, vaults, catch pots, and basements. </w:t>
      </w:r>
    </w:p>
    <w:p w14:paraId="3B778F22" w14:textId="0F75CA87" w:rsidR="008B3B74" w:rsidRPr="008B3B74" w:rsidRDefault="008B3B74" w:rsidP="005037E4">
      <w:pPr>
        <w:pStyle w:val="Bulletlist1"/>
      </w:pPr>
      <w:r w:rsidRPr="008B3B74">
        <w:lastRenderedPageBreak/>
        <w:t xml:space="preserve">Verify all reasonably practicable measures are taken to prevent liquid accumulation and minimise leakage or escape, including making structures watertight and preventing rainwater ingress. </w:t>
      </w:r>
    </w:p>
    <w:p w14:paraId="41D1D0A5" w14:textId="0ADF0302" w:rsidR="008B3B74" w:rsidRPr="008B3B74" w:rsidRDefault="008B3B74" w:rsidP="005037E4">
      <w:pPr>
        <w:pStyle w:val="Bulletlist1"/>
      </w:pPr>
      <w:r w:rsidRPr="008B3B74">
        <w:t>Check operational procedures provide for appropriate response to significant leaks, including cessation of operations if necessary.</w:t>
      </w:r>
    </w:p>
    <w:p w14:paraId="293E1D30" w14:textId="07646DA6" w:rsidR="008B3B74" w:rsidRPr="008B3B74" w:rsidRDefault="008B3B74" w:rsidP="005037E4">
      <w:pPr>
        <w:pStyle w:val="Bulletlist1"/>
      </w:pPr>
      <w:r w:rsidRPr="008B3B74">
        <w:t xml:space="preserve">Assess whether the licensee understands the source and radioactivity of any liquid accumulation. </w:t>
      </w:r>
    </w:p>
    <w:p w14:paraId="4EF28CB5" w14:textId="7B84003B" w:rsidR="008B3B74" w:rsidRPr="008B3B74" w:rsidRDefault="008B3B74" w:rsidP="005037E4">
      <w:pPr>
        <w:pStyle w:val="Bulletlist1"/>
      </w:pPr>
      <w:r w:rsidRPr="008B3B74">
        <w:t>Confirm detailed knowledge of all potential ingress/egress routes that may lead to leaks or spread of radioactivity.</w:t>
      </w:r>
    </w:p>
    <w:p w14:paraId="4A0CE687" w14:textId="5C6FD697" w:rsidR="008B3B74" w:rsidRPr="008B3B74" w:rsidRDefault="008B3B74" w:rsidP="005037E4">
      <w:pPr>
        <w:pStyle w:val="Bulletlist1"/>
      </w:pPr>
      <w:r w:rsidRPr="008B3B74">
        <w:t>Verify an appropriate sampling programme is in place to ensure accumulated liquids do not contain significant radioactivity.</w:t>
      </w:r>
    </w:p>
    <w:p w14:paraId="62BE4352" w14:textId="4A6FBF38" w:rsidR="008B3B74" w:rsidRDefault="008B3B74" w:rsidP="005037E4">
      <w:pPr>
        <w:pStyle w:val="Bulletlist1"/>
      </w:pPr>
      <w:r w:rsidRPr="008B3B74">
        <w:t>Ensure effective ground and groundwater monitoring is conducted, especially for sites with concealed underground structures.</w:t>
      </w:r>
    </w:p>
    <w:p w14:paraId="13674861" w14:textId="15B41791" w:rsidR="00C638B5" w:rsidRPr="000D6B58" w:rsidRDefault="00764605" w:rsidP="00764605">
      <w:pPr>
        <w:pStyle w:val="F9-Paragraph"/>
      </w:pPr>
      <w:r w:rsidRPr="00764605">
        <w:t>Many licensees store or transfer radioactive fluids in concealed or inaccessible SSCs, such as tanks, sumps, or pipework within civil structures or under insulation. These are challenging to inspect and maintain, increasing the risk of undetected degradation. Licensees must demonstrate robust arrangements for inspecting, monitoring, and remediating such SSCs to ensure ongoing safety.</w:t>
      </w:r>
      <w:r w:rsidR="00365FC1">
        <w:t xml:space="preserve"> Inspectors should consider:</w:t>
      </w:r>
    </w:p>
    <w:p w14:paraId="7C1AE5C3" w14:textId="20B26615" w:rsidR="00F86DF9" w:rsidRPr="00F86DF9" w:rsidRDefault="00F86DF9" w:rsidP="005037E4">
      <w:pPr>
        <w:pStyle w:val="Bulletlist1"/>
      </w:pPr>
      <w:r w:rsidRPr="00F86DF9">
        <w:t>Confirm indirect signs of degradation, such as damaged cladding, vegetation growth, or corroded support structures.</w:t>
      </w:r>
    </w:p>
    <w:p w14:paraId="2EED633A" w14:textId="1EB26CBF" w:rsidR="00F86DF9" w:rsidRPr="00F86DF9" w:rsidRDefault="00F86DF9" w:rsidP="005037E4">
      <w:pPr>
        <w:pStyle w:val="Bulletlist1"/>
      </w:pPr>
      <w:r w:rsidRPr="00F86DF9">
        <w:t xml:space="preserve">Verify safety cases address the long-term performance and suitability of materials for concealed SSCs, considering ageing and radiation effects. </w:t>
      </w:r>
    </w:p>
    <w:p w14:paraId="6404656F" w14:textId="62EA0103" w:rsidR="00F86DF9" w:rsidRPr="00F86DF9" w:rsidRDefault="00F86DF9" w:rsidP="005037E4">
      <w:pPr>
        <w:pStyle w:val="Bulletlist1"/>
      </w:pPr>
      <w:r w:rsidRPr="00F86DF9">
        <w:t xml:space="preserve">Assess protection against system interactions (e.g., temperature, vibration, corrosion) in areas with co-located services. </w:t>
      </w:r>
    </w:p>
    <w:p w14:paraId="17B44A77" w14:textId="50FC0118" w:rsidR="00F86DF9" w:rsidRPr="00F86DF9" w:rsidRDefault="00F86DF9" w:rsidP="005037E4">
      <w:pPr>
        <w:pStyle w:val="Bulletlist1"/>
      </w:pPr>
      <w:r w:rsidRPr="00F86DF9">
        <w:t xml:space="preserve">Ensure accurate records and clear identification of concealed SSC locations, with appropriate warnings. </w:t>
      </w:r>
    </w:p>
    <w:p w14:paraId="7A99635C" w14:textId="059A581C" w:rsidR="00F86DF9" w:rsidRPr="00F86DF9" w:rsidRDefault="00F86DF9" w:rsidP="005037E4">
      <w:pPr>
        <w:pStyle w:val="Bulletlist1"/>
      </w:pPr>
      <w:r w:rsidRPr="00F86DF9">
        <w:t xml:space="preserve">Confirm EIMT arrangements substantiate the performance of remote or inaccessible SSCs, especially for lifetime extension. </w:t>
      </w:r>
    </w:p>
    <w:p w14:paraId="6985C019" w14:textId="6A976278" w:rsidR="00F86DF9" w:rsidRPr="00F86DF9" w:rsidRDefault="00F86DF9" w:rsidP="005037E4">
      <w:pPr>
        <w:pStyle w:val="Bulletlist1"/>
      </w:pPr>
      <w:r w:rsidRPr="00F86DF9">
        <w:t xml:space="preserve">Evaluate systems for effective management and communication across concealed services, including modification impacts. </w:t>
      </w:r>
    </w:p>
    <w:p w14:paraId="6E6AF15B" w14:textId="4696E6AA" w:rsidR="00F86DF9" w:rsidRDefault="00F86DF9" w:rsidP="005037E4">
      <w:pPr>
        <w:pStyle w:val="Bulletlist1"/>
      </w:pPr>
      <w:r w:rsidRPr="00F86DF9">
        <w:t>Review plans for decommissioning or modifications that address impacts on concealed SSCs and manage degradation risks</w:t>
      </w:r>
      <w:r w:rsidR="00B3771B">
        <w:t>.</w:t>
      </w:r>
    </w:p>
    <w:p w14:paraId="3F931370" w14:textId="370CC92C" w:rsidR="00384663" w:rsidRPr="0059448D" w:rsidRDefault="00410D4E" w:rsidP="00410D4E">
      <w:pPr>
        <w:pStyle w:val="F9-Paragraph"/>
      </w:pPr>
      <w:r w:rsidRPr="00410D4E">
        <w:t xml:space="preserve">Containment systems must be designed, operated, and maintained to accommodate all foreseeable changes in stored radioactive material or </w:t>
      </w:r>
      <w:r w:rsidR="00816D45" w:rsidRPr="00284024">
        <w:t xml:space="preserve">radioactive </w:t>
      </w:r>
      <w:r w:rsidRPr="00410D4E">
        <w:t xml:space="preserve">waste throughout their lifetime. Extended storage presents </w:t>
      </w:r>
      <w:r w:rsidRPr="00410D4E">
        <w:lastRenderedPageBreak/>
        <w:t>particular challenges that require robust arrangements.</w:t>
      </w:r>
      <w:r w:rsidR="00384663" w:rsidRPr="00384663">
        <w:rPr>
          <w:lang w:val="en"/>
        </w:rPr>
        <w:t xml:space="preserve"> Factors an </w:t>
      </w:r>
      <w:r w:rsidR="0082121C">
        <w:rPr>
          <w:lang w:val="en"/>
        </w:rPr>
        <w:t>i</w:t>
      </w:r>
      <w:r w:rsidR="00384663" w:rsidRPr="00384663">
        <w:rPr>
          <w:lang w:val="en"/>
        </w:rPr>
        <w:t>nspector may wish to consider include the following</w:t>
      </w:r>
      <w:r w:rsidR="00384663">
        <w:rPr>
          <w:lang w:val="en"/>
        </w:rPr>
        <w:t>:</w:t>
      </w:r>
    </w:p>
    <w:p w14:paraId="04814F15" w14:textId="4B5E23AF" w:rsidR="00E53ED6" w:rsidRPr="00E53ED6" w:rsidRDefault="00E53ED6" w:rsidP="005037E4">
      <w:pPr>
        <w:pStyle w:val="Bulletlist1"/>
      </w:pPr>
      <w:r w:rsidRPr="00E53ED6">
        <w:t>Assess whether arrangements are robust to changes in physical properties of both the stored inventory and containment SSCs, including corrosion and other degradation mechanisms.</w:t>
      </w:r>
    </w:p>
    <w:p w14:paraId="6FC38FEC" w14:textId="286C4E9C" w:rsidR="00E53ED6" w:rsidRPr="00E53ED6" w:rsidRDefault="00E53ED6" w:rsidP="005037E4">
      <w:pPr>
        <w:pStyle w:val="Bulletlist1"/>
      </w:pPr>
      <w:r w:rsidRPr="00E53ED6">
        <w:t xml:space="preserve">Confirm consideration of long-term radiation effects, such as embrittlement of engineered seals (e.g., PVC, natural rubber). </w:t>
      </w:r>
    </w:p>
    <w:p w14:paraId="7832A0EF" w14:textId="19F6C553" w:rsidR="00E53ED6" w:rsidRDefault="00E53ED6" w:rsidP="005037E4">
      <w:pPr>
        <w:pStyle w:val="Bulletlist1"/>
      </w:pPr>
      <w:r w:rsidRPr="00E53ED6">
        <w:t>Evaluate controls for flammable gas generation, especially hydrogen from radiolysis, and associated explosion risks.</w:t>
      </w:r>
    </w:p>
    <w:p w14:paraId="49204560" w14:textId="7039541E" w:rsidR="008909B5" w:rsidRDefault="008909B5" w:rsidP="005037E4">
      <w:pPr>
        <w:pStyle w:val="Bulletlist1"/>
      </w:pPr>
      <w:r>
        <w:t>Confirm that appropriate disposability advice has been obtained</w:t>
      </w:r>
      <w:r w:rsidR="000E7BDB">
        <w:t xml:space="preserve"> and that the on-site management of radioactive waste </w:t>
      </w:r>
      <w:r w:rsidR="00B853CA">
        <w:t xml:space="preserve">implements the advice, </w:t>
      </w:r>
      <w:r w:rsidR="00FD2B31">
        <w:t xml:space="preserve">or is supported by clear justification </w:t>
      </w:r>
      <w:r w:rsidR="002539F8">
        <w:t>and appropriate risk mitigation.</w:t>
      </w:r>
    </w:p>
    <w:p w14:paraId="139EAF02" w14:textId="30342315" w:rsidR="0059448D" w:rsidRPr="00B676D3" w:rsidRDefault="0056463A" w:rsidP="0059448D">
      <w:pPr>
        <w:pStyle w:val="F9-Paragraph"/>
      </w:pPr>
      <w:r w:rsidRPr="0056463A">
        <w:rPr>
          <w:rFonts w:asciiTheme="minorHAnsi" w:eastAsiaTheme="minorHAnsi" w:hAnsiTheme="minorHAnsi" w:cstheme="minorBidi"/>
          <w:bCs/>
          <w:lang w:bidi="ar-SA"/>
        </w:rPr>
        <w:t xml:space="preserve">The EIMT programme should </w:t>
      </w:r>
      <w:r w:rsidR="00EE2286">
        <w:rPr>
          <w:rFonts w:asciiTheme="minorHAnsi" w:eastAsiaTheme="minorHAnsi" w:hAnsiTheme="minorHAnsi" w:cstheme="minorBidi"/>
          <w:bCs/>
          <w:lang w:bidi="ar-SA"/>
        </w:rPr>
        <w:t>en</w:t>
      </w:r>
      <w:r w:rsidRPr="0056463A">
        <w:rPr>
          <w:rFonts w:asciiTheme="minorHAnsi" w:eastAsiaTheme="minorHAnsi" w:hAnsiTheme="minorHAnsi" w:cstheme="minorBidi"/>
          <w:bCs/>
          <w:lang w:bidi="ar-SA"/>
        </w:rPr>
        <w:t xml:space="preserve">sure that all SSCs preventing leakage or escape of radioactive material and </w:t>
      </w:r>
      <w:r w:rsidR="002539F8" w:rsidRPr="00284024">
        <w:t xml:space="preserve">radioactive </w:t>
      </w:r>
      <w:r w:rsidRPr="0056463A">
        <w:rPr>
          <w:rFonts w:asciiTheme="minorHAnsi" w:eastAsiaTheme="minorHAnsi" w:hAnsiTheme="minorHAnsi" w:cstheme="minorBidi"/>
          <w:bCs/>
          <w:lang w:bidi="ar-SA"/>
        </w:rPr>
        <w:t>waste remain effective throughout their service life.</w:t>
      </w:r>
      <w:r w:rsidR="008B77C6" w:rsidRPr="008B77C6">
        <w:rPr>
          <w:rFonts w:asciiTheme="minorHAnsi" w:eastAsiaTheme="minorHAnsi" w:hAnsiTheme="minorHAnsi" w:cstheme="minorBidi"/>
          <w:bCs/>
          <w:lang w:bidi="ar-SA"/>
        </w:rPr>
        <w:t xml:space="preserve"> </w:t>
      </w:r>
      <w:r w:rsidR="008B77C6" w:rsidRPr="0056463A">
        <w:rPr>
          <w:rFonts w:asciiTheme="minorHAnsi" w:eastAsiaTheme="minorHAnsi" w:hAnsiTheme="minorHAnsi" w:cstheme="minorBidi"/>
          <w:bCs/>
          <w:lang w:bidi="ar-SA"/>
        </w:rPr>
        <w:t>Checks must address fatigue failure in pipe-work and process vessels due to vibration, temperature/pressure variations, and radiation</w:t>
      </w:r>
      <w:r w:rsidR="008B77C6">
        <w:rPr>
          <w:rFonts w:asciiTheme="minorHAnsi" w:eastAsiaTheme="minorHAnsi" w:hAnsiTheme="minorHAnsi" w:cstheme="minorBidi"/>
          <w:bCs/>
          <w:lang w:bidi="ar-SA"/>
        </w:rPr>
        <w:t>.</w:t>
      </w:r>
      <w:r w:rsidR="008B77C6" w:rsidRPr="008B77C6">
        <w:t xml:space="preserve"> </w:t>
      </w:r>
      <w:r w:rsidR="008B77C6" w:rsidRPr="0056463A">
        <w:t>Checks must also address corrosion failure in components exposed to harsh environments.</w:t>
      </w:r>
    </w:p>
    <w:p w14:paraId="44DE00A9" w14:textId="4EEC0277" w:rsidR="00B676D3" w:rsidRDefault="008427E7" w:rsidP="008427E7">
      <w:pPr>
        <w:pStyle w:val="F9-Paragraph"/>
      </w:pPr>
      <w:r w:rsidRPr="008427E7">
        <w:t>Radioactive waste held in long-term storage should, where reasonably practicable, be immobilised and contained to minimise leakage or escape, in line with Joint ONR, EA, SEPA, and NRW guidance.</w:t>
      </w:r>
      <w:r w:rsidR="00AB7E1F">
        <w:t xml:space="preserve"> </w:t>
      </w:r>
      <w:r w:rsidR="00E10AEC">
        <w:t>Inspectors should</w:t>
      </w:r>
      <w:r w:rsidR="00B676D3">
        <w:t>:</w:t>
      </w:r>
    </w:p>
    <w:p w14:paraId="18CBB476" w14:textId="47D027DF" w:rsidR="009A15F4" w:rsidRPr="009A15F4" w:rsidRDefault="009A15F4" w:rsidP="005037E4">
      <w:pPr>
        <w:pStyle w:val="Bulletlist1"/>
      </w:pPr>
      <w:r w:rsidRPr="009A15F4">
        <w:t xml:space="preserve">Confirm a Radioactive Waste Management Case (RWMC) </w:t>
      </w:r>
      <w:r w:rsidR="006347F1">
        <w:t xml:space="preserve">or similar </w:t>
      </w:r>
      <w:r w:rsidRPr="009A15F4">
        <w:t>exists, with reference to a</w:t>
      </w:r>
      <w:r w:rsidR="00C1575D">
        <w:t>ppropriate disposability assessment or advice, such as</w:t>
      </w:r>
      <w:r w:rsidRPr="009A15F4">
        <w:t xml:space="preserve"> </w:t>
      </w:r>
      <w:r w:rsidR="00C1575D">
        <w:t>a</w:t>
      </w:r>
      <w:r w:rsidR="00C1575D" w:rsidRPr="009A15F4">
        <w:t xml:space="preserve"> </w:t>
      </w:r>
      <w:r w:rsidRPr="009A15F4">
        <w:t>Letter of Compliance (LoC) from Nuclear Waste Services.</w:t>
      </w:r>
    </w:p>
    <w:p w14:paraId="229A6C14" w14:textId="3897C16B" w:rsidR="009A15F4" w:rsidRPr="009A15F4" w:rsidRDefault="009A15F4" w:rsidP="005037E4">
      <w:pPr>
        <w:pStyle w:val="Bulletlist1"/>
      </w:pPr>
      <w:r w:rsidRPr="009A15F4">
        <w:t>Verify radioactivity is adequately immobilised</w:t>
      </w:r>
      <w:r w:rsidR="00E627FD">
        <w:t xml:space="preserve"> and the </w:t>
      </w:r>
      <w:r w:rsidRPr="009A15F4">
        <w:t xml:space="preserve"> waste form and container are physically and chemically </w:t>
      </w:r>
      <w:r w:rsidR="00E627FD">
        <w:t xml:space="preserve">compatible and </w:t>
      </w:r>
      <w:r w:rsidRPr="009A15F4">
        <w:t>stable.</w:t>
      </w:r>
    </w:p>
    <w:p w14:paraId="07D60315" w14:textId="7775835E" w:rsidR="009A15F4" w:rsidRPr="009A15F4" w:rsidRDefault="009A15F4" w:rsidP="005037E4">
      <w:pPr>
        <w:pStyle w:val="Bulletlist1"/>
      </w:pPr>
      <w:r w:rsidRPr="009A15F4">
        <w:t>Assess whether the storage environment maximises the life of the waste package.</w:t>
      </w:r>
    </w:p>
    <w:p w14:paraId="6E73E462" w14:textId="77777777" w:rsidR="00247E3E" w:rsidRPr="009A15F4" w:rsidRDefault="00247E3E" w:rsidP="005037E4">
      <w:pPr>
        <w:pStyle w:val="Bulletlist1"/>
      </w:pPr>
      <w:r w:rsidRPr="009A15F4">
        <w:t>Ensure waste packages are inspected regularly, typically through a Condition Monitoring and Inspection (CM&amp;I) regime.</w:t>
      </w:r>
    </w:p>
    <w:p w14:paraId="3840FF04" w14:textId="5C1BE0F1" w:rsidR="009A15F4" w:rsidRPr="009A15F4" w:rsidRDefault="009A15F4" w:rsidP="005037E4">
      <w:pPr>
        <w:pStyle w:val="Bulletlist1"/>
      </w:pPr>
      <w:r w:rsidRPr="009A15F4">
        <w:t xml:space="preserve">Confirm secondary containments have alarms and monitoring systems, and relevant SSCs are properly maintained. </w:t>
      </w:r>
    </w:p>
    <w:p w14:paraId="55F65150" w14:textId="13E0E0A5" w:rsidR="009A15F4" w:rsidRPr="009A15F4" w:rsidRDefault="009A15F4" w:rsidP="005037E4">
      <w:pPr>
        <w:pStyle w:val="Bulletlist1"/>
      </w:pPr>
      <w:r w:rsidRPr="009A15F4">
        <w:t>Verify contingent systems are in place to respond to any leaking waste packages.</w:t>
      </w:r>
    </w:p>
    <w:p w14:paraId="5E145EE4" w14:textId="6AD006D9" w:rsidR="009A15F4" w:rsidRDefault="009A15F4" w:rsidP="005037E4">
      <w:pPr>
        <w:pStyle w:val="Bulletlist1"/>
      </w:pPr>
      <w:r w:rsidRPr="009A15F4">
        <w:t>Confirm the justified lifetime of the store and waste packages aligns with the intended disposal route.</w:t>
      </w:r>
    </w:p>
    <w:p w14:paraId="35D9BB1E" w14:textId="77777777" w:rsidR="005037E4" w:rsidRDefault="005037E4" w:rsidP="001D0366">
      <w:pPr>
        <w:pStyle w:val="F9-Paragraph"/>
        <w:rPr>
          <w:b/>
          <w:bCs/>
        </w:rPr>
        <w:sectPr w:rsidR="005037E4" w:rsidSect="005037E4">
          <w:pgSz w:w="11906" w:h="16838" w:code="9"/>
          <w:pgMar w:top="1440" w:right="1440" w:bottom="1440" w:left="1440" w:header="397" w:footer="397" w:gutter="0"/>
          <w:cols w:space="312"/>
          <w:docGrid w:linePitch="360"/>
        </w:sectPr>
      </w:pPr>
    </w:p>
    <w:p w14:paraId="0CAED02F" w14:textId="2975590B" w:rsidR="005037E4" w:rsidRDefault="00B51DD1" w:rsidP="005037E4">
      <w:pPr>
        <w:pStyle w:val="Heading1"/>
      </w:pPr>
      <w:r w:rsidRPr="00B51DD1">
        <w:lastRenderedPageBreak/>
        <w:t>Conclusion</w:t>
      </w:r>
      <w:r>
        <w:t xml:space="preserve"> </w:t>
      </w:r>
    </w:p>
    <w:p w14:paraId="6593B190" w14:textId="7CEC34B4" w:rsidR="009D0084" w:rsidRDefault="005037E4" w:rsidP="001D0366">
      <w:pPr>
        <w:pStyle w:val="F9-Paragraph"/>
      </w:pPr>
      <w:r>
        <w:t>LC 34</w:t>
      </w:r>
      <w:r w:rsidR="00B51DD1">
        <w:t xml:space="preserve"> inspections are vital to ensuring the safe management of radioactive materials and wastes on nuclear licensed sites. By rigorously assessing containment arrangements, inventory control, and management oversight, inspectors help prevent unplanned leaks or escapes that could pose significant risks to people and the environment. Effective </w:t>
      </w:r>
      <w:r>
        <w:t>LC 34</w:t>
      </w:r>
      <w:r w:rsidR="00B51DD1">
        <w:t xml:space="preserve"> inspections not only verify compliance with regulatory requirements but also promote a culture of continuous improvement, robust incident response, and clear custodianship</w:t>
      </w:r>
      <w:r w:rsidR="00843799">
        <w:t xml:space="preserve"> supporting eventual disposal</w:t>
      </w:r>
      <w:r w:rsidR="00B51DD1">
        <w:t xml:space="preserve">. </w:t>
      </w:r>
    </w:p>
    <w:p w14:paraId="28A23B47" w14:textId="77777777" w:rsidR="005037E4" w:rsidRDefault="005037E4" w:rsidP="005037E4">
      <w:pPr>
        <w:pStyle w:val="F9-Paragraph"/>
        <w:numPr>
          <w:ilvl w:val="0"/>
          <w:numId w:val="0"/>
        </w:numPr>
        <w:ind w:left="851"/>
      </w:pPr>
    </w:p>
    <w:bookmarkStart w:id="8" w:name="_Toc217043176" w:displacedByCustomXml="next"/>
    <w:bookmarkStart w:id="9" w:name="_Toc214364430" w:displacedByCustomXml="next"/>
    <w:sdt>
      <w:sdtPr>
        <w:rPr>
          <w:color w:val="auto"/>
          <w:sz w:val="24"/>
        </w:rPr>
        <w:id w:val="1787928740"/>
        <w:docPartObj>
          <w:docPartGallery w:val="Bibliographies"/>
          <w:docPartUnique/>
        </w:docPartObj>
      </w:sdtPr>
      <w:sdtEndPr/>
      <w:sdtContent>
        <w:p w14:paraId="6E0FD932" w14:textId="6CE80A08" w:rsidR="009D0084" w:rsidRPr="005A6FE4" w:rsidRDefault="009D0084" w:rsidP="005037E4">
          <w:pPr>
            <w:pStyle w:val="Heading1"/>
            <w:numPr>
              <w:ilvl w:val="0"/>
              <w:numId w:val="0"/>
            </w:numPr>
            <w:ind w:left="851" w:hanging="851"/>
          </w:pPr>
          <w:r w:rsidRPr="005A6FE4">
            <w:t>References</w:t>
          </w:r>
          <w:bookmarkEnd w:id="9"/>
          <w:bookmarkEnd w:id="8"/>
        </w:p>
        <w:sdt>
          <w:sdtPr>
            <w:id w:val="-573587230"/>
            <w:bibliography/>
          </w:sdtPr>
          <w:sdtEndPr/>
          <w:sdtContent>
            <w:p w14:paraId="7FA6EA57" w14:textId="77777777" w:rsidR="00A973FA" w:rsidRDefault="009D0084" w:rsidP="00864983">
              <w:pPr>
                <w:pStyle w:val="F9-Paragraph"/>
                <w:numPr>
                  <w:ilvl w:val="0"/>
                  <w:numId w:val="0"/>
                </w:numPr>
                <w:ind w:left="851"/>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A973FA" w14:paraId="389738CC" w14:textId="77777777">
                <w:trPr>
                  <w:divId w:val="1967151432"/>
                  <w:tblCellSpacing w:w="15" w:type="dxa"/>
                </w:trPr>
                <w:tc>
                  <w:tcPr>
                    <w:tcW w:w="50" w:type="pct"/>
                    <w:hideMark/>
                  </w:tcPr>
                  <w:p w14:paraId="33237417" w14:textId="6944636B" w:rsidR="00A973FA" w:rsidRDefault="00A973FA">
                    <w:pPr>
                      <w:pStyle w:val="Bibliography"/>
                      <w:rPr>
                        <w:noProof/>
                        <w:szCs w:val="24"/>
                      </w:rPr>
                    </w:pPr>
                    <w:r>
                      <w:rPr>
                        <w:noProof/>
                      </w:rPr>
                      <w:t xml:space="preserve">[1] </w:t>
                    </w:r>
                  </w:p>
                </w:tc>
                <w:tc>
                  <w:tcPr>
                    <w:tcW w:w="0" w:type="auto"/>
                    <w:hideMark/>
                  </w:tcPr>
                  <w:p w14:paraId="722961BB" w14:textId="77777777" w:rsidR="00A973FA" w:rsidRDefault="00A973FA">
                    <w:pPr>
                      <w:pStyle w:val="Bibliography"/>
                      <w:rPr>
                        <w:noProof/>
                      </w:rPr>
                    </w:pPr>
                    <w:r>
                      <w:rPr>
                        <w:noProof/>
                      </w:rPr>
                      <w:t>ONR, “ONR-RD-POL-002 - Risk Informed and Targeted Engagements (RITE),” [Online]. Available: To ONR staff via HOW2 Hub (Internal ONR system).</w:t>
                    </w:r>
                  </w:p>
                </w:tc>
              </w:tr>
              <w:tr w:rsidR="00A973FA" w14:paraId="3E911131" w14:textId="77777777">
                <w:trPr>
                  <w:divId w:val="1967151432"/>
                  <w:tblCellSpacing w:w="15" w:type="dxa"/>
                </w:trPr>
                <w:tc>
                  <w:tcPr>
                    <w:tcW w:w="50" w:type="pct"/>
                    <w:hideMark/>
                  </w:tcPr>
                  <w:p w14:paraId="1C6AB950" w14:textId="77777777" w:rsidR="00A973FA" w:rsidRDefault="00A973FA">
                    <w:pPr>
                      <w:pStyle w:val="Bibliography"/>
                      <w:rPr>
                        <w:noProof/>
                      </w:rPr>
                    </w:pPr>
                    <w:r>
                      <w:rPr>
                        <w:noProof/>
                      </w:rPr>
                      <w:t xml:space="preserve">[2] </w:t>
                    </w:r>
                  </w:p>
                </w:tc>
                <w:tc>
                  <w:tcPr>
                    <w:tcW w:w="0" w:type="auto"/>
                    <w:hideMark/>
                  </w:tcPr>
                  <w:p w14:paraId="4553E550" w14:textId="77777777" w:rsidR="00A973FA" w:rsidRDefault="00A973FA">
                    <w:pPr>
                      <w:pStyle w:val="Bibliography"/>
                      <w:rPr>
                        <w:noProof/>
                      </w:rPr>
                    </w:pPr>
                    <w:r>
                      <w:rPr>
                        <w:noProof/>
                      </w:rPr>
                      <w:t>ONR, “Licence Condition Handbook,” [Online]. Available: To ONR staff via HOW2 Hub (Internal ONR system).</w:t>
                    </w:r>
                  </w:p>
                </w:tc>
              </w:tr>
              <w:tr w:rsidR="00A973FA" w14:paraId="4D8AB441" w14:textId="77777777">
                <w:trPr>
                  <w:divId w:val="1967151432"/>
                  <w:tblCellSpacing w:w="15" w:type="dxa"/>
                </w:trPr>
                <w:tc>
                  <w:tcPr>
                    <w:tcW w:w="50" w:type="pct"/>
                    <w:hideMark/>
                  </w:tcPr>
                  <w:p w14:paraId="5E4D6A8D" w14:textId="77777777" w:rsidR="00A973FA" w:rsidRDefault="00A973FA">
                    <w:pPr>
                      <w:pStyle w:val="Bibliography"/>
                      <w:rPr>
                        <w:noProof/>
                      </w:rPr>
                    </w:pPr>
                    <w:r>
                      <w:rPr>
                        <w:noProof/>
                      </w:rPr>
                      <w:t xml:space="preserve">[3] </w:t>
                    </w:r>
                  </w:p>
                </w:tc>
                <w:tc>
                  <w:tcPr>
                    <w:tcW w:w="0" w:type="auto"/>
                    <w:hideMark/>
                  </w:tcPr>
                  <w:p w14:paraId="5AFD96B0" w14:textId="77777777" w:rsidR="00A973FA" w:rsidRDefault="00A973FA">
                    <w:pPr>
                      <w:pStyle w:val="Bibliography"/>
                      <w:rPr>
                        <w:noProof/>
                      </w:rPr>
                    </w:pPr>
                    <w:r>
                      <w:rPr>
                        <w:noProof/>
                      </w:rPr>
                      <w:t>EA, ONR, “Memorandum of Understanding between the Office for Nuclear Regulation and the Environment Agency on matters of mutual interest in England”.</w:t>
                    </w:r>
                  </w:p>
                </w:tc>
              </w:tr>
              <w:tr w:rsidR="00A973FA" w14:paraId="6B7890F4" w14:textId="77777777">
                <w:trPr>
                  <w:divId w:val="1967151432"/>
                  <w:tblCellSpacing w:w="15" w:type="dxa"/>
                </w:trPr>
                <w:tc>
                  <w:tcPr>
                    <w:tcW w:w="50" w:type="pct"/>
                    <w:hideMark/>
                  </w:tcPr>
                  <w:p w14:paraId="5D32050B" w14:textId="77777777" w:rsidR="00A973FA" w:rsidRDefault="00A973FA">
                    <w:pPr>
                      <w:pStyle w:val="Bibliography"/>
                      <w:rPr>
                        <w:noProof/>
                      </w:rPr>
                    </w:pPr>
                    <w:r>
                      <w:rPr>
                        <w:noProof/>
                      </w:rPr>
                      <w:t xml:space="preserve">[4] </w:t>
                    </w:r>
                  </w:p>
                </w:tc>
                <w:tc>
                  <w:tcPr>
                    <w:tcW w:w="0" w:type="auto"/>
                    <w:hideMark/>
                  </w:tcPr>
                  <w:p w14:paraId="62F85242" w14:textId="77777777" w:rsidR="00A973FA" w:rsidRDefault="00A973FA">
                    <w:pPr>
                      <w:pStyle w:val="Bibliography"/>
                      <w:rPr>
                        <w:noProof/>
                      </w:rPr>
                    </w:pPr>
                    <w:r>
                      <w:rPr>
                        <w:noProof/>
                      </w:rPr>
                      <w:t>NRW, ONR, “Memorandum of Understanding between the Office of Nuclear Regulation and the Natural Resources Wales on matters of mutual interest in Wales”.</w:t>
                    </w:r>
                  </w:p>
                </w:tc>
              </w:tr>
            </w:tbl>
            <w:p w14:paraId="0B5DDED3" w14:textId="77777777" w:rsidR="00A973FA" w:rsidRDefault="00A973FA">
              <w:pPr>
                <w:divId w:val="1967151432"/>
                <w:rPr>
                  <w:rFonts w:eastAsia="Times New Roman"/>
                  <w:noProof/>
                </w:rPr>
              </w:pPr>
            </w:p>
            <w:p w14:paraId="65F8EF97" w14:textId="7E0A74F5" w:rsidR="00067CCF" w:rsidRPr="00864983" w:rsidRDefault="009D0084" w:rsidP="00864983">
              <w:pPr>
                <w:pStyle w:val="F9-Paragraph"/>
                <w:numPr>
                  <w:ilvl w:val="0"/>
                  <w:numId w:val="0"/>
                </w:numPr>
                <w:ind w:left="851"/>
                <w:rPr>
                  <w:rStyle w:val="Hyperlink"/>
                  <w:color w:val="auto"/>
                  <w:u w:val="none"/>
                </w:rPr>
              </w:pPr>
              <w:r>
                <w:rPr>
                  <w:b/>
                  <w:bCs/>
                  <w:noProof/>
                </w:rPr>
                <w:fldChar w:fldCharType="end"/>
              </w:r>
            </w:p>
          </w:sdtContent>
        </w:sdt>
      </w:sdtContent>
    </w:sdt>
    <w:p w14:paraId="6239C3AC" w14:textId="3F7EFD13" w:rsidR="009E0E52" w:rsidRDefault="009E0E52" w:rsidP="001A1443">
      <w:pPr>
        <w:shd w:val="clear" w:color="auto" w:fill="D9D9D9"/>
        <w:rPr>
          <w:b/>
        </w:rPr>
      </w:pPr>
    </w:p>
    <w:p w14:paraId="215CF33B" w14:textId="77777777" w:rsidR="005037E4" w:rsidRDefault="005037E4" w:rsidP="005037E4">
      <w:pPr>
        <w:pStyle w:val="Heading1"/>
        <w:numPr>
          <w:ilvl w:val="0"/>
          <w:numId w:val="0"/>
        </w:numPr>
        <w:ind w:left="360"/>
        <w:sectPr w:rsidR="005037E4" w:rsidSect="005037E4">
          <w:pgSz w:w="11906" w:h="16838" w:code="9"/>
          <w:pgMar w:top="1440" w:right="1440" w:bottom="1440" w:left="1440" w:header="397" w:footer="397" w:gutter="0"/>
          <w:cols w:space="312"/>
          <w:docGrid w:linePitch="360"/>
        </w:sectPr>
      </w:pPr>
    </w:p>
    <w:p w14:paraId="4720A76C" w14:textId="5B766909" w:rsidR="005037E4" w:rsidRDefault="005037E4" w:rsidP="005037E4">
      <w:pPr>
        <w:pStyle w:val="Heading1"/>
        <w:numPr>
          <w:ilvl w:val="0"/>
          <w:numId w:val="0"/>
        </w:numPr>
        <w:ind w:left="851" w:hanging="851"/>
      </w:pPr>
      <w:r>
        <w:lastRenderedPageBreak/>
        <w:t>Document control information</w:t>
      </w:r>
    </w:p>
    <w:p w14:paraId="4AC3C11C" w14:textId="77777777" w:rsidR="005037E4" w:rsidRPr="00B4258F" w:rsidRDefault="005037E4" w:rsidP="005037E4">
      <w:pPr>
        <w:rPr>
          <w:szCs w:val="24"/>
        </w:rPr>
      </w:pPr>
      <w:r w:rsidRPr="00B4258F">
        <w:rPr>
          <w:b/>
          <w:bCs/>
          <w:szCs w:val="24"/>
        </w:rPr>
        <w:t>Authored by</w:t>
      </w:r>
      <w:r w:rsidRPr="00B4258F">
        <w:rPr>
          <w:szCs w:val="24"/>
        </w:rPr>
        <w:t xml:space="preserve"> –</w:t>
      </w:r>
      <w:r>
        <w:rPr>
          <w:szCs w:val="24"/>
        </w:rPr>
        <w:t xml:space="preserve"> </w:t>
      </w:r>
      <w:r w:rsidRPr="00B4258F">
        <w:rPr>
          <w:szCs w:val="24"/>
        </w:rPr>
        <w:t xml:space="preserve">Nuclear Safety Inspector </w:t>
      </w:r>
    </w:p>
    <w:p w14:paraId="52D43812" w14:textId="77777777" w:rsidR="005037E4" w:rsidRPr="00B4258F" w:rsidRDefault="005037E4" w:rsidP="005037E4">
      <w:pPr>
        <w:rPr>
          <w:szCs w:val="24"/>
        </w:rPr>
      </w:pPr>
      <w:r w:rsidRPr="00B4258F">
        <w:rPr>
          <w:b/>
          <w:bCs/>
          <w:szCs w:val="24"/>
        </w:rPr>
        <w:t>Approved by</w:t>
      </w:r>
      <w:r w:rsidRPr="00B4258F">
        <w:rPr>
          <w:szCs w:val="24"/>
        </w:rPr>
        <w:t xml:space="preserve"> –</w:t>
      </w:r>
      <w:r>
        <w:rPr>
          <w:szCs w:val="24"/>
        </w:rPr>
        <w:t xml:space="preserve"> Head of Profession, Operational Inspection</w:t>
      </w:r>
    </w:p>
    <w:p w14:paraId="3277EFC5" w14:textId="786BE2FE" w:rsidR="005037E4" w:rsidRPr="00196ADB" w:rsidRDefault="005037E4" w:rsidP="005037E4">
      <w:pPr>
        <w:rPr>
          <w:szCs w:val="24"/>
        </w:rPr>
      </w:pPr>
      <w:r w:rsidRPr="00196ADB">
        <w:rPr>
          <w:b/>
          <w:bCs/>
          <w:szCs w:val="24"/>
        </w:rPr>
        <w:t>Issue</w:t>
      </w:r>
      <w:r w:rsidRPr="00196ADB">
        <w:rPr>
          <w:szCs w:val="24"/>
        </w:rPr>
        <w:t xml:space="preserve">: </w:t>
      </w:r>
      <w:sdt>
        <w:sdtPr>
          <w:rPr>
            <w:szCs w:val="24"/>
          </w:rPr>
          <w:alias w:val="Issue No."/>
          <w:tag w:val=""/>
          <w:id w:val="-894428327"/>
          <w:placeholder>
            <w:docPart w:val="5F5ABC95AEB14B73B3717530C6C32173"/>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4"/>
            </w:rPr>
            <w:t>7.1</w:t>
          </w:r>
        </w:sdtContent>
      </w:sdt>
    </w:p>
    <w:p w14:paraId="3E361B41" w14:textId="101383E7" w:rsidR="005037E4" w:rsidRPr="005037E4" w:rsidRDefault="005037E4" w:rsidP="005037E4">
      <w:pPr>
        <w:rPr>
          <w:szCs w:val="24"/>
        </w:rPr>
      </w:pPr>
      <w:r w:rsidRPr="005037E4">
        <w:rPr>
          <w:b/>
          <w:bCs/>
          <w:szCs w:val="24"/>
        </w:rPr>
        <w:t>Published</w:t>
      </w:r>
      <w:r w:rsidRPr="005037E4">
        <w:rPr>
          <w:szCs w:val="24"/>
        </w:rPr>
        <w:t>: December 2025</w:t>
      </w:r>
    </w:p>
    <w:p w14:paraId="3CC0596A" w14:textId="715D9E6E" w:rsidR="005037E4" w:rsidRPr="005037E4" w:rsidRDefault="005037E4" w:rsidP="005037E4">
      <w:pPr>
        <w:rPr>
          <w:szCs w:val="24"/>
        </w:rPr>
      </w:pPr>
      <w:r w:rsidRPr="005037E4">
        <w:rPr>
          <w:b/>
          <w:bCs/>
          <w:szCs w:val="24"/>
        </w:rPr>
        <w:t>Next scheduled review</w:t>
      </w:r>
      <w:r w:rsidRPr="005037E4">
        <w:rPr>
          <w:szCs w:val="24"/>
        </w:rPr>
        <w:t>: December 2030</w:t>
      </w:r>
    </w:p>
    <w:p w14:paraId="3A331851" w14:textId="77777777" w:rsidR="005037E4" w:rsidRPr="005037E4" w:rsidRDefault="005037E4" w:rsidP="005037E4">
      <w:pPr>
        <w:rPr>
          <w:b/>
          <w:bCs/>
          <w:szCs w:val="24"/>
        </w:rPr>
      </w:pPr>
      <w:r w:rsidRPr="005037E4">
        <w:rPr>
          <w:b/>
          <w:bCs/>
          <w:szCs w:val="24"/>
        </w:rPr>
        <w:t>Document reference</w:t>
      </w:r>
      <w:r w:rsidRPr="005037E4">
        <w:rPr>
          <w:szCs w:val="24"/>
        </w:rPr>
        <w:t>: NS-INSP-GD-034</w:t>
      </w:r>
    </w:p>
    <w:p w14:paraId="5538A8FA" w14:textId="77777777" w:rsidR="005037E4" w:rsidRDefault="005037E4" w:rsidP="005037E4">
      <w:pPr>
        <w:rPr>
          <w:szCs w:val="24"/>
        </w:rPr>
      </w:pPr>
      <w:r w:rsidRPr="005037E4">
        <w:rPr>
          <w:b/>
          <w:bCs/>
          <w:szCs w:val="24"/>
        </w:rPr>
        <w:t>Record reference</w:t>
      </w:r>
      <w:r w:rsidRPr="005037E4">
        <w:rPr>
          <w:szCs w:val="24"/>
        </w:rPr>
        <w:t xml:space="preserve">: </w:t>
      </w:r>
      <w:hyperlink r:id="rId24" w:tgtFrame="_blank" w:tooltip="ONRHH-822789359-20634" w:history="1">
        <w:r w:rsidRPr="005037E4">
          <w:rPr>
            <w:rStyle w:val="Hyperlink"/>
            <w:szCs w:val="24"/>
          </w:rPr>
          <w:t>ONRHH-822789359-20634</w:t>
        </w:r>
      </w:hyperlink>
    </w:p>
    <w:p w14:paraId="79B75895" w14:textId="77777777" w:rsidR="005037E4" w:rsidRDefault="005037E4" w:rsidP="005037E4"/>
    <w:p w14:paraId="09CE3D33" w14:textId="77777777" w:rsidR="005037E4" w:rsidRDefault="005037E4" w:rsidP="005037E4">
      <w:pPr>
        <w:pStyle w:val="Caption"/>
        <w:keepNext/>
      </w:pPr>
      <w:r>
        <w:t>Revision commentary</w:t>
      </w:r>
    </w:p>
    <w:tbl>
      <w:tblPr>
        <w:tblStyle w:val="ONRTable1"/>
        <w:tblW w:w="0" w:type="auto"/>
        <w:tblInd w:w="10" w:type="dxa"/>
        <w:tblLook w:val="04A0" w:firstRow="1" w:lastRow="0" w:firstColumn="1" w:lastColumn="0" w:noHBand="0" w:noVBand="1"/>
      </w:tblPr>
      <w:tblGrid>
        <w:gridCol w:w="1103"/>
        <w:gridCol w:w="7913"/>
      </w:tblGrid>
      <w:tr w:rsidR="005037E4" w:rsidRPr="00B23A5E" w14:paraId="6CF54231" w14:textId="77777777" w:rsidTr="005037E4">
        <w:trPr>
          <w:cnfStyle w:val="100000000000" w:firstRow="1" w:lastRow="0" w:firstColumn="0" w:lastColumn="0" w:oddVBand="0" w:evenVBand="0" w:oddHBand="0" w:evenHBand="0" w:firstRowFirstColumn="0" w:firstRowLastColumn="0" w:lastRowFirstColumn="0" w:lastRowLastColumn="0"/>
        </w:trPr>
        <w:tc>
          <w:tcPr>
            <w:tcW w:w="1124" w:type="dxa"/>
          </w:tcPr>
          <w:p w14:paraId="480E84C0" w14:textId="0391CCBE" w:rsidR="005037E4" w:rsidRPr="00B23A5E" w:rsidRDefault="005037E4" w:rsidP="00D338F1">
            <w:pPr>
              <w:spacing w:before="60" w:after="60"/>
              <w:rPr>
                <w:b w:val="0"/>
                <w:bCs/>
              </w:rPr>
            </w:pPr>
            <w:r w:rsidRPr="00B23A5E">
              <w:rPr>
                <w:b w:val="0"/>
                <w:bCs/>
              </w:rPr>
              <w:t>Issue</w:t>
            </w:r>
          </w:p>
        </w:tc>
        <w:tc>
          <w:tcPr>
            <w:tcW w:w="8364" w:type="dxa"/>
          </w:tcPr>
          <w:p w14:paraId="70078E91" w14:textId="7D4D1699" w:rsidR="005037E4" w:rsidRPr="00B23A5E" w:rsidRDefault="005037E4" w:rsidP="00D338F1">
            <w:pPr>
              <w:spacing w:before="60" w:after="60"/>
              <w:rPr>
                <w:b w:val="0"/>
                <w:bCs/>
              </w:rPr>
            </w:pPr>
            <w:r w:rsidRPr="00B23A5E">
              <w:rPr>
                <w:b w:val="0"/>
                <w:bCs/>
              </w:rPr>
              <w:t xml:space="preserve">Description of </w:t>
            </w:r>
            <w:r>
              <w:rPr>
                <w:b w:val="0"/>
                <w:bCs/>
              </w:rPr>
              <w:t>u</w:t>
            </w:r>
            <w:r w:rsidRPr="00B23A5E">
              <w:rPr>
                <w:b w:val="0"/>
                <w:bCs/>
              </w:rPr>
              <w:t>pdate(s)</w:t>
            </w:r>
          </w:p>
        </w:tc>
      </w:tr>
      <w:tr w:rsidR="005037E4" w14:paraId="3B767A04" w14:textId="77777777" w:rsidTr="005037E4">
        <w:tc>
          <w:tcPr>
            <w:tcW w:w="1124" w:type="dxa"/>
          </w:tcPr>
          <w:p w14:paraId="17F932D6" w14:textId="77777777" w:rsidR="005037E4" w:rsidRDefault="005037E4" w:rsidP="00D338F1">
            <w:pPr>
              <w:spacing w:before="60" w:after="60"/>
            </w:pPr>
            <w:r>
              <w:t>7</w:t>
            </w:r>
          </w:p>
        </w:tc>
        <w:tc>
          <w:tcPr>
            <w:tcW w:w="8364" w:type="dxa"/>
          </w:tcPr>
          <w:p w14:paraId="4E1FF7E9" w14:textId="77777777" w:rsidR="005037E4" w:rsidRDefault="005037E4" w:rsidP="00D338F1">
            <w:pPr>
              <w:spacing w:before="60" w:after="60"/>
            </w:pPr>
            <w:r>
              <w:t>Updated into new accessible format.</w:t>
            </w:r>
          </w:p>
        </w:tc>
      </w:tr>
      <w:tr w:rsidR="005037E4" w14:paraId="0587BA39" w14:textId="77777777" w:rsidTr="005037E4">
        <w:tc>
          <w:tcPr>
            <w:tcW w:w="1124" w:type="dxa"/>
          </w:tcPr>
          <w:p w14:paraId="4B33B329" w14:textId="77777777" w:rsidR="005037E4" w:rsidRDefault="005037E4" w:rsidP="00D338F1">
            <w:pPr>
              <w:spacing w:before="60" w:after="60"/>
            </w:pPr>
            <w:r>
              <w:t>7.1</w:t>
            </w:r>
          </w:p>
        </w:tc>
        <w:tc>
          <w:tcPr>
            <w:tcW w:w="8364" w:type="dxa"/>
          </w:tcPr>
          <w:p w14:paraId="196CFF38" w14:textId="77777777" w:rsidR="005037E4" w:rsidRDefault="005037E4" w:rsidP="00D338F1">
            <w:pPr>
              <w:spacing w:before="60" w:after="60"/>
            </w:pPr>
            <w:r>
              <w:t>Minor update – Document simplified and duplication removed, no major change to outcomes or intent.</w:t>
            </w:r>
          </w:p>
        </w:tc>
      </w:tr>
    </w:tbl>
    <w:p w14:paraId="139A6920" w14:textId="77777777" w:rsidR="005037E4" w:rsidRPr="001B4D5A" w:rsidRDefault="005037E4" w:rsidP="001A1443">
      <w:pPr>
        <w:shd w:val="clear" w:color="auto" w:fill="D9D9D9"/>
        <w:rPr>
          <w:b/>
        </w:rPr>
      </w:pPr>
    </w:p>
    <w:sectPr w:rsidR="005037E4" w:rsidRPr="001B4D5A" w:rsidSect="005037E4">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96262" w14:textId="77777777" w:rsidR="00AE41CB" w:rsidRDefault="00AE41CB" w:rsidP="007D199A">
      <w:pPr>
        <w:spacing w:after="0"/>
      </w:pPr>
      <w:r>
        <w:separator/>
      </w:r>
    </w:p>
    <w:p w14:paraId="7BAFFD86" w14:textId="77777777" w:rsidR="00AE41CB" w:rsidRDefault="00AE41CB"/>
  </w:endnote>
  <w:endnote w:type="continuationSeparator" w:id="0">
    <w:p w14:paraId="2C6C80EC" w14:textId="77777777" w:rsidR="00AE41CB" w:rsidRDefault="00AE41CB" w:rsidP="007D199A">
      <w:pPr>
        <w:spacing w:after="0"/>
      </w:pPr>
      <w:r>
        <w:continuationSeparator/>
      </w:r>
    </w:p>
    <w:p w14:paraId="599AAE35" w14:textId="77777777" w:rsidR="00AE41CB" w:rsidRDefault="00AE41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1D8B1" w14:textId="77777777" w:rsidR="00AE41CB" w:rsidRPr="005E0344" w:rsidRDefault="00AE41CB" w:rsidP="005E0344">
      <w:pPr>
        <w:spacing w:after="120"/>
        <w:rPr>
          <w:color w:val="000000" w:themeColor="text2"/>
        </w:rPr>
      </w:pPr>
      <w:r w:rsidRPr="005E0344">
        <w:rPr>
          <w:color w:val="000000" w:themeColor="text2"/>
        </w:rPr>
        <w:separator/>
      </w:r>
    </w:p>
  </w:footnote>
  <w:footnote w:type="continuationSeparator" w:id="0">
    <w:p w14:paraId="3FFF24DD" w14:textId="77777777" w:rsidR="00AE41CB" w:rsidRPr="005E0344" w:rsidRDefault="00AE41CB" w:rsidP="0090581D">
      <w:pPr>
        <w:spacing w:after="120"/>
        <w:rPr>
          <w:color w:val="000000" w:themeColor="text2"/>
        </w:rPr>
      </w:pPr>
      <w:r w:rsidRPr="005E0344">
        <w:rPr>
          <w:color w:val="000000" w:themeColor="text2"/>
        </w:rPr>
        <w:continuationSeparator/>
      </w:r>
    </w:p>
    <w:p w14:paraId="3A3619D6" w14:textId="77777777" w:rsidR="00AE41CB" w:rsidRDefault="00AE41CB"/>
  </w:footnote>
  <w:footnote w:type="continuationNotice" w:id="1">
    <w:p w14:paraId="716D63FD" w14:textId="77777777" w:rsidR="00AE41CB" w:rsidRDefault="00AE41CB">
      <w:pPr>
        <w:spacing w:after="0"/>
      </w:pPr>
    </w:p>
    <w:p w14:paraId="0CA1CD56" w14:textId="77777777" w:rsidR="00AE41CB" w:rsidRDefault="00AE41CB"/>
  </w:footnote>
  <w:footnote w:id="2">
    <w:p w14:paraId="0932CB5C" w14:textId="41791014" w:rsidR="008F5577" w:rsidRDefault="008F5577" w:rsidP="00A973FA">
      <w:pPr>
        <w:pStyle w:val="FootnoteText"/>
        <w:tabs>
          <w:tab w:val="left" w:pos="6298"/>
        </w:tabs>
      </w:pPr>
      <w:r>
        <w:rPr>
          <w:rStyle w:val="FootnoteReference"/>
        </w:rPr>
        <w:footnoteRef/>
      </w:r>
      <w:r>
        <w:t xml:space="preserve"> </w:t>
      </w:r>
      <w:r w:rsidR="00D876D7">
        <w:t>I</w:t>
      </w:r>
      <w:r w:rsidR="00D876D7" w:rsidRPr="00D876D7">
        <w:t xml:space="preserve">RR17 Regulation 28(2)–(3) is especially relevant to </w:t>
      </w:r>
      <w:r w:rsidR="005037E4">
        <w:t>LC 34</w:t>
      </w:r>
      <w:r w:rsidR="00D876D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6409735" w:rsidR="00177666" w:rsidRPr="00196ADB" w:rsidRDefault="00112CF8"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5037E4">
          <w:rPr>
            <w:sz w:val="20"/>
            <w:szCs w:val="24"/>
          </w:rPr>
          <w:t>LC 34 – Leakage and escape of radioactive material and radioactive waste</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43AC6">
          <w:rPr>
            <w:sz w:val="20"/>
            <w:szCs w:val="24"/>
          </w:rPr>
          <w:t>7.1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D14A2"/>
    <w:multiLevelType w:val="multilevel"/>
    <w:tmpl w:val="D1F2E53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2A93461"/>
    <w:multiLevelType w:val="multilevel"/>
    <w:tmpl w:val="AFC0EAFC"/>
    <w:lvl w:ilvl="0">
      <w:start w:val="1"/>
      <w:numFmt w:val="decimal"/>
      <w:lvlText w:val="%1"/>
      <w:lvlJc w:val="left"/>
      <w:pPr>
        <w:tabs>
          <w:tab w:val="num" w:pos="-31680"/>
        </w:tabs>
        <w:ind w:left="720" w:hanging="720"/>
      </w:pPr>
      <w:rPr>
        <w:rFonts w:hint="default"/>
        <w:sz w:val="22"/>
      </w:rPr>
    </w:lvl>
    <w:lvl w:ilvl="1">
      <w:start w:val="1"/>
      <w:numFmt w:val="decimal"/>
      <w:lvlText w:val="%2."/>
      <w:lvlJc w:val="left"/>
      <w:pPr>
        <w:tabs>
          <w:tab w:val="num" w:pos="-31680"/>
        </w:tabs>
        <w:ind w:left="720" w:hanging="720"/>
      </w:pPr>
      <w:rPr>
        <w:rFonts w:asciiTheme="majorHAnsi" w:hAnsiTheme="majorHAnsi" w:cstheme="majorHAnsi" w:hint="default"/>
        <w:b w:val="0"/>
        <w:bCs w:val="0"/>
        <w:color w:val="auto"/>
        <w:sz w:val="24"/>
        <w:szCs w:val="24"/>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44E83E54"/>
    <w:multiLevelType w:val="hybridMultilevel"/>
    <w:tmpl w:val="4B2E91D6"/>
    <w:lvl w:ilvl="0" w:tplc="51300A06">
      <w:start w:val="1"/>
      <w:numFmt w:val="decimal"/>
      <w:pStyle w:val="F9-Paragraph"/>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D922A3"/>
    <w:multiLevelType w:val="hybridMultilevel"/>
    <w:tmpl w:val="5A025D5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146277">
    <w:abstractNumId w:val="6"/>
  </w:num>
  <w:num w:numId="2" w16cid:durableId="802893121">
    <w:abstractNumId w:val="5"/>
  </w:num>
  <w:num w:numId="3" w16cid:durableId="874538197">
    <w:abstractNumId w:val="0"/>
  </w:num>
  <w:num w:numId="4" w16cid:durableId="1864591591">
    <w:abstractNumId w:val="2"/>
  </w:num>
  <w:num w:numId="5" w16cid:durableId="832574242">
    <w:abstractNumId w:val="4"/>
  </w:num>
  <w:num w:numId="6" w16cid:durableId="1391732823">
    <w:abstractNumId w:val="2"/>
    <w:lvlOverride w:ilvl="0">
      <w:startOverride w:val="1"/>
    </w:lvlOverride>
  </w:num>
  <w:num w:numId="7" w16cid:durableId="14584486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43695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56329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07007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57499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96043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058919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98686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48296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20556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05850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91382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13568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97334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6288443">
    <w:abstractNumId w:val="3"/>
  </w:num>
  <w:num w:numId="22" w16cid:durableId="912200783">
    <w:abstractNumId w:val="5"/>
  </w:num>
  <w:num w:numId="23" w16cid:durableId="1924988962">
    <w:abstractNumId w:val="5"/>
  </w:num>
  <w:num w:numId="24" w16cid:durableId="955866308">
    <w:abstractNumId w:val="5"/>
  </w:num>
  <w:num w:numId="25" w16cid:durableId="1725369585">
    <w:abstractNumId w:val="5"/>
  </w:num>
  <w:num w:numId="26" w16cid:durableId="1023558646">
    <w:abstractNumId w:val="5"/>
  </w:num>
  <w:num w:numId="27" w16cid:durableId="635840364">
    <w:abstractNumId w:val="5"/>
  </w:num>
  <w:num w:numId="28" w16cid:durableId="19360910">
    <w:abstractNumId w:val="5"/>
  </w:num>
  <w:num w:numId="29" w16cid:durableId="701395992">
    <w:abstractNumId w:val="5"/>
  </w:num>
  <w:num w:numId="30" w16cid:durableId="1809931427">
    <w:abstractNumId w:val="1"/>
  </w:num>
  <w:num w:numId="31" w16cid:durableId="559288621">
    <w:abstractNumId w:val="5"/>
  </w:num>
  <w:num w:numId="32" w16cid:durableId="1255701969">
    <w:abstractNumId w:val="0"/>
  </w:num>
  <w:num w:numId="33" w16cid:durableId="1755979859">
    <w:abstractNumId w:val="5"/>
  </w:num>
  <w:num w:numId="34" w16cid:durableId="414909620">
    <w:abstractNumId w:val="5"/>
  </w:num>
  <w:num w:numId="35" w16cid:durableId="131992016">
    <w:abstractNumId w:val="5"/>
  </w:num>
  <w:num w:numId="36" w16cid:durableId="612249141">
    <w:abstractNumId w:val="5"/>
  </w:num>
  <w:num w:numId="37" w16cid:durableId="342785673">
    <w:abstractNumId w:val="5"/>
  </w:num>
  <w:num w:numId="38" w16cid:durableId="1705056353">
    <w:abstractNumId w:val="5"/>
  </w:num>
  <w:num w:numId="39" w16cid:durableId="93405697">
    <w:abstractNumId w:val="5"/>
  </w:num>
  <w:num w:numId="40" w16cid:durableId="76446646">
    <w:abstractNumId w:val="5"/>
  </w:num>
  <w:num w:numId="41" w16cid:durableId="147406858">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1641D"/>
    <w:rsid w:val="00022033"/>
    <w:rsid w:val="00024522"/>
    <w:rsid w:val="00024B2E"/>
    <w:rsid w:val="0002592D"/>
    <w:rsid w:val="00027F4F"/>
    <w:rsid w:val="00030430"/>
    <w:rsid w:val="0003078E"/>
    <w:rsid w:val="00031B89"/>
    <w:rsid w:val="0003693D"/>
    <w:rsid w:val="00041E96"/>
    <w:rsid w:val="0004440F"/>
    <w:rsid w:val="00046125"/>
    <w:rsid w:val="00051211"/>
    <w:rsid w:val="00052C8A"/>
    <w:rsid w:val="000548C8"/>
    <w:rsid w:val="00064A1B"/>
    <w:rsid w:val="00067CCF"/>
    <w:rsid w:val="00071211"/>
    <w:rsid w:val="000740BD"/>
    <w:rsid w:val="00075605"/>
    <w:rsid w:val="00075C66"/>
    <w:rsid w:val="00075C90"/>
    <w:rsid w:val="000768C4"/>
    <w:rsid w:val="000817D4"/>
    <w:rsid w:val="00082879"/>
    <w:rsid w:val="0008638B"/>
    <w:rsid w:val="00091EEA"/>
    <w:rsid w:val="0009225F"/>
    <w:rsid w:val="0009542A"/>
    <w:rsid w:val="00096430"/>
    <w:rsid w:val="000A105C"/>
    <w:rsid w:val="000A25FA"/>
    <w:rsid w:val="000A30F5"/>
    <w:rsid w:val="000A35B0"/>
    <w:rsid w:val="000B36E2"/>
    <w:rsid w:val="000B45D7"/>
    <w:rsid w:val="000B6DBD"/>
    <w:rsid w:val="000B70E1"/>
    <w:rsid w:val="000C2DDC"/>
    <w:rsid w:val="000C5F5A"/>
    <w:rsid w:val="000D2FD4"/>
    <w:rsid w:val="000D3232"/>
    <w:rsid w:val="000D3C8F"/>
    <w:rsid w:val="000D4409"/>
    <w:rsid w:val="000D6B58"/>
    <w:rsid w:val="000E0D65"/>
    <w:rsid w:val="000E1004"/>
    <w:rsid w:val="000E4D95"/>
    <w:rsid w:val="000E7BDB"/>
    <w:rsid w:val="000F1B7B"/>
    <w:rsid w:val="000F2531"/>
    <w:rsid w:val="000F2ED4"/>
    <w:rsid w:val="000F632B"/>
    <w:rsid w:val="001028E8"/>
    <w:rsid w:val="00103043"/>
    <w:rsid w:val="00112CF8"/>
    <w:rsid w:val="001142DB"/>
    <w:rsid w:val="001227AB"/>
    <w:rsid w:val="00122FCC"/>
    <w:rsid w:val="00124C2B"/>
    <w:rsid w:val="00126752"/>
    <w:rsid w:val="00130B30"/>
    <w:rsid w:val="001338CD"/>
    <w:rsid w:val="00140E1C"/>
    <w:rsid w:val="0014264B"/>
    <w:rsid w:val="00147AE4"/>
    <w:rsid w:val="00152DD8"/>
    <w:rsid w:val="001538FF"/>
    <w:rsid w:val="001571E5"/>
    <w:rsid w:val="001646FD"/>
    <w:rsid w:val="00177666"/>
    <w:rsid w:val="001849CA"/>
    <w:rsid w:val="00185410"/>
    <w:rsid w:val="001863FF"/>
    <w:rsid w:val="00192352"/>
    <w:rsid w:val="00196ADB"/>
    <w:rsid w:val="001A06D4"/>
    <w:rsid w:val="001A1443"/>
    <w:rsid w:val="001A4874"/>
    <w:rsid w:val="001A5396"/>
    <w:rsid w:val="001A5866"/>
    <w:rsid w:val="001B07FC"/>
    <w:rsid w:val="001B20EE"/>
    <w:rsid w:val="001B4D5A"/>
    <w:rsid w:val="001C2C24"/>
    <w:rsid w:val="001C4D63"/>
    <w:rsid w:val="001C726B"/>
    <w:rsid w:val="001D0366"/>
    <w:rsid w:val="001D0DE0"/>
    <w:rsid w:val="001D2567"/>
    <w:rsid w:val="001D5AFF"/>
    <w:rsid w:val="001D74B4"/>
    <w:rsid w:val="001E03E1"/>
    <w:rsid w:val="001E20B2"/>
    <w:rsid w:val="001E600B"/>
    <w:rsid w:val="001E6111"/>
    <w:rsid w:val="001F00DA"/>
    <w:rsid w:val="001F059F"/>
    <w:rsid w:val="001F0FF3"/>
    <w:rsid w:val="001F3921"/>
    <w:rsid w:val="001F6AEA"/>
    <w:rsid w:val="001F724C"/>
    <w:rsid w:val="00200811"/>
    <w:rsid w:val="00200CA1"/>
    <w:rsid w:val="00204315"/>
    <w:rsid w:val="0021338D"/>
    <w:rsid w:val="00214D43"/>
    <w:rsid w:val="00223090"/>
    <w:rsid w:val="002238B4"/>
    <w:rsid w:val="002319AB"/>
    <w:rsid w:val="002319AC"/>
    <w:rsid w:val="00234342"/>
    <w:rsid w:val="00235645"/>
    <w:rsid w:val="0024040D"/>
    <w:rsid w:val="00243AC6"/>
    <w:rsid w:val="00247E3E"/>
    <w:rsid w:val="00250B17"/>
    <w:rsid w:val="00251BCC"/>
    <w:rsid w:val="00251CD7"/>
    <w:rsid w:val="002539F8"/>
    <w:rsid w:val="00255FA3"/>
    <w:rsid w:val="00257288"/>
    <w:rsid w:val="00261797"/>
    <w:rsid w:val="00261FB6"/>
    <w:rsid w:val="002629F8"/>
    <w:rsid w:val="00263396"/>
    <w:rsid w:val="002659FA"/>
    <w:rsid w:val="00267815"/>
    <w:rsid w:val="00270DCE"/>
    <w:rsid w:val="00276EBC"/>
    <w:rsid w:val="00276F3A"/>
    <w:rsid w:val="00280DDF"/>
    <w:rsid w:val="00282F59"/>
    <w:rsid w:val="00284024"/>
    <w:rsid w:val="002917FF"/>
    <w:rsid w:val="00292ADF"/>
    <w:rsid w:val="00296DBB"/>
    <w:rsid w:val="002A0DEC"/>
    <w:rsid w:val="002A7AEF"/>
    <w:rsid w:val="002B0834"/>
    <w:rsid w:val="002B163D"/>
    <w:rsid w:val="002B1C53"/>
    <w:rsid w:val="002B2A8D"/>
    <w:rsid w:val="002B34EA"/>
    <w:rsid w:val="002B4015"/>
    <w:rsid w:val="002C0CA9"/>
    <w:rsid w:val="002C141B"/>
    <w:rsid w:val="002C4349"/>
    <w:rsid w:val="002C548A"/>
    <w:rsid w:val="002D6A74"/>
    <w:rsid w:val="002E0123"/>
    <w:rsid w:val="002E0BE4"/>
    <w:rsid w:val="002E3B58"/>
    <w:rsid w:val="002E3E8A"/>
    <w:rsid w:val="002E6A6A"/>
    <w:rsid w:val="002F3397"/>
    <w:rsid w:val="002F617C"/>
    <w:rsid w:val="00300282"/>
    <w:rsid w:val="00301C85"/>
    <w:rsid w:val="0030380D"/>
    <w:rsid w:val="00306805"/>
    <w:rsid w:val="003070C4"/>
    <w:rsid w:val="003071BE"/>
    <w:rsid w:val="00312411"/>
    <w:rsid w:val="00313992"/>
    <w:rsid w:val="00323E71"/>
    <w:rsid w:val="00326F77"/>
    <w:rsid w:val="00327A4F"/>
    <w:rsid w:val="003401B0"/>
    <w:rsid w:val="0034070E"/>
    <w:rsid w:val="003432C9"/>
    <w:rsid w:val="003444E2"/>
    <w:rsid w:val="0034540D"/>
    <w:rsid w:val="00345D54"/>
    <w:rsid w:val="00346C8E"/>
    <w:rsid w:val="003542E5"/>
    <w:rsid w:val="00361064"/>
    <w:rsid w:val="00362BB1"/>
    <w:rsid w:val="00365FC1"/>
    <w:rsid w:val="00367BD5"/>
    <w:rsid w:val="00371BB9"/>
    <w:rsid w:val="00384663"/>
    <w:rsid w:val="00390327"/>
    <w:rsid w:val="00393B78"/>
    <w:rsid w:val="003A01E9"/>
    <w:rsid w:val="003A1AC5"/>
    <w:rsid w:val="003A5D77"/>
    <w:rsid w:val="003C0306"/>
    <w:rsid w:val="003C114C"/>
    <w:rsid w:val="003C465D"/>
    <w:rsid w:val="003C75C1"/>
    <w:rsid w:val="003C7F21"/>
    <w:rsid w:val="003D0718"/>
    <w:rsid w:val="003D495D"/>
    <w:rsid w:val="003D547C"/>
    <w:rsid w:val="003E098E"/>
    <w:rsid w:val="003E2FAE"/>
    <w:rsid w:val="003E6719"/>
    <w:rsid w:val="00404166"/>
    <w:rsid w:val="00407CF7"/>
    <w:rsid w:val="00410D4E"/>
    <w:rsid w:val="00414298"/>
    <w:rsid w:val="00415ED6"/>
    <w:rsid w:val="00417CAF"/>
    <w:rsid w:val="00420059"/>
    <w:rsid w:val="00420A11"/>
    <w:rsid w:val="004220DF"/>
    <w:rsid w:val="00422265"/>
    <w:rsid w:val="00422AF1"/>
    <w:rsid w:val="004269E2"/>
    <w:rsid w:val="00434CAC"/>
    <w:rsid w:val="00435CDB"/>
    <w:rsid w:val="004373A7"/>
    <w:rsid w:val="00437D94"/>
    <w:rsid w:val="0044030C"/>
    <w:rsid w:val="004415CC"/>
    <w:rsid w:val="00442B10"/>
    <w:rsid w:val="00454D53"/>
    <w:rsid w:val="00456FCA"/>
    <w:rsid w:val="004576B5"/>
    <w:rsid w:val="0046224F"/>
    <w:rsid w:val="004648A4"/>
    <w:rsid w:val="00466AC0"/>
    <w:rsid w:val="00471380"/>
    <w:rsid w:val="00472A27"/>
    <w:rsid w:val="0047566B"/>
    <w:rsid w:val="00494F0D"/>
    <w:rsid w:val="00496BFD"/>
    <w:rsid w:val="004A0808"/>
    <w:rsid w:val="004A3DF2"/>
    <w:rsid w:val="004A57CE"/>
    <w:rsid w:val="004C361D"/>
    <w:rsid w:val="004C4891"/>
    <w:rsid w:val="004C7E8B"/>
    <w:rsid w:val="004D2C89"/>
    <w:rsid w:val="004D7AF8"/>
    <w:rsid w:val="004E194B"/>
    <w:rsid w:val="004E201E"/>
    <w:rsid w:val="004E3932"/>
    <w:rsid w:val="004F1E79"/>
    <w:rsid w:val="004F5F33"/>
    <w:rsid w:val="004F65D3"/>
    <w:rsid w:val="004F7C93"/>
    <w:rsid w:val="00500432"/>
    <w:rsid w:val="0050103A"/>
    <w:rsid w:val="005037E4"/>
    <w:rsid w:val="00506528"/>
    <w:rsid w:val="0051170A"/>
    <w:rsid w:val="00511B0F"/>
    <w:rsid w:val="00515FA7"/>
    <w:rsid w:val="0052534F"/>
    <w:rsid w:val="00540ACB"/>
    <w:rsid w:val="00542CFE"/>
    <w:rsid w:val="00545CEF"/>
    <w:rsid w:val="00547FAB"/>
    <w:rsid w:val="005504AE"/>
    <w:rsid w:val="0055388E"/>
    <w:rsid w:val="00562C9A"/>
    <w:rsid w:val="0056463A"/>
    <w:rsid w:val="005754AE"/>
    <w:rsid w:val="00577FB5"/>
    <w:rsid w:val="0058003A"/>
    <w:rsid w:val="00582F6C"/>
    <w:rsid w:val="005838AC"/>
    <w:rsid w:val="005846E7"/>
    <w:rsid w:val="005852D1"/>
    <w:rsid w:val="00587A22"/>
    <w:rsid w:val="0059299D"/>
    <w:rsid w:val="0059448D"/>
    <w:rsid w:val="00595C8C"/>
    <w:rsid w:val="00597747"/>
    <w:rsid w:val="005A4CDD"/>
    <w:rsid w:val="005A6FE4"/>
    <w:rsid w:val="005B0984"/>
    <w:rsid w:val="005B52F0"/>
    <w:rsid w:val="005B57E4"/>
    <w:rsid w:val="005B5ABD"/>
    <w:rsid w:val="005B5B19"/>
    <w:rsid w:val="005B5CF2"/>
    <w:rsid w:val="005C140A"/>
    <w:rsid w:val="005C1E52"/>
    <w:rsid w:val="005C234F"/>
    <w:rsid w:val="005C3367"/>
    <w:rsid w:val="005C6763"/>
    <w:rsid w:val="005D3164"/>
    <w:rsid w:val="005D6704"/>
    <w:rsid w:val="005E0344"/>
    <w:rsid w:val="005E440B"/>
    <w:rsid w:val="005E5A18"/>
    <w:rsid w:val="005E609B"/>
    <w:rsid w:val="005F2C85"/>
    <w:rsid w:val="005F376E"/>
    <w:rsid w:val="005F595E"/>
    <w:rsid w:val="005F60DC"/>
    <w:rsid w:val="00605ADB"/>
    <w:rsid w:val="00611676"/>
    <w:rsid w:val="00611C9F"/>
    <w:rsid w:val="006248DE"/>
    <w:rsid w:val="00627555"/>
    <w:rsid w:val="006322A0"/>
    <w:rsid w:val="00633289"/>
    <w:rsid w:val="006347F1"/>
    <w:rsid w:val="006361FD"/>
    <w:rsid w:val="00637598"/>
    <w:rsid w:val="0064226F"/>
    <w:rsid w:val="00642DDB"/>
    <w:rsid w:val="00644282"/>
    <w:rsid w:val="0064505D"/>
    <w:rsid w:val="00650B6D"/>
    <w:rsid w:val="006529BC"/>
    <w:rsid w:val="00653298"/>
    <w:rsid w:val="00663A7C"/>
    <w:rsid w:val="00667DF2"/>
    <w:rsid w:val="00670DF1"/>
    <w:rsid w:val="00671345"/>
    <w:rsid w:val="00672A9B"/>
    <w:rsid w:val="00672CF3"/>
    <w:rsid w:val="00675884"/>
    <w:rsid w:val="00685C72"/>
    <w:rsid w:val="00696EE0"/>
    <w:rsid w:val="00697980"/>
    <w:rsid w:val="006A19EF"/>
    <w:rsid w:val="006A43D5"/>
    <w:rsid w:val="006A525B"/>
    <w:rsid w:val="006B15C8"/>
    <w:rsid w:val="006B4ECE"/>
    <w:rsid w:val="006B5209"/>
    <w:rsid w:val="006C045F"/>
    <w:rsid w:val="006C4196"/>
    <w:rsid w:val="006C63B0"/>
    <w:rsid w:val="006C76A2"/>
    <w:rsid w:val="006C792E"/>
    <w:rsid w:val="006C7C98"/>
    <w:rsid w:val="006D116C"/>
    <w:rsid w:val="006D742D"/>
    <w:rsid w:val="006E147B"/>
    <w:rsid w:val="006E7C42"/>
    <w:rsid w:val="006F168A"/>
    <w:rsid w:val="006F2B14"/>
    <w:rsid w:val="006F4A8F"/>
    <w:rsid w:val="006F5076"/>
    <w:rsid w:val="006F5872"/>
    <w:rsid w:val="006F6009"/>
    <w:rsid w:val="006F7E5F"/>
    <w:rsid w:val="0070321D"/>
    <w:rsid w:val="007068BA"/>
    <w:rsid w:val="00710C00"/>
    <w:rsid w:val="00711F89"/>
    <w:rsid w:val="00716AB1"/>
    <w:rsid w:val="007209B3"/>
    <w:rsid w:val="00721D63"/>
    <w:rsid w:val="00723854"/>
    <w:rsid w:val="00724B2B"/>
    <w:rsid w:val="00727FB8"/>
    <w:rsid w:val="007313E1"/>
    <w:rsid w:val="00732C7B"/>
    <w:rsid w:val="00733F23"/>
    <w:rsid w:val="00734D2B"/>
    <w:rsid w:val="00737705"/>
    <w:rsid w:val="007408D4"/>
    <w:rsid w:val="007420AC"/>
    <w:rsid w:val="0074214C"/>
    <w:rsid w:val="00742617"/>
    <w:rsid w:val="00744420"/>
    <w:rsid w:val="00753150"/>
    <w:rsid w:val="00756CAC"/>
    <w:rsid w:val="00764605"/>
    <w:rsid w:val="00764D9B"/>
    <w:rsid w:val="0077134B"/>
    <w:rsid w:val="00774C37"/>
    <w:rsid w:val="00783AFA"/>
    <w:rsid w:val="00785427"/>
    <w:rsid w:val="00790540"/>
    <w:rsid w:val="007968CA"/>
    <w:rsid w:val="00796C11"/>
    <w:rsid w:val="007A36BA"/>
    <w:rsid w:val="007A43FF"/>
    <w:rsid w:val="007B3918"/>
    <w:rsid w:val="007C1D3A"/>
    <w:rsid w:val="007C3C1D"/>
    <w:rsid w:val="007C7D36"/>
    <w:rsid w:val="007D199A"/>
    <w:rsid w:val="007D2EBE"/>
    <w:rsid w:val="007D67F8"/>
    <w:rsid w:val="007D683E"/>
    <w:rsid w:val="007D6CFB"/>
    <w:rsid w:val="007E1C07"/>
    <w:rsid w:val="007F24B6"/>
    <w:rsid w:val="00803D94"/>
    <w:rsid w:val="00816D45"/>
    <w:rsid w:val="0082121C"/>
    <w:rsid w:val="00821337"/>
    <w:rsid w:val="008229BA"/>
    <w:rsid w:val="00824151"/>
    <w:rsid w:val="0082476E"/>
    <w:rsid w:val="00835086"/>
    <w:rsid w:val="0084178A"/>
    <w:rsid w:val="008427E7"/>
    <w:rsid w:val="00843799"/>
    <w:rsid w:val="00845390"/>
    <w:rsid w:val="0084601B"/>
    <w:rsid w:val="008511D2"/>
    <w:rsid w:val="0085190F"/>
    <w:rsid w:val="00853086"/>
    <w:rsid w:val="008606F0"/>
    <w:rsid w:val="00864534"/>
    <w:rsid w:val="00864983"/>
    <w:rsid w:val="00865489"/>
    <w:rsid w:val="0086553D"/>
    <w:rsid w:val="00871C6A"/>
    <w:rsid w:val="00871D4A"/>
    <w:rsid w:val="00874FEB"/>
    <w:rsid w:val="00881B6F"/>
    <w:rsid w:val="00882AA4"/>
    <w:rsid w:val="00883283"/>
    <w:rsid w:val="00883E22"/>
    <w:rsid w:val="0088482F"/>
    <w:rsid w:val="00884E43"/>
    <w:rsid w:val="00887EC6"/>
    <w:rsid w:val="0089084C"/>
    <w:rsid w:val="008909B5"/>
    <w:rsid w:val="008920E9"/>
    <w:rsid w:val="00893409"/>
    <w:rsid w:val="00893D9F"/>
    <w:rsid w:val="00897448"/>
    <w:rsid w:val="008A0A71"/>
    <w:rsid w:val="008A2379"/>
    <w:rsid w:val="008A4329"/>
    <w:rsid w:val="008A578E"/>
    <w:rsid w:val="008B14A4"/>
    <w:rsid w:val="008B1519"/>
    <w:rsid w:val="008B3B74"/>
    <w:rsid w:val="008B6581"/>
    <w:rsid w:val="008B77C6"/>
    <w:rsid w:val="008B7BCC"/>
    <w:rsid w:val="008C39CE"/>
    <w:rsid w:val="008C50C3"/>
    <w:rsid w:val="008C5CEC"/>
    <w:rsid w:val="008C7094"/>
    <w:rsid w:val="008D2B97"/>
    <w:rsid w:val="008D49A5"/>
    <w:rsid w:val="008D6C81"/>
    <w:rsid w:val="008E4787"/>
    <w:rsid w:val="008E67A5"/>
    <w:rsid w:val="008E6CF0"/>
    <w:rsid w:val="008F1439"/>
    <w:rsid w:val="008F27CA"/>
    <w:rsid w:val="008F3F20"/>
    <w:rsid w:val="008F5577"/>
    <w:rsid w:val="008F6565"/>
    <w:rsid w:val="008F7051"/>
    <w:rsid w:val="00900AE4"/>
    <w:rsid w:val="009024AE"/>
    <w:rsid w:val="009033A9"/>
    <w:rsid w:val="0090581D"/>
    <w:rsid w:val="00911F38"/>
    <w:rsid w:val="00912C07"/>
    <w:rsid w:val="0091439C"/>
    <w:rsid w:val="00920572"/>
    <w:rsid w:val="00920BF2"/>
    <w:rsid w:val="0092630E"/>
    <w:rsid w:val="009349A9"/>
    <w:rsid w:val="009356CE"/>
    <w:rsid w:val="00936C52"/>
    <w:rsid w:val="00941AB8"/>
    <w:rsid w:val="00944A61"/>
    <w:rsid w:val="00953691"/>
    <w:rsid w:val="0095489B"/>
    <w:rsid w:val="00961045"/>
    <w:rsid w:val="00966D23"/>
    <w:rsid w:val="00966FB9"/>
    <w:rsid w:val="009671CD"/>
    <w:rsid w:val="009751A9"/>
    <w:rsid w:val="00977FE4"/>
    <w:rsid w:val="00980F9C"/>
    <w:rsid w:val="0098567E"/>
    <w:rsid w:val="0098632B"/>
    <w:rsid w:val="00996BE7"/>
    <w:rsid w:val="00997BFB"/>
    <w:rsid w:val="009A15F4"/>
    <w:rsid w:val="009A2474"/>
    <w:rsid w:val="009A4FD5"/>
    <w:rsid w:val="009A5D7E"/>
    <w:rsid w:val="009A69EE"/>
    <w:rsid w:val="009A7348"/>
    <w:rsid w:val="009B23D8"/>
    <w:rsid w:val="009B462C"/>
    <w:rsid w:val="009B6E10"/>
    <w:rsid w:val="009C15F3"/>
    <w:rsid w:val="009C3689"/>
    <w:rsid w:val="009C5ED3"/>
    <w:rsid w:val="009D0084"/>
    <w:rsid w:val="009D22CE"/>
    <w:rsid w:val="009E07C2"/>
    <w:rsid w:val="009E0E52"/>
    <w:rsid w:val="009E186D"/>
    <w:rsid w:val="009E2FC1"/>
    <w:rsid w:val="009E509E"/>
    <w:rsid w:val="009F0EF2"/>
    <w:rsid w:val="009F1B4D"/>
    <w:rsid w:val="009F72F9"/>
    <w:rsid w:val="00A00205"/>
    <w:rsid w:val="00A00AF0"/>
    <w:rsid w:val="00A02F97"/>
    <w:rsid w:val="00A07696"/>
    <w:rsid w:val="00A14B5A"/>
    <w:rsid w:val="00A24609"/>
    <w:rsid w:val="00A30572"/>
    <w:rsid w:val="00A30CD8"/>
    <w:rsid w:val="00A316A0"/>
    <w:rsid w:val="00A3178A"/>
    <w:rsid w:val="00A3567F"/>
    <w:rsid w:val="00A37698"/>
    <w:rsid w:val="00A41ED3"/>
    <w:rsid w:val="00A420F9"/>
    <w:rsid w:val="00A5466A"/>
    <w:rsid w:val="00A6309E"/>
    <w:rsid w:val="00A70390"/>
    <w:rsid w:val="00A772F8"/>
    <w:rsid w:val="00A819FC"/>
    <w:rsid w:val="00A81D82"/>
    <w:rsid w:val="00A9118F"/>
    <w:rsid w:val="00A93E33"/>
    <w:rsid w:val="00A973FA"/>
    <w:rsid w:val="00AA1DDB"/>
    <w:rsid w:val="00AB3129"/>
    <w:rsid w:val="00AB4403"/>
    <w:rsid w:val="00AB47BE"/>
    <w:rsid w:val="00AB6970"/>
    <w:rsid w:val="00AB7E1F"/>
    <w:rsid w:val="00AC01B1"/>
    <w:rsid w:val="00AC1939"/>
    <w:rsid w:val="00AC1F4F"/>
    <w:rsid w:val="00AC5C2C"/>
    <w:rsid w:val="00AC7C05"/>
    <w:rsid w:val="00AD167C"/>
    <w:rsid w:val="00AD17C7"/>
    <w:rsid w:val="00AD4041"/>
    <w:rsid w:val="00AE302B"/>
    <w:rsid w:val="00AE41CB"/>
    <w:rsid w:val="00AE7868"/>
    <w:rsid w:val="00AE7FC4"/>
    <w:rsid w:val="00B01F0E"/>
    <w:rsid w:val="00B0248D"/>
    <w:rsid w:val="00B039A1"/>
    <w:rsid w:val="00B04244"/>
    <w:rsid w:val="00B16BE5"/>
    <w:rsid w:val="00B224D1"/>
    <w:rsid w:val="00B23A5E"/>
    <w:rsid w:val="00B259DF"/>
    <w:rsid w:val="00B30CA6"/>
    <w:rsid w:val="00B321AA"/>
    <w:rsid w:val="00B3771B"/>
    <w:rsid w:val="00B412A4"/>
    <w:rsid w:val="00B44B1F"/>
    <w:rsid w:val="00B51DD1"/>
    <w:rsid w:val="00B536B3"/>
    <w:rsid w:val="00B61396"/>
    <w:rsid w:val="00B64141"/>
    <w:rsid w:val="00B64E72"/>
    <w:rsid w:val="00B676D3"/>
    <w:rsid w:val="00B74DE9"/>
    <w:rsid w:val="00B76338"/>
    <w:rsid w:val="00B77913"/>
    <w:rsid w:val="00B80E0E"/>
    <w:rsid w:val="00B824FB"/>
    <w:rsid w:val="00B82646"/>
    <w:rsid w:val="00B853CA"/>
    <w:rsid w:val="00B90E89"/>
    <w:rsid w:val="00B91C43"/>
    <w:rsid w:val="00B93124"/>
    <w:rsid w:val="00B97359"/>
    <w:rsid w:val="00B97A8F"/>
    <w:rsid w:val="00BA2078"/>
    <w:rsid w:val="00BA392A"/>
    <w:rsid w:val="00BA4E58"/>
    <w:rsid w:val="00BA7074"/>
    <w:rsid w:val="00BB07E0"/>
    <w:rsid w:val="00BB12A0"/>
    <w:rsid w:val="00BB7829"/>
    <w:rsid w:val="00BC2D02"/>
    <w:rsid w:val="00BD1457"/>
    <w:rsid w:val="00BE2AD9"/>
    <w:rsid w:val="00BF27FE"/>
    <w:rsid w:val="00BF6EA1"/>
    <w:rsid w:val="00C043B3"/>
    <w:rsid w:val="00C079AB"/>
    <w:rsid w:val="00C10E61"/>
    <w:rsid w:val="00C11306"/>
    <w:rsid w:val="00C11D15"/>
    <w:rsid w:val="00C14787"/>
    <w:rsid w:val="00C1575D"/>
    <w:rsid w:val="00C1596D"/>
    <w:rsid w:val="00C15B8D"/>
    <w:rsid w:val="00C17010"/>
    <w:rsid w:val="00C20562"/>
    <w:rsid w:val="00C215C3"/>
    <w:rsid w:val="00C23A96"/>
    <w:rsid w:val="00C249C6"/>
    <w:rsid w:val="00C24C0A"/>
    <w:rsid w:val="00C32CC1"/>
    <w:rsid w:val="00C376D0"/>
    <w:rsid w:val="00C421DB"/>
    <w:rsid w:val="00C422D6"/>
    <w:rsid w:val="00C426EC"/>
    <w:rsid w:val="00C46962"/>
    <w:rsid w:val="00C47354"/>
    <w:rsid w:val="00C51037"/>
    <w:rsid w:val="00C638B5"/>
    <w:rsid w:val="00C6483C"/>
    <w:rsid w:val="00C64AE9"/>
    <w:rsid w:val="00C70CFF"/>
    <w:rsid w:val="00C718FE"/>
    <w:rsid w:val="00C77F4E"/>
    <w:rsid w:val="00C86CEC"/>
    <w:rsid w:val="00C8773D"/>
    <w:rsid w:val="00C87ABB"/>
    <w:rsid w:val="00C91831"/>
    <w:rsid w:val="00C953DF"/>
    <w:rsid w:val="00C963E6"/>
    <w:rsid w:val="00CA3987"/>
    <w:rsid w:val="00CA7262"/>
    <w:rsid w:val="00CB2580"/>
    <w:rsid w:val="00CB3658"/>
    <w:rsid w:val="00CB6F7B"/>
    <w:rsid w:val="00CC4525"/>
    <w:rsid w:val="00CD5401"/>
    <w:rsid w:val="00CD7211"/>
    <w:rsid w:val="00CE1F20"/>
    <w:rsid w:val="00CE2709"/>
    <w:rsid w:val="00CE2D64"/>
    <w:rsid w:val="00CE41F5"/>
    <w:rsid w:val="00CE57A6"/>
    <w:rsid w:val="00CE5A56"/>
    <w:rsid w:val="00CE60CE"/>
    <w:rsid w:val="00CE6198"/>
    <w:rsid w:val="00CE6CD6"/>
    <w:rsid w:val="00CF6230"/>
    <w:rsid w:val="00D017FC"/>
    <w:rsid w:val="00D0226A"/>
    <w:rsid w:val="00D02E43"/>
    <w:rsid w:val="00D05104"/>
    <w:rsid w:val="00D10D4B"/>
    <w:rsid w:val="00D13147"/>
    <w:rsid w:val="00D146CF"/>
    <w:rsid w:val="00D15A23"/>
    <w:rsid w:val="00D15D2A"/>
    <w:rsid w:val="00D21C92"/>
    <w:rsid w:val="00D265A2"/>
    <w:rsid w:val="00D42AE0"/>
    <w:rsid w:val="00D42E6C"/>
    <w:rsid w:val="00D42EF1"/>
    <w:rsid w:val="00D45BC2"/>
    <w:rsid w:val="00D463FF"/>
    <w:rsid w:val="00D528F6"/>
    <w:rsid w:val="00D5715A"/>
    <w:rsid w:val="00D573AE"/>
    <w:rsid w:val="00D60BCB"/>
    <w:rsid w:val="00D62485"/>
    <w:rsid w:val="00D62C5C"/>
    <w:rsid w:val="00D71687"/>
    <w:rsid w:val="00D73B1E"/>
    <w:rsid w:val="00D74813"/>
    <w:rsid w:val="00D876D7"/>
    <w:rsid w:val="00D917CE"/>
    <w:rsid w:val="00D93885"/>
    <w:rsid w:val="00DA30BC"/>
    <w:rsid w:val="00DA69C2"/>
    <w:rsid w:val="00DA6D70"/>
    <w:rsid w:val="00DB6050"/>
    <w:rsid w:val="00DB79A1"/>
    <w:rsid w:val="00DC2C34"/>
    <w:rsid w:val="00DC70D0"/>
    <w:rsid w:val="00DD30A7"/>
    <w:rsid w:val="00DD70D9"/>
    <w:rsid w:val="00DD7D1F"/>
    <w:rsid w:val="00DE2C87"/>
    <w:rsid w:val="00DE459A"/>
    <w:rsid w:val="00DF27DA"/>
    <w:rsid w:val="00DF45DF"/>
    <w:rsid w:val="00DF4BC3"/>
    <w:rsid w:val="00DF4DBE"/>
    <w:rsid w:val="00DF5D10"/>
    <w:rsid w:val="00E10AEC"/>
    <w:rsid w:val="00E16F4D"/>
    <w:rsid w:val="00E20A5E"/>
    <w:rsid w:val="00E225B3"/>
    <w:rsid w:val="00E40820"/>
    <w:rsid w:val="00E44774"/>
    <w:rsid w:val="00E4658F"/>
    <w:rsid w:val="00E53ED6"/>
    <w:rsid w:val="00E54A67"/>
    <w:rsid w:val="00E61C0D"/>
    <w:rsid w:val="00E627FD"/>
    <w:rsid w:val="00E62B03"/>
    <w:rsid w:val="00E63EB4"/>
    <w:rsid w:val="00E66160"/>
    <w:rsid w:val="00E71329"/>
    <w:rsid w:val="00E73C2A"/>
    <w:rsid w:val="00E77783"/>
    <w:rsid w:val="00E8363B"/>
    <w:rsid w:val="00E84966"/>
    <w:rsid w:val="00E90917"/>
    <w:rsid w:val="00E92383"/>
    <w:rsid w:val="00E9344D"/>
    <w:rsid w:val="00E97D4B"/>
    <w:rsid w:val="00EA1B3A"/>
    <w:rsid w:val="00EA2109"/>
    <w:rsid w:val="00EA7AEB"/>
    <w:rsid w:val="00EB057A"/>
    <w:rsid w:val="00ED05AC"/>
    <w:rsid w:val="00ED1871"/>
    <w:rsid w:val="00ED4D4E"/>
    <w:rsid w:val="00EE03D4"/>
    <w:rsid w:val="00EE0C77"/>
    <w:rsid w:val="00EE19C6"/>
    <w:rsid w:val="00EE21F9"/>
    <w:rsid w:val="00EE2286"/>
    <w:rsid w:val="00EE2613"/>
    <w:rsid w:val="00EE4E54"/>
    <w:rsid w:val="00EF258F"/>
    <w:rsid w:val="00EF4334"/>
    <w:rsid w:val="00F01822"/>
    <w:rsid w:val="00F12A2C"/>
    <w:rsid w:val="00F151C0"/>
    <w:rsid w:val="00F15C3E"/>
    <w:rsid w:val="00F17085"/>
    <w:rsid w:val="00F26623"/>
    <w:rsid w:val="00F4034C"/>
    <w:rsid w:val="00F4097F"/>
    <w:rsid w:val="00F42367"/>
    <w:rsid w:val="00F42E11"/>
    <w:rsid w:val="00F436BB"/>
    <w:rsid w:val="00F47145"/>
    <w:rsid w:val="00F50622"/>
    <w:rsid w:val="00F516E0"/>
    <w:rsid w:val="00F545BF"/>
    <w:rsid w:val="00F63115"/>
    <w:rsid w:val="00F67124"/>
    <w:rsid w:val="00F71B56"/>
    <w:rsid w:val="00F76521"/>
    <w:rsid w:val="00F832C8"/>
    <w:rsid w:val="00F86DF9"/>
    <w:rsid w:val="00F86F5F"/>
    <w:rsid w:val="00F873B3"/>
    <w:rsid w:val="00F90C10"/>
    <w:rsid w:val="00F947FD"/>
    <w:rsid w:val="00FA00BE"/>
    <w:rsid w:val="00FA33FE"/>
    <w:rsid w:val="00FA42B9"/>
    <w:rsid w:val="00FA755A"/>
    <w:rsid w:val="00FB2B0F"/>
    <w:rsid w:val="00FB4F6B"/>
    <w:rsid w:val="00FB5FE1"/>
    <w:rsid w:val="00FC0E8D"/>
    <w:rsid w:val="00FC46EF"/>
    <w:rsid w:val="00FC5D1E"/>
    <w:rsid w:val="00FC66AB"/>
    <w:rsid w:val="00FD2B31"/>
    <w:rsid w:val="00FD31B3"/>
    <w:rsid w:val="00FD4204"/>
    <w:rsid w:val="00FD4AC1"/>
    <w:rsid w:val="00FE1EB3"/>
    <w:rsid w:val="00FE5B5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5037E4"/>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3"/>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5037E4"/>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5037E4"/>
    <w:pPr>
      <w:pBdr>
        <w:top w:val="single" w:sz="4" w:space="6" w:color="22413A"/>
        <w:bottom w:val="single" w:sz="4" w:space="6" w:color="22413A"/>
      </w:pBdr>
      <w:spacing w:before="240"/>
      <w:ind w:left="851"/>
    </w:pPr>
    <w:rPr>
      <w:rFonts w:asciiTheme="minorHAnsi" w:eastAsiaTheme="minorHAnsi" w:hAnsiTheme="minorHAnsi" w:cstheme="minorBidi"/>
      <w:color w:val="22413A"/>
      <w:szCs w:val="28"/>
      <w:lang w:bidi="ar-SA"/>
    </w:rPr>
  </w:style>
  <w:style w:type="paragraph" w:customStyle="1" w:styleId="NumList1">
    <w:name w:val="Num List 1"/>
    <w:basedOn w:val="Normal"/>
    <w:uiPriority w:val="1"/>
    <w:qFormat/>
    <w:rsid w:val="00B23A5E"/>
    <w:pPr>
      <w:numPr>
        <w:numId w:val="5"/>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4"/>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uiPriority w:val="22"/>
    <w:qFormat/>
    <w:rsid w:val="00FA00BE"/>
    <w:rPr>
      <w:b/>
      <w:bCs/>
    </w:rPr>
  </w:style>
  <w:style w:type="character" w:customStyle="1" w:styleId="legdsleglhslegp3no">
    <w:name w:val="legds leglhs legp3no"/>
    <w:rsid w:val="00E90917"/>
  </w:style>
  <w:style w:type="character" w:customStyle="1" w:styleId="legdslegrhslegp3text">
    <w:name w:val="legds legrhs legp3text"/>
    <w:rsid w:val="00E90917"/>
  </w:style>
  <w:style w:type="character" w:styleId="FollowedHyperlink">
    <w:name w:val="FollowedHyperlink"/>
    <w:basedOn w:val="DefaultParagraphFont"/>
    <w:uiPriority w:val="99"/>
    <w:semiHidden/>
    <w:unhideWhenUsed/>
    <w:rsid w:val="00637598"/>
    <w:rPr>
      <w:color w:val="AA1C76" w:themeColor="followedHyperlink"/>
      <w:u w:val="single"/>
    </w:rPr>
  </w:style>
  <w:style w:type="paragraph" w:styleId="Revision">
    <w:name w:val="Revision"/>
    <w:hidden/>
    <w:uiPriority w:val="99"/>
    <w:semiHidden/>
    <w:rsid w:val="00E73C2A"/>
    <w:rPr>
      <w:rFonts w:ascii="Arial" w:hAnsi="Arial"/>
      <w:sz w:val="24"/>
      <w:szCs w:val="22"/>
      <w:lang w:eastAsia="en-US" w:bidi="he-IL"/>
    </w:rPr>
  </w:style>
  <w:style w:type="paragraph" w:customStyle="1" w:styleId="TSHeadingNumbered11">
    <w:name w:val="TS Heading Numbered 1.1"/>
    <w:basedOn w:val="Normal"/>
    <w:rsid w:val="001A1443"/>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styleId="CommentSubject">
    <w:name w:val="annotation subject"/>
    <w:basedOn w:val="CommentText"/>
    <w:next w:val="CommentText"/>
    <w:link w:val="CommentSubjectChar"/>
    <w:uiPriority w:val="99"/>
    <w:semiHidden/>
    <w:unhideWhenUsed/>
    <w:rsid w:val="00685C7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685C72"/>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3833">
      <w:bodyDiv w:val="1"/>
      <w:marLeft w:val="0"/>
      <w:marRight w:val="0"/>
      <w:marTop w:val="0"/>
      <w:marBottom w:val="0"/>
      <w:divBdr>
        <w:top w:val="none" w:sz="0" w:space="0" w:color="auto"/>
        <w:left w:val="none" w:sz="0" w:space="0" w:color="auto"/>
        <w:bottom w:val="none" w:sz="0" w:space="0" w:color="auto"/>
        <w:right w:val="none" w:sz="0" w:space="0" w:color="auto"/>
      </w:divBdr>
    </w:div>
    <w:div w:id="55863216">
      <w:bodyDiv w:val="1"/>
      <w:marLeft w:val="0"/>
      <w:marRight w:val="0"/>
      <w:marTop w:val="0"/>
      <w:marBottom w:val="0"/>
      <w:divBdr>
        <w:top w:val="none" w:sz="0" w:space="0" w:color="auto"/>
        <w:left w:val="none" w:sz="0" w:space="0" w:color="auto"/>
        <w:bottom w:val="none" w:sz="0" w:space="0" w:color="auto"/>
        <w:right w:val="none" w:sz="0" w:space="0" w:color="auto"/>
      </w:divBdr>
    </w:div>
    <w:div w:id="6711341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11942357">
      <w:bodyDiv w:val="1"/>
      <w:marLeft w:val="0"/>
      <w:marRight w:val="0"/>
      <w:marTop w:val="0"/>
      <w:marBottom w:val="0"/>
      <w:divBdr>
        <w:top w:val="none" w:sz="0" w:space="0" w:color="auto"/>
        <w:left w:val="none" w:sz="0" w:space="0" w:color="auto"/>
        <w:bottom w:val="none" w:sz="0" w:space="0" w:color="auto"/>
        <w:right w:val="none" w:sz="0" w:space="0" w:color="auto"/>
      </w:divBdr>
    </w:div>
    <w:div w:id="152182670">
      <w:bodyDiv w:val="1"/>
      <w:marLeft w:val="0"/>
      <w:marRight w:val="0"/>
      <w:marTop w:val="0"/>
      <w:marBottom w:val="0"/>
      <w:divBdr>
        <w:top w:val="none" w:sz="0" w:space="0" w:color="auto"/>
        <w:left w:val="none" w:sz="0" w:space="0" w:color="auto"/>
        <w:bottom w:val="none" w:sz="0" w:space="0" w:color="auto"/>
        <w:right w:val="none" w:sz="0" w:space="0" w:color="auto"/>
      </w:divBdr>
    </w:div>
    <w:div w:id="199827259">
      <w:bodyDiv w:val="1"/>
      <w:marLeft w:val="0"/>
      <w:marRight w:val="0"/>
      <w:marTop w:val="0"/>
      <w:marBottom w:val="0"/>
      <w:divBdr>
        <w:top w:val="none" w:sz="0" w:space="0" w:color="auto"/>
        <w:left w:val="none" w:sz="0" w:space="0" w:color="auto"/>
        <w:bottom w:val="none" w:sz="0" w:space="0" w:color="auto"/>
        <w:right w:val="none" w:sz="0" w:space="0" w:color="auto"/>
      </w:divBdr>
    </w:div>
    <w:div w:id="20160314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8105387">
      <w:bodyDiv w:val="1"/>
      <w:marLeft w:val="0"/>
      <w:marRight w:val="0"/>
      <w:marTop w:val="0"/>
      <w:marBottom w:val="0"/>
      <w:divBdr>
        <w:top w:val="none" w:sz="0" w:space="0" w:color="auto"/>
        <w:left w:val="none" w:sz="0" w:space="0" w:color="auto"/>
        <w:bottom w:val="none" w:sz="0" w:space="0" w:color="auto"/>
        <w:right w:val="none" w:sz="0" w:space="0" w:color="auto"/>
      </w:divBdr>
    </w:div>
    <w:div w:id="258678536">
      <w:bodyDiv w:val="1"/>
      <w:marLeft w:val="0"/>
      <w:marRight w:val="0"/>
      <w:marTop w:val="0"/>
      <w:marBottom w:val="0"/>
      <w:divBdr>
        <w:top w:val="none" w:sz="0" w:space="0" w:color="auto"/>
        <w:left w:val="none" w:sz="0" w:space="0" w:color="auto"/>
        <w:bottom w:val="none" w:sz="0" w:space="0" w:color="auto"/>
        <w:right w:val="none" w:sz="0" w:space="0" w:color="auto"/>
      </w:divBdr>
    </w:div>
    <w:div w:id="285040397">
      <w:bodyDiv w:val="1"/>
      <w:marLeft w:val="0"/>
      <w:marRight w:val="0"/>
      <w:marTop w:val="0"/>
      <w:marBottom w:val="0"/>
      <w:divBdr>
        <w:top w:val="none" w:sz="0" w:space="0" w:color="auto"/>
        <w:left w:val="none" w:sz="0" w:space="0" w:color="auto"/>
        <w:bottom w:val="none" w:sz="0" w:space="0" w:color="auto"/>
        <w:right w:val="none" w:sz="0" w:space="0" w:color="auto"/>
      </w:divBdr>
    </w:div>
    <w:div w:id="29557143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1540646">
      <w:bodyDiv w:val="1"/>
      <w:marLeft w:val="0"/>
      <w:marRight w:val="0"/>
      <w:marTop w:val="0"/>
      <w:marBottom w:val="0"/>
      <w:divBdr>
        <w:top w:val="none" w:sz="0" w:space="0" w:color="auto"/>
        <w:left w:val="none" w:sz="0" w:space="0" w:color="auto"/>
        <w:bottom w:val="none" w:sz="0" w:space="0" w:color="auto"/>
        <w:right w:val="none" w:sz="0" w:space="0" w:color="auto"/>
      </w:divBdr>
    </w:div>
    <w:div w:id="37758455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24096346">
      <w:bodyDiv w:val="1"/>
      <w:marLeft w:val="0"/>
      <w:marRight w:val="0"/>
      <w:marTop w:val="0"/>
      <w:marBottom w:val="0"/>
      <w:divBdr>
        <w:top w:val="none" w:sz="0" w:space="0" w:color="auto"/>
        <w:left w:val="none" w:sz="0" w:space="0" w:color="auto"/>
        <w:bottom w:val="none" w:sz="0" w:space="0" w:color="auto"/>
        <w:right w:val="none" w:sz="0" w:space="0" w:color="auto"/>
      </w:divBdr>
    </w:div>
    <w:div w:id="53281594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6156600">
      <w:bodyDiv w:val="1"/>
      <w:marLeft w:val="0"/>
      <w:marRight w:val="0"/>
      <w:marTop w:val="0"/>
      <w:marBottom w:val="0"/>
      <w:divBdr>
        <w:top w:val="none" w:sz="0" w:space="0" w:color="auto"/>
        <w:left w:val="none" w:sz="0" w:space="0" w:color="auto"/>
        <w:bottom w:val="none" w:sz="0" w:space="0" w:color="auto"/>
        <w:right w:val="none" w:sz="0" w:space="0" w:color="auto"/>
      </w:divBdr>
    </w:div>
    <w:div w:id="587888064">
      <w:bodyDiv w:val="1"/>
      <w:marLeft w:val="0"/>
      <w:marRight w:val="0"/>
      <w:marTop w:val="0"/>
      <w:marBottom w:val="0"/>
      <w:divBdr>
        <w:top w:val="none" w:sz="0" w:space="0" w:color="auto"/>
        <w:left w:val="none" w:sz="0" w:space="0" w:color="auto"/>
        <w:bottom w:val="none" w:sz="0" w:space="0" w:color="auto"/>
        <w:right w:val="none" w:sz="0" w:space="0" w:color="auto"/>
      </w:divBdr>
    </w:div>
    <w:div w:id="685592924">
      <w:bodyDiv w:val="1"/>
      <w:marLeft w:val="0"/>
      <w:marRight w:val="0"/>
      <w:marTop w:val="0"/>
      <w:marBottom w:val="0"/>
      <w:divBdr>
        <w:top w:val="none" w:sz="0" w:space="0" w:color="auto"/>
        <w:left w:val="none" w:sz="0" w:space="0" w:color="auto"/>
        <w:bottom w:val="none" w:sz="0" w:space="0" w:color="auto"/>
        <w:right w:val="none" w:sz="0" w:space="0" w:color="auto"/>
      </w:divBdr>
    </w:div>
    <w:div w:id="747265283">
      <w:bodyDiv w:val="1"/>
      <w:marLeft w:val="0"/>
      <w:marRight w:val="0"/>
      <w:marTop w:val="0"/>
      <w:marBottom w:val="0"/>
      <w:divBdr>
        <w:top w:val="none" w:sz="0" w:space="0" w:color="auto"/>
        <w:left w:val="none" w:sz="0" w:space="0" w:color="auto"/>
        <w:bottom w:val="none" w:sz="0" w:space="0" w:color="auto"/>
        <w:right w:val="none" w:sz="0" w:space="0" w:color="auto"/>
      </w:divBdr>
    </w:div>
    <w:div w:id="806053205">
      <w:bodyDiv w:val="1"/>
      <w:marLeft w:val="0"/>
      <w:marRight w:val="0"/>
      <w:marTop w:val="0"/>
      <w:marBottom w:val="0"/>
      <w:divBdr>
        <w:top w:val="none" w:sz="0" w:space="0" w:color="auto"/>
        <w:left w:val="none" w:sz="0" w:space="0" w:color="auto"/>
        <w:bottom w:val="none" w:sz="0" w:space="0" w:color="auto"/>
        <w:right w:val="none" w:sz="0" w:space="0" w:color="auto"/>
      </w:divBdr>
    </w:div>
    <w:div w:id="848175319">
      <w:bodyDiv w:val="1"/>
      <w:marLeft w:val="0"/>
      <w:marRight w:val="0"/>
      <w:marTop w:val="0"/>
      <w:marBottom w:val="0"/>
      <w:divBdr>
        <w:top w:val="none" w:sz="0" w:space="0" w:color="auto"/>
        <w:left w:val="none" w:sz="0" w:space="0" w:color="auto"/>
        <w:bottom w:val="none" w:sz="0" w:space="0" w:color="auto"/>
        <w:right w:val="none" w:sz="0" w:space="0" w:color="auto"/>
      </w:divBdr>
    </w:div>
    <w:div w:id="93652614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68380375">
      <w:bodyDiv w:val="1"/>
      <w:marLeft w:val="0"/>
      <w:marRight w:val="0"/>
      <w:marTop w:val="0"/>
      <w:marBottom w:val="0"/>
      <w:divBdr>
        <w:top w:val="none" w:sz="0" w:space="0" w:color="auto"/>
        <w:left w:val="none" w:sz="0" w:space="0" w:color="auto"/>
        <w:bottom w:val="none" w:sz="0" w:space="0" w:color="auto"/>
        <w:right w:val="none" w:sz="0" w:space="0" w:color="auto"/>
      </w:divBdr>
    </w:div>
    <w:div w:id="109886986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4760043">
      <w:bodyDiv w:val="1"/>
      <w:marLeft w:val="0"/>
      <w:marRight w:val="0"/>
      <w:marTop w:val="0"/>
      <w:marBottom w:val="0"/>
      <w:divBdr>
        <w:top w:val="none" w:sz="0" w:space="0" w:color="auto"/>
        <w:left w:val="none" w:sz="0" w:space="0" w:color="auto"/>
        <w:bottom w:val="none" w:sz="0" w:space="0" w:color="auto"/>
        <w:right w:val="none" w:sz="0" w:space="0" w:color="auto"/>
      </w:divBdr>
    </w:div>
    <w:div w:id="1262759562">
      <w:bodyDiv w:val="1"/>
      <w:marLeft w:val="0"/>
      <w:marRight w:val="0"/>
      <w:marTop w:val="0"/>
      <w:marBottom w:val="0"/>
      <w:divBdr>
        <w:top w:val="none" w:sz="0" w:space="0" w:color="auto"/>
        <w:left w:val="none" w:sz="0" w:space="0" w:color="auto"/>
        <w:bottom w:val="none" w:sz="0" w:space="0" w:color="auto"/>
        <w:right w:val="none" w:sz="0" w:space="0" w:color="auto"/>
      </w:divBdr>
    </w:div>
    <w:div w:id="1269698151">
      <w:bodyDiv w:val="1"/>
      <w:marLeft w:val="0"/>
      <w:marRight w:val="0"/>
      <w:marTop w:val="0"/>
      <w:marBottom w:val="0"/>
      <w:divBdr>
        <w:top w:val="none" w:sz="0" w:space="0" w:color="auto"/>
        <w:left w:val="none" w:sz="0" w:space="0" w:color="auto"/>
        <w:bottom w:val="none" w:sz="0" w:space="0" w:color="auto"/>
        <w:right w:val="none" w:sz="0" w:space="0" w:color="auto"/>
      </w:divBdr>
    </w:div>
    <w:div w:id="1336961282">
      <w:bodyDiv w:val="1"/>
      <w:marLeft w:val="0"/>
      <w:marRight w:val="0"/>
      <w:marTop w:val="0"/>
      <w:marBottom w:val="0"/>
      <w:divBdr>
        <w:top w:val="none" w:sz="0" w:space="0" w:color="auto"/>
        <w:left w:val="none" w:sz="0" w:space="0" w:color="auto"/>
        <w:bottom w:val="none" w:sz="0" w:space="0" w:color="auto"/>
        <w:right w:val="none" w:sz="0" w:space="0" w:color="auto"/>
      </w:divBdr>
    </w:div>
    <w:div w:id="134381634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2919993">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90290917">
      <w:bodyDiv w:val="1"/>
      <w:marLeft w:val="0"/>
      <w:marRight w:val="0"/>
      <w:marTop w:val="0"/>
      <w:marBottom w:val="0"/>
      <w:divBdr>
        <w:top w:val="none" w:sz="0" w:space="0" w:color="auto"/>
        <w:left w:val="none" w:sz="0" w:space="0" w:color="auto"/>
        <w:bottom w:val="none" w:sz="0" w:space="0" w:color="auto"/>
        <w:right w:val="none" w:sz="0" w:space="0" w:color="auto"/>
      </w:divBdr>
    </w:div>
    <w:div w:id="1583680642">
      <w:bodyDiv w:val="1"/>
      <w:marLeft w:val="0"/>
      <w:marRight w:val="0"/>
      <w:marTop w:val="0"/>
      <w:marBottom w:val="0"/>
      <w:divBdr>
        <w:top w:val="none" w:sz="0" w:space="0" w:color="auto"/>
        <w:left w:val="none" w:sz="0" w:space="0" w:color="auto"/>
        <w:bottom w:val="none" w:sz="0" w:space="0" w:color="auto"/>
        <w:right w:val="none" w:sz="0" w:space="0" w:color="auto"/>
      </w:divBdr>
    </w:div>
    <w:div w:id="161409013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0668769">
      <w:bodyDiv w:val="1"/>
      <w:marLeft w:val="0"/>
      <w:marRight w:val="0"/>
      <w:marTop w:val="0"/>
      <w:marBottom w:val="0"/>
      <w:divBdr>
        <w:top w:val="none" w:sz="0" w:space="0" w:color="auto"/>
        <w:left w:val="none" w:sz="0" w:space="0" w:color="auto"/>
        <w:bottom w:val="none" w:sz="0" w:space="0" w:color="auto"/>
        <w:right w:val="none" w:sz="0" w:space="0" w:color="auto"/>
      </w:divBdr>
    </w:div>
    <w:div w:id="1668557793">
      <w:bodyDiv w:val="1"/>
      <w:marLeft w:val="0"/>
      <w:marRight w:val="0"/>
      <w:marTop w:val="0"/>
      <w:marBottom w:val="0"/>
      <w:divBdr>
        <w:top w:val="none" w:sz="0" w:space="0" w:color="auto"/>
        <w:left w:val="none" w:sz="0" w:space="0" w:color="auto"/>
        <w:bottom w:val="none" w:sz="0" w:space="0" w:color="auto"/>
        <w:right w:val="none" w:sz="0" w:space="0" w:color="auto"/>
      </w:divBdr>
    </w:div>
    <w:div w:id="1704206107">
      <w:bodyDiv w:val="1"/>
      <w:marLeft w:val="0"/>
      <w:marRight w:val="0"/>
      <w:marTop w:val="0"/>
      <w:marBottom w:val="0"/>
      <w:divBdr>
        <w:top w:val="none" w:sz="0" w:space="0" w:color="auto"/>
        <w:left w:val="none" w:sz="0" w:space="0" w:color="auto"/>
        <w:bottom w:val="none" w:sz="0" w:space="0" w:color="auto"/>
        <w:right w:val="none" w:sz="0" w:space="0" w:color="auto"/>
      </w:divBdr>
    </w:div>
    <w:div w:id="1713965029">
      <w:bodyDiv w:val="1"/>
      <w:marLeft w:val="0"/>
      <w:marRight w:val="0"/>
      <w:marTop w:val="0"/>
      <w:marBottom w:val="0"/>
      <w:divBdr>
        <w:top w:val="none" w:sz="0" w:space="0" w:color="auto"/>
        <w:left w:val="none" w:sz="0" w:space="0" w:color="auto"/>
        <w:bottom w:val="none" w:sz="0" w:space="0" w:color="auto"/>
        <w:right w:val="none" w:sz="0" w:space="0" w:color="auto"/>
      </w:divBdr>
      <w:divsChild>
        <w:div w:id="881480082">
          <w:marLeft w:val="0"/>
          <w:marRight w:val="0"/>
          <w:marTop w:val="0"/>
          <w:marBottom w:val="0"/>
          <w:divBdr>
            <w:top w:val="none" w:sz="0" w:space="0" w:color="auto"/>
            <w:left w:val="none" w:sz="0" w:space="0" w:color="auto"/>
            <w:bottom w:val="none" w:sz="0" w:space="0" w:color="auto"/>
            <w:right w:val="none" w:sz="0" w:space="0" w:color="auto"/>
          </w:divBdr>
          <w:divsChild>
            <w:div w:id="1132943247">
              <w:marLeft w:val="0"/>
              <w:marRight w:val="0"/>
              <w:marTop w:val="0"/>
              <w:marBottom w:val="0"/>
              <w:divBdr>
                <w:top w:val="none" w:sz="0" w:space="0" w:color="auto"/>
                <w:left w:val="none" w:sz="0" w:space="0" w:color="auto"/>
                <w:bottom w:val="none" w:sz="0" w:space="0" w:color="auto"/>
                <w:right w:val="none" w:sz="0" w:space="0" w:color="auto"/>
              </w:divBdr>
              <w:divsChild>
                <w:div w:id="1937639826">
                  <w:marLeft w:val="0"/>
                  <w:marRight w:val="0"/>
                  <w:marTop w:val="0"/>
                  <w:marBottom w:val="0"/>
                  <w:divBdr>
                    <w:top w:val="single" w:sz="4" w:space="6" w:color="auto"/>
                    <w:left w:val="single" w:sz="4" w:space="12" w:color="auto"/>
                    <w:bottom w:val="single" w:sz="4" w:space="6" w:color="auto"/>
                    <w:right w:val="single" w:sz="4" w:space="12" w:color="auto"/>
                  </w:divBdr>
                  <w:divsChild>
                    <w:div w:id="133780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112478">
          <w:marLeft w:val="0"/>
          <w:marRight w:val="0"/>
          <w:marTop w:val="0"/>
          <w:marBottom w:val="0"/>
          <w:divBdr>
            <w:top w:val="none" w:sz="0" w:space="0" w:color="auto"/>
            <w:left w:val="none" w:sz="0" w:space="0" w:color="auto"/>
            <w:bottom w:val="none" w:sz="0" w:space="0" w:color="auto"/>
            <w:right w:val="none" w:sz="0" w:space="0" w:color="auto"/>
          </w:divBdr>
          <w:divsChild>
            <w:div w:id="1563254827">
              <w:marLeft w:val="0"/>
              <w:marRight w:val="0"/>
              <w:marTop w:val="0"/>
              <w:marBottom w:val="0"/>
              <w:divBdr>
                <w:top w:val="none" w:sz="0" w:space="0" w:color="auto"/>
                <w:left w:val="none" w:sz="0" w:space="0" w:color="auto"/>
                <w:bottom w:val="none" w:sz="0" w:space="0" w:color="auto"/>
                <w:right w:val="none" w:sz="0" w:space="0" w:color="auto"/>
              </w:divBdr>
              <w:divsChild>
                <w:div w:id="1051417001">
                  <w:marLeft w:val="0"/>
                  <w:marRight w:val="0"/>
                  <w:marTop w:val="0"/>
                  <w:marBottom w:val="0"/>
                  <w:divBdr>
                    <w:top w:val="none" w:sz="0" w:space="0" w:color="auto"/>
                    <w:left w:val="none" w:sz="0" w:space="0" w:color="auto"/>
                    <w:bottom w:val="none" w:sz="0" w:space="0" w:color="auto"/>
                    <w:right w:val="none" w:sz="0" w:space="0" w:color="auto"/>
                  </w:divBdr>
                  <w:divsChild>
                    <w:div w:id="2090271035">
                      <w:marLeft w:val="0"/>
                      <w:marRight w:val="0"/>
                      <w:marTop w:val="0"/>
                      <w:marBottom w:val="0"/>
                      <w:divBdr>
                        <w:top w:val="none" w:sz="0" w:space="0" w:color="auto"/>
                        <w:left w:val="none" w:sz="0" w:space="0" w:color="auto"/>
                        <w:bottom w:val="none" w:sz="0" w:space="0" w:color="auto"/>
                        <w:right w:val="none" w:sz="0" w:space="0" w:color="auto"/>
                      </w:divBdr>
                      <w:divsChild>
                        <w:div w:id="1557859876">
                          <w:marLeft w:val="0"/>
                          <w:marRight w:val="0"/>
                          <w:marTop w:val="0"/>
                          <w:marBottom w:val="0"/>
                          <w:divBdr>
                            <w:top w:val="none" w:sz="0" w:space="0" w:color="auto"/>
                            <w:left w:val="none" w:sz="0" w:space="0" w:color="auto"/>
                            <w:bottom w:val="none" w:sz="0" w:space="0" w:color="auto"/>
                            <w:right w:val="none" w:sz="0" w:space="0" w:color="auto"/>
                          </w:divBdr>
                          <w:divsChild>
                            <w:div w:id="9256359">
                              <w:marLeft w:val="0"/>
                              <w:marRight w:val="0"/>
                              <w:marTop w:val="0"/>
                              <w:marBottom w:val="0"/>
                              <w:divBdr>
                                <w:top w:val="none" w:sz="0" w:space="0" w:color="auto"/>
                                <w:left w:val="none" w:sz="0" w:space="0" w:color="auto"/>
                                <w:bottom w:val="none" w:sz="0" w:space="0" w:color="auto"/>
                                <w:right w:val="none" w:sz="0" w:space="0" w:color="auto"/>
                              </w:divBdr>
                            </w:div>
                          </w:divsChild>
                        </w:div>
                        <w:div w:id="536284468">
                          <w:marLeft w:val="0"/>
                          <w:marRight w:val="0"/>
                          <w:marTop w:val="0"/>
                          <w:marBottom w:val="480"/>
                          <w:divBdr>
                            <w:top w:val="none" w:sz="0" w:space="0" w:color="auto"/>
                            <w:left w:val="none" w:sz="0" w:space="0" w:color="auto"/>
                            <w:bottom w:val="none" w:sz="0" w:space="0" w:color="auto"/>
                            <w:right w:val="none" w:sz="0" w:space="0" w:color="auto"/>
                          </w:divBdr>
                          <w:divsChild>
                            <w:div w:id="2060812024">
                              <w:marLeft w:val="0"/>
                              <w:marRight w:val="0"/>
                              <w:marTop w:val="0"/>
                              <w:marBottom w:val="0"/>
                              <w:divBdr>
                                <w:top w:val="none" w:sz="0" w:space="0" w:color="auto"/>
                                <w:left w:val="none" w:sz="0" w:space="0" w:color="auto"/>
                                <w:bottom w:val="none" w:sz="0" w:space="0" w:color="auto"/>
                                <w:right w:val="none" w:sz="0" w:space="0" w:color="auto"/>
                              </w:divBdr>
                              <w:divsChild>
                                <w:div w:id="895243370">
                                  <w:marLeft w:val="0"/>
                                  <w:marRight w:val="0"/>
                                  <w:marTop w:val="0"/>
                                  <w:marBottom w:val="0"/>
                                  <w:divBdr>
                                    <w:top w:val="none" w:sz="0" w:space="0" w:color="auto"/>
                                    <w:left w:val="none" w:sz="0" w:space="0" w:color="auto"/>
                                    <w:bottom w:val="none" w:sz="0" w:space="0" w:color="auto"/>
                                    <w:right w:val="none" w:sz="0" w:space="0" w:color="auto"/>
                                  </w:divBdr>
                                  <w:divsChild>
                                    <w:div w:id="1927373328">
                                      <w:marLeft w:val="0"/>
                                      <w:marRight w:val="0"/>
                                      <w:marTop w:val="0"/>
                                      <w:marBottom w:val="0"/>
                                      <w:divBdr>
                                        <w:top w:val="none" w:sz="0" w:space="0" w:color="auto"/>
                                        <w:left w:val="none" w:sz="0" w:space="0" w:color="auto"/>
                                        <w:bottom w:val="none" w:sz="0" w:space="0" w:color="auto"/>
                                        <w:right w:val="none" w:sz="0" w:space="0" w:color="auto"/>
                                      </w:divBdr>
                                      <w:divsChild>
                                        <w:div w:id="1624267915">
                                          <w:marLeft w:val="0"/>
                                          <w:marRight w:val="0"/>
                                          <w:marTop w:val="0"/>
                                          <w:marBottom w:val="0"/>
                                          <w:divBdr>
                                            <w:top w:val="none" w:sz="0" w:space="0" w:color="auto"/>
                                            <w:left w:val="none" w:sz="0" w:space="0" w:color="auto"/>
                                            <w:bottom w:val="none" w:sz="0" w:space="0" w:color="auto"/>
                                            <w:right w:val="none" w:sz="0" w:space="0" w:color="auto"/>
                                          </w:divBdr>
                                          <w:divsChild>
                                            <w:div w:id="1039891207">
                                              <w:marLeft w:val="0"/>
                                              <w:marRight w:val="0"/>
                                              <w:marTop w:val="0"/>
                                              <w:marBottom w:val="0"/>
                                              <w:divBdr>
                                                <w:top w:val="none" w:sz="0" w:space="0" w:color="auto"/>
                                                <w:left w:val="none" w:sz="0" w:space="0" w:color="auto"/>
                                                <w:bottom w:val="none" w:sz="0" w:space="0" w:color="auto"/>
                                                <w:right w:val="none" w:sz="0" w:space="0" w:color="auto"/>
                                              </w:divBdr>
                                              <w:divsChild>
                                                <w:div w:id="813911073">
                                                  <w:marLeft w:val="0"/>
                                                  <w:marRight w:val="0"/>
                                                  <w:marTop w:val="0"/>
                                                  <w:marBottom w:val="0"/>
                                                  <w:divBdr>
                                                    <w:top w:val="none" w:sz="0" w:space="0" w:color="auto"/>
                                                    <w:left w:val="none" w:sz="0" w:space="0" w:color="auto"/>
                                                    <w:bottom w:val="none" w:sz="0" w:space="0" w:color="auto"/>
                                                    <w:right w:val="none" w:sz="0" w:space="0" w:color="auto"/>
                                                  </w:divBdr>
                                                  <w:divsChild>
                                                    <w:div w:id="950477561">
                                                      <w:marLeft w:val="0"/>
                                                      <w:marRight w:val="0"/>
                                                      <w:marTop w:val="0"/>
                                                      <w:marBottom w:val="0"/>
                                                      <w:divBdr>
                                                        <w:top w:val="none" w:sz="0" w:space="0" w:color="auto"/>
                                                        <w:left w:val="none" w:sz="0" w:space="0" w:color="auto"/>
                                                        <w:bottom w:val="none" w:sz="0" w:space="0" w:color="auto"/>
                                                        <w:right w:val="none" w:sz="0" w:space="0" w:color="auto"/>
                                                      </w:divBdr>
                                                      <w:divsChild>
                                                        <w:div w:id="5527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0978253">
      <w:bodyDiv w:val="1"/>
      <w:marLeft w:val="0"/>
      <w:marRight w:val="0"/>
      <w:marTop w:val="0"/>
      <w:marBottom w:val="0"/>
      <w:divBdr>
        <w:top w:val="none" w:sz="0" w:space="0" w:color="auto"/>
        <w:left w:val="none" w:sz="0" w:space="0" w:color="auto"/>
        <w:bottom w:val="none" w:sz="0" w:space="0" w:color="auto"/>
        <w:right w:val="none" w:sz="0" w:space="0" w:color="auto"/>
      </w:divBdr>
    </w:div>
    <w:div w:id="177428317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53907981">
      <w:bodyDiv w:val="1"/>
      <w:marLeft w:val="0"/>
      <w:marRight w:val="0"/>
      <w:marTop w:val="0"/>
      <w:marBottom w:val="0"/>
      <w:divBdr>
        <w:top w:val="none" w:sz="0" w:space="0" w:color="auto"/>
        <w:left w:val="none" w:sz="0" w:space="0" w:color="auto"/>
        <w:bottom w:val="none" w:sz="0" w:space="0" w:color="auto"/>
        <w:right w:val="none" w:sz="0" w:space="0" w:color="auto"/>
      </w:divBdr>
    </w:div>
    <w:div w:id="1887063960">
      <w:bodyDiv w:val="1"/>
      <w:marLeft w:val="0"/>
      <w:marRight w:val="0"/>
      <w:marTop w:val="0"/>
      <w:marBottom w:val="0"/>
      <w:divBdr>
        <w:top w:val="none" w:sz="0" w:space="0" w:color="auto"/>
        <w:left w:val="none" w:sz="0" w:space="0" w:color="auto"/>
        <w:bottom w:val="none" w:sz="0" w:space="0" w:color="auto"/>
        <w:right w:val="none" w:sz="0" w:space="0" w:color="auto"/>
      </w:divBdr>
    </w:div>
    <w:div w:id="1955289695">
      <w:bodyDiv w:val="1"/>
      <w:marLeft w:val="0"/>
      <w:marRight w:val="0"/>
      <w:marTop w:val="0"/>
      <w:marBottom w:val="0"/>
      <w:divBdr>
        <w:top w:val="none" w:sz="0" w:space="0" w:color="auto"/>
        <w:left w:val="none" w:sz="0" w:space="0" w:color="auto"/>
        <w:bottom w:val="none" w:sz="0" w:space="0" w:color="auto"/>
        <w:right w:val="none" w:sz="0" w:space="0" w:color="auto"/>
      </w:divBdr>
    </w:div>
    <w:div w:id="1967151432">
      <w:bodyDiv w:val="1"/>
      <w:marLeft w:val="0"/>
      <w:marRight w:val="0"/>
      <w:marTop w:val="0"/>
      <w:marBottom w:val="0"/>
      <w:divBdr>
        <w:top w:val="none" w:sz="0" w:space="0" w:color="auto"/>
        <w:left w:val="none" w:sz="0" w:space="0" w:color="auto"/>
        <w:bottom w:val="none" w:sz="0" w:space="0" w:color="auto"/>
        <w:right w:val="none" w:sz="0" w:space="0" w:color="auto"/>
      </w:divBdr>
    </w:div>
    <w:div w:id="1986665017">
      <w:bodyDiv w:val="1"/>
      <w:marLeft w:val="0"/>
      <w:marRight w:val="0"/>
      <w:marTop w:val="0"/>
      <w:marBottom w:val="0"/>
      <w:divBdr>
        <w:top w:val="none" w:sz="0" w:space="0" w:color="auto"/>
        <w:left w:val="none" w:sz="0" w:space="0" w:color="auto"/>
        <w:bottom w:val="none" w:sz="0" w:space="0" w:color="auto"/>
        <w:right w:val="none" w:sz="0" w:space="0" w:color="auto"/>
      </w:divBdr>
    </w:div>
    <w:div w:id="199815058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3.xm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hyperlink" Target="https://prodonrgov.sharepoint.com/:w:/r/sites/HOW2Hub/_layouts/15/Doc.aspx?sourcedoc=%7B8670C93C-5550-D0D1-1015-5BD2F835DCD9%7D&amp;file=NS-TAST-GD-019%20-%20Essential%20Services.docx&amp;action=default&amp;mobileredirect=true&amp;DefaultItemOpen=1" TargetMode="Externa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yperlink" Target="https://www.onr.org.uk/working-with-others/agreements-with-others/memoranda-of-understanding-general-agreements"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yperlink" Target="https://prodonrgov.sharepoint.com/sites/HOW2Hub/_layouts/15/DocIdRedir.aspx?ID=ONRHH-822789359-20634" TargetMode="Externa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hyperlink" Target="https://prodonrgov.sharepoint.com/:w:/r/sites/HOW2Hub/_layouts/15/Doc.aspx?sourcedoc=%7BCD5DFCE9-DAA9-FF38-DEFF-9D761951DAB2%7D&amp;file=NS-TAST-GD-021%20-%20Containment%20on%20Nuclear%20Facilities.docx&amp;action=default&amp;mobileredirect=true&amp;DefaultItemOpen=1" TargetMode="External"/><Relationship Id="rId10" Type="http://schemas.openxmlformats.org/officeDocument/2006/relationships/styles" Target="styles.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prodonrgov.sharepoint.com/:w:/r/sites/HOW2Hub/_layouts/15/Doc.aspx?sourcedoc=%7B6AEF5D22-961E-27CA-AEB4-5833313D7BE3%7D&amp;file=NS-TAST-GD-020%20-%20Civil%20engineering%20containments%20for%20reactors%20plants.docx&amp;action=default&amp;mobileredirect=true"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5F5ABC95AEB14B73B3717530C6C32173"/>
        <w:category>
          <w:name w:val="General"/>
          <w:gallery w:val="placeholder"/>
        </w:category>
        <w:types>
          <w:type w:val="bbPlcHdr"/>
        </w:types>
        <w:behaviors>
          <w:behavior w:val="content"/>
        </w:behaviors>
        <w:guid w:val="{8126A6FA-D880-4379-9A17-FB63F8E55C15}"/>
      </w:docPartPr>
      <w:docPartBody>
        <w:p w:rsidR="00FA1F2D" w:rsidRDefault="00FA1F2D" w:rsidP="00FA1F2D">
          <w:pPr>
            <w:pStyle w:val="5F5ABC95AEB14B73B3717530C6C32173"/>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46125"/>
    <w:rsid w:val="00120BAC"/>
    <w:rsid w:val="00183F29"/>
    <w:rsid w:val="001A06D4"/>
    <w:rsid w:val="001B233D"/>
    <w:rsid w:val="001F724C"/>
    <w:rsid w:val="00235645"/>
    <w:rsid w:val="00250B17"/>
    <w:rsid w:val="002550FD"/>
    <w:rsid w:val="00333F8E"/>
    <w:rsid w:val="00350199"/>
    <w:rsid w:val="00372223"/>
    <w:rsid w:val="00414298"/>
    <w:rsid w:val="00611676"/>
    <w:rsid w:val="00620B53"/>
    <w:rsid w:val="007154C5"/>
    <w:rsid w:val="007268C6"/>
    <w:rsid w:val="00764F6F"/>
    <w:rsid w:val="00774C37"/>
    <w:rsid w:val="007947F2"/>
    <w:rsid w:val="00835E07"/>
    <w:rsid w:val="009A2474"/>
    <w:rsid w:val="00A009A6"/>
    <w:rsid w:val="00A657B0"/>
    <w:rsid w:val="00BE2319"/>
    <w:rsid w:val="00C04D8A"/>
    <w:rsid w:val="00C17C1E"/>
    <w:rsid w:val="00C41BCC"/>
    <w:rsid w:val="00CA0804"/>
    <w:rsid w:val="00D573AE"/>
    <w:rsid w:val="00D62485"/>
    <w:rsid w:val="00DD0006"/>
    <w:rsid w:val="00DD7BA4"/>
    <w:rsid w:val="00E27559"/>
    <w:rsid w:val="00E318CE"/>
    <w:rsid w:val="00E646E1"/>
    <w:rsid w:val="00E97D4B"/>
    <w:rsid w:val="00FA1F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F2D"/>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5F5ABC95AEB14B73B3717530C6C32173">
    <w:name w:val="5F5ABC95AEB14B73B3717530C6C32173"/>
    <w:rsid w:val="00FA1F2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e08dad75e210701c7641bd52308ed46">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32699c1f193d15895ade472b8dde3a5d"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TD)"/>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Regulatory Capability Lead"/>
              <xsd:enumeration value="Regulatory Intelligence Lead"/>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IEEE2006OfficeOnline.xsl" StyleName="IEEE" Version="2006">
  <b:Source>
    <b:Tag>ONR45</b:Tag>
    <b:SourceType>ElectronicSource</b:SourceType>
    <b:Guid>{A59609FB-6D81-41EC-AC62-24DFAC3012CF}</b:Guid>
    <b:Author>
      <b:Author>
        <b:Corporate>EA, ONR</b:Corporate>
      </b:Author>
    </b:Author>
    <b:Title>Memorandum of Understanding between the Office for Nuclear Regulation and the Environment Agency on matters of mutual interest in England</b:Title>
    <b:RefOrder>3</b:RefOrder>
  </b:Source>
  <b:Source>
    <b:Tag>ONR47</b:Tag>
    <b:SourceType>ElectronicSource</b:SourceType>
    <b:Guid>{5DDA7BA9-9BDC-47ED-B4F2-6FCFCABF27AB}</b:Guid>
    <b:Author>
      <b:Author>
        <b:Corporate>NRW, ONR</b:Corporate>
      </b:Author>
    </b:Author>
    <b:Title>Memorandum of Understanding between the Office of Nuclear Regulation and the Natural Resources Wales on matters of mutual interest in Wales</b:Title>
    <b:RefOrder>4</b:RefOrder>
  </b:Source>
  <b:Source>
    <b:Tag>ONR2</b:Tag>
    <b:SourceType>DocumentFromInternetSite</b:SourceType>
    <b:Guid>{EEDF2C65-9A9C-4628-A235-93928CB1DC4A}</b:Guid>
    <b:Author>
      <b:Author>
        <b:Corporate>ONR</b:Corporate>
      </b:Author>
    </b:Author>
    <b:Title>ONR-RD-POL-002 - Risk Informed and Targeted Engagements (RITE)</b:Title>
    <b:URL>To ONR staff via HOW2 Hub (Internal ONR system)</b:URL>
    <b:RefOrder>1</b:RefOrder>
  </b:Source>
  <b:Source>
    <b:Tag>ONR46</b:Tag>
    <b:SourceType>DocumentFromInternetSite</b:SourceType>
    <b:Guid>{62767264-37A1-4F62-86B2-4DF5F24E83F1}</b:Guid>
    <b:Author>
      <b:Author>
        <b:Corporate>ONR</b:Corporate>
      </b:Author>
    </b:Author>
    <b:Title>Licence Condition Handbook</b:Title>
    <b:City>https://www.onr.org.uk/media/gixbe2br/licence-condition-handbook.pdf</b:City>
    <b:URL>To ONR staff via HOW2 Hub (Internal ONR system)</b:URL>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1A6AE8-B080-453C-85B0-F16A29DF7655}">
  <ds:schemaRefs>
    <ds:schemaRef ds:uri="http://purl.org/dc/elements/1.1/"/>
    <ds:schemaRef ds:uri="http://purl.org/dc/terms/"/>
    <ds:schemaRef ds:uri="http://schemas.openxmlformats.org/package/2006/metadata/core-properties"/>
    <ds:schemaRef ds:uri="http://schemas.microsoft.com/office/2006/documentManagement/types"/>
    <ds:schemaRef ds:uri="http://www.w3.org/XML/1998/namespace"/>
    <ds:schemaRef ds:uri="8c4e2855-9588-4bc9-9890-af639bd565eb"/>
    <ds:schemaRef ds:uri="http://schemas.microsoft.com/office/2006/metadata/properties"/>
    <ds:schemaRef ds:uri="http://purl.org/dc/dcmitype/"/>
    <ds:schemaRef ds:uri="http://schemas.microsoft.com/office/infopath/2007/PartnerControls"/>
    <ds:schemaRef ds:uri="fbd4c4c3-96d4-4265-b68e-6a383a5dca66"/>
    <ds:schemaRef ds:uri="05350e14-297a-489c-ad04-faf6563b232c"/>
  </ds:schemaRefs>
</ds:datastoreItem>
</file>

<file path=customXml/itemProps3.xml><?xml version="1.0" encoding="utf-8"?>
<ds:datastoreItem xmlns:ds="http://schemas.openxmlformats.org/officeDocument/2006/customXml" ds:itemID="{91CBC8F4-C0E2-4981-A1DD-5146023EDF8D}">
  <ds:schemaRefs>
    <ds:schemaRef ds:uri="http://schemas.microsoft.com/sharepoint/events"/>
  </ds:schemaRefs>
</ds:datastoreItem>
</file>

<file path=customXml/itemProps4.xml><?xml version="1.0" encoding="utf-8"?>
<ds:datastoreItem xmlns:ds="http://schemas.openxmlformats.org/officeDocument/2006/customXml" ds:itemID="{DF0FED1A-D219-474F-A8EE-841D4D80808A}">
  <ds:schemaRefs>
    <ds:schemaRef ds:uri="Microsoft.SharePoint.Taxonomy.ContentTypeSync"/>
  </ds:schemaRefs>
</ds:datastoreItem>
</file>

<file path=customXml/itemProps5.xml><?xml version="1.0" encoding="utf-8"?>
<ds:datastoreItem xmlns:ds="http://schemas.openxmlformats.org/officeDocument/2006/customXml" ds:itemID="{F921688A-7B48-4ECF-A478-8ADBA1DEF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0F4C669-DE74-47E6-900E-59B628132B7D}">
  <ds:schemaRefs>
    <ds:schemaRef ds:uri="http://schemas.microsoft.com/sharepoint/v3/contenttype/forms"/>
  </ds:schemaRefs>
</ds:datastoreItem>
</file>

<file path=customXml/itemProps7.xml><?xml version="1.0" encoding="utf-8"?>
<ds:datastoreItem xmlns:ds="http://schemas.openxmlformats.org/officeDocument/2006/customXml" ds:itemID="{C7A3F072-4023-4F85-91F0-A41F18EB6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13</Pages>
  <Words>3150</Words>
  <Characters>17955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LC34 – Leakage and Escape of Radioactive Material and Radioactive Waste</vt:lpstr>
    </vt:vector>
  </TitlesOfParts>
  <Manager>Office for Nuclear Regulation</Manager>
  <Company>Office for Nuclear Regulation</Company>
  <LinksUpToDate>false</LinksUpToDate>
  <CharactersWithSpaces>21063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34 – Leakage and escape of radioactive material and radioactive waste</dc:title>
  <dc:subject>[Subtitle or description]</dc:subject>
  <cp:keywords>[Key words separated by commas]</cp:keywords>
  <dc:description/>
  <cp:revision>2</cp:revision>
  <cp:lastPrinted>2016-11-28T11:35:00Z</cp:lastPrinted>
  <dcterms:created xsi:type="dcterms:W3CDTF">2025-12-31T12:54:00Z</dcterms:created>
  <dcterms:modified xsi:type="dcterms:W3CDTF">2025-12-31T12:54:00Z</dcterms:modified>
  <cp:contentStatus>7.1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y fmtid="{D5CDD505-2E9C-101B-9397-08002B2CF9AE}" pid="10" name="docLang">
    <vt:lpwstr>en</vt:lpwstr>
  </property>
</Properties>
</file>