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96"/>
                <w:szCs w:val="96"/>
              </w:rPr>
              <w:id w:val="1228188510"/>
              <w:placeholder>
                <w:docPart w:val="DefaultPlaceholder_-1854013440"/>
              </w:placeholder>
            </w:sdtPr>
            <w:sdtEndPr/>
            <w:sdtContent>
              <w:p w14:paraId="7C4EA414" w14:textId="0CEAB954" w:rsidR="00D0226A" w:rsidRPr="001E03E1" w:rsidRDefault="0092573D" w:rsidP="000A503E">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D50BBE" w:rsidRPr="00EE6ACB">
                      <w:rPr>
                        <w:sz w:val="72"/>
                        <w:szCs w:val="72"/>
                      </w:rPr>
                      <w:t xml:space="preserve">LC30 </w:t>
                    </w:r>
                    <w:r w:rsidR="000A503E" w:rsidRPr="00EE6ACB">
                      <w:rPr>
                        <w:sz w:val="72"/>
                        <w:szCs w:val="72"/>
                      </w:rPr>
                      <w:t xml:space="preserve">– </w:t>
                    </w:r>
                    <w:r w:rsidR="00D50BBE" w:rsidRPr="00EE6ACB">
                      <w:rPr>
                        <w:sz w:val="72"/>
                        <w:szCs w:val="72"/>
                      </w:rPr>
                      <w:t>Periodic</w:t>
                    </w:r>
                    <w:r w:rsidR="000A503E" w:rsidRPr="00EE6ACB">
                      <w:rPr>
                        <w:sz w:val="72"/>
                        <w:szCs w:val="72"/>
                      </w:rPr>
                      <w:t xml:space="preserve"> s</w:t>
                    </w:r>
                    <w:r w:rsidR="00D50BBE" w:rsidRPr="00EE6ACB">
                      <w:rPr>
                        <w:sz w:val="72"/>
                        <w:szCs w:val="72"/>
                      </w:rPr>
                      <w:t>hutdown</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B23A5E">
          <w:headerReference w:type="default"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p>
    <w:p w14:paraId="43A875A4" w14:textId="7F61F835" w:rsidR="008D49A5" w:rsidRPr="00223090" w:rsidRDefault="008D49A5" w:rsidP="00223090">
      <w:pPr>
        <w:pStyle w:val="Heading1"/>
      </w:pPr>
      <w:bookmarkStart w:id="1" w:name="_Toc225972634"/>
      <w:bookmarkEnd w:id="0"/>
      <w:r w:rsidRPr="00223090">
        <w:lastRenderedPageBreak/>
        <w:t>Introduction</w:t>
      </w:r>
      <w:bookmarkEnd w:id="1"/>
    </w:p>
    <w:p w14:paraId="4DE1980B" w14:textId="6E1C6F6B" w:rsidR="008D49A5" w:rsidRDefault="00087049" w:rsidP="00C963E6">
      <w:pPr>
        <w:pStyle w:val="F9-Paragraph"/>
        <w:numPr>
          <w:ilvl w:val="0"/>
          <w:numId w:val="27"/>
        </w:numPr>
        <w:ind w:left="851" w:hanging="851"/>
      </w:pPr>
      <w:bookmarkStart w:id="2" w:name="_Hlk64448648"/>
      <w:r>
        <w:t>Technical</w:t>
      </w:r>
      <w:r w:rsidR="000C5F5A" w:rsidRPr="008172D0">
        <w:t xml:space="preserve"> </w:t>
      </w:r>
      <w:r w:rsidRPr="00194C0C">
        <w:t xml:space="preserve">Inspection Guides (TIG) support inspectors undertaking compliance inspections to make regulatory judgements in relation to the adequacy of compliance and in providing regulatory advice on specific Licence Conditions (LCs) to licensees. </w:t>
      </w:r>
    </w:p>
    <w:p w14:paraId="704473B2" w14:textId="38B39800" w:rsidR="00EA048E" w:rsidRDefault="004A2DDD" w:rsidP="00C963E6">
      <w:pPr>
        <w:pStyle w:val="F9-Paragraph"/>
        <w:numPr>
          <w:ilvl w:val="0"/>
          <w:numId w:val="27"/>
        </w:numPr>
        <w:ind w:left="851" w:hanging="851"/>
      </w:pPr>
      <w:r>
        <w:t xml:space="preserve">The </w:t>
      </w:r>
      <w:r w:rsidR="003852A7" w:rsidRPr="00194C0C">
        <w:t xml:space="preserve">purpose of this guidance is to facilitate a consistent approach to </w:t>
      </w:r>
      <w:r w:rsidR="003852A7">
        <w:t>LC30</w:t>
      </w:r>
      <w:r w:rsidR="003852A7" w:rsidRPr="00194C0C">
        <w:t>.</w:t>
      </w:r>
      <w:r w:rsidR="003852A7">
        <w:t xml:space="preserve"> </w:t>
      </w:r>
      <w:r w:rsidR="003852A7" w:rsidRPr="00D35119">
        <w:rPr>
          <w:rFonts w:cs="Times New Roman"/>
          <w:szCs w:val="24"/>
        </w:rPr>
        <w:t>While not exhaustive or mandatory, the guidance offers a clear framework for inspectors to assess the adequacy of compliance.</w:t>
      </w:r>
      <w:r w:rsidR="003852A7" w:rsidRPr="00DD6240">
        <w:t xml:space="preserve"> </w:t>
      </w:r>
      <w:r w:rsidR="003852A7" w:rsidRPr="00C71586">
        <w:t>Inspectors should also refer to the ONR p</w:t>
      </w:r>
      <w:r w:rsidR="003852A7">
        <w:t>olicy</w:t>
      </w:r>
      <w:r w:rsidR="003852A7" w:rsidRPr="00C71586">
        <w:t xml:space="preserve"> on Risk-Informed and Targeted Engagements (RITE)</w:t>
      </w:r>
      <w:sdt>
        <w:sdtPr>
          <w:id w:val="196125768"/>
          <w:citation/>
        </w:sdtPr>
        <w:sdtEndPr/>
        <w:sdtContent>
          <w:r w:rsidR="003852A7">
            <w:fldChar w:fldCharType="begin"/>
          </w:r>
          <w:r w:rsidR="003852A7">
            <w:instrText xml:space="preserve">CITATION ONR2 \l 2057 </w:instrText>
          </w:r>
          <w:r w:rsidR="003852A7">
            <w:fldChar w:fldCharType="separate"/>
          </w:r>
          <w:r w:rsidR="009E6459">
            <w:rPr>
              <w:noProof/>
            </w:rPr>
            <w:t xml:space="preserve"> </w:t>
          </w:r>
          <w:r w:rsidR="009E6459" w:rsidRPr="009E6459">
            <w:rPr>
              <w:noProof/>
            </w:rPr>
            <w:t>[1]</w:t>
          </w:r>
          <w:r w:rsidR="003852A7">
            <w:fldChar w:fldCharType="end"/>
          </w:r>
        </w:sdtContent>
      </w:sdt>
      <w:r w:rsidR="003852A7">
        <w:rPr>
          <w:noProof/>
        </w:rPr>
        <w:t xml:space="preserve">, </w:t>
      </w:r>
      <w:r w:rsidR="003852A7" w:rsidRPr="00C71586">
        <w:t>which guides risk-based prioriti</w:t>
      </w:r>
      <w:r w:rsidR="003852A7">
        <w:t>s</w:t>
      </w:r>
      <w:r w:rsidR="003852A7" w:rsidRPr="00C71586">
        <w:t xml:space="preserve">ation in regulatory interventions and supports decisions on engaging with </w:t>
      </w:r>
      <w:r w:rsidR="003852A7">
        <w:t>d</w:t>
      </w:r>
      <w:r w:rsidR="003852A7" w:rsidRPr="00C71586">
        <w:t>utyholders</w:t>
      </w:r>
      <w:r w:rsidR="000A503E">
        <w:t>.</w:t>
      </w:r>
    </w:p>
    <w:p w14:paraId="5A931EEC" w14:textId="77777777" w:rsidR="000A503E" w:rsidRPr="00AA78A4" w:rsidRDefault="000A503E" w:rsidP="000A503E">
      <w:pPr>
        <w:pStyle w:val="F9-Paragraph"/>
        <w:numPr>
          <w:ilvl w:val="0"/>
          <w:numId w:val="0"/>
        </w:numPr>
        <w:ind w:left="851"/>
      </w:pPr>
    </w:p>
    <w:p w14:paraId="05AAE39A" w14:textId="39E9FB04" w:rsidR="008D49A5" w:rsidRDefault="00D60BCB" w:rsidP="00223090">
      <w:pPr>
        <w:pStyle w:val="Heading1"/>
      </w:pPr>
      <w:bookmarkStart w:id="3" w:name="_Toc225972635"/>
      <w:bookmarkEnd w:id="2"/>
      <w:r>
        <w:t xml:space="preserve">Licence Condition </w:t>
      </w:r>
      <w:r w:rsidR="00512179">
        <w:t>30</w:t>
      </w:r>
      <w:bookmarkEnd w:id="3"/>
    </w:p>
    <w:p w14:paraId="42499758" w14:textId="7E4D245E" w:rsidR="002D1406" w:rsidRDefault="002D1406" w:rsidP="002D1406">
      <w:pPr>
        <w:pStyle w:val="F9-Paragraph"/>
        <w:numPr>
          <w:ilvl w:val="0"/>
          <w:numId w:val="0"/>
        </w:numPr>
        <w:ind w:left="851"/>
      </w:pPr>
      <w:r>
        <w:t>30(1) When necessary for the purpose of enabling any examination, inspection, maintenance or testing of any plant or process to take place, the licensee shall ensure that any such plant or process shall be shut down in accordance with the requirements of its</w:t>
      </w:r>
      <w:r>
        <w:rPr>
          <w:spacing w:val="-12"/>
        </w:rPr>
        <w:t xml:space="preserve"> </w:t>
      </w:r>
      <w:r>
        <w:t>plant maintenance schedule referred to in Condition</w:t>
      </w:r>
      <w:r>
        <w:rPr>
          <w:spacing w:val="-8"/>
        </w:rPr>
        <w:t xml:space="preserve"> </w:t>
      </w:r>
      <w:r>
        <w:t>28.</w:t>
      </w:r>
    </w:p>
    <w:p w14:paraId="1C3FD48D" w14:textId="733DD1BC" w:rsidR="002D1406" w:rsidRDefault="002D1406" w:rsidP="002D1406">
      <w:pPr>
        <w:pStyle w:val="F9-Paragraph"/>
        <w:numPr>
          <w:ilvl w:val="0"/>
          <w:numId w:val="0"/>
        </w:numPr>
        <w:ind w:left="851"/>
      </w:pPr>
      <w:r>
        <w:t xml:space="preserve">30(2) Notwithstanding paragraph 1 of this condition ONR may </w:t>
      </w:r>
      <w:r>
        <w:rPr>
          <w:shd w:val="clear" w:color="auto" w:fill="F9D1D6"/>
        </w:rPr>
        <w:t>agree</w:t>
      </w:r>
      <w:r>
        <w:rPr>
          <w:shd w:val="clear" w:color="auto" w:fill="FFFFFF"/>
        </w:rPr>
        <w:t xml:space="preserve"> to an extension of a </w:t>
      </w:r>
      <w:r>
        <w:rPr>
          <w:spacing w:val="-3"/>
          <w:shd w:val="clear" w:color="auto" w:fill="FFFFFF"/>
        </w:rPr>
        <w:t xml:space="preserve">plant’s </w:t>
      </w:r>
      <w:r>
        <w:rPr>
          <w:shd w:val="clear" w:color="auto" w:fill="FFFFFF"/>
        </w:rPr>
        <w:t>operating</w:t>
      </w:r>
      <w:r>
        <w:rPr>
          <w:spacing w:val="7"/>
          <w:shd w:val="clear" w:color="auto" w:fill="FFFFFF"/>
        </w:rPr>
        <w:t xml:space="preserve"> </w:t>
      </w:r>
      <w:r>
        <w:rPr>
          <w:shd w:val="clear" w:color="auto" w:fill="FFFFFF"/>
        </w:rPr>
        <w:t>period.</w:t>
      </w:r>
    </w:p>
    <w:p w14:paraId="57C9E6EF" w14:textId="1F1D872B" w:rsidR="002D1406" w:rsidRDefault="002D1406" w:rsidP="002D1406">
      <w:pPr>
        <w:pStyle w:val="F9-Paragraph"/>
        <w:numPr>
          <w:ilvl w:val="0"/>
          <w:numId w:val="0"/>
        </w:numPr>
        <w:ind w:left="851"/>
      </w:pPr>
      <w:r>
        <w:t xml:space="preserve">30(3) The licensee shall, if so </w:t>
      </w:r>
      <w:r>
        <w:rPr>
          <w:shd w:val="clear" w:color="auto" w:fill="A3D8E7"/>
        </w:rPr>
        <w:t>specified</w:t>
      </w:r>
      <w:r>
        <w:rPr>
          <w:shd w:val="clear" w:color="auto" w:fill="FFFFFF"/>
        </w:rPr>
        <w:t xml:space="preserve"> by ONR, ensure that when a plant or process is shut down in pursuance of paragraph 1</w:t>
      </w:r>
      <w:r>
        <w:rPr>
          <w:spacing w:val="-4"/>
          <w:shd w:val="clear" w:color="auto" w:fill="FFFFFF"/>
        </w:rPr>
        <w:t xml:space="preserve"> </w:t>
      </w:r>
      <w:r>
        <w:rPr>
          <w:shd w:val="clear" w:color="auto" w:fill="FFFFFF"/>
        </w:rPr>
        <w:t xml:space="preserve">of </w:t>
      </w:r>
      <w:r>
        <w:t xml:space="preserve">this condition it shall not be started up again thereafter without the </w:t>
      </w:r>
      <w:r>
        <w:rPr>
          <w:shd w:val="clear" w:color="auto" w:fill="FCC978"/>
        </w:rPr>
        <w:t>consent</w:t>
      </w:r>
      <w:r>
        <w:rPr>
          <w:shd w:val="clear" w:color="auto" w:fill="FFFFFF"/>
        </w:rPr>
        <w:t xml:space="preserve"> of ONR.</w:t>
      </w:r>
    </w:p>
    <w:p w14:paraId="066A9DC9" w14:textId="77777777" w:rsidR="000A503E" w:rsidRDefault="000A503E" w:rsidP="00D60BCB">
      <w:pPr>
        <w:pStyle w:val="Heading1"/>
        <w:sectPr w:rsidR="000A503E" w:rsidSect="00B23A5E">
          <w:headerReference w:type="even" r:id="rId20"/>
          <w:headerReference w:type="default" r:id="rId21"/>
          <w:footerReference w:type="even" r:id="rId22"/>
          <w:pgSz w:w="11906" w:h="16838" w:code="9"/>
          <w:pgMar w:top="1440" w:right="1440" w:bottom="1440" w:left="1440" w:header="397" w:footer="397" w:gutter="0"/>
          <w:cols w:space="312"/>
          <w:docGrid w:linePitch="360"/>
        </w:sectPr>
      </w:pPr>
      <w:bookmarkStart w:id="4" w:name="_Toc225972636"/>
    </w:p>
    <w:p w14:paraId="19CBAE12" w14:textId="1BA4272D" w:rsidR="00140E1C" w:rsidRDefault="00D60BCB" w:rsidP="00D60BCB">
      <w:pPr>
        <w:pStyle w:val="Heading1"/>
      </w:pPr>
      <w:r>
        <w:lastRenderedPageBreak/>
        <w:t xml:space="preserve">Purpose of </w:t>
      </w:r>
      <w:r w:rsidR="00821337">
        <w:t xml:space="preserve">the </w:t>
      </w:r>
      <w:r>
        <w:t>Licence Condition</w:t>
      </w:r>
      <w:bookmarkEnd w:id="4"/>
    </w:p>
    <w:p w14:paraId="54B30D91" w14:textId="6115DE2C" w:rsidR="00EF24B0" w:rsidRPr="00FB736E" w:rsidRDefault="00EF24B0" w:rsidP="00036526">
      <w:pPr>
        <w:pStyle w:val="F9-Paragraph"/>
      </w:pPr>
      <w:r w:rsidRPr="00FB736E">
        <w:t>The purpose of LC30 is to ensure that, where it is necessary to do so, a licensee periodically shuts down plant in order to carry out any LC28</w:t>
      </w:r>
      <w:sdt>
        <w:sdtPr>
          <w:id w:val="-1080746722"/>
          <w:citation/>
        </w:sdtPr>
        <w:sdtEndPr/>
        <w:sdtContent>
          <w:r w:rsidR="009E6459">
            <w:fldChar w:fldCharType="begin"/>
          </w:r>
          <w:r w:rsidR="009E6459">
            <w:instrText xml:space="preserve"> CITATION ONR1 \l 2057 </w:instrText>
          </w:r>
          <w:r w:rsidR="009E6459">
            <w:fldChar w:fldCharType="separate"/>
          </w:r>
          <w:r w:rsidR="009E6459">
            <w:rPr>
              <w:noProof/>
            </w:rPr>
            <w:t xml:space="preserve"> </w:t>
          </w:r>
          <w:r w:rsidR="009E6459" w:rsidRPr="009E6459">
            <w:rPr>
              <w:noProof/>
            </w:rPr>
            <w:t>[2]</w:t>
          </w:r>
          <w:r w:rsidR="009E6459">
            <w:fldChar w:fldCharType="end"/>
          </w:r>
        </w:sdtContent>
      </w:sdt>
      <w:r w:rsidRPr="00FB736E">
        <w:t xml:space="preserve"> requirements that require plant to be out of service. LC30(2) allows ONR to agree to an extension of the period between such regular shutdowns. </w:t>
      </w:r>
    </w:p>
    <w:p w14:paraId="56A75B65" w14:textId="4ED9B0E5" w:rsidR="00E05FC7" w:rsidRDefault="00EF24B0" w:rsidP="000A503E">
      <w:pPr>
        <w:pStyle w:val="F9-Paragraph"/>
      </w:pPr>
      <w:r w:rsidRPr="00FB736E">
        <w:t>Where a specification under LC30(3) has been issued and ONR has to formally consent to the restart, this consent will only be given when the licensee has satisfied both itself and ONR that the plant may be safely started up and safely operated until the next periodic shutdown.</w:t>
      </w:r>
    </w:p>
    <w:p w14:paraId="6D6A23F4" w14:textId="77777777" w:rsidR="00E05FC7" w:rsidRDefault="00E05FC7">
      <w:pPr>
        <w:spacing w:after="0" w:line="240" w:lineRule="auto"/>
      </w:pPr>
    </w:p>
    <w:p w14:paraId="540E3FBF" w14:textId="3051B2FE" w:rsidR="00D60BCB" w:rsidRPr="00761BC1" w:rsidRDefault="00D60BCB" w:rsidP="00D60BCB">
      <w:pPr>
        <w:pStyle w:val="Heading1"/>
        <w:rPr>
          <w:sz w:val="44"/>
          <w:szCs w:val="44"/>
        </w:rPr>
      </w:pPr>
      <w:bookmarkStart w:id="5" w:name="_Toc225972637"/>
      <w:r w:rsidRPr="00761BC1">
        <w:rPr>
          <w:sz w:val="44"/>
          <w:szCs w:val="44"/>
        </w:rPr>
        <w:t xml:space="preserve">Guidance on </w:t>
      </w:r>
      <w:r w:rsidR="002042C2" w:rsidRPr="00761BC1">
        <w:rPr>
          <w:sz w:val="44"/>
          <w:szCs w:val="44"/>
        </w:rPr>
        <w:t>a</w:t>
      </w:r>
      <w:r w:rsidRPr="00761BC1">
        <w:rPr>
          <w:sz w:val="44"/>
          <w:szCs w:val="44"/>
        </w:rPr>
        <w:t xml:space="preserve">rrangements for </w:t>
      </w:r>
      <w:bookmarkEnd w:id="5"/>
      <w:r w:rsidR="00313628">
        <w:rPr>
          <w:sz w:val="44"/>
          <w:szCs w:val="44"/>
        </w:rPr>
        <w:t>Licence Condition 30</w:t>
      </w:r>
    </w:p>
    <w:p w14:paraId="52E15641" w14:textId="763DFB2D" w:rsidR="0070406B" w:rsidRPr="0070406B" w:rsidRDefault="0070406B" w:rsidP="0070406B">
      <w:pPr>
        <w:pStyle w:val="F9-Paragraph"/>
      </w:pPr>
      <w:r w:rsidRPr="0070406B">
        <w:t xml:space="preserve">Although LC30 does not explicitly require formal arrangements, effective compliance is expected to be supported by clear, consistent procedures that ensure the condition’s requirements are met and are well understood by </w:t>
      </w:r>
      <w:r w:rsidR="00093015">
        <w:t xml:space="preserve">its </w:t>
      </w:r>
      <w:r w:rsidRPr="0070406B">
        <w:t>managers</w:t>
      </w:r>
      <w:r w:rsidR="000569B3">
        <w:t>/operatives</w:t>
      </w:r>
      <w:r w:rsidRPr="0070406B">
        <w:t xml:space="preserve"> and ONR</w:t>
      </w:r>
      <w:r w:rsidR="00093015">
        <w:t xml:space="preserve">. </w:t>
      </w:r>
    </w:p>
    <w:p w14:paraId="7215FA86" w14:textId="6EE43392" w:rsidR="003979A4" w:rsidRPr="003979A4" w:rsidRDefault="003979A4" w:rsidP="003979A4">
      <w:pPr>
        <w:pStyle w:val="F9-Paragraph"/>
        <w:rPr>
          <w:lang w:eastAsia="en-GB" w:bidi="ar-SA"/>
        </w:rPr>
      </w:pPr>
      <w:r w:rsidRPr="003979A4">
        <w:rPr>
          <w:lang w:eastAsia="en-GB" w:bidi="ar-SA"/>
        </w:rPr>
        <w:t xml:space="preserve">The arrangements should identify plant or processes requiring shutdown to enable </w:t>
      </w:r>
      <w:r>
        <w:rPr>
          <w:lang w:eastAsia="en-GB" w:bidi="ar-SA"/>
        </w:rPr>
        <w:t>EIM&amp;T</w:t>
      </w:r>
      <w:r w:rsidRPr="003979A4">
        <w:rPr>
          <w:lang w:eastAsia="en-GB" w:bidi="ar-SA"/>
        </w:rPr>
        <w:t xml:space="preserve"> and ensure these and other safety</w:t>
      </w:r>
      <w:r w:rsidRPr="003979A4">
        <w:rPr>
          <w:lang w:eastAsia="en-GB" w:bidi="ar-SA"/>
        </w:rPr>
        <w:noBreakHyphen/>
        <w:t>related activities are systematically planned, implemented, reviewed, and recorded.</w:t>
      </w:r>
    </w:p>
    <w:p w14:paraId="317A5897" w14:textId="575F7C05" w:rsidR="00D60BCB" w:rsidRDefault="00050288" w:rsidP="00050288">
      <w:pPr>
        <w:pStyle w:val="F9-Paragraph"/>
        <w:rPr>
          <w:lang w:eastAsia="en-GB" w:bidi="ar-SA"/>
        </w:rPr>
      </w:pPr>
      <w:r w:rsidRPr="00050288">
        <w:rPr>
          <w:lang w:eastAsia="en-GB" w:bidi="ar-SA"/>
        </w:rPr>
        <w:t>Where an extension to the operating interval is sought, the arrangements should define the process for obtaining ONR agreement under LC30(2), including the provision of an adequate safety justification</w:t>
      </w:r>
      <w:r>
        <w:rPr>
          <w:lang w:eastAsia="en-GB" w:bidi="ar-SA"/>
        </w:rPr>
        <w:t xml:space="preserve">. </w:t>
      </w:r>
    </w:p>
    <w:p w14:paraId="3792C3FB" w14:textId="77777777" w:rsidR="00313628" w:rsidRDefault="00313628" w:rsidP="00D60BCB">
      <w:pPr>
        <w:pStyle w:val="Heading1"/>
        <w:rPr>
          <w:sz w:val="44"/>
          <w:szCs w:val="44"/>
        </w:rPr>
        <w:sectPr w:rsidR="00313628" w:rsidSect="00B23A5E">
          <w:pgSz w:w="11906" w:h="16838" w:code="9"/>
          <w:pgMar w:top="1440" w:right="1440" w:bottom="1440" w:left="1440" w:header="397" w:footer="397" w:gutter="0"/>
          <w:cols w:space="312"/>
          <w:docGrid w:linePitch="360"/>
        </w:sectPr>
      </w:pPr>
      <w:bookmarkStart w:id="6" w:name="_Toc225972638"/>
    </w:p>
    <w:p w14:paraId="41C3DA1C" w14:textId="35444E9C" w:rsidR="00D60BCB" w:rsidRPr="00761BC1" w:rsidRDefault="00D60BCB" w:rsidP="00D60BCB">
      <w:pPr>
        <w:pStyle w:val="Heading1"/>
        <w:rPr>
          <w:sz w:val="44"/>
          <w:szCs w:val="44"/>
        </w:rPr>
      </w:pPr>
      <w:r w:rsidRPr="00761BC1">
        <w:rPr>
          <w:sz w:val="44"/>
          <w:szCs w:val="44"/>
        </w:rPr>
        <w:lastRenderedPageBreak/>
        <w:t xml:space="preserve">Guidance on </w:t>
      </w:r>
      <w:r w:rsidR="002042C2" w:rsidRPr="00761BC1">
        <w:rPr>
          <w:sz w:val="44"/>
          <w:szCs w:val="44"/>
        </w:rPr>
        <w:t>i</w:t>
      </w:r>
      <w:r w:rsidRPr="00761BC1">
        <w:rPr>
          <w:sz w:val="44"/>
          <w:szCs w:val="44"/>
        </w:rPr>
        <w:t xml:space="preserve">nspection of </w:t>
      </w:r>
      <w:r w:rsidR="002042C2" w:rsidRPr="00761BC1">
        <w:rPr>
          <w:sz w:val="44"/>
          <w:szCs w:val="44"/>
        </w:rPr>
        <w:t>a</w:t>
      </w:r>
      <w:r w:rsidRPr="00761BC1">
        <w:rPr>
          <w:sz w:val="44"/>
          <w:szCs w:val="44"/>
        </w:rPr>
        <w:t xml:space="preserve">rrangements and their </w:t>
      </w:r>
      <w:r w:rsidR="002042C2" w:rsidRPr="00761BC1">
        <w:rPr>
          <w:sz w:val="44"/>
          <w:szCs w:val="44"/>
        </w:rPr>
        <w:t>i</w:t>
      </w:r>
      <w:r w:rsidRPr="00761BC1">
        <w:rPr>
          <w:sz w:val="44"/>
          <w:szCs w:val="44"/>
        </w:rPr>
        <w:t>mplementation</w:t>
      </w:r>
      <w:bookmarkEnd w:id="6"/>
    </w:p>
    <w:p w14:paraId="66C01FEA" w14:textId="77777777" w:rsidR="00DE3DE3" w:rsidRDefault="00DE3DE3" w:rsidP="00DE3DE3">
      <w:pPr>
        <w:pStyle w:val="F9-Paragraph"/>
      </w:pPr>
      <w:r w:rsidRPr="00200101">
        <w:t>Ahead of a periodic shutdown, confirm that arrangements ensure</w:t>
      </w:r>
      <w:r>
        <w:t>:</w:t>
      </w:r>
    </w:p>
    <w:p w14:paraId="73954B5E" w14:textId="77777777" w:rsidR="00DE3DE3" w:rsidRPr="00313628" w:rsidRDefault="00DE3DE3" w:rsidP="00313628">
      <w:pPr>
        <w:pStyle w:val="Bulletlist1"/>
      </w:pPr>
      <w:r w:rsidRPr="00313628">
        <w:t>Responsible persons for overall shutdown control and for plant release, isolation, de</w:t>
      </w:r>
      <w:r w:rsidRPr="00313628">
        <w:noBreakHyphen/>
        <w:t xml:space="preserve">isolation, testing, and return to service are clearly identified and SQEP. </w:t>
      </w:r>
    </w:p>
    <w:p w14:paraId="41793C8D" w14:textId="77777777" w:rsidR="00DE3DE3" w:rsidRPr="00313628" w:rsidRDefault="00DE3DE3" w:rsidP="00313628">
      <w:pPr>
        <w:pStyle w:val="Bulletlist1"/>
      </w:pPr>
      <w:r w:rsidRPr="00313628">
        <w:t xml:space="preserve">Where LC30(3) applies, arrangements recognise that plant restart is subject to ONR consent. </w:t>
      </w:r>
    </w:p>
    <w:p w14:paraId="6314BA2C" w14:textId="77777777" w:rsidR="00DE3DE3" w:rsidRPr="00313628" w:rsidRDefault="00DE3DE3" w:rsidP="00313628">
      <w:pPr>
        <w:pStyle w:val="Bulletlist1"/>
      </w:pPr>
      <w:r w:rsidRPr="00313628">
        <w:t>An outage plan (or equivalent) is produced, identifying maintenance schedule and other safety</w:t>
      </w:r>
      <w:r w:rsidRPr="00313628">
        <w:noBreakHyphen/>
        <w:t xml:space="preserve">related work, and is submitted to ONR in sufficient time to support inspection planning. </w:t>
      </w:r>
    </w:p>
    <w:p w14:paraId="2D3718BB" w14:textId="77777777" w:rsidR="00DE3DE3" w:rsidRPr="00313628" w:rsidRDefault="00DE3DE3" w:rsidP="00313628">
      <w:pPr>
        <w:pStyle w:val="Bulletlist1"/>
      </w:pPr>
      <w:r w:rsidRPr="00313628">
        <w:t xml:space="preserve">Proposals to permanently amend operating intervals are notified to ONR in good time for assessment and agreement, with changes subject to approval in accordance with LC28(5). </w:t>
      </w:r>
    </w:p>
    <w:p w14:paraId="35BC833E" w14:textId="77777777" w:rsidR="00DE3DE3" w:rsidRPr="00313628" w:rsidRDefault="00DE3DE3" w:rsidP="00313628">
      <w:pPr>
        <w:pStyle w:val="Bulletlist1"/>
      </w:pPr>
      <w:r w:rsidRPr="00313628">
        <w:t>Any proposed derogations from the maintenance schedule during the shutdown are notified to ONR in sufficient time for consideration and agreement.</w:t>
      </w:r>
    </w:p>
    <w:p w14:paraId="4B107308" w14:textId="1C03BC0A" w:rsidR="00DE3DE3" w:rsidRPr="00DE3DE3" w:rsidRDefault="00DE3DE3" w:rsidP="00DE3DE3">
      <w:pPr>
        <w:pStyle w:val="F9-Paragraph"/>
      </w:pPr>
      <w:r w:rsidRPr="00DE3DE3">
        <w:t>During a periodic shutdown, confirm that arrangements ensure</w:t>
      </w:r>
      <w:r>
        <w:t>:</w:t>
      </w:r>
    </w:p>
    <w:p w14:paraId="32F85179" w14:textId="7A8C313B" w:rsidR="00CD2B07" w:rsidRPr="00CD2B07" w:rsidRDefault="00CD2B07" w:rsidP="00313628">
      <w:pPr>
        <w:pStyle w:val="Bulletlist1"/>
      </w:pPr>
      <w:r w:rsidRPr="00CD2B07">
        <w:t xml:space="preserve">Minimum levels of diversity and redundancy are maintained during plant isolation, with appropriate protection and delineation. </w:t>
      </w:r>
    </w:p>
    <w:p w14:paraId="7B5A5E74" w14:textId="1C585D45" w:rsidR="00CD2B07" w:rsidRPr="00CD2B07" w:rsidRDefault="00CD2B07" w:rsidP="00313628">
      <w:pPr>
        <w:pStyle w:val="Bulletlist1"/>
      </w:pPr>
      <w:r w:rsidRPr="00CD2B07">
        <w:t>Suitable quality plans are in place for all safety</w:t>
      </w:r>
      <w:r w:rsidRPr="00CD2B07">
        <w:noBreakHyphen/>
        <w:t xml:space="preserve">related activities and are subject to appropriate audit. </w:t>
      </w:r>
    </w:p>
    <w:p w14:paraId="54E67DA1" w14:textId="069DF4C8" w:rsidR="00CD2B07" w:rsidRPr="00CD2B07" w:rsidRDefault="00CD2B07" w:rsidP="00313628">
      <w:pPr>
        <w:pStyle w:val="Bulletlist1"/>
      </w:pPr>
      <w:r w:rsidRPr="00CD2B07">
        <w:t xml:space="preserve">Shutdown activities are effectively controlled and supervised, with robust arrangements for releasing operational plant to maintenance. </w:t>
      </w:r>
    </w:p>
    <w:p w14:paraId="296E5C23" w14:textId="60AAC858" w:rsidR="00CD2B07" w:rsidRPr="00CD2B07" w:rsidRDefault="00CD2B07" w:rsidP="00313628">
      <w:pPr>
        <w:pStyle w:val="Bulletlist1"/>
      </w:pPr>
      <w:r w:rsidRPr="00CD2B07">
        <w:t xml:space="preserve">Contractors undertaking invasive activities are subject to control and supervision equivalent to that applied to licensee personnel. </w:t>
      </w:r>
    </w:p>
    <w:p w14:paraId="09D16B9B" w14:textId="152E2FB6" w:rsidR="00CD2B07" w:rsidRPr="00CD2B07" w:rsidRDefault="00CD2B07" w:rsidP="00313628">
      <w:pPr>
        <w:pStyle w:val="Bulletlist1"/>
      </w:pPr>
      <w:r w:rsidRPr="00CD2B07">
        <w:t xml:space="preserve">ALARP radiation dose assessments cover all periodic shutdown activities. </w:t>
      </w:r>
    </w:p>
    <w:p w14:paraId="4219D853" w14:textId="5E6A00A7" w:rsidR="00CD2B07" w:rsidRPr="00CD2B07" w:rsidRDefault="00CD2B07" w:rsidP="00313628">
      <w:pPr>
        <w:pStyle w:val="Bulletlist1"/>
      </w:pPr>
      <w:r w:rsidRPr="00CD2B07">
        <w:t>Effective processes are in place to screen, classify, and prioritise shutdown</w:t>
      </w:r>
      <w:r w:rsidRPr="00CD2B07">
        <w:noBreakHyphen/>
        <w:t>related incidents to ensure early correction of shortfalls.</w:t>
      </w:r>
    </w:p>
    <w:p w14:paraId="1C4B7A0E" w14:textId="445AD96E" w:rsidR="00C8306C" w:rsidRDefault="00C8306C" w:rsidP="00C8306C">
      <w:pPr>
        <w:pStyle w:val="F9-Paragraph"/>
      </w:pPr>
      <w:r w:rsidRPr="00C8306C">
        <w:t xml:space="preserve">Prior to </w:t>
      </w:r>
      <w:r>
        <w:t xml:space="preserve">the </w:t>
      </w:r>
      <w:r w:rsidRPr="00C8306C">
        <w:t xml:space="preserve">seeking </w:t>
      </w:r>
      <w:r w:rsidR="00BC73BA">
        <w:t xml:space="preserve">of </w:t>
      </w:r>
      <w:r w:rsidRPr="00C8306C">
        <w:t>restart consent, confirm that arrangements ensure</w:t>
      </w:r>
      <w:r w:rsidR="00BC73BA">
        <w:t>:</w:t>
      </w:r>
    </w:p>
    <w:p w14:paraId="295B562C" w14:textId="0A244E60" w:rsidR="00A271B8" w:rsidRPr="00A271B8" w:rsidRDefault="00A271B8" w:rsidP="00313628">
      <w:pPr>
        <w:pStyle w:val="Bulletlist1"/>
      </w:pPr>
      <w:r w:rsidRPr="00A271B8">
        <w:t>An agreed schedule of engagement with ONR is in place, including periodic shutdown reviews and the formal start</w:t>
      </w:r>
      <w:r w:rsidRPr="00A271B8">
        <w:noBreakHyphen/>
        <w:t xml:space="preserve">up meeting. </w:t>
      </w:r>
    </w:p>
    <w:p w14:paraId="3005AFF9" w14:textId="7A62E307" w:rsidR="00A271B8" w:rsidRPr="00A271B8" w:rsidRDefault="00A271B8" w:rsidP="00313628">
      <w:pPr>
        <w:pStyle w:val="Bulletlist1"/>
      </w:pPr>
      <w:r w:rsidRPr="00A271B8">
        <w:lastRenderedPageBreak/>
        <w:t xml:space="preserve">Findings from examination, maintenance, inspection, and testing are appropriately reviewed and assessed (including independent assessment where required) and presented to ONR as necessary. </w:t>
      </w:r>
    </w:p>
    <w:p w14:paraId="653CC310" w14:textId="4D5D7251" w:rsidR="00A271B8" w:rsidRPr="00A271B8" w:rsidRDefault="00A271B8" w:rsidP="00313628">
      <w:pPr>
        <w:pStyle w:val="Bulletlist1"/>
      </w:pPr>
      <w:r w:rsidRPr="00A271B8">
        <w:t xml:space="preserve">ONR is provided with evidence confirming satisfactory completion of all required activities and that the plant is fit to operate; any exceptions are managed in accordance with LC28. </w:t>
      </w:r>
    </w:p>
    <w:p w14:paraId="67143452" w14:textId="2120DA08" w:rsidR="00A271B8" w:rsidRPr="00A271B8" w:rsidRDefault="00A271B8" w:rsidP="00313628">
      <w:pPr>
        <w:pStyle w:val="Bulletlist1"/>
      </w:pPr>
      <w:r w:rsidRPr="00A271B8">
        <w:t xml:space="preserve">An adequate safety case supports operation until the next scheduled shutdown, or alternative proposals are defined where the full period cannot be justified. </w:t>
      </w:r>
    </w:p>
    <w:p w14:paraId="4D51567E" w14:textId="2CBB1637" w:rsidR="00A067DD" w:rsidRPr="00A067DD" w:rsidRDefault="00A271B8" w:rsidP="00313628">
      <w:pPr>
        <w:pStyle w:val="Bulletlist1"/>
      </w:pPr>
      <w:r w:rsidRPr="00A271B8">
        <w:t>A periodic shutdown report is submitted to ONR within 28 days (or other agreed period), summarising outage activities and confirming completion of outstanding work</w:t>
      </w:r>
    </w:p>
    <w:p w14:paraId="3AF1D001" w14:textId="77777777" w:rsidR="00155529" w:rsidRDefault="00155529" w:rsidP="00A067DD">
      <w:pPr>
        <w:pStyle w:val="F9-Paragraph"/>
      </w:pPr>
      <w:r>
        <w:t>Ensure p</w:t>
      </w:r>
      <w:r w:rsidRPr="00A067DD">
        <w:t>rocedures are current, authorised and accurately reflect established practice</w:t>
      </w:r>
      <w:r>
        <w:t xml:space="preserve"> and that they</w:t>
      </w:r>
      <w:r w:rsidRPr="00A067DD">
        <w:t xml:space="preserve"> specify ONR consent requirements for plant restart where this has been directed by ONR.</w:t>
      </w:r>
    </w:p>
    <w:p w14:paraId="44700CCB" w14:textId="69C59705" w:rsidR="00A067DD" w:rsidRPr="00A067DD" w:rsidRDefault="00A067DD" w:rsidP="00A067DD">
      <w:pPr>
        <w:pStyle w:val="F9-Paragraph"/>
      </w:pPr>
      <w:r w:rsidRPr="00A067DD">
        <w:t>Operating periods between declared periodic shutdowns are not exceeded without ONR agreement, with any such request treated as an amendment to the maintenance schedule</w:t>
      </w:r>
      <w:r w:rsidR="00155529">
        <w:t>.</w:t>
      </w:r>
    </w:p>
    <w:p w14:paraId="128983BC" w14:textId="0D04115F" w:rsidR="00E25717" w:rsidRPr="00E25717" w:rsidRDefault="00E25717" w:rsidP="00E25717">
      <w:pPr>
        <w:pStyle w:val="F9-Paragraph"/>
      </w:pPr>
      <w:r w:rsidRPr="00E25717">
        <w:t>Implementation of LC30 arrangements is routinely considered during shutdown inspections; however, explicit assessment of compliance may also be undertaken ahead of or during a periodic shutdown as part of planned regulatory activities</w:t>
      </w:r>
      <w:r w:rsidR="00A757CF">
        <w:t>. Inspectors should:</w:t>
      </w:r>
    </w:p>
    <w:p w14:paraId="0EA61F6A" w14:textId="3E1F8714" w:rsidR="00A8780A" w:rsidRPr="00A8780A" w:rsidRDefault="00A8780A" w:rsidP="00313628">
      <w:pPr>
        <w:pStyle w:val="Bulletlist1"/>
      </w:pPr>
      <w:r w:rsidRPr="00A8780A">
        <w:t>Confirm shutdown requirements in the maintenance schedule are planned for the current</w:t>
      </w:r>
      <w:r>
        <w:t>/</w:t>
      </w:r>
      <w:r w:rsidRPr="00A8780A">
        <w:t xml:space="preserve">next shutdown, supported by sampling and discussion with responsible personnel and that required programmes have been submitted to ONR and updated as directed. </w:t>
      </w:r>
    </w:p>
    <w:p w14:paraId="160FE5CD" w14:textId="63BD92BB" w:rsidR="00A8780A" w:rsidRPr="00A8780A" w:rsidRDefault="00A8780A" w:rsidP="00313628">
      <w:pPr>
        <w:pStyle w:val="Bulletlist1"/>
      </w:pPr>
      <w:r w:rsidRPr="00A8780A">
        <w:t>Sample safety documentation for plant access and isolation, covering major and minor permits, and confirm completion and sign</w:t>
      </w:r>
      <w:r w:rsidRPr="00A8780A">
        <w:noBreakHyphen/>
        <w:t xml:space="preserve">off by SQEPs and, where required, DAPs. </w:t>
      </w:r>
    </w:p>
    <w:p w14:paraId="7AEF971A" w14:textId="176BE82D" w:rsidR="00A8780A" w:rsidRPr="00A8780A" w:rsidRDefault="00A8780A" w:rsidP="00313628">
      <w:pPr>
        <w:pStyle w:val="Bulletlist1"/>
      </w:pPr>
      <w:r w:rsidRPr="00A8780A">
        <w:t>Establish that LC22, LC28, and LC</w:t>
      </w:r>
      <w:r>
        <w:t>2</w:t>
      </w:r>
      <w:r w:rsidRPr="00A8780A">
        <w:t xml:space="preserve">1 requirements are satisfied before plant, equipment, or systems are declared available for service. </w:t>
      </w:r>
    </w:p>
    <w:p w14:paraId="5484B209" w14:textId="1FECF4AD" w:rsidR="00A8780A" w:rsidRPr="00A8780A" w:rsidRDefault="00A8780A" w:rsidP="00313628">
      <w:pPr>
        <w:pStyle w:val="Bulletlist1"/>
      </w:pPr>
      <w:r w:rsidRPr="00A8780A">
        <w:t xml:space="preserve">Verify that no unauthorised changes to declared shutdown intervals have been incorporated into the maintenance schedule. </w:t>
      </w:r>
    </w:p>
    <w:p w14:paraId="01AEEB33" w14:textId="2291A087" w:rsidR="00A8780A" w:rsidRPr="00A8780A" w:rsidRDefault="00A8780A" w:rsidP="00313628">
      <w:pPr>
        <w:pStyle w:val="Bulletlist1"/>
      </w:pPr>
      <w:r w:rsidRPr="00A8780A">
        <w:t>During the outage, confirm completion of scheduled maintenance and modifications, or that robust plans and commitments are in place for outstanding work and clearly reflected in the start</w:t>
      </w:r>
      <w:r w:rsidRPr="00A8780A">
        <w:noBreakHyphen/>
        <w:t xml:space="preserve">up request. </w:t>
      </w:r>
    </w:p>
    <w:p w14:paraId="2E81B488" w14:textId="76C9D7F0" w:rsidR="00A8780A" w:rsidRPr="00A8780A" w:rsidRDefault="00A8780A" w:rsidP="00313628">
      <w:pPr>
        <w:pStyle w:val="Bulletlist1"/>
      </w:pPr>
      <w:r w:rsidRPr="00A8780A">
        <w:lastRenderedPageBreak/>
        <w:t>Ensure the start</w:t>
      </w:r>
      <w:r w:rsidRPr="00A8780A">
        <w:noBreakHyphen/>
        <w:t xml:space="preserve">up agenda addresses shutdown outcomes, current status, and the safety case supporting restart and operation to the next LC30 shutdown. </w:t>
      </w:r>
    </w:p>
    <w:p w14:paraId="7642BD3C" w14:textId="44AE1D21" w:rsidR="00D732ED" w:rsidRDefault="00A8780A" w:rsidP="00313628">
      <w:pPr>
        <w:pStyle w:val="Bulletlist1"/>
      </w:pPr>
      <w:r w:rsidRPr="00A8780A">
        <w:t>Confirm that actions are clearly differentiated between those required before restart consent, those for inclusion in the 28</w:t>
      </w:r>
      <w:r w:rsidRPr="00A8780A">
        <w:noBreakHyphen/>
        <w:t>day (or other agreed) report, and those on longer timescales. Review the 28</w:t>
      </w:r>
      <w:r w:rsidRPr="00A8780A">
        <w:noBreakHyphen/>
        <w:t>day report to confirm it adequately records outage work, findings, completion status of outstanding activities, and any start</w:t>
      </w:r>
      <w:r w:rsidRPr="00A8780A">
        <w:noBreakHyphen/>
        <w:t>up issues. Where adverse findings arise, seek specialist advice on continued operation and ensure reports are circulated to relevant assessors.</w:t>
      </w:r>
    </w:p>
    <w:p w14:paraId="6A545703" w14:textId="77777777" w:rsidR="00821337" w:rsidRDefault="00821337" w:rsidP="00FA33FE">
      <w:pPr>
        <w:pStyle w:val="Heading1"/>
        <w:numPr>
          <w:ilvl w:val="0"/>
          <w:numId w:val="0"/>
        </w:numPr>
        <w:ind w:left="851" w:hanging="851"/>
        <w:rPr>
          <w:color w:val="auto"/>
          <w:sz w:val="24"/>
        </w:rPr>
      </w:pPr>
    </w:p>
    <w:bookmarkStart w:id="7" w:name="_Toc225972639" w:displacedByCustomXml="next"/>
    <w:sdt>
      <w:sdtPr>
        <w:rPr>
          <w:color w:val="auto"/>
          <w:sz w:val="24"/>
        </w:rPr>
        <w:id w:val="-652758001"/>
        <w:docPartObj>
          <w:docPartGallery w:val="Bibliographies"/>
          <w:docPartUnique/>
        </w:docPartObj>
      </w:sdtPr>
      <w:sdtEndPr/>
      <w:sdtContent>
        <w:p w14:paraId="5F37DAE5" w14:textId="30EC872B" w:rsidR="002042C2" w:rsidRDefault="002042C2" w:rsidP="002042C2">
          <w:pPr>
            <w:pStyle w:val="Heading1"/>
            <w:numPr>
              <w:ilvl w:val="0"/>
              <w:numId w:val="0"/>
            </w:numPr>
            <w:ind w:left="851" w:hanging="851"/>
          </w:pPr>
          <w:r>
            <w:t>References</w:t>
          </w:r>
          <w:bookmarkEnd w:id="7"/>
        </w:p>
        <w:sdt>
          <w:sdtPr>
            <w:id w:val="-573587230"/>
            <w:bibliography/>
          </w:sdtPr>
          <w:sdtEndPr/>
          <w:sdtContent>
            <w:p w14:paraId="54719F67" w14:textId="77777777" w:rsidR="009E6459" w:rsidRDefault="002042C2" w:rsidP="002042C2">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9E6459" w14:paraId="036E3357" w14:textId="77777777">
                <w:trPr>
                  <w:divId w:val="514656837"/>
                  <w:tblCellSpacing w:w="15" w:type="dxa"/>
                </w:trPr>
                <w:tc>
                  <w:tcPr>
                    <w:tcW w:w="50" w:type="pct"/>
                    <w:hideMark/>
                  </w:tcPr>
                  <w:p w14:paraId="0B9097FE" w14:textId="02A02329" w:rsidR="009E6459" w:rsidRDefault="009E6459">
                    <w:pPr>
                      <w:pStyle w:val="Bibliography"/>
                      <w:rPr>
                        <w:noProof/>
                        <w:szCs w:val="24"/>
                      </w:rPr>
                    </w:pPr>
                    <w:r>
                      <w:rPr>
                        <w:noProof/>
                      </w:rPr>
                      <w:t xml:space="preserve">[1] </w:t>
                    </w:r>
                  </w:p>
                </w:tc>
                <w:tc>
                  <w:tcPr>
                    <w:tcW w:w="0" w:type="auto"/>
                    <w:hideMark/>
                  </w:tcPr>
                  <w:p w14:paraId="4523A498" w14:textId="77777777" w:rsidR="009E6459" w:rsidRDefault="009E6459">
                    <w:pPr>
                      <w:pStyle w:val="Bibliography"/>
                      <w:rPr>
                        <w:noProof/>
                      </w:rPr>
                    </w:pPr>
                    <w:r>
                      <w:rPr>
                        <w:noProof/>
                      </w:rPr>
                      <w:t>ONR, “ONR-RD-POL-002 - Risk Informed and Targeted Engagements,” [Online]. Available: To ONR staff via HOW2 Hub (Internal ONR system).</w:t>
                    </w:r>
                  </w:p>
                </w:tc>
              </w:tr>
              <w:tr w:rsidR="009E6459" w14:paraId="2449C83B" w14:textId="77777777">
                <w:trPr>
                  <w:divId w:val="514656837"/>
                  <w:tblCellSpacing w:w="15" w:type="dxa"/>
                </w:trPr>
                <w:tc>
                  <w:tcPr>
                    <w:tcW w:w="50" w:type="pct"/>
                    <w:hideMark/>
                  </w:tcPr>
                  <w:p w14:paraId="35B43519" w14:textId="77777777" w:rsidR="009E6459" w:rsidRDefault="009E6459">
                    <w:pPr>
                      <w:pStyle w:val="Bibliography"/>
                      <w:rPr>
                        <w:noProof/>
                      </w:rPr>
                    </w:pPr>
                    <w:r>
                      <w:rPr>
                        <w:noProof/>
                      </w:rPr>
                      <w:t xml:space="preserve">[2] </w:t>
                    </w:r>
                  </w:p>
                </w:tc>
                <w:tc>
                  <w:tcPr>
                    <w:tcW w:w="0" w:type="auto"/>
                    <w:hideMark/>
                  </w:tcPr>
                  <w:p w14:paraId="5D65C52A" w14:textId="77777777" w:rsidR="009E6459" w:rsidRDefault="009E6459">
                    <w:pPr>
                      <w:pStyle w:val="Bibliography"/>
                      <w:rPr>
                        <w:noProof/>
                      </w:rPr>
                    </w:pPr>
                    <w:r>
                      <w:rPr>
                        <w:noProof/>
                      </w:rPr>
                      <w:t xml:space="preserve">ONR, NS-INSP-GD-028 - LC28 Examination, Inspection Maintenance and Testing (EMIT). </w:t>
                    </w:r>
                  </w:p>
                </w:tc>
              </w:tr>
            </w:tbl>
            <w:p w14:paraId="3D934F75" w14:textId="77777777" w:rsidR="009E6459" w:rsidRDefault="009E6459">
              <w:pPr>
                <w:divId w:val="514656837"/>
                <w:rPr>
                  <w:rFonts w:eastAsia="Times New Roman"/>
                  <w:noProof/>
                </w:rPr>
              </w:pPr>
            </w:p>
            <w:p w14:paraId="7CD57A40" w14:textId="25FD2583" w:rsidR="002042C2" w:rsidRDefault="002042C2" w:rsidP="002042C2">
              <w:r>
                <w:rPr>
                  <w:b/>
                  <w:bCs/>
                  <w:noProof/>
                </w:rPr>
                <w:fldChar w:fldCharType="end"/>
              </w:r>
            </w:p>
          </w:sdtContent>
        </w:sdt>
      </w:sdtContent>
    </w:sdt>
    <w:p w14:paraId="197376BB" w14:textId="77777777" w:rsidR="00084ABE" w:rsidRDefault="00084ABE" w:rsidP="00084ABE">
      <w:pPr>
        <w:pStyle w:val="F9-Paragraph"/>
        <w:numPr>
          <w:ilvl w:val="0"/>
          <w:numId w:val="0"/>
        </w:numPr>
        <w:ind w:left="851" w:hanging="851"/>
      </w:pPr>
    </w:p>
    <w:p w14:paraId="03973FCE" w14:textId="77777777" w:rsidR="00930E37" w:rsidRDefault="00930E37" w:rsidP="002042C2"/>
    <w:p w14:paraId="6DB6E9BC" w14:textId="77777777" w:rsidR="00084ABE" w:rsidRDefault="00084ABE" w:rsidP="00930E37">
      <w:pPr>
        <w:pStyle w:val="Heading1"/>
        <w:numPr>
          <w:ilvl w:val="0"/>
          <w:numId w:val="0"/>
        </w:numPr>
        <w:ind w:left="851" w:hanging="851"/>
        <w:sectPr w:rsidR="00084ABE" w:rsidSect="00B23A5E">
          <w:pgSz w:w="11906" w:h="16838" w:code="9"/>
          <w:pgMar w:top="1440" w:right="1440" w:bottom="1440" w:left="1440" w:header="397" w:footer="397" w:gutter="0"/>
          <w:cols w:space="312"/>
          <w:docGrid w:linePitch="360"/>
        </w:sectPr>
      </w:pPr>
    </w:p>
    <w:p w14:paraId="07D791C5" w14:textId="77777777" w:rsidR="00930E37" w:rsidRPr="00595C8C" w:rsidRDefault="00930E37" w:rsidP="00930E37">
      <w:pPr>
        <w:pStyle w:val="Heading1"/>
        <w:numPr>
          <w:ilvl w:val="0"/>
          <w:numId w:val="0"/>
        </w:numPr>
        <w:ind w:left="851" w:hanging="851"/>
      </w:pPr>
      <w:bookmarkStart w:id="8" w:name="_Toc225972640"/>
      <w:r>
        <w:lastRenderedPageBreak/>
        <w:t>Document control information</w:t>
      </w:r>
      <w:bookmarkEnd w:id="8"/>
    </w:p>
    <w:p w14:paraId="47B60150" w14:textId="427716C6" w:rsidR="00930E37" w:rsidRPr="00196ADB" w:rsidRDefault="00930E37" w:rsidP="00930E37">
      <w:pPr>
        <w:rPr>
          <w:szCs w:val="24"/>
        </w:rPr>
      </w:pPr>
      <w:r w:rsidRPr="00196ADB">
        <w:rPr>
          <w:b/>
          <w:bCs/>
          <w:szCs w:val="24"/>
        </w:rPr>
        <w:t>Authored by</w:t>
      </w:r>
      <w:r w:rsidRPr="00196ADB">
        <w:rPr>
          <w:szCs w:val="24"/>
        </w:rPr>
        <w:t xml:space="preserve"> – </w:t>
      </w:r>
      <w:r w:rsidR="00821B4A">
        <w:rPr>
          <w:szCs w:val="24"/>
        </w:rPr>
        <w:t>Nuclear Safety Inspector</w:t>
      </w:r>
    </w:p>
    <w:p w14:paraId="2C5D42AA" w14:textId="14CC1413" w:rsidR="00930E37" w:rsidRPr="00196ADB" w:rsidRDefault="00930E37" w:rsidP="00930E37">
      <w:pPr>
        <w:rPr>
          <w:szCs w:val="24"/>
        </w:rPr>
      </w:pPr>
      <w:r w:rsidRPr="00196ADB">
        <w:rPr>
          <w:b/>
          <w:bCs/>
          <w:szCs w:val="24"/>
        </w:rPr>
        <w:t>Approved by</w:t>
      </w:r>
      <w:r w:rsidRPr="00196ADB">
        <w:rPr>
          <w:szCs w:val="24"/>
        </w:rPr>
        <w:t xml:space="preserve"> – </w:t>
      </w:r>
      <w:r>
        <w:rPr>
          <w:szCs w:val="24"/>
        </w:rPr>
        <w:t xml:space="preserve">Head of Profession for </w:t>
      </w:r>
      <w:r w:rsidR="00821B4A">
        <w:rPr>
          <w:szCs w:val="24"/>
        </w:rPr>
        <w:t>Operational Inspection</w:t>
      </w:r>
    </w:p>
    <w:p w14:paraId="10D33D1E" w14:textId="2EEF2F30" w:rsidR="00930E37" w:rsidRPr="00196ADB" w:rsidRDefault="00930E37" w:rsidP="00930E37">
      <w:pPr>
        <w:rPr>
          <w:szCs w:val="24"/>
        </w:rPr>
      </w:pPr>
      <w:r w:rsidRPr="00196ADB">
        <w:rPr>
          <w:b/>
          <w:bCs/>
          <w:szCs w:val="24"/>
        </w:rPr>
        <w:t>Issue</w:t>
      </w:r>
      <w:r>
        <w:rPr>
          <w:b/>
          <w:bCs/>
          <w:szCs w:val="24"/>
        </w:rPr>
        <w:t>:</w:t>
      </w:r>
      <w:r w:rsidRPr="00196ADB">
        <w:rPr>
          <w:szCs w:val="24"/>
        </w:rPr>
        <w:t xml:space="preserve"> </w:t>
      </w:r>
      <w:sdt>
        <w:sdtPr>
          <w:rPr>
            <w:szCs w:val="24"/>
          </w:rPr>
          <w:alias w:val="Issue No."/>
          <w:tag w:val=""/>
          <w:id w:val="-894428327"/>
          <w:placeholder>
            <w:docPart w:val="4BFF33CE9ACF45B4BD9D9653F86AF5B6"/>
          </w:placeholder>
          <w:dataBinding w:prefixMappings="xmlns:ns0='http://purl.org/dc/elements/1.1/' xmlns:ns1='http://schemas.openxmlformats.org/package/2006/metadata/core-properties' " w:xpath="/ns1:coreProperties[1]/ns1:contentStatus[1]" w:storeItemID="{6C3C8BC8-F283-45AE-878A-BAB7291924A1}"/>
          <w:text/>
        </w:sdtPr>
        <w:sdtEndPr/>
        <w:sdtContent>
          <w:r w:rsidR="00821B4A">
            <w:rPr>
              <w:szCs w:val="24"/>
            </w:rPr>
            <w:t>6.2</w:t>
          </w:r>
        </w:sdtContent>
      </w:sdt>
    </w:p>
    <w:p w14:paraId="12DC54B5" w14:textId="11996EE8" w:rsidR="00930E37" w:rsidRPr="00196ADB" w:rsidRDefault="00930E37" w:rsidP="00930E37">
      <w:pPr>
        <w:rPr>
          <w:szCs w:val="24"/>
        </w:rPr>
      </w:pPr>
      <w:r>
        <w:rPr>
          <w:b/>
          <w:bCs/>
          <w:szCs w:val="24"/>
        </w:rPr>
        <w:t>Published</w:t>
      </w:r>
      <w:r w:rsidRPr="00196ADB">
        <w:rPr>
          <w:szCs w:val="24"/>
        </w:rPr>
        <w:t xml:space="preserve">: </w:t>
      </w:r>
      <w:r w:rsidR="00821B4A">
        <w:rPr>
          <w:szCs w:val="24"/>
        </w:rPr>
        <w:t>April 2</w:t>
      </w:r>
      <w:r w:rsidR="00912559">
        <w:rPr>
          <w:szCs w:val="24"/>
        </w:rPr>
        <w:t>6</w:t>
      </w:r>
      <w:r>
        <w:rPr>
          <w:szCs w:val="24"/>
        </w:rPr>
        <w:t xml:space="preserve"> </w:t>
      </w:r>
    </w:p>
    <w:p w14:paraId="29AA6F0F" w14:textId="46406836" w:rsidR="00930E37" w:rsidRPr="00196ADB" w:rsidRDefault="00930E37" w:rsidP="00930E37">
      <w:pPr>
        <w:rPr>
          <w:szCs w:val="24"/>
        </w:rPr>
      </w:pPr>
      <w:r w:rsidRPr="00196ADB">
        <w:rPr>
          <w:b/>
          <w:bCs/>
          <w:szCs w:val="24"/>
        </w:rPr>
        <w:t xml:space="preserve">Next </w:t>
      </w:r>
      <w:r>
        <w:rPr>
          <w:b/>
          <w:bCs/>
          <w:szCs w:val="24"/>
        </w:rPr>
        <w:t>scheduled review</w:t>
      </w:r>
      <w:r w:rsidRPr="00196ADB">
        <w:rPr>
          <w:szCs w:val="24"/>
        </w:rPr>
        <w:t xml:space="preserve">: </w:t>
      </w:r>
      <w:r w:rsidR="00912559">
        <w:rPr>
          <w:szCs w:val="24"/>
        </w:rPr>
        <w:t>December 27</w:t>
      </w:r>
      <w:r>
        <w:rPr>
          <w:szCs w:val="24"/>
        </w:rPr>
        <w:t xml:space="preserve"> </w:t>
      </w:r>
    </w:p>
    <w:p w14:paraId="0A735AFC" w14:textId="1A278E71" w:rsidR="00930E37" w:rsidRPr="00196ADB" w:rsidRDefault="00930E37" w:rsidP="00930E37">
      <w:pPr>
        <w:rPr>
          <w:szCs w:val="24"/>
        </w:rPr>
      </w:pPr>
      <w:r w:rsidRPr="00196ADB">
        <w:rPr>
          <w:b/>
          <w:bCs/>
          <w:szCs w:val="24"/>
        </w:rPr>
        <w:t>Doc</w:t>
      </w:r>
      <w:r>
        <w:rPr>
          <w:b/>
          <w:bCs/>
          <w:szCs w:val="24"/>
        </w:rPr>
        <w:t>ument reference</w:t>
      </w:r>
      <w:r w:rsidRPr="00196ADB">
        <w:rPr>
          <w:szCs w:val="24"/>
        </w:rPr>
        <w:t xml:space="preserve">: </w:t>
      </w:r>
      <w:r w:rsidR="00AA6C33">
        <w:rPr>
          <w:szCs w:val="24"/>
        </w:rPr>
        <w:t>NS-INSP-GD-030</w:t>
      </w:r>
    </w:p>
    <w:p w14:paraId="0676226F" w14:textId="688ABF1D" w:rsidR="00930E37" w:rsidRPr="00196ADB" w:rsidRDefault="00930E37" w:rsidP="00AA6C33">
      <w:pPr>
        <w:rPr>
          <w:szCs w:val="24"/>
        </w:rPr>
      </w:pPr>
      <w:r w:rsidRPr="00196ADB">
        <w:rPr>
          <w:b/>
          <w:bCs/>
          <w:szCs w:val="24"/>
        </w:rPr>
        <w:t xml:space="preserve">Record </w:t>
      </w:r>
      <w:r>
        <w:rPr>
          <w:b/>
          <w:bCs/>
          <w:szCs w:val="24"/>
        </w:rPr>
        <w:t>reference</w:t>
      </w:r>
      <w:r w:rsidRPr="00196ADB">
        <w:rPr>
          <w:szCs w:val="24"/>
        </w:rPr>
        <w:t xml:space="preserve">: </w:t>
      </w:r>
      <w:r w:rsidR="00AA6C33" w:rsidRPr="00AA6C33">
        <w:rPr>
          <w:szCs w:val="24"/>
        </w:rPr>
        <w:t>ONRHH-822789359-20611</w:t>
      </w:r>
      <w:r w:rsidR="00AA6C33" w:rsidRPr="00196ADB">
        <w:rPr>
          <w:szCs w:val="24"/>
        </w:rPr>
        <w:t xml:space="preserve"> </w:t>
      </w:r>
    </w:p>
    <w:p w14:paraId="7D13A83B" w14:textId="77777777" w:rsidR="00930E37" w:rsidRDefault="00930E37" w:rsidP="00930E37"/>
    <w:p w14:paraId="7629CA34" w14:textId="77777777" w:rsidR="00930E37" w:rsidRDefault="00930E37" w:rsidP="00930E37">
      <w:pPr>
        <w:pStyle w:val="Caption"/>
        <w:keepNext/>
      </w:pPr>
      <w:r>
        <w:t>Revision commentary</w:t>
      </w:r>
    </w:p>
    <w:tbl>
      <w:tblPr>
        <w:tblStyle w:val="ONRTable1"/>
        <w:tblW w:w="0" w:type="auto"/>
        <w:tblInd w:w="10" w:type="dxa"/>
        <w:tblLook w:val="04A0" w:firstRow="1" w:lastRow="0" w:firstColumn="1" w:lastColumn="0" w:noHBand="0" w:noVBand="1"/>
      </w:tblPr>
      <w:tblGrid>
        <w:gridCol w:w="1550"/>
        <w:gridCol w:w="7466"/>
      </w:tblGrid>
      <w:tr w:rsidR="00930E37" w:rsidRPr="00B23A5E" w14:paraId="1216A18F" w14:textId="77777777" w:rsidTr="00CF24A9">
        <w:trPr>
          <w:cnfStyle w:val="100000000000" w:firstRow="1" w:lastRow="0" w:firstColumn="0" w:lastColumn="0" w:oddVBand="0" w:evenVBand="0" w:oddHBand="0" w:evenHBand="0" w:firstRowFirstColumn="0" w:firstRowLastColumn="0" w:lastRowFirstColumn="0" w:lastRowLastColumn="0"/>
        </w:trPr>
        <w:tc>
          <w:tcPr>
            <w:tcW w:w="1550" w:type="dxa"/>
          </w:tcPr>
          <w:p w14:paraId="3C3F26F3" w14:textId="77777777" w:rsidR="00930E37" w:rsidRPr="00B23A5E" w:rsidRDefault="00930E37" w:rsidP="00CF24A9">
            <w:pPr>
              <w:spacing w:before="60" w:after="60"/>
              <w:rPr>
                <w:b w:val="0"/>
                <w:bCs/>
              </w:rPr>
            </w:pPr>
            <w:r w:rsidRPr="00B23A5E">
              <w:rPr>
                <w:b w:val="0"/>
                <w:bCs/>
              </w:rPr>
              <w:t>Issue</w:t>
            </w:r>
          </w:p>
        </w:tc>
        <w:tc>
          <w:tcPr>
            <w:tcW w:w="7466" w:type="dxa"/>
          </w:tcPr>
          <w:p w14:paraId="5DC60E12" w14:textId="77777777" w:rsidR="00930E37" w:rsidRPr="00B23A5E" w:rsidRDefault="00930E37" w:rsidP="00CF24A9">
            <w:pPr>
              <w:spacing w:before="60" w:after="60"/>
              <w:rPr>
                <w:b w:val="0"/>
                <w:bCs/>
              </w:rPr>
            </w:pPr>
            <w:r w:rsidRPr="00B23A5E">
              <w:rPr>
                <w:b w:val="0"/>
                <w:bCs/>
              </w:rPr>
              <w:t xml:space="preserve">Description of </w:t>
            </w:r>
            <w:r>
              <w:rPr>
                <w:b w:val="0"/>
                <w:bCs/>
              </w:rPr>
              <w:t>u</w:t>
            </w:r>
            <w:r w:rsidRPr="00B23A5E">
              <w:rPr>
                <w:b w:val="0"/>
                <w:bCs/>
              </w:rPr>
              <w:t>pdate(s)</w:t>
            </w:r>
          </w:p>
        </w:tc>
      </w:tr>
      <w:tr w:rsidR="00183530" w14:paraId="1D25BD44" w14:textId="77777777" w:rsidTr="00CF24A9">
        <w:tc>
          <w:tcPr>
            <w:tcW w:w="1550" w:type="dxa"/>
          </w:tcPr>
          <w:p w14:paraId="09409656" w14:textId="017E9BD7" w:rsidR="00183530" w:rsidRDefault="00183530" w:rsidP="00183530">
            <w:pPr>
              <w:spacing w:before="60" w:after="60"/>
            </w:pPr>
            <w:r>
              <w:t>6.1</w:t>
            </w:r>
          </w:p>
        </w:tc>
        <w:tc>
          <w:tcPr>
            <w:tcW w:w="7466" w:type="dxa"/>
          </w:tcPr>
          <w:p w14:paraId="0DD41B3D" w14:textId="712D39FB" w:rsidR="00183530" w:rsidRDefault="00183530" w:rsidP="00183530">
            <w:pPr>
              <w:spacing w:before="60" w:after="60"/>
            </w:pPr>
            <w:r>
              <w:t xml:space="preserve">Minor update - </w:t>
            </w:r>
            <w:r w:rsidRPr="002B2DC4">
              <w:t>Updated onto new template with minor changes to guidance</w:t>
            </w:r>
            <w:r>
              <w:t>.</w:t>
            </w:r>
          </w:p>
        </w:tc>
      </w:tr>
      <w:tr w:rsidR="00183530" w14:paraId="76A4134D" w14:textId="77777777" w:rsidTr="00CF24A9">
        <w:tc>
          <w:tcPr>
            <w:tcW w:w="1550" w:type="dxa"/>
          </w:tcPr>
          <w:p w14:paraId="74141A37" w14:textId="49C991A0" w:rsidR="00183530" w:rsidRDefault="00183530" w:rsidP="00183530">
            <w:pPr>
              <w:spacing w:before="60" w:after="60"/>
            </w:pPr>
            <w:r>
              <w:t>6.2</w:t>
            </w:r>
          </w:p>
        </w:tc>
        <w:tc>
          <w:tcPr>
            <w:tcW w:w="7466" w:type="dxa"/>
          </w:tcPr>
          <w:p w14:paraId="423E99EE" w14:textId="13689512" w:rsidR="00183530" w:rsidRDefault="00512179" w:rsidP="00183530">
            <w:pPr>
              <w:spacing w:before="60" w:after="60"/>
            </w:pPr>
            <w:r>
              <w:t xml:space="preserve">Minor update </w:t>
            </w:r>
            <w:r w:rsidR="00F2106B">
              <w:t>–</w:t>
            </w:r>
            <w:r>
              <w:t xml:space="preserve"> </w:t>
            </w:r>
            <w:r w:rsidR="00F2106B">
              <w:t>Improved clarity and u</w:t>
            </w:r>
            <w:r w:rsidRPr="002B2DC4">
              <w:t xml:space="preserve">pdated </w:t>
            </w:r>
            <w:r w:rsidR="00F2106B">
              <w:t>to</w:t>
            </w:r>
            <w:r w:rsidRPr="002B2DC4">
              <w:t xml:space="preserve"> new template</w:t>
            </w:r>
            <w:r>
              <w:t>.</w:t>
            </w:r>
          </w:p>
        </w:tc>
      </w:tr>
    </w:tbl>
    <w:p w14:paraId="5AB38FA4" w14:textId="77777777" w:rsidR="00084ABE" w:rsidRDefault="00084ABE" w:rsidP="002042C2">
      <w:pPr>
        <w:rPr>
          <w:b/>
          <w:bCs/>
          <w:sz w:val="20"/>
          <w:szCs w:val="18"/>
        </w:rPr>
      </w:pPr>
    </w:p>
    <w:sectPr w:rsidR="00084ABE"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E20D3" w14:textId="77777777" w:rsidR="005A6F88" w:rsidRDefault="005A6F88" w:rsidP="007D199A">
      <w:pPr>
        <w:spacing w:after="0"/>
      </w:pPr>
      <w:r>
        <w:separator/>
      </w:r>
    </w:p>
    <w:p w14:paraId="060E1A98" w14:textId="77777777" w:rsidR="005A6F88" w:rsidRDefault="005A6F88"/>
  </w:endnote>
  <w:endnote w:type="continuationSeparator" w:id="0">
    <w:p w14:paraId="4AB062BE" w14:textId="77777777" w:rsidR="005A6F88" w:rsidRDefault="005A6F88" w:rsidP="007D199A">
      <w:pPr>
        <w:spacing w:after="0"/>
      </w:pPr>
      <w:r>
        <w:continuationSeparator/>
      </w:r>
    </w:p>
    <w:p w14:paraId="6BC8EBBC" w14:textId="77777777" w:rsidR="005A6F88" w:rsidRDefault="005A6F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54583491" w:rsidR="007C3C1D" w:rsidRPr="00313628" w:rsidRDefault="00313628" w:rsidP="00313628">
    <w:pPr>
      <w:pStyle w:val="Footer"/>
    </w:pPr>
    <w:r>
      <w:t xml:space="preserve">Page | </w:t>
    </w: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047" w14:textId="61416359" w:rsidR="00084ABE" w:rsidRDefault="00084ABE" w:rsidP="00084ABE">
    <w:pPr>
      <w:pStyle w:val="Footer"/>
      <w:jc w:val="left"/>
    </w:pPr>
    <w:r>
      <w:tab/>
    </w:r>
    <w:r>
      <w:tab/>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AFE40" w14:textId="77777777" w:rsidR="005A6F88" w:rsidRPr="005E0344" w:rsidRDefault="005A6F88" w:rsidP="005E0344">
      <w:pPr>
        <w:spacing w:after="120"/>
        <w:rPr>
          <w:color w:val="000000" w:themeColor="text2"/>
        </w:rPr>
      </w:pPr>
      <w:r w:rsidRPr="005E0344">
        <w:rPr>
          <w:color w:val="000000" w:themeColor="text2"/>
        </w:rPr>
        <w:separator/>
      </w:r>
    </w:p>
  </w:footnote>
  <w:footnote w:type="continuationSeparator" w:id="0">
    <w:p w14:paraId="1D69D0CE" w14:textId="77777777" w:rsidR="005A6F88" w:rsidRPr="005E0344" w:rsidRDefault="005A6F88" w:rsidP="0090581D">
      <w:pPr>
        <w:spacing w:after="120"/>
        <w:rPr>
          <w:color w:val="000000" w:themeColor="text2"/>
        </w:rPr>
      </w:pPr>
      <w:r w:rsidRPr="005E0344">
        <w:rPr>
          <w:color w:val="000000" w:themeColor="text2"/>
        </w:rPr>
        <w:continuationSeparator/>
      </w:r>
    </w:p>
    <w:p w14:paraId="7F7C3DBB" w14:textId="77777777" w:rsidR="005A6F88" w:rsidRDefault="005A6F88"/>
  </w:footnote>
  <w:footnote w:type="continuationNotice" w:id="1">
    <w:p w14:paraId="65FBF1AB" w14:textId="77777777" w:rsidR="005A6F88" w:rsidRDefault="005A6F88">
      <w:pPr>
        <w:spacing w:after="0"/>
      </w:pPr>
    </w:p>
    <w:p w14:paraId="0D731161" w14:textId="77777777" w:rsidR="005A6F88" w:rsidRDefault="005A6F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CE5" w14:textId="77777777" w:rsidR="00084ABE" w:rsidRDefault="00084ABE" w:rsidP="00084AB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281EBEB5" w:rsidR="00177666" w:rsidRPr="00196ADB" w:rsidRDefault="0092573D" w:rsidP="009E0E52">
    <w:pPr>
      <w:pStyle w:val="Header"/>
      <w:rPr>
        <w:sz w:val="20"/>
        <w:szCs w:val="24"/>
      </w:rPr>
    </w:pPr>
    <w:sdt>
      <w:sdtPr>
        <w:rPr>
          <w:sz w:val="20"/>
          <w:szCs w:val="24"/>
        </w:rPr>
        <w:alias w:val="Title"/>
        <w:tag w:val=""/>
        <w:id w:val="-545993998"/>
        <w:dataBinding w:prefixMappings="xmlns:ns0='http://purl.org/dc/elements/1.1/' xmlns:ns1='http://schemas.openxmlformats.org/package/2006/metadata/core-properties' " w:xpath="/ns1:coreProperties[1]/ns0:title[1]" w:storeItemID="{6C3C8BC8-F283-45AE-878A-BAB7291924A1}"/>
        <w:text/>
      </w:sdtPr>
      <w:sdtEndPr/>
      <w:sdtContent>
        <w:r>
          <w:rPr>
            <w:sz w:val="20"/>
            <w:szCs w:val="24"/>
          </w:rPr>
          <w:t>LC30 – Periodic shutdown</w:t>
        </w:r>
      </w:sdtContent>
    </w:sdt>
    <w:r w:rsidR="004E3932" w:rsidRPr="00196ADB">
      <w:rPr>
        <w:sz w:val="20"/>
        <w:szCs w:val="24"/>
      </w:rPr>
      <w:t xml:space="preserve"> | Issue: </w:t>
    </w:r>
    <w:sdt>
      <w:sdtPr>
        <w:rPr>
          <w:sz w:val="20"/>
          <w:szCs w:val="24"/>
        </w:rPr>
        <w:alias w:val="Status"/>
        <w:tag w:val=""/>
        <w:id w:val="-1486926938"/>
        <w:dataBinding w:prefixMappings="xmlns:ns0='http://purl.org/dc/elements/1.1/' xmlns:ns1='http://schemas.openxmlformats.org/package/2006/metadata/core-properties' " w:xpath="/ns1:coreProperties[1]/ns1:contentStatus[1]" w:storeItemID="{6C3C8BC8-F283-45AE-878A-BAB7291924A1}"/>
        <w:text/>
      </w:sdtPr>
      <w:sdtEndPr/>
      <w:sdtContent>
        <w:r w:rsidR="00821B4A">
          <w:rPr>
            <w:sz w:val="20"/>
            <w:szCs w:val="24"/>
          </w:rPr>
          <w:t>6.2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9276E"/>
    <w:multiLevelType w:val="hybridMultilevel"/>
    <w:tmpl w:val="ABDC85D8"/>
    <w:lvl w:ilvl="0" w:tplc="2782000C">
      <w:start w:val="111"/>
      <w:numFmt w:val="decimal"/>
      <w:lvlText w:val="%1."/>
      <w:lvlJc w:val="left"/>
      <w:pPr>
        <w:ind w:left="6362" w:hanging="1344"/>
        <w:jc w:val="right"/>
      </w:pPr>
      <w:rPr>
        <w:rFonts w:hint="default"/>
        <w:spacing w:val="0"/>
        <w:w w:val="106"/>
        <w:lang w:val="en-US" w:eastAsia="en-US" w:bidi="ar-SA"/>
      </w:rPr>
    </w:lvl>
    <w:lvl w:ilvl="1" w:tplc="2B6AEC9C">
      <w:start w:val="1"/>
      <w:numFmt w:val="decimal"/>
      <w:lvlText w:val="(%2)"/>
      <w:lvlJc w:val="left"/>
      <w:pPr>
        <w:ind w:left="10771" w:hanging="1395"/>
      </w:pPr>
      <w:rPr>
        <w:rFonts w:ascii="Times New Roman" w:eastAsia="Times New Roman" w:hAnsi="Times New Roman" w:cs="Times New Roman" w:hint="default"/>
        <w:b w:val="0"/>
        <w:bCs w:val="0"/>
        <w:i/>
        <w:iCs/>
        <w:color w:val="070507"/>
        <w:spacing w:val="0"/>
        <w:w w:val="107"/>
        <w:sz w:val="44"/>
        <w:szCs w:val="44"/>
        <w:lang w:val="en-US" w:eastAsia="en-US" w:bidi="ar-SA"/>
      </w:rPr>
    </w:lvl>
    <w:lvl w:ilvl="2" w:tplc="CFAA659E">
      <w:numFmt w:val="bullet"/>
      <w:lvlText w:val="•"/>
      <w:lvlJc w:val="left"/>
      <w:pPr>
        <w:ind w:left="11969" w:hanging="1395"/>
      </w:pPr>
      <w:rPr>
        <w:rFonts w:hint="default"/>
        <w:lang w:val="en-US" w:eastAsia="en-US" w:bidi="ar-SA"/>
      </w:rPr>
    </w:lvl>
    <w:lvl w:ilvl="3" w:tplc="BB2E440C">
      <w:numFmt w:val="bullet"/>
      <w:lvlText w:val="•"/>
      <w:lvlJc w:val="left"/>
      <w:pPr>
        <w:ind w:left="13159" w:hanging="1395"/>
      </w:pPr>
      <w:rPr>
        <w:rFonts w:hint="default"/>
        <w:lang w:val="en-US" w:eastAsia="en-US" w:bidi="ar-SA"/>
      </w:rPr>
    </w:lvl>
    <w:lvl w:ilvl="4" w:tplc="DEBC4C80">
      <w:numFmt w:val="bullet"/>
      <w:lvlText w:val="•"/>
      <w:lvlJc w:val="left"/>
      <w:pPr>
        <w:ind w:left="14348" w:hanging="1395"/>
      </w:pPr>
      <w:rPr>
        <w:rFonts w:hint="default"/>
        <w:lang w:val="en-US" w:eastAsia="en-US" w:bidi="ar-SA"/>
      </w:rPr>
    </w:lvl>
    <w:lvl w:ilvl="5" w:tplc="497A4E08">
      <w:numFmt w:val="bullet"/>
      <w:lvlText w:val="•"/>
      <w:lvlJc w:val="left"/>
      <w:pPr>
        <w:ind w:left="15538" w:hanging="1395"/>
      </w:pPr>
      <w:rPr>
        <w:rFonts w:hint="default"/>
        <w:lang w:val="en-US" w:eastAsia="en-US" w:bidi="ar-SA"/>
      </w:rPr>
    </w:lvl>
    <w:lvl w:ilvl="6" w:tplc="003A0EB6">
      <w:numFmt w:val="bullet"/>
      <w:lvlText w:val="•"/>
      <w:lvlJc w:val="left"/>
      <w:pPr>
        <w:ind w:left="16727" w:hanging="1395"/>
      </w:pPr>
      <w:rPr>
        <w:rFonts w:hint="default"/>
        <w:lang w:val="en-US" w:eastAsia="en-US" w:bidi="ar-SA"/>
      </w:rPr>
    </w:lvl>
    <w:lvl w:ilvl="7" w:tplc="D488FA26">
      <w:numFmt w:val="bullet"/>
      <w:lvlText w:val="•"/>
      <w:lvlJc w:val="left"/>
      <w:pPr>
        <w:ind w:left="17917" w:hanging="1395"/>
      </w:pPr>
      <w:rPr>
        <w:rFonts w:hint="default"/>
        <w:lang w:val="en-US" w:eastAsia="en-US" w:bidi="ar-SA"/>
      </w:rPr>
    </w:lvl>
    <w:lvl w:ilvl="8" w:tplc="435C82F0">
      <w:numFmt w:val="bullet"/>
      <w:lvlText w:val="•"/>
      <w:lvlJc w:val="left"/>
      <w:pPr>
        <w:ind w:left="19106" w:hanging="1395"/>
      </w:pPr>
      <w:rPr>
        <w:rFonts w:hint="default"/>
        <w:lang w:val="en-US" w:eastAsia="en-US" w:bidi="ar-SA"/>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48542AA4"/>
    <w:lvl w:ilvl="0" w:tplc="637632B2">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1"/>
  </w:num>
  <w:num w:numId="12" w16cid:durableId="1085146277">
    <w:abstractNumId w:val="22"/>
  </w:num>
  <w:num w:numId="13" w16cid:durableId="989944809">
    <w:abstractNumId w:val="15"/>
  </w:num>
  <w:num w:numId="14" w16cid:durableId="1148547717">
    <w:abstractNumId w:val="12"/>
  </w:num>
  <w:num w:numId="15" w16cid:durableId="1619264317">
    <w:abstractNumId w:val="22"/>
    <w:lvlOverride w:ilvl="0">
      <w:startOverride w:val="1"/>
    </w:lvlOverride>
  </w:num>
  <w:num w:numId="16" w16cid:durableId="1717772705">
    <w:abstractNumId w:val="15"/>
    <w:lvlOverride w:ilvl="0">
      <w:startOverride w:val="1"/>
    </w:lvlOverride>
  </w:num>
  <w:num w:numId="17" w16cid:durableId="1421370352">
    <w:abstractNumId w:val="12"/>
    <w:lvlOverride w:ilvl="0">
      <w:startOverride w:val="1"/>
    </w:lvlOverride>
  </w:num>
  <w:num w:numId="18" w16cid:durableId="802893121">
    <w:abstractNumId w:val="21"/>
  </w:num>
  <w:num w:numId="19" w16cid:durableId="1666081420">
    <w:abstractNumId w:val="18"/>
  </w:num>
  <w:num w:numId="20" w16cid:durableId="874538197">
    <w:abstractNumId w:val="14"/>
  </w:num>
  <w:num w:numId="21" w16cid:durableId="2057311976">
    <w:abstractNumId w:val="19"/>
  </w:num>
  <w:num w:numId="22" w16cid:durableId="689793726">
    <w:abstractNumId w:val="13"/>
  </w:num>
  <w:num w:numId="23" w16cid:durableId="48653822">
    <w:abstractNumId w:val="23"/>
  </w:num>
  <w:num w:numId="24" w16cid:durableId="1603800266">
    <w:abstractNumId w:val="17"/>
  </w:num>
  <w:num w:numId="25" w16cid:durableId="1864591591">
    <w:abstractNumId w:val="16"/>
  </w:num>
  <w:num w:numId="26" w16cid:durableId="832574242">
    <w:abstractNumId w:val="20"/>
  </w:num>
  <w:num w:numId="27" w16cid:durableId="1391732823">
    <w:abstractNumId w:val="16"/>
    <w:lvlOverride w:ilvl="0">
      <w:startOverride w:val="1"/>
    </w:lvlOverride>
  </w:num>
  <w:num w:numId="28" w16cid:durableId="8614330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17950"/>
    <w:rsid w:val="00022033"/>
    <w:rsid w:val="00024522"/>
    <w:rsid w:val="00024B2E"/>
    <w:rsid w:val="00027F4F"/>
    <w:rsid w:val="00030430"/>
    <w:rsid w:val="0003078E"/>
    <w:rsid w:val="00031B89"/>
    <w:rsid w:val="0003693D"/>
    <w:rsid w:val="0004440F"/>
    <w:rsid w:val="00050288"/>
    <w:rsid w:val="000526F7"/>
    <w:rsid w:val="00052C8A"/>
    <w:rsid w:val="000548C8"/>
    <w:rsid w:val="00055850"/>
    <w:rsid w:val="000569B3"/>
    <w:rsid w:val="00064A1B"/>
    <w:rsid w:val="00075605"/>
    <w:rsid w:val="00075C66"/>
    <w:rsid w:val="000817D4"/>
    <w:rsid w:val="00082879"/>
    <w:rsid w:val="00084ABE"/>
    <w:rsid w:val="00087049"/>
    <w:rsid w:val="00091EEA"/>
    <w:rsid w:val="0009225F"/>
    <w:rsid w:val="00093015"/>
    <w:rsid w:val="000A105C"/>
    <w:rsid w:val="000A503E"/>
    <w:rsid w:val="000C2DDC"/>
    <w:rsid w:val="000C5F5A"/>
    <w:rsid w:val="000D2FD4"/>
    <w:rsid w:val="000D3232"/>
    <w:rsid w:val="000D5F1E"/>
    <w:rsid w:val="000F1B7B"/>
    <w:rsid w:val="000F2ED4"/>
    <w:rsid w:val="001028E8"/>
    <w:rsid w:val="00103043"/>
    <w:rsid w:val="001146E8"/>
    <w:rsid w:val="00122FCC"/>
    <w:rsid w:val="00124C2B"/>
    <w:rsid w:val="00126752"/>
    <w:rsid w:val="00130B30"/>
    <w:rsid w:val="00134431"/>
    <w:rsid w:val="00134ECE"/>
    <w:rsid w:val="00140E1C"/>
    <w:rsid w:val="00147AE4"/>
    <w:rsid w:val="0015517A"/>
    <w:rsid w:val="00155529"/>
    <w:rsid w:val="001571E5"/>
    <w:rsid w:val="00176B29"/>
    <w:rsid w:val="00176DB5"/>
    <w:rsid w:val="00177666"/>
    <w:rsid w:val="00183530"/>
    <w:rsid w:val="001849CA"/>
    <w:rsid w:val="00185410"/>
    <w:rsid w:val="00192352"/>
    <w:rsid w:val="00196ADB"/>
    <w:rsid w:val="001B4D5A"/>
    <w:rsid w:val="001C4D63"/>
    <w:rsid w:val="001D0DE0"/>
    <w:rsid w:val="001D5AFF"/>
    <w:rsid w:val="001D74B4"/>
    <w:rsid w:val="001E03E1"/>
    <w:rsid w:val="001F059F"/>
    <w:rsid w:val="00200101"/>
    <w:rsid w:val="00200811"/>
    <w:rsid w:val="00200CA1"/>
    <w:rsid w:val="002042C2"/>
    <w:rsid w:val="0021338D"/>
    <w:rsid w:val="00214D43"/>
    <w:rsid w:val="00223090"/>
    <w:rsid w:val="002238B4"/>
    <w:rsid w:val="002319AB"/>
    <w:rsid w:val="002319AC"/>
    <w:rsid w:val="00234342"/>
    <w:rsid w:val="0024040D"/>
    <w:rsid w:val="00251CD7"/>
    <w:rsid w:val="00255FA3"/>
    <w:rsid w:val="00257288"/>
    <w:rsid w:val="00261FB6"/>
    <w:rsid w:val="002629F8"/>
    <w:rsid w:val="00263396"/>
    <w:rsid w:val="002659FA"/>
    <w:rsid w:val="00267815"/>
    <w:rsid w:val="00280DDF"/>
    <w:rsid w:val="002917FF"/>
    <w:rsid w:val="00292ADF"/>
    <w:rsid w:val="00296DBB"/>
    <w:rsid w:val="002A0DEC"/>
    <w:rsid w:val="002B1C53"/>
    <w:rsid w:val="002B6666"/>
    <w:rsid w:val="002D1406"/>
    <w:rsid w:val="002E0BE4"/>
    <w:rsid w:val="002E3B58"/>
    <w:rsid w:val="002E3E8A"/>
    <w:rsid w:val="002E6A6A"/>
    <w:rsid w:val="002F3397"/>
    <w:rsid w:val="0030380D"/>
    <w:rsid w:val="00312411"/>
    <w:rsid w:val="00313628"/>
    <w:rsid w:val="00323E71"/>
    <w:rsid w:val="00326F77"/>
    <w:rsid w:val="003401B0"/>
    <w:rsid w:val="00345D54"/>
    <w:rsid w:val="00346C8E"/>
    <w:rsid w:val="003637A0"/>
    <w:rsid w:val="00367B30"/>
    <w:rsid w:val="00367BD5"/>
    <w:rsid w:val="00383838"/>
    <w:rsid w:val="003852A7"/>
    <w:rsid w:val="00390327"/>
    <w:rsid w:val="00393B78"/>
    <w:rsid w:val="003979A4"/>
    <w:rsid w:val="003A01E9"/>
    <w:rsid w:val="003B0C9A"/>
    <w:rsid w:val="003C0306"/>
    <w:rsid w:val="003C114C"/>
    <w:rsid w:val="003C465D"/>
    <w:rsid w:val="003D0718"/>
    <w:rsid w:val="003D23E7"/>
    <w:rsid w:val="003D495D"/>
    <w:rsid w:val="003D5793"/>
    <w:rsid w:val="003E098E"/>
    <w:rsid w:val="003E2FAE"/>
    <w:rsid w:val="003E56EC"/>
    <w:rsid w:val="00407CF7"/>
    <w:rsid w:val="00415ED6"/>
    <w:rsid w:val="00417CAF"/>
    <w:rsid w:val="00420A11"/>
    <w:rsid w:val="00422265"/>
    <w:rsid w:val="004373A7"/>
    <w:rsid w:val="00437D94"/>
    <w:rsid w:val="0044030C"/>
    <w:rsid w:val="004527A8"/>
    <w:rsid w:val="004648A4"/>
    <w:rsid w:val="00464B12"/>
    <w:rsid w:val="00471380"/>
    <w:rsid w:val="00494F0D"/>
    <w:rsid w:val="00496BFD"/>
    <w:rsid w:val="004A2DDD"/>
    <w:rsid w:val="004A3DF2"/>
    <w:rsid w:val="004C361D"/>
    <w:rsid w:val="004C4891"/>
    <w:rsid w:val="004D2C89"/>
    <w:rsid w:val="004E3932"/>
    <w:rsid w:val="004F1E79"/>
    <w:rsid w:val="004F5F33"/>
    <w:rsid w:val="005007C4"/>
    <w:rsid w:val="0050103A"/>
    <w:rsid w:val="00511B0F"/>
    <w:rsid w:val="00512179"/>
    <w:rsid w:val="0055388E"/>
    <w:rsid w:val="005754AE"/>
    <w:rsid w:val="00577FB5"/>
    <w:rsid w:val="005852D1"/>
    <w:rsid w:val="00587A22"/>
    <w:rsid w:val="0059299D"/>
    <w:rsid w:val="00595C8C"/>
    <w:rsid w:val="00597152"/>
    <w:rsid w:val="00597747"/>
    <w:rsid w:val="005A49B8"/>
    <w:rsid w:val="005A4CDD"/>
    <w:rsid w:val="005A6F88"/>
    <w:rsid w:val="005B57E4"/>
    <w:rsid w:val="005B5ABD"/>
    <w:rsid w:val="005C140A"/>
    <w:rsid w:val="005C1E52"/>
    <w:rsid w:val="005C3367"/>
    <w:rsid w:val="005C6763"/>
    <w:rsid w:val="005D3164"/>
    <w:rsid w:val="005E0344"/>
    <w:rsid w:val="005E440B"/>
    <w:rsid w:val="005F2C85"/>
    <w:rsid w:val="00605ADB"/>
    <w:rsid w:val="00611C9F"/>
    <w:rsid w:val="006248DE"/>
    <w:rsid w:val="00627555"/>
    <w:rsid w:val="006322A0"/>
    <w:rsid w:val="006361FD"/>
    <w:rsid w:val="0064226F"/>
    <w:rsid w:val="006424D4"/>
    <w:rsid w:val="00642DDB"/>
    <w:rsid w:val="00653298"/>
    <w:rsid w:val="00663A7C"/>
    <w:rsid w:val="00667DF2"/>
    <w:rsid w:val="00670DF1"/>
    <w:rsid w:val="00671345"/>
    <w:rsid w:val="00672A9B"/>
    <w:rsid w:val="00675884"/>
    <w:rsid w:val="006810CB"/>
    <w:rsid w:val="00696EE0"/>
    <w:rsid w:val="00697980"/>
    <w:rsid w:val="006A19EF"/>
    <w:rsid w:val="006A43D5"/>
    <w:rsid w:val="006A4EC6"/>
    <w:rsid w:val="006A525B"/>
    <w:rsid w:val="006A7CD9"/>
    <w:rsid w:val="006B1EC2"/>
    <w:rsid w:val="006C045F"/>
    <w:rsid w:val="006C4196"/>
    <w:rsid w:val="006C63B0"/>
    <w:rsid w:val="006C76A2"/>
    <w:rsid w:val="006C792E"/>
    <w:rsid w:val="006D0C4E"/>
    <w:rsid w:val="006D116C"/>
    <w:rsid w:val="006E3AFB"/>
    <w:rsid w:val="006E7C42"/>
    <w:rsid w:val="006F168A"/>
    <w:rsid w:val="006F5076"/>
    <w:rsid w:val="006F6009"/>
    <w:rsid w:val="006F7E5F"/>
    <w:rsid w:val="0070321D"/>
    <w:rsid w:val="0070406B"/>
    <w:rsid w:val="007068BA"/>
    <w:rsid w:val="00706DB2"/>
    <w:rsid w:val="00716AB1"/>
    <w:rsid w:val="00721D63"/>
    <w:rsid w:val="00723B63"/>
    <w:rsid w:val="00724B2B"/>
    <w:rsid w:val="00732C7B"/>
    <w:rsid w:val="00733AD5"/>
    <w:rsid w:val="00734D2B"/>
    <w:rsid w:val="00737705"/>
    <w:rsid w:val="007408D4"/>
    <w:rsid w:val="007420AC"/>
    <w:rsid w:val="00742617"/>
    <w:rsid w:val="00746910"/>
    <w:rsid w:val="00761BC1"/>
    <w:rsid w:val="00783AFA"/>
    <w:rsid w:val="00785427"/>
    <w:rsid w:val="00790540"/>
    <w:rsid w:val="00793FDA"/>
    <w:rsid w:val="007968CA"/>
    <w:rsid w:val="007A43FF"/>
    <w:rsid w:val="007A72FA"/>
    <w:rsid w:val="007B3918"/>
    <w:rsid w:val="007C180C"/>
    <w:rsid w:val="007C3C1D"/>
    <w:rsid w:val="007D199A"/>
    <w:rsid w:val="007D2EBE"/>
    <w:rsid w:val="007E1C07"/>
    <w:rsid w:val="007F24B6"/>
    <w:rsid w:val="00803D94"/>
    <w:rsid w:val="00821337"/>
    <w:rsid w:val="00821B4A"/>
    <w:rsid w:val="008229BA"/>
    <w:rsid w:val="00824151"/>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31"/>
    <w:rsid w:val="008A2379"/>
    <w:rsid w:val="008A4329"/>
    <w:rsid w:val="008A578E"/>
    <w:rsid w:val="008B015A"/>
    <w:rsid w:val="008B1519"/>
    <w:rsid w:val="008B5F2F"/>
    <w:rsid w:val="008B7BCC"/>
    <w:rsid w:val="008C50C3"/>
    <w:rsid w:val="008C7094"/>
    <w:rsid w:val="008D2B97"/>
    <w:rsid w:val="008D49A5"/>
    <w:rsid w:val="008D6C81"/>
    <w:rsid w:val="008E6CF0"/>
    <w:rsid w:val="008F1439"/>
    <w:rsid w:val="008F7051"/>
    <w:rsid w:val="009033A9"/>
    <w:rsid w:val="00903E35"/>
    <w:rsid w:val="0090581D"/>
    <w:rsid w:val="00912559"/>
    <w:rsid w:val="0091439C"/>
    <w:rsid w:val="00920572"/>
    <w:rsid w:val="00920BF2"/>
    <w:rsid w:val="0092573D"/>
    <w:rsid w:val="00930E37"/>
    <w:rsid w:val="009349A9"/>
    <w:rsid w:val="00936C52"/>
    <w:rsid w:val="009436C1"/>
    <w:rsid w:val="0095489B"/>
    <w:rsid w:val="00966FB9"/>
    <w:rsid w:val="009671CD"/>
    <w:rsid w:val="009751A9"/>
    <w:rsid w:val="00980F9C"/>
    <w:rsid w:val="0098632B"/>
    <w:rsid w:val="00997BFB"/>
    <w:rsid w:val="009A54A4"/>
    <w:rsid w:val="009A7348"/>
    <w:rsid w:val="009B462C"/>
    <w:rsid w:val="009C15F3"/>
    <w:rsid w:val="009C3689"/>
    <w:rsid w:val="009E07C2"/>
    <w:rsid w:val="009E0E52"/>
    <w:rsid w:val="009E6459"/>
    <w:rsid w:val="009F72F9"/>
    <w:rsid w:val="00A00205"/>
    <w:rsid w:val="00A00AF0"/>
    <w:rsid w:val="00A067DD"/>
    <w:rsid w:val="00A14B5A"/>
    <w:rsid w:val="00A25CF1"/>
    <w:rsid w:val="00A271B8"/>
    <w:rsid w:val="00A3567F"/>
    <w:rsid w:val="00A37698"/>
    <w:rsid w:val="00A41ED3"/>
    <w:rsid w:val="00A757CF"/>
    <w:rsid w:val="00A81D82"/>
    <w:rsid w:val="00A8780A"/>
    <w:rsid w:val="00A87E78"/>
    <w:rsid w:val="00A9118F"/>
    <w:rsid w:val="00A93E33"/>
    <w:rsid w:val="00A9666C"/>
    <w:rsid w:val="00AA034D"/>
    <w:rsid w:val="00AA238E"/>
    <w:rsid w:val="00AA6C33"/>
    <w:rsid w:val="00AB3129"/>
    <w:rsid w:val="00AB6970"/>
    <w:rsid w:val="00AC1939"/>
    <w:rsid w:val="00AC7C05"/>
    <w:rsid w:val="00AD167C"/>
    <w:rsid w:val="00AD17C7"/>
    <w:rsid w:val="00AD4041"/>
    <w:rsid w:val="00AE302B"/>
    <w:rsid w:val="00AE4F3F"/>
    <w:rsid w:val="00AE689F"/>
    <w:rsid w:val="00B018EA"/>
    <w:rsid w:val="00B0248D"/>
    <w:rsid w:val="00B16BE5"/>
    <w:rsid w:val="00B23A5E"/>
    <w:rsid w:val="00B259DF"/>
    <w:rsid w:val="00B27C3D"/>
    <w:rsid w:val="00B44B1F"/>
    <w:rsid w:val="00B61839"/>
    <w:rsid w:val="00B64141"/>
    <w:rsid w:val="00B64E72"/>
    <w:rsid w:val="00B70631"/>
    <w:rsid w:val="00B711AF"/>
    <w:rsid w:val="00B77913"/>
    <w:rsid w:val="00B824FB"/>
    <w:rsid w:val="00B82646"/>
    <w:rsid w:val="00B97359"/>
    <w:rsid w:val="00B97A8F"/>
    <w:rsid w:val="00BA4E58"/>
    <w:rsid w:val="00BA7074"/>
    <w:rsid w:val="00BB6D81"/>
    <w:rsid w:val="00BB7829"/>
    <w:rsid w:val="00BC73BA"/>
    <w:rsid w:val="00BD1457"/>
    <w:rsid w:val="00BE2AD9"/>
    <w:rsid w:val="00BE662E"/>
    <w:rsid w:val="00BF0D32"/>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306C"/>
    <w:rsid w:val="00C86CEC"/>
    <w:rsid w:val="00C8773D"/>
    <w:rsid w:val="00C87ABB"/>
    <w:rsid w:val="00C91831"/>
    <w:rsid w:val="00C91BEF"/>
    <w:rsid w:val="00C953DF"/>
    <w:rsid w:val="00C963E6"/>
    <w:rsid w:val="00CD2B07"/>
    <w:rsid w:val="00CD5401"/>
    <w:rsid w:val="00CE2709"/>
    <w:rsid w:val="00CE2D64"/>
    <w:rsid w:val="00CE6198"/>
    <w:rsid w:val="00CE6CD6"/>
    <w:rsid w:val="00CF0299"/>
    <w:rsid w:val="00CF6230"/>
    <w:rsid w:val="00D017FC"/>
    <w:rsid w:val="00D0226A"/>
    <w:rsid w:val="00D13147"/>
    <w:rsid w:val="00D463FF"/>
    <w:rsid w:val="00D50BBE"/>
    <w:rsid w:val="00D5715A"/>
    <w:rsid w:val="00D60BCB"/>
    <w:rsid w:val="00D71687"/>
    <w:rsid w:val="00D732ED"/>
    <w:rsid w:val="00D744F3"/>
    <w:rsid w:val="00D74813"/>
    <w:rsid w:val="00DA30BC"/>
    <w:rsid w:val="00DA69C2"/>
    <w:rsid w:val="00DA6D70"/>
    <w:rsid w:val="00DB6050"/>
    <w:rsid w:val="00DC2C34"/>
    <w:rsid w:val="00DE2C87"/>
    <w:rsid w:val="00DE3DE3"/>
    <w:rsid w:val="00DE459A"/>
    <w:rsid w:val="00DF27DA"/>
    <w:rsid w:val="00DF4DBE"/>
    <w:rsid w:val="00E05FC7"/>
    <w:rsid w:val="00E25717"/>
    <w:rsid w:val="00E40820"/>
    <w:rsid w:val="00E43C84"/>
    <w:rsid w:val="00E4658F"/>
    <w:rsid w:val="00E54A67"/>
    <w:rsid w:val="00E607CD"/>
    <w:rsid w:val="00E61C0D"/>
    <w:rsid w:val="00E63EB4"/>
    <w:rsid w:val="00E66160"/>
    <w:rsid w:val="00E71329"/>
    <w:rsid w:val="00E74FE0"/>
    <w:rsid w:val="00E8363B"/>
    <w:rsid w:val="00E84966"/>
    <w:rsid w:val="00E92383"/>
    <w:rsid w:val="00EA048E"/>
    <w:rsid w:val="00EA1B3A"/>
    <w:rsid w:val="00EA2109"/>
    <w:rsid w:val="00EB057A"/>
    <w:rsid w:val="00EB6ECB"/>
    <w:rsid w:val="00ED3B76"/>
    <w:rsid w:val="00ED4D4E"/>
    <w:rsid w:val="00EE0C77"/>
    <w:rsid w:val="00EE4E54"/>
    <w:rsid w:val="00EE6ACB"/>
    <w:rsid w:val="00EF24B0"/>
    <w:rsid w:val="00EF4334"/>
    <w:rsid w:val="00F1309D"/>
    <w:rsid w:val="00F2106B"/>
    <w:rsid w:val="00F37339"/>
    <w:rsid w:val="00F436BB"/>
    <w:rsid w:val="00F466FE"/>
    <w:rsid w:val="00F47145"/>
    <w:rsid w:val="00F545BF"/>
    <w:rsid w:val="00F55CFC"/>
    <w:rsid w:val="00F57D02"/>
    <w:rsid w:val="00F71B56"/>
    <w:rsid w:val="00F73034"/>
    <w:rsid w:val="00F832C8"/>
    <w:rsid w:val="00F873B3"/>
    <w:rsid w:val="00FA00BE"/>
    <w:rsid w:val="00FA1D89"/>
    <w:rsid w:val="00FA33FE"/>
    <w:rsid w:val="00FA42B9"/>
    <w:rsid w:val="00FA755A"/>
    <w:rsid w:val="00FB2B0F"/>
    <w:rsid w:val="00FB4F6B"/>
    <w:rsid w:val="00FB5FE1"/>
    <w:rsid w:val="00FC0E8D"/>
    <w:rsid w:val="00FC46EF"/>
    <w:rsid w:val="00FD31B3"/>
    <w:rsid w:val="00FD4204"/>
    <w:rsid w:val="00FF076F"/>
    <w:rsid w:val="00FF392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qFormat/>
    <w:rsid w:val="00313628"/>
    <w:pPr>
      <w:numPr>
        <w:numId w:val="12"/>
      </w:numPr>
      <w:spacing w:before="240" w:after="120"/>
      <w:ind w:left="1276"/>
    </w:pPr>
    <w:rPr>
      <w:bCs/>
      <w:lang w:eastAsia="en-GB" w:bidi="ar-SA"/>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1"/>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uiPriority w:val="22"/>
    <w:qFormat/>
    <w:rsid w:val="00FA00BE"/>
    <w:rPr>
      <w:b/>
      <w:bCs/>
    </w:rPr>
  </w:style>
  <w:style w:type="paragraph" w:styleId="BodyText">
    <w:name w:val="Body Text"/>
    <w:basedOn w:val="Normal"/>
    <w:link w:val="BodyTextChar"/>
    <w:uiPriority w:val="1"/>
    <w:qFormat/>
    <w:rsid w:val="00BB6D81"/>
    <w:pPr>
      <w:widowControl w:val="0"/>
      <w:autoSpaceDE w:val="0"/>
      <w:autoSpaceDN w:val="0"/>
      <w:spacing w:after="0" w:line="240" w:lineRule="auto"/>
    </w:pPr>
    <w:rPr>
      <w:rFonts w:ascii="Times New Roman" w:eastAsia="Times New Roman" w:hAnsi="Times New Roman" w:cs="Times New Roman"/>
      <w:sz w:val="45"/>
      <w:szCs w:val="45"/>
      <w:lang w:val="en-US" w:bidi="ar-SA"/>
    </w:rPr>
  </w:style>
  <w:style w:type="character" w:customStyle="1" w:styleId="BodyTextChar">
    <w:name w:val="Body Text Char"/>
    <w:basedOn w:val="DefaultParagraphFont"/>
    <w:link w:val="BodyText"/>
    <w:uiPriority w:val="1"/>
    <w:rsid w:val="00BB6D81"/>
    <w:rPr>
      <w:rFonts w:ascii="Times New Roman" w:eastAsia="Times New Roman" w:hAnsi="Times New Roman" w:cs="Times New Roman"/>
      <w:sz w:val="45"/>
      <w:szCs w:val="45"/>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669250">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1465683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1290818">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0925057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4BFF33CE9ACF45B4BD9D9653F86AF5B6"/>
        <w:category>
          <w:name w:val="General"/>
          <w:gallery w:val="placeholder"/>
        </w:category>
        <w:types>
          <w:type w:val="bbPlcHdr"/>
        </w:types>
        <w:behaviors>
          <w:behavior w:val="content"/>
        </w:behaviors>
        <w:guid w:val="{7CD666C1-130E-4748-A724-97987CA52528}"/>
      </w:docPartPr>
      <w:docPartBody>
        <w:p w:rsidR="00EB73F1" w:rsidRDefault="00EB73F1" w:rsidP="00EB73F1">
          <w:pPr>
            <w:pStyle w:val="4BFF33CE9ACF45B4BD9D9653F86AF5B6"/>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D6E9E"/>
    <w:rsid w:val="001101B7"/>
    <w:rsid w:val="00176DB5"/>
    <w:rsid w:val="00183F29"/>
    <w:rsid w:val="002550FD"/>
    <w:rsid w:val="00333F8E"/>
    <w:rsid w:val="00350199"/>
    <w:rsid w:val="00386EA6"/>
    <w:rsid w:val="003D5793"/>
    <w:rsid w:val="005A49B8"/>
    <w:rsid w:val="007154C5"/>
    <w:rsid w:val="00764F6F"/>
    <w:rsid w:val="007D2A74"/>
    <w:rsid w:val="0083336C"/>
    <w:rsid w:val="00835E07"/>
    <w:rsid w:val="008B5F2F"/>
    <w:rsid w:val="00963405"/>
    <w:rsid w:val="009A54A4"/>
    <w:rsid w:val="009E6880"/>
    <w:rsid w:val="00A009A6"/>
    <w:rsid w:val="00A314D5"/>
    <w:rsid w:val="00A657B0"/>
    <w:rsid w:val="00AE4F3F"/>
    <w:rsid w:val="00AE689F"/>
    <w:rsid w:val="00B70631"/>
    <w:rsid w:val="00B711AF"/>
    <w:rsid w:val="00BF0D32"/>
    <w:rsid w:val="00C17C1E"/>
    <w:rsid w:val="00C41BCC"/>
    <w:rsid w:val="00CF0299"/>
    <w:rsid w:val="00DD7BA4"/>
    <w:rsid w:val="00E27559"/>
    <w:rsid w:val="00E318CE"/>
    <w:rsid w:val="00E646E1"/>
    <w:rsid w:val="00EB73F1"/>
    <w:rsid w:val="00F8439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2A74"/>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4BFF33CE9ACF45B4BD9D9653F86AF5B6">
    <w:name w:val="4BFF33CE9ACF45B4BD9D9653F86AF5B6"/>
    <w:rsid w:val="00EB73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IEEE2006OfficeOnline.xsl" StyleName="IEEE" Version="2006">
  <b:Source>
    <b:Tag>ONR2</b:Tag>
    <b:SourceType>DocumentFromInternetSite</b:SourceType>
    <b:Guid>{FE6E47C9-41DD-4D86-855A-D3C19AFA070E}</b:Guid>
    <b:Author>
      <b:Author>
        <b:Corporate>ONR</b:Corporate>
      </b:Author>
    </b:Author>
    <b:Title>ONR-RD-POL-002 - Risk Informed and Targeted Engagements</b:Title>
    <b:URL>To ONR staff via HOW2 Hub (Internal ONR system)</b:URL>
    <b:RefOrder>1</b:RefOrder>
  </b:Source>
  <b:Source>
    <b:Tag>ONR1</b:Tag>
    <b:SourceType>Book</b:SourceType>
    <b:Guid>{48B19D20-72F5-4D9D-B695-81EA7E8757CB}</b:Guid>
    <b:Author>
      <b:Author>
        <b:NameList>
          <b:Person>
            <b:Last>ONR</b:Last>
          </b:Person>
        </b:NameList>
      </b:Author>
    </b:Author>
    <b:Title>NS-INSP-GD-028 - LC28 Examination, Inspection Maintenance and Testing (EMIT)</b:Title>
    <b:RefOrder>2</b:RefOrder>
  </b:Source>
</b:Sources>
</file>

<file path=customXml/item5.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6.xml><?xml version="1.0" encoding="utf-8"?>
<?mso-contentType ?>
<SharedContentType xmlns="Microsoft.SharePoint.Taxonomy.ContentTypeSync" SourceId="66693000-3e12-4b44-a742-9a2ba35b7d28" ContentTypeId="0x0101000C70A82DFAAC384DB9F6EBA2C8B87C57" PreviousValue="false"/>
</file>

<file path=customXml/item7.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5b57e419ffb840abb95ac6618f3e3a8b">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3.xml><?xml version="1.0" encoding="utf-8"?>
<ds:datastoreItem xmlns:ds="http://schemas.openxmlformats.org/officeDocument/2006/customXml" ds:itemID="{9DE98854-DDCE-4D11-873F-F4E081E0E401}">
  <ds:schemaRefs>
    <ds:schemaRef ds:uri="http://schemas.microsoft.com/sharepoint/events"/>
  </ds:schemaRefs>
</ds:datastoreItem>
</file>

<file path=customXml/itemProps4.xml><?xml version="1.0" encoding="utf-8"?>
<ds:datastoreItem xmlns:ds="http://schemas.openxmlformats.org/officeDocument/2006/customXml" ds:itemID="{ADB04998-D3AD-4232-B228-85FC3CF2B1DD}">
  <ds:schemaRefs>
    <ds:schemaRef ds:uri="http://schemas.openxmlformats.org/officeDocument/2006/bibliography"/>
  </ds:schemaRefs>
</ds:datastoreItem>
</file>

<file path=customXml/itemProps5.xml><?xml version="1.0" encoding="utf-8"?>
<ds:datastoreItem xmlns:ds="http://schemas.openxmlformats.org/officeDocument/2006/customXml" ds:itemID="{302464A8-7BA5-4131-8D06-4B18A77BE91D}">
  <ds:schemaRefs>
    <ds:schemaRef ds:uri="http://schemas.microsoft.com/office/2006/documentManagement/types"/>
    <ds:schemaRef ds:uri="http://schemas.microsoft.com/office/2006/metadata/properties"/>
    <ds:schemaRef ds:uri="http://schemas.microsoft.com/office/infopath/2007/PartnerControls"/>
    <ds:schemaRef ds:uri="8c4e2855-9588-4bc9-9890-af639bd565eb"/>
    <ds:schemaRef ds:uri="http://www.w3.org/XML/1998/namespace"/>
    <ds:schemaRef ds:uri="http://purl.org/dc/dcmitype/"/>
    <ds:schemaRef ds:uri="http://purl.org/dc/terms/"/>
    <ds:schemaRef ds:uri="http://purl.org/dc/elements/1.1/"/>
    <ds:schemaRef ds:uri="http://schemas.openxmlformats.org/package/2006/metadata/core-properties"/>
    <ds:schemaRef ds:uri="fbd4c4c3-96d4-4265-b68e-6a383a5dca66"/>
    <ds:schemaRef ds:uri="05350e14-297a-489c-ad04-faf6563b232c"/>
  </ds:schemaRefs>
</ds:datastoreItem>
</file>

<file path=customXml/itemProps6.xml><?xml version="1.0" encoding="utf-8"?>
<ds:datastoreItem xmlns:ds="http://schemas.openxmlformats.org/officeDocument/2006/customXml" ds:itemID="{F9DA92CD-712B-4076-AF63-88C443BDB444}">
  <ds:schemaRefs>
    <ds:schemaRef ds:uri="Microsoft.SharePoint.Taxonomy.ContentTypeSync"/>
  </ds:schemaRefs>
</ds:datastoreItem>
</file>

<file path=customXml/itemProps7.xml><?xml version="1.0" encoding="utf-8"?>
<ds:datastoreItem xmlns:ds="http://schemas.openxmlformats.org/officeDocument/2006/customXml" ds:itemID="{6FA13968-F641-423D-A8B8-EA6925D9D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7</Pages>
  <Words>1226</Words>
  <Characters>6992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LC30 – Periodic shutdown</dc:title>
  <dc:subject>[Subtitle or description]</dc:subject>
  <cp:keywords>[Key words separated by commas]</cp:keywords>
  <dc:description/>
  <cp:revision>3</cp:revision>
  <cp:lastPrinted>2016-11-28T11:35:00Z</cp:lastPrinted>
  <dcterms:created xsi:type="dcterms:W3CDTF">2026-05-05T12:04:00Z</dcterms:created>
  <dcterms:modified xsi:type="dcterms:W3CDTF">2026-05-05T12:05:00Z</dcterms:modified>
  <cp:contentStatus>6.2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