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56"/>
                <w:szCs w:val="56"/>
              </w:rPr>
              <w:id w:val="1228188510"/>
              <w:placeholder>
                <w:docPart w:val="DefaultPlaceholder_-1854013440"/>
              </w:placeholder>
            </w:sdtPr>
            <w:sdtEndPr/>
            <w:sdtContent>
              <w:p w14:paraId="7C4EA414" w14:textId="7463B5D1" w:rsidR="00D0226A" w:rsidRPr="001E03E1" w:rsidRDefault="008E172C" w:rsidP="001E03E1">
                <w:pPr>
                  <w:pStyle w:val="CoverTitle"/>
                  <w:rPr>
                    <w:szCs w:val="90"/>
                  </w:rPr>
                </w:pPr>
                <w:sdt>
                  <w:sdtPr>
                    <w:rPr>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05EFE" w:rsidRPr="00621605">
                      <w:rPr>
                        <w:sz w:val="52"/>
                        <w:szCs w:val="52"/>
                      </w:rPr>
                      <w:t>LC 28 – Examination, Inspection, Maintenance and Testing (EIMT)</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2F637E17" w14:textId="3FDD0E8F" w:rsidR="00621605" w:rsidRDefault="00621605">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24544841" w:history="1">
        <w:r w:rsidRPr="00334BF8">
          <w:rPr>
            <w:rStyle w:val="Hyperlink"/>
          </w:rPr>
          <w:t>1.</w:t>
        </w:r>
        <w:r>
          <w:rPr>
            <w:rFonts w:asciiTheme="minorHAnsi" w:eastAsiaTheme="minorEastAsia" w:hAnsiTheme="minorHAnsi" w:cstheme="minorBidi"/>
            <w:kern w:val="2"/>
            <w:szCs w:val="24"/>
            <w:lang w:eastAsia="en-GB" w:bidi="ar-SA"/>
            <w14:ligatures w14:val="standardContextual"/>
          </w:rPr>
          <w:tab/>
        </w:r>
        <w:r w:rsidRPr="00334BF8">
          <w:rPr>
            <w:rStyle w:val="Hyperlink"/>
          </w:rPr>
          <w:t>Introduction</w:t>
        </w:r>
        <w:r>
          <w:rPr>
            <w:webHidden/>
          </w:rPr>
          <w:tab/>
        </w:r>
        <w:r>
          <w:rPr>
            <w:webHidden/>
          </w:rPr>
          <w:fldChar w:fldCharType="begin"/>
        </w:r>
        <w:r>
          <w:rPr>
            <w:webHidden/>
          </w:rPr>
          <w:instrText xml:space="preserve"> PAGEREF _Toc224544841 \h </w:instrText>
        </w:r>
        <w:r>
          <w:rPr>
            <w:webHidden/>
          </w:rPr>
        </w:r>
        <w:r>
          <w:rPr>
            <w:webHidden/>
          </w:rPr>
          <w:fldChar w:fldCharType="separate"/>
        </w:r>
        <w:r w:rsidR="00317EC3">
          <w:rPr>
            <w:webHidden/>
          </w:rPr>
          <w:t>3</w:t>
        </w:r>
        <w:r>
          <w:rPr>
            <w:webHidden/>
          </w:rPr>
          <w:fldChar w:fldCharType="end"/>
        </w:r>
      </w:hyperlink>
    </w:p>
    <w:p w14:paraId="16E90F80" w14:textId="56386BE6" w:rsidR="00621605" w:rsidRDefault="0062160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544842" w:history="1">
        <w:r w:rsidRPr="00334BF8">
          <w:rPr>
            <w:rStyle w:val="Hyperlink"/>
          </w:rPr>
          <w:t>2.</w:t>
        </w:r>
        <w:r>
          <w:rPr>
            <w:rFonts w:asciiTheme="minorHAnsi" w:eastAsiaTheme="minorEastAsia" w:hAnsiTheme="minorHAnsi" w:cstheme="minorBidi"/>
            <w:kern w:val="2"/>
            <w:szCs w:val="24"/>
            <w:lang w:eastAsia="en-GB" w:bidi="ar-SA"/>
            <w14:ligatures w14:val="standardContextual"/>
          </w:rPr>
          <w:tab/>
        </w:r>
        <w:r w:rsidRPr="00334BF8">
          <w:rPr>
            <w:rStyle w:val="Hyperlink"/>
          </w:rPr>
          <w:t>Licence Condition 28: Examination, Inspection, Maintenance and Testing</w:t>
        </w:r>
        <w:r>
          <w:rPr>
            <w:webHidden/>
          </w:rPr>
          <w:tab/>
        </w:r>
        <w:r>
          <w:rPr>
            <w:webHidden/>
          </w:rPr>
          <w:fldChar w:fldCharType="begin"/>
        </w:r>
        <w:r>
          <w:rPr>
            <w:webHidden/>
          </w:rPr>
          <w:instrText xml:space="preserve"> PAGEREF _Toc224544842 \h </w:instrText>
        </w:r>
        <w:r>
          <w:rPr>
            <w:webHidden/>
          </w:rPr>
        </w:r>
        <w:r>
          <w:rPr>
            <w:webHidden/>
          </w:rPr>
          <w:fldChar w:fldCharType="separate"/>
        </w:r>
        <w:r w:rsidR="00317EC3">
          <w:rPr>
            <w:webHidden/>
          </w:rPr>
          <w:t>4</w:t>
        </w:r>
        <w:r>
          <w:rPr>
            <w:webHidden/>
          </w:rPr>
          <w:fldChar w:fldCharType="end"/>
        </w:r>
      </w:hyperlink>
    </w:p>
    <w:p w14:paraId="06045E7F" w14:textId="5E2B08AB" w:rsidR="00621605" w:rsidRDefault="0062160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544843" w:history="1">
        <w:r w:rsidRPr="00334BF8">
          <w:rPr>
            <w:rStyle w:val="Hyperlink"/>
          </w:rPr>
          <w:t>3.</w:t>
        </w:r>
        <w:r>
          <w:rPr>
            <w:rFonts w:asciiTheme="minorHAnsi" w:eastAsiaTheme="minorEastAsia" w:hAnsiTheme="minorHAnsi" w:cstheme="minorBidi"/>
            <w:kern w:val="2"/>
            <w:szCs w:val="24"/>
            <w:lang w:eastAsia="en-GB" w:bidi="ar-SA"/>
            <w14:ligatures w14:val="standardContextual"/>
          </w:rPr>
          <w:tab/>
        </w:r>
        <w:r w:rsidRPr="00334BF8">
          <w:rPr>
            <w:rStyle w:val="Hyperlink"/>
          </w:rPr>
          <w:t>Purpose of the Licence Condition</w:t>
        </w:r>
        <w:r>
          <w:rPr>
            <w:webHidden/>
          </w:rPr>
          <w:tab/>
        </w:r>
        <w:r>
          <w:rPr>
            <w:webHidden/>
          </w:rPr>
          <w:fldChar w:fldCharType="begin"/>
        </w:r>
        <w:r>
          <w:rPr>
            <w:webHidden/>
          </w:rPr>
          <w:instrText xml:space="preserve"> PAGEREF _Toc224544843 \h </w:instrText>
        </w:r>
        <w:r>
          <w:rPr>
            <w:webHidden/>
          </w:rPr>
        </w:r>
        <w:r>
          <w:rPr>
            <w:webHidden/>
          </w:rPr>
          <w:fldChar w:fldCharType="separate"/>
        </w:r>
        <w:r w:rsidR="00317EC3">
          <w:rPr>
            <w:webHidden/>
          </w:rPr>
          <w:t>5</w:t>
        </w:r>
        <w:r>
          <w:rPr>
            <w:webHidden/>
          </w:rPr>
          <w:fldChar w:fldCharType="end"/>
        </w:r>
      </w:hyperlink>
    </w:p>
    <w:p w14:paraId="70A9DC11" w14:textId="78A1894F" w:rsidR="00621605" w:rsidRDefault="0062160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544844" w:history="1">
        <w:r w:rsidRPr="00334BF8">
          <w:rPr>
            <w:rStyle w:val="Hyperlink"/>
          </w:rPr>
          <w:t>4.</w:t>
        </w:r>
        <w:r>
          <w:rPr>
            <w:rFonts w:asciiTheme="minorHAnsi" w:eastAsiaTheme="minorEastAsia" w:hAnsiTheme="minorHAnsi" w:cstheme="minorBidi"/>
            <w:kern w:val="2"/>
            <w:szCs w:val="24"/>
            <w:lang w:eastAsia="en-GB" w:bidi="ar-SA"/>
            <w14:ligatures w14:val="standardContextual"/>
          </w:rPr>
          <w:tab/>
        </w:r>
        <w:r w:rsidRPr="00334BF8">
          <w:rPr>
            <w:rStyle w:val="Hyperlink"/>
          </w:rPr>
          <w:t>Guidance on arrangements for Licence Condition 28</w:t>
        </w:r>
        <w:r>
          <w:rPr>
            <w:webHidden/>
          </w:rPr>
          <w:tab/>
        </w:r>
        <w:r>
          <w:rPr>
            <w:webHidden/>
          </w:rPr>
          <w:fldChar w:fldCharType="begin"/>
        </w:r>
        <w:r>
          <w:rPr>
            <w:webHidden/>
          </w:rPr>
          <w:instrText xml:space="preserve"> PAGEREF _Toc224544844 \h </w:instrText>
        </w:r>
        <w:r>
          <w:rPr>
            <w:webHidden/>
          </w:rPr>
        </w:r>
        <w:r>
          <w:rPr>
            <w:webHidden/>
          </w:rPr>
          <w:fldChar w:fldCharType="separate"/>
        </w:r>
        <w:r w:rsidR="00317EC3">
          <w:rPr>
            <w:webHidden/>
          </w:rPr>
          <w:t>6</w:t>
        </w:r>
        <w:r>
          <w:rPr>
            <w:webHidden/>
          </w:rPr>
          <w:fldChar w:fldCharType="end"/>
        </w:r>
      </w:hyperlink>
    </w:p>
    <w:p w14:paraId="3F6C5F47" w14:textId="227E76CB" w:rsidR="00621605" w:rsidRDefault="0062160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544845" w:history="1">
        <w:r w:rsidRPr="00334BF8">
          <w:rPr>
            <w:rStyle w:val="Hyperlink"/>
          </w:rPr>
          <w:t>5.</w:t>
        </w:r>
        <w:r>
          <w:rPr>
            <w:rFonts w:asciiTheme="minorHAnsi" w:eastAsiaTheme="minorEastAsia" w:hAnsiTheme="minorHAnsi" w:cstheme="minorBidi"/>
            <w:kern w:val="2"/>
            <w:szCs w:val="24"/>
            <w:lang w:eastAsia="en-GB" w:bidi="ar-SA"/>
            <w14:ligatures w14:val="standardContextual"/>
          </w:rPr>
          <w:tab/>
        </w:r>
        <w:r w:rsidRPr="00334BF8">
          <w:rPr>
            <w:rStyle w:val="Hyperlink"/>
          </w:rPr>
          <w:t>Guidance on inspection of arrangements and their implementation</w:t>
        </w:r>
        <w:r>
          <w:rPr>
            <w:webHidden/>
          </w:rPr>
          <w:tab/>
        </w:r>
        <w:r>
          <w:rPr>
            <w:webHidden/>
          </w:rPr>
          <w:fldChar w:fldCharType="begin"/>
        </w:r>
        <w:r>
          <w:rPr>
            <w:webHidden/>
          </w:rPr>
          <w:instrText xml:space="preserve"> PAGEREF _Toc224544845 \h </w:instrText>
        </w:r>
        <w:r>
          <w:rPr>
            <w:webHidden/>
          </w:rPr>
        </w:r>
        <w:r>
          <w:rPr>
            <w:webHidden/>
          </w:rPr>
          <w:fldChar w:fldCharType="separate"/>
        </w:r>
        <w:r w:rsidR="00317EC3">
          <w:rPr>
            <w:webHidden/>
          </w:rPr>
          <w:t>7</w:t>
        </w:r>
        <w:r>
          <w:rPr>
            <w:webHidden/>
          </w:rPr>
          <w:fldChar w:fldCharType="end"/>
        </w:r>
      </w:hyperlink>
    </w:p>
    <w:p w14:paraId="3B8FFE3C" w14:textId="6538EF47" w:rsidR="00621605" w:rsidRDefault="00621605">
      <w:pPr>
        <w:pStyle w:val="TOC1"/>
        <w:rPr>
          <w:rFonts w:asciiTheme="minorHAnsi" w:eastAsiaTheme="minorEastAsia" w:hAnsiTheme="minorHAnsi" w:cstheme="minorBidi"/>
          <w:kern w:val="2"/>
          <w:szCs w:val="24"/>
          <w:lang w:eastAsia="en-GB" w:bidi="ar-SA"/>
          <w14:ligatures w14:val="standardContextual"/>
        </w:rPr>
      </w:pPr>
      <w:hyperlink w:anchor="_Toc224544846" w:history="1">
        <w:r w:rsidRPr="00334BF8">
          <w:rPr>
            <w:rStyle w:val="Hyperlink"/>
          </w:rPr>
          <w:t>Appendix A – Guidance for joint EIMT inspections</w:t>
        </w:r>
        <w:r>
          <w:rPr>
            <w:webHidden/>
          </w:rPr>
          <w:tab/>
        </w:r>
        <w:r>
          <w:rPr>
            <w:webHidden/>
          </w:rPr>
          <w:fldChar w:fldCharType="begin"/>
        </w:r>
        <w:r>
          <w:rPr>
            <w:webHidden/>
          </w:rPr>
          <w:instrText xml:space="preserve"> PAGEREF _Toc224544846 \h </w:instrText>
        </w:r>
        <w:r>
          <w:rPr>
            <w:webHidden/>
          </w:rPr>
        </w:r>
        <w:r>
          <w:rPr>
            <w:webHidden/>
          </w:rPr>
          <w:fldChar w:fldCharType="separate"/>
        </w:r>
        <w:r w:rsidR="00317EC3">
          <w:rPr>
            <w:webHidden/>
          </w:rPr>
          <w:t>15</w:t>
        </w:r>
        <w:r>
          <w:rPr>
            <w:webHidden/>
          </w:rPr>
          <w:fldChar w:fldCharType="end"/>
        </w:r>
      </w:hyperlink>
    </w:p>
    <w:p w14:paraId="1E191CAA" w14:textId="2A8E5386" w:rsidR="00621605" w:rsidRDefault="00621605">
      <w:pPr>
        <w:pStyle w:val="TOC1"/>
        <w:rPr>
          <w:rFonts w:asciiTheme="minorHAnsi" w:eastAsiaTheme="minorEastAsia" w:hAnsiTheme="minorHAnsi" w:cstheme="minorBidi"/>
          <w:kern w:val="2"/>
          <w:szCs w:val="24"/>
          <w:lang w:eastAsia="en-GB" w:bidi="ar-SA"/>
          <w14:ligatures w14:val="standardContextual"/>
        </w:rPr>
      </w:pPr>
      <w:hyperlink w:anchor="_Toc224544847" w:history="1">
        <w:r w:rsidRPr="00334BF8">
          <w:rPr>
            <w:rStyle w:val="Hyperlink"/>
          </w:rPr>
          <w:t>References</w:t>
        </w:r>
        <w:r>
          <w:rPr>
            <w:webHidden/>
          </w:rPr>
          <w:tab/>
        </w:r>
        <w:r>
          <w:rPr>
            <w:webHidden/>
          </w:rPr>
          <w:fldChar w:fldCharType="begin"/>
        </w:r>
        <w:r>
          <w:rPr>
            <w:webHidden/>
          </w:rPr>
          <w:instrText xml:space="preserve"> PAGEREF _Toc224544847 \h </w:instrText>
        </w:r>
        <w:r>
          <w:rPr>
            <w:webHidden/>
          </w:rPr>
        </w:r>
        <w:r>
          <w:rPr>
            <w:webHidden/>
          </w:rPr>
          <w:fldChar w:fldCharType="separate"/>
        </w:r>
        <w:r w:rsidR="00317EC3">
          <w:rPr>
            <w:webHidden/>
          </w:rPr>
          <w:t>18</w:t>
        </w:r>
        <w:r>
          <w:rPr>
            <w:webHidden/>
          </w:rPr>
          <w:fldChar w:fldCharType="end"/>
        </w:r>
      </w:hyperlink>
    </w:p>
    <w:p w14:paraId="446D6991" w14:textId="6EB1228D" w:rsidR="00621605" w:rsidRDefault="00621605">
      <w:pPr>
        <w:pStyle w:val="TOC1"/>
        <w:rPr>
          <w:rFonts w:asciiTheme="minorHAnsi" w:eastAsiaTheme="minorEastAsia" w:hAnsiTheme="minorHAnsi" w:cstheme="minorBidi"/>
          <w:kern w:val="2"/>
          <w:szCs w:val="24"/>
          <w:lang w:eastAsia="en-GB" w:bidi="ar-SA"/>
          <w14:ligatures w14:val="standardContextual"/>
        </w:rPr>
      </w:pPr>
      <w:hyperlink w:anchor="_Toc224544848" w:history="1">
        <w:r w:rsidRPr="00334BF8">
          <w:rPr>
            <w:rStyle w:val="Hyperlink"/>
          </w:rPr>
          <w:t>List of acronyms / initialisms</w:t>
        </w:r>
        <w:r>
          <w:rPr>
            <w:webHidden/>
          </w:rPr>
          <w:tab/>
        </w:r>
        <w:r>
          <w:rPr>
            <w:webHidden/>
          </w:rPr>
          <w:fldChar w:fldCharType="begin"/>
        </w:r>
        <w:r>
          <w:rPr>
            <w:webHidden/>
          </w:rPr>
          <w:instrText xml:space="preserve"> PAGEREF _Toc224544848 \h </w:instrText>
        </w:r>
        <w:r>
          <w:rPr>
            <w:webHidden/>
          </w:rPr>
        </w:r>
        <w:r>
          <w:rPr>
            <w:webHidden/>
          </w:rPr>
          <w:fldChar w:fldCharType="separate"/>
        </w:r>
        <w:r w:rsidR="00317EC3">
          <w:rPr>
            <w:webHidden/>
          </w:rPr>
          <w:t>19</w:t>
        </w:r>
        <w:r>
          <w:rPr>
            <w:webHidden/>
          </w:rPr>
          <w:fldChar w:fldCharType="end"/>
        </w:r>
      </w:hyperlink>
    </w:p>
    <w:p w14:paraId="3477C847" w14:textId="1A6A1147" w:rsidR="00621605" w:rsidRDefault="00621605">
      <w:pPr>
        <w:pStyle w:val="TOC1"/>
        <w:rPr>
          <w:rFonts w:asciiTheme="minorHAnsi" w:eastAsiaTheme="minorEastAsia" w:hAnsiTheme="minorHAnsi" w:cstheme="minorBidi"/>
          <w:kern w:val="2"/>
          <w:szCs w:val="24"/>
          <w:lang w:eastAsia="en-GB" w:bidi="ar-SA"/>
          <w14:ligatures w14:val="standardContextual"/>
        </w:rPr>
      </w:pPr>
      <w:hyperlink w:anchor="_Toc224544849" w:history="1">
        <w:r w:rsidRPr="00334BF8">
          <w:rPr>
            <w:rStyle w:val="Hyperlink"/>
          </w:rPr>
          <w:t>Document control information</w:t>
        </w:r>
        <w:r>
          <w:rPr>
            <w:webHidden/>
          </w:rPr>
          <w:tab/>
        </w:r>
        <w:r>
          <w:rPr>
            <w:webHidden/>
          </w:rPr>
          <w:fldChar w:fldCharType="begin"/>
        </w:r>
        <w:r>
          <w:rPr>
            <w:webHidden/>
          </w:rPr>
          <w:instrText xml:space="preserve"> PAGEREF _Toc224544849 \h </w:instrText>
        </w:r>
        <w:r>
          <w:rPr>
            <w:webHidden/>
          </w:rPr>
        </w:r>
        <w:r>
          <w:rPr>
            <w:webHidden/>
          </w:rPr>
          <w:fldChar w:fldCharType="separate"/>
        </w:r>
        <w:r w:rsidR="00317EC3">
          <w:rPr>
            <w:webHidden/>
          </w:rPr>
          <w:t>20</w:t>
        </w:r>
        <w:r>
          <w:rPr>
            <w:webHidden/>
          </w:rPr>
          <w:fldChar w:fldCharType="end"/>
        </w:r>
      </w:hyperlink>
    </w:p>
    <w:p w14:paraId="0CC4B54A" w14:textId="724B1525" w:rsidR="00267815" w:rsidRDefault="00621605" w:rsidP="00267815">
      <w:r>
        <w:rPr>
          <w:noProof/>
        </w:rP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24544841"/>
      <w:bookmarkEnd w:id="0"/>
      <w:r w:rsidRPr="00223090">
        <w:lastRenderedPageBreak/>
        <w:t>Introduction</w:t>
      </w:r>
      <w:bookmarkEnd w:id="1"/>
    </w:p>
    <w:p w14:paraId="194316AE" w14:textId="77777777" w:rsidR="00AE596F" w:rsidRPr="00AE596F" w:rsidRDefault="00AE596F" w:rsidP="00AE596F">
      <w:pPr>
        <w:pStyle w:val="F9-Paragraph"/>
        <w:rPr>
          <w:lang w:eastAsia="en-GB" w:bidi="ar-SA"/>
        </w:rPr>
      </w:pPr>
      <w:r w:rsidRPr="00AE596F">
        <w:rPr>
          <w:lang w:eastAsia="en-GB" w:bidi="ar-SA"/>
        </w:rPr>
        <w:t>Many licence conditions (LCs) require or imply that licensees establish arrangements to meet regulatory obligations. ONR inspects both compliance with the LCs and the adequacy of these arrangements. Most LCs are goal</w:t>
      </w:r>
      <w:r w:rsidRPr="00AE596F">
        <w:rPr>
          <w:lang w:eastAsia="en-GB" w:bidi="ar-SA"/>
        </w:rPr>
        <w:noBreakHyphen/>
        <w:t>setting and do not specify the content of arrangements, leaving licensees responsible for defining them and ensuring safety</w:t>
      </w:r>
    </w:p>
    <w:p w14:paraId="616F197D" w14:textId="77777777" w:rsidR="008D49A5" w:rsidRPr="002042C2" w:rsidRDefault="008D49A5" w:rsidP="002042C2">
      <w:pPr>
        <w:pStyle w:val="Heading2"/>
      </w:pPr>
      <w:r w:rsidRPr="002042C2">
        <w:t>Purpose</w:t>
      </w:r>
    </w:p>
    <w:p w14:paraId="4CE433A3" w14:textId="5BA646A6" w:rsidR="00630E83" w:rsidRDefault="000C5F5A" w:rsidP="002C0E88">
      <w:pPr>
        <w:pStyle w:val="F9-Paragraph"/>
      </w:pPr>
      <w:r w:rsidRPr="008172D0">
        <w:t xml:space="preserve">ONR produces guides to assist inspectors to make regulatory judgements and decisions in relation to the adequacy of compliance, and the safety of activities on the site. </w:t>
      </w:r>
      <w:r w:rsidR="005C3367" w:rsidRPr="005C3367">
        <w:t xml:space="preserve">This </w:t>
      </w:r>
      <w:r w:rsidR="005C3367">
        <w:t>Technical Inspection Guide (TIG)</w:t>
      </w:r>
      <w:r w:rsidR="005C3367" w:rsidRPr="005C3367">
        <w:t xml:space="preserve"> has been prepared </w:t>
      </w:r>
      <w:r w:rsidR="008F5247">
        <w:t xml:space="preserve">to support inspectors </w:t>
      </w:r>
      <w:r w:rsidR="00551C37">
        <w:t>to</w:t>
      </w:r>
      <w:r w:rsidR="005C3367" w:rsidRPr="005C3367">
        <w:t xml:space="preserve"> judge the adequacy of </w:t>
      </w:r>
      <w:r w:rsidR="00150348">
        <w:t>LC</w:t>
      </w:r>
      <w:r w:rsidR="005C3367" w:rsidRPr="005C3367">
        <w:t xml:space="preserve"> compliance arrangements and implementation</w:t>
      </w:r>
      <w:r w:rsidR="002C0E88">
        <w:t xml:space="preserve"> related to </w:t>
      </w:r>
      <w:r w:rsidR="00D21767">
        <w:t>LC 28</w:t>
      </w:r>
      <w:r w:rsidR="00780EBF">
        <w:t xml:space="preserve">, the </w:t>
      </w:r>
      <w:r w:rsidR="00630E83">
        <w:t xml:space="preserve">examination, inspection, maintenance and testing (EIMT) of plant important to safety. </w:t>
      </w:r>
    </w:p>
    <w:p w14:paraId="699DD818" w14:textId="232C2826" w:rsidR="00630E83" w:rsidRDefault="00630E83" w:rsidP="00630E83">
      <w:pPr>
        <w:pStyle w:val="F9-Paragraph"/>
      </w:pPr>
      <w:r>
        <w:t xml:space="preserve">LC 28 </w:t>
      </w:r>
      <w:r w:rsidR="00A04511">
        <w:t xml:space="preserve">spans many topics, and this TIG </w:t>
      </w:r>
      <w:r w:rsidR="007A7B02">
        <w:t xml:space="preserve">does not duplicate </w:t>
      </w:r>
      <w:r>
        <w:t>detailed guidance available elsewhere</w:t>
      </w:r>
      <w:r w:rsidR="0075727B">
        <w:t>, such as</w:t>
      </w:r>
      <w:r>
        <w:t xml:space="preserve"> ONR’s nuclear safety </w:t>
      </w:r>
      <w:r w:rsidR="0075727B">
        <w:t>T</w:t>
      </w:r>
      <w:r>
        <w:t xml:space="preserve">echnical </w:t>
      </w:r>
      <w:r w:rsidR="0075727B">
        <w:t>A</w:t>
      </w:r>
      <w:r>
        <w:t xml:space="preserve">ssessment </w:t>
      </w:r>
      <w:r w:rsidR="0075727B">
        <w:t>G</w:t>
      </w:r>
      <w:r>
        <w:t xml:space="preserve">uide (TAG) on EIMT </w:t>
      </w:r>
      <w:sdt>
        <w:sdtPr>
          <w:id w:val="1481111139"/>
          <w:citation/>
        </w:sdtPr>
        <w:sdtEndPr/>
        <w:sdtContent>
          <w:r w:rsidR="009F6ABE">
            <w:fldChar w:fldCharType="begin"/>
          </w:r>
          <w:r w:rsidR="009F6ABE">
            <w:instrText xml:space="preserve"> CITATION eimtnewtag \l 2057 </w:instrText>
          </w:r>
          <w:r w:rsidR="009F6ABE">
            <w:fldChar w:fldCharType="separate"/>
          </w:r>
          <w:r w:rsidR="008F6B70" w:rsidRPr="008F6B70">
            <w:rPr>
              <w:noProof/>
            </w:rPr>
            <w:t>[1]</w:t>
          </w:r>
          <w:r w:rsidR="009F6ABE">
            <w:fldChar w:fldCharType="end"/>
          </w:r>
        </w:sdtContent>
      </w:sdt>
      <w:r>
        <w:t xml:space="preserve"> and International Atomic Energy Agency (IAEA) guidance (for example, </w:t>
      </w:r>
      <w:sdt>
        <w:sdtPr>
          <w:id w:val="-1158457408"/>
          <w:citation/>
        </w:sdtPr>
        <w:sdtEndPr/>
        <w:sdtContent>
          <w:r w:rsidR="00904BA4">
            <w:fldChar w:fldCharType="begin"/>
          </w:r>
          <w:r w:rsidR="00904BA4">
            <w:instrText xml:space="preserve"> CITATION tig28iaea \l 2057 </w:instrText>
          </w:r>
          <w:r w:rsidR="00904BA4">
            <w:fldChar w:fldCharType="separate"/>
          </w:r>
          <w:r w:rsidR="008F6B70" w:rsidRPr="008F6B70">
            <w:rPr>
              <w:noProof/>
            </w:rPr>
            <w:t>[2]</w:t>
          </w:r>
          <w:r w:rsidR="00904BA4">
            <w:fldChar w:fldCharType="end"/>
          </w:r>
        </w:sdtContent>
      </w:sdt>
      <w:r>
        <w:t>).</w:t>
      </w:r>
    </w:p>
    <w:p w14:paraId="4D21A699" w14:textId="6A1906BA" w:rsidR="00630E83" w:rsidRDefault="00646882" w:rsidP="002F0035">
      <w:pPr>
        <w:pStyle w:val="F9-Paragraph"/>
      </w:pPr>
      <w:r>
        <w:t>There is some alignment with</w:t>
      </w:r>
      <w:r w:rsidR="00630E83">
        <w:t xml:space="preserve"> LC 28 and relevant legislation for ONR’s other purposes (</w:t>
      </w:r>
      <w:r w:rsidR="00621605">
        <w:t>for example,</w:t>
      </w:r>
      <w:r w:rsidR="00630E83">
        <w:t xml:space="preserve"> nuclear security, safeguards, </w:t>
      </w:r>
      <w:r>
        <w:t>nuclear site</w:t>
      </w:r>
      <w:r w:rsidR="00630E83">
        <w:t xml:space="preserve"> health and safety)</w:t>
      </w:r>
      <w:r w:rsidR="00080F94">
        <w:t>,</w:t>
      </w:r>
      <w:r w:rsidR="00630E83">
        <w:t xml:space="preserve"> Appendix A contains further details of topics where there may be </w:t>
      </w:r>
      <w:r w:rsidR="00080F94">
        <w:t xml:space="preserve">cross purpose </w:t>
      </w:r>
      <w:r w:rsidR="0089147C">
        <w:t xml:space="preserve">inspection </w:t>
      </w:r>
      <w:r w:rsidR="00080F94">
        <w:t>synergies</w:t>
      </w:r>
      <w:r w:rsidR="00630E83">
        <w:t xml:space="preserve">. Consideration should also be given to opportunities to cooperate with other external regulators in joint inspections in accordance with obligations under the regulators’ code </w:t>
      </w:r>
      <w:sdt>
        <w:sdtPr>
          <w:id w:val="1223797554"/>
          <w:citation/>
        </w:sdtPr>
        <w:sdtEndPr/>
        <w:sdtContent>
          <w:r w:rsidR="001A7FC0">
            <w:fldChar w:fldCharType="begin"/>
          </w:r>
          <w:r w:rsidR="001A7FC0">
            <w:instrText xml:space="preserve"> CITATION GOV1 \l 2057 </w:instrText>
          </w:r>
          <w:r w:rsidR="001A7FC0">
            <w:fldChar w:fldCharType="separate"/>
          </w:r>
          <w:r w:rsidR="008F6B70" w:rsidRPr="008F6B70">
            <w:rPr>
              <w:noProof/>
            </w:rPr>
            <w:t>[3]</w:t>
          </w:r>
          <w:r w:rsidR="001A7FC0">
            <w:fldChar w:fldCharType="end"/>
          </w:r>
        </w:sdtContent>
      </w:sdt>
      <w:r w:rsidR="00630E83">
        <w:t>.</w:t>
      </w:r>
    </w:p>
    <w:p w14:paraId="538A8C71" w14:textId="77777777" w:rsidR="00621605" w:rsidRDefault="00621605" w:rsidP="00223090">
      <w:pPr>
        <w:pStyle w:val="Heading1"/>
        <w:sectPr w:rsidR="00621605"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05AAE39A" w14:textId="168E3815" w:rsidR="008D49A5" w:rsidRDefault="00D60BCB" w:rsidP="00223090">
      <w:pPr>
        <w:pStyle w:val="Heading1"/>
      </w:pPr>
      <w:bookmarkStart w:id="2" w:name="_Toc224544842"/>
      <w:r>
        <w:lastRenderedPageBreak/>
        <w:t xml:space="preserve">Licence Condition </w:t>
      </w:r>
      <w:r w:rsidR="001A7FC0">
        <w:t>28</w:t>
      </w:r>
      <w:r>
        <w:t xml:space="preserve">: </w:t>
      </w:r>
      <w:r w:rsidR="001A7FC0">
        <w:t>Examination, Inspection, Maintenance and Testing</w:t>
      </w:r>
      <w:bookmarkEnd w:id="2"/>
    </w:p>
    <w:p w14:paraId="70D1EAF3" w14:textId="77777777" w:rsidR="00684928" w:rsidRDefault="00684928" w:rsidP="00684928">
      <w:pPr>
        <w:pStyle w:val="ListParagraph"/>
      </w:pPr>
      <w:r w:rsidRPr="00E93A50">
        <w:t xml:space="preserve">28(1) </w:t>
      </w:r>
      <w:r w:rsidRPr="00E93A50">
        <w:tab/>
        <w:t>The licensee shall make and implement adequate arrangements for the regular and systematic examination, inspection, maintenance and testing of all plant which may affect safety.</w:t>
      </w:r>
    </w:p>
    <w:p w14:paraId="0BD28BCF" w14:textId="77777777" w:rsidR="002628D1" w:rsidRPr="00E93A50" w:rsidRDefault="002628D1" w:rsidP="00684928">
      <w:pPr>
        <w:pStyle w:val="ListParagraph"/>
      </w:pPr>
    </w:p>
    <w:p w14:paraId="402F64FD" w14:textId="77777777" w:rsidR="00684928" w:rsidRDefault="00684928" w:rsidP="00684928">
      <w:pPr>
        <w:pStyle w:val="ListParagraph"/>
      </w:pPr>
      <w:r w:rsidRPr="00E93A50">
        <w:t xml:space="preserve">28(2) </w:t>
      </w:r>
      <w:r w:rsidRPr="00E93A50">
        <w:tab/>
        <w:t xml:space="preserve">The licensee shall submit to ONR for </w:t>
      </w:r>
      <w:bookmarkStart w:id="3" w:name="_Hlk138751421"/>
      <w:r w:rsidRPr="00E93A50">
        <w:rPr>
          <w:shd w:val="clear" w:color="auto" w:fill="DAE49B"/>
        </w:rPr>
        <w:t xml:space="preserve">approval </w:t>
      </w:r>
      <w:bookmarkEnd w:id="3"/>
      <w:r w:rsidRPr="00E93A50">
        <w:t xml:space="preserve">such part or parts of the aforesaid arrangements as ONR may </w:t>
      </w:r>
      <w:r w:rsidRPr="00E93A50">
        <w:rPr>
          <w:spacing w:val="-3"/>
          <w:shd w:val="clear" w:color="auto" w:fill="A3D8E7"/>
        </w:rPr>
        <w:t>specify</w:t>
      </w:r>
      <w:r w:rsidRPr="00E93A50">
        <w:t>.</w:t>
      </w:r>
    </w:p>
    <w:p w14:paraId="644F84A4" w14:textId="77777777" w:rsidR="002628D1" w:rsidRPr="00E93A50" w:rsidRDefault="002628D1" w:rsidP="00684928">
      <w:pPr>
        <w:pStyle w:val="ListParagraph"/>
      </w:pPr>
    </w:p>
    <w:p w14:paraId="7542095C" w14:textId="77777777" w:rsidR="00684928" w:rsidRDefault="00684928" w:rsidP="00684928">
      <w:pPr>
        <w:pStyle w:val="ListParagraph"/>
      </w:pPr>
      <w:r w:rsidRPr="00E93A50">
        <w:t xml:space="preserve">28(3) </w:t>
      </w:r>
      <w:r w:rsidRPr="00E93A50">
        <w:tab/>
        <w:t xml:space="preserve">The licensee shall ensure that once approved no alteration or amendment is made to the approved arrangements unless ONR has </w:t>
      </w:r>
      <w:bookmarkStart w:id="4" w:name="_Hlk138751475"/>
      <w:r w:rsidRPr="00E93A50">
        <w:rPr>
          <w:shd w:val="clear" w:color="auto" w:fill="DAE49B"/>
        </w:rPr>
        <w:t xml:space="preserve">approved </w:t>
      </w:r>
      <w:bookmarkEnd w:id="4"/>
      <w:r w:rsidRPr="00E93A50">
        <w:t>such alteration or amendment.</w:t>
      </w:r>
    </w:p>
    <w:p w14:paraId="7A13888A" w14:textId="77777777" w:rsidR="002628D1" w:rsidRPr="00E93A50" w:rsidRDefault="002628D1" w:rsidP="00684928">
      <w:pPr>
        <w:pStyle w:val="ListParagraph"/>
      </w:pPr>
    </w:p>
    <w:p w14:paraId="016E0B42" w14:textId="77777777" w:rsidR="00684928" w:rsidRDefault="00684928" w:rsidP="00684928">
      <w:pPr>
        <w:pStyle w:val="ListParagraph"/>
      </w:pPr>
      <w:r w:rsidRPr="00E93A50">
        <w:t xml:space="preserve">28(4) </w:t>
      </w:r>
      <w:r w:rsidRPr="00E93A50">
        <w:tab/>
        <w:t xml:space="preserve">The aforesaid arrangements shall provide for the preparation of a plant maintenance schedule for each plant. The licensee shall submit to ONR for its </w:t>
      </w:r>
      <w:r w:rsidRPr="00E93A50">
        <w:rPr>
          <w:shd w:val="clear" w:color="auto" w:fill="DAE49B"/>
        </w:rPr>
        <w:t xml:space="preserve">approval </w:t>
      </w:r>
      <w:r w:rsidRPr="00E93A50">
        <w:t xml:space="preserve">such part or parts of any plant maintenance schedule as ONR may </w:t>
      </w:r>
      <w:r w:rsidRPr="00E93A50">
        <w:rPr>
          <w:spacing w:val="-3"/>
          <w:shd w:val="clear" w:color="auto" w:fill="A3D8E7"/>
        </w:rPr>
        <w:t>specify</w:t>
      </w:r>
      <w:r w:rsidRPr="00E93A50">
        <w:t>.</w:t>
      </w:r>
    </w:p>
    <w:p w14:paraId="30301249" w14:textId="77777777" w:rsidR="002628D1" w:rsidRPr="00E93A50" w:rsidRDefault="002628D1" w:rsidP="00684928">
      <w:pPr>
        <w:pStyle w:val="ListParagraph"/>
      </w:pPr>
    </w:p>
    <w:p w14:paraId="75B287C3" w14:textId="77777777" w:rsidR="00684928" w:rsidRDefault="00684928" w:rsidP="00684928">
      <w:pPr>
        <w:pStyle w:val="ListParagraph"/>
      </w:pPr>
      <w:r w:rsidRPr="00E93A50">
        <w:t xml:space="preserve">28(5) </w:t>
      </w:r>
      <w:r w:rsidRPr="00E93A50">
        <w:tab/>
        <w:t xml:space="preserve">The licensee shall ensure that once approved no alteration or amendment is made to any approved part of any plant maintenance schedule unless ONR has </w:t>
      </w:r>
      <w:r w:rsidRPr="00E93A50">
        <w:rPr>
          <w:shd w:val="clear" w:color="auto" w:fill="DAE49B"/>
        </w:rPr>
        <w:t xml:space="preserve">approved </w:t>
      </w:r>
      <w:r w:rsidRPr="00E93A50">
        <w:t>such alteration or amendment.</w:t>
      </w:r>
    </w:p>
    <w:p w14:paraId="3CB7741A" w14:textId="77777777" w:rsidR="002628D1" w:rsidRPr="00E93A50" w:rsidRDefault="002628D1" w:rsidP="00684928">
      <w:pPr>
        <w:pStyle w:val="ListParagraph"/>
      </w:pPr>
    </w:p>
    <w:p w14:paraId="5D0F4B29" w14:textId="77777777" w:rsidR="00684928" w:rsidRPr="00E93A50" w:rsidRDefault="00684928" w:rsidP="00684928">
      <w:pPr>
        <w:pStyle w:val="ListParagraph"/>
      </w:pPr>
      <w:r w:rsidRPr="00E93A50">
        <w:t xml:space="preserve">28(6) </w:t>
      </w:r>
      <w:r w:rsidRPr="00E93A50">
        <w:tab/>
        <w:t>The licensee shall ensure in the interests of safety that every examination, inspection, maintenance and test of a plant or any part thereof is carried out:</w:t>
      </w:r>
    </w:p>
    <w:p w14:paraId="2EC34AEC" w14:textId="77777777" w:rsidR="00684928" w:rsidRPr="00E93A50" w:rsidRDefault="00684928" w:rsidP="002628D1">
      <w:pPr>
        <w:pStyle w:val="NumList2"/>
        <w:numPr>
          <w:ilvl w:val="1"/>
          <w:numId w:val="29"/>
        </w:numPr>
        <w:ind w:left="1843" w:hanging="709"/>
      </w:pPr>
      <w:r w:rsidRPr="00E93A50">
        <w:t>by suitably qualified and experienced persons;</w:t>
      </w:r>
    </w:p>
    <w:p w14:paraId="151E1036" w14:textId="77777777" w:rsidR="00684928" w:rsidRPr="00E93A50" w:rsidRDefault="00684928" w:rsidP="002628D1">
      <w:pPr>
        <w:pStyle w:val="NumList2"/>
        <w:ind w:left="1843" w:hanging="709"/>
      </w:pPr>
      <w:r w:rsidRPr="00E93A50">
        <w:t>in accordance with schemes laid down in writing;</w:t>
      </w:r>
    </w:p>
    <w:p w14:paraId="3D609E3E" w14:textId="77777777" w:rsidR="00684928" w:rsidRPr="00E93A50" w:rsidRDefault="00684928" w:rsidP="002628D1">
      <w:pPr>
        <w:pStyle w:val="NumList2"/>
        <w:ind w:left="1843" w:hanging="709"/>
      </w:pPr>
      <w:r w:rsidRPr="00E93A50">
        <w:t>within the intervals specified in the plant maintenance schedule; and</w:t>
      </w:r>
    </w:p>
    <w:p w14:paraId="3EA373F6" w14:textId="77777777" w:rsidR="00684928" w:rsidRPr="00E93A50" w:rsidRDefault="00684928" w:rsidP="002628D1">
      <w:pPr>
        <w:pStyle w:val="NumList2"/>
        <w:ind w:left="1843" w:hanging="709"/>
      </w:pPr>
      <w:r w:rsidRPr="00E93A50">
        <w:t>under the control and supervision of a suitably qualified and experienced person appointed by the licensee for that purpose.</w:t>
      </w:r>
    </w:p>
    <w:p w14:paraId="1FA46A21" w14:textId="77777777" w:rsidR="00684928" w:rsidRDefault="00684928" w:rsidP="00684928">
      <w:pPr>
        <w:pStyle w:val="ListParagraph"/>
      </w:pPr>
      <w:r w:rsidRPr="00E93A50">
        <w:t xml:space="preserve">28(7) </w:t>
      </w:r>
      <w:r w:rsidRPr="00E93A50">
        <w:tab/>
        <w:t xml:space="preserve">Notwithstanding the above paragraphs of this condition ONR may </w:t>
      </w:r>
      <w:r w:rsidRPr="00E93A50">
        <w:rPr>
          <w:shd w:val="clear" w:color="auto" w:fill="F9D1D6"/>
        </w:rPr>
        <w:t xml:space="preserve">agree </w:t>
      </w:r>
      <w:r w:rsidRPr="00E93A50">
        <w:t>to an extension of any interval specified in the plant maintenance schedule.</w:t>
      </w:r>
    </w:p>
    <w:p w14:paraId="076BA959" w14:textId="77777777" w:rsidR="002628D1" w:rsidRPr="00E93A50" w:rsidRDefault="002628D1" w:rsidP="00684928">
      <w:pPr>
        <w:pStyle w:val="ListParagraph"/>
      </w:pPr>
    </w:p>
    <w:p w14:paraId="56210C2E" w14:textId="77777777" w:rsidR="00621605" w:rsidRDefault="00621605" w:rsidP="002628D1">
      <w:pPr>
        <w:pStyle w:val="ListParagraph"/>
        <w:sectPr w:rsidR="00621605" w:rsidSect="00B23A5E">
          <w:pgSz w:w="11906" w:h="16838" w:code="9"/>
          <w:pgMar w:top="1440" w:right="1440" w:bottom="1440" w:left="1440" w:header="397" w:footer="397" w:gutter="0"/>
          <w:cols w:space="312"/>
          <w:docGrid w:linePitch="360"/>
        </w:sectPr>
      </w:pPr>
    </w:p>
    <w:p w14:paraId="2BFCEDB0" w14:textId="6CA89279" w:rsidR="00D60BCB" w:rsidRDefault="00684928" w:rsidP="002628D1">
      <w:pPr>
        <w:pStyle w:val="ListParagraph"/>
      </w:pPr>
      <w:r w:rsidRPr="00E93A50">
        <w:lastRenderedPageBreak/>
        <w:t xml:space="preserve">28(8) </w:t>
      </w:r>
      <w:r w:rsidRPr="00E93A50">
        <w:tab/>
        <w:t>When any examination, inspection, maintenance or test of any part of a plant reveals any matter indicating that the safe operation or safe condition of that plant may be affected, the suitably qualified and experienced person appointed to control or supervise such examination, inspection, maintenance or test shall bring it to the attention of the licensee forthwith who shall take appropriate action and ensure the matter is then notified, recorded, investigated and reported in accordance with arrangements made under Condition 7.</w:t>
      </w:r>
    </w:p>
    <w:p w14:paraId="41210062" w14:textId="77777777" w:rsidR="007C4E83" w:rsidRDefault="007C4E83" w:rsidP="007C4E83">
      <w:pPr>
        <w:pStyle w:val="ListParagraph"/>
      </w:pPr>
    </w:p>
    <w:p w14:paraId="2EF12E53" w14:textId="5E24B42D" w:rsidR="007C4E83" w:rsidRPr="007C4E83" w:rsidRDefault="007C4E83" w:rsidP="007C4E83">
      <w:pPr>
        <w:pStyle w:val="ListParagraph"/>
      </w:pPr>
      <w:r w:rsidRPr="007C4E83">
        <w:t xml:space="preserve">28(9) </w:t>
      </w:r>
      <w:r w:rsidRPr="007C4E83">
        <w:tab/>
        <w:t>The licensee shall ensure that a full and accurate report of every examination, inspection, maintenance or test of any part of a plant indicating the date thereof and signed by the suitably qualified and experienced person appointed by the licensee to control and supervise such examination, inspection, maintenance or test is made to the licensee forthwith upon completion of the said examination, inspection, maintenance or test.</w:t>
      </w:r>
    </w:p>
    <w:p w14:paraId="5BF3E680" w14:textId="77777777" w:rsidR="00621605" w:rsidRDefault="00621605" w:rsidP="002628D1">
      <w:pPr>
        <w:pStyle w:val="ListParagraph"/>
      </w:pPr>
    </w:p>
    <w:p w14:paraId="19CBAE12" w14:textId="1BA4272D" w:rsidR="00140E1C" w:rsidRDefault="00D60BCB" w:rsidP="00D60BCB">
      <w:pPr>
        <w:pStyle w:val="Heading1"/>
      </w:pPr>
      <w:bookmarkStart w:id="5" w:name="_Toc224544843"/>
      <w:r>
        <w:t xml:space="preserve">Purpose of </w:t>
      </w:r>
      <w:r w:rsidR="00821337">
        <w:t xml:space="preserve">the </w:t>
      </w:r>
      <w:r>
        <w:t>Licence Condition</w:t>
      </w:r>
      <w:bookmarkEnd w:id="5"/>
    </w:p>
    <w:p w14:paraId="52291B49" w14:textId="493D6B29" w:rsidR="00993B60" w:rsidRPr="00E93A50" w:rsidRDefault="00993B60" w:rsidP="00993B60">
      <w:pPr>
        <w:pStyle w:val="F9-Paragraph"/>
      </w:pPr>
      <w:r w:rsidRPr="00E93A50">
        <w:t>The purpose of LC 28, as expressed in sub-condition LC 28(1), is to ensure that all plant which may affect safety, receives regular and systematic EIMT. The purpose of this EIMT is to ensure the nuclear plant remains capable of performing its safety functions, with the required level of reliability.</w:t>
      </w:r>
    </w:p>
    <w:p w14:paraId="0E089D55" w14:textId="16E21042" w:rsidR="00993B60" w:rsidRPr="00E93A50" w:rsidRDefault="00993B60" w:rsidP="00993B60">
      <w:pPr>
        <w:pStyle w:val="F9-Paragraph"/>
      </w:pPr>
      <w:r w:rsidRPr="00E93A50">
        <w:t>A number of other LCs have interactions with LC</w:t>
      </w:r>
      <w:r w:rsidR="00D12061">
        <w:t xml:space="preserve"> </w:t>
      </w:r>
      <w:r w:rsidRPr="00E93A50">
        <w:t>28. As detailed later</w:t>
      </w:r>
      <w:r>
        <w:t>,</w:t>
      </w:r>
      <w:r w:rsidRPr="00E93A50">
        <w:t xml:space="preserve"> these include LC 6, LC 7, LC 12, LC 22, LC 24, LC 26 and LC</w:t>
      </w:r>
      <w:r w:rsidR="00D12061">
        <w:t xml:space="preserve"> </w:t>
      </w:r>
      <w:r w:rsidRPr="00E93A50">
        <w:t>30.</w:t>
      </w:r>
    </w:p>
    <w:p w14:paraId="346AAC0D" w14:textId="77777777" w:rsidR="00621605" w:rsidRDefault="00621605" w:rsidP="00D60BCB">
      <w:pPr>
        <w:pStyle w:val="Heading1"/>
        <w:sectPr w:rsidR="00621605" w:rsidSect="00B23A5E">
          <w:pgSz w:w="11906" w:h="16838" w:code="9"/>
          <w:pgMar w:top="1440" w:right="1440" w:bottom="1440" w:left="1440" w:header="397" w:footer="397" w:gutter="0"/>
          <w:cols w:space="312"/>
          <w:docGrid w:linePitch="360"/>
        </w:sectPr>
      </w:pPr>
    </w:p>
    <w:p w14:paraId="540E3FBF" w14:textId="77C8A1E5" w:rsidR="00D60BCB" w:rsidRDefault="00D60BCB" w:rsidP="00D60BCB">
      <w:pPr>
        <w:pStyle w:val="Heading1"/>
      </w:pPr>
      <w:bookmarkStart w:id="6" w:name="_Toc224544844"/>
      <w:r>
        <w:lastRenderedPageBreak/>
        <w:t xml:space="preserve">Guidance on </w:t>
      </w:r>
      <w:r w:rsidR="002042C2">
        <w:t>a</w:t>
      </w:r>
      <w:r>
        <w:t xml:space="preserve">rrangements for </w:t>
      </w:r>
      <w:r w:rsidR="00821337">
        <w:t>Licence Condition</w:t>
      </w:r>
      <w:r w:rsidR="000C5F5A">
        <w:t xml:space="preserve"> </w:t>
      </w:r>
      <w:r w:rsidR="005C5D37">
        <w:t>28</w:t>
      </w:r>
      <w:bookmarkEnd w:id="6"/>
    </w:p>
    <w:p w14:paraId="755E422F" w14:textId="77777777" w:rsidR="00EC3B10" w:rsidRPr="00EC3B10" w:rsidRDefault="00EC3B10" w:rsidP="00CB6626">
      <w:pPr>
        <w:pStyle w:val="F9-Paragraph"/>
        <w:rPr>
          <w:lang w:eastAsia="en-GB" w:bidi="ar-SA"/>
        </w:rPr>
      </w:pPr>
      <w:r w:rsidRPr="00EC3B10">
        <w:rPr>
          <w:lang w:eastAsia="en-GB" w:bidi="ar-SA"/>
        </w:rPr>
        <w:t xml:space="preserve">LC 28 requires regular, systematic EIMT for all plant that may affect safety. ONR interprets </w:t>
      </w:r>
      <w:r w:rsidRPr="00EC3B10">
        <w:rPr>
          <w:i/>
          <w:iCs/>
          <w:lang w:eastAsia="en-GB" w:bidi="ar-SA"/>
        </w:rPr>
        <w:t>plant</w:t>
      </w:r>
      <w:r w:rsidRPr="00EC3B10">
        <w:rPr>
          <w:lang w:eastAsia="en-GB" w:bidi="ar-SA"/>
        </w:rPr>
        <w:t xml:space="preserve"> as structures, systems and components (SSCs), including those with a direct safety role and those whose failure could impact safety.</w:t>
      </w:r>
    </w:p>
    <w:p w14:paraId="3C1DFAA3" w14:textId="77777777" w:rsidR="00EC3B10" w:rsidRPr="00EC3B10" w:rsidRDefault="00EC3B10" w:rsidP="00CB6626">
      <w:pPr>
        <w:pStyle w:val="F9-Paragraph"/>
        <w:rPr>
          <w:lang w:eastAsia="en-GB" w:bidi="ar-SA"/>
        </w:rPr>
      </w:pPr>
      <w:r w:rsidRPr="00EC3B10">
        <w:rPr>
          <w:lang w:eastAsia="en-GB" w:bidi="ar-SA"/>
        </w:rPr>
        <w:t>Licensees typically divide maintenance catalogues into subsets, such as:</w:t>
      </w:r>
    </w:p>
    <w:p w14:paraId="652518E7" w14:textId="77777777" w:rsidR="00EC3B10" w:rsidRPr="00EC3B10" w:rsidRDefault="00EC3B10" w:rsidP="00CB6626">
      <w:pPr>
        <w:pStyle w:val="Bulletlist1"/>
        <w:rPr>
          <w:lang w:eastAsia="en-GB" w:bidi="ar-SA"/>
        </w:rPr>
      </w:pPr>
      <w:r w:rsidRPr="00EC3B10">
        <w:rPr>
          <w:lang w:eastAsia="en-GB" w:bidi="ar-SA"/>
        </w:rPr>
        <w:t>EIMT needed to meet safety case requirements (LC 23), forming the Plant Maintenance Schedule (PMS).</w:t>
      </w:r>
    </w:p>
    <w:p w14:paraId="5B394004" w14:textId="34A42C2E" w:rsidR="00EC3B10" w:rsidRPr="00EC3B10" w:rsidRDefault="00EC3B10" w:rsidP="00CB6626">
      <w:pPr>
        <w:pStyle w:val="Bulletlist1"/>
        <w:rPr>
          <w:lang w:eastAsia="en-GB" w:bidi="ar-SA"/>
        </w:rPr>
      </w:pPr>
      <w:r w:rsidRPr="00EC3B10">
        <w:rPr>
          <w:lang w:eastAsia="en-GB" w:bidi="ar-SA"/>
        </w:rPr>
        <w:t>EIMT required by other legislation (</w:t>
      </w:r>
      <w:r w:rsidR="00621605">
        <w:rPr>
          <w:lang w:eastAsia="en-GB" w:bidi="ar-SA"/>
        </w:rPr>
        <w:t>for example,</w:t>
      </w:r>
      <w:r w:rsidRPr="00EC3B10">
        <w:rPr>
          <w:lang w:eastAsia="en-GB" w:bidi="ar-SA"/>
        </w:rPr>
        <w:t xml:space="preserve"> pressure systems, lifting equipment, environmental laws).</w:t>
      </w:r>
    </w:p>
    <w:p w14:paraId="3E59BB16" w14:textId="77777777" w:rsidR="00EC3B10" w:rsidRPr="00EC3B10" w:rsidRDefault="00EC3B10" w:rsidP="00CB6626">
      <w:pPr>
        <w:pStyle w:val="Bulletlist1"/>
        <w:rPr>
          <w:lang w:eastAsia="en-GB" w:bidi="ar-SA"/>
        </w:rPr>
      </w:pPr>
      <w:r w:rsidRPr="00EC3B10">
        <w:rPr>
          <w:lang w:eastAsia="en-GB" w:bidi="ar-SA"/>
        </w:rPr>
        <w:t>EIMT supporting operational reliability of plant without a direct safety function.</w:t>
      </w:r>
    </w:p>
    <w:p w14:paraId="136B0879" w14:textId="77777777" w:rsidR="00EC3B10" w:rsidRPr="00EC3B10" w:rsidRDefault="00EC3B10" w:rsidP="00CB6626">
      <w:pPr>
        <w:pStyle w:val="Bulletlist1"/>
        <w:rPr>
          <w:lang w:eastAsia="en-GB" w:bidi="ar-SA"/>
        </w:rPr>
      </w:pPr>
      <w:r w:rsidRPr="00EC3B10">
        <w:rPr>
          <w:lang w:eastAsia="en-GB" w:bidi="ar-SA"/>
        </w:rPr>
        <w:t>EIMT supporting decommissioning activities.</w:t>
      </w:r>
    </w:p>
    <w:p w14:paraId="2C2C3672" w14:textId="3C466C02" w:rsidR="00D63F8F" w:rsidRDefault="00D63F8F" w:rsidP="00D63F8F">
      <w:pPr>
        <w:pStyle w:val="F9-Paragraph"/>
        <w:rPr>
          <w:lang w:eastAsia="en-GB" w:bidi="ar-SA"/>
        </w:rPr>
      </w:pPr>
      <w:r>
        <w:t xml:space="preserve">SSCs important to safety under LC 28 should be included in the PMS. </w:t>
      </w:r>
      <w:r w:rsidR="00621605">
        <w:br/>
      </w:r>
      <w:r>
        <w:t>The licensee’s arrangements must define how EIMT requirements are specified, controlled and changed. Where items of lower safety significance are excluded from the PMS, this must be justified, and adequate EIMT must still be carried out in line with LC 28(1).</w:t>
      </w:r>
    </w:p>
    <w:p w14:paraId="37317E6B" w14:textId="77777777" w:rsidR="00D63F8F" w:rsidRDefault="00D63F8F" w:rsidP="00D63F8F">
      <w:pPr>
        <w:pStyle w:val="F9-Paragraph"/>
      </w:pPr>
      <w:r>
        <w:t>PMSs were traditionally based on deterministic assessments of SSCs needed to meet the safety case, with EIMT specified to ensure reliability and keep the plant within its safety envelope. More recent PMSs also consider each SSC’s contribution to overall site risk as assessed by the PSA.</w:t>
      </w:r>
    </w:p>
    <w:p w14:paraId="00CBA1E5" w14:textId="193FB66E" w:rsidR="00D63F8F" w:rsidRDefault="00D63F8F" w:rsidP="00D63F8F">
      <w:pPr>
        <w:pStyle w:val="F9-Paragraph"/>
      </w:pPr>
      <w:r>
        <w:t>ONR may require approval of a high</w:t>
      </w:r>
      <w:r>
        <w:noBreakHyphen/>
        <w:t xml:space="preserve">level PMS section (the preface). </w:t>
      </w:r>
      <w:r w:rsidR="00621605">
        <w:br/>
      </w:r>
      <w:r>
        <w:t>Once approved, licensees may make changes to the main PMS through internal arrangements without further ONR approval. ONR currently approves PMS prefaces at reactor sites under LC 28(4).</w:t>
      </w:r>
    </w:p>
    <w:p w14:paraId="5BBD6838" w14:textId="77777777" w:rsidR="00E7206B" w:rsidRDefault="00B603DB" w:rsidP="00B603DB">
      <w:pPr>
        <w:pStyle w:val="F9-Paragraph"/>
        <w:rPr>
          <w:lang w:eastAsia="en-GB" w:bidi="ar-SA"/>
        </w:rPr>
      </w:pPr>
      <w:r>
        <w:t>The arrangements should ensure all EIMT on safety</w:t>
      </w:r>
      <w:r>
        <w:noBreakHyphen/>
        <w:t>related plant is:</w:t>
      </w:r>
    </w:p>
    <w:p w14:paraId="64733559" w14:textId="77777777" w:rsidR="00E7206B" w:rsidRDefault="00B603DB" w:rsidP="00E7206B">
      <w:pPr>
        <w:pStyle w:val="Bulletlist1"/>
        <w:rPr>
          <w:lang w:eastAsia="en-GB" w:bidi="ar-SA"/>
        </w:rPr>
      </w:pPr>
      <w:r>
        <w:t>performed by suitably qualified and experienced persons (SQEP);</w:t>
      </w:r>
    </w:p>
    <w:p w14:paraId="2CADD5CB" w14:textId="77777777" w:rsidR="00E7206B" w:rsidRDefault="00B603DB" w:rsidP="00E7206B">
      <w:pPr>
        <w:pStyle w:val="Bulletlist1"/>
        <w:rPr>
          <w:lang w:eastAsia="en-GB" w:bidi="ar-SA"/>
        </w:rPr>
      </w:pPr>
      <w:r>
        <w:t>completed in accordance with written schemes;</w:t>
      </w:r>
    </w:p>
    <w:p w14:paraId="5F6A2AC8" w14:textId="77777777" w:rsidR="00E7206B" w:rsidRDefault="00B603DB" w:rsidP="00E7206B">
      <w:pPr>
        <w:pStyle w:val="Bulletlist1"/>
        <w:rPr>
          <w:lang w:eastAsia="en-GB" w:bidi="ar-SA"/>
        </w:rPr>
      </w:pPr>
      <w:r>
        <w:t>carried out within PMS</w:t>
      </w:r>
      <w:r>
        <w:noBreakHyphen/>
        <w:t>specified intervals;</w:t>
      </w:r>
    </w:p>
    <w:p w14:paraId="2E6A040D" w14:textId="42A21771" w:rsidR="00B603DB" w:rsidRDefault="00B603DB" w:rsidP="00E7206B">
      <w:pPr>
        <w:pStyle w:val="Bulletlist1"/>
        <w:rPr>
          <w:lang w:eastAsia="en-GB" w:bidi="ar-SA"/>
        </w:rPr>
      </w:pPr>
      <w:r>
        <w:t>controlled and supervised by an SQEP appointed by the licensee.</w:t>
      </w:r>
    </w:p>
    <w:p w14:paraId="590C34F8" w14:textId="77777777" w:rsidR="00621605" w:rsidRDefault="00621605" w:rsidP="00B603DB">
      <w:pPr>
        <w:pStyle w:val="F9-Paragraph"/>
        <w:sectPr w:rsidR="00621605" w:rsidSect="00B23A5E">
          <w:pgSz w:w="11906" w:h="16838" w:code="9"/>
          <w:pgMar w:top="1440" w:right="1440" w:bottom="1440" w:left="1440" w:header="397" w:footer="397" w:gutter="0"/>
          <w:cols w:space="312"/>
          <w:docGrid w:linePitch="360"/>
        </w:sectPr>
      </w:pPr>
    </w:p>
    <w:p w14:paraId="342A261D" w14:textId="7B87E4BC" w:rsidR="00B603DB" w:rsidRDefault="00B603DB" w:rsidP="00B603DB">
      <w:pPr>
        <w:pStyle w:val="F9-Paragraph"/>
      </w:pPr>
      <w:r>
        <w:lastRenderedPageBreak/>
        <w:t>Under LC 1(1), “operations” includes maintenance, examination, testing and operation; therefore, written schemes for these activities fall under LC 24 operating instructions </w:t>
      </w:r>
      <w:sdt>
        <w:sdtPr>
          <w:id w:val="1803417589"/>
          <w:citation/>
        </w:sdtPr>
        <w:sdtEndPr/>
        <w:sdtContent>
          <w:r w:rsidR="00272307">
            <w:fldChar w:fldCharType="begin"/>
          </w:r>
          <w:r w:rsidR="00272307">
            <w:instrText xml:space="preserve"> CITATION ONR81 \l 2057 </w:instrText>
          </w:r>
          <w:r w:rsidR="00272307">
            <w:fldChar w:fldCharType="separate"/>
          </w:r>
          <w:r w:rsidR="008F6B70">
            <w:rPr>
              <w:noProof/>
            </w:rPr>
            <w:t xml:space="preserve"> </w:t>
          </w:r>
          <w:r w:rsidR="008F6B70" w:rsidRPr="008F6B70">
            <w:rPr>
              <w:noProof/>
            </w:rPr>
            <w:t>[4]</w:t>
          </w:r>
          <w:r w:rsidR="00272307">
            <w:fldChar w:fldCharType="end"/>
          </w:r>
        </w:sdtContent>
      </w:sdt>
      <w:r>
        <w:t>. Time intervals must be specified in the PMS, and failure to complete work within them constitutes non</w:t>
      </w:r>
      <w:r>
        <w:noBreakHyphen/>
        <w:t>compliance.</w:t>
      </w:r>
    </w:p>
    <w:p w14:paraId="5137C672" w14:textId="74A588AB" w:rsidR="00FC079A" w:rsidRPr="00E93A50" w:rsidRDefault="00B603DB" w:rsidP="00E7206B">
      <w:pPr>
        <w:pStyle w:val="F9-Paragraph"/>
      </w:pPr>
      <w:r>
        <w:t>SQEP requirements for those supervising EIMT are described in the LC 12 TIG </w:t>
      </w:r>
      <w:sdt>
        <w:sdtPr>
          <w:id w:val="39639439"/>
          <w:citation/>
        </w:sdtPr>
        <w:sdtEndPr/>
        <w:sdtContent>
          <w:r w:rsidR="00272307">
            <w:fldChar w:fldCharType="begin"/>
          </w:r>
          <w:r w:rsidR="00272307">
            <w:instrText xml:space="preserve"> CITATION ONR263 \l 2057 </w:instrText>
          </w:r>
          <w:r w:rsidR="00272307">
            <w:fldChar w:fldCharType="separate"/>
          </w:r>
          <w:r w:rsidR="008F6B70">
            <w:rPr>
              <w:noProof/>
            </w:rPr>
            <w:t xml:space="preserve"> </w:t>
          </w:r>
          <w:r w:rsidR="008F6B70" w:rsidRPr="008F6B70">
            <w:rPr>
              <w:noProof/>
            </w:rPr>
            <w:t>[5]</w:t>
          </w:r>
          <w:r w:rsidR="00272307">
            <w:fldChar w:fldCharType="end"/>
          </w:r>
        </w:sdtContent>
      </w:sdt>
      <w:r>
        <w:t>. TIG 26 also applies </w:t>
      </w:r>
      <w:sdt>
        <w:sdtPr>
          <w:id w:val="-280262702"/>
          <w:citation/>
        </w:sdtPr>
        <w:sdtEndPr/>
        <w:sdtContent>
          <w:r w:rsidR="008F6B70">
            <w:fldChar w:fldCharType="begin"/>
          </w:r>
          <w:r w:rsidR="008F6B70">
            <w:instrText xml:space="preserve"> CITATION ONR323 \l 2057 </w:instrText>
          </w:r>
          <w:r w:rsidR="008F6B70">
            <w:fldChar w:fldCharType="separate"/>
          </w:r>
          <w:r w:rsidR="008F6B70">
            <w:rPr>
              <w:noProof/>
            </w:rPr>
            <w:t xml:space="preserve"> </w:t>
          </w:r>
          <w:r w:rsidR="008F6B70" w:rsidRPr="008F6B70">
            <w:rPr>
              <w:noProof/>
            </w:rPr>
            <w:t>[6]</w:t>
          </w:r>
          <w:r w:rsidR="008F6B70">
            <w:fldChar w:fldCharType="end"/>
          </w:r>
        </w:sdtContent>
      </w:sdt>
      <w:r>
        <w:t>, as EIMT activities are “operations” under LC 1(1). The supervising SQEP should form part of the licensee’s core safety capability as defined in </w:t>
      </w:r>
      <w:sdt>
        <w:sdtPr>
          <w:id w:val="185340772"/>
          <w:citation/>
        </w:sdtPr>
        <w:sdtEndPr/>
        <w:sdtContent>
          <w:r w:rsidR="00272307">
            <w:fldChar w:fldCharType="begin"/>
          </w:r>
          <w:r w:rsidR="00272307">
            <w:instrText xml:space="preserve"> CITATION ICNEW \l 2057 </w:instrText>
          </w:r>
          <w:r w:rsidR="00272307">
            <w:fldChar w:fldCharType="separate"/>
          </w:r>
          <w:r w:rsidR="008F6B70">
            <w:rPr>
              <w:noProof/>
            </w:rPr>
            <w:t xml:space="preserve"> </w:t>
          </w:r>
          <w:r w:rsidR="008F6B70" w:rsidRPr="008F6B70">
            <w:rPr>
              <w:noProof/>
            </w:rPr>
            <w:t>[7]</w:t>
          </w:r>
          <w:r w:rsidR="00272307">
            <w:fldChar w:fldCharType="end"/>
          </w:r>
        </w:sdtContent>
      </w:sdt>
      <w:r>
        <w:t>.</w:t>
      </w:r>
    </w:p>
    <w:p w14:paraId="19FAD3BB" w14:textId="67348BF2" w:rsidR="00CD6914" w:rsidRDefault="00CD6914" w:rsidP="00CD6914">
      <w:pPr>
        <w:pStyle w:val="F9-Paragraph"/>
        <w:rPr>
          <w:lang w:eastAsia="en-GB" w:bidi="ar-SA"/>
        </w:rPr>
      </w:pPr>
      <w:r>
        <w:t xml:space="preserve">LC 1(1) defines </w:t>
      </w:r>
      <w:r w:rsidR="0092211B">
        <w:t>‘</w:t>
      </w:r>
      <w:r w:rsidRPr="0092211B">
        <w:rPr>
          <w:rStyle w:val="Emphasis"/>
          <w:rFonts w:asciiTheme="minorHAnsi" w:hAnsiTheme="minorHAnsi" w:cstheme="minorHAnsi"/>
          <w:i w:val="0"/>
          <w:iCs w:val="0"/>
          <w:szCs w:val="24"/>
        </w:rPr>
        <w:t>modification</w:t>
      </w:r>
      <w:r w:rsidR="0092211B">
        <w:rPr>
          <w:rStyle w:val="Emphasis"/>
          <w:rFonts w:asciiTheme="minorHAnsi" w:hAnsiTheme="minorHAnsi" w:cstheme="minorHAnsi"/>
          <w:i w:val="0"/>
          <w:iCs w:val="0"/>
          <w:szCs w:val="24"/>
        </w:rPr>
        <w:t>’</w:t>
      </w:r>
      <w:r w:rsidRPr="0092211B">
        <w:rPr>
          <w:rFonts w:asciiTheme="minorHAnsi" w:hAnsiTheme="minorHAnsi" w:cstheme="minorHAnsi"/>
          <w:i/>
          <w:iCs/>
          <w:szCs w:val="24"/>
        </w:rPr>
        <w:t xml:space="preserve"> </w:t>
      </w:r>
      <w:r>
        <w:t>as any alteration to buildings, plant, operations, processes or safety cases. Therefore, changes to maintenance, examination or testing must be treated as modifications under the licensee’s LC 22 arrangements, and EIMT intervals may be altered through those arrangements.</w:t>
      </w:r>
    </w:p>
    <w:p w14:paraId="46997DA2" w14:textId="77777777" w:rsidR="00CD6914" w:rsidRDefault="00CD6914" w:rsidP="00CD6914">
      <w:pPr>
        <w:pStyle w:val="F9-Paragraph"/>
      </w:pPr>
      <w:r>
        <w:t>The arrangements should also cover LC 28(8) requirements for notifying, recording, investigating and reporting defects or deficiencies found during EIMT.</w:t>
      </w:r>
    </w:p>
    <w:p w14:paraId="09757B62" w14:textId="6B37DE2E" w:rsidR="00CD6914" w:rsidRDefault="00CD6914" w:rsidP="00CD6914">
      <w:pPr>
        <w:pStyle w:val="F9-Paragraph"/>
      </w:pPr>
      <w:r>
        <w:t>Records of EIMT on SSCs affecting safety (LC 28(9)) must be compiled and retained under LC 6. These records demonstrate compliance with licence conditions as defined in LC 6(1). Further guidance is provided in the LC 6 TIG </w:t>
      </w:r>
      <w:sdt>
        <w:sdtPr>
          <w:id w:val="1014655965"/>
          <w:citation/>
        </w:sdtPr>
        <w:sdtEndPr/>
        <w:sdtContent>
          <w:r w:rsidR="00902597">
            <w:fldChar w:fldCharType="begin"/>
          </w:r>
          <w:r w:rsidR="00902597">
            <w:instrText xml:space="preserve"> CITATION ONR288 \l 2057 </w:instrText>
          </w:r>
          <w:r w:rsidR="00902597">
            <w:fldChar w:fldCharType="separate"/>
          </w:r>
          <w:r w:rsidR="008F6B70">
            <w:rPr>
              <w:noProof/>
            </w:rPr>
            <w:t xml:space="preserve"> </w:t>
          </w:r>
          <w:r w:rsidR="008F6B70" w:rsidRPr="008F6B70">
            <w:rPr>
              <w:noProof/>
            </w:rPr>
            <w:t>[8]</w:t>
          </w:r>
          <w:r w:rsidR="00902597">
            <w:fldChar w:fldCharType="end"/>
          </w:r>
        </w:sdtContent>
      </w:sdt>
      <w:r>
        <w:t xml:space="preserve"> and the records management TAG </w:t>
      </w:r>
      <w:sdt>
        <w:sdtPr>
          <w:id w:val="-1415470888"/>
          <w:citation/>
        </w:sdtPr>
        <w:sdtEndPr/>
        <w:sdtContent>
          <w:r w:rsidR="00902597">
            <w:fldChar w:fldCharType="begin"/>
          </w:r>
          <w:r w:rsidR="00902597">
            <w:instrText xml:space="preserve"> CITATION RecordNEW \l 2057 </w:instrText>
          </w:r>
          <w:r w:rsidR="00902597">
            <w:fldChar w:fldCharType="separate"/>
          </w:r>
          <w:r w:rsidR="008F6B70">
            <w:rPr>
              <w:noProof/>
            </w:rPr>
            <w:t xml:space="preserve"> </w:t>
          </w:r>
          <w:r w:rsidR="008F6B70" w:rsidRPr="008F6B70">
            <w:rPr>
              <w:noProof/>
            </w:rPr>
            <w:t>[9]</w:t>
          </w:r>
          <w:r w:rsidR="00902597">
            <w:fldChar w:fldCharType="end"/>
          </w:r>
        </w:sdtContent>
      </w:sdt>
      <w:r>
        <w:t>.</w:t>
      </w:r>
    </w:p>
    <w:p w14:paraId="317A5897" w14:textId="2CB8D15E" w:rsidR="00D60BCB" w:rsidRDefault="00D60BCB">
      <w:pPr>
        <w:spacing w:after="0" w:line="240" w:lineRule="auto"/>
      </w:pPr>
    </w:p>
    <w:p w14:paraId="41C3DA1C" w14:textId="35444E9C" w:rsidR="00D60BCB" w:rsidRDefault="00D60BCB" w:rsidP="00D60BCB">
      <w:pPr>
        <w:pStyle w:val="Heading1"/>
      </w:pPr>
      <w:bookmarkStart w:id="7" w:name="_Toc224544845"/>
      <w:r>
        <w:t xml:space="preserve">Guidance on </w:t>
      </w:r>
      <w:r w:rsidR="002042C2">
        <w:t>i</w:t>
      </w:r>
      <w:r>
        <w:t xml:space="preserve">nspection of </w:t>
      </w:r>
      <w:r w:rsidR="002042C2">
        <w:t>a</w:t>
      </w:r>
      <w:r>
        <w:t xml:space="preserve">rrangements and their </w:t>
      </w:r>
      <w:r w:rsidR="002042C2">
        <w:t>i</w:t>
      </w:r>
      <w:r>
        <w:t>mplementation</w:t>
      </w:r>
      <w:bookmarkEnd w:id="7"/>
    </w:p>
    <w:p w14:paraId="40A2B6A1" w14:textId="77777777" w:rsidR="008F6B70" w:rsidRDefault="002A409A" w:rsidP="006A53EF">
      <w:pPr>
        <w:pStyle w:val="F9-Paragraph"/>
        <w:rPr>
          <w:lang w:eastAsia="en-GB" w:bidi="ar-SA"/>
        </w:rPr>
      </w:pPr>
      <w:r>
        <w:t>LC 28 covers a wide range of topics, with IAEA definitions of EIMT including both technical and administrative aspects </w:t>
      </w:r>
      <w:sdt>
        <w:sdtPr>
          <w:id w:val="-854880981"/>
          <w:citation/>
        </w:sdtPr>
        <w:sdtEndPr/>
        <w:sdtContent>
          <w:r w:rsidR="00B94D92">
            <w:fldChar w:fldCharType="begin"/>
          </w:r>
          <w:r w:rsidR="00B94D92">
            <w:instrText xml:space="preserve"> CITATION IAEANEW \l 2057 </w:instrText>
          </w:r>
          <w:r w:rsidR="00B94D92">
            <w:fldChar w:fldCharType="separate"/>
          </w:r>
          <w:r w:rsidR="008F6B70">
            <w:rPr>
              <w:noProof/>
            </w:rPr>
            <w:t xml:space="preserve"> </w:t>
          </w:r>
          <w:r w:rsidR="008F6B70" w:rsidRPr="008F6B70">
            <w:rPr>
              <w:noProof/>
            </w:rPr>
            <w:t>[10]</w:t>
          </w:r>
          <w:r w:rsidR="00B94D92">
            <w:fldChar w:fldCharType="end"/>
          </w:r>
        </w:sdtContent>
      </w:sdt>
      <w:r>
        <w:t>. Key areas for LC 28 compliance inspections include:</w:t>
      </w:r>
    </w:p>
    <w:p w14:paraId="3A6E79A4" w14:textId="77777777" w:rsidR="008F6B70" w:rsidRDefault="002A409A" w:rsidP="008F6B70">
      <w:pPr>
        <w:pStyle w:val="Bulletlist1"/>
        <w:rPr>
          <w:lang w:eastAsia="en-GB" w:bidi="ar-SA"/>
        </w:rPr>
      </w:pPr>
      <w:r>
        <w:t>the maintenance organisation;</w:t>
      </w:r>
    </w:p>
    <w:p w14:paraId="05E3FA1B" w14:textId="77777777" w:rsidR="008F6B70" w:rsidRDefault="002A409A" w:rsidP="008F6B70">
      <w:pPr>
        <w:pStyle w:val="Bulletlist1"/>
        <w:rPr>
          <w:lang w:eastAsia="en-GB" w:bidi="ar-SA"/>
        </w:rPr>
      </w:pPr>
      <w:r>
        <w:t>the PMS;</w:t>
      </w:r>
    </w:p>
    <w:p w14:paraId="53225E7D" w14:textId="77777777" w:rsidR="008F6B70" w:rsidRDefault="002A409A" w:rsidP="008F6B70">
      <w:pPr>
        <w:pStyle w:val="Bulletlist1"/>
        <w:rPr>
          <w:lang w:eastAsia="en-GB" w:bidi="ar-SA"/>
        </w:rPr>
      </w:pPr>
      <w:r>
        <w:t>implementation of EIMT;</w:t>
      </w:r>
    </w:p>
    <w:p w14:paraId="03E6F019" w14:textId="67481389" w:rsidR="002A409A" w:rsidRDefault="002A409A" w:rsidP="008F6B70">
      <w:pPr>
        <w:pStyle w:val="Bulletlist1"/>
        <w:rPr>
          <w:lang w:eastAsia="en-GB" w:bidi="ar-SA"/>
        </w:rPr>
      </w:pPr>
      <w:r>
        <w:t>supporting aspects such as spares and test equipment.</w:t>
      </w:r>
    </w:p>
    <w:p w14:paraId="4D95AD59" w14:textId="10E82F15" w:rsidR="002A409A" w:rsidRDefault="00621605" w:rsidP="006A53EF">
      <w:pPr>
        <w:pStyle w:val="F9-Paragraph"/>
      </w:pPr>
      <w:r>
        <w:fldChar w:fldCharType="begin"/>
      </w:r>
      <w:r>
        <w:instrText xml:space="preserve"> REF _Ref224544805 \h </w:instrText>
      </w:r>
      <w:r>
        <w:fldChar w:fldCharType="separate"/>
      </w:r>
      <w:r>
        <w:t xml:space="preserve">Table </w:t>
      </w:r>
      <w:r>
        <w:rPr>
          <w:noProof/>
        </w:rPr>
        <w:t>1</w:t>
      </w:r>
      <w:r>
        <w:fldChar w:fldCharType="end"/>
      </w:r>
      <w:r w:rsidR="002A409A">
        <w:t xml:space="preserve"> provides further inspectable topics. Inspectors should apply a risk</w:t>
      </w:r>
      <w:r w:rsidR="002A409A">
        <w:noBreakHyphen/>
        <w:t>informed approach when selecting which areas to examine</w:t>
      </w:r>
      <w:r w:rsidR="008F6B70">
        <w:t>.</w:t>
      </w:r>
    </w:p>
    <w:p w14:paraId="5D6CDD21" w14:textId="77777777" w:rsidR="00F425A7" w:rsidRDefault="00F425A7">
      <w:pPr>
        <w:spacing w:after="0" w:line="240" w:lineRule="auto"/>
      </w:pPr>
    </w:p>
    <w:p w14:paraId="60DA65EF" w14:textId="77777777" w:rsidR="00F425A7" w:rsidRDefault="00F425A7">
      <w:pPr>
        <w:spacing w:after="0" w:line="240" w:lineRule="auto"/>
        <w:sectPr w:rsidR="00F425A7" w:rsidSect="00B23A5E">
          <w:pgSz w:w="11906" w:h="16838" w:code="9"/>
          <w:pgMar w:top="1440" w:right="1440" w:bottom="1440" w:left="1440" w:header="397" w:footer="397" w:gutter="0"/>
          <w:cols w:space="312"/>
          <w:docGrid w:linePitch="360"/>
        </w:sectPr>
      </w:pPr>
    </w:p>
    <w:p w14:paraId="3B827D33" w14:textId="1C2C4715" w:rsidR="00621605" w:rsidRDefault="00621605" w:rsidP="00621605">
      <w:pPr>
        <w:pStyle w:val="Caption"/>
        <w:keepNext/>
      </w:pPr>
      <w:bookmarkStart w:id="8" w:name="_Table_2_–"/>
      <w:bookmarkStart w:id="9" w:name="_Ref224544805"/>
      <w:bookmarkEnd w:id="8"/>
      <w:r>
        <w:lastRenderedPageBreak/>
        <w:t xml:space="preserve">Table </w:t>
      </w:r>
      <w:fldSimple w:instr=" SEQ Table \* ARABIC ">
        <w:r>
          <w:rPr>
            <w:noProof/>
          </w:rPr>
          <w:t>1</w:t>
        </w:r>
      </w:fldSimple>
      <w:bookmarkEnd w:id="9"/>
      <w:r>
        <w:t xml:space="preserve"> - </w:t>
      </w:r>
      <w:r w:rsidRPr="00715624">
        <w:t>LC 28 Inspection guidance</w:t>
      </w:r>
    </w:p>
    <w:tbl>
      <w:tblPr>
        <w:tblStyle w:val="ONRTable1"/>
        <w:tblW w:w="13948" w:type="dxa"/>
        <w:tblInd w:w="5" w:type="dxa"/>
        <w:tblLook w:val="04A0" w:firstRow="1" w:lastRow="0" w:firstColumn="1" w:lastColumn="0" w:noHBand="0" w:noVBand="1"/>
      </w:tblPr>
      <w:tblGrid>
        <w:gridCol w:w="562"/>
        <w:gridCol w:w="2127"/>
        <w:gridCol w:w="9355"/>
        <w:gridCol w:w="1904"/>
      </w:tblGrid>
      <w:tr w:rsidR="009A3F69" w:rsidRPr="009A3F69" w14:paraId="01737048" w14:textId="77777777" w:rsidTr="009C3662">
        <w:trPr>
          <w:cnfStyle w:val="100000000000" w:firstRow="1" w:lastRow="0" w:firstColumn="0" w:lastColumn="0" w:oddVBand="0" w:evenVBand="0" w:oddHBand="0" w:evenHBand="0" w:firstRowFirstColumn="0" w:firstRowLastColumn="0" w:lastRowFirstColumn="0" w:lastRowLastColumn="0"/>
          <w:cantSplit/>
          <w:tblHeader/>
        </w:trPr>
        <w:tc>
          <w:tcPr>
            <w:tcW w:w="562" w:type="dxa"/>
          </w:tcPr>
          <w:p w14:paraId="2875DC5E" w14:textId="77777777" w:rsidR="009A3F69" w:rsidRPr="009A3F69" w:rsidRDefault="009A3F69" w:rsidP="00621605">
            <w:pPr>
              <w:spacing w:before="60" w:after="60"/>
              <w:rPr>
                <w:rFonts w:eastAsia="Calibri" w:cs="Arial"/>
                <w:b w:val="0"/>
                <w:bCs/>
              </w:rPr>
            </w:pPr>
          </w:p>
        </w:tc>
        <w:tc>
          <w:tcPr>
            <w:tcW w:w="2127" w:type="dxa"/>
          </w:tcPr>
          <w:p w14:paraId="4C93C49C" w14:textId="77777777" w:rsidR="009A3F69" w:rsidRPr="009A3F69" w:rsidRDefault="009A3F69" w:rsidP="00621605">
            <w:pPr>
              <w:spacing w:before="60" w:after="60"/>
              <w:rPr>
                <w:rFonts w:eastAsia="Calibri" w:cs="Arial"/>
                <w:b w:val="0"/>
                <w:bCs/>
              </w:rPr>
            </w:pPr>
            <w:r w:rsidRPr="009A3F69">
              <w:rPr>
                <w:rFonts w:eastAsia="Calibri" w:cs="Arial"/>
                <w:b w:val="0"/>
                <w:bCs/>
              </w:rPr>
              <w:t>Topic</w:t>
            </w:r>
          </w:p>
        </w:tc>
        <w:tc>
          <w:tcPr>
            <w:tcW w:w="9355" w:type="dxa"/>
          </w:tcPr>
          <w:p w14:paraId="5BEA72EE" w14:textId="77777777" w:rsidR="009A3F69" w:rsidRPr="009A3F69" w:rsidRDefault="009A3F69" w:rsidP="00621605">
            <w:pPr>
              <w:spacing w:before="60" w:after="60"/>
              <w:rPr>
                <w:rFonts w:eastAsia="Calibri" w:cs="Arial"/>
                <w:b w:val="0"/>
                <w:bCs/>
              </w:rPr>
            </w:pPr>
            <w:r w:rsidRPr="009A3F69">
              <w:rPr>
                <w:rFonts w:eastAsia="Calibri" w:cs="Arial"/>
                <w:b w:val="0"/>
                <w:bCs/>
              </w:rPr>
              <w:t>Supporting guidance</w:t>
            </w:r>
          </w:p>
        </w:tc>
        <w:tc>
          <w:tcPr>
            <w:tcW w:w="1904" w:type="dxa"/>
          </w:tcPr>
          <w:p w14:paraId="4C4801A2" w14:textId="77777777" w:rsidR="009A3F69" w:rsidRPr="009A3F69" w:rsidRDefault="009A3F69" w:rsidP="00621605">
            <w:pPr>
              <w:spacing w:before="60" w:after="60"/>
              <w:rPr>
                <w:rFonts w:eastAsia="Calibri" w:cs="Arial"/>
                <w:b w:val="0"/>
                <w:bCs/>
              </w:rPr>
            </w:pPr>
            <w:r w:rsidRPr="009A3F69">
              <w:rPr>
                <w:rFonts w:eastAsia="Calibri" w:cs="Arial"/>
                <w:b w:val="0"/>
                <w:bCs/>
              </w:rPr>
              <w:t xml:space="preserve">Further guidance </w:t>
            </w:r>
          </w:p>
        </w:tc>
      </w:tr>
      <w:tr w:rsidR="009A3F69" w:rsidRPr="009A3F69" w14:paraId="6848B1E7" w14:textId="77777777" w:rsidTr="009C3662">
        <w:trPr>
          <w:cantSplit/>
        </w:trPr>
        <w:tc>
          <w:tcPr>
            <w:tcW w:w="562" w:type="dxa"/>
          </w:tcPr>
          <w:p w14:paraId="44A7381F" w14:textId="77777777" w:rsidR="009A3F69" w:rsidRPr="009A3F69" w:rsidRDefault="009A3F69" w:rsidP="00621605">
            <w:pPr>
              <w:spacing w:before="60" w:after="60"/>
              <w:rPr>
                <w:rFonts w:eastAsia="Calibri" w:cs="Arial"/>
              </w:rPr>
            </w:pPr>
            <w:r w:rsidRPr="009A3F69">
              <w:rPr>
                <w:rFonts w:eastAsia="Calibri" w:cs="Arial"/>
              </w:rPr>
              <w:t>1</w:t>
            </w:r>
          </w:p>
        </w:tc>
        <w:tc>
          <w:tcPr>
            <w:tcW w:w="2127" w:type="dxa"/>
          </w:tcPr>
          <w:p w14:paraId="5E20DF6B" w14:textId="77777777" w:rsidR="009A3F69" w:rsidRPr="009A3F69" w:rsidRDefault="009A3F69" w:rsidP="00621605">
            <w:pPr>
              <w:spacing w:before="60" w:after="60"/>
              <w:rPr>
                <w:rFonts w:eastAsia="Calibri" w:cs="Arial"/>
              </w:rPr>
            </w:pPr>
            <w:r w:rsidRPr="009A3F69">
              <w:rPr>
                <w:rFonts w:eastAsia="Calibri" w:cs="Arial"/>
              </w:rPr>
              <w:t>Organisational Capability</w:t>
            </w:r>
          </w:p>
          <w:p w14:paraId="2E27EF3A" w14:textId="77777777" w:rsidR="009A3F69" w:rsidRPr="009A3F69" w:rsidRDefault="009A3F69" w:rsidP="00621605">
            <w:pPr>
              <w:spacing w:before="60" w:after="60"/>
              <w:rPr>
                <w:rFonts w:eastAsia="Calibri" w:cs="Arial"/>
              </w:rPr>
            </w:pPr>
            <w:r w:rsidRPr="009A3F69">
              <w:rPr>
                <w:rFonts w:eastAsia="Calibri" w:cs="Arial"/>
              </w:rPr>
              <w:t>(links to LC 36)</w:t>
            </w:r>
          </w:p>
        </w:tc>
        <w:tc>
          <w:tcPr>
            <w:tcW w:w="9355" w:type="dxa"/>
          </w:tcPr>
          <w:p w14:paraId="4D11585D" w14:textId="77777777" w:rsidR="009A3F69" w:rsidRPr="009A3F69" w:rsidRDefault="009A3F69" w:rsidP="00621605">
            <w:pPr>
              <w:spacing w:before="60" w:after="60"/>
              <w:rPr>
                <w:rFonts w:eastAsia="Calibri" w:cs="Arial"/>
              </w:rPr>
            </w:pPr>
            <w:r w:rsidRPr="009A3F69">
              <w:rPr>
                <w:rFonts w:eastAsia="Calibri" w:cs="Arial"/>
              </w:rPr>
              <w:t>The licensee’s organisation should have sufficient resources to implement the EIMT programme. This should include assigning roles and responsibilities associated with EIMT and identification of the resources required to fulfil the EIMT programme (for example, numbers of SQEP personnel from each engineering discipline). These should be captured on the nuclear baseline.</w:t>
            </w:r>
          </w:p>
        </w:tc>
        <w:tc>
          <w:tcPr>
            <w:tcW w:w="1904" w:type="dxa"/>
          </w:tcPr>
          <w:p w14:paraId="2D77CEE3" w14:textId="213A548A" w:rsidR="009A3F69" w:rsidRPr="009A3F69" w:rsidRDefault="008E172C" w:rsidP="00621605">
            <w:pPr>
              <w:spacing w:before="60" w:after="60"/>
              <w:rPr>
                <w:rFonts w:eastAsia="Calibri" w:cs="Arial"/>
              </w:rPr>
            </w:pPr>
            <w:sdt>
              <w:sdtPr>
                <w:id w:val="1422904923"/>
                <w:citation/>
              </w:sdtPr>
              <w:sdtEndPr/>
              <w:sdtContent>
                <w:r w:rsidR="009A3F69" w:rsidRPr="009A3F69">
                  <w:fldChar w:fldCharType="begin"/>
                </w:r>
                <w:r w:rsidR="009A3F69" w:rsidRPr="009A3F69">
                  <w:rPr>
                    <w:rFonts w:eastAsia="Calibri" w:cs="Arial"/>
                  </w:rPr>
                  <w:instrText xml:space="preserve">CITATION tig28iaea \l 2057 </w:instrText>
                </w:r>
                <w:r w:rsidR="009A3F69" w:rsidRPr="009A3F69">
                  <w:fldChar w:fldCharType="separate"/>
                </w:r>
                <w:r w:rsidR="008F6B70" w:rsidRPr="008F6B70">
                  <w:rPr>
                    <w:noProof/>
                  </w:rPr>
                  <w:t>[2]</w:t>
                </w:r>
                <w:r w:rsidR="009A3F69" w:rsidRPr="009A3F69">
                  <w:fldChar w:fldCharType="end"/>
                </w:r>
              </w:sdtContent>
            </w:sdt>
            <w:r w:rsidR="009A3F69" w:rsidRPr="009A3F69">
              <w:rPr>
                <w:rFonts w:eastAsia="Calibri" w:cs="Arial"/>
              </w:rPr>
              <w:t xml:space="preserve">, </w:t>
            </w:r>
            <w:sdt>
              <w:sdtPr>
                <w:id w:val="1361012867"/>
                <w:citation/>
              </w:sdtPr>
              <w:sdtEndPr/>
              <w:sdtContent>
                <w:r w:rsidR="009A3F69" w:rsidRPr="009A3F69">
                  <w:fldChar w:fldCharType="begin"/>
                </w:r>
                <w:r w:rsidR="009A3F69" w:rsidRPr="009A3F69">
                  <w:rPr>
                    <w:rFonts w:eastAsia="Calibri" w:cs="Arial"/>
                  </w:rPr>
                  <w:instrText xml:space="preserve"> CITATION ICNEW \l 2057 </w:instrText>
                </w:r>
                <w:r w:rsidR="009A3F69" w:rsidRPr="009A3F69">
                  <w:fldChar w:fldCharType="separate"/>
                </w:r>
                <w:r w:rsidR="008F6B70" w:rsidRPr="008F6B70">
                  <w:rPr>
                    <w:rFonts w:eastAsia="Calibri" w:cs="Arial"/>
                    <w:noProof/>
                  </w:rPr>
                  <w:t>[7]</w:t>
                </w:r>
                <w:r w:rsidR="009A3F69" w:rsidRPr="009A3F69">
                  <w:fldChar w:fldCharType="end"/>
                </w:r>
              </w:sdtContent>
            </w:sdt>
            <w:r w:rsidR="009A3F69" w:rsidRPr="009A3F69">
              <w:rPr>
                <w:rFonts w:eastAsia="Calibri" w:cs="Arial"/>
              </w:rPr>
              <w:t xml:space="preserve"> and </w:t>
            </w:r>
            <w:sdt>
              <w:sdtPr>
                <w:id w:val="260960546"/>
                <w:citation/>
              </w:sdtPr>
              <w:sdtEndPr/>
              <w:sdtContent>
                <w:r w:rsidR="009A3F69" w:rsidRPr="009A3F69">
                  <w:fldChar w:fldCharType="begin"/>
                </w:r>
                <w:r w:rsidR="009A3F69" w:rsidRPr="009A3F69">
                  <w:rPr>
                    <w:rFonts w:eastAsia="Calibri" w:cs="Arial"/>
                  </w:rPr>
                  <w:instrText xml:space="preserve">CITATION NB \l 2057 </w:instrText>
                </w:r>
                <w:r w:rsidR="009A3F69" w:rsidRPr="009A3F69">
                  <w:fldChar w:fldCharType="separate"/>
                </w:r>
                <w:r w:rsidR="008F6B70" w:rsidRPr="008F6B70">
                  <w:rPr>
                    <w:noProof/>
                  </w:rPr>
                  <w:t>[11]</w:t>
                </w:r>
                <w:r w:rsidR="009A3F69" w:rsidRPr="009A3F69">
                  <w:fldChar w:fldCharType="end"/>
                </w:r>
              </w:sdtContent>
            </w:sdt>
            <w:r w:rsidR="009A3F69" w:rsidRPr="009A3F69">
              <w:rPr>
                <w:rFonts w:eastAsia="Calibri" w:cs="Arial"/>
              </w:rPr>
              <w:t xml:space="preserve"> </w:t>
            </w:r>
          </w:p>
        </w:tc>
      </w:tr>
      <w:tr w:rsidR="009A3F69" w:rsidRPr="009A3F69" w14:paraId="1B4FCC36" w14:textId="77777777" w:rsidTr="009C3662">
        <w:trPr>
          <w:cantSplit/>
        </w:trPr>
        <w:tc>
          <w:tcPr>
            <w:tcW w:w="562" w:type="dxa"/>
          </w:tcPr>
          <w:p w14:paraId="47DDEA25" w14:textId="77777777" w:rsidR="009A3F69" w:rsidRPr="009A3F69" w:rsidRDefault="009A3F69" w:rsidP="00621605">
            <w:pPr>
              <w:spacing w:before="60" w:after="60"/>
              <w:rPr>
                <w:rFonts w:eastAsia="Calibri" w:cs="Arial"/>
              </w:rPr>
            </w:pPr>
            <w:r w:rsidRPr="009A3F69">
              <w:rPr>
                <w:rFonts w:eastAsia="Calibri" w:cs="Arial"/>
              </w:rPr>
              <w:t>2</w:t>
            </w:r>
          </w:p>
        </w:tc>
        <w:tc>
          <w:tcPr>
            <w:tcW w:w="2127" w:type="dxa"/>
          </w:tcPr>
          <w:p w14:paraId="276C779E" w14:textId="77777777" w:rsidR="009A3F69" w:rsidRPr="009A3F69" w:rsidRDefault="009A3F69" w:rsidP="00621605">
            <w:pPr>
              <w:spacing w:before="60" w:after="60"/>
              <w:rPr>
                <w:rFonts w:eastAsia="Calibri" w:cs="Arial"/>
              </w:rPr>
            </w:pPr>
            <w:r w:rsidRPr="009A3F69">
              <w:rPr>
                <w:rFonts w:eastAsia="Calibri" w:cs="Arial"/>
              </w:rPr>
              <w:t>Governance</w:t>
            </w:r>
          </w:p>
        </w:tc>
        <w:tc>
          <w:tcPr>
            <w:tcW w:w="9355" w:type="dxa"/>
          </w:tcPr>
          <w:p w14:paraId="0735AAA4" w14:textId="77777777" w:rsidR="009A3F69" w:rsidRPr="009A3F69" w:rsidRDefault="009A3F69" w:rsidP="00621605">
            <w:pPr>
              <w:spacing w:before="60" w:after="60"/>
              <w:rPr>
                <w:rFonts w:eastAsia="Calibri" w:cs="Arial"/>
              </w:rPr>
            </w:pPr>
            <w:r w:rsidRPr="009A3F69">
              <w:rPr>
                <w:rFonts w:eastAsia="Calibri" w:cs="Arial"/>
              </w:rPr>
              <w:t xml:space="preserve">The licensee should have appropriate governance and oversight of EIMT performance. This may be through use of metrics to monitor delivery of EIMT activities and trend backlogs or through governance of system health processes. </w:t>
            </w:r>
          </w:p>
        </w:tc>
        <w:tc>
          <w:tcPr>
            <w:tcW w:w="1904" w:type="dxa"/>
          </w:tcPr>
          <w:p w14:paraId="30DFF892" w14:textId="5F5F6A72" w:rsidR="009A3F69" w:rsidRPr="009A3F69" w:rsidRDefault="008E172C" w:rsidP="00621605">
            <w:pPr>
              <w:spacing w:before="60" w:after="60"/>
              <w:rPr>
                <w:rFonts w:eastAsia="Calibri" w:cs="Arial"/>
              </w:rPr>
            </w:pPr>
            <w:sdt>
              <w:sdtPr>
                <w:id w:val="644166001"/>
                <w:citation/>
              </w:sdtPr>
              <w:sdtEndPr/>
              <w:sdtContent>
                <w:r w:rsidR="009A3F69" w:rsidRPr="009A3F69">
                  <w:fldChar w:fldCharType="begin"/>
                </w:r>
                <w:r w:rsidR="009A3F69" w:rsidRPr="009A3F69">
                  <w:rPr>
                    <w:rFonts w:eastAsia="Calibri" w:cs="Arial"/>
                  </w:rPr>
                  <w:instrText xml:space="preserve">CITATION tig28iaea \l 2057 </w:instrText>
                </w:r>
                <w:r w:rsidR="009A3F69" w:rsidRPr="009A3F69">
                  <w:fldChar w:fldCharType="separate"/>
                </w:r>
                <w:r w:rsidR="008F6B70" w:rsidRPr="008F6B70">
                  <w:rPr>
                    <w:noProof/>
                  </w:rPr>
                  <w:t>[2]</w:t>
                </w:r>
                <w:r w:rsidR="009A3F69" w:rsidRPr="009A3F69">
                  <w:fldChar w:fldCharType="end"/>
                </w:r>
              </w:sdtContent>
            </w:sdt>
          </w:p>
        </w:tc>
      </w:tr>
      <w:tr w:rsidR="009A3F69" w:rsidRPr="009A3F69" w14:paraId="0F8028C9" w14:textId="77777777" w:rsidTr="009C3662">
        <w:trPr>
          <w:cantSplit/>
          <w:trHeight w:val="1557"/>
        </w:trPr>
        <w:tc>
          <w:tcPr>
            <w:tcW w:w="562" w:type="dxa"/>
          </w:tcPr>
          <w:p w14:paraId="5F59FEEB" w14:textId="77777777" w:rsidR="009A3F69" w:rsidRPr="009A3F69" w:rsidRDefault="009A3F69" w:rsidP="00621605">
            <w:pPr>
              <w:spacing w:before="60" w:after="60"/>
              <w:rPr>
                <w:rFonts w:eastAsia="Calibri" w:cs="Arial"/>
              </w:rPr>
            </w:pPr>
            <w:r w:rsidRPr="009A3F69">
              <w:rPr>
                <w:rFonts w:eastAsia="Calibri" w:cs="Arial"/>
              </w:rPr>
              <w:t>3</w:t>
            </w:r>
          </w:p>
        </w:tc>
        <w:tc>
          <w:tcPr>
            <w:tcW w:w="2127" w:type="dxa"/>
          </w:tcPr>
          <w:p w14:paraId="1A956C44" w14:textId="77777777" w:rsidR="009A3F69" w:rsidRPr="009A3F69" w:rsidRDefault="009A3F69" w:rsidP="00621605">
            <w:pPr>
              <w:spacing w:before="60" w:after="60"/>
              <w:rPr>
                <w:rFonts w:eastAsia="Calibri" w:cs="Arial"/>
              </w:rPr>
            </w:pPr>
            <w:r w:rsidRPr="009A3F69">
              <w:rPr>
                <w:rFonts w:eastAsia="Calibri" w:cs="Arial"/>
              </w:rPr>
              <w:t>Interfaces between different groups</w:t>
            </w:r>
          </w:p>
        </w:tc>
        <w:tc>
          <w:tcPr>
            <w:tcW w:w="9355" w:type="dxa"/>
          </w:tcPr>
          <w:p w14:paraId="71673FF2" w14:textId="77777777" w:rsidR="009A3F69" w:rsidRPr="009A3F69" w:rsidRDefault="009A3F69" w:rsidP="00621605">
            <w:pPr>
              <w:spacing w:before="60" w:after="60"/>
              <w:rPr>
                <w:rFonts w:eastAsia="Calibri" w:cs="Arial"/>
              </w:rPr>
            </w:pPr>
            <w:r w:rsidRPr="009A3F69">
              <w:rPr>
                <w:rFonts w:eastAsia="Calibri" w:cs="Arial"/>
              </w:rPr>
              <w:t xml:space="preserve">The licensee’s EIMT programme will involve interfaces between different groups (for example, operations, one or more engineering disciplines, radiation protection, contractors). The interfaces between these groups should be clear with roles and responsibilities and any handover arrangements defined.  </w:t>
            </w:r>
          </w:p>
        </w:tc>
        <w:tc>
          <w:tcPr>
            <w:tcW w:w="1904" w:type="dxa"/>
          </w:tcPr>
          <w:p w14:paraId="210D1F8D" w14:textId="63A0956A" w:rsidR="009A3F69" w:rsidRPr="009A3F69" w:rsidRDefault="008E172C" w:rsidP="00621605">
            <w:pPr>
              <w:spacing w:before="60" w:after="60"/>
              <w:rPr>
                <w:rFonts w:eastAsia="Calibri" w:cs="Arial"/>
              </w:rPr>
            </w:pPr>
            <w:sdt>
              <w:sdtPr>
                <w:id w:val="1233508857"/>
                <w:citation/>
              </w:sdtPr>
              <w:sdtEndPr/>
              <w:sdtContent>
                <w:r w:rsidR="009A3F69" w:rsidRPr="009A3F69">
                  <w:fldChar w:fldCharType="begin"/>
                </w:r>
                <w:r w:rsidR="009A3F69" w:rsidRPr="009A3F69">
                  <w:rPr>
                    <w:rFonts w:eastAsia="Calibri" w:cs="Arial"/>
                  </w:rPr>
                  <w:instrText xml:space="preserve">CITATION tig28iaea \l 2057 </w:instrText>
                </w:r>
                <w:r w:rsidR="009A3F69" w:rsidRPr="009A3F69">
                  <w:fldChar w:fldCharType="separate"/>
                </w:r>
                <w:r w:rsidR="008F6B70" w:rsidRPr="008F6B70">
                  <w:rPr>
                    <w:noProof/>
                  </w:rPr>
                  <w:t>[2]</w:t>
                </w:r>
                <w:r w:rsidR="009A3F69" w:rsidRPr="009A3F69">
                  <w:fldChar w:fldCharType="end"/>
                </w:r>
              </w:sdtContent>
            </w:sdt>
          </w:p>
        </w:tc>
      </w:tr>
      <w:tr w:rsidR="009A3F69" w:rsidRPr="009A3F69" w14:paraId="5510EBF1" w14:textId="77777777" w:rsidTr="009C3662">
        <w:trPr>
          <w:cantSplit/>
        </w:trPr>
        <w:tc>
          <w:tcPr>
            <w:tcW w:w="562" w:type="dxa"/>
          </w:tcPr>
          <w:p w14:paraId="42A96237" w14:textId="77777777" w:rsidR="009A3F69" w:rsidRPr="009A3F69" w:rsidRDefault="009A3F69" w:rsidP="00621605">
            <w:pPr>
              <w:spacing w:before="60" w:after="60"/>
              <w:rPr>
                <w:rFonts w:eastAsia="Calibri" w:cs="Arial"/>
              </w:rPr>
            </w:pPr>
            <w:r w:rsidRPr="009A3F69">
              <w:rPr>
                <w:rFonts w:eastAsia="Calibri" w:cs="Arial"/>
              </w:rPr>
              <w:t>4</w:t>
            </w:r>
          </w:p>
        </w:tc>
        <w:tc>
          <w:tcPr>
            <w:tcW w:w="2127" w:type="dxa"/>
          </w:tcPr>
          <w:p w14:paraId="77299E7C" w14:textId="77777777" w:rsidR="009A3F69" w:rsidRPr="009A3F69" w:rsidRDefault="009A3F69" w:rsidP="00621605">
            <w:pPr>
              <w:spacing w:before="60" w:after="60"/>
              <w:rPr>
                <w:rFonts w:eastAsia="Calibri" w:cs="Arial"/>
              </w:rPr>
            </w:pPr>
            <w:r w:rsidRPr="009A3F69">
              <w:rPr>
                <w:rFonts w:eastAsia="Calibri" w:cs="Arial"/>
              </w:rPr>
              <w:t xml:space="preserve">SSC classification </w:t>
            </w:r>
          </w:p>
        </w:tc>
        <w:tc>
          <w:tcPr>
            <w:tcW w:w="9355" w:type="dxa"/>
          </w:tcPr>
          <w:p w14:paraId="12B1F854" w14:textId="77777777" w:rsidR="009A3F69" w:rsidRPr="009A3F69" w:rsidRDefault="009A3F69" w:rsidP="00621605">
            <w:pPr>
              <w:spacing w:before="60" w:after="60"/>
              <w:rPr>
                <w:rFonts w:eastAsia="Calibri" w:cs="Arial"/>
              </w:rPr>
            </w:pPr>
            <w:r w:rsidRPr="009A3F69">
              <w:rPr>
                <w:rFonts w:eastAsia="Calibri" w:cs="Arial"/>
              </w:rPr>
              <w:t xml:space="preserve">The licensee’s arrangements should describe the methods and criteria for identifying the safety significance of all SSCs with clear linkage to the safety case. These SSCs may comprise the PMS. </w:t>
            </w:r>
          </w:p>
          <w:p w14:paraId="50907CF7" w14:textId="5D358771" w:rsidR="009A3F69" w:rsidRPr="009A3F69" w:rsidRDefault="009A3F69" w:rsidP="00621605">
            <w:pPr>
              <w:spacing w:before="60" w:after="60"/>
              <w:rPr>
                <w:rFonts w:eastAsia="Calibri" w:cs="Arial"/>
              </w:rPr>
            </w:pPr>
            <w:r w:rsidRPr="009A3F69">
              <w:rPr>
                <w:rFonts w:eastAsia="Calibri" w:cs="Arial"/>
              </w:rPr>
              <w:t>Where a graded approach is used there should be a proportionate approach within the arrangements for control of EIMT. If there are categories of lesser safety significant SSCs that are not included on the PMS (</w:t>
            </w:r>
            <w:r w:rsidR="008C0CA9">
              <w:rPr>
                <w:rFonts w:eastAsia="Calibri" w:cs="Arial"/>
              </w:rPr>
              <w:t>e.g.</w:t>
            </w:r>
            <w:r w:rsidRPr="009A3F69">
              <w:rPr>
                <w:rFonts w:eastAsia="Calibri" w:cs="Arial"/>
              </w:rPr>
              <w:t xml:space="preserve"> emergency equipment) then there should still be appropriate EIMT (a requirement of LC 28(1)). </w:t>
            </w:r>
          </w:p>
        </w:tc>
        <w:tc>
          <w:tcPr>
            <w:tcW w:w="1904" w:type="dxa"/>
          </w:tcPr>
          <w:p w14:paraId="5216F063" w14:textId="2ABE45B3" w:rsidR="009A3F69" w:rsidRPr="009A3F69" w:rsidRDefault="008E172C" w:rsidP="00621605">
            <w:pPr>
              <w:spacing w:before="60" w:after="60"/>
              <w:rPr>
                <w:rFonts w:eastAsia="Calibri" w:cs="Arial"/>
              </w:rPr>
            </w:pPr>
            <w:sdt>
              <w:sdtPr>
                <w:id w:val="-872149808"/>
                <w:citation/>
              </w:sdtPr>
              <w:sdtEndPr/>
              <w:sdtContent>
                <w:r w:rsidR="009A3F69" w:rsidRPr="009A3F69">
                  <w:fldChar w:fldCharType="begin"/>
                </w:r>
                <w:r w:rsidR="009A3F69" w:rsidRPr="009A3F69">
                  <w:rPr>
                    <w:rFonts w:eastAsia="Calibri" w:cs="Arial"/>
                  </w:rPr>
                  <w:instrText xml:space="preserve"> CITATION CATCLASS \l 2057 </w:instrText>
                </w:r>
                <w:r w:rsidR="009A3F69" w:rsidRPr="009A3F69">
                  <w:fldChar w:fldCharType="separate"/>
                </w:r>
                <w:r w:rsidR="008F6B70" w:rsidRPr="008F6B70">
                  <w:rPr>
                    <w:rFonts w:eastAsia="Calibri" w:cs="Arial"/>
                    <w:noProof/>
                  </w:rPr>
                  <w:t>[12]</w:t>
                </w:r>
                <w:r w:rsidR="009A3F69" w:rsidRPr="009A3F69">
                  <w:fldChar w:fldCharType="end"/>
                </w:r>
              </w:sdtContent>
            </w:sdt>
          </w:p>
        </w:tc>
      </w:tr>
      <w:tr w:rsidR="009A3F69" w:rsidRPr="009A3F69" w14:paraId="0177DC64" w14:textId="77777777" w:rsidTr="009C3662">
        <w:trPr>
          <w:cantSplit/>
        </w:trPr>
        <w:tc>
          <w:tcPr>
            <w:tcW w:w="562" w:type="dxa"/>
          </w:tcPr>
          <w:p w14:paraId="05385E90" w14:textId="77777777" w:rsidR="009A3F69" w:rsidRPr="009A3F69" w:rsidRDefault="009A3F69" w:rsidP="00621605">
            <w:pPr>
              <w:spacing w:before="60" w:after="60"/>
              <w:rPr>
                <w:rFonts w:eastAsia="Calibri" w:cs="Arial"/>
              </w:rPr>
            </w:pPr>
            <w:r w:rsidRPr="009A3F69">
              <w:rPr>
                <w:rFonts w:eastAsia="Calibri" w:cs="Arial"/>
              </w:rPr>
              <w:lastRenderedPageBreak/>
              <w:t>5</w:t>
            </w:r>
          </w:p>
        </w:tc>
        <w:tc>
          <w:tcPr>
            <w:tcW w:w="2127" w:type="dxa"/>
          </w:tcPr>
          <w:p w14:paraId="5E905DE7" w14:textId="77777777" w:rsidR="009A3F69" w:rsidRPr="009A3F69" w:rsidRDefault="009A3F69" w:rsidP="00621605">
            <w:pPr>
              <w:spacing w:before="60" w:after="60"/>
              <w:rPr>
                <w:rFonts w:eastAsia="Calibri" w:cs="Arial"/>
              </w:rPr>
            </w:pPr>
            <w:r w:rsidRPr="009A3F69">
              <w:rPr>
                <w:rFonts w:eastAsia="Calibri" w:cs="Arial"/>
              </w:rPr>
              <w:t>EIMT requirements</w:t>
            </w:r>
          </w:p>
        </w:tc>
        <w:tc>
          <w:tcPr>
            <w:tcW w:w="9355" w:type="dxa"/>
          </w:tcPr>
          <w:p w14:paraId="636F4B78" w14:textId="77777777" w:rsidR="009A3F69" w:rsidRPr="009A3F69" w:rsidRDefault="009A3F69" w:rsidP="00621605">
            <w:pPr>
              <w:spacing w:before="60" w:after="60"/>
              <w:rPr>
                <w:rFonts w:eastAsia="Calibri" w:cs="Arial"/>
              </w:rPr>
            </w:pPr>
            <w:r w:rsidRPr="009A3F69">
              <w:rPr>
                <w:rFonts w:eastAsia="Calibri" w:cs="Arial"/>
              </w:rPr>
              <w:t>The licensee’s PMS should state the EIMT required to support the safety case with the activity and frequency (including applicable tolerance(s)) underpinned and evidenced by suitable engineering substantiation and/or operational experience. This is also applicable for any lesser safety significant SSCs not included on the PMS.</w:t>
            </w:r>
          </w:p>
          <w:p w14:paraId="3FAF31A8" w14:textId="77777777" w:rsidR="009A3F69" w:rsidRPr="009A3F69" w:rsidRDefault="009A3F69" w:rsidP="00621605">
            <w:pPr>
              <w:spacing w:before="60" w:after="60"/>
              <w:rPr>
                <w:rFonts w:eastAsia="Calibri" w:cs="Arial"/>
              </w:rPr>
            </w:pPr>
            <w:r w:rsidRPr="009A3F69">
              <w:rPr>
                <w:rFonts w:eastAsia="Calibri" w:cs="Arial"/>
              </w:rPr>
              <w:t>Where the contents of the PMS are based on demonstrations of operability/availability and continuing plant reliability, the EIMT activity identified should be sufficient to achieve adequate compliance with the assumptions contained in the site PSA.</w:t>
            </w:r>
          </w:p>
        </w:tc>
        <w:tc>
          <w:tcPr>
            <w:tcW w:w="1904" w:type="dxa"/>
          </w:tcPr>
          <w:p w14:paraId="3F10C58F" w14:textId="76DC4228" w:rsidR="009A3F69" w:rsidRPr="009A3F69" w:rsidRDefault="008E172C" w:rsidP="00621605">
            <w:pPr>
              <w:spacing w:before="60" w:after="60"/>
              <w:rPr>
                <w:rFonts w:eastAsia="Calibri" w:cs="Arial"/>
              </w:rPr>
            </w:pPr>
            <w:sdt>
              <w:sdtPr>
                <w:id w:val="-997883049"/>
                <w:citation/>
              </w:sdtPr>
              <w:sdtEndPr/>
              <w:sdtContent>
                <w:r w:rsidR="009A3F69" w:rsidRPr="009A3F69">
                  <w:fldChar w:fldCharType="begin"/>
                </w:r>
                <w:r w:rsidR="009A3F69" w:rsidRPr="009A3F69">
                  <w:rPr>
                    <w:rFonts w:eastAsia="Calibri" w:cs="Arial"/>
                  </w:rPr>
                  <w:instrText xml:space="preserve">CITATION eimtnewtag \l 2057 </w:instrText>
                </w:r>
                <w:r w:rsidR="009A3F69" w:rsidRPr="009A3F69">
                  <w:fldChar w:fldCharType="separate"/>
                </w:r>
                <w:r w:rsidR="008F6B70" w:rsidRPr="008F6B70">
                  <w:rPr>
                    <w:noProof/>
                  </w:rPr>
                  <w:t>[1]</w:t>
                </w:r>
                <w:r w:rsidR="009A3F69" w:rsidRPr="009A3F69">
                  <w:fldChar w:fldCharType="end"/>
                </w:r>
              </w:sdtContent>
            </w:sdt>
            <w:r w:rsidR="009A3F69" w:rsidRPr="009A3F69">
              <w:rPr>
                <w:rFonts w:eastAsia="Calibri" w:cs="Arial"/>
              </w:rPr>
              <w:t xml:space="preserve"> and </w:t>
            </w:r>
            <w:sdt>
              <w:sdtPr>
                <w:id w:val="952751081"/>
                <w:citation/>
              </w:sdtPr>
              <w:sdtEndPr/>
              <w:sdtContent>
                <w:r w:rsidR="009A3F69" w:rsidRPr="009A3F69">
                  <w:fldChar w:fldCharType="begin"/>
                </w:r>
                <w:r w:rsidR="009A3F69" w:rsidRPr="009A3F69">
                  <w:rPr>
                    <w:rFonts w:eastAsia="Calibri" w:cs="Arial"/>
                  </w:rPr>
                  <w:instrText xml:space="preserve">CITATION tig28iaea \l 2057 </w:instrText>
                </w:r>
                <w:r w:rsidR="009A3F69" w:rsidRPr="009A3F69">
                  <w:fldChar w:fldCharType="separate"/>
                </w:r>
                <w:r w:rsidR="008F6B70" w:rsidRPr="008F6B70">
                  <w:rPr>
                    <w:noProof/>
                  </w:rPr>
                  <w:t>[2]</w:t>
                </w:r>
                <w:r w:rsidR="009A3F69" w:rsidRPr="009A3F69">
                  <w:fldChar w:fldCharType="end"/>
                </w:r>
              </w:sdtContent>
            </w:sdt>
          </w:p>
        </w:tc>
      </w:tr>
      <w:tr w:rsidR="009A3F69" w:rsidRPr="009A3F69" w14:paraId="49FE1E7B" w14:textId="77777777" w:rsidTr="009C3662">
        <w:trPr>
          <w:cantSplit/>
        </w:trPr>
        <w:tc>
          <w:tcPr>
            <w:tcW w:w="562" w:type="dxa"/>
          </w:tcPr>
          <w:p w14:paraId="6E4E88D8" w14:textId="77777777" w:rsidR="009A3F69" w:rsidRPr="009A3F69" w:rsidRDefault="009A3F69" w:rsidP="00621605">
            <w:pPr>
              <w:spacing w:before="60" w:after="60"/>
              <w:rPr>
                <w:rFonts w:eastAsia="Calibri" w:cs="Arial"/>
              </w:rPr>
            </w:pPr>
            <w:r w:rsidRPr="009A3F69">
              <w:rPr>
                <w:rFonts w:eastAsia="Calibri" w:cs="Arial"/>
              </w:rPr>
              <w:t>6</w:t>
            </w:r>
          </w:p>
        </w:tc>
        <w:tc>
          <w:tcPr>
            <w:tcW w:w="2127" w:type="dxa"/>
          </w:tcPr>
          <w:p w14:paraId="55E4C03A" w14:textId="77777777" w:rsidR="009A3F69" w:rsidRPr="009A3F69" w:rsidRDefault="009A3F69" w:rsidP="00621605">
            <w:pPr>
              <w:spacing w:before="60" w:after="60"/>
              <w:rPr>
                <w:rFonts w:eastAsia="Calibri" w:cs="Arial"/>
              </w:rPr>
            </w:pPr>
            <w:r w:rsidRPr="009A3F69">
              <w:rPr>
                <w:rFonts w:eastAsia="Calibri" w:cs="Arial"/>
              </w:rPr>
              <w:t>PMS suspensions (links to LC 22)</w:t>
            </w:r>
          </w:p>
        </w:tc>
        <w:tc>
          <w:tcPr>
            <w:tcW w:w="9355" w:type="dxa"/>
          </w:tcPr>
          <w:p w14:paraId="43AF5CE4" w14:textId="77777777" w:rsidR="009A3F69" w:rsidRPr="009A3F69" w:rsidRDefault="009A3F69" w:rsidP="00621605">
            <w:pPr>
              <w:spacing w:before="60" w:after="60"/>
              <w:rPr>
                <w:rFonts w:eastAsia="Calibri" w:cs="Arial"/>
              </w:rPr>
            </w:pPr>
            <w:r w:rsidRPr="009A3F69">
              <w:rPr>
                <w:rFonts w:eastAsia="Calibri" w:cs="Arial"/>
              </w:rPr>
              <w:t xml:space="preserve">Where an extension of the interval for EIMT is required, the licensee’s arrangements should set expectations for the level of justification as well as identify the potential need to request agreement from ONR under LC 28(7). </w:t>
            </w:r>
          </w:p>
          <w:p w14:paraId="398B7F47" w14:textId="77777777" w:rsidR="009A3F69" w:rsidRPr="009A3F69" w:rsidRDefault="009A3F69" w:rsidP="00621605">
            <w:pPr>
              <w:spacing w:before="60" w:after="60"/>
              <w:rPr>
                <w:rFonts w:eastAsia="Calibri" w:cs="Arial"/>
              </w:rPr>
            </w:pPr>
            <w:r w:rsidRPr="009A3F69">
              <w:rPr>
                <w:rFonts w:eastAsia="Calibri" w:cs="Arial"/>
              </w:rPr>
              <w:t xml:space="preserve">If the PMS is not approved, then the intervals may be extended by following the licensee’s LC 22 arrangements. The arrangements should describe the appropriate control and authorisation measures with the justification for extensions giving consideration to operational experience and engineering substantiation. </w:t>
            </w:r>
          </w:p>
          <w:p w14:paraId="379EA893" w14:textId="1631F82A" w:rsidR="009A3F69" w:rsidRPr="009A3F69" w:rsidRDefault="009A3F69" w:rsidP="00621605">
            <w:pPr>
              <w:spacing w:before="60" w:after="60"/>
              <w:rPr>
                <w:rFonts w:eastAsia="Calibri" w:cs="Arial"/>
              </w:rPr>
            </w:pPr>
            <w:r w:rsidRPr="009A3F69">
              <w:rPr>
                <w:rFonts w:eastAsia="Calibri" w:cs="Arial"/>
                <w:b/>
                <w:bCs/>
              </w:rPr>
              <w:t>Note</w:t>
            </w:r>
            <w:r w:rsidRPr="009A3F69">
              <w:rPr>
                <w:rFonts w:eastAsia="Calibri" w:cs="Arial"/>
              </w:rPr>
              <w:t>: If the licensee defers an LC 28 inspection they should confirm that they remain compliant with other legally binding inspection requirements (</w:t>
            </w:r>
            <w:r w:rsidR="004D7307">
              <w:rPr>
                <w:rFonts w:eastAsia="Calibri" w:cs="Arial"/>
              </w:rPr>
              <w:t>e.g.</w:t>
            </w:r>
            <w:r w:rsidRPr="009A3F69">
              <w:rPr>
                <w:rFonts w:eastAsia="Calibri" w:cs="Arial"/>
              </w:rPr>
              <w:t xml:space="preserve"> Pressure Systems Safety Regulations (2000) or Lifting Operations and Lifting Equipment Regulations 1998).</w:t>
            </w:r>
          </w:p>
        </w:tc>
        <w:tc>
          <w:tcPr>
            <w:tcW w:w="1904" w:type="dxa"/>
          </w:tcPr>
          <w:p w14:paraId="5CB5EAD0" w14:textId="77777777" w:rsidR="009A3F69" w:rsidRPr="009A3F69" w:rsidRDefault="009A3F69" w:rsidP="00621605">
            <w:pPr>
              <w:spacing w:before="60" w:after="60"/>
              <w:rPr>
                <w:rFonts w:eastAsia="Calibri" w:cs="Arial"/>
              </w:rPr>
            </w:pPr>
          </w:p>
        </w:tc>
      </w:tr>
      <w:tr w:rsidR="009A3F69" w:rsidRPr="009A3F69" w14:paraId="3502F28B" w14:textId="77777777" w:rsidTr="009C3662">
        <w:trPr>
          <w:cantSplit/>
        </w:trPr>
        <w:tc>
          <w:tcPr>
            <w:tcW w:w="562" w:type="dxa"/>
          </w:tcPr>
          <w:p w14:paraId="34E42442" w14:textId="77777777" w:rsidR="009A3F69" w:rsidRPr="009A3F69" w:rsidRDefault="009A3F69" w:rsidP="00621605">
            <w:pPr>
              <w:spacing w:before="60" w:after="60"/>
              <w:rPr>
                <w:rFonts w:eastAsia="Calibri" w:cs="Arial"/>
              </w:rPr>
            </w:pPr>
            <w:r w:rsidRPr="009A3F69">
              <w:rPr>
                <w:rFonts w:eastAsia="Calibri" w:cs="Arial"/>
              </w:rPr>
              <w:t>7</w:t>
            </w:r>
          </w:p>
        </w:tc>
        <w:tc>
          <w:tcPr>
            <w:tcW w:w="2127" w:type="dxa"/>
          </w:tcPr>
          <w:p w14:paraId="2F4FCE12" w14:textId="77777777" w:rsidR="009A3F69" w:rsidRPr="009A3F69" w:rsidRDefault="009A3F69" w:rsidP="00621605">
            <w:pPr>
              <w:spacing w:before="60" w:after="60"/>
              <w:rPr>
                <w:rFonts w:eastAsia="Calibri" w:cs="Arial"/>
              </w:rPr>
            </w:pPr>
            <w:r w:rsidRPr="009A3F69">
              <w:rPr>
                <w:rFonts w:eastAsia="Calibri" w:cs="Arial"/>
              </w:rPr>
              <w:t>EIMT Modifications (links to LC 22)</w:t>
            </w:r>
          </w:p>
        </w:tc>
        <w:tc>
          <w:tcPr>
            <w:tcW w:w="9355" w:type="dxa"/>
          </w:tcPr>
          <w:p w14:paraId="23A15711" w14:textId="77777777" w:rsidR="009A3F69" w:rsidRPr="009A3F69" w:rsidRDefault="009A3F69" w:rsidP="00621605">
            <w:pPr>
              <w:spacing w:before="60" w:after="60"/>
              <w:rPr>
                <w:rFonts w:eastAsia="Calibri" w:cs="Arial"/>
              </w:rPr>
            </w:pPr>
            <w:r w:rsidRPr="009A3F69">
              <w:rPr>
                <w:rFonts w:eastAsia="Calibri" w:cs="Arial"/>
              </w:rPr>
              <w:t>The licensee should have an appropriate level of control on changes to EIMT for plant that may affect safety. The licensee’s arrangements should require a safety justification that is graded according to the safety significance of the SSC and in accordance with its LC 22 arrangements.</w:t>
            </w:r>
          </w:p>
        </w:tc>
        <w:tc>
          <w:tcPr>
            <w:tcW w:w="1904" w:type="dxa"/>
          </w:tcPr>
          <w:p w14:paraId="7F95E86F" w14:textId="77777777" w:rsidR="009A3F69" w:rsidRPr="009A3F69" w:rsidRDefault="009A3F69" w:rsidP="00621605">
            <w:pPr>
              <w:spacing w:before="60" w:after="60"/>
              <w:rPr>
                <w:rFonts w:eastAsia="Calibri" w:cs="Arial"/>
              </w:rPr>
            </w:pPr>
          </w:p>
        </w:tc>
      </w:tr>
      <w:tr w:rsidR="009A3F69" w:rsidRPr="009A3F69" w14:paraId="264575C5" w14:textId="77777777" w:rsidTr="009C3662">
        <w:trPr>
          <w:cantSplit/>
        </w:trPr>
        <w:tc>
          <w:tcPr>
            <w:tcW w:w="562" w:type="dxa"/>
          </w:tcPr>
          <w:p w14:paraId="4D1FA107" w14:textId="77777777" w:rsidR="009A3F69" w:rsidRPr="009A3F69" w:rsidRDefault="009A3F69" w:rsidP="00621605">
            <w:pPr>
              <w:spacing w:before="60" w:after="60"/>
              <w:rPr>
                <w:rFonts w:eastAsia="Calibri" w:cs="Arial"/>
              </w:rPr>
            </w:pPr>
            <w:r w:rsidRPr="009A3F69">
              <w:rPr>
                <w:rFonts w:eastAsia="Calibri" w:cs="Arial"/>
              </w:rPr>
              <w:lastRenderedPageBreak/>
              <w:t>8</w:t>
            </w:r>
          </w:p>
        </w:tc>
        <w:tc>
          <w:tcPr>
            <w:tcW w:w="2127" w:type="dxa"/>
          </w:tcPr>
          <w:p w14:paraId="51715DE9" w14:textId="77777777" w:rsidR="009A3F69" w:rsidRPr="009A3F69" w:rsidRDefault="009A3F69" w:rsidP="00621605">
            <w:pPr>
              <w:spacing w:before="60" w:after="60"/>
              <w:rPr>
                <w:rFonts w:eastAsia="Calibri" w:cs="Arial"/>
              </w:rPr>
            </w:pPr>
            <w:r w:rsidRPr="009A3F69">
              <w:rPr>
                <w:rFonts w:eastAsia="Calibri" w:cs="Arial"/>
              </w:rPr>
              <w:t>Periodic Shutdown (links to LC 30)</w:t>
            </w:r>
          </w:p>
        </w:tc>
        <w:tc>
          <w:tcPr>
            <w:tcW w:w="9355" w:type="dxa"/>
          </w:tcPr>
          <w:p w14:paraId="052CA1B8" w14:textId="77777777" w:rsidR="009A3F69" w:rsidRPr="009A3F69" w:rsidRDefault="009A3F69" w:rsidP="00621605">
            <w:pPr>
              <w:spacing w:before="60" w:after="60"/>
              <w:rPr>
                <w:rFonts w:eastAsia="Calibri" w:cs="Arial"/>
              </w:rPr>
            </w:pPr>
            <w:r w:rsidRPr="009A3F69">
              <w:rPr>
                <w:rFonts w:eastAsia="Calibri" w:cs="Arial"/>
              </w:rPr>
              <w:t>Where work activities that are specified in the PMS can only be carried out with the plant shutdown, the arrangements should define the maximum operating period between periodic shutdowns.</w:t>
            </w:r>
          </w:p>
          <w:p w14:paraId="1C44BCCE" w14:textId="77777777" w:rsidR="009A3F69" w:rsidRPr="009A3F69" w:rsidRDefault="009A3F69" w:rsidP="00621605">
            <w:pPr>
              <w:spacing w:before="60" w:after="60"/>
              <w:rPr>
                <w:rFonts w:eastAsia="Calibri" w:cs="Arial"/>
              </w:rPr>
            </w:pPr>
            <w:r w:rsidRPr="009A3F69">
              <w:rPr>
                <w:rFonts w:eastAsia="Calibri" w:cs="Arial"/>
              </w:rPr>
              <w:t>In the case of operational reactor power stations, ONR has approved part of the maintenance schedule referred to as the ‘preface’ under LC 28(4). In such cases the preface specifies the duration of operation between periodic shutdowns. Therefore, should the licensee wish to permanently amend such an interval, as defined within the preface, its arrangements should reflect the requirement for an approval to be sought from ONR in accordance with LC 28(5).</w:t>
            </w:r>
          </w:p>
        </w:tc>
        <w:tc>
          <w:tcPr>
            <w:tcW w:w="1904" w:type="dxa"/>
          </w:tcPr>
          <w:p w14:paraId="140BDDB7" w14:textId="4B431942" w:rsidR="009A3F69" w:rsidRPr="009A3F69" w:rsidRDefault="008E172C" w:rsidP="00621605">
            <w:pPr>
              <w:spacing w:before="60" w:after="60"/>
              <w:rPr>
                <w:rFonts w:eastAsia="Calibri" w:cs="Arial"/>
              </w:rPr>
            </w:pPr>
            <w:sdt>
              <w:sdtPr>
                <w:id w:val="-1334064318"/>
                <w:citation/>
              </w:sdtPr>
              <w:sdtEndPr/>
              <w:sdtContent>
                <w:r w:rsidR="009A3F69" w:rsidRPr="009A3F69">
                  <w:fldChar w:fldCharType="begin"/>
                </w:r>
                <w:r w:rsidR="009A3F69" w:rsidRPr="009A3F69">
                  <w:rPr>
                    <w:rFonts w:eastAsia="Calibri" w:cs="Arial"/>
                  </w:rPr>
                  <w:instrText xml:space="preserve"> CITATION LC30 \l 2057 </w:instrText>
                </w:r>
                <w:r w:rsidR="009A3F69" w:rsidRPr="009A3F69">
                  <w:fldChar w:fldCharType="separate"/>
                </w:r>
                <w:r w:rsidR="008F6B70" w:rsidRPr="008F6B70">
                  <w:rPr>
                    <w:rFonts w:eastAsia="Calibri" w:cs="Arial"/>
                    <w:noProof/>
                  </w:rPr>
                  <w:t>[13]</w:t>
                </w:r>
                <w:r w:rsidR="009A3F69" w:rsidRPr="009A3F69">
                  <w:fldChar w:fldCharType="end"/>
                </w:r>
              </w:sdtContent>
            </w:sdt>
          </w:p>
        </w:tc>
      </w:tr>
      <w:tr w:rsidR="009A3F69" w:rsidRPr="009A3F69" w14:paraId="4806BE0C" w14:textId="77777777" w:rsidTr="009C3662">
        <w:trPr>
          <w:cantSplit/>
        </w:trPr>
        <w:tc>
          <w:tcPr>
            <w:tcW w:w="562" w:type="dxa"/>
          </w:tcPr>
          <w:p w14:paraId="51C3DA8F" w14:textId="77777777" w:rsidR="009A3F69" w:rsidRPr="009A3F69" w:rsidRDefault="009A3F69" w:rsidP="00621605">
            <w:pPr>
              <w:spacing w:before="60" w:after="60"/>
              <w:rPr>
                <w:rFonts w:eastAsia="Calibri" w:cs="Arial"/>
              </w:rPr>
            </w:pPr>
            <w:r w:rsidRPr="009A3F69">
              <w:rPr>
                <w:rFonts w:eastAsia="Calibri" w:cs="Arial"/>
              </w:rPr>
              <w:t>9</w:t>
            </w:r>
          </w:p>
        </w:tc>
        <w:tc>
          <w:tcPr>
            <w:tcW w:w="2127" w:type="dxa"/>
          </w:tcPr>
          <w:p w14:paraId="61A4918A" w14:textId="77777777" w:rsidR="009A3F69" w:rsidRPr="009A3F69" w:rsidRDefault="009A3F69" w:rsidP="00621605">
            <w:pPr>
              <w:spacing w:before="60" w:after="60"/>
              <w:rPr>
                <w:rFonts w:eastAsia="Calibri" w:cs="Arial"/>
              </w:rPr>
            </w:pPr>
            <w:r w:rsidRPr="009A3F69">
              <w:rPr>
                <w:rFonts w:eastAsia="Calibri" w:cs="Arial"/>
              </w:rPr>
              <w:t>Maintenance Optimisation</w:t>
            </w:r>
          </w:p>
        </w:tc>
        <w:tc>
          <w:tcPr>
            <w:tcW w:w="9355" w:type="dxa"/>
          </w:tcPr>
          <w:p w14:paraId="01704310" w14:textId="77777777" w:rsidR="009A3F69" w:rsidRPr="009A3F69" w:rsidRDefault="009A3F69" w:rsidP="00621605">
            <w:pPr>
              <w:spacing w:before="60" w:after="60"/>
              <w:rPr>
                <w:rFonts w:eastAsia="Calibri" w:cs="Arial"/>
              </w:rPr>
            </w:pPr>
            <w:r w:rsidRPr="009A3F69">
              <w:rPr>
                <w:rFonts w:eastAsia="Calibri" w:cs="Arial"/>
              </w:rPr>
              <w:t>The licensee should have a process that uses operating experience (for example, from EIMT findings or defects) to optimise maintenance operations.</w:t>
            </w:r>
          </w:p>
          <w:p w14:paraId="4AC96DD1" w14:textId="77777777" w:rsidR="009A3F69" w:rsidRPr="009A3F69" w:rsidRDefault="009A3F69" w:rsidP="00621605">
            <w:pPr>
              <w:spacing w:before="60" w:after="60"/>
              <w:rPr>
                <w:rFonts w:eastAsia="Calibri" w:cs="Arial"/>
              </w:rPr>
            </w:pPr>
            <w:r w:rsidRPr="009A3F69">
              <w:rPr>
                <w:rFonts w:eastAsia="Calibri" w:cs="Arial"/>
              </w:rPr>
              <w:t>For facilities where safety cases have been updated or renewed the licensee should review the PMS to ensure that the contents reflect the current safety case and hazard.</w:t>
            </w:r>
          </w:p>
        </w:tc>
        <w:tc>
          <w:tcPr>
            <w:tcW w:w="1904" w:type="dxa"/>
          </w:tcPr>
          <w:p w14:paraId="2C86BCD3" w14:textId="2D67628A" w:rsidR="009A3F69" w:rsidRPr="009A3F69" w:rsidRDefault="008E172C" w:rsidP="00621605">
            <w:pPr>
              <w:spacing w:before="60" w:after="60"/>
              <w:rPr>
                <w:rFonts w:eastAsia="Calibri" w:cs="Arial"/>
              </w:rPr>
            </w:pPr>
            <w:sdt>
              <w:sdtPr>
                <w:id w:val="-750658983"/>
                <w:citation/>
              </w:sdtPr>
              <w:sdtEndPr/>
              <w:sdtContent>
                <w:r w:rsidR="009A3F69" w:rsidRPr="009A3F69">
                  <w:fldChar w:fldCharType="begin"/>
                </w:r>
                <w:r w:rsidR="009A3F69" w:rsidRPr="009A3F69">
                  <w:rPr>
                    <w:rFonts w:eastAsia="Calibri" w:cs="Arial"/>
                  </w:rPr>
                  <w:instrText xml:space="preserve">CITATION tig28iaea \l 2057 </w:instrText>
                </w:r>
                <w:r w:rsidR="009A3F69" w:rsidRPr="009A3F69">
                  <w:fldChar w:fldCharType="separate"/>
                </w:r>
                <w:r w:rsidR="008F6B70" w:rsidRPr="008F6B70">
                  <w:rPr>
                    <w:noProof/>
                  </w:rPr>
                  <w:t>[2]</w:t>
                </w:r>
                <w:r w:rsidR="009A3F69" w:rsidRPr="009A3F69">
                  <w:fldChar w:fldCharType="end"/>
                </w:r>
              </w:sdtContent>
            </w:sdt>
          </w:p>
        </w:tc>
      </w:tr>
      <w:tr w:rsidR="009A3F69" w:rsidRPr="009A3F69" w14:paraId="3D35EBB3" w14:textId="77777777" w:rsidTr="009C3662">
        <w:trPr>
          <w:cantSplit/>
        </w:trPr>
        <w:tc>
          <w:tcPr>
            <w:tcW w:w="562" w:type="dxa"/>
          </w:tcPr>
          <w:p w14:paraId="45B5B291" w14:textId="77777777" w:rsidR="009A3F69" w:rsidRPr="009A3F69" w:rsidRDefault="009A3F69" w:rsidP="00621605">
            <w:pPr>
              <w:spacing w:before="60" w:after="60"/>
              <w:rPr>
                <w:rFonts w:eastAsia="Calibri" w:cs="Arial"/>
              </w:rPr>
            </w:pPr>
            <w:r w:rsidRPr="009A3F69">
              <w:rPr>
                <w:rFonts w:eastAsia="Calibri" w:cs="Arial"/>
              </w:rPr>
              <w:t>10</w:t>
            </w:r>
          </w:p>
        </w:tc>
        <w:tc>
          <w:tcPr>
            <w:tcW w:w="2127" w:type="dxa"/>
          </w:tcPr>
          <w:p w14:paraId="66904734" w14:textId="77777777" w:rsidR="009A3F69" w:rsidRPr="009A3F69" w:rsidRDefault="009A3F69" w:rsidP="00621605">
            <w:pPr>
              <w:spacing w:before="60" w:after="60"/>
              <w:rPr>
                <w:rFonts w:eastAsia="Calibri" w:cs="Arial"/>
              </w:rPr>
            </w:pPr>
            <w:r w:rsidRPr="009A3F69">
              <w:rPr>
                <w:rFonts w:eastAsia="Calibri" w:cs="Arial"/>
              </w:rPr>
              <w:t>Ageing, degradation and obsolescence</w:t>
            </w:r>
          </w:p>
        </w:tc>
        <w:tc>
          <w:tcPr>
            <w:tcW w:w="9355" w:type="dxa"/>
          </w:tcPr>
          <w:p w14:paraId="4808909F" w14:textId="7ABC20A0" w:rsidR="009A3F69" w:rsidRPr="009A3F69" w:rsidRDefault="009A3F69" w:rsidP="00621605">
            <w:pPr>
              <w:spacing w:before="60" w:after="60"/>
              <w:rPr>
                <w:rFonts w:eastAsia="Calibri" w:cs="Arial"/>
              </w:rPr>
            </w:pPr>
            <w:r w:rsidRPr="009A3F69">
              <w:rPr>
                <w:rFonts w:eastAsia="Calibri" w:cs="Arial"/>
              </w:rPr>
              <w:t>The licensee’s arrangements should take consideration of asset management requirements (</w:t>
            </w:r>
            <w:r w:rsidR="00A87D44">
              <w:rPr>
                <w:rFonts w:eastAsia="Calibri" w:cs="Arial"/>
              </w:rPr>
              <w:t>e.g.</w:t>
            </w:r>
            <w:r w:rsidRPr="009A3F69">
              <w:rPr>
                <w:rFonts w:eastAsia="Calibri" w:cs="Arial"/>
              </w:rPr>
              <w:t xml:space="preserve"> ageing, degradation, obsolescence) including the strategies for reviewing and managing the obsolescence of SSCs important to safety. EIMT methods and frequency of application should be effective in detecting or mitigating ageing and degradation mechanisms before they adversely impact safety.</w:t>
            </w:r>
          </w:p>
        </w:tc>
        <w:tc>
          <w:tcPr>
            <w:tcW w:w="1904" w:type="dxa"/>
          </w:tcPr>
          <w:p w14:paraId="0BA111D6" w14:textId="055036B5" w:rsidR="009A3F69" w:rsidRPr="009A3F69" w:rsidRDefault="008E172C" w:rsidP="00621605">
            <w:pPr>
              <w:spacing w:before="60" w:after="60"/>
              <w:rPr>
                <w:rFonts w:eastAsia="Calibri" w:cs="Arial"/>
              </w:rPr>
            </w:pPr>
            <w:sdt>
              <w:sdtPr>
                <w:id w:val="446201954"/>
                <w:citation/>
              </w:sdtPr>
              <w:sdtEndPr/>
              <w:sdtContent>
                <w:r w:rsidR="009A3F69" w:rsidRPr="009A3F69">
                  <w:fldChar w:fldCharType="begin"/>
                </w:r>
                <w:r w:rsidR="009A3F69" w:rsidRPr="009A3F69">
                  <w:rPr>
                    <w:rFonts w:eastAsia="Calibri" w:cs="Arial"/>
                  </w:rPr>
                  <w:instrText xml:space="preserve">CITATION ONRageingtag \l 2057 </w:instrText>
                </w:r>
                <w:r w:rsidR="009A3F69" w:rsidRPr="009A3F69">
                  <w:fldChar w:fldCharType="separate"/>
                </w:r>
                <w:r w:rsidR="008F6B70" w:rsidRPr="008F6B70">
                  <w:rPr>
                    <w:noProof/>
                  </w:rPr>
                  <w:t>[14]</w:t>
                </w:r>
                <w:r w:rsidR="009A3F69" w:rsidRPr="009A3F69">
                  <w:fldChar w:fldCharType="end"/>
                </w:r>
              </w:sdtContent>
            </w:sdt>
          </w:p>
        </w:tc>
      </w:tr>
      <w:tr w:rsidR="009A3F69" w:rsidRPr="009A3F69" w14:paraId="657D95FC" w14:textId="77777777" w:rsidTr="009C3662">
        <w:trPr>
          <w:cantSplit/>
          <w:trHeight w:val="1067"/>
        </w:trPr>
        <w:tc>
          <w:tcPr>
            <w:tcW w:w="562" w:type="dxa"/>
          </w:tcPr>
          <w:p w14:paraId="58A00B44" w14:textId="77777777" w:rsidR="009A3F69" w:rsidRPr="009A3F69" w:rsidRDefault="009A3F69" w:rsidP="00621605">
            <w:pPr>
              <w:spacing w:before="60" w:after="60"/>
              <w:rPr>
                <w:rFonts w:eastAsia="Calibri" w:cs="Arial"/>
              </w:rPr>
            </w:pPr>
            <w:r w:rsidRPr="009A3F69">
              <w:rPr>
                <w:rFonts w:eastAsia="Calibri" w:cs="Arial"/>
              </w:rPr>
              <w:t>11</w:t>
            </w:r>
          </w:p>
        </w:tc>
        <w:tc>
          <w:tcPr>
            <w:tcW w:w="2127" w:type="dxa"/>
          </w:tcPr>
          <w:p w14:paraId="0EDD165C" w14:textId="77777777" w:rsidR="009A3F69" w:rsidRPr="009A3F69" w:rsidRDefault="009A3F69" w:rsidP="00621605">
            <w:pPr>
              <w:spacing w:before="60" w:after="60"/>
              <w:rPr>
                <w:rFonts w:eastAsia="Calibri" w:cs="Arial"/>
              </w:rPr>
            </w:pPr>
            <w:r w:rsidRPr="009A3F69">
              <w:rPr>
                <w:rFonts w:eastAsia="Calibri" w:cs="Arial"/>
              </w:rPr>
              <w:t>Maintenance backlogs</w:t>
            </w:r>
          </w:p>
        </w:tc>
        <w:tc>
          <w:tcPr>
            <w:tcW w:w="9355" w:type="dxa"/>
          </w:tcPr>
          <w:p w14:paraId="52AF750D" w14:textId="2BEE7147" w:rsidR="009A3F69" w:rsidRPr="009A3F69" w:rsidRDefault="009A3F69" w:rsidP="00621605">
            <w:pPr>
              <w:spacing w:before="60" w:after="60"/>
              <w:rPr>
                <w:rFonts w:eastAsia="Calibri" w:cs="Arial"/>
              </w:rPr>
            </w:pPr>
            <w:r w:rsidRPr="009A3F69">
              <w:rPr>
                <w:rFonts w:eastAsia="Calibri" w:cs="Arial"/>
              </w:rPr>
              <w:t>The licensee should have a process to prevent maintenance backlogs and ensure any backlogs do not have an adverse effect on the safety of the plant.</w:t>
            </w:r>
          </w:p>
        </w:tc>
        <w:tc>
          <w:tcPr>
            <w:tcW w:w="1904" w:type="dxa"/>
          </w:tcPr>
          <w:p w14:paraId="302A6551" w14:textId="77777777" w:rsidR="009A3F69" w:rsidRPr="009A3F69" w:rsidRDefault="009A3F69" w:rsidP="00621605">
            <w:pPr>
              <w:spacing w:before="60" w:after="60"/>
              <w:rPr>
                <w:rFonts w:eastAsia="Calibri" w:cs="Arial"/>
              </w:rPr>
            </w:pPr>
          </w:p>
        </w:tc>
      </w:tr>
      <w:tr w:rsidR="009A3F69" w:rsidRPr="009A3F69" w14:paraId="337B8C46" w14:textId="77777777" w:rsidTr="009C3662">
        <w:trPr>
          <w:cantSplit/>
        </w:trPr>
        <w:tc>
          <w:tcPr>
            <w:tcW w:w="562" w:type="dxa"/>
          </w:tcPr>
          <w:p w14:paraId="1DEFE247" w14:textId="77777777" w:rsidR="009A3F69" w:rsidRPr="009A3F69" w:rsidRDefault="009A3F69" w:rsidP="00621605">
            <w:pPr>
              <w:spacing w:before="60" w:after="60"/>
              <w:rPr>
                <w:rFonts w:eastAsia="Calibri" w:cs="Arial"/>
              </w:rPr>
            </w:pPr>
            <w:r w:rsidRPr="009A3F69">
              <w:rPr>
                <w:rFonts w:eastAsia="Calibri" w:cs="Arial"/>
              </w:rPr>
              <w:lastRenderedPageBreak/>
              <w:t>12</w:t>
            </w:r>
          </w:p>
        </w:tc>
        <w:tc>
          <w:tcPr>
            <w:tcW w:w="2127" w:type="dxa"/>
          </w:tcPr>
          <w:p w14:paraId="16C88FB1" w14:textId="77777777" w:rsidR="009A3F69" w:rsidRPr="009A3F69" w:rsidRDefault="009A3F69" w:rsidP="00621605">
            <w:pPr>
              <w:spacing w:before="60" w:after="60"/>
              <w:rPr>
                <w:rFonts w:eastAsia="Calibri" w:cs="Arial"/>
              </w:rPr>
            </w:pPr>
            <w:r w:rsidRPr="009A3F69">
              <w:rPr>
                <w:rFonts w:eastAsia="Calibri" w:cs="Arial"/>
              </w:rPr>
              <w:t>Defects (links to LC7)</w:t>
            </w:r>
          </w:p>
        </w:tc>
        <w:tc>
          <w:tcPr>
            <w:tcW w:w="9355" w:type="dxa"/>
          </w:tcPr>
          <w:p w14:paraId="273D413C" w14:textId="77777777" w:rsidR="009A3F69" w:rsidRPr="009A3F69" w:rsidRDefault="009A3F69" w:rsidP="00621605">
            <w:pPr>
              <w:spacing w:before="60" w:after="60"/>
              <w:rPr>
                <w:rFonts w:eastAsia="Calibri" w:cs="Arial"/>
              </w:rPr>
            </w:pPr>
            <w:r w:rsidRPr="009A3F69">
              <w:rPr>
                <w:rFonts w:eastAsia="Calibri" w:cs="Arial"/>
              </w:rPr>
              <w:t>The licensee should have a process for reporting and investigating defects, determining the urgency and any remedial actions required to ensure continued safe operation of the plant. Defect records should identify the implications of the defect and appropriate corrective actions.</w:t>
            </w:r>
          </w:p>
        </w:tc>
        <w:tc>
          <w:tcPr>
            <w:tcW w:w="1904" w:type="dxa"/>
          </w:tcPr>
          <w:p w14:paraId="73FC5CA8" w14:textId="77777777" w:rsidR="009A3F69" w:rsidRPr="009A3F69" w:rsidRDefault="009A3F69" w:rsidP="00621605">
            <w:pPr>
              <w:spacing w:before="60" w:after="60"/>
              <w:rPr>
                <w:rFonts w:eastAsia="Calibri" w:cs="Arial"/>
              </w:rPr>
            </w:pPr>
          </w:p>
        </w:tc>
      </w:tr>
      <w:tr w:rsidR="009A3F69" w:rsidRPr="009A3F69" w14:paraId="5D9ED416" w14:textId="77777777" w:rsidTr="009C3662">
        <w:trPr>
          <w:cantSplit/>
        </w:trPr>
        <w:tc>
          <w:tcPr>
            <w:tcW w:w="562" w:type="dxa"/>
          </w:tcPr>
          <w:p w14:paraId="25C11AFE" w14:textId="77777777" w:rsidR="009A3F69" w:rsidRPr="009A3F69" w:rsidRDefault="009A3F69" w:rsidP="00621605">
            <w:pPr>
              <w:spacing w:before="60" w:after="60"/>
              <w:rPr>
                <w:rFonts w:eastAsia="Calibri" w:cs="Arial"/>
              </w:rPr>
            </w:pPr>
            <w:r w:rsidRPr="009A3F69">
              <w:rPr>
                <w:rFonts w:eastAsia="Calibri" w:cs="Arial"/>
              </w:rPr>
              <w:t>13</w:t>
            </w:r>
          </w:p>
        </w:tc>
        <w:tc>
          <w:tcPr>
            <w:tcW w:w="2127" w:type="dxa"/>
          </w:tcPr>
          <w:p w14:paraId="7C3559A3" w14:textId="77777777" w:rsidR="009A3F69" w:rsidRPr="009A3F69" w:rsidRDefault="009A3F69" w:rsidP="00621605">
            <w:pPr>
              <w:spacing w:before="60" w:after="60"/>
              <w:rPr>
                <w:rFonts w:eastAsia="Calibri" w:cs="Arial"/>
              </w:rPr>
            </w:pPr>
            <w:r w:rsidRPr="009A3F69">
              <w:rPr>
                <w:rFonts w:eastAsia="Calibri" w:cs="Arial"/>
              </w:rPr>
              <w:t>Condition monitoring</w:t>
            </w:r>
          </w:p>
        </w:tc>
        <w:tc>
          <w:tcPr>
            <w:tcW w:w="9355" w:type="dxa"/>
          </w:tcPr>
          <w:p w14:paraId="25BCBA7A" w14:textId="77777777" w:rsidR="009A3F69" w:rsidRPr="009A3F69" w:rsidRDefault="009A3F69" w:rsidP="00621605">
            <w:pPr>
              <w:spacing w:before="60" w:after="60"/>
              <w:rPr>
                <w:rFonts w:eastAsia="Calibri" w:cs="Arial"/>
              </w:rPr>
            </w:pPr>
            <w:r w:rsidRPr="009A3F69">
              <w:rPr>
                <w:rFonts w:eastAsia="Calibri" w:cs="Arial"/>
              </w:rPr>
              <w:t xml:space="preserve">Condition monitoring can be used to inform the requirement for maintenance. This maybe through walkdowns at an appropriate frequency or by use of diagnostic methods. </w:t>
            </w:r>
          </w:p>
          <w:p w14:paraId="544AA253" w14:textId="77777777" w:rsidR="009A3F69" w:rsidRPr="009A3F69" w:rsidRDefault="009A3F69" w:rsidP="00621605">
            <w:pPr>
              <w:spacing w:before="60" w:after="60"/>
              <w:rPr>
                <w:rFonts w:eastAsia="Calibri" w:cs="Arial"/>
              </w:rPr>
            </w:pPr>
            <w:r w:rsidRPr="009A3F69">
              <w:rPr>
                <w:rFonts w:eastAsia="Calibri" w:cs="Arial"/>
              </w:rPr>
              <w:t xml:space="preserve">The licensee’s techniques and diagnostic methods need to be appropriate for the situation. The parameters to be monitored, the acceptance criteria and whether all potential failure modes are addressed should be clear. </w:t>
            </w:r>
          </w:p>
        </w:tc>
        <w:tc>
          <w:tcPr>
            <w:tcW w:w="1904" w:type="dxa"/>
          </w:tcPr>
          <w:p w14:paraId="4E423958" w14:textId="17923DD2" w:rsidR="009A3F69" w:rsidRPr="009A3F69" w:rsidRDefault="008E172C" w:rsidP="00621605">
            <w:pPr>
              <w:spacing w:before="60" w:after="60"/>
              <w:rPr>
                <w:rFonts w:eastAsia="Calibri" w:cs="Arial"/>
              </w:rPr>
            </w:pPr>
            <w:sdt>
              <w:sdtPr>
                <w:id w:val="1137756309"/>
                <w:citation/>
              </w:sdtPr>
              <w:sdtEndPr/>
              <w:sdtContent>
                <w:r w:rsidR="009A3F69" w:rsidRPr="009A3F69">
                  <w:fldChar w:fldCharType="begin"/>
                </w:r>
                <w:r w:rsidR="009A3F69" w:rsidRPr="009A3F69">
                  <w:rPr>
                    <w:rFonts w:eastAsia="Calibri" w:cs="Arial"/>
                  </w:rPr>
                  <w:instrText xml:space="preserve"> CITATION eimtnewtag \l 2057 </w:instrText>
                </w:r>
                <w:r w:rsidR="009A3F69" w:rsidRPr="009A3F69">
                  <w:fldChar w:fldCharType="separate"/>
                </w:r>
                <w:r w:rsidR="008F6B70" w:rsidRPr="008F6B70">
                  <w:rPr>
                    <w:rFonts w:eastAsia="Calibri" w:cs="Arial"/>
                    <w:noProof/>
                  </w:rPr>
                  <w:t>[1]</w:t>
                </w:r>
                <w:r w:rsidR="009A3F69" w:rsidRPr="009A3F69">
                  <w:fldChar w:fldCharType="end"/>
                </w:r>
              </w:sdtContent>
            </w:sdt>
            <w:r w:rsidR="009A3F69" w:rsidRPr="009A3F69">
              <w:rPr>
                <w:rFonts w:eastAsia="Calibri" w:cs="Arial"/>
              </w:rPr>
              <w:t xml:space="preserve"> and </w:t>
            </w:r>
            <w:sdt>
              <w:sdtPr>
                <w:id w:val="1112021353"/>
                <w:citation/>
              </w:sdtPr>
              <w:sdtEndPr/>
              <w:sdtContent>
                <w:r w:rsidR="009A3F69" w:rsidRPr="009A3F69">
                  <w:fldChar w:fldCharType="begin"/>
                </w:r>
                <w:r w:rsidR="009A3F69" w:rsidRPr="009A3F69">
                  <w:rPr>
                    <w:rFonts w:eastAsia="Calibri" w:cs="Arial"/>
                  </w:rPr>
                  <w:instrText xml:space="preserve">CITATION tig28iaea \l 2057 </w:instrText>
                </w:r>
                <w:r w:rsidR="009A3F69" w:rsidRPr="009A3F69">
                  <w:fldChar w:fldCharType="separate"/>
                </w:r>
                <w:r w:rsidR="008F6B70" w:rsidRPr="008F6B70">
                  <w:rPr>
                    <w:noProof/>
                  </w:rPr>
                  <w:t>[2]</w:t>
                </w:r>
                <w:r w:rsidR="009A3F69" w:rsidRPr="009A3F69">
                  <w:fldChar w:fldCharType="end"/>
                </w:r>
              </w:sdtContent>
            </w:sdt>
          </w:p>
        </w:tc>
      </w:tr>
      <w:tr w:rsidR="009A3F69" w:rsidRPr="009A3F69" w14:paraId="2E96D812" w14:textId="77777777" w:rsidTr="009C3662">
        <w:trPr>
          <w:cantSplit/>
        </w:trPr>
        <w:tc>
          <w:tcPr>
            <w:tcW w:w="562" w:type="dxa"/>
          </w:tcPr>
          <w:p w14:paraId="313B3825" w14:textId="77777777" w:rsidR="009A3F69" w:rsidRPr="009A3F69" w:rsidRDefault="009A3F69" w:rsidP="00621605">
            <w:pPr>
              <w:spacing w:before="60" w:after="60"/>
              <w:rPr>
                <w:rFonts w:eastAsia="Calibri" w:cs="Arial"/>
              </w:rPr>
            </w:pPr>
            <w:r w:rsidRPr="009A3F69">
              <w:rPr>
                <w:rFonts w:eastAsia="Calibri" w:cs="Arial"/>
              </w:rPr>
              <w:t>14</w:t>
            </w:r>
          </w:p>
        </w:tc>
        <w:tc>
          <w:tcPr>
            <w:tcW w:w="2127" w:type="dxa"/>
          </w:tcPr>
          <w:p w14:paraId="47E5A959" w14:textId="77777777" w:rsidR="009A3F69" w:rsidRPr="009A3F69" w:rsidRDefault="009A3F69" w:rsidP="00621605">
            <w:pPr>
              <w:spacing w:before="60" w:after="60"/>
              <w:rPr>
                <w:rFonts w:eastAsia="Calibri" w:cs="Arial"/>
              </w:rPr>
            </w:pPr>
            <w:r w:rsidRPr="009A3F69">
              <w:rPr>
                <w:rFonts w:eastAsia="Calibri" w:cs="Arial"/>
              </w:rPr>
              <w:t>Plant safety during maintenance</w:t>
            </w:r>
          </w:p>
        </w:tc>
        <w:tc>
          <w:tcPr>
            <w:tcW w:w="9355" w:type="dxa"/>
          </w:tcPr>
          <w:p w14:paraId="509EA73A" w14:textId="77777777" w:rsidR="009A3F69" w:rsidRPr="009A3F69" w:rsidRDefault="009A3F69" w:rsidP="00621605">
            <w:pPr>
              <w:spacing w:before="60" w:after="60"/>
              <w:rPr>
                <w:rFonts w:eastAsia="Calibri" w:cs="Arial"/>
              </w:rPr>
            </w:pPr>
            <w:r w:rsidRPr="009A3F69">
              <w:rPr>
                <w:rFonts w:eastAsia="Calibri" w:cs="Arial"/>
              </w:rPr>
              <w:t>If plant is required to be taken out of service for EIMT then the minimum plant configuration should be specified by the licensee’s safety case and this should be defined as a condition / limit under LC 23. This may be informed by assessments of risk using PSA. The SSCs unavailability should be recorded, assessed and drawn to the attention of staff responsible for operating the plant.</w:t>
            </w:r>
          </w:p>
        </w:tc>
        <w:tc>
          <w:tcPr>
            <w:tcW w:w="1904" w:type="dxa"/>
          </w:tcPr>
          <w:p w14:paraId="71824B7C" w14:textId="0883F979" w:rsidR="009A3F69" w:rsidRPr="009A3F69" w:rsidRDefault="008E172C" w:rsidP="00621605">
            <w:pPr>
              <w:spacing w:before="60" w:after="60"/>
              <w:rPr>
                <w:rFonts w:eastAsia="Calibri" w:cs="Arial"/>
              </w:rPr>
            </w:pPr>
            <w:sdt>
              <w:sdtPr>
                <w:id w:val="-772480547"/>
                <w:citation/>
              </w:sdtPr>
              <w:sdtEndPr/>
              <w:sdtContent>
                <w:r w:rsidR="009A3F69" w:rsidRPr="009A3F69">
                  <w:fldChar w:fldCharType="begin"/>
                </w:r>
                <w:r w:rsidR="009A3F69" w:rsidRPr="009A3F69">
                  <w:rPr>
                    <w:rFonts w:eastAsia="Calibri" w:cs="Arial"/>
                  </w:rPr>
                  <w:instrText xml:space="preserve"> CITATION eimtnewtag \l 2057 </w:instrText>
                </w:r>
                <w:r w:rsidR="009A3F69" w:rsidRPr="009A3F69">
                  <w:fldChar w:fldCharType="separate"/>
                </w:r>
                <w:r w:rsidR="008F6B70" w:rsidRPr="008F6B70">
                  <w:rPr>
                    <w:rFonts w:eastAsia="Calibri" w:cs="Arial"/>
                    <w:noProof/>
                  </w:rPr>
                  <w:t>[1]</w:t>
                </w:r>
                <w:r w:rsidR="009A3F69" w:rsidRPr="009A3F69">
                  <w:fldChar w:fldCharType="end"/>
                </w:r>
              </w:sdtContent>
            </w:sdt>
          </w:p>
        </w:tc>
      </w:tr>
      <w:tr w:rsidR="009A3F69" w:rsidRPr="009A3F69" w14:paraId="170AC733" w14:textId="77777777" w:rsidTr="009C3662">
        <w:trPr>
          <w:cantSplit/>
        </w:trPr>
        <w:tc>
          <w:tcPr>
            <w:tcW w:w="562" w:type="dxa"/>
          </w:tcPr>
          <w:p w14:paraId="6BEC0679" w14:textId="77777777" w:rsidR="009A3F69" w:rsidRPr="009A3F69" w:rsidRDefault="009A3F69" w:rsidP="00621605">
            <w:pPr>
              <w:spacing w:before="60" w:after="60"/>
              <w:rPr>
                <w:rFonts w:eastAsia="Calibri" w:cs="Arial"/>
              </w:rPr>
            </w:pPr>
            <w:r w:rsidRPr="009A3F69">
              <w:rPr>
                <w:rFonts w:eastAsia="Calibri" w:cs="Arial"/>
              </w:rPr>
              <w:t>15</w:t>
            </w:r>
          </w:p>
        </w:tc>
        <w:tc>
          <w:tcPr>
            <w:tcW w:w="2127" w:type="dxa"/>
          </w:tcPr>
          <w:p w14:paraId="58C14B4A" w14:textId="77777777" w:rsidR="009A3F69" w:rsidRPr="009A3F69" w:rsidRDefault="009A3F69" w:rsidP="00621605">
            <w:pPr>
              <w:spacing w:before="60" w:after="60"/>
              <w:rPr>
                <w:rFonts w:eastAsia="Calibri" w:cs="Arial"/>
              </w:rPr>
            </w:pPr>
            <w:r w:rsidRPr="009A3F69">
              <w:rPr>
                <w:rFonts w:eastAsia="Calibri" w:cs="Arial"/>
              </w:rPr>
              <w:t>Setting to work and workplace standards</w:t>
            </w:r>
          </w:p>
        </w:tc>
        <w:tc>
          <w:tcPr>
            <w:tcW w:w="9355" w:type="dxa"/>
          </w:tcPr>
          <w:p w14:paraId="0A722F20" w14:textId="77777777" w:rsidR="009A3F69" w:rsidRPr="009A3F69" w:rsidRDefault="009A3F69" w:rsidP="00621605">
            <w:pPr>
              <w:spacing w:before="60" w:after="60"/>
              <w:rPr>
                <w:rFonts w:eastAsia="Calibri" w:cs="Arial"/>
              </w:rPr>
            </w:pPr>
            <w:r w:rsidRPr="009A3F69">
              <w:rPr>
                <w:rFonts w:eastAsia="Calibri" w:cs="Arial"/>
              </w:rPr>
              <w:t>Inspectors should consider inspecting EIMT work that is about to commence or is ongoing. Aspects of interest may include:</w:t>
            </w:r>
          </w:p>
          <w:p w14:paraId="59869EEA" w14:textId="77777777" w:rsidR="009A3F69" w:rsidRPr="009A3F69" w:rsidRDefault="009A3F69" w:rsidP="00621605">
            <w:pPr>
              <w:numPr>
                <w:ilvl w:val="0"/>
                <w:numId w:val="32"/>
              </w:numPr>
              <w:spacing w:before="60" w:after="60"/>
              <w:rPr>
                <w:rFonts w:eastAsia="Calibri" w:cs="Arial"/>
                <w:bCs/>
              </w:rPr>
            </w:pPr>
            <w:r w:rsidRPr="009A3F69">
              <w:rPr>
                <w:rFonts w:eastAsia="Calibri" w:cs="Arial"/>
                <w:bCs/>
              </w:rPr>
              <w:t>the setting to work briefing</w:t>
            </w:r>
          </w:p>
          <w:p w14:paraId="1C8B4B01" w14:textId="680D38A8" w:rsidR="009A3F69" w:rsidRPr="009A3F69" w:rsidRDefault="009A3F69" w:rsidP="00621605">
            <w:pPr>
              <w:numPr>
                <w:ilvl w:val="0"/>
                <w:numId w:val="32"/>
              </w:numPr>
              <w:spacing w:before="60" w:after="60"/>
              <w:rPr>
                <w:rFonts w:eastAsia="Calibri" w:cs="Arial"/>
                <w:bCs/>
              </w:rPr>
            </w:pPr>
            <w:r w:rsidRPr="009A3F69">
              <w:rPr>
                <w:rFonts w:eastAsia="Calibri" w:cs="Arial"/>
                <w:bCs/>
              </w:rPr>
              <w:t xml:space="preserve">confirming appropriate isolations </w:t>
            </w:r>
            <w:r w:rsidR="00A3375F" w:rsidRPr="009A3F69">
              <w:rPr>
                <w:rFonts w:eastAsia="Calibri" w:cs="Arial"/>
                <w:bCs/>
              </w:rPr>
              <w:t xml:space="preserve">and authorisation </w:t>
            </w:r>
            <w:r w:rsidRPr="009A3F69">
              <w:rPr>
                <w:rFonts w:eastAsia="Calibri" w:cs="Arial"/>
                <w:bCs/>
              </w:rPr>
              <w:t>are in place for the work to commence (</w:t>
            </w:r>
            <w:r w:rsidR="00A3375F">
              <w:rPr>
                <w:rFonts w:eastAsia="Calibri" w:cs="Arial"/>
                <w:bCs/>
              </w:rPr>
              <w:t>e.g.</w:t>
            </w:r>
            <w:r w:rsidRPr="009A3F69">
              <w:rPr>
                <w:rFonts w:eastAsia="Calibri" w:cs="Arial"/>
                <w:bCs/>
              </w:rPr>
              <w:t xml:space="preserve"> via a permit to work system)</w:t>
            </w:r>
          </w:p>
          <w:p w14:paraId="26C93098" w14:textId="77777777" w:rsidR="009A3F69" w:rsidRPr="009A3F69" w:rsidRDefault="009A3F69" w:rsidP="00621605">
            <w:pPr>
              <w:numPr>
                <w:ilvl w:val="0"/>
                <w:numId w:val="32"/>
              </w:numPr>
              <w:spacing w:before="60" w:after="60"/>
              <w:rPr>
                <w:rFonts w:eastAsia="Calibri" w:cs="Arial"/>
                <w:bCs/>
              </w:rPr>
            </w:pPr>
            <w:r w:rsidRPr="009A3F69">
              <w:rPr>
                <w:rFonts w:eastAsia="Calibri" w:cs="Arial"/>
                <w:bCs/>
              </w:rPr>
              <w:t>the requirement for and adherence to foreign material exclusion controls</w:t>
            </w:r>
          </w:p>
          <w:p w14:paraId="0F59F8C9" w14:textId="77777777" w:rsidR="009A3F69" w:rsidRPr="009A3F69" w:rsidRDefault="009A3F69" w:rsidP="00621605">
            <w:pPr>
              <w:numPr>
                <w:ilvl w:val="0"/>
                <w:numId w:val="32"/>
              </w:numPr>
              <w:spacing w:before="60" w:after="60"/>
              <w:rPr>
                <w:rFonts w:eastAsia="Calibri" w:cs="Arial"/>
                <w:bCs/>
              </w:rPr>
            </w:pPr>
            <w:r w:rsidRPr="009A3F69">
              <w:rPr>
                <w:rFonts w:eastAsia="Calibri" w:cs="Arial"/>
                <w:bCs/>
              </w:rPr>
              <w:t>the use of test equipment that is in calibration</w:t>
            </w:r>
          </w:p>
          <w:p w14:paraId="09A9E807" w14:textId="77777777" w:rsidR="009A3F69" w:rsidRPr="009A3F69" w:rsidRDefault="009A3F69" w:rsidP="00621605">
            <w:pPr>
              <w:numPr>
                <w:ilvl w:val="0"/>
                <w:numId w:val="32"/>
              </w:numPr>
              <w:spacing w:before="60" w:after="60"/>
              <w:rPr>
                <w:rFonts w:eastAsia="Calibri" w:cs="Arial"/>
                <w:bCs/>
              </w:rPr>
            </w:pPr>
            <w:r w:rsidRPr="009A3F69">
              <w:rPr>
                <w:rFonts w:eastAsia="Calibri" w:cs="Arial"/>
                <w:bCs/>
              </w:rPr>
              <w:t xml:space="preserve">the written instructions in use. </w:t>
            </w:r>
          </w:p>
        </w:tc>
        <w:tc>
          <w:tcPr>
            <w:tcW w:w="1904" w:type="dxa"/>
          </w:tcPr>
          <w:p w14:paraId="56370013" w14:textId="7E9F3B3C" w:rsidR="009A3F69" w:rsidRPr="009A3F69" w:rsidRDefault="008E172C" w:rsidP="00621605">
            <w:pPr>
              <w:spacing w:before="60" w:after="60"/>
              <w:rPr>
                <w:rFonts w:eastAsia="Calibri" w:cs="Arial"/>
              </w:rPr>
            </w:pPr>
            <w:sdt>
              <w:sdtPr>
                <w:id w:val="-2132552059"/>
                <w:citation/>
              </w:sdtPr>
              <w:sdtEndPr/>
              <w:sdtContent>
                <w:r w:rsidR="009A3F69" w:rsidRPr="009A3F69">
                  <w:fldChar w:fldCharType="begin"/>
                </w:r>
                <w:r w:rsidR="009A3F69" w:rsidRPr="009A3F69">
                  <w:rPr>
                    <w:rFonts w:eastAsia="Calibri" w:cs="Arial"/>
                  </w:rPr>
                  <w:instrText xml:space="preserve"> CITATION Mech \l 2057 </w:instrText>
                </w:r>
                <w:r w:rsidR="009A3F69" w:rsidRPr="009A3F69">
                  <w:fldChar w:fldCharType="separate"/>
                </w:r>
                <w:r w:rsidR="008F6B70" w:rsidRPr="008F6B70">
                  <w:rPr>
                    <w:rFonts w:eastAsia="Calibri" w:cs="Arial"/>
                    <w:noProof/>
                  </w:rPr>
                  <w:t>[15]</w:t>
                </w:r>
                <w:r w:rsidR="009A3F69" w:rsidRPr="009A3F69">
                  <w:fldChar w:fldCharType="end"/>
                </w:r>
              </w:sdtContent>
            </w:sdt>
          </w:p>
        </w:tc>
      </w:tr>
      <w:tr w:rsidR="009A3F69" w:rsidRPr="009A3F69" w14:paraId="66FD3146" w14:textId="77777777" w:rsidTr="009C3662">
        <w:trPr>
          <w:cantSplit/>
        </w:trPr>
        <w:tc>
          <w:tcPr>
            <w:tcW w:w="562" w:type="dxa"/>
          </w:tcPr>
          <w:p w14:paraId="1388B164" w14:textId="77777777" w:rsidR="009A3F69" w:rsidRPr="009A3F69" w:rsidRDefault="009A3F69" w:rsidP="00621605">
            <w:pPr>
              <w:spacing w:before="60" w:after="60"/>
              <w:rPr>
                <w:rFonts w:eastAsia="Calibri" w:cs="Arial"/>
              </w:rPr>
            </w:pPr>
            <w:r w:rsidRPr="009A3F69">
              <w:rPr>
                <w:rFonts w:eastAsia="Calibri" w:cs="Arial"/>
              </w:rPr>
              <w:lastRenderedPageBreak/>
              <w:t>16</w:t>
            </w:r>
          </w:p>
        </w:tc>
        <w:tc>
          <w:tcPr>
            <w:tcW w:w="2127" w:type="dxa"/>
          </w:tcPr>
          <w:p w14:paraId="7E0A1633" w14:textId="77777777" w:rsidR="009A3F69" w:rsidRPr="009A3F69" w:rsidRDefault="009A3F69" w:rsidP="00621605">
            <w:pPr>
              <w:spacing w:before="60" w:after="60"/>
              <w:rPr>
                <w:rFonts w:eastAsia="Calibri" w:cs="Arial"/>
              </w:rPr>
            </w:pPr>
            <w:r w:rsidRPr="009A3F69">
              <w:rPr>
                <w:rFonts w:eastAsia="Calibri" w:cs="Arial"/>
              </w:rPr>
              <w:t>SQEP (</w:t>
            </w:r>
            <w:proofErr w:type="spellStart"/>
            <w:r w:rsidRPr="009A3F69">
              <w:rPr>
                <w:rFonts w:eastAsia="Calibri" w:cs="Arial"/>
              </w:rPr>
              <w:t>inc</w:t>
            </w:r>
            <w:proofErr w:type="spellEnd"/>
            <w:r w:rsidRPr="009A3F69">
              <w:rPr>
                <w:rFonts w:eastAsia="Calibri" w:cs="Arial"/>
              </w:rPr>
              <w:t xml:space="preserve"> contractors) (links to LCs 10, 12 and 26)</w:t>
            </w:r>
          </w:p>
        </w:tc>
        <w:tc>
          <w:tcPr>
            <w:tcW w:w="9355" w:type="dxa"/>
          </w:tcPr>
          <w:p w14:paraId="6402B0AA" w14:textId="77777777" w:rsidR="009A3F69" w:rsidRPr="009A3F69" w:rsidRDefault="009A3F69" w:rsidP="00621605">
            <w:pPr>
              <w:spacing w:before="60" w:after="60"/>
              <w:rPr>
                <w:rFonts w:eastAsia="Calibri" w:cs="Arial"/>
              </w:rPr>
            </w:pPr>
            <w:r w:rsidRPr="009A3F69">
              <w:rPr>
                <w:rFonts w:eastAsia="Calibri" w:cs="Arial"/>
              </w:rPr>
              <w:t>The licensee’s arrangements should require that EIMT is carried out by SQEP (LC 28(6)(a)) and under the control and supervision of a SQEP person appointed for that purpose by the licensee (LC 28(6)(d)). Control and supervision arrangements should be reflective of the specific task and how the activity may affect wider safe operation of the plant.</w:t>
            </w:r>
          </w:p>
          <w:p w14:paraId="564059A0" w14:textId="77777777" w:rsidR="009A3F69" w:rsidRPr="009A3F69" w:rsidRDefault="009A3F69" w:rsidP="00621605">
            <w:pPr>
              <w:spacing w:before="60" w:after="60"/>
              <w:rPr>
                <w:rFonts w:eastAsia="Calibri" w:cs="Arial"/>
              </w:rPr>
            </w:pPr>
            <w:r w:rsidRPr="009A3F69">
              <w:rPr>
                <w:rFonts w:eastAsia="Calibri" w:cs="Arial"/>
              </w:rPr>
              <w:t>Licensees may use contractors to carry out EIMT. The licensee should act as the intelligent customer and check and approve the qualifications and experience of such workers prior to the work being authorised. The contractors should be SQEP for the work assigned.</w:t>
            </w:r>
          </w:p>
          <w:p w14:paraId="7DBB303B" w14:textId="77777777" w:rsidR="009A3F69" w:rsidRPr="009A3F69" w:rsidRDefault="009A3F69" w:rsidP="00621605">
            <w:pPr>
              <w:spacing w:before="60" w:after="60"/>
              <w:rPr>
                <w:rFonts w:eastAsia="Calibri" w:cs="Arial"/>
              </w:rPr>
            </w:pPr>
            <w:r w:rsidRPr="009A3F69">
              <w:rPr>
                <w:rFonts w:eastAsia="Calibri" w:cs="Arial"/>
              </w:rPr>
              <w:t>In order to determine the suitability of those undertaking EIMT work, consider discussions with person(s) carrying out work, their team leaders and section heads, as well as reviewing training/competence records.</w:t>
            </w:r>
          </w:p>
        </w:tc>
        <w:tc>
          <w:tcPr>
            <w:tcW w:w="1904" w:type="dxa"/>
          </w:tcPr>
          <w:p w14:paraId="113630DC" w14:textId="5827D387" w:rsidR="009A3F69" w:rsidRPr="009A3F69" w:rsidRDefault="008E172C" w:rsidP="00621605">
            <w:pPr>
              <w:spacing w:before="60" w:after="60"/>
              <w:rPr>
                <w:rFonts w:eastAsia="Calibri" w:cs="Arial"/>
              </w:rPr>
            </w:pPr>
            <w:sdt>
              <w:sdtPr>
                <w:id w:val="39868010"/>
                <w:citation/>
              </w:sdtPr>
              <w:sdtEndPr/>
              <w:sdtContent>
                <w:r w:rsidR="009A3F69" w:rsidRPr="009A3F69">
                  <w:fldChar w:fldCharType="begin"/>
                </w:r>
                <w:r w:rsidR="009A3F69" w:rsidRPr="009A3F69">
                  <w:rPr>
                    <w:rFonts w:eastAsia="Calibri" w:cs="Arial"/>
                  </w:rPr>
                  <w:instrText xml:space="preserve">CITATION ONR263 \l 2057 </w:instrText>
                </w:r>
                <w:r w:rsidR="009A3F69" w:rsidRPr="009A3F69">
                  <w:fldChar w:fldCharType="separate"/>
                </w:r>
                <w:r w:rsidR="008F6B70" w:rsidRPr="008F6B70">
                  <w:rPr>
                    <w:noProof/>
                  </w:rPr>
                  <w:t>[5]</w:t>
                </w:r>
                <w:r w:rsidR="009A3F69" w:rsidRPr="009A3F69">
                  <w:fldChar w:fldCharType="end"/>
                </w:r>
              </w:sdtContent>
            </w:sdt>
            <w:r w:rsidR="009A3F69" w:rsidRPr="009A3F69">
              <w:rPr>
                <w:rFonts w:eastAsia="Calibri" w:cs="Arial"/>
              </w:rPr>
              <w:t xml:space="preserve">, </w:t>
            </w:r>
            <w:sdt>
              <w:sdtPr>
                <w:id w:val="-1510438004"/>
                <w:citation/>
              </w:sdtPr>
              <w:sdtEndPr/>
              <w:sdtContent>
                <w:r w:rsidR="009A3F69" w:rsidRPr="009A3F69">
                  <w:fldChar w:fldCharType="begin"/>
                </w:r>
                <w:r w:rsidR="009A3F69" w:rsidRPr="009A3F69">
                  <w:rPr>
                    <w:rFonts w:eastAsia="Calibri" w:cs="Arial"/>
                  </w:rPr>
                  <w:instrText xml:space="preserve">CITATION ONR323 \l 2057 </w:instrText>
                </w:r>
                <w:r w:rsidR="009A3F69" w:rsidRPr="009A3F69">
                  <w:fldChar w:fldCharType="separate"/>
                </w:r>
                <w:r w:rsidR="008F6B70" w:rsidRPr="008F6B70">
                  <w:rPr>
                    <w:noProof/>
                  </w:rPr>
                  <w:t>[6]</w:t>
                </w:r>
                <w:r w:rsidR="009A3F69" w:rsidRPr="009A3F69">
                  <w:fldChar w:fldCharType="end"/>
                </w:r>
              </w:sdtContent>
            </w:sdt>
            <w:r w:rsidR="009A3F69" w:rsidRPr="009A3F69">
              <w:rPr>
                <w:rFonts w:eastAsia="Calibri" w:cs="Arial"/>
              </w:rPr>
              <w:t xml:space="preserve"> and </w:t>
            </w:r>
            <w:sdt>
              <w:sdtPr>
                <w:id w:val="348069182"/>
                <w:citation/>
              </w:sdtPr>
              <w:sdtEndPr/>
              <w:sdtContent>
                <w:r w:rsidR="009A3F69" w:rsidRPr="009A3F69">
                  <w:fldChar w:fldCharType="begin"/>
                </w:r>
                <w:r w:rsidR="009A3F69" w:rsidRPr="009A3F69">
                  <w:rPr>
                    <w:rFonts w:eastAsia="Calibri" w:cs="Arial"/>
                  </w:rPr>
                  <w:instrText xml:space="preserve"> CITATION ICNEW \l 2057 </w:instrText>
                </w:r>
                <w:r w:rsidR="009A3F69" w:rsidRPr="009A3F69">
                  <w:fldChar w:fldCharType="separate"/>
                </w:r>
                <w:r w:rsidR="008F6B70" w:rsidRPr="008F6B70">
                  <w:rPr>
                    <w:rFonts w:eastAsia="Calibri" w:cs="Arial"/>
                    <w:noProof/>
                  </w:rPr>
                  <w:t>[7]</w:t>
                </w:r>
                <w:r w:rsidR="009A3F69" w:rsidRPr="009A3F69">
                  <w:fldChar w:fldCharType="end"/>
                </w:r>
              </w:sdtContent>
            </w:sdt>
            <w:r w:rsidR="009A3F69" w:rsidRPr="009A3F69">
              <w:rPr>
                <w:rFonts w:eastAsia="Calibri" w:cs="Arial"/>
              </w:rPr>
              <w:t xml:space="preserve"> </w:t>
            </w:r>
          </w:p>
        </w:tc>
      </w:tr>
      <w:tr w:rsidR="009A3F69" w:rsidRPr="009A3F69" w14:paraId="4876C24F" w14:textId="77777777" w:rsidTr="009C3662">
        <w:trPr>
          <w:cantSplit/>
        </w:trPr>
        <w:tc>
          <w:tcPr>
            <w:tcW w:w="562" w:type="dxa"/>
          </w:tcPr>
          <w:p w14:paraId="1A5843F7" w14:textId="77777777" w:rsidR="009A3F69" w:rsidRPr="009A3F69" w:rsidRDefault="009A3F69" w:rsidP="00621605">
            <w:pPr>
              <w:spacing w:before="60" w:after="60"/>
              <w:rPr>
                <w:rFonts w:eastAsia="Calibri" w:cs="Arial"/>
              </w:rPr>
            </w:pPr>
            <w:r w:rsidRPr="009A3F69">
              <w:rPr>
                <w:rFonts w:eastAsia="Calibri" w:cs="Arial"/>
              </w:rPr>
              <w:t>17</w:t>
            </w:r>
          </w:p>
        </w:tc>
        <w:tc>
          <w:tcPr>
            <w:tcW w:w="2127" w:type="dxa"/>
          </w:tcPr>
          <w:p w14:paraId="47342609" w14:textId="77777777" w:rsidR="009A3F69" w:rsidRPr="009A3F69" w:rsidRDefault="009A3F69" w:rsidP="00621605">
            <w:pPr>
              <w:spacing w:before="60" w:after="60"/>
              <w:rPr>
                <w:rFonts w:eastAsia="Calibri" w:cs="Arial"/>
              </w:rPr>
            </w:pPr>
            <w:r w:rsidRPr="009A3F69">
              <w:rPr>
                <w:rFonts w:eastAsia="Calibri" w:cs="Arial"/>
              </w:rPr>
              <w:t>Written schemes (or procedures) (links to LC 24)</w:t>
            </w:r>
          </w:p>
        </w:tc>
        <w:tc>
          <w:tcPr>
            <w:tcW w:w="9355" w:type="dxa"/>
          </w:tcPr>
          <w:p w14:paraId="36A3EFCD" w14:textId="77777777" w:rsidR="009A3F69" w:rsidRPr="009A3F69" w:rsidRDefault="009A3F69" w:rsidP="00621605">
            <w:pPr>
              <w:spacing w:before="60" w:after="60"/>
              <w:rPr>
                <w:rFonts w:eastAsia="Calibri" w:cs="Arial"/>
              </w:rPr>
            </w:pPr>
            <w:r w:rsidRPr="009A3F69">
              <w:rPr>
                <w:rFonts w:eastAsia="Calibri" w:cs="Arial"/>
              </w:rPr>
              <w:t>The licensee’s arrangements should require all activities to be carried out in accordance with written schemes (LC 28(6)(b)). There should be a clear auditable trail from the safety case to the specified EIMT requirements and the operating instruction.</w:t>
            </w:r>
          </w:p>
          <w:p w14:paraId="4A335EB8" w14:textId="734F6B42" w:rsidR="009A3F69" w:rsidRPr="009A3F69" w:rsidRDefault="009A3F69" w:rsidP="00621605">
            <w:pPr>
              <w:spacing w:before="60" w:after="60"/>
              <w:rPr>
                <w:rFonts w:eastAsia="Calibri" w:cs="Arial"/>
              </w:rPr>
            </w:pPr>
            <w:r w:rsidRPr="009A3F69">
              <w:rPr>
                <w:rFonts w:eastAsia="Calibri" w:cs="Arial"/>
              </w:rPr>
              <w:t>The procedures should be reflective of the safety significance of the SSC, appropriately categorised (</w:t>
            </w:r>
            <w:r w:rsidR="00174B07">
              <w:rPr>
                <w:rFonts w:eastAsia="Calibri" w:cs="Arial"/>
              </w:rPr>
              <w:t>e.g.</w:t>
            </w:r>
            <w:r w:rsidRPr="009A3F69">
              <w:rPr>
                <w:rFonts w:eastAsia="Calibri" w:cs="Arial"/>
              </w:rPr>
              <w:t xml:space="preserve"> reference vs continuous use) and used correctly. There should be consideration of potential shortfalls in human performance, quality assurance proportionate to the safety significance (</w:t>
            </w:r>
            <w:r w:rsidR="00062D23">
              <w:rPr>
                <w:rFonts w:eastAsia="Calibri" w:cs="Arial"/>
              </w:rPr>
              <w:t>e.g.</w:t>
            </w:r>
            <w:r w:rsidRPr="009A3F69">
              <w:rPr>
                <w:rFonts w:eastAsia="Calibri" w:cs="Arial"/>
              </w:rPr>
              <w:t xml:space="preserve"> use of independent verification checks &amp; hold points) and a clear pass/fail criteria for the EIMT being undertaken.</w:t>
            </w:r>
          </w:p>
        </w:tc>
        <w:tc>
          <w:tcPr>
            <w:tcW w:w="1904" w:type="dxa"/>
          </w:tcPr>
          <w:p w14:paraId="2FC58B1E" w14:textId="2D51BA10" w:rsidR="009A3F69" w:rsidRPr="009A3F69" w:rsidRDefault="008E172C" w:rsidP="00621605">
            <w:pPr>
              <w:spacing w:before="60" w:after="60"/>
              <w:rPr>
                <w:rFonts w:eastAsia="Calibri" w:cs="Arial"/>
              </w:rPr>
            </w:pPr>
            <w:sdt>
              <w:sdtPr>
                <w:id w:val="-636035992"/>
                <w:citation/>
              </w:sdtPr>
              <w:sdtEndPr/>
              <w:sdtContent>
                <w:r w:rsidR="009A3F69" w:rsidRPr="009A3F69">
                  <w:fldChar w:fldCharType="begin"/>
                </w:r>
                <w:r w:rsidR="009A3F69" w:rsidRPr="009A3F69">
                  <w:rPr>
                    <w:rFonts w:eastAsia="Calibri" w:cs="Arial"/>
                  </w:rPr>
                  <w:instrText xml:space="preserve">CITATION ONR81 \l 2057 </w:instrText>
                </w:r>
                <w:r w:rsidR="009A3F69" w:rsidRPr="009A3F69">
                  <w:fldChar w:fldCharType="separate"/>
                </w:r>
                <w:r w:rsidR="008F6B70" w:rsidRPr="008F6B70">
                  <w:rPr>
                    <w:noProof/>
                  </w:rPr>
                  <w:t>[4]</w:t>
                </w:r>
                <w:r w:rsidR="009A3F69" w:rsidRPr="009A3F69">
                  <w:fldChar w:fldCharType="end"/>
                </w:r>
              </w:sdtContent>
            </w:sdt>
            <w:r w:rsidR="009A3F69" w:rsidRPr="009A3F69">
              <w:rPr>
                <w:rFonts w:eastAsia="Calibri" w:cs="Arial"/>
              </w:rPr>
              <w:t xml:space="preserve"> and </w:t>
            </w:r>
            <w:sdt>
              <w:sdtPr>
                <w:id w:val="806667631"/>
                <w:citation/>
              </w:sdtPr>
              <w:sdtEndPr/>
              <w:sdtContent>
                <w:r w:rsidR="009A3F69" w:rsidRPr="009A3F69">
                  <w:fldChar w:fldCharType="begin"/>
                </w:r>
                <w:r w:rsidR="009A3F69" w:rsidRPr="009A3F69">
                  <w:rPr>
                    <w:rFonts w:eastAsia="Calibri" w:cs="Arial"/>
                  </w:rPr>
                  <w:instrText xml:space="preserve"> CITATION Mech \l 2057 </w:instrText>
                </w:r>
                <w:r w:rsidR="009A3F69" w:rsidRPr="009A3F69">
                  <w:fldChar w:fldCharType="separate"/>
                </w:r>
                <w:r w:rsidR="008F6B70" w:rsidRPr="008F6B70">
                  <w:rPr>
                    <w:rFonts w:eastAsia="Calibri" w:cs="Arial"/>
                    <w:noProof/>
                  </w:rPr>
                  <w:t>[15]</w:t>
                </w:r>
                <w:r w:rsidR="009A3F69" w:rsidRPr="009A3F69">
                  <w:fldChar w:fldCharType="end"/>
                </w:r>
              </w:sdtContent>
            </w:sdt>
          </w:p>
        </w:tc>
      </w:tr>
      <w:tr w:rsidR="009A3F69" w:rsidRPr="009A3F69" w14:paraId="770D7B79" w14:textId="77777777" w:rsidTr="009C3662">
        <w:trPr>
          <w:cantSplit/>
        </w:trPr>
        <w:tc>
          <w:tcPr>
            <w:tcW w:w="562" w:type="dxa"/>
          </w:tcPr>
          <w:p w14:paraId="0F092453" w14:textId="77777777" w:rsidR="009A3F69" w:rsidRPr="009A3F69" w:rsidRDefault="009A3F69" w:rsidP="00621605">
            <w:pPr>
              <w:spacing w:before="60" w:after="60"/>
              <w:rPr>
                <w:rFonts w:eastAsia="Calibri" w:cs="Arial"/>
              </w:rPr>
            </w:pPr>
            <w:r w:rsidRPr="009A3F69">
              <w:rPr>
                <w:rFonts w:eastAsia="Calibri" w:cs="Arial"/>
              </w:rPr>
              <w:lastRenderedPageBreak/>
              <w:t>18</w:t>
            </w:r>
          </w:p>
        </w:tc>
        <w:tc>
          <w:tcPr>
            <w:tcW w:w="2127" w:type="dxa"/>
          </w:tcPr>
          <w:p w14:paraId="6CC32C89" w14:textId="77777777" w:rsidR="009A3F69" w:rsidRPr="009A3F69" w:rsidRDefault="009A3F69" w:rsidP="00621605">
            <w:pPr>
              <w:spacing w:before="60" w:after="60"/>
              <w:rPr>
                <w:rFonts w:eastAsia="Calibri" w:cs="Arial"/>
              </w:rPr>
            </w:pPr>
            <w:r w:rsidRPr="009A3F69">
              <w:rPr>
                <w:rFonts w:eastAsia="Calibri" w:cs="Arial"/>
              </w:rPr>
              <w:t xml:space="preserve">Return to service </w:t>
            </w:r>
          </w:p>
        </w:tc>
        <w:tc>
          <w:tcPr>
            <w:tcW w:w="9355" w:type="dxa"/>
          </w:tcPr>
          <w:p w14:paraId="1690804E" w14:textId="3916662B" w:rsidR="009A3F69" w:rsidRPr="009A3F69" w:rsidRDefault="009A3F69" w:rsidP="00621605">
            <w:pPr>
              <w:spacing w:before="60" w:after="60"/>
              <w:rPr>
                <w:rFonts w:eastAsia="Calibri" w:cs="Arial"/>
              </w:rPr>
            </w:pPr>
            <w:r w:rsidRPr="009A3F69">
              <w:rPr>
                <w:rFonts w:eastAsia="Calibri" w:cs="Arial"/>
              </w:rPr>
              <w:t>Following EIMT it is important that the plant/equipment/system is returned to service in a controlled manner with its operational functionality proven prior to reinstatement. SSCs that have had maintenance carried out should be reinstated, tested and accepted by an appropriate person (</w:t>
            </w:r>
            <w:r w:rsidR="00963424">
              <w:rPr>
                <w:rFonts w:eastAsia="Calibri" w:cs="Arial"/>
              </w:rPr>
              <w:t>e.g.</w:t>
            </w:r>
            <w:r w:rsidRPr="009A3F69">
              <w:rPr>
                <w:rFonts w:eastAsia="Calibri" w:cs="Arial"/>
              </w:rPr>
              <w:t xml:space="preserve"> a duly authorised person appointed under LC 12(2)) before being declared operable and available.</w:t>
            </w:r>
          </w:p>
        </w:tc>
        <w:tc>
          <w:tcPr>
            <w:tcW w:w="1904" w:type="dxa"/>
          </w:tcPr>
          <w:p w14:paraId="4096DF9E" w14:textId="77777777" w:rsidR="009A3F69" w:rsidRPr="009A3F69" w:rsidRDefault="009A3F69" w:rsidP="00621605">
            <w:pPr>
              <w:spacing w:before="60" w:after="60"/>
              <w:rPr>
                <w:rFonts w:eastAsia="Calibri" w:cs="Arial"/>
              </w:rPr>
            </w:pPr>
            <w:r w:rsidRPr="009A3F69">
              <w:rPr>
                <w:rFonts w:eastAsia="Calibri" w:cs="Arial"/>
              </w:rPr>
              <w:t xml:space="preserve"> </w:t>
            </w:r>
          </w:p>
        </w:tc>
      </w:tr>
      <w:tr w:rsidR="009A3F69" w:rsidRPr="009A3F69" w14:paraId="457A8F1D" w14:textId="77777777" w:rsidTr="009C3662">
        <w:trPr>
          <w:cantSplit/>
        </w:trPr>
        <w:tc>
          <w:tcPr>
            <w:tcW w:w="562" w:type="dxa"/>
          </w:tcPr>
          <w:p w14:paraId="5B46D14F" w14:textId="77777777" w:rsidR="009A3F69" w:rsidRPr="009A3F69" w:rsidRDefault="009A3F69" w:rsidP="00621605">
            <w:pPr>
              <w:spacing w:before="60" w:after="60"/>
              <w:rPr>
                <w:rFonts w:eastAsia="Calibri" w:cs="Arial"/>
              </w:rPr>
            </w:pPr>
            <w:r w:rsidRPr="009A3F69">
              <w:rPr>
                <w:rFonts w:eastAsia="Calibri" w:cs="Arial"/>
              </w:rPr>
              <w:t>19</w:t>
            </w:r>
          </w:p>
        </w:tc>
        <w:tc>
          <w:tcPr>
            <w:tcW w:w="2127" w:type="dxa"/>
          </w:tcPr>
          <w:p w14:paraId="46D8A362" w14:textId="77777777" w:rsidR="009A3F69" w:rsidRPr="009A3F69" w:rsidRDefault="009A3F69" w:rsidP="00621605">
            <w:pPr>
              <w:spacing w:before="60" w:after="60"/>
              <w:rPr>
                <w:rFonts w:eastAsia="Calibri" w:cs="Arial"/>
              </w:rPr>
            </w:pPr>
            <w:r w:rsidRPr="009A3F69">
              <w:rPr>
                <w:rFonts w:eastAsia="Calibri" w:cs="Arial"/>
              </w:rPr>
              <w:t>Records (links to LC6)</w:t>
            </w:r>
          </w:p>
        </w:tc>
        <w:tc>
          <w:tcPr>
            <w:tcW w:w="9355" w:type="dxa"/>
          </w:tcPr>
          <w:p w14:paraId="0000BEB9" w14:textId="77777777" w:rsidR="009A3F69" w:rsidRPr="009A3F69" w:rsidRDefault="009A3F69" w:rsidP="00621605">
            <w:pPr>
              <w:spacing w:before="60" w:after="60"/>
              <w:rPr>
                <w:rFonts w:eastAsia="Calibri" w:cs="Arial"/>
              </w:rPr>
            </w:pPr>
            <w:r w:rsidRPr="009A3F69">
              <w:rPr>
                <w:rFonts w:eastAsia="Calibri" w:cs="Arial"/>
              </w:rPr>
              <w:t>Records (LC 28(9)) of EIMT carried out on SSCs which may affect safety should be compiled and retained in an appropriate manner by the licensee under its arrangements for compliance with LC 6. These should be commensurate with the safety significance of the SSCs to which they relate, reflecting the work completed, tasks left outstanding, and issues identified and should be signed off by the SQEP who controls and supervises the work. Where there are failures to meet PMS requirements these should be reported under LC 7 (LC 28(8) requirement).</w:t>
            </w:r>
          </w:p>
        </w:tc>
        <w:tc>
          <w:tcPr>
            <w:tcW w:w="1904" w:type="dxa"/>
          </w:tcPr>
          <w:p w14:paraId="37A163B3" w14:textId="6F1FD37E" w:rsidR="009A3F69" w:rsidRPr="009A3F69" w:rsidRDefault="008E172C" w:rsidP="00621605">
            <w:pPr>
              <w:spacing w:before="60" w:after="60"/>
              <w:rPr>
                <w:rFonts w:eastAsia="Calibri" w:cs="Arial"/>
              </w:rPr>
            </w:pPr>
            <w:sdt>
              <w:sdtPr>
                <w:id w:val="-500194915"/>
                <w:citation/>
              </w:sdtPr>
              <w:sdtEndPr/>
              <w:sdtContent>
                <w:r w:rsidR="009A3F69" w:rsidRPr="009A3F69">
                  <w:fldChar w:fldCharType="begin"/>
                </w:r>
                <w:r w:rsidR="009A3F69" w:rsidRPr="009A3F69">
                  <w:rPr>
                    <w:rFonts w:eastAsia="Calibri" w:cs="Arial"/>
                  </w:rPr>
                  <w:instrText xml:space="preserve">CITATION ONR288 \l 2057 </w:instrText>
                </w:r>
                <w:r w:rsidR="009A3F69" w:rsidRPr="009A3F69">
                  <w:fldChar w:fldCharType="separate"/>
                </w:r>
                <w:r w:rsidR="008F6B70" w:rsidRPr="008F6B70">
                  <w:rPr>
                    <w:noProof/>
                  </w:rPr>
                  <w:t>[8]</w:t>
                </w:r>
                <w:r w:rsidR="009A3F69" w:rsidRPr="009A3F69">
                  <w:fldChar w:fldCharType="end"/>
                </w:r>
              </w:sdtContent>
            </w:sdt>
            <w:r w:rsidR="009A3F69" w:rsidRPr="009A3F69">
              <w:rPr>
                <w:rFonts w:eastAsia="Calibri" w:cs="Arial"/>
              </w:rPr>
              <w:t xml:space="preserve"> and </w:t>
            </w:r>
            <w:sdt>
              <w:sdtPr>
                <w:id w:val="-725762359"/>
                <w:citation/>
              </w:sdtPr>
              <w:sdtEndPr/>
              <w:sdtContent>
                <w:r w:rsidR="009A3F69" w:rsidRPr="009A3F69">
                  <w:fldChar w:fldCharType="begin"/>
                </w:r>
                <w:r w:rsidR="009A3F69" w:rsidRPr="009A3F69">
                  <w:rPr>
                    <w:rFonts w:eastAsia="Calibri" w:cs="Arial"/>
                  </w:rPr>
                  <w:instrText xml:space="preserve"> CITATION RecordNEW \l 2057 </w:instrText>
                </w:r>
                <w:r w:rsidR="009A3F69" w:rsidRPr="009A3F69">
                  <w:fldChar w:fldCharType="separate"/>
                </w:r>
                <w:r w:rsidR="008F6B70" w:rsidRPr="008F6B70">
                  <w:rPr>
                    <w:rFonts w:eastAsia="Calibri" w:cs="Arial"/>
                    <w:noProof/>
                  </w:rPr>
                  <w:t>[9]</w:t>
                </w:r>
                <w:r w:rsidR="009A3F69" w:rsidRPr="009A3F69">
                  <w:fldChar w:fldCharType="end"/>
                </w:r>
              </w:sdtContent>
            </w:sdt>
          </w:p>
        </w:tc>
      </w:tr>
      <w:tr w:rsidR="009A3F69" w:rsidRPr="009A3F69" w14:paraId="21852157" w14:textId="77777777" w:rsidTr="009C3662">
        <w:trPr>
          <w:cantSplit/>
        </w:trPr>
        <w:tc>
          <w:tcPr>
            <w:tcW w:w="562" w:type="dxa"/>
          </w:tcPr>
          <w:p w14:paraId="09D11EEF" w14:textId="77777777" w:rsidR="009A3F69" w:rsidRPr="009A3F69" w:rsidRDefault="009A3F69" w:rsidP="00621605">
            <w:pPr>
              <w:spacing w:before="60" w:after="60"/>
              <w:rPr>
                <w:rFonts w:eastAsia="Calibri" w:cs="Arial"/>
              </w:rPr>
            </w:pPr>
            <w:r w:rsidRPr="009A3F69">
              <w:rPr>
                <w:rFonts w:eastAsia="Calibri" w:cs="Arial"/>
              </w:rPr>
              <w:t>20</w:t>
            </w:r>
          </w:p>
        </w:tc>
        <w:tc>
          <w:tcPr>
            <w:tcW w:w="2127" w:type="dxa"/>
          </w:tcPr>
          <w:p w14:paraId="369C70AB" w14:textId="77777777" w:rsidR="009A3F69" w:rsidRPr="009A3F69" w:rsidRDefault="009A3F69" w:rsidP="00621605">
            <w:pPr>
              <w:spacing w:before="60" w:after="60"/>
              <w:rPr>
                <w:rFonts w:eastAsia="Calibri" w:cs="Arial"/>
              </w:rPr>
            </w:pPr>
            <w:r w:rsidRPr="009A3F69">
              <w:rPr>
                <w:rFonts w:eastAsia="Calibri" w:cs="Arial"/>
              </w:rPr>
              <w:t xml:space="preserve">Spares &amp; Stores </w:t>
            </w:r>
          </w:p>
        </w:tc>
        <w:tc>
          <w:tcPr>
            <w:tcW w:w="9355" w:type="dxa"/>
          </w:tcPr>
          <w:p w14:paraId="2A9B32A7" w14:textId="77777777" w:rsidR="009A3F69" w:rsidRPr="009A3F69" w:rsidRDefault="009A3F69" w:rsidP="00621605">
            <w:pPr>
              <w:spacing w:before="60" w:after="60"/>
              <w:rPr>
                <w:rFonts w:eastAsia="Calibri" w:cs="Arial"/>
              </w:rPr>
            </w:pPr>
            <w:r w:rsidRPr="009A3F69">
              <w:rPr>
                <w:rFonts w:eastAsia="Calibri" w:cs="Arial"/>
              </w:rPr>
              <w:t>Control of spares and appropriate storage is important in ensuring replacement SSC’s provide the required safety function. The licensee should have processes that ensure that correct stores items have been received, appropriately stored and with a suitable level of control on issue. This should include an acceptability check by a SQEP on receipt of the item and prior to use.</w:t>
            </w:r>
          </w:p>
          <w:p w14:paraId="1EF3050A" w14:textId="77777777" w:rsidR="009A3F69" w:rsidRPr="009A3F69" w:rsidRDefault="009A3F69" w:rsidP="00621605">
            <w:pPr>
              <w:spacing w:before="60" w:after="60"/>
              <w:rPr>
                <w:rFonts w:eastAsia="Calibri" w:cs="Arial"/>
              </w:rPr>
            </w:pPr>
            <w:r w:rsidRPr="009A3F69">
              <w:rPr>
                <w:rFonts w:eastAsia="Calibri" w:cs="Arial"/>
              </w:rPr>
              <w:t>The licensee should be able to demonstrate understanding of minimum stock levels required for critical spares, the shelf life for stored SSCs and any necessary environmental conditions for storage. Personnel should be aware of the potential for counterfeit, fraudulent and suspect items with arrangements in place, to quarantine, investigate and sentence suspect items.</w:t>
            </w:r>
          </w:p>
          <w:p w14:paraId="6C151856" w14:textId="77777777" w:rsidR="009A3F69" w:rsidRPr="009A3F69" w:rsidRDefault="009A3F69" w:rsidP="00621605">
            <w:pPr>
              <w:spacing w:before="60" w:after="60"/>
              <w:rPr>
                <w:rFonts w:eastAsia="Calibri" w:cs="Arial"/>
              </w:rPr>
            </w:pPr>
            <w:r w:rsidRPr="009A3F69">
              <w:rPr>
                <w:rFonts w:eastAsia="Calibri" w:cs="Arial"/>
              </w:rPr>
              <w:t>Replacement and configuration of plant items should be controlled with respect to design, specification, manufacture, function, procurement, storage, issue, fitness for purpose and installation.</w:t>
            </w:r>
          </w:p>
        </w:tc>
        <w:tc>
          <w:tcPr>
            <w:tcW w:w="1904" w:type="dxa"/>
          </w:tcPr>
          <w:p w14:paraId="005394EE" w14:textId="038A3201" w:rsidR="009A3F69" w:rsidRPr="009A3F69" w:rsidRDefault="008E172C" w:rsidP="00621605">
            <w:pPr>
              <w:spacing w:before="60" w:after="60"/>
              <w:rPr>
                <w:rFonts w:eastAsia="Calibri" w:cs="Arial"/>
              </w:rPr>
            </w:pPr>
            <w:sdt>
              <w:sdtPr>
                <w:id w:val="-470282115"/>
                <w:citation/>
              </w:sdtPr>
              <w:sdtEndPr/>
              <w:sdtContent>
                <w:r w:rsidR="009A3F69" w:rsidRPr="009A3F69">
                  <w:fldChar w:fldCharType="begin"/>
                </w:r>
                <w:r w:rsidR="009A3F69" w:rsidRPr="009A3F69">
                  <w:rPr>
                    <w:rFonts w:eastAsia="Calibri" w:cs="Arial"/>
                  </w:rPr>
                  <w:instrText xml:space="preserve"> CITATION Mech \l 2057 </w:instrText>
                </w:r>
                <w:r w:rsidR="009A3F69" w:rsidRPr="009A3F69">
                  <w:fldChar w:fldCharType="separate"/>
                </w:r>
                <w:r w:rsidR="008F6B70" w:rsidRPr="008F6B70">
                  <w:rPr>
                    <w:rFonts w:eastAsia="Calibri" w:cs="Arial"/>
                    <w:noProof/>
                  </w:rPr>
                  <w:t>[15]</w:t>
                </w:r>
                <w:r w:rsidR="009A3F69" w:rsidRPr="009A3F69">
                  <w:fldChar w:fldCharType="end"/>
                </w:r>
              </w:sdtContent>
            </w:sdt>
            <w:r w:rsidR="009A3F69" w:rsidRPr="009A3F69">
              <w:rPr>
                <w:rFonts w:eastAsia="Calibri" w:cs="Arial"/>
              </w:rPr>
              <w:t xml:space="preserve">, </w:t>
            </w:r>
            <w:sdt>
              <w:sdtPr>
                <w:id w:val="654106134"/>
                <w:citation/>
              </w:sdtPr>
              <w:sdtEndPr/>
              <w:sdtContent>
                <w:r w:rsidR="009A3F69" w:rsidRPr="009A3F69">
                  <w:fldChar w:fldCharType="begin"/>
                </w:r>
                <w:r w:rsidR="009A3F69" w:rsidRPr="009A3F69">
                  <w:rPr>
                    <w:rFonts w:eastAsia="Calibri" w:cs="Arial"/>
                  </w:rPr>
                  <w:instrText xml:space="preserve"> CITATION Supplychain \l 2057 </w:instrText>
                </w:r>
                <w:r w:rsidR="009A3F69" w:rsidRPr="009A3F69">
                  <w:fldChar w:fldCharType="separate"/>
                </w:r>
                <w:r w:rsidR="008F6B70" w:rsidRPr="008F6B70">
                  <w:rPr>
                    <w:rFonts w:eastAsia="Calibri" w:cs="Arial"/>
                    <w:noProof/>
                  </w:rPr>
                  <w:t>[16]</w:t>
                </w:r>
                <w:r w:rsidR="009A3F69" w:rsidRPr="009A3F69">
                  <w:fldChar w:fldCharType="end"/>
                </w:r>
              </w:sdtContent>
            </w:sdt>
            <w:r w:rsidR="009A3F69" w:rsidRPr="009A3F69">
              <w:rPr>
                <w:rFonts w:eastAsia="Calibri" w:cs="Arial"/>
              </w:rPr>
              <w:t xml:space="preserve"> and </w:t>
            </w:r>
            <w:sdt>
              <w:sdtPr>
                <w:id w:val="298423989"/>
                <w:citation/>
              </w:sdtPr>
              <w:sdtEndPr/>
              <w:sdtContent>
                <w:r w:rsidR="009A3F69" w:rsidRPr="009A3F69">
                  <w:fldChar w:fldCharType="begin"/>
                </w:r>
                <w:r w:rsidR="009A3F69" w:rsidRPr="009A3F69">
                  <w:rPr>
                    <w:rFonts w:eastAsia="Calibri" w:cs="Arial"/>
                  </w:rPr>
                  <w:instrText xml:space="preserve"> CITATION CFSI \l 2057 </w:instrText>
                </w:r>
                <w:r w:rsidR="009A3F69" w:rsidRPr="009A3F69">
                  <w:fldChar w:fldCharType="separate"/>
                </w:r>
                <w:r w:rsidR="008F6B70" w:rsidRPr="008F6B70">
                  <w:rPr>
                    <w:rFonts w:eastAsia="Calibri" w:cs="Arial"/>
                    <w:noProof/>
                  </w:rPr>
                  <w:t>[17]</w:t>
                </w:r>
                <w:r w:rsidR="009A3F69" w:rsidRPr="009A3F69">
                  <w:fldChar w:fldCharType="end"/>
                </w:r>
              </w:sdtContent>
            </w:sdt>
          </w:p>
        </w:tc>
      </w:tr>
      <w:tr w:rsidR="009A3F69" w:rsidRPr="009A3F69" w14:paraId="61B2BB5F" w14:textId="77777777" w:rsidTr="009C3662">
        <w:trPr>
          <w:cantSplit/>
        </w:trPr>
        <w:tc>
          <w:tcPr>
            <w:tcW w:w="562" w:type="dxa"/>
          </w:tcPr>
          <w:p w14:paraId="0B5CC6E6" w14:textId="77777777" w:rsidR="009A3F69" w:rsidRPr="009A3F69" w:rsidRDefault="009A3F69" w:rsidP="00621605">
            <w:pPr>
              <w:spacing w:before="60" w:after="60"/>
              <w:rPr>
                <w:rFonts w:eastAsia="Calibri" w:cs="Arial"/>
              </w:rPr>
            </w:pPr>
            <w:r w:rsidRPr="009A3F69">
              <w:rPr>
                <w:rFonts w:eastAsia="Calibri" w:cs="Arial"/>
              </w:rPr>
              <w:lastRenderedPageBreak/>
              <w:t>21</w:t>
            </w:r>
          </w:p>
        </w:tc>
        <w:tc>
          <w:tcPr>
            <w:tcW w:w="2127" w:type="dxa"/>
          </w:tcPr>
          <w:p w14:paraId="01472194" w14:textId="77777777" w:rsidR="009A3F69" w:rsidRPr="009A3F69" w:rsidRDefault="009A3F69" w:rsidP="00621605">
            <w:pPr>
              <w:spacing w:before="60" w:after="60"/>
              <w:rPr>
                <w:rFonts w:eastAsia="Calibri" w:cs="Arial"/>
              </w:rPr>
            </w:pPr>
            <w:r w:rsidRPr="009A3F69">
              <w:rPr>
                <w:rFonts w:eastAsia="Calibri" w:cs="Arial"/>
              </w:rPr>
              <w:t xml:space="preserve">Test Equipment </w:t>
            </w:r>
          </w:p>
        </w:tc>
        <w:tc>
          <w:tcPr>
            <w:tcW w:w="9355" w:type="dxa"/>
          </w:tcPr>
          <w:p w14:paraId="20DFCAD6" w14:textId="77777777" w:rsidR="009A3F69" w:rsidRPr="009A3F69" w:rsidRDefault="009A3F69" w:rsidP="00621605">
            <w:pPr>
              <w:spacing w:before="60" w:after="60"/>
              <w:rPr>
                <w:rFonts w:eastAsia="Calibri" w:cs="Arial"/>
              </w:rPr>
            </w:pPr>
            <w:r w:rsidRPr="009A3F69">
              <w:rPr>
                <w:rFonts w:eastAsia="Calibri" w:cs="Arial"/>
              </w:rPr>
              <w:t>Test equipment is used to confirm equipment is within calibration (or specification). Specific considerations for this topic include how the equipment is calibrated and controlled. This includes ensuring any equipment used is within calibration and the licensee’s controls over use of third party test equipment. Appropriate facilities for undertaking the testing should also be in place.</w:t>
            </w:r>
          </w:p>
        </w:tc>
        <w:tc>
          <w:tcPr>
            <w:tcW w:w="1904" w:type="dxa"/>
          </w:tcPr>
          <w:p w14:paraId="447543B1" w14:textId="77777777" w:rsidR="009A3F69" w:rsidRPr="009A3F69" w:rsidRDefault="009A3F69" w:rsidP="00621605">
            <w:pPr>
              <w:spacing w:before="60" w:after="60"/>
              <w:rPr>
                <w:rFonts w:eastAsia="Calibri" w:cs="Arial"/>
              </w:rPr>
            </w:pPr>
          </w:p>
        </w:tc>
      </w:tr>
      <w:tr w:rsidR="009A3F69" w:rsidRPr="009A3F69" w14:paraId="240749DD" w14:textId="77777777" w:rsidTr="009C3662">
        <w:trPr>
          <w:cantSplit/>
        </w:trPr>
        <w:tc>
          <w:tcPr>
            <w:tcW w:w="562" w:type="dxa"/>
          </w:tcPr>
          <w:p w14:paraId="20CB1A68" w14:textId="77777777" w:rsidR="009A3F69" w:rsidRPr="009A3F69" w:rsidRDefault="009A3F69" w:rsidP="00621605">
            <w:pPr>
              <w:spacing w:before="60" w:after="60"/>
              <w:rPr>
                <w:rFonts w:eastAsia="Calibri" w:cs="Arial"/>
              </w:rPr>
            </w:pPr>
            <w:r w:rsidRPr="009A3F69">
              <w:rPr>
                <w:rFonts w:eastAsia="Calibri" w:cs="Arial"/>
              </w:rPr>
              <w:t>22</w:t>
            </w:r>
          </w:p>
        </w:tc>
        <w:tc>
          <w:tcPr>
            <w:tcW w:w="2127" w:type="dxa"/>
          </w:tcPr>
          <w:p w14:paraId="2AC0DB07" w14:textId="77777777" w:rsidR="009A3F69" w:rsidRPr="009A3F69" w:rsidRDefault="009A3F69" w:rsidP="00621605">
            <w:pPr>
              <w:spacing w:before="60" w:after="60"/>
              <w:rPr>
                <w:rFonts w:eastAsia="Calibri" w:cs="Arial"/>
              </w:rPr>
            </w:pPr>
            <w:r w:rsidRPr="009A3F69">
              <w:rPr>
                <w:rFonts w:eastAsia="Calibri" w:cs="Arial"/>
              </w:rPr>
              <w:t>Specialisms</w:t>
            </w:r>
          </w:p>
        </w:tc>
        <w:tc>
          <w:tcPr>
            <w:tcW w:w="9355" w:type="dxa"/>
          </w:tcPr>
          <w:p w14:paraId="439F6DD0" w14:textId="77777777" w:rsidR="009A3F69" w:rsidRPr="009A3F69" w:rsidRDefault="009A3F69" w:rsidP="00621605">
            <w:pPr>
              <w:spacing w:before="60" w:after="60"/>
              <w:rPr>
                <w:rFonts w:eastAsia="Calibri" w:cs="Arial"/>
              </w:rPr>
            </w:pPr>
            <w:r w:rsidRPr="009A3F69">
              <w:rPr>
                <w:rFonts w:eastAsia="Calibri" w:cs="Arial"/>
              </w:rPr>
              <w:t>Specialisms may identify topics of interest or themes for inspections, through sub-divisional plans or based on operational experience. For example, corrosion management or the maintenance of passive components.</w:t>
            </w:r>
          </w:p>
        </w:tc>
        <w:tc>
          <w:tcPr>
            <w:tcW w:w="1904" w:type="dxa"/>
          </w:tcPr>
          <w:p w14:paraId="5644AF56" w14:textId="77777777" w:rsidR="009A3F69" w:rsidRPr="009A3F69" w:rsidRDefault="009A3F69" w:rsidP="00621605">
            <w:pPr>
              <w:spacing w:before="60" w:after="60"/>
              <w:rPr>
                <w:rFonts w:eastAsia="Calibri" w:cs="Arial"/>
              </w:rPr>
            </w:pPr>
          </w:p>
        </w:tc>
      </w:tr>
    </w:tbl>
    <w:p w14:paraId="58F8A490" w14:textId="77777777" w:rsidR="00F425A7" w:rsidRDefault="00F425A7" w:rsidP="00F425A7"/>
    <w:p w14:paraId="25B0DAC6" w14:textId="77777777" w:rsidR="00F425A7" w:rsidRPr="00F425A7" w:rsidRDefault="00F425A7" w:rsidP="00F425A7">
      <w:pPr>
        <w:sectPr w:rsidR="00F425A7" w:rsidRPr="00F425A7" w:rsidSect="00F425A7">
          <w:pgSz w:w="16838" w:h="11906" w:orient="landscape" w:code="9"/>
          <w:pgMar w:top="1440" w:right="1440" w:bottom="1440" w:left="1440" w:header="397" w:footer="397" w:gutter="0"/>
          <w:cols w:space="312"/>
          <w:docGrid w:linePitch="360"/>
        </w:sectPr>
      </w:pPr>
    </w:p>
    <w:p w14:paraId="1B038B42" w14:textId="553E767C" w:rsidR="00B82646" w:rsidRDefault="009E0E52" w:rsidP="00FA33FE">
      <w:pPr>
        <w:pStyle w:val="Heading1"/>
        <w:numPr>
          <w:ilvl w:val="0"/>
          <w:numId w:val="0"/>
        </w:numPr>
      </w:pPr>
      <w:bookmarkStart w:id="10" w:name="_Toc224544846"/>
      <w:r>
        <w:lastRenderedPageBreak/>
        <w:t xml:space="preserve">Appendix A – </w:t>
      </w:r>
      <w:r w:rsidR="00382542" w:rsidRPr="00E93A50">
        <w:t>Guidance for joint EIMT inspections</w:t>
      </w:r>
      <w:bookmarkEnd w:id="10"/>
    </w:p>
    <w:p w14:paraId="0F6F5536" w14:textId="7FF4AD1D" w:rsidR="00A82210" w:rsidRDefault="00A82210" w:rsidP="00A82210">
      <w:pPr>
        <w:pStyle w:val="F9-Paragraph"/>
      </w:pPr>
      <w:r w:rsidRPr="00A82210">
        <w:t>Many LC 28 expectations align with other legislative requirements when SSCs serve both nuclear safety and other functions (</w:t>
      </w:r>
      <w:r w:rsidR="00621605">
        <w:t>for example,</w:t>
      </w:r>
      <w:r w:rsidRPr="00A82210">
        <w:t xml:space="preserve"> security, safeguards, site health and safety). This appendix highlights common areas to consider when planning LC 28 interventions.</w:t>
      </w:r>
    </w:p>
    <w:p w14:paraId="22EEB16E" w14:textId="6385648D" w:rsidR="00A82210" w:rsidRPr="00A82210" w:rsidRDefault="00A82210" w:rsidP="00A82210">
      <w:pPr>
        <w:pStyle w:val="F9-Paragraph"/>
      </w:pPr>
      <w:r w:rsidRPr="00A82210">
        <w:t>Where such alignment exists, it may be appropriate to seek assurance on the system’s EIMT for relevant ONR purposes through a single, combined inspection.</w:t>
      </w:r>
    </w:p>
    <w:p w14:paraId="59AA6403" w14:textId="77777777" w:rsidR="00AA2A1B" w:rsidRPr="00E93A50" w:rsidRDefault="00AA2A1B" w:rsidP="00AA2A1B">
      <w:pPr>
        <w:pStyle w:val="F9-Paragraph"/>
        <w:numPr>
          <w:ilvl w:val="0"/>
          <w:numId w:val="0"/>
        </w:numPr>
        <w:ind w:left="851"/>
        <w:rPr>
          <w:b/>
          <w:bCs/>
        </w:rPr>
      </w:pPr>
      <w:r w:rsidRPr="00E93A50">
        <w:rPr>
          <w:b/>
          <w:bCs/>
        </w:rPr>
        <w:t>Safeguards</w:t>
      </w:r>
    </w:p>
    <w:p w14:paraId="1651640C" w14:textId="6D7F70B1" w:rsidR="00F462D1" w:rsidRPr="00F462D1" w:rsidRDefault="00F462D1" w:rsidP="00F462D1">
      <w:pPr>
        <w:pStyle w:val="F9-Paragraph"/>
        <w:rPr>
          <w:lang w:eastAsia="en-GB" w:bidi="ar-SA"/>
        </w:rPr>
      </w:pPr>
      <w:r w:rsidRPr="00F462D1">
        <w:rPr>
          <w:lang w:eastAsia="en-GB" w:bidi="ar-SA"/>
        </w:rPr>
        <w:t>If a system provides both a nuclear safety and safeguards function, many LC 28 expectations also apply to compliance with the Nuclear Safeguards (EU Exit) Regulations 2019 (NSR19) and ONR’s Guidance for Nuclear Material Accountancy, Control and Safeguards (ONMACS) </w:t>
      </w:r>
      <w:sdt>
        <w:sdtPr>
          <w:rPr>
            <w:lang w:eastAsia="en-GB" w:bidi="ar-SA"/>
          </w:rPr>
          <w:id w:val="-2062009773"/>
          <w:citation/>
        </w:sdtPr>
        <w:sdtEndPr/>
        <w:sdtContent>
          <w:r w:rsidR="006629A3">
            <w:rPr>
              <w:lang w:eastAsia="en-GB" w:bidi="ar-SA"/>
            </w:rPr>
            <w:fldChar w:fldCharType="begin"/>
          </w:r>
          <w:r w:rsidR="006629A3">
            <w:rPr>
              <w:lang w:eastAsia="en-GB" w:bidi="ar-SA"/>
            </w:rPr>
            <w:instrText xml:space="preserve"> CITATION ONMACS \l 2057 </w:instrText>
          </w:r>
          <w:r w:rsidR="006629A3">
            <w:rPr>
              <w:lang w:eastAsia="en-GB" w:bidi="ar-SA"/>
            </w:rPr>
            <w:fldChar w:fldCharType="separate"/>
          </w:r>
          <w:r w:rsidR="008F6B70">
            <w:rPr>
              <w:noProof/>
              <w:lang w:eastAsia="en-GB" w:bidi="ar-SA"/>
            </w:rPr>
            <w:t xml:space="preserve"> </w:t>
          </w:r>
          <w:r w:rsidR="008F6B70" w:rsidRPr="008F6B70">
            <w:rPr>
              <w:noProof/>
              <w:lang w:eastAsia="en-GB" w:bidi="ar-SA"/>
            </w:rPr>
            <w:t>[18]</w:t>
          </w:r>
          <w:r w:rsidR="006629A3">
            <w:rPr>
              <w:lang w:eastAsia="en-GB" w:bidi="ar-SA"/>
            </w:rPr>
            <w:fldChar w:fldCharType="end"/>
          </w:r>
        </w:sdtContent>
      </w:sdt>
      <w:r w:rsidRPr="00F462D1">
        <w:rPr>
          <w:lang w:eastAsia="en-GB" w:bidi="ar-SA"/>
        </w:rPr>
        <w:t>.</w:t>
      </w:r>
      <w:r w:rsidR="002C1962">
        <w:rPr>
          <w:lang w:eastAsia="en-GB" w:bidi="ar-SA"/>
        </w:rPr>
        <w:t xml:space="preserve"> </w:t>
      </w:r>
      <w:r w:rsidR="00621605">
        <w:rPr>
          <w:lang w:eastAsia="en-GB" w:bidi="ar-SA"/>
        </w:rPr>
        <w:br/>
      </w:r>
      <w:r w:rsidRPr="00F462D1">
        <w:rPr>
          <w:lang w:eastAsia="en-GB" w:bidi="ar-SA"/>
        </w:rPr>
        <w:t>NSR19 Regulation 6(1) requires operators to maintain an accountancy and control system for qualifying nuclear material at each facility.</w:t>
      </w:r>
      <w:r w:rsidR="00B001C9">
        <w:rPr>
          <w:lang w:eastAsia="en-GB" w:bidi="ar-SA"/>
        </w:rPr>
        <w:t xml:space="preserve"> </w:t>
      </w:r>
      <w:r w:rsidRPr="00F462D1">
        <w:rPr>
          <w:lang w:eastAsia="en-GB" w:bidi="ar-SA"/>
        </w:rPr>
        <w:t>Guidance on EIMT for safeguards systems is provided in ONMACS, MACE 5.2.</w:t>
      </w:r>
    </w:p>
    <w:p w14:paraId="70EA637A" w14:textId="77777777" w:rsidR="00E47BDA" w:rsidRDefault="00E47BDA" w:rsidP="00E47BDA">
      <w:pPr>
        <w:pStyle w:val="F9-Paragraph"/>
        <w:rPr>
          <w:lang w:eastAsia="en-GB" w:bidi="ar-SA"/>
        </w:rPr>
      </w:pPr>
      <w:r>
        <w:t>Key aspects of MACE 5.2 that align with this TIG include:</w:t>
      </w:r>
    </w:p>
    <w:p w14:paraId="6AF7236C" w14:textId="77777777" w:rsidR="00E47BDA" w:rsidRDefault="00E47BDA" w:rsidP="00E756C2">
      <w:pPr>
        <w:pStyle w:val="Bulletlist1"/>
      </w:pPr>
      <w:r>
        <w:t>Systems and components with an NMACS function should receive regular, systematic EIMT, supported by processes for in</w:t>
      </w:r>
      <w:r>
        <w:noBreakHyphen/>
        <w:t>service testing, inspection and maintenance. Where systems also support safety functions, this aligns directly with LC 28.</w:t>
      </w:r>
    </w:p>
    <w:p w14:paraId="2616D9DA" w14:textId="77777777" w:rsidR="00E47BDA" w:rsidRDefault="00E47BDA" w:rsidP="00E756C2">
      <w:pPr>
        <w:pStyle w:val="Bulletlist1"/>
      </w:pPr>
      <w:r>
        <w:t>Maintenance requirements should be identified and included in an appropriate maintenance schedule. Licensees may use separate schedules for safety and safeguards, but all maintenance supporting either purpose must be captured.</w:t>
      </w:r>
    </w:p>
    <w:p w14:paraId="55B03E29" w14:textId="77777777" w:rsidR="00E47BDA" w:rsidRDefault="00E47BDA" w:rsidP="00E756C2">
      <w:pPr>
        <w:pStyle w:val="Bulletlist1"/>
      </w:pPr>
      <w:r>
        <w:t>EIMT frequency for safeguards or safety should reflect the required NMACS performance or claimed safety function. Safeguards may demand higher measurement precision than safety, requiring more frequent maintenance, while safety</w:t>
      </w:r>
      <w:r>
        <w:noBreakHyphen/>
        <w:t>critical equipment may require more rigorous EIMT due to potential consequences of failure.</w:t>
      </w:r>
    </w:p>
    <w:p w14:paraId="654D8D0C" w14:textId="77777777" w:rsidR="00E47BDA" w:rsidRDefault="00E47BDA" w:rsidP="00E876EE">
      <w:pPr>
        <w:pStyle w:val="Bulletlist1"/>
      </w:pPr>
      <w:r>
        <w:t>When plant is taken out of service, arrangements must ensure enough equipment remains available to maintain safety as justified in the safety case. Likewise, safeguards operators must maintain NMACS capability at all times, applying compensatory measures when systems are offline.</w:t>
      </w:r>
    </w:p>
    <w:p w14:paraId="5247F7ED" w14:textId="77777777" w:rsidR="00B90AAB" w:rsidRDefault="00B90AAB" w:rsidP="00B90AAB">
      <w:pPr>
        <w:pStyle w:val="Bulletlist1"/>
        <w:numPr>
          <w:ilvl w:val="0"/>
          <w:numId w:val="0"/>
        </w:numPr>
        <w:ind w:left="1134"/>
      </w:pPr>
    </w:p>
    <w:p w14:paraId="4FABAE26" w14:textId="77777777" w:rsidR="00D43D83" w:rsidRDefault="00D43D83" w:rsidP="00AA2A1B">
      <w:pPr>
        <w:pStyle w:val="ListParagraph"/>
        <w:rPr>
          <w:b/>
          <w:bCs/>
        </w:rPr>
      </w:pPr>
    </w:p>
    <w:p w14:paraId="1DFB2552" w14:textId="1A4B23DE" w:rsidR="00AA2A1B" w:rsidRPr="00E93A50" w:rsidRDefault="00AA2A1B" w:rsidP="00621605">
      <w:pPr>
        <w:pStyle w:val="ListParagraph"/>
        <w:spacing w:before="240" w:after="120"/>
        <w:ind w:left="851"/>
        <w:rPr>
          <w:b/>
          <w:bCs/>
        </w:rPr>
      </w:pPr>
      <w:r w:rsidRPr="00E93A50">
        <w:rPr>
          <w:b/>
          <w:bCs/>
        </w:rPr>
        <w:lastRenderedPageBreak/>
        <w:t>Protective security</w:t>
      </w:r>
    </w:p>
    <w:p w14:paraId="2A73882F" w14:textId="747D6882" w:rsidR="000A639D" w:rsidRDefault="000A639D" w:rsidP="000A639D">
      <w:pPr>
        <w:pStyle w:val="F9-Paragraph"/>
        <w:rPr>
          <w:lang w:eastAsia="en-GB" w:bidi="ar-SA"/>
        </w:rPr>
      </w:pPr>
      <w:r>
        <w:t>The Nuclear Industries Security Regulations (NISR) 2003 </w:t>
      </w:r>
      <w:sdt>
        <w:sdtPr>
          <w:id w:val="-1642254872"/>
          <w:citation/>
        </w:sdtPr>
        <w:sdtEndPr/>
        <w:sdtContent>
          <w:r w:rsidR="009A1465">
            <w:fldChar w:fldCharType="begin"/>
          </w:r>
          <w:r w:rsidR="009A1465">
            <w:instrText xml:space="preserve"> CITATION NISR \l 2057 </w:instrText>
          </w:r>
          <w:r w:rsidR="009A1465">
            <w:fldChar w:fldCharType="separate"/>
          </w:r>
          <w:r w:rsidR="008F6B70">
            <w:rPr>
              <w:noProof/>
            </w:rPr>
            <w:t xml:space="preserve"> </w:t>
          </w:r>
          <w:r w:rsidR="008F6B70" w:rsidRPr="008F6B70">
            <w:rPr>
              <w:noProof/>
            </w:rPr>
            <w:t>[19]</w:t>
          </w:r>
          <w:r w:rsidR="009A1465">
            <w:fldChar w:fldCharType="end"/>
          </w:r>
        </w:sdtContent>
      </w:sdt>
      <w:r>
        <w:t xml:space="preserve"> require dutyholders to maintain an approved Security Plan (SP) and comply with its standards, procedures and arrangements. Plans are assessed and approved using the Security Assessment Principles (SyAPs) framework, supported by TAGs such as CNS</w:t>
      </w:r>
      <w:r>
        <w:noBreakHyphen/>
        <w:t>TAST</w:t>
      </w:r>
      <w:r>
        <w:noBreakHyphen/>
        <w:t>GD</w:t>
      </w:r>
      <w:r>
        <w:noBreakHyphen/>
        <w:t>5.2 for EIMT </w:t>
      </w:r>
      <w:sdt>
        <w:sdtPr>
          <w:id w:val="198750803"/>
          <w:citation/>
        </w:sdtPr>
        <w:sdtEndPr/>
        <w:sdtContent>
          <w:r w:rsidR="00204BD9">
            <w:fldChar w:fldCharType="begin"/>
          </w:r>
          <w:r w:rsidR="00204BD9">
            <w:instrText xml:space="preserve"> CITATION CNSTAG52 \l 2057 </w:instrText>
          </w:r>
          <w:r w:rsidR="00204BD9">
            <w:fldChar w:fldCharType="separate"/>
          </w:r>
          <w:r w:rsidR="008F6B70">
            <w:rPr>
              <w:noProof/>
            </w:rPr>
            <w:t xml:space="preserve"> </w:t>
          </w:r>
          <w:r w:rsidR="008F6B70" w:rsidRPr="008F6B70">
            <w:rPr>
              <w:noProof/>
            </w:rPr>
            <w:t>[20]</w:t>
          </w:r>
          <w:r w:rsidR="00204BD9">
            <w:fldChar w:fldCharType="end"/>
          </w:r>
        </w:sdtContent>
      </w:sdt>
      <w:r>
        <w:t>.</w:t>
      </w:r>
    </w:p>
    <w:p w14:paraId="2D3C395C" w14:textId="00A140F3" w:rsidR="000A639D" w:rsidRDefault="000A639D" w:rsidP="000A639D">
      <w:pPr>
        <w:pStyle w:val="F9-Paragraph"/>
      </w:pPr>
      <w:r>
        <w:t xml:space="preserve">The relevant SyAPs </w:t>
      </w:r>
      <w:sdt>
        <w:sdtPr>
          <w:id w:val="-1474817954"/>
          <w:citation/>
        </w:sdtPr>
        <w:sdtEndPr/>
        <w:sdtContent>
          <w:r w:rsidR="001E0D83">
            <w:fldChar w:fldCharType="begin"/>
          </w:r>
          <w:r w:rsidR="001E0D83">
            <w:instrText xml:space="preserve"> CITATION SyAPs \l 2057 </w:instrText>
          </w:r>
          <w:r w:rsidR="001E0D83">
            <w:fldChar w:fldCharType="separate"/>
          </w:r>
          <w:r w:rsidR="008F6B70" w:rsidRPr="008F6B70">
            <w:rPr>
              <w:noProof/>
            </w:rPr>
            <w:t>[21]</w:t>
          </w:r>
          <w:r w:rsidR="001E0D83">
            <w:fldChar w:fldCharType="end"/>
          </w:r>
        </w:sdtContent>
      </w:sdt>
      <w:r w:rsidR="001E0D83">
        <w:t xml:space="preserve"> </w:t>
      </w:r>
      <w:r>
        <w:t>section is Security Delivery Principle (</w:t>
      </w:r>
      <w:proofErr w:type="spellStart"/>
      <w:r>
        <w:t>SyDP</w:t>
      </w:r>
      <w:proofErr w:type="spellEnd"/>
      <w:r>
        <w:t xml:space="preserve">) 5.2 – Examination, Inspection, Maintenance and Testing, part of Fundamental Security Principle (FSyP) 5 on reliability, resilience and sustainability. </w:t>
      </w:r>
      <w:proofErr w:type="spellStart"/>
      <w:r>
        <w:t>SyDP</w:t>
      </w:r>
      <w:proofErr w:type="spellEnd"/>
      <w:r>
        <w:t> 5.2 (para. 147) states that:</w:t>
      </w:r>
    </w:p>
    <w:p w14:paraId="2EE02114" w14:textId="77777777" w:rsidR="00AA2A1B" w:rsidRPr="00E93A50" w:rsidRDefault="00AA2A1B" w:rsidP="00AA2A1B">
      <w:pPr>
        <w:pStyle w:val="QuoteText"/>
        <w:rPr>
          <w:lang w:eastAsia="en-GB"/>
        </w:rPr>
      </w:pPr>
      <w:r w:rsidRPr="00E93A50">
        <w:rPr>
          <w:lang w:eastAsia="en-GB"/>
        </w:rPr>
        <w:t>“A process for in-service testing, inspection and other maintenance procedures of security structures, systems and components should be identified in the security plan.”</w:t>
      </w:r>
    </w:p>
    <w:p w14:paraId="6761BA01" w14:textId="01060035" w:rsidR="00AA2A1B" w:rsidRPr="00E93A50" w:rsidRDefault="00AA2A1B" w:rsidP="00AA2A1B">
      <w:pPr>
        <w:pStyle w:val="F9-Paragraph"/>
      </w:pPr>
      <w:r w:rsidRPr="00E93A50">
        <w:t>Inspecting EIMT of security SSCs is one area in which joint inspections and specialist support would be beneficial. ONR’s Nuclear Security Inspections TIG (CNS-INSP-GD-001) (Ref.</w:t>
      </w:r>
      <w:sdt>
        <w:sdtPr>
          <w:id w:val="-501511332"/>
          <w:citation/>
        </w:sdtPr>
        <w:sdtEndPr/>
        <w:sdtContent>
          <w:r w:rsidRPr="00E93A50">
            <w:fldChar w:fldCharType="begin"/>
          </w:r>
          <w:r w:rsidRPr="00E93A50">
            <w:instrText xml:space="preserve">CITATION CNSTIG \l 2057 </w:instrText>
          </w:r>
          <w:r w:rsidRPr="00E93A50">
            <w:fldChar w:fldCharType="separate"/>
          </w:r>
          <w:r w:rsidR="008F6B70">
            <w:rPr>
              <w:noProof/>
            </w:rPr>
            <w:t xml:space="preserve"> </w:t>
          </w:r>
          <w:r w:rsidR="008F6B70" w:rsidRPr="008F6B70">
            <w:rPr>
              <w:noProof/>
            </w:rPr>
            <w:t>[22]</w:t>
          </w:r>
          <w:r w:rsidRPr="00E93A50">
            <w:fldChar w:fldCharType="end"/>
          </w:r>
        </w:sdtContent>
      </w:sdt>
      <w:r w:rsidRPr="00E93A50">
        <w:t>) encourages security inspectors to consider a cross-purpose approach for FSyP 5 (Section 4.3, paragraph 37).</w:t>
      </w:r>
    </w:p>
    <w:p w14:paraId="2B29ABFB" w14:textId="77777777" w:rsidR="00AA2A1B" w:rsidRPr="00E93A50" w:rsidRDefault="00AA2A1B" w:rsidP="00AA2A1B">
      <w:pPr>
        <w:pStyle w:val="F9-Paragraph"/>
      </w:pPr>
      <w:r w:rsidRPr="00E93A50">
        <w:t xml:space="preserve">SyAPs (para.150) states that: </w:t>
      </w:r>
    </w:p>
    <w:p w14:paraId="78B77A12" w14:textId="77777777" w:rsidR="00AA2A1B" w:rsidRPr="00E93A50" w:rsidRDefault="00AA2A1B" w:rsidP="00AA2A1B">
      <w:pPr>
        <w:pStyle w:val="QuoteText"/>
      </w:pPr>
      <w:r w:rsidRPr="00E93A50">
        <w:t xml:space="preserve">“EIMT is part of normal operation and it should be possible to carry out these tests without any loss of any security function.” </w:t>
      </w:r>
    </w:p>
    <w:p w14:paraId="4BE2610F" w14:textId="77777777" w:rsidR="008D4938" w:rsidRPr="008D4938" w:rsidRDefault="008D4938" w:rsidP="008D4938">
      <w:pPr>
        <w:pStyle w:val="F9-Paragraph"/>
        <w:rPr>
          <w:lang w:eastAsia="en-GB" w:bidi="ar-SA"/>
        </w:rPr>
      </w:pPr>
      <w:r w:rsidRPr="008D4938">
        <w:rPr>
          <w:lang w:eastAsia="en-GB" w:bidi="ar-SA"/>
        </w:rPr>
        <w:t>Although this may seem obvious, there have been cases where security functions were unintentionally disabled during EIMT on non</w:t>
      </w:r>
      <w:r w:rsidRPr="008D4938">
        <w:rPr>
          <w:lang w:eastAsia="en-GB" w:bidi="ar-SA"/>
        </w:rPr>
        <w:noBreakHyphen/>
        <w:t>security SSCs (e.g., isolating an electrical board that also powers the Perimeter Intrusion Detection System). Such errors typically arise from stove</w:t>
      </w:r>
      <w:r w:rsidRPr="008D4938">
        <w:rPr>
          <w:lang w:eastAsia="en-GB" w:bidi="ar-SA"/>
        </w:rPr>
        <w:noBreakHyphen/>
        <w:t>piped EIMT arrangements and inadequate supervision or control of security</w:t>
      </w:r>
      <w:r w:rsidRPr="008D4938">
        <w:rPr>
          <w:lang w:eastAsia="en-GB" w:bidi="ar-SA"/>
        </w:rPr>
        <w:noBreakHyphen/>
        <w:t>related EIMT. To prevent these safety and security risks, an integrated dutyholder approach to EIMT is essential.</w:t>
      </w:r>
    </w:p>
    <w:p w14:paraId="3FBBDDF5" w14:textId="77777777" w:rsidR="00AA2A1B" w:rsidRPr="00E93A50" w:rsidRDefault="00AA2A1B" w:rsidP="00AA2A1B">
      <w:pPr>
        <w:pStyle w:val="F9-Paragraph"/>
        <w:rPr>
          <w:lang w:eastAsia="en-GB" w:bidi="ar-SA"/>
        </w:rPr>
      </w:pPr>
      <w:r w:rsidRPr="00E93A50">
        <w:rPr>
          <w:lang w:eastAsia="en-GB" w:bidi="ar-SA"/>
        </w:rPr>
        <w:t>SyAPs (para.150) states that:</w:t>
      </w:r>
    </w:p>
    <w:p w14:paraId="253ED0DA" w14:textId="77777777" w:rsidR="00AA2A1B" w:rsidRPr="00E93A50" w:rsidRDefault="00AA2A1B" w:rsidP="00AA2A1B">
      <w:pPr>
        <w:pStyle w:val="QuoteText"/>
        <w:rPr>
          <w:lang w:eastAsia="en-GB"/>
        </w:rPr>
      </w:pPr>
      <w:r w:rsidRPr="00E93A50">
        <w:rPr>
          <w:lang w:eastAsia="en-GB"/>
        </w:rPr>
        <w:t xml:space="preserve">“…the potential for EIMT to be exploited by an adversary should be analysed and the risks so arising mitigated.” </w:t>
      </w:r>
    </w:p>
    <w:p w14:paraId="780FA4EE" w14:textId="68A22632" w:rsidR="003A7FCB" w:rsidRPr="003A7FCB" w:rsidRDefault="003A7FCB" w:rsidP="003A7FCB">
      <w:pPr>
        <w:pStyle w:val="F9-Paragraph"/>
      </w:pPr>
      <w:r w:rsidRPr="003A7FCB">
        <w:t xml:space="preserve">Security inspectors consider deliberate, malicious acts that could lead to sabotage or theft of nuclear or other radioactive material. Safety inspectors should share planned EIMT inspection scope with the site Security Inspector, who can confirm whether SSCs have security relevance. </w:t>
      </w:r>
      <w:r w:rsidR="00621605">
        <w:br/>
      </w:r>
      <w:r w:rsidRPr="003A7FCB">
        <w:t>One example is applying a “two</w:t>
      </w:r>
      <w:r w:rsidRPr="003A7FCB">
        <w:noBreakHyphen/>
        <w:t>person rule” for maintenance on critical systems vulnerable to insider sabotage.</w:t>
      </w:r>
    </w:p>
    <w:p w14:paraId="62B55785" w14:textId="77777777" w:rsidR="003A7FCB" w:rsidRDefault="003A7FCB" w:rsidP="003A7FCB">
      <w:pPr>
        <w:pStyle w:val="F9-Paragraph"/>
      </w:pPr>
      <w:r w:rsidRPr="003A7FCB">
        <w:lastRenderedPageBreak/>
        <w:t>Inspectors should also check that security is routinely embedded in the dutyholder’s EIMT arrangements. This may include:</w:t>
      </w:r>
    </w:p>
    <w:p w14:paraId="5235CE96" w14:textId="77777777" w:rsidR="003A7FCB" w:rsidRDefault="003A7FCB" w:rsidP="005838D5">
      <w:pPr>
        <w:pStyle w:val="Bulletlist1"/>
      </w:pPr>
      <w:r w:rsidRPr="003A7FCB">
        <w:t>advance notice of EIMT affecting security</w:t>
      </w:r>
      <w:r w:rsidRPr="003A7FCB">
        <w:noBreakHyphen/>
        <w:t>related SSCs, allowing contingency planning or submission of a Temporary Security Plan to ONR;</w:t>
      </w:r>
    </w:p>
    <w:p w14:paraId="0B373D9E" w14:textId="4D4459CC" w:rsidR="003A7FCB" w:rsidRPr="003A7FCB" w:rsidRDefault="003A7FCB" w:rsidP="005838D5">
      <w:pPr>
        <w:pStyle w:val="Bulletlist1"/>
      </w:pPr>
      <w:r w:rsidRPr="003A7FCB">
        <w:t>recognising that EIMT on one safety SSC may increase the security importance or vulnerability of another, requiring dynamic security measures such as temporary armed guarding.</w:t>
      </w:r>
    </w:p>
    <w:p w14:paraId="61439350" w14:textId="77777777" w:rsidR="003A7FCB" w:rsidRPr="003A7FCB" w:rsidRDefault="003A7FCB" w:rsidP="003A7FCB">
      <w:pPr>
        <w:pStyle w:val="F9-Paragraph"/>
      </w:pPr>
      <w:r w:rsidRPr="003A7FCB">
        <w:t>Where any security aspect is involved, the first point of contact should be the site Security Inspector.</w:t>
      </w:r>
    </w:p>
    <w:p w14:paraId="7EC00C01" w14:textId="77777777" w:rsidR="00AA2A1B" w:rsidRPr="00E93A50" w:rsidRDefault="00AA2A1B" w:rsidP="00AA2A1B">
      <w:pPr>
        <w:pStyle w:val="F9-Paragraph"/>
        <w:numPr>
          <w:ilvl w:val="0"/>
          <w:numId w:val="0"/>
        </w:numPr>
        <w:ind w:left="851"/>
        <w:rPr>
          <w:b/>
          <w:bCs/>
        </w:rPr>
      </w:pPr>
      <w:r w:rsidRPr="00E93A50">
        <w:rPr>
          <w:b/>
          <w:bCs/>
        </w:rPr>
        <w:t>Cyber security</w:t>
      </w:r>
    </w:p>
    <w:p w14:paraId="28997CB9" w14:textId="294DAEF1" w:rsidR="00AA2A1B" w:rsidRPr="00E93A50" w:rsidRDefault="00BC0C32" w:rsidP="00F03881">
      <w:pPr>
        <w:pStyle w:val="F9-Paragraph"/>
        <w:rPr>
          <w:lang w:eastAsia="en-GB" w:bidi="ar-SA"/>
        </w:rPr>
      </w:pPr>
      <w:r w:rsidRPr="00BC0C32">
        <w:rPr>
          <w:lang w:eastAsia="en-GB" w:bidi="ar-SA"/>
        </w:rPr>
        <w:t>As operational technology becomes more widespread on nuclear sites, EIMT requirements may be shaped by both nuclear safety and cyber security needs. This is likely to increase the need and opportunities for joint inspections where equipment requires EIMT to satisfy both LC 28 and cyber security requirements.</w:t>
      </w:r>
      <w:r w:rsidR="00AA2A1B" w:rsidRPr="00F03881">
        <w:rPr>
          <w:rStyle w:val="normaltextrun"/>
          <w:color w:val="000000"/>
          <w:szCs w:val="24"/>
          <w:shd w:val="clear" w:color="auto" w:fill="FFFFFF"/>
        </w:rPr>
        <w:t xml:space="preserve"> </w:t>
      </w:r>
    </w:p>
    <w:p w14:paraId="317EBA1F" w14:textId="77777777" w:rsidR="00AA2A1B" w:rsidRPr="00E93A50" w:rsidRDefault="00AA2A1B" w:rsidP="00621605">
      <w:pPr>
        <w:pStyle w:val="ListParagraph"/>
        <w:spacing w:before="240" w:after="120"/>
        <w:ind w:left="851"/>
        <w:rPr>
          <w:b/>
          <w:bCs/>
        </w:rPr>
      </w:pPr>
      <w:r w:rsidRPr="00E93A50">
        <w:rPr>
          <w:b/>
          <w:bCs/>
        </w:rPr>
        <w:t>Site safety</w:t>
      </w:r>
    </w:p>
    <w:p w14:paraId="10139ADD" w14:textId="77777777" w:rsidR="006748D5" w:rsidRDefault="006748D5" w:rsidP="006748D5">
      <w:pPr>
        <w:pStyle w:val="F9-Paragraph"/>
        <w:rPr>
          <w:lang w:eastAsia="en-GB" w:bidi="ar-SA"/>
        </w:rPr>
      </w:pPr>
      <w:r>
        <w:t>EIMT may be required on SSCs to meet both nuclear safety and health and safety legislation, creating opportunities to inspect LC 28 compliance alongside conventional safety requirements. Examples include lifting equipment and pressure systems that must be maintained under their respective regulations.</w:t>
      </w:r>
    </w:p>
    <w:p w14:paraId="21F99301" w14:textId="65ABFDD0" w:rsidR="001B4D5A" w:rsidRDefault="006748D5" w:rsidP="006748D5">
      <w:pPr>
        <w:pStyle w:val="F9-Paragraph"/>
      </w:pPr>
      <w:r>
        <w:t>There are also opportunities for themed inspections where LC 28 and wider maintenance topics are reviewed together. For example, a maintenance</w:t>
      </w:r>
      <w:r>
        <w:noBreakHyphen/>
        <w:t>themed inspection could include control of work and the permit</w:t>
      </w:r>
      <w:r>
        <w:noBreakHyphen/>
        <w:t>to</w:t>
      </w:r>
      <w:r>
        <w:noBreakHyphen/>
        <w:t>work system, both important for protecting personnel undertaking maintenance activities.</w:t>
      </w:r>
    </w:p>
    <w:p w14:paraId="2E29C979" w14:textId="77777777" w:rsidR="002042C2" w:rsidRDefault="002042C2" w:rsidP="002042C2">
      <w:pPr>
        <w:rPr>
          <w:bCs/>
        </w:rPr>
      </w:pPr>
    </w:p>
    <w:p w14:paraId="02DA1C3F" w14:textId="77777777" w:rsidR="003E56EC" w:rsidRDefault="003E56EC" w:rsidP="003E56EC">
      <w:pPr>
        <w:pStyle w:val="Heading1"/>
        <w:numPr>
          <w:ilvl w:val="0"/>
          <w:numId w:val="0"/>
        </w:numPr>
        <w:ind w:left="851" w:hanging="851"/>
        <w:sectPr w:rsidR="003E56EC" w:rsidSect="00B23A5E">
          <w:pgSz w:w="11906" w:h="16838" w:code="9"/>
          <w:pgMar w:top="1440" w:right="1440" w:bottom="1440" w:left="1440" w:header="397" w:footer="397" w:gutter="0"/>
          <w:cols w:space="312"/>
          <w:docGrid w:linePitch="360"/>
        </w:sectPr>
      </w:pPr>
    </w:p>
    <w:bookmarkStart w:id="11" w:name="_Toc224544847"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11"/>
        </w:p>
        <w:sdt>
          <w:sdtPr>
            <w:id w:val="-573587230"/>
            <w:bibliography/>
          </w:sdtPr>
          <w:sdtEndPr/>
          <w:sdtContent>
            <w:p w14:paraId="16DA0D4F" w14:textId="77777777" w:rsidR="00621605"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621605" w14:paraId="7742AFE6" w14:textId="77777777">
                <w:trPr>
                  <w:divId w:val="856574635"/>
                  <w:tblCellSpacing w:w="15" w:type="dxa"/>
                </w:trPr>
                <w:tc>
                  <w:tcPr>
                    <w:tcW w:w="50" w:type="pct"/>
                    <w:hideMark/>
                  </w:tcPr>
                  <w:p w14:paraId="2038EB16" w14:textId="1700DAE4" w:rsidR="00621605" w:rsidRDefault="00621605" w:rsidP="00BE6959">
                    <w:pPr>
                      <w:pStyle w:val="Bibliography"/>
                      <w:spacing w:after="0"/>
                      <w:rPr>
                        <w:noProof/>
                        <w:szCs w:val="24"/>
                      </w:rPr>
                    </w:pPr>
                    <w:r>
                      <w:rPr>
                        <w:noProof/>
                      </w:rPr>
                      <w:t xml:space="preserve">[1] </w:t>
                    </w:r>
                  </w:p>
                </w:tc>
                <w:tc>
                  <w:tcPr>
                    <w:tcW w:w="0" w:type="auto"/>
                    <w:hideMark/>
                  </w:tcPr>
                  <w:p w14:paraId="429F606B" w14:textId="77777777" w:rsidR="00621605" w:rsidRDefault="00621605" w:rsidP="00BE6959">
                    <w:pPr>
                      <w:pStyle w:val="Bibliography"/>
                      <w:spacing w:after="0"/>
                      <w:rPr>
                        <w:noProof/>
                      </w:rPr>
                    </w:pPr>
                    <w:r>
                      <w:rPr>
                        <w:noProof/>
                      </w:rPr>
                      <w:t xml:space="preserve">ONR, NS-TAST-GD-009, Examination, Inspection, Maintenance &amp; Testing of Items Important to Safety. </w:t>
                    </w:r>
                  </w:p>
                </w:tc>
              </w:tr>
              <w:tr w:rsidR="00621605" w14:paraId="1ACB7622" w14:textId="77777777">
                <w:trPr>
                  <w:divId w:val="856574635"/>
                  <w:tblCellSpacing w:w="15" w:type="dxa"/>
                </w:trPr>
                <w:tc>
                  <w:tcPr>
                    <w:tcW w:w="50" w:type="pct"/>
                    <w:hideMark/>
                  </w:tcPr>
                  <w:p w14:paraId="54631240" w14:textId="77777777" w:rsidR="00621605" w:rsidRDefault="00621605" w:rsidP="00BE6959">
                    <w:pPr>
                      <w:pStyle w:val="Bibliography"/>
                      <w:spacing w:after="0"/>
                      <w:rPr>
                        <w:noProof/>
                      </w:rPr>
                    </w:pPr>
                    <w:r>
                      <w:rPr>
                        <w:noProof/>
                      </w:rPr>
                      <w:t xml:space="preserve">[2] </w:t>
                    </w:r>
                  </w:p>
                </w:tc>
                <w:tc>
                  <w:tcPr>
                    <w:tcW w:w="0" w:type="auto"/>
                    <w:hideMark/>
                  </w:tcPr>
                  <w:p w14:paraId="77BFF94A" w14:textId="77777777" w:rsidR="00621605" w:rsidRDefault="00621605" w:rsidP="00BE6959">
                    <w:pPr>
                      <w:pStyle w:val="Bibliography"/>
                      <w:spacing w:after="0"/>
                      <w:rPr>
                        <w:noProof/>
                      </w:rPr>
                    </w:pPr>
                    <w:r>
                      <w:rPr>
                        <w:noProof/>
                      </w:rPr>
                      <w:t xml:space="preserve">IAEA, SSG-74, Maintenance, Testing, Surveillance and Inspection in Nuclear Power Plants. </w:t>
                    </w:r>
                  </w:p>
                </w:tc>
              </w:tr>
              <w:tr w:rsidR="00621605" w14:paraId="75EF3066" w14:textId="77777777">
                <w:trPr>
                  <w:divId w:val="856574635"/>
                  <w:tblCellSpacing w:w="15" w:type="dxa"/>
                </w:trPr>
                <w:tc>
                  <w:tcPr>
                    <w:tcW w:w="50" w:type="pct"/>
                    <w:hideMark/>
                  </w:tcPr>
                  <w:p w14:paraId="0A7FBFB6" w14:textId="77777777" w:rsidR="00621605" w:rsidRDefault="00621605" w:rsidP="00BE6959">
                    <w:pPr>
                      <w:pStyle w:val="Bibliography"/>
                      <w:spacing w:after="0"/>
                      <w:rPr>
                        <w:noProof/>
                      </w:rPr>
                    </w:pPr>
                    <w:r>
                      <w:rPr>
                        <w:noProof/>
                      </w:rPr>
                      <w:t xml:space="preserve">[3] </w:t>
                    </w:r>
                  </w:p>
                </w:tc>
                <w:tc>
                  <w:tcPr>
                    <w:tcW w:w="0" w:type="auto"/>
                    <w:hideMark/>
                  </w:tcPr>
                  <w:p w14:paraId="61EA55EC" w14:textId="77777777" w:rsidR="00621605" w:rsidRDefault="00621605" w:rsidP="00BE6959">
                    <w:pPr>
                      <w:pStyle w:val="Bibliography"/>
                      <w:spacing w:after="0"/>
                      <w:rPr>
                        <w:noProof/>
                      </w:rPr>
                    </w:pPr>
                    <w:r>
                      <w:rPr>
                        <w:noProof/>
                      </w:rPr>
                      <w:t>GOV, “Department for Business Innovation &amp; Skills, Regulators’ Code, April 2014.”.</w:t>
                    </w:r>
                  </w:p>
                </w:tc>
              </w:tr>
              <w:tr w:rsidR="00621605" w14:paraId="2D002F07" w14:textId="77777777">
                <w:trPr>
                  <w:divId w:val="856574635"/>
                  <w:tblCellSpacing w:w="15" w:type="dxa"/>
                </w:trPr>
                <w:tc>
                  <w:tcPr>
                    <w:tcW w:w="50" w:type="pct"/>
                    <w:hideMark/>
                  </w:tcPr>
                  <w:p w14:paraId="7420A7F2" w14:textId="77777777" w:rsidR="00621605" w:rsidRDefault="00621605" w:rsidP="00BE6959">
                    <w:pPr>
                      <w:pStyle w:val="Bibliography"/>
                      <w:spacing w:after="0"/>
                      <w:rPr>
                        <w:noProof/>
                      </w:rPr>
                    </w:pPr>
                    <w:r>
                      <w:rPr>
                        <w:noProof/>
                      </w:rPr>
                      <w:t xml:space="preserve">[4] </w:t>
                    </w:r>
                  </w:p>
                </w:tc>
                <w:tc>
                  <w:tcPr>
                    <w:tcW w:w="0" w:type="auto"/>
                    <w:hideMark/>
                  </w:tcPr>
                  <w:p w14:paraId="23D7E886" w14:textId="77777777" w:rsidR="00621605" w:rsidRDefault="00621605" w:rsidP="00BE6959">
                    <w:pPr>
                      <w:pStyle w:val="Bibliography"/>
                      <w:spacing w:after="0"/>
                      <w:rPr>
                        <w:noProof/>
                      </w:rPr>
                    </w:pPr>
                    <w:r>
                      <w:rPr>
                        <w:noProof/>
                      </w:rPr>
                      <w:t xml:space="preserve">ONR, NS-INSP-GD-024 - LC 24 Operating Instructions. </w:t>
                    </w:r>
                  </w:p>
                </w:tc>
              </w:tr>
              <w:tr w:rsidR="00621605" w14:paraId="4395DFFF" w14:textId="77777777">
                <w:trPr>
                  <w:divId w:val="856574635"/>
                  <w:tblCellSpacing w:w="15" w:type="dxa"/>
                </w:trPr>
                <w:tc>
                  <w:tcPr>
                    <w:tcW w:w="50" w:type="pct"/>
                    <w:hideMark/>
                  </w:tcPr>
                  <w:p w14:paraId="7B18EAEB" w14:textId="77777777" w:rsidR="00621605" w:rsidRDefault="00621605" w:rsidP="00BE6959">
                    <w:pPr>
                      <w:pStyle w:val="Bibliography"/>
                      <w:spacing w:after="0"/>
                      <w:rPr>
                        <w:noProof/>
                      </w:rPr>
                    </w:pPr>
                    <w:r>
                      <w:rPr>
                        <w:noProof/>
                      </w:rPr>
                      <w:t xml:space="preserve">[5] </w:t>
                    </w:r>
                  </w:p>
                </w:tc>
                <w:tc>
                  <w:tcPr>
                    <w:tcW w:w="0" w:type="auto"/>
                    <w:hideMark/>
                  </w:tcPr>
                  <w:p w14:paraId="05F92F3D" w14:textId="77777777" w:rsidR="00621605" w:rsidRDefault="00621605" w:rsidP="00BE6959">
                    <w:pPr>
                      <w:pStyle w:val="Bibliography"/>
                      <w:spacing w:after="0"/>
                      <w:rPr>
                        <w:noProof/>
                      </w:rPr>
                    </w:pPr>
                    <w:r>
                      <w:rPr>
                        <w:noProof/>
                      </w:rPr>
                      <w:t xml:space="preserve">ONR, NS-INSP-GD-012, LC 12 Duly authorised and other suitably qualified and experienced person. </w:t>
                    </w:r>
                  </w:p>
                </w:tc>
              </w:tr>
              <w:tr w:rsidR="00621605" w14:paraId="7B6EABFD" w14:textId="77777777">
                <w:trPr>
                  <w:divId w:val="856574635"/>
                  <w:tblCellSpacing w:w="15" w:type="dxa"/>
                </w:trPr>
                <w:tc>
                  <w:tcPr>
                    <w:tcW w:w="50" w:type="pct"/>
                    <w:hideMark/>
                  </w:tcPr>
                  <w:p w14:paraId="67BF1340" w14:textId="77777777" w:rsidR="00621605" w:rsidRDefault="00621605" w:rsidP="00BE6959">
                    <w:pPr>
                      <w:pStyle w:val="Bibliography"/>
                      <w:spacing w:after="0"/>
                      <w:rPr>
                        <w:noProof/>
                      </w:rPr>
                    </w:pPr>
                    <w:r>
                      <w:rPr>
                        <w:noProof/>
                      </w:rPr>
                      <w:t xml:space="preserve">[6] </w:t>
                    </w:r>
                  </w:p>
                </w:tc>
                <w:tc>
                  <w:tcPr>
                    <w:tcW w:w="0" w:type="auto"/>
                    <w:hideMark/>
                  </w:tcPr>
                  <w:p w14:paraId="28526162" w14:textId="77777777" w:rsidR="00621605" w:rsidRDefault="00621605" w:rsidP="00BE6959">
                    <w:pPr>
                      <w:pStyle w:val="Bibliography"/>
                      <w:spacing w:after="0"/>
                      <w:rPr>
                        <w:noProof/>
                      </w:rPr>
                    </w:pPr>
                    <w:r>
                      <w:rPr>
                        <w:noProof/>
                      </w:rPr>
                      <w:t xml:space="preserve">ONR, NS-INSP-GD-026, LC 26 Control and Supervision of Operations. </w:t>
                    </w:r>
                  </w:p>
                </w:tc>
              </w:tr>
              <w:tr w:rsidR="00621605" w14:paraId="194AAC1B" w14:textId="77777777">
                <w:trPr>
                  <w:divId w:val="856574635"/>
                  <w:tblCellSpacing w:w="15" w:type="dxa"/>
                </w:trPr>
                <w:tc>
                  <w:tcPr>
                    <w:tcW w:w="50" w:type="pct"/>
                    <w:hideMark/>
                  </w:tcPr>
                  <w:p w14:paraId="5FC8FC5F" w14:textId="77777777" w:rsidR="00621605" w:rsidRDefault="00621605" w:rsidP="00BE6959">
                    <w:pPr>
                      <w:pStyle w:val="Bibliography"/>
                      <w:spacing w:after="0"/>
                      <w:rPr>
                        <w:noProof/>
                      </w:rPr>
                    </w:pPr>
                    <w:r>
                      <w:rPr>
                        <w:noProof/>
                      </w:rPr>
                      <w:t xml:space="preserve">[7] </w:t>
                    </w:r>
                  </w:p>
                </w:tc>
                <w:tc>
                  <w:tcPr>
                    <w:tcW w:w="0" w:type="auto"/>
                    <w:hideMark/>
                  </w:tcPr>
                  <w:p w14:paraId="3C86C545" w14:textId="77777777" w:rsidR="00621605" w:rsidRDefault="00621605" w:rsidP="00BE6959">
                    <w:pPr>
                      <w:pStyle w:val="Bibliography"/>
                      <w:spacing w:after="0"/>
                      <w:rPr>
                        <w:noProof/>
                      </w:rPr>
                    </w:pPr>
                    <w:r>
                      <w:rPr>
                        <w:noProof/>
                      </w:rPr>
                      <w:t xml:space="preserve">ONR, NS-TAST-GD-049, Licensee Use of Contractors and Intelligent Customer Capability. </w:t>
                    </w:r>
                  </w:p>
                </w:tc>
              </w:tr>
              <w:tr w:rsidR="00621605" w14:paraId="2E991A21" w14:textId="77777777">
                <w:trPr>
                  <w:divId w:val="856574635"/>
                  <w:tblCellSpacing w:w="15" w:type="dxa"/>
                </w:trPr>
                <w:tc>
                  <w:tcPr>
                    <w:tcW w:w="50" w:type="pct"/>
                    <w:hideMark/>
                  </w:tcPr>
                  <w:p w14:paraId="60B93896" w14:textId="77777777" w:rsidR="00621605" w:rsidRDefault="00621605" w:rsidP="00BE6959">
                    <w:pPr>
                      <w:pStyle w:val="Bibliography"/>
                      <w:spacing w:after="0"/>
                      <w:rPr>
                        <w:noProof/>
                      </w:rPr>
                    </w:pPr>
                    <w:r>
                      <w:rPr>
                        <w:noProof/>
                      </w:rPr>
                      <w:t xml:space="preserve">[8] </w:t>
                    </w:r>
                  </w:p>
                </w:tc>
                <w:tc>
                  <w:tcPr>
                    <w:tcW w:w="0" w:type="auto"/>
                    <w:hideMark/>
                  </w:tcPr>
                  <w:p w14:paraId="3CBCB5D9" w14:textId="77777777" w:rsidR="00621605" w:rsidRDefault="00621605" w:rsidP="00BE6959">
                    <w:pPr>
                      <w:pStyle w:val="Bibliography"/>
                      <w:spacing w:after="0"/>
                      <w:rPr>
                        <w:noProof/>
                      </w:rPr>
                    </w:pPr>
                    <w:r>
                      <w:rPr>
                        <w:noProof/>
                      </w:rPr>
                      <w:t xml:space="preserve">ONR, NS-INSP-GD-006, LC 6 Documents, Records, Authorities and Certificates. </w:t>
                    </w:r>
                  </w:p>
                </w:tc>
              </w:tr>
              <w:tr w:rsidR="00621605" w14:paraId="169E0AF5" w14:textId="77777777">
                <w:trPr>
                  <w:divId w:val="856574635"/>
                  <w:tblCellSpacing w:w="15" w:type="dxa"/>
                </w:trPr>
                <w:tc>
                  <w:tcPr>
                    <w:tcW w:w="50" w:type="pct"/>
                    <w:hideMark/>
                  </w:tcPr>
                  <w:p w14:paraId="428C24BA" w14:textId="77777777" w:rsidR="00621605" w:rsidRDefault="00621605" w:rsidP="00BE6959">
                    <w:pPr>
                      <w:pStyle w:val="Bibliography"/>
                      <w:spacing w:after="0"/>
                      <w:rPr>
                        <w:noProof/>
                      </w:rPr>
                    </w:pPr>
                    <w:r>
                      <w:rPr>
                        <w:noProof/>
                      </w:rPr>
                      <w:t xml:space="preserve">[9] </w:t>
                    </w:r>
                  </w:p>
                </w:tc>
                <w:tc>
                  <w:tcPr>
                    <w:tcW w:w="0" w:type="auto"/>
                    <w:hideMark/>
                  </w:tcPr>
                  <w:p w14:paraId="1569CB04" w14:textId="77777777" w:rsidR="00621605" w:rsidRDefault="00621605" w:rsidP="00BE6959">
                    <w:pPr>
                      <w:pStyle w:val="Bibliography"/>
                      <w:spacing w:after="0"/>
                      <w:rPr>
                        <w:noProof/>
                      </w:rPr>
                    </w:pPr>
                    <w:r>
                      <w:rPr>
                        <w:noProof/>
                      </w:rPr>
                      <w:t xml:space="preserve">ONR, NS-TAST-GD-033, Licensee Management of Records. </w:t>
                    </w:r>
                  </w:p>
                </w:tc>
              </w:tr>
              <w:tr w:rsidR="00621605" w14:paraId="12DF549E" w14:textId="77777777">
                <w:trPr>
                  <w:divId w:val="856574635"/>
                  <w:tblCellSpacing w:w="15" w:type="dxa"/>
                </w:trPr>
                <w:tc>
                  <w:tcPr>
                    <w:tcW w:w="50" w:type="pct"/>
                    <w:hideMark/>
                  </w:tcPr>
                  <w:p w14:paraId="48171CD0" w14:textId="77777777" w:rsidR="00621605" w:rsidRDefault="00621605" w:rsidP="00BE6959">
                    <w:pPr>
                      <w:pStyle w:val="Bibliography"/>
                      <w:spacing w:after="0"/>
                      <w:rPr>
                        <w:noProof/>
                      </w:rPr>
                    </w:pPr>
                    <w:r>
                      <w:rPr>
                        <w:noProof/>
                      </w:rPr>
                      <w:t xml:space="preserve">[10] </w:t>
                    </w:r>
                  </w:p>
                </w:tc>
                <w:tc>
                  <w:tcPr>
                    <w:tcW w:w="0" w:type="auto"/>
                    <w:hideMark/>
                  </w:tcPr>
                  <w:p w14:paraId="39B9402A" w14:textId="77777777" w:rsidR="00621605" w:rsidRDefault="00621605" w:rsidP="00BE6959">
                    <w:pPr>
                      <w:pStyle w:val="Bibliography"/>
                      <w:spacing w:after="0"/>
                      <w:rPr>
                        <w:noProof/>
                      </w:rPr>
                    </w:pPr>
                    <w:r>
                      <w:rPr>
                        <w:noProof/>
                      </w:rPr>
                      <w:t xml:space="preserve">IAEA Nuclear Safety and Security Glossary - Terminology Used in Nuclear Safety, Nuclear Security, Radiation Protection and Emergency Preparedness and Response, 2022 (Interim) Edition. </w:t>
                    </w:r>
                  </w:p>
                </w:tc>
              </w:tr>
              <w:tr w:rsidR="00621605" w14:paraId="658BD07A" w14:textId="77777777">
                <w:trPr>
                  <w:divId w:val="856574635"/>
                  <w:tblCellSpacing w:w="15" w:type="dxa"/>
                </w:trPr>
                <w:tc>
                  <w:tcPr>
                    <w:tcW w:w="50" w:type="pct"/>
                    <w:hideMark/>
                  </w:tcPr>
                  <w:p w14:paraId="1CBDDE35" w14:textId="77777777" w:rsidR="00621605" w:rsidRDefault="00621605" w:rsidP="00BE6959">
                    <w:pPr>
                      <w:pStyle w:val="Bibliography"/>
                      <w:spacing w:after="0"/>
                      <w:rPr>
                        <w:noProof/>
                      </w:rPr>
                    </w:pPr>
                    <w:r>
                      <w:rPr>
                        <w:noProof/>
                      </w:rPr>
                      <w:t xml:space="preserve">[11] </w:t>
                    </w:r>
                  </w:p>
                </w:tc>
                <w:tc>
                  <w:tcPr>
                    <w:tcW w:w="0" w:type="auto"/>
                    <w:hideMark/>
                  </w:tcPr>
                  <w:p w14:paraId="3B02628F" w14:textId="77777777" w:rsidR="00621605" w:rsidRDefault="00621605" w:rsidP="00BE6959">
                    <w:pPr>
                      <w:pStyle w:val="Bibliography"/>
                      <w:spacing w:after="0"/>
                      <w:rPr>
                        <w:noProof/>
                      </w:rPr>
                    </w:pPr>
                    <w:r>
                      <w:rPr>
                        <w:noProof/>
                      </w:rPr>
                      <w:t xml:space="preserve">ONR, NS-TAST-GD-065, Function and Content of the Nuclear Baseline. </w:t>
                    </w:r>
                  </w:p>
                </w:tc>
              </w:tr>
              <w:tr w:rsidR="00621605" w14:paraId="31F015B5" w14:textId="77777777">
                <w:trPr>
                  <w:divId w:val="856574635"/>
                  <w:tblCellSpacing w:w="15" w:type="dxa"/>
                </w:trPr>
                <w:tc>
                  <w:tcPr>
                    <w:tcW w:w="50" w:type="pct"/>
                    <w:hideMark/>
                  </w:tcPr>
                  <w:p w14:paraId="3FC9D1EE" w14:textId="77777777" w:rsidR="00621605" w:rsidRDefault="00621605" w:rsidP="00BE6959">
                    <w:pPr>
                      <w:pStyle w:val="Bibliography"/>
                      <w:spacing w:after="0"/>
                      <w:rPr>
                        <w:noProof/>
                      </w:rPr>
                    </w:pPr>
                    <w:r>
                      <w:rPr>
                        <w:noProof/>
                      </w:rPr>
                      <w:t xml:space="preserve">[12] </w:t>
                    </w:r>
                  </w:p>
                </w:tc>
                <w:tc>
                  <w:tcPr>
                    <w:tcW w:w="0" w:type="auto"/>
                    <w:hideMark/>
                  </w:tcPr>
                  <w:p w14:paraId="3C8769BC" w14:textId="77777777" w:rsidR="00621605" w:rsidRDefault="00621605" w:rsidP="00BE6959">
                    <w:pPr>
                      <w:pStyle w:val="Bibliography"/>
                      <w:spacing w:after="0"/>
                      <w:rPr>
                        <w:noProof/>
                      </w:rPr>
                    </w:pPr>
                    <w:r>
                      <w:rPr>
                        <w:noProof/>
                      </w:rPr>
                      <w:t xml:space="preserve">ONR, NS-TAST-GD-094, Categorisation of Safety Functions and Classification of Structures, Systems and Components. </w:t>
                    </w:r>
                  </w:p>
                </w:tc>
              </w:tr>
              <w:tr w:rsidR="00621605" w14:paraId="7428D14A" w14:textId="77777777">
                <w:trPr>
                  <w:divId w:val="856574635"/>
                  <w:tblCellSpacing w:w="15" w:type="dxa"/>
                </w:trPr>
                <w:tc>
                  <w:tcPr>
                    <w:tcW w:w="50" w:type="pct"/>
                    <w:hideMark/>
                  </w:tcPr>
                  <w:p w14:paraId="627D945F" w14:textId="77777777" w:rsidR="00621605" w:rsidRDefault="00621605" w:rsidP="00BE6959">
                    <w:pPr>
                      <w:pStyle w:val="Bibliography"/>
                      <w:spacing w:after="0"/>
                      <w:rPr>
                        <w:noProof/>
                      </w:rPr>
                    </w:pPr>
                    <w:r>
                      <w:rPr>
                        <w:noProof/>
                      </w:rPr>
                      <w:t xml:space="preserve">[13] </w:t>
                    </w:r>
                  </w:p>
                </w:tc>
                <w:tc>
                  <w:tcPr>
                    <w:tcW w:w="0" w:type="auto"/>
                    <w:hideMark/>
                  </w:tcPr>
                  <w:p w14:paraId="06B1F5A1" w14:textId="77777777" w:rsidR="00621605" w:rsidRDefault="00621605" w:rsidP="00BE6959">
                    <w:pPr>
                      <w:pStyle w:val="Bibliography"/>
                      <w:spacing w:after="0"/>
                      <w:rPr>
                        <w:noProof/>
                      </w:rPr>
                    </w:pPr>
                    <w:r>
                      <w:rPr>
                        <w:noProof/>
                      </w:rPr>
                      <w:t xml:space="preserve">ONR, NS-INSP-GD-030, LC 30 - Periodic Shutdown. </w:t>
                    </w:r>
                  </w:p>
                </w:tc>
              </w:tr>
              <w:tr w:rsidR="00621605" w14:paraId="7B56E25B" w14:textId="77777777">
                <w:trPr>
                  <w:divId w:val="856574635"/>
                  <w:tblCellSpacing w:w="15" w:type="dxa"/>
                </w:trPr>
                <w:tc>
                  <w:tcPr>
                    <w:tcW w:w="50" w:type="pct"/>
                    <w:hideMark/>
                  </w:tcPr>
                  <w:p w14:paraId="5CF1FFBD" w14:textId="77777777" w:rsidR="00621605" w:rsidRDefault="00621605" w:rsidP="00BE6959">
                    <w:pPr>
                      <w:pStyle w:val="Bibliography"/>
                      <w:spacing w:after="0"/>
                      <w:rPr>
                        <w:noProof/>
                      </w:rPr>
                    </w:pPr>
                    <w:r>
                      <w:rPr>
                        <w:noProof/>
                      </w:rPr>
                      <w:t xml:space="preserve">[14] </w:t>
                    </w:r>
                  </w:p>
                </w:tc>
                <w:tc>
                  <w:tcPr>
                    <w:tcW w:w="0" w:type="auto"/>
                    <w:hideMark/>
                  </w:tcPr>
                  <w:p w14:paraId="4AECD93D" w14:textId="77777777" w:rsidR="00621605" w:rsidRDefault="00621605" w:rsidP="00BE6959">
                    <w:pPr>
                      <w:pStyle w:val="Bibliography"/>
                      <w:spacing w:after="0"/>
                      <w:rPr>
                        <w:noProof/>
                      </w:rPr>
                    </w:pPr>
                    <w:r>
                      <w:rPr>
                        <w:noProof/>
                      </w:rPr>
                      <w:t xml:space="preserve">ONR, NS-TAST-GD-109, Ageing and Degradation Management. </w:t>
                    </w:r>
                  </w:p>
                </w:tc>
              </w:tr>
              <w:tr w:rsidR="00621605" w14:paraId="20D6740A" w14:textId="77777777">
                <w:trPr>
                  <w:divId w:val="856574635"/>
                  <w:tblCellSpacing w:w="15" w:type="dxa"/>
                </w:trPr>
                <w:tc>
                  <w:tcPr>
                    <w:tcW w:w="50" w:type="pct"/>
                    <w:hideMark/>
                  </w:tcPr>
                  <w:p w14:paraId="4F36BE29" w14:textId="77777777" w:rsidR="00621605" w:rsidRDefault="00621605" w:rsidP="00BE6959">
                    <w:pPr>
                      <w:pStyle w:val="Bibliography"/>
                      <w:spacing w:after="0"/>
                      <w:rPr>
                        <w:noProof/>
                      </w:rPr>
                    </w:pPr>
                    <w:r>
                      <w:rPr>
                        <w:noProof/>
                      </w:rPr>
                      <w:t xml:space="preserve">[15] </w:t>
                    </w:r>
                  </w:p>
                </w:tc>
                <w:tc>
                  <w:tcPr>
                    <w:tcW w:w="0" w:type="auto"/>
                    <w:hideMark/>
                  </w:tcPr>
                  <w:p w14:paraId="022A038A" w14:textId="77777777" w:rsidR="00621605" w:rsidRDefault="00621605" w:rsidP="00BE6959">
                    <w:pPr>
                      <w:pStyle w:val="Bibliography"/>
                      <w:spacing w:after="0"/>
                      <w:rPr>
                        <w:noProof/>
                      </w:rPr>
                    </w:pPr>
                    <w:r>
                      <w:rPr>
                        <w:noProof/>
                      </w:rPr>
                      <w:t xml:space="preserve">ONR, NS-TAST-GD-102, General Guidance for Mechanical Engineering Specialism Group. </w:t>
                    </w:r>
                  </w:p>
                </w:tc>
              </w:tr>
              <w:tr w:rsidR="00621605" w14:paraId="7B6ED292" w14:textId="77777777">
                <w:trPr>
                  <w:divId w:val="856574635"/>
                  <w:tblCellSpacing w:w="15" w:type="dxa"/>
                </w:trPr>
                <w:tc>
                  <w:tcPr>
                    <w:tcW w:w="50" w:type="pct"/>
                    <w:hideMark/>
                  </w:tcPr>
                  <w:p w14:paraId="5E2E723C" w14:textId="77777777" w:rsidR="00621605" w:rsidRDefault="00621605" w:rsidP="00BE6959">
                    <w:pPr>
                      <w:pStyle w:val="Bibliography"/>
                      <w:spacing w:after="0"/>
                      <w:rPr>
                        <w:noProof/>
                      </w:rPr>
                    </w:pPr>
                    <w:r>
                      <w:rPr>
                        <w:noProof/>
                      </w:rPr>
                      <w:t xml:space="preserve">[16] </w:t>
                    </w:r>
                  </w:p>
                </w:tc>
                <w:tc>
                  <w:tcPr>
                    <w:tcW w:w="0" w:type="auto"/>
                    <w:hideMark/>
                  </w:tcPr>
                  <w:p w14:paraId="36E14708" w14:textId="77777777" w:rsidR="00621605" w:rsidRDefault="00621605" w:rsidP="00BE6959">
                    <w:pPr>
                      <w:pStyle w:val="Bibliography"/>
                      <w:spacing w:after="0"/>
                      <w:rPr>
                        <w:noProof/>
                      </w:rPr>
                    </w:pPr>
                    <w:r>
                      <w:rPr>
                        <w:noProof/>
                      </w:rPr>
                      <w:t xml:space="preserve">ONR, NS-TAST-GD-077, Supply Chain Management Arrangements for the Procurement of Nuclear Safety Related Items or Services. </w:t>
                    </w:r>
                  </w:p>
                </w:tc>
              </w:tr>
              <w:tr w:rsidR="00621605" w14:paraId="3AC2EC36" w14:textId="77777777">
                <w:trPr>
                  <w:divId w:val="856574635"/>
                  <w:tblCellSpacing w:w="15" w:type="dxa"/>
                </w:trPr>
                <w:tc>
                  <w:tcPr>
                    <w:tcW w:w="50" w:type="pct"/>
                    <w:hideMark/>
                  </w:tcPr>
                  <w:p w14:paraId="659134FB" w14:textId="77777777" w:rsidR="00621605" w:rsidRDefault="00621605" w:rsidP="00BE6959">
                    <w:pPr>
                      <w:pStyle w:val="Bibliography"/>
                      <w:spacing w:after="0"/>
                      <w:rPr>
                        <w:noProof/>
                      </w:rPr>
                    </w:pPr>
                    <w:r>
                      <w:rPr>
                        <w:noProof/>
                      </w:rPr>
                      <w:t xml:space="preserve">[17] </w:t>
                    </w:r>
                  </w:p>
                </w:tc>
                <w:tc>
                  <w:tcPr>
                    <w:tcW w:w="0" w:type="auto"/>
                    <w:hideMark/>
                  </w:tcPr>
                  <w:p w14:paraId="0EAA6A76" w14:textId="77777777" w:rsidR="00621605" w:rsidRDefault="00621605" w:rsidP="00BE6959">
                    <w:pPr>
                      <w:pStyle w:val="Bibliography"/>
                      <w:spacing w:after="0"/>
                      <w:rPr>
                        <w:noProof/>
                      </w:rPr>
                    </w:pPr>
                    <w:r>
                      <w:rPr>
                        <w:noProof/>
                      </w:rPr>
                      <w:t xml:space="preserve">ONR Advice Note, Supply Chain Management - Counterfeit, Fraudulent and Suspect Items (CFSI, 2022/73725). </w:t>
                    </w:r>
                  </w:p>
                </w:tc>
              </w:tr>
              <w:tr w:rsidR="00621605" w14:paraId="6D35569B" w14:textId="77777777">
                <w:trPr>
                  <w:divId w:val="856574635"/>
                  <w:tblCellSpacing w:w="15" w:type="dxa"/>
                </w:trPr>
                <w:tc>
                  <w:tcPr>
                    <w:tcW w:w="50" w:type="pct"/>
                    <w:hideMark/>
                  </w:tcPr>
                  <w:p w14:paraId="62ECA80F" w14:textId="77777777" w:rsidR="00621605" w:rsidRDefault="00621605" w:rsidP="00BE6959">
                    <w:pPr>
                      <w:pStyle w:val="Bibliography"/>
                      <w:spacing w:after="0"/>
                      <w:rPr>
                        <w:noProof/>
                      </w:rPr>
                    </w:pPr>
                    <w:r>
                      <w:rPr>
                        <w:noProof/>
                      </w:rPr>
                      <w:t xml:space="preserve">[18] </w:t>
                    </w:r>
                  </w:p>
                </w:tc>
                <w:tc>
                  <w:tcPr>
                    <w:tcW w:w="0" w:type="auto"/>
                    <w:hideMark/>
                  </w:tcPr>
                  <w:p w14:paraId="2BF83C7D" w14:textId="77777777" w:rsidR="00621605" w:rsidRDefault="00621605" w:rsidP="00BE6959">
                    <w:pPr>
                      <w:pStyle w:val="Bibliography"/>
                      <w:spacing w:after="0"/>
                      <w:rPr>
                        <w:noProof/>
                      </w:rPr>
                    </w:pPr>
                    <w:r>
                      <w:rPr>
                        <w:noProof/>
                      </w:rPr>
                      <w:t xml:space="preserve">ONR Nuclear Material Accountancy, Control, and Safeguards, ONR-CNSS-MAN-001. </w:t>
                    </w:r>
                  </w:p>
                </w:tc>
              </w:tr>
              <w:tr w:rsidR="00621605" w14:paraId="7F9DA50E" w14:textId="77777777">
                <w:trPr>
                  <w:divId w:val="856574635"/>
                  <w:tblCellSpacing w:w="15" w:type="dxa"/>
                </w:trPr>
                <w:tc>
                  <w:tcPr>
                    <w:tcW w:w="50" w:type="pct"/>
                    <w:hideMark/>
                  </w:tcPr>
                  <w:p w14:paraId="3248784A" w14:textId="77777777" w:rsidR="00621605" w:rsidRDefault="00621605" w:rsidP="00BE6959">
                    <w:pPr>
                      <w:pStyle w:val="Bibliography"/>
                      <w:spacing w:after="0"/>
                      <w:rPr>
                        <w:noProof/>
                      </w:rPr>
                    </w:pPr>
                    <w:r>
                      <w:rPr>
                        <w:noProof/>
                      </w:rPr>
                      <w:t xml:space="preserve">[19] </w:t>
                    </w:r>
                  </w:p>
                </w:tc>
                <w:tc>
                  <w:tcPr>
                    <w:tcW w:w="0" w:type="auto"/>
                    <w:hideMark/>
                  </w:tcPr>
                  <w:p w14:paraId="213B6BA7" w14:textId="77777777" w:rsidR="00621605" w:rsidRDefault="00621605" w:rsidP="00BE6959">
                    <w:pPr>
                      <w:pStyle w:val="Bibliography"/>
                      <w:spacing w:after="0"/>
                      <w:rPr>
                        <w:noProof/>
                      </w:rPr>
                    </w:pPr>
                    <w:r>
                      <w:rPr>
                        <w:noProof/>
                      </w:rPr>
                      <w:t xml:space="preserve">HMG, Nuclear Industries Security Regulations 2003/403. </w:t>
                    </w:r>
                  </w:p>
                </w:tc>
              </w:tr>
              <w:tr w:rsidR="00621605" w14:paraId="75CDD16E" w14:textId="77777777">
                <w:trPr>
                  <w:divId w:val="856574635"/>
                  <w:tblCellSpacing w:w="15" w:type="dxa"/>
                </w:trPr>
                <w:tc>
                  <w:tcPr>
                    <w:tcW w:w="50" w:type="pct"/>
                    <w:hideMark/>
                  </w:tcPr>
                  <w:p w14:paraId="5DD1FD8D" w14:textId="77777777" w:rsidR="00621605" w:rsidRDefault="00621605" w:rsidP="00BE6959">
                    <w:pPr>
                      <w:pStyle w:val="Bibliography"/>
                      <w:spacing w:after="0"/>
                      <w:rPr>
                        <w:noProof/>
                      </w:rPr>
                    </w:pPr>
                    <w:r>
                      <w:rPr>
                        <w:noProof/>
                      </w:rPr>
                      <w:t xml:space="preserve">[20] </w:t>
                    </w:r>
                  </w:p>
                </w:tc>
                <w:tc>
                  <w:tcPr>
                    <w:tcW w:w="0" w:type="auto"/>
                    <w:hideMark/>
                  </w:tcPr>
                  <w:p w14:paraId="5BF8E09D" w14:textId="77777777" w:rsidR="00621605" w:rsidRDefault="00621605" w:rsidP="00BE6959">
                    <w:pPr>
                      <w:pStyle w:val="Bibliography"/>
                      <w:spacing w:after="0"/>
                      <w:rPr>
                        <w:noProof/>
                      </w:rPr>
                    </w:pPr>
                    <w:r>
                      <w:rPr>
                        <w:noProof/>
                      </w:rPr>
                      <w:t xml:space="preserve">ONR, CNS-TAST-GD-5.2 - Examination, Inspection, Maintenance and Testing of Physical Protection Systems. </w:t>
                    </w:r>
                  </w:p>
                </w:tc>
              </w:tr>
              <w:tr w:rsidR="00621605" w14:paraId="33651CBC" w14:textId="77777777">
                <w:trPr>
                  <w:divId w:val="856574635"/>
                  <w:tblCellSpacing w:w="15" w:type="dxa"/>
                </w:trPr>
                <w:tc>
                  <w:tcPr>
                    <w:tcW w:w="50" w:type="pct"/>
                    <w:hideMark/>
                  </w:tcPr>
                  <w:p w14:paraId="73E86677" w14:textId="77777777" w:rsidR="00621605" w:rsidRDefault="00621605" w:rsidP="00BE6959">
                    <w:pPr>
                      <w:pStyle w:val="Bibliography"/>
                      <w:spacing w:after="0"/>
                      <w:rPr>
                        <w:noProof/>
                      </w:rPr>
                    </w:pPr>
                    <w:r>
                      <w:rPr>
                        <w:noProof/>
                      </w:rPr>
                      <w:t xml:space="preserve">[21] </w:t>
                    </w:r>
                  </w:p>
                </w:tc>
                <w:tc>
                  <w:tcPr>
                    <w:tcW w:w="0" w:type="auto"/>
                    <w:hideMark/>
                  </w:tcPr>
                  <w:p w14:paraId="35AFC6A9" w14:textId="77777777" w:rsidR="00621605" w:rsidRDefault="00621605" w:rsidP="00BE6959">
                    <w:pPr>
                      <w:pStyle w:val="Bibliography"/>
                      <w:spacing w:after="0"/>
                      <w:rPr>
                        <w:noProof/>
                      </w:rPr>
                    </w:pPr>
                    <w:r>
                      <w:rPr>
                        <w:noProof/>
                      </w:rPr>
                      <w:t xml:space="preserve">ONR, Security Assessment Principles for the Civil Nuclear Industry, 2022 Edition, Version 1. </w:t>
                    </w:r>
                  </w:p>
                </w:tc>
              </w:tr>
              <w:tr w:rsidR="00621605" w14:paraId="58D7E7D3" w14:textId="77777777">
                <w:trPr>
                  <w:divId w:val="856574635"/>
                  <w:tblCellSpacing w:w="15" w:type="dxa"/>
                </w:trPr>
                <w:tc>
                  <w:tcPr>
                    <w:tcW w:w="50" w:type="pct"/>
                    <w:hideMark/>
                  </w:tcPr>
                  <w:p w14:paraId="490C1BE2" w14:textId="77777777" w:rsidR="00621605" w:rsidRDefault="00621605" w:rsidP="00BE6959">
                    <w:pPr>
                      <w:pStyle w:val="Bibliography"/>
                      <w:spacing w:after="0"/>
                      <w:rPr>
                        <w:noProof/>
                      </w:rPr>
                    </w:pPr>
                    <w:r>
                      <w:rPr>
                        <w:noProof/>
                      </w:rPr>
                      <w:t xml:space="preserve">[22] </w:t>
                    </w:r>
                  </w:p>
                </w:tc>
                <w:tc>
                  <w:tcPr>
                    <w:tcW w:w="0" w:type="auto"/>
                    <w:hideMark/>
                  </w:tcPr>
                  <w:p w14:paraId="709680CB" w14:textId="77777777" w:rsidR="00621605" w:rsidRDefault="00621605" w:rsidP="00BE6959">
                    <w:pPr>
                      <w:pStyle w:val="Bibliography"/>
                      <w:spacing w:after="0"/>
                      <w:rPr>
                        <w:noProof/>
                      </w:rPr>
                    </w:pPr>
                    <w:r>
                      <w:rPr>
                        <w:noProof/>
                      </w:rPr>
                      <w:t xml:space="preserve">ONR, CNS-INSP-GD-001 - Nuclear Security Inspections. </w:t>
                    </w:r>
                  </w:p>
                </w:tc>
              </w:tr>
              <w:tr w:rsidR="00621605" w14:paraId="6A9E7457" w14:textId="77777777">
                <w:trPr>
                  <w:divId w:val="856574635"/>
                  <w:tblCellSpacing w:w="15" w:type="dxa"/>
                </w:trPr>
                <w:tc>
                  <w:tcPr>
                    <w:tcW w:w="50" w:type="pct"/>
                    <w:hideMark/>
                  </w:tcPr>
                  <w:p w14:paraId="6DE5820F" w14:textId="77777777" w:rsidR="00621605" w:rsidRDefault="00621605" w:rsidP="00BE6959">
                    <w:pPr>
                      <w:pStyle w:val="Bibliography"/>
                      <w:spacing w:after="0"/>
                      <w:rPr>
                        <w:noProof/>
                      </w:rPr>
                    </w:pPr>
                    <w:r>
                      <w:rPr>
                        <w:noProof/>
                      </w:rPr>
                      <w:t xml:space="preserve">[23] </w:t>
                    </w:r>
                  </w:p>
                </w:tc>
                <w:tc>
                  <w:tcPr>
                    <w:tcW w:w="0" w:type="auto"/>
                    <w:hideMark/>
                  </w:tcPr>
                  <w:p w14:paraId="18BB75AF" w14:textId="77777777" w:rsidR="00621605" w:rsidRDefault="00621605" w:rsidP="00BE6959">
                    <w:pPr>
                      <w:pStyle w:val="Bibliography"/>
                      <w:spacing w:after="0"/>
                      <w:rPr>
                        <w:noProof/>
                      </w:rPr>
                    </w:pPr>
                    <w:r>
                      <w:rPr>
                        <w:noProof/>
                      </w:rPr>
                      <w:t xml:space="preserve">ONR, SG-INSP-GD-001, Safeguards. </w:t>
                    </w:r>
                  </w:p>
                </w:tc>
              </w:tr>
            </w:tbl>
            <w:p w14:paraId="5BE22F88" w14:textId="77777777" w:rsidR="00621605" w:rsidRDefault="00621605">
              <w:pPr>
                <w:divId w:val="856574635"/>
                <w:rPr>
                  <w:rFonts w:eastAsia="Times New Roman"/>
                  <w:noProof/>
                </w:rPr>
              </w:pPr>
            </w:p>
            <w:p w14:paraId="7CD57A40" w14:textId="704892DE" w:rsidR="002042C2" w:rsidRDefault="002042C2" w:rsidP="002042C2">
              <w:r>
                <w:rPr>
                  <w:b/>
                  <w:bCs/>
                  <w:noProof/>
                </w:rPr>
                <w:fldChar w:fldCharType="end"/>
              </w:r>
            </w:p>
          </w:sdtContent>
        </w:sdt>
      </w:sdtContent>
    </w:sdt>
    <w:p w14:paraId="6F46D183" w14:textId="4CA4E8AF" w:rsidR="002042C2" w:rsidRDefault="00621605" w:rsidP="002042C2">
      <w:pPr>
        <w:pStyle w:val="Heading1"/>
        <w:numPr>
          <w:ilvl w:val="0"/>
          <w:numId w:val="0"/>
        </w:numPr>
        <w:ind w:left="851" w:hanging="851"/>
      </w:pPr>
      <w:bookmarkStart w:id="12" w:name="_Toc224544848"/>
      <w:r>
        <w:t>List of acronyms / initialisms</w:t>
      </w:r>
      <w:bookmarkEnd w:id="12"/>
      <w:r>
        <w:t xml:space="preserve"> </w:t>
      </w:r>
    </w:p>
    <w:tbl>
      <w:tblPr>
        <w:tblStyle w:val="ONRTable1"/>
        <w:tblW w:w="5000" w:type="pct"/>
        <w:tblInd w:w="0" w:type="dxa"/>
        <w:tblLook w:val="04A0" w:firstRow="1" w:lastRow="0" w:firstColumn="1" w:lastColumn="0" w:noHBand="0" w:noVBand="1"/>
      </w:tblPr>
      <w:tblGrid>
        <w:gridCol w:w="1986"/>
        <w:gridCol w:w="7040"/>
      </w:tblGrid>
      <w:tr w:rsidR="008A312C" w:rsidRPr="00E93A50" w14:paraId="55258BCD" w14:textId="77777777" w:rsidTr="009C3662">
        <w:trPr>
          <w:cnfStyle w:val="100000000000" w:firstRow="1" w:lastRow="0" w:firstColumn="0" w:lastColumn="0" w:oddVBand="0" w:evenVBand="0" w:oddHBand="0" w:evenHBand="0" w:firstRowFirstColumn="0" w:firstRowLastColumn="0" w:lastRowFirstColumn="0" w:lastRowLastColumn="0"/>
          <w:tblHeader/>
        </w:trPr>
        <w:tc>
          <w:tcPr>
            <w:tcW w:w="1100" w:type="pct"/>
            <w:hideMark/>
          </w:tcPr>
          <w:p w14:paraId="30319206" w14:textId="439385FB" w:rsidR="008A312C" w:rsidRPr="00E93A50" w:rsidRDefault="008A312C" w:rsidP="009C3662">
            <w:pPr>
              <w:pStyle w:val="TableText"/>
              <w:rPr>
                <w:b w:val="0"/>
                <w:bCs/>
              </w:rPr>
            </w:pPr>
            <w:r w:rsidRPr="00E93A50">
              <w:rPr>
                <w:b w:val="0"/>
                <w:bCs/>
              </w:rPr>
              <w:t>Acronym</w:t>
            </w:r>
            <w:r w:rsidR="00621605">
              <w:rPr>
                <w:b w:val="0"/>
                <w:bCs/>
              </w:rPr>
              <w:t xml:space="preserve"> / initialism</w:t>
            </w:r>
          </w:p>
        </w:tc>
        <w:tc>
          <w:tcPr>
            <w:tcW w:w="3900" w:type="pct"/>
          </w:tcPr>
          <w:p w14:paraId="78BBBBEE" w14:textId="77777777" w:rsidR="008A312C" w:rsidRPr="00E93A50" w:rsidRDefault="008A312C" w:rsidP="009C3662">
            <w:pPr>
              <w:pStyle w:val="TableText"/>
              <w:rPr>
                <w:b w:val="0"/>
                <w:bCs/>
              </w:rPr>
            </w:pPr>
            <w:r w:rsidRPr="00E93A50">
              <w:rPr>
                <w:b w:val="0"/>
                <w:bCs/>
              </w:rPr>
              <w:t>Description</w:t>
            </w:r>
          </w:p>
        </w:tc>
      </w:tr>
      <w:tr w:rsidR="008A312C" w:rsidRPr="00E93A50" w14:paraId="797AEA30" w14:textId="77777777" w:rsidTr="009C3662">
        <w:tc>
          <w:tcPr>
            <w:tcW w:w="1100" w:type="pct"/>
          </w:tcPr>
          <w:p w14:paraId="1C711882" w14:textId="77777777" w:rsidR="008A312C" w:rsidRPr="00E93A50" w:rsidRDefault="008A312C" w:rsidP="009C3662">
            <w:pPr>
              <w:pStyle w:val="TableText"/>
            </w:pPr>
            <w:r w:rsidRPr="00E93A50">
              <w:t>EIMT</w:t>
            </w:r>
          </w:p>
        </w:tc>
        <w:tc>
          <w:tcPr>
            <w:tcW w:w="3900" w:type="pct"/>
          </w:tcPr>
          <w:p w14:paraId="39C5EF52" w14:textId="77777777" w:rsidR="008A312C" w:rsidRPr="00E93A50" w:rsidRDefault="008A312C" w:rsidP="009C3662">
            <w:pPr>
              <w:pStyle w:val="TableText"/>
            </w:pPr>
            <w:r w:rsidRPr="00E93A50">
              <w:t>Examination, Inspection, Maintenance and Testing</w:t>
            </w:r>
          </w:p>
        </w:tc>
      </w:tr>
      <w:tr w:rsidR="008A312C" w:rsidRPr="00E93A50" w14:paraId="7578D328" w14:textId="77777777" w:rsidTr="009C3662">
        <w:tc>
          <w:tcPr>
            <w:tcW w:w="1100" w:type="pct"/>
          </w:tcPr>
          <w:p w14:paraId="7B7725A0" w14:textId="77777777" w:rsidR="008A312C" w:rsidRPr="00E93A50" w:rsidRDefault="008A312C" w:rsidP="009C3662">
            <w:pPr>
              <w:pStyle w:val="TableText"/>
            </w:pPr>
            <w:r w:rsidRPr="00E93A50">
              <w:rPr>
                <w:lang w:eastAsia="en-GB" w:bidi="ar-SA"/>
              </w:rPr>
              <w:t>FSyP</w:t>
            </w:r>
          </w:p>
        </w:tc>
        <w:tc>
          <w:tcPr>
            <w:tcW w:w="3900" w:type="pct"/>
          </w:tcPr>
          <w:p w14:paraId="24EB6470" w14:textId="77777777" w:rsidR="008A312C" w:rsidRPr="00E93A50" w:rsidRDefault="008A312C" w:rsidP="009C3662">
            <w:pPr>
              <w:pStyle w:val="TableText"/>
            </w:pPr>
            <w:r w:rsidRPr="00E93A50">
              <w:rPr>
                <w:lang w:eastAsia="en-GB" w:bidi="ar-SA"/>
              </w:rPr>
              <w:t>Fundamental Security Principle</w:t>
            </w:r>
          </w:p>
        </w:tc>
      </w:tr>
      <w:tr w:rsidR="008A312C" w:rsidRPr="00E93A50" w14:paraId="12BA6447" w14:textId="77777777" w:rsidTr="009C3662">
        <w:tc>
          <w:tcPr>
            <w:tcW w:w="1100" w:type="pct"/>
          </w:tcPr>
          <w:p w14:paraId="3749A7C2" w14:textId="77777777" w:rsidR="008A312C" w:rsidRPr="00E93A50" w:rsidRDefault="008A312C" w:rsidP="009C3662">
            <w:pPr>
              <w:pStyle w:val="TableText"/>
            </w:pPr>
            <w:r w:rsidRPr="00E93A50">
              <w:t>IAEA</w:t>
            </w:r>
          </w:p>
        </w:tc>
        <w:tc>
          <w:tcPr>
            <w:tcW w:w="3900" w:type="pct"/>
          </w:tcPr>
          <w:p w14:paraId="1FB58BA1" w14:textId="77777777" w:rsidR="008A312C" w:rsidRPr="00E93A50" w:rsidRDefault="008A312C" w:rsidP="009C3662">
            <w:pPr>
              <w:pStyle w:val="TableText"/>
            </w:pPr>
            <w:r w:rsidRPr="00E93A50">
              <w:t>International Atomic Energy Agency</w:t>
            </w:r>
          </w:p>
        </w:tc>
      </w:tr>
      <w:tr w:rsidR="008A312C" w:rsidRPr="00E93A50" w14:paraId="34133144" w14:textId="77777777" w:rsidTr="009C3662">
        <w:tc>
          <w:tcPr>
            <w:tcW w:w="1100" w:type="pct"/>
          </w:tcPr>
          <w:p w14:paraId="13A5A188" w14:textId="77777777" w:rsidR="008A312C" w:rsidRPr="00E93A50" w:rsidRDefault="008A312C" w:rsidP="009C3662">
            <w:pPr>
              <w:pStyle w:val="TableText"/>
            </w:pPr>
            <w:r w:rsidRPr="00E93A50">
              <w:t>LC</w:t>
            </w:r>
          </w:p>
        </w:tc>
        <w:tc>
          <w:tcPr>
            <w:tcW w:w="3900" w:type="pct"/>
          </w:tcPr>
          <w:p w14:paraId="5432988D" w14:textId="77777777" w:rsidR="008A312C" w:rsidRPr="00E93A50" w:rsidRDefault="008A312C" w:rsidP="009C3662">
            <w:pPr>
              <w:pStyle w:val="TableText"/>
            </w:pPr>
            <w:r w:rsidRPr="00E93A50">
              <w:t>Licence Condition</w:t>
            </w:r>
          </w:p>
        </w:tc>
      </w:tr>
      <w:tr w:rsidR="008A312C" w:rsidRPr="00E93A50" w14:paraId="617A360B" w14:textId="77777777" w:rsidTr="009C3662">
        <w:tc>
          <w:tcPr>
            <w:tcW w:w="1100" w:type="pct"/>
          </w:tcPr>
          <w:p w14:paraId="5F55C196" w14:textId="77777777" w:rsidR="008A312C" w:rsidRPr="00E93A50" w:rsidRDefault="008A312C" w:rsidP="009C3662">
            <w:pPr>
              <w:pStyle w:val="TableText"/>
            </w:pPr>
            <w:r w:rsidRPr="00E93A50">
              <w:t>MACE</w:t>
            </w:r>
          </w:p>
        </w:tc>
        <w:tc>
          <w:tcPr>
            <w:tcW w:w="3900" w:type="pct"/>
          </w:tcPr>
          <w:p w14:paraId="77F0870F" w14:textId="77777777" w:rsidR="008A312C" w:rsidRPr="00E93A50" w:rsidRDefault="008A312C" w:rsidP="009C3662">
            <w:pPr>
              <w:pStyle w:val="TableText"/>
            </w:pPr>
            <w:r w:rsidRPr="00E93A50">
              <w:t>Material Accountancy and Control Expectation</w:t>
            </w:r>
          </w:p>
        </w:tc>
      </w:tr>
      <w:tr w:rsidR="008A312C" w:rsidRPr="00E93A50" w14:paraId="188E011B" w14:textId="77777777" w:rsidTr="009C3662">
        <w:tc>
          <w:tcPr>
            <w:tcW w:w="1100" w:type="pct"/>
          </w:tcPr>
          <w:p w14:paraId="28783DE8" w14:textId="77777777" w:rsidR="008A312C" w:rsidRPr="00E93A50" w:rsidRDefault="008A312C" w:rsidP="009C3662">
            <w:pPr>
              <w:pStyle w:val="TableText"/>
            </w:pPr>
            <w:r w:rsidRPr="00E93A50">
              <w:t>NISR</w:t>
            </w:r>
          </w:p>
        </w:tc>
        <w:tc>
          <w:tcPr>
            <w:tcW w:w="3900" w:type="pct"/>
          </w:tcPr>
          <w:p w14:paraId="27EBB510" w14:textId="77777777" w:rsidR="008A312C" w:rsidRPr="00E93A50" w:rsidRDefault="008A312C" w:rsidP="009C3662">
            <w:pPr>
              <w:pStyle w:val="TableText"/>
            </w:pPr>
            <w:r w:rsidRPr="00E93A50">
              <w:rPr>
                <w:lang w:eastAsia="en-GB" w:bidi="ar-SA"/>
              </w:rPr>
              <w:t>Nuclear Industries Security Regulations 2003</w:t>
            </w:r>
          </w:p>
        </w:tc>
      </w:tr>
      <w:tr w:rsidR="008A312C" w:rsidRPr="00E93A50" w14:paraId="32E49814" w14:textId="77777777" w:rsidTr="009C3662">
        <w:tc>
          <w:tcPr>
            <w:tcW w:w="1100" w:type="pct"/>
          </w:tcPr>
          <w:p w14:paraId="1ACD1791" w14:textId="77777777" w:rsidR="008A312C" w:rsidRPr="00E93A50" w:rsidRDefault="008A312C" w:rsidP="009C3662">
            <w:pPr>
              <w:pStyle w:val="TableText"/>
            </w:pPr>
            <w:r w:rsidRPr="00E93A50">
              <w:t>NMACS</w:t>
            </w:r>
          </w:p>
        </w:tc>
        <w:tc>
          <w:tcPr>
            <w:tcW w:w="3900" w:type="pct"/>
          </w:tcPr>
          <w:p w14:paraId="490DD657" w14:textId="77777777" w:rsidR="008A312C" w:rsidRPr="00E93A50" w:rsidRDefault="008A312C" w:rsidP="009C3662">
            <w:pPr>
              <w:pStyle w:val="TableText"/>
            </w:pPr>
            <w:r w:rsidRPr="00E93A50">
              <w:t>Nuclear Material Accountancy, Control, and Safeguards</w:t>
            </w:r>
          </w:p>
        </w:tc>
      </w:tr>
      <w:tr w:rsidR="008A312C" w:rsidRPr="00E93A50" w14:paraId="3F78497B" w14:textId="77777777" w:rsidTr="009C3662">
        <w:tc>
          <w:tcPr>
            <w:tcW w:w="1100" w:type="pct"/>
          </w:tcPr>
          <w:p w14:paraId="06AB1441" w14:textId="77777777" w:rsidR="008A312C" w:rsidRPr="00E93A50" w:rsidRDefault="008A312C" w:rsidP="009C3662">
            <w:pPr>
              <w:pStyle w:val="TableText"/>
            </w:pPr>
            <w:r w:rsidRPr="00E93A50">
              <w:t>NSR19</w:t>
            </w:r>
          </w:p>
        </w:tc>
        <w:tc>
          <w:tcPr>
            <w:tcW w:w="3900" w:type="pct"/>
          </w:tcPr>
          <w:p w14:paraId="6C34C50C" w14:textId="77777777" w:rsidR="008A312C" w:rsidRPr="00E93A50" w:rsidRDefault="008A312C" w:rsidP="009C3662">
            <w:pPr>
              <w:pStyle w:val="TableText"/>
            </w:pPr>
            <w:r w:rsidRPr="00E93A50">
              <w:t>The Nuclear Safeguards (EU Exit) Regulations 2019</w:t>
            </w:r>
          </w:p>
        </w:tc>
      </w:tr>
      <w:tr w:rsidR="008A312C" w:rsidRPr="00E93A50" w14:paraId="74B202F6" w14:textId="77777777" w:rsidTr="009C3662">
        <w:tc>
          <w:tcPr>
            <w:tcW w:w="1100" w:type="pct"/>
          </w:tcPr>
          <w:p w14:paraId="04A7D1B9" w14:textId="77777777" w:rsidR="008A312C" w:rsidRPr="00E93A50" w:rsidRDefault="008A312C" w:rsidP="009C3662">
            <w:pPr>
              <w:pStyle w:val="TableText"/>
            </w:pPr>
            <w:r w:rsidRPr="00E93A50">
              <w:t>ONMACS</w:t>
            </w:r>
          </w:p>
        </w:tc>
        <w:tc>
          <w:tcPr>
            <w:tcW w:w="3900" w:type="pct"/>
          </w:tcPr>
          <w:p w14:paraId="3525581C" w14:textId="77777777" w:rsidR="008A312C" w:rsidRPr="00E93A50" w:rsidRDefault="008A312C" w:rsidP="009C3662">
            <w:pPr>
              <w:pStyle w:val="TableText"/>
            </w:pPr>
            <w:r w:rsidRPr="00E93A50">
              <w:t>ONR Guidance for Nuclear Material Accountancy, Control and Safeguards</w:t>
            </w:r>
          </w:p>
        </w:tc>
      </w:tr>
      <w:tr w:rsidR="008A312C" w:rsidRPr="00E93A50" w14:paraId="751644E4" w14:textId="77777777" w:rsidTr="009C3662">
        <w:tc>
          <w:tcPr>
            <w:tcW w:w="1100" w:type="pct"/>
          </w:tcPr>
          <w:p w14:paraId="6C287A92" w14:textId="77777777" w:rsidR="008A312C" w:rsidRPr="00E93A50" w:rsidRDefault="008A312C" w:rsidP="009C3662">
            <w:pPr>
              <w:pStyle w:val="TableText"/>
            </w:pPr>
            <w:r w:rsidRPr="00E93A50">
              <w:t>ONR</w:t>
            </w:r>
          </w:p>
        </w:tc>
        <w:tc>
          <w:tcPr>
            <w:tcW w:w="3900" w:type="pct"/>
          </w:tcPr>
          <w:p w14:paraId="67F31FC2" w14:textId="77777777" w:rsidR="008A312C" w:rsidRPr="00E93A50" w:rsidRDefault="008A312C" w:rsidP="009C3662">
            <w:pPr>
              <w:pStyle w:val="TableText"/>
            </w:pPr>
            <w:r w:rsidRPr="00E93A50">
              <w:t>Office for Nuclear Regulation</w:t>
            </w:r>
          </w:p>
        </w:tc>
      </w:tr>
      <w:tr w:rsidR="008A312C" w:rsidRPr="00E93A50" w14:paraId="76366A64" w14:textId="77777777" w:rsidTr="009C3662">
        <w:tc>
          <w:tcPr>
            <w:tcW w:w="1100" w:type="pct"/>
          </w:tcPr>
          <w:p w14:paraId="725DE2D9" w14:textId="77777777" w:rsidR="008A312C" w:rsidRPr="00E93A50" w:rsidRDefault="008A312C" w:rsidP="009C3662">
            <w:pPr>
              <w:pStyle w:val="TableText"/>
            </w:pPr>
            <w:r w:rsidRPr="00E93A50">
              <w:t>PMS</w:t>
            </w:r>
          </w:p>
        </w:tc>
        <w:tc>
          <w:tcPr>
            <w:tcW w:w="3900" w:type="pct"/>
          </w:tcPr>
          <w:p w14:paraId="16D4A123" w14:textId="77777777" w:rsidR="008A312C" w:rsidRPr="00E93A50" w:rsidRDefault="008A312C" w:rsidP="009C3662">
            <w:pPr>
              <w:pStyle w:val="TableText"/>
            </w:pPr>
            <w:r w:rsidRPr="00E93A50">
              <w:t>Plant Maintenance Schedule</w:t>
            </w:r>
          </w:p>
        </w:tc>
      </w:tr>
      <w:tr w:rsidR="008A312C" w:rsidRPr="00E93A50" w14:paraId="4A706252" w14:textId="77777777" w:rsidTr="009C3662">
        <w:tc>
          <w:tcPr>
            <w:tcW w:w="1100" w:type="pct"/>
          </w:tcPr>
          <w:p w14:paraId="209C84C0" w14:textId="77777777" w:rsidR="008A312C" w:rsidRPr="00E93A50" w:rsidRDefault="008A312C" w:rsidP="009C3662">
            <w:pPr>
              <w:pStyle w:val="TableText"/>
            </w:pPr>
            <w:r w:rsidRPr="00E93A50">
              <w:t>PSA</w:t>
            </w:r>
          </w:p>
        </w:tc>
        <w:tc>
          <w:tcPr>
            <w:tcW w:w="3900" w:type="pct"/>
          </w:tcPr>
          <w:p w14:paraId="2F9D8E7F" w14:textId="77777777" w:rsidR="008A312C" w:rsidRPr="00E93A50" w:rsidRDefault="008A312C" w:rsidP="009C3662">
            <w:pPr>
              <w:pStyle w:val="TableText"/>
            </w:pPr>
            <w:r w:rsidRPr="00E93A50">
              <w:t>Probabilistic Safety Assessment</w:t>
            </w:r>
          </w:p>
        </w:tc>
      </w:tr>
      <w:tr w:rsidR="008A312C" w:rsidRPr="00E93A50" w14:paraId="0A0258E3" w14:textId="77777777" w:rsidTr="009C3662">
        <w:tc>
          <w:tcPr>
            <w:tcW w:w="1100" w:type="pct"/>
          </w:tcPr>
          <w:p w14:paraId="5478C8DE" w14:textId="77777777" w:rsidR="008A312C" w:rsidRPr="00E93A50" w:rsidRDefault="008A312C" w:rsidP="009C3662">
            <w:pPr>
              <w:pStyle w:val="TableText"/>
            </w:pPr>
            <w:r w:rsidRPr="00E93A50">
              <w:t>SQEP</w:t>
            </w:r>
          </w:p>
        </w:tc>
        <w:tc>
          <w:tcPr>
            <w:tcW w:w="3900" w:type="pct"/>
          </w:tcPr>
          <w:p w14:paraId="38BEC7C3" w14:textId="77777777" w:rsidR="008A312C" w:rsidRPr="00E93A50" w:rsidRDefault="008A312C" w:rsidP="009C3662">
            <w:pPr>
              <w:pStyle w:val="TableText"/>
            </w:pPr>
            <w:r w:rsidRPr="00E93A50">
              <w:t>Suitably Qualified and Experienced Person</w:t>
            </w:r>
          </w:p>
        </w:tc>
      </w:tr>
      <w:tr w:rsidR="008A312C" w:rsidRPr="00E93A50" w14:paraId="6CBEF305" w14:textId="77777777" w:rsidTr="009C3662">
        <w:tc>
          <w:tcPr>
            <w:tcW w:w="1100" w:type="pct"/>
          </w:tcPr>
          <w:p w14:paraId="1718B62A" w14:textId="77777777" w:rsidR="008A312C" w:rsidRPr="00E93A50" w:rsidRDefault="008A312C" w:rsidP="009C3662">
            <w:pPr>
              <w:pStyle w:val="TableText"/>
            </w:pPr>
            <w:r w:rsidRPr="00E93A50">
              <w:t>SSC</w:t>
            </w:r>
          </w:p>
        </w:tc>
        <w:tc>
          <w:tcPr>
            <w:tcW w:w="3900" w:type="pct"/>
          </w:tcPr>
          <w:p w14:paraId="2A11177E" w14:textId="77777777" w:rsidR="008A312C" w:rsidRPr="00E93A50" w:rsidRDefault="008A312C" w:rsidP="009C3662">
            <w:pPr>
              <w:pStyle w:val="TableText"/>
            </w:pPr>
            <w:r w:rsidRPr="00E93A50">
              <w:t>Structure, System and Component</w:t>
            </w:r>
          </w:p>
        </w:tc>
      </w:tr>
      <w:tr w:rsidR="008A312C" w:rsidRPr="00E93A50" w14:paraId="2064644D" w14:textId="77777777" w:rsidTr="009C3662">
        <w:tc>
          <w:tcPr>
            <w:tcW w:w="1100" w:type="pct"/>
          </w:tcPr>
          <w:p w14:paraId="747DF422" w14:textId="77777777" w:rsidR="008A312C" w:rsidRPr="00E93A50" w:rsidRDefault="008A312C" w:rsidP="009C3662">
            <w:pPr>
              <w:pStyle w:val="TableText"/>
            </w:pPr>
            <w:r w:rsidRPr="00E93A50">
              <w:t>SP</w:t>
            </w:r>
          </w:p>
        </w:tc>
        <w:tc>
          <w:tcPr>
            <w:tcW w:w="3900" w:type="pct"/>
          </w:tcPr>
          <w:p w14:paraId="1F0BBD28" w14:textId="77777777" w:rsidR="008A312C" w:rsidRPr="00E93A50" w:rsidRDefault="008A312C" w:rsidP="009C3662">
            <w:pPr>
              <w:pStyle w:val="TableText"/>
            </w:pPr>
            <w:r w:rsidRPr="00E93A50">
              <w:t>Security Plan</w:t>
            </w:r>
          </w:p>
        </w:tc>
      </w:tr>
      <w:tr w:rsidR="008A312C" w:rsidRPr="00E93A50" w14:paraId="12D96BC9" w14:textId="77777777" w:rsidTr="009C3662">
        <w:tc>
          <w:tcPr>
            <w:tcW w:w="1100" w:type="pct"/>
          </w:tcPr>
          <w:p w14:paraId="46689D5D" w14:textId="77777777" w:rsidR="008A312C" w:rsidRPr="00E93A50" w:rsidRDefault="008A312C" w:rsidP="009C3662">
            <w:pPr>
              <w:pStyle w:val="TableText"/>
            </w:pPr>
            <w:r w:rsidRPr="00E93A50">
              <w:t>SyAPs</w:t>
            </w:r>
          </w:p>
        </w:tc>
        <w:tc>
          <w:tcPr>
            <w:tcW w:w="3900" w:type="pct"/>
          </w:tcPr>
          <w:p w14:paraId="3669C5E3" w14:textId="77777777" w:rsidR="008A312C" w:rsidRPr="00E93A50" w:rsidRDefault="008A312C" w:rsidP="009C3662">
            <w:pPr>
              <w:pStyle w:val="TableText"/>
            </w:pPr>
            <w:r w:rsidRPr="00E93A50">
              <w:rPr>
                <w:noProof/>
              </w:rPr>
              <w:t>Security Assessment Principles</w:t>
            </w:r>
          </w:p>
        </w:tc>
      </w:tr>
      <w:tr w:rsidR="008A312C" w:rsidRPr="00E93A50" w14:paraId="5DA89E98" w14:textId="77777777" w:rsidTr="009C3662">
        <w:tc>
          <w:tcPr>
            <w:tcW w:w="1100" w:type="pct"/>
          </w:tcPr>
          <w:p w14:paraId="3A08BB16" w14:textId="77777777" w:rsidR="008A312C" w:rsidRPr="00E93A50" w:rsidRDefault="008A312C" w:rsidP="009C3662">
            <w:pPr>
              <w:pStyle w:val="TableText"/>
            </w:pPr>
            <w:proofErr w:type="spellStart"/>
            <w:r w:rsidRPr="00E93A50">
              <w:rPr>
                <w:lang w:eastAsia="en-GB" w:bidi="ar-SA"/>
              </w:rPr>
              <w:t>SyDP</w:t>
            </w:r>
            <w:proofErr w:type="spellEnd"/>
          </w:p>
        </w:tc>
        <w:tc>
          <w:tcPr>
            <w:tcW w:w="3900" w:type="pct"/>
          </w:tcPr>
          <w:p w14:paraId="7BFE1640" w14:textId="77777777" w:rsidR="008A312C" w:rsidRPr="00E93A50" w:rsidRDefault="008A312C" w:rsidP="009C3662">
            <w:pPr>
              <w:pStyle w:val="TableText"/>
              <w:rPr>
                <w:noProof/>
              </w:rPr>
            </w:pPr>
            <w:r w:rsidRPr="00E93A50">
              <w:rPr>
                <w:lang w:eastAsia="en-GB" w:bidi="ar-SA"/>
              </w:rPr>
              <w:t>Security Delivery Principle</w:t>
            </w:r>
          </w:p>
        </w:tc>
      </w:tr>
      <w:tr w:rsidR="008A312C" w:rsidRPr="00E93A50" w14:paraId="7E7B697E" w14:textId="77777777" w:rsidTr="009C3662">
        <w:tc>
          <w:tcPr>
            <w:tcW w:w="1100" w:type="pct"/>
          </w:tcPr>
          <w:p w14:paraId="28D9051D" w14:textId="77777777" w:rsidR="008A312C" w:rsidRPr="00E93A50" w:rsidRDefault="008A312C" w:rsidP="009C3662">
            <w:pPr>
              <w:pStyle w:val="TableText"/>
            </w:pPr>
            <w:r w:rsidRPr="00E93A50">
              <w:t>TAG</w:t>
            </w:r>
          </w:p>
        </w:tc>
        <w:tc>
          <w:tcPr>
            <w:tcW w:w="3900" w:type="pct"/>
          </w:tcPr>
          <w:p w14:paraId="28A5DF7C" w14:textId="77777777" w:rsidR="008A312C" w:rsidRPr="00E93A50" w:rsidRDefault="008A312C" w:rsidP="009C3662">
            <w:pPr>
              <w:pStyle w:val="TableText"/>
            </w:pPr>
            <w:r w:rsidRPr="00E93A50">
              <w:t>Technical Assessment Guide</w:t>
            </w:r>
          </w:p>
        </w:tc>
      </w:tr>
      <w:tr w:rsidR="008A312C" w:rsidRPr="00E93A50" w14:paraId="504B7611" w14:textId="77777777" w:rsidTr="009C3662">
        <w:tc>
          <w:tcPr>
            <w:tcW w:w="1100" w:type="pct"/>
          </w:tcPr>
          <w:p w14:paraId="5F8AF19F" w14:textId="77777777" w:rsidR="008A312C" w:rsidRPr="00E93A50" w:rsidRDefault="008A312C" w:rsidP="009C3662">
            <w:pPr>
              <w:pStyle w:val="TableText"/>
            </w:pPr>
            <w:r w:rsidRPr="00E93A50">
              <w:t>TIG</w:t>
            </w:r>
          </w:p>
        </w:tc>
        <w:tc>
          <w:tcPr>
            <w:tcW w:w="3900" w:type="pct"/>
          </w:tcPr>
          <w:p w14:paraId="70643B7F" w14:textId="77777777" w:rsidR="008A312C" w:rsidRPr="00E93A50" w:rsidRDefault="008A312C" w:rsidP="009C3662">
            <w:pPr>
              <w:pStyle w:val="TableText"/>
            </w:pPr>
            <w:r w:rsidRPr="00E93A50">
              <w:t>Technical Inspection Guide</w:t>
            </w:r>
          </w:p>
        </w:tc>
      </w:tr>
    </w:tbl>
    <w:p w14:paraId="4BDBCE98" w14:textId="77777777" w:rsidR="00621605" w:rsidRDefault="00621605" w:rsidP="00930E37">
      <w:pPr>
        <w:pStyle w:val="Heading1"/>
        <w:numPr>
          <w:ilvl w:val="0"/>
          <w:numId w:val="0"/>
        </w:numPr>
        <w:ind w:left="851" w:hanging="851"/>
        <w:sectPr w:rsidR="00621605" w:rsidSect="00B23A5E">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13" w:name="_Toc224544849"/>
      <w:r>
        <w:lastRenderedPageBreak/>
        <w:t>Document control information</w:t>
      </w:r>
      <w:bookmarkEnd w:id="13"/>
    </w:p>
    <w:p w14:paraId="47B60150" w14:textId="1CAEF48B" w:rsidR="00930E37" w:rsidRDefault="00930E37" w:rsidP="00930E37">
      <w:pPr>
        <w:rPr>
          <w:szCs w:val="24"/>
        </w:rPr>
      </w:pPr>
      <w:r w:rsidRPr="00196ADB">
        <w:rPr>
          <w:b/>
          <w:bCs/>
          <w:szCs w:val="24"/>
        </w:rPr>
        <w:t>Authored by</w:t>
      </w:r>
      <w:r w:rsidR="00BE6959">
        <w:rPr>
          <w:b/>
          <w:bCs/>
          <w:szCs w:val="24"/>
        </w:rPr>
        <w:t>:</w:t>
      </w:r>
      <w:r w:rsidRPr="00196ADB">
        <w:rPr>
          <w:szCs w:val="24"/>
        </w:rPr>
        <w:t xml:space="preserve"> </w:t>
      </w:r>
      <w:r w:rsidR="0045640C">
        <w:rPr>
          <w:szCs w:val="24"/>
        </w:rPr>
        <w:t>Nuclear Safety Inspector</w:t>
      </w:r>
    </w:p>
    <w:p w14:paraId="09B20F25" w14:textId="6DC609E1" w:rsidR="00621605" w:rsidRPr="00196ADB" w:rsidRDefault="00621605" w:rsidP="00930E37">
      <w:pPr>
        <w:rPr>
          <w:szCs w:val="24"/>
        </w:rPr>
      </w:pPr>
      <w:r w:rsidRPr="00621605">
        <w:rPr>
          <w:b/>
          <w:bCs/>
          <w:szCs w:val="24"/>
        </w:rPr>
        <w:t>Approved by</w:t>
      </w:r>
      <w:r>
        <w:rPr>
          <w:szCs w:val="24"/>
        </w:rPr>
        <w:t xml:space="preserve">: Head of Profession for the Operational Inspection </w:t>
      </w:r>
      <w:r w:rsidRPr="00930E37">
        <w:rPr>
          <w:szCs w:val="24"/>
        </w:rPr>
        <w:t>Specialism</w:t>
      </w:r>
    </w:p>
    <w:p w14:paraId="10D33D1E" w14:textId="73B53486"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4278">
            <w:rPr>
              <w:szCs w:val="24"/>
            </w:rPr>
            <w:t>9.</w:t>
          </w:r>
          <w:r w:rsidR="00400CB3">
            <w:rPr>
              <w:szCs w:val="24"/>
            </w:rPr>
            <w:t>2</w:t>
          </w:r>
        </w:sdtContent>
      </w:sdt>
    </w:p>
    <w:p w14:paraId="12DC54B5" w14:textId="28372ADE" w:rsidR="00930E37" w:rsidRPr="00196ADB" w:rsidRDefault="00930E37" w:rsidP="00930E37">
      <w:pPr>
        <w:rPr>
          <w:szCs w:val="24"/>
        </w:rPr>
      </w:pPr>
      <w:r>
        <w:rPr>
          <w:b/>
          <w:bCs/>
          <w:szCs w:val="24"/>
        </w:rPr>
        <w:t>Published</w:t>
      </w:r>
      <w:r w:rsidRPr="00196ADB">
        <w:rPr>
          <w:szCs w:val="24"/>
        </w:rPr>
        <w:t xml:space="preserve">: </w:t>
      </w:r>
      <w:r w:rsidR="00400CB3">
        <w:rPr>
          <w:szCs w:val="24"/>
        </w:rPr>
        <w:t>June</w:t>
      </w:r>
      <w:r>
        <w:rPr>
          <w:szCs w:val="24"/>
        </w:rPr>
        <w:t xml:space="preserve"> </w:t>
      </w:r>
      <w:r w:rsidR="00084278">
        <w:rPr>
          <w:szCs w:val="24"/>
        </w:rPr>
        <w:t>2026</w:t>
      </w:r>
    </w:p>
    <w:p w14:paraId="29AA6F0F" w14:textId="657D7B79"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084278">
        <w:rPr>
          <w:szCs w:val="24"/>
        </w:rPr>
        <w:t>October</w:t>
      </w:r>
      <w:r>
        <w:rPr>
          <w:szCs w:val="24"/>
        </w:rPr>
        <w:t xml:space="preserve"> </w:t>
      </w:r>
      <w:r w:rsidR="00084278">
        <w:rPr>
          <w:szCs w:val="24"/>
        </w:rPr>
        <w:t>202</w:t>
      </w:r>
      <w:r w:rsidR="00012BCF">
        <w:rPr>
          <w:szCs w:val="24"/>
        </w:rPr>
        <w:t>8</w:t>
      </w:r>
    </w:p>
    <w:p w14:paraId="0A735AFC" w14:textId="582ECE26"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621605">
        <w:rPr>
          <w:szCs w:val="24"/>
        </w:rPr>
        <w:t>NS-INSP-GD-028</w:t>
      </w:r>
    </w:p>
    <w:p w14:paraId="7D13A83B" w14:textId="4B1C8902" w:rsidR="00930E37" w:rsidRPr="002F10A0" w:rsidRDefault="00930E37" w:rsidP="003D038B">
      <w:pPr>
        <w:rPr>
          <w:szCs w:val="24"/>
        </w:rPr>
      </w:pPr>
      <w:r w:rsidRPr="003D038B">
        <w:rPr>
          <w:b/>
          <w:bCs/>
          <w:szCs w:val="24"/>
        </w:rPr>
        <w:t>Record reference</w:t>
      </w:r>
      <w:r w:rsidRPr="003D038B">
        <w:rPr>
          <w:szCs w:val="24"/>
        </w:rPr>
        <w:t xml:space="preserve">: </w:t>
      </w:r>
      <w:hyperlink r:id="rId27" w:tgtFrame="_blank" w:tooltip="ONRHH-822789359-20584" w:history="1">
        <w:r w:rsidR="003D038B" w:rsidRPr="003D038B">
          <w:rPr>
            <w:rStyle w:val="Hyperlink"/>
            <w:szCs w:val="24"/>
          </w:rPr>
          <w:t>ONRHH-822789359-20584</w:t>
        </w:r>
      </w:hyperlink>
    </w:p>
    <w:p w14:paraId="5B90CF3F" w14:textId="77777777" w:rsidR="003D038B" w:rsidRDefault="003D038B" w:rsidP="00930E37">
      <w:pPr>
        <w:pStyle w:val="Caption"/>
        <w:keepNext/>
      </w:pPr>
    </w:p>
    <w:p w14:paraId="7629CA34" w14:textId="4C4DB11F"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930E37" w:rsidRPr="00B23A5E" w14:paraId="1216A18F" w14:textId="77777777" w:rsidTr="00621605">
        <w:trPr>
          <w:cnfStyle w:val="100000000000" w:firstRow="1" w:lastRow="0" w:firstColumn="0" w:lastColumn="0" w:oddVBand="0" w:evenVBand="0" w:oddHBand="0" w:evenHBand="0" w:firstRowFirstColumn="0" w:firstRowLastColumn="0" w:lastRowFirstColumn="0" w:lastRowLastColumn="0"/>
        </w:trPr>
        <w:tc>
          <w:tcPr>
            <w:tcW w:w="1124" w:type="dxa"/>
          </w:tcPr>
          <w:p w14:paraId="3C3F26F3" w14:textId="77777777" w:rsidR="00930E37" w:rsidRPr="00B23A5E" w:rsidRDefault="00930E37" w:rsidP="00CF24A9">
            <w:pPr>
              <w:spacing w:before="60" w:after="60"/>
              <w:rPr>
                <w:b w:val="0"/>
                <w:bCs/>
              </w:rPr>
            </w:pPr>
            <w:r w:rsidRPr="00B23A5E">
              <w:rPr>
                <w:b w:val="0"/>
                <w:bCs/>
              </w:rPr>
              <w:t>Issue</w:t>
            </w:r>
          </w:p>
        </w:tc>
        <w:tc>
          <w:tcPr>
            <w:tcW w:w="7892"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7B50D1" w14:paraId="1D25BD44" w14:textId="77777777" w:rsidTr="00621605">
        <w:tc>
          <w:tcPr>
            <w:tcW w:w="1124" w:type="dxa"/>
          </w:tcPr>
          <w:p w14:paraId="09409656" w14:textId="2F65BF42" w:rsidR="007B50D1" w:rsidRDefault="007B50D1" w:rsidP="007B50D1">
            <w:pPr>
              <w:spacing w:before="60" w:after="60"/>
            </w:pPr>
            <w:r w:rsidRPr="00865AE0">
              <w:t>9</w:t>
            </w:r>
          </w:p>
        </w:tc>
        <w:tc>
          <w:tcPr>
            <w:tcW w:w="7892" w:type="dxa"/>
          </w:tcPr>
          <w:p w14:paraId="0DD41B3D" w14:textId="6D672502" w:rsidR="007B50D1" w:rsidRDefault="007B50D1" w:rsidP="007B50D1">
            <w:pPr>
              <w:spacing w:before="60" w:after="60"/>
            </w:pPr>
            <w:r w:rsidRPr="00865AE0">
              <w:t>Guidance on inspection of arrangements and implementation of them revised. TIG moved to latest template.</w:t>
            </w:r>
          </w:p>
        </w:tc>
      </w:tr>
      <w:tr w:rsidR="007B50D1" w14:paraId="34466747" w14:textId="77777777" w:rsidTr="00621605">
        <w:tc>
          <w:tcPr>
            <w:tcW w:w="1124" w:type="dxa"/>
          </w:tcPr>
          <w:p w14:paraId="51E48732" w14:textId="776003A7" w:rsidR="007B50D1" w:rsidRPr="00865AE0" w:rsidRDefault="007B50D1" w:rsidP="007B50D1">
            <w:pPr>
              <w:spacing w:before="60" w:after="60"/>
            </w:pPr>
            <w:r>
              <w:t>9.1</w:t>
            </w:r>
          </w:p>
        </w:tc>
        <w:tc>
          <w:tcPr>
            <w:tcW w:w="7892" w:type="dxa"/>
          </w:tcPr>
          <w:p w14:paraId="47236780" w14:textId="463D572E" w:rsidR="007B50D1" w:rsidRPr="00865AE0" w:rsidRDefault="00062ED9" w:rsidP="007B50D1">
            <w:pPr>
              <w:spacing w:before="60" w:after="60"/>
            </w:pPr>
            <w:r>
              <w:t>TIG moved to the latest template and check of content</w:t>
            </w:r>
            <w:r w:rsidR="00084278">
              <w:t xml:space="preserve">. </w:t>
            </w:r>
            <w:r w:rsidR="00621605">
              <w:br/>
            </w:r>
            <w:r w:rsidR="00084278">
              <w:t>No significant changes to the guidance.</w:t>
            </w:r>
          </w:p>
        </w:tc>
      </w:tr>
      <w:tr w:rsidR="009B3B33" w14:paraId="403B11E3" w14:textId="77777777" w:rsidTr="00621605">
        <w:tc>
          <w:tcPr>
            <w:tcW w:w="1124" w:type="dxa"/>
          </w:tcPr>
          <w:p w14:paraId="2A1AA9B6" w14:textId="0FD27535" w:rsidR="009B3B33" w:rsidRDefault="009B3B33" w:rsidP="007B50D1">
            <w:pPr>
              <w:spacing w:before="60" w:after="60"/>
            </w:pPr>
            <w:r>
              <w:t>9.2</w:t>
            </w:r>
          </w:p>
        </w:tc>
        <w:tc>
          <w:tcPr>
            <w:tcW w:w="7892" w:type="dxa"/>
          </w:tcPr>
          <w:p w14:paraId="5BED78AB" w14:textId="68CEF963" w:rsidR="009B3B33" w:rsidRDefault="001828D5" w:rsidP="007B50D1">
            <w:pPr>
              <w:spacing w:before="60" w:after="60"/>
            </w:pPr>
            <w:r>
              <w:t>Error corrected in reproducing the LC and its clauses in section 2 of this guidance</w:t>
            </w:r>
            <w:r w:rsidR="00400CB3">
              <w:t>.</w:t>
            </w:r>
          </w:p>
        </w:tc>
      </w:tr>
    </w:tbl>
    <w:p w14:paraId="5AB38FA4" w14:textId="77777777" w:rsidR="00084ABE" w:rsidRDefault="00084ABE" w:rsidP="002042C2">
      <w:pPr>
        <w:rPr>
          <w:b/>
          <w:bCs/>
          <w:sz w:val="20"/>
          <w:szCs w:val="18"/>
        </w:rPr>
      </w:pPr>
    </w:p>
    <w:p w14:paraId="17669631" w14:textId="5BB8C6E8" w:rsidR="00930E37" w:rsidRPr="002042C2" w:rsidRDefault="00084ABE" w:rsidP="002042C2">
      <w:r w:rsidRPr="00084ABE">
        <w:rPr>
          <w:b/>
          <w:bCs/>
          <w:sz w:val="20"/>
          <w:szCs w:val="18"/>
        </w:rPr>
        <w:t>Template reference</w:t>
      </w:r>
      <w:r w:rsidRPr="00084ABE">
        <w:rPr>
          <w:sz w:val="20"/>
          <w:szCs w:val="18"/>
        </w:rPr>
        <w:t>: ONR-DOC-TEMP-003</w:t>
      </w:r>
      <w:r>
        <w:tab/>
      </w:r>
    </w:p>
    <w:sectPr w:rsidR="00930E37" w:rsidRPr="002042C2"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9E17D" w14:textId="77777777" w:rsidR="008E172C" w:rsidRDefault="008E172C" w:rsidP="007D199A">
      <w:pPr>
        <w:spacing w:after="0"/>
      </w:pPr>
      <w:r>
        <w:separator/>
      </w:r>
    </w:p>
    <w:p w14:paraId="289C3E18" w14:textId="77777777" w:rsidR="008E172C" w:rsidRDefault="008E172C"/>
  </w:endnote>
  <w:endnote w:type="continuationSeparator" w:id="0">
    <w:p w14:paraId="5F0D1C89" w14:textId="77777777" w:rsidR="008E172C" w:rsidRDefault="008E172C" w:rsidP="007D199A">
      <w:pPr>
        <w:spacing w:after="0"/>
      </w:pPr>
      <w:r>
        <w:continuationSeparator/>
      </w:r>
    </w:p>
    <w:p w14:paraId="150C904F" w14:textId="77777777" w:rsidR="008E172C" w:rsidRDefault="008E1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C1EE" w14:textId="77777777" w:rsidR="008E172C" w:rsidRPr="005E0344" w:rsidRDefault="008E172C" w:rsidP="005E0344">
      <w:pPr>
        <w:spacing w:after="120"/>
        <w:rPr>
          <w:color w:val="000000" w:themeColor="text2"/>
        </w:rPr>
      </w:pPr>
      <w:r w:rsidRPr="005E0344">
        <w:rPr>
          <w:color w:val="000000" w:themeColor="text2"/>
        </w:rPr>
        <w:separator/>
      </w:r>
    </w:p>
  </w:footnote>
  <w:footnote w:type="continuationSeparator" w:id="0">
    <w:p w14:paraId="35FA39F4" w14:textId="77777777" w:rsidR="008E172C" w:rsidRPr="005E0344" w:rsidRDefault="008E172C" w:rsidP="0090581D">
      <w:pPr>
        <w:spacing w:after="120"/>
        <w:rPr>
          <w:color w:val="000000" w:themeColor="text2"/>
        </w:rPr>
      </w:pPr>
      <w:r w:rsidRPr="005E0344">
        <w:rPr>
          <w:color w:val="000000" w:themeColor="text2"/>
        </w:rPr>
        <w:continuationSeparator/>
      </w:r>
    </w:p>
    <w:p w14:paraId="5B8E288B" w14:textId="77777777" w:rsidR="008E172C" w:rsidRDefault="008E172C"/>
  </w:footnote>
  <w:footnote w:type="continuationNotice" w:id="1">
    <w:p w14:paraId="28B62038" w14:textId="77777777" w:rsidR="008E172C" w:rsidRDefault="008E172C">
      <w:pPr>
        <w:spacing w:after="0"/>
      </w:pPr>
    </w:p>
    <w:p w14:paraId="6DFED9AF" w14:textId="77777777" w:rsidR="008E172C" w:rsidRDefault="008E17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C9B1ED9" w:rsidR="00177666" w:rsidRPr="00196ADB" w:rsidRDefault="008E172C"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05EFE">
          <w:rPr>
            <w:sz w:val="20"/>
            <w:szCs w:val="24"/>
          </w:rPr>
          <w:t>LC 28 – Examination, Inspection, Maintenance and Testing (EIMT)</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0CB3">
          <w:rPr>
            <w:sz w:val="20"/>
            <w:szCs w:val="24"/>
          </w:rPr>
          <w:t>9.2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57875"/>
    <w:multiLevelType w:val="multilevel"/>
    <w:tmpl w:val="0742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225036"/>
    <w:multiLevelType w:val="hybridMultilevel"/>
    <w:tmpl w:val="001224F2"/>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D35E473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10E5F"/>
    <w:multiLevelType w:val="hybridMultilevel"/>
    <w:tmpl w:val="1A72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70736F"/>
    <w:multiLevelType w:val="hybridMultilevel"/>
    <w:tmpl w:val="7200D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F420B15"/>
    <w:multiLevelType w:val="hybridMultilevel"/>
    <w:tmpl w:val="9AF4F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1"/>
  </w:num>
  <w:num w:numId="12" w16cid:durableId="1085146277">
    <w:abstractNumId w:val="26"/>
  </w:num>
  <w:num w:numId="13" w16cid:durableId="989944809">
    <w:abstractNumId w:val="16"/>
  </w:num>
  <w:num w:numId="14" w16cid:durableId="1148547717">
    <w:abstractNumId w:val="12"/>
  </w:num>
  <w:num w:numId="15" w16cid:durableId="1619264317">
    <w:abstractNumId w:val="26"/>
    <w:lvlOverride w:ilvl="0">
      <w:startOverride w:val="1"/>
    </w:lvlOverride>
  </w:num>
  <w:num w:numId="16" w16cid:durableId="1717772705">
    <w:abstractNumId w:val="16"/>
    <w:lvlOverride w:ilvl="0">
      <w:startOverride w:val="1"/>
    </w:lvlOverride>
  </w:num>
  <w:num w:numId="17" w16cid:durableId="1421370352">
    <w:abstractNumId w:val="12"/>
    <w:lvlOverride w:ilvl="0">
      <w:startOverride w:val="1"/>
    </w:lvlOverride>
  </w:num>
  <w:num w:numId="18" w16cid:durableId="802893121">
    <w:abstractNumId w:val="25"/>
  </w:num>
  <w:num w:numId="19" w16cid:durableId="1666081420">
    <w:abstractNumId w:val="20"/>
  </w:num>
  <w:num w:numId="20" w16cid:durableId="874538197">
    <w:abstractNumId w:val="14"/>
  </w:num>
  <w:num w:numId="21" w16cid:durableId="2057311976">
    <w:abstractNumId w:val="21"/>
  </w:num>
  <w:num w:numId="22" w16cid:durableId="689793726">
    <w:abstractNumId w:val="13"/>
  </w:num>
  <w:num w:numId="23" w16cid:durableId="48653822">
    <w:abstractNumId w:val="27"/>
  </w:num>
  <w:num w:numId="24" w16cid:durableId="1603800266">
    <w:abstractNumId w:val="18"/>
  </w:num>
  <w:num w:numId="25" w16cid:durableId="1864591591">
    <w:abstractNumId w:val="17"/>
  </w:num>
  <w:num w:numId="26" w16cid:durableId="832574242">
    <w:abstractNumId w:val="23"/>
  </w:num>
  <w:num w:numId="27" w16cid:durableId="1391732823">
    <w:abstractNumId w:val="17"/>
    <w:lvlOverride w:ilvl="0">
      <w:startOverride w:val="1"/>
    </w:lvlOverride>
  </w:num>
  <w:num w:numId="28" w16cid:durableId="1996372157">
    <w:abstractNumId w:val="24"/>
  </w:num>
  <w:num w:numId="29" w16cid:durableId="6557692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9178093">
    <w:abstractNumId w:val="19"/>
  </w:num>
  <w:num w:numId="31" w16cid:durableId="1568417243">
    <w:abstractNumId w:val="15"/>
  </w:num>
  <w:num w:numId="32" w16cid:durableId="1304653065">
    <w:abstractNumId w:val="22"/>
  </w:num>
  <w:num w:numId="33" w16cid:durableId="604385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016F"/>
    <w:rsid w:val="00011177"/>
    <w:rsid w:val="00012BCF"/>
    <w:rsid w:val="00014814"/>
    <w:rsid w:val="00022033"/>
    <w:rsid w:val="00024522"/>
    <w:rsid w:val="00024A20"/>
    <w:rsid w:val="00024B2E"/>
    <w:rsid w:val="00027F4F"/>
    <w:rsid w:val="00030430"/>
    <w:rsid w:val="0003078E"/>
    <w:rsid w:val="00031706"/>
    <w:rsid w:val="00031B89"/>
    <w:rsid w:val="0003693D"/>
    <w:rsid w:val="00036B35"/>
    <w:rsid w:val="0004440F"/>
    <w:rsid w:val="00052C8A"/>
    <w:rsid w:val="000548C8"/>
    <w:rsid w:val="00055850"/>
    <w:rsid w:val="00062D23"/>
    <w:rsid w:val="00062ED9"/>
    <w:rsid w:val="00064A1B"/>
    <w:rsid w:val="00075605"/>
    <w:rsid w:val="00075C66"/>
    <w:rsid w:val="00080F94"/>
    <w:rsid w:val="000817D4"/>
    <w:rsid w:val="000825F3"/>
    <w:rsid w:val="00082879"/>
    <w:rsid w:val="0008352C"/>
    <w:rsid w:val="00084278"/>
    <w:rsid w:val="00084ABE"/>
    <w:rsid w:val="00091EEA"/>
    <w:rsid w:val="0009225F"/>
    <w:rsid w:val="000A105C"/>
    <w:rsid w:val="000A117B"/>
    <w:rsid w:val="000A639D"/>
    <w:rsid w:val="000C2DDC"/>
    <w:rsid w:val="000C5F5A"/>
    <w:rsid w:val="000D06EA"/>
    <w:rsid w:val="000D2FD4"/>
    <w:rsid w:val="000D3232"/>
    <w:rsid w:val="000D6C9C"/>
    <w:rsid w:val="000F1B7B"/>
    <w:rsid w:val="000F2ED4"/>
    <w:rsid w:val="001028E8"/>
    <w:rsid w:val="00103043"/>
    <w:rsid w:val="00122FCC"/>
    <w:rsid w:val="00124C2B"/>
    <w:rsid w:val="00126752"/>
    <w:rsid w:val="00130B30"/>
    <w:rsid w:val="001358F6"/>
    <w:rsid w:val="00140E1C"/>
    <w:rsid w:val="001445DE"/>
    <w:rsid w:val="00147909"/>
    <w:rsid w:val="00147AE4"/>
    <w:rsid w:val="00150348"/>
    <w:rsid w:val="001571E5"/>
    <w:rsid w:val="00174B07"/>
    <w:rsid w:val="00176DB5"/>
    <w:rsid w:val="00177666"/>
    <w:rsid w:val="001828D5"/>
    <w:rsid w:val="00184125"/>
    <w:rsid w:val="001849CA"/>
    <w:rsid w:val="00185410"/>
    <w:rsid w:val="00192352"/>
    <w:rsid w:val="00196ADB"/>
    <w:rsid w:val="001A7FC0"/>
    <w:rsid w:val="001B4D5A"/>
    <w:rsid w:val="001C4D63"/>
    <w:rsid w:val="001D0DE0"/>
    <w:rsid w:val="001D5AFF"/>
    <w:rsid w:val="001D74B4"/>
    <w:rsid w:val="001E03E1"/>
    <w:rsid w:val="001E0D83"/>
    <w:rsid w:val="001E356E"/>
    <w:rsid w:val="001F059F"/>
    <w:rsid w:val="00200811"/>
    <w:rsid w:val="00200CA1"/>
    <w:rsid w:val="002042C2"/>
    <w:rsid w:val="00204BD9"/>
    <w:rsid w:val="00210F4F"/>
    <w:rsid w:val="0021338D"/>
    <w:rsid w:val="00214D43"/>
    <w:rsid w:val="00223090"/>
    <w:rsid w:val="002238B4"/>
    <w:rsid w:val="002319AB"/>
    <w:rsid w:val="002319AC"/>
    <w:rsid w:val="00234342"/>
    <w:rsid w:val="0024040D"/>
    <w:rsid w:val="00251CD7"/>
    <w:rsid w:val="0025248E"/>
    <w:rsid w:val="00255FA3"/>
    <w:rsid w:val="00257288"/>
    <w:rsid w:val="0026065B"/>
    <w:rsid w:val="00261FB6"/>
    <w:rsid w:val="002628D1"/>
    <w:rsid w:val="002629F8"/>
    <w:rsid w:val="00263396"/>
    <w:rsid w:val="002659FA"/>
    <w:rsid w:val="00267815"/>
    <w:rsid w:val="00272307"/>
    <w:rsid w:val="00280DDF"/>
    <w:rsid w:val="002917FF"/>
    <w:rsid w:val="00292ADF"/>
    <w:rsid w:val="00296DBB"/>
    <w:rsid w:val="002A0DEC"/>
    <w:rsid w:val="002A409A"/>
    <w:rsid w:val="002B1C53"/>
    <w:rsid w:val="002B6666"/>
    <w:rsid w:val="002C0E88"/>
    <w:rsid w:val="002C1962"/>
    <w:rsid w:val="002D3F81"/>
    <w:rsid w:val="002E0BE4"/>
    <w:rsid w:val="002E3B58"/>
    <w:rsid w:val="002E3E8A"/>
    <w:rsid w:val="002E6A6A"/>
    <w:rsid w:val="002F0035"/>
    <w:rsid w:val="002F10A0"/>
    <w:rsid w:val="002F3397"/>
    <w:rsid w:val="002F58C4"/>
    <w:rsid w:val="002F7722"/>
    <w:rsid w:val="0030380D"/>
    <w:rsid w:val="00312411"/>
    <w:rsid w:val="00317EC3"/>
    <w:rsid w:val="003236D2"/>
    <w:rsid w:val="00323E71"/>
    <w:rsid w:val="00326F77"/>
    <w:rsid w:val="003401B0"/>
    <w:rsid w:val="00345D54"/>
    <w:rsid w:val="00346C8E"/>
    <w:rsid w:val="00367B30"/>
    <w:rsid w:val="00367BD5"/>
    <w:rsid w:val="00382542"/>
    <w:rsid w:val="00390327"/>
    <w:rsid w:val="00393B78"/>
    <w:rsid w:val="003A01E9"/>
    <w:rsid w:val="003A7FCB"/>
    <w:rsid w:val="003B0C9A"/>
    <w:rsid w:val="003B41B0"/>
    <w:rsid w:val="003C0306"/>
    <w:rsid w:val="003C114C"/>
    <w:rsid w:val="003C465D"/>
    <w:rsid w:val="003D038B"/>
    <w:rsid w:val="003D0718"/>
    <w:rsid w:val="003D495D"/>
    <w:rsid w:val="003D5793"/>
    <w:rsid w:val="003E098E"/>
    <w:rsid w:val="003E2FAE"/>
    <w:rsid w:val="003E56EC"/>
    <w:rsid w:val="00400CB3"/>
    <w:rsid w:val="00407CF7"/>
    <w:rsid w:val="00415ED6"/>
    <w:rsid w:val="00416431"/>
    <w:rsid w:val="00417CAF"/>
    <w:rsid w:val="00420A11"/>
    <w:rsid w:val="00422265"/>
    <w:rsid w:val="004373A7"/>
    <w:rsid w:val="00437D94"/>
    <w:rsid w:val="00437E65"/>
    <w:rsid w:val="0044030C"/>
    <w:rsid w:val="0045640C"/>
    <w:rsid w:val="004648A4"/>
    <w:rsid w:val="00471380"/>
    <w:rsid w:val="0049069A"/>
    <w:rsid w:val="00494F0D"/>
    <w:rsid w:val="00496BFD"/>
    <w:rsid w:val="004A3DF2"/>
    <w:rsid w:val="004C361D"/>
    <w:rsid w:val="004C4891"/>
    <w:rsid w:val="004D2C89"/>
    <w:rsid w:val="004D7307"/>
    <w:rsid w:val="004E3932"/>
    <w:rsid w:val="004F1E79"/>
    <w:rsid w:val="004F5F33"/>
    <w:rsid w:val="0050103A"/>
    <w:rsid w:val="00511B0F"/>
    <w:rsid w:val="00551C37"/>
    <w:rsid w:val="0055388E"/>
    <w:rsid w:val="005754AE"/>
    <w:rsid w:val="00577FB5"/>
    <w:rsid w:val="005838D5"/>
    <w:rsid w:val="005852D1"/>
    <w:rsid w:val="00587A22"/>
    <w:rsid w:val="0059299D"/>
    <w:rsid w:val="00595C8C"/>
    <w:rsid w:val="00597747"/>
    <w:rsid w:val="005A49B8"/>
    <w:rsid w:val="005A4CDD"/>
    <w:rsid w:val="005B57E4"/>
    <w:rsid w:val="005B5ABD"/>
    <w:rsid w:val="005C140A"/>
    <w:rsid w:val="005C1E52"/>
    <w:rsid w:val="005C3367"/>
    <w:rsid w:val="005C5D37"/>
    <w:rsid w:val="005C6763"/>
    <w:rsid w:val="005D3164"/>
    <w:rsid w:val="005E0344"/>
    <w:rsid w:val="005E2228"/>
    <w:rsid w:val="005E440B"/>
    <w:rsid w:val="005F2C85"/>
    <w:rsid w:val="00605ADB"/>
    <w:rsid w:val="00611C9F"/>
    <w:rsid w:val="00621605"/>
    <w:rsid w:val="006248DE"/>
    <w:rsid w:val="00627555"/>
    <w:rsid w:val="00630E83"/>
    <w:rsid w:val="006322A0"/>
    <w:rsid w:val="006361FD"/>
    <w:rsid w:val="0064226F"/>
    <w:rsid w:val="00642DDB"/>
    <w:rsid w:val="00646882"/>
    <w:rsid w:val="00653298"/>
    <w:rsid w:val="006540E3"/>
    <w:rsid w:val="006629A3"/>
    <w:rsid w:val="00663A7C"/>
    <w:rsid w:val="006662FD"/>
    <w:rsid w:val="00667DF2"/>
    <w:rsid w:val="00670DF1"/>
    <w:rsid w:val="00671345"/>
    <w:rsid w:val="00672A9B"/>
    <w:rsid w:val="006748D5"/>
    <w:rsid w:val="00675884"/>
    <w:rsid w:val="00676845"/>
    <w:rsid w:val="00684928"/>
    <w:rsid w:val="00696EE0"/>
    <w:rsid w:val="00697980"/>
    <w:rsid w:val="006A0D70"/>
    <w:rsid w:val="006A19EF"/>
    <w:rsid w:val="006A43D5"/>
    <w:rsid w:val="006A525B"/>
    <w:rsid w:val="006A53EF"/>
    <w:rsid w:val="006B3571"/>
    <w:rsid w:val="006C045F"/>
    <w:rsid w:val="006C0679"/>
    <w:rsid w:val="006C4196"/>
    <w:rsid w:val="006C63B0"/>
    <w:rsid w:val="006C76A2"/>
    <w:rsid w:val="006C792E"/>
    <w:rsid w:val="006D0858"/>
    <w:rsid w:val="006D116C"/>
    <w:rsid w:val="006D21D5"/>
    <w:rsid w:val="006E7C42"/>
    <w:rsid w:val="006F168A"/>
    <w:rsid w:val="006F5076"/>
    <w:rsid w:val="006F6009"/>
    <w:rsid w:val="006F6514"/>
    <w:rsid w:val="006F7E5F"/>
    <w:rsid w:val="0070321D"/>
    <w:rsid w:val="007068BA"/>
    <w:rsid w:val="00707930"/>
    <w:rsid w:val="00716AB1"/>
    <w:rsid w:val="00721049"/>
    <w:rsid w:val="00721D63"/>
    <w:rsid w:val="00723B63"/>
    <w:rsid w:val="00724B2B"/>
    <w:rsid w:val="00732C7B"/>
    <w:rsid w:val="00734D2B"/>
    <w:rsid w:val="00736B3D"/>
    <w:rsid w:val="00737705"/>
    <w:rsid w:val="007408D4"/>
    <w:rsid w:val="007420AC"/>
    <w:rsid w:val="00742617"/>
    <w:rsid w:val="0075727B"/>
    <w:rsid w:val="00760B99"/>
    <w:rsid w:val="00780EBF"/>
    <w:rsid w:val="00783AFA"/>
    <w:rsid w:val="00785427"/>
    <w:rsid w:val="00790540"/>
    <w:rsid w:val="007968CA"/>
    <w:rsid w:val="007A43FF"/>
    <w:rsid w:val="007A72FA"/>
    <w:rsid w:val="007A7B02"/>
    <w:rsid w:val="007B3918"/>
    <w:rsid w:val="007B50D1"/>
    <w:rsid w:val="007C3C1D"/>
    <w:rsid w:val="007C4E83"/>
    <w:rsid w:val="007D199A"/>
    <w:rsid w:val="007D2EBE"/>
    <w:rsid w:val="007E1C07"/>
    <w:rsid w:val="007F24B6"/>
    <w:rsid w:val="00803D94"/>
    <w:rsid w:val="00821337"/>
    <w:rsid w:val="008229BA"/>
    <w:rsid w:val="00824151"/>
    <w:rsid w:val="00845390"/>
    <w:rsid w:val="00845CA4"/>
    <w:rsid w:val="0084601B"/>
    <w:rsid w:val="008606F0"/>
    <w:rsid w:val="00865489"/>
    <w:rsid w:val="0086553D"/>
    <w:rsid w:val="00874FEB"/>
    <w:rsid w:val="00881B6F"/>
    <w:rsid w:val="00882AA4"/>
    <w:rsid w:val="00883E22"/>
    <w:rsid w:val="00884E43"/>
    <w:rsid w:val="00887EC6"/>
    <w:rsid w:val="0089084C"/>
    <w:rsid w:val="0089147C"/>
    <w:rsid w:val="00893409"/>
    <w:rsid w:val="00893D9F"/>
    <w:rsid w:val="008962CA"/>
    <w:rsid w:val="008A2379"/>
    <w:rsid w:val="008A312C"/>
    <w:rsid w:val="008A4329"/>
    <w:rsid w:val="008A578E"/>
    <w:rsid w:val="008B015A"/>
    <w:rsid w:val="008B1519"/>
    <w:rsid w:val="008B26BA"/>
    <w:rsid w:val="008B4B94"/>
    <w:rsid w:val="008B7BCC"/>
    <w:rsid w:val="008C0CA9"/>
    <w:rsid w:val="008C50C3"/>
    <w:rsid w:val="008C7094"/>
    <w:rsid w:val="008D2B97"/>
    <w:rsid w:val="008D4938"/>
    <w:rsid w:val="008D49A5"/>
    <w:rsid w:val="008D6C81"/>
    <w:rsid w:val="008E172C"/>
    <w:rsid w:val="008E6CF0"/>
    <w:rsid w:val="008F1439"/>
    <w:rsid w:val="008F5247"/>
    <w:rsid w:val="008F6B70"/>
    <w:rsid w:val="008F7051"/>
    <w:rsid w:val="00902597"/>
    <w:rsid w:val="009033A9"/>
    <w:rsid w:val="00904BA4"/>
    <w:rsid w:val="0090581D"/>
    <w:rsid w:val="0091439C"/>
    <w:rsid w:val="00920572"/>
    <w:rsid w:val="00920BF2"/>
    <w:rsid w:val="0092211B"/>
    <w:rsid w:val="00930E37"/>
    <w:rsid w:val="009349A9"/>
    <w:rsid w:val="00936C52"/>
    <w:rsid w:val="009436C1"/>
    <w:rsid w:val="0095489B"/>
    <w:rsid w:val="00963424"/>
    <w:rsid w:val="00966FB9"/>
    <w:rsid w:val="009671CD"/>
    <w:rsid w:val="00972936"/>
    <w:rsid w:val="009751A9"/>
    <w:rsid w:val="00980F9C"/>
    <w:rsid w:val="0098632B"/>
    <w:rsid w:val="00993B60"/>
    <w:rsid w:val="00996B60"/>
    <w:rsid w:val="00997BFB"/>
    <w:rsid w:val="009A1465"/>
    <w:rsid w:val="009A3F69"/>
    <w:rsid w:val="009A7348"/>
    <w:rsid w:val="009B3B33"/>
    <w:rsid w:val="009B462C"/>
    <w:rsid w:val="009C15F3"/>
    <w:rsid w:val="009C3689"/>
    <w:rsid w:val="009E07C2"/>
    <w:rsid w:val="009E0E52"/>
    <w:rsid w:val="009F6ABE"/>
    <w:rsid w:val="009F72F9"/>
    <w:rsid w:val="00A00205"/>
    <w:rsid w:val="00A00AF0"/>
    <w:rsid w:val="00A04511"/>
    <w:rsid w:val="00A14B5A"/>
    <w:rsid w:val="00A22965"/>
    <w:rsid w:val="00A3375F"/>
    <w:rsid w:val="00A3567F"/>
    <w:rsid w:val="00A37698"/>
    <w:rsid w:val="00A41ED3"/>
    <w:rsid w:val="00A81D82"/>
    <w:rsid w:val="00A82210"/>
    <w:rsid w:val="00A87D44"/>
    <w:rsid w:val="00A9118F"/>
    <w:rsid w:val="00A93E33"/>
    <w:rsid w:val="00AA0B69"/>
    <w:rsid w:val="00AA2A1B"/>
    <w:rsid w:val="00AB3129"/>
    <w:rsid w:val="00AB4C23"/>
    <w:rsid w:val="00AB6970"/>
    <w:rsid w:val="00AB7B61"/>
    <w:rsid w:val="00AC1939"/>
    <w:rsid w:val="00AC7C05"/>
    <w:rsid w:val="00AD167C"/>
    <w:rsid w:val="00AD17C7"/>
    <w:rsid w:val="00AD4041"/>
    <w:rsid w:val="00AE302B"/>
    <w:rsid w:val="00AE3A51"/>
    <w:rsid w:val="00AE596F"/>
    <w:rsid w:val="00B001C9"/>
    <w:rsid w:val="00B0248D"/>
    <w:rsid w:val="00B16BE5"/>
    <w:rsid w:val="00B1769C"/>
    <w:rsid w:val="00B23A5E"/>
    <w:rsid w:val="00B257ED"/>
    <w:rsid w:val="00B259DF"/>
    <w:rsid w:val="00B44B1F"/>
    <w:rsid w:val="00B46689"/>
    <w:rsid w:val="00B603DB"/>
    <w:rsid w:val="00B6357F"/>
    <w:rsid w:val="00B64141"/>
    <w:rsid w:val="00B64E72"/>
    <w:rsid w:val="00B77913"/>
    <w:rsid w:val="00B824FB"/>
    <w:rsid w:val="00B82646"/>
    <w:rsid w:val="00B875F8"/>
    <w:rsid w:val="00B90AAB"/>
    <w:rsid w:val="00B922B5"/>
    <w:rsid w:val="00B94D92"/>
    <w:rsid w:val="00B97359"/>
    <w:rsid w:val="00B97A8F"/>
    <w:rsid w:val="00BA4E58"/>
    <w:rsid w:val="00BA7074"/>
    <w:rsid w:val="00BB7829"/>
    <w:rsid w:val="00BC0C32"/>
    <w:rsid w:val="00BC698D"/>
    <w:rsid w:val="00BD1457"/>
    <w:rsid w:val="00BD7E63"/>
    <w:rsid w:val="00BE2AD9"/>
    <w:rsid w:val="00BE662E"/>
    <w:rsid w:val="00BE6959"/>
    <w:rsid w:val="00BF27FE"/>
    <w:rsid w:val="00BF4F08"/>
    <w:rsid w:val="00C043B3"/>
    <w:rsid w:val="00C043FC"/>
    <w:rsid w:val="00C05EFE"/>
    <w:rsid w:val="00C079AB"/>
    <w:rsid w:val="00C10E61"/>
    <w:rsid w:val="00C14787"/>
    <w:rsid w:val="00C1596D"/>
    <w:rsid w:val="00C15B8D"/>
    <w:rsid w:val="00C17010"/>
    <w:rsid w:val="00C20562"/>
    <w:rsid w:val="00C215C3"/>
    <w:rsid w:val="00C23A96"/>
    <w:rsid w:val="00C249C6"/>
    <w:rsid w:val="00C31985"/>
    <w:rsid w:val="00C32CC1"/>
    <w:rsid w:val="00C426EC"/>
    <w:rsid w:val="00C6483C"/>
    <w:rsid w:val="00C64AE9"/>
    <w:rsid w:val="00C70BC5"/>
    <w:rsid w:val="00C70CFF"/>
    <w:rsid w:val="00C718FE"/>
    <w:rsid w:val="00C86CEC"/>
    <w:rsid w:val="00C8773D"/>
    <w:rsid w:val="00C87ABB"/>
    <w:rsid w:val="00C91831"/>
    <w:rsid w:val="00C953DF"/>
    <w:rsid w:val="00C95D92"/>
    <w:rsid w:val="00C963E6"/>
    <w:rsid w:val="00CB6626"/>
    <w:rsid w:val="00CB6A44"/>
    <w:rsid w:val="00CB7248"/>
    <w:rsid w:val="00CC454B"/>
    <w:rsid w:val="00CD5401"/>
    <w:rsid w:val="00CD6914"/>
    <w:rsid w:val="00CE2709"/>
    <w:rsid w:val="00CE2D64"/>
    <w:rsid w:val="00CE5624"/>
    <w:rsid w:val="00CE6198"/>
    <w:rsid w:val="00CE6CD6"/>
    <w:rsid w:val="00CF6230"/>
    <w:rsid w:val="00D015BC"/>
    <w:rsid w:val="00D017FC"/>
    <w:rsid w:val="00D0226A"/>
    <w:rsid w:val="00D12061"/>
    <w:rsid w:val="00D13147"/>
    <w:rsid w:val="00D21767"/>
    <w:rsid w:val="00D34B7A"/>
    <w:rsid w:val="00D43235"/>
    <w:rsid w:val="00D43D83"/>
    <w:rsid w:val="00D463FF"/>
    <w:rsid w:val="00D46FD2"/>
    <w:rsid w:val="00D5715A"/>
    <w:rsid w:val="00D60BCB"/>
    <w:rsid w:val="00D638E2"/>
    <w:rsid w:val="00D63F8F"/>
    <w:rsid w:val="00D6524C"/>
    <w:rsid w:val="00D71687"/>
    <w:rsid w:val="00D72BC2"/>
    <w:rsid w:val="00D74813"/>
    <w:rsid w:val="00D85CC5"/>
    <w:rsid w:val="00DA30BC"/>
    <w:rsid w:val="00DA69C2"/>
    <w:rsid w:val="00DA6D70"/>
    <w:rsid w:val="00DB6050"/>
    <w:rsid w:val="00DC2C34"/>
    <w:rsid w:val="00DE2C87"/>
    <w:rsid w:val="00DE459A"/>
    <w:rsid w:val="00DF27DA"/>
    <w:rsid w:val="00DF4DBE"/>
    <w:rsid w:val="00DF6B98"/>
    <w:rsid w:val="00E40820"/>
    <w:rsid w:val="00E4658F"/>
    <w:rsid w:val="00E47BDA"/>
    <w:rsid w:val="00E54A67"/>
    <w:rsid w:val="00E607CD"/>
    <w:rsid w:val="00E61C0D"/>
    <w:rsid w:val="00E63EB4"/>
    <w:rsid w:val="00E66160"/>
    <w:rsid w:val="00E71329"/>
    <w:rsid w:val="00E7206B"/>
    <w:rsid w:val="00E74FE0"/>
    <w:rsid w:val="00E756C2"/>
    <w:rsid w:val="00E8363B"/>
    <w:rsid w:val="00E84966"/>
    <w:rsid w:val="00E876EE"/>
    <w:rsid w:val="00E92383"/>
    <w:rsid w:val="00E923CD"/>
    <w:rsid w:val="00E94168"/>
    <w:rsid w:val="00E9680D"/>
    <w:rsid w:val="00EA1B3A"/>
    <w:rsid w:val="00EA2109"/>
    <w:rsid w:val="00EA66FA"/>
    <w:rsid w:val="00EB057A"/>
    <w:rsid w:val="00EB6ECB"/>
    <w:rsid w:val="00EC3B10"/>
    <w:rsid w:val="00ED4D4E"/>
    <w:rsid w:val="00EE0C77"/>
    <w:rsid w:val="00EE4E54"/>
    <w:rsid w:val="00EF4334"/>
    <w:rsid w:val="00F03881"/>
    <w:rsid w:val="00F2162A"/>
    <w:rsid w:val="00F425A7"/>
    <w:rsid w:val="00F436BB"/>
    <w:rsid w:val="00F462D1"/>
    <w:rsid w:val="00F47145"/>
    <w:rsid w:val="00F545BF"/>
    <w:rsid w:val="00F71B56"/>
    <w:rsid w:val="00F832C8"/>
    <w:rsid w:val="00F83BE5"/>
    <w:rsid w:val="00F873B3"/>
    <w:rsid w:val="00FA00BE"/>
    <w:rsid w:val="00FA33FE"/>
    <w:rsid w:val="00FA42B9"/>
    <w:rsid w:val="00FA755A"/>
    <w:rsid w:val="00FB2B0F"/>
    <w:rsid w:val="00FB4F6B"/>
    <w:rsid w:val="00FB5FE1"/>
    <w:rsid w:val="00FC079A"/>
    <w:rsid w:val="00FC0E8D"/>
    <w:rsid w:val="00FC46EF"/>
    <w:rsid w:val="00FD31B3"/>
    <w:rsid w:val="00FD4204"/>
    <w:rsid w:val="00FD69F7"/>
    <w:rsid w:val="00FE17B9"/>
    <w:rsid w:val="00FE5C5D"/>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normaltextrun">
    <w:name w:val="normaltextrun"/>
    <w:basedOn w:val="DefaultParagraphFont"/>
    <w:rsid w:val="00AA2A1B"/>
  </w:style>
  <w:style w:type="character" w:styleId="Emphasis">
    <w:name w:val="Emphasis"/>
    <w:basedOn w:val="DefaultParagraphFont"/>
    <w:uiPriority w:val="20"/>
    <w:qFormat/>
    <w:rsid w:val="00EC3B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222">
      <w:bodyDiv w:val="1"/>
      <w:marLeft w:val="0"/>
      <w:marRight w:val="0"/>
      <w:marTop w:val="0"/>
      <w:marBottom w:val="0"/>
      <w:divBdr>
        <w:top w:val="none" w:sz="0" w:space="0" w:color="auto"/>
        <w:left w:val="none" w:sz="0" w:space="0" w:color="auto"/>
        <w:bottom w:val="none" w:sz="0" w:space="0" w:color="auto"/>
        <w:right w:val="none" w:sz="0" w:space="0" w:color="auto"/>
      </w:divBdr>
    </w:div>
    <w:div w:id="3632815">
      <w:bodyDiv w:val="1"/>
      <w:marLeft w:val="0"/>
      <w:marRight w:val="0"/>
      <w:marTop w:val="0"/>
      <w:marBottom w:val="0"/>
      <w:divBdr>
        <w:top w:val="none" w:sz="0" w:space="0" w:color="auto"/>
        <w:left w:val="none" w:sz="0" w:space="0" w:color="auto"/>
        <w:bottom w:val="none" w:sz="0" w:space="0" w:color="auto"/>
        <w:right w:val="none" w:sz="0" w:space="0" w:color="auto"/>
      </w:divBdr>
    </w:div>
    <w:div w:id="9455441">
      <w:bodyDiv w:val="1"/>
      <w:marLeft w:val="0"/>
      <w:marRight w:val="0"/>
      <w:marTop w:val="0"/>
      <w:marBottom w:val="0"/>
      <w:divBdr>
        <w:top w:val="none" w:sz="0" w:space="0" w:color="auto"/>
        <w:left w:val="none" w:sz="0" w:space="0" w:color="auto"/>
        <w:bottom w:val="none" w:sz="0" w:space="0" w:color="auto"/>
        <w:right w:val="none" w:sz="0" w:space="0" w:color="auto"/>
      </w:divBdr>
    </w:div>
    <w:div w:id="16466766">
      <w:bodyDiv w:val="1"/>
      <w:marLeft w:val="0"/>
      <w:marRight w:val="0"/>
      <w:marTop w:val="0"/>
      <w:marBottom w:val="0"/>
      <w:divBdr>
        <w:top w:val="none" w:sz="0" w:space="0" w:color="auto"/>
        <w:left w:val="none" w:sz="0" w:space="0" w:color="auto"/>
        <w:bottom w:val="none" w:sz="0" w:space="0" w:color="auto"/>
        <w:right w:val="none" w:sz="0" w:space="0" w:color="auto"/>
      </w:divBdr>
    </w:div>
    <w:div w:id="30082736">
      <w:bodyDiv w:val="1"/>
      <w:marLeft w:val="0"/>
      <w:marRight w:val="0"/>
      <w:marTop w:val="0"/>
      <w:marBottom w:val="0"/>
      <w:divBdr>
        <w:top w:val="none" w:sz="0" w:space="0" w:color="auto"/>
        <w:left w:val="none" w:sz="0" w:space="0" w:color="auto"/>
        <w:bottom w:val="none" w:sz="0" w:space="0" w:color="auto"/>
        <w:right w:val="none" w:sz="0" w:space="0" w:color="auto"/>
      </w:divBdr>
    </w:div>
    <w:div w:id="47345266">
      <w:bodyDiv w:val="1"/>
      <w:marLeft w:val="0"/>
      <w:marRight w:val="0"/>
      <w:marTop w:val="0"/>
      <w:marBottom w:val="0"/>
      <w:divBdr>
        <w:top w:val="none" w:sz="0" w:space="0" w:color="auto"/>
        <w:left w:val="none" w:sz="0" w:space="0" w:color="auto"/>
        <w:bottom w:val="none" w:sz="0" w:space="0" w:color="auto"/>
        <w:right w:val="none" w:sz="0" w:space="0" w:color="auto"/>
      </w:divBdr>
    </w:div>
    <w:div w:id="61802363">
      <w:bodyDiv w:val="1"/>
      <w:marLeft w:val="0"/>
      <w:marRight w:val="0"/>
      <w:marTop w:val="0"/>
      <w:marBottom w:val="0"/>
      <w:divBdr>
        <w:top w:val="none" w:sz="0" w:space="0" w:color="auto"/>
        <w:left w:val="none" w:sz="0" w:space="0" w:color="auto"/>
        <w:bottom w:val="none" w:sz="0" w:space="0" w:color="auto"/>
        <w:right w:val="none" w:sz="0" w:space="0" w:color="auto"/>
      </w:divBdr>
    </w:div>
    <w:div w:id="70392926">
      <w:bodyDiv w:val="1"/>
      <w:marLeft w:val="0"/>
      <w:marRight w:val="0"/>
      <w:marTop w:val="0"/>
      <w:marBottom w:val="0"/>
      <w:divBdr>
        <w:top w:val="none" w:sz="0" w:space="0" w:color="auto"/>
        <w:left w:val="none" w:sz="0" w:space="0" w:color="auto"/>
        <w:bottom w:val="none" w:sz="0" w:space="0" w:color="auto"/>
        <w:right w:val="none" w:sz="0" w:space="0" w:color="auto"/>
      </w:divBdr>
    </w:div>
    <w:div w:id="72555395">
      <w:bodyDiv w:val="1"/>
      <w:marLeft w:val="0"/>
      <w:marRight w:val="0"/>
      <w:marTop w:val="0"/>
      <w:marBottom w:val="0"/>
      <w:divBdr>
        <w:top w:val="none" w:sz="0" w:space="0" w:color="auto"/>
        <w:left w:val="none" w:sz="0" w:space="0" w:color="auto"/>
        <w:bottom w:val="none" w:sz="0" w:space="0" w:color="auto"/>
        <w:right w:val="none" w:sz="0" w:space="0" w:color="auto"/>
      </w:divBdr>
    </w:div>
    <w:div w:id="8061317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2097532">
      <w:bodyDiv w:val="1"/>
      <w:marLeft w:val="0"/>
      <w:marRight w:val="0"/>
      <w:marTop w:val="0"/>
      <w:marBottom w:val="0"/>
      <w:divBdr>
        <w:top w:val="none" w:sz="0" w:space="0" w:color="auto"/>
        <w:left w:val="none" w:sz="0" w:space="0" w:color="auto"/>
        <w:bottom w:val="none" w:sz="0" w:space="0" w:color="auto"/>
        <w:right w:val="none" w:sz="0" w:space="0" w:color="auto"/>
      </w:divBdr>
    </w:div>
    <w:div w:id="116489998">
      <w:bodyDiv w:val="1"/>
      <w:marLeft w:val="0"/>
      <w:marRight w:val="0"/>
      <w:marTop w:val="0"/>
      <w:marBottom w:val="0"/>
      <w:divBdr>
        <w:top w:val="none" w:sz="0" w:space="0" w:color="auto"/>
        <w:left w:val="none" w:sz="0" w:space="0" w:color="auto"/>
        <w:bottom w:val="none" w:sz="0" w:space="0" w:color="auto"/>
        <w:right w:val="none" w:sz="0" w:space="0" w:color="auto"/>
      </w:divBdr>
    </w:div>
    <w:div w:id="122115912">
      <w:bodyDiv w:val="1"/>
      <w:marLeft w:val="0"/>
      <w:marRight w:val="0"/>
      <w:marTop w:val="0"/>
      <w:marBottom w:val="0"/>
      <w:divBdr>
        <w:top w:val="none" w:sz="0" w:space="0" w:color="auto"/>
        <w:left w:val="none" w:sz="0" w:space="0" w:color="auto"/>
        <w:bottom w:val="none" w:sz="0" w:space="0" w:color="auto"/>
        <w:right w:val="none" w:sz="0" w:space="0" w:color="auto"/>
      </w:divBdr>
    </w:div>
    <w:div w:id="125054333">
      <w:bodyDiv w:val="1"/>
      <w:marLeft w:val="0"/>
      <w:marRight w:val="0"/>
      <w:marTop w:val="0"/>
      <w:marBottom w:val="0"/>
      <w:divBdr>
        <w:top w:val="none" w:sz="0" w:space="0" w:color="auto"/>
        <w:left w:val="none" w:sz="0" w:space="0" w:color="auto"/>
        <w:bottom w:val="none" w:sz="0" w:space="0" w:color="auto"/>
        <w:right w:val="none" w:sz="0" w:space="0" w:color="auto"/>
      </w:divBdr>
    </w:div>
    <w:div w:id="128133590">
      <w:bodyDiv w:val="1"/>
      <w:marLeft w:val="0"/>
      <w:marRight w:val="0"/>
      <w:marTop w:val="0"/>
      <w:marBottom w:val="0"/>
      <w:divBdr>
        <w:top w:val="none" w:sz="0" w:space="0" w:color="auto"/>
        <w:left w:val="none" w:sz="0" w:space="0" w:color="auto"/>
        <w:bottom w:val="none" w:sz="0" w:space="0" w:color="auto"/>
        <w:right w:val="none" w:sz="0" w:space="0" w:color="auto"/>
      </w:divBdr>
    </w:div>
    <w:div w:id="133566551">
      <w:bodyDiv w:val="1"/>
      <w:marLeft w:val="0"/>
      <w:marRight w:val="0"/>
      <w:marTop w:val="0"/>
      <w:marBottom w:val="0"/>
      <w:divBdr>
        <w:top w:val="none" w:sz="0" w:space="0" w:color="auto"/>
        <w:left w:val="none" w:sz="0" w:space="0" w:color="auto"/>
        <w:bottom w:val="none" w:sz="0" w:space="0" w:color="auto"/>
        <w:right w:val="none" w:sz="0" w:space="0" w:color="auto"/>
      </w:divBdr>
    </w:div>
    <w:div w:id="138156353">
      <w:bodyDiv w:val="1"/>
      <w:marLeft w:val="0"/>
      <w:marRight w:val="0"/>
      <w:marTop w:val="0"/>
      <w:marBottom w:val="0"/>
      <w:divBdr>
        <w:top w:val="none" w:sz="0" w:space="0" w:color="auto"/>
        <w:left w:val="none" w:sz="0" w:space="0" w:color="auto"/>
        <w:bottom w:val="none" w:sz="0" w:space="0" w:color="auto"/>
        <w:right w:val="none" w:sz="0" w:space="0" w:color="auto"/>
      </w:divBdr>
    </w:div>
    <w:div w:id="139544526">
      <w:bodyDiv w:val="1"/>
      <w:marLeft w:val="0"/>
      <w:marRight w:val="0"/>
      <w:marTop w:val="0"/>
      <w:marBottom w:val="0"/>
      <w:divBdr>
        <w:top w:val="none" w:sz="0" w:space="0" w:color="auto"/>
        <w:left w:val="none" w:sz="0" w:space="0" w:color="auto"/>
        <w:bottom w:val="none" w:sz="0" w:space="0" w:color="auto"/>
        <w:right w:val="none" w:sz="0" w:space="0" w:color="auto"/>
      </w:divBdr>
    </w:div>
    <w:div w:id="144975689">
      <w:bodyDiv w:val="1"/>
      <w:marLeft w:val="0"/>
      <w:marRight w:val="0"/>
      <w:marTop w:val="0"/>
      <w:marBottom w:val="0"/>
      <w:divBdr>
        <w:top w:val="none" w:sz="0" w:space="0" w:color="auto"/>
        <w:left w:val="none" w:sz="0" w:space="0" w:color="auto"/>
        <w:bottom w:val="none" w:sz="0" w:space="0" w:color="auto"/>
        <w:right w:val="none" w:sz="0" w:space="0" w:color="auto"/>
      </w:divBdr>
    </w:div>
    <w:div w:id="170224071">
      <w:bodyDiv w:val="1"/>
      <w:marLeft w:val="0"/>
      <w:marRight w:val="0"/>
      <w:marTop w:val="0"/>
      <w:marBottom w:val="0"/>
      <w:divBdr>
        <w:top w:val="none" w:sz="0" w:space="0" w:color="auto"/>
        <w:left w:val="none" w:sz="0" w:space="0" w:color="auto"/>
        <w:bottom w:val="none" w:sz="0" w:space="0" w:color="auto"/>
        <w:right w:val="none" w:sz="0" w:space="0" w:color="auto"/>
      </w:divBdr>
    </w:div>
    <w:div w:id="173689564">
      <w:bodyDiv w:val="1"/>
      <w:marLeft w:val="0"/>
      <w:marRight w:val="0"/>
      <w:marTop w:val="0"/>
      <w:marBottom w:val="0"/>
      <w:divBdr>
        <w:top w:val="none" w:sz="0" w:space="0" w:color="auto"/>
        <w:left w:val="none" w:sz="0" w:space="0" w:color="auto"/>
        <w:bottom w:val="none" w:sz="0" w:space="0" w:color="auto"/>
        <w:right w:val="none" w:sz="0" w:space="0" w:color="auto"/>
      </w:divBdr>
    </w:div>
    <w:div w:id="175196976">
      <w:bodyDiv w:val="1"/>
      <w:marLeft w:val="0"/>
      <w:marRight w:val="0"/>
      <w:marTop w:val="0"/>
      <w:marBottom w:val="0"/>
      <w:divBdr>
        <w:top w:val="none" w:sz="0" w:space="0" w:color="auto"/>
        <w:left w:val="none" w:sz="0" w:space="0" w:color="auto"/>
        <w:bottom w:val="none" w:sz="0" w:space="0" w:color="auto"/>
        <w:right w:val="none" w:sz="0" w:space="0" w:color="auto"/>
      </w:divBdr>
    </w:div>
    <w:div w:id="178668844">
      <w:bodyDiv w:val="1"/>
      <w:marLeft w:val="0"/>
      <w:marRight w:val="0"/>
      <w:marTop w:val="0"/>
      <w:marBottom w:val="0"/>
      <w:divBdr>
        <w:top w:val="none" w:sz="0" w:space="0" w:color="auto"/>
        <w:left w:val="none" w:sz="0" w:space="0" w:color="auto"/>
        <w:bottom w:val="none" w:sz="0" w:space="0" w:color="auto"/>
        <w:right w:val="none" w:sz="0" w:space="0" w:color="auto"/>
      </w:divBdr>
    </w:div>
    <w:div w:id="188303023">
      <w:bodyDiv w:val="1"/>
      <w:marLeft w:val="0"/>
      <w:marRight w:val="0"/>
      <w:marTop w:val="0"/>
      <w:marBottom w:val="0"/>
      <w:divBdr>
        <w:top w:val="none" w:sz="0" w:space="0" w:color="auto"/>
        <w:left w:val="none" w:sz="0" w:space="0" w:color="auto"/>
        <w:bottom w:val="none" w:sz="0" w:space="0" w:color="auto"/>
        <w:right w:val="none" w:sz="0" w:space="0" w:color="auto"/>
      </w:divBdr>
    </w:div>
    <w:div w:id="199897687">
      <w:bodyDiv w:val="1"/>
      <w:marLeft w:val="0"/>
      <w:marRight w:val="0"/>
      <w:marTop w:val="0"/>
      <w:marBottom w:val="0"/>
      <w:divBdr>
        <w:top w:val="none" w:sz="0" w:space="0" w:color="auto"/>
        <w:left w:val="none" w:sz="0" w:space="0" w:color="auto"/>
        <w:bottom w:val="none" w:sz="0" w:space="0" w:color="auto"/>
        <w:right w:val="none" w:sz="0" w:space="0" w:color="auto"/>
      </w:divBdr>
    </w:div>
    <w:div w:id="20147627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4388122">
      <w:bodyDiv w:val="1"/>
      <w:marLeft w:val="0"/>
      <w:marRight w:val="0"/>
      <w:marTop w:val="0"/>
      <w:marBottom w:val="0"/>
      <w:divBdr>
        <w:top w:val="none" w:sz="0" w:space="0" w:color="auto"/>
        <w:left w:val="none" w:sz="0" w:space="0" w:color="auto"/>
        <w:bottom w:val="none" w:sz="0" w:space="0" w:color="auto"/>
        <w:right w:val="none" w:sz="0" w:space="0" w:color="auto"/>
      </w:divBdr>
    </w:div>
    <w:div w:id="233517802">
      <w:bodyDiv w:val="1"/>
      <w:marLeft w:val="0"/>
      <w:marRight w:val="0"/>
      <w:marTop w:val="0"/>
      <w:marBottom w:val="0"/>
      <w:divBdr>
        <w:top w:val="none" w:sz="0" w:space="0" w:color="auto"/>
        <w:left w:val="none" w:sz="0" w:space="0" w:color="auto"/>
        <w:bottom w:val="none" w:sz="0" w:space="0" w:color="auto"/>
        <w:right w:val="none" w:sz="0" w:space="0" w:color="auto"/>
      </w:divBdr>
    </w:div>
    <w:div w:id="238907214">
      <w:bodyDiv w:val="1"/>
      <w:marLeft w:val="0"/>
      <w:marRight w:val="0"/>
      <w:marTop w:val="0"/>
      <w:marBottom w:val="0"/>
      <w:divBdr>
        <w:top w:val="none" w:sz="0" w:space="0" w:color="auto"/>
        <w:left w:val="none" w:sz="0" w:space="0" w:color="auto"/>
        <w:bottom w:val="none" w:sz="0" w:space="0" w:color="auto"/>
        <w:right w:val="none" w:sz="0" w:space="0" w:color="auto"/>
      </w:divBdr>
    </w:div>
    <w:div w:id="238910278">
      <w:bodyDiv w:val="1"/>
      <w:marLeft w:val="0"/>
      <w:marRight w:val="0"/>
      <w:marTop w:val="0"/>
      <w:marBottom w:val="0"/>
      <w:divBdr>
        <w:top w:val="none" w:sz="0" w:space="0" w:color="auto"/>
        <w:left w:val="none" w:sz="0" w:space="0" w:color="auto"/>
        <w:bottom w:val="none" w:sz="0" w:space="0" w:color="auto"/>
        <w:right w:val="none" w:sz="0" w:space="0" w:color="auto"/>
      </w:divBdr>
    </w:div>
    <w:div w:id="239486726">
      <w:bodyDiv w:val="1"/>
      <w:marLeft w:val="0"/>
      <w:marRight w:val="0"/>
      <w:marTop w:val="0"/>
      <w:marBottom w:val="0"/>
      <w:divBdr>
        <w:top w:val="none" w:sz="0" w:space="0" w:color="auto"/>
        <w:left w:val="none" w:sz="0" w:space="0" w:color="auto"/>
        <w:bottom w:val="none" w:sz="0" w:space="0" w:color="auto"/>
        <w:right w:val="none" w:sz="0" w:space="0" w:color="auto"/>
      </w:divBdr>
    </w:div>
    <w:div w:id="246355203">
      <w:bodyDiv w:val="1"/>
      <w:marLeft w:val="0"/>
      <w:marRight w:val="0"/>
      <w:marTop w:val="0"/>
      <w:marBottom w:val="0"/>
      <w:divBdr>
        <w:top w:val="none" w:sz="0" w:space="0" w:color="auto"/>
        <w:left w:val="none" w:sz="0" w:space="0" w:color="auto"/>
        <w:bottom w:val="none" w:sz="0" w:space="0" w:color="auto"/>
        <w:right w:val="none" w:sz="0" w:space="0" w:color="auto"/>
      </w:divBdr>
    </w:div>
    <w:div w:id="251160799">
      <w:bodyDiv w:val="1"/>
      <w:marLeft w:val="0"/>
      <w:marRight w:val="0"/>
      <w:marTop w:val="0"/>
      <w:marBottom w:val="0"/>
      <w:divBdr>
        <w:top w:val="none" w:sz="0" w:space="0" w:color="auto"/>
        <w:left w:val="none" w:sz="0" w:space="0" w:color="auto"/>
        <w:bottom w:val="none" w:sz="0" w:space="0" w:color="auto"/>
        <w:right w:val="none" w:sz="0" w:space="0" w:color="auto"/>
      </w:divBdr>
    </w:div>
    <w:div w:id="259148125">
      <w:bodyDiv w:val="1"/>
      <w:marLeft w:val="0"/>
      <w:marRight w:val="0"/>
      <w:marTop w:val="0"/>
      <w:marBottom w:val="0"/>
      <w:divBdr>
        <w:top w:val="none" w:sz="0" w:space="0" w:color="auto"/>
        <w:left w:val="none" w:sz="0" w:space="0" w:color="auto"/>
        <w:bottom w:val="none" w:sz="0" w:space="0" w:color="auto"/>
        <w:right w:val="none" w:sz="0" w:space="0" w:color="auto"/>
      </w:divBdr>
    </w:div>
    <w:div w:id="264308315">
      <w:bodyDiv w:val="1"/>
      <w:marLeft w:val="0"/>
      <w:marRight w:val="0"/>
      <w:marTop w:val="0"/>
      <w:marBottom w:val="0"/>
      <w:divBdr>
        <w:top w:val="none" w:sz="0" w:space="0" w:color="auto"/>
        <w:left w:val="none" w:sz="0" w:space="0" w:color="auto"/>
        <w:bottom w:val="none" w:sz="0" w:space="0" w:color="auto"/>
        <w:right w:val="none" w:sz="0" w:space="0" w:color="auto"/>
      </w:divBdr>
    </w:div>
    <w:div w:id="272906016">
      <w:bodyDiv w:val="1"/>
      <w:marLeft w:val="0"/>
      <w:marRight w:val="0"/>
      <w:marTop w:val="0"/>
      <w:marBottom w:val="0"/>
      <w:divBdr>
        <w:top w:val="none" w:sz="0" w:space="0" w:color="auto"/>
        <w:left w:val="none" w:sz="0" w:space="0" w:color="auto"/>
        <w:bottom w:val="none" w:sz="0" w:space="0" w:color="auto"/>
        <w:right w:val="none" w:sz="0" w:space="0" w:color="auto"/>
      </w:divBdr>
    </w:div>
    <w:div w:id="274798741">
      <w:bodyDiv w:val="1"/>
      <w:marLeft w:val="0"/>
      <w:marRight w:val="0"/>
      <w:marTop w:val="0"/>
      <w:marBottom w:val="0"/>
      <w:divBdr>
        <w:top w:val="none" w:sz="0" w:space="0" w:color="auto"/>
        <w:left w:val="none" w:sz="0" w:space="0" w:color="auto"/>
        <w:bottom w:val="none" w:sz="0" w:space="0" w:color="auto"/>
        <w:right w:val="none" w:sz="0" w:space="0" w:color="auto"/>
      </w:divBdr>
    </w:div>
    <w:div w:id="287515850">
      <w:bodyDiv w:val="1"/>
      <w:marLeft w:val="0"/>
      <w:marRight w:val="0"/>
      <w:marTop w:val="0"/>
      <w:marBottom w:val="0"/>
      <w:divBdr>
        <w:top w:val="none" w:sz="0" w:space="0" w:color="auto"/>
        <w:left w:val="none" w:sz="0" w:space="0" w:color="auto"/>
        <w:bottom w:val="none" w:sz="0" w:space="0" w:color="auto"/>
        <w:right w:val="none" w:sz="0" w:space="0" w:color="auto"/>
      </w:divBdr>
    </w:div>
    <w:div w:id="291635769">
      <w:bodyDiv w:val="1"/>
      <w:marLeft w:val="0"/>
      <w:marRight w:val="0"/>
      <w:marTop w:val="0"/>
      <w:marBottom w:val="0"/>
      <w:divBdr>
        <w:top w:val="none" w:sz="0" w:space="0" w:color="auto"/>
        <w:left w:val="none" w:sz="0" w:space="0" w:color="auto"/>
        <w:bottom w:val="none" w:sz="0" w:space="0" w:color="auto"/>
        <w:right w:val="none" w:sz="0" w:space="0" w:color="auto"/>
      </w:divBdr>
    </w:div>
    <w:div w:id="292367156">
      <w:bodyDiv w:val="1"/>
      <w:marLeft w:val="0"/>
      <w:marRight w:val="0"/>
      <w:marTop w:val="0"/>
      <w:marBottom w:val="0"/>
      <w:divBdr>
        <w:top w:val="none" w:sz="0" w:space="0" w:color="auto"/>
        <w:left w:val="none" w:sz="0" w:space="0" w:color="auto"/>
        <w:bottom w:val="none" w:sz="0" w:space="0" w:color="auto"/>
        <w:right w:val="none" w:sz="0" w:space="0" w:color="auto"/>
      </w:divBdr>
    </w:div>
    <w:div w:id="292952579">
      <w:bodyDiv w:val="1"/>
      <w:marLeft w:val="0"/>
      <w:marRight w:val="0"/>
      <w:marTop w:val="0"/>
      <w:marBottom w:val="0"/>
      <w:divBdr>
        <w:top w:val="none" w:sz="0" w:space="0" w:color="auto"/>
        <w:left w:val="none" w:sz="0" w:space="0" w:color="auto"/>
        <w:bottom w:val="none" w:sz="0" w:space="0" w:color="auto"/>
        <w:right w:val="none" w:sz="0" w:space="0" w:color="auto"/>
      </w:divBdr>
    </w:div>
    <w:div w:id="299580520">
      <w:bodyDiv w:val="1"/>
      <w:marLeft w:val="0"/>
      <w:marRight w:val="0"/>
      <w:marTop w:val="0"/>
      <w:marBottom w:val="0"/>
      <w:divBdr>
        <w:top w:val="none" w:sz="0" w:space="0" w:color="auto"/>
        <w:left w:val="none" w:sz="0" w:space="0" w:color="auto"/>
        <w:bottom w:val="none" w:sz="0" w:space="0" w:color="auto"/>
        <w:right w:val="none" w:sz="0" w:space="0" w:color="auto"/>
      </w:divBdr>
    </w:div>
    <w:div w:id="306588671">
      <w:bodyDiv w:val="1"/>
      <w:marLeft w:val="0"/>
      <w:marRight w:val="0"/>
      <w:marTop w:val="0"/>
      <w:marBottom w:val="0"/>
      <w:divBdr>
        <w:top w:val="none" w:sz="0" w:space="0" w:color="auto"/>
        <w:left w:val="none" w:sz="0" w:space="0" w:color="auto"/>
        <w:bottom w:val="none" w:sz="0" w:space="0" w:color="auto"/>
        <w:right w:val="none" w:sz="0" w:space="0" w:color="auto"/>
      </w:divBdr>
    </w:div>
    <w:div w:id="312684658">
      <w:bodyDiv w:val="1"/>
      <w:marLeft w:val="0"/>
      <w:marRight w:val="0"/>
      <w:marTop w:val="0"/>
      <w:marBottom w:val="0"/>
      <w:divBdr>
        <w:top w:val="none" w:sz="0" w:space="0" w:color="auto"/>
        <w:left w:val="none" w:sz="0" w:space="0" w:color="auto"/>
        <w:bottom w:val="none" w:sz="0" w:space="0" w:color="auto"/>
        <w:right w:val="none" w:sz="0" w:space="0" w:color="auto"/>
      </w:divBdr>
    </w:div>
    <w:div w:id="315456100">
      <w:bodyDiv w:val="1"/>
      <w:marLeft w:val="0"/>
      <w:marRight w:val="0"/>
      <w:marTop w:val="0"/>
      <w:marBottom w:val="0"/>
      <w:divBdr>
        <w:top w:val="none" w:sz="0" w:space="0" w:color="auto"/>
        <w:left w:val="none" w:sz="0" w:space="0" w:color="auto"/>
        <w:bottom w:val="none" w:sz="0" w:space="0" w:color="auto"/>
        <w:right w:val="none" w:sz="0" w:space="0" w:color="auto"/>
      </w:divBdr>
    </w:div>
    <w:div w:id="321396733">
      <w:bodyDiv w:val="1"/>
      <w:marLeft w:val="0"/>
      <w:marRight w:val="0"/>
      <w:marTop w:val="0"/>
      <w:marBottom w:val="0"/>
      <w:divBdr>
        <w:top w:val="none" w:sz="0" w:space="0" w:color="auto"/>
        <w:left w:val="none" w:sz="0" w:space="0" w:color="auto"/>
        <w:bottom w:val="none" w:sz="0" w:space="0" w:color="auto"/>
        <w:right w:val="none" w:sz="0" w:space="0" w:color="auto"/>
      </w:divBdr>
    </w:div>
    <w:div w:id="325397475">
      <w:bodyDiv w:val="1"/>
      <w:marLeft w:val="0"/>
      <w:marRight w:val="0"/>
      <w:marTop w:val="0"/>
      <w:marBottom w:val="0"/>
      <w:divBdr>
        <w:top w:val="none" w:sz="0" w:space="0" w:color="auto"/>
        <w:left w:val="none" w:sz="0" w:space="0" w:color="auto"/>
        <w:bottom w:val="none" w:sz="0" w:space="0" w:color="auto"/>
        <w:right w:val="none" w:sz="0" w:space="0" w:color="auto"/>
      </w:divBdr>
    </w:div>
    <w:div w:id="33419003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0619385">
      <w:bodyDiv w:val="1"/>
      <w:marLeft w:val="0"/>
      <w:marRight w:val="0"/>
      <w:marTop w:val="0"/>
      <w:marBottom w:val="0"/>
      <w:divBdr>
        <w:top w:val="none" w:sz="0" w:space="0" w:color="auto"/>
        <w:left w:val="none" w:sz="0" w:space="0" w:color="auto"/>
        <w:bottom w:val="none" w:sz="0" w:space="0" w:color="auto"/>
        <w:right w:val="none" w:sz="0" w:space="0" w:color="auto"/>
      </w:divBdr>
    </w:div>
    <w:div w:id="342051025">
      <w:bodyDiv w:val="1"/>
      <w:marLeft w:val="0"/>
      <w:marRight w:val="0"/>
      <w:marTop w:val="0"/>
      <w:marBottom w:val="0"/>
      <w:divBdr>
        <w:top w:val="none" w:sz="0" w:space="0" w:color="auto"/>
        <w:left w:val="none" w:sz="0" w:space="0" w:color="auto"/>
        <w:bottom w:val="none" w:sz="0" w:space="0" w:color="auto"/>
        <w:right w:val="none" w:sz="0" w:space="0" w:color="auto"/>
      </w:divBdr>
    </w:div>
    <w:div w:id="352347559">
      <w:bodyDiv w:val="1"/>
      <w:marLeft w:val="0"/>
      <w:marRight w:val="0"/>
      <w:marTop w:val="0"/>
      <w:marBottom w:val="0"/>
      <w:divBdr>
        <w:top w:val="none" w:sz="0" w:space="0" w:color="auto"/>
        <w:left w:val="none" w:sz="0" w:space="0" w:color="auto"/>
        <w:bottom w:val="none" w:sz="0" w:space="0" w:color="auto"/>
        <w:right w:val="none" w:sz="0" w:space="0" w:color="auto"/>
      </w:divBdr>
    </w:div>
    <w:div w:id="360087183">
      <w:bodyDiv w:val="1"/>
      <w:marLeft w:val="0"/>
      <w:marRight w:val="0"/>
      <w:marTop w:val="0"/>
      <w:marBottom w:val="0"/>
      <w:divBdr>
        <w:top w:val="none" w:sz="0" w:space="0" w:color="auto"/>
        <w:left w:val="none" w:sz="0" w:space="0" w:color="auto"/>
        <w:bottom w:val="none" w:sz="0" w:space="0" w:color="auto"/>
        <w:right w:val="none" w:sz="0" w:space="0" w:color="auto"/>
      </w:divBdr>
    </w:div>
    <w:div w:id="364019359">
      <w:bodyDiv w:val="1"/>
      <w:marLeft w:val="0"/>
      <w:marRight w:val="0"/>
      <w:marTop w:val="0"/>
      <w:marBottom w:val="0"/>
      <w:divBdr>
        <w:top w:val="none" w:sz="0" w:space="0" w:color="auto"/>
        <w:left w:val="none" w:sz="0" w:space="0" w:color="auto"/>
        <w:bottom w:val="none" w:sz="0" w:space="0" w:color="auto"/>
        <w:right w:val="none" w:sz="0" w:space="0" w:color="auto"/>
      </w:divBdr>
    </w:div>
    <w:div w:id="366834944">
      <w:bodyDiv w:val="1"/>
      <w:marLeft w:val="0"/>
      <w:marRight w:val="0"/>
      <w:marTop w:val="0"/>
      <w:marBottom w:val="0"/>
      <w:divBdr>
        <w:top w:val="none" w:sz="0" w:space="0" w:color="auto"/>
        <w:left w:val="none" w:sz="0" w:space="0" w:color="auto"/>
        <w:bottom w:val="none" w:sz="0" w:space="0" w:color="auto"/>
        <w:right w:val="none" w:sz="0" w:space="0" w:color="auto"/>
      </w:divBdr>
    </w:div>
    <w:div w:id="373042776">
      <w:bodyDiv w:val="1"/>
      <w:marLeft w:val="0"/>
      <w:marRight w:val="0"/>
      <w:marTop w:val="0"/>
      <w:marBottom w:val="0"/>
      <w:divBdr>
        <w:top w:val="none" w:sz="0" w:space="0" w:color="auto"/>
        <w:left w:val="none" w:sz="0" w:space="0" w:color="auto"/>
        <w:bottom w:val="none" w:sz="0" w:space="0" w:color="auto"/>
        <w:right w:val="none" w:sz="0" w:space="0" w:color="auto"/>
      </w:divBdr>
    </w:div>
    <w:div w:id="387462452">
      <w:bodyDiv w:val="1"/>
      <w:marLeft w:val="0"/>
      <w:marRight w:val="0"/>
      <w:marTop w:val="0"/>
      <w:marBottom w:val="0"/>
      <w:divBdr>
        <w:top w:val="none" w:sz="0" w:space="0" w:color="auto"/>
        <w:left w:val="none" w:sz="0" w:space="0" w:color="auto"/>
        <w:bottom w:val="none" w:sz="0" w:space="0" w:color="auto"/>
        <w:right w:val="none" w:sz="0" w:space="0" w:color="auto"/>
      </w:divBdr>
    </w:div>
    <w:div w:id="402600940">
      <w:bodyDiv w:val="1"/>
      <w:marLeft w:val="0"/>
      <w:marRight w:val="0"/>
      <w:marTop w:val="0"/>
      <w:marBottom w:val="0"/>
      <w:divBdr>
        <w:top w:val="none" w:sz="0" w:space="0" w:color="auto"/>
        <w:left w:val="none" w:sz="0" w:space="0" w:color="auto"/>
        <w:bottom w:val="none" w:sz="0" w:space="0" w:color="auto"/>
        <w:right w:val="none" w:sz="0" w:space="0" w:color="auto"/>
      </w:divBdr>
    </w:div>
    <w:div w:id="406732686">
      <w:bodyDiv w:val="1"/>
      <w:marLeft w:val="0"/>
      <w:marRight w:val="0"/>
      <w:marTop w:val="0"/>
      <w:marBottom w:val="0"/>
      <w:divBdr>
        <w:top w:val="none" w:sz="0" w:space="0" w:color="auto"/>
        <w:left w:val="none" w:sz="0" w:space="0" w:color="auto"/>
        <w:bottom w:val="none" w:sz="0" w:space="0" w:color="auto"/>
        <w:right w:val="none" w:sz="0" w:space="0" w:color="auto"/>
      </w:divBdr>
    </w:div>
    <w:div w:id="409431508">
      <w:bodyDiv w:val="1"/>
      <w:marLeft w:val="0"/>
      <w:marRight w:val="0"/>
      <w:marTop w:val="0"/>
      <w:marBottom w:val="0"/>
      <w:divBdr>
        <w:top w:val="none" w:sz="0" w:space="0" w:color="auto"/>
        <w:left w:val="none" w:sz="0" w:space="0" w:color="auto"/>
        <w:bottom w:val="none" w:sz="0" w:space="0" w:color="auto"/>
        <w:right w:val="none" w:sz="0" w:space="0" w:color="auto"/>
      </w:divBdr>
    </w:div>
    <w:div w:id="413821143">
      <w:bodyDiv w:val="1"/>
      <w:marLeft w:val="0"/>
      <w:marRight w:val="0"/>
      <w:marTop w:val="0"/>
      <w:marBottom w:val="0"/>
      <w:divBdr>
        <w:top w:val="none" w:sz="0" w:space="0" w:color="auto"/>
        <w:left w:val="none" w:sz="0" w:space="0" w:color="auto"/>
        <w:bottom w:val="none" w:sz="0" w:space="0" w:color="auto"/>
        <w:right w:val="none" w:sz="0" w:space="0" w:color="auto"/>
      </w:divBdr>
    </w:div>
    <w:div w:id="414741499">
      <w:bodyDiv w:val="1"/>
      <w:marLeft w:val="0"/>
      <w:marRight w:val="0"/>
      <w:marTop w:val="0"/>
      <w:marBottom w:val="0"/>
      <w:divBdr>
        <w:top w:val="none" w:sz="0" w:space="0" w:color="auto"/>
        <w:left w:val="none" w:sz="0" w:space="0" w:color="auto"/>
        <w:bottom w:val="none" w:sz="0" w:space="0" w:color="auto"/>
        <w:right w:val="none" w:sz="0" w:space="0" w:color="auto"/>
      </w:divBdr>
    </w:div>
    <w:div w:id="421998060">
      <w:bodyDiv w:val="1"/>
      <w:marLeft w:val="0"/>
      <w:marRight w:val="0"/>
      <w:marTop w:val="0"/>
      <w:marBottom w:val="0"/>
      <w:divBdr>
        <w:top w:val="none" w:sz="0" w:space="0" w:color="auto"/>
        <w:left w:val="none" w:sz="0" w:space="0" w:color="auto"/>
        <w:bottom w:val="none" w:sz="0" w:space="0" w:color="auto"/>
        <w:right w:val="none" w:sz="0" w:space="0" w:color="auto"/>
      </w:divBdr>
    </w:div>
    <w:div w:id="425074847">
      <w:bodyDiv w:val="1"/>
      <w:marLeft w:val="0"/>
      <w:marRight w:val="0"/>
      <w:marTop w:val="0"/>
      <w:marBottom w:val="0"/>
      <w:divBdr>
        <w:top w:val="none" w:sz="0" w:space="0" w:color="auto"/>
        <w:left w:val="none" w:sz="0" w:space="0" w:color="auto"/>
        <w:bottom w:val="none" w:sz="0" w:space="0" w:color="auto"/>
        <w:right w:val="none" w:sz="0" w:space="0" w:color="auto"/>
      </w:divBdr>
    </w:div>
    <w:div w:id="44199466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5315539">
      <w:bodyDiv w:val="1"/>
      <w:marLeft w:val="0"/>
      <w:marRight w:val="0"/>
      <w:marTop w:val="0"/>
      <w:marBottom w:val="0"/>
      <w:divBdr>
        <w:top w:val="none" w:sz="0" w:space="0" w:color="auto"/>
        <w:left w:val="none" w:sz="0" w:space="0" w:color="auto"/>
        <w:bottom w:val="none" w:sz="0" w:space="0" w:color="auto"/>
        <w:right w:val="none" w:sz="0" w:space="0" w:color="auto"/>
      </w:divBdr>
    </w:div>
    <w:div w:id="466824773">
      <w:bodyDiv w:val="1"/>
      <w:marLeft w:val="0"/>
      <w:marRight w:val="0"/>
      <w:marTop w:val="0"/>
      <w:marBottom w:val="0"/>
      <w:divBdr>
        <w:top w:val="none" w:sz="0" w:space="0" w:color="auto"/>
        <w:left w:val="none" w:sz="0" w:space="0" w:color="auto"/>
        <w:bottom w:val="none" w:sz="0" w:space="0" w:color="auto"/>
        <w:right w:val="none" w:sz="0" w:space="0" w:color="auto"/>
      </w:divBdr>
    </w:div>
    <w:div w:id="476410437">
      <w:bodyDiv w:val="1"/>
      <w:marLeft w:val="0"/>
      <w:marRight w:val="0"/>
      <w:marTop w:val="0"/>
      <w:marBottom w:val="0"/>
      <w:divBdr>
        <w:top w:val="none" w:sz="0" w:space="0" w:color="auto"/>
        <w:left w:val="none" w:sz="0" w:space="0" w:color="auto"/>
        <w:bottom w:val="none" w:sz="0" w:space="0" w:color="auto"/>
        <w:right w:val="none" w:sz="0" w:space="0" w:color="auto"/>
      </w:divBdr>
    </w:div>
    <w:div w:id="478498363">
      <w:bodyDiv w:val="1"/>
      <w:marLeft w:val="0"/>
      <w:marRight w:val="0"/>
      <w:marTop w:val="0"/>
      <w:marBottom w:val="0"/>
      <w:divBdr>
        <w:top w:val="none" w:sz="0" w:space="0" w:color="auto"/>
        <w:left w:val="none" w:sz="0" w:space="0" w:color="auto"/>
        <w:bottom w:val="none" w:sz="0" w:space="0" w:color="auto"/>
        <w:right w:val="none" w:sz="0" w:space="0" w:color="auto"/>
      </w:divBdr>
    </w:div>
    <w:div w:id="494078527">
      <w:bodyDiv w:val="1"/>
      <w:marLeft w:val="0"/>
      <w:marRight w:val="0"/>
      <w:marTop w:val="0"/>
      <w:marBottom w:val="0"/>
      <w:divBdr>
        <w:top w:val="none" w:sz="0" w:space="0" w:color="auto"/>
        <w:left w:val="none" w:sz="0" w:space="0" w:color="auto"/>
        <w:bottom w:val="none" w:sz="0" w:space="0" w:color="auto"/>
        <w:right w:val="none" w:sz="0" w:space="0" w:color="auto"/>
      </w:divBdr>
    </w:div>
    <w:div w:id="499394742">
      <w:bodyDiv w:val="1"/>
      <w:marLeft w:val="0"/>
      <w:marRight w:val="0"/>
      <w:marTop w:val="0"/>
      <w:marBottom w:val="0"/>
      <w:divBdr>
        <w:top w:val="none" w:sz="0" w:space="0" w:color="auto"/>
        <w:left w:val="none" w:sz="0" w:space="0" w:color="auto"/>
        <w:bottom w:val="none" w:sz="0" w:space="0" w:color="auto"/>
        <w:right w:val="none" w:sz="0" w:space="0" w:color="auto"/>
      </w:divBdr>
    </w:div>
    <w:div w:id="502936374">
      <w:bodyDiv w:val="1"/>
      <w:marLeft w:val="0"/>
      <w:marRight w:val="0"/>
      <w:marTop w:val="0"/>
      <w:marBottom w:val="0"/>
      <w:divBdr>
        <w:top w:val="none" w:sz="0" w:space="0" w:color="auto"/>
        <w:left w:val="none" w:sz="0" w:space="0" w:color="auto"/>
        <w:bottom w:val="none" w:sz="0" w:space="0" w:color="auto"/>
        <w:right w:val="none" w:sz="0" w:space="0" w:color="auto"/>
      </w:divBdr>
    </w:div>
    <w:div w:id="503983034">
      <w:bodyDiv w:val="1"/>
      <w:marLeft w:val="0"/>
      <w:marRight w:val="0"/>
      <w:marTop w:val="0"/>
      <w:marBottom w:val="0"/>
      <w:divBdr>
        <w:top w:val="none" w:sz="0" w:space="0" w:color="auto"/>
        <w:left w:val="none" w:sz="0" w:space="0" w:color="auto"/>
        <w:bottom w:val="none" w:sz="0" w:space="0" w:color="auto"/>
        <w:right w:val="none" w:sz="0" w:space="0" w:color="auto"/>
      </w:divBdr>
    </w:div>
    <w:div w:id="513760879">
      <w:bodyDiv w:val="1"/>
      <w:marLeft w:val="0"/>
      <w:marRight w:val="0"/>
      <w:marTop w:val="0"/>
      <w:marBottom w:val="0"/>
      <w:divBdr>
        <w:top w:val="none" w:sz="0" w:space="0" w:color="auto"/>
        <w:left w:val="none" w:sz="0" w:space="0" w:color="auto"/>
        <w:bottom w:val="none" w:sz="0" w:space="0" w:color="auto"/>
        <w:right w:val="none" w:sz="0" w:space="0" w:color="auto"/>
      </w:divBdr>
    </w:div>
    <w:div w:id="514802883">
      <w:bodyDiv w:val="1"/>
      <w:marLeft w:val="0"/>
      <w:marRight w:val="0"/>
      <w:marTop w:val="0"/>
      <w:marBottom w:val="0"/>
      <w:divBdr>
        <w:top w:val="none" w:sz="0" w:space="0" w:color="auto"/>
        <w:left w:val="none" w:sz="0" w:space="0" w:color="auto"/>
        <w:bottom w:val="none" w:sz="0" w:space="0" w:color="auto"/>
        <w:right w:val="none" w:sz="0" w:space="0" w:color="auto"/>
      </w:divBdr>
    </w:div>
    <w:div w:id="520507908">
      <w:bodyDiv w:val="1"/>
      <w:marLeft w:val="0"/>
      <w:marRight w:val="0"/>
      <w:marTop w:val="0"/>
      <w:marBottom w:val="0"/>
      <w:divBdr>
        <w:top w:val="none" w:sz="0" w:space="0" w:color="auto"/>
        <w:left w:val="none" w:sz="0" w:space="0" w:color="auto"/>
        <w:bottom w:val="none" w:sz="0" w:space="0" w:color="auto"/>
        <w:right w:val="none" w:sz="0" w:space="0" w:color="auto"/>
      </w:divBdr>
    </w:div>
    <w:div w:id="521866988">
      <w:bodyDiv w:val="1"/>
      <w:marLeft w:val="0"/>
      <w:marRight w:val="0"/>
      <w:marTop w:val="0"/>
      <w:marBottom w:val="0"/>
      <w:divBdr>
        <w:top w:val="none" w:sz="0" w:space="0" w:color="auto"/>
        <w:left w:val="none" w:sz="0" w:space="0" w:color="auto"/>
        <w:bottom w:val="none" w:sz="0" w:space="0" w:color="auto"/>
        <w:right w:val="none" w:sz="0" w:space="0" w:color="auto"/>
      </w:divBdr>
    </w:div>
    <w:div w:id="525561513">
      <w:bodyDiv w:val="1"/>
      <w:marLeft w:val="0"/>
      <w:marRight w:val="0"/>
      <w:marTop w:val="0"/>
      <w:marBottom w:val="0"/>
      <w:divBdr>
        <w:top w:val="none" w:sz="0" w:space="0" w:color="auto"/>
        <w:left w:val="none" w:sz="0" w:space="0" w:color="auto"/>
        <w:bottom w:val="none" w:sz="0" w:space="0" w:color="auto"/>
        <w:right w:val="none" w:sz="0" w:space="0" w:color="auto"/>
      </w:divBdr>
    </w:div>
    <w:div w:id="52730449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433180">
      <w:bodyDiv w:val="1"/>
      <w:marLeft w:val="0"/>
      <w:marRight w:val="0"/>
      <w:marTop w:val="0"/>
      <w:marBottom w:val="0"/>
      <w:divBdr>
        <w:top w:val="none" w:sz="0" w:space="0" w:color="auto"/>
        <w:left w:val="none" w:sz="0" w:space="0" w:color="auto"/>
        <w:bottom w:val="none" w:sz="0" w:space="0" w:color="auto"/>
        <w:right w:val="none" w:sz="0" w:space="0" w:color="auto"/>
      </w:divBdr>
    </w:div>
    <w:div w:id="543641167">
      <w:bodyDiv w:val="1"/>
      <w:marLeft w:val="0"/>
      <w:marRight w:val="0"/>
      <w:marTop w:val="0"/>
      <w:marBottom w:val="0"/>
      <w:divBdr>
        <w:top w:val="none" w:sz="0" w:space="0" w:color="auto"/>
        <w:left w:val="none" w:sz="0" w:space="0" w:color="auto"/>
        <w:bottom w:val="none" w:sz="0" w:space="0" w:color="auto"/>
        <w:right w:val="none" w:sz="0" w:space="0" w:color="auto"/>
      </w:divBdr>
    </w:div>
    <w:div w:id="546457297">
      <w:bodyDiv w:val="1"/>
      <w:marLeft w:val="0"/>
      <w:marRight w:val="0"/>
      <w:marTop w:val="0"/>
      <w:marBottom w:val="0"/>
      <w:divBdr>
        <w:top w:val="none" w:sz="0" w:space="0" w:color="auto"/>
        <w:left w:val="none" w:sz="0" w:space="0" w:color="auto"/>
        <w:bottom w:val="none" w:sz="0" w:space="0" w:color="auto"/>
        <w:right w:val="none" w:sz="0" w:space="0" w:color="auto"/>
      </w:divBdr>
    </w:div>
    <w:div w:id="547112369">
      <w:bodyDiv w:val="1"/>
      <w:marLeft w:val="0"/>
      <w:marRight w:val="0"/>
      <w:marTop w:val="0"/>
      <w:marBottom w:val="0"/>
      <w:divBdr>
        <w:top w:val="none" w:sz="0" w:space="0" w:color="auto"/>
        <w:left w:val="none" w:sz="0" w:space="0" w:color="auto"/>
        <w:bottom w:val="none" w:sz="0" w:space="0" w:color="auto"/>
        <w:right w:val="none" w:sz="0" w:space="0" w:color="auto"/>
      </w:divBdr>
    </w:div>
    <w:div w:id="549727964">
      <w:bodyDiv w:val="1"/>
      <w:marLeft w:val="0"/>
      <w:marRight w:val="0"/>
      <w:marTop w:val="0"/>
      <w:marBottom w:val="0"/>
      <w:divBdr>
        <w:top w:val="none" w:sz="0" w:space="0" w:color="auto"/>
        <w:left w:val="none" w:sz="0" w:space="0" w:color="auto"/>
        <w:bottom w:val="none" w:sz="0" w:space="0" w:color="auto"/>
        <w:right w:val="none" w:sz="0" w:space="0" w:color="auto"/>
      </w:divBdr>
    </w:div>
    <w:div w:id="557515368">
      <w:bodyDiv w:val="1"/>
      <w:marLeft w:val="0"/>
      <w:marRight w:val="0"/>
      <w:marTop w:val="0"/>
      <w:marBottom w:val="0"/>
      <w:divBdr>
        <w:top w:val="none" w:sz="0" w:space="0" w:color="auto"/>
        <w:left w:val="none" w:sz="0" w:space="0" w:color="auto"/>
        <w:bottom w:val="none" w:sz="0" w:space="0" w:color="auto"/>
        <w:right w:val="none" w:sz="0" w:space="0" w:color="auto"/>
      </w:divBdr>
    </w:div>
    <w:div w:id="568157484">
      <w:bodyDiv w:val="1"/>
      <w:marLeft w:val="0"/>
      <w:marRight w:val="0"/>
      <w:marTop w:val="0"/>
      <w:marBottom w:val="0"/>
      <w:divBdr>
        <w:top w:val="none" w:sz="0" w:space="0" w:color="auto"/>
        <w:left w:val="none" w:sz="0" w:space="0" w:color="auto"/>
        <w:bottom w:val="none" w:sz="0" w:space="0" w:color="auto"/>
        <w:right w:val="none" w:sz="0" w:space="0" w:color="auto"/>
      </w:divBdr>
    </w:div>
    <w:div w:id="574628963">
      <w:bodyDiv w:val="1"/>
      <w:marLeft w:val="0"/>
      <w:marRight w:val="0"/>
      <w:marTop w:val="0"/>
      <w:marBottom w:val="0"/>
      <w:divBdr>
        <w:top w:val="none" w:sz="0" w:space="0" w:color="auto"/>
        <w:left w:val="none" w:sz="0" w:space="0" w:color="auto"/>
        <w:bottom w:val="none" w:sz="0" w:space="0" w:color="auto"/>
        <w:right w:val="none" w:sz="0" w:space="0" w:color="auto"/>
      </w:divBdr>
    </w:div>
    <w:div w:id="583413245">
      <w:bodyDiv w:val="1"/>
      <w:marLeft w:val="0"/>
      <w:marRight w:val="0"/>
      <w:marTop w:val="0"/>
      <w:marBottom w:val="0"/>
      <w:divBdr>
        <w:top w:val="none" w:sz="0" w:space="0" w:color="auto"/>
        <w:left w:val="none" w:sz="0" w:space="0" w:color="auto"/>
        <w:bottom w:val="none" w:sz="0" w:space="0" w:color="auto"/>
        <w:right w:val="none" w:sz="0" w:space="0" w:color="auto"/>
      </w:divBdr>
    </w:div>
    <w:div w:id="588973075">
      <w:bodyDiv w:val="1"/>
      <w:marLeft w:val="0"/>
      <w:marRight w:val="0"/>
      <w:marTop w:val="0"/>
      <w:marBottom w:val="0"/>
      <w:divBdr>
        <w:top w:val="none" w:sz="0" w:space="0" w:color="auto"/>
        <w:left w:val="none" w:sz="0" w:space="0" w:color="auto"/>
        <w:bottom w:val="none" w:sz="0" w:space="0" w:color="auto"/>
        <w:right w:val="none" w:sz="0" w:space="0" w:color="auto"/>
      </w:divBdr>
    </w:div>
    <w:div w:id="598802849">
      <w:bodyDiv w:val="1"/>
      <w:marLeft w:val="0"/>
      <w:marRight w:val="0"/>
      <w:marTop w:val="0"/>
      <w:marBottom w:val="0"/>
      <w:divBdr>
        <w:top w:val="none" w:sz="0" w:space="0" w:color="auto"/>
        <w:left w:val="none" w:sz="0" w:space="0" w:color="auto"/>
        <w:bottom w:val="none" w:sz="0" w:space="0" w:color="auto"/>
        <w:right w:val="none" w:sz="0" w:space="0" w:color="auto"/>
      </w:divBdr>
    </w:div>
    <w:div w:id="602229938">
      <w:bodyDiv w:val="1"/>
      <w:marLeft w:val="0"/>
      <w:marRight w:val="0"/>
      <w:marTop w:val="0"/>
      <w:marBottom w:val="0"/>
      <w:divBdr>
        <w:top w:val="none" w:sz="0" w:space="0" w:color="auto"/>
        <w:left w:val="none" w:sz="0" w:space="0" w:color="auto"/>
        <w:bottom w:val="none" w:sz="0" w:space="0" w:color="auto"/>
        <w:right w:val="none" w:sz="0" w:space="0" w:color="auto"/>
      </w:divBdr>
    </w:div>
    <w:div w:id="610942408">
      <w:bodyDiv w:val="1"/>
      <w:marLeft w:val="0"/>
      <w:marRight w:val="0"/>
      <w:marTop w:val="0"/>
      <w:marBottom w:val="0"/>
      <w:divBdr>
        <w:top w:val="none" w:sz="0" w:space="0" w:color="auto"/>
        <w:left w:val="none" w:sz="0" w:space="0" w:color="auto"/>
        <w:bottom w:val="none" w:sz="0" w:space="0" w:color="auto"/>
        <w:right w:val="none" w:sz="0" w:space="0" w:color="auto"/>
      </w:divBdr>
    </w:div>
    <w:div w:id="613441086">
      <w:bodyDiv w:val="1"/>
      <w:marLeft w:val="0"/>
      <w:marRight w:val="0"/>
      <w:marTop w:val="0"/>
      <w:marBottom w:val="0"/>
      <w:divBdr>
        <w:top w:val="none" w:sz="0" w:space="0" w:color="auto"/>
        <w:left w:val="none" w:sz="0" w:space="0" w:color="auto"/>
        <w:bottom w:val="none" w:sz="0" w:space="0" w:color="auto"/>
        <w:right w:val="none" w:sz="0" w:space="0" w:color="auto"/>
      </w:divBdr>
    </w:div>
    <w:div w:id="616835229">
      <w:bodyDiv w:val="1"/>
      <w:marLeft w:val="0"/>
      <w:marRight w:val="0"/>
      <w:marTop w:val="0"/>
      <w:marBottom w:val="0"/>
      <w:divBdr>
        <w:top w:val="none" w:sz="0" w:space="0" w:color="auto"/>
        <w:left w:val="none" w:sz="0" w:space="0" w:color="auto"/>
        <w:bottom w:val="none" w:sz="0" w:space="0" w:color="auto"/>
        <w:right w:val="none" w:sz="0" w:space="0" w:color="auto"/>
      </w:divBdr>
    </w:div>
    <w:div w:id="620956793">
      <w:bodyDiv w:val="1"/>
      <w:marLeft w:val="0"/>
      <w:marRight w:val="0"/>
      <w:marTop w:val="0"/>
      <w:marBottom w:val="0"/>
      <w:divBdr>
        <w:top w:val="none" w:sz="0" w:space="0" w:color="auto"/>
        <w:left w:val="none" w:sz="0" w:space="0" w:color="auto"/>
        <w:bottom w:val="none" w:sz="0" w:space="0" w:color="auto"/>
        <w:right w:val="none" w:sz="0" w:space="0" w:color="auto"/>
      </w:divBdr>
    </w:div>
    <w:div w:id="623005625">
      <w:bodyDiv w:val="1"/>
      <w:marLeft w:val="0"/>
      <w:marRight w:val="0"/>
      <w:marTop w:val="0"/>
      <w:marBottom w:val="0"/>
      <w:divBdr>
        <w:top w:val="none" w:sz="0" w:space="0" w:color="auto"/>
        <w:left w:val="none" w:sz="0" w:space="0" w:color="auto"/>
        <w:bottom w:val="none" w:sz="0" w:space="0" w:color="auto"/>
        <w:right w:val="none" w:sz="0" w:space="0" w:color="auto"/>
      </w:divBdr>
    </w:div>
    <w:div w:id="634218891">
      <w:bodyDiv w:val="1"/>
      <w:marLeft w:val="0"/>
      <w:marRight w:val="0"/>
      <w:marTop w:val="0"/>
      <w:marBottom w:val="0"/>
      <w:divBdr>
        <w:top w:val="none" w:sz="0" w:space="0" w:color="auto"/>
        <w:left w:val="none" w:sz="0" w:space="0" w:color="auto"/>
        <w:bottom w:val="none" w:sz="0" w:space="0" w:color="auto"/>
        <w:right w:val="none" w:sz="0" w:space="0" w:color="auto"/>
      </w:divBdr>
    </w:div>
    <w:div w:id="638068803">
      <w:bodyDiv w:val="1"/>
      <w:marLeft w:val="0"/>
      <w:marRight w:val="0"/>
      <w:marTop w:val="0"/>
      <w:marBottom w:val="0"/>
      <w:divBdr>
        <w:top w:val="none" w:sz="0" w:space="0" w:color="auto"/>
        <w:left w:val="none" w:sz="0" w:space="0" w:color="auto"/>
        <w:bottom w:val="none" w:sz="0" w:space="0" w:color="auto"/>
        <w:right w:val="none" w:sz="0" w:space="0" w:color="auto"/>
      </w:divBdr>
    </w:div>
    <w:div w:id="641348592">
      <w:bodyDiv w:val="1"/>
      <w:marLeft w:val="0"/>
      <w:marRight w:val="0"/>
      <w:marTop w:val="0"/>
      <w:marBottom w:val="0"/>
      <w:divBdr>
        <w:top w:val="none" w:sz="0" w:space="0" w:color="auto"/>
        <w:left w:val="none" w:sz="0" w:space="0" w:color="auto"/>
        <w:bottom w:val="none" w:sz="0" w:space="0" w:color="auto"/>
        <w:right w:val="none" w:sz="0" w:space="0" w:color="auto"/>
      </w:divBdr>
    </w:div>
    <w:div w:id="642932260">
      <w:bodyDiv w:val="1"/>
      <w:marLeft w:val="0"/>
      <w:marRight w:val="0"/>
      <w:marTop w:val="0"/>
      <w:marBottom w:val="0"/>
      <w:divBdr>
        <w:top w:val="none" w:sz="0" w:space="0" w:color="auto"/>
        <w:left w:val="none" w:sz="0" w:space="0" w:color="auto"/>
        <w:bottom w:val="none" w:sz="0" w:space="0" w:color="auto"/>
        <w:right w:val="none" w:sz="0" w:space="0" w:color="auto"/>
      </w:divBdr>
    </w:div>
    <w:div w:id="645668574">
      <w:bodyDiv w:val="1"/>
      <w:marLeft w:val="0"/>
      <w:marRight w:val="0"/>
      <w:marTop w:val="0"/>
      <w:marBottom w:val="0"/>
      <w:divBdr>
        <w:top w:val="none" w:sz="0" w:space="0" w:color="auto"/>
        <w:left w:val="none" w:sz="0" w:space="0" w:color="auto"/>
        <w:bottom w:val="none" w:sz="0" w:space="0" w:color="auto"/>
        <w:right w:val="none" w:sz="0" w:space="0" w:color="auto"/>
      </w:divBdr>
    </w:div>
    <w:div w:id="649408661">
      <w:bodyDiv w:val="1"/>
      <w:marLeft w:val="0"/>
      <w:marRight w:val="0"/>
      <w:marTop w:val="0"/>
      <w:marBottom w:val="0"/>
      <w:divBdr>
        <w:top w:val="none" w:sz="0" w:space="0" w:color="auto"/>
        <w:left w:val="none" w:sz="0" w:space="0" w:color="auto"/>
        <w:bottom w:val="none" w:sz="0" w:space="0" w:color="auto"/>
        <w:right w:val="none" w:sz="0" w:space="0" w:color="auto"/>
      </w:divBdr>
    </w:div>
    <w:div w:id="668366811">
      <w:bodyDiv w:val="1"/>
      <w:marLeft w:val="0"/>
      <w:marRight w:val="0"/>
      <w:marTop w:val="0"/>
      <w:marBottom w:val="0"/>
      <w:divBdr>
        <w:top w:val="none" w:sz="0" w:space="0" w:color="auto"/>
        <w:left w:val="none" w:sz="0" w:space="0" w:color="auto"/>
        <w:bottom w:val="none" w:sz="0" w:space="0" w:color="auto"/>
        <w:right w:val="none" w:sz="0" w:space="0" w:color="auto"/>
      </w:divBdr>
    </w:div>
    <w:div w:id="670333944">
      <w:bodyDiv w:val="1"/>
      <w:marLeft w:val="0"/>
      <w:marRight w:val="0"/>
      <w:marTop w:val="0"/>
      <w:marBottom w:val="0"/>
      <w:divBdr>
        <w:top w:val="none" w:sz="0" w:space="0" w:color="auto"/>
        <w:left w:val="none" w:sz="0" w:space="0" w:color="auto"/>
        <w:bottom w:val="none" w:sz="0" w:space="0" w:color="auto"/>
        <w:right w:val="none" w:sz="0" w:space="0" w:color="auto"/>
      </w:divBdr>
    </w:div>
    <w:div w:id="683094209">
      <w:bodyDiv w:val="1"/>
      <w:marLeft w:val="0"/>
      <w:marRight w:val="0"/>
      <w:marTop w:val="0"/>
      <w:marBottom w:val="0"/>
      <w:divBdr>
        <w:top w:val="none" w:sz="0" w:space="0" w:color="auto"/>
        <w:left w:val="none" w:sz="0" w:space="0" w:color="auto"/>
        <w:bottom w:val="none" w:sz="0" w:space="0" w:color="auto"/>
        <w:right w:val="none" w:sz="0" w:space="0" w:color="auto"/>
      </w:divBdr>
    </w:div>
    <w:div w:id="683627934">
      <w:bodyDiv w:val="1"/>
      <w:marLeft w:val="0"/>
      <w:marRight w:val="0"/>
      <w:marTop w:val="0"/>
      <w:marBottom w:val="0"/>
      <w:divBdr>
        <w:top w:val="none" w:sz="0" w:space="0" w:color="auto"/>
        <w:left w:val="none" w:sz="0" w:space="0" w:color="auto"/>
        <w:bottom w:val="none" w:sz="0" w:space="0" w:color="auto"/>
        <w:right w:val="none" w:sz="0" w:space="0" w:color="auto"/>
      </w:divBdr>
    </w:div>
    <w:div w:id="688068183">
      <w:bodyDiv w:val="1"/>
      <w:marLeft w:val="0"/>
      <w:marRight w:val="0"/>
      <w:marTop w:val="0"/>
      <w:marBottom w:val="0"/>
      <w:divBdr>
        <w:top w:val="none" w:sz="0" w:space="0" w:color="auto"/>
        <w:left w:val="none" w:sz="0" w:space="0" w:color="auto"/>
        <w:bottom w:val="none" w:sz="0" w:space="0" w:color="auto"/>
        <w:right w:val="none" w:sz="0" w:space="0" w:color="auto"/>
      </w:divBdr>
    </w:div>
    <w:div w:id="691616112">
      <w:bodyDiv w:val="1"/>
      <w:marLeft w:val="0"/>
      <w:marRight w:val="0"/>
      <w:marTop w:val="0"/>
      <w:marBottom w:val="0"/>
      <w:divBdr>
        <w:top w:val="none" w:sz="0" w:space="0" w:color="auto"/>
        <w:left w:val="none" w:sz="0" w:space="0" w:color="auto"/>
        <w:bottom w:val="none" w:sz="0" w:space="0" w:color="auto"/>
        <w:right w:val="none" w:sz="0" w:space="0" w:color="auto"/>
      </w:divBdr>
    </w:div>
    <w:div w:id="697044791">
      <w:bodyDiv w:val="1"/>
      <w:marLeft w:val="0"/>
      <w:marRight w:val="0"/>
      <w:marTop w:val="0"/>
      <w:marBottom w:val="0"/>
      <w:divBdr>
        <w:top w:val="none" w:sz="0" w:space="0" w:color="auto"/>
        <w:left w:val="none" w:sz="0" w:space="0" w:color="auto"/>
        <w:bottom w:val="none" w:sz="0" w:space="0" w:color="auto"/>
        <w:right w:val="none" w:sz="0" w:space="0" w:color="auto"/>
      </w:divBdr>
    </w:div>
    <w:div w:id="697196277">
      <w:bodyDiv w:val="1"/>
      <w:marLeft w:val="0"/>
      <w:marRight w:val="0"/>
      <w:marTop w:val="0"/>
      <w:marBottom w:val="0"/>
      <w:divBdr>
        <w:top w:val="none" w:sz="0" w:space="0" w:color="auto"/>
        <w:left w:val="none" w:sz="0" w:space="0" w:color="auto"/>
        <w:bottom w:val="none" w:sz="0" w:space="0" w:color="auto"/>
        <w:right w:val="none" w:sz="0" w:space="0" w:color="auto"/>
      </w:divBdr>
    </w:div>
    <w:div w:id="709695864">
      <w:bodyDiv w:val="1"/>
      <w:marLeft w:val="0"/>
      <w:marRight w:val="0"/>
      <w:marTop w:val="0"/>
      <w:marBottom w:val="0"/>
      <w:divBdr>
        <w:top w:val="none" w:sz="0" w:space="0" w:color="auto"/>
        <w:left w:val="none" w:sz="0" w:space="0" w:color="auto"/>
        <w:bottom w:val="none" w:sz="0" w:space="0" w:color="auto"/>
        <w:right w:val="none" w:sz="0" w:space="0" w:color="auto"/>
      </w:divBdr>
    </w:div>
    <w:div w:id="715542301">
      <w:bodyDiv w:val="1"/>
      <w:marLeft w:val="0"/>
      <w:marRight w:val="0"/>
      <w:marTop w:val="0"/>
      <w:marBottom w:val="0"/>
      <w:divBdr>
        <w:top w:val="none" w:sz="0" w:space="0" w:color="auto"/>
        <w:left w:val="none" w:sz="0" w:space="0" w:color="auto"/>
        <w:bottom w:val="none" w:sz="0" w:space="0" w:color="auto"/>
        <w:right w:val="none" w:sz="0" w:space="0" w:color="auto"/>
      </w:divBdr>
    </w:div>
    <w:div w:id="716592583">
      <w:bodyDiv w:val="1"/>
      <w:marLeft w:val="0"/>
      <w:marRight w:val="0"/>
      <w:marTop w:val="0"/>
      <w:marBottom w:val="0"/>
      <w:divBdr>
        <w:top w:val="none" w:sz="0" w:space="0" w:color="auto"/>
        <w:left w:val="none" w:sz="0" w:space="0" w:color="auto"/>
        <w:bottom w:val="none" w:sz="0" w:space="0" w:color="auto"/>
        <w:right w:val="none" w:sz="0" w:space="0" w:color="auto"/>
      </w:divBdr>
    </w:div>
    <w:div w:id="731731203">
      <w:bodyDiv w:val="1"/>
      <w:marLeft w:val="0"/>
      <w:marRight w:val="0"/>
      <w:marTop w:val="0"/>
      <w:marBottom w:val="0"/>
      <w:divBdr>
        <w:top w:val="none" w:sz="0" w:space="0" w:color="auto"/>
        <w:left w:val="none" w:sz="0" w:space="0" w:color="auto"/>
        <w:bottom w:val="none" w:sz="0" w:space="0" w:color="auto"/>
        <w:right w:val="none" w:sz="0" w:space="0" w:color="auto"/>
      </w:divBdr>
    </w:div>
    <w:div w:id="735709746">
      <w:bodyDiv w:val="1"/>
      <w:marLeft w:val="0"/>
      <w:marRight w:val="0"/>
      <w:marTop w:val="0"/>
      <w:marBottom w:val="0"/>
      <w:divBdr>
        <w:top w:val="none" w:sz="0" w:space="0" w:color="auto"/>
        <w:left w:val="none" w:sz="0" w:space="0" w:color="auto"/>
        <w:bottom w:val="none" w:sz="0" w:space="0" w:color="auto"/>
        <w:right w:val="none" w:sz="0" w:space="0" w:color="auto"/>
      </w:divBdr>
    </w:div>
    <w:div w:id="750079281">
      <w:bodyDiv w:val="1"/>
      <w:marLeft w:val="0"/>
      <w:marRight w:val="0"/>
      <w:marTop w:val="0"/>
      <w:marBottom w:val="0"/>
      <w:divBdr>
        <w:top w:val="none" w:sz="0" w:space="0" w:color="auto"/>
        <w:left w:val="none" w:sz="0" w:space="0" w:color="auto"/>
        <w:bottom w:val="none" w:sz="0" w:space="0" w:color="auto"/>
        <w:right w:val="none" w:sz="0" w:space="0" w:color="auto"/>
      </w:divBdr>
    </w:div>
    <w:div w:id="751774642">
      <w:bodyDiv w:val="1"/>
      <w:marLeft w:val="0"/>
      <w:marRight w:val="0"/>
      <w:marTop w:val="0"/>
      <w:marBottom w:val="0"/>
      <w:divBdr>
        <w:top w:val="none" w:sz="0" w:space="0" w:color="auto"/>
        <w:left w:val="none" w:sz="0" w:space="0" w:color="auto"/>
        <w:bottom w:val="none" w:sz="0" w:space="0" w:color="auto"/>
        <w:right w:val="none" w:sz="0" w:space="0" w:color="auto"/>
      </w:divBdr>
    </w:div>
    <w:div w:id="752624942">
      <w:bodyDiv w:val="1"/>
      <w:marLeft w:val="0"/>
      <w:marRight w:val="0"/>
      <w:marTop w:val="0"/>
      <w:marBottom w:val="0"/>
      <w:divBdr>
        <w:top w:val="none" w:sz="0" w:space="0" w:color="auto"/>
        <w:left w:val="none" w:sz="0" w:space="0" w:color="auto"/>
        <w:bottom w:val="none" w:sz="0" w:space="0" w:color="auto"/>
        <w:right w:val="none" w:sz="0" w:space="0" w:color="auto"/>
      </w:divBdr>
    </w:div>
    <w:div w:id="753748593">
      <w:bodyDiv w:val="1"/>
      <w:marLeft w:val="0"/>
      <w:marRight w:val="0"/>
      <w:marTop w:val="0"/>
      <w:marBottom w:val="0"/>
      <w:divBdr>
        <w:top w:val="none" w:sz="0" w:space="0" w:color="auto"/>
        <w:left w:val="none" w:sz="0" w:space="0" w:color="auto"/>
        <w:bottom w:val="none" w:sz="0" w:space="0" w:color="auto"/>
        <w:right w:val="none" w:sz="0" w:space="0" w:color="auto"/>
      </w:divBdr>
    </w:div>
    <w:div w:id="785999796">
      <w:bodyDiv w:val="1"/>
      <w:marLeft w:val="0"/>
      <w:marRight w:val="0"/>
      <w:marTop w:val="0"/>
      <w:marBottom w:val="0"/>
      <w:divBdr>
        <w:top w:val="none" w:sz="0" w:space="0" w:color="auto"/>
        <w:left w:val="none" w:sz="0" w:space="0" w:color="auto"/>
        <w:bottom w:val="none" w:sz="0" w:space="0" w:color="auto"/>
        <w:right w:val="none" w:sz="0" w:space="0" w:color="auto"/>
      </w:divBdr>
    </w:div>
    <w:div w:id="786239589">
      <w:bodyDiv w:val="1"/>
      <w:marLeft w:val="0"/>
      <w:marRight w:val="0"/>
      <w:marTop w:val="0"/>
      <w:marBottom w:val="0"/>
      <w:divBdr>
        <w:top w:val="none" w:sz="0" w:space="0" w:color="auto"/>
        <w:left w:val="none" w:sz="0" w:space="0" w:color="auto"/>
        <w:bottom w:val="none" w:sz="0" w:space="0" w:color="auto"/>
        <w:right w:val="none" w:sz="0" w:space="0" w:color="auto"/>
      </w:divBdr>
    </w:div>
    <w:div w:id="790048988">
      <w:bodyDiv w:val="1"/>
      <w:marLeft w:val="0"/>
      <w:marRight w:val="0"/>
      <w:marTop w:val="0"/>
      <w:marBottom w:val="0"/>
      <w:divBdr>
        <w:top w:val="none" w:sz="0" w:space="0" w:color="auto"/>
        <w:left w:val="none" w:sz="0" w:space="0" w:color="auto"/>
        <w:bottom w:val="none" w:sz="0" w:space="0" w:color="auto"/>
        <w:right w:val="none" w:sz="0" w:space="0" w:color="auto"/>
      </w:divBdr>
    </w:div>
    <w:div w:id="798113881">
      <w:bodyDiv w:val="1"/>
      <w:marLeft w:val="0"/>
      <w:marRight w:val="0"/>
      <w:marTop w:val="0"/>
      <w:marBottom w:val="0"/>
      <w:divBdr>
        <w:top w:val="none" w:sz="0" w:space="0" w:color="auto"/>
        <w:left w:val="none" w:sz="0" w:space="0" w:color="auto"/>
        <w:bottom w:val="none" w:sz="0" w:space="0" w:color="auto"/>
        <w:right w:val="none" w:sz="0" w:space="0" w:color="auto"/>
      </w:divBdr>
    </w:div>
    <w:div w:id="805703436">
      <w:bodyDiv w:val="1"/>
      <w:marLeft w:val="0"/>
      <w:marRight w:val="0"/>
      <w:marTop w:val="0"/>
      <w:marBottom w:val="0"/>
      <w:divBdr>
        <w:top w:val="none" w:sz="0" w:space="0" w:color="auto"/>
        <w:left w:val="none" w:sz="0" w:space="0" w:color="auto"/>
        <w:bottom w:val="none" w:sz="0" w:space="0" w:color="auto"/>
        <w:right w:val="none" w:sz="0" w:space="0" w:color="auto"/>
      </w:divBdr>
    </w:div>
    <w:div w:id="806748992">
      <w:bodyDiv w:val="1"/>
      <w:marLeft w:val="0"/>
      <w:marRight w:val="0"/>
      <w:marTop w:val="0"/>
      <w:marBottom w:val="0"/>
      <w:divBdr>
        <w:top w:val="none" w:sz="0" w:space="0" w:color="auto"/>
        <w:left w:val="none" w:sz="0" w:space="0" w:color="auto"/>
        <w:bottom w:val="none" w:sz="0" w:space="0" w:color="auto"/>
        <w:right w:val="none" w:sz="0" w:space="0" w:color="auto"/>
      </w:divBdr>
    </w:div>
    <w:div w:id="815269427">
      <w:bodyDiv w:val="1"/>
      <w:marLeft w:val="0"/>
      <w:marRight w:val="0"/>
      <w:marTop w:val="0"/>
      <w:marBottom w:val="0"/>
      <w:divBdr>
        <w:top w:val="none" w:sz="0" w:space="0" w:color="auto"/>
        <w:left w:val="none" w:sz="0" w:space="0" w:color="auto"/>
        <w:bottom w:val="none" w:sz="0" w:space="0" w:color="auto"/>
        <w:right w:val="none" w:sz="0" w:space="0" w:color="auto"/>
      </w:divBdr>
    </w:div>
    <w:div w:id="815297523">
      <w:bodyDiv w:val="1"/>
      <w:marLeft w:val="0"/>
      <w:marRight w:val="0"/>
      <w:marTop w:val="0"/>
      <w:marBottom w:val="0"/>
      <w:divBdr>
        <w:top w:val="none" w:sz="0" w:space="0" w:color="auto"/>
        <w:left w:val="none" w:sz="0" w:space="0" w:color="auto"/>
        <w:bottom w:val="none" w:sz="0" w:space="0" w:color="auto"/>
        <w:right w:val="none" w:sz="0" w:space="0" w:color="auto"/>
      </w:divBdr>
    </w:div>
    <w:div w:id="825903149">
      <w:bodyDiv w:val="1"/>
      <w:marLeft w:val="0"/>
      <w:marRight w:val="0"/>
      <w:marTop w:val="0"/>
      <w:marBottom w:val="0"/>
      <w:divBdr>
        <w:top w:val="none" w:sz="0" w:space="0" w:color="auto"/>
        <w:left w:val="none" w:sz="0" w:space="0" w:color="auto"/>
        <w:bottom w:val="none" w:sz="0" w:space="0" w:color="auto"/>
        <w:right w:val="none" w:sz="0" w:space="0" w:color="auto"/>
      </w:divBdr>
    </w:div>
    <w:div w:id="829954094">
      <w:bodyDiv w:val="1"/>
      <w:marLeft w:val="0"/>
      <w:marRight w:val="0"/>
      <w:marTop w:val="0"/>
      <w:marBottom w:val="0"/>
      <w:divBdr>
        <w:top w:val="none" w:sz="0" w:space="0" w:color="auto"/>
        <w:left w:val="none" w:sz="0" w:space="0" w:color="auto"/>
        <w:bottom w:val="none" w:sz="0" w:space="0" w:color="auto"/>
        <w:right w:val="none" w:sz="0" w:space="0" w:color="auto"/>
      </w:divBdr>
    </w:div>
    <w:div w:id="831917091">
      <w:bodyDiv w:val="1"/>
      <w:marLeft w:val="0"/>
      <w:marRight w:val="0"/>
      <w:marTop w:val="0"/>
      <w:marBottom w:val="0"/>
      <w:divBdr>
        <w:top w:val="none" w:sz="0" w:space="0" w:color="auto"/>
        <w:left w:val="none" w:sz="0" w:space="0" w:color="auto"/>
        <w:bottom w:val="none" w:sz="0" w:space="0" w:color="auto"/>
        <w:right w:val="none" w:sz="0" w:space="0" w:color="auto"/>
      </w:divBdr>
    </w:div>
    <w:div w:id="846594835">
      <w:bodyDiv w:val="1"/>
      <w:marLeft w:val="0"/>
      <w:marRight w:val="0"/>
      <w:marTop w:val="0"/>
      <w:marBottom w:val="0"/>
      <w:divBdr>
        <w:top w:val="none" w:sz="0" w:space="0" w:color="auto"/>
        <w:left w:val="none" w:sz="0" w:space="0" w:color="auto"/>
        <w:bottom w:val="none" w:sz="0" w:space="0" w:color="auto"/>
        <w:right w:val="none" w:sz="0" w:space="0" w:color="auto"/>
      </w:divBdr>
    </w:div>
    <w:div w:id="856574635">
      <w:bodyDiv w:val="1"/>
      <w:marLeft w:val="0"/>
      <w:marRight w:val="0"/>
      <w:marTop w:val="0"/>
      <w:marBottom w:val="0"/>
      <w:divBdr>
        <w:top w:val="none" w:sz="0" w:space="0" w:color="auto"/>
        <w:left w:val="none" w:sz="0" w:space="0" w:color="auto"/>
        <w:bottom w:val="none" w:sz="0" w:space="0" w:color="auto"/>
        <w:right w:val="none" w:sz="0" w:space="0" w:color="auto"/>
      </w:divBdr>
    </w:div>
    <w:div w:id="860437389">
      <w:bodyDiv w:val="1"/>
      <w:marLeft w:val="0"/>
      <w:marRight w:val="0"/>
      <w:marTop w:val="0"/>
      <w:marBottom w:val="0"/>
      <w:divBdr>
        <w:top w:val="none" w:sz="0" w:space="0" w:color="auto"/>
        <w:left w:val="none" w:sz="0" w:space="0" w:color="auto"/>
        <w:bottom w:val="none" w:sz="0" w:space="0" w:color="auto"/>
        <w:right w:val="none" w:sz="0" w:space="0" w:color="auto"/>
      </w:divBdr>
    </w:div>
    <w:div w:id="884217280">
      <w:bodyDiv w:val="1"/>
      <w:marLeft w:val="0"/>
      <w:marRight w:val="0"/>
      <w:marTop w:val="0"/>
      <w:marBottom w:val="0"/>
      <w:divBdr>
        <w:top w:val="none" w:sz="0" w:space="0" w:color="auto"/>
        <w:left w:val="none" w:sz="0" w:space="0" w:color="auto"/>
        <w:bottom w:val="none" w:sz="0" w:space="0" w:color="auto"/>
        <w:right w:val="none" w:sz="0" w:space="0" w:color="auto"/>
      </w:divBdr>
    </w:div>
    <w:div w:id="887570134">
      <w:bodyDiv w:val="1"/>
      <w:marLeft w:val="0"/>
      <w:marRight w:val="0"/>
      <w:marTop w:val="0"/>
      <w:marBottom w:val="0"/>
      <w:divBdr>
        <w:top w:val="none" w:sz="0" w:space="0" w:color="auto"/>
        <w:left w:val="none" w:sz="0" w:space="0" w:color="auto"/>
        <w:bottom w:val="none" w:sz="0" w:space="0" w:color="auto"/>
        <w:right w:val="none" w:sz="0" w:space="0" w:color="auto"/>
      </w:divBdr>
    </w:div>
    <w:div w:id="888027880">
      <w:bodyDiv w:val="1"/>
      <w:marLeft w:val="0"/>
      <w:marRight w:val="0"/>
      <w:marTop w:val="0"/>
      <w:marBottom w:val="0"/>
      <w:divBdr>
        <w:top w:val="none" w:sz="0" w:space="0" w:color="auto"/>
        <w:left w:val="none" w:sz="0" w:space="0" w:color="auto"/>
        <w:bottom w:val="none" w:sz="0" w:space="0" w:color="auto"/>
        <w:right w:val="none" w:sz="0" w:space="0" w:color="auto"/>
      </w:divBdr>
    </w:div>
    <w:div w:id="893078376">
      <w:bodyDiv w:val="1"/>
      <w:marLeft w:val="0"/>
      <w:marRight w:val="0"/>
      <w:marTop w:val="0"/>
      <w:marBottom w:val="0"/>
      <w:divBdr>
        <w:top w:val="none" w:sz="0" w:space="0" w:color="auto"/>
        <w:left w:val="none" w:sz="0" w:space="0" w:color="auto"/>
        <w:bottom w:val="none" w:sz="0" w:space="0" w:color="auto"/>
        <w:right w:val="none" w:sz="0" w:space="0" w:color="auto"/>
      </w:divBdr>
    </w:div>
    <w:div w:id="895896345">
      <w:bodyDiv w:val="1"/>
      <w:marLeft w:val="0"/>
      <w:marRight w:val="0"/>
      <w:marTop w:val="0"/>
      <w:marBottom w:val="0"/>
      <w:divBdr>
        <w:top w:val="none" w:sz="0" w:space="0" w:color="auto"/>
        <w:left w:val="none" w:sz="0" w:space="0" w:color="auto"/>
        <w:bottom w:val="none" w:sz="0" w:space="0" w:color="auto"/>
        <w:right w:val="none" w:sz="0" w:space="0" w:color="auto"/>
      </w:divBdr>
    </w:div>
    <w:div w:id="920718689">
      <w:bodyDiv w:val="1"/>
      <w:marLeft w:val="0"/>
      <w:marRight w:val="0"/>
      <w:marTop w:val="0"/>
      <w:marBottom w:val="0"/>
      <w:divBdr>
        <w:top w:val="none" w:sz="0" w:space="0" w:color="auto"/>
        <w:left w:val="none" w:sz="0" w:space="0" w:color="auto"/>
        <w:bottom w:val="none" w:sz="0" w:space="0" w:color="auto"/>
        <w:right w:val="none" w:sz="0" w:space="0" w:color="auto"/>
      </w:divBdr>
    </w:div>
    <w:div w:id="923950642">
      <w:bodyDiv w:val="1"/>
      <w:marLeft w:val="0"/>
      <w:marRight w:val="0"/>
      <w:marTop w:val="0"/>
      <w:marBottom w:val="0"/>
      <w:divBdr>
        <w:top w:val="none" w:sz="0" w:space="0" w:color="auto"/>
        <w:left w:val="none" w:sz="0" w:space="0" w:color="auto"/>
        <w:bottom w:val="none" w:sz="0" w:space="0" w:color="auto"/>
        <w:right w:val="none" w:sz="0" w:space="0" w:color="auto"/>
      </w:divBdr>
    </w:div>
    <w:div w:id="927035529">
      <w:bodyDiv w:val="1"/>
      <w:marLeft w:val="0"/>
      <w:marRight w:val="0"/>
      <w:marTop w:val="0"/>
      <w:marBottom w:val="0"/>
      <w:divBdr>
        <w:top w:val="none" w:sz="0" w:space="0" w:color="auto"/>
        <w:left w:val="none" w:sz="0" w:space="0" w:color="auto"/>
        <w:bottom w:val="none" w:sz="0" w:space="0" w:color="auto"/>
        <w:right w:val="none" w:sz="0" w:space="0" w:color="auto"/>
      </w:divBdr>
    </w:div>
    <w:div w:id="928851844">
      <w:bodyDiv w:val="1"/>
      <w:marLeft w:val="0"/>
      <w:marRight w:val="0"/>
      <w:marTop w:val="0"/>
      <w:marBottom w:val="0"/>
      <w:divBdr>
        <w:top w:val="none" w:sz="0" w:space="0" w:color="auto"/>
        <w:left w:val="none" w:sz="0" w:space="0" w:color="auto"/>
        <w:bottom w:val="none" w:sz="0" w:space="0" w:color="auto"/>
        <w:right w:val="none" w:sz="0" w:space="0" w:color="auto"/>
      </w:divBdr>
    </w:div>
    <w:div w:id="929463503">
      <w:bodyDiv w:val="1"/>
      <w:marLeft w:val="0"/>
      <w:marRight w:val="0"/>
      <w:marTop w:val="0"/>
      <w:marBottom w:val="0"/>
      <w:divBdr>
        <w:top w:val="none" w:sz="0" w:space="0" w:color="auto"/>
        <w:left w:val="none" w:sz="0" w:space="0" w:color="auto"/>
        <w:bottom w:val="none" w:sz="0" w:space="0" w:color="auto"/>
        <w:right w:val="none" w:sz="0" w:space="0" w:color="auto"/>
      </w:divBdr>
    </w:div>
    <w:div w:id="929508205">
      <w:bodyDiv w:val="1"/>
      <w:marLeft w:val="0"/>
      <w:marRight w:val="0"/>
      <w:marTop w:val="0"/>
      <w:marBottom w:val="0"/>
      <w:divBdr>
        <w:top w:val="none" w:sz="0" w:space="0" w:color="auto"/>
        <w:left w:val="none" w:sz="0" w:space="0" w:color="auto"/>
        <w:bottom w:val="none" w:sz="0" w:space="0" w:color="auto"/>
        <w:right w:val="none" w:sz="0" w:space="0" w:color="auto"/>
      </w:divBdr>
    </w:div>
    <w:div w:id="934174488">
      <w:bodyDiv w:val="1"/>
      <w:marLeft w:val="0"/>
      <w:marRight w:val="0"/>
      <w:marTop w:val="0"/>
      <w:marBottom w:val="0"/>
      <w:divBdr>
        <w:top w:val="none" w:sz="0" w:space="0" w:color="auto"/>
        <w:left w:val="none" w:sz="0" w:space="0" w:color="auto"/>
        <w:bottom w:val="none" w:sz="0" w:space="0" w:color="auto"/>
        <w:right w:val="none" w:sz="0" w:space="0" w:color="auto"/>
      </w:divBdr>
    </w:div>
    <w:div w:id="95259486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338646">
      <w:bodyDiv w:val="1"/>
      <w:marLeft w:val="0"/>
      <w:marRight w:val="0"/>
      <w:marTop w:val="0"/>
      <w:marBottom w:val="0"/>
      <w:divBdr>
        <w:top w:val="none" w:sz="0" w:space="0" w:color="auto"/>
        <w:left w:val="none" w:sz="0" w:space="0" w:color="auto"/>
        <w:bottom w:val="none" w:sz="0" w:space="0" w:color="auto"/>
        <w:right w:val="none" w:sz="0" w:space="0" w:color="auto"/>
      </w:divBdr>
    </w:div>
    <w:div w:id="983046881">
      <w:bodyDiv w:val="1"/>
      <w:marLeft w:val="0"/>
      <w:marRight w:val="0"/>
      <w:marTop w:val="0"/>
      <w:marBottom w:val="0"/>
      <w:divBdr>
        <w:top w:val="none" w:sz="0" w:space="0" w:color="auto"/>
        <w:left w:val="none" w:sz="0" w:space="0" w:color="auto"/>
        <w:bottom w:val="none" w:sz="0" w:space="0" w:color="auto"/>
        <w:right w:val="none" w:sz="0" w:space="0" w:color="auto"/>
      </w:divBdr>
    </w:div>
    <w:div w:id="984317761">
      <w:bodyDiv w:val="1"/>
      <w:marLeft w:val="0"/>
      <w:marRight w:val="0"/>
      <w:marTop w:val="0"/>
      <w:marBottom w:val="0"/>
      <w:divBdr>
        <w:top w:val="none" w:sz="0" w:space="0" w:color="auto"/>
        <w:left w:val="none" w:sz="0" w:space="0" w:color="auto"/>
        <w:bottom w:val="none" w:sz="0" w:space="0" w:color="auto"/>
        <w:right w:val="none" w:sz="0" w:space="0" w:color="auto"/>
      </w:divBdr>
    </w:div>
    <w:div w:id="989095943">
      <w:bodyDiv w:val="1"/>
      <w:marLeft w:val="0"/>
      <w:marRight w:val="0"/>
      <w:marTop w:val="0"/>
      <w:marBottom w:val="0"/>
      <w:divBdr>
        <w:top w:val="none" w:sz="0" w:space="0" w:color="auto"/>
        <w:left w:val="none" w:sz="0" w:space="0" w:color="auto"/>
        <w:bottom w:val="none" w:sz="0" w:space="0" w:color="auto"/>
        <w:right w:val="none" w:sz="0" w:space="0" w:color="auto"/>
      </w:divBdr>
    </w:div>
    <w:div w:id="994259493">
      <w:bodyDiv w:val="1"/>
      <w:marLeft w:val="0"/>
      <w:marRight w:val="0"/>
      <w:marTop w:val="0"/>
      <w:marBottom w:val="0"/>
      <w:divBdr>
        <w:top w:val="none" w:sz="0" w:space="0" w:color="auto"/>
        <w:left w:val="none" w:sz="0" w:space="0" w:color="auto"/>
        <w:bottom w:val="none" w:sz="0" w:space="0" w:color="auto"/>
        <w:right w:val="none" w:sz="0" w:space="0" w:color="auto"/>
      </w:divBdr>
    </w:div>
    <w:div w:id="994724344">
      <w:bodyDiv w:val="1"/>
      <w:marLeft w:val="0"/>
      <w:marRight w:val="0"/>
      <w:marTop w:val="0"/>
      <w:marBottom w:val="0"/>
      <w:divBdr>
        <w:top w:val="none" w:sz="0" w:space="0" w:color="auto"/>
        <w:left w:val="none" w:sz="0" w:space="0" w:color="auto"/>
        <w:bottom w:val="none" w:sz="0" w:space="0" w:color="auto"/>
        <w:right w:val="none" w:sz="0" w:space="0" w:color="auto"/>
      </w:divBdr>
    </w:div>
    <w:div w:id="996105930">
      <w:bodyDiv w:val="1"/>
      <w:marLeft w:val="0"/>
      <w:marRight w:val="0"/>
      <w:marTop w:val="0"/>
      <w:marBottom w:val="0"/>
      <w:divBdr>
        <w:top w:val="none" w:sz="0" w:space="0" w:color="auto"/>
        <w:left w:val="none" w:sz="0" w:space="0" w:color="auto"/>
        <w:bottom w:val="none" w:sz="0" w:space="0" w:color="auto"/>
        <w:right w:val="none" w:sz="0" w:space="0" w:color="auto"/>
      </w:divBdr>
    </w:div>
    <w:div w:id="996223230">
      <w:bodyDiv w:val="1"/>
      <w:marLeft w:val="0"/>
      <w:marRight w:val="0"/>
      <w:marTop w:val="0"/>
      <w:marBottom w:val="0"/>
      <w:divBdr>
        <w:top w:val="none" w:sz="0" w:space="0" w:color="auto"/>
        <w:left w:val="none" w:sz="0" w:space="0" w:color="auto"/>
        <w:bottom w:val="none" w:sz="0" w:space="0" w:color="auto"/>
        <w:right w:val="none" w:sz="0" w:space="0" w:color="auto"/>
      </w:divBdr>
    </w:div>
    <w:div w:id="1009408236">
      <w:bodyDiv w:val="1"/>
      <w:marLeft w:val="0"/>
      <w:marRight w:val="0"/>
      <w:marTop w:val="0"/>
      <w:marBottom w:val="0"/>
      <w:divBdr>
        <w:top w:val="none" w:sz="0" w:space="0" w:color="auto"/>
        <w:left w:val="none" w:sz="0" w:space="0" w:color="auto"/>
        <w:bottom w:val="none" w:sz="0" w:space="0" w:color="auto"/>
        <w:right w:val="none" w:sz="0" w:space="0" w:color="auto"/>
      </w:divBdr>
    </w:div>
    <w:div w:id="1012225213">
      <w:bodyDiv w:val="1"/>
      <w:marLeft w:val="0"/>
      <w:marRight w:val="0"/>
      <w:marTop w:val="0"/>
      <w:marBottom w:val="0"/>
      <w:divBdr>
        <w:top w:val="none" w:sz="0" w:space="0" w:color="auto"/>
        <w:left w:val="none" w:sz="0" w:space="0" w:color="auto"/>
        <w:bottom w:val="none" w:sz="0" w:space="0" w:color="auto"/>
        <w:right w:val="none" w:sz="0" w:space="0" w:color="auto"/>
      </w:divBdr>
    </w:div>
    <w:div w:id="1013148541">
      <w:bodyDiv w:val="1"/>
      <w:marLeft w:val="0"/>
      <w:marRight w:val="0"/>
      <w:marTop w:val="0"/>
      <w:marBottom w:val="0"/>
      <w:divBdr>
        <w:top w:val="none" w:sz="0" w:space="0" w:color="auto"/>
        <w:left w:val="none" w:sz="0" w:space="0" w:color="auto"/>
        <w:bottom w:val="none" w:sz="0" w:space="0" w:color="auto"/>
        <w:right w:val="none" w:sz="0" w:space="0" w:color="auto"/>
      </w:divBdr>
    </w:div>
    <w:div w:id="1013454949">
      <w:bodyDiv w:val="1"/>
      <w:marLeft w:val="0"/>
      <w:marRight w:val="0"/>
      <w:marTop w:val="0"/>
      <w:marBottom w:val="0"/>
      <w:divBdr>
        <w:top w:val="none" w:sz="0" w:space="0" w:color="auto"/>
        <w:left w:val="none" w:sz="0" w:space="0" w:color="auto"/>
        <w:bottom w:val="none" w:sz="0" w:space="0" w:color="auto"/>
        <w:right w:val="none" w:sz="0" w:space="0" w:color="auto"/>
      </w:divBdr>
    </w:div>
    <w:div w:id="1014501029">
      <w:bodyDiv w:val="1"/>
      <w:marLeft w:val="0"/>
      <w:marRight w:val="0"/>
      <w:marTop w:val="0"/>
      <w:marBottom w:val="0"/>
      <w:divBdr>
        <w:top w:val="none" w:sz="0" w:space="0" w:color="auto"/>
        <w:left w:val="none" w:sz="0" w:space="0" w:color="auto"/>
        <w:bottom w:val="none" w:sz="0" w:space="0" w:color="auto"/>
        <w:right w:val="none" w:sz="0" w:space="0" w:color="auto"/>
      </w:divBdr>
    </w:div>
    <w:div w:id="1062371272">
      <w:bodyDiv w:val="1"/>
      <w:marLeft w:val="0"/>
      <w:marRight w:val="0"/>
      <w:marTop w:val="0"/>
      <w:marBottom w:val="0"/>
      <w:divBdr>
        <w:top w:val="none" w:sz="0" w:space="0" w:color="auto"/>
        <w:left w:val="none" w:sz="0" w:space="0" w:color="auto"/>
        <w:bottom w:val="none" w:sz="0" w:space="0" w:color="auto"/>
        <w:right w:val="none" w:sz="0" w:space="0" w:color="auto"/>
      </w:divBdr>
    </w:div>
    <w:div w:id="1072847117">
      <w:bodyDiv w:val="1"/>
      <w:marLeft w:val="0"/>
      <w:marRight w:val="0"/>
      <w:marTop w:val="0"/>
      <w:marBottom w:val="0"/>
      <w:divBdr>
        <w:top w:val="none" w:sz="0" w:space="0" w:color="auto"/>
        <w:left w:val="none" w:sz="0" w:space="0" w:color="auto"/>
        <w:bottom w:val="none" w:sz="0" w:space="0" w:color="auto"/>
        <w:right w:val="none" w:sz="0" w:space="0" w:color="auto"/>
      </w:divBdr>
    </w:div>
    <w:div w:id="1085880342">
      <w:bodyDiv w:val="1"/>
      <w:marLeft w:val="0"/>
      <w:marRight w:val="0"/>
      <w:marTop w:val="0"/>
      <w:marBottom w:val="0"/>
      <w:divBdr>
        <w:top w:val="none" w:sz="0" w:space="0" w:color="auto"/>
        <w:left w:val="none" w:sz="0" w:space="0" w:color="auto"/>
        <w:bottom w:val="none" w:sz="0" w:space="0" w:color="auto"/>
        <w:right w:val="none" w:sz="0" w:space="0" w:color="auto"/>
      </w:divBdr>
    </w:div>
    <w:div w:id="1090084638">
      <w:bodyDiv w:val="1"/>
      <w:marLeft w:val="0"/>
      <w:marRight w:val="0"/>
      <w:marTop w:val="0"/>
      <w:marBottom w:val="0"/>
      <w:divBdr>
        <w:top w:val="none" w:sz="0" w:space="0" w:color="auto"/>
        <w:left w:val="none" w:sz="0" w:space="0" w:color="auto"/>
        <w:bottom w:val="none" w:sz="0" w:space="0" w:color="auto"/>
        <w:right w:val="none" w:sz="0" w:space="0" w:color="auto"/>
      </w:divBdr>
    </w:div>
    <w:div w:id="1093160785">
      <w:bodyDiv w:val="1"/>
      <w:marLeft w:val="0"/>
      <w:marRight w:val="0"/>
      <w:marTop w:val="0"/>
      <w:marBottom w:val="0"/>
      <w:divBdr>
        <w:top w:val="none" w:sz="0" w:space="0" w:color="auto"/>
        <w:left w:val="none" w:sz="0" w:space="0" w:color="auto"/>
        <w:bottom w:val="none" w:sz="0" w:space="0" w:color="auto"/>
        <w:right w:val="none" w:sz="0" w:space="0" w:color="auto"/>
      </w:divBdr>
    </w:div>
    <w:div w:id="1099837801">
      <w:bodyDiv w:val="1"/>
      <w:marLeft w:val="0"/>
      <w:marRight w:val="0"/>
      <w:marTop w:val="0"/>
      <w:marBottom w:val="0"/>
      <w:divBdr>
        <w:top w:val="none" w:sz="0" w:space="0" w:color="auto"/>
        <w:left w:val="none" w:sz="0" w:space="0" w:color="auto"/>
        <w:bottom w:val="none" w:sz="0" w:space="0" w:color="auto"/>
        <w:right w:val="none" w:sz="0" w:space="0" w:color="auto"/>
      </w:divBdr>
    </w:div>
    <w:div w:id="1105538666">
      <w:bodyDiv w:val="1"/>
      <w:marLeft w:val="0"/>
      <w:marRight w:val="0"/>
      <w:marTop w:val="0"/>
      <w:marBottom w:val="0"/>
      <w:divBdr>
        <w:top w:val="none" w:sz="0" w:space="0" w:color="auto"/>
        <w:left w:val="none" w:sz="0" w:space="0" w:color="auto"/>
        <w:bottom w:val="none" w:sz="0" w:space="0" w:color="auto"/>
        <w:right w:val="none" w:sz="0" w:space="0" w:color="auto"/>
      </w:divBdr>
    </w:div>
    <w:div w:id="1121846026">
      <w:bodyDiv w:val="1"/>
      <w:marLeft w:val="0"/>
      <w:marRight w:val="0"/>
      <w:marTop w:val="0"/>
      <w:marBottom w:val="0"/>
      <w:divBdr>
        <w:top w:val="none" w:sz="0" w:space="0" w:color="auto"/>
        <w:left w:val="none" w:sz="0" w:space="0" w:color="auto"/>
        <w:bottom w:val="none" w:sz="0" w:space="0" w:color="auto"/>
        <w:right w:val="none" w:sz="0" w:space="0" w:color="auto"/>
      </w:divBdr>
    </w:div>
    <w:div w:id="1123230580">
      <w:bodyDiv w:val="1"/>
      <w:marLeft w:val="0"/>
      <w:marRight w:val="0"/>
      <w:marTop w:val="0"/>
      <w:marBottom w:val="0"/>
      <w:divBdr>
        <w:top w:val="none" w:sz="0" w:space="0" w:color="auto"/>
        <w:left w:val="none" w:sz="0" w:space="0" w:color="auto"/>
        <w:bottom w:val="none" w:sz="0" w:space="0" w:color="auto"/>
        <w:right w:val="none" w:sz="0" w:space="0" w:color="auto"/>
      </w:divBdr>
    </w:div>
    <w:div w:id="112670380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0152570">
      <w:bodyDiv w:val="1"/>
      <w:marLeft w:val="0"/>
      <w:marRight w:val="0"/>
      <w:marTop w:val="0"/>
      <w:marBottom w:val="0"/>
      <w:divBdr>
        <w:top w:val="none" w:sz="0" w:space="0" w:color="auto"/>
        <w:left w:val="none" w:sz="0" w:space="0" w:color="auto"/>
        <w:bottom w:val="none" w:sz="0" w:space="0" w:color="auto"/>
        <w:right w:val="none" w:sz="0" w:space="0" w:color="auto"/>
      </w:divBdr>
    </w:div>
    <w:div w:id="1144472291">
      <w:bodyDiv w:val="1"/>
      <w:marLeft w:val="0"/>
      <w:marRight w:val="0"/>
      <w:marTop w:val="0"/>
      <w:marBottom w:val="0"/>
      <w:divBdr>
        <w:top w:val="none" w:sz="0" w:space="0" w:color="auto"/>
        <w:left w:val="none" w:sz="0" w:space="0" w:color="auto"/>
        <w:bottom w:val="none" w:sz="0" w:space="0" w:color="auto"/>
        <w:right w:val="none" w:sz="0" w:space="0" w:color="auto"/>
      </w:divBdr>
    </w:div>
    <w:div w:id="1145319133">
      <w:bodyDiv w:val="1"/>
      <w:marLeft w:val="0"/>
      <w:marRight w:val="0"/>
      <w:marTop w:val="0"/>
      <w:marBottom w:val="0"/>
      <w:divBdr>
        <w:top w:val="none" w:sz="0" w:space="0" w:color="auto"/>
        <w:left w:val="none" w:sz="0" w:space="0" w:color="auto"/>
        <w:bottom w:val="none" w:sz="0" w:space="0" w:color="auto"/>
        <w:right w:val="none" w:sz="0" w:space="0" w:color="auto"/>
      </w:divBdr>
    </w:div>
    <w:div w:id="1146164078">
      <w:bodyDiv w:val="1"/>
      <w:marLeft w:val="0"/>
      <w:marRight w:val="0"/>
      <w:marTop w:val="0"/>
      <w:marBottom w:val="0"/>
      <w:divBdr>
        <w:top w:val="none" w:sz="0" w:space="0" w:color="auto"/>
        <w:left w:val="none" w:sz="0" w:space="0" w:color="auto"/>
        <w:bottom w:val="none" w:sz="0" w:space="0" w:color="auto"/>
        <w:right w:val="none" w:sz="0" w:space="0" w:color="auto"/>
      </w:divBdr>
    </w:div>
    <w:div w:id="1149321470">
      <w:bodyDiv w:val="1"/>
      <w:marLeft w:val="0"/>
      <w:marRight w:val="0"/>
      <w:marTop w:val="0"/>
      <w:marBottom w:val="0"/>
      <w:divBdr>
        <w:top w:val="none" w:sz="0" w:space="0" w:color="auto"/>
        <w:left w:val="none" w:sz="0" w:space="0" w:color="auto"/>
        <w:bottom w:val="none" w:sz="0" w:space="0" w:color="auto"/>
        <w:right w:val="none" w:sz="0" w:space="0" w:color="auto"/>
      </w:divBdr>
    </w:div>
    <w:div w:id="1155533064">
      <w:bodyDiv w:val="1"/>
      <w:marLeft w:val="0"/>
      <w:marRight w:val="0"/>
      <w:marTop w:val="0"/>
      <w:marBottom w:val="0"/>
      <w:divBdr>
        <w:top w:val="none" w:sz="0" w:space="0" w:color="auto"/>
        <w:left w:val="none" w:sz="0" w:space="0" w:color="auto"/>
        <w:bottom w:val="none" w:sz="0" w:space="0" w:color="auto"/>
        <w:right w:val="none" w:sz="0" w:space="0" w:color="auto"/>
      </w:divBdr>
    </w:div>
    <w:div w:id="1170027699">
      <w:bodyDiv w:val="1"/>
      <w:marLeft w:val="0"/>
      <w:marRight w:val="0"/>
      <w:marTop w:val="0"/>
      <w:marBottom w:val="0"/>
      <w:divBdr>
        <w:top w:val="none" w:sz="0" w:space="0" w:color="auto"/>
        <w:left w:val="none" w:sz="0" w:space="0" w:color="auto"/>
        <w:bottom w:val="none" w:sz="0" w:space="0" w:color="auto"/>
        <w:right w:val="none" w:sz="0" w:space="0" w:color="auto"/>
      </w:divBdr>
    </w:div>
    <w:div w:id="1172719940">
      <w:bodyDiv w:val="1"/>
      <w:marLeft w:val="0"/>
      <w:marRight w:val="0"/>
      <w:marTop w:val="0"/>
      <w:marBottom w:val="0"/>
      <w:divBdr>
        <w:top w:val="none" w:sz="0" w:space="0" w:color="auto"/>
        <w:left w:val="none" w:sz="0" w:space="0" w:color="auto"/>
        <w:bottom w:val="none" w:sz="0" w:space="0" w:color="auto"/>
        <w:right w:val="none" w:sz="0" w:space="0" w:color="auto"/>
      </w:divBdr>
    </w:div>
    <w:div w:id="1175338160">
      <w:bodyDiv w:val="1"/>
      <w:marLeft w:val="0"/>
      <w:marRight w:val="0"/>
      <w:marTop w:val="0"/>
      <w:marBottom w:val="0"/>
      <w:divBdr>
        <w:top w:val="none" w:sz="0" w:space="0" w:color="auto"/>
        <w:left w:val="none" w:sz="0" w:space="0" w:color="auto"/>
        <w:bottom w:val="none" w:sz="0" w:space="0" w:color="auto"/>
        <w:right w:val="none" w:sz="0" w:space="0" w:color="auto"/>
      </w:divBdr>
    </w:div>
    <w:div w:id="1180001278">
      <w:bodyDiv w:val="1"/>
      <w:marLeft w:val="0"/>
      <w:marRight w:val="0"/>
      <w:marTop w:val="0"/>
      <w:marBottom w:val="0"/>
      <w:divBdr>
        <w:top w:val="none" w:sz="0" w:space="0" w:color="auto"/>
        <w:left w:val="none" w:sz="0" w:space="0" w:color="auto"/>
        <w:bottom w:val="none" w:sz="0" w:space="0" w:color="auto"/>
        <w:right w:val="none" w:sz="0" w:space="0" w:color="auto"/>
      </w:divBdr>
    </w:div>
    <w:div w:id="1189950144">
      <w:bodyDiv w:val="1"/>
      <w:marLeft w:val="0"/>
      <w:marRight w:val="0"/>
      <w:marTop w:val="0"/>
      <w:marBottom w:val="0"/>
      <w:divBdr>
        <w:top w:val="none" w:sz="0" w:space="0" w:color="auto"/>
        <w:left w:val="none" w:sz="0" w:space="0" w:color="auto"/>
        <w:bottom w:val="none" w:sz="0" w:space="0" w:color="auto"/>
        <w:right w:val="none" w:sz="0" w:space="0" w:color="auto"/>
      </w:divBdr>
    </w:div>
    <w:div w:id="1191604426">
      <w:bodyDiv w:val="1"/>
      <w:marLeft w:val="0"/>
      <w:marRight w:val="0"/>
      <w:marTop w:val="0"/>
      <w:marBottom w:val="0"/>
      <w:divBdr>
        <w:top w:val="none" w:sz="0" w:space="0" w:color="auto"/>
        <w:left w:val="none" w:sz="0" w:space="0" w:color="auto"/>
        <w:bottom w:val="none" w:sz="0" w:space="0" w:color="auto"/>
        <w:right w:val="none" w:sz="0" w:space="0" w:color="auto"/>
      </w:divBdr>
    </w:div>
    <w:div w:id="1191841177">
      <w:bodyDiv w:val="1"/>
      <w:marLeft w:val="0"/>
      <w:marRight w:val="0"/>
      <w:marTop w:val="0"/>
      <w:marBottom w:val="0"/>
      <w:divBdr>
        <w:top w:val="none" w:sz="0" w:space="0" w:color="auto"/>
        <w:left w:val="none" w:sz="0" w:space="0" w:color="auto"/>
        <w:bottom w:val="none" w:sz="0" w:space="0" w:color="auto"/>
        <w:right w:val="none" w:sz="0" w:space="0" w:color="auto"/>
      </w:divBdr>
    </w:div>
    <w:div w:id="1196231972">
      <w:bodyDiv w:val="1"/>
      <w:marLeft w:val="0"/>
      <w:marRight w:val="0"/>
      <w:marTop w:val="0"/>
      <w:marBottom w:val="0"/>
      <w:divBdr>
        <w:top w:val="none" w:sz="0" w:space="0" w:color="auto"/>
        <w:left w:val="none" w:sz="0" w:space="0" w:color="auto"/>
        <w:bottom w:val="none" w:sz="0" w:space="0" w:color="auto"/>
        <w:right w:val="none" w:sz="0" w:space="0" w:color="auto"/>
      </w:divBdr>
    </w:div>
    <w:div w:id="1206984351">
      <w:bodyDiv w:val="1"/>
      <w:marLeft w:val="0"/>
      <w:marRight w:val="0"/>
      <w:marTop w:val="0"/>
      <w:marBottom w:val="0"/>
      <w:divBdr>
        <w:top w:val="none" w:sz="0" w:space="0" w:color="auto"/>
        <w:left w:val="none" w:sz="0" w:space="0" w:color="auto"/>
        <w:bottom w:val="none" w:sz="0" w:space="0" w:color="auto"/>
        <w:right w:val="none" w:sz="0" w:space="0" w:color="auto"/>
      </w:divBdr>
    </w:div>
    <w:div w:id="1209957559">
      <w:bodyDiv w:val="1"/>
      <w:marLeft w:val="0"/>
      <w:marRight w:val="0"/>
      <w:marTop w:val="0"/>
      <w:marBottom w:val="0"/>
      <w:divBdr>
        <w:top w:val="none" w:sz="0" w:space="0" w:color="auto"/>
        <w:left w:val="none" w:sz="0" w:space="0" w:color="auto"/>
        <w:bottom w:val="none" w:sz="0" w:space="0" w:color="auto"/>
        <w:right w:val="none" w:sz="0" w:space="0" w:color="auto"/>
      </w:divBdr>
    </w:div>
    <w:div w:id="1210075458">
      <w:bodyDiv w:val="1"/>
      <w:marLeft w:val="0"/>
      <w:marRight w:val="0"/>
      <w:marTop w:val="0"/>
      <w:marBottom w:val="0"/>
      <w:divBdr>
        <w:top w:val="none" w:sz="0" w:space="0" w:color="auto"/>
        <w:left w:val="none" w:sz="0" w:space="0" w:color="auto"/>
        <w:bottom w:val="none" w:sz="0" w:space="0" w:color="auto"/>
        <w:right w:val="none" w:sz="0" w:space="0" w:color="auto"/>
      </w:divBdr>
    </w:div>
    <w:div w:id="1214779199">
      <w:bodyDiv w:val="1"/>
      <w:marLeft w:val="0"/>
      <w:marRight w:val="0"/>
      <w:marTop w:val="0"/>
      <w:marBottom w:val="0"/>
      <w:divBdr>
        <w:top w:val="none" w:sz="0" w:space="0" w:color="auto"/>
        <w:left w:val="none" w:sz="0" w:space="0" w:color="auto"/>
        <w:bottom w:val="none" w:sz="0" w:space="0" w:color="auto"/>
        <w:right w:val="none" w:sz="0" w:space="0" w:color="auto"/>
      </w:divBdr>
    </w:div>
    <w:div w:id="1217353931">
      <w:bodyDiv w:val="1"/>
      <w:marLeft w:val="0"/>
      <w:marRight w:val="0"/>
      <w:marTop w:val="0"/>
      <w:marBottom w:val="0"/>
      <w:divBdr>
        <w:top w:val="none" w:sz="0" w:space="0" w:color="auto"/>
        <w:left w:val="none" w:sz="0" w:space="0" w:color="auto"/>
        <w:bottom w:val="none" w:sz="0" w:space="0" w:color="auto"/>
        <w:right w:val="none" w:sz="0" w:space="0" w:color="auto"/>
      </w:divBdr>
    </w:div>
    <w:div w:id="1225873181">
      <w:bodyDiv w:val="1"/>
      <w:marLeft w:val="0"/>
      <w:marRight w:val="0"/>
      <w:marTop w:val="0"/>
      <w:marBottom w:val="0"/>
      <w:divBdr>
        <w:top w:val="none" w:sz="0" w:space="0" w:color="auto"/>
        <w:left w:val="none" w:sz="0" w:space="0" w:color="auto"/>
        <w:bottom w:val="none" w:sz="0" w:space="0" w:color="auto"/>
        <w:right w:val="none" w:sz="0" w:space="0" w:color="auto"/>
      </w:divBdr>
    </w:div>
    <w:div w:id="1234896485">
      <w:bodyDiv w:val="1"/>
      <w:marLeft w:val="0"/>
      <w:marRight w:val="0"/>
      <w:marTop w:val="0"/>
      <w:marBottom w:val="0"/>
      <w:divBdr>
        <w:top w:val="none" w:sz="0" w:space="0" w:color="auto"/>
        <w:left w:val="none" w:sz="0" w:space="0" w:color="auto"/>
        <w:bottom w:val="none" w:sz="0" w:space="0" w:color="auto"/>
        <w:right w:val="none" w:sz="0" w:space="0" w:color="auto"/>
      </w:divBdr>
    </w:div>
    <w:div w:id="1237936400">
      <w:bodyDiv w:val="1"/>
      <w:marLeft w:val="0"/>
      <w:marRight w:val="0"/>
      <w:marTop w:val="0"/>
      <w:marBottom w:val="0"/>
      <w:divBdr>
        <w:top w:val="none" w:sz="0" w:space="0" w:color="auto"/>
        <w:left w:val="none" w:sz="0" w:space="0" w:color="auto"/>
        <w:bottom w:val="none" w:sz="0" w:space="0" w:color="auto"/>
        <w:right w:val="none" w:sz="0" w:space="0" w:color="auto"/>
      </w:divBdr>
    </w:div>
    <w:div w:id="1244339827">
      <w:bodyDiv w:val="1"/>
      <w:marLeft w:val="0"/>
      <w:marRight w:val="0"/>
      <w:marTop w:val="0"/>
      <w:marBottom w:val="0"/>
      <w:divBdr>
        <w:top w:val="none" w:sz="0" w:space="0" w:color="auto"/>
        <w:left w:val="none" w:sz="0" w:space="0" w:color="auto"/>
        <w:bottom w:val="none" w:sz="0" w:space="0" w:color="auto"/>
        <w:right w:val="none" w:sz="0" w:space="0" w:color="auto"/>
      </w:divBdr>
    </w:div>
    <w:div w:id="1245455458">
      <w:bodyDiv w:val="1"/>
      <w:marLeft w:val="0"/>
      <w:marRight w:val="0"/>
      <w:marTop w:val="0"/>
      <w:marBottom w:val="0"/>
      <w:divBdr>
        <w:top w:val="none" w:sz="0" w:space="0" w:color="auto"/>
        <w:left w:val="none" w:sz="0" w:space="0" w:color="auto"/>
        <w:bottom w:val="none" w:sz="0" w:space="0" w:color="auto"/>
        <w:right w:val="none" w:sz="0" w:space="0" w:color="auto"/>
      </w:divBdr>
    </w:div>
    <w:div w:id="1260066371">
      <w:bodyDiv w:val="1"/>
      <w:marLeft w:val="0"/>
      <w:marRight w:val="0"/>
      <w:marTop w:val="0"/>
      <w:marBottom w:val="0"/>
      <w:divBdr>
        <w:top w:val="none" w:sz="0" w:space="0" w:color="auto"/>
        <w:left w:val="none" w:sz="0" w:space="0" w:color="auto"/>
        <w:bottom w:val="none" w:sz="0" w:space="0" w:color="auto"/>
        <w:right w:val="none" w:sz="0" w:space="0" w:color="auto"/>
      </w:divBdr>
    </w:div>
    <w:div w:id="1263414573">
      <w:bodyDiv w:val="1"/>
      <w:marLeft w:val="0"/>
      <w:marRight w:val="0"/>
      <w:marTop w:val="0"/>
      <w:marBottom w:val="0"/>
      <w:divBdr>
        <w:top w:val="none" w:sz="0" w:space="0" w:color="auto"/>
        <w:left w:val="none" w:sz="0" w:space="0" w:color="auto"/>
        <w:bottom w:val="none" w:sz="0" w:space="0" w:color="auto"/>
        <w:right w:val="none" w:sz="0" w:space="0" w:color="auto"/>
      </w:divBdr>
    </w:div>
    <w:div w:id="1266235645">
      <w:bodyDiv w:val="1"/>
      <w:marLeft w:val="0"/>
      <w:marRight w:val="0"/>
      <w:marTop w:val="0"/>
      <w:marBottom w:val="0"/>
      <w:divBdr>
        <w:top w:val="none" w:sz="0" w:space="0" w:color="auto"/>
        <w:left w:val="none" w:sz="0" w:space="0" w:color="auto"/>
        <w:bottom w:val="none" w:sz="0" w:space="0" w:color="auto"/>
        <w:right w:val="none" w:sz="0" w:space="0" w:color="auto"/>
      </w:divBdr>
    </w:div>
    <w:div w:id="1268005431">
      <w:bodyDiv w:val="1"/>
      <w:marLeft w:val="0"/>
      <w:marRight w:val="0"/>
      <w:marTop w:val="0"/>
      <w:marBottom w:val="0"/>
      <w:divBdr>
        <w:top w:val="none" w:sz="0" w:space="0" w:color="auto"/>
        <w:left w:val="none" w:sz="0" w:space="0" w:color="auto"/>
        <w:bottom w:val="none" w:sz="0" w:space="0" w:color="auto"/>
        <w:right w:val="none" w:sz="0" w:space="0" w:color="auto"/>
      </w:divBdr>
    </w:div>
    <w:div w:id="1271156910">
      <w:bodyDiv w:val="1"/>
      <w:marLeft w:val="0"/>
      <w:marRight w:val="0"/>
      <w:marTop w:val="0"/>
      <w:marBottom w:val="0"/>
      <w:divBdr>
        <w:top w:val="none" w:sz="0" w:space="0" w:color="auto"/>
        <w:left w:val="none" w:sz="0" w:space="0" w:color="auto"/>
        <w:bottom w:val="none" w:sz="0" w:space="0" w:color="auto"/>
        <w:right w:val="none" w:sz="0" w:space="0" w:color="auto"/>
      </w:divBdr>
    </w:div>
    <w:div w:id="1274509202">
      <w:bodyDiv w:val="1"/>
      <w:marLeft w:val="0"/>
      <w:marRight w:val="0"/>
      <w:marTop w:val="0"/>
      <w:marBottom w:val="0"/>
      <w:divBdr>
        <w:top w:val="none" w:sz="0" w:space="0" w:color="auto"/>
        <w:left w:val="none" w:sz="0" w:space="0" w:color="auto"/>
        <w:bottom w:val="none" w:sz="0" w:space="0" w:color="auto"/>
        <w:right w:val="none" w:sz="0" w:space="0" w:color="auto"/>
      </w:divBdr>
    </w:div>
    <w:div w:id="1280919667">
      <w:bodyDiv w:val="1"/>
      <w:marLeft w:val="0"/>
      <w:marRight w:val="0"/>
      <w:marTop w:val="0"/>
      <w:marBottom w:val="0"/>
      <w:divBdr>
        <w:top w:val="none" w:sz="0" w:space="0" w:color="auto"/>
        <w:left w:val="none" w:sz="0" w:space="0" w:color="auto"/>
        <w:bottom w:val="none" w:sz="0" w:space="0" w:color="auto"/>
        <w:right w:val="none" w:sz="0" w:space="0" w:color="auto"/>
      </w:divBdr>
    </w:div>
    <w:div w:id="1287735477">
      <w:bodyDiv w:val="1"/>
      <w:marLeft w:val="0"/>
      <w:marRight w:val="0"/>
      <w:marTop w:val="0"/>
      <w:marBottom w:val="0"/>
      <w:divBdr>
        <w:top w:val="none" w:sz="0" w:space="0" w:color="auto"/>
        <w:left w:val="none" w:sz="0" w:space="0" w:color="auto"/>
        <w:bottom w:val="none" w:sz="0" w:space="0" w:color="auto"/>
        <w:right w:val="none" w:sz="0" w:space="0" w:color="auto"/>
      </w:divBdr>
    </w:div>
    <w:div w:id="1289045913">
      <w:bodyDiv w:val="1"/>
      <w:marLeft w:val="0"/>
      <w:marRight w:val="0"/>
      <w:marTop w:val="0"/>
      <w:marBottom w:val="0"/>
      <w:divBdr>
        <w:top w:val="none" w:sz="0" w:space="0" w:color="auto"/>
        <w:left w:val="none" w:sz="0" w:space="0" w:color="auto"/>
        <w:bottom w:val="none" w:sz="0" w:space="0" w:color="auto"/>
        <w:right w:val="none" w:sz="0" w:space="0" w:color="auto"/>
      </w:divBdr>
    </w:div>
    <w:div w:id="1289314048">
      <w:bodyDiv w:val="1"/>
      <w:marLeft w:val="0"/>
      <w:marRight w:val="0"/>
      <w:marTop w:val="0"/>
      <w:marBottom w:val="0"/>
      <w:divBdr>
        <w:top w:val="none" w:sz="0" w:space="0" w:color="auto"/>
        <w:left w:val="none" w:sz="0" w:space="0" w:color="auto"/>
        <w:bottom w:val="none" w:sz="0" w:space="0" w:color="auto"/>
        <w:right w:val="none" w:sz="0" w:space="0" w:color="auto"/>
      </w:divBdr>
    </w:div>
    <w:div w:id="1290435731">
      <w:bodyDiv w:val="1"/>
      <w:marLeft w:val="0"/>
      <w:marRight w:val="0"/>
      <w:marTop w:val="0"/>
      <w:marBottom w:val="0"/>
      <w:divBdr>
        <w:top w:val="none" w:sz="0" w:space="0" w:color="auto"/>
        <w:left w:val="none" w:sz="0" w:space="0" w:color="auto"/>
        <w:bottom w:val="none" w:sz="0" w:space="0" w:color="auto"/>
        <w:right w:val="none" w:sz="0" w:space="0" w:color="auto"/>
      </w:divBdr>
    </w:div>
    <w:div w:id="1292714494">
      <w:bodyDiv w:val="1"/>
      <w:marLeft w:val="0"/>
      <w:marRight w:val="0"/>
      <w:marTop w:val="0"/>
      <w:marBottom w:val="0"/>
      <w:divBdr>
        <w:top w:val="none" w:sz="0" w:space="0" w:color="auto"/>
        <w:left w:val="none" w:sz="0" w:space="0" w:color="auto"/>
        <w:bottom w:val="none" w:sz="0" w:space="0" w:color="auto"/>
        <w:right w:val="none" w:sz="0" w:space="0" w:color="auto"/>
      </w:divBdr>
    </w:div>
    <w:div w:id="1308246034">
      <w:bodyDiv w:val="1"/>
      <w:marLeft w:val="0"/>
      <w:marRight w:val="0"/>
      <w:marTop w:val="0"/>
      <w:marBottom w:val="0"/>
      <w:divBdr>
        <w:top w:val="none" w:sz="0" w:space="0" w:color="auto"/>
        <w:left w:val="none" w:sz="0" w:space="0" w:color="auto"/>
        <w:bottom w:val="none" w:sz="0" w:space="0" w:color="auto"/>
        <w:right w:val="none" w:sz="0" w:space="0" w:color="auto"/>
      </w:divBdr>
    </w:div>
    <w:div w:id="1313952014">
      <w:bodyDiv w:val="1"/>
      <w:marLeft w:val="0"/>
      <w:marRight w:val="0"/>
      <w:marTop w:val="0"/>
      <w:marBottom w:val="0"/>
      <w:divBdr>
        <w:top w:val="none" w:sz="0" w:space="0" w:color="auto"/>
        <w:left w:val="none" w:sz="0" w:space="0" w:color="auto"/>
        <w:bottom w:val="none" w:sz="0" w:space="0" w:color="auto"/>
        <w:right w:val="none" w:sz="0" w:space="0" w:color="auto"/>
      </w:divBdr>
    </w:div>
    <w:div w:id="1317491156">
      <w:bodyDiv w:val="1"/>
      <w:marLeft w:val="0"/>
      <w:marRight w:val="0"/>
      <w:marTop w:val="0"/>
      <w:marBottom w:val="0"/>
      <w:divBdr>
        <w:top w:val="none" w:sz="0" w:space="0" w:color="auto"/>
        <w:left w:val="none" w:sz="0" w:space="0" w:color="auto"/>
        <w:bottom w:val="none" w:sz="0" w:space="0" w:color="auto"/>
        <w:right w:val="none" w:sz="0" w:space="0" w:color="auto"/>
      </w:divBdr>
    </w:div>
    <w:div w:id="1317997003">
      <w:bodyDiv w:val="1"/>
      <w:marLeft w:val="0"/>
      <w:marRight w:val="0"/>
      <w:marTop w:val="0"/>
      <w:marBottom w:val="0"/>
      <w:divBdr>
        <w:top w:val="none" w:sz="0" w:space="0" w:color="auto"/>
        <w:left w:val="none" w:sz="0" w:space="0" w:color="auto"/>
        <w:bottom w:val="none" w:sz="0" w:space="0" w:color="auto"/>
        <w:right w:val="none" w:sz="0" w:space="0" w:color="auto"/>
      </w:divBdr>
    </w:div>
    <w:div w:id="1318025796">
      <w:bodyDiv w:val="1"/>
      <w:marLeft w:val="0"/>
      <w:marRight w:val="0"/>
      <w:marTop w:val="0"/>
      <w:marBottom w:val="0"/>
      <w:divBdr>
        <w:top w:val="none" w:sz="0" w:space="0" w:color="auto"/>
        <w:left w:val="none" w:sz="0" w:space="0" w:color="auto"/>
        <w:bottom w:val="none" w:sz="0" w:space="0" w:color="auto"/>
        <w:right w:val="none" w:sz="0" w:space="0" w:color="auto"/>
      </w:divBdr>
    </w:div>
    <w:div w:id="1332488720">
      <w:bodyDiv w:val="1"/>
      <w:marLeft w:val="0"/>
      <w:marRight w:val="0"/>
      <w:marTop w:val="0"/>
      <w:marBottom w:val="0"/>
      <w:divBdr>
        <w:top w:val="none" w:sz="0" w:space="0" w:color="auto"/>
        <w:left w:val="none" w:sz="0" w:space="0" w:color="auto"/>
        <w:bottom w:val="none" w:sz="0" w:space="0" w:color="auto"/>
        <w:right w:val="none" w:sz="0" w:space="0" w:color="auto"/>
      </w:divBdr>
    </w:div>
    <w:div w:id="1335183739">
      <w:bodyDiv w:val="1"/>
      <w:marLeft w:val="0"/>
      <w:marRight w:val="0"/>
      <w:marTop w:val="0"/>
      <w:marBottom w:val="0"/>
      <w:divBdr>
        <w:top w:val="none" w:sz="0" w:space="0" w:color="auto"/>
        <w:left w:val="none" w:sz="0" w:space="0" w:color="auto"/>
        <w:bottom w:val="none" w:sz="0" w:space="0" w:color="auto"/>
        <w:right w:val="none" w:sz="0" w:space="0" w:color="auto"/>
      </w:divBdr>
    </w:div>
    <w:div w:id="1340355354">
      <w:bodyDiv w:val="1"/>
      <w:marLeft w:val="0"/>
      <w:marRight w:val="0"/>
      <w:marTop w:val="0"/>
      <w:marBottom w:val="0"/>
      <w:divBdr>
        <w:top w:val="none" w:sz="0" w:space="0" w:color="auto"/>
        <w:left w:val="none" w:sz="0" w:space="0" w:color="auto"/>
        <w:bottom w:val="none" w:sz="0" w:space="0" w:color="auto"/>
        <w:right w:val="none" w:sz="0" w:space="0" w:color="auto"/>
      </w:divBdr>
    </w:div>
    <w:div w:id="1347320435">
      <w:bodyDiv w:val="1"/>
      <w:marLeft w:val="0"/>
      <w:marRight w:val="0"/>
      <w:marTop w:val="0"/>
      <w:marBottom w:val="0"/>
      <w:divBdr>
        <w:top w:val="none" w:sz="0" w:space="0" w:color="auto"/>
        <w:left w:val="none" w:sz="0" w:space="0" w:color="auto"/>
        <w:bottom w:val="none" w:sz="0" w:space="0" w:color="auto"/>
        <w:right w:val="none" w:sz="0" w:space="0" w:color="auto"/>
      </w:divBdr>
    </w:div>
    <w:div w:id="1349871875">
      <w:bodyDiv w:val="1"/>
      <w:marLeft w:val="0"/>
      <w:marRight w:val="0"/>
      <w:marTop w:val="0"/>
      <w:marBottom w:val="0"/>
      <w:divBdr>
        <w:top w:val="none" w:sz="0" w:space="0" w:color="auto"/>
        <w:left w:val="none" w:sz="0" w:space="0" w:color="auto"/>
        <w:bottom w:val="none" w:sz="0" w:space="0" w:color="auto"/>
        <w:right w:val="none" w:sz="0" w:space="0" w:color="auto"/>
      </w:divBdr>
    </w:div>
    <w:div w:id="1350138452">
      <w:bodyDiv w:val="1"/>
      <w:marLeft w:val="0"/>
      <w:marRight w:val="0"/>
      <w:marTop w:val="0"/>
      <w:marBottom w:val="0"/>
      <w:divBdr>
        <w:top w:val="none" w:sz="0" w:space="0" w:color="auto"/>
        <w:left w:val="none" w:sz="0" w:space="0" w:color="auto"/>
        <w:bottom w:val="none" w:sz="0" w:space="0" w:color="auto"/>
        <w:right w:val="none" w:sz="0" w:space="0" w:color="auto"/>
      </w:divBdr>
    </w:div>
    <w:div w:id="1356076269">
      <w:bodyDiv w:val="1"/>
      <w:marLeft w:val="0"/>
      <w:marRight w:val="0"/>
      <w:marTop w:val="0"/>
      <w:marBottom w:val="0"/>
      <w:divBdr>
        <w:top w:val="none" w:sz="0" w:space="0" w:color="auto"/>
        <w:left w:val="none" w:sz="0" w:space="0" w:color="auto"/>
        <w:bottom w:val="none" w:sz="0" w:space="0" w:color="auto"/>
        <w:right w:val="none" w:sz="0" w:space="0" w:color="auto"/>
      </w:divBdr>
    </w:div>
    <w:div w:id="1358695642">
      <w:bodyDiv w:val="1"/>
      <w:marLeft w:val="0"/>
      <w:marRight w:val="0"/>
      <w:marTop w:val="0"/>
      <w:marBottom w:val="0"/>
      <w:divBdr>
        <w:top w:val="none" w:sz="0" w:space="0" w:color="auto"/>
        <w:left w:val="none" w:sz="0" w:space="0" w:color="auto"/>
        <w:bottom w:val="none" w:sz="0" w:space="0" w:color="auto"/>
        <w:right w:val="none" w:sz="0" w:space="0" w:color="auto"/>
      </w:divBdr>
    </w:div>
    <w:div w:id="1374231506">
      <w:bodyDiv w:val="1"/>
      <w:marLeft w:val="0"/>
      <w:marRight w:val="0"/>
      <w:marTop w:val="0"/>
      <w:marBottom w:val="0"/>
      <w:divBdr>
        <w:top w:val="none" w:sz="0" w:space="0" w:color="auto"/>
        <w:left w:val="none" w:sz="0" w:space="0" w:color="auto"/>
        <w:bottom w:val="none" w:sz="0" w:space="0" w:color="auto"/>
        <w:right w:val="none" w:sz="0" w:space="0" w:color="auto"/>
      </w:divBdr>
    </w:div>
    <w:div w:id="1376009506">
      <w:bodyDiv w:val="1"/>
      <w:marLeft w:val="0"/>
      <w:marRight w:val="0"/>
      <w:marTop w:val="0"/>
      <w:marBottom w:val="0"/>
      <w:divBdr>
        <w:top w:val="none" w:sz="0" w:space="0" w:color="auto"/>
        <w:left w:val="none" w:sz="0" w:space="0" w:color="auto"/>
        <w:bottom w:val="none" w:sz="0" w:space="0" w:color="auto"/>
        <w:right w:val="none" w:sz="0" w:space="0" w:color="auto"/>
      </w:divBdr>
    </w:div>
    <w:div w:id="1377267872">
      <w:bodyDiv w:val="1"/>
      <w:marLeft w:val="0"/>
      <w:marRight w:val="0"/>
      <w:marTop w:val="0"/>
      <w:marBottom w:val="0"/>
      <w:divBdr>
        <w:top w:val="none" w:sz="0" w:space="0" w:color="auto"/>
        <w:left w:val="none" w:sz="0" w:space="0" w:color="auto"/>
        <w:bottom w:val="none" w:sz="0" w:space="0" w:color="auto"/>
        <w:right w:val="none" w:sz="0" w:space="0" w:color="auto"/>
      </w:divBdr>
    </w:div>
    <w:div w:id="1387070936">
      <w:bodyDiv w:val="1"/>
      <w:marLeft w:val="0"/>
      <w:marRight w:val="0"/>
      <w:marTop w:val="0"/>
      <w:marBottom w:val="0"/>
      <w:divBdr>
        <w:top w:val="none" w:sz="0" w:space="0" w:color="auto"/>
        <w:left w:val="none" w:sz="0" w:space="0" w:color="auto"/>
        <w:bottom w:val="none" w:sz="0" w:space="0" w:color="auto"/>
        <w:right w:val="none" w:sz="0" w:space="0" w:color="auto"/>
      </w:divBdr>
    </w:div>
    <w:div w:id="1387490361">
      <w:bodyDiv w:val="1"/>
      <w:marLeft w:val="0"/>
      <w:marRight w:val="0"/>
      <w:marTop w:val="0"/>
      <w:marBottom w:val="0"/>
      <w:divBdr>
        <w:top w:val="none" w:sz="0" w:space="0" w:color="auto"/>
        <w:left w:val="none" w:sz="0" w:space="0" w:color="auto"/>
        <w:bottom w:val="none" w:sz="0" w:space="0" w:color="auto"/>
        <w:right w:val="none" w:sz="0" w:space="0" w:color="auto"/>
      </w:divBdr>
    </w:div>
    <w:div w:id="1390880425">
      <w:bodyDiv w:val="1"/>
      <w:marLeft w:val="0"/>
      <w:marRight w:val="0"/>
      <w:marTop w:val="0"/>
      <w:marBottom w:val="0"/>
      <w:divBdr>
        <w:top w:val="none" w:sz="0" w:space="0" w:color="auto"/>
        <w:left w:val="none" w:sz="0" w:space="0" w:color="auto"/>
        <w:bottom w:val="none" w:sz="0" w:space="0" w:color="auto"/>
        <w:right w:val="none" w:sz="0" w:space="0" w:color="auto"/>
      </w:divBdr>
    </w:div>
    <w:div w:id="1394621567">
      <w:bodyDiv w:val="1"/>
      <w:marLeft w:val="0"/>
      <w:marRight w:val="0"/>
      <w:marTop w:val="0"/>
      <w:marBottom w:val="0"/>
      <w:divBdr>
        <w:top w:val="none" w:sz="0" w:space="0" w:color="auto"/>
        <w:left w:val="none" w:sz="0" w:space="0" w:color="auto"/>
        <w:bottom w:val="none" w:sz="0" w:space="0" w:color="auto"/>
        <w:right w:val="none" w:sz="0" w:space="0" w:color="auto"/>
      </w:divBdr>
    </w:div>
    <w:div w:id="1397776842">
      <w:bodyDiv w:val="1"/>
      <w:marLeft w:val="0"/>
      <w:marRight w:val="0"/>
      <w:marTop w:val="0"/>
      <w:marBottom w:val="0"/>
      <w:divBdr>
        <w:top w:val="none" w:sz="0" w:space="0" w:color="auto"/>
        <w:left w:val="none" w:sz="0" w:space="0" w:color="auto"/>
        <w:bottom w:val="none" w:sz="0" w:space="0" w:color="auto"/>
        <w:right w:val="none" w:sz="0" w:space="0" w:color="auto"/>
      </w:divBdr>
    </w:div>
    <w:div w:id="140865258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6904570">
      <w:bodyDiv w:val="1"/>
      <w:marLeft w:val="0"/>
      <w:marRight w:val="0"/>
      <w:marTop w:val="0"/>
      <w:marBottom w:val="0"/>
      <w:divBdr>
        <w:top w:val="none" w:sz="0" w:space="0" w:color="auto"/>
        <w:left w:val="none" w:sz="0" w:space="0" w:color="auto"/>
        <w:bottom w:val="none" w:sz="0" w:space="0" w:color="auto"/>
        <w:right w:val="none" w:sz="0" w:space="0" w:color="auto"/>
      </w:divBdr>
    </w:div>
    <w:div w:id="1424691129">
      <w:bodyDiv w:val="1"/>
      <w:marLeft w:val="0"/>
      <w:marRight w:val="0"/>
      <w:marTop w:val="0"/>
      <w:marBottom w:val="0"/>
      <w:divBdr>
        <w:top w:val="none" w:sz="0" w:space="0" w:color="auto"/>
        <w:left w:val="none" w:sz="0" w:space="0" w:color="auto"/>
        <w:bottom w:val="none" w:sz="0" w:space="0" w:color="auto"/>
        <w:right w:val="none" w:sz="0" w:space="0" w:color="auto"/>
      </w:divBdr>
    </w:div>
    <w:div w:id="143682580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7919063">
      <w:bodyDiv w:val="1"/>
      <w:marLeft w:val="0"/>
      <w:marRight w:val="0"/>
      <w:marTop w:val="0"/>
      <w:marBottom w:val="0"/>
      <w:divBdr>
        <w:top w:val="none" w:sz="0" w:space="0" w:color="auto"/>
        <w:left w:val="none" w:sz="0" w:space="0" w:color="auto"/>
        <w:bottom w:val="none" w:sz="0" w:space="0" w:color="auto"/>
        <w:right w:val="none" w:sz="0" w:space="0" w:color="auto"/>
      </w:divBdr>
    </w:div>
    <w:div w:id="1447970205">
      <w:bodyDiv w:val="1"/>
      <w:marLeft w:val="0"/>
      <w:marRight w:val="0"/>
      <w:marTop w:val="0"/>
      <w:marBottom w:val="0"/>
      <w:divBdr>
        <w:top w:val="none" w:sz="0" w:space="0" w:color="auto"/>
        <w:left w:val="none" w:sz="0" w:space="0" w:color="auto"/>
        <w:bottom w:val="none" w:sz="0" w:space="0" w:color="auto"/>
        <w:right w:val="none" w:sz="0" w:space="0" w:color="auto"/>
      </w:divBdr>
    </w:div>
    <w:div w:id="1450196824">
      <w:bodyDiv w:val="1"/>
      <w:marLeft w:val="0"/>
      <w:marRight w:val="0"/>
      <w:marTop w:val="0"/>
      <w:marBottom w:val="0"/>
      <w:divBdr>
        <w:top w:val="none" w:sz="0" w:space="0" w:color="auto"/>
        <w:left w:val="none" w:sz="0" w:space="0" w:color="auto"/>
        <w:bottom w:val="none" w:sz="0" w:space="0" w:color="auto"/>
        <w:right w:val="none" w:sz="0" w:space="0" w:color="auto"/>
      </w:divBdr>
    </w:div>
    <w:div w:id="1469742023">
      <w:bodyDiv w:val="1"/>
      <w:marLeft w:val="0"/>
      <w:marRight w:val="0"/>
      <w:marTop w:val="0"/>
      <w:marBottom w:val="0"/>
      <w:divBdr>
        <w:top w:val="none" w:sz="0" w:space="0" w:color="auto"/>
        <w:left w:val="none" w:sz="0" w:space="0" w:color="auto"/>
        <w:bottom w:val="none" w:sz="0" w:space="0" w:color="auto"/>
        <w:right w:val="none" w:sz="0" w:space="0" w:color="auto"/>
      </w:divBdr>
    </w:div>
    <w:div w:id="1471632582">
      <w:bodyDiv w:val="1"/>
      <w:marLeft w:val="0"/>
      <w:marRight w:val="0"/>
      <w:marTop w:val="0"/>
      <w:marBottom w:val="0"/>
      <w:divBdr>
        <w:top w:val="none" w:sz="0" w:space="0" w:color="auto"/>
        <w:left w:val="none" w:sz="0" w:space="0" w:color="auto"/>
        <w:bottom w:val="none" w:sz="0" w:space="0" w:color="auto"/>
        <w:right w:val="none" w:sz="0" w:space="0" w:color="auto"/>
      </w:divBdr>
    </w:div>
    <w:div w:id="1476754232">
      <w:bodyDiv w:val="1"/>
      <w:marLeft w:val="0"/>
      <w:marRight w:val="0"/>
      <w:marTop w:val="0"/>
      <w:marBottom w:val="0"/>
      <w:divBdr>
        <w:top w:val="none" w:sz="0" w:space="0" w:color="auto"/>
        <w:left w:val="none" w:sz="0" w:space="0" w:color="auto"/>
        <w:bottom w:val="none" w:sz="0" w:space="0" w:color="auto"/>
        <w:right w:val="none" w:sz="0" w:space="0" w:color="auto"/>
      </w:divBdr>
    </w:div>
    <w:div w:id="1482500985">
      <w:bodyDiv w:val="1"/>
      <w:marLeft w:val="0"/>
      <w:marRight w:val="0"/>
      <w:marTop w:val="0"/>
      <w:marBottom w:val="0"/>
      <w:divBdr>
        <w:top w:val="none" w:sz="0" w:space="0" w:color="auto"/>
        <w:left w:val="none" w:sz="0" w:space="0" w:color="auto"/>
        <w:bottom w:val="none" w:sz="0" w:space="0" w:color="auto"/>
        <w:right w:val="none" w:sz="0" w:space="0" w:color="auto"/>
      </w:divBdr>
    </w:div>
    <w:div w:id="1496917814">
      <w:bodyDiv w:val="1"/>
      <w:marLeft w:val="0"/>
      <w:marRight w:val="0"/>
      <w:marTop w:val="0"/>
      <w:marBottom w:val="0"/>
      <w:divBdr>
        <w:top w:val="none" w:sz="0" w:space="0" w:color="auto"/>
        <w:left w:val="none" w:sz="0" w:space="0" w:color="auto"/>
        <w:bottom w:val="none" w:sz="0" w:space="0" w:color="auto"/>
        <w:right w:val="none" w:sz="0" w:space="0" w:color="auto"/>
      </w:divBdr>
    </w:div>
    <w:div w:id="1510175757">
      <w:bodyDiv w:val="1"/>
      <w:marLeft w:val="0"/>
      <w:marRight w:val="0"/>
      <w:marTop w:val="0"/>
      <w:marBottom w:val="0"/>
      <w:divBdr>
        <w:top w:val="none" w:sz="0" w:space="0" w:color="auto"/>
        <w:left w:val="none" w:sz="0" w:space="0" w:color="auto"/>
        <w:bottom w:val="none" w:sz="0" w:space="0" w:color="auto"/>
        <w:right w:val="none" w:sz="0" w:space="0" w:color="auto"/>
      </w:divBdr>
    </w:div>
    <w:div w:id="1512641031">
      <w:bodyDiv w:val="1"/>
      <w:marLeft w:val="0"/>
      <w:marRight w:val="0"/>
      <w:marTop w:val="0"/>
      <w:marBottom w:val="0"/>
      <w:divBdr>
        <w:top w:val="none" w:sz="0" w:space="0" w:color="auto"/>
        <w:left w:val="none" w:sz="0" w:space="0" w:color="auto"/>
        <w:bottom w:val="none" w:sz="0" w:space="0" w:color="auto"/>
        <w:right w:val="none" w:sz="0" w:space="0" w:color="auto"/>
      </w:divBdr>
    </w:div>
    <w:div w:id="1512914126">
      <w:bodyDiv w:val="1"/>
      <w:marLeft w:val="0"/>
      <w:marRight w:val="0"/>
      <w:marTop w:val="0"/>
      <w:marBottom w:val="0"/>
      <w:divBdr>
        <w:top w:val="none" w:sz="0" w:space="0" w:color="auto"/>
        <w:left w:val="none" w:sz="0" w:space="0" w:color="auto"/>
        <w:bottom w:val="none" w:sz="0" w:space="0" w:color="auto"/>
        <w:right w:val="none" w:sz="0" w:space="0" w:color="auto"/>
      </w:divBdr>
    </w:div>
    <w:div w:id="1516265744">
      <w:bodyDiv w:val="1"/>
      <w:marLeft w:val="0"/>
      <w:marRight w:val="0"/>
      <w:marTop w:val="0"/>
      <w:marBottom w:val="0"/>
      <w:divBdr>
        <w:top w:val="none" w:sz="0" w:space="0" w:color="auto"/>
        <w:left w:val="none" w:sz="0" w:space="0" w:color="auto"/>
        <w:bottom w:val="none" w:sz="0" w:space="0" w:color="auto"/>
        <w:right w:val="none" w:sz="0" w:space="0" w:color="auto"/>
      </w:divBdr>
    </w:div>
    <w:div w:id="1517815474">
      <w:bodyDiv w:val="1"/>
      <w:marLeft w:val="0"/>
      <w:marRight w:val="0"/>
      <w:marTop w:val="0"/>
      <w:marBottom w:val="0"/>
      <w:divBdr>
        <w:top w:val="none" w:sz="0" w:space="0" w:color="auto"/>
        <w:left w:val="none" w:sz="0" w:space="0" w:color="auto"/>
        <w:bottom w:val="none" w:sz="0" w:space="0" w:color="auto"/>
        <w:right w:val="none" w:sz="0" w:space="0" w:color="auto"/>
      </w:divBdr>
    </w:div>
    <w:div w:id="1526361387">
      <w:bodyDiv w:val="1"/>
      <w:marLeft w:val="0"/>
      <w:marRight w:val="0"/>
      <w:marTop w:val="0"/>
      <w:marBottom w:val="0"/>
      <w:divBdr>
        <w:top w:val="none" w:sz="0" w:space="0" w:color="auto"/>
        <w:left w:val="none" w:sz="0" w:space="0" w:color="auto"/>
        <w:bottom w:val="none" w:sz="0" w:space="0" w:color="auto"/>
        <w:right w:val="none" w:sz="0" w:space="0" w:color="auto"/>
      </w:divBdr>
    </w:div>
    <w:div w:id="1527406654">
      <w:bodyDiv w:val="1"/>
      <w:marLeft w:val="0"/>
      <w:marRight w:val="0"/>
      <w:marTop w:val="0"/>
      <w:marBottom w:val="0"/>
      <w:divBdr>
        <w:top w:val="none" w:sz="0" w:space="0" w:color="auto"/>
        <w:left w:val="none" w:sz="0" w:space="0" w:color="auto"/>
        <w:bottom w:val="none" w:sz="0" w:space="0" w:color="auto"/>
        <w:right w:val="none" w:sz="0" w:space="0" w:color="auto"/>
      </w:divBdr>
    </w:div>
    <w:div w:id="1527478545">
      <w:bodyDiv w:val="1"/>
      <w:marLeft w:val="0"/>
      <w:marRight w:val="0"/>
      <w:marTop w:val="0"/>
      <w:marBottom w:val="0"/>
      <w:divBdr>
        <w:top w:val="none" w:sz="0" w:space="0" w:color="auto"/>
        <w:left w:val="none" w:sz="0" w:space="0" w:color="auto"/>
        <w:bottom w:val="none" w:sz="0" w:space="0" w:color="auto"/>
        <w:right w:val="none" w:sz="0" w:space="0" w:color="auto"/>
      </w:divBdr>
    </w:div>
    <w:div w:id="1533608568">
      <w:bodyDiv w:val="1"/>
      <w:marLeft w:val="0"/>
      <w:marRight w:val="0"/>
      <w:marTop w:val="0"/>
      <w:marBottom w:val="0"/>
      <w:divBdr>
        <w:top w:val="none" w:sz="0" w:space="0" w:color="auto"/>
        <w:left w:val="none" w:sz="0" w:space="0" w:color="auto"/>
        <w:bottom w:val="none" w:sz="0" w:space="0" w:color="auto"/>
        <w:right w:val="none" w:sz="0" w:space="0" w:color="auto"/>
      </w:divBdr>
    </w:div>
    <w:div w:id="1534154088">
      <w:bodyDiv w:val="1"/>
      <w:marLeft w:val="0"/>
      <w:marRight w:val="0"/>
      <w:marTop w:val="0"/>
      <w:marBottom w:val="0"/>
      <w:divBdr>
        <w:top w:val="none" w:sz="0" w:space="0" w:color="auto"/>
        <w:left w:val="none" w:sz="0" w:space="0" w:color="auto"/>
        <w:bottom w:val="none" w:sz="0" w:space="0" w:color="auto"/>
        <w:right w:val="none" w:sz="0" w:space="0" w:color="auto"/>
      </w:divBdr>
    </w:div>
    <w:div w:id="1539051492">
      <w:bodyDiv w:val="1"/>
      <w:marLeft w:val="0"/>
      <w:marRight w:val="0"/>
      <w:marTop w:val="0"/>
      <w:marBottom w:val="0"/>
      <w:divBdr>
        <w:top w:val="none" w:sz="0" w:space="0" w:color="auto"/>
        <w:left w:val="none" w:sz="0" w:space="0" w:color="auto"/>
        <w:bottom w:val="none" w:sz="0" w:space="0" w:color="auto"/>
        <w:right w:val="none" w:sz="0" w:space="0" w:color="auto"/>
      </w:divBdr>
    </w:div>
    <w:div w:id="1543203892">
      <w:bodyDiv w:val="1"/>
      <w:marLeft w:val="0"/>
      <w:marRight w:val="0"/>
      <w:marTop w:val="0"/>
      <w:marBottom w:val="0"/>
      <w:divBdr>
        <w:top w:val="none" w:sz="0" w:space="0" w:color="auto"/>
        <w:left w:val="none" w:sz="0" w:space="0" w:color="auto"/>
        <w:bottom w:val="none" w:sz="0" w:space="0" w:color="auto"/>
        <w:right w:val="none" w:sz="0" w:space="0" w:color="auto"/>
      </w:divBdr>
    </w:div>
    <w:div w:id="1550147715">
      <w:bodyDiv w:val="1"/>
      <w:marLeft w:val="0"/>
      <w:marRight w:val="0"/>
      <w:marTop w:val="0"/>
      <w:marBottom w:val="0"/>
      <w:divBdr>
        <w:top w:val="none" w:sz="0" w:space="0" w:color="auto"/>
        <w:left w:val="none" w:sz="0" w:space="0" w:color="auto"/>
        <w:bottom w:val="none" w:sz="0" w:space="0" w:color="auto"/>
        <w:right w:val="none" w:sz="0" w:space="0" w:color="auto"/>
      </w:divBdr>
    </w:div>
    <w:div w:id="1555040553">
      <w:bodyDiv w:val="1"/>
      <w:marLeft w:val="0"/>
      <w:marRight w:val="0"/>
      <w:marTop w:val="0"/>
      <w:marBottom w:val="0"/>
      <w:divBdr>
        <w:top w:val="none" w:sz="0" w:space="0" w:color="auto"/>
        <w:left w:val="none" w:sz="0" w:space="0" w:color="auto"/>
        <w:bottom w:val="none" w:sz="0" w:space="0" w:color="auto"/>
        <w:right w:val="none" w:sz="0" w:space="0" w:color="auto"/>
      </w:divBdr>
    </w:div>
    <w:div w:id="1555463382">
      <w:bodyDiv w:val="1"/>
      <w:marLeft w:val="0"/>
      <w:marRight w:val="0"/>
      <w:marTop w:val="0"/>
      <w:marBottom w:val="0"/>
      <w:divBdr>
        <w:top w:val="none" w:sz="0" w:space="0" w:color="auto"/>
        <w:left w:val="none" w:sz="0" w:space="0" w:color="auto"/>
        <w:bottom w:val="none" w:sz="0" w:space="0" w:color="auto"/>
        <w:right w:val="none" w:sz="0" w:space="0" w:color="auto"/>
      </w:divBdr>
    </w:div>
    <w:div w:id="1555509136">
      <w:bodyDiv w:val="1"/>
      <w:marLeft w:val="0"/>
      <w:marRight w:val="0"/>
      <w:marTop w:val="0"/>
      <w:marBottom w:val="0"/>
      <w:divBdr>
        <w:top w:val="none" w:sz="0" w:space="0" w:color="auto"/>
        <w:left w:val="none" w:sz="0" w:space="0" w:color="auto"/>
        <w:bottom w:val="none" w:sz="0" w:space="0" w:color="auto"/>
        <w:right w:val="none" w:sz="0" w:space="0" w:color="auto"/>
      </w:divBdr>
    </w:div>
    <w:div w:id="1560440155">
      <w:bodyDiv w:val="1"/>
      <w:marLeft w:val="0"/>
      <w:marRight w:val="0"/>
      <w:marTop w:val="0"/>
      <w:marBottom w:val="0"/>
      <w:divBdr>
        <w:top w:val="none" w:sz="0" w:space="0" w:color="auto"/>
        <w:left w:val="none" w:sz="0" w:space="0" w:color="auto"/>
        <w:bottom w:val="none" w:sz="0" w:space="0" w:color="auto"/>
        <w:right w:val="none" w:sz="0" w:space="0" w:color="auto"/>
      </w:divBdr>
    </w:div>
    <w:div w:id="1562910424">
      <w:bodyDiv w:val="1"/>
      <w:marLeft w:val="0"/>
      <w:marRight w:val="0"/>
      <w:marTop w:val="0"/>
      <w:marBottom w:val="0"/>
      <w:divBdr>
        <w:top w:val="none" w:sz="0" w:space="0" w:color="auto"/>
        <w:left w:val="none" w:sz="0" w:space="0" w:color="auto"/>
        <w:bottom w:val="none" w:sz="0" w:space="0" w:color="auto"/>
        <w:right w:val="none" w:sz="0" w:space="0" w:color="auto"/>
      </w:divBdr>
    </w:div>
    <w:div w:id="1571501226">
      <w:bodyDiv w:val="1"/>
      <w:marLeft w:val="0"/>
      <w:marRight w:val="0"/>
      <w:marTop w:val="0"/>
      <w:marBottom w:val="0"/>
      <w:divBdr>
        <w:top w:val="none" w:sz="0" w:space="0" w:color="auto"/>
        <w:left w:val="none" w:sz="0" w:space="0" w:color="auto"/>
        <w:bottom w:val="none" w:sz="0" w:space="0" w:color="auto"/>
        <w:right w:val="none" w:sz="0" w:space="0" w:color="auto"/>
      </w:divBdr>
    </w:div>
    <w:div w:id="1574046949">
      <w:bodyDiv w:val="1"/>
      <w:marLeft w:val="0"/>
      <w:marRight w:val="0"/>
      <w:marTop w:val="0"/>
      <w:marBottom w:val="0"/>
      <w:divBdr>
        <w:top w:val="none" w:sz="0" w:space="0" w:color="auto"/>
        <w:left w:val="none" w:sz="0" w:space="0" w:color="auto"/>
        <w:bottom w:val="none" w:sz="0" w:space="0" w:color="auto"/>
        <w:right w:val="none" w:sz="0" w:space="0" w:color="auto"/>
      </w:divBdr>
    </w:div>
    <w:div w:id="1575046597">
      <w:bodyDiv w:val="1"/>
      <w:marLeft w:val="0"/>
      <w:marRight w:val="0"/>
      <w:marTop w:val="0"/>
      <w:marBottom w:val="0"/>
      <w:divBdr>
        <w:top w:val="none" w:sz="0" w:space="0" w:color="auto"/>
        <w:left w:val="none" w:sz="0" w:space="0" w:color="auto"/>
        <w:bottom w:val="none" w:sz="0" w:space="0" w:color="auto"/>
        <w:right w:val="none" w:sz="0" w:space="0" w:color="auto"/>
      </w:divBdr>
    </w:div>
    <w:div w:id="1575117365">
      <w:bodyDiv w:val="1"/>
      <w:marLeft w:val="0"/>
      <w:marRight w:val="0"/>
      <w:marTop w:val="0"/>
      <w:marBottom w:val="0"/>
      <w:divBdr>
        <w:top w:val="none" w:sz="0" w:space="0" w:color="auto"/>
        <w:left w:val="none" w:sz="0" w:space="0" w:color="auto"/>
        <w:bottom w:val="none" w:sz="0" w:space="0" w:color="auto"/>
        <w:right w:val="none" w:sz="0" w:space="0" w:color="auto"/>
      </w:divBdr>
    </w:div>
    <w:div w:id="1590657001">
      <w:bodyDiv w:val="1"/>
      <w:marLeft w:val="0"/>
      <w:marRight w:val="0"/>
      <w:marTop w:val="0"/>
      <w:marBottom w:val="0"/>
      <w:divBdr>
        <w:top w:val="none" w:sz="0" w:space="0" w:color="auto"/>
        <w:left w:val="none" w:sz="0" w:space="0" w:color="auto"/>
        <w:bottom w:val="none" w:sz="0" w:space="0" w:color="auto"/>
        <w:right w:val="none" w:sz="0" w:space="0" w:color="auto"/>
      </w:divBdr>
    </w:div>
    <w:div w:id="1592666674">
      <w:bodyDiv w:val="1"/>
      <w:marLeft w:val="0"/>
      <w:marRight w:val="0"/>
      <w:marTop w:val="0"/>
      <w:marBottom w:val="0"/>
      <w:divBdr>
        <w:top w:val="none" w:sz="0" w:space="0" w:color="auto"/>
        <w:left w:val="none" w:sz="0" w:space="0" w:color="auto"/>
        <w:bottom w:val="none" w:sz="0" w:space="0" w:color="auto"/>
        <w:right w:val="none" w:sz="0" w:space="0" w:color="auto"/>
      </w:divBdr>
    </w:div>
    <w:div w:id="1604873745">
      <w:bodyDiv w:val="1"/>
      <w:marLeft w:val="0"/>
      <w:marRight w:val="0"/>
      <w:marTop w:val="0"/>
      <w:marBottom w:val="0"/>
      <w:divBdr>
        <w:top w:val="none" w:sz="0" w:space="0" w:color="auto"/>
        <w:left w:val="none" w:sz="0" w:space="0" w:color="auto"/>
        <w:bottom w:val="none" w:sz="0" w:space="0" w:color="auto"/>
        <w:right w:val="none" w:sz="0" w:space="0" w:color="auto"/>
      </w:divBdr>
    </w:div>
    <w:div w:id="1612317420">
      <w:bodyDiv w:val="1"/>
      <w:marLeft w:val="0"/>
      <w:marRight w:val="0"/>
      <w:marTop w:val="0"/>
      <w:marBottom w:val="0"/>
      <w:divBdr>
        <w:top w:val="none" w:sz="0" w:space="0" w:color="auto"/>
        <w:left w:val="none" w:sz="0" w:space="0" w:color="auto"/>
        <w:bottom w:val="none" w:sz="0" w:space="0" w:color="auto"/>
        <w:right w:val="none" w:sz="0" w:space="0" w:color="auto"/>
      </w:divBdr>
    </w:div>
    <w:div w:id="1613170412">
      <w:bodyDiv w:val="1"/>
      <w:marLeft w:val="0"/>
      <w:marRight w:val="0"/>
      <w:marTop w:val="0"/>
      <w:marBottom w:val="0"/>
      <w:divBdr>
        <w:top w:val="none" w:sz="0" w:space="0" w:color="auto"/>
        <w:left w:val="none" w:sz="0" w:space="0" w:color="auto"/>
        <w:bottom w:val="none" w:sz="0" w:space="0" w:color="auto"/>
        <w:right w:val="none" w:sz="0" w:space="0" w:color="auto"/>
      </w:divBdr>
    </w:div>
    <w:div w:id="1617591806">
      <w:bodyDiv w:val="1"/>
      <w:marLeft w:val="0"/>
      <w:marRight w:val="0"/>
      <w:marTop w:val="0"/>
      <w:marBottom w:val="0"/>
      <w:divBdr>
        <w:top w:val="none" w:sz="0" w:space="0" w:color="auto"/>
        <w:left w:val="none" w:sz="0" w:space="0" w:color="auto"/>
        <w:bottom w:val="none" w:sz="0" w:space="0" w:color="auto"/>
        <w:right w:val="none" w:sz="0" w:space="0" w:color="auto"/>
      </w:divBdr>
    </w:div>
    <w:div w:id="1619995194">
      <w:bodyDiv w:val="1"/>
      <w:marLeft w:val="0"/>
      <w:marRight w:val="0"/>
      <w:marTop w:val="0"/>
      <w:marBottom w:val="0"/>
      <w:divBdr>
        <w:top w:val="none" w:sz="0" w:space="0" w:color="auto"/>
        <w:left w:val="none" w:sz="0" w:space="0" w:color="auto"/>
        <w:bottom w:val="none" w:sz="0" w:space="0" w:color="auto"/>
        <w:right w:val="none" w:sz="0" w:space="0" w:color="auto"/>
      </w:divBdr>
    </w:div>
    <w:div w:id="162458009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2325668">
      <w:bodyDiv w:val="1"/>
      <w:marLeft w:val="0"/>
      <w:marRight w:val="0"/>
      <w:marTop w:val="0"/>
      <w:marBottom w:val="0"/>
      <w:divBdr>
        <w:top w:val="none" w:sz="0" w:space="0" w:color="auto"/>
        <w:left w:val="none" w:sz="0" w:space="0" w:color="auto"/>
        <w:bottom w:val="none" w:sz="0" w:space="0" w:color="auto"/>
        <w:right w:val="none" w:sz="0" w:space="0" w:color="auto"/>
      </w:divBdr>
    </w:div>
    <w:div w:id="1633704601">
      <w:bodyDiv w:val="1"/>
      <w:marLeft w:val="0"/>
      <w:marRight w:val="0"/>
      <w:marTop w:val="0"/>
      <w:marBottom w:val="0"/>
      <w:divBdr>
        <w:top w:val="none" w:sz="0" w:space="0" w:color="auto"/>
        <w:left w:val="none" w:sz="0" w:space="0" w:color="auto"/>
        <w:bottom w:val="none" w:sz="0" w:space="0" w:color="auto"/>
        <w:right w:val="none" w:sz="0" w:space="0" w:color="auto"/>
      </w:divBdr>
    </w:div>
    <w:div w:id="1636717703">
      <w:bodyDiv w:val="1"/>
      <w:marLeft w:val="0"/>
      <w:marRight w:val="0"/>
      <w:marTop w:val="0"/>
      <w:marBottom w:val="0"/>
      <w:divBdr>
        <w:top w:val="none" w:sz="0" w:space="0" w:color="auto"/>
        <w:left w:val="none" w:sz="0" w:space="0" w:color="auto"/>
        <w:bottom w:val="none" w:sz="0" w:space="0" w:color="auto"/>
        <w:right w:val="none" w:sz="0" w:space="0" w:color="auto"/>
      </w:divBdr>
    </w:div>
    <w:div w:id="1638103608">
      <w:bodyDiv w:val="1"/>
      <w:marLeft w:val="0"/>
      <w:marRight w:val="0"/>
      <w:marTop w:val="0"/>
      <w:marBottom w:val="0"/>
      <w:divBdr>
        <w:top w:val="none" w:sz="0" w:space="0" w:color="auto"/>
        <w:left w:val="none" w:sz="0" w:space="0" w:color="auto"/>
        <w:bottom w:val="none" w:sz="0" w:space="0" w:color="auto"/>
        <w:right w:val="none" w:sz="0" w:space="0" w:color="auto"/>
      </w:divBdr>
    </w:div>
    <w:div w:id="1644500600">
      <w:bodyDiv w:val="1"/>
      <w:marLeft w:val="0"/>
      <w:marRight w:val="0"/>
      <w:marTop w:val="0"/>
      <w:marBottom w:val="0"/>
      <w:divBdr>
        <w:top w:val="none" w:sz="0" w:space="0" w:color="auto"/>
        <w:left w:val="none" w:sz="0" w:space="0" w:color="auto"/>
        <w:bottom w:val="none" w:sz="0" w:space="0" w:color="auto"/>
        <w:right w:val="none" w:sz="0" w:space="0" w:color="auto"/>
      </w:divBdr>
    </w:div>
    <w:div w:id="1646203252">
      <w:bodyDiv w:val="1"/>
      <w:marLeft w:val="0"/>
      <w:marRight w:val="0"/>
      <w:marTop w:val="0"/>
      <w:marBottom w:val="0"/>
      <w:divBdr>
        <w:top w:val="none" w:sz="0" w:space="0" w:color="auto"/>
        <w:left w:val="none" w:sz="0" w:space="0" w:color="auto"/>
        <w:bottom w:val="none" w:sz="0" w:space="0" w:color="auto"/>
        <w:right w:val="none" w:sz="0" w:space="0" w:color="auto"/>
      </w:divBdr>
    </w:div>
    <w:div w:id="1659923681">
      <w:bodyDiv w:val="1"/>
      <w:marLeft w:val="0"/>
      <w:marRight w:val="0"/>
      <w:marTop w:val="0"/>
      <w:marBottom w:val="0"/>
      <w:divBdr>
        <w:top w:val="none" w:sz="0" w:space="0" w:color="auto"/>
        <w:left w:val="none" w:sz="0" w:space="0" w:color="auto"/>
        <w:bottom w:val="none" w:sz="0" w:space="0" w:color="auto"/>
        <w:right w:val="none" w:sz="0" w:space="0" w:color="auto"/>
      </w:divBdr>
    </w:div>
    <w:div w:id="1661272568">
      <w:bodyDiv w:val="1"/>
      <w:marLeft w:val="0"/>
      <w:marRight w:val="0"/>
      <w:marTop w:val="0"/>
      <w:marBottom w:val="0"/>
      <w:divBdr>
        <w:top w:val="none" w:sz="0" w:space="0" w:color="auto"/>
        <w:left w:val="none" w:sz="0" w:space="0" w:color="auto"/>
        <w:bottom w:val="none" w:sz="0" w:space="0" w:color="auto"/>
        <w:right w:val="none" w:sz="0" w:space="0" w:color="auto"/>
      </w:divBdr>
    </w:div>
    <w:div w:id="1688866198">
      <w:bodyDiv w:val="1"/>
      <w:marLeft w:val="0"/>
      <w:marRight w:val="0"/>
      <w:marTop w:val="0"/>
      <w:marBottom w:val="0"/>
      <w:divBdr>
        <w:top w:val="none" w:sz="0" w:space="0" w:color="auto"/>
        <w:left w:val="none" w:sz="0" w:space="0" w:color="auto"/>
        <w:bottom w:val="none" w:sz="0" w:space="0" w:color="auto"/>
        <w:right w:val="none" w:sz="0" w:space="0" w:color="auto"/>
      </w:divBdr>
    </w:div>
    <w:div w:id="1694846203">
      <w:bodyDiv w:val="1"/>
      <w:marLeft w:val="0"/>
      <w:marRight w:val="0"/>
      <w:marTop w:val="0"/>
      <w:marBottom w:val="0"/>
      <w:divBdr>
        <w:top w:val="none" w:sz="0" w:space="0" w:color="auto"/>
        <w:left w:val="none" w:sz="0" w:space="0" w:color="auto"/>
        <w:bottom w:val="none" w:sz="0" w:space="0" w:color="auto"/>
        <w:right w:val="none" w:sz="0" w:space="0" w:color="auto"/>
      </w:divBdr>
    </w:div>
    <w:div w:id="1699624010">
      <w:bodyDiv w:val="1"/>
      <w:marLeft w:val="0"/>
      <w:marRight w:val="0"/>
      <w:marTop w:val="0"/>
      <w:marBottom w:val="0"/>
      <w:divBdr>
        <w:top w:val="none" w:sz="0" w:space="0" w:color="auto"/>
        <w:left w:val="none" w:sz="0" w:space="0" w:color="auto"/>
        <w:bottom w:val="none" w:sz="0" w:space="0" w:color="auto"/>
        <w:right w:val="none" w:sz="0" w:space="0" w:color="auto"/>
      </w:divBdr>
    </w:div>
    <w:div w:id="1700010488">
      <w:bodyDiv w:val="1"/>
      <w:marLeft w:val="0"/>
      <w:marRight w:val="0"/>
      <w:marTop w:val="0"/>
      <w:marBottom w:val="0"/>
      <w:divBdr>
        <w:top w:val="none" w:sz="0" w:space="0" w:color="auto"/>
        <w:left w:val="none" w:sz="0" w:space="0" w:color="auto"/>
        <w:bottom w:val="none" w:sz="0" w:space="0" w:color="auto"/>
        <w:right w:val="none" w:sz="0" w:space="0" w:color="auto"/>
      </w:divBdr>
    </w:div>
    <w:div w:id="1714427508">
      <w:bodyDiv w:val="1"/>
      <w:marLeft w:val="0"/>
      <w:marRight w:val="0"/>
      <w:marTop w:val="0"/>
      <w:marBottom w:val="0"/>
      <w:divBdr>
        <w:top w:val="none" w:sz="0" w:space="0" w:color="auto"/>
        <w:left w:val="none" w:sz="0" w:space="0" w:color="auto"/>
        <w:bottom w:val="none" w:sz="0" w:space="0" w:color="auto"/>
        <w:right w:val="none" w:sz="0" w:space="0" w:color="auto"/>
      </w:divBdr>
    </w:div>
    <w:div w:id="1714773443">
      <w:bodyDiv w:val="1"/>
      <w:marLeft w:val="0"/>
      <w:marRight w:val="0"/>
      <w:marTop w:val="0"/>
      <w:marBottom w:val="0"/>
      <w:divBdr>
        <w:top w:val="none" w:sz="0" w:space="0" w:color="auto"/>
        <w:left w:val="none" w:sz="0" w:space="0" w:color="auto"/>
        <w:bottom w:val="none" w:sz="0" w:space="0" w:color="auto"/>
        <w:right w:val="none" w:sz="0" w:space="0" w:color="auto"/>
      </w:divBdr>
    </w:div>
    <w:div w:id="1715233341">
      <w:bodyDiv w:val="1"/>
      <w:marLeft w:val="0"/>
      <w:marRight w:val="0"/>
      <w:marTop w:val="0"/>
      <w:marBottom w:val="0"/>
      <w:divBdr>
        <w:top w:val="none" w:sz="0" w:space="0" w:color="auto"/>
        <w:left w:val="none" w:sz="0" w:space="0" w:color="auto"/>
        <w:bottom w:val="none" w:sz="0" w:space="0" w:color="auto"/>
        <w:right w:val="none" w:sz="0" w:space="0" w:color="auto"/>
      </w:divBdr>
    </w:div>
    <w:div w:id="1717775278">
      <w:bodyDiv w:val="1"/>
      <w:marLeft w:val="0"/>
      <w:marRight w:val="0"/>
      <w:marTop w:val="0"/>
      <w:marBottom w:val="0"/>
      <w:divBdr>
        <w:top w:val="none" w:sz="0" w:space="0" w:color="auto"/>
        <w:left w:val="none" w:sz="0" w:space="0" w:color="auto"/>
        <w:bottom w:val="none" w:sz="0" w:space="0" w:color="auto"/>
        <w:right w:val="none" w:sz="0" w:space="0" w:color="auto"/>
      </w:divBdr>
    </w:div>
    <w:div w:id="1723095694">
      <w:bodyDiv w:val="1"/>
      <w:marLeft w:val="0"/>
      <w:marRight w:val="0"/>
      <w:marTop w:val="0"/>
      <w:marBottom w:val="0"/>
      <w:divBdr>
        <w:top w:val="none" w:sz="0" w:space="0" w:color="auto"/>
        <w:left w:val="none" w:sz="0" w:space="0" w:color="auto"/>
        <w:bottom w:val="none" w:sz="0" w:space="0" w:color="auto"/>
        <w:right w:val="none" w:sz="0" w:space="0" w:color="auto"/>
      </w:divBdr>
    </w:div>
    <w:div w:id="1727410205">
      <w:bodyDiv w:val="1"/>
      <w:marLeft w:val="0"/>
      <w:marRight w:val="0"/>
      <w:marTop w:val="0"/>
      <w:marBottom w:val="0"/>
      <w:divBdr>
        <w:top w:val="none" w:sz="0" w:space="0" w:color="auto"/>
        <w:left w:val="none" w:sz="0" w:space="0" w:color="auto"/>
        <w:bottom w:val="none" w:sz="0" w:space="0" w:color="auto"/>
        <w:right w:val="none" w:sz="0" w:space="0" w:color="auto"/>
      </w:divBdr>
    </w:div>
    <w:div w:id="1730222745">
      <w:bodyDiv w:val="1"/>
      <w:marLeft w:val="0"/>
      <w:marRight w:val="0"/>
      <w:marTop w:val="0"/>
      <w:marBottom w:val="0"/>
      <w:divBdr>
        <w:top w:val="none" w:sz="0" w:space="0" w:color="auto"/>
        <w:left w:val="none" w:sz="0" w:space="0" w:color="auto"/>
        <w:bottom w:val="none" w:sz="0" w:space="0" w:color="auto"/>
        <w:right w:val="none" w:sz="0" w:space="0" w:color="auto"/>
      </w:divBdr>
    </w:div>
    <w:div w:id="1737850166">
      <w:bodyDiv w:val="1"/>
      <w:marLeft w:val="0"/>
      <w:marRight w:val="0"/>
      <w:marTop w:val="0"/>
      <w:marBottom w:val="0"/>
      <w:divBdr>
        <w:top w:val="none" w:sz="0" w:space="0" w:color="auto"/>
        <w:left w:val="none" w:sz="0" w:space="0" w:color="auto"/>
        <w:bottom w:val="none" w:sz="0" w:space="0" w:color="auto"/>
        <w:right w:val="none" w:sz="0" w:space="0" w:color="auto"/>
      </w:divBdr>
    </w:div>
    <w:div w:id="1738091653">
      <w:bodyDiv w:val="1"/>
      <w:marLeft w:val="0"/>
      <w:marRight w:val="0"/>
      <w:marTop w:val="0"/>
      <w:marBottom w:val="0"/>
      <w:divBdr>
        <w:top w:val="none" w:sz="0" w:space="0" w:color="auto"/>
        <w:left w:val="none" w:sz="0" w:space="0" w:color="auto"/>
        <w:bottom w:val="none" w:sz="0" w:space="0" w:color="auto"/>
        <w:right w:val="none" w:sz="0" w:space="0" w:color="auto"/>
      </w:divBdr>
    </w:div>
    <w:div w:id="1745030158">
      <w:bodyDiv w:val="1"/>
      <w:marLeft w:val="0"/>
      <w:marRight w:val="0"/>
      <w:marTop w:val="0"/>
      <w:marBottom w:val="0"/>
      <w:divBdr>
        <w:top w:val="none" w:sz="0" w:space="0" w:color="auto"/>
        <w:left w:val="none" w:sz="0" w:space="0" w:color="auto"/>
        <w:bottom w:val="none" w:sz="0" w:space="0" w:color="auto"/>
        <w:right w:val="none" w:sz="0" w:space="0" w:color="auto"/>
      </w:divBdr>
    </w:div>
    <w:div w:id="1747150005">
      <w:bodyDiv w:val="1"/>
      <w:marLeft w:val="0"/>
      <w:marRight w:val="0"/>
      <w:marTop w:val="0"/>
      <w:marBottom w:val="0"/>
      <w:divBdr>
        <w:top w:val="none" w:sz="0" w:space="0" w:color="auto"/>
        <w:left w:val="none" w:sz="0" w:space="0" w:color="auto"/>
        <w:bottom w:val="none" w:sz="0" w:space="0" w:color="auto"/>
        <w:right w:val="none" w:sz="0" w:space="0" w:color="auto"/>
      </w:divBdr>
    </w:div>
    <w:div w:id="1749494907">
      <w:bodyDiv w:val="1"/>
      <w:marLeft w:val="0"/>
      <w:marRight w:val="0"/>
      <w:marTop w:val="0"/>
      <w:marBottom w:val="0"/>
      <w:divBdr>
        <w:top w:val="none" w:sz="0" w:space="0" w:color="auto"/>
        <w:left w:val="none" w:sz="0" w:space="0" w:color="auto"/>
        <w:bottom w:val="none" w:sz="0" w:space="0" w:color="auto"/>
        <w:right w:val="none" w:sz="0" w:space="0" w:color="auto"/>
      </w:divBdr>
    </w:div>
    <w:div w:id="1752267069">
      <w:bodyDiv w:val="1"/>
      <w:marLeft w:val="0"/>
      <w:marRight w:val="0"/>
      <w:marTop w:val="0"/>
      <w:marBottom w:val="0"/>
      <w:divBdr>
        <w:top w:val="none" w:sz="0" w:space="0" w:color="auto"/>
        <w:left w:val="none" w:sz="0" w:space="0" w:color="auto"/>
        <w:bottom w:val="none" w:sz="0" w:space="0" w:color="auto"/>
        <w:right w:val="none" w:sz="0" w:space="0" w:color="auto"/>
      </w:divBdr>
    </w:div>
    <w:div w:id="1754469916">
      <w:bodyDiv w:val="1"/>
      <w:marLeft w:val="0"/>
      <w:marRight w:val="0"/>
      <w:marTop w:val="0"/>
      <w:marBottom w:val="0"/>
      <w:divBdr>
        <w:top w:val="none" w:sz="0" w:space="0" w:color="auto"/>
        <w:left w:val="none" w:sz="0" w:space="0" w:color="auto"/>
        <w:bottom w:val="none" w:sz="0" w:space="0" w:color="auto"/>
        <w:right w:val="none" w:sz="0" w:space="0" w:color="auto"/>
      </w:divBdr>
    </w:div>
    <w:div w:id="1755277399">
      <w:bodyDiv w:val="1"/>
      <w:marLeft w:val="0"/>
      <w:marRight w:val="0"/>
      <w:marTop w:val="0"/>
      <w:marBottom w:val="0"/>
      <w:divBdr>
        <w:top w:val="none" w:sz="0" w:space="0" w:color="auto"/>
        <w:left w:val="none" w:sz="0" w:space="0" w:color="auto"/>
        <w:bottom w:val="none" w:sz="0" w:space="0" w:color="auto"/>
        <w:right w:val="none" w:sz="0" w:space="0" w:color="auto"/>
      </w:divBdr>
    </w:div>
    <w:div w:id="1782992831">
      <w:bodyDiv w:val="1"/>
      <w:marLeft w:val="0"/>
      <w:marRight w:val="0"/>
      <w:marTop w:val="0"/>
      <w:marBottom w:val="0"/>
      <w:divBdr>
        <w:top w:val="none" w:sz="0" w:space="0" w:color="auto"/>
        <w:left w:val="none" w:sz="0" w:space="0" w:color="auto"/>
        <w:bottom w:val="none" w:sz="0" w:space="0" w:color="auto"/>
        <w:right w:val="none" w:sz="0" w:space="0" w:color="auto"/>
      </w:divBdr>
    </w:div>
    <w:div w:id="1784224123">
      <w:bodyDiv w:val="1"/>
      <w:marLeft w:val="0"/>
      <w:marRight w:val="0"/>
      <w:marTop w:val="0"/>
      <w:marBottom w:val="0"/>
      <w:divBdr>
        <w:top w:val="none" w:sz="0" w:space="0" w:color="auto"/>
        <w:left w:val="none" w:sz="0" w:space="0" w:color="auto"/>
        <w:bottom w:val="none" w:sz="0" w:space="0" w:color="auto"/>
        <w:right w:val="none" w:sz="0" w:space="0" w:color="auto"/>
      </w:divBdr>
    </w:div>
    <w:div w:id="1785997314">
      <w:bodyDiv w:val="1"/>
      <w:marLeft w:val="0"/>
      <w:marRight w:val="0"/>
      <w:marTop w:val="0"/>
      <w:marBottom w:val="0"/>
      <w:divBdr>
        <w:top w:val="none" w:sz="0" w:space="0" w:color="auto"/>
        <w:left w:val="none" w:sz="0" w:space="0" w:color="auto"/>
        <w:bottom w:val="none" w:sz="0" w:space="0" w:color="auto"/>
        <w:right w:val="none" w:sz="0" w:space="0" w:color="auto"/>
      </w:divBdr>
    </w:div>
    <w:div w:id="1786344513">
      <w:bodyDiv w:val="1"/>
      <w:marLeft w:val="0"/>
      <w:marRight w:val="0"/>
      <w:marTop w:val="0"/>
      <w:marBottom w:val="0"/>
      <w:divBdr>
        <w:top w:val="none" w:sz="0" w:space="0" w:color="auto"/>
        <w:left w:val="none" w:sz="0" w:space="0" w:color="auto"/>
        <w:bottom w:val="none" w:sz="0" w:space="0" w:color="auto"/>
        <w:right w:val="none" w:sz="0" w:space="0" w:color="auto"/>
      </w:divBdr>
    </w:div>
    <w:div w:id="1789398125">
      <w:bodyDiv w:val="1"/>
      <w:marLeft w:val="0"/>
      <w:marRight w:val="0"/>
      <w:marTop w:val="0"/>
      <w:marBottom w:val="0"/>
      <w:divBdr>
        <w:top w:val="none" w:sz="0" w:space="0" w:color="auto"/>
        <w:left w:val="none" w:sz="0" w:space="0" w:color="auto"/>
        <w:bottom w:val="none" w:sz="0" w:space="0" w:color="auto"/>
        <w:right w:val="none" w:sz="0" w:space="0" w:color="auto"/>
      </w:divBdr>
    </w:div>
    <w:div w:id="1791195111">
      <w:bodyDiv w:val="1"/>
      <w:marLeft w:val="0"/>
      <w:marRight w:val="0"/>
      <w:marTop w:val="0"/>
      <w:marBottom w:val="0"/>
      <w:divBdr>
        <w:top w:val="none" w:sz="0" w:space="0" w:color="auto"/>
        <w:left w:val="none" w:sz="0" w:space="0" w:color="auto"/>
        <w:bottom w:val="none" w:sz="0" w:space="0" w:color="auto"/>
        <w:right w:val="none" w:sz="0" w:space="0" w:color="auto"/>
      </w:divBdr>
    </w:div>
    <w:div w:id="1795320101">
      <w:bodyDiv w:val="1"/>
      <w:marLeft w:val="0"/>
      <w:marRight w:val="0"/>
      <w:marTop w:val="0"/>
      <w:marBottom w:val="0"/>
      <w:divBdr>
        <w:top w:val="none" w:sz="0" w:space="0" w:color="auto"/>
        <w:left w:val="none" w:sz="0" w:space="0" w:color="auto"/>
        <w:bottom w:val="none" w:sz="0" w:space="0" w:color="auto"/>
        <w:right w:val="none" w:sz="0" w:space="0" w:color="auto"/>
      </w:divBdr>
    </w:div>
    <w:div w:id="180076074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5246679">
      <w:bodyDiv w:val="1"/>
      <w:marLeft w:val="0"/>
      <w:marRight w:val="0"/>
      <w:marTop w:val="0"/>
      <w:marBottom w:val="0"/>
      <w:divBdr>
        <w:top w:val="none" w:sz="0" w:space="0" w:color="auto"/>
        <w:left w:val="none" w:sz="0" w:space="0" w:color="auto"/>
        <w:bottom w:val="none" w:sz="0" w:space="0" w:color="auto"/>
        <w:right w:val="none" w:sz="0" w:space="0" w:color="auto"/>
      </w:divBdr>
    </w:div>
    <w:div w:id="1816340393">
      <w:bodyDiv w:val="1"/>
      <w:marLeft w:val="0"/>
      <w:marRight w:val="0"/>
      <w:marTop w:val="0"/>
      <w:marBottom w:val="0"/>
      <w:divBdr>
        <w:top w:val="none" w:sz="0" w:space="0" w:color="auto"/>
        <w:left w:val="none" w:sz="0" w:space="0" w:color="auto"/>
        <w:bottom w:val="none" w:sz="0" w:space="0" w:color="auto"/>
        <w:right w:val="none" w:sz="0" w:space="0" w:color="auto"/>
      </w:divBdr>
    </w:div>
    <w:div w:id="1816412497">
      <w:bodyDiv w:val="1"/>
      <w:marLeft w:val="0"/>
      <w:marRight w:val="0"/>
      <w:marTop w:val="0"/>
      <w:marBottom w:val="0"/>
      <w:divBdr>
        <w:top w:val="none" w:sz="0" w:space="0" w:color="auto"/>
        <w:left w:val="none" w:sz="0" w:space="0" w:color="auto"/>
        <w:bottom w:val="none" w:sz="0" w:space="0" w:color="auto"/>
        <w:right w:val="none" w:sz="0" w:space="0" w:color="auto"/>
      </w:divBdr>
    </w:div>
    <w:div w:id="181911160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315066">
      <w:bodyDiv w:val="1"/>
      <w:marLeft w:val="0"/>
      <w:marRight w:val="0"/>
      <w:marTop w:val="0"/>
      <w:marBottom w:val="0"/>
      <w:divBdr>
        <w:top w:val="none" w:sz="0" w:space="0" w:color="auto"/>
        <w:left w:val="none" w:sz="0" w:space="0" w:color="auto"/>
        <w:bottom w:val="none" w:sz="0" w:space="0" w:color="auto"/>
        <w:right w:val="none" w:sz="0" w:space="0" w:color="auto"/>
      </w:divBdr>
    </w:div>
    <w:div w:id="1828666888">
      <w:bodyDiv w:val="1"/>
      <w:marLeft w:val="0"/>
      <w:marRight w:val="0"/>
      <w:marTop w:val="0"/>
      <w:marBottom w:val="0"/>
      <w:divBdr>
        <w:top w:val="none" w:sz="0" w:space="0" w:color="auto"/>
        <w:left w:val="none" w:sz="0" w:space="0" w:color="auto"/>
        <w:bottom w:val="none" w:sz="0" w:space="0" w:color="auto"/>
        <w:right w:val="none" w:sz="0" w:space="0" w:color="auto"/>
      </w:divBdr>
    </w:div>
    <w:div w:id="1832679494">
      <w:bodyDiv w:val="1"/>
      <w:marLeft w:val="0"/>
      <w:marRight w:val="0"/>
      <w:marTop w:val="0"/>
      <w:marBottom w:val="0"/>
      <w:divBdr>
        <w:top w:val="none" w:sz="0" w:space="0" w:color="auto"/>
        <w:left w:val="none" w:sz="0" w:space="0" w:color="auto"/>
        <w:bottom w:val="none" w:sz="0" w:space="0" w:color="auto"/>
        <w:right w:val="none" w:sz="0" w:space="0" w:color="auto"/>
      </w:divBdr>
    </w:div>
    <w:div w:id="1856378298">
      <w:bodyDiv w:val="1"/>
      <w:marLeft w:val="0"/>
      <w:marRight w:val="0"/>
      <w:marTop w:val="0"/>
      <w:marBottom w:val="0"/>
      <w:divBdr>
        <w:top w:val="none" w:sz="0" w:space="0" w:color="auto"/>
        <w:left w:val="none" w:sz="0" w:space="0" w:color="auto"/>
        <w:bottom w:val="none" w:sz="0" w:space="0" w:color="auto"/>
        <w:right w:val="none" w:sz="0" w:space="0" w:color="auto"/>
      </w:divBdr>
    </w:div>
    <w:div w:id="1876232362">
      <w:bodyDiv w:val="1"/>
      <w:marLeft w:val="0"/>
      <w:marRight w:val="0"/>
      <w:marTop w:val="0"/>
      <w:marBottom w:val="0"/>
      <w:divBdr>
        <w:top w:val="none" w:sz="0" w:space="0" w:color="auto"/>
        <w:left w:val="none" w:sz="0" w:space="0" w:color="auto"/>
        <w:bottom w:val="none" w:sz="0" w:space="0" w:color="auto"/>
        <w:right w:val="none" w:sz="0" w:space="0" w:color="auto"/>
      </w:divBdr>
    </w:div>
    <w:div w:id="1877617449">
      <w:bodyDiv w:val="1"/>
      <w:marLeft w:val="0"/>
      <w:marRight w:val="0"/>
      <w:marTop w:val="0"/>
      <w:marBottom w:val="0"/>
      <w:divBdr>
        <w:top w:val="none" w:sz="0" w:space="0" w:color="auto"/>
        <w:left w:val="none" w:sz="0" w:space="0" w:color="auto"/>
        <w:bottom w:val="none" w:sz="0" w:space="0" w:color="auto"/>
        <w:right w:val="none" w:sz="0" w:space="0" w:color="auto"/>
      </w:divBdr>
    </w:div>
    <w:div w:id="1880048272">
      <w:bodyDiv w:val="1"/>
      <w:marLeft w:val="0"/>
      <w:marRight w:val="0"/>
      <w:marTop w:val="0"/>
      <w:marBottom w:val="0"/>
      <w:divBdr>
        <w:top w:val="none" w:sz="0" w:space="0" w:color="auto"/>
        <w:left w:val="none" w:sz="0" w:space="0" w:color="auto"/>
        <w:bottom w:val="none" w:sz="0" w:space="0" w:color="auto"/>
        <w:right w:val="none" w:sz="0" w:space="0" w:color="auto"/>
      </w:divBdr>
    </w:div>
    <w:div w:id="1885095141">
      <w:bodyDiv w:val="1"/>
      <w:marLeft w:val="0"/>
      <w:marRight w:val="0"/>
      <w:marTop w:val="0"/>
      <w:marBottom w:val="0"/>
      <w:divBdr>
        <w:top w:val="none" w:sz="0" w:space="0" w:color="auto"/>
        <w:left w:val="none" w:sz="0" w:space="0" w:color="auto"/>
        <w:bottom w:val="none" w:sz="0" w:space="0" w:color="auto"/>
        <w:right w:val="none" w:sz="0" w:space="0" w:color="auto"/>
      </w:divBdr>
    </w:div>
    <w:div w:id="1901018240">
      <w:bodyDiv w:val="1"/>
      <w:marLeft w:val="0"/>
      <w:marRight w:val="0"/>
      <w:marTop w:val="0"/>
      <w:marBottom w:val="0"/>
      <w:divBdr>
        <w:top w:val="none" w:sz="0" w:space="0" w:color="auto"/>
        <w:left w:val="none" w:sz="0" w:space="0" w:color="auto"/>
        <w:bottom w:val="none" w:sz="0" w:space="0" w:color="auto"/>
        <w:right w:val="none" w:sz="0" w:space="0" w:color="auto"/>
      </w:divBdr>
    </w:div>
    <w:div w:id="1904481591">
      <w:bodyDiv w:val="1"/>
      <w:marLeft w:val="0"/>
      <w:marRight w:val="0"/>
      <w:marTop w:val="0"/>
      <w:marBottom w:val="0"/>
      <w:divBdr>
        <w:top w:val="none" w:sz="0" w:space="0" w:color="auto"/>
        <w:left w:val="none" w:sz="0" w:space="0" w:color="auto"/>
        <w:bottom w:val="none" w:sz="0" w:space="0" w:color="auto"/>
        <w:right w:val="none" w:sz="0" w:space="0" w:color="auto"/>
      </w:divBdr>
    </w:div>
    <w:div w:id="1908608711">
      <w:bodyDiv w:val="1"/>
      <w:marLeft w:val="0"/>
      <w:marRight w:val="0"/>
      <w:marTop w:val="0"/>
      <w:marBottom w:val="0"/>
      <w:divBdr>
        <w:top w:val="none" w:sz="0" w:space="0" w:color="auto"/>
        <w:left w:val="none" w:sz="0" w:space="0" w:color="auto"/>
        <w:bottom w:val="none" w:sz="0" w:space="0" w:color="auto"/>
        <w:right w:val="none" w:sz="0" w:space="0" w:color="auto"/>
      </w:divBdr>
    </w:div>
    <w:div w:id="1916544523">
      <w:bodyDiv w:val="1"/>
      <w:marLeft w:val="0"/>
      <w:marRight w:val="0"/>
      <w:marTop w:val="0"/>
      <w:marBottom w:val="0"/>
      <w:divBdr>
        <w:top w:val="none" w:sz="0" w:space="0" w:color="auto"/>
        <w:left w:val="none" w:sz="0" w:space="0" w:color="auto"/>
        <w:bottom w:val="none" w:sz="0" w:space="0" w:color="auto"/>
        <w:right w:val="none" w:sz="0" w:space="0" w:color="auto"/>
      </w:divBdr>
    </w:div>
    <w:div w:id="1927690946">
      <w:bodyDiv w:val="1"/>
      <w:marLeft w:val="0"/>
      <w:marRight w:val="0"/>
      <w:marTop w:val="0"/>
      <w:marBottom w:val="0"/>
      <w:divBdr>
        <w:top w:val="none" w:sz="0" w:space="0" w:color="auto"/>
        <w:left w:val="none" w:sz="0" w:space="0" w:color="auto"/>
        <w:bottom w:val="none" w:sz="0" w:space="0" w:color="auto"/>
        <w:right w:val="none" w:sz="0" w:space="0" w:color="auto"/>
      </w:divBdr>
    </w:div>
    <w:div w:id="1933932218">
      <w:bodyDiv w:val="1"/>
      <w:marLeft w:val="0"/>
      <w:marRight w:val="0"/>
      <w:marTop w:val="0"/>
      <w:marBottom w:val="0"/>
      <w:divBdr>
        <w:top w:val="none" w:sz="0" w:space="0" w:color="auto"/>
        <w:left w:val="none" w:sz="0" w:space="0" w:color="auto"/>
        <w:bottom w:val="none" w:sz="0" w:space="0" w:color="auto"/>
        <w:right w:val="none" w:sz="0" w:space="0" w:color="auto"/>
      </w:divBdr>
    </w:div>
    <w:div w:id="1950358341">
      <w:bodyDiv w:val="1"/>
      <w:marLeft w:val="0"/>
      <w:marRight w:val="0"/>
      <w:marTop w:val="0"/>
      <w:marBottom w:val="0"/>
      <w:divBdr>
        <w:top w:val="none" w:sz="0" w:space="0" w:color="auto"/>
        <w:left w:val="none" w:sz="0" w:space="0" w:color="auto"/>
        <w:bottom w:val="none" w:sz="0" w:space="0" w:color="auto"/>
        <w:right w:val="none" w:sz="0" w:space="0" w:color="auto"/>
      </w:divBdr>
    </w:div>
    <w:div w:id="1958872727">
      <w:bodyDiv w:val="1"/>
      <w:marLeft w:val="0"/>
      <w:marRight w:val="0"/>
      <w:marTop w:val="0"/>
      <w:marBottom w:val="0"/>
      <w:divBdr>
        <w:top w:val="none" w:sz="0" w:space="0" w:color="auto"/>
        <w:left w:val="none" w:sz="0" w:space="0" w:color="auto"/>
        <w:bottom w:val="none" w:sz="0" w:space="0" w:color="auto"/>
        <w:right w:val="none" w:sz="0" w:space="0" w:color="auto"/>
      </w:divBdr>
    </w:div>
    <w:div w:id="1965189603">
      <w:bodyDiv w:val="1"/>
      <w:marLeft w:val="0"/>
      <w:marRight w:val="0"/>
      <w:marTop w:val="0"/>
      <w:marBottom w:val="0"/>
      <w:divBdr>
        <w:top w:val="none" w:sz="0" w:space="0" w:color="auto"/>
        <w:left w:val="none" w:sz="0" w:space="0" w:color="auto"/>
        <w:bottom w:val="none" w:sz="0" w:space="0" w:color="auto"/>
        <w:right w:val="none" w:sz="0" w:space="0" w:color="auto"/>
      </w:divBdr>
    </w:div>
    <w:div w:id="1969701878">
      <w:bodyDiv w:val="1"/>
      <w:marLeft w:val="0"/>
      <w:marRight w:val="0"/>
      <w:marTop w:val="0"/>
      <w:marBottom w:val="0"/>
      <w:divBdr>
        <w:top w:val="none" w:sz="0" w:space="0" w:color="auto"/>
        <w:left w:val="none" w:sz="0" w:space="0" w:color="auto"/>
        <w:bottom w:val="none" w:sz="0" w:space="0" w:color="auto"/>
        <w:right w:val="none" w:sz="0" w:space="0" w:color="auto"/>
      </w:divBdr>
    </w:div>
    <w:div w:id="1972393009">
      <w:bodyDiv w:val="1"/>
      <w:marLeft w:val="0"/>
      <w:marRight w:val="0"/>
      <w:marTop w:val="0"/>
      <w:marBottom w:val="0"/>
      <w:divBdr>
        <w:top w:val="none" w:sz="0" w:space="0" w:color="auto"/>
        <w:left w:val="none" w:sz="0" w:space="0" w:color="auto"/>
        <w:bottom w:val="none" w:sz="0" w:space="0" w:color="auto"/>
        <w:right w:val="none" w:sz="0" w:space="0" w:color="auto"/>
      </w:divBdr>
    </w:div>
    <w:div w:id="1972662758">
      <w:bodyDiv w:val="1"/>
      <w:marLeft w:val="0"/>
      <w:marRight w:val="0"/>
      <w:marTop w:val="0"/>
      <w:marBottom w:val="0"/>
      <w:divBdr>
        <w:top w:val="none" w:sz="0" w:space="0" w:color="auto"/>
        <w:left w:val="none" w:sz="0" w:space="0" w:color="auto"/>
        <w:bottom w:val="none" w:sz="0" w:space="0" w:color="auto"/>
        <w:right w:val="none" w:sz="0" w:space="0" w:color="auto"/>
      </w:divBdr>
    </w:div>
    <w:div w:id="1973318705">
      <w:bodyDiv w:val="1"/>
      <w:marLeft w:val="0"/>
      <w:marRight w:val="0"/>
      <w:marTop w:val="0"/>
      <w:marBottom w:val="0"/>
      <w:divBdr>
        <w:top w:val="none" w:sz="0" w:space="0" w:color="auto"/>
        <w:left w:val="none" w:sz="0" w:space="0" w:color="auto"/>
        <w:bottom w:val="none" w:sz="0" w:space="0" w:color="auto"/>
        <w:right w:val="none" w:sz="0" w:space="0" w:color="auto"/>
      </w:divBdr>
    </w:div>
    <w:div w:id="1974284888">
      <w:bodyDiv w:val="1"/>
      <w:marLeft w:val="0"/>
      <w:marRight w:val="0"/>
      <w:marTop w:val="0"/>
      <w:marBottom w:val="0"/>
      <w:divBdr>
        <w:top w:val="none" w:sz="0" w:space="0" w:color="auto"/>
        <w:left w:val="none" w:sz="0" w:space="0" w:color="auto"/>
        <w:bottom w:val="none" w:sz="0" w:space="0" w:color="auto"/>
        <w:right w:val="none" w:sz="0" w:space="0" w:color="auto"/>
      </w:divBdr>
    </w:div>
    <w:div w:id="1980264007">
      <w:bodyDiv w:val="1"/>
      <w:marLeft w:val="0"/>
      <w:marRight w:val="0"/>
      <w:marTop w:val="0"/>
      <w:marBottom w:val="0"/>
      <w:divBdr>
        <w:top w:val="none" w:sz="0" w:space="0" w:color="auto"/>
        <w:left w:val="none" w:sz="0" w:space="0" w:color="auto"/>
        <w:bottom w:val="none" w:sz="0" w:space="0" w:color="auto"/>
        <w:right w:val="none" w:sz="0" w:space="0" w:color="auto"/>
      </w:divBdr>
    </w:div>
    <w:div w:id="1984775434">
      <w:bodyDiv w:val="1"/>
      <w:marLeft w:val="0"/>
      <w:marRight w:val="0"/>
      <w:marTop w:val="0"/>
      <w:marBottom w:val="0"/>
      <w:divBdr>
        <w:top w:val="none" w:sz="0" w:space="0" w:color="auto"/>
        <w:left w:val="none" w:sz="0" w:space="0" w:color="auto"/>
        <w:bottom w:val="none" w:sz="0" w:space="0" w:color="auto"/>
        <w:right w:val="none" w:sz="0" w:space="0" w:color="auto"/>
      </w:divBdr>
    </w:div>
    <w:div w:id="1986884701">
      <w:bodyDiv w:val="1"/>
      <w:marLeft w:val="0"/>
      <w:marRight w:val="0"/>
      <w:marTop w:val="0"/>
      <w:marBottom w:val="0"/>
      <w:divBdr>
        <w:top w:val="none" w:sz="0" w:space="0" w:color="auto"/>
        <w:left w:val="none" w:sz="0" w:space="0" w:color="auto"/>
        <w:bottom w:val="none" w:sz="0" w:space="0" w:color="auto"/>
        <w:right w:val="none" w:sz="0" w:space="0" w:color="auto"/>
      </w:divBdr>
    </w:div>
    <w:div w:id="1988124320">
      <w:bodyDiv w:val="1"/>
      <w:marLeft w:val="0"/>
      <w:marRight w:val="0"/>
      <w:marTop w:val="0"/>
      <w:marBottom w:val="0"/>
      <w:divBdr>
        <w:top w:val="none" w:sz="0" w:space="0" w:color="auto"/>
        <w:left w:val="none" w:sz="0" w:space="0" w:color="auto"/>
        <w:bottom w:val="none" w:sz="0" w:space="0" w:color="auto"/>
        <w:right w:val="none" w:sz="0" w:space="0" w:color="auto"/>
      </w:divBdr>
    </w:div>
    <w:div w:id="1996297333">
      <w:bodyDiv w:val="1"/>
      <w:marLeft w:val="0"/>
      <w:marRight w:val="0"/>
      <w:marTop w:val="0"/>
      <w:marBottom w:val="0"/>
      <w:divBdr>
        <w:top w:val="none" w:sz="0" w:space="0" w:color="auto"/>
        <w:left w:val="none" w:sz="0" w:space="0" w:color="auto"/>
        <w:bottom w:val="none" w:sz="0" w:space="0" w:color="auto"/>
        <w:right w:val="none" w:sz="0" w:space="0" w:color="auto"/>
      </w:divBdr>
    </w:div>
    <w:div w:id="1998533387">
      <w:bodyDiv w:val="1"/>
      <w:marLeft w:val="0"/>
      <w:marRight w:val="0"/>
      <w:marTop w:val="0"/>
      <w:marBottom w:val="0"/>
      <w:divBdr>
        <w:top w:val="none" w:sz="0" w:space="0" w:color="auto"/>
        <w:left w:val="none" w:sz="0" w:space="0" w:color="auto"/>
        <w:bottom w:val="none" w:sz="0" w:space="0" w:color="auto"/>
        <w:right w:val="none" w:sz="0" w:space="0" w:color="auto"/>
      </w:divBdr>
    </w:div>
    <w:div w:id="2001345414">
      <w:bodyDiv w:val="1"/>
      <w:marLeft w:val="0"/>
      <w:marRight w:val="0"/>
      <w:marTop w:val="0"/>
      <w:marBottom w:val="0"/>
      <w:divBdr>
        <w:top w:val="none" w:sz="0" w:space="0" w:color="auto"/>
        <w:left w:val="none" w:sz="0" w:space="0" w:color="auto"/>
        <w:bottom w:val="none" w:sz="0" w:space="0" w:color="auto"/>
        <w:right w:val="none" w:sz="0" w:space="0" w:color="auto"/>
      </w:divBdr>
    </w:div>
    <w:div w:id="2005275802">
      <w:bodyDiv w:val="1"/>
      <w:marLeft w:val="0"/>
      <w:marRight w:val="0"/>
      <w:marTop w:val="0"/>
      <w:marBottom w:val="0"/>
      <w:divBdr>
        <w:top w:val="none" w:sz="0" w:space="0" w:color="auto"/>
        <w:left w:val="none" w:sz="0" w:space="0" w:color="auto"/>
        <w:bottom w:val="none" w:sz="0" w:space="0" w:color="auto"/>
        <w:right w:val="none" w:sz="0" w:space="0" w:color="auto"/>
      </w:divBdr>
    </w:div>
    <w:div w:id="2006201060">
      <w:bodyDiv w:val="1"/>
      <w:marLeft w:val="0"/>
      <w:marRight w:val="0"/>
      <w:marTop w:val="0"/>
      <w:marBottom w:val="0"/>
      <w:divBdr>
        <w:top w:val="none" w:sz="0" w:space="0" w:color="auto"/>
        <w:left w:val="none" w:sz="0" w:space="0" w:color="auto"/>
        <w:bottom w:val="none" w:sz="0" w:space="0" w:color="auto"/>
        <w:right w:val="none" w:sz="0" w:space="0" w:color="auto"/>
      </w:divBdr>
    </w:div>
    <w:div w:id="2008710033">
      <w:bodyDiv w:val="1"/>
      <w:marLeft w:val="0"/>
      <w:marRight w:val="0"/>
      <w:marTop w:val="0"/>
      <w:marBottom w:val="0"/>
      <w:divBdr>
        <w:top w:val="none" w:sz="0" w:space="0" w:color="auto"/>
        <w:left w:val="none" w:sz="0" w:space="0" w:color="auto"/>
        <w:bottom w:val="none" w:sz="0" w:space="0" w:color="auto"/>
        <w:right w:val="none" w:sz="0" w:space="0" w:color="auto"/>
      </w:divBdr>
    </w:div>
    <w:div w:id="2011371021">
      <w:bodyDiv w:val="1"/>
      <w:marLeft w:val="0"/>
      <w:marRight w:val="0"/>
      <w:marTop w:val="0"/>
      <w:marBottom w:val="0"/>
      <w:divBdr>
        <w:top w:val="none" w:sz="0" w:space="0" w:color="auto"/>
        <w:left w:val="none" w:sz="0" w:space="0" w:color="auto"/>
        <w:bottom w:val="none" w:sz="0" w:space="0" w:color="auto"/>
        <w:right w:val="none" w:sz="0" w:space="0" w:color="auto"/>
      </w:divBdr>
    </w:div>
    <w:div w:id="2011987174">
      <w:bodyDiv w:val="1"/>
      <w:marLeft w:val="0"/>
      <w:marRight w:val="0"/>
      <w:marTop w:val="0"/>
      <w:marBottom w:val="0"/>
      <w:divBdr>
        <w:top w:val="none" w:sz="0" w:space="0" w:color="auto"/>
        <w:left w:val="none" w:sz="0" w:space="0" w:color="auto"/>
        <w:bottom w:val="none" w:sz="0" w:space="0" w:color="auto"/>
        <w:right w:val="none" w:sz="0" w:space="0" w:color="auto"/>
      </w:divBdr>
    </w:div>
    <w:div w:id="2022313876">
      <w:bodyDiv w:val="1"/>
      <w:marLeft w:val="0"/>
      <w:marRight w:val="0"/>
      <w:marTop w:val="0"/>
      <w:marBottom w:val="0"/>
      <w:divBdr>
        <w:top w:val="none" w:sz="0" w:space="0" w:color="auto"/>
        <w:left w:val="none" w:sz="0" w:space="0" w:color="auto"/>
        <w:bottom w:val="none" w:sz="0" w:space="0" w:color="auto"/>
        <w:right w:val="none" w:sz="0" w:space="0" w:color="auto"/>
      </w:divBdr>
    </w:div>
    <w:div w:id="2040936710">
      <w:bodyDiv w:val="1"/>
      <w:marLeft w:val="0"/>
      <w:marRight w:val="0"/>
      <w:marTop w:val="0"/>
      <w:marBottom w:val="0"/>
      <w:divBdr>
        <w:top w:val="none" w:sz="0" w:space="0" w:color="auto"/>
        <w:left w:val="none" w:sz="0" w:space="0" w:color="auto"/>
        <w:bottom w:val="none" w:sz="0" w:space="0" w:color="auto"/>
        <w:right w:val="none" w:sz="0" w:space="0" w:color="auto"/>
      </w:divBdr>
    </w:div>
    <w:div w:id="2045667698">
      <w:bodyDiv w:val="1"/>
      <w:marLeft w:val="0"/>
      <w:marRight w:val="0"/>
      <w:marTop w:val="0"/>
      <w:marBottom w:val="0"/>
      <w:divBdr>
        <w:top w:val="none" w:sz="0" w:space="0" w:color="auto"/>
        <w:left w:val="none" w:sz="0" w:space="0" w:color="auto"/>
        <w:bottom w:val="none" w:sz="0" w:space="0" w:color="auto"/>
        <w:right w:val="none" w:sz="0" w:space="0" w:color="auto"/>
      </w:divBdr>
    </w:div>
    <w:div w:id="2050376560">
      <w:bodyDiv w:val="1"/>
      <w:marLeft w:val="0"/>
      <w:marRight w:val="0"/>
      <w:marTop w:val="0"/>
      <w:marBottom w:val="0"/>
      <w:divBdr>
        <w:top w:val="none" w:sz="0" w:space="0" w:color="auto"/>
        <w:left w:val="none" w:sz="0" w:space="0" w:color="auto"/>
        <w:bottom w:val="none" w:sz="0" w:space="0" w:color="auto"/>
        <w:right w:val="none" w:sz="0" w:space="0" w:color="auto"/>
      </w:divBdr>
    </w:div>
    <w:div w:id="2050522115">
      <w:bodyDiv w:val="1"/>
      <w:marLeft w:val="0"/>
      <w:marRight w:val="0"/>
      <w:marTop w:val="0"/>
      <w:marBottom w:val="0"/>
      <w:divBdr>
        <w:top w:val="none" w:sz="0" w:space="0" w:color="auto"/>
        <w:left w:val="none" w:sz="0" w:space="0" w:color="auto"/>
        <w:bottom w:val="none" w:sz="0" w:space="0" w:color="auto"/>
        <w:right w:val="none" w:sz="0" w:space="0" w:color="auto"/>
      </w:divBdr>
    </w:div>
    <w:div w:id="2054383082">
      <w:bodyDiv w:val="1"/>
      <w:marLeft w:val="0"/>
      <w:marRight w:val="0"/>
      <w:marTop w:val="0"/>
      <w:marBottom w:val="0"/>
      <w:divBdr>
        <w:top w:val="none" w:sz="0" w:space="0" w:color="auto"/>
        <w:left w:val="none" w:sz="0" w:space="0" w:color="auto"/>
        <w:bottom w:val="none" w:sz="0" w:space="0" w:color="auto"/>
        <w:right w:val="none" w:sz="0" w:space="0" w:color="auto"/>
      </w:divBdr>
    </w:div>
    <w:div w:id="2056730787">
      <w:bodyDiv w:val="1"/>
      <w:marLeft w:val="0"/>
      <w:marRight w:val="0"/>
      <w:marTop w:val="0"/>
      <w:marBottom w:val="0"/>
      <w:divBdr>
        <w:top w:val="none" w:sz="0" w:space="0" w:color="auto"/>
        <w:left w:val="none" w:sz="0" w:space="0" w:color="auto"/>
        <w:bottom w:val="none" w:sz="0" w:space="0" w:color="auto"/>
        <w:right w:val="none" w:sz="0" w:space="0" w:color="auto"/>
      </w:divBdr>
    </w:div>
    <w:div w:id="2057076117">
      <w:bodyDiv w:val="1"/>
      <w:marLeft w:val="0"/>
      <w:marRight w:val="0"/>
      <w:marTop w:val="0"/>
      <w:marBottom w:val="0"/>
      <w:divBdr>
        <w:top w:val="none" w:sz="0" w:space="0" w:color="auto"/>
        <w:left w:val="none" w:sz="0" w:space="0" w:color="auto"/>
        <w:bottom w:val="none" w:sz="0" w:space="0" w:color="auto"/>
        <w:right w:val="none" w:sz="0" w:space="0" w:color="auto"/>
      </w:divBdr>
    </w:div>
    <w:div w:id="207095940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108188">
      <w:bodyDiv w:val="1"/>
      <w:marLeft w:val="0"/>
      <w:marRight w:val="0"/>
      <w:marTop w:val="0"/>
      <w:marBottom w:val="0"/>
      <w:divBdr>
        <w:top w:val="none" w:sz="0" w:space="0" w:color="auto"/>
        <w:left w:val="none" w:sz="0" w:space="0" w:color="auto"/>
        <w:bottom w:val="none" w:sz="0" w:space="0" w:color="auto"/>
        <w:right w:val="none" w:sz="0" w:space="0" w:color="auto"/>
      </w:divBdr>
    </w:div>
    <w:div w:id="2095080194">
      <w:bodyDiv w:val="1"/>
      <w:marLeft w:val="0"/>
      <w:marRight w:val="0"/>
      <w:marTop w:val="0"/>
      <w:marBottom w:val="0"/>
      <w:divBdr>
        <w:top w:val="none" w:sz="0" w:space="0" w:color="auto"/>
        <w:left w:val="none" w:sz="0" w:space="0" w:color="auto"/>
        <w:bottom w:val="none" w:sz="0" w:space="0" w:color="auto"/>
        <w:right w:val="none" w:sz="0" w:space="0" w:color="auto"/>
      </w:divBdr>
    </w:div>
    <w:div w:id="210063411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6923954">
      <w:bodyDiv w:val="1"/>
      <w:marLeft w:val="0"/>
      <w:marRight w:val="0"/>
      <w:marTop w:val="0"/>
      <w:marBottom w:val="0"/>
      <w:divBdr>
        <w:top w:val="none" w:sz="0" w:space="0" w:color="auto"/>
        <w:left w:val="none" w:sz="0" w:space="0" w:color="auto"/>
        <w:bottom w:val="none" w:sz="0" w:space="0" w:color="auto"/>
        <w:right w:val="none" w:sz="0" w:space="0" w:color="auto"/>
      </w:divBdr>
    </w:div>
    <w:div w:id="2130313310">
      <w:bodyDiv w:val="1"/>
      <w:marLeft w:val="0"/>
      <w:marRight w:val="0"/>
      <w:marTop w:val="0"/>
      <w:marBottom w:val="0"/>
      <w:divBdr>
        <w:top w:val="none" w:sz="0" w:space="0" w:color="auto"/>
        <w:left w:val="none" w:sz="0" w:space="0" w:color="auto"/>
        <w:bottom w:val="none" w:sz="0" w:space="0" w:color="auto"/>
        <w:right w:val="none" w:sz="0" w:space="0" w:color="auto"/>
      </w:divBdr>
    </w:div>
    <w:div w:id="2135099632">
      <w:bodyDiv w:val="1"/>
      <w:marLeft w:val="0"/>
      <w:marRight w:val="0"/>
      <w:marTop w:val="0"/>
      <w:marBottom w:val="0"/>
      <w:divBdr>
        <w:top w:val="none" w:sz="0" w:space="0" w:color="auto"/>
        <w:left w:val="none" w:sz="0" w:space="0" w:color="auto"/>
        <w:bottom w:val="none" w:sz="0" w:space="0" w:color="auto"/>
        <w:right w:val="none" w:sz="0" w:space="0" w:color="auto"/>
      </w:divBdr>
    </w:div>
    <w:div w:id="2137873972">
      <w:bodyDiv w:val="1"/>
      <w:marLeft w:val="0"/>
      <w:marRight w:val="0"/>
      <w:marTop w:val="0"/>
      <w:marBottom w:val="0"/>
      <w:divBdr>
        <w:top w:val="none" w:sz="0" w:space="0" w:color="auto"/>
        <w:left w:val="none" w:sz="0" w:space="0" w:color="auto"/>
        <w:bottom w:val="none" w:sz="0" w:space="0" w:color="auto"/>
        <w:right w:val="none" w:sz="0" w:space="0" w:color="auto"/>
      </w:divBdr>
    </w:div>
    <w:div w:id="214211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https://prodonrgov.sharepoint.com/sites/HOW2Hub/_layouts/15/DocIdRedir.aspx?ID=ONRHH-822789359-20584"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24BE4"/>
    <w:rsid w:val="00126CEA"/>
    <w:rsid w:val="00160C64"/>
    <w:rsid w:val="00176DB5"/>
    <w:rsid w:val="00183F29"/>
    <w:rsid w:val="002550FD"/>
    <w:rsid w:val="003236D2"/>
    <w:rsid w:val="00333F8E"/>
    <w:rsid w:val="00350199"/>
    <w:rsid w:val="003D5793"/>
    <w:rsid w:val="005A49B8"/>
    <w:rsid w:val="006B3571"/>
    <w:rsid w:val="006D0858"/>
    <w:rsid w:val="007154C5"/>
    <w:rsid w:val="00764F6F"/>
    <w:rsid w:val="0083336C"/>
    <w:rsid w:val="00835E07"/>
    <w:rsid w:val="00A009A6"/>
    <w:rsid w:val="00A657B0"/>
    <w:rsid w:val="00C17C1E"/>
    <w:rsid w:val="00C31985"/>
    <w:rsid w:val="00C41BCC"/>
    <w:rsid w:val="00DD7BA4"/>
    <w:rsid w:val="00E27559"/>
    <w:rsid w:val="00E318CE"/>
    <w:rsid w:val="00E527A3"/>
    <w:rsid w:val="00E646E1"/>
    <w:rsid w:val="00E923CD"/>
    <w:rsid w:val="00EB73F1"/>
    <w:rsid w:val="00FE0601"/>
    <w:rsid w:val="00FE5C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ONR81</b:Tag>
    <b:SourceType>Book</b:SourceType>
    <b:Guid>{03AB74E8-560D-4D16-AB4A-E1AA79036D85}</b:Guid>
    <b:Title>ONR, NS-INSP-GD-024 - LC 24 Operating Instructions</b:Title>
    <b:RefOrder>4</b:RefOrder>
  </b:Source>
  <b:Source>
    <b:Tag>ONR263</b:Tag>
    <b:SourceType>Book</b:SourceType>
    <b:Guid>{FE26858E-7312-4A53-AC28-A778ADA55936}</b:Guid>
    <b:Title>ONR, NS-INSP-GD-012, LC 12 Duly authorised and other suitably qualified and experienced person</b:Title>
    <b:RefOrder>5</b:RefOrder>
  </b:Source>
  <b:Source>
    <b:Tag>ONR323</b:Tag>
    <b:SourceType>Book</b:SourceType>
    <b:Guid>{F79F1B5A-F2C6-47CB-AF84-CA9EF68B0D62}</b:Guid>
    <b:Title>ONR, NS-INSP-GD-026, LC 26 Control and Supervision of Operations</b:Title>
    <b:RefOrder>6</b:RefOrder>
  </b:Source>
  <b:Source>
    <b:Tag>ICNEW</b:Tag>
    <b:SourceType>Book</b:SourceType>
    <b:Guid>{C5F18145-8928-4FEF-AF5D-F3BBB15CD411}</b:Guid>
    <b:Title>ONR, NS-TAST-GD-049, Licensee Use of Contractors and Intelligent Customer Capability</b:Title>
    <b:RefOrder>7</b:RefOrder>
  </b:Source>
  <b:Source>
    <b:Tag>ONR288</b:Tag>
    <b:SourceType>Book</b:SourceType>
    <b:Guid>{53DA14B8-009B-426A-9855-3526C759C5CD}</b:Guid>
    <b:Title>ONR, NS-INSP-GD-006, LC 6 Documents, Records, Authorities and Certificates</b:Title>
    <b:RefOrder>8</b:RefOrder>
  </b:Source>
  <b:Source>
    <b:Tag>RecordNEW</b:Tag>
    <b:SourceType>Book</b:SourceType>
    <b:Guid>{3F6B9AB3-5DB0-49F3-8A37-4B1BAADC8A2B}</b:Guid>
    <b:Title>ONR, NS-TAST-GD-033, Licensee Management of Records</b:Title>
    <b:RefOrder>9</b:RefOrder>
  </b:Source>
  <b:Source>
    <b:Tag>IAEANEW</b:Tag>
    <b:SourceType>Book</b:SourceType>
    <b:Guid>{8F434ECC-E9E6-45EA-B187-ED985E9C0F47}</b:Guid>
    <b:Title>IAEA Nuclear Safety and Security Glossary - Terminology Used in Nuclear Safety, Nuclear Security, Radiation Protection and Emergency Preparedness and Response, 2022 (Interim) Edition</b:Title>
    <b:RefOrder>10</b:RefOrder>
  </b:Source>
  <b:Source>
    <b:Tag>tig28iaea</b:Tag>
    <b:SourceType>Book</b:SourceType>
    <b:Guid>{98D8A9FD-D17F-4971-8B4A-CF01E5E76864}</b:Guid>
    <b:Title>IAEA, SSG-74, Maintenance, Testing, Surveillance and Inspection in Nuclear Power Plants</b:Title>
    <b:RefOrder>2</b:RefOrder>
  </b:Source>
  <b:Source>
    <b:Tag>NB</b:Tag>
    <b:SourceType>Book</b:SourceType>
    <b:Guid>{BC2F28FC-E76E-42D0-A1C5-0BC46F88B598}</b:Guid>
    <b:Title>ONR, NS-TAST-GD-065, Function and Content of the Nuclear Baseline </b:Title>
    <b:RefOrder>11</b:RefOrder>
  </b:Source>
  <b:Source>
    <b:Tag>CATCLASS</b:Tag>
    <b:SourceType>Book</b:SourceType>
    <b:Guid>{5DD95E6E-3889-41BE-AC79-96595406622A}</b:Guid>
    <b:Title>ONR, NS-TAST-GD-094, Categorisation of Safety Functions and Classification of Structures, Systems and Components</b:Title>
    <b:RefOrder>12</b:RefOrder>
  </b:Source>
  <b:Source>
    <b:Tag>eimtnewtag</b:Tag>
    <b:SourceType>Book</b:SourceType>
    <b:Guid>{14876224-D87E-464E-916B-01C054409C66}</b:Guid>
    <b:Title>ONR, NS-TAST-GD-009, Examination, Inspection, Maintenance &amp; Testing of Items Important to Safety</b:Title>
    <b:LCID>en-GB</b:LCID>
    <b:RefOrder>1</b:RefOrder>
  </b:Source>
  <b:Source>
    <b:Tag>LC30</b:Tag>
    <b:SourceType>Book</b:SourceType>
    <b:Guid>{CC3D1A3D-A996-4DC9-9E64-4073264E6F6D}</b:Guid>
    <b:Title>ONR, NS-INSP-GD-030, LC 30 - Periodic Shutdown</b:Title>
    <b:RefOrder>13</b:RefOrder>
  </b:Source>
  <b:Source>
    <b:Tag>ONRageingtag</b:Tag>
    <b:SourceType>Book</b:SourceType>
    <b:Guid>{12366EEC-FAFD-4B2F-B04D-0C21A4C73356}</b:Guid>
    <b:Title>ONR, NS-TAST-GD-109, Ageing and Degradation Management </b:Title>
    <b:RefOrder>14</b:RefOrder>
  </b:Source>
  <b:Source>
    <b:Tag>Mech</b:Tag>
    <b:SourceType>Book</b:SourceType>
    <b:Guid>{8A48E93D-A2B2-4EE8-9960-427929718F02}</b:Guid>
    <b:Title>ONR, NS-TAST-GD-102, General Guidance for Mechanical Engineering Specialism Group</b:Title>
    <b:RefOrder>15</b:RefOrder>
  </b:Source>
  <b:Source>
    <b:Tag>Supplychain</b:Tag>
    <b:SourceType>Book</b:SourceType>
    <b:Guid>{433F687C-5049-4857-83C9-93ECA6A84095}</b:Guid>
    <b:Title>ONR, NS-TAST-GD-077, Supply Chain Management Arrangements for the Procurement of Nuclear Safety Related Items or Services</b:Title>
    <b:RefOrder>16</b:RefOrder>
  </b:Source>
  <b:Source>
    <b:Tag>CFSI</b:Tag>
    <b:SourceType>Book</b:SourceType>
    <b:Guid>{0D8537BA-D9D1-4265-8E60-C8872BD41F18}</b:Guid>
    <b:Title>ONR Advice Note, Supply Chain Management - Counterfeit, Fraudulent and Suspect Items (CFSI, 2022/73725)</b:Title>
    <b:RefOrder>17</b:RefOrder>
  </b:Source>
  <b:Source>
    <b:Tag>ONMACS</b:Tag>
    <b:SourceType>Book</b:SourceType>
    <b:Guid>{74E7FA6A-3A19-464A-8B0B-C33BD1F5EC24}</b:Guid>
    <b:Title>ONR Nuclear Material Accountancy, Control, and Safeguards, ONR-CNSS-MAN-001</b:Title>
    <b:RefOrder>18</b:RefOrder>
  </b:Source>
  <b:Source>
    <b:Tag>safenew</b:Tag>
    <b:SourceType>Book</b:SourceType>
    <b:Guid>{D892BF05-F1B6-4091-AB1C-68298F5B6016}</b:Guid>
    <b:Title>ONR, SG-INSP-GD-001, Safeguards</b:Title>
    <b:RefOrder>23</b:RefOrder>
  </b:Source>
  <b:Source>
    <b:Tag>NISR</b:Tag>
    <b:SourceType>Book</b:SourceType>
    <b:Guid>{12172F39-65A5-4BB0-9D39-58AA09753664}</b:Guid>
    <b:Author>
      <b:Author>
        <b:NameList>
          <b:Person>
            <b:Last>HMG</b:Last>
          </b:Person>
        </b:NameList>
      </b:Author>
    </b:Author>
    <b:Title>Nuclear Industries Security Regulations 2003/403</b:Title>
    <b:RefOrder>19</b:RefOrder>
  </b:Source>
  <b:Source>
    <b:Tag>CNSTAG52</b:Tag>
    <b:SourceType>Book</b:SourceType>
    <b:Guid>{A5BAFED8-BD5A-43BF-9992-27CC4A3746B3}</b:Guid>
    <b:Author>
      <b:Author>
        <b:NameList>
          <b:Person>
            <b:Last>ONR</b:Last>
          </b:Person>
        </b:NameList>
      </b:Author>
    </b:Author>
    <b:Title>CNS-TAST-GD-5.2 - Examination, Inspection, Maintenance and Testing of Physical Protection Systems</b:Title>
    <b:RefOrder>20</b:RefOrder>
  </b:Source>
  <b:Source>
    <b:Tag>SyAPs</b:Tag>
    <b:SourceType>Book</b:SourceType>
    <b:Guid>{1447FC68-8947-4117-82B3-085FA5FE016B}</b:Guid>
    <b:Author>
      <b:Author>
        <b:NameList>
          <b:Person>
            <b:Last>ONR</b:Last>
          </b:Person>
        </b:NameList>
      </b:Author>
    </b:Author>
    <b:Title>Security Assessment Principles for the Civil Nuclear Industry, 2022 Edition, Version 1</b:Title>
    <b:RefOrder>21</b:RefOrder>
  </b:Source>
  <b:Source>
    <b:Tag>CNSTIG</b:Tag>
    <b:SourceType>Book</b:SourceType>
    <b:Guid>{3C1738D2-040A-466B-9E17-5B3285E09DF5}</b:Guid>
    <b:Author>
      <b:Author>
        <b:NameList>
          <b:Person>
            <b:Last>ONR</b:Last>
          </b:Person>
        </b:NameList>
      </b:Author>
    </b:Author>
    <b:Title>CNS-INSP-GD-001 - Nuclear Security Inspections</b:Title>
    <b:RefOrder>22</b:RefOrder>
  </b:Source>
  <b:Source>
    <b:Tag>GOV1</b:Tag>
    <b:SourceType>ElectronicSource</b:SourceType>
    <b:Guid>{1D69F3BC-EE45-461B-B2C9-367CA058710B}</b:Guid>
    <b:Author>
      <b:Author>
        <b:NameList>
          <b:Person>
            <b:Last>GOV</b:Last>
          </b:Person>
        </b:NameList>
      </b:Author>
    </b:Author>
    <b:Title>Department for Business Innovation &amp; Skills, Regulators’ Code, April 2014.</b: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3.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4.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5.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6.xml><?xml version="1.0" encoding="utf-8"?>
<ds:datastoreItem xmlns:ds="http://schemas.openxmlformats.org/officeDocument/2006/customXml" ds:itemID="{87427ED4-E1D1-4621-822E-C52BB6ABE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BFF7D9A-DADD-469E-B926-5AF4A01D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20</Pages>
  <Words>4544</Words>
  <Characters>26540</Characters>
  <Application>Microsoft Office Word</Application>
  <DocSecurity>0</DocSecurity>
  <Lines>698</Lines>
  <Paragraphs>374</Paragraphs>
  <ScaleCrop>false</ScaleCrop>
  <HeadingPairs>
    <vt:vector size="2" baseType="variant">
      <vt:variant>
        <vt:lpstr>Title</vt:lpstr>
      </vt:variant>
      <vt:variant>
        <vt:i4>1</vt:i4>
      </vt:variant>
    </vt:vector>
  </HeadingPairs>
  <TitlesOfParts>
    <vt:vector size="1" baseType="lpstr">
      <vt:lpstr>LC 28 – Examination, Inspection, Maintenance and Testing (EIMT)</vt:lpstr>
    </vt:vector>
  </TitlesOfParts>
  <Manager>Office for Nuclear Regulation</Manager>
  <Company>Office for Nuclear Regulation</Company>
  <LinksUpToDate>false</LinksUpToDate>
  <CharactersWithSpaces>30710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28 – Examination, Inspection, Maintenance and Testing (EIMT)</dc:title>
  <dc:subject>[Subtitle or description]</dc:subject>
  <cp:keywords>[Key words separated by commas]</cp:keywords>
  <dc:description/>
  <cp:revision>4</cp:revision>
  <cp:lastPrinted>2016-11-28T11:35:00Z</cp:lastPrinted>
  <dcterms:created xsi:type="dcterms:W3CDTF">2026-06-29T12:31:00Z</dcterms:created>
  <dcterms:modified xsi:type="dcterms:W3CDTF">2026-06-29T12:32:00Z</dcterms:modified>
  <cp:contentStatus>9.2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