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tcPr>
          <w:p w14:paraId="35C1F1C6" w14:textId="77777777" w:rsidR="00C20562" w:rsidRPr="00C20562" w:rsidRDefault="00C20562" w:rsidP="00323E71">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tcPr>
          <w:p w14:paraId="2F059A92" w14:textId="5883F379" w:rsidR="00595C8C" w:rsidRPr="00595C8C" w:rsidRDefault="00595C8C" w:rsidP="00595C8C">
            <w:pPr>
              <w:pStyle w:val="InnerCoverTitle"/>
              <w:rPr>
                <w:sz w:val="36"/>
                <w:szCs w:val="36"/>
              </w:rPr>
            </w:pPr>
            <w:r w:rsidRPr="00595C8C">
              <w:rPr>
                <w:sz w:val="36"/>
                <w:szCs w:val="36"/>
              </w:rPr>
              <w:t xml:space="preserve">ONR </w:t>
            </w:r>
            <w:r w:rsidR="00D60BCB">
              <w:rPr>
                <w:sz w:val="36"/>
                <w:szCs w:val="36"/>
              </w:rPr>
              <w:t>Technical Inspection Guide (TIG)</w:t>
            </w:r>
          </w:p>
          <w:sdt>
            <w:sdtPr>
              <w:rPr>
                <w:sz w:val="72"/>
                <w:szCs w:val="72"/>
              </w:rPr>
              <w:id w:val="1228188510"/>
              <w:placeholder>
                <w:docPart w:val="DefaultPlaceholder_-1854013440"/>
              </w:placeholder>
            </w:sdtPr>
            <w:sdtEndPr/>
            <w:sdtContent>
              <w:p w14:paraId="7C4EA414" w14:textId="431E3D1B" w:rsidR="00D0226A" w:rsidRPr="001E03E1" w:rsidRDefault="001271F6" w:rsidP="001E03E1">
                <w:pPr>
                  <w:pStyle w:val="CoverTitle"/>
                  <w:rPr>
                    <w:szCs w:val="90"/>
                  </w:rPr>
                </w:pPr>
                <w:sdt>
                  <w:sdtPr>
                    <w:rPr>
                      <w:sz w:val="72"/>
                      <w:szCs w:val="72"/>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EndPr/>
                  <w:sdtContent>
                    <w:r w:rsidR="000251E6">
                      <w:rPr>
                        <w:sz w:val="72"/>
                        <w:szCs w:val="72"/>
                      </w:rPr>
                      <w:t>LC24 – Operating Instructions</w:t>
                    </w:r>
                  </w:sdtContent>
                </w:sdt>
              </w:p>
            </w:sdtContent>
          </w:sdt>
        </w:tc>
      </w:tr>
    </w:tbl>
    <w:p w14:paraId="56A09D10" w14:textId="77777777" w:rsidR="00D0226A" w:rsidRDefault="00D0226A">
      <w:pPr>
        <w:spacing w:after="0"/>
      </w:pPr>
    </w:p>
    <w:p w14:paraId="6AB6425B" w14:textId="77777777" w:rsidR="00D0226A" w:rsidRDefault="00881B6F">
      <w:pPr>
        <w:spacing w:after="0"/>
      </w:pPr>
      <w:r>
        <w:rPr>
          <w:noProof/>
        </w:rPr>
        <w:drawing>
          <wp:anchor distT="0" distB="0" distL="114300" distR="114300" simplePos="0" relativeHeight="251661312" behindDoc="1" locked="0" layoutInCell="1" allowOverlap="1" wp14:anchorId="10B0A4AA" wp14:editId="237341DD">
            <wp:simplePos x="685800" y="914400"/>
            <wp:positionH relativeFrom="page">
              <wp:align>left</wp:align>
            </wp:positionH>
            <wp:positionV relativeFrom="page">
              <wp:align>top</wp:align>
            </wp:positionV>
            <wp:extent cx="7568280" cy="1069236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568280" cy="106923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D1C8B33" w14:textId="77777777" w:rsidR="00267815" w:rsidRDefault="00267815">
      <w:pPr>
        <w:spacing w:after="0"/>
      </w:pPr>
      <w:r>
        <w:br w:type="page"/>
      </w:r>
    </w:p>
    <w:p w14:paraId="1FDB4B56" w14:textId="6C10B266" w:rsidR="00595C8C" w:rsidRDefault="00595C8C" w:rsidP="00323E71">
      <w:pPr>
        <w:sectPr w:rsidR="00595C8C" w:rsidSect="00B23A5E">
          <w:headerReference w:type="default" r:id="rId16"/>
          <w:footerReference w:type="default" r:id="rId17"/>
          <w:headerReference w:type="first" r:id="rId18"/>
          <w:footerReference w:type="first" r:id="rId19"/>
          <w:pgSz w:w="11906" w:h="16838" w:code="9"/>
          <w:pgMar w:top="1440" w:right="1440" w:bottom="1440" w:left="1440" w:header="397" w:footer="397" w:gutter="0"/>
          <w:cols w:space="312"/>
          <w:titlePg/>
          <w:docGrid w:linePitch="360"/>
        </w:sectPr>
      </w:pPr>
    </w:p>
    <w:p w14:paraId="3AE5EE98" w14:textId="77777777" w:rsidR="00267815" w:rsidRPr="00EE0C77" w:rsidRDefault="00267815" w:rsidP="00EE0C77">
      <w:pPr>
        <w:pStyle w:val="ContentsHeading"/>
      </w:pPr>
      <w:r w:rsidRPr="00EE0C77">
        <w:lastRenderedPageBreak/>
        <w:t>Co</w:t>
      </w:r>
      <w:r w:rsidRPr="00257288">
        <w:t>n</w:t>
      </w:r>
      <w:r w:rsidRPr="00420A11">
        <w:t>ten</w:t>
      </w:r>
      <w:r w:rsidRPr="00EE0C77">
        <w:t>ts</w:t>
      </w:r>
    </w:p>
    <w:p w14:paraId="0A9D99E9" w14:textId="4AE7570F" w:rsidR="008E7ACF" w:rsidRDefault="00AD167C">
      <w:pPr>
        <w:pStyle w:val="TOC1"/>
        <w:tabs>
          <w:tab w:val="left" w:pos="720"/>
        </w:tabs>
        <w:rPr>
          <w:rFonts w:asciiTheme="minorHAnsi" w:eastAsiaTheme="minorEastAsia" w:hAnsiTheme="minorHAnsi" w:cstheme="minorBidi"/>
          <w:kern w:val="2"/>
          <w:szCs w:val="24"/>
          <w:lang w:eastAsia="en-GB" w:bidi="ar-SA"/>
          <w14:ligatures w14:val="standardContextual"/>
        </w:rPr>
      </w:pPr>
      <w:r>
        <w:fldChar w:fldCharType="begin"/>
      </w:r>
      <w:r w:rsidR="00716AB1" w:rsidRPr="00893D9F">
        <w:instrText xml:space="preserve"> TOC \h \z \t "Heading 1,</w:instrText>
      </w:r>
      <w:r w:rsidR="009C15F3" w:rsidRPr="00893D9F">
        <w:instrText>1</w:instrText>
      </w:r>
      <w:r w:rsidR="00716AB1" w:rsidRPr="00893D9F">
        <w:instrText>,Heading 2,</w:instrText>
      </w:r>
      <w:r w:rsidR="009C15F3" w:rsidRPr="00893D9F">
        <w:instrText>2</w:instrText>
      </w:r>
      <w:r w:rsidR="00716AB1" w:rsidRPr="00893D9F">
        <w:instrText xml:space="preserve">" </w:instrText>
      </w:r>
      <w:r>
        <w:fldChar w:fldCharType="separate"/>
      </w:r>
      <w:hyperlink w:anchor="_Toc225525959" w:history="1">
        <w:r w:rsidR="008E7ACF" w:rsidRPr="00EB6420">
          <w:rPr>
            <w:rStyle w:val="Hyperlink"/>
          </w:rPr>
          <w:t>1.</w:t>
        </w:r>
        <w:r w:rsidR="008E7ACF">
          <w:rPr>
            <w:rFonts w:asciiTheme="minorHAnsi" w:eastAsiaTheme="minorEastAsia" w:hAnsiTheme="minorHAnsi" w:cstheme="minorBidi"/>
            <w:kern w:val="2"/>
            <w:szCs w:val="24"/>
            <w:lang w:eastAsia="en-GB" w:bidi="ar-SA"/>
            <w14:ligatures w14:val="standardContextual"/>
          </w:rPr>
          <w:tab/>
        </w:r>
        <w:r w:rsidR="008E7ACF" w:rsidRPr="00EB6420">
          <w:rPr>
            <w:rStyle w:val="Hyperlink"/>
          </w:rPr>
          <w:t>Introduction</w:t>
        </w:r>
        <w:r w:rsidR="008E7ACF">
          <w:rPr>
            <w:webHidden/>
          </w:rPr>
          <w:tab/>
        </w:r>
        <w:r w:rsidR="008E7ACF">
          <w:rPr>
            <w:webHidden/>
          </w:rPr>
          <w:fldChar w:fldCharType="begin"/>
        </w:r>
        <w:r w:rsidR="008E7ACF">
          <w:rPr>
            <w:webHidden/>
          </w:rPr>
          <w:instrText xml:space="preserve"> PAGEREF _Toc225525959 \h </w:instrText>
        </w:r>
        <w:r w:rsidR="008E7ACF">
          <w:rPr>
            <w:webHidden/>
          </w:rPr>
        </w:r>
        <w:r w:rsidR="008E7ACF">
          <w:rPr>
            <w:webHidden/>
          </w:rPr>
          <w:fldChar w:fldCharType="separate"/>
        </w:r>
        <w:r w:rsidR="008E7ACF">
          <w:rPr>
            <w:webHidden/>
          </w:rPr>
          <w:t>3</w:t>
        </w:r>
        <w:r w:rsidR="008E7ACF">
          <w:rPr>
            <w:webHidden/>
          </w:rPr>
          <w:fldChar w:fldCharType="end"/>
        </w:r>
      </w:hyperlink>
    </w:p>
    <w:p w14:paraId="5B26476D" w14:textId="32CED98B" w:rsidR="008E7ACF" w:rsidRDefault="008E7ACF">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25525960" w:history="1">
        <w:r w:rsidRPr="00EB6420">
          <w:rPr>
            <w:rStyle w:val="Hyperlink"/>
          </w:rPr>
          <w:t>1.1.</w:t>
        </w:r>
        <w:r>
          <w:rPr>
            <w:rFonts w:asciiTheme="minorHAnsi" w:eastAsiaTheme="minorEastAsia" w:hAnsiTheme="minorHAnsi" w:cstheme="minorBidi"/>
            <w:kern w:val="2"/>
            <w:szCs w:val="24"/>
            <w:lang w:eastAsia="en-GB" w:bidi="ar-SA"/>
            <w14:ligatures w14:val="standardContextual"/>
          </w:rPr>
          <w:tab/>
        </w:r>
        <w:r w:rsidRPr="00EB6420">
          <w:rPr>
            <w:rStyle w:val="Hyperlink"/>
          </w:rPr>
          <w:t>Purpose</w:t>
        </w:r>
        <w:r>
          <w:rPr>
            <w:webHidden/>
          </w:rPr>
          <w:tab/>
        </w:r>
        <w:r>
          <w:rPr>
            <w:webHidden/>
          </w:rPr>
          <w:fldChar w:fldCharType="begin"/>
        </w:r>
        <w:r>
          <w:rPr>
            <w:webHidden/>
          </w:rPr>
          <w:instrText xml:space="preserve"> PAGEREF _Toc225525960 \h </w:instrText>
        </w:r>
        <w:r>
          <w:rPr>
            <w:webHidden/>
          </w:rPr>
        </w:r>
        <w:r>
          <w:rPr>
            <w:webHidden/>
          </w:rPr>
          <w:fldChar w:fldCharType="separate"/>
        </w:r>
        <w:r>
          <w:rPr>
            <w:webHidden/>
          </w:rPr>
          <w:t>3</w:t>
        </w:r>
        <w:r>
          <w:rPr>
            <w:webHidden/>
          </w:rPr>
          <w:fldChar w:fldCharType="end"/>
        </w:r>
      </w:hyperlink>
    </w:p>
    <w:p w14:paraId="668EFAE2" w14:textId="78E99ED9" w:rsidR="008E7ACF" w:rsidRDefault="008E7ACF">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25525961" w:history="1">
        <w:r w:rsidRPr="00EB6420">
          <w:rPr>
            <w:rStyle w:val="Hyperlink"/>
          </w:rPr>
          <w:t>1.2.</w:t>
        </w:r>
        <w:r>
          <w:rPr>
            <w:rFonts w:asciiTheme="minorHAnsi" w:eastAsiaTheme="minorEastAsia" w:hAnsiTheme="minorHAnsi" w:cstheme="minorBidi"/>
            <w:kern w:val="2"/>
            <w:szCs w:val="24"/>
            <w:lang w:eastAsia="en-GB" w:bidi="ar-SA"/>
            <w14:ligatures w14:val="standardContextual"/>
          </w:rPr>
          <w:tab/>
        </w:r>
        <w:r w:rsidRPr="00EB6420">
          <w:rPr>
            <w:rStyle w:val="Hyperlink"/>
          </w:rPr>
          <w:t>Scope and applicability</w:t>
        </w:r>
        <w:r>
          <w:rPr>
            <w:webHidden/>
          </w:rPr>
          <w:tab/>
        </w:r>
        <w:r>
          <w:rPr>
            <w:webHidden/>
          </w:rPr>
          <w:fldChar w:fldCharType="begin"/>
        </w:r>
        <w:r>
          <w:rPr>
            <w:webHidden/>
          </w:rPr>
          <w:instrText xml:space="preserve"> PAGEREF _Toc225525961 \h </w:instrText>
        </w:r>
        <w:r>
          <w:rPr>
            <w:webHidden/>
          </w:rPr>
        </w:r>
        <w:r>
          <w:rPr>
            <w:webHidden/>
          </w:rPr>
          <w:fldChar w:fldCharType="separate"/>
        </w:r>
        <w:r>
          <w:rPr>
            <w:webHidden/>
          </w:rPr>
          <w:t>3</w:t>
        </w:r>
        <w:r>
          <w:rPr>
            <w:webHidden/>
          </w:rPr>
          <w:fldChar w:fldCharType="end"/>
        </w:r>
      </w:hyperlink>
    </w:p>
    <w:p w14:paraId="163BAB96" w14:textId="0834A0EA" w:rsidR="008E7ACF" w:rsidRDefault="008E7ACF">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25525962" w:history="1">
        <w:r w:rsidRPr="00EB6420">
          <w:rPr>
            <w:rStyle w:val="Hyperlink"/>
          </w:rPr>
          <w:t>2.</w:t>
        </w:r>
        <w:r>
          <w:rPr>
            <w:rFonts w:asciiTheme="minorHAnsi" w:eastAsiaTheme="minorEastAsia" w:hAnsiTheme="minorHAnsi" w:cstheme="minorBidi"/>
            <w:kern w:val="2"/>
            <w:szCs w:val="24"/>
            <w:lang w:eastAsia="en-GB" w:bidi="ar-SA"/>
            <w14:ligatures w14:val="standardContextual"/>
          </w:rPr>
          <w:tab/>
        </w:r>
        <w:r w:rsidRPr="00EB6420">
          <w:rPr>
            <w:rStyle w:val="Hyperlink"/>
          </w:rPr>
          <w:t>Licence Condition 24: Operating Instructions</w:t>
        </w:r>
        <w:r>
          <w:rPr>
            <w:webHidden/>
          </w:rPr>
          <w:tab/>
        </w:r>
        <w:r>
          <w:rPr>
            <w:webHidden/>
          </w:rPr>
          <w:fldChar w:fldCharType="begin"/>
        </w:r>
        <w:r>
          <w:rPr>
            <w:webHidden/>
          </w:rPr>
          <w:instrText xml:space="preserve"> PAGEREF _Toc225525962 \h </w:instrText>
        </w:r>
        <w:r>
          <w:rPr>
            <w:webHidden/>
          </w:rPr>
        </w:r>
        <w:r>
          <w:rPr>
            <w:webHidden/>
          </w:rPr>
          <w:fldChar w:fldCharType="separate"/>
        </w:r>
        <w:r>
          <w:rPr>
            <w:webHidden/>
          </w:rPr>
          <w:t>3</w:t>
        </w:r>
        <w:r>
          <w:rPr>
            <w:webHidden/>
          </w:rPr>
          <w:fldChar w:fldCharType="end"/>
        </w:r>
      </w:hyperlink>
    </w:p>
    <w:p w14:paraId="0A325A29" w14:textId="3C6DECF4" w:rsidR="008E7ACF" w:rsidRDefault="008E7ACF">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25525963" w:history="1">
        <w:r w:rsidRPr="00EB6420">
          <w:rPr>
            <w:rStyle w:val="Hyperlink"/>
          </w:rPr>
          <w:t>3.</w:t>
        </w:r>
        <w:r>
          <w:rPr>
            <w:rFonts w:asciiTheme="minorHAnsi" w:eastAsiaTheme="minorEastAsia" w:hAnsiTheme="minorHAnsi" w:cstheme="minorBidi"/>
            <w:kern w:val="2"/>
            <w:szCs w:val="24"/>
            <w:lang w:eastAsia="en-GB" w:bidi="ar-SA"/>
            <w14:ligatures w14:val="standardContextual"/>
          </w:rPr>
          <w:tab/>
        </w:r>
        <w:r w:rsidRPr="00EB6420">
          <w:rPr>
            <w:rStyle w:val="Hyperlink"/>
          </w:rPr>
          <w:t>Purpose of the Licence Condition</w:t>
        </w:r>
        <w:r>
          <w:rPr>
            <w:webHidden/>
          </w:rPr>
          <w:tab/>
        </w:r>
        <w:r>
          <w:rPr>
            <w:webHidden/>
          </w:rPr>
          <w:fldChar w:fldCharType="begin"/>
        </w:r>
        <w:r>
          <w:rPr>
            <w:webHidden/>
          </w:rPr>
          <w:instrText xml:space="preserve"> PAGEREF _Toc225525963 \h </w:instrText>
        </w:r>
        <w:r>
          <w:rPr>
            <w:webHidden/>
          </w:rPr>
        </w:r>
        <w:r>
          <w:rPr>
            <w:webHidden/>
          </w:rPr>
          <w:fldChar w:fldCharType="separate"/>
        </w:r>
        <w:r>
          <w:rPr>
            <w:webHidden/>
          </w:rPr>
          <w:t>4</w:t>
        </w:r>
        <w:r>
          <w:rPr>
            <w:webHidden/>
          </w:rPr>
          <w:fldChar w:fldCharType="end"/>
        </w:r>
      </w:hyperlink>
    </w:p>
    <w:p w14:paraId="48B98101" w14:textId="001F6570" w:rsidR="008E7ACF" w:rsidRDefault="008E7ACF">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25525964" w:history="1">
        <w:r w:rsidRPr="00EB6420">
          <w:rPr>
            <w:rStyle w:val="Hyperlink"/>
          </w:rPr>
          <w:t>4.</w:t>
        </w:r>
        <w:r>
          <w:rPr>
            <w:rFonts w:asciiTheme="minorHAnsi" w:eastAsiaTheme="minorEastAsia" w:hAnsiTheme="minorHAnsi" w:cstheme="minorBidi"/>
            <w:kern w:val="2"/>
            <w:szCs w:val="24"/>
            <w:lang w:eastAsia="en-GB" w:bidi="ar-SA"/>
            <w14:ligatures w14:val="standardContextual"/>
          </w:rPr>
          <w:tab/>
        </w:r>
        <w:r w:rsidRPr="00EB6420">
          <w:rPr>
            <w:rStyle w:val="Hyperlink"/>
          </w:rPr>
          <w:t>Guidance on arrangements for Licence Condition 24</w:t>
        </w:r>
        <w:r>
          <w:rPr>
            <w:webHidden/>
          </w:rPr>
          <w:tab/>
        </w:r>
        <w:r>
          <w:rPr>
            <w:webHidden/>
          </w:rPr>
          <w:fldChar w:fldCharType="begin"/>
        </w:r>
        <w:r>
          <w:rPr>
            <w:webHidden/>
          </w:rPr>
          <w:instrText xml:space="preserve"> PAGEREF _Toc225525964 \h </w:instrText>
        </w:r>
        <w:r>
          <w:rPr>
            <w:webHidden/>
          </w:rPr>
        </w:r>
        <w:r>
          <w:rPr>
            <w:webHidden/>
          </w:rPr>
          <w:fldChar w:fldCharType="separate"/>
        </w:r>
        <w:r>
          <w:rPr>
            <w:webHidden/>
          </w:rPr>
          <w:t>4</w:t>
        </w:r>
        <w:r>
          <w:rPr>
            <w:webHidden/>
          </w:rPr>
          <w:fldChar w:fldCharType="end"/>
        </w:r>
      </w:hyperlink>
    </w:p>
    <w:p w14:paraId="0F96E05A" w14:textId="73F8B1FE" w:rsidR="008E7ACF" w:rsidRDefault="008E7ACF">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25525965" w:history="1">
        <w:r w:rsidRPr="00EB6420">
          <w:rPr>
            <w:rStyle w:val="Hyperlink"/>
          </w:rPr>
          <w:t>5.</w:t>
        </w:r>
        <w:r>
          <w:rPr>
            <w:rFonts w:asciiTheme="minorHAnsi" w:eastAsiaTheme="minorEastAsia" w:hAnsiTheme="minorHAnsi" w:cstheme="minorBidi"/>
            <w:kern w:val="2"/>
            <w:szCs w:val="24"/>
            <w:lang w:eastAsia="en-GB" w:bidi="ar-SA"/>
            <w14:ligatures w14:val="standardContextual"/>
          </w:rPr>
          <w:tab/>
        </w:r>
        <w:r w:rsidRPr="00EB6420">
          <w:rPr>
            <w:rStyle w:val="Hyperlink"/>
          </w:rPr>
          <w:t>Guidance on inspection of arrangements and their implementation</w:t>
        </w:r>
        <w:r>
          <w:rPr>
            <w:webHidden/>
          </w:rPr>
          <w:tab/>
        </w:r>
        <w:r>
          <w:rPr>
            <w:webHidden/>
          </w:rPr>
          <w:fldChar w:fldCharType="begin"/>
        </w:r>
        <w:r>
          <w:rPr>
            <w:webHidden/>
          </w:rPr>
          <w:instrText xml:space="preserve"> PAGEREF _Toc225525965 \h </w:instrText>
        </w:r>
        <w:r>
          <w:rPr>
            <w:webHidden/>
          </w:rPr>
        </w:r>
        <w:r>
          <w:rPr>
            <w:webHidden/>
          </w:rPr>
          <w:fldChar w:fldCharType="separate"/>
        </w:r>
        <w:r>
          <w:rPr>
            <w:webHidden/>
          </w:rPr>
          <w:t>6</w:t>
        </w:r>
        <w:r>
          <w:rPr>
            <w:webHidden/>
          </w:rPr>
          <w:fldChar w:fldCharType="end"/>
        </w:r>
      </w:hyperlink>
    </w:p>
    <w:p w14:paraId="2A29A022" w14:textId="471BD897" w:rsidR="008E7ACF" w:rsidRDefault="008E7ACF">
      <w:pPr>
        <w:pStyle w:val="TOC1"/>
        <w:rPr>
          <w:rFonts w:asciiTheme="minorHAnsi" w:eastAsiaTheme="minorEastAsia" w:hAnsiTheme="minorHAnsi" w:cstheme="minorBidi"/>
          <w:kern w:val="2"/>
          <w:szCs w:val="24"/>
          <w:lang w:eastAsia="en-GB" w:bidi="ar-SA"/>
          <w14:ligatures w14:val="standardContextual"/>
        </w:rPr>
      </w:pPr>
      <w:hyperlink w:anchor="_Toc225525966" w:history="1">
        <w:r w:rsidRPr="00EB6420">
          <w:rPr>
            <w:rStyle w:val="Hyperlink"/>
          </w:rPr>
          <w:t>References</w:t>
        </w:r>
        <w:r>
          <w:rPr>
            <w:webHidden/>
          </w:rPr>
          <w:tab/>
        </w:r>
        <w:r>
          <w:rPr>
            <w:webHidden/>
          </w:rPr>
          <w:fldChar w:fldCharType="begin"/>
        </w:r>
        <w:r>
          <w:rPr>
            <w:webHidden/>
          </w:rPr>
          <w:instrText xml:space="preserve"> PAGEREF _Toc225525966 \h </w:instrText>
        </w:r>
        <w:r>
          <w:rPr>
            <w:webHidden/>
          </w:rPr>
        </w:r>
        <w:r>
          <w:rPr>
            <w:webHidden/>
          </w:rPr>
          <w:fldChar w:fldCharType="separate"/>
        </w:r>
        <w:r>
          <w:rPr>
            <w:webHidden/>
          </w:rPr>
          <w:t>8</w:t>
        </w:r>
        <w:r>
          <w:rPr>
            <w:webHidden/>
          </w:rPr>
          <w:fldChar w:fldCharType="end"/>
        </w:r>
      </w:hyperlink>
    </w:p>
    <w:p w14:paraId="19F0FE1D" w14:textId="46110D1F" w:rsidR="008E7ACF" w:rsidRDefault="008E7ACF">
      <w:pPr>
        <w:pStyle w:val="TOC1"/>
        <w:rPr>
          <w:rFonts w:asciiTheme="minorHAnsi" w:eastAsiaTheme="minorEastAsia" w:hAnsiTheme="minorHAnsi" w:cstheme="minorBidi"/>
          <w:kern w:val="2"/>
          <w:szCs w:val="24"/>
          <w:lang w:eastAsia="en-GB" w:bidi="ar-SA"/>
          <w14:ligatures w14:val="standardContextual"/>
        </w:rPr>
      </w:pPr>
      <w:hyperlink w:anchor="_Toc225525967" w:history="1">
        <w:r w:rsidRPr="00EB6420">
          <w:rPr>
            <w:rStyle w:val="Hyperlink"/>
          </w:rPr>
          <w:t>Glossary</w:t>
        </w:r>
        <w:r>
          <w:rPr>
            <w:webHidden/>
          </w:rPr>
          <w:tab/>
        </w:r>
        <w:r>
          <w:rPr>
            <w:webHidden/>
          </w:rPr>
          <w:fldChar w:fldCharType="begin"/>
        </w:r>
        <w:r>
          <w:rPr>
            <w:webHidden/>
          </w:rPr>
          <w:instrText xml:space="preserve"> PAGEREF _Toc225525967 \h </w:instrText>
        </w:r>
        <w:r>
          <w:rPr>
            <w:webHidden/>
          </w:rPr>
        </w:r>
        <w:r>
          <w:rPr>
            <w:webHidden/>
          </w:rPr>
          <w:fldChar w:fldCharType="separate"/>
        </w:r>
        <w:r>
          <w:rPr>
            <w:webHidden/>
          </w:rPr>
          <w:t>8</w:t>
        </w:r>
        <w:r>
          <w:rPr>
            <w:webHidden/>
          </w:rPr>
          <w:fldChar w:fldCharType="end"/>
        </w:r>
      </w:hyperlink>
    </w:p>
    <w:p w14:paraId="4D515622" w14:textId="560B7193" w:rsidR="008E7ACF" w:rsidRDefault="008E7ACF">
      <w:pPr>
        <w:pStyle w:val="TOC1"/>
        <w:rPr>
          <w:rFonts w:asciiTheme="minorHAnsi" w:eastAsiaTheme="minorEastAsia" w:hAnsiTheme="minorHAnsi" w:cstheme="minorBidi"/>
          <w:kern w:val="2"/>
          <w:szCs w:val="24"/>
          <w:lang w:eastAsia="en-GB" w:bidi="ar-SA"/>
          <w14:ligatures w14:val="standardContextual"/>
        </w:rPr>
      </w:pPr>
      <w:hyperlink w:anchor="_Toc225525968" w:history="1">
        <w:r w:rsidRPr="00EB6420">
          <w:rPr>
            <w:rStyle w:val="Hyperlink"/>
          </w:rPr>
          <w:t>Document control information</w:t>
        </w:r>
        <w:r>
          <w:rPr>
            <w:webHidden/>
          </w:rPr>
          <w:tab/>
        </w:r>
        <w:r>
          <w:rPr>
            <w:webHidden/>
          </w:rPr>
          <w:fldChar w:fldCharType="begin"/>
        </w:r>
        <w:r>
          <w:rPr>
            <w:webHidden/>
          </w:rPr>
          <w:instrText xml:space="preserve"> PAGEREF _Toc225525968 \h </w:instrText>
        </w:r>
        <w:r>
          <w:rPr>
            <w:webHidden/>
          </w:rPr>
        </w:r>
        <w:r>
          <w:rPr>
            <w:webHidden/>
          </w:rPr>
          <w:fldChar w:fldCharType="separate"/>
        </w:r>
        <w:r>
          <w:rPr>
            <w:webHidden/>
          </w:rPr>
          <w:t>9</w:t>
        </w:r>
        <w:r>
          <w:rPr>
            <w:webHidden/>
          </w:rPr>
          <w:fldChar w:fldCharType="end"/>
        </w:r>
      </w:hyperlink>
    </w:p>
    <w:p w14:paraId="0CC4B54A" w14:textId="446227A6" w:rsidR="00267815" w:rsidRDefault="00AD167C" w:rsidP="00267815">
      <w:r>
        <w:fldChar w:fldCharType="end"/>
      </w:r>
    </w:p>
    <w:p w14:paraId="716B9A7E" w14:textId="77777777" w:rsidR="003E098E" w:rsidRDefault="003E098E" w:rsidP="00267815"/>
    <w:p w14:paraId="4812BFF8" w14:textId="1D099CA0" w:rsidR="003E098E" w:rsidRDefault="003E098E" w:rsidP="00267815">
      <w:pPr>
        <w:sectPr w:rsidR="003E098E" w:rsidSect="00084ABE">
          <w:headerReference w:type="even" r:id="rId20"/>
          <w:headerReference w:type="default" r:id="rId21"/>
          <w:footerReference w:type="even" r:id="rId22"/>
          <w:footerReference w:type="default" r:id="rId23"/>
          <w:pgSz w:w="11906" w:h="16838" w:code="9"/>
          <w:pgMar w:top="1440" w:right="1440" w:bottom="1440" w:left="1440" w:header="397" w:footer="397" w:gutter="0"/>
          <w:cols w:space="312"/>
          <w:docGrid w:linePitch="360"/>
        </w:sectPr>
      </w:pPr>
    </w:p>
    <w:p w14:paraId="43A875A4" w14:textId="7F61F835" w:rsidR="008D49A5" w:rsidRPr="00223090" w:rsidRDefault="008D49A5" w:rsidP="00223090">
      <w:pPr>
        <w:pStyle w:val="Heading1"/>
      </w:pPr>
      <w:bookmarkStart w:id="1" w:name="_Toc225525959"/>
      <w:bookmarkEnd w:id="0"/>
      <w:r w:rsidRPr="00223090">
        <w:lastRenderedPageBreak/>
        <w:t>Introduction</w:t>
      </w:r>
      <w:bookmarkEnd w:id="1"/>
    </w:p>
    <w:p w14:paraId="4DE1980B" w14:textId="68BC2A02" w:rsidR="008D49A5" w:rsidRPr="00AA78A4" w:rsidRDefault="00EB1BC6" w:rsidP="00C963E6">
      <w:pPr>
        <w:pStyle w:val="F9-Paragraph"/>
        <w:numPr>
          <w:ilvl w:val="0"/>
          <w:numId w:val="27"/>
        </w:numPr>
        <w:ind w:left="851" w:hanging="851"/>
      </w:pPr>
      <w:bookmarkStart w:id="2" w:name="_Hlk64448648"/>
      <w:r w:rsidRPr="00EB1BC6">
        <w:t>Many standard nuclear site licence conditions require, or imply, that licensees establish arrangements to meet regulatory obligations. ONR inspects compliance with both the licence conditions and the associated arrangements to judge their suitability and effectiveness. As most licence conditions are goal</w:t>
      </w:r>
      <w:r w:rsidRPr="00EB1BC6">
        <w:rPr>
          <w:rFonts w:ascii="Cambria Math" w:hAnsi="Cambria Math" w:cs="Cambria Math"/>
        </w:rPr>
        <w:t>‑</w:t>
      </w:r>
      <w:r w:rsidRPr="00EB1BC6">
        <w:t>setting and do not prescribe detailed requirements, responsibility for defining and implementing appropriate arrangements rests with the dutyholder, who retains responsibility for safety</w:t>
      </w:r>
      <w:r w:rsidR="000C5F5A">
        <w:t>.</w:t>
      </w:r>
    </w:p>
    <w:p w14:paraId="616F197D" w14:textId="77777777" w:rsidR="008D49A5" w:rsidRPr="002042C2" w:rsidRDefault="008D49A5" w:rsidP="002042C2">
      <w:pPr>
        <w:pStyle w:val="Heading2"/>
      </w:pPr>
      <w:bookmarkStart w:id="3" w:name="_Toc225525960"/>
      <w:bookmarkEnd w:id="2"/>
      <w:r w:rsidRPr="002042C2">
        <w:t>Purpose</w:t>
      </w:r>
      <w:bookmarkEnd w:id="3"/>
    </w:p>
    <w:p w14:paraId="1983720C" w14:textId="4C98DAB4" w:rsidR="000C5F5A" w:rsidRDefault="008C6604" w:rsidP="00C963E6">
      <w:pPr>
        <w:pStyle w:val="F9-Paragraph"/>
      </w:pPr>
      <w:r>
        <w:t>T</w:t>
      </w:r>
      <w:r w:rsidR="008C2C24" w:rsidRPr="008C2C24">
        <w:t>o support compliance inspections, ONR produces a suite of guides to assist inspectors in making regulatory judgements on the adequacy of compliance and the safety of site activities. This Technical Inspection Guide (TIG) supports inspections in which inspectors assess the adequacy of licence condition arrangements and their implementation</w:t>
      </w:r>
      <w:r w:rsidR="003520FF">
        <w:t>.</w:t>
      </w:r>
    </w:p>
    <w:p w14:paraId="546293A4" w14:textId="37CCFFDD" w:rsidR="008D49A5" w:rsidRDefault="008D49A5" w:rsidP="002042C2">
      <w:pPr>
        <w:pStyle w:val="Heading2"/>
      </w:pPr>
      <w:bookmarkStart w:id="4" w:name="_Toc225525961"/>
      <w:r>
        <w:t xml:space="preserve">Scope and </w:t>
      </w:r>
      <w:r w:rsidR="002042C2">
        <w:t>a</w:t>
      </w:r>
      <w:r>
        <w:t>pplicability</w:t>
      </w:r>
      <w:bookmarkEnd w:id="4"/>
    </w:p>
    <w:p w14:paraId="595C69AB" w14:textId="5900DB2A" w:rsidR="00DD4775" w:rsidRDefault="000B2C6C" w:rsidP="00DD4775">
      <w:pPr>
        <w:pStyle w:val="F9-Paragraph"/>
      </w:pPr>
      <w:r w:rsidRPr="000B2C6C">
        <w:t>This guide provides a consistent basis for Licence Condition (LC) 24 compliance inspections and supports inspectors when examining licensees’ arrangements in this area. The guidance is not intended to be comprehensive or mandatory</w:t>
      </w:r>
      <w:r w:rsidR="00DD4775">
        <w:t xml:space="preserve">. </w:t>
      </w:r>
    </w:p>
    <w:p w14:paraId="05AAE39A" w14:textId="779BC507" w:rsidR="008D49A5" w:rsidRDefault="00D60BCB" w:rsidP="00223090">
      <w:pPr>
        <w:pStyle w:val="Heading1"/>
      </w:pPr>
      <w:bookmarkStart w:id="5" w:name="_Toc225525962"/>
      <w:r>
        <w:t xml:space="preserve">Licence Condition </w:t>
      </w:r>
      <w:r w:rsidR="006B4E77">
        <w:t>24</w:t>
      </w:r>
      <w:r>
        <w:t xml:space="preserve">: </w:t>
      </w:r>
      <w:r w:rsidR="006B4E77">
        <w:t>Operating Instructions</w:t>
      </w:r>
      <w:bookmarkEnd w:id="5"/>
    </w:p>
    <w:p w14:paraId="5423B46B" w14:textId="77777777" w:rsidR="0075404E" w:rsidRDefault="0075404E" w:rsidP="000B2C6C">
      <w:pPr>
        <w:pStyle w:val="F9-Paragraph"/>
        <w:numPr>
          <w:ilvl w:val="0"/>
          <w:numId w:val="0"/>
        </w:numPr>
        <w:ind w:left="851"/>
      </w:pPr>
      <w:r w:rsidRPr="006C7E12">
        <w:rPr>
          <w:b/>
          <w:bCs/>
        </w:rPr>
        <w:t>2</w:t>
      </w:r>
      <w:r>
        <w:rPr>
          <w:b/>
          <w:bCs/>
        </w:rPr>
        <w:t>4</w:t>
      </w:r>
      <w:r w:rsidRPr="006C7E12">
        <w:rPr>
          <w:b/>
          <w:bCs/>
        </w:rPr>
        <w:t>(1)</w:t>
      </w:r>
      <w:r w:rsidRPr="006C7E12">
        <w:t xml:space="preserve"> </w:t>
      </w:r>
      <w:r>
        <w:t>The licensee shall ensure that all operations which may affect safety are carried out in accordance with written instructions hereinafter referred to as operating instructions.</w:t>
      </w:r>
    </w:p>
    <w:p w14:paraId="78CD5624" w14:textId="77777777" w:rsidR="0075404E" w:rsidRDefault="0075404E" w:rsidP="000B2C6C">
      <w:pPr>
        <w:pStyle w:val="F9-Paragraph"/>
        <w:numPr>
          <w:ilvl w:val="0"/>
          <w:numId w:val="0"/>
        </w:numPr>
        <w:ind w:left="851"/>
      </w:pPr>
      <w:r w:rsidRPr="00E400BC">
        <w:rPr>
          <w:b/>
          <w:bCs/>
        </w:rPr>
        <w:t>24(2)</w:t>
      </w:r>
      <w:r>
        <w:t xml:space="preserve"> The licensee shall ensure that such operating instructions include any instructions necessary in the interests of safety and any instructions necessary to ensure that any operating rules are implemented.</w:t>
      </w:r>
    </w:p>
    <w:p w14:paraId="786EAB25" w14:textId="77777777" w:rsidR="0075404E" w:rsidRDefault="0075404E" w:rsidP="000B2C6C">
      <w:pPr>
        <w:pStyle w:val="F9-Paragraph"/>
        <w:numPr>
          <w:ilvl w:val="0"/>
          <w:numId w:val="0"/>
        </w:numPr>
        <w:ind w:left="851"/>
      </w:pPr>
      <w:r w:rsidRPr="00E400BC">
        <w:rPr>
          <w:b/>
          <w:bCs/>
        </w:rPr>
        <w:t>24(3)</w:t>
      </w:r>
      <w:r>
        <w:t xml:space="preserve"> The licensee shall, if so, </w:t>
      </w:r>
      <w:r w:rsidRPr="001F4702">
        <w:rPr>
          <w:shd w:val="clear" w:color="auto" w:fill="B6E6E9" w:themeFill="accent3" w:themeFillTint="66"/>
        </w:rPr>
        <w:t>specified</w:t>
      </w:r>
      <w:r>
        <w:t xml:space="preserve"> by ONR, furnish to ONR copies of such operating instructions and when any alteration is made to the operating instructions furnished to ONR, the licensee shall ensure that such alteration is furnished to ONR in such time as may be </w:t>
      </w:r>
      <w:r w:rsidRPr="001F4702">
        <w:rPr>
          <w:shd w:val="clear" w:color="auto" w:fill="B6E6E9" w:themeFill="accent3" w:themeFillTint="66"/>
        </w:rPr>
        <w:t>specified</w:t>
      </w:r>
      <w:r>
        <w:t>.</w:t>
      </w:r>
    </w:p>
    <w:p w14:paraId="48A8A540" w14:textId="77777777" w:rsidR="0075404E" w:rsidRDefault="0075404E" w:rsidP="000B2C6C">
      <w:pPr>
        <w:pStyle w:val="F9-Paragraph"/>
        <w:numPr>
          <w:ilvl w:val="0"/>
          <w:numId w:val="0"/>
        </w:numPr>
        <w:ind w:left="851"/>
      </w:pPr>
      <w:r w:rsidRPr="00E400BC">
        <w:rPr>
          <w:b/>
          <w:bCs/>
        </w:rPr>
        <w:t>24(4)</w:t>
      </w:r>
      <w:r>
        <w:t xml:space="preserve"> The licensee shall make and implement adequate arrangements for the preparation, review and amendment of such operating instructions.</w:t>
      </w:r>
    </w:p>
    <w:p w14:paraId="08D85701" w14:textId="77777777" w:rsidR="0075404E" w:rsidRDefault="0075404E" w:rsidP="000B2C6C">
      <w:pPr>
        <w:pStyle w:val="F9-Paragraph"/>
        <w:numPr>
          <w:ilvl w:val="0"/>
          <w:numId w:val="0"/>
        </w:numPr>
        <w:ind w:left="851"/>
      </w:pPr>
      <w:r w:rsidRPr="00E400BC">
        <w:rPr>
          <w:b/>
          <w:bCs/>
        </w:rPr>
        <w:t>24(5)</w:t>
      </w:r>
      <w:r>
        <w:t xml:space="preserve"> The licensee shall submit to ONR for </w:t>
      </w:r>
      <w:r w:rsidRPr="00B23943">
        <w:rPr>
          <w:shd w:val="clear" w:color="auto" w:fill="D2E7B5" w:themeFill="accent4" w:themeFillTint="66"/>
        </w:rPr>
        <w:t>approval</w:t>
      </w:r>
      <w:r>
        <w:t xml:space="preserve"> such part or parts of the aforesaid arrangements as ONR may </w:t>
      </w:r>
      <w:r w:rsidRPr="00B23943">
        <w:rPr>
          <w:shd w:val="clear" w:color="auto" w:fill="B6E6E9" w:themeFill="accent3" w:themeFillTint="66"/>
        </w:rPr>
        <w:t>specify</w:t>
      </w:r>
      <w:r>
        <w:t>.</w:t>
      </w:r>
    </w:p>
    <w:p w14:paraId="2BFCEDB0" w14:textId="52EEC822" w:rsidR="00D60BCB" w:rsidRDefault="0075404E" w:rsidP="000B2C6C">
      <w:pPr>
        <w:pStyle w:val="F9-Paragraph"/>
        <w:numPr>
          <w:ilvl w:val="0"/>
          <w:numId w:val="0"/>
        </w:numPr>
        <w:ind w:left="851"/>
      </w:pPr>
      <w:r w:rsidRPr="00E400BC">
        <w:rPr>
          <w:b/>
          <w:bCs/>
        </w:rPr>
        <w:lastRenderedPageBreak/>
        <w:t>24(6)</w:t>
      </w:r>
      <w:r>
        <w:t xml:space="preserve"> The licensee shall ensure that once approved no alteration or amendment is made to the approved arrangements unless ONR has </w:t>
      </w:r>
      <w:r w:rsidRPr="00B23943">
        <w:rPr>
          <w:shd w:val="clear" w:color="auto" w:fill="D2E7B5" w:themeFill="accent4" w:themeFillTint="66"/>
        </w:rPr>
        <w:t>approved</w:t>
      </w:r>
      <w:r>
        <w:t xml:space="preserve"> such alteration or amendment.</w:t>
      </w:r>
    </w:p>
    <w:p w14:paraId="19CBAE12" w14:textId="1BA4272D" w:rsidR="00140E1C" w:rsidRDefault="00D60BCB" w:rsidP="00D60BCB">
      <w:pPr>
        <w:pStyle w:val="Heading1"/>
      </w:pPr>
      <w:bookmarkStart w:id="6" w:name="_Toc225525963"/>
      <w:r>
        <w:t xml:space="preserve">Purpose of </w:t>
      </w:r>
      <w:r w:rsidR="00821337">
        <w:t xml:space="preserve">the </w:t>
      </w:r>
      <w:r>
        <w:t>Licence Condition</w:t>
      </w:r>
      <w:bookmarkEnd w:id="6"/>
    </w:p>
    <w:p w14:paraId="3C57360C" w14:textId="41D6A400" w:rsidR="008E4B49" w:rsidRDefault="00AC62E0" w:rsidP="000A6B20">
      <w:pPr>
        <w:pStyle w:val="F9-Paragraph"/>
      </w:pPr>
      <w:r w:rsidRPr="00AC62E0">
        <w:t>The purpose of LC24 is to ensure that all operations which may affect safety are undertaken in accordance with written operating instructions, prepared, reviewed and amended</w:t>
      </w:r>
      <w:r>
        <w:t xml:space="preserve"> </w:t>
      </w:r>
      <w:r w:rsidR="008E4B49">
        <w:t>in accordance with arrangements made and implemented by the site.</w:t>
      </w:r>
      <w:r w:rsidR="000A6B20">
        <w:t xml:space="preserve"> </w:t>
      </w:r>
      <w:r w:rsidR="007A0A52" w:rsidRPr="007A0A52">
        <w:t>These instructions should ensure that safety</w:t>
      </w:r>
      <w:r w:rsidR="007A0A52" w:rsidRPr="000A6B20">
        <w:rPr>
          <w:rFonts w:ascii="Cambria Math" w:hAnsi="Cambria Math" w:cs="Cambria Math"/>
        </w:rPr>
        <w:t>‑</w:t>
      </w:r>
      <w:r w:rsidR="007A0A52" w:rsidRPr="007A0A52">
        <w:t>related operations are adequately controlled and that operating rules are implemented</w:t>
      </w:r>
      <w:r w:rsidR="008E4B49">
        <w:t xml:space="preserve">. </w:t>
      </w:r>
    </w:p>
    <w:p w14:paraId="2A67BE6F" w14:textId="11408265" w:rsidR="008E4B49" w:rsidRDefault="000A6B20" w:rsidP="008E4B49">
      <w:pPr>
        <w:pStyle w:val="F9-Paragraph"/>
      </w:pPr>
      <w:r w:rsidRPr="000A6B20">
        <w:t>Operating instructions should be clear, unambiguous and consistent with the safety case, its assumptions, and the operating limits and conditions. They should address normal operation and anticipated operational occurrences, including the storage and control of nuclear matter, radioactive material and waste, fuel handling, EIMT, and the control of work.</w:t>
      </w:r>
    </w:p>
    <w:p w14:paraId="617D5539" w14:textId="13FD371E" w:rsidR="009B7FAE" w:rsidRDefault="009B7FAE" w:rsidP="008E4B49">
      <w:pPr>
        <w:pStyle w:val="F9-Paragraph"/>
      </w:pPr>
      <w:r w:rsidRPr="009B7FAE">
        <w:t xml:space="preserve">Instructions should reflect all operator actions necessary to ensure plant operability and the delivery of safety functions, including relevant design, equipment qualification and manufacturer requirements. Guidance on instructions for accident and emergency conditions is provided under other licence conditions (including LCs 11, 13(11), 23(3) and 28(8)), and may include emergency operating procedures, </w:t>
      </w:r>
      <w:r w:rsidR="00F37702">
        <w:t>and for power reactors Symptom Based Emergency Response Guidelines (SBERGs) and Severe Accident Guidelines (SAGs)</w:t>
      </w:r>
      <w:r w:rsidRPr="009B7FAE">
        <w:t xml:space="preserve"> using event</w:t>
      </w:r>
      <w:r w:rsidRPr="009B7FAE">
        <w:rPr>
          <w:rFonts w:ascii="Cambria Math" w:hAnsi="Cambria Math" w:cs="Cambria Math"/>
        </w:rPr>
        <w:t>‑</w:t>
      </w:r>
      <w:r w:rsidRPr="009B7FAE">
        <w:t xml:space="preserve"> or symptom</w:t>
      </w:r>
      <w:r w:rsidRPr="009B7FAE">
        <w:rPr>
          <w:rFonts w:ascii="Cambria Math" w:hAnsi="Cambria Math" w:cs="Cambria Math"/>
        </w:rPr>
        <w:t>‑</w:t>
      </w:r>
      <w:r w:rsidRPr="009B7FAE">
        <w:t>based approaches.</w:t>
      </w:r>
    </w:p>
    <w:p w14:paraId="4344C528" w14:textId="625E6D2A" w:rsidR="00D60BCB" w:rsidRDefault="004161A5" w:rsidP="008E4B49">
      <w:pPr>
        <w:pStyle w:val="F9-Paragraph"/>
      </w:pPr>
      <w:r w:rsidRPr="004161A5">
        <w:t>Where appropriate, LC24(3), (5) and (6) provide ONR with the power to specify and approve arrangements for the production and amendment of operating instructions, and to require the licensee to furnish copies of specified instructions</w:t>
      </w:r>
      <w:r w:rsidR="008E4B49">
        <w:t>.</w:t>
      </w:r>
    </w:p>
    <w:p w14:paraId="540E3FBF" w14:textId="16331CB5" w:rsidR="00D60BCB" w:rsidRDefault="00D60BCB" w:rsidP="00D60BCB">
      <w:pPr>
        <w:pStyle w:val="Heading1"/>
      </w:pPr>
      <w:bookmarkStart w:id="7" w:name="_Toc225525964"/>
      <w:r>
        <w:t xml:space="preserve">Guidance on </w:t>
      </w:r>
      <w:r w:rsidR="002042C2">
        <w:t>a</w:t>
      </w:r>
      <w:r>
        <w:t xml:space="preserve">rrangements for </w:t>
      </w:r>
      <w:r w:rsidR="00821337">
        <w:t>Licence Condition</w:t>
      </w:r>
      <w:r w:rsidR="000C5F5A">
        <w:t xml:space="preserve"> </w:t>
      </w:r>
      <w:r w:rsidR="00EB3C1C">
        <w:t>24</w:t>
      </w:r>
      <w:bookmarkEnd w:id="7"/>
    </w:p>
    <w:p w14:paraId="709D6D6A" w14:textId="50F080A7" w:rsidR="003E392F" w:rsidRDefault="003E392F" w:rsidP="00C17598">
      <w:pPr>
        <w:pStyle w:val="F9-Paragraph"/>
      </w:pPr>
      <w:r w:rsidRPr="003E392F">
        <w:t>The licensee should establish and implement arrangements for the preparation, control, distribution, review, implementation, use and amendment of operating instructions to meet the requirements of LC24(4)</w:t>
      </w:r>
      <w:r>
        <w:t>.</w:t>
      </w:r>
    </w:p>
    <w:p w14:paraId="620303E5" w14:textId="2BED7D66" w:rsidR="00C17598" w:rsidRDefault="00FF0F93" w:rsidP="00C17598">
      <w:pPr>
        <w:pStyle w:val="F9-Paragraph"/>
      </w:pPr>
      <w:r w:rsidRPr="00FF0F93">
        <w:t>The arrangements should address all LC requirements and ensure that Operating Rules (LC23) are implemented through suitable and sufficient operating instructions, which are a key means of achieving compliance with operating limits and conditions</w:t>
      </w:r>
      <w:r w:rsidR="00CB1FE5">
        <w:t xml:space="preserve"> </w:t>
      </w:r>
      <w:sdt>
        <w:sdtPr>
          <w:id w:val="983586597"/>
          <w:citation/>
        </w:sdtPr>
        <w:sdtEndPr/>
        <w:sdtContent>
          <w:r w:rsidR="00C17598">
            <w:fldChar w:fldCharType="begin"/>
          </w:r>
          <w:r w:rsidR="00C17598">
            <w:instrText xml:space="preserve"> CITATION ONR87 \l 2057 </w:instrText>
          </w:r>
          <w:r w:rsidR="00C17598">
            <w:fldChar w:fldCharType="separate"/>
          </w:r>
          <w:r w:rsidR="00B80C47" w:rsidRPr="00B80C47">
            <w:rPr>
              <w:noProof/>
            </w:rPr>
            <w:t>[1]</w:t>
          </w:r>
          <w:r w:rsidR="00C17598">
            <w:fldChar w:fldCharType="end"/>
          </w:r>
        </w:sdtContent>
      </w:sdt>
      <w:r w:rsidR="00C17598">
        <w:t>.</w:t>
      </w:r>
    </w:p>
    <w:p w14:paraId="28B95A75" w14:textId="5547BA01" w:rsidR="00C17598" w:rsidRDefault="0032001A" w:rsidP="00C17598">
      <w:pPr>
        <w:pStyle w:val="F9-Paragraph"/>
      </w:pPr>
      <w:r w:rsidRPr="0032001A">
        <w:lastRenderedPageBreak/>
        <w:t>The licensee should identify those responsible for ensuring operations are carried out in accordance with approved operating instructions</w:t>
      </w:r>
      <w:r w:rsidR="00C17598">
        <w:t>.</w:t>
      </w:r>
    </w:p>
    <w:p w14:paraId="69D0146A" w14:textId="5B8EC3F1" w:rsidR="00C17598" w:rsidRDefault="00227753" w:rsidP="00C17598">
      <w:pPr>
        <w:pStyle w:val="F9-Paragraph"/>
      </w:pPr>
      <w:r w:rsidRPr="00227753">
        <w:t>The arrangements should ensure that all operational activities that may affect safety are covered by approved written instructions, consistent with the definition of operations in LC1, and applicable to all plant modes, configurations and conditions, including start</w:t>
      </w:r>
      <w:r w:rsidRPr="00227753">
        <w:rPr>
          <w:rFonts w:ascii="Cambria Math" w:hAnsi="Cambria Math" w:cs="Cambria Math"/>
        </w:rPr>
        <w:t>‑</w:t>
      </w:r>
      <w:r w:rsidRPr="00227753">
        <w:t>up, operation and shutdown</w:t>
      </w:r>
      <w:r w:rsidR="00C17598">
        <w:t>.</w:t>
      </w:r>
    </w:p>
    <w:p w14:paraId="6EAC2582" w14:textId="22F05328" w:rsidR="00C17598" w:rsidRDefault="009C43BF" w:rsidP="00C17598">
      <w:pPr>
        <w:pStyle w:val="F9-Paragraph"/>
      </w:pPr>
      <w:r w:rsidRPr="009C43BF">
        <w:t>The arrangements should require that work undertaken in accordance with operating instructions, its outcomes, and any adverse conditions identified are recorded and addressed in accordance with this and related licence conditions</w:t>
      </w:r>
      <w:r w:rsidR="00C17598">
        <w:t>.</w:t>
      </w:r>
    </w:p>
    <w:p w14:paraId="5D27E7DB" w14:textId="4F9C1EF0" w:rsidR="00C17598" w:rsidRDefault="00B469B4" w:rsidP="00C17598">
      <w:pPr>
        <w:pStyle w:val="F9-Paragraph"/>
      </w:pPr>
      <w:r w:rsidRPr="00B469B4">
        <w:t>Operating instructions should include appropriate controls for work on structures, systems and components (SSCs) that may affect safety, and align with associated work management processes, including hazard and risk assessment, job briefings and critical task expectations</w:t>
      </w:r>
      <w:r w:rsidR="00C17598">
        <w:t>.</w:t>
      </w:r>
    </w:p>
    <w:p w14:paraId="5EF6B1AC" w14:textId="0EFFCCAB" w:rsidR="00C17598" w:rsidRDefault="00BC3EDD" w:rsidP="00C17598">
      <w:pPr>
        <w:pStyle w:val="F9-Paragraph"/>
      </w:pPr>
      <w:r w:rsidRPr="00BC3EDD">
        <w:t>The production of operating instructions should comply with an appropriate quality management system in accordance with LC17 and, where applicable, relevant guidance</w:t>
      </w:r>
      <w:r>
        <w:t xml:space="preserve"> </w:t>
      </w:r>
      <w:sdt>
        <w:sdtPr>
          <w:id w:val="-740868122"/>
          <w:citation/>
        </w:sdtPr>
        <w:sdtEndPr/>
        <w:sdtContent>
          <w:r w:rsidR="00C17598">
            <w:fldChar w:fldCharType="begin"/>
          </w:r>
          <w:r w:rsidR="00C17598">
            <w:instrText xml:space="preserve"> CITATION IAE002 \l 2057 </w:instrText>
          </w:r>
          <w:r w:rsidR="00C17598">
            <w:fldChar w:fldCharType="separate"/>
          </w:r>
          <w:r w:rsidR="00B80C47" w:rsidRPr="00B80C47">
            <w:rPr>
              <w:noProof/>
            </w:rPr>
            <w:t>[2]</w:t>
          </w:r>
          <w:r w:rsidR="00C17598">
            <w:fldChar w:fldCharType="end"/>
          </w:r>
        </w:sdtContent>
      </w:sdt>
      <w:r w:rsidR="00C17598">
        <w:t xml:space="preserve"> </w:t>
      </w:r>
      <w:sdt>
        <w:sdtPr>
          <w:id w:val="1312288725"/>
          <w:citation/>
        </w:sdtPr>
        <w:sdtEndPr/>
        <w:sdtContent>
          <w:r w:rsidR="00C17598">
            <w:fldChar w:fldCharType="begin"/>
          </w:r>
          <w:r w:rsidR="00C17598">
            <w:instrText xml:space="preserve"> CITATION ONR53 \l 2057 </w:instrText>
          </w:r>
          <w:r w:rsidR="00C17598">
            <w:fldChar w:fldCharType="separate"/>
          </w:r>
          <w:r w:rsidR="00B80C47" w:rsidRPr="00B80C47">
            <w:rPr>
              <w:noProof/>
            </w:rPr>
            <w:t>[3]</w:t>
          </w:r>
          <w:r w:rsidR="00C17598">
            <w:fldChar w:fldCharType="end"/>
          </w:r>
        </w:sdtContent>
      </w:sdt>
      <w:r w:rsidR="00C17598">
        <w:t>.</w:t>
      </w:r>
    </w:p>
    <w:p w14:paraId="390AE9A7" w14:textId="065B86FA" w:rsidR="00C17598" w:rsidRDefault="00EB19FC" w:rsidP="00C17598">
      <w:pPr>
        <w:pStyle w:val="F9-Paragraph"/>
      </w:pPr>
      <w:r w:rsidRPr="00EB19FC">
        <w:t>Amendments should be documented and assessed in accordance with LCs 14 and 22 to identify impacts on nuclear safety and processed through the LC22 modification process where required</w:t>
      </w:r>
      <w:r w:rsidR="00C17598">
        <w:t xml:space="preserve">. </w:t>
      </w:r>
    </w:p>
    <w:p w14:paraId="4511E566" w14:textId="3AE6DF2B" w:rsidR="00C17598" w:rsidRDefault="00FF1F07" w:rsidP="00C17598">
      <w:pPr>
        <w:pStyle w:val="F9-Paragraph"/>
      </w:pPr>
      <w:r w:rsidRPr="00FF1F07">
        <w:t>The arrangements should ensure that those involved in the preparation, control, review, implementation and amendment of operating instructions are Suitably Qualified and Experienced Persons (SQEP) and receive appropriate training in line with LCs 10, 12 and 26</w:t>
      </w:r>
      <w:r w:rsidR="00C17598">
        <w:t xml:space="preserve">. </w:t>
      </w:r>
    </w:p>
    <w:p w14:paraId="7D30B1E9" w14:textId="33E192AC" w:rsidR="00D60BCB" w:rsidRDefault="00433764" w:rsidP="00C17598">
      <w:pPr>
        <w:pStyle w:val="F9-Paragraph"/>
      </w:pPr>
      <w:r w:rsidRPr="00433764">
        <w:t>The arrangements should also ensure that failures to comply with operating instructions are detected and reported, and that inaccurate instructions identified through EIMT or operational feedback are amended and reissued in a timely manner</w:t>
      </w:r>
      <w:r w:rsidR="00C17598">
        <w:t>.</w:t>
      </w:r>
    </w:p>
    <w:p w14:paraId="317A5897" w14:textId="1E51C373" w:rsidR="00D60BCB" w:rsidRDefault="00D60BCB">
      <w:pPr>
        <w:spacing w:after="0" w:line="240" w:lineRule="auto"/>
      </w:pPr>
      <w:r>
        <w:br w:type="page"/>
      </w:r>
    </w:p>
    <w:p w14:paraId="41C3DA1C" w14:textId="35444E9C" w:rsidR="00D60BCB" w:rsidRDefault="00D60BCB" w:rsidP="00D60BCB">
      <w:pPr>
        <w:pStyle w:val="Heading1"/>
      </w:pPr>
      <w:bookmarkStart w:id="8" w:name="_Toc225525965"/>
      <w:r>
        <w:lastRenderedPageBreak/>
        <w:t xml:space="preserve">Guidance on </w:t>
      </w:r>
      <w:r w:rsidR="002042C2">
        <w:t>i</w:t>
      </w:r>
      <w:r>
        <w:t xml:space="preserve">nspection of </w:t>
      </w:r>
      <w:r w:rsidR="002042C2">
        <w:t>a</w:t>
      </w:r>
      <w:r>
        <w:t xml:space="preserve">rrangements and their </w:t>
      </w:r>
      <w:r w:rsidR="002042C2">
        <w:t>i</w:t>
      </w:r>
      <w:r>
        <w:t>mplementation</w:t>
      </w:r>
      <w:bookmarkEnd w:id="8"/>
    </w:p>
    <w:p w14:paraId="573D1230" w14:textId="099A2286" w:rsidR="002B3E60" w:rsidRPr="002B3E60" w:rsidRDefault="007C6C20" w:rsidP="002B3E60">
      <w:pPr>
        <w:numPr>
          <w:ilvl w:val="0"/>
          <w:numId w:val="25"/>
        </w:numPr>
        <w:spacing w:before="240" w:after="120"/>
        <w:ind w:left="851" w:hanging="851"/>
      </w:pPr>
      <w:r w:rsidRPr="007C6C20">
        <w:t>This section supports inspectors in judging the adequacy of the licensee’s LC24 arrangements and their implementation. The list below is not exhaustive and may be updated in light of operational experience, but identifies aspects of LC24 compliance that may be examined during routine, sample</w:t>
      </w:r>
      <w:r w:rsidRPr="007C6C20">
        <w:rPr>
          <w:rFonts w:ascii="Cambria Math" w:hAnsi="Cambria Math" w:cs="Cambria Math"/>
        </w:rPr>
        <w:t>‑</w:t>
      </w:r>
      <w:r w:rsidRPr="007C6C20">
        <w:t>based inspections</w:t>
      </w:r>
      <w:r w:rsidR="002B3E60" w:rsidRPr="002B3E60">
        <w:t>.</w:t>
      </w:r>
    </w:p>
    <w:p w14:paraId="32F3D70C" w14:textId="35847543" w:rsidR="001F35B6" w:rsidRDefault="001F35B6" w:rsidP="001F35B6">
      <w:pPr>
        <w:pStyle w:val="F9-Paragraph"/>
      </w:pPr>
      <w:r>
        <w:t>Inspectors should consider confirming that arrangements made under LC 24(4) are identified within the licensee’s document management system, meet QMS requirements, are current, and have clear responsibilities assigned. Where operating instructions have been specified under LC24(3) and (5), inspectors should confirm that they are appropriately highlighted and controlled to minimise the risk of non</w:t>
      </w:r>
      <w:r>
        <w:rPr>
          <w:rFonts w:ascii="Cambria Math" w:hAnsi="Cambria Math" w:cs="Cambria Math"/>
        </w:rPr>
        <w:t>‑</w:t>
      </w:r>
      <w:r>
        <w:t>compliance.</w:t>
      </w:r>
    </w:p>
    <w:p w14:paraId="4F8DB369" w14:textId="792B2A9F" w:rsidR="001F35B6" w:rsidRDefault="001F35B6" w:rsidP="001F35B6">
      <w:pPr>
        <w:pStyle w:val="F9-Paragraph"/>
      </w:pPr>
      <w:r>
        <w:t>Inspectors should check that adequate arrangements are in place to direct staff to the correct operating instructions and to ensure awareness of relevant temporary and permanent changes. A sample of amended operating instructions should be reviewed to confirm that changes with potential nuclear safety implications have been appropriately processed through the LC22 modification process, and that amendments remain consistent with the safety case, operating limits and conditions, and QMS arrangements.</w:t>
      </w:r>
    </w:p>
    <w:p w14:paraId="44459A5F" w14:textId="080EFB98" w:rsidR="007412B2" w:rsidRPr="007412B2" w:rsidRDefault="001F35B6" w:rsidP="007412B2">
      <w:pPr>
        <w:pStyle w:val="F9-Paragraph"/>
      </w:pPr>
      <w:r>
        <w:t>Inspectors should also confirm that suitable and sufficient resources are provided to support LC24 compliance, that operating instructions are reviewed in accordance with the licensee’s arrangements, and that any backlog of documents awaiting modification, review or validation is being managed to ensure associated risks are reduced ALARP</w:t>
      </w:r>
      <w:r w:rsidR="00D230D6" w:rsidRPr="00D230D6">
        <w:rPr>
          <w:bCs/>
          <w:noProof/>
        </w:rPr>
        <w:t xml:space="preserve"> </w:t>
      </w:r>
      <w:sdt>
        <w:sdtPr>
          <w:rPr>
            <w:bCs/>
            <w:noProof/>
          </w:rPr>
          <w:id w:val="-1333367372"/>
          <w:citation/>
        </w:sdtPr>
        <w:sdtEndPr/>
        <w:sdtContent>
          <w:r w:rsidR="00D230D6" w:rsidRPr="002B3E60">
            <w:rPr>
              <w:bCs/>
              <w:noProof/>
            </w:rPr>
            <w:fldChar w:fldCharType="begin"/>
          </w:r>
          <w:r w:rsidR="00D230D6" w:rsidRPr="002B3E60">
            <w:rPr>
              <w:bCs/>
              <w:noProof/>
            </w:rPr>
            <w:instrText xml:space="preserve"> CITATION ONR4 \l 2057 </w:instrText>
          </w:r>
          <w:r w:rsidR="00D230D6" w:rsidRPr="002B3E60">
            <w:rPr>
              <w:bCs/>
              <w:noProof/>
            </w:rPr>
            <w:fldChar w:fldCharType="separate"/>
          </w:r>
          <w:r w:rsidR="00D230D6" w:rsidRPr="00B80C47">
            <w:rPr>
              <w:noProof/>
            </w:rPr>
            <w:t>[4]</w:t>
          </w:r>
          <w:r w:rsidR="00D230D6" w:rsidRPr="002B3E60">
            <w:rPr>
              <w:bCs/>
              <w:noProof/>
            </w:rPr>
            <w:fldChar w:fldCharType="end"/>
          </w:r>
        </w:sdtContent>
      </w:sdt>
      <w:r w:rsidR="00D230D6" w:rsidRPr="002B3E60">
        <w:rPr>
          <w:bCs/>
          <w:noProof/>
        </w:rPr>
        <w:t>.</w:t>
      </w:r>
    </w:p>
    <w:p w14:paraId="1D7AD238" w14:textId="35936913" w:rsidR="002B3E60" w:rsidRPr="007412B2" w:rsidRDefault="00AF2365" w:rsidP="007412B2">
      <w:pPr>
        <w:pStyle w:val="F9-Paragraph"/>
      </w:pPr>
      <w:r w:rsidRPr="00AF2365">
        <w:rPr>
          <w:bCs/>
          <w:noProof/>
        </w:rPr>
        <w:t>Inspectors should review logs and other records for evidence of non</w:t>
      </w:r>
      <w:r w:rsidRPr="00AF2365">
        <w:rPr>
          <w:rFonts w:ascii="Cambria Math" w:hAnsi="Cambria Math" w:cs="Cambria Math"/>
          <w:bCs/>
          <w:noProof/>
        </w:rPr>
        <w:t>‑</w:t>
      </w:r>
      <w:r w:rsidRPr="00AF2365">
        <w:rPr>
          <w:bCs/>
          <w:noProof/>
        </w:rPr>
        <w:t>compliance with operating instructions and follow up events with the relevant manager or individual. They should confirm that the requirements of LC7 and other relevant licence conditions have been addressed and that events have been managed in accordance with the licensee’s arrangements. Where appropriate, inspectors should also confirm that operating instructions have been amended to reduce the risk of future non</w:t>
      </w:r>
      <w:r w:rsidRPr="00AF2365">
        <w:rPr>
          <w:rFonts w:ascii="Cambria Math" w:hAnsi="Cambria Math" w:cs="Cambria Math"/>
          <w:bCs/>
          <w:noProof/>
        </w:rPr>
        <w:t>‑</w:t>
      </w:r>
      <w:r w:rsidRPr="00AF2365">
        <w:rPr>
          <w:bCs/>
          <w:noProof/>
        </w:rPr>
        <w:t>compliance</w:t>
      </w:r>
      <w:r w:rsidR="002B3E60" w:rsidRPr="007412B2">
        <w:rPr>
          <w:bCs/>
          <w:noProof/>
        </w:rPr>
        <w:t>.</w:t>
      </w:r>
    </w:p>
    <w:p w14:paraId="1A37796B" w14:textId="7C7A7228" w:rsidR="00F6699B" w:rsidRDefault="00F6699B" w:rsidP="002B3E60">
      <w:pPr>
        <w:numPr>
          <w:ilvl w:val="0"/>
          <w:numId w:val="25"/>
        </w:numPr>
        <w:spacing w:before="240" w:after="120"/>
        <w:ind w:left="851" w:hanging="851"/>
      </w:pPr>
      <w:r w:rsidRPr="00F6699B">
        <w:t>Inspectors should consider reviewing a sample of operating instructions to confirm that they have been prepared, reviewed, implemented and amended by SQEP personnel who are appropriately trained and supported. Instructions should be clear and unambiguous, clearly describe task execution, and include necessary prerequisites, checks, precautions and safety actions.</w:t>
      </w:r>
    </w:p>
    <w:p w14:paraId="586E6AD0" w14:textId="79B275F7" w:rsidR="00365EF9" w:rsidRDefault="00365EF9" w:rsidP="002B3E60">
      <w:pPr>
        <w:numPr>
          <w:ilvl w:val="0"/>
          <w:numId w:val="25"/>
        </w:numPr>
        <w:spacing w:before="240" w:after="120"/>
        <w:ind w:left="851" w:hanging="851"/>
      </w:pPr>
      <w:r w:rsidRPr="00365EF9">
        <w:lastRenderedPageBreak/>
        <w:t>Operating instructions should be consistent with the safety case, associated operating limits and conditions, and the licensee’s arrangements</w:t>
      </w:r>
      <w:r w:rsidR="00BB5392" w:rsidRPr="002B3E60">
        <w:rPr>
          <w:bCs/>
          <w:vertAlign w:val="superscript"/>
        </w:rPr>
        <w:footnoteReference w:id="2"/>
      </w:r>
      <w:r w:rsidR="00BB5392" w:rsidRPr="002B3E60">
        <w:rPr>
          <w:bCs/>
        </w:rPr>
        <w:t>.</w:t>
      </w:r>
      <w:r w:rsidR="00BB5392">
        <w:t xml:space="preserve"> </w:t>
      </w:r>
      <w:r w:rsidRPr="00365EF9">
        <w:t>Inspections should also take account of the LC 23 inspection guidance</w:t>
      </w:r>
      <w:r w:rsidR="00EE1A2C" w:rsidRPr="00EE1A2C">
        <w:rPr>
          <w:bCs/>
        </w:rPr>
        <w:t xml:space="preserve"> </w:t>
      </w:r>
      <w:sdt>
        <w:sdtPr>
          <w:rPr>
            <w:bCs/>
          </w:rPr>
          <w:id w:val="-539981045"/>
          <w:citation/>
        </w:sdtPr>
        <w:sdtEndPr/>
        <w:sdtContent>
          <w:r w:rsidR="00EE1A2C" w:rsidRPr="002B3E60">
            <w:rPr>
              <w:bCs/>
            </w:rPr>
            <w:fldChar w:fldCharType="begin"/>
          </w:r>
          <w:r w:rsidR="00EE1A2C" w:rsidRPr="002B3E60">
            <w:rPr>
              <w:bCs/>
            </w:rPr>
            <w:instrText xml:space="preserve"> CITATION ONR90 \l 2057 </w:instrText>
          </w:r>
          <w:r w:rsidR="00EE1A2C" w:rsidRPr="002B3E60">
            <w:rPr>
              <w:bCs/>
            </w:rPr>
            <w:fldChar w:fldCharType="separate"/>
          </w:r>
          <w:r w:rsidR="00EE1A2C" w:rsidRPr="00B80C47">
            <w:rPr>
              <w:noProof/>
            </w:rPr>
            <w:t>[5]</w:t>
          </w:r>
          <w:r w:rsidR="00EE1A2C" w:rsidRPr="002B3E60">
            <w:rPr>
              <w:bCs/>
            </w:rPr>
            <w:fldChar w:fldCharType="end"/>
          </w:r>
        </w:sdtContent>
      </w:sdt>
      <w:r w:rsidRPr="00365EF9">
        <w:t>, as operating instructions are a key means of implementing operating rules.</w:t>
      </w:r>
    </w:p>
    <w:p w14:paraId="786AEFFB" w14:textId="2F7F8F40" w:rsidR="0025713C" w:rsidRDefault="0025713C" w:rsidP="002B3E60">
      <w:pPr>
        <w:numPr>
          <w:ilvl w:val="0"/>
          <w:numId w:val="25"/>
        </w:numPr>
        <w:spacing w:before="240" w:after="120"/>
        <w:ind w:left="851" w:hanging="851"/>
      </w:pPr>
      <w:r w:rsidRPr="0025713C">
        <w:t>Instructions should consider potential adverse effects on plant hazards and, where necessary, assess impacts on operational risk using appropriate methods. They should include activities affecting systems, structures and components (SSCs) relevant to safety, and ensure safety functions can be delivered, including through appropriate redundancy, diversity and back</w:t>
      </w:r>
      <w:r w:rsidRPr="0025713C">
        <w:rPr>
          <w:rFonts w:ascii="Cambria Math" w:hAnsi="Cambria Math" w:cs="Cambria Math"/>
        </w:rPr>
        <w:t>‑</w:t>
      </w:r>
      <w:r w:rsidRPr="0025713C">
        <w:t>up or stand</w:t>
      </w:r>
      <w:r w:rsidRPr="0025713C">
        <w:rPr>
          <w:rFonts w:ascii="Cambria Math" w:hAnsi="Cambria Math" w:cs="Cambria Math"/>
        </w:rPr>
        <w:t>‑</w:t>
      </w:r>
      <w:r w:rsidRPr="0025713C">
        <w:t>by provisions.</w:t>
      </w:r>
    </w:p>
    <w:p w14:paraId="62B2E054" w14:textId="25BF6548" w:rsidR="00CE1ABC" w:rsidRDefault="008C1256" w:rsidP="002B3E60">
      <w:pPr>
        <w:numPr>
          <w:ilvl w:val="0"/>
          <w:numId w:val="25"/>
        </w:numPr>
        <w:spacing w:before="240" w:after="120"/>
        <w:ind w:left="851" w:hanging="851"/>
      </w:pPr>
      <w:r w:rsidRPr="008C1256">
        <w:t>Operating instructions should promote conservative actions and provide information necessary to recover from abnormal conditions, including malfunctions, faults or failures encountered during task execution</w:t>
      </w:r>
      <w:r>
        <w:t>.</w:t>
      </w:r>
    </w:p>
    <w:p w14:paraId="6ACE5F8A" w14:textId="3B484AE3" w:rsidR="002B3E60" w:rsidRPr="00312EDD" w:rsidRDefault="00034F0A" w:rsidP="00312EDD">
      <w:pPr>
        <w:numPr>
          <w:ilvl w:val="0"/>
          <w:numId w:val="25"/>
        </w:numPr>
        <w:spacing w:before="240" w:after="120"/>
        <w:ind w:left="851" w:hanging="851"/>
      </w:pPr>
      <w:r w:rsidRPr="00034F0A">
        <w:t>Where instructions form a single tier within a hierarchy, they should provide an appropriate margin of safety to higher</w:t>
      </w:r>
      <w:r w:rsidRPr="00034F0A">
        <w:rPr>
          <w:rFonts w:ascii="Cambria Math" w:hAnsi="Cambria Math" w:cs="Cambria Math"/>
        </w:rPr>
        <w:t>‑</w:t>
      </w:r>
      <w:r w:rsidRPr="00034F0A">
        <w:t>tier instructions, contributing to defence in depth.</w:t>
      </w:r>
      <w:r w:rsidR="00312EDD">
        <w:t xml:space="preserve"> </w:t>
      </w:r>
      <w:r w:rsidR="002B3E60" w:rsidRPr="002B3E60">
        <w:rPr>
          <w:bCs/>
          <w:noProof/>
        </w:rPr>
        <w:t xml:space="preserve">For a more detailed discussion of the applicability of operating instructions as part of a defence-in-depth approach, </w:t>
      </w:r>
      <w:r w:rsidR="002B3E60" w:rsidRPr="002B3E60">
        <w:rPr>
          <w:bCs/>
        </w:rPr>
        <w:t>refer to</w:t>
      </w:r>
      <w:r w:rsidR="002B3E60" w:rsidRPr="002B3E60">
        <w:rPr>
          <w:bCs/>
          <w:noProof/>
        </w:rPr>
        <w:t xml:space="preserve"> Appendix 5 of </w:t>
      </w:r>
      <w:sdt>
        <w:sdtPr>
          <w:rPr>
            <w:bCs/>
          </w:rPr>
          <w:id w:val="-1422636951"/>
          <w:citation/>
        </w:sdtPr>
        <w:sdtEndPr/>
        <w:sdtContent>
          <w:r w:rsidR="002B3E60" w:rsidRPr="002B3E60">
            <w:rPr>
              <w:bCs/>
            </w:rPr>
            <w:fldChar w:fldCharType="begin"/>
          </w:r>
          <w:r w:rsidR="002B3E60" w:rsidRPr="002B3E60">
            <w:rPr>
              <w:bCs/>
            </w:rPr>
            <w:instrText xml:space="preserve"> CITATION ONR87 \l 2057 </w:instrText>
          </w:r>
          <w:r w:rsidR="002B3E60" w:rsidRPr="002B3E60">
            <w:rPr>
              <w:bCs/>
            </w:rPr>
            <w:fldChar w:fldCharType="separate"/>
          </w:r>
          <w:r w:rsidR="00B80C47" w:rsidRPr="00B80C47">
            <w:rPr>
              <w:noProof/>
            </w:rPr>
            <w:t>[1]</w:t>
          </w:r>
          <w:r w:rsidR="002B3E60" w:rsidRPr="002B3E60">
            <w:rPr>
              <w:bCs/>
            </w:rPr>
            <w:fldChar w:fldCharType="end"/>
          </w:r>
        </w:sdtContent>
      </w:sdt>
      <w:r w:rsidR="002B3E60" w:rsidRPr="002B3E60">
        <w:rPr>
          <w:bCs/>
          <w:noProof/>
        </w:rPr>
        <w:t>.</w:t>
      </w:r>
    </w:p>
    <w:p w14:paraId="0D2D07E7" w14:textId="5DD73FCE" w:rsidR="00312EDD" w:rsidRPr="002B3E60" w:rsidRDefault="008A7813" w:rsidP="00312EDD">
      <w:pPr>
        <w:numPr>
          <w:ilvl w:val="0"/>
          <w:numId w:val="25"/>
        </w:numPr>
        <w:spacing w:before="240" w:after="120"/>
        <w:ind w:left="851" w:hanging="851"/>
      </w:pPr>
      <w:r w:rsidRPr="008A7813">
        <w:t>Where appropriate, operating instructions should define how plant is returned to the safe operating envelope if found to be outside safety case limits and conditions or other procedural requirements. Instructions should also support operation remaining ALARP in line with relevant guidance</w:t>
      </w:r>
      <w:r w:rsidRPr="008A7813">
        <w:rPr>
          <w:bCs/>
          <w:noProof/>
        </w:rPr>
        <w:t xml:space="preserve"> </w:t>
      </w:r>
      <w:sdt>
        <w:sdtPr>
          <w:rPr>
            <w:bCs/>
            <w:noProof/>
          </w:rPr>
          <w:id w:val="1555350974"/>
          <w:citation/>
        </w:sdtPr>
        <w:sdtEndPr/>
        <w:sdtContent>
          <w:r w:rsidRPr="002B3E60">
            <w:rPr>
              <w:bCs/>
              <w:noProof/>
            </w:rPr>
            <w:fldChar w:fldCharType="begin"/>
          </w:r>
          <w:r w:rsidRPr="002B3E60">
            <w:rPr>
              <w:bCs/>
              <w:noProof/>
            </w:rPr>
            <w:instrText xml:space="preserve"> CITATION ONR4 \l 2057 </w:instrText>
          </w:r>
          <w:r w:rsidRPr="002B3E60">
            <w:rPr>
              <w:bCs/>
              <w:noProof/>
            </w:rPr>
            <w:fldChar w:fldCharType="separate"/>
          </w:r>
          <w:r w:rsidRPr="00B80C47">
            <w:rPr>
              <w:noProof/>
            </w:rPr>
            <w:t>[4]</w:t>
          </w:r>
          <w:r w:rsidRPr="002B3E60">
            <w:rPr>
              <w:bCs/>
              <w:noProof/>
            </w:rPr>
            <w:fldChar w:fldCharType="end"/>
          </w:r>
        </w:sdtContent>
      </w:sdt>
      <w:r>
        <w:rPr>
          <w:bCs/>
          <w:noProof/>
        </w:rPr>
        <w:t>.</w:t>
      </w:r>
    </w:p>
    <w:p w14:paraId="0CB70D80" w14:textId="15EB7960" w:rsidR="0006167E" w:rsidRPr="0006167E" w:rsidRDefault="0006167E" w:rsidP="002B3E60">
      <w:pPr>
        <w:numPr>
          <w:ilvl w:val="0"/>
          <w:numId w:val="25"/>
        </w:numPr>
        <w:spacing w:before="240" w:after="120"/>
        <w:ind w:left="851" w:hanging="851"/>
        <w:rPr>
          <w:noProof/>
        </w:rPr>
      </w:pPr>
      <w:r w:rsidRPr="0006167E">
        <w:rPr>
          <w:noProof/>
        </w:rPr>
        <w:t>Inspectors should consider a workplace or on</w:t>
      </w:r>
      <w:r w:rsidRPr="0006167E">
        <w:rPr>
          <w:rFonts w:ascii="Cambria Math" w:hAnsi="Cambria Math" w:cs="Cambria Math"/>
          <w:noProof/>
        </w:rPr>
        <w:t>‑</w:t>
      </w:r>
      <w:r w:rsidRPr="0006167E">
        <w:rPr>
          <w:noProof/>
        </w:rPr>
        <w:t>plant review to confirm that personnel have access to the correct operating instructions at the work face and that these are used appropriately</w:t>
      </w:r>
      <w:r w:rsidR="005B5B2D">
        <w:rPr>
          <w:noProof/>
        </w:rPr>
        <w:t>.</w:t>
      </w:r>
    </w:p>
    <w:p w14:paraId="3E14F538" w14:textId="77777777" w:rsidR="009F095F" w:rsidRDefault="009F095F" w:rsidP="009F095F">
      <w:pPr>
        <w:pStyle w:val="F9-Paragraph"/>
        <w:rPr>
          <w:noProof/>
        </w:rPr>
      </w:pPr>
      <w:r>
        <w:rPr>
          <w:noProof/>
        </w:rPr>
        <w:t>Personnel should understand the conditions for use, the licensee’s expectations for procedure adherence, and the actions to take if errors or ambiguities are identified.</w:t>
      </w:r>
    </w:p>
    <w:p w14:paraId="5254A05C" w14:textId="45104B79" w:rsidR="005B5B2D" w:rsidRDefault="009F095F" w:rsidP="009F095F">
      <w:pPr>
        <w:pStyle w:val="F9-Paragraph"/>
        <w:rPr>
          <w:noProof/>
        </w:rPr>
      </w:pPr>
      <w:r>
        <w:rPr>
          <w:noProof/>
        </w:rPr>
        <w:t>Inspectors should walk or talk through sections of operating instructions to confirm that the format and content are suitable for the task and work environment, that risks from human error are minimised, and that arrangements for recording and requesting amendments are understood and applied. Contractors should be included where they undertake operations on SSCs that may affect safety.</w:t>
      </w:r>
    </w:p>
    <w:p w14:paraId="2EB62447" w14:textId="65295022" w:rsidR="00D60BCB" w:rsidRDefault="00D60BCB">
      <w:pPr>
        <w:spacing w:after="0" w:line="240" w:lineRule="auto"/>
      </w:pPr>
      <w:r>
        <w:br w:type="page"/>
      </w:r>
    </w:p>
    <w:p w14:paraId="25B0DAC6" w14:textId="77777777" w:rsidR="00821337" w:rsidRDefault="00821337" w:rsidP="00FA33FE">
      <w:pPr>
        <w:pStyle w:val="Heading1"/>
        <w:numPr>
          <w:ilvl w:val="0"/>
          <w:numId w:val="0"/>
        </w:numPr>
        <w:ind w:left="851" w:hanging="851"/>
        <w:rPr>
          <w:color w:val="auto"/>
          <w:sz w:val="24"/>
        </w:rPr>
        <w:sectPr w:rsidR="00821337" w:rsidSect="00B23A5E">
          <w:headerReference w:type="even" r:id="rId24"/>
          <w:headerReference w:type="default" r:id="rId25"/>
          <w:footerReference w:type="even" r:id="rId26"/>
          <w:pgSz w:w="11906" w:h="16838" w:code="9"/>
          <w:pgMar w:top="1440" w:right="1440" w:bottom="1440" w:left="1440" w:header="397" w:footer="397" w:gutter="0"/>
          <w:cols w:space="312"/>
          <w:docGrid w:linePitch="360"/>
        </w:sectPr>
      </w:pPr>
    </w:p>
    <w:bookmarkStart w:id="9" w:name="_Toc225525966" w:displacedByCustomXml="next"/>
    <w:sdt>
      <w:sdtPr>
        <w:rPr>
          <w:color w:val="auto"/>
          <w:sz w:val="24"/>
        </w:rPr>
        <w:id w:val="-652758001"/>
        <w:docPartObj>
          <w:docPartGallery w:val="Bibliographies"/>
          <w:docPartUnique/>
        </w:docPartObj>
      </w:sdtPr>
      <w:sdtEndPr/>
      <w:sdtContent>
        <w:p w14:paraId="5F37DAE5" w14:textId="77777777" w:rsidR="002042C2" w:rsidRDefault="002042C2" w:rsidP="002042C2">
          <w:pPr>
            <w:pStyle w:val="Heading1"/>
            <w:numPr>
              <w:ilvl w:val="0"/>
              <w:numId w:val="0"/>
            </w:numPr>
            <w:ind w:left="851" w:hanging="851"/>
          </w:pPr>
          <w:r>
            <w:t>References</w:t>
          </w:r>
          <w:bookmarkEnd w:id="9"/>
        </w:p>
        <w:sdt>
          <w:sdtPr>
            <w:id w:val="-573587230"/>
            <w:bibliography/>
          </w:sdtPr>
          <w:sdtEndPr/>
          <w:sdtContent>
            <w:p w14:paraId="1E7756A8" w14:textId="77777777" w:rsidR="00B80C47" w:rsidRDefault="002042C2" w:rsidP="002042C2">
              <w:pPr>
                <w:rPr>
                  <w:rFonts w:ascii="Calibri" w:hAnsi="Calibri"/>
                  <w:noProof/>
                  <w:sz w:val="20"/>
                  <w:szCs w:val="20"/>
                  <w:lang w:eastAsia="en-GB" w:bidi="ar-SA"/>
                </w:rPr>
              </w:pPr>
              <w:r>
                <w:fldChar w:fldCharType="begin"/>
              </w:r>
              <w:r>
                <w:instrText xml:space="preserve"> BIBLIOGRAPHY </w:instrText>
              </w:r>
              <w:r>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42"/>
                <w:gridCol w:w="8684"/>
              </w:tblGrid>
              <w:tr w:rsidR="00B80C47" w14:paraId="361DF999" w14:textId="77777777">
                <w:trPr>
                  <w:divId w:val="1406412829"/>
                  <w:tblCellSpacing w:w="15" w:type="dxa"/>
                </w:trPr>
                <w:tc>
                  <w:tcPr>
                    <w:tcW w:w="50" w:type="pct"/>
                    <w:hideMark/>
                  </w:tcPr>
                  <w:p w14:paraId="61AADBCF" w14:textId="258FF359" w:rsidR="00B80C47" w:rsidRDefault="00B80C47">
                    <w:pPr>
                      <w:pStyle w:val="Bibliography"/>
                      <w:rPr>
                        <w:noProof/>
                        <w:szCs w:val="24"/>
                      </w:rPr>
                    </w:pPr>
                    <w:r>
                      <w:rPr>
                        <w:noProof/>
                      </w:rPr>
                      <w:t xml:space="preserve">[1] </w:t>
                    </w:r>
                  </w:p>
                </w:tc>
                <w:tc>
                  <w:tcPr>
                    <w:tcW w:w="0" w:type="auto"/>
                    <w:hideMark/>
                  </w:tcPr>
                  <w:p w14:paraId="72BF75FA" w14:textId="77777777" w:rsidR="00B80C47" w:rsidRDefault="00B80C47">
                    <w:pPr>
                      <w:pStyle w:val="Bibliography"/>
                      <w:rPr>
                        <w:noProof/>
                      </w:rPr>
                    </w:pPr>
                    <w:r>
                      <w:rPr>
                        <w:noProof/>
                      </w:rPr>
                      <w:t>ONR, “NS-TAST-GD-035 - Limits and Conditions for Nuclear Safety (Operating Rules)”.</w:t>
                    </w:r>
                  </w:p>
                </w:tc>
              </w:tr>
              <w:tr w:rsidR="00B80C47" w14:paraId="48BC57FA" w14:textId="77777777">
                <w:trPr>
                  <w:divId w:val="1406412829"/>
                  <w:tblCellSpacing w:w="15" w:type="dxa"/>
                </w:trPr>
                <w:tc>
                  <w:tcPr>
                    <w:tcW w:w="50" w:type="pct"/>
                    <w:hideMark/>
                  </w:tcPr>
                  <w:p w14:paraId="36FD2D23" w14:textId="77777777" w:rsidR="00B80C47" w:rsidRDefault="00B80C47">
                    <w:pPr>
                      <w:pStyle w:val="Bibliography"/>
                      <w:rPr>
                        <w:noProof/>
                      </w:rPr>
                    </w:pPr>
                    <w:r>
                      <w:rPr>
                        <w:noProof/>
                      </w:rPr>
                      <w:t xml:space="preserve">[2] </w:t>
                    </w:r>
                  </w:p>
                </w:tc>
                <w:tc>
                  <w:tcPr>
                    <w:tcW w:w="0" w:type="auto"/>
                    <w:hideMark/>
                  </w:tcPr>
                  <w:p w14:paraId="29B9674A" w14:textId="77777777" w:rsidR="00B80C47" w:rsidRDefault="00B80C47">
                    <w:pPr>
                      <w:pStyle w:val="Bibliography"/>
                      <w:rPr>
                        <w:noProof/>
                      </w:rPr>
                    </w:pPr>
                    <w:r>
                      <w:rPr>
                        <w:noProof/>
                      </w:rPr>
                      <w:t>IAEA, “Safety Standards Series No. SSG-70 - Operational Limits and Conditions and Operating Procedures for Nuclear Power Plants,” 2022.</w:t>
                    </w:r>
                  </w:p>
                </w:tc>
              </w:tr>
              <w:tr w:rsidR="00B80C47" w14:paraId="0A16E427" w14:textId="77777777">
                <w:trPr>
                  <w:divId w:val="1406412829"/>
                  <w:tblCellSpacing w:w="15" w:type="dxa"/>
                </w:trPr>
                <w:tc>
                  <w:tcPr>
                    <w:tcW w:w="50" w:type="pct"/>
                    <w:hideMark/>
                  </w:tcPr>
                  <w:p w14:paraId="7C87E057" w14:textId="77777777" w:rsidR="00B80C47" w:rsidRDefault="00B80C47">
                    <w:pPr>
                      <w:pStyle w:val="Bibliography"/>
                      <w:rPr>
                        <w:noProof/>
                      </w:rPr>
                    </w:pPr>
                    <w:r>
                      <w:rPr>
                        <w:noProof/>
                      </w:rPr>
                      <w:t xml:space="preserve">[3] </w:t>
                    </w:r>
                  </w:p>
                </w:tc>
                <w:tc>
                  <w:tcPr>
                    <w:tcW w:w="0" w:type="auto"/>
                    <w:hideMark/>
                  </w:tcPr>
                  <w:p w14:paraId="03B67799" w14:textId="77777777" w:rsidR="00B80C47" w:rsidRDefault="00B80C47">
                    <w:pPr>
                      <w:pStyle w:val="Bibliography"/>
                      <w:rPr>
                        <w:noProof/>
                      </w:rPr>
                    </w:pPr>
                    <w:r>
                      <w:rPr>
                        <w:noProof/>
                      </w:rPr>
                      <w:t>ONR, “NS-TAST-GD-060 - Procedure Design and Administrative Controls”.</w:t>
                    </w:r>
                  </w:p>
                </w:tc>
              </w:tr>
              <w:tr w:rsidR="00B80C47" w14:paraId="5D1A15CA" w14:textId="77777777">
                <w:trPr>
                  <w:divId w:val="1406412829"/>
                  <w:tblCellSpacing w:w="15" w:type="dxa"/>
                </w:trPr>
                <w:tc>
                  <w:tcPr>
                    <w:tcW w:w="50" w:type="pct"/>
                    <w:hideMark/>
                  </w:tcPr>
                  <w:p w14:paraId="2B3B6F28" w14:textId="77777777" w:rsidR="00B80C47" w:rsidRDefault="00B80C47">
                    <w:pPr>
                      <w:pStyle w:val="Bibliography"/>
                      <w:rPr>
                        <w:noProof/>
                      </w:rPr>
                    </w:pPr>
                    <w:r>
                      <w:rPr>
                        <w:noProof/>
                      </w:rPr>
                      <w:t xml:space="preserve">[4] </w:t>
                    </w:r>
                  </w:p>
                </w:tc>
                <w:tc>
                  <w:tcPr>
                    <w:tcW w:w="0" w:type="auto"/>
                    <w:hideMark/>
                  </w:tcPr>
                  <w:p w14:paraId="222413D8" w14:textId="77777777" w:rsidR="00B80C47" w:rsidRDefault="00B80C47">
                    <w:pPr>
                      <w:pStyle w:val="Bibliography"/>
                      <w:rPr>
                        <w:noProof/>
                      </w:rPr>
                    </w:pPr>
                    <w:r>
                      <w:rPr>
                        <w:noProof/>
                      </w:rPr>
                      <w:t>ONR, “NS-TAST-GD-005 - Guidance on the Demonstration of ALARP (As Low As Reasonably Practicable)”.</w:t>
                    </w:r>
                  </w:p>
                </w:tc>
              </w:tr>
              <w:tr w:rsidR="00B80C47" w14:paraId="6F66C664" w14:textId="77777777">
                <w:trPr>
                  <w:divId w:val="1406412829"/>
                  <w:tblCellSpacing w:w="15" w:type="dxa"/>
                </w:trPr>
                <w:tc>
                  <w:tcPr>
                    <w:tcW w:w="50" w:type="pct"/>
                    <w:hideMark/>
                  </w:tcPr>
                  <w:p w14:paraId="4CC2DBCC" w14:textId="77777777" w:rsidR="00B80C47" w:rsidRDefault="00B80C47">
                    <w:pPr>
                      <w:pStyle w:val="Bibliography"/>
                      <w:rPr>
                        <w:noProof/>
                      </w:rPr>
                    </w:pPr>
                    <w:r>
                      <w:rPr>
                        <w:noProof/>
                      </w:rPr>
                      <w:t xml:space="preserve">[5] </w:t>
                    </w:r>
                  </w:p>
                </w:tc>
                <w:tc>
                  <w:tcPr>
                    <w:tcW w:w="0" w:type="auto"/>
                    <w:hideMark/>
                  </w:tcPr>
                  <w:p w14:paraId="6A76ECC9" w14:textId="77777777" w:rsidR="00B80C47" w:rsidRDefault="00B80C47">
                    <w:pPr>
                      <w:pStyle w:val="Bibliography"/>
                      <w:rPr>
                        <w:noProof/>
                      </w:rPr>
                    </w:pPr>
                    <w:r>
                      <w:rPr>
                        <w:noProof/>
                      </w:rPr>
                      <w:t>ONR, “NS-INSP-GD-023 - LC23 Operating Rules”.</w:t>
                    </w:r>
                  </w:p>
                </w:tc>
              </w:tr>
            </w:tbl>
            <w:p w14:paraId="54D5CF55" w14:textId="77777777" w:rsidR="00B80C47" w:rsidRDefault="00B80C47">
              <w:pPr>
                <w:divId w:val="1406412829"/>
                <w:rPr>
                  <w:rFonts w:eastAsia="Times New Roman"/>
                  <w:noProof/>
                </w:rPr>
              </w:pPr>
            </w:p>
            <w:p w14:paraId="7CD57A40" w14:textId="48DFC673" w:rsidR="002042C2" w:rsidRDefault="002042C2" w:rsidP="002042C2">
              <w:r>
                <w:rPr>
                  <w:b/>
                  <w:bCs/>
                  <w:noProof/>
                </w:rPr>
                <w:fldChar w:fldCharType="end"/>
              </w:r>
            </w:p>
          </w:sdtContent>
        </w:sdt>
      </w:sdtContent>
    </w:sdt>
    <w:p w14:paraId="6F46D183" w14:textId="25E691C8" w:rsidR="002042C2" w:rsidRDefault="002042C2" w:rsidP="002042C2">
      <w:pPr>
        <w:pStyle w:val="Heading1"/>
        <w:numPr>
          <w:ilvl w:val="0"/>
          <w:numId w:val="0"/>
        </w:numPr>
        <w:ind w:left="851" w:hanging="851"/>
      </w:pPr>
      <w:bookmarkStart w:id="10" w:name="_Toc225525967"/>
      <w:r>
        <w:t>Glossary</w:t>
      </w:r>
      <w:bookmarkEnd w:id="10"/>
    </w:p>
    <w:tbl>
      <w:tblPr>
        <w:tblStyle w:val="ONRTable1"/>
        <w:tblW w:w="5000" w:type="pct"/>
        <w:tblInd w:w="5" w:type="dxa"/>
        <w:tblLook w:val="01E0" w:firstRow="1" w:lastRow="1" w:firstColumn="1" w:lastColumn="1" w:noHBand="0" w:noVBand="0"/>
      </w:tblPr>
      <w:tblGrid>
        <w:gridCol w:w="2405"/>
        <w:gridCol w:w="6621"/>
      </w:tblGrid>
      <w:tr w:rsidR="00457407" w:rsidRPr="008A5CE6" w14:paraId="404C2469" w14:textId="77777777" w:rsidTr="00EF6EB2">
        <w:trPr>
          <w:cnfStyle w:val="100000000000" w:firstRow="1" w:lastRow="0" w:firstColumn="0" w:lastColumn="0" w:oddVBand="0" w:evenVBand="0" w:oddHBand="0" w:evenHBand="0" w:firstRowFirstColumn="0" w:firstRowLastColumn="0" w:lastRowFirstColumn="0" w:lastRowLastColumn="0"/>
        </w:trPr>
        <w:tc>
          <w:tcPr>
            <w:tcW w:w="1332" w:type="pct"/>
          </w:tcPr>
          <w:p w14:paraId="6C86635E" w14:textId="77777777" w:rsidR="00457407" w:rsidRPr="008A5CE6" w:rsidRDefault="00457407" w:rsidP="00EF6EB2">
            <w:pPr>
              <w:tabs>
                <w:tab w:val="left" w:pos="720"/>
              </w:tabs>
              <w:spacing w:before="60" w:after="60"/>
              <w:rPr>
                <w:b w:val="0"/>
                <w:bCs/>
              </w:rPr>
            </w:pPr>
            <w:r w:rsidRPr="008A5CE6">
              <w:rPr>
                <w:b w:val="0"/>
                <w:bCs/>
              </w:rPr>
              <w:t>Term</w:t>
            </w:r>
            <w:r>
              <w:rPr>
                <w:b w:val="0"/>
                <w:bCs/>
              </w:rPr>
              <w:t>/Acronym</w:t>
            </w:r>
          </w:p>
        </w:tc>
        <w:tc>
          <w:tcPr>
            <w:tcW w:w="3668" w:type="pct"/>
          </w:tcPr>
          <w:p w14:paraId="7A9EFC90" w14:textId="77777777" w:rsidR="00457407" w:rsidRPr="008A5CE6" w:rsidRDefault="00457407" w:rsidP="00EF6EB2">
            <w:pPr>
              <w:tabs>
                <w:tab w:val="left" w:pos="720"/>
              </w:tabs>
              <w:spacing w:before="60" w:after="60"/>
              <w:rPr>
                <w:b w:val="0"/>
                <w:bCs/>
              </w:rPr>
            </w:pPr>
            <w:r w:rsidRPr="008A5CE6">
              <w:rPr>
                <w:b w:val="0"/>
                <w:bCs/>
              </w:rPr>
              <w:t>Definition</w:t>
            </w:r>
          </w:p>
        </w:tc>
      </w:tr>
      <w:tr w:rsidR="00457407" w:rsidRPr="00E3076C" w14:paraId="27A3B29D" w14:textId="77777777" w:rsidTr="00EF6EB2">
        <w:tc>
          <w:tcPr>
            <w:tcW w:w="1332" w:type="pct"/>
          </w:tcPr>
          <w:p w14:paraId="441DB2FA" w14:textId="77777777" w:rsidR="00457407" w:rsidRPr="00E3076C" w:rsidRDefault="00457407" w:rsidP="00EF6EB2">
            <w:pPr>
              <w:tabs>
                <w:tab w:val="left" w:pos="720"/>
              </w:tabs>
              <w:spacing w:before="60" w:after="60"/>
            </w:pPr>
            <w:r>
              <w:t>Operating Rules</w:t>
            </w:r>
          </w:p>
        </w:tc>
        <w:tc>
          <w:tcPr>
            <w:tcW w:w="3668" w:type="pct"/>
          </w:tcPr>
          <w:p w14:paraId="4267EAB3" w14:textId="77777777" w:rsidR="00457407" w:rsidRPr="00DE688D" w:rsidRDefault="00457407" w:rsidP="00EF6EB2">
            <w:pPr>
              <w:tabs>
                <w:tab w:val="left" w:pos="720"/>
              </w:tabs>
              <w:spacing w:before="60" w:after="60"/>
            </w:pPr>
            <w:r>
              <w:t>T</w:t>
            </w:r>
            <w:r w:rsidRPr="00B97DC2">
              <w:t>he limits and conditions</w:t>
            </w:r>
            <w:r>
              <w:t xml:space="preserve"> derived in the facility safety case necessary to keep</w:t>
            </w:r>
            <w:r w:rsidRPr="00B97DC2">
              <w:t xml:space="preserve"> the plant within constraints that ensure the safety of the facility during normal operation and in </w:t>
            </w:r>
            <w:r>
              <w:t xml:space="preserve">abnormal or </w:t>
            </w:r>
            <w:r w:rsidRPr="00B97DC2">
              <w:t>accident conditions</w:t>
            </w:r>
            <w:r>
              <w:t>.</w:t>
            </w:r>
          </w:p>
        </w:tc>
      </w:tr>
      <w:tr w:rsidR="00457407" w:rsidRPr="00E3076C" w14:paraId="2ADEC013" w14:textId="77777777" w:rsidTr="00EF6EB2">
        <w:tc>
          <w:tcPr>
            <w:tcW w:w="1332" w:type="pct"/>
          </w:tcPr>
          <w:p w14:paraId="4E0805DA" w14:textId="77777777" w:rsidR="00457407" w:rsidRPr="00E3076C" w:rsidRDefault="00457407" w:rsidP="00EF6EB2">
            <w:pPr>
              <w:tabs>
                <w:tab w:val="left" w:pos="720"/>
              </w:tabs>
              <w:spacing w:before="60" w:after="60"/>
            </w:pPr>
            <w:r w:rsidRPr="00E3076C">
              <w:t>Safety Measure</w:t>
            </w:r>
          </w:p>
        </w:tc>
        <w:tc>
          <w:tcPr>
            <w:tcW w:w="3668" w:type="pct"/>
          </w:tcPr>
          <w:p w14:paraId="24D56DB7" w14:textId="10C37EF3" w:rsidR="00457407" w:rsidRPr="004B7E07" w:rsidRDefault="00457407" w:rsidP="00EF6EB2">
            <w:pPr>
              <w:tabs>
                <w:tab w:val="left" w:pos="720"/>
              </w:tabs>
              <w:spacing w:before="60" w:after="60"/>
              <w:rPr>
                <w:highlight w:val="yellow"/>
              </w:rPr>
            </w:pPr>
            <w:r w:rsidRPr="00DE688D">
              <w:t>A safety system, or a combination of procedures, operator actions and safety systems that protects against a radiological consequence, or a specific feature of plant designed to prevent or mitigate a radiological consequence by passive means.</w:t>
            </w:r>
            <w:r>
              <w:t xml:space="preserve"> Refer to </w:t>
            </w:r>
            <w:sdt>
              <w:sdtPr>
                <w:id w:val="-1990476419"/>
                <w:citation/>
              </w:sdtPr>
              <w:sdtEndPr/>
              <w:sdtContent>
                <w:r>
                  <w:fldChar w:fldCharType="begin"/>
                </w:r>
                <w:r>
                  <w:instrText xml:space="preserve"> CITATION ONR87 \l 2057 </w:instrText>
                </w:r>
                <w:r>
                  <w:fldChar w:fldCharType="separate"/>
                </w:r>
                <w:r w:rsidR="00B80C47" w:rsidRPr="00B80C47">
                  <w:rPr>
                    <w:noProof/>
                  </w:rPr>
                  <w:t>[1]</w:t>
                </w:r>
                <w:r>
                  <w:fldChar w:fldCharType="end"/>
                </w:r>
              </w:sdtContent>
            </w:sdt>
            <w:r>
              <w:t xml:space="preserve"> for more detailed information on safety measures, safety limits and safety systems. </w:t>
            </w:r>
          </w:p>
        </w:tc>
      </w:tr>
    </w:tbl>
    <w:p w14:paraId="03973FCE" w14:textId="77777777" w:rsidR="00930E37" w:rsidRDefault="00930E37" w:rsidP="002042C2"/>
    <w:p w14:paraId="6DB6E9BC" w14:textId="77777777" w:rsidR="00084ABE" w:rsidRDefault="00084ABE" w:rsidP="00930E37">
      <w:pPr>
        <w:pStyle w:val="Heading1"/>
        <w:numPr>
          <w:ilvl w:val="0"/>
          <w:numId w:val="0"/>
        </w:numPr>
        <w:ind w:left="851" w:hanging="851"/>
        <w:sectPr w:rsidR="00084ABE" w:rsidSect="00B23A5E">
          <w:pgSz w:w="11906" w:h="16838" w:code="9"/>
          <w:pgMar w:top="1440" w:right="1440" w:bottom="1440" w:left="1440" w:header="397" w:footer="397" w:gutter="0"/>
          <w:cols w:space="312"/>
          <w:docGrid w:linePitch="360"/>
        </w:sectPr>
      </w:pPr>
    </w:p>
    <w:p w14:paraId="07D791C5" w14:textId="77777777" w:rsidR="00930E37" w:rsidRPr="00595C8C" w:rsidRDefault="00930E37" w:rsidP="00930E37">
      <w:pPr>
        <w:pStyle w:val="Heading1"/>
        <w:numPr>
          <w:ilvl w:val="0"/>
          <w:numId w:val="0"/>
        </w:numPr>
        <w:ind w:left="851" w:hanging="851"/>
      </w:pPr>
      <w:bookmarkStart w:id="11" w:name="_Toc225525968"/>
      <w:r>
        <w:lastRenderedPageBreak/>
        <w:t>Document control information</w:t>
      </w:r>
      <w:bookmarkEnd w:id="11"/>
    </w:p>
    <w:p w14:paraId="2C5D42AA" w14:textId="0D68AD91" w:rsidR="00930E37" w:rsidRPr="00196ADB" w:rsidRDefault="00930E37" w:rsidP="00930E37">
      <w:pPr>
        <w:rPr>
          <w:szCs w:val="24"/>
        </w:rPr>
      </w:pPr>
      <w:r w:rsidRPr="00196ADB">
        <w:rPr>
          <w:b/>
          <w:bCs/>
          <w:szCs w:val="24"/>
        </w:rPr>
        <w:t>Approved by</w:t>
      </w:r>
      <w:r w:rsidRPr="00196ADB">
        <w:rPr>
          <w:szCs w:val="24"/>
        </w:rPr>
        <w:t xml:space="preserve"> –</w:t>
      </w:r>
      <w:r w:rsidR="001271F6">
        <w:rPr>
          <w:szCs w:val="24"/>
        </w:rPr>
        <w:t xml:space="preserve"> </w:t>
      </w:r>
      <w:r>
        <w:rPr>
          <w:szCs w:val="24"/>
        </w:rPr>
        <w:t xml:space="preserve">Head of Profession for </w:t>
      </w:r>
      <w:r w:rsidR="00A3092F">
        <w:rPr>
          <w:szCs w:val="24"/>
        </w:rPr>
        <w:t>Operational Inspection</w:t>
      </w:r>
    </w:p>
    <w:p w14:paraId="10D33D1E" w14:textId="7F9416A2" w:rsidR="00930E37" w:rsidRPr="00196ADB" w:rsidRDefault="00930E37" w:rsidP="00930E37">
      <w:pPr>
        <w:rPr>
          <w:szCs w:val="24"/>
        </w:rPr>
      </w:pPr>
      <w:r w:rsidRPr="00196ADB">
        <w:rPr>
          <w:b/>
          <w:bCs/>
          <w:szCs w:val="24"/>
        </w:rPr>
        <w:t>Issue</w:t>
      </w:r>
      <w:r>
        <w:rPr>
          <w:b/>
          <w:bCs/>
          <w:szCs w:val="24"/>
        </w:rPr>
        <w:t>:</w:t>
      </w:r>
      <w:r w:rsidRPr="00196ADB">
        <w:rPr>
          <w:szCs w:val="24"/>
        </w:rPr>
        <w:t xml:space="preserve"> </w:t>
      </w:r>
      <w:sdt>
        <w:sdtPr>
          <w:rPr>
            <w:szCs w:val="24"/>
          </w:rPr>
          <w:alias w:val="Issue No."/>
          <w:tag w:val=""/>
          <w:id w:val="-894428327"/>
          <w:placeholder>
            <w:docPart w:val="4BFF33CE9ACF45B4BD9D9653F86AF5B6"/>
          </w:placeholder>
          <w:dataBinding w:prefixMappings="xmlns:ns0='http://purl.org/dc/elements/1.1/' xmlns:ns1='http://schemas.openxmlformats.org/package/2006/metadata/core-properties' " w:xpath="/ns1:coreProperties[1]/ns1:contentStatus[1]" w:storeItemID="{6C3C8BC8-F283-45AE-878A-BAB7291924A1}"/>
          <w:text/>
        </w:sdtPr>
        <w:sdtEndPr/>
        <w:sdtContent>
          <w:r w:rsidR="00F91065">
            <w:rPr>
              <w:szCs w:val="24"/>
            </w:rPr>
            <w:t>7.1</w:t>
          </w:r>
        </w:sdtContent>
      </w:sdt>
    </w:p>
    <w:p w14:paraId="12DC54B5" w14:textId="7B439714" w:rsidR="00930E37" w:rsidRPr="00196ADB" w:rsidRDefault="00930E37" w:rsidP="00930E37">
      <w:pPr>
        <w:rPr>
          <w:szCs w:val="24"/>
        </w:rPr>
      </w:pPr>
      <w:r>
        <w:rPr>
          <w:b/>
          <w:bCs/>
          <w:szCs w:val="24"/>
        </w:rPr>
        <w:t>Published</w:t>
      </w:r>
      <w:r w:rsidRPr="00196ADB">
        <w:rPr>
          <w:szCs w:val="24"/>
        </w:rPr>
        <w:t xml:space="preserve">: </w:t>
      </w:r>
      <w:r w:rsidR="00A3092F">
        <w:rPr>
          <w:szCs w:val="24"/>
        </w:rPr>
        <w:t>March</w:t>
      </w:r>
      <w:r>
        <w:rPr>
          <w:szCs w:val="24"/>
        </w:rPr>
        <w:t xml:space="preserve"> </w:t>
      </w:r>
      <w:r w:rsidR="00A3092F">
        <w:rPr>
          <w:szCs w:val="24"/>
        </w:rPr>
        <w:t>2026</w:t>
      </w:r>
    </w:p>
    <w:p w14:paraId="29AA6F0F" w14:textId="5AA7D357" w:rsidR="00930E37" w:rsidRPr="00196ADB" w:rsidRDefault="00930E37" w:rsidP="00930E37">
      <w:pPr>
        <w:rPr>
          <w:szCs w:val="24"/>
        </w:rPr>
      </w:pPr>
      <w:r w:rsidRPr="00196ADB">
        <w:rPr>
          <w:b/>
          <w:bCs/>
          <w:szCs w:val="24"/>
        </w:rPr>
        <w:t xml:space="preserve">Next </w:t>
      </w:r>
      <w:r>
        <w:rPr>
          <w:b/>
          <w:bCs/>
          <w:szCs w:val="24"/>
        </w:rPr>
        <w:t>scheduled review</w:t>
      </w:r>
      <w:r w:rsidRPr="00196ADB">
        <w:rPr>
          <w:szCs w:val="24"/>
        </w:rPr>
        <w:t xml:space="preserve">: </w:t>
      </w:r>
      <w:r w:rsidR="00A3092F">
        <w:rPr>
          <w:szCs w:val="24"/>
        </w:rPr>
        <w:t>October</w:t>
      </w:r>
      <w:r>
        <w:rPr>
          <w:szCs w:val="24"/>
        </w:rPr>
        <w:t xml:space="preserve"> </w:t>
      </w:r>
      <w:r w:rsidR="00A3092F">
        <w:rPr>
          <w:szCs w:val="24"/>
        </w:rPr>
        <w:t>2027</w:t>
      </w:r>
    </w:p>
    <w:p w14:paraId="0A735AFC" w14:textId="32CCC236" w:rsidR="00930E37" w:rsidRPr="00196ADB" w:rsidRDefault="00930E37" w:rsidP="008C6604">
      <w:pPr>
        <w:rPr>
          <w:szCs w:val="24"/>
        </w:rPr>
      </w:pPr>
      <w:r w:rsidRPr="00196ADB">
        <w:rPr>
          <w:b/>
          <w:bCs/>
          <w:szCs w:val="24"/>
        </w:rPr>
        <w:t>Doc</w:t>
      </w:r>
      <w:r>
        <w:rPr>
          <w:b/>
          <w:bCs/>
          <w:szCs w:val="24"/>
        </w:rPr>
        <w:t>ument reference</w:t>
      </w:r>
      <w:r w:rsidRPr="00196ADB">
        <w:rPr>
          <w:szCs w:val="24"/>
        </w:rPr>
        <w:t xml:space="preserve">: </w:t>
      </w:r>
      <w:r w:rsidR="008C6604">
        <w:rPr>
          <w:szCs w:val="24"/>
        </w:rPr>
        <w:t>NS-INSP-GD-024</w:t>
      </w:r>
    </w:p>
    <w:p w14:paraId="0676226F" w14:textId="5D35B1D4" w:rsidR="00930E37" w:rsidRPr="00196ADB" w:rsidRDefault="00930E37" w:rsidP="008C6604">
      <w:pPr>
        <w:rPr>
          <w:szCs w:val="24"/>
        </w:rPr>
      </w:pPr>
      <w:r w:rsidRPr="00196ADB">
        <w:rPr>
          <w:b/>
          <w:bCs/>
          <w:szCs w:val="24"/>
        </w:rPr>
        <w:t xml:space="preserve">Record </w:t>
      </w:r>
      <w:r>
        <w:rPr>
          <w:b/>
          <w:bCs/>
          <w:szCs w:val="24"/>
        </w:rPr>
        <w:t>reference</w:t>
      </w:r>
      <w:r w:rsidRPr="00196ADB">
        <w:rPr>
          <w:szCs w:val="24"/>
        </w:rPr>
        <w:t xml:space="preserve">: </w:t>
      </w:r>
      <w:r w:rsidR="008C6604" w:rsidRPr="008C6604">
        <w:rPr>
          <w:szCs w:val="24"/>
        </w:rPr>
        <w:t>ONRHH-822789359-20501</w:t>
      </w:r>
    </w:p>
    <w:p w14:paraId="7629CA34" w14:textId="77777777" w:rsidR="00930E37" w:rsidRDefault="00930E37" w:rsidP="00930E37">
      <w:pPr>
        <w:pStyle w:val="Caption"/>
        <w:keepNext/>
      </w:pPr>
      <w:r>
        <w:t>Revision commentary</w:t>
      </w:r>
    </w:p>
    <w:tbl>
      <w:tblPr>
        <w:tblStyle w:val="ONRTable1"/>
        <w:tblW w:w="0" w:type="auto"/>
        <w:tblInd w:w="10" w:type="dxa"/>
        <w:tblLook w:val="04A0" w:firstRow="1" w:lastRow="0" w:firstColumn="1" w:lastColumn="0" w:noHBand="0" w:noVBand="1"/>
      </w:tblPr>
      <w:tblGrid>
        <w:gridCol w:w="1550"/>
        <w:gridCol w:w="7466"/>
      </w:tblGrid>
      <w:tr w:rsidR="00930E37" w:rsidRPr="00B23A5E" w14:paraId="1216A18F" w14:textId="77777777" w:rsidTr="00CF24A9">
        <w:trPr>
          <w:cnfStyle w:val="100000000000" w:firstRow="1" w:lastRow="0" w:firstColumn="0" w:lastColumn="0" w:oddVBand="0" w:evenVBand="0" w:oddHBand="0" w:evenHBand="0" w:firstRowFirstColumn="0" w:firstRowLastColumn="0" w:lastRowFirstColumn="0" w:lastRowLastColumn="0"/>
        </w:trPr>
        <w:tc>
          <w:tcPr>
            <w:tcW w:w="1550" w:type="dxa"/>
          </w:tcPr>
          <w:p w14:paraId="3C3F26F3" w14:textId="77777777" w:rsidR="00930E37" w:rsidRPr="00B23A5E" w:rsidRDefault="00930E37" w:rsidP="00CF24A9">
            <w:pPr>
              <w:spacing w:before="60" w:after="60"/>
              <w:rPr>
                <w:b w:val="0"/>
                <w:bCs/>
              </w:rPr>
            </w:pPr>
            <w:r w:rsidRPr="00B23A5E">
              <w:rPr>
                <w:b w:val="0"/>
                <w:bCs/>
              </w:rPr>
              <w:t>Issue</w:t>
            </w:r>
          </w:p>
        </w:tc>
        <w:tc>
          <w:tcPr>
            <w:tcW w:w="7466" w:type="dxa"/>
          </w:tcPr>
          <w:p w14:paraId="5DC60E12" w14:textId="77777777" w:rsidR="00930E37" w:rsidRPr="00B23A5E" w:rsidRDefault="00930E37" w:rsidP="00CF24A9">
            <w:pPr>
              <w:spacing w:before="60" w:after="60"/>
              <w:rPr>
                <w:b w:val="0"/>
                <w:bCs/>
              </w:rPr>
            </w:pPr>
            <w:r w:rsidRPr="00B23A5E">
              <w:rPr>
                <w:b w:val="0"/>
                <w:bCs/>
              </w:rPr>
              <w:t xml:space="preserve">Description of </w:t>
            </w:r>
            <w:r>
              <w:rPr>
                <w:b w:val="0"/>
                <w:bCs/>
              </w:rPr>
              <w:t>u</w:t>
            </w:r>
            <w:r w:rsidRPr="00B23A5E">
              <w:rPr>
                <w:b w:val="0"/>
                <w:bCs/>
              </w:rPr>
              <w:t>pdate(s)</w:t>
            </w:r>
          </w:p>
        </w:tc>
      </w:tr>
      <w:tr w:rsidR="00F91065" w14:paraId="1D25BD44" w14:textId="77777777" w:rsidTr="00CF24A9">
        <w:tc>
          <w:tcPr>
            <w:tcW w:w="1550" w:type="dxa"/>
          </w:tcPr>
          <w:p w14:paraId="09409656" w14:textId="6A3C9D32" w:rsidR="00F91065" w:rsidRDefault="00F91065" w:rsidP="00F91065">
            <w:pPr>
              <w:spacing w:before="60" w:after="60"/>
            </w:pPr>
            <w:r w:rsidRPr="00C07783">
              <w:t>7</w:t>
            </w:r>
          </w:p>
        </w:tc>
        <w:tc>
          <w:tcPr>
            <w:tcW w:w="7466" w:type="dxa"/>
          </w:tcPr>
          <w:p w14:paraId="0DD41B3D" w14:textId="32678352" w:rsidR="00F91065" w:rsidRDefault="00F91065" w:rsidP="00F91065">
            <w:pPr>
              <w:spacing w:before="60" w:after="60"/>
            </w:pPr>
            <w:r w:rsidRPr="00C07783">
              <w:t xml:space="preserve">Updated to include references to NS-TAST-GD-035 and NS-INSP-GD-023. </w:t>
            </w:r>
          </w:p>
        </w:tc>
      </w:tr>
      <w:tr w:rsidR="00F91065" w14:paraId="3F21D9DE" w14:textId="77777777" w:rsidTr="00CF24A9">
        <w:tc>
          <w:tcPr>
            <w:tcW w:w="1550" w:type="dxa"/>
          </w:tcPr>
          <w:p w14:paraId="0225437A" w14:textId="5A548681" w:rsidR="00F91065" w:rsidRPr="00C07783" w:rsidRDefault="00F91065" w:rsidP="00F91065">
            <w:pPr>
              <w:spacing w:before="60" w:after="60"/>
            </w:pPr>
            <w:r>
              <w:t>7.1</w:t>
            </w:r>
          </w:p>
        </w:tc>
        <w:tc>
          <w:tcPr>
            <w:tcW w:w="7466" w:type="dxa"/>
          </w:tcPr>
          <w:p w14:paraId="6A9A5E55" w14:textId="190A9CA4" w:rsidR="00F91065" w:rsidRPr="00C07783" w:rsidRDefault="00E37036" w:rsidP="00F91065">
            <w:pPr>
              <w:spacing w:before="60" w:after="60"/>
            </w:pPr>
            <w:r w:rsidRPr="00E37036">
              <w:t>Minor update to reduce word count and update to the latest TIG format, no changes to the context or the intent.</w:t>
            </w:r>
          </w:p>
        </w:tc>
      </w:tr>
    </w:tbl>
    <w:p w14:paraId="5AB38FA4" w14:textId="77777777" w:rsidR="00084ABE" w:rsidRDefault="00084ABE" w:rsidP="002042C2">
      <w:pPr>
        <w:rPr>
          <w:b/>
          <w:bCs/>
          <w:sz w:val="20"/>
          <w:szCs w:val="18"/>
        </w:rPr>
      </w:pPr>
    </w:p>
    <w:p w14:paraId="17669631" w14:textId="5BB8C6E8" w:rsidR="00930E37" w:rsidRPr="008C6604" w:rsidRDefault="00084ABE" w:rsidP="002042C2">
      <w:pPr>
        <w:rPr>
          <w:lang w:val="pt-PT"/>
        </w:rPr>
      </w:pPr>
      <w:r w:rsidRPr="008C6604">
        <w:rPr>
          <w:b/>
          <w:bCs/>
          <w:sz w:val="20"/>
          <w:szCs w:val="18"/>
          <w:lang w:val="pt-PT"/>
        </w:rPr>
        <w:t>Template reference</w:t>
      </w:r>
      <w:r w:rsidRPr="008C6604">
        <w:rPr>
          <w:sz w:val="20"/>
          <w:szCs w:val="18"/>
          <w:lang w:val="pt-PT"/>
        </w:rPr>
        <w:t>: ONR-DOC-TEMP-003</w:t>
      </w:r>
      <w:r w:rsidRPr="008C6604">
        <w:rPr>
          <w:lang w:val="pt-PT"/>
        </w:rPr>
        <w:tab/>
      </w:r>
    </w:p>
    <w:sectPr w:rsidR="00930E37" w:rsidRPr="008C6604" w:rsidSect="00B23A5E">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8"/>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 wne:argValue="AgBGADkAIAAtACAAIwAgAFAAYQByAGEAZwByAGEAcABoAA=="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029A43" w14:textId="77777777" w:rsidR="00956D0D" w:rsidRDefault="00956D0D" w:rsidP="007D199A">
      <w:pPr>
        <w:spacing w:after="0"/>
      </w:pPr>
      <w:r>
        <w:separator/>
      </w:r>
    </w:p>
    <w:p w14:paraId="18E4E385" w14:textId="77777777" w:rsidR="00956D0D" w:rsidRDefault="00956D0D"/>
  </w:endnote>
  <w:endnote w:type="continuationSeparator" w:id="0">
    <w:p w14:paraId="32E84D88" w14:textId="77777777" w:rsidR="00956D0D" w:rsidRDefault="00956D0D" w:rsidP="007D199A">
      <w:pPr>
        <w:spacing w:after="0"/>
      </w:pPr>
      <w:r>
        <w:continuationSeparator/>
      </w:r>
    </w:p>
    <w:p w14:paraId="14F31E98" w14:textId="77777777" w:rsidR="00956D0D" w:rsidRDefault="00956D0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4E96E" w14:textId="47AC9C34" w:rsidR="007C3C1D" w:rsidRPr="00196ADB" w:rsidRDefault="006A525B" w:rsidP="007C3C1D">
    <w:pPr>
      <w:pStyle w:val="Footer"/>
      <w:jc w:val="left"/>
      <w:rPr>
        <w:sz w:val="22"/>
      </w:rPr>
    </w:pPr>
    <w:r w:rsidRPr="00196ADB">
      <w:rPr>
        <w:sz w:val="22"/>
      </w:rPr>
      <w:t>ONR-DOC-TEMP-</w:t>
    </w:r>
    <w:r w:rsidR="00821337" w:rsidRPr="00196ADB">
      <w:rPr>
        <w:sz w:val="22"/>
      </w:rPr>
      <w:t>003</w:t>
    </w:r>
    <w:r w:rsidRPr="00196ADB">
      <w:rPr>
        <w:sz w:val="22"/>
      </w:rPr>
      <w:t xml:space="preserve"> (Issue </w:t>
    </w:r>
    <w:r w:rsidR="00821337" w:rsidRPr="00196ADB">
      <w:rPr>
        <w:sz w:val="22"/>
      </w:rPr>
      <w:t>3</w:t>
    </w:r>
    <w:r w:rsidR="00B23A5E" w:rsidRPr="00196ADB">
      <w:rPr>
        <w:sz w:val="22"/>
      </w:rPr>
      <w:t>.</w:t>
    </w:r>
    <w:r w:rsidR="00EB6ECB">
      <w:rPr>
        <w:sz w:val="22"/>
      </w:rPr>
      <w:t>5</w:t>
    </w:r>
    <w:r w:rsidRPr="00196ADB">
      <w:rPr>
        <w:sz w:val="22"/>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7DD047" w14:textId="61416359" w:rsidR="00084ABE" w:rsidRDefault="00084ABE" w:rsidP="00084ABE">
    <w:pPr>
      <w:pStyle w:val="Footer"/>
      <w:jc w:val="left"/>
    </w:pPr>
    <w:r>
      <w:tab/>
    </w:r>
    <w:r>
      <w:tab/>
      <w:t xml:space="preserve">Page | </w:t>
    </w:r>
    <w:r>
      <w:fldChar w:fldCharType="begin"/>
    </w:r>
    <w:r>
      <w:instrText>PAGE   \* MERGEFORMAT</w:instrText>
    </w:r>
    <w:r>
      <w:fldChar w:fldCharType="separate"/>
    </w:r>
    <w:r>
      <w:t>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A44C0D" w14:textId="77777777" w:rsidR="00CE6198" w:rsidRDefault="00CE6198" w:rsidP="008229B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2208BD" w14:textId="71E303B1" w:rsidR="00CE6198" w:rsidRPr="00B23A5E" w:rsidRDefault="00B23A5E" w:rsidP="00B23A5E">
    <w:pPr>
      <w:pStyle w:val="Footer"/>
      <w:rPr>
        <w:rStyle w:val="PageNumber"/>
        <w:color w:val="22413A"/>
        <w:sz w:val="24"/>
      </w:rPr>
    </w:pPr>
    <w:r w:rsidRPr="00B23A5E">
      <w:rPr>
        <w:rStyle w:val="PageNumber"/>
        <w:color w:val="22413A"/>
        <w:sz w:val="24"/>
      </w:rPr>
      <w:t xml:space="preserve">Page | </w:t>
    </w:r>
    <w:r w:rsidRPr="00B23A5E">
      <w:rPr>
        <w:rStyle w:val="PageNumber"/>
        <w:color w:val="22413A"/>
        <w:sz w:val="24"/>
      </w:rPr>
      <w:fldChar w:fldCharType="begin"/>
    </w:r>
    <w:r w:rsidRPr="00B23A5E">
      <w:rPr>
        <w:rStyle w:val="PageNumber"/>
        <w:color w:val="22413A"/>
        <w:sz w:val="24"/>
      </w:rPr>
      <w:instrText xml:space="preserve"> PAGE   \* MERGEFORMAT </w:instrText>
    </w:r>
    <w:r w:rsidRPr="00B23A5E">
      <w:rPr>
        <w:rStyle w:val="PageNumber"/>
        <w:color w:val="22413A"/>
        <w:sz w:val="24"/>
      </w:rPr>
      <w:fldChar w:fldCharType="separate"/>
    </w:r>
    <w:r w:rsidRPr="00B23A5E">
      <w:rPr>
        <w:rStyle w:val="PageNumber"/>
        <w:noProof/>
        <w:color w:val="22413A"/>
        <w:sz w:val="24"/>
      </w:rPr>
      <w:t>1</w:t>
    </w:r>
    <w:r w:rsidRPr="00B23A5E">
      <w:rPr>
        <w:rStyle w:val="PageNumber"/>
        <w:noProof/>
        <w:color w:val="22413A"/>
        <w:sz w:val="24"/>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DBB12" w14:textId="77777777" w:rsidR="008C50C3" w:rsidRPr="008C50C3" w:rsidRDefault="008C50C3" w:rsidP="008229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1017E5" w14:textId="77777777" w:rsidR="00956D0D" w:rsidRPr="005E0344" w:rsidRDefault="00956D0D" w:rsidP="005E0344">
      <w:pPr>
        <w:spacing w:after="120"/>
        <w:rPr>
          <w:color w:val="000000" w:themeColor="text2"/>
        </w:rPr>
      </w:pPr>
      <w:r w:rsidRPr="005E0344">
        <w:rPr>
          <w:color w:val="000000" w:themeColor="text2"/>
        </w:rPr>
        <w:separator/>
      </w:r>
    </w:p>
  </w:footnote>
  <w:footnote w:type="continuationSeparator" w:id="0">
    <w:p w14:paraId="194F25A6" w14:textId="77777777" w:rsidR="00956D0D" w:rsidRPr="005E0344" w:rsidRDefault="00956D0D" w:rsidP="0090581D">
      <w:pPr>
        <w:spacing w:after="120"/>
        <w:rPr>
          <w:color w:val="000000" w:themeColor="text2"/>
        </w:rPr>
      </w:pPr>
      <w:r w:rsidRPr="005E0344">
        <w:rPr>
          <w:color w:val="000000" w:themeColor="text2"/>
        </w:rPr>
        <w:continuationSeparator/>
      </w:r>
    </w:p>
    <w:p w14:paraId="0C640E3A" w14:textId="77777777" w:rsidR="00956D0D" w:rsidRDefault="00956D0D"/>
  </w:footnote>
  <w:footnote w:type="continuationNotice" w:id="1">
    <w:p w14:paraId="27C41421" w14:textId="77777777" w:rsidR="00956D0D" w:rsidRDefault="00956D0D">
      <w:pPr>
        <w:spacing w:after="0"/>
      </w:pPr>
    </w:p>
    <w:p w14:paraId="28450D22" w14:textId="77777777" w:rsidR="00956D0D" w:rsidRDefault="00956D0D"/>
  </w:footnote>
  <w:footnote w:id="2">
    <w:p w14:paraId="71C9ADBF" w14:textId="4B6E809E" w:rsidR="00BB5392" w:rsidRDefault="00BB5392" w:rsidP="00BB5392">
      <w:pPr>
        <w:pStyle w:val="FootnoteText"/>
        <w:ind w:left="0" w:firstLine="0"/>
      </w:pPr>
      <w:r>
        <w:rPr>
          <w:rStyle w:val="FootnoteReference"/>
        </w:rPr>
        <w:footnoteRef/>
      </w:r>
      <w:r>
        <w:t xml:space="preserve"> </w:t>
      </w:r>
      <w:r w:rsidRPr="004D1A16">
        <w:t xml:space="preserve">For an in-depth </w:t>
      </w:r>
      <w:r>
        <w:t xml:space="preserve">LC24 </w:t>
      </w:r>
      <w:r w:rsidRPr="004D1A16">
        <w:t xml:space="preserve">inspection, the </w:t>
      </w:r>
      <w:r w:rsidR="00121026">
        <w:t>s</w:t>
      </w:r>
      <w:r w:rsidRPr="004D1A16">
        <w:t xml:space="preserve">ite </w:t>
      </w:r>
      <w:r w:rsidR="00121026">
        <w:t>i</w:t>
      </w:r>
      <w:r w:rsidRPr="004D1A16">
        <w:t xml:space="preserve">nspector should </w:t>
      </w:r>
      <w:r>
        <w:t xml:space="preserve">also </w:t>
      </w:r>
      <w:r w:rsidRPr="004D1A16">
        <w:t xml:space="preserve">consider requesting </w:t>
      </w:r>
      <w:r>
        <w:t xml:space="preserve">Fault Studies </w:t>
      </w:r>
      <w:r w:rsidRPr="004D1A16">
        <w:t>Specialist support</w:t>
      </w:r>
      <w:r>
        <w:t xml:space="preserve"> to determine if the operating instructions sampled are consistent with the safety case and also that any pertinent operating limits and conditions are correctly implemented by use of the operating instructions.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38445" w14:textId="77777777" w:rsidR="00091EEA" w:rsidRDefault="00091EEA" w:rsidP="00091EEA">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435CE5" w14:textId="77777777" w:rsidR="00084ABE" w:rsidRDefault="00084ABE" w:rsidP="00084ABE">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F688BC" w14:textId="77777777" w:rsidR="00267815" w:rsidRPr="00267815" w:rsidRDefault="00267815" w:rsidP="0025728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46A3E0" w14:textId="77777777" w:rsidR="00CE6198" w:rsidRDefault="00CE6198" w:rsidP="00091EEA">
    <w:pPr>
      <w:pStyle w:val="Header"/>
      <w:pBdr>
        <w:bottom w:val="none" w:sz="0" w:space="0"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800CF" w14:textId="77777777" w:rsidR="008C50C3" w:rsidRPr="008C50C3" w:rsidRDefault="008C50C3" w:rsidP="00257288">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FC75F" w14:textId="7927FDD4" w:rsidR="00177666" w:rsidRPr="00196ADB" w:rsidRDefault="001271F6" w:rsidP="009E0E52">
    <w:pPr>
      <w:pStyle w:val="Header"/>
      <w:rPr>
        <w:sz w:val="20"/>
        <w:szCs w:val="24"/>
      </w:rPr>
    </w:pPr>
    <w:sdt>
      <w:sdtPr>
        <w:rPr>
          <w:sz w:val="20"/>
          <w:szCs w:val="24"/>
        </w:rPr>
        <w:alias w:val="Title"/>
        <w:tag w:val=""/>
        <w:id w:val="-545993998"/>
        <w:dataBinding w:prefixMappings="xmlns:ns0='http://purl.org/dc/elements/1.1/' xmlns:ns1='http://schemas.openxmlformats.org/package/2006/metadata/core-properties' " w:xpath="/ns1:coreProperties[1]/ns0:title[1]" w:storeItemID="{6C3C8BC8-F283-45AE-878A-BAB7291924A1}"/>
        <w:text/>
      </w:sdtPr>
      <w:sdtEndPr/>
      <w:sdtContent>
        <w:r w:rsidR="004C26B6">
          <w:rPr>
            <w:sz w:val="20"/>
            <w:szCs w:val="24"/>
          </w:rPr>
          <w:t>LC24 – Operating Instructions</w:t>
        </w:r>
      </w:sdtContent>
    </w:sdt>
    <w:r w:rsidR="004E3932" w:rsidRPr="00196ADB">
      <w:rPr>
        <w:sz w:val="20"/>
        <w:szCs w:val="24"/>
      </w:rPr>
      <w:t xml:space="preserve"> | Issue: </w:t>
    </w:r>
    <w:sdt>
      <w:sdtPr>
        <w:rPr>
          <w:sz w:val="20"/>
          <w:szCs w:val="24"/>
        </w:rPr>
        <w:alias w:val="Status"/>
        <w:tag w:val=""/>
        <w:id w:val="-1486926938"/>
        <w:dataBinding w:prefixMappings="xmlns:ns0='http://purl.org/dc/elements/1.1/' xmlns:ns1='http://schemas.openxmlformats.org/package/2006/metadata/core-properties' " w:xpath="/ns1:coreProperties[1]/ns1:contentStatus[1]" w:storeItemID="{6C3C8BC8-F283-45AE-878A-BAB7291924A1}"/>
        <w:text/>
      </w:sdtPr>
      <w:sdtEndPr/>
      <w:sdtContent>
        <w:r w:rsidR="00F91065">
          <w:rPr>
            <w:sz w:val="20"/>
            <w:szCs w:val="24"/>
          </w:rPr>
          <w:t>7.1</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06D14A2"/>
    <w:multiLevelType w:val="multilevel"/>
    <w:tmpl w:val="26E68F70"/>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4E83E54"/>
    <w:multiLevelType w:val="hybridMultilevel"/>
    <w:tmpl w:val="CBB0C0C8"/>
    <w:lvl w:ilvl="0" w:tplc="51300A06">
      <w:start w:val="1"/>
      <w:numFmt w:val="decimal"/>
      <w:pStyle w:val="F9-Paragraph"/>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6CE0110"/>
    <w:multiLevelType w:val="multilevel"/>
    <w:tmpl w:val="37144888"/>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6C902408"/>
    <w:multiLevelType w:val="multilevel"/>
    <w:tmpl w:val="5EE4A70A"/>
    <w:lvl w:ilvl="0">
      <w:start w:val="1"/>
      <w:numFmt w:val="lowerRoman"/>
      <w:pStyle w:val="NumList1"/>
      <w:lvlText w:val="%1."/>
      <w:lvlJc w:val="right"/>
      <w:pPr>
        <w:ind w:left="357" w:hanging="357"/>
      </w:pPr>
      <w:rPr>
        <w:rFonts w:hint="default"/>
      </w:rPr>
    </w:lvl>
    <w:lvl w:ilvl="1">
      <w:start w:val="1"/>
      <w:numFmt w:val="lowerLetter"/>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718A0F99"/>
    <w:multiLevelType w:val="multilevel"/>
    <w:tmpl w:val="241CA254"/>
    <w:lvl w:ilvl="0">
      <w:start w:val="1"/>
      <w:numFmt w:val="decimal"/>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75F46359"/>
    <w:multiLevelType w:val="hybridMultilevel"/>
    <w:tmpl w:val="1E284A8C"/>
    <w:lvl w:ilvl="0" w:tplc="76260F14">
      <w:start w:val="1"/>
      <w:numFmt w:val="bullet"/>
      <w:pStyle w:val="Bulletlist1"/>
      <w:lvlText w:val=""/>
      <w:lvlJc w:val="left"/>
      <w:pPr>
        <w:ind w:left="360" w:hanging="360"/>
      </w:pPr>
      <w:rPr>
        <w:rFonts w:ascii="Symbol" w:hAnsi="Symbol" w:hint="default"/>
        <w:strike w:val="0"/>
        <w:dstrike w:val="0"/>
        <w:color w:val="07716C" w:themeColor="accent1"/>
        <w:sz w:val="24"/>
      </w:rPr>
    </w:lvl>
    <w:lvl w:ilvl="1" w:tplc="AE78E28A">
      <w:start w:val="1"/>
      <w:numFmt w:val="bullet"/>
      <w:pStyle w:val="Bulletlist2"/>
      <w:lvlText w:val="o"/>
      <w:lvlJc w:val="left"/>
      <w:pPr>
        <w:ind w:left="1440" w:hanging="360"/>
      </w:pPr>
      <w:rPr>
        <w:rFonts w:ascii="Courier New" w:hAnsi="Courier New" w:cs="Courier New" w:hint="default"/>
      </w:rPr>
    </w:lvl>
    <w:lvl w:ilvl="2" w:tplc="6730F432">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9447535"/>
    <w:multiLevelType w:val="multilevel"/>
    <w:tmpl w:val="FC8AD34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065443409">
    <w:abstractNumId w:val="9"/>
  </w:num>
  <w:num w:numId="2" w16cid:durableId="823543523">
    <w:abstractNumId w:val="7"/>
  </w:num>
  <w:num w:numId="3" w16cid:durableId="2085639988">
    <w:abstractNumId w:val="6"/>
  </w:num>
  <w:num w:numId="4" w16cid:durableId="1262179006">
    <w:abstractNumId w:val="5"/>
  </w:num>
  <w:num w:numId="5" w16cid:durableId="1002776976">
    <w:abstractNumId w:val="4"/>
  </w:num>
  <w:num w:numId="6" w16cid:durableId="2131317494">
    <w:abstractNumId w:val="8"/>
  </w:num>
  <w:num w:numId="7" w16cid:durableId="1578203617">
    <w:abstractNumId w:val="3"/>
  </w:num>
  <w:num w:numId="8" w16cid:durableId="995184146">
    <w:abstractNumId w:val="2"/>
  </w:num>
  <w:num w:numId="9" w16cid:durableId="348718920">
    <w:abstractNumId w:val="1"/>
  </w:num>
  <w:num w:numId="10" w16cid:durableId="1368944693">
    <w:abstractNumId w:val="0"/>
  </w:num>
  <w:num w:numId="11" w16cid:durableId="816150589">
    <w:abstractNumId w:val="10"/>
  </w:num>
  <w:num w:numId="12" w16cid:durableId="1085146277">
    <w:abstractNumId w:val="21"/>
  </w:num>
  <w:num w:numId="13" w16cid:durableId="989944809">
    <w:abstractNumId w:val="14"/>
  </w:num>
  <w:num w:numId="14" w16cid:durableId="1148547717">
    <w:abstractNumId w:val="11"/>
  </w:num>
  <w:num w:numId="15" w16cid:durableId="1619264317">
    <w:abstractNumId w:val="21"/>
    <w:lvlOverride w:ilvl="0">
      <w:startOverride w:val="1"/>
    </w:lvlOverride>
  </w:num>
  <w:num w:numId="16" w16cid:durableId="1717772705">
    <w:abstractNumId w:val="14"/>
    <w:lvlOverride w:ilvl="0">
      <w:startOverride w:val="1"/>
    </w:lvlOverride>
  </w:num>
  <w:num w:numId="17" w16cid:durableId="1421370352">
    <w:abstractNumId w:val="11"/>
    <w:lvlOverride w:ilvl="0">
      <w:startOverride w:val="1"/>
    </w:lvlOverride>
  </w:num>
  <w:num w:numId="18" w16cid:durableId="802893121">
    <w:abstractNumId w:val="20"/>
  </w:num>
  <w:num w:numId="19" w16cid:durableId="1666081420">
    <w:abstractNumId w:val="17"/>
  </w:num>
  <w:num w:numId="20" w16cid:durableId="874538197">
    <w:abstractNumId w:val="13"/>
  </w:num>
  <w:num w:numId="21" w16cid:durableId="2057311976">
    <w:abstractNumId w:val="18"/>
  </w:num>
  <w:num w:numId="22" w16cid:durableId="689793726">
    <w:abstractNumId w:val="12"/>
  </w:num>
  <w:num w:numId="23" w16cid:durableId="48653822">
    <w:abstractNumId w:val="22"/>
  </w:num>
  <w:num w:numId="24" w16cid:durableId="1603800266">
    <w:abstractNumId w:val="16"/>
  </w:num>
  <w:num w:numId="25" w16cid:durableId="1864591591">
    <w:abstractNumId w:val="15"/>
  </w:num>
  <w:num w:numId="26" w16cid:durableId="832574242">
    <w:abstractNumId w:val="19"/>
  </w:num>
  <w:num w:numId="27" w16cid:durableId="1391732823">
    <w:abstractNumId w:val="15"/>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F03"/>
    <w:rsid w:val="00004C16"/>
    <w:rsid w:val="00011177"/>
    <w:rsid w:val="00014814"/>
    <w:rsid w:val="00022033"/>
    <w:rsid w:val="00024522"/>
    <w:rsid w:val="00024B2E"/>
    <w:rsid w:val="000251E6"/>
    <w:rsid w:val="00027F4F"/>
    <w:rsid w:val="00030430"/>
    <w:rsid w:val="0003078E"/>
    <w:rsid w:val="00031B89"/>
    <w:rsid w:val="00034F0A"/>
    <w:rsid w:val="0003693D"/>
    <w:rsid w:val="0004440F"/>
    <w:rsid w:val="00052C8A"/>
    <w:rsid w:val="000548C8"/>
    <w:rsid w:val="00055850"/>
    <w:rsid w:val="0006167E"/>
    <w:rsid w:val="00064A1B"/>
    <w:rsid w:val="00075605"/>
    <w:rsid w:val="00075C66"/>
    <w:rsid w:val="000817D4"/>
    <w:rsid w:val="00082879"/>
    <w:rsid w:val="00084ABE"/>
    <w:rsid w:val="00091EEA"/>
    <w:rsid w:val="0009225F"/>
    <w:rsid w:val="000A105C"/>
    <w:rsid w:val="000A6B20"/>
    <w:rsid w:val="000B2C6C"/>
    <w:rsid w:val="000C2DDC"/>
    <w:rsid w:val="000C5F5A"/>
    <w:rsid w:val="000D2FD4"/>
    <w:rsid w:val="000D3232"/>
    <w:rsid w:val="000D50A4"/>
    <w:rsid w:val="000F1B7B"/>
    <w:rsid w:val="000F2ED4"/>
    <w:rsid w:val="001028E8"/>
    <w:rsid w:val="00103043"/>
    <w:rsid w:val="00121026"/>
    <w:rsid w:val="00122FCC"/>
    <w:rsid w:val="00124C2B"/>
    <w:rsid w:val="00126752"/>
    <w:rsid w:val="001271F6"/>
    <w:rsid w:val="00130B30"/>
    <w:rsid w:val="00140E1C"/>
    <w:rsid w:val="00147AE4"/>
    <w:rsid w:val="001571E5"/>
    <w:rsid w:val="00176DB5"/>
    <w:rsid w:val="00177666"/>
    <w:rsid w:val="001849CA"/>
    <w:rsid w:val="00185410"/>
    <w:rsid w:val="00192352"/>
    <w:rsid w:val="00196ADB"/>
    <w:rsid w:val="001B4D5A"/>
    <w:rsid w:val="001C4D63"/>
    <w:rsid w:val="001D0DE0"/>
    <w:rsid w:val="001D5AFF"/>
    <w:rsid w:val="001D74B4"/>
    <w:rsid w:val="001E03E1"/>
    <w:rsid w:val="001F059F"/>
    <w:rsid w:val="001F35B6"/>
    <w:rsid w:val="001F4702"/>
    <w:rsid w:val="00200811"/>
    <w:rsid w:val="00200CA1"/>
    <w:rsid w:val="002042C2"/>
    <w:rsid w:val="0021338D"/>
    <w:rsid w:val="00214D43"/>
    <w:rsid w:val="00223090"/>
    <w:rsid w:val="002238B4"/>
    <w:rsid w:val="00227753"/>
    <w:rsid w:val="002319AB"/>
    <w:rsid w:val="002319AC"/>
    <w:rsid w:val="00234342"/>
    <w:rsid w:val="0024040D"/>
    <w:rsid w:val="00251CD7"/>
    <w:rsid w:val="00255FA3"/>
    <w:rsid w:val="0025713C"/>
    <w:rsid w:val="00257288"/>
    <w:rsid w:val="0025775E"/>
    <w:rsid w:val="00261FB6"/>
    <w:rsid w:val="002629F8"/>
    <w:rsid w:val="00263396"/>
    <w:rsid w:val="002659FA"/>
    <w:rsid w:val="00267815"/>
    <w:rsid w:val="00280DDF"/>
    <w:rsid w:val="002917FF"/>
    <w:rsid w:val="00292ADF"/>
    <w:rsid w:val="00296DBB"/>
    <w:rsid w:val="002A0DEC"/>
    <w:rsid w:val="002B1C53"/>
    <w:rsid w:val="002B3E60"/>
    <w:rsid w:val="002B6666"/>
    <w:rsid w:val="002E0BE4"/>
    <w:rsid w:val="002E3B58"/>
    <w:rsid w:val="002E3E8A"/>
    <w:rsid w:val="002E6A6A"/>
    <w:rsid w:val="002F3397"/>
    <w:rsid w:val="0030380D"/>
    <w:rsid w:val="00312411"/>
    <w:rsid w:val="00312EDD"/>
    <w:rsid w:val="0032001A"/>
    <w:rsid w:val="00323E71"/>
    <w:rsid w:val="00326F77"/>
    <w:rsid w:val="003401B0"/>
    <w:rsid w:val="00345D54"/>
    <w:rsid w:val="00346C8E"/>
    <w:rsid w:val="003520FF"/>
    <w:rsid w:val="00365EF9"/>
    <w:rsid w:val="00367B30"/>
    <w:rsid w:val="00367BD5"/>
    <w:rsid w:val="00390327"/>
    <w:rsid w:val="00393B78"/>
    <w:rsid w:val="003A01E9"/>
    <w:rsid w:val="003B0C9A"/>
    <w:rsid w:val="003C0306"/>
    <w:rsid w:val="003C114C"/>
    <w:rsid w:val="003C465D"/>
    <w:rsid w:val="003D0718"/>
    <w:rsid w:val="003D495D"/>
    <w:rsid w:val="003D5793"/>
    <w:rsid w:val="003E098E"/>
    <w:rsid w:val="003E2FAE"/>
    <w:rsid w:val="003E392F"/>
    <w:rsid w:val="003E56EC"/>
    <w:rsid w:val="00407CF7"/>
    <w:rsid w:val="00415ED6"/>
    <w:rsid w:val="004161A5"/>
    <w:rsid w:val="00417CAF"/>
    <w:rsid w:val="00420A11"/>
    <w:rsid w:val="00422265"/>
    <w:rsid w:val="00433764"/>
    <w:rsid w:val="004373A7"/>
    <w:rsid w:val="00437D94"/>
    <w:rsid w:val="0044030C"/>
    <w:rsid w:val="00457407"/>
    <w:rsid w:val="0046296E"/>
    <w:rsid w:val="004648A4"/>
    <w:rsid w:val="00471380"/>
    <w:rsid w:val="00494F0D"/>
    <w:rsid w:val="00496BFD"/>
    <w:rsid w:val="004A3DF2"/>
    <w:rsid w:val="004C26B6"/>
    <w:rsid w:val="004C361D"/>
    <w:rsid w:val="004C4891"/>
    <w:rsid w:val="004D2C89"/>
    <w:rsid w:val="004E3932"/>
    <w:rsid w:val="004F1E79"/>
    <w:rsid w:val="004F5F33"/>
    <w:rsid w:val="0050103A"/>
    <w:rsid w:val="00511B0F"/>
    <w:rsid w:val="0055388E"/>
    <w:rsid w:val="005754AE"/>
    <w:rsid w:val="00577FB5"/>
    <w:rsid w:val="005852D1"/>
    <w:rsid w:val="00587A22"/>
    <w:rsid w:val="0059299D"/>
    <w:rsid w:val="00595C8C"/>
    <w:rsid w:val="00597747"/>
    <w:rsid w:val="005A49B8"/>
    <w:rsid w:val="005A4CDD"/>
    <w:rsid w:val="005B57E4"/>
    <w:rsid w:val="005B5ABD"/>
    <w:rsid w:val="005B5B2D"/>
    <w:rsid w:val="005C140A"/>
    <w:rsid w:val="005C1E52"/>
    <w:rsid w:val="005C3367"/>
    <w:rsid w:val="005C6763"/>
    <w:rsid w:val="005D3164"/>
    <w:rsid w:val="005E0344"/>
    <w:rsid w:val="005E440B"/>
    <w:rsid w:val="005F2C85"/>
    <w:rsid w:val="00605ADB"/>
    <w:rsid w:val="006069EE"/>
    <w:rsid w:val="00611C9F"/>
    <w:rsid w:val="006248DE"/>
    <w:rsid w:val="00627555"/>
    <w:rsid w:val="006322A0"/>
    <w:rsid w:val="006361FD"/>
    <w:rsid w:val="0064226F"/>
    <w:rsid w:val="00642DDB"/>
    <w:rsid w:val="00653298"/>
    <w:rsid w:val="00663A7C"/>
    <w:rsid w:val="00667DF2"/>
    <w:rsid w:val="00670DF1"/>
    <w:rsid w:val="00671345"/>
    <w:rsid w:val="00672A9B"/>
    <w:rsid w:val="00675884"/>
    <w:rsid w:val="00696EE0"/>
    <w:rsid w:val="00697980"/>
    <w:rsid w:val="006A19EF"/>
    <w:rsid w:val="006A43D5"/>
    <w:rsid w:val="006A525B"/>
    <w:rsid w:val="006B4E77"/>
    <w:rsid w:val="006C045F"/>
    <w:rsid w:val="006C4196"/>
    <w:rsid w:val="006C63B0"/>
    <w:rsid w:val="006C76A2"/>
    <w:rsid w:val="006C792E"/>
    <w:rsid w:val="006D116C"/>
    <w:rsid w:val="006E7C42"/>
    <w:rsid w:val="006F168A"/>
    <w:rsid w:val="006F5076"/>
    <w:rsid w:val="006F6009"/>
    <w:rsid w:val="006F7E5F"/>
    <w:rsid w:val="0070321D"/>
    <w:rsid w:val="007068BA"/>
    <w:rsid w:val="00716AB1"/>
    <w:rsid w:val="00721D63"/>
    <w:rsid w:val="00723B63"/>
    <w:rsid w:val="00724B2B"/>
    <w:rsid w:val="00726784"/>
    <w:rsid w:val="00732C7B"/>
    <w:rsid w:val="00734D2B"/>
    <w:rsid w:val="00737705"/>
    <w:rsid w:val="007408D4"/>
    <w:rsid w:val="007412B2"/>
    <w:rsid w:val="007420AC"/>
    <w:rsid w:val="00742617"/>
    <w:rsid w:val="0075404E"/>
    <w:rsid w:val="00783AFA"/>
    <w:rsid w:val="00785427"/>
    <w:rsid w:val="00790540"/>
    <w:rsid w:val="00790B80"/>
    <w:rsid w:val="007968CA"/>
    <w:rsid w:val="007A0A52"/>
    <w:rsid w:val="007A43FF"/>
    <w:rsid w:val="007A72FA"/>
    <w:rsid w:val="007B3918"/>
    <w:rsid w:val="007C35ED"/>
    <w:rsid w:val="007C3C1D"/>
    <w:rsid w:val="007C6C20"/>
    <w:rsid w:val="007D199A"/>
    <w:rsid w:val="007D2EBE"/>
    <w:rsid w:val="007E1C07"/>
    <w:rsid w:val="007F24B6"/>
    <w:rsid w:val="00803D94"/>
    <w:rsid w:val="00821337"/>
    <w:rsid w:val="008229BA"/>
    <w:rsid w:val="00824151"/>
    <w:rsid w:val="00845390"/>
    <w:rsid w:val="0084601B"/>
    <w:rsid w:val="008606F0"/>
    <w:rsid w:val="00865489"/>
    <w:rsid w:val="0086553D"/>
    <w:rsid w:val="00874FEB"/>
    <w:rsid w:val="00881B6F"/>
    <w:rsid w:val="00882AA4"/>
    <w:rsid w:val="00883E22"/>
    <w:rsid w:val="00884E43"/>
    <w:rsid w:val="00887EC6"/>
    <w:rsid w:val="0089084C"/>
    <w:rsid w:val="00893409"/>
    <w:rsid w:val="00893D9F"/>
    <w:rsid w:val="00897BD8"/>
    <w:rsid w:val="008A2379"/>
    <w:rsid w:val="008A2BE2"/>
    <w:rsid w:val="008A4329"/>
    <w:rsid w:val="008A578E"/>
    <w:rsid w:val="008A7813"/>
    <w:rsid w:val="008B015A"/>
    <w:rsid w:val="008B1519"/>
    <w:rsid w:val="008B7BCC"/>
    <w:rsid w:val="008C1256"/>
    <w:rsid w:val="008C2C24"/>
    <w:rsid w:val="008C50C3"/>
    <w:rsid w:val="008C6604"/>
    <w:rsid w:val="008C7094"/>
    <w:rsid w:val="008D2B97"/>
    <w:rsid w:val="008D49A5"/>
    <w:rsid w:val="008D6C81"/>
    <w:rsid w:val="008E4B49"/>
    <w:rsid w:val="008E6CF0"/>
    <w:rsid w:val="008E7ACF"/>
    <w:rsid w:val="008F1439"/>
    <w:rsid w:val="008F7051"/>
    <w:rsid w:val="009033A9"/>
    <w:rsid w:val="0090581D"/>
    <w:rsid w:val="0091439C"/>
    <w:rsid w:val="00920572"/>
    <w:rsid w:val="00920BF2"/>
    <w:rsid w:val="00930E37"/>
    <w:rsid w:val="009349A9"/>
    <w:rsid w:val="00936C52"/>
    <w:rsid w:val="009436C1"/>
    <w:rsid w:val="0095489B"/>
    <w:rsid w:val="00956D0D"/>
    <w:rsid w:val="00966FB9"/>
    <w:rsid w:val="009671CD"/>
    <w:rsid w:val="009751A9"/>
    <w:rsid w:val="00980F9C"/>
    <w:rsid w:val="0098632B"/>
    <w:rsid w:val="00997BFB"/>
    <w:rsid w:val="009A7348"/>
    <w:rsid w:val="009B462C"/>
    <w:rsid w:val="009B7FAE"/>
    <w:rsid w:val="009C15F3"/>
    <w:rsid w:val="009C3689"/>
    <w:rsid w:val="009C43BF"/>
    <w:rsid w:val="009E07C2"/>
    <w:rsid w:val="009E0E52"/>
    <w:rsid w:val="009F095F"/>
    <w:rsid w:val="009F72F9"/>
    <w:rsid w:val="00A00205"/>
    <w:rsid w:val="00A00AF0"/>
    <w:rsid w:val="00A14B5A"/>
    <w:rsid w:val="00A3092F"/>
    <w:rsid w:val="00A3567F"/>
    <w:rsid w:val="00A37698"/>
    <w:rsid w:val="00A41ED3"/>
    <w:rsid w:val="00A81D82"/>
    <w:rsid w:val="00A9118F"/>
    <w:rsid w:val="00A93E33"/>
    <w:rsid w:val="00AB3129"/>
    <w:rsid w:val="00AB6970"/>
    <w:rsid w:val="00AC1939"/>
    <w:rsid w:val="00AC62E0"/>
    <w:rsid w:val="00AC7C05"/>
    <w:rsid w:val="00AD167C"/>
    <w:rsid w:val="00AD17C7"/>
    <w:rsid w:val="00AD4041"/>
    <w:rsid w:val="00AE302B"/>
    <w:rsid w:val="00AF2365"/>
    <w:rsid w:val="00B0248D"/>
    <w:rsid w:val="00B16BE5"/>
    <w:rsid w:val="00B23943"/>
    <w:rsid w:val="00B23A5E"/>
    <w:rsid w:val="00B259DF"/>
    <w:rsid w:val="00B44B1F"/>
    <w:rsid w:val="00B469B4"/>
    <w:rsid w:val="00B64141"/>
    <w:rsid w:val="00B64E72"/>
    <w:rsid w:val="00B77913"/>
    <w:rsid w:val="00B80C47"/>
    <w:rsid w:val="00B824FB"/>
    <w:rsid w:val="00B82646"/>
    <w:rsid w:val="00B97359"/>
    <w:rsid w:val="00B97A8F"/>
    <w:rsid w:val="00BA4E58"/>
    <w:rsid w:val="00BA7074"/>
    <w:rsid w:val="00BB5392"/>
    <w:rsid w:val="00BB7829"/>
    <w:rsid w:val="00BC3EDD"/>
    <w:rsid w:val="00BC7FEF"/>
    <w:rsid w:val="00BD1457"/>
    <w:rsid w:val="00BD63F9"/>
    <w:rsid w:val="00BE2AD9"/>
    <w:rsid w:val="00BE662E"/>
    <w:rsid w:val="00BF27FE"/>
    <w:rsid w:val="00C043B3"/>
    <w:rsid w:val="00C079AB"/>
    <w:rsid w:val="00C10E61"/>
    <w:rsid w:val="00C14787"/>
    <w:rsid w:val="00C1596D"/>
    <w:rsid w:val="00C15B8D"/>
    <w:rsid w:val="00C17010"/>
    <w:rsid w:val="00C17598"/>
    <w:rsid w:val="00C20562"/>
    <w:rsid w:val="00C215C3"/>
    <w:rsid w:val="00C23A96"/>
    <w:rsid w:val="00C249C6"/>
    <w:rsid w:val="00C32CC1"/>
    <w:rsid w:val="00C426EC"/>
    <w:rsid w:val="00C6483C"/>
    <w:rsid w:val="00C64AE9"/>
    <w:rsid w:val="00C70CFF"/>
    <w:rsid w:val="00C718FE"/>
    <w:rsid w:val="00C86CEC"/>
    <w:rsid w:val="00C8773D"/>
    <w:rsid w:val="00C87ABB"/>
    <w:rsid w:val="00C91831"/>
    <w:rsid w:val="00C953DF"/>
    <w:rsid w:val="00C963E6"/>
    <w:rsid w:val="00CB1FE5"/>
    <w:rsid w:val="00CD5401"/>
    <w:rsid w:val="00CE1ABC"/>
    <w:rsid w:val="00CE2709"/>
    <w:rsid w:val="00CE2D64"/>
    <w:rsid w:val="00CE6198"/>
    <w:rsid w:val="00CE6CD6"/>
    <w:rsid w:val="00CF6230"/>
    <w:rsid w:val="00D017FC"/>
    <w:rsid w:val="00D0226A"/>
    <w:rsid w:val="00D13147"/>
    <w:rsid w:val="00D230D6"/>
    <w:rsid w:val="00D34323"/>
    <w:rsid w:val="00D463FF"/>
    <w:rsid w:val="00D5715A"/>
    <w:rsid w:val="00D60BCB"/>
    <w:rsid w:val="00D71687"/>
    <w:rsid w:val="00D74813"/>
    <w:rsid w:val="00DA30BC"/>
    <w:rsid w:val="00DA69C2"/>
    <w:rsid w:val="00DA6D70"/>
    <w:rsid w:val="00DB6050"/>
    <w:rsid w:val="00DC2C34"/>
    <w:rsid w:val="00DD4775"/>
    <w:rsid w:val="00DE2C87"/>
    <w:rsid w:val="00DE459A"/>
    <w:rsid w:val="00DF27DA"/>
    <w:rsid w:val="00DF4DBE"/>
    <w:rsid w:val="00E37036"/>
    <w:rsid w:val="00E40820"/>
    <w:rsid w:val="00E4658F"/>
    <w:rsid w:val="00E54A67"/>
    <w:rsid w:val="00E607CD"/>
    <w:rsid w:val="00E61C0D"/>
    <w:rsid w:val="00E63EB4"/>
    <w:rsid w:val="00E64B24"/>
    <w:rsid w:val="00E66160"/>
    <w:rsid w:val="00E71329"/>
    <w:rsid w:val="00E74FE0"/>
    <w:rsid w:val="00E8363B"/>
    <w:rsid w:val="00E84966"/>
    <w:rsid w:val="00E85F38"/>
    <w:rsid w:val="00E92383"/>
    <w:rsid w:val="00EA1B3A"/>
    <w:rsid w:val="00EA2109"/>
    <w:rsid w:val="00EB057A"/>
    <w:rsid w:val="00EB19FC"/>
    <w:rsid w:val="00EB1BC6"/>
    <w:rsid w:val="00EB3C1C"/>
    <w:rsid w:val="00EB6ECB"/>
    <w:rsid w:val="00ED4D4E"/>
    <w:rsid w:val="00EE0C77"/>
    <w:rsid w:val="00EE1A2C"/>
    <w:rsid w:val="00EE4E54"/>
    <w:rsid w:val="00EF4334"/>
    <w:rsid w:val="00F172A3"/>
    <w:rsid w:val="00F37702"/>
    <w:rsid w:val="00F436BB"/>
    <w:rsid w:val="00F47145"/>
    <w:rsid w:val="00F545BF"/>
    <w:rsid w:val="00F6699B"/>
    <w:rsid w:val="00F71B56"/>
    <w:rsid w:val="00F832C8"/>
    <w:rsid w:val="00F873B3"/>
    <w:rsid w:val="00F91065"/>
    <w:rsid w:val="00FA00BE"/>
    <w:rsid w:val="00FA33FE"/>
    <w:rsid w:val="00FA42B9"/>
    <w:rsid w:val="00FA755A"/>
    <w:rsid w:val="00FB2B0F"/>
    <w:rsid w:val="00FB4F6B"/>
    <w:rsid w:val="00FB5FE1"/>
    <w:rsid w:val="00FC0E8D"/>
    <w:rsid w:val="00FC46EF"/>
    <w:rsid w:val="00FD30B7"/>
    <w:rsid w:val="00FD31B3"/>
    <w:rsid w:val="00FD4204"/>
    <w:rsid w:val="00FF0F93"/>
    <w:rsid w:val="00FF1F07"/>
    <w:rsid w:val="00FF3CCB"/>
    <w:rsid w:val="00FF57B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0"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223090"/>
    <w:pPr>
      <w:keepNext/>
      <w:numPr>
        <w:numId w:val="20"/>
      </w:numPr>
      <w:spacing w:before="240"/>
      <w:ind w:left="851" w:hanging="851"/>
      <w:outlineLvl w:val="0"/>
    </w:pPr>
    <w:rPr>
      <w:color w:val="22413A"/>
      <w:sz w:val="48"/>
    </w:rPr>
  </w:style>
  <w:style w:type="paragraph" w:styleId="Heading2">
    <w:name w:val="heading 2"/>
    <w:basedOn w:val="Normal"/>
    <w:next w:val="Normal"/>
    <w:link w:val="Heading2Char"/>
    <w:qFormat/>
    <w:rsid w:val="002042C2"/>
    <w:pPr>
      <w:keepNext/>
      <w:numPr>
        <w:ilvl w:val="1"/>
        <w:numId w:val="20"/>
      </w:numPr>
      <w:spacing w:before="240" w:after="120"/>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2042C2"/>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223090"/>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B23A5E"/>
    <w:pPr>
      <w:numPr>
        <w:numId w:val="12"/>
      </w:numPr>
      <w:ind w:left="1134"/>
    </w:pPr>
    <w:rPr>
      <w:bCs/>
    </w:rPr>
  </w:style>
  <w:style w:type="paragraph" w:customStyle="1" w:styleId="Bulletlist2">
    <w:name w:val="Bullet list 2"/>
    <w:basedOn w:val="Bulletlist1"/>
    <w:uiPriority w:val="1"/>
    <w:qFormat/>
    <w:rsid w:val="00B23A5E"/>
    <w:pPr>
      <w:numPr>
        <w:ilvl w:val="1"/>
      </w:numPr>
      <w:ind w:left="1560"/>
    </w:pPr>
    <w:rPr>
      <w:bCs w:val="0"/>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B23A5E"/>
    <w:pPr>
      <w:pBdr>
        <w:top w:val="single" w:sz="4" w:space="6" w:color="22413A"/>
        <w:bottom w:val="single" w:sz="4" w:space="6" w:color="22413A"/>
      </w:pBdr>
      <w:spacing w:before="240"/>
      <w:ind w:left="851"/>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B23A5E"/>
    <w:pPr>
      <w:numPr>
        <w:numId w:val="26"/>
      </w:numPr>
      <w:ind w:left="1276" w:hanging="283"/>
    </w:pPr>
    <w:rPr>
      <w:rFonts w:asciiTheme="minorHAnsi" w:eastAsiaTheme="minorHAnsi" w:hAnsiTheme="minorHAnsi" w:cstheme="minorBidi"/>
      <w:bCs/>
      <w:lang w:bidi="ar-SA"/>
    </w:rPr>
  </w:style>
  <w:style w:type="paragraph" w:customStyle="1" w:styleId="NumList2">
    <w:name w:val="Num List 2"/>
    <w:basedOn w:val="Normal"/>
    <w:uiPriority w:val="1"/>
    <w:qFormat/>
    <w:rsid w:val="00B23A5E"/>
    <w:pPr>
      <w:numPr>
        <w:ilvl w:val="1"/>
        <w:numId w:val="18"/>
      </w:numPr>
      <w:ind w:left="1276" w:hanging="425"/>
    </w:pPr>
    <w:rPr>
      <w:rFonts w:asciiTheme="minorHAnsi" w:eastAsiaTheme="minorHAnsi" w:hAnsiTheme="minorHAnsi" w:cstheme="minorBidi"/>
      <w:bCs/>
      <w:lang w:bidi="ar-SA"/>
    </w:rPr>
  </w:style>
  <w:style w:type="paragraph" w:customStyle="1" w:styleId="BulletList3">
    <w:name w:val="Bullet List 3"/>
    <w:basedOn w:val="Bulletlist2"/>
    <w:uiPriority w:val="1"/>
    <w:qFormat/>
    <w:rsid w:val="00B23A5E"/>
    <w:pPr>
      <w:numPr>
        <w:ilvl w:val="2"/>
      </w:numPr>
      <w:ind w:left="1985"/>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semiHidden/>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semiHidden/>
    <w:rsid w:val="00FD31B3"/>
    <w:rPr>
      <w:rFonts w:asciiTheme="minorHAnsi" w:eastAsiaTheme="minorHAnsi" w:hAnsiTheme="minorHAnsi" w:cstheme="minorBidi"/>
      <w:lang w:eastAsia="en-US"/>
    </w:rPr>
  </w:style>
  <w:style w:type="paragraph" w:styleId="ListParagraph">
    <w:name w:val="List Paragraph"/>
    <w:basedOn w:val="Normal"/>
    <w:uiPriority w:val="34"/>
    <w:semiHidden/>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customStyle="1" w:styleId="F9-Paragraph">
    <w:name w:val="F9 - # Paragraph"/>
    <w:basedOn w:val="ListParagraph"/>
    <w:link w:val="F9-ParagraphChar"/>
    <w:qFormat/>
    <w:rsid w:val="00B23A5E"/>
    <w:pPr>
      <w:numPr>
        <w:numId w:val="25"/>
      </w:numPr>
      <w:spacing w:before="240" w:after="120"/>
      <w:ind w:left="851" w:hanging="851"/>
      <w:contextualSpacing w:val="0"/>
    </w:pPr>
  </w:style>
  <w:style w:type="character" w:customStyle="1" w:styleId="F9-ParagraphChar">
    <w:name w:val="F9 - # Paragraph Char"/>
    <w:basedOn w:val="DefaultParagraphFont"/>
    <w:link w:val="F9-Paragraph"/>
    <w:rsid w:val="00B23A5E"/>
    <w:rPr>
      <w:rFonts w:ascii="Arial" w:hAnsi="Arial"/>
      <w:sz w:val="24"/>
      <w:szCs w:val="22"/>
      <w:lang w:eastAsia="en-US" w:bidi="he-IL"/>
    </w:rPr>
  </w:style>
  <w:style w:type="paragraph" w:styleId="NormalWeb">
    <w:name w:val="Normal (Web)"/>
    <w:basedOn w:val="Normal"/>
    <w:rsid w:val="00FA00BE"/>
    <w:pPr>
      <w:spacing w:before="100" w:beforeAutospacing="1" w:after="100" w:afterAutospacing="1" w:line="240" w:lineRule="auto"/>
    </w:pPr>
    <w:rPr>
      <w:rFonts w:ascii="Times New Roman" w:eastAsia="Times New Roman" w:hAnsi="Times New Roman" w:cs="Times New Roman"/>
      <w:szCs w:val="24"/>
      <w:lang w:eastAsia="en-GB" w:bidi="ar-SA"/>
    </w:rPr>
  </w:style>
  <w:style w:type="character" w:styleId="Strong">
    <w:name w:val="Strong"/>
    <w:qFormat/>
    <w:rsid w:val="00FA00B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142278825">
      <w:bodyDiv w:val="1"/>
      <w:marLeft w:val="0"/>
      <w:marRight w:val="0"/>
      <w:marTop w:val="0"/>
      <w:marBottom w:val="0"/>
      <w:divBdr>
        <w:top w:val="none" w:sz="0" w:space="0" w:color="auto"/>
        <w:left w:val="none" w:sz="0" w:space="0" w:color="auto"/>
        <w:bottom w:val="none" w:sz="0" w:space="0" w:color="auto"/>
        <w:right w:val="none" w:sz="0" w:space="0" w:color="auto"/>
      </w:divBdr>
    </w:div>
    <w:div w:id="149297895">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217057278">
      <w:bodyDiv w:val="1"/>
      <w:marLeft w:val="0"/>
      <w:marRight w:val="0"/>
      <w:marTop w:val="0"/>
      <w:marBottom w:val="0"/>
      <w:divBdr>
        <w:top w:val="none" w:sz="0" w:space="0" w:color="auto"/>
        <w:left w:val="none" w:sz="0" w:space="0" w:color="auto"/>
        <w:bottom w:val="none" w:sz="0" w:space="0" w:color="auto"/>
        <w:right w:val="none" w:sz="0" w:space="0" w:color="auto"/>
      </w:divBdr>
    </w:div>
    <w:div w:id="291405541">
      <w:bodyDiv w:val="1"/>
      <w:marLeft w:val="0"/>
      <w:marRight w:val="0"/>
      <w:marTop w:val="0"/>
      <w:marBottom w:val="0"/>
      <w:divBdr>
        <w:top w:val="none" w:sz="0" w:space="0" w:color="auto"/>
        <w:left w:val="none" w:sz="0" w:space="0" w:color="auto"/>
        <w:bottom w:val="none" w:sz="0" w:space="0" w:color="auto"/>
        <w:right w:val="none" w:sz="0" w:space="0" w:color="auto"/>
      </w:divBdr>
    </w:div>
    <w:div w:id="313217571">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366032818">
      <w:bodyDiv w:val="1"/>
      <w:marLeft w:val="0"/>
      <w:marRight w:val="0"/>
      <w:marTop w:val="0"/>
      <w:marBottom w:val="0"/>
      <w:divBdr>
        <w:top w:val="none" w:sz="0" w:space="0" w:color="auto"/>
        <w:left w:val="none" w:sz="0" w:space="0" w:color="auto"/>
        <w:bottom w:val="none" w:sz="0" w:space="0" w:color="auto"/>
        <w:right w:val="none" w:sz="0" w:space="0" w:color="auto"/>
      </w:divBdr>
    </w:div>
    <w:div w:id="382871020">
      <w:bodyDiv w:val="1"/>
      <w:marLeft w:val="0"/>
      <w:marRight w:val="0"/>
      <w:marTop w:val="0"/>
      <w:marBottom w:val="0"/>
      <w:divBdr>
        <w:top w:val="none" w:sz="0" w:space="0" w:color="auto"/>
        <w:left w:val="none" w:sz="0" w:space="0" w:color="auto"/>
        <w:bottom w:val="none" w:sz="0" w:space="0" w:color="auto"/>
        <w:right w:val="none" w:sz="0" w:space="0" w:color="auto"/>
      </w:divBdr>
    </w:div>
    <w:div w:id="398216946">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630405185">
      <w:bodyDiv w:val="1"/>
      <w:marLeft w:val="0"/>
      <w:marRight w:val="0"/>
      <w:marTop w:val="0"/>
      <w:marBottom w:val="0"/>
      <w:divBdr>
        <w:top w:val="none" w:sz="0" w:space="0" w:color="auto"/>
        <w:left w:val="none" w:sz="0" w:space="0" w:color="auto"/>
        <w:bottom w:val="none" w:sz="0" w:space="0" w:color="auto"/>
        <w:right w:val="none" w:sz="0" w:space="0" w:color="auto"/>
      </w:divBdr>
    </w:div>
    <w:div w:id="665519720">
      <w:bodyDiv w:val="1"/>
      <w:marLeft w:val="0"/>
      <w:marRight w:val="0"/>
      <w:marTop w:val="0"/>
      <w:marBottom w:val="0"/>
      <w:divBdr>
        <w:top w:val="none" w:sz="0" w:space="0" w:color="auto"/>
        <w:left w:val="none" w:sz="0" w:space="0" w:color="auto"/>
        <w:bottom w:val="none" w:sz="0" w:space="0" w:color="auto"/>
        <w:right w:val="none" w:sz="0" w:space="0" w:color="auto"/>
      </w:divBdr>
    </w:div>
    <w:div w:id="713117948">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406412829">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598444333">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1823161813">
      <w:bodyDiv w:val="1"/>
      <w:marLeft w:val="0"/>
      <w:marRight w:val="0"/>
      <w:marTop w:val="0"/>
      <w:marBottom w:val="0"/>
      <w:divBdr>
        <w:top w:val="none" w:sz="0" w:space="0" w:color="auto"/>
        <w:left w:val="none" w:sz="0" w:space="0" w:color="auto"/>
        <w:bottom w:val="none" w:sz="0" w:space="0" w:color="auto"/>
        <w:right w:val="none" w:sz="0" w:space="0" w:color="auto"/>
      </w:divBdr>
    </w:div>
    <w:div w:id="1851410134">
      <w:bodyDiv w:val="1"/>
      <w:marLeft w:val="0"/>
      <w:marRight w:val="0"/>
      <w:marTop w:val="0"/>
      <w:marBottom w:val="0"/>
      <w:divBdr>
        <w:top w:val="none" w:sz="0" w:space="0" w:color="auto"/>
        <w:left w:val="none" w:sz="0" w:space="0" w:color="auto"/>
        <w:bottom w:val="none" w:sz="0" w:space="0" w:color="auto"/>
        <w:right w:val="none" w:sz="0" w:space="0" w:color="auto"/>
      </w:divBdr>
    </w:div>
    <w:div w:id="1907108746">
      <w:bodyDiv w:val="1"/>
      <w:marLeft w:val="0"/>
      <w:marRight w:val="0"/>
      <w:marTop w:val="0"/>
      <w:marBottom w:val="0"/>
      <w:divBdr>
        <w:top w:val="none" w:sz="0" w:space="0" w:color="auto"/>
        <w:left w:val="none" w:sz="0" w:space="0" w:color="auto"/>
        <w:bottom w:val="none" w:sz="0" w:space="0" w:color="auto"/>
        <w:right w:val="none" w:sz="0" w:space="0" w:color="auto"/>
      </w:divBdr>
    </w:div>
    <w:div w:id="2006780039">
      <w:bodyDiv w:val="1"/>
      <w:marLeft w:val="0"/>
      <w:marRight w:val="0"/>
      <w:marTop w:val="0"/>
      <w:marBottom w:val="0"/>
      <w:divBdr>
        <w:top w:val="none" w:sz="0" w:space="0" w:color="auto"/>
        <w:left w:val="none" w:sz="0" w:space="0" w:color="auto"/>
        <w:bottom w:val="none" w:sz="0" w:space="0" w:color="auto"/>
        <w:right w:val="none" w:sz="0" w:space="0" w:color="auto"/>
      </w:divBdr>
    </w:div>
    <w:div w:id="2045865765">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7.xml"/><Relationship Id="rId13" Type="http://schemas.openxmlformats.org/officeDocument/2006/relationships/footnotes" Target="footnotes.xml"/><Relationship Id="rId18" Type="http://schemas.openxmlformats.org/officeDocument/2006/relationships/header" Target="header2.xml"/><Relationship Id="rId26" Type="http://schemas.openxmlformats.org/officeDocument/2006/relationships/footer" Target="footer5.xml"/><Relationship Id="rId3" Type="http://schemas.openxmlformats.org/officeDocument/2006/relationships/customXml" Target="../customXml/item2.xml"/><Relationship Id="rId21" Type="http://schemas.openxmlformats.org/officeDocument/2006/relationships/header" Target="header4.xml"/><Relationship Id="rId7" Type="http://schemas.openxmlformats.org/officeDocument/2006/relationships/customXml" Target="../customXml/item6.xml"/><Relationship Id="rId12" Type="http://schemas.openxmlformats.org/officeDocument/2006/relationships/webSettings" Target="webSettings.xml"/><Relationship Id="rId17" Type="http://schemas.openxmlformats.org/officeDocument/2006/relationships/footer" Target="footer1.xml"/><Relationship Id="rId25" Type="http://schemas.openxmlformats.org/officeDocument/2006/relationships/header" Target="header6.xml"/><Relationship Id="rId2" Type="http://schemas.openxmlformats.org/officeDocument/2006/relationships/customXml" Target="../customXml/item1.xml"/><Relationship Id="rId16" Type="http://schemas.openxmlformats.org/officeDocument/2006/relationships/header" Target="header1.xml"/><Relationship Id="rId20" Type="http://schemas.openxmlformats.org/officeDocument/2006/relationships/header" Target="header3.xml"/><Relationship Id="rId29"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customXml" Target="../customXml/item5.xml"/><Relationship Id="rId11" Type="http://schemas.openxmlformats.org/officeDocument/2006/relationships/settings" Target="settings.xml"/><Relationship Id="rId24" Type="http://schemas.openxmlformats.org/officeDocument/2006/relationships/header" Target="header5.xml"/><Relationship Id="rId5" Type="http://schemas.openxmlformats.org/officeDocument/2006/relationships/customXml" Target="../customXml/item4.xml"/><Relationship Id="rId15" Type="http://schemas.openxmlformats.org/officeDocument/2006/relationships/image" Target="media/image1.png"/><Relationship Id="rId23" Type="http://schemas.openxmlformats.org/officeDocument/2006/relationships/footer" Target="footer4.xml"/><Relationship Id="rId28" Type="http://schemas.openxmlformats.org/officeDocument/2006/relationships/glossaryDocument" Target="glossary/document.xml"/><Relationship Id="rId10" Type="http://schemas.openxmlformats.org/officeDocument/2006/relationships/styles" Target="styles.xml"/><Relationship Id="rId19" Type="http://schemas.openxmlformats.org/officeDocument/2006/relationships/footer" Target="footer2.xml"/><Relationship Id="rId4" Type="http://schemas.openxmlformats.org/officeDocument/2006/relationships/customXml" Target="../customXml/item3.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footer" Target="footer3.xml"/><Relationship Id="rId27"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7154C5" w:rsidP="007154C5">
          <w:pPr>
            <w:pStyle w:val="F91DE249B2D64236B5C9B282FE9D467B"/>
          </w:pPr>
          <w:r w:rsidRPr="0069507A">
            <w:rPr>
              <w:rStyle w:val="PlaceholderText"/>
            </w:rPr>
            <w:t>[Title]</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4BFF33CE9ACF45B4BD9D9653F86AF5B6"/>
        <w:category>
          <w:name w:val="General"/>
          <w:gallery w:val="placeholder"/>
        </w:category>
        <w:types>
          <w:type w:val="bbPlcHdr"/>
        </w:types>
        <w:behaviors>
          <w:behavior w:val="content"/>
        </w:behaviors>
        <w:guid w:val="{7CD666C1-130E-4748-A724-97987CA52528}"/>
      </w:docPartPr>
      <w:docPartBody>
        <w:p w:rsidR="00EB73F1" w:rsidRDefault="00EB73F1" w:rsidP="00EB73F1">
          <w:pPr>
            <w:pStyle w:val="4BFF33CE9ACF45B4BD9D9653F86AF5B6"/>
          </w:pPr>
          <w:r w:rsidRPr="00812B14">
            <w:rPr>
              <w:rStyle w:val="PlaceholderText"/>
            </w:rPr>
            <w:t>[Status]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0D50A4"/>
    <w:rsid w:val="001101B7"/>
    <w:rsid w:val="00176DB5"/>
    <w:rsid w:val="00183F29"/>
    <w:rsid w:val="002550FD"/>
    <w:rsid w:val="0025775E"/>
    <w:rsid w:val="00333F8E"/>
    <w:rsid w:val="00350199"/>
    <w:rsid w:val="003D5793"/>
    <w:rsid w:val="00413853"/>
    <w:rsid w:val="005A49B8"/>
    <w:rsid w:val="007154C5"/>
    <w:rsid w:val="00764F6F"/>
    <w:rsid w:val="0083336C"/>
    <w:rsid w:val="00835E07"/>
    <w:rsid w:val="00A009A6"/>
    <w:rsid w:val="00A657B0"/>
    <w:rsid w:val="00C17C1E"/>
    <w:rsid w:val="00C41BCC"/>
    <w:rsid w:val="00DD7BA4"/>
    <w:rsid w:val="00E27559"/>
    <w:rsid w:val="00E318CE"/>
    <w:rsid w:val="00E646E1"/>
    <w:rsid w:val="00EB73F1"/>
    <w:rsid w:val="00FD30B7"/>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B73F1"/>
    <w:rPr>
      <w:color w:val="808080"/>
    </w:rPr>
  </w:style>
  <w:style w:type="paragraph" w:customStyle="1" w:styleId="F91DE249B2D64236B5C9B282FE9D467B">
    <w:name w:val="F91DE249B2D64236B5C9B282FE9D467B"/>
    <w:rsid w:val="007154C5"/>
    <w:pPr>
      <w:spacing w:after="240" w:line="252" w:lineRule="auto"/>
      <w:ind w:left="227"/>
    </w:pPr>
    <w:rPr>
      <w:rFonts w:ascii="Arial" w:eastAsia="Calibri" w:hAnsi="Arial" w:cs="Arial"/>
      <w:b/>
      <w:sz w:val="90"/>
      <w:szCs w:val="88"/>
      <w:lang w:eastAsia="en-US" w:bidi="he-IL"/>
    </w:rPr>
  </w:style>
  <w:style w:type="paragraph" w:customStyle="1" w:styleId="4BFF33CE9ACF45B4BD9D9653F86AF5B6">
    <w:name w:val="4BFF33CE9ACF45B4BD9D9653F86AF5B6"/>
    <w:rsid w:val="00EB73F1"/>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SharedContentType xmlns="Microsoft.SharePoint.Taxonomy.ContentTypeSync" SourceId="66693000-3e12-4b44-a742-9a2ba35b7d28" ContentTypeId="0x0101000C70A82DFAAC384DB9F6EBA2C8B87C57" PreviousValue="false"/>
</file>

<file path=customXml/item3.xml><?xml version="1.0" encoding="utf-8"?>
<p:properties xmlns:p="http://schemas.microsoft.com/office/2006/metadata/properties" xmlns:xsi="http://www.w3.org/2001/XMLSchema-instance" xmlns:pc="http://schemas.microsoft.com/office/infopath/2007/PartnerControls">
  <documentManagement>
    <PolicyPortalProcessSpecialismFunctionTopic xmlns="8c4e2855-9588-4bc9-9890-af639bd565eb" xsi:nil="true"/>
    <PolicyPortalFirstPublicationDate xmlns="8c4e2855-9588-4bc9-9890-af639bd565eb" xsi:nil="true"/>
    <PolicyPortalProcessOwnerRoleHolder xmlns="8c4e2855-9588-4bc9-9890-af639bd565eb">
      <UserInfo>
        <DisplayName/>
        <AccountId xsi:nil="true"/>
        <AccountType/>
      </UserInfo>
    </PolicyPortalProcessOwnerRoleHolder>
    <PolicyPortalPublishStatus xmlns="8c4e2855-9588-4bc9-9890-af639bd565eb" xsi:nil="true"/>
    <PolicyPortalResponsibleDelegatePostTitle xmlns="8c4e2855-9588-4bc9-9890-af639bd565eb" xsi:nil="true"/>
    <PolicyPortalDocRef xmlns="8c4e2855-9588-4bc9-9890-af639bd565eb" xsi:nil="true"/>
    <PolicyPortalDocType xmlns="8c4e2855-9588-4bc9-9890-af639bd565eb" xsi:nil="true"/>
    <PolicyPortalIssueDate xmlns="8c4e2855-9588-4bc9-9890-af639bd565eb" xsi:nil="true"/>
    <PolicyPortalOldDocRef xmlns="8c4e2855-9588-4bc9-9890-af639bd565eb" xsi:nil="true"/>
    <PolicyPortalOldRecordRef xmlns="8c4e2855-9588-4bc9-9890-af639bd565eb" xsi:nil="true"/>
    <PolicyPortalIssueNo xmlns="8c4e2855-9588-4bc9-9890-af639bd565eb" xsi:nil="true"/>
    <PolicyPortalProcessOwnerPostTitle xmlns="8c4e2855-9588-4bc9-9890-af639bd565eb" xsi:nil="true"/>
    <PolicyPortalResponsibleDelegateRoleHolder xmlns="8c4e2855-9588-4bc9-9890-af639bd565eb">
      <UserInfo>
        <DisplayName/>
        <AccountId xsi:nil="true"/>
        <AccountType/>
      </UserInfo>
    </PolicyPortalResponsibleDelegateRoleHolder>
    <PolicyPortalDirectorate xmlns="8c4e2855-9588-4bc9-9890-af639bd565eb" xsi:nil="true"/>
    <PolicyPortalReviewDate xmlns="8c4e2855-9588-4bc9-9890-af639bd565eb" xsi:nil="true"/>
    <PolicyPortalIssueHistoryComments xmlns="8c4e2855-9588-4bc9-9890-af639bd565eb" xsi:nil="true"/>
    <TaxKeywordTaxHTField xmlns="05350e14-297a-489c-ad04-faf6563b232c">
      <Terms xmlns="http://schemas.microsoft.com/office/infopath/2007/PartnerControls">
        <TermInfo xmlns="http://schemas.microsoft.com/office/infopath/2007/PartnerControls">
          <TermName xmlns="http://schemas.microsoft.com/office/infopath/2007/PartnerControls">[Key words separated by commas]</TermName>
          <TermId xmlns="http://schemas.microsoft.com/office/infopath/2007/PartnerControls">f43e2310-82d5-44d8-a731-b695dd9d1339</TermId>
        </TermInfo>
      </Terms>
    </TaxKeywordTaxHTField>
    <TaxCatchAll xmlns="05350e14-297a-489c-ad04-faf6563b232c"/>
    <dd2817321d504f1caee75a1112d299d4 xmlns="fbd4c4c3-96d4-4265-b68e-6a383a5dca66">
      <Terms xmlns="http://schemas.microsoft.com/office/infopath/2007/PartnerControls"/>
    </dd2817321d504f1caee75a1112d299d4>
    <PCR_x003f_ xmlns="fbd4c4c3-96d4-4265-b68e-6a383a5dca66">false</PCR_x003f_>
  </documentManagement>
</p:properties>
</file>

<file path=customXml/item4.xml><?xml version="1.0" encoding="utf-8"?>
<b:Sources xmlns:b="http://schemas.openxmlformats.org/officeDocument/2006/bibliography" xmlns="http://schemas.openxmlformats.org/officeDocument/2006/bibliography" SelectedStyle="\IEEE2006OfficeOnline.xsl" StyleName="IEEE" Version="2006">
  <b:Source>
    <b:Tag>ONR87</b:Tag>
    <b:SourceType>ElectronicSource</b:SourceType>
    <b:Guid>{D32B7DAD-F3B2-4042-B433-3F27D7606764}</b:Guid>
    <b:Author>
      <b:Author>
        <b:Corporate>ONR</b:Corporate>
      </b:Author>
    </b:Author>
    <b:Title>NS-TAST-GD-035 - Limits and Conditions for Nuclear Safety (Operating Rules)</b:Title>
    <b:RefOrder>1</b:RefOrder>
  </b:Source>
  <b:Source>
    <b:Tag>IAE002</b:Tag>
    <b:SourceType>ElectronicSource</b:SourceType>
    <b:Guid>{17174D26-6E86-4C66-8219-55CA73477274}</b:Guid>
    <b:Author>
      <b:Author>
        <b:Corporate>IAEA</b:Corporate>
      </b:Author>
    </b:Author>
    <b:Title>Safety Standards Series No. SSG-70 - Operational Limits and Conditions and Operating Procedures for Nuclear Power Plants</b:Title>
    <b:Year>2022</b:Year>
    <b:RefOrder>2</b:RefOrder>
  </b:Source>
  <b:Source>
    <b:Tag>ONR53</b:Tag>
    <b:SourceType>Report</b:SourceType>
    <b:Guid>{F7E778F4-65EC-479D-8707-3A0520839579}</b:Guid>
    <b:Author>
      <b:Author>
        <b:Corporate>ONR</b:Corporate>
      </b:Author>
    </b:Author>
    <b:Title>NS-TAST-GD-060 - Procedure Design and Administrative Controls</b:Title>
    <b:URL>https://how2.prod.onr.gov.uk/CtrlWebIsapi.dll/75F2418CCEE14A0A8BE24015ED85ADD2.cwl?__id=webFile.save&amp;doc=93AC664E890149A7A623C6A2981368C4&amp;dpt=1&amp;save=1</b:URL>
    <b:RefOrder>3</b:RefOrder>
  </b:Source>
  <b:Source>
    <b:Tag>ONR4</b:Tag>
    <b:SourceType>ElectronicSource</b:SourceType>
    <b:Guid>{B96D959D-05EC-4747-A8B0-B120CE771B7D}</b:Guid>
    <b:Author>
      <b:Author>
        <b:Corporate>ONR</b:Corporate>
      </b:Author>
    </b:Author>
    <b:Title>NS-TAST-GD-005 - Guidance on the Demonstration of ALARP (As Low As Reasonably Practicable)</b:Title>
    <b:RefOrder>4</b:RefOrder>
  </b:Source>
  <b:Source>
    <b:Tag>ONR90</b:Tag>
    <b:SourceType>ElectronicSource</b:SourceType>
    <b:Guid>{B406849F-5AEA-470C-B889-6425885C1358}</b:Guid>
    <b:Author>
      <b:Author>
        <b:Corporate>ONR</b:Corporate>
      </b:Author>
    </b:Author>
    <b:Title>NS-INSP-GD-023 - LC23 Operating Rules</b:Title>
    <b:RefOrder>5</b:RefOrder>
  </b:Source>
</b:Sourc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ct:contentTypeSchema xmlns:ct="http://schemas.microsoft.com/office/2006/metadata/contentType" xmlns:ma="http://schemas.microsoft.com/office/2006/metadata/properties/metaAttributes" ct:_="" ma:_="" ma:contentTypeName="HOW2 Hub Document" ma:contentTypeID="0x0101000C70A82DFAAC384DB9F6EBA2C8B87C5700D27B61D2EA57AC4F87A5F2CF441D8227" ma:contentTypeVersion="220" ma:contentTypeDescription="" ma:contentTypeScope="" ma:versionID="5b57e419ffb840abb95ac6618f3e3a8b">
  <xsd:schema xmlns:xsd="http://www.w3.org/2001/XMLSchema" xmlns:xs="http://www.w3.org/2001/XMLSchema" xmlns:p="http://schemas.microsoft.com/office/2006/metadata/properties" xmlns:ns2="8c4e2855-9588-4bc9-9890-af639bd565eb" xmlns:ns3="05350e14-297a-489c-ad04-faf6563b232c" xmlns:ns4="fbd4c4c3-96d4-4265-b68e-6a383a5dca66" targetNamespace="http://schemas.microsoft.com/office/2006/metadata/properties" ma:root="true" ma:fieldsID="f04dd8d70902c340475265b30303215b" ns2:_="" ns3:_="" ns4:_="">
    <xsd:import namespace="8c4e2855-9588-4bc9-9890-af639bd565eb"/>
    <xsd:import namespace="05350e14-297a-489c-ad04-faf6563b232c"/>
    <xsd:import namespace="fbd4c4c3-96d4-4265-b68e-6a383a5dca66"/>
    <xsd:element name="properties">
      <xsd:complexType>
        <xsd:sequence>
          <xsd:element name="documentManagement">
            <xsd:complexType>
              <xsd:all>
                <xsd:element ref="ns2:PolicyPortalIssueNo" minOccurs="0"/>
                <xsd:element ref="ns2:PolicyPortalDocRef" minOccurs="0"/>
                <xsd:element ref="ns2:PolicyPortalDocType" minOccurs="0"/>
                <xsd:element ref="ns2:PolicyPortalDirectorate" minOccurs="0"/>
                <xsd:element ref="ns2:PolicyPortalProcessSpecialismFunctionTopic" minOccurs="0"/>
                <xsd:element ref="ns2:PolicyPortalProcessOwnerPostTitle" minOccurs="0"/>
                <xsd:element ref="ns2:PolicyPortalProcessOwnerRoleHolder" minOccurs="0"/>
                <xsd:element ref="ns2:PolicyPortalResponsibleDelegatePostTitle" minOccurs="0"/>
                <xsd:element ref="ns2:PolicyPortalResponsibleDelegateRoleHolder" minOccurs="0"/>
                <xsd:element ref="ns2:PolicyPortalIssueDate" minOccurs="0"/>
                <xsd:element ref="ns2:PolicyPortalReviewDate" minOccurs="0"/>
                <xsd:element ref="ns2:PolicyPortalIssueHistoryComments" minOccurs="0"/>
                <xsd:element ref="ns2:PolicyPortalFirstPublicationDate" minOccurs="0"/>
                <xsd:element ref="ns2:PolicyPortalOldDocRef" minOccurs="0"/>
                <xsd:element ref="ns2:PolicyPortalOldRecordRef" minOccurs="0"/>
                <xsd:element ref="ns2:PolicyPortalPublishStatus" minOccurs="0"/>
                <xsd:element ref="ns3:_dlc_DocId" minOccurs="0"/>
                <xsd:element ref="ns3:_dlc_DocIdUrl" minOccurs="0"/>
                <xsd:element ref="ns3:_dlc_DocIdPersistId" minOccurs="0"/>
                <xsd:element ref="ns3:TaxKeywordTaxHTField" minOccurs="0"/>
                <xsd:element ref="ns3:TaxCatchAll" minOccurs="0"/>
                <xsd:element ref="ns4:dd2817321d504f1caee75a1112d299d4" minOccurs="0"/>
                <xsd:element ref="ns4:PCR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e2855-9588-4bc9-9890-af639bd565eb" elementFormDefault="qualified">
    <xsd:import namespace="http://schemas.microsoft.com/office/2006/documentManagement/types"/>
    <xsd:import namespace="http://schemas.microsoft.com/office/infopath/2007/PartnerControls"/>
    <xsd:element name="PolicyPortalIssueNo" ma:index="2" nillable="true" ma:displayName="Issue No." ma:internalName="PolicyPortalIssueNo" ma:percentage="FALSE">
      <xsd:simpleType>
        <xsd:restriction base="dms:Number"/>
      </xsd:simpleType>
    </xsd:element>
    <xsd:element name="PolicyPortalDocRef" ma:index="3" nillable="true" ma:displayName="Doc. Ref." ma:internalName="PolicyPortalDocRef">
      <xsd:simpleType>
        <xsd:restriction base="dms:Text">
          <xsd:maxLength value="255"/>
        </xsd:restriction>
      </xsd:simpleType>
    </xsd:element>
    <xsd:element name="PolicyPortalDocType" ma:index="4" nillable="true" ma:displayName="Doc. Type" ma:format="Dropdown" ma:internalName="PolicyPortalDocType">
      <xsd:simpleType>
        <xsd:restriction base="dms:Choice">
          <xsd:enumeration value="Framework/Strategy"/>
          <xsd:enumeration value="Guidance (Gen.)"/>
          <xsd:enumeration value="Handbook"/>
          <xsd:enumeration value="HSW Standard"/>
          <xsd:enumeration value="Instruction"/>
          <xsd:enumeration value="Manual"/>
          <xsd:enumeration value="MoU"/>
          <xsd:enumeration value="Policy"/>
          <xsd:enumeration value="Procedure"/>
          <xsd:enumeration value="Protocol"/>
          <xsd:enumeration value="R2A2"/>
          <xsd:enumeration value="Strategy"/>
          <xsd:enumeration value="TAG"/>
          <xsd:enumeration value="Template"/>
          <xsd:enumeration value="TIG"/>
          <xsd:enumeration value="TOR"/>
          <xsd:enumeration value="N/A"/>
        </xsd:restriction>
      </xsd:simpleType>
    </xsd:element>
    <xsd:element name="PolicyPortalDirectorate" ma:index="5" nillable="true" ma:displayName="Directorate" ma:format="Dropdown" ma:internalName="PolicyPortalDirectorate">
      <xsd:simpleType>
        <xsd:union memberTypes="dms:Text">
          <xsd:simpleType>
            <xsd:restriction base="dms:Choice">
              <xsd:enumeration value="Corporate Security and Resilience Office"/>
              <xsd:enumeration value="Finance"/>
              <xsd:enumeration value="Governance and Private Office"/>
              <xsd:enumeration value="HR"/>
              <xsd:enumeration value="IT"/>
              <xsd:enumeration value="New Reactors"/>
              <xsd:enumeration value="Operating Facilities"/>
              <xsd:enumeration value="Sellafield Decommissioning and Waste"/>
              <xsd:enumeration value="Strategy and Corporate Affairs"/>
              <xsd:enumeration value="Technical"/>
            </xsd:restriction>
          </xsd:simpleType>
        </xsd:union>
      </xsd:simpleType>
    </xsd:element>
    <xsd:element name="PolicyPortalProcessSpecialismFunctionTopic" ma:index="6" nillable="true" ma:displayName="Process / Specialism / Function / Topic" ma:format="Dropdown" ma:internalName="PolicyPortalProcessSpecialismFunctionTopic">
      <xsd:simpleType>
        <xsd:union memberTypes="dms:Text">
          <xsd:simpleType>
            <xsd:restriction base="dms:Choice">
              <xsd:enumeration value="Academy - Training / L&amp;D"/>
              <xsd:enumeration value="Accessibility"/>
              <xsd:enumeration value="Accounting &amp; Budgeting"/>
              <xsd:enumeration value="ALARP Working Group"/>
              <xsd:enumeration value="Anti-Bribery and Corruption, and Fraud Prevention Compliance"/>
              <xsd:enumeration value="Assessment (Nuclear safety)"/>
              <xsd:enumeration value="Business Impact Target (BIT)"/>
              <xsd:enumeration value="Business Travel"/>
              <xsd:enumeration value="Change Management (Org.)"/>
              <xsd:enumeration value="Chemistry &amp; Chemical Engineering"/>
              <xsd:enumeration value="Civil Engineering"/>
              <xsd:enumeration value="Civil Engineering and External Hazards (CEEH)"/>
              <xsd:enumeration value="Civil Nuclear Security"/>
              <xsd:enumeration value="Comms"/>
              <xsd:enumeration value="Conducting Investigations"/>
              <xsd:enumeration value="Compliance"/>
              <xsd:enumeration value="Contractor Management"/>
              <xsd:enumeration value="Cyber Security and Information Assurance"/>
              <xsd:enumeration value="Data Protection"/>
              <xsd:enumeration value="Defence - Propulsion"/>
              <xsd:enumeration value="Delivery Lead - Technical Division (R&amp;TS)"/>
              <xsd:enumeration value="Development of Regulations and Guides"/>
              <xsd:enumeration value="Diversity &amp; Inclusion (HR)"/>
              <xsd:enumeration value="Divisional Delivery Support (DDS)"/>
              <xsd:enumeration value="EC&amp;I Engineering"/>
              <xsd:enumeration value="Efficiency Framework"/>
              <xsd:enumeration value="Emergency P&amp;R"/>
              <xsd:enumeration value="Emergency Preparedness &amp; Response (EP&amp;R)"/>
              <xsd:enumeration value="Environment and Sustainability"/>
              <xsd:enumeration value="Estates"/>
              <xsd:enumeration value="Expenses"/>
              <xsd:enumeration value="Export Control"/>
              <xsd:enumeration value="Fault Analysis"/>
              <xsd:enumeration value="Freedom of Information (FOI) &amp; Gen. Enquiries"/>
              <xsd:enumeration value="GDA"/>
              <xsd:enumeration value="Gifts and Hospitality"/>
              <xsd:enumeration value="Governance"/>
              <xsd:enumeration value="Health, Safety and Wellbeing (HSW)"/>
              <xsd:enumeration value="Human &amp; Organisational Capability"/>
              <xsd:enumeration value="Incident Management and Business Continuity"/>
              <xsd:enumeration value="Information Management"/>
              <xsd:enumeration value="Information Security"/>
              <xsd:enumeration value="International Cooperation"/>
              <xsd:enumeration value="Invoice Management"/>
              <xsd:enumeration value="IT"/>
              <xsd:enumeration value="Land Use Planning"/>
              <xsd:enumeration value="Leadership and Management for Safety and Security"/>
              <xsd:enumeration value="Learning &amp; Development"/>
              <xsd:enumeration value="Legal Support"/>
              <xsd:enumeration value="Management System"/>
              <xsd:enumeration value="Mechanical Engineering"/>
              <xsd:enumeration value="New build/construction"/>
              <xsd:enumeration value="NHSS"/>
              <xsd:enumeration value="Notification &amp; Authorisation"/>
              <xsd:enumeration value="Nuclear Liabilities Regulation"/>
              <xsd:enumeration value="Operating Reactors"/>
              <xsd:enumeration value="Operational Inspection"/>
              <xsd:enumeration value="Organisational Learning"/>
              <xsd:enumeration value="People Services"/>
              <xsd:enumeration value="Performance Management (HR)"/>
              <xsd:enumeration value="Permissioning"/>
              <xsd:enumeration value="PMO"/>
              <xsd:enumeration value="Policy"/>
              <xsd:enumeration value="Procurement"/>
              <xsd:enumeration value="Radiological Protection &amp; Criticality"/>
              <xsd:enumeration value="Regulations &amp; Regulatory Issues"/>
              <xsd:enumeration value="Regulatory Assurance"/>
              <xsd:enumeration value="Regulatory Oversight"/>
              <xsd:enumeration value="Research &amp; Development"/>
              <xsd:enumeration value="Risk Management"/>
              <xsd:enumeration value="RITE"/>
              <xsd:enumeration value="Safeguards"/>
              <xsd:enumeration value="Safety Case Working Group"/>
              <xsd:enumeration value="Security &amp; Information Regulatory Assurance"/>
              <xsd:enumeration value="Sellafield"/>
              <xsd:enumeration value="Shared Services"/>
              <xsd:enumeration value="Structural Integrity"/>
              <xsd:enumeration value="Transport Competent Authority (TCA)"/>
              <xsd:enumeration value="Whistleblowing"/>
              <xsd:enumeration value="WIReD"/>
            </xsd:restriction>
          </xsd:simpleType>
        </xsd:union>
      </xsd:simpleType>
    </xsd:element>
    <xsd:element name="PolicyPortalProcessOwnerPostTitle" ma:index="7" nillable="true" ma:displayName="Process Owner (Post Title)" ma:format="Dropdown" ma:internalName="PolicyPortalProcessOwnerPostTitle">
      <xsd:simpleType>
        <xsd:union memberTypes="dms:Text">
          <xsd:simpleType>
            <xsd:restriction base="dms:Choice">
              <xsd:enumeration value="CIO"/>
              <xsd:enumeration value="CISO"/>
              <xsd:enumeration value="Data Protection Officer (DPO)"/>
              <xsd:enumeration value="Finance Director"/>
              <xsd:enumeration value="Head of Governance and Private Office"/>
              <xsd:enumeration value="HR Director"/>
              <xsd:enumeration value="New Reactors Director"/>
              <xsd:enumeration value="Operating Facilities Director"/>
              <xsd:enumeration value="Sellafield Decommissioning and Waste Director"/>
              <xsd:enumeration value="Senior Director of Regulation"/>
              <xsd:enumeration value="Strategy and Corporate Affairs Director"/>
              <xsd:enumeration value="Technical Director"/>
            </xsd:restriction>
          </xsd:simpleType>
        </xsd:union>
      </xsd:simpleType>
    </xsd:element>
    <xsd:element name="PolicyPortalProcessOwnerRoleHolder" ma:index="8" nillable="true" ma:displayName="Process Owner (Role Holder)" ma:list="UserInfo" ma:SharePointGroup="0" ma:internalName="PolicyPortalProcessOwnerRoleHold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olicyPortalResponsibleDelegatePostTitle" ma:index="9" nillable="true" ma:displayName="Responsible Delegate (Post Title)" ma:format="Dropdown" ma:internalName="PolicyPortalResponsibleDelegatePostTitle">
      <xsd:simpleType>
        <xsd:union memberTypes="dms:Text">
          <xsd:simpleType>
            <xsd:restriction base="dms:Choice">
              <xsd:enumeration value="Chair of Accessibility Working Group (AWG)"/>
              <xsd:enumeration value="Corporate Security Manager"/>
              <xsd:enumeration value="Data Protection Compliance Lead"/>
              <xsd:enumeration value="Deputy Director of Regulation (TD)"/>
              <xsd:enumeration value="Executive Office Support"/>
              <xsd:enumeration value="Export Control Manager"/>
              <xsd:enumeration value="Governance and Compliance Lead"/>
              <xsd:enumeration value="Governance Manager"/>
              <xsd:enumeration value="Head of Academy"/>
              <xsd:enumeration value="Head of Commercial Management and Procurement"/>
              <xsd:enumeration value="Head of Communications"/>
              <xsd:enumeration value="Head of Compliance"/>
              <xsd:enumeration value="Head of Data and Analytics"/>
              <xsd:enumeration value="Head of Governance and Compliance"/>
              <xsd:enumeration value="Head of Private Office"/>
              <xsd:enumeration value="Head of Estates and Shared Services"/>
              <xsd:enumeration value="Head of Finance and Commercial"/>
              <xsd:enumeration value="Head of Incident Management and Business Continuity"/>
              <xsd:enumeration value="Head of International Strategy and Public Correspondence"/>
              <xsd:enumeration value="Head of IT"/>
              <xsd:enumeration value="Head of Legal Liaison"/>
              <xsd:enumeration value="Head of Organisational Development (HR)"/>
              <xsd:enumeration value="Head of Organisational Learning"/>
              <xsd:enumeration value="Head of People Services"/>
              <xsd:enumeration value="Head of PMO"/>
              <xsd:enumeration value="Head of Policy"/>
              <xsd:enumeration value="Head of Regulatory Policy and Standards"/>
              <xsd:enumeration value="Head of Risk and Assurance"/>
              <xsd:enumeration value="HoR - Advanced Nuclear Technologies (ANTs) and Holtec SMR-300 GDA"/>
              <xsd:enumeration value="HoR - Emergency Preparedness and Response"/>
              <xsd:enumeration value="HoR - Rolls-Royce SMR (GDA)"/>
              <xsd:enumeration value="HoR - Transport Competent Authority (TCA)"/>
              <xsd:enumeration value="HoR - Sellafield Compliance Intelligence and Enforcement"/>
              <xsd:enumeration value="HoR - Sellafield Project Delivery"/>
              <xsd:enumeration value="HoR - Sellafield Decommissioning"/>
              <xsd:enumeration value="HoP - Civil Engineering and External Hazards"/>
              <xsd:enumeration value="HoP - Cyber Security &amp; Information Assurance"/>
              <xsd:enumeration value="HoP - DDS"/>
              <xsd:enumeration value="HoP - Electrical, Control and Instrumentation Engineering"/>
              <xsd:enumeration value="HoP - Fault Analysis"/>
              <xsd:enumeration value="HoP - Human and Organisational Capability"/>
              <xsd:enumeration value="HoP - Mechanical Engineering and Structural Integrity"/>
              <xsd:enumeration value="HoP - Nuclear Internal Hazards and Site Safety"/>
              <xsd:enumeration value="HoP - Nuclear Liabilities, Chemistry and Chemical Engineering"/>
              <xsd:enumeration value="HoP - Operational Inspection"/>
              <xsd:enumeration value="HoP - Protective Security"/>
              <xsd:enumeration value="HoP - Radiological Protection and Criticality"/>
              <xsd:enumeration value="HoP - Regulatory Programme and Business Management"/>
              <xsd:enumeration value="HoP - Safeguards"/>
              <xsd:enumeration value="HSW Manager"/>
              <xsd:enumeration value="Information Management Manager"/>
              <xsd:enumeration value="WIReD Product Owner"/>
            </xsd:restriction>
          </xsd:simpleType>
        </xsd:union>
      </xsd:simpleType>
    </xsd:element>
    <xsd:element name="PolicyPortalResponsibleDelegateRoleHolder" ma:index="10" nillable="true" ma:displayName="Responsible Delegate (Role Holder)" ma:list="UserInfo" ma:SharePointGroup="0" ma:internalName="PolicyPortalResponsibleDelegateRoleHold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olicyPortalIssueDate" ma:index="11" nillable="true" ma:displayName="Issue Date" ma:format="DateOnly" ma:internalName="PolicyPortalIssueDate">
      <xsd:simpleType>
        <xsd:restriction base="dms:DateTime"/>
      </xsd:simpleType>
    </xsd:element>
    <xsd:element name="PolicyPortalReviewDate" ma:index="12" nillable="true" ma:displayName="Review Date" ma:format="DateOnly" ma:internalName="PolicyPortalReviewDate">
      <xsd:simpleType>
        <xsd:restriction base="dms:DateTime"/>
      </xsd:simpleType>
    </xsd:element>
    <xsd:element name="PolicyPortalIssueHistoryComments" ma:index="15" nillable="true" ma:displayName="Issue History/Comments" ma:internalName="PolicyPortalIssueHistoryComments">
      <xsd:simpleType>
        <xsd:restriction base="dms:Note">
          <xsd:maxLength value="255"/>
        </xsd:restriction>
      </xsd:simpleType>
    </xsd:element>
    <xsd:element name="PolicyPortalFirstPublicationDate" ma:index="16" nillable="true" ma:displayName="First Publication Date" ma:format="DateOnly" ma:internalName="PolicyPortalFirstPublicationDate">
      <xsd:simpleType>
        <xsd:restriction base="dms:DateTime"/>
      </xsd:simpleType>
    </xsd:element>
    <xsd:element name="PolicyPortalOldDocRef" ma:index="17" nillable="true" ma:displayName="Old Doc. Ref." ma:internalName="PolicyPortalOldDocRef">
      <xsd:simpleType>
        <xsd:restriction base="dms:Text">
          <xsd:maxLength value="255"/>
        </xsd:restriction>
      </xsd:simpleType>
    </xsd:element>
    <xsd:element name="PolicyPortalOldRecordRef" ma:index="18" nillable="true" ma:displayName="Old Record Ref." ma:internalName="PolicyPortalOldRecordRef">
      <xsd:simpleType>
        <xsd:restriction base="dms:Text">
          <xsd:maxLength value="255"/>
        </xsd:restriction>
      </xsd:simpleType>
    </xsd:element>
    <xsd:element name="PolicyPortalPublishStatus" ma:index="25" nillable="true" ma:displayName="Publish Status" ma:format="Dropdown" ma:internalName="PolicyPortalPublishStatus">
      <xsd:simpleType>
        <xsd:restriction base="dms:Choice">
          <xsd:enumeration value="Live"/>
          <xsd:enumeration value="Unpublished"/>
          <xsd:enumeration value="Withdrawn"/>
        </xsd:restriction>
      </xsd:simpleType>
    </xsd:element>
  </xsd:schema>
  <xsd:schema xmlns:xsd="http://www.w3.org/2001/XMLSchema" xmlns:xs="http://www.w3.org/2001/XMLSchema" xmlns:dms="http://schemas.microsoft.com/office/2006/documentManagement/types" xmlns:pc="http://schemas.microsoft.com/office/infopath/2007/PartnerControls" targetNamespace="05350e14-297a-489c-ad04-faf6563b232c" elementFormDefault="qualified">
    <xsd:import namespace="http://schemas.microsoft.com/office/2006/documentManagement/types"/>
    <xsd:import namespace="http://schemas.microsoft.com/office/infopath/2007/PartnerControls"/>
    <xsd:element name="_dlc_DocId" ma:index="26" nillable="true" ma:displayName="Document ID Value" ma:description="The value of the document ID assigned to this item." ma:indexed="true" ma:internalName="_dlc_DocId" ma:readOnly="true">
      <xsd:simpleType>
        <xsd:restriction base="dms:Text"/>
      </xsd:simpleType>
    </xsd:element>
    <xsd:element name="_dlc_DocIdUrl" ma:index="2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8" nillable="true" ma:displayName="Persist ID" ma:description="Keep ID on add." ma:hidden="true" ma:internalName="_dlc_DocIdPersistId" ma:readOnly="true">
      <xsd:simpleType>
        <xsd:restriction base="dms:Boolean"/>
      </xsd:simpleType>
    </xsd:element>
    <xsd:element name="TaxKeywordTaxHTField" ma:index="30" nillable="true" ma:taxonomy="true" ma:internalName="TaxKeywordTaxHTField" ma:taxonomyFieldName="TaxKeyword" ma:displayName="Enterprise Keywords" ma:fieldId="{23f27201-bee3-471e-b2e7-b64fd8b7ca38}" ma:taxonomyMulti="true" ma:sspId="66693000-3e12-4b44-a742-9a2ba35b7d28" ma:termSetId="00000000-0000-0000-0000-000000000000" ma:anchorId="00000000-0000-0000-0000-000000000000" ma:open="true" ma:isKeyword="true">
      <xsd:complexType>
        <xsd:sequence>
          <xsd:element ref="pc:Terms" minOccurs="0" maxOccurs="1"/>
        </xsd:sequence>
      </xsd:complexType>
    </xsd:element>
    <xsd:element name="TaxCatchAll" ma:index="31" nillable="true" ma:displayName="Taxonomy Catch All Column" ma:hidden="true" ma:list="{85a4ca9d-4aea-456d-868e-8e20a97dbaed}" ma:internalName="TaxCatchAll" ma:showField="CatchAllData" ma:web="05350e14-297a-489c-ad04-faf6563b232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bd4c4c3-96d4-4265-b68e-6a383a5dca66" elementFormDefault="qualified">
    <xsd:import namespace="http://schemas.microsoft.com/office/2006/documentManagement/types"/>
    <xsd:import namespace="http://schemas.microsoft.com/office/infopath/2007/PartnerControls"/>
    <xsd:element name="dd2817321d504f1caee75a1112d299d4" ma:index="33" nillable="true" ma:taxonomy="true" ma:internalName="dd2817321d504f1caee75a1112d299d4" ma:taxonomyFieldName="Topic" ma:displayName="Topic" ma:default="" ma:fieldId="{dd281732-1d50-4f1c-aee7-5a1112d299d4}" ma:taxonomyMulti="true" ma:sspId="66693000-3e12-4b44-a742-9a2ba35b7d28" ma:termSetId="7b4e1cbc-bd02-4183-9474-8a15f7a1216f" ma:anchorId="00000000-0000-0000-0000-000000000000" ma:open="false" ma:isKeyword="false">
      <xsd:complexType>
        <xsd:sequence>
          <xsd:element ref="pc:Terms" minOccurs="0" maxOccurs="1"/>
        </xsd:sequence>
      </xsd:complexType>
    </xsd:element>
    <xsd:element name="PCR_x003f_" ma:index="34" nillable="true" ma:displayName="PCR?" ma:default="0" ma:description="Document forms part of the Policy Compliance Report for ARAC." ma:format="Dropdown" ma:internalName="PCR_x003f_">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3"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9419ACF-FD9B-4EEB-B545-BB3F91B9B619}">
  <ds:schemaRefs>
    <ds:schemaRef ds:uri="Microsoft.SharePoint.Taxonomy.ContentTypeSync"/>
  </ds:schemaRefs>
</ds:datastoreItem>
</file>

<file path=customXml/itemProps3.xml><?xml version="1.0" encoding="utf-8"?>
<ds:datastoreItem xmlns:ds="http://schemas.openxmlformats.org/officeDocument/2006/customXml" ds:itemID="{302464A8-7BA5-4131-8D06-4B18A77BE91D}">
  <ds:schemaRefs>
    <ds:schemaRef ds:uri="http://purl.org/dc/terms/"/>
    <ds:schemaRef ds:uri="http://schemas.openxmlformats.org/package/2006/metadata/core-properties"/>
    <ds:schemaRef ds:uri="8c4e2855-9588-4bc9-9890-af639bd565eb"/>
    <ds:schemaRef ds:uri="http://www.w3.org/XML/1998/namespace"/>
    <ds:schemaRef ds:uri="http://schemas.microsoft.com/office/infopath/2007/PartnerControls"/>
    <ds:schemaRef ds:uri="http://schemas.microsoft.com/office/2006/documentManagement/types"/>
    <ds:schemaRef ds:uri="05350e14-297a-489c-ad04-faf6563b232c"/>
    <ds:schemaRef ds:uri="http://schemas.microsoft.com/office/2006/metadata/properties"/>
    <ds:schemaRef ds:uri="fbd4c4c3-96d4-4265-b68e-6a383a5dca66"/>
    <ds:schemaRef ds:uri="http://purl.org/dc/dcmitype/"/>
    <ds:schemaRef ds:uri="http://purl.org/dc/elements/1.1/"/>
  </ds:schemaRefs>
</ds:datastoreItem>
</file>

<file path=customXml/itemProps4.xml><?xml version="1.0" encoding="utf-8"?>
<ds:datastoreItem xmlns:ds="http://schemas.openxmlformats.org/officeDocument/2006/customXml" ds:itemID="{E58FE1DC-D0C0-484B-AB9B-63D2BB0F34BE}">
  <ds:schemaRefs>
    <ds:schemaRef ds:uri="http://schemas.openxmlformats.org/officeDocument/2006/bibliography"/>
  </ds:schemaRefs>
</ds:datastoreItem>
</file>

<file path=customXml/itemProps5.xml><?xml version="1.0" encoding="utf-8"?>
<ds:datastoreItem xmlns:ds="http://schemas.openxmlformats.org/officeDocument/2006/customXml" ds:itemID="{490ED5B9-84BB-4E11-AB53-C0B8C211310C}">
  <ds:schemaRefs>
    <ds:schemaRef ds:uri="http://schemas.microsoft.com/sharepoint/events"/>
  </ds:schemaRefs>
</ds:datastoreItem>
</file>

<file path=customXml/itemProps6.xml><?xml version="1.0" encoding="utf-8"?>
<ds:datastoreItem xmlns:ds="http://schemas.openxmlformats.org/officeDocument/2006/customXml" ds:itemID="{2F1E7696-64D0-4E76-BD09-5F47C27AB98C}">
  <ds:schemaRefs>
    <ds:schemaRef ds:uri="http://schemas.microsoft.com/sharepoint/v3/contenttype/forms"/>
  </ds:schemaRefs>
</ds:datastoreItem>
</file>

<file path=customXml/itemProps7.xml><?xml version="1.0" encoding="utf-8"?>
<ds:datastoreItem xmlns:ds="http://schemas.openxmlformats.org/officeDocument/2006/customXml" ds:itemID="{43F20EB6-4BC1-40A9-9542-059E29A64F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4e2855-9588-4bc9-9890-af639bd565eb"/>
    <ds:schemaRef ds:uri="05350e14-297a-489c-ad04-faf6563b232c"/>
    <ds:schemaRef ds:uri="fbd4c4c3-96d4-4265-b68e-6a383a5dca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9</Pages>
  <Words>2068</Words>
  <Characters>11789</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Manager>Office for Nuclear Regulation</Manager>
  <Company>Office for Nuclear Regulation</Company>
  <LinksUpToDate>false</LinksUpToDate>
  <CharactersWithSpaces>13830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LC24 – Operating Instructions</dc:title>
  <dc:subject>[Subtitle or description]</dc:subject>
  <dc:creator>Liam Dunning</dc:creator>
  <cp:keywords>[Key words separated by commas]</cp:keywords>
  <dc:description/>
  <cp:lastModifiedBy>Linda Beckett</cp:lastModifiedBy>
  <cp:revision>5</cp:revision>
  <cp:lastPrinted>2016-11-28T11:35:00Z</cp:lastPrinted>
  <dcterms:created xsi:type="dcterms:W3CDTF">2026-05-05T11:47:00Z</dcterms:created>
  <dcterms:modified xsi:type="dcterms:W3CDTF">2026-05-05T11:49:00Z</dcterms:modified>
  <cp:contentStatus>7.1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y fmtid="{D5CDD505-2E9C-101B-9397-08002B2CF9AE}" pid="9" name="ContentTypeId">
    <vt:lpwstr>0x0101000C70A82DFAAC384DB9F6EBA2C8B87C5700D27B61D2EA57AC4F87A5F2CF441D8227</vt:lpwstr>
  </property>
</Properties>
</file>