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56"/>
                <w:szCs w:val="56"/>
              </w:rPr>
              <w:id w:val="1228188510"/>
              <w:placeholder>
                <w:docPart w:val="DefaultPlaceholder_-1854013440"/>
              </w:placeholder>
            </w:sdtPr>
            <w:sdtEndPr/>
            <w:sdtContent>
              <w:p w14:paraId="7C4EA414" w14:textId="408F5985" w:rsidR="00D0226A" w:rsidRPr="00CF01CF" w:rsidRDefault="001E0C9A" w:rsidP="001E03E1">
                <w:pPr>
                  <w:pStyle w:val="CoverTitle"/>
                  <w:rPr>
                    <w:sz w:val="56"/>
                    <w:szCs w:val="56"/>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F01CF" w:rsidRPr="00CF01CF">
                      <w:rPr>
                        <w:sz w:val="56"/>
                        <w:szCs w:val="56"/>
                      </w:rPr>
                      <w:t>LC22</w:t>
                    </w:r>
                    <w:r w:rsidR="00E02574">
                      <w:rPr>
                        <w:sz w:val="56"/>
                        <w:szCs w:val="56"/>
                      </w:rPr>
                      <w:t xml:space="preserve"> – </w:t>
                    </w:r>
                    <w:r w:rsidR="00CF01CF" w:rsidRPr="00CF01CF">
                      <w:rPr>
                        <w:sz w:val="56"/>
                        <w:szCs w:val="56"/>
                      </w:rPr>
                      <w:t>Modification</w:t>
                    </w:r>
                    <w:r w:rsidR="00E02574">
                      <w:rPr>
                        <w:sz w:val="56"/>
                        <w:szCs w:val="56"/>
                      </w:rPr>
                      <w:t xml:space="preserve"> </w:t>
                    </w:r>
                    <w:r w:rsidR="00CF01CF" w:rsidRPr="00CF01CF">
                      <w:rPr>
                        <w:sz w:val="56"/>
                        <w:szCs w:val="56"/>
                      </w:rPr>
                      <w:t xml:space="preserve">or </w:t>
                    </w:r>
                    <w:r w:rsidR="00E02574">
                      <w:rPr>
                        <w:sz w:val="56"/>
                        <w:szCs w:val="56"/>
                      </w:rPr>
                      <w:t>e</w:t>
                    </w:r>
                    <w:r w:rsidR="00CF01CF" w:rsidRPr="00CF01CF">
                      <w:rPr>
                        <w:sz w:val="56"/>
                        <w:szCs w:val="56"/>
                      </w:rPr>
                      <w:t xml:space="preserve">xperiment on </w:t>
                    </w:r>
                    <w:r w:rsidR="00E02574">
                      <w:rPr>
                        <w:sz w:val="56"/>
                        <w:szCs w:val="56"/>
                      </w:rPr>
                      <w:t>e</w:t>
                    </w:r>
                    <w:r w:rsidR="00CF01CF" w:rsidRPr="00CF01CF">
                      <w:rPr>
                        <w:sz w:val="56"/>
                        <w:szCs w:val="56"/>
                      </w:rPr>
                      <w:t xml:space="preserve">xisting </w:t>
                    </w:r>
                    <w:r w:rsidR="00E02574">
                      <w:rPr>
                        <w:sz w:val="56"/>
                        <w:szCs w:val="56"/>
                      </w:rPr>
                      <w:t>p</w:t>
                    </w:r>
                    <w:r w:rsidR="00CF01CF" w:rsidRPr="00CF01CF">
                      <w:rPr>
                        <w:sz w:val="56"/>
                        <w:szCs w:val="56"/>
                      </w:rPr>
                      <w:t>lant</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751243C2" w14:textId="5EAB2B65" w:rsidR="003E0F60"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6723361" w:history="1">
        <w:r w:rsidR="003E0F60" w:rsidRPr="00756196">
          <w:rPr>
            <w:rStyle w:val="Hyperlink"/>
          </w:rPr>
          <w:t>1.</w:t>
        </w:r>
        <w:r w:rsidR="003E0F60">
          <w:rPr>
            <w:rFonts w:asciiTheme="minorHAnsi" w:eastAsiaTheme="minorEastAsia" w:hAnsiTheme="minorHAnsi" w:cstheme="minorBidi"/>
            <w:kern w:val="2"/>
            <w:szCs w:val="24"/>
            <w:lang w:eastAsia="en-GB" w:bidi="ar-SA"/>
            <w14:ligatures w14:val="standardContextual"/>
          </w:rPr>
          <w:tab/>
        </w:r>
        <w:r w:rsidR="003E0F60" w:rsidRPr="00756196">
          <w:rPr>
            <w:rStyle w:val="Hyperlink"/>
          </w:rPr>
          <w:t>Introduction</w:t>
        </w:r>
        <w:r w:rsidR="003E0F60">
          <w:rPr>
            <w:webHidden/>
          </w:rPr>
          <w:tab/>
        </w:r>
        <w:r w:rsidR="003E0F60">
          <w:rPr>
            <w:webHidden/>
          </w:rPr>
          <w:fldChar w:fldCharType="begin"/>
        </w:r>
        <w:r w:rsidR="003E0F60">
          <w:rPr>
            <w:webHidden/>
          </w:rPr>
          <w:instrText xml:space="preserve"> PAGEREF _Toc226723361 \h </w:instrText>
        </w:r>
        <w:r w:rsidR="003E0F60">
          <w:rPr>
            <w:webHidden/>
          </w:rPr>
        </w:r>
        <w:r w:rsidR="003E0F60">
          <w:rPr>
            <w:webHidden/>
          </w:rPr>
          <w:fldChar w:fldCharType="separate"/>
        </w:r>
        <w:r w:rsidR="003E0F60">
          <w:rPr>
            <w:webHidden/>
          </w:rPr>
          <w:t>3</w:t>
        </w:r>
        <w:r w:rsidR="003E0F60">
          <w:rPr>
            <w:webHidden/>
          </w:rPr>
          <w:fldChar w:fldCharType="end"/>
        </w:r>
      </w:hyperlink>
    </w:p>
    <w:p w14:paraId="58BE549F" w14:textId="676998F3" w:rsidR="003E0F60" w:rsidRDefault="003E0F6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362" w:history="1">
        <w:r w:rsidRPr="00756196">
          <w:rPr>
            <w:rStyle w:val="Hyperlink"/>
          </w:rPr>
          <w:t>2.</w:t>
        </w:r>
        <w:r>
          <w:rPr>
            <w:rFonts w:asciiTheme="minorHAnsi" w:eastAsiaTheme="minorEastAsia" w:hAnsiTheme="minorHAnsi" w:cstheme="minorBidi"/>
            <w:kern w:val="2"/>
            <w:szCs w:val="24"/>
            <w:lang w:eastAsia="en-GB" w:bidi="ar-SA"/>
            <w14:ligatures w14:val="standardContextual"/>
          </w:rPr>
          <w:tab/>
        </w:r>
        <w:r w:rsidRPr="00756196">
          <w:rPr>
            <w:rStyle w:val="Hyperlink"/>
          </w:rPr>
          <w:t>Licence Condition 22 – Modification or experiment on existing plant</w:t>
        </w:r>
        <w:r>
          <w:rPr>
            <w:webHidden/>
          </w:rPr>
          <w:tab/>
        </w:r>
        <w:r>
          <w:rPr>
            <w:webHidden/>
          </w:rPr>
          <w:fldChar w:fldCharType="begin"/>
        </w:r>
        <w:r>
          <w:rPr>
            <w:webHidden/>
          </w:rPr>
          <w:instrText xml:space="preserve"> PAGEREF _Toc226723362 \h </w:instrText>
        </w:r>
        <w:r>
          <w:rPr>
            <w:webHidden/>
          </w:rPr>
        </w:r>
        <w:r>
          <w:rPr>
            <w:webHidden/>
          </w:rPr>
          <w:fldChar w:fldCharType="separate"/>
        </w:r>
        <w:r>
          <w:rPr>
            <w:webHidden/>
          </w:rPr>
          <w:t>4</w:t>
        </w:r>
        <w:r>
          <w:rPr>
            <w:webHidden/>
          </w:rPr>
          <w:fldChar w:fldCharType="end"/>
        </w:r>
      </w:hyperlink>
    </w:p>
    <w:p w14:paraId="18C14E60" w14:textId="5FF225BC" w:rsidR="003E0F60" w:rsidRDefault="003E0F6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363" w:history="1">
        <w:r w:rsidRPr="00756196">
          <w:rPr>
            <w:rStyle w:val="Hyperlink"/>
          </w:rPr>
          <w:t>3.</w:t>
        </w:r>
        <w:r>
          <w:rPr>
            <w:rFonts w:asciiTheme="minorHAnsi" w:eastAsiaTheme="minorEastAsia" w:hAnsiTheme="minorHAnsi" w:cstheme="minorBidi"/>
            <w:kern w:val="2"/>
            <w:szCs w:val="24"/>
            <w:lang w:eastAsia="en-GB" w:bidi="ar-SA"/>
            <w14:ligatures w14:val="standardContextual"/>
          </w:rPr>
          <w:tab/>
        </w:r>
        <w:r w:rsidRPr="00756196">
          <w:rPr>
            <w:rStyle w:val="Hyperlink"/>
          </w:rPr>
          <w:t>Purpose of Licence Condition 22</w:t>
        </w:r>
        <w:r>
          <w:rPr>
            <w:webHidden/>
          </w:rPr>
          <w:tab/>
        </w:r>
        <w:r>
          <w:rPr>
            <w:webHidden/>
          </w:rPr>
          <w:fldChar w:fldCharType="begin"/>
        </w:r>
        <w:r>
          <w:rPr>
            <w:webHidden/>
          </w:rPr>
          <w:instrText xml:space="preserve"> PAGEREF _Toc226723363 \h </w:instrText>
        </w:r>
        <w:r>
          <w:rPr>
            <w:webHidden/>
          </w:rPr>
        </w:r>
        <w:r>
          <w:rPr>
            <w:webHidden/>
          </w:rPr>
          <w:fldChar w:fldCharType="separate"/>
        </w:r>
        <w:r>
          <w:rPr>
            <w:webHidden/>
          </w:rPr>
          <w:t>5</w:t>
        </w:r>
        <w:r>
          <w:rPr>
            <w:webHidden/>
          </w:rPr>
          <w:fldChar w:fldCharType="end"/>
        </w:r>
      </w:hyperlink>
    </w:p>
    <w:p w14:paraId="4AE880F5" w14:textId="47D6EE29" w:rsidR="003E0F60" w:rsidRDefault="003E0F6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364" w:history="1">
        <w:r w:rsidRPr="00756196">
          <w:rPr>
            <w:rStyle w:val="Hyperlink"/>
          </w:rPr>
          <w:t>4.</w:t>
        </w:r>
        <w:r>
          <w:rPr>
            <w:rFonts w:asciiTheme="minorHAnsi" w:eastAsiaTheme="minorEastAsia" w:hAnsiTheme="minorHAnsi" w:cstheme="minorBidi"/>
            <w:kern w:val="2"/>
            <w:szCs w:val="24"/>
            <w:lang w:eastAsia="en-GB" w:bidi="ar-SA"/>
            <w14:ligatures w14:val="standardContextual"/>
          </w:rPr>
          <w:tab/>
        </w:r>
        <w:r w:rsidRPr="00756196">
          <w:rPr>
            <w:rStyle w:val="Hyperlink"/>
          </w:rPr>
          <w:t>Guidance on arrangements for Licence Condition 22</w:t>
        </w:r>
        <w:r>
          <w:rPr>
            <w:webHidden/>
          </w:rPr>
          <w:tab/>
        </w:r>
        <w:r>
          <w:rPr>
            <w:webHidden/>
          </w:rPr>
          <w:fldChar w:fldCharType="begin"/>
        </w:r>
        <w:r>
          <w:rPr>
            <w:webHidden/>
          </w:rPr>
          <w:instrText xml:space="preserve"> PAGEREF _Toc226723364 \h </w:instrText>
        </w:r>
        <w:r>
          <w:rPr>
            <w:webHidden/>
          </w:rPr>
        </w:r>
        <w:r>
          <w:rPr>
            <w:webHidden/>
          </w:rPr>
          <w:fldChar w:fldCharType="separate"/>
        </w:r>
        <w:r>
          <w:rPr>
            <w:webHidden/>
          </w:rPr>
          <w:t>7</w:t>
        </w:r>
        <w:r>
          <w:rPr>
            <w:webHidden/>
          </w:rPr>
          <w:fldChar w:fldCharType="end"/>
        </w:r>
      </w:hyperlink>
    </w:p>
    <w:p w14:paraId="54A806CD" w14:textId="6890B51B" w:rsidR="003E0F60" w:rsidRDefault="003E0F6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365" w:history="1">
        <w:r w:rsidRPr="00756196">
          <w:rPr>
            <w:rStyle w:val="Hyperlink"/>
          </w:rPr>
          <w:t>4.1.</w:t>
        </w:r>
        <w:r>
          <w:rPr>
            <w:rFonts w:asciiTheme="minorHAnsi" w:eastAsiaTheme="minorEastAsia" w:hAnsiTheme="minorHAnsi" w:cstheme="minorBidi"/>
            <w:kern w:val="2"/>
            <w:szCs w:val="24"/>
            <w:lang w:eastAsia="en-GB" w:bidi="ar-SA"/>
            <w14:ligatures w14:val="standardContextual"/>
          </w:rPr>
          <w:tab/>
        </w:r>
        <w:r w:rsidRPr="00756196">
          <w:rPr>
            <w:rStyle w:val="Hyperlink"/>
          </w:rPr>
          <w:t>Temporary modifications</w:t>
        </w:r>
        <w:r>
          <w:rPr>
            <w:webHidden/>
          </w:rPr>
          <w:tab/>
        </w:r>
        <w:r>
          <w:rPr>
            <w:webHidden/>
          </w:rPr>
          <w:fldChar w:fldCharType="begin"/>
        </w:r>
        <w:r>
          <w:rPr>
            <w:webHidden/>
          </w:rPr>
          <w:instrText xml:space="preserve"> PAGEREF _Toc226723365 \h </w:instrText>
        </w:r>
        <w:r>
          <w:rPr>
            <w:webHidden/>
          </w:rPr>
        </w:r>
        <w:r>
          <w:rPr>
            <w:webHidden/>
          </w:rPr>
          <w:fldChar w:fldCharType="separate"/>
        </w:r>
        <w:r>
          <w:rPr>
            <w:webHidden/>
          </w:rPr>
          <w:t>9</w:t>
        </w:r>
        <w:r>
          <w:rPr>
            <w:webHidden/>
          </w:rPr>
          <w:fldChar w:fldCharType="end"/>
        </w:r>
      </w:hyperlink>
    </w:p>
    <w:p w14:paraId="4D19D178" w14:textId="719F0543" w:rsidR="003E0F60" w:rsidRDefault="003E0F6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366" w:history="1">
        <w:r w:rsidRPr="00756196">
          <w:rPr>
            <w:rStyle w:val="Hyperlink"/>
          </w:rPr>
          <w:t>4.2.</w:t>
        </w:r>
        <w:r>
          <w:rPr>
            <w:rFonts w:asciiTheme="minorHAnsi" w:eastAsiaTheme="minorEastAsia" w:hAnsiTheme="minorHAnsi" w:cstheme="minorBidi"/>
            <w:kern w:val="2"/>
            <w:szCs w:val="24"/>
            <w:lang w:eastAsia="en-GB" w:bidi="ar-SA"/>
            <w14:ligatures w14:val="standardContextual"/>
          </w:rPr>
          <w:tab/>
        </w:r>
        <w:r w:rsidRPr="00756196">
          <w:rPr>
            <w:rStyle w:val="Hyperlink"/>
          </w:rPr>
          <w:t>Decommissioning</w:t>
        </w:r>
        <w:r>
          <w:rPr>
            <w:webHidden/>
          </w:rPr>
          <w:tab/>
        </w:r>
        <w:r>
          <w:rPr>
            <w:webHidden/>
          </w:rPr>
          <w:fldChar w:fldCharType="begin"/>
        </w:r>
        <w:r>
          <w:rPr>
            <w:webHidden/>
          </w:rPr>
          <w:instrText xml:space="preserve"> PAGEREF _Toc226723366 \h </w:instrText>
        </w:r>
        <w:r>
          <w:rPr>
            <w:webHidden/>
          </w:rPr>
        </w:r>
        <w:r>
          <w:rPr>
            <w:webHidden/>
          </w:rPr>
          <w:fldChar w:fldCharType="separate"/>
        </w:r>
        <w:r>
          <w:rPr>
            <w:webHidden/>
          </w:rPr>
          <w:t>10</w:t>
        </w:r>
        <w:r>
          <w:rPr>
            <w:webHidden/>
          </w:rPr>
          <w:fldChar w:fldCharType="end"/>
        </w:r>
      </w:hyperlink>
    </w:p>
    <w:p w14:paraId="7285D11E" w14:textId="310A68F9" w:rsidR="003E0F60" w:rsidRDefault="003E0F6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367" w:history="1">
        <w:r w:rsidRPr="00756196">
          <w:rPr>
            <w:rStyle w:val="Hyperlink"/>
          </w:rPr>
          <w:t>4.3.</w:t>
        </w:r>
        <w:r>
          <w:rPr>
            <w:rFonts w:asciiTheme="minorHAnsi" w:eastAsiaTheme="minorEastAsia" w:hAnsiTheme="minorHAnsi" w:cstheme="minorBidi"/>
            <w:kern w:val="2"/>
            <w:szCs w:val="24"/>
            <w:lang w:eastAsia="en-GB" w:bidi="ar-SA"/>
            <w14:ligatures w14:val="standardContextual"/>
          </w:rPr>
          <w:tab/>
        </w:r>
        <w:r w:rsidRPr="00756196">
          <w:rPr>
            <w:rStyle w:val="Hyperlink"/>
          </w:rPr>
          <w:t>Permissioning</w:t>
        </w:r>
        <w:r>
          <w:rPr>
            <w:webHidden/>
          </w:rPr>
          <w:tab/>
        </w:r>
        <w:r>
          <w:rPr>
            <w:webHidden/>
          </w:rPr>
          <w:fldChar w:fldCharType="begin"/>
        </w:r>
        <w:r>
          <w:rPr>
            <w:webHidden/>
          </w:rPr>
          <w:instrText xml:space="preserve"> PAGEREF _Toc226723367 \h </w:instrText>
        </w:r>
        <w:r>
          <w:rPr>
            <w:webHidden/>
          </w:rPr>
        </w:r>
        <w:r>
          <w:rPr>
            <w:webHidden/>
          </w:rPr>
          <w:fldChar w:fldCharType="separate"/>
        </w:r>
        <w:r>
          <w:rPr>
            <w:webHidden/>
          </w:rPr>
          <w:t>10</w:t>
        </w:r>
        <w:r>
          <w:rPr>
            <w:webHidden/>
          </w:rPr>
          <w:fldChar w:fldCharType="end"/>
        </w:r>
      </w:hyperlink>
    </w:p>
    <w:p w14:paraId="12B454A7" w14:textId="375015F8" w:rsidR="003E0F60" w:rsidRDefault="003E0F6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368" w:history="1">
        <w:r w:rsidRPr="00756196">
          <w:rPr>
            <w:rStyle w:val="Hyperlink"/>
          </w:rPr>
          <w:t>5.</w:t>
        </w:r>
        <w:r>
          <w:rPr>
            <w:rFonts w:asciiTheme="minorHAnsi" w:eastAsiaTheme="minorEastAsia" w:hAnsiTheme="minorHAnsi" w:cstheme="minorBidi"/>
            <w:kern w:val="2"/>
            <w:szCs w:val="24"/>
            <w:lang w:eastAsia="en-GB" w:bidi="ar-SA"/>
            <w14:ligatures w14:val="standardContextual"/>
          </w:rPr>
          <w:tab/>
        </w:r>
        <w:r w:rsidRPr="00756196">
          <w:rPr>
            <w:rStyle w:val="Hyperlink"/>
          </w:rPr>
          <w:t>Guidance on inspection of implementation of arrangements for Licence Condition 22</w:t>
        </w:r>
        <w:r>
          <w:rPr>
            <w:webHidden/>
          </w:rPr>
          <w:tab/>
        </w:r>
        <w:r>
          <w:rPr>
            <w:webHidden/>
          </w:rPr>
          <w:fldChar w:fldCharType="begin"/>
        </w:r>
        <w:r>
          <w:rPr>
            <w:webHidden/>
          </w:rPr>
          <w:instrText xml:space="preserve"> PAGEREF _Toc226723368 \h </w:instrText>
        </w:r>
        <w:r>
          <w:rPr>
            <w:webHidden/>
          </w:rPr>
        </w:r>
        <w:r>
          <w:rPr>
            <w:webHidden/>
          </w:rPr>
          <w:fldChar w:fldCharType="separate"/>
        </w:r>
        <w:r>
          <w:rPr>
            <w:webHidden/>
          </w:rPr>
          <w:t>11</w:t>
        </w:r>
        <w:r>
          <w:rPr>
            <w:webHidden/>
          </w:rPr>
          <w:fldChar w:fldCharType="end"/>
        </w:r>
      </w:hyperlink>
    </w:p>
    <w:p w14:paraId="2B203BBF" w14:textId="22AAA56D" w:rsidR="003E0F60" w:rsidRDefault="003E0F6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369" w:history="1">
        <w:r w:rsidRPr="00756196">
          <w:rPr>
            <w:rStyle w:val="Hyperlink"/>
          </w:rPr>
          <w:t>5.1.</w:t>
        </w:r>
        <w:r>
          <w:rPr>
            <w:rFonts w:asciiTheme="minorHAnsi" w:eastAsiaTheme="minorEastAsia" w:hAnsiTheme="minorHAnsi" w:cstheme="minorBidi"/>
            <w:kern w:val="2"/>
            <w:szCs w:val="24"/>
            <w:lang w:eastAsia="en-GB" w:bidi="ar-SA"/>
            <w14:ligatures w14:val="standardContextual"/>
          </w:rPr>
          <w:tab/>
        </w:r>
        <w:r w:rsidRPr="00756196">
          <w:rPr>
            <w:rStyle w:val="Hyperlink"/>
          </w:rPr>
          <w:t>Organisational control of modifications</w:t>
        </w:r>
        <w:r>
          <w:rPr>
            <w:webHidden/>
          </w:rPr>
          <w:tab/>
        </w:r>
        <w:r>
          <w:rPr>
            <w:webHidden/>
          </w:rPr>
          <w:fldChar w:fldCharType="begin"/>
        </w:r>
        <w:r>
          <w:rPr>
            <w:webHidden/>
          </w:rPr>
          <w:instrText xml:space="preserve"> PAGEREF _Toc226723369 \h </w:instrText>
        </w:r>
        <w:r>
          <w:rPr>
            <w:webHidden/>
          </w:rPr>
        </w:r>
        <w:r>
          <w:rPr>
            <w:webHidden/>
          </w:rPr>
          <w:fldChar w:fldCharType="separate"/>
        </w:r>
        <w:r>
          <w:rPr>
            <w:webHidden/>
          </w:rPr>
          <w:t>14</w:t>
        </w:r>
        <w:r>
          <w:rPr>
            <w:webHidden/>
          </w:rPr>
          <w:fldChar w:fldCharType="end"/>
        </w:r>
      </w:hyperlink>
    </w:p>
    <w:p w14:paraId="0EA0E741" w14:textId="17648709" w:rsidR="003E0F60" w:rsidRDefault="003E0F6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370" w:history="1">
        <w:r w:rsidRPr="00756196">
          <w:rPr>
            <w:rStyle w:val="Hyperlink"/>
          </w:rPr>
          <w:t>6.</w:t>
        </w:r>
        <w:r>
          <w:rPr>
            <w:rFonts w:asciiTheme="minorHAnsi" w:eastAsiaTheme="minorEastAsia" w:hAnsiTheme="minorHAnsi" w:cstheme="minorBidi"/>
            <w:kern w:val="2"/>
            <w:szCs w:val="24"/>
            <w:lang w:eastAsia="en-GB" w:bidi="ar-SA"/>
            <w14:ligatures w14:val="standardContextual"/>
          </w:rPr>
          <w:tab/>
        </w:r>
        <w:r w:rsidRPr="00756196">
          <w:rPr>
            <w:rStyle w:val="Hyperlink"/>
          </w:rPr>
          <w:t>Safeguards requirements</w:t>
        </w:r>
        <w:r>
          <w:rPr>
            <w:webHidden/>
          </w:rPr>
          <w:tab/>
        </w:r>
        <w:r>
          <w:rPr>
            <w:webHidden/>
          </w:rPr>
          <w:fldChar w:fldCharType="begin"/>
        </w:r>
        <w:r>
          <w:rPr>
            <w:webHidden/>
          </w:rPr>
          <w:instrText xml:space="preserve"> PAGEREF _Toc226723370 \h </w:instrText>
        </w:r>
        <w:r>
          <w:rPr>
            <w:webHidden/>
          </w:rPr>
        </w:r>
        <w:r>
          <w:rPr>
            <w:webHidden/>
          </w:rPr>
          <w:fldChar w:fldCharType="separate"/>
        </w:r>
        <w:r>
          <w:rPr>
            <w:webHidden/>
          </w:rPr>
          <w:t>15</w:t>
        </w:r>
        <w:r>
          <w:rPr>
            <w:webHidden/>
          </w:rPr>
          <w:fldChar w:fldCharType="end"/>
        </w:r>
      </w:hyperlink>
    </w:p>
    <w:p w14:paraId="4DD46C6C" w14:textId="569BA9EA" w:rsidR="003E0F60" w:rsidRDefault="003E0F60">
      <w:pPr>
        <w:pStyle w:val="TOC1"/>
        <w:rPr>
          <w:rFonts w:asciiTheme="minorHAnsi" w:eastAsiaTheme="minorEastAsia" w:hAnsiTheme="minorHAnsi" w:cstheme="minorBidi"/>
          <w:kern w:val="2"/>
          <w:szCs w:val="24"/>
          <w:lang w:eastAsia="en-GB" w:bidi="ar-SA"/>
          <w14:ligatures w14:val="standardContextual"/>
        </w:rPr>
      </w:pPr>
      <w:hyperlink w:anchor="_Toc226723371" w:history="1">
        <w:r w:rsidRPr="00756196">
          <w:rPr>
            <w:rStyle w:val="Hyperlink"/>
          </w:rPr>
          <w:t>Appendix 1 – Guidance to inspectors on modification classification</w:t>
        </w:r>
        <w:r>
          <w:rPr>
            <w:webHidden/>
          </w:rPr>
          <w:tab/>
        </w:r>
        <w:r>
          <w:rPr>
            <w:webHidden/>
          </w:rPr>
          <w:fldChar w:fldCharType="begin"/>
        </w:r>
        <w:r>
          <w:rPr>
            <w:webHidden/>
          </w:rPr>
          <w:instrText xml:space="preserve"> PAGEREF _Toc226723371 \h </w:instrText>
        </w:r>
        <w:r>
          <w:rPr>
            <w:webHidden/>
          </w:rPr>
        </w:r>
        <w:r>
          <w:rPr>
            <w:webHidden/>
          </w:rPr>
          <w:fldChar w:fldCharType="separate"/>
        </w:r>
        <w:r>
          <w:rPr>
            <w:webHidden/>
          </w:rPr>
          <w:t>16</w:t>
        </w:r>
        <w:r>
          <w:rPr>
            <w:webHidden/>
          </w:rPr>
          <w:fldChar w:fldCharType="end"/>
        </w:r>
      </w:hyperlink>
    </w:p>
    <w:p w14:paraId="695053D5" w14:textId="1EEB9FDD" w:rsidR="003E0F60" w:rsidRDefault="003E0F60">
      <w:pPr>
        <w:pStyle w:val="TOC1"/>
        <w:rPr>
          <w:rFonts w:asciiTheme="minorHAnsi" w:eastAsiaTheme="minorEastAsia" w:hAnsiTheme="minorHAnsi" w:cstheme="minorBidi"/>
          <w:kern w:val="2"/>
          <w:szCs w:val="24"/>
          <w:lang w:eastAsia="en-GB" w:bidi="ar-SA"/>
          <w14:ligatures w14:val="standardContextual"/>
        </w:rPr>
      </w:pPr>
      <w:hyperlink w:anchor="_Toc226723372" w:history="1">
        <w:r w:rsidRPr="00756196">
          <w:rPr>
            <w:rStyle w:val="Hyperlink"/>
          </w:rPr>
          <w:t>References</w:t>
        </w:r>
        <w:r>
          <w:rPr>
            <w:webHidden/>
          </w:rPr>
          <w:tab/>
        </w:r>
        <w:r>
          <w:rPr>
            <w:webHidden/>
          </w:rPr>
          <w:fldChar w:fldCharType="begin"/>
        </w:r>
        <w:r>
          <w:rPr>
            <w:webHidden/>
          </w:rPr>
          <w:instrText xml:space="preserve"> PAGEREF _Toc226723372 \h </w:instrText>
        </w:r>
        <w:r>
          <w:rPr>
            <w:webHidden/>
          </w:rPr>
        </w:r>
        <w:r>
          <w:rPr>
            <w:webHidden/>
          </w:rPr>
          <w:fldChar w:fldCharType="separate"/>
        </w:r>
        <w:r>
          <w:rPr>
            <w:webHidden/>
          </w:rPr>
          <w:t>18</w:t>
        </w:r>
        <w:r>
          <w:rPr>
            <w:webHidden/>
          </w:rPr>
          <w:fldChar w:fldCharType="end"/>
        </w:r>
      </w:hyperlink>
    </w:p>
    <w:p w14:paraId="49AD0219" w14:textId="26823422" w:rsidR="003E0F60" w:rsidRDefault="003E0F60">
      <w:pPr>
        <w:pStyle w:val="TOC1"/>
        <w:rPr>
          <w:rFonts w:asciiTheme="minorHAnsi" w:eastAsiaTheme="minorEastAsia" w:hAnsiTheme="minorHAnsi" w:cstheme="minorBidi"/>
          <w:kern w:val="2"/>
          <w:szCs w:val="24"/>
          <w:lang w:eastAsia="en-GB" w:bidi="ar-SA"/>
          <w14:ligatures w14:val="standardContextual"/>
        </w:rPr>
      </w:pPr>
      <w:hyperlink w:anchor="_Toc226723373" w:history="1">
        <w:r w:rsidRPr="00756196">
          <w:rPr>
            <w:rStyle w:val="Hyperlink"/>
          </w:rPr>
          <w:t>Document control information</w:t>
        </w:r>
        <w:r>
          <w:rPr>
            <w:webHidden/>
          </w:rPr>
          <w:tab/>
        </w:r>
        <w:r>
          <w:rPr>
            <w:webHidden/>
          </w:rPr>
          <w:fldChar w:fldCharType="begin"/>
        </w:r>
        <w:r>
          <w:rPr>
            <w:webHidden/>
          </w:rPr>
          <w:instrText xml:space="preserve"> PAGEREF _Toc226723373 \h </w:instrText>
        </w:r>
        <w:r>
          <w:rPr>
            <w:webHidden/>
          </w:rPr>
        </w:r>
        <w:r>
          <w:rPr>
            <w:webHidden/>
          </w:rPr>
          <w:fldChar w:fldCharType="separate"/>
        </w:r>
        <w:r>
          <w:rPr>
            <w:webHidden/>
          </w:rPr>
          <w:t>18</w:t>
        </w:r>
        <w:r>
          <w:rPr>
            <w:webHidden/>
          </w:rPr>
          <w:fldChar w:fldCharType="end"/>
        </w:r>
      </w:hyperlink>
    </w:p>
    <w:p w14:paraId="0CC4B54A" w14:textId="0D364C42"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26723361"/>
      <w:bookmarkEnd w:id="0"/>
      <w:r w:rsidRPr="0093472E">
        <w:rPr>
          <w:sz w:val="44"/>
          <w:szCs w:val="44"/>
        </w:rPr>
        <w:lastRenderedPageBreak/>
        <w:t>Introduction</w:t>
      </w:r>
      <w:bookmarkEnd w:id="1"/>
    </w:p>
    <w:p w14:paraId="46ED61FF" w14:textId="3FAD8B8A" w:rsidR="000539CC" w:rsidRPr="00194C0C" w:rsidRDefault="000539CC" w:rsidP="00DE7FB2">
      <w:pPr>
        <w:pStyle w:val="F9-Paragraph"/>
      </w:pPr>
      <w:bookmarkStart w:id="2" w:name="_Hlk64448648"/>
      <w:r w:rsidRPr="00194C0C">
        <w:t xml:space="preserve">Technical Inspection Guides (TIG) support inspectors undertaking compliance inspections to make regulatory judgements in relation to the adequacy of compliance and in providing regulatory advice on specific Licence Conditions (LCs) to licensees. </w:t>
      </w:r>
      <w:r w:rsidR="00571391" w:rsidRPr="00571391">
        <w:t xml:space="preserve">LC22 </w:t>
      </w:r>
      <w:r w:rsidR="00571391">
        <w:t>sits within</w:t>
      </w:r>
      <w:r w:rsidR="00571391" w:rsidRPr="00571391">
        <w:t xml:space="preserve"> the suite of licence conditions (LC19–22 and LC35) </w:t>
      </w:r>
      <w:r w:rsidR="00695E74" w:rsidRPr="00695E74">
        <w:t>that together establish a rigorous and proportionate framework for the regulatory control of change, supporting the safe progression of plant through construction, modification, commissioning operational service</w:t>
      </w:r>
      <w:r w:rsidR="000F5396" w:rsidRPr="000F5396">
        <w:t xml:space="preserve"> </w:t>
      </w:r>
      <w:r w:rsidR="000F5396" w:rsidRPr="00695E74">
        <w:t>and into</w:t>
      </w:r>
      <w:r w:rsidR="000F5396">
        <w:t xml:space="preserve"> </w:t>
      </w:r>
      <w:r w:rsidR="00651698">
        <w:t>decommissioning</w:t>
      </w:r>
      <w:r w:rsidR="00695E74" w:rsidRPr="00695E74">
        <w:t>.</w:t>
      </w:r>
    </w:p>
    <w:p w14:paraId="67CCD8CD" w14:textId="77777777" w:rsidR="00386414" w:rsidRDefault="004C1424" w:rsidP="00DE7FB2">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on the site. </w:t>
      </w:r>
      <w:r w:rsidRPr="005C3367">
        <w:t xml:space="preserve">This </w:t>
      </w:r>
      <w:r>
        <w:t>Technical Inspection Guide (TIG)</w:t>
      </w:r>
      <w:r w:rsidRPr="005C3367">
        <w:t xml:space="preserve"> has been prepared as a guide to inspections performed by ONR inspectors during which they judge the adequacy of licence condition compliance arrangements and their implementation.</w:t>
      </w:r>
      <w:r w:rsidR="00386414">
        <w:t xml:space="preserve"> </w:t>
      </w:r>
    </w:p>
    <w:p w14:paraId="6293E146" w14:textId="59517236" w:rsidR="000539CC" w:rsidRDefault="000539CC" w:rsidP="00DE7FB2">
      <w:pPr>
        <w:pStyle w:val="F9-Paragraph"/>
      </w:pPr>
      <w:r w:rsidRPr="00C71586">
        <w:t>Inspectors should also refer to the ONR p</w:t>
      </w:r>
      <w:r>
        <w:t>olicy</w:t>
      </w:r>
      <w:r w:rsidRPr="00C71586">
        <w:t xml:space="preserve"> on Risk-Informed and Targeted Engagements (RITE)</w:t>
      </w:r>
      <w:sdt>
        <w:sdtPr>
          <w:id w:val="196125768"/>
          <w:citation/>
        </w:sdtPr>
        <w:sdtEndPr/>
        <w:sdtContent>
          <w:r>
            <w:fldChar w:fldCharType="begin"/>
          </w:r>
          <w:r>
            <w:instrText xml:space="preserve">CITATION ONR2 \l 2057 </w:instrText>
          </w:r>
          <w:r>
            <w:fldChar w:fldCharType="separate"/>
          </w:r>
          <w:r w:rsidR="00DD025D">
            <w:rPr>
              <w:noProof/>
            </w:rPr>
            <w:t xml:space="preserve"> </w:t>
          </w:r>
          <w:r w:rsidR="00DD025D" w:rsidRPr="00DD025D">
            <w:rPr>
              <w:noProof/>
            </w:rPr>
            <w:t>[1]</w:t>
          </w:r>
          <w:r>
            <w:fldChar w:fldCharType="end"/>
          </w:r>
        </w:sdtContent>
      </w:sdt>
      <w:r>
        <w:t xml:space="preserve">, </w:t>
      </w:r>
      <w:r w:rsidRPr="00C71586">
        <w:t>which guides risk-based prioriti</w:t>
      </w:r>
      <w:r>
        <w:t>s</w:t>
      </w:r>
      <w:r w:rsidRPr="00C71586">
        <w:t xml:space="preserve">ation in regulatory interventions and supports decisions on engaging with </w:t>
      </w:r>
      <w:r>
        <w:t>d</w:t>
      </w:r>
      <w:r w:rsidRPr="00C71586">
        <w:t>utyholders</w:t>
      </w:r>
      <w:r>
        <w:t>.</w:t>
      </w:r>
      <w:bookmarkEnd w:id="2"/>
    </w:p>
    <w:p w14:paraId="1476626A" w14:textId="77777777" w:rsidR="00DE7FB2" w:rsidRDefault="00DE7FB2" w:rsidP="00E02574">
      <w:pPr>
        <w:pStyle w:val="Heading1"/>
        <w:sectPr w:rsidR="00DE7FB2" w:rsidSect="00DD025D">
          <w:headerReference w:type="even" r:id="rId24"/>
          <w:headerReference w:type="default" r:id="rId25"/>
          <w:footerReference w:type="even" r:id="rId26"/>
          <w:pgSz w:w="11906" w:h="16838" w:code="9"/>
          <w:pgMar w:top="1276" w:right="1440" w:bottom="1440" w:left="1440" w:header="397" w:footer="397" w:gutter="0"/>
          <w:cols w:space="312"/>
          <w:docGrid w:linePitch="360"/>
        </w:sectPr>
      </w:pPr>
      <w:bookmarkStart w:id="3" w:name="_Toc225780251"/>
      <w:bookmarkStart w:id="4" w:name="_Toc225861021"/>
    </w:p>
    <w:p w14:paraId="479A51FE" w14:textId="3947371F" w:rsidR="004C2D69" w:rsidRPr="0093472E" w:rsidRDefault="004C2D69" w:rsidP="00E02574">
      <w:pPr>
        <w:pStyle w:val="Heading1"/>
      </w:pPr>
      <w:bookmarkStart w:id="5" w:name="_Toc226723362"/>
      <w:r w:rsidRPr="0093472E">
        <w:lastRenderedPageBreak/>
        <w:t>L</w:t>
      </w:r>
      <w:r w:rsidR="00E02574">
        <w:t xml:space="preserve">icence Condition </w:t>
      </w:r>
      <w:r w:rsidRPr="0093472E">
        <w:t>2</w:t>
      </w:r>
      <w:r w:rsidR="00127173" w:rsidRPr="0093472E">
        <w:t>2</w:t>
      </w:r>
      <w:r w:rsidRPr="0093472E">
        <w:t xml:space="preserve"> </w:t>
      </w:r>
      <w:r w:rsidR="00DE7FB2">
        <w:t>–</w:t>
      </w:r>
      <w:r w:rsidRPr="0093472E">
        <w:t xml:space="preserve"> </w:t>
      </w:r>
      <w:bookmarkEnd w:id="3"/>
      <w:bookmarkEnd w:id="4"/>
      <w:r w:rsidR="0093472E" w:rsidRPr="0093472E">
        <w:t>Modification</w:t>
      </w:r>
      <w:r w:rsidR="00DE7FB2">
        <w:t xml:space="preserve"> </w:t>
      </w:r>
      <w:r w:rsidR="0093472E" w:rsidRPr="0093472E">
        <w:t xml:space="preserve">or </w:t>
      </w:r>
      <w:r w:rsidR="00E02574">
        <w:t>e</w:t>
      </w:r>
      <w:r w:rsidR="0093472E" w:rsidRPr="0093472E">
        <w:t xml:space="preserve">xperiment on </w:t>
      </w:r>
      <w:r w:rsidR="00E02574">
        <w:t>e</w:t>
      </w:r>
      <w:r w:rsidR="0093472E" w:rsidRPr="0093472E">
        <w:t xml:space="preserve">xisting </w:t>
      </w:r>
      <w:r w:rsidR="00DE7FB2">
        <w:t>p</w:t>
      </w:r>
      <w:r w:rsidR="0093472E" w:rsidRPr="0093472E">
        <w:t>lant</w:t>
      </w:r>
      <w:bookmarkEnd w:id="5"/>
    </w:p>
    <w:p w14:paraId="064854B8" w14:textId="77777777" w:rsidR="004C2D69" w:rsidRDefault="004C2D69" w:rsidP="00DE7FB2">
      <w:pPr>
        <w:pStyle w:val="F9-Paragraph"/>
        <w:numPr>
          <w:ilvl w:val="0"/>
          <w:numId w:val="0"/>
        </w:numPr>
        <w:ind w:left="851"/>
      </w:pPr>
      <w:r w:rsidRPr="00B4258F">
        <w:t>The LC states:</w:t>
      </w:r>
    </w:p>
    <w:p w14:paraId="1FE6C959" w14:textId="60E1B6EA" w:rsidR="004C2D69" w:rsidRPr="00194C0C" w:rsidRDefault="004C2D69" w:rsidP="004C2D69">
      <w:pPr>
        <w:pStyle w:val="QuoteText"/>
        <w:rPr>
          <w:sz w:val="24"/>
          <w:szCs w:val="28"/>
        </w:rPr>
      </w:pPr>
      <w:r>
        <w:rPr>
          <w:sz w:val="24"/>
          <w:szCs w:val="28"/>
        </w:rPr>
        <w:t>“2</w:t>
      </w:r>
      <w:r w:rsidR="0077205A">
        <w:rPr>
          <w:sz w:val="24"/>
          <w:szCs w:val="28"/>
        </w:rPr>
        <w:t>2</w:t>
      </w:r>
      <w:r w:rsidRPr="00194C0C">
        <w:rPr>
          <w:sz w:val="24"/>
          <w:szCs w:val="28"/>
        </w:rPr>
        <w:t>(1)</w:t>
      </w:r>
      <w:r>
        <w:rPr>
          <w:sz w:val="24"/>
          <w:szCs w:val="28"/>
        </w:rPr>
        <w:t xml:space="preserve">   </w:t>
      </w:r>
      <w:r w:rsidR="0077205A" w:rsidRPr="0077205A">
        <w:rPr>
          <w:sz w:val="24"/>
          <w:szCs w:val="28"/>
        </w:rPr>
        <w:t>The licensee shall make and implement adequate arrangements to control any modification or experiment carried out on any part of the existing plant or processes which may affect safety</w:t>
      </w:r>
      <w:r w:rsidRPr="00194C0C">
        <w:rPr>
          <w:sz w:val="24"/>
          <w:szCs w:val="28"/>
        </w:rPr>
        <w:t xml:space="preserve">. </w:t>
      </w:r>
    </w:p>
    <w:p w14:paraId="73C71F24" w14:textId="547B6BF3" w:rsidR="004C2D69" w:rsidRPr="00194C0C" w:rsidRDefault="004C2D69" w:rsidP="004C2D69">
      <w:pPr>
        <w:pStyle w:val="QuoteText"/>
        <w:rPr>
          <w:sz w:val="24"/>
          <w:szCs w:val="28"/>
        </w:rPr>
      </w:pPr>
      <w:r>
        <w:rPr>
          <w:sz w:val="24"/>
          <w:szCs w:val="28"/>
        </w:rPr>
        <w:t>2</w:t>
      </w:r>
      <w:r w:rsidR="001C4D7F">
        <w:rPr>
          <w:sz w:val="24"/>
          <w:szCs w:val="28"/>
        </w:rPr>
        <w:t>2</w:t>
      </w:r>
      <w:r w:rsidRPr="00194C0C">
        <w:rPr>
          <w:sz w:val="24"/>
          <w:szCs w:val="28"/>
        </w:rPr>
        <w:t>(2)</w:t>
      </w:r>
      <w:r w:rsidRPr="00194C0C">
        <w:rPr>
          <w:sz w:val="24"/>
          <w:szCs w:val="28"/>
        </w:rPr>
        <w:tab/>
      </w:r>
      <w:r>
        <w:rPr>
          <w:sz w:val="24"/>
          <w:szCs w:val="28"/>
        </w:rPr>
        <w:t xml:space="preserve">   </w:t>
      </w:r>
      <w:r w:rsidRPr="00194C0C">
        <w:rPr>
          <w:sz w:val="24"/>
          <w:szCs w:val="28"/>
        </w:rPr>
        <w:t xml:space="preserve">The licensee shall submit to ONR for </w:t>
      </w:r>
      <w:r w:rsidRPr="00194C0C">
        <w:rPr>
          <w:sz w:val="24"/>
          <w:szCs w:val="28"/>
          <w:shd w:val="clear" w:color="auto" w:fill="DAE49B"/>
        </w:rPr>
        <w:t xml:space="preserve">approval </w:t>
      </w:r>
      <w:r w:rsidRPr="00194C0C">
        <w:rPr>
          <w:sz w:val="24"/>
          <w:szCs w:val="28"/>
        </w:rPr>
        <w:t xml:space="preserve">such part or parts of the aforesaid arrangements as ONR may </w:t>
      </w:r>
      <w:r w:rsidRPr="00194C0C">
        <w:rPr>
          <w:sz w:val="24"/>
          <w:szCs w:val="28"/>
          <w:shd w:val="clear" w:color="auto" w:fill="A3D8E7"/>
        </w:rPr>
        <w:t>specify</w:t>
      </w:r>
      <w:r w:rsidRPr="00194C0C">
        <w:rPr>
          <w:sz w:val="24"/>
          <w:szCs w:val="28"/>
        </w:rPr>
        <w:t xml:space="preserve">. </w:t>
      </w:r>
    </w:p>
    <w:p w14:paraId="390290AE" w14:textId="77777777" w:rsidR="004C2D69" w:rsidRPr="00194C0C" w:rsidRDefault="004C2D69" w:rsidP="004C2D69">
      <w:pPr>
        <w:pStyle w:val="QuoteText"/>
        <w:rPr>
          <w:sz w:val="24"/>
          <w:szCs w:val="28"/>
        </w:rPr>
      </w:pPr>
      <w:r>
        <w:rPr>
          <w:sz w:val="24"/>
          <w:szCs w:val="28"/>
        </w:rPr>
        <w:t>21</w:t>
      </w:r>
      <w:r w:rsidRPr="00194C0C">
        <w:rPr>
          <w:sz w:val="24"/>
          <w:szCs w:val="28"/>
        </w:rPr>
        <w:t>(3)</w:t>
      </w:r>
      <w:r>
        <w:rPr>
          <w:sz w:val="24"/>
          <w:szCs w:val="28"/>
        </w:rPr>
        <w:t xml:space="preserve">   </w:t>
      </w:r>
      <w:r w:rsidRPr="000D09D5">
        <w:rPr>
          <w:sz w:val="24"/>
          <w:szCs w:val="28"/>
        </w:rPr>
        <w:t>The licensee shall ensure that once</w:t>
      </w:r>
      <w:r>
        <w:rPr>
          <w:sz w:val="24"/>
          <w:szCs w:val="28"/>
        </w:rPr>
        <w:t xml:space="preserve"> </w:t>
      </w:r>
      <w:r w:rsidRPr="000D09D5">
        <w:rPr>
          <w:sz w:val="24"/>
          <w:szCs w:val="28"/>
        </w:rPr>
        <w:t xml:space="preserve">approved no alteration or amendment is made to the approved arrangements unless ONR has </w:t>
      </w:r>
      <w:r w:rsidRPr="000D09D5">
        <w:rPr>
          <w:sz w:val="24"/>
          <w:szCs w:val="28"/>
          <w:shd w:val="clear" w:color="auto" w:fill="DAE49B"/>
        </w:rPr>
        <w:t>approved</w:t>
      </w:r>
      <w:r w:rsidRPr="000D09D5">
        <w:rPr>
          <w:sz w:val="24"/>
          <w:szCs w:val="28"/>
        </w:rPr>
        <w:t xml:space="preserve"> such alteration or amendment</w:t>
      </w:r>
      <w:r w:rsidRPr="00194C0C">
        <w:rPr>
          <w:sz w:val="24"/>
          <w:szCs w:val="28"/>
        </w:rPr>
        <w:t>.</w:t>
      </w:r>
    </w:p>
    <w:p w14:paraId="32752C91" w14:textId="5A2E7A53" w:rsidR="004C2D69" w:rsidRDefault="004C2D69" w:rsidP="004C2D69">
      <w:pPr>
        <w:pStyle w:val="QuoteText"/>
        <w:rPr>
          <w:sz w:val="24"/>
          <w:szCs w:val="28"/>
        </w:rPr>
      </w:pPr>
      <w:r>
        <w:rPr>
          <w:sz w:val="24"/>
          <w:szCs w:val="28"/>
        </w:rPr>
        <w:t>21</w:t>
      </w:r>
      <w:r w:rsidRPr="00194C0C">
        <w:rPr>
          <w:sz w:val="24"/>
          <w:szCs w:val="28"/>
        </w:rPr>
        <w:t>(4)</w:t>
      </w:r>
      <w:r w:rsidRPr="00194C0C">
        <w:rPr>
          <w:sz w:val="24"/>
          <w:szCs w:val="28"/>
        </w:rPr>
        <w:tab/>
      </w:r>
      <w:r>
        <w:rPr>
          <w:sz w:val="24"/>
          <w:szCs w:val="28"/>
        </w:rPr>
        <w:t xml:space="preserve">   </w:t>
      </w:r>
      <w:r w:rsidR="00490A3D" w:rsidRPr="00490A3D">
        <w:rPr>
          <w:sz w:val="24"/>
          <w:szCs w:val="28"/>
        </w:rPr>
        <w:t xml:space="preserve">The aforesaid arrangements shall provide for the classification of modifications or experiments according to their safety significance. The arrangements shall where appropriate divide the modification or experiment into stages. Where ONR so </w:t>
      </w:r>
      <w:r w:rsidR="00490A3D" w:rsidRPr="00194C0C">
        <w:rPr>
          <w:sz w:val="24"/>
          <w:szCs w:val="28"/>
          <w:shd w:val="clear" w:color="auto" w:fill="A3D8E7"/>
        </w:rPr>
        <w:t>specif</w:t>
      </w:r>
      <w:r w:rsidR="00490A3D">
        <w:rPr>
          <w:sz w:val="24"/>
          <w:szCs w:val="28"/>
          <w:shd w:val="clear" w:color="auto" w:fill="A3D8E7"/>
        </w:rPr>
        <w:t xml:space="preserve">ies </w:t>
      </w:r>
      <w:r w:rsidR="00490A3D" w:rsidRPr="00490A3D">
        <w:rPr>
          <w:sz w:val="24"/>
          <w:szCs w:val="28"/>
        </w:rPr>
        <w:t xml:space="preserve">the licensee shall not commence nor thereafter proceed from one stage to the next of the modification or experiment without the </w:t>
      </w:r>
      <w:r w:rsidR="00490A3D" w:rsidRPr="004C6DC6">
        <w:rPr>
          <w:rFonts w:ascii="Arial" w:eastAsia="Calibri" w:hAnsi="Arial" w:cs="Arial"/>
          <w:color w:val="auto"/>
          <w:sz w:val="24"/>
          <w:szCs w:val="22"/>
          <w:shd w:val="clear" w:color="auto" w:fill="FCC978"/>
          <w:lang w:bidi="he-IL"/>
        </w:rPr>
        <w:t>consent</w:t>
      </w:r>
      <w:r w:rsidR="00490A3D" w:rsidRPr="002664BA">
        <w:rPr>
          <w:sz w:val="24"/>
          <w:szCs w:val="28"/>
        </w:rPr>
        <w:t xml:space="preserve"> </w:t>
      </w:r>
      <w:r w:rsidR="00490A3D" w:rsidRPr="00490A3D">
        <w:rPr>
          <w:sz w:val="24"/>
          <w:szCs w:val="28"/>
        </w:rPr>
        <w:t>of ONR. The arrangements shall include a requirement for the provision of adequate documentation to justify the safety of the proposed modification or experiment and shall where appropriate provide for the submission of the documentation to ONR</w:t>
      </w:r>
      <w:r w:rsidR="00490A3D">
        <w:t>.</w:t>
      </w:r>
      <w:r w:rsidRPr="002664BA">
        <w:rPr>
          <w:sz w:val="24"/>
          <w:szCs w:val="28"/>
        </w:rPr>
        <w:t xml:space="preserve"> </w:t>
      </w:r>
    </w:p>
    <w:p w14:paraId="543B89D8" w14:textId="2B85D094" w:rsidR="004C2D69" w:rsidRDefault="004C2D69" w:rsidP="004C2D69">
      <w:pPr>
        <w:pStyle w:val="QuoteText"/>
        <w:rPr>
          <w:sz w:val="24"/>
          <w:szCs w:val="28"/>
        </w:rPr>
      </w:pPr>
      <w:r>
        <w:rPr>
          <w:sz w:val="24"/>
          <w:szCs w:val="28"/>
        </w:rPr>
        <w:t xml:space="preserve">21(5)  </w:t>
      </w:r>
      <w:r w:rsidR="000C6A6D" w:rsidRPr="000C6A6D">
        <w:rPr>
          <w:sz w:val="24"/>
          <w:szCs w:val="28"/>
        </w:rPr>
        <w:t xml:space="preserve">The licensee shall, if so </w:t>
      </w:r>
      <w:r w:rsidR="00DD22D7" w:rsidRPr="00194C0C">
        <w:rPr>
          <w:sz w:val="24"/>
          <w:szCs w:val="28"/>
          <w:shd w:val="clear" w:color="auto" w:fill="DBBFDD"/>
        </w:rPr>
        <w:t>directed</w:t>
      </w:r>
      <w:r w:rsidR="00DD22D7" w:rsidRPr="00194C0C">
        <w:rPr>
          <w:sz w:val="24"/>
          <w:szCs w:val="28"/>
        </w:rPr>
        <w:t xml:space="preserve"> </w:t>
      </w:r>
      <w:r w:rsidR="000C6A6D" w:rsidRPr="000C6A6D">
        <w:rPr>
          <w:sz w:val="24"/>
          <w:szCs w:val="28"/>
        </w:rPr>
        <w:t xml:space="preserve">by ONR, halt the modification or experiment and the licensee shall not recommence such modification or experiment without the </w:t>
      </w:r>
      <w:r w:rsidR="0058522D" w:rsidRPr="004C6DC6">
        <w:rPr>
          <w:rFonts w:ascii="Arial" w:eastAsia="Calibri" w:hAnsi="Arial" w:cs="Arial"/>
          <w:color w:val="auto"/>
          <w:sz w:val="24"/>
          <w:szCs w:val="22"/>
          <w:shd w:val="clear" w:color="auto" w:fill="FCC978"/>
          <w:lang w:bidi="he-IL"/>
        </w:rPr>
        <w:t>consent</w:t>
      </w:r>
      <w:r w:rsidR="0058522D" w:rsidRPr="002664BA">
        <w:rPr>
          <w:sz w:val="24"/>
          <w:szCs w:val="28"/>
        </w:rPr>
        <w:t xml:space="preserve"> </w:t>
      </w:r>
      <w:r w:rsidR="000C6A6D" w:rsidRPr="000C6A6D">
        <w:rPr>
          <w:sz w:val="24"/>
          <w:szCs w:val="28"/>
        </w:rPr>
        <w:t>of the ONR</w:t>
      </w:r>
      <w:r w:rsidR="00240756">
        <w:rPr>
          <w:sz w:val="24"/>
          <w:szCs w:val="28"/>
        </w:rPr>
        <w:t>”</w:t>
      </w:r>
      <w:r w:rsidR="00FC3791" w:rsidRPr="000C6A6D">
        <w:rPr>
          <w:sz w:val="24"/>
          <w:szCs w:val="28"/>
        </w:rPr>
        <w:t xml:space="preserve"> </w:t>
      </w:r>
      <w:sdt>
        <w:sdtPr>
          <w:rPr>
            <w:sz w:val="24"/>
            <w:szCs w:val="28"/>
          </w:rPr>
          <w:id w:val="-587155606"/>
          <w:citation/>
        </w:sdtPr>
        <w:sdtEndPr/>
        <w:sdtContent>
          <w:r w:rsidR="00FC3791" w:rsidRPr="000C6A6D">
            <w:rPr>
              <w:sz w:val="24"/>
              <w:szCs w:val="28"/>
            </w:rPr>
            <w:fldChar w:fldCharType="begin"/>
          </w:r>
          <w:r w:rsidR="00FC3791" w:rsidRPr="000C6A6D">
            <w:rPr>
              <w:sz w:val="24"/>
              <w:szCs w:val="28"/>
            </w:rPr>
            <w:instrText xml:space="preserve"> CITATION ONR46 \l 2057 </w:instrText>
          </w:r>
          <w:r w:rsidR="00FC3791" w:rsidRPr="000C6A6D">
            <w:rPr>
              <w:sz w:val="24"/>
              <w:szCs w:val="28"/>
            </w:rPr>
            <w:fldChar w:fldCharType="separate"/>
          </w:r>
          <w:r w:rsidR="00DD025D" w:rsidRPr="00DD025D">
            <w:rPr>
              <w:noProof/>
              <w:sz w:val="24"/>
              <w:szCs w:val="28"/>
            </w:rPr>
            <w:t>[2]</w:t>
          </w:r>
          <w:r w:rsidR="00FC3791" w:rsidRPr="000C6A6D">
            <w:rPr>
              <w:sz w:val="24"/>
              <w:szCs w:val="28"/>
            </w:rPr>
            <w:fldChar w:fldCharType="end"/>
          </w:r>
        </w:sdtContent>
      </w:sdt>
      <w:r w:rsidRPr="00D133AF">
        <w:rPr>
          <w:sz w:val="24"/>
          <w:szCs w:val="28"/>
        </w:rPr>
        <w:t>.</w:t>
      </w:r>
    </w:p>
    <w:p w14:paraId="574B8B72" w14:textId="77777777" w:rsidR="00DE7FB2" w:rsidRDefault="00DE7FB2" w:rsidP="00581BAD">
      <w:pPr>
        <w:pStyle w:val="Heading1"/>
        <w:rPr>
          <w:sz w:val="44"/>
          <w:szCs w:val="44"/>
        </w:rPr>
        <w:sectPr w:rsidR="00DE7FB2" w:rsidSect="00DD025D">
          <w:pgSz w:w="11906" w:h="16838" w:code="9"/>
          <w:pgMar w:top="1276" w:right="1440" w:bottom="1440" w:left="1440" w:header="397" w:footer="397" w:gutter="0"/>
          <w:cols w:space="312"/>
          <w:docGrid w:linePitch="360"/>
        </w:sectPr>
      </w:pPr>
      <w:bookmarkStart w:id="6" w:name="_Toc93589293"/>
    </w:p>
    <w:p w14:paraId="546293A4" w14:textId="20655C2D" w:rsidR="008D49A5" w:rsidRPr="00581BAD" w:rsidRDefault="00507FAA" w:rsidP="00581BAD">
      <w:pPr>
        <w:pStyle w:val="Heading1"/>
        <w:rPr>
          <w:sz w:val="44"/>
          <w:szCs w:val="44"/>
        </w:rPr>
      </w:pPr>
      <w:bookmarkStart w:id="7" w:name="_Toc226723363"/>
      <w:r w:rsidRPr="00507FAA">
        <w:rPr>
          <w:sz w:val="44"/>
          <w:szCs w:val="44"/>
        </w:rPr>
        <w:lastRenderedPageBreak/>
        <w:t xml:space="preserve">Purpose of </w:t>
      </w:r>
      <w:bookmarkEnd w:id="6"/>
      <w:r w:rsidR="00DE7FB2">
        <w:rPr>
          <w:sz w:val="44"/>
          <w:szCs w:val="44"/>
        </w:rPr>
        <w:t>Licence Condition 22</w:t>
      </w:r>
      <w:bookmarkEnd w:id="7"/>
    </w:p>
    <w:p w14:paraId="0A0B913E" w14:textId="3BDD54D2" w:rsidR="006125D0" w:rsidRPr="006125D0" w:rsidRDefault="006125D0" w:rsidP="006125D0">
      <w:pPr>
        <w:pStyle w:val="F9-Paragraph"/>
      </w:pPr>
      <w:r w:rsidRPr="006125D0">
        <w:t>The purpose of this licence condition is to ensure that suitable arrangements are in place for the classification and control of all modifications and experiments, as defined in LC1(1), that may directly or indirectly affect the safety of existing plant or processes. These arrangements should address the full lifecycle of a modification or experiment, from initial proposal through to implementation and commissioning, including the timely update of relevant plant drawings, safety documentation, operating rules, operating instructions, and maintenance schedules (LCs</w:t>
      </w:r>
      <w:r w:rsidR="00124667">
        <w:t xml:space="preserve"> </w:t>
      </w:r>
      <w:r w:rsidRPr="006125D0">
        <w:t>6, 14, 15, 16, 23, 24 and 28). Where necessary, the arrangements should also ensure that personnel are appropriately trained and demonstrably SQEP and/or DAP (LCs</w:t>
      </w:r>
      <w:r w:rsidR="00124667">
        <w:t xml:space="preserve"> </w:t>
      </w:r>
      <w:r w:rsidRPr="006125D0">
        <w:t>10, 12 and 26) and that impacts on decommissioning arrangements are identified and addressed (LC35</w:t>
      </w:r>
      <w:r w:rsidR="007F1310">
        <w:t>).</w:t>
      </w:r>
    </w:p>
    <w:p w14:paraId="4BB1E242" w14:textId="19926C5C" w:rsidR="000117FA" w:rsidRDefault="000117FA" w:rsidP="000117FA">
      <w:pPr>
        <w:pStyle w:val="F9-Paragraph"/>
      </w:pPr>
      <w:r>
        <w:t>The terms ‘modification’ and ‘experiment’ are defined in LC1(1) as follows:</w:t>
      </w:r>
    </w:p>
    <w:p w14:paraId="75B21959" w14:textId="03E60E5F" w:rsidR="000117FA" w:rsidRPr="00DE7FB2" w:rsidRDefault="00092469" w:rsidP="00DE7FB2">
      <w:pPr>
        <w:pStyle w:val="Bulletlist1"/>
      </w:pPr>
      <w:r w:rsidRPr="00DE7FB2">
        <w:t>Modification - means any alteration to buildings, plants, operations, processes or safety cases and includes any replacement, refurbishment or repairs to existing buildings, plants or processes and alterations to the design of plants during the period of construction.</w:t>
      </w:r>
    </w:p>
    <w:p w14:paraId="4FD3B0E8" w14:textId="37B0ED75" w:rsidR="00092469" w:rsidRPr="00DE7FB2" w:rsidRDefault="00346B41" w:rsidP="00DE7FB2">
      <w:pPr>
        <w:pStyle w:val="Bulletlist1"/>
      </w:pPr>
      <w:r w:rsidRPr="00DE7FB2">
        <w:t>Experiment – means any test or non-routine activity other than an activity carried out pursuant to LC21 and 28.</w:t>
      </w:r>
    </w:p>
    <w:p w14:paraId="5FA935A2" w14:textId="3DC66142" w:rsidR="00B27B23" w:rsidRPr="00B27B23" w:rsidRDefault="00B27B23" w:rsidP="00B27B23">
      <w:pPr>
        <w:pStyle w:val="F9-Paragraph"/>
      </w:pPr>
      <w:r w:rsidRPr="00B27B23">
        <w:t xml:space="preserve">LC1(1) defines operations to include maintenance, examination, testing and operation of plant, as well as the handling and management of radioactive material and waste. As the definition of a modification includes alterations to operations, </w:t>
      </w:r>
      <w:r w:rsidR="002E6109">
        <w:t>‘</w:t>
      </w:r>
      <w:r w:rsidRPr="00B27B23">
        <w:t>modifications</w:t>
      </w:r>
      <w:r w:rsidR="002E6109">
        <w:t>’</w:t>
      </w:r>
      <w:r w:rsidRPr="00B27B23">
        <w:t xml:space="preserve"> therefore also encompass changes to these activities.</w:t>
      </w:r>
    </w:p>
    <w:p w14:paraId="04CA35A4" w14:textId="77777777" w:rsidR="00AC395C" w:rsidRDefault="00A85A4E" w:rsidP="00A85A4E">
      <w:pPr>
        <w:pStyle w:val="F9-Paragraph"/>
      </w:pPr>
      <w:r w:rsidRPr="00A85A4E">
        <w:t>Based on these definitions, modifications and experiments may be wide</w:t>
      </w:r>
      <w:r w:rsidRPr="00A85A4E">
        <w:noBreakHyphen/>
        <w:t>ranging and include</w:t>
      </w:r>
    </w:p>
    <w:p w14:paraId="045C49AC" w14:textId="77777777" w:rsidR="00AC395C" w:rsidRDefault="00AC395C" w:rsidP="00DE7FB2">
      <w:pPr>
        <w:pStyle w:val="Bulletlist1"/>
      </w:pPr>
      <w:r>
        <w:t>C</w:t>
      </w:r>
      <w:r w:rsidR="00A85A4E" w:rsidRPr="00A85A4E">
        <w:t xml:space="preserve">hanges to installed and commissioned plant or processes (including procedural changes); </w:t>
      </w:r>
    </w:p>
    <w:p w14:paraId="34FA43D7" w14:textId="1E355B2D" w:rsidR="00AC395C" w:rsidRDefault="00AC395C" w:rsidP="00DE7FB2">
      <w:pPr>
        <w:pStyle w:val="Bulletlist1"/>
      </w:pPr>
      <w:r>
        <w:t>E</w:t>
      </w:r>
      <w:r w:rsidR="00A85A4E" w:rsidRPr="00A85A4E">
        <w:t>xperiments, non</w:t>
      </w:r>
      <w:r w:rsidR="00A85A4E" w:rsidRPr="00A85A4E">
        <w:noBreakHyphen/>
        <w:t>routine tests, operator workarounds or planned defeat of interlocks;</w:t>
      </w:r>
    </w:p>
    <w:p w14:paraId="6E2B539C" w14:textId="48A62063" w:rsidR="00AC395C" w:rsidRDefault="00AC395C" w:rsidP="00DE7FB2">
      <w:pPr>
        <w:pStyle w:val="Bulletlist1"/>
      </w:pPr>
      <w:r>
        <w:t>T</w:t>
      </w:r>
      <w:r w:rsidR="00A85A4E" w:rsidRPr="00A85A4E">
        <w:t xml:space="preserve">emporary modifications required to support such activities; modifications to buildings, facilities or other parts of the licensed site; </w:t>
      </w:r>
    </w:p>
    <w:p w14:paraId="44678360" w14:textId="7B4C130C" w:rsidR="00AC395C" w:rsidRDefault="00AC395C" w:rsidP="00DE7FB2">
      <w:pPr>
        <w:pStyle w:val="Bulletlist1"/>
      </w:pPr>
      <w:r>
        <w:t>U</w:t>
      </w:r>
      <w:r w:rsidR="00A85A4E" w:rsidRPr="00A85A4E">
        <w:t xml:space="preserve">pdates to site infrastructure and services; </w:t>
      </w:r>
    </w:p>
    <w:p w14:paraId="2AAE6BF2" w14:textId="1B24B51F" w:rsidR="00AC395C" w:rsidRDefault="00AC395C" w:rsidP="00DE7FB2">
      <w:pPr>
        <w:pStyle w:val="Bulletlist1"/>
      </w:pPr>
      <w:r>
        <w:t>C</w:t>
      </w:r>
      <w:r w:rsidR="00A85A4E" w:rsidRPr="00A85A4E">
        <w:t>hanges to safety cases and criticality clearance certificates;</w:t>
      </w:r>
    </w:p>
    <w:p w14:paraId="1609E5B1" w14:textId="639965C6" w:rsidR="00A85A4E" w:rsidRPr="00A85A4E" w:rsidRDefault="00AC395C" w:rsidP="00DE7FB2">
      <w:pPr>
        <w:pStyle w:val="Bulletlist1"/>
      </w:pPr>
      <w:r>
        <w:t>C</w:t>
      </w:r>
      <w:r w:rsidR="00A85A4E" w:rsidRPr="00A85A4E">
        <w:t>hanges to safety</w:t>
      </w:r>
      <w:r w:rsidR="00A85A4E" w:rsidRPr="00A85A4E">
        <w:noBreakHyphen/>
        <w:t>related computer</w:t>
      </w:r>
      <w:r w:rsidR="00A85A4E" w:rsidRPr="00A85A4E">
        <w:noBreakHyphen/>
        <w:t>based systems and software.</w:t>
      </w:r>
    </w:p>
    <w:p w14:paraId="14BD83CE" w14:textId="6CE6825C" w:rsidR="00A85A4E" w:rsidRPr="00A85A4E" w:rsidRDefault="00A85A4E" w:rsidP="00A85A4E">
      <w:pPr>
        <w:pStyle w:val="F9-Paragraph"/>
      </w:pPr>
      <w:r w:rsidRPr="00A85A4E">
        <w:lastRenderedPageBreak/>
        <w:t>The construction and installation of modifications shall be controlled under arrangements made in accordance with LC19, while any modification to the design of new plant under construction shall be progressed under LC20 arrangements. In this context, a modification means any change to an approved design. Specific requirements relating to decommissioning, including strategies and programmes, shall be addressed under LC35.</w:t>
      </w:r>
    </w:p>
    <w:p w14:paraId="45763AC5" w14:textId="77777777" w:rsidR="00A85A4E" w:rsidRPr="00A85A4E" w:rsidRDefault="00A85A4E" w:rsidP="00A85A4E">
      <w:pPr>
        <w:pStyle w:val="F9-Paragraph"/>
      </w:pPr>
      <w:r w:rsidRPr="00A85A4E">
        <w:t>For the remainder of this guide, the term ‘modification’ refers to ‘modification or experiment’.</w:t>
      </w:r>
    </w:p>
    <w:p w14:paraId="0B7D09E6" w14:textId="77777777" w:rsidR="00DE7FB2" w:rsidRDefault="00DE7FB2" w:rsidP="00D875B7">
      <w:pPr>
        <w:pStyle w:val="Heading1"/>
        <w:sectPr w:rsidR="00DE7FB2" w:rsidSect="00DD025D">
          <w:pgSz w:w="11906" w:h="16838" w:code="9"/>
          <w:pgMar w:top="1276" w:right="1440" w:bottom="1440" w:left="1440" w:header="397" w:footer="397" w:gutter="0"/>
          <w:cols w:space="312"/>
          <w:docGrid w:linePitch="360"/>
        </w:sectPr>
      </w:pPr>
      <w:bookmarkStart w:id="8" w:name="_Toc93589294"/>
    </w:p>
    <w:p w14:paraId="0CE6E9D3" w14:textId="13C5F99E" w:rsidR="00D875B7" w:rsidRDefault="00D875B7" w:rsidP="00D875B7">
      <w:pPr>
        <w:pStyle w:val="Heading1"/>
      </w:pPr>
      <w:bookmarkStart w:id="9" w:name="_Toc226723364"/>
      <w:r>
        <w:lastRenderedPageBreak/>
        <w:t xml:space="preserve">Guidance on </w:t>
      </w:r>
      <w:r w:rsidR="00DE7FB2">
        <w:t>a</w:t>
      </w:r>
      <w:r>
        <w:t xml:space="preserve">rrangements for </w:t>
      </w:r>
      <w:bookmarkEnd w:id="8"/>
      <w:r w:rsidR="00DE7FB2">
        <w:t>Licence Condition 22</w:t>
      </w:r>
      <w:bookmarkEnd w:id="9"/>
    </w:p>
    <w:p w14:paraId="502724E1" w14:textId="4ED64B20" w:rsidR="00816843" w:rsidRPr="00F04794" w:rsidRDefault="00816843" w:rsidP="00124667">
      <w:pPr>
        <w:pStyle w:val="F9-Paragraph"/>
        <w:rPr>
          <w:rFonts w:asciiTheme="minorHAnsi" w:hAnsiTheme="minorHAnsi" w:cstheme="minorHAnsi"/>
          <w:szCs w:val="24"/>
          <w:lang w:bidi="ar-SA"/>
        </w:rPr>
      </w:pPr>
      <w:r w:rsidRPr="00F04794">
        <w:rPr>
          <w:rFonts w:asciiTheme="minorHAnsi" w:hAnsiTheme="minorHAnsi" w:cstheme="minorHAnsi"/>
          <w:szCs w:val="24"/>
          <w:lang w:bidi="ar-SA"/>
        </w:rPr>
        <w:t xml:space="preserve">This section sets out ONR expectations for inspectors when assessing the adequacy of a licensee’s arrangements. The arrangements must meet the statutory requirements of the licence condition, achieve their intended purpose, and reflect relevant industry good practice to ensure risks from modifications are reduced ALARP. </w:t>
      </w:r>
    </w:p>
    <w:p w14:paraId="08BE9CE4" w14:textId="05EB8744" w:rsidR="00816843" w:rsidRPr="00816843" w:rsidRDefault="00124667" w:rsidP="00816843">
      <w:pPr>
        <w:pStyle w:val="F9-Paragraph"/>
        <w:rPr>
          <w:rFonts w:asciiTheme="minorHAnsi" w:eastAsia="Times New Roman" w:hAnsiTheme="minorHAnsi" w:cstheme="minorHAnsi"/>
          <w:szCs w:val="24"/>
          <w:lang w:eastAsia="en-GB" w:bidi="ar-SA"/>
        </w:rPr>
      </w:pPr>
      <w:r>
        <w:rPr>
          <w:rFonts w:asciiTheme="minorHAnsi" w:eastAsia="Times New Roman" w:hAnsiTheme="minorHAnsi" w:cstheme="minorHAnsi"/>
          <w:szCs w:val="24"/>
          <w:lang w:eastAsia="en-GB" w:bidi="ar-SA"/>
        </w:rPr>
        <w:t>A</w:t>
      </w:r>
      <w:r w:rsidR="00816843" w:rsidRPr="00816843">
        <w:rPr>
          <w:rFonts w:asciiTheme="minorHAnsi" w:eastAsia="Times New Roman" w:hAnsiTheme="minorHAnsi" w:cstheme="minorHAnsi"/>
          <w:szCs w:val="24"/>
          <w:lang w:eastAsia="en-GB" w:bidi="ar-SA"/>
        </w:rPr>
        <w:t>rrangements should be documented within the licensee’s safety management system, clearly defined within site compliance arrangements, and be readily accessible, current, authorised by an appropriate senior manager, and subject to periodic review and control in accordance with LC17.</w:t>
      </w:r>
    </w:p>
    <w:p w14:paraId="04AB3E8C" w14:textId="4361878A" w:rsidR="00464FD3" w:rsidRPr="00EA69A0" w:rsidRDefault="00816843" w:rsidP="00EA69A0">
      <w:pPr>
        <w:pStyle w:val="F9-Paragraph"/>
        <w:rPr>
          <w:rFonts w:asciiTheme="minorHAnsi" w:eastAsia="Times New Roman" w:hAnsiTheme="minorHAnsi" w:cstheme="minorHAnsi"/>
          <w:szCs w:val="24"/>
          <w:lang w:eastAsia="en-GB" w:bidi="ar-SA"/>
        </w:rPr>
      </w:pPr>
      <w:r w:rsidRPr="00816843">
        <w:rPr>
          <w:rFonts w:asciiTheme="minorHAnsi" w:eastAsia="Times New Roman" w:hAnsiTheme="minorHAnsi" w:cstheme="minorHAnsi"/>
          <w:szCs w:val="24"/>
          <w:lang w:eastAsia="en-GB" w:bidi="ar-SA"/>
        </w:rPr>
        <w:t>The arrangements should use clear and consistent terminology, with ‘modification’ and ‘experiment’ defined in line with LC1, including temporary modifications. Inspectors should confirm that the scope of the arrangements clearly defines what constitutes a proposed modification within the LC22 modification process.</w:t>
      </w:r>
    </w:p>
    <w:p w14:paraId="74464ACB" w14:textId="75A2C693" w:rsidR="00464FD3" w:rsidRDefault="00464FD3" w:rsidP="00464FD3">
      <w:pPr>
        <w:pStyle w:val="F9-Paragraph"/>
      </w:pPr>
      <w:r w:rsidRPr="00464FD3">
        <w:t>The arrangements shall meet the specific requirements of LC22, including control, classification, ONR approval and consent, staged implementation, and the ability to halt and recommence modifications as directed by ONR.</w:t>
      </w:r>
    </w:p>
    <w:p w14:paraId="26995951" w14:textId="77777777" w:rsidR="00485DD8" w:rsidRPr="003D7277" w:rsidRDefault="00485DD8" w:rsidP="00485DD8">
      <w:pPr>
        <w:pStyle w:val="F9-Paragraph"/>
        <w:rPr>
          <w:rFonts w:asciiTheme="minorHAnsi" w:hAnsiTheme="minorHAnsi" w:cstheme="minorHAnsi"/>
          <w:szCs w:val="24"/>
          <w:lang w:eastAsia="en-GB" w:bidi="ar-SA"/>
        </w:rPr>
      </w:pPr>
      <w:r w:rsidRPr="00B814B0">
        <w:rPr>
          <w:rStyle w:val="Strong"/>
          <w:rFonts w:asciiTheme="minorHAnsi" w:hAnsiTheme="minorHAnsi" w:cstheme="minorHAnsi"/>
          <w:b w:val="0"/>
          <w:bCs w:val="0"/>
          <w:szCs w:val="24"/>
        </w:rPr>
        <w:t>The</w:t>
      </w:r>
      <w:r w:rsidRPr="003D7277">
        <w:rPr>
          <w:rStyle w:val="Strong"/>
          <w:rFonts w:asciiTheme="minorHAnsi" w:hAnsiTheme="minorHAnsi" w:cstheme="minorHAnsi"/>
          <w:szCs w:val="24"/>
        </w:rPr>
        <w:t xml:space="preserve"> </w:t>
      </w:r>
      <w:r w:rsidRPr="00B814B0">
        <w:rPr>
          <w:rStyle w:val="Strong"/>
          <w:rFonts w:asciiTheme="minorHAnsi" w:hAnsiTheme="minorHAnsi" w:cstheme="minorHAnsi"/>
          <w:b w:val="0"/>
          <w:bCs w:val="0"/>
          <w:szCs w:val="24"/>
        </w:rPr>
        <w:t>arrangements should clearly define roles and responsibilities for responding to ONR specifications, directions, approvals and consents, and for reporting any non</w:t>
      </w:r>
      <w:r w:rsidRPr="00B814B0">
        <w:rPr>
          <w:rStyle w:val="Strong"/>
          <w:rFonts w:asciiTheme="minorHAnsi" w:hAnsiTheme="minorHAnsi" w:cstheme="minorHAnsi"/>
          <w:b w:val="0"/>
          <w:bCs w:val="0"/>
          <w:szCs w:val="24"/>
        </w:rPr>
        <w:noBreakHyphen/>
        <w:t>compliance to ONR. They should include a proportionate classification system for modifications based on safety significance, taking account of potential and credible consequences, implementation risks, additional hazards arising from the change, and the novelty of the proposal. The classification system should include review and scrutiny commensurate with safety significance, including independent assessment and referral to relevant safety committees for higher</w:t>
      </w:r>
      <w:r w:rsidRPr="00B814B0">
        <w:rPr>
          <w:rStyle w:val="Strong"/>
          <w:rFonts w:asciiTheme="minorHAnsi" w:hAnsiTheme="minorHAnsi" w:cstheme="minorHAnsi"/>
          <w:b w:val="0"/>
          <w:bCs w:val="0"/>
          <w:szCs w:val="24"/>
        </w:rPr>
        <w:noBreakHyphen/>
        <w:t>significance modifications (see Appendix 1).</w:t>
      </w:r>
    </w:p>
    <w:p w14:paraId="640443CD" w14:textId="3B34CAF4" w:rsidR="00485DD8" w:rsidRPr="003D7277" w:rsidRDefault="00485DD8" w:rsidP="00485DD8">
      <w:pPr>
        <w:pStyle w:val="F9-Paragraph"/>
        <w:rPr>
          <w:rFonts w:asciiTheme="minorHAnsi" w:hAnsiTheme="minorHAnsi" w:cstheme="minorHAnsi"/>
          <w:szCs w:val="24"/>
        </w:rPr>
      </w:pPr>
      <w:r w:rsidRPr="00B814B0">
        <w:rPr>
          <w:rStyle w:val="Strong"/>
          <w:rFonts w:asciiTheme="minorHAnsi" w:hAnsiTheme="minorHAnsi" w:cstheme="minorHAnsi"/>
          <w:b w:val="0"/>
          <w:bCs w:val="0"/>
          <w:szCs w:val="24"/>
        </w:rPr>
        <w:t>The</w:t>
      </w:r>
      <w:r w:rsidRPr="003D7277">
        <w:rPr>
          <w:rStyle w:val="Strong"/>
          <w:rFonts w:asciiTheme="minorHAnsi" w:hAnsiTheme="minorHAnsi" w:cstheme="minorHAnsi"/>
          <w:szCs w:val="24"/>
        </w:rPr>
        <w:t xml:space="preserve"> </w:t>
      </w:r>
      <w:r w:rsidRPr="00B814B0">
        <w:rPr>
          <w:rStyle w:val="Strong"/>
          <w:rFonts w:asciiTheme="minorHAnsi" w:hAnsiTheme="minorHAnsi" w:cstheme="minorHAnsi"/>
          <w:b w:val="0"/>
          <w:bCs w:val="0"/>
          <w:szCs w:val="24"/>
        </w:rPr>
        <w:t>classification approach should be consistent with that applied under LCs 19, 20, 21 and 35. The arrangements should also define clear procedures and responsibilities for the design, review, control and implementation of all permanent and temporary modifications</w:t>
      </w:r>
      <w:r w:rsidR="00B814B0">
        <w:rPr>
          <w:rStyle w:val="Strong"/>
          <w:rFonts w:asciiTheme="minorHAnsi" w:hAnsiTheme="minorHAnsi" w:cstheme="minorHAnsi"/>
          <w:b w:val="0"/>
          <w:bCs w:val="0"/>
          <w:szCs w:val="24"/>
        </w:rPr>
        <w:t>.</w:t>
      </w:r>
    </w:p>
    <w:p w14:paraId="12AA0557" w14:textId="7AE818EF" w:rsidR="00485DD8" w:rsidRPr="003D7277" w:rsidRDefault="00485DD8" w:rsidP="00485DD8">
      <w:pPr>
        <w:pStyle w:val="F9-Paragraph"/>
        <w:rPr>
          <w:rFonts w:asciiTheme="minorHAnsi" w:hAnsiTheme="minorHAnsi" w:cstheme="minorHAnsi"/>
          <w:szCs w:val="24"/>
        </w:rPr>
      </w:pPr>
      <w:r w:rsidRPr="00B814B0">
        <w:rPr>
          <w:rStyle w:val="Strong"/>
          <w:rFonts w:asciiTheme="minorHAnsi" w:hAnsiTheme="minorHAnsi" w:cstheme="minorHAnsi"/>
          <w:b w:val="0"/>
          <w:bCs w:val="0"/>
          <w:szCs w:val="24"/>
        </w:rPr>
        <w:t>No modification should be implemented until it is supported by an adequate safety assessment, agreed by the appropriate licensee authority and, where required, independently reviewed, considered by the nuclear safety committee, and submitted to ONR. The modification case should assess impacts on existing and interfacing safety cases and ensure timely integration into the affected safety documentation</w:t>
      </w:r>
      <w:r w:rsidR="00B814B0">
        <w:rPr>
          <w:rStyle w:val="Strong"/>
          <w:rFonts w:asciiTheme="minorHAnsi" w:hAnsiTheme="minorHAnsi" w:cstheme="minorHAnsi"/>
          <w:b w:val="0"/>
          <w:bCs w:val="0"/>
          <w:szCs w:val="24"/>
        </w:rPr>
        <w:t>.</w:t>
      </w:r>
    </w:p>
    <w:p w14:paraId="41B0A718" w14:textId="77777777" w:rsidR="006373C8" w:rsidRDefault="006373C8" w:rsidP="006373C8">
      <w:pPr>
        <w:pStyle w:val="F9-Paragraph"/>
      </w:pPr>
      <w:r>
        <w:lastRenderedPageBreak/>
        <w:t>The arrangements should provide for the proportionate consideration of the safety impact of the modification in areas such as:</w:t>
      </w:r>
    </w:p>
    <w:p w14:paraId="15E7520F" w14:textId="32B11C36" w:rsidR="00014EE9" w:rsidRPr="00014EE9" w:rsidRDefault="00014EE9" w:rsidP="00DE7FB2">
      <w:pPr>
        <w:pStyle w:val="Bulletlist1"/>
        <w:rPr>
          <w:lang w:eastAsia="en-GB" w:bidi="ar-SA"/>
        </w:rPr>
      </w:pPr>
      <w:r w:rsidRPr="00014EE9">
        <w:rPr>
          <w:lang w:eastAsia="en-GB" w:bidi="ar-SA"/>
        </w:rPr>
        <w:t xml:space="preserve">Safety claims and substantiation for SSCs important to safety, including performance under all operating and fault conditions. </w:t>
      </w:r>
    </w:p>
    <w:p w14:paraId="6643CA56" w14:textId="0DCF72D5" w:rsidR="00014EE9" w:rsidRPr="00014EE9" w:rsidRDefault="00014EE9" w:rsidP="00DE7FB2">
      <w:pPr>
        <w:pStyle w:val="Bulletlist1"/>
        <w:rPr>
          <w:lang w:eastAsia="en-GB" w:bidi="ar-SA"/>
        </w:rPr>
      </w:pPr>
      <w:r w:rsidRPr="00014EE9">
        <w:rPr>
          <w:lang w:eastAsia="en-GB" w:bidi="ar-SA"/>
        </w:rPr>
        <w:t xml:space="preserve">Potential impacts on the functionality or reliability of other SSCs, including effects arising during installation, commissioning or operation (e.g. increased internal hazards). </w:t>
      </w:r>
    </w:p>
    <w:p w14:paraId="51B62A9F" w14:textId="0A5A3924" w:rsidR="00014EE9" w:rsidRPr="00014EE9" w:rsidRDefault="00014EE9" w:rsidP="00DE7FB2">
      <w:pPr>
        <w:pStyle w:val="Bulletlist1"/>
        <w:rPr>
          <w:lang w:eastAsia="en-GB" w:bidi="ar-SA"/>
        </w:rPr>
      </w:pPr>
      <w:r w:rsidRPr="00014EE9">
        <w:rPr>
          <w:lang w:eastAsia="en-GB" w:bidi="ar-SA"/>
        </w:rPr>
        <w:t>Human factors claims and substantiation, where modifications affect operational context, plant or task design, or assumptions underpinning human reliability.</w:t>
      </w:r>
    </w:p>
    <w:p w14:paraId="472FC3CE" w14:textId="698EC239" w:rsidR="006C6959" w:rsidRPr="006C6959" w:rsidRDefault="006C6959" w:rsidP="006C6959">
      <w:pPr>
        <w:pStyle w:val="F9-Paragraph"/>
      </w:pPr>
      <w:r w:rsidRPr="00B8699C">
        <w:t>The arrangements should require operating experience to be captured and reviewed for each modification. They should also define a proportionate, documented modification process that, commensurate with safety significance, covers problem definition, proposal development and staging, classification, preparation and verification of safety documentation and submissions, appropriate review and approval (including ONR where required), implementation, close</w:t>
      </w:r>
      <w:r w:rsidRPr="00B8699C">
        <w:noBreakHyphen/>
        <w:t>out, and record keeping</w:t>
      </w:r>
      <w:r w:rsidR="00B8699C">
        <w:t>.</w:t>
      </w:r>
    </w:p>
    <w:p w14:paraId="0E778304" w14:textId="31446F33" w:rsidR="006C6959" w:rsidRPr="006C6959" w:rsidRDefault="006C6959" w:rsidP="006C6959">
      <w:pPr>
        <w:pStyle w:val="F9-Paragraph"/>
      </w:pPr>
      <w:r w:rsidRPr="006C6959">
        <w:t>The arrangements should include a controlled revision process for approved modifications, with any amendments categorised and managed through an amended submission. Modifications to the design of new plant under construction shall comply with LC20 arrangements</w:t>
      </w:r>
      <w:r w:rsidR="00B8699C">
        <w:t>.</w:t>
      </w:r>
    </w:p>
    <w:p w14:paraId="0EE4DA60" w14:textId="4222B5B4" w:rsidR="00AD1B9F" w:rsidRPr="00AD1B9F" w:rsidRDefault="00AD1B9F" w:rsidP="00AD1B9F">
      <w:pPr>
        <w:pStyle w:val="F9-Paragraph"/>
        <w:rPr>
          <w:lang w:eastAsia="en-GB" w:bidi="ar-SA"/>
        </w:rPr>
      </w:pPr>
      <w:r w:rsidRPr="00AD1B9F">
        <w:rPr>
          <w:lang w:eastAsia="en-GB" w:bidi="ar-SA"/>
        </w:rPr>
        <w:t>The arrangements should include controls to prevent conflicting modifications being implemented concurrently on the same or interfacing plant. This should be supported by effective configuration management, including a maintained register of all current and planned LC22 modifications and their status.</w:t>
      </w:r>
    </w:p>
    <w:p w14:paraId="7965A3C5" w14:textId="74655632" w:rsidR="00EC1543" w:rsidRPr="00EC1543" w:rsidRDefault="00EC1543" w:rsidP="00EC1543">
      <w:pPr>
        <w:pStyle w:val="F9-Paragraph"/>
      </w:pPr>
      <w:r w:rsidRPr="00EC1543">
        <w:t>The</w:t>
      </w:r>
      <w:r w:rsidRPr="00EC1543">
        <w:rPr>
          <w:b/>
          <w:bCs/>
        </w:rPr>
        <w:t xml:space="preserve"> </w:t>
      </w:r>
      <w:r w:rsidRPr="00EC1543">
        <w:t>arrangements should provide for the capture, management, tracking and resolution of issues arising from modifications, including technical queries, concessions, design changes and omissions, while maintaining compliance with LC20. Concessions should be limited to the acceptance of unplanned, existing deviations from the approved design; any intentional configuration change should be managed as a design change.</w:t>
      </w:r>
    </w:p>
    <w:p w14:paraId="4B48AAA3" w14:textId="77777777" w:rsidR="00EC1543" w:rsidRPr="00EC1543" w:rsidRDefault="00EC1543" w:rsidP="00EC1543">
      <w:pPr>
        <w:pStyle w:val="F9-Paragraph"/>
      </w:pPr>
      <w:r w:rsidRPr="00EC1543">
        <w:t>The arrangements should require modification programmes to allow sufficient time for ONR and other regulatory assessment of safety submissions, separate from and following completion of the licensee’s internal review processes.</w:t>
      </w:r>
    </w:p>
    <w:p w14:paraId="3DC7029C" w14:textId="77777777" w:rsidR="00EC1543" w:rsidRPr="00EC1543" w:rsidRDefault="00EC1543" w:rsidP="00EC1543">
      <w:pPr>
        <w:pStyle w:val="F9-Paragraph"/>
      </w:pPr>
      <w:r w:rsidRPr="00EC1543">
        <w:t>The arrangements should define how modifications are implemented in compliance with the licensee’s management system requirements for design, procurement, manufacture, installation and commissioning</w:t>
      </w:r>
      <w:r w:rsidRPr="00EC1543">
        <w:rPr>
          <w:b/>
          <w:bCs/>
        </w:rPr>
        <w:t>.</w:t>
      </w:r>
    </w:p>
    <w:p w14:paraId="75957074" w14:textId="77777777" w:rsidR="00FD3010" w:rsidRDefault="003227D5" w:rsidP="003227D5">
      <w:pPr>
        <w:pStyle w:val="F9-Paragraph"/>
      </w:pPr>
      <w:r w:rsidRPr="003227D5">
        <w:lastRenderedPageBreak/>
        <w:t>As part of implementation, the arrangements should require timely consideration of consequential updates to related arrangements, preferably before normal operation is authorised. This should include updates, as applicable, to</w:t>
      </w:r>
      <w:r w:rsidR="00FD3010">
        <w:t>:</w:t>
      </w:r>
    </w:p>
    <w:p w14:paraId="27FE4279" w14:textId="77777777" w:rsidR="00FD3010" w:rsidRDefault="00FD3010" w:rsidP="00DE7FB2">
      <w:pPr>
        <w:pStyle w:val="Bulletlist1"/>
      </w:pPr>
      <w:r>
        <w:t>S</w:t>
      </w:r>
      <w:r w:rsidR="003227D5" w:rsidRPr="003227D5">
        <w:t>afety cases and operating limits and conditions;</w:t>
      </w:r>
    </w:p>
    <w:p w14:paraId="4406C0BA" w14:textId="77777777" w:rsidR="00FD3010" w:rsidRDefault="00FD3010" w:rsidP="00DE7FB2">
      <w:pPr>
        <w:pStyle w:val="Bulletlist1"/>
      </w:pPr>
      <w:r>
        <w:t>O</w:t>
      </w:r>
      <w:r w:rsidR="003227D5" w:rsidRPr="003227D5">
        <w:t>perating and maintenance instructions;</w:t>
      </w:r>
    </w:p>
    <w:p w14:paraId="23C39341" w14:textId="77777777" w:rsidR="00FD3010" w:rsidRDefault="00FD3010" w:rsidP="00DE7FB2">
      <w:pPr>
        <w:pStyle w:val="Bulletlist1"/>
      </w:pPr>
      <w:r>
        <w:t>M</w:t>
      </w:r>
      <w:r w:rsidR="003227D5" w:rsidRPr="003227D5">
        <w:t>aintenance schedules;</w:t>
      </w:r>
    </w:p>
    <w:p w14:paraId="79C51889" w14:textId="77777777" w:rsidR="000964A6" w:rsidRDefault="000964A6" w:rsidP="00DE7FB2">
      <w:pPr>
        <w:pStyle w:val="Bulletlist1"/>
      </w:pPr>
      <w:r>
        <w:t>T</w:t>
      </w:r>
      <w:r w:rsidR="003227D5" w:rsidRPr="003227D5">
        <w:t>raining</w:t>
      </w:r>
      <w:r>
        <w:t xml:space="preserve"> and</w:t>
      </w:r>
      <w:r w:rsidR="003227D5" w:rsidRPr="003227D5">
        <w:t xml:space="preserve"> emergency arrangements;</w:t>
      </w:r>
    </w:p>
    <w:p w14:paraId="33C5AC25" w14:textId="77777777" w:rsidR="000964A6" w:rsidRDefault="000964A6" w:rsidP="00DE7FB2">
      <w:pPr>
        <w:pStyle w:val="Bulletlist1"/>
      </w:pPr>
      <w:r>
        <w:t>A</w:t>
      </w:r>
      <w:r w:rsidR="003227D5" w:rsidRPr="003227D5">
        <w:t>s</w:t>
      </w:r>
      <w:r w:rsidR="003227D5" w:rsidRPr="003227D5">
        <w:noBreakHyphen/>
        <w:t>built drawings</w:t>
      </w:r>
      <w:r>
        <w:t>,</w:t>
      </w:r>
      <w:r w:rsidR="003227D5" w:rsidRPr="003227D5">
        <w:t xml:space="preserve"> records and configuration documentation;</w:t>
      </w:r>
    </w:p>
    <w:p w14:paraId="0464D97B" w14:textId="49717ECB" w:rsidR="000964A6" w:rsidRDefault="000964A6" w:rsidP="00DE7FB2">
      <w:pPr>
        <w:pStyle w:val="Bulletlist1"/>
      </w:pPr>
      <w:r>
        <w:t>D</w:t>
      </w:r>
      <w:r w:rsidR="003227D5" w:rsidRPr="003227D5">
        <w:t>ecommissioning arrangements</w:t>
      </w:r>
      <w:r>
        <w:t>.</w:t>
      </w:r>
    </w:p>
    <w:p w14:paraId="6BFE512A" w14:textId="76C58DE0" w:rsidR="006C3832" w:rsidRPr="006C3832" w:rsidRDefault="006C3832" w:rsidP="006C3832">
      <w:pPr>
        <w:pStyle w:val="F9-Paragraph"/>
      </w:pPr>
      <w:r w:rsidRPr="006C3832">
        <w:t>The arrangements should define clear criteria for invoking related licence condition arrangements, including LC20 and LC21. Where changes to configured designs arise, including from commissioning activities, LC20 requirements shall apply; where safety systems are temporarily disabled to support a modification, re</w:t>
      </w:r>
      <w:r w:rsidRPr="006C3832">
        <w:noBreakHyphen/>
        <w:t>commissioning under LC21 may be required.</w:t>
      </w:r>
    </w:p>
    <w:p w14:paraId="167CAE6C" w14:textId="77777777" w:rsidR="006C3832" w:rsidRPr="006C3832" w:rsidRDefault="006C3832" w:rsidP="006C3832">
      <w:pPr>
        <w:pStyle w:val="F9-Paragraph"/>
      </w:pPr>
      <w:r w:rsidRPr="006C3832">
        <w:t>Where partial implementation of a modification is proposed, the arrangements should specify the conditions under which this is permitted, how configuration control will be maintained, and how safety will be assured.</w:t>
      </w:r>
    </w:p>
    <w:p w14:paraId="483C29F2" w14:textId="13E0C350" w:rsidR="006C3832" w:rsidRPr="006C3832" w:rsidRDefault="006C3832" w:rsidP="006C3832">
      <w:pPr>
        <w:pStyle w:val="F9-Paragraph"/>
      </w:pPr>
      <w:r w:rsidRPr="006C3832">
        <w:t>The arrangements should include robust processes for confirming modification completion and authorisation to close, supported by records demonstrating that all required activities have been completed, and for monitoring and reviewing the effectiveness of the LC22 process, including the use of appropriate performance indicators</w:t>
      </w:r>
      <w:r w:rsidRPr="006C3832">
        <w:rPr>
          <w:b/>
          <w:bCs/>
        </w:rPr>
        <w:t>.</w:t>
      </w:r>
    </w:p>
    <w:p w14:paraId="15AF4089" w14:textId="108CD17D" w:rsidR="00DE7FB2" w:rsidRPr="00DE7FB2" w:rsidRDefault="00726CE4" w:rsidP="00DE7FB2">
      <w:pPr>
        <w:pStyle w:val="Heading2"/>
      </w:pPr>
      <w:bookmarkStart w:id="10" w:name="_Toc226723365"/>
      <w:r w:rsidRPr="00726CE4">
        <w:t xml:space="preserve">Temporary </w:t>
      </w:r>
      <w:r w:rsidR="00DE7FB2">
        <w:t>m</w:t>
      </w:r>
      <w:r w:rsidRPr="00726CE4">
        <w:t>odifications</w:t>
      </w:r>
      <w:bookmarkEnd w:id="10"/>
    </w:p>
    <w:p w14:paraId="2D22898E" w14:textId="77CD2FCA" w:rsidR="00D77CE0" w:rsidRPr="00D77CE0" w:rsidRDefault="00D77CE0" w:rsidP="00D77CE0">
      <w:pPr>
        <w:pStyle w:val="F9-Paragraph"/>
      </w:pPr>
      <w:r w:rsidRPr="00D77CE0">
        <w:t>LC22 applies equally to permanent and temporary modifications. Where licensees choose to differentiate temporary modifications, the arrangements should ensure appropriate safety justification, control, and oversight, including for urgent or emergency modifications, their installation and timely return to the approved configuration. The arrangements should allow for proportionate and where necessary, rapid review, assessment and independent verification.</w:t>
      </w:r>
    </w:p>
    <w:p w14:paraId="2103D8F1" w14:textId="77777777" w:rsidR="00D77CE0" w:rsidRPr="00D77CE0" w:rsidRDefault="00D77CE0" w:rsidP="00D77CE0">
      <w:pPr>
        <w:pStyle w:val="F9-Paragraph"/>
      </w:pPr>
      <w:r w:rsidRPr="00D77CE0">
        <w:t>Roles and responsibilities for the initiation, approval, implementation and removal of temporary modifications should be clearly defined, including appropriate interfaces with arrangements under LCs 7, 11 and 13.</w:t>
      </w:r>
    </w:p>
    <w:p w14:paraId="1472E9A1" w14:textId="77777777" w:rsidR="00DE7FB2" w:rsidRDefault="00DE7FB2" w:rsidP="00D77CE0">
      <w:pPr>
        <w:pStyle w:val="F9-Paragraph"/>
        <w:sectPr w:rsidR="00DE7FB2" w:rsidSect="00DD025D">
          <w:pgSz w:w="11906" w:h="16838" w:code="9"/>
          <w:pgMar w:top="1276" w:right="1440" w:bottom="1440" w:left="1440" w:header="397" w:footer="397" w:gutter="0"/>
          <w:cols w:space="312"/>
          <w:docGrid w:linePitch="360"/>
        </w:sectPr>
      </w:pPr>
    </w:p>
    <w:p w14:paraId="2BA64C8D" w14:textId="2A9AD7A3" w:rsidR="00D77CE0" w:rsidRPr="00D77CE0" w:rsidRDefault="00D77CE0" w:rsidP="00D77CE0">
      <w:pPr>
        <w:pStyle w:val="F9-Paragraph"/>
      </w:pPr>
      <w:r w:rsidRPr="00D77CE0">
        <w:lastRenderedPageBreak/>
        <w:t>The arrangements should require periodic management review of temporary modifications to confirm continued need, correct configuration, alignment of procedures and documentation, suitability for conversion to permanent modification and compatibility with any planned permanent modifications</w:t>
      </w:r>
      <w:r w:rsidRPr="00D77CE0">
        <w:rPr>
          <w:b/>
          <w:bCs/>
        </w:rPr>
        <w:t>.</w:t>
      </w:r>
    </w:p>
    <w:p w14:paraId="123AC389" w14:textId="77777777" w:rsidR="00DE7FB2" w:rsidRDefault="004845F2" w:rsidP="00DE7FB2">
      <w:pPr>
        <w:pStyle w:val="Heading2"/>
      </w:pPr>
      <w:bookmarkStart w:id="11" w:name="_Toc226723366"/>
      <w:r>
        <w:t>Decommissioning</w:t>
      </w:r>
      <w:bookmarkEnd w:id="11"/>
    </w:p>
    <w:p w14:paraId="64EEC3B1" w14:textId="2347BD6D" w:rsidR="00393D70" w:rsidRPr="00393D70" w:rsidRDefault="00393D70" w:rsidP="00393D70">
      <w:pPr>
        <w:pStyle w:val="F9-Paragraph"/>
        <w:rPr>
          <w:b/>
          <w:bCs/>
        </w:rPr>
      </w:pPr>
      <w:r w:rsidRPr="00393D70">
        <w:t>Decommissioning should be controlled using the same principles as plant modifications, with appropriate cross</w:t>
      </w:r>
      <w:r w:rsidRPr="00393D70">
        <w:noBreakHyphen/>
        <w:t>reference between LC22 and LC35 arrangements and decommissioning management defined under LC35</w:t>
      </w:r>
      <w:r>
        <w:rPr>
          <w:b/>
          <w:bCs/>
        </w:rPr>
        <w:t>.</w:t>
      </w:r>
    </w:p>
    <w:p w14:paraId="3C2F19ED" w14:textId="77777777" w:rsidR="00DE7FB2" w:rsidRPr="00DE7FB2" w:rsidRDefault="00DC0E4E" w:rsidP="00DE7FB2">
      <w:pPr>
        <w:pStyle w:val="Heading2"/>
      </w:pPr>
      <w:bookmarkStart w:id="12" w:name="_Toc226723367"/>
      <w:r>
        <w:t>Permissioning</w:t>
      </w:r>
      <w:bookmarkEnd w:id="12"/>
    </w:p>
    <w:p w14:paraId="06DA1723" w14:textId="368F8D5E" w:rsidR="00FA751C" w:rsidRPr="00FA751C" w:rsidRDefault="00FA751C" w:rsidP="00FA751C">
      <w:pPr>
        <w:pStyle w:val="F9-Paragraph"/>
      </w:pPr>
      <w:r w:rsidRPr="00FA751C">
        <w:t>The arrangements should provide for ONR permissioning of modifications through the use of Primary Powers licence instruments under LC22 and clearly identify the responsible roles within the licensee’s organisation.</w:t>
      </w:r>
    </w:p>
    <w:p w14:paraId="2BFCEDB0" w14:textId="5581850C" w:rsidR="00D60BCB" w:rsidRDefault="00FA751C" w:rsidP="00FB0249">
      <w:pPr>
        <w:pStyle w:val="F9-Paragraph"/>
        <w:spacing w:after="0" w:line="240" w:lineRule="auto"/>
      </w:pPr>
      <w:r w:rsidRPr="00FA751C">
        <w:t>With ONR agreement, the arrangements may also provide for the use of ‘derived’ powers to support proportionate permissioning, particularly for higher</w:t>
      </w:r>
      <w:r w:rsidRPr="00FA751C">
        <w:noBreakHyphen/>
        <w:t>category modifications. Derived powers may include agreement, notification, acknowledgement or specification, but not approval, consent or direction. Their inclusion is not mandatory and does not replace or preclude the use of primary powers.</w:t>
      </w:r>
      <w:r>
        <w:t xml:space="preserve"> </w:t>
      </w:r>
      <w:r w:rsidRPr="00FA751C">
        <w:t xml:space="preserve">The arrangements may further include provision for </w:t>
      </w:r>
      <w:r>
        <w:t>EMI&amp;C,</w:t>
      </w:r>
      <w:r w:rsidRPr="00FA751C">
        <w:t xml:space="preserve"> where this is considered a more appropriate or proportionate means of regulatory oversight</w:t>
      </w:r>
      <w:r>
        <w:t>.</w:t>
      </w:r>
    </w:p>
    <w:p w14:paraId="688421A7" w14:textId="77777777" w:rsidR="00DE7FB2" w:rsidRDefault="00DE7FB2" w:rsidP="00E8034A">
      <w:pPr>
        <w:pStyle w:val="Heading1"/>
        <w:rPr>
          <w:sz w:val="44"/>
          <w:szCs w:val="44"/>
        </w:rPr>
        <w:sectPr w:rsidR="00DE7FB2" w:rsidSect="00DD025D">
          <w:pgSz w:w="11906" w:h="16838" w:code="9"/>
          <w:pgMar w:top="1276" w:right="1440" w:bottom="1440" w:left="1440" w:header="397" w:footer="397" w:gutter="0"/>
          <w:cols w:space="312"/>
          <w:docGrid w:linePitch="360"/>
        </w:sectPr>
      </w:pPr>
      <w:bookmarkStart w:id="13" w:name="_Toc93589299"/>
    </w:p>
    <w:p w14:paraId="5E71E0DF" w14:textId="2E513C8C" w:rsidR="00E8034A" w:rsidRPr="00E8034A" w:rsidRDefault="00E8034A" w:rsidP="00E8034A">
      <w:pPr>
        <w:pStyle w:val="Heading1"/>
        <w:rPr>
          <w:sz w:val="44"/>
          <w:szCs w:val="44"/>
        </w:rPr>
      </w:pPr>
      <w:bookmarkStart w:id="14" w:name="_Toc226723368"/>
      <w:r w:rsidRPr="00E8034A">
        <w:rPr>
          <w:sz w:val="44"/>
          <w:szCs w:val="44"/>
        </w:rPr>
        <w:lastRenderedPageBreak/>
        <w:t xml:space="preserve">Guidance on </w:t>
      </w:r>
      <w:r w:rsidR="00DE7FB2">
        <w:rPr>
          <w:sz w:val="44"/>
          <w:szCs w:val="44"/>
        </w:rPr>
        <w:t>i</w:t>
      </w:r>
      <w:r w:rsidRPr="00E8034A">
        <w:rPr>
          <w:sz w:val="44"/>
          <w:szCs w:val="44"/>
        </w:rPr>
        <w:t xml:space="preserve">nspection of </w:t>
      </w:r>
      <w:r w:rsidR="00DE7FB2">
        <w:rPr>
          <w:sz w:val="44"/>
          <w:szCs w:val="44"/>
        </w:rPr>
        <w:t>i</w:t>
      </w:r>
      <w:r w:rsidRPr="00E8034A">
        <w:rPr>
          <w:sz w:val="44"/>
          <w:szCs w:val="44"/>
        </w:rPr>
        <w:t xml:space="preserve">mplementation of </w:t>
      </w:r>
      <w:r w:rsidR="00DE7FB2">
        <w:rPr>
          <w:sz w:val="44"/>
          <w:szCs w:val="44"/>
        </w:rPr>
        <w:t>a</w:t>
      </w:r>
      <w:r w:rsidRPr="00E8034A">
        <w:rPr>
          <w:sz w:val="44"/>
          <w:szCs w:val="44"/>
        </w:rPr>
        <w:t>rrangements</w:t>
      </w:r>
      <w:bookmarkEnd w:id="13"/>
      <w:r w:rsidR="00DE7FB2">
        <w:rPr>
          <w:sz w:val="44"/>
          <w:szCs w:val="44"/>
        </w:rPr>
        <w:t xml:space="preserve"> for Licence Condition 22</w:t>
      </w:r>
      <w:bookmarkEnd w:id="14"/>
    </w:p>
    <w:p w14:paraId="7F5D6EC1" w14:textId="02429DCC" w:rsidR="003F40BE" w:rsidRPr="003F40BE" w:rsidRDefault="003F40BE" w:rsidP="001632B5">
      <w:pPr>
        <w:pStyle w:val="F9-Paragraph"/>
      </w:pPr>
      <w:r w:rsidRPr="003F40BE">
        <w:t>This section provides guidance to inspectors on assessing on</w:t>
      </w:r>
      <w:r w:rsidRPr="003F40BE">
        <w:noBreakHyphen/>
        <w:t>site compliance with modification arrangements</w:t>
      </w:r>
      <w:r w:rsidR="001632B5">
        <w:t>.</w:t>
      </w:r>
    </w:p>
    <w:p w14:paraId="3E6EE2FE" w14:textId="77777777" w:rsidR="003F40BE" w:rsidRPr="003F40BE" w:rsidRDefault="003F40BE" w:rsidP="003F40BE">
      <w:pPr>
        <w:pStyle w:val="F9-Paragraph"/>
      </w:pPr>
      <w:r w:rsidRPr="003F40BE">
        <w:t>Inspectors should verify that safety functions affected by a modification are appropriately identified and categorised, with associated SSCs classified according to their nuclear safety significance, including the effects of interfacing with existing safety functions. The assessment should address the cumulative and combined impacts of modifications, including common cause failure, internal hazards, and human error, and should not undermine existing system substantiation or qualification.</w:t>
      </w:r>
    </w:p>
    <w:p w14:paraId="3F06EDEF" w14:textId="77777777" w:rsidR="003F40BE" w:rsidRPr="003F40BE" w:rsidRDefault="003F40BE" w:rsidP="003F40BE">
      <w:pPr>
        <w:pStyle w:val="F9-Paragraph"/>
      </w:pPr>
      <w:r w:rsidRPr="003F40BE">
        <w:t>Where staged or sequential modifications are proposed, inspectors should confirm that the overall safety impact is appropriately assessed, the rationale is justified, and higher</w:t>
      </w:r>
      <w:r w:rsidRPr="003F40BE">
        <w:noBreakHyphen/>
        <w:t>category modifications are not inappropriately subdivided. Staged modifications should be implemented in the correct sequence and supported, where necessary, by an overarching ‘master’ modification proposal.</w:t>
      </w:r>
    </w:p>
    <w:p w14:paraId="07E2C47E" w14:textId="3D5D13B3" w:rsidR="003F40BE" w:rsidRPr="003F40BE" w:rsidRDefault="003F40BE" w:rsidP="003F40BE">
      <w:pPr>
        <w:pStyle w:val="F9-Paragraph"/>
      </w:pPr>
      <w:r w:rsidRPr="003F40BE">
        <w:t>Inspectors should also confirm that effective processes are in place for tracking modifications and their interactions, managing changes to procedures, training and simulators in accordance with LCs10 and 24, progressing technical queries and design changes, and ensuring relevant operating experience is reviewed and applied</w:t>
      </w:r>
      <w:r w:rsidRPr="003F40BE">
        <w:rPr>
          <w:b/>
          <w:bCs/>
        </w:rPr>
        <w:t>.</w:t>
      </w:r>
      <w:r w:rsidR="00DC3D98">
        <w:rPr>
          <w:b/>
          <w:bCs/>
        </w:rPr>
        <w:t xml:space="preserve"> </w:t>
      </w:r>
    </w:p>
    <w:p w14:paraId="4344C528" w14:textId="2D270BC6" w:rsidR="00D60BCB" w:rsidRDefault="00E22657" w:rsidP="00C963E6">
      <w:pPr>
        <w:pStyle w:val="F9-Paragraph"/>
      </w:pPr>
      <w:r>
        <w:t>Verify that a suitable implementation Quality Plan or other control document for each modification is in place, which outlines or references:</w:t>
      </w:r>
    </w:p>
    <w:p w14:paraId="3DC77896" w14:textId="4A662D89" w:rsidR="007310AD" w:rsidRDefault="007310AD" w:rsidP="00DE7FB2">
      <w:pPr>
        <w:pStyle w:val="Bulletlist1"/>
      </w:pPr>
      <w:r>
        <w:t xml:space="preserve">All hazards during design, construction and installation. </w:t>
      </w:r>
    </w:p>
    <w:p w14:paraId="2869F34D" w14:textId="24807D48" w:rsidR="007310AD" w:rsidRPr="00F0010C" w:rsidRDefault="007310AD" w:rsidP="00DE7FB2">
      <w:pPr>
        <w:pStyle w:val="Bulletlist1"/>
      </w:pPr>
      <w:r w:rsidRPr="00F0010C">
        <w:t>Applicable procedures, instructions</w:t>
      </w:r>
      <w:r w:rsidR="001F58A0">
        <w:t>/</w:t>
      </w:r>
      <w:r w:rsidRPr="00F0010C">
        <w:t>method statements - what needs to be done</w:t>
      </w:r>
      <w:r w:rsidR="001F58A0">
        <w:t>/</w:t>
      </w:r>
      <w:r w:rsidRPr="00F0010C">
        <w:t>how it is done</w:t>
      </w:r>
      <w:r w:rsidR="001F58A0">
        <w:t>/</w:t>
      </w:r>
      <w:r w:rsidRPr="00F0010C">
        <w:t>how it is closed out</w:t>
      </w:r>
      <w:r w:rsidR="001F58A0">
        <w:t>.</w:t>
      </w:r>
      <w:r w:rsidRPr="00F0010C">
        <w:t xml:space="preserve"> </w:t>
      </w:r>
    </w:p>
    <w:p w14:paraId="03A79E87" w14:textId="3988CDF4" w:rsidR="007310AD" w:rsidRDefault="001F58A0" w:rsidP="00DE7FB2">
      <w:pPr>
        <w:pStyle w:val="Bulletlist1"/>
      </w:pPr>
      <w:r>
        <w:t>H</w:t>
      </w:r>
      <w:r w:rsidR="007310AD">
        <w:t xml:space="preserve">old-points and their means of release. </w:t>
      </w:r>
    </w:p>
    <w:p w14:paraId="50795471" w14:textId="033FD094" w:rsidR="007310AD" w:rsidRDefault="007310AD" w:rsidP="00DE7FB2">
      <w:pPr>
        <w:pStyle w:val="Bulletlist1"/>
      </w:pPr>
      <w:r>
        <w:t xml:space="preserve">Safety/technical issues tracking and close-out arrangements. </w:t>
      </w:r>
    </w:p>
    <w:p w14:paraId="59A9641E" w14:textId="7D2890D3" w:rsidR="007310AD" w:rsidRDefault="007310AD" w:rsidP="00DE7FB2">
      <w:pPr>
        <w:pStyle w:val="Bulletlist1"/>
      </w:pPr>
      <w:r>
        <w:t xml:space="preserve">Responsibilities and how the licensee controls contractors. </w:t>
      </w:r>
    </w:p>
    <w:p w14:paraId="14E679FF" w14:textId="5D63EDD9" w:rsidR="007310AD" w:rsidRPr="00BB5277" w:rsidRDefault="007310AD" w:rsidP="00DE7FB2">
      <w:pPr>
        <w:pStyle w:val="Bulletlist1"/>
      </w:pPr>
      <w:r>
        <w:t>The safety case intent.</w:t>
      </w:r>
    </w:p>
    <w:p w14:paraId="0FE1CCF3" w14:textId="77777777" w:rsidR="00DE7FB2" w:rsidRDefault="00DE7FB2" w:rsidP="00E22421">
      <w:pPr>
        <w:pStyle w:val="F9-Paragraph"/>
        <w:sectPr w:rsidR="00DE7FB2" w:rsidSect="00DD025D">
          <w:pgSz w:w="11906" w:h="16838" w:code="9"/>
          <w:pgMar w:top="1276" w:right="1440" w:bottom="1440" w:left="1440" w:header="397" w:footer="397" w:gutter="0"/>
          <w:cols w:space="312"/>
          <w:docGrid w:linePitch="360"/>
        </w:sectPr>
      </w:pPr>
    </w:p>
    <w:p w14:paraId="7D106A94" w14:textId="128D01D4" w:rsidR="00E22421" w:rsidRPr="00E22421" w:rsidRDefault="00E22421" w:rsidP="00E22421">
      <w:pPr>
        <w:pStyle w:val="F9-Paragraph"/>
      </w:pPr>
      <w:r w:rsidRPr="00E22421">
        <w:lastRenderedPageBreak/>
        <w:t>Select a representative sample of open modifications to form the basis of the inspection and undertake the relevant checks, as applicable</w:t>
      </w:r>
      <w:r w:rsidR="009602D8">
        <w:t>:</w:t>
      </w:r>
    </w:p>
    <w:p w14:paraId="4E19236F" w14:textId="239F6EBD" w:rsidR="00A8506C" w:rsidRPr="00A8506C" w:rsidRDefault="00A8506C" w:rsidP="00DE7FB2">
      <w:pPr>
        <w:pStyle w:val="Bulletlist1"/>
      </w:pPr>
      <w:r w:rsidRPr="00A8506C">
        <w:t>Appropriateness of the safety classification for the selected modifications</w:t>
      </w:r>
      <w:r w:rsidRPr="00A8506C">
        <w:rPr>
          <w:b/>
        </w:rPr>
        <w:t>.</w:t>
      </w:r>
      <w:r w:rsidRPr="00A8506C">
        <w:t xml:space="preserve"> </w:t>
      </w:r>
    </w:p>
    <w:p w14:paraId="35712D9F" w14:textId="59E31B3B" w:rsidR="00A8506C" w:rsidRPr="00A8506C" w:rsidRDefault="00A8506C" w:rsidP="00DE7FB2">
      <w:pPr>
        <w:pStyle w:val="Bulletlist1"/>
      </w:pPr>
      <w:r w:rsidRPr="00A8506C">
        <w:t xml:space="preserve">Effectiveness of implementation controls, including: </w:t>
      </w:r>
    </w:p>
    <w:p w14:paraId="51EFED80" w14:textId="33DA079D" w:rsidR="00A8506C" w:rsidRPr="00A8506C" w:rsidRDefault="00A8506C" w:rsidP="00DE7FB2">
      <w:pPr>
        <w:pStyle w:val="Bulletlist2"/>
      </w:pPr>
      <w:r>
        <w:t>m</w:t>
      </w:r>
      <w:r w:rsidRPr="00A8506C">
        <w:t>aintenance of configuration control where modifications are partially implemented;</w:t>
      </w:r>
    </w:p>
    <w:p w14:paraId="7C771EF0" w14:textId="77777777" w:rsidR="00A8506C" w:rsidRPr="00A8506C" w:rsidRDefault="00A8506C" w:rsidP="00DE7FB2">
      <w:pPr>
        <w:pStyle w:val="Bulletlist2"/>
      </w:pPr>
      <w:r w:rsidRPr="00A8506C">
        <w:t>evidence of approval prior to commencement;</w:t>
      </w:r>
    </w:p>
    <w:p w14:paraId="00EADC6C" w14:textId="77777777" w:rsidR="00A8506C" w:rsidRPr="00A8506C" w:rsidRDefault="00A8506C" w:rsidP="00DE7FB2">
      <w:pPr>
        <w:pStyle w:val="Bulletlist2"/>
      </w:pPr>
      <w:r w:rsidRPr="00A8506C">
        <w:t>specification, tracking and closure of regulatory and internal hold points;</w:t>
      </w:r>
    </w:p>
    <w:p w14:paraId="4D16B8D5" w14:textId="77777777" w:rsidR="00A8506C" w:rsidRPr="00A8506C" w:rsidRDefault="00A8506C" w:rsidP="00DE7FB2">
      <w:pPr>
        <w:pStyle w:val="Bulletlist2"/>
      </w:pPr>
      <w:r w:rsidRPr="00A8506C">
        <w:t>appropriate liaison with other regulators, where applicable;</w:t>
      </w:r>
    </w:p>
    <w:p w14:paraId="7BBD938D" w14:textId="77777777" w:rsidR="00A8506C" w:rsidRPr="00A8506C" w:rsidRDefault="00A8506C" w:rsidP="00DE7FB2">
      <w:pPr>
        <w:pStyle w:val="Bulletlist2"/>
      </w:pPr>
      <w:r w:rsidRPr="00A8506C">
        <w:t>clearly defined roles and interfaces, with personnel demonstrably SQEP;</w:t>
      </w:r>
    </w:p>
    <w:p w14:paraId="32D27B2A" w14:textId="77777777" w:rsidR="00A8506C" w:rsidRPr="00A8506C" w:rsidRDefault="00A8506C" w:rsidP="00DE7FB2">
      <w:pPr>
        <w:pStyle w:val="Bulletlist2"/>
      </w:pPr>
      <w:r w:rsidRPr="00A8506C">
        <w:t>availability of suitable instructions for significant on</w:t>
      </w:r>
      <w:r w:rsidRPr="00A8506C">
        <w:noBreakHyphen/>
        <w:t>site activities;</w:t>
      </w:r>
    </w:p>
    <w:p w14:paraId="4FCBC64F" w14:textId="77777777" w:rsidR="00A8506C" w:rsidRPr="00A8506C" w:rsidRDefault="00A8506C" w:rsidP="00DE7FB2">
      <w:pPr>
        <w:pStyle w:val="Bulletlist2"/>
      </w:pPr>
      <w:r w:rsidRPr="00A8506C">
        <w:t>application of safe systems of work for construction and installation hazards;</w:t>
      </w:r>
    </w:p>
    <w:p w14:paraId="5783AC8C" w14:textId="77777777" w:rsidR="00A8506C" w:rsidRPr="00A8506C" w:rsidRDefault="00A8506C" w:rsidP="00DE7FB2">
      <w:pPr>
        <w:pStyle w:val="Bulletlist2"/>
      </w:pPr>
      <w:r w:rsidRPr="00A8506C">
        <w:t>implementation, testing, commissioning and verification in accordance with approved arrangements;</w:t>
      </w:r>
    </w:p>
    <w:p w14:paraId="717F6D9E" w14:textId="77777777" w:rsidR="00A8506C" w:rsidRPr="00A8506C" w:rsidRDefault="00A8506C" w:rsidP="00DE7FB2">
      <w:pPr>
        <w:pStyle w:val="Bulletlist2"/>
      </w:pPr>
      <w:r w:rsidRPr="00A8506C">
        <w:t>appropriate re</w:t>
      </w:r>
      <w:r w:rsidRPr="00A8506C">
        <w:noBreakHyphen/>
        <w:t>commissioning of reinstated safety systems, where required;</w:t>
      </w:r>
    </w:p>
    <w:p w14:paraId="409D42C8" w14:textId="77777777" w:rsidR="00A8506C" w:rsidRPr="00A8506C" w:rsidRDefault="00A8506C" w:rsidP="00DE7FB2">
      <w:pPr>
        <w:pStyle w:val="Bulletlist2"/>
      </w:pPr>
      <w:r w:rsidRPr="00A8506C">
        <w:t>adequate supervision and control of staff and contractors;</w:t>
      </w:r>
    </w:p>
    <w:p w14:paraId="6C17BA36" w14:textId="77777777" w:rsidR="00A8506C" w:rsidRPr="00A8506C" w:rsidRDefault="00A8506C" w:rsidP="00DE7FB2">
      <w:pPr>
        <w:pStyle w:val="Bulletlist2"/>
      </w:pPr>
      <w:r w:rsidRPr="00A8506C">
        <w:t>effective segregation and configuration controls to protect operational plant;</w:t>
      </w:r>
    </w:p>
    <w:p w14:paraId="654F955D" w14:textId="77777777" w:rsidR="00A8506C" w:rsidRPr="00A8506C" w:rsidRDefault="00A8506C" w:rsidP="00DE7FB2">
      <w:pPr>
        <w:pStyle w:val="Bulletlist2"/>
      </w:pPr>
      <w:r w:rsidRPr="00A8506C">
        <w:t>adequate radiological protection measures in line with IRR requirements;</w:t>
      </w:r>
    </w:p>
    <w:p w14:paraId="3921F26B" w14:textId="77777777" w:rsidR="00A8506C" w:rsidRPr="00A8506C" w:rsidRDefault="00A8506C" w:rsidP="00DE7FB2">
      <w:pPr>
        <w:pStyle w:val="Bulletlist2"/>
      </w:pPr>
      <w:r w:rsidRPr="00A8506C">
        <w:t>suitable contingency arrangements and conservative decision</w:t>
      </w:r>
      <w:r w:rsidRPr="00A8506C">
        <w:noBreakHyphen/>
        <w:t>making during implementation;</w:t>
      </w:r>
    </w:p>
    <w:p w14:paraId="75895BCC" w14:textId="621653F7" w:rsidR="001B30F6" w:rsidRDefault="00A8506C" w:rsidP="00DE7FB2">
      <w:pPr>
        <w:pStyle w:val="Bulletlist2"/>
      </w:pPr>
      <w:r w:rsidRPr="00A8506C">
        <w:t>effective control and removal of temporary changes following modification completion.</w:t>
      </w:r>
    </w:p>
    <w:p w14:paraId="007B2F1F" w14:textId="77777777" w:rsidR="00DE7FB2" w:rsidRDefault="00DE7FB2" w:rsidP="00DE7FB2">
      <w:pPr>
        <w:pStyle w:val="Bulletlist1"/>
        <w:sectPr w:rsidR="00DE7FB2" w:rsidSect="00DD025D">
          <w:pgSz w:w="11906" w:h="16838" w:code="9"/>
          <w:pgMar w:top="1276" w:right="1440" w:bottom="1440" w:left="1440" w:header="397" w:footer="397" w:gutter="0"/>
          <w:cols w:space="312"/>
          <w:docGrid w:linePitch="360"/>
        </w:sectPr>
      </w:pPr>
    </w:p>
    <w:p w14:paraId="31D428FF" w14:textId="19A0DC67" w:rsidR="004E1B67" w:rsidRPr="004E1B67" w:rsidRDefault="004E1B67" w:rsidP="00DE7FB2">
      <w:pPr>
        <w:pStyle w:val="Bulletlist1"/>
      </w:pPr>
      <w:r w:rsidRPr="004E1B67">
        <w:lastRenderedPageBreak/>
        <w:t>Verify that modification activities are clearly linked to the relevant safety case requirements, including any interfacing safety cases, across all stages of design, construction and installation, and that those responsible have access to and understand these requirements. Where applicable, inspectors should also confirm appropriate linkage with supporting LC arrangements (e.g. LCs 19, 20 and 21).</w:t>
      </w:r>
    </w:p>
    <w:p w14:paraId="33359F12" w14:textId="77777777" w:rsidR="004E1B67" w:rsidRPr="004E1B67" w:rsidRDefault="004E1B67" w:rsidP="00DE7FB2">
      <w:pPr>
        <w:pStyle w:val="Bulletlist1"/>
      </w:pPr>
      <w:r w:rsidRPr="004E1B67">
        <w:t>Inspectors should check that modifications are completed within appropriate timescales, that delays do not undermine configuration control, and that any necessary interim safety cases are established where progress or documentation updates are deferred.</w:t>
      </w:r>
    </w:p>
    <w:p w14:paraId="2B24469D" w14:textId="2A13EFDF" w:rsidR="004E1B67" w:rsidRPr="004E1B67" w:rsidRDefault="004E1B67" w:rsidP="004E1B67">
      <w:pPr>
        <w:pStyle w:val="F9-Paragraph"/>
      </w:pPr>
      <w:r w:rsidRPr="004E1B67">
        <w:t>Inspectors should verify that sampled modifications are appropriately closed out, with activities completed or sufficient progress made to support transition to the next stage or full implementation</w:t>
      </w:r>
      <w:r w:rsidR="00D83230">
        <w:t>.</w:t>
      </w:r>
      <w:r w:rsidR="007174EA" w:rsidRPr="007174EA">
        <w:t xml:space="preserve"> </w:t>
      </w:r>
      <w:r w:rsidR="007174EA">
        <w:t>Areas to consider here should include:</w:t>
      </w:r>
    </w:p>
    <w:p w14:paraId="091B418B" w14:textId="2AB8346B" w:rsidR="00190B9D" w:rsidRPr="00190B9D" w:rsidRDefault="00190B9D" w:rsidP="00DE7FB2">
      <w:pPr>
        <w:pStyle w:val="Bulletlist1"/>
        <w:rPr>
          <w:lang w:eastAsia="en-GB" w:bidi="ar-SA"/>
        </w:rPr>
      </w:pPr>
      <w:r w:rsidRPr="00190B9D">
        <w:rPr>
          <w:lang w:eastAsia="en-GB" w:bidi="ar-SA"/>
        </w:rPr>
        <w:t xml:space="preserve">Completion and assessment of required training, with personnel demonstrably SQEP. </w:t>
      </w:r>
    </w:p>
    <w:p w14:paraId="75AE1D2D" w14:textId="70F99797" w:rsidR="00190B9D" w:rsidRPr="00190B9D" w:rsidRDefault="00190B9D" w:rsidP="00DE7FB2">
      <w:pPr>
        <w:pStyle w:val="Bulletlist1"/>
        <w:rPr>
          <w:lang w:eastAsia="en-GB" w:bidi="ar-SA"/>
        </w:rPr>
      </w:pPr>
      <w:r w:rsidRPr="00190B9D">
        <w:rPr>
          <w:lang w:eastAsia="en-GB" w:bidi="ar-SA"/>
        </w:rPr>
        <w:t xml:space="preserve">Completion and updating of all required documentation, including drawings and configuration records. </w:t>
      </w:r>
    </w:p>
    <w:p w14:paraId="33A24394" w14:textId="0DFD0070" w:rsidR="00190B9D" w:rsidRPr="00190B9D" w:rsidRDefault="00190B9D" w:rsidP="00DE7FB2">
      <w:pPr>
        <w:pStyle w:val="Bulletlist1"/>
        <w:rPr>
          <w:lang w:eastAsia="en-GB" w:bidi="ar-SA"/>
        </w:rPr>
      </w:pPr>
      <w:r w:rsidRPr="00190B9D">
        <w:rPr>
          <w:lang w:eastAsia="en-GB" w:bidi="ar-SA"/>
        </w:rPr>
        <w:t xml:space="preserve">Maintenance schedules, operating rules and instructions updated and implemented to reflect the modified plant state. </w:t>
      </w:r>
    </w:p>
    <w:p w14:paraId="730764E5" w14:textId="31CA1C14" w:rsidR="00190B9D" w:rsidRPr="00190B9D" w:rsidRDefault="00190B9D" w:rsidP="00DE7FB2">
      <w:pPr>
        <w:pStyle w:val="Bulletlist1"/>
        <w:rPr>
          <w:lang w:eastAsia="en-GB" w:bidi="ar-SA"/>
        </w:rPr>
      </w:pPr>
      <w:r w:rsidRPr="00190B9D">
        <w:rPr>
          <w:lang w:eastAsia="en-GB" w:bidi="ar-SA"/>
        </w:rPr>
        <w:t xml:space="preserve">Effective control and removal of temporary plant or construction aids following completion. </w:t>
      </w:r>
    </w:p>
    <w:p w14:paraId="7DB6A71D" w14:textId="708E221F" w:rsidR="00190B9D" w:rsidRPr="00190B9D" w:rsidRDefault="00190B9D" w:rsidP="00DE7FB2">
      <w:pPr>
        <w:pStyle w:val="Bulletlist1"/>
        <w:rPr>
          <w:lang w:eastAsia="en-GB" w:bidi="ar-SA"/>
        </w:rPr>
      </w:pPr>
      <w:r w:rsidRPr="00190B9D">
        <w:rPr>
          <w:lang w:eastAsia="en-GB" w:bidi="ar-SA"/>
        </w:rPr>
        <w:t>Verification that the as</w:t>
      </w:r>
      <w:r w:rsidRPr="00190B9D">
        <w:rPr>
          <w:lang w:eastAsia="en-GB" w:bidi="ar-SA"/>
        </w:rPr>
        <w:noBreakHyphen/>
        <w:t xml:space="preserve">built modification conforms to the approved design, or is otherwise robustly substantiated. </w:t>
      </w:r>
    </w:p>
    <w:p w14:paraId="63360289" w14:textId="55AB2B5B" w:rsidR="00190B9D" w:rsidRPr="00190B9D" w:rsidRDefault="00190B9D" w:rsidP="00DE7FB2">
      <w:pPr>
        <w:pStyle w:val="Bulletlist1"/>
        <w:rPr>
          <w:lang w:eastAsia="en-GB" w:bidi="ar-SA"/>
        </w:rPr>
      </w:pPr>
      <w:r w:rsidRPr="00190B9D">
        <w:rPr>
          <w:lang w:eastAsia="en-GB" w:bidi="ar-SA"/>
        </w:rPr>
        <w:t>Demonstrable compliance with, and authorisation of, all regulatory and internal hold points by SQEP personnel.</w:t>
      </w:r>
    </w:p>
    <w:p w14:paraId="060CACF2" w14:textId="2C120A26" w:rsidR="0096158B" w:rsidRPr="0096158B" w:rsidRDefault="0096158B" w:rsidP="0096158B">
      <w:pPr>
        <w:pStyle w:val="F9-Paragraph"/>
      </w:pPr>
      <w:r w:rsidRPr="0096158B">
        <w:t>Inspectors should review the number and duration of open modifications to identify any systemic weaknesses in modification close</w:t>
      </w:r>
      <w:r w:rsidRPr="0096158B">
        <w:noBreakHyphen/>
        <w:t>out. A key performance indicator is the number of modifications where work is complete but formal close</w:t>
      </w:r>
      <w:r w:rsidRPr="0096158B">
        <w:noBreakHyphen/>
        <w:t>out has not been achieved, as this may indicate wider issues with training or management system controls.</w:t>
      </w:r>
    </w:p>
    <w:p w14:paraId="2F53677A" w14:textId="77777777" w:rsidR="0096158B" w:rsidRPr="0096158B" w:rsidRDefault="0096158B" w:rsidP="0096158B">
      <w:pPr>
        <w:pStyle w:val="F9-Paragraph"/>
      </w:pPr>
      <w:r w:rsidRPr="0096158B">
        <w:t>Inspectors should verify the accuracy of the licensee’s register of implemented and planned modifications, as effective configuration control in line with safety case intent is fundamental to modification control.</w:t>
      </w:r>
    </w:p>
    <w:p w14:paraId="7C6EDFA3" w14:textId="77777777" w:rsidR="00DE7FB2" w:rsidRDefault="00DE7FB2" w:rsidP="00602020">
      <w:pPr>
        <w:pStyle w:val="F9-Paragraph"/>
        <w:sectPr w:rsidR="00DE7FB2" w:rsidSect="00DD025D">
          <w:pgSz w:w="11906" w:h="16838" w:code="9"/>
          <w:pgMar w:top="1276" w:right="1440" w:bottom="1440" w:left="1440" w:header="397" w:footer="397" w:gutter="0"/>
          <w:cols w:space="312"/>
          <w:docGrid w:linePitch="360"/>
        </w:sectPr>
      </w:pPr>
    </w:p>
    <w:p w14:paraId="2A2B9210" w14:textId="7EE0615B" w:rsidR="00243E8A" w:rsidRDefault="0096158B" w:rsidP="00602020">
      <w:pPr>
        <w:pStyle w:val="F9-Paragraph"/>
      </w:pPr>
      <w:r w:rsidRPr="0096158B">
        <w:lastRenderedPageBreak/>
        <w:t>For temporary modifications, inspectors should confirm that plant documentation accurately reflects the prevailing plant configuration for the duration of the modification</w:t>
      </w:r>
      <w:r>
        <w:t>.</w:t>
      </w:r>
      <w:r w:rsidR="00D9096E">
        <w:t xml:space="preserve"> Other aspects to verify are:</w:t>
      </w:r>
    </w:p>
    <w:p w14:paraId="169C4ABC" w14:textId="54619C95" w:rsidR="00E83B7E" w:rsidRPr="00E83B7E" w:rsidRDefault="00E83B7E" w:rsidP="00DE7FB2">
      <w:pPr>
        <w:pStyle w:val="Bulletlist1"/>
        <w:rPr>
          <w:lang w:eastAsia="en-GB" w:bidi="ar-SA"/>
        </w:rPr>
      </w:pPr>
      <w:r w:rsidRPr="00E83B7E">
        <w:rPr>
          <w:lang w:eastAsia="en-GB" w:bidi="ar-SA"/>
        </w:rPr>
        <w:t xml:space="preserve">Distinctive logging, labelling and tagging of temporary modifications. </w:t>
      </w:r>
    </w:p>
    <w:p w14:paraId="04EBB9E9" w14:textId="56C7292C" w:rsidR="00E83B7E" w:rsidRPr="00E83B7E" w:rsidRDefault="00E83B7E" w:rsidP="00DE7FB2">
      <w:pPr>
        <w:pStyle w:val="Bulletlist1"/>
        <w:rPr>
          <w:lang w:eastAsia="en-GB" w:bidi="ar-SA"/>
        </w:rPr>
      </w:pPr>
      <w:r w:rsidRPr="00E83B7E">
        <w:rPr>
          <w:lang w:eastAsia="en-GB" w:bidi="ar-SA"/>
        </w:rPr>
        <w:t xml:space="preserve">Clear communication with operators, including their early involvement and control of temporary modifications. </w:t>
      </w:r>
    </w:p>
    <w:p w14:paraId="6247C82E" w14:textId="4EB94562" w:rsidR="00E83B7E" w:rsidRPr="00E83B7E" w:rsidRDefault="00E83B7E" w:rsidP="00DE7FB2">
      <w:pPr>
        <w:pStyle w:val="Bulletlist1"/>
        <w:rPr>
          <w:lang w:eastAsia="en-GB" w:bidi="ar-SA"/>
        </w:rPr>
      </w:pPr>
      <w:r w:rsidRPr="00E83B7E">
        <w:rPr>
          <w:lang w:eastAsia="en-GB" w:bidi="ar-SA"/>
        </w:rPr>
        <w:t xml:space="preserve">Defined time limits for temporary modifications, including criteria for extension or conversion to permanent status. </w:t>
      </w:r>
    </w:p>
    <w:p w14:paraId="76D770D0" w14:textId="4A2CC4C4" w:rsidR="00E83B7E" w:rsidRPr="00E83B7E" w:rsidRDefault="00E83B7E" w:rsidP="00DE7FB2">
      <w:pPr>
        <w:pStyle w:val="Bulletlist1"/>
        <w:rPr>
          <w:lang w:eastAsia="en-GB" w:bidi="ar-SA"/>
        </w:rPr>
      </w:pPr>
      <w:r w:rsidRPr="00E83B7E">
        <w:rPr>
          <w:lang w:eastAsia="en-GB" w:bidi="ar-SA"/>
        </w:rPr>
        <w:t xml:space="preserve">Effective verification of configuration recovery and communication with personnel on removal of temporary modifications. </w:t>
      </w:r>
    </w:p>
    <w:p w14:paraId="420FCF2D" w14:textId="0E989D53" w:rsidR="00E83B7E" w:rsidRPr="00E83B7E" w:rsidRDefault="00E83B7E" w:rsidP="00DE7FB2">
      <w:pPr>
        <w:pStyle w:val="Bulletlist1"/>
        <w:rPr>
          <w:lang w:eastAsia="en-GB" w:bidi="ar-SA"/>
        </w:rPr>
      </w:pPr>
      <w:r w:rsidRPr="00E83B7E">
        <w:rPr>
          <w:lang w:eastAsia="en-GB" w:bidi="ar-SA"/>
        </w:rPr>
        <w:t>Clear identification of temporary modifications at the point of application and at relevant control locations.</w:t>
      </w:r>
    </w:p>
    <w:p w14:paraId="0BF32533" w14:textId="4B1C2879" w:rsidR="0096158B" w:rsidRDefault="002D2665" w:rsidP="00602020">
      <w:pPr>
        <w:pStyle w:val="F9-Paragraph"/>
      </w:pPr>
      <w:r w:rsidRPr="00902596">
        <w:t>Verify that changes to safety-related software are appropriately controlled within the licensee’s LC22 arrangements. This should include procedures for configuration management, validation and verification of software modifications.</w:t>
      </w:r>
    </w:p>
    <w:p w14:paraId="69A629DD" w14:textId="3FD987A4" w:rsidR="00DE7FB2" w:rsidRPr="00DE7FB2" w:rsidRDefault="00501C07" w:rsidP="00DE7FB2">
      <w:pPr>
        <w:pStyle w:val="Heading2"/>
      </w:pPr>
      <w:bookmarkStart w:id="15" w:name="_Toc226723369"/>
      <w:r w:rsidRPr="004A501D">
        <w:t xml:space="preserve">Organisational </w:t>
      </w:r>
      <w:r w:rsidR="00DE7FB2">
        <w:t>c</w:t>
      </w:r>
      <w:r w:rsidR="004A501D" w:rsidRPr="004A501D">
        <w:t xml:space="preserve">ontrol of </w:t>
      </w:r>
      <w:r w:rsidR="00DE7FB2">
        <w:t>m</w:t>
      </w:r>
      <w:r w:rsidR="004A501D" w:rsidRPr="004A501D">
        <w:t>odifications</w:t>
      </w:r>
      <w:bookmarkEnd w:id="15"/>
    </w:p>
    <w:p w14:paraId="5340A25F" w14:textId="3C10C018" w:rsidR="005249DA" w:rsidRPr="005249DA" w:rsidRDefault="005249DA" w:rsidP="005249DA">
      <w:pPr>
        <w:pStyle w:val="F9-Paragraph"/>
      </w:pPr>
      <w:r w:rsidRPr="005249DA">
        <w:t>Maintaining high levels of nuclear safety requires that modifications are made with full understanding of plant design and required safety functions. ONR expects licensees to maintain a suitable and sufficient Design Authority to review, assess, advise on and authorise modification proposals, as appropriate.</w:t>
      </w:r>
    </w:p>
    <w:p w14:paraId="71A202EE" w14:textId="77777777" w:rsidR="005249DA" w:rsidRPr="005249DA" w:rsidRDefault="005249DA" w:rsidP="005249DA">
      <w:pPr>
        <w:pStyle w:val="F9-Paragraph"/>
      </w:pPr>
      <w:r w:rsidRPr="005249DA">
        <w:t>Inspectors should confirm that modification proposals are proportionately and systematically developed, reviewed and authorised by SQEP/DAP personnel, with appropriate independent challenge and agreement prior to implementation.</w:t>
      </w:r>
    </w:p>
    <w:p w14:paraId="6F575E4B" w14:textId="62039F74" w:rsidR="005249DA" w:rsidRPr="005249DA" w:rsidRDefault="005249DA" w:rsidP="005249DA">
      <w:pPr>
        <w:pStyle w:val="F9-Paragraph"/>
      </w:pPr>
      <w:r w:rsidRPr="005249DA">
        <w:t>Where contractors or Responsible Designers are used, the Design Authority should act as an Intelligent Customer</w:t>
      </w:r>
      <w:sdt>
        <w:sdtPr>
          <w:id w:val="-2092682305"/>
          <w:citation/>
        </w:sdtPr>
        <w:sdtEndPr/>
        <w:sdtContent>
          <w:r w:rsidR="008256FF">
            <w:fldChar w:fldCharType="begin"/>
          </w:r>
          <w:r w:rsidR="008256FF">
            <w:instrText xml:space="preserve"> CITATION ONR \l 2057 </w:instrText>
          </w:r>
          <w:r w:rsidR="008256FF">
            <w:fldChar w:fldCharType="separate"/>
          </w:r>
          <w:r w:rsidR="00DD025D">
            <w:rPr>
              <w:noProof/>
            </w:rPr>
            <w:t xml:space="preserve"> </w:t>
          </w:r>
          <w:r w:rsidR="00DD025D" w:rsidRPr="00DD025D">
            <w:rPr>
              <w:noProof/>
            </w:rPr>
            <w:t>[3]</w:t>
          </w:r>
          <w:r w:rsidR="008256FF">
            <w:fldChar w:fldCharType="end"/>
          </w:r>
        </w:sdtContent>
      </w:sdt>
      <w:r w:rsidRPr="005249DA">
        <w:t>, specifying requirements, supervising delivery and technically reviewing outputs throughout the modification lifecycle.</w:t>
      </w:r>
    </w:p>
    <w:p w14:paraId="6921F145" w14:textId="15278D6B" w:rsidR="002D2665" w:rsidRDefault="005249DA" w:rsidP="00D01B2C">
      <w:pPr>
        <w:pStyle w:val="F9-Paragraph"/>
      </w:pPr>
      <w:r w:rsidRPr="005249DA">
        <w:t>Inspectors should also verify that Design Authority involvement confirms the effectiveness of the modification following implementation and that the original objectives and safety intent have been achieved</w:t>
      </w:r>
      <w:r w:rsidR="00E90752">
        <w:t>.</w:t>
      </w:r>
    </w:p>
    <w:p w14:paraId="540E3FBF" w14:textId="7906164A" w:rsidR="00D60BCB" w:rsidRDefault="00457109" w:rsidP="00D60BCB">
      <w:pPr>
        <w:pStyle w:val="Heading1"/>
      </w:pPr>
      <w:bookmarkStart w:id="16" w:name="_Toc93589301"/>
      <w:bookmarkStart w:id="17" w:name="_Toc226723370"/>
      <w:r>
        <w:lastRenderedPageBreak/>
        <w:t>Safeguards</w:t>
      </w:r>
      <w:r w:rsidRPr="00902596">
        <w:t xml:space="preserve"> </w:t>
      </w:r>
      <w:r w:rsidR="00DE7FB2">
        <w:t>r</w:t>
      </w:r>
      <w:r>
        <w:t>equirements</w:t>
      </w:r>
      <w:bookmarkEnd w:id="16"/>
      <w:bookmarkEnd w:id="17"/>
    </w:p>
    <w:p w14:paraId="7D30B1E9" w14:textId="649B5920" w:rsidR="00D60BCB" w:rsidRDefault="004947EF" w:rsidP="00C963E6">
      <w:pPr>
        <w:pStyle w:val="F9-Paragraph"/>
      </w:pPr>
      <w:r>
        <w:t xml:space="preserve">Regulation </w:t>
      </w:r>
      <w:r w:rsidRPr="00902596">
        <w:t>3 of the</w:t>
      </w:r>
      <w:r w:rsidR="00F7142A" w:rsidRPr="00F7142A">
        <w:t xml:space="preserve"> </w:t>
      </w:r>
      <w:r w:rsidR="00F7142A" w:rsidRPr="00902596">
        <w:t xml:space="preserve">Nuclear Safeguards (EU Exit) Regulations 2019 (NSR19) </w:t>
      </w:r>
      <w:r w:rsidRPr="00902596">
        <w:t xml:space="preserve"> </w:t>
      </w:r>
      <w:sdt>
        <w:sdtPr>
          <w:id w:val="1019277641"/>
          <w:citation/>
        </w:sdtPr>
        <w:sdtEndPr/>
        <w:sdtContent>
          <w:r w:rsidR="00D040EA">
            <w:fldChar w:fldCharType="begin"/>
          </w:r>
          <w:r w:rsidR="00D040EA">
            <w:instrText xml:space="preserve"> CITATION HMG2 \l 2057 </w:instrText>
          </w:r>
          <w:r w:rsidR="00D040EA">
            <w:fldChar w:fldCharType="separate"/>
          </w:r>
          <w:r w:rsidR="00DD025D" w:rsidRPr="00DD025D">
            <w:rPr>
              <w:noProof/>
            </w:rPr>
            <w:t>[4]</w:t>
          </w:r>
          <w:r w:rsidR="00D040EA">
            <w:fldChar w:fldCharType="end"/>
          </w:r>
        </w:sdtContent>
      </w:sdt>
      <w:r w:rsidRPr="00902596">
        <w:t xml:space="preserve"> makes specific requirements of operators regarding the timeliness of submitting Basic Technical Characteristics (BTC) documents to ONR following plant modification. Such BTCs contain safeguards relevant aspects of facility design and their timely submission is the basis for early safeguards engagement with ONR and, if necessary, the IAEA. Inspectors should contact ONR Safeguards to ensure that the requirements for BTCs in NSR19 have been complied with in the event of a plant modification</w:t>
      </w:r>
      <w:r>
        <w:t>.</w:t>
      </w:r>
    </w:p>
    <w:p w14:paraId="6B7873EB" w14:textId="77777777" w:rsidR="00B36D19" w:rsidRDefault="00B36D19">
      <w:pPr>
        <w:spacing w:after="0" w:line="240" w:lineRule="auto"/>
      </w:pPr>
      <w:r>
        <w:br w:type="page"/>
      </w:r>
    </w:p>
    <w:p w14:paraId="0703F7AF" w14:textId="0AC836A9" w:rsidR="00B36D19" w:rsidRDefault="00B36D19" w:rsidP="00B36D19">
      <w:pPr>
        <w:pStyle w:val="Heading1"/>
        <w:numPr>
          <w:ilvl w:val="0"/>
          <w:numId w:val="0"/>
        </w:numPr>
      </w:pPr>
      <w:bookmarkStart w:id="18" w:name="_Toc93589305"/>
      <w:bookmarkStart w:id="19" w:name="_Toc226723371"/>
      <w:r>
        <w:lastRenderedPageBreak/>
        <w:t>Appendix 1 – G</w:t>
      </w:r>
      <w:r w:rsidRPr="00490911">
        <w:t xml:space="preserve">uidance to </w:t>
      </w:r>
      <w:r w:rsidR="00DE7FB2">
        <w:t>i</w:t>
      </w:r>
      <w:r w:rsidRPr="00490911">
        <w:t xml:space="preserve">nspectors on </w:t>
      </w:r>
      <w:r w:rsidR="00DE7FB2">
        <w:t>m</w:t>
      </w:r>
      <w:r w:rsidRPr="00490911">
        <w:t xml:space="preserve">odification </w:t>
      </w:r>
      <w:r w:rsidR="00DE7FB2">
        <w:t>c</w:t>
      </w:r>
      <w:r w:rsidRPr="00490911">
        <w:t>lassification</w:t>
      </w:r>
      <w:bookmarkEnd w:id="18"/>
      <w:bookmarkEnd w:id="19"/>
    </w:p>
    <w:p w14:paraId="3E41AB0C" w14:textId="13B8F85E" w:rsidR="00B36D19" w:rsidRDefault="00C60D14" w:rsidP="00DE7FB2">
      <w:pPr>
        <w:pStyle w:val="F9-Paragraph"/>
        <w:numPr>
          <w:ilvl w:val="0"/>
          <w:numId w:val="32"/>
        </w:numPr>
        <w:ind w:left="851" w:hanging="851"/>
      </w:pPr>
      <w:r w:rsidRPr="00C60D14">
        <w:t>The list below highlights elements that may feature in the licensee’s modification classification arrangements. Inspectors should confirm the hierarchy is proportionate to the proposal’s safety significance.</w:t>
      </w:r>
    </w:p>
    <w:p w14:paraId="784BC738" w14:textId="77777777" w:rsidR="00B36D19" w:rsidRPr="00DE7FB2" w:rsidRDefault="00B36D19" w:rsidP="00DE7FB2">
      <w:pPr>
        <w:pStyle w:val="F9-Paragraph"/>
        <w:numPr>
          <w:ilvl w:val="0"/>
          <w:numId w:val="0"/>
        </w:numPr>
        <w:ind w:left="851"/>
        <w:rPr>
          <w:b/>
          <w:bCs/>
        </w:rPr>
      </w:pPr>
      <w:r w:rsidRPr="00DE7FB2">
        <w:rPr>
          <w:b/>
          <w:bCs/>
        </w:rPr>
        <w:t>Category 1/A</w:t>
      </w:r>
    </w:p>
    <w:p w14:paraId="278213C4" w14:textId="0E2AD2CA" w:rsidR="009E267B" w:rsidRPr="009E267B" w:rsidRDefault="009E267B" w:rsidP="00DE7FB2">
      <w:pPr>
        <w:pStyle w:val="Bulletlist1"/>
      </w:pPr>
      <w:r w:rsidRPr="009E267B">
        <w:t>Category 1/A modifications may significantly affect radiological hazard or release (and hence risk), or change the design/licensing basis. They may revise design basis accidents, alter the technical means of meeting safety goals or safety functions, or change operating rules. They require thorough analysis, usually prior ONR approval, and may require amendment of the operating/design basis.</w:t>
      </w:r>
    </w:p>
    <w:p w14:paraId="2ADEA451" w14:textId="048BD0F9" w:rsidR="00634EA7" w:rsidRPr="00634EA7" w:rsidRDefault="00B36D19" w:rsidP="00DE7FB2">
      <w:pPr>
        <w:pStyle w:val="Bulletlist1"/>
      </w:pPr>
      <w:r w:rsidRPr="00490911">
        <w:t>A</w:t>
      </w:r>
      <w:r w:rsidR="00634EA7" w:rsidRPr="00634EA7">
        <w:t xml:space="preserve"> nuclear safety proposal which, if poorly conceived or executed, could substantially increase radiological risk, or would significantly alter the safety principles and arguments.</w:t>
      </w:r>
    </w:p>
    <w:p w14:paraId="27D042F2" w14:textId="0D02B8BA" w:rsidR="00B36D19" w:rsidRPr="00490911" w:rsidRDefault="00B36D19" w:rsidP="00DE7FB2">
      <w:pPr>
        <w:pStyle w:val="Bulletlist1"/>
      </w:pPr>
      <w:r w:rsidRPr="00490911">
        <w:t>Potential for significant off-site hazard (e.g. &gt; 5 mSv).</w:t>
      </w:r>
    </w:p>
    <w:p w14:paraId="7BA4F32F" w14:textId="77777777" w:rsidR="00B36D19" w:rsidRDefault="00B36D19" w:rsidP="00DE7FB2">
      <w:pPr>
        <w:pStyle w:val="Bulletlist1"/>
      </w:pPr>
      <w:r w:rsidRPr="00490911">
        <w:t>Significant changes to high category safety functions and systems and operating conditions and limits that protect against off-site hazards.</w:t>
      </w:r>
    </w:p>
    <w:p w14:paraId="021257E6" w14:textId="77777777" w:rsidR="00B36D19" w:rsidRPr="00DE7FB2" w:rsidRDefault="00B36D19" w:rsidP="00DE7FB2">
      <w:pPr>
        <w:pStyle w:val="F9-Paragraph"/>
        <w:numPr>
          <w:ilvl w:val="0"/>
          <w:numId w:val="0"/>
        </w:numPr>
        <w:ind w:left="851"/>
        <w:rPr>
          <w:b/>
          <w:bCs/>
        </w:rPr>
      </w:pPr>
      <w:r w:rsidRPr="00DE7FB2">
        <w:rPr>
          <w:b/>
          <w:bCs/>
        </w:rPr>
        <w:t>Category 2/B</w:t>
      </w:r>
    </w:p>
    <w:p w14:paraId="20B9569D" w14:textId="3A8B3EB0" w:rsidR="00B517BB" w:rsidRPr="00B517BB" w:rsidRDefault="00B517BB" w:rsidP="00DE7FB2">
      <w:pPr>
        <w:pStyle w:val="Bulletlist1"/>
      </w:pPr>
      <w:r w:rsidRPr="00B517BB">
        <w:t>Category 2/B modifications include changes to safety-related items/systems and to operating approaches/procedures, and will usually require an update to the safety case or other licensing documents. They have a lesser influence on safety and do not materially change the licensing basis; conclusions in the licensing documents should remain unchanged. During design, potential adverse effects (e.g. degradation of safety features, impact on safety functions, or significant exposure during implementation) should be assessed. ONR should be informed in accordance with established procedures.</w:t>
      </w:r>
    </w:p>
    <w:p w14:paraId="658CCDC6" w14:textId="63CBD0D2" w:rsidR="00B517BB" w:rsidRDefault="002A69FE" w:rsidP="00DE7FB2">
      <w:pPr>
        <w:pStyle w:val="Bulletlist1"/>
      </w:pPr>
      <w:r w:rsidRPr="002A69FE">
        <w:t>A nuclear safety proposal which, if poorly conceived or executed, could cause a significant (but less serious) increase in radiological hazard or release, without significant change to the safety principles underpinning the safety arguments</w:t>
      </w:r>
      <w:r w:rsidR="00B517BB">
        <w:t>.</w:t>
      </w:r>
    </w:p>
    <w:p w14:paraId="293DB8FB" w14:textId="77777777" w:rsidR="00B36D19" w:rsidRDefault="00B36D19" w:rsidP="00DE7FB2">
      <w:pPr>
        <w:pStyle w:val="Bulletlist1"/>
      </w:pPr>
      <w:r>
        <w:t>Significant on-site hazard, or in-building hazard; with low off-site hazard.</w:t>
      </w:r>
    </w:p>
    <w:p w14:paraId="3FEE3D0A" w14:textId="77777777" w:rsidR="00B36D19" w:rsidRDefault="00B36D19" w:rsidP="00DE7FB2">
      <w:pPr>
        <w:pStyle w:val="Bulletlist1"/>
      </w:pPr>
      <w:r>
        <w:t>Changes to safety systems and operating limits and conditions that protect against significant on-site hazards.</w:t>
      </w:r>
    </w:p>
    <w:p w14:paraId="011752F3" w14:textId="77777777" w:rsidR="00DE7FB2" w:rsidRDefault="00DE7FB2" w:rsidP="00DE7FB2">
      <w:pPr>
        <w:pStyle w:val="F9-Paragraph"/>
        <w:numPr>
          <w:ilvl w:val="0"/>
          <w:numId w:val="0"/>
        </w:numPr>
        <w:ind w:left="851"/>
      </w:pPr>
    </w:p>
    <w:p w14:paraId="31A889E4" w14:textId="50AFBDF5" w:rsidR="00B36D19" w:rsidRPr="00DE7FB2" w:rsidRDefault="00B36D19" w:rsidP="00DE7FB2">
      <w:pPr>
        <w:pStyle w:val="F9-Paragraph"/>
        <w:numPr>
          <w:ilvl w:val="0"/>
          <w:numId w:val="0"/>
        </w:numPr>
        <w:ind w:left="851"/>
        <w:rPr>
          <w:b/>
          <w:bCs/>
        </w:rPr>
      </w:pPr>
      <w:r w:rsidRPr="00DE7FB2">
        <w:rPr>
          <w:b/>
          <w:bCs/>
        </w:rPr>
        <w:lastRenderedPageBreak/>
        <w:t>Category 3/C</w:t>
      </w:r>
    </w:p>
    <w:p w14:paraId="29BEC0D4" w14:textId="77777777" w:rsidR="00B36D19" w:rsidRPr="00490911" w:rsidRDefault="00B36D19" w:rsidP="00DE7FB2">
      <w:pPr>
        <w:pStyle w:val="Bulletlist1"/>
      </w:pPr>
      <w:r w:rsidRPr="00490911">
        <w:t>Modifications in Category 3/C are minor modifications that can be characterised in one of the following ways:</w:t>
      </w:r>
    </w:p>
    <w:p w14:paraId="15F8460E" w14:textId="77777777" w:rsidR="00B36D19" w:rsidRDefault="00B36D19" w:rsidP="00DE7FB2">
      <w:pPr>
        <w:pStyle w:val="Bulletlist2"/>
      </w:pPr>
      <w:r>
        <w:t>The modification has minor or no consequences for safety;</w:t>
      </w:r>
    </w:p>
    <w:p w14:paraId="70A45409" w14:textId="77777777" w:rsidR="00B36D19" w:rsidRDefault="00B36D19" w:rsidP="00DE7FB2">
      <w:pPr>
        <w:pStyle w:val="Bulletlist2"/>
      </w:pPr>
      <w:r>
        <w:t>The items to be modified are classified as items not important to safety and are not mentioned in the licensing documents; and</w:t>
      </w:r>
    </w:p>
    <w:p w14:paraId="6B38CC03" w14:textId="77777777" w:rsidR="00B36D19" w:rsidRDefault="00B36D19" w:rsidP="00DE7FB2">
      <w:pPr>
        <w:pStyle w:val="Bulletlist2"/>
      </w:pPr>
      <w:r>
        <w:t>The modification, even if ill-conceived or implemented incorrectly, could not lead to a significant increase in risk or create a significant hazard.</w:t>
      </w:r>
    </w:p>
    <w:p w14:paraId="7CF77AE9" w14:textId="77777777" w:rsidR="00B36D19" w:rsidRDefault="00B36D19" w:rsidP="00DE7FB2">
      <w:pPr>
        <w:pStyle w:val="Bulletlist1"/>
      </w:pPr>
      <w:r>
        <w:t>Modifications in this category should not normally require consideration by ONR.</w:t>
      </w:r>
    </w:p>
    <w:p w14:paraId="3D33252C" w14:textId="77777777" w:rsidR="00B36D19" w:rsidRDefault="00B36D19" w:rsidP="00DE7FB2">
      <w:pPr>
        <w:pStyle w:val="Bulletlist1"/>
      </w:pPr>
      <w:r>
        <w:t>Minor in-building hazard; very low off-site hazard.</w:t>
      </w:r>
    </w:p>
    <w:p w14:paraId="6E25CB71" w14:textId="74D042A1" w:rsidR="00B36D19" w:rsidRPr="00DE7FB2" w:rsidRDefault="00B36D19" w:rsidP="00DE7FB2">
      <w:pPr>
        <w:pStyle w:val="F9-Paragraph"/>
        <w:numPr>
          <w:ilvl w:val="0"/>
          <w:numId w:val="0"/>
        </w:numPr>
        <w:ind w:left="851"/>
        <w:rPr>
          <w:b/>
          <w:bCs/>
        </w:rPr>
      </w:pPr>
      <w:r w:rsidRPr="00DE7FB2">
        <w:rPr>
          <w:b/>
          <w:bCs/>
        </w:rPr>
        <w:t>Category 4/D</w:t>
      </w:r>
    </w:p>
    <w:p w14:paraId="3AFAB2AD" w14:textId="77777777" w:rsidR="00B36D19" w:rsidRDefault="00B36D19" w:rsidP="00DE7FB2">
      <w:pPr>
        <w:pStyle w:val="Bulletlist1"/>
      </w:pPr>
      <w:r>
        <w:t>A proposal which, even if inadequately conceived or executed, could not affect nuclear safety or lead to a radiological hazard.</w:t>
      </w:r>
    </w:p>
    <w:p w14:paraId="3EA55DCE" w14:textId="77777777" w:rsidR="00B36D19" w:rsidRPr="00490911" w:rsidRDefault="00B36D19" w:rsidP="00DE7FB2">
      <w:pPr>
        <w:pStyle w:val="Bulletlist1"/>
      </w:pPr>
      <w:r>
        <w:t>Radiological hazard confined to local work area; negligible off-site hazard.</w:t>
      </w:r>
    </w:p>
    <w:p w14:paraId="7A59532E" w14:textId="2128E25A" w:rsidR="0017768E" w:rsidRDefault="0017768E" w:rsidP="00DE7FB2">
      <w:pPr>
        <w:pStyle w:val="F9-Paragraph"/>
        <w:rPr>
          <w:szCs w:val="24"/>
        </w:rPr>
      </w:pPr>
      <w:r>
        <w:t>Safety classification determines the potential hazard arising from a modification and, therefore, the level of control and safety justification required. Inspectors should check that classification is based on unmitigated consequence (i.e. assuming no safety systems or other interventions). Inadequate internal challenge and advice has been a contributory factor in major accidents.</w:t>
      </w:r>
    </w:p>
    <w:p w14:paraId="677475D0" w14:textId="42D93090" w:rsidR="0017768E" w:rsidRDefault="0017768E" w:rsidP="00DE7FB2">
      <w:pPr>
        <w:pStyle w:val="F9-Paragraph"/>
        <w:rPr>
          <w:szCs w:val="24"/>
        </w:rPr>
      </w:pPr>
      <w:r>
        <w:t>Some arrangements may allow limited credit for mitigation on existing facilities with proven safety systems, provided those systems are clearly unaffected by the modification and its implementation. Inspectors should verify that credited systems are validly substantiated, demonstrably effective, and robust to the relevant fault, achieving their safety function without reliance on additional actions or interventions.</w:t>
      </w:r>
    </w:p>
    <w:p w14:paraId="50DB665A" w14:textId="38804899" w:rsidR="0017768E" w:rsidRDefault="0017768E" w:rsidP="00DE7FB2">
      <w:pPr>
        <w:pStyle w:val="F9-Paragraph"/>
        <w:rPr>
          <w:szCs w:val="24"/>
        </w:rPr>
      </w:pPr>
      <w:r>
        <w:t>Lower-hazard sites may apply different classification criteria, reflecting the absence of highest-category hazards. Inspectors should still expect proportionate control through the licensee’s internal challenge processes and nuclear safety committee, to ensure suitable scrutiny without routine submission to ONR.</w:t>
      </w:r>
    </w:p>
    <w:p w14:paraId="2EB62447" w14:textId="6C3C96F7" w:rsidR="00D60BCB" w:rsidRDefault="00D60BCB">
      <w:pPr>
        <w:spacing w:after="0" w:line="240" w:lineRule="auto"/>
      </w:pPr>
      <w:r>
        <w:br w:type="page"/>
      </w:r>
    </w:p>
    <w:p w14:paraId="25B0DAC6" w14:textId="77777777" w:rsidR="00821337" w:rsidRDefault="00821337" w:rsidP="00FA33FE">
      <w:pPr>
        <w:pStyle w:val="Heading1"/>
        <w:numPr>
          <w:ilvl w:val="0"/>
          <w:numId w:val="0"/>
        </w:numPr>
        <w:ind w:left="851" w:hanging="851"/>
        <w:rPr>
          <w:color w:val="auto"/>
          <w:sz w:val="24"/>
        </w:rPr>
        <w:sectPr w:rsidR="00821337" w:rsidSect="00DD025D">
          <w:pgSz w:w="11906" w:h="16838" w:code="9"/>
          <w:pgMar w:top="1276" w:right="1440" w:bottom="1440" w:left="1440" w:header="397" w:footer="397" w:gutter="0"/>
          <w:cols w:space="312"/>
          <w:docGrid w:linePitch="360"/>
        </w:sectPr>
      </w:pPr>
    </w:p>
    <w:bookmarkStart w:id="20" w:name="_Toc226723372" w:displacedByCustomXml="next"/>
    <w:sdt>
      <w:sdtPr>
        <w:rPr>
          <w:color w:val="auto"/>
          <w:sz w:val="24"/>
        </w:rPr>
        <w:id w:val="-652758001"/>
        <w:docPartObj>
          <w:docPartGallery w:val="Bibliographies"/>
          <w:docPartUnique/>
        </w:docPartObj>
      </w:sdtPr>
      <w:sdtEndPr/>
      <w:sdtContent>
        <w:p w14:paraId="5F37DAE5" w14:textId="780DB8DB" w:rsidR="002042C2" w:rsidRDefault="002042C2" w:rsidP="002042C2">
          <w:pPr>
            <w:pStyle w:val="Heading1"/>
            <w:numPr>
              <w:ilvl w:val="0"/>
              <w:numId w:val="0"/>
            </w:numPr>
            <w:ind w:left="851" w:hanging="851"/>
          </w:pPr>
          <w:r>
            <w:t>References</w:t>
          </w:r>
          <w:bookmarkEnd w:id="20"/>
        </w:p>
        <w:sdt>
          <w:sdtPr>
            <w:id w:val="-573587230"/>
            <w:bibliography/>
          </w:sdtPr>
          <w:sdtEndPr/>
          <w:sdtContent>
            <w:p w14:paraId="38F36181" w14:textId="77777777" w:rsidR="00DD025D"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DD025D" w14:paraId="55C64686" w14:textId="77777777">
                <w:trPr>
                  <w:divId w:val="526330341"/>
                  <w:tblCellSpacing w:w="15" w:type="dxa"/>
                </w:trPr>
                <w:tc>
                  <w:tcPr>
                    <w:tcW w:w="50" w:type="pct"/>
                    <w:hideMark/>
                  </w:tcPr>
                  <w:p w14:paraId="3DCF14A3" w14:textId="75A43E35" w:rsidR="00DD025D" w:rsidRDefault="00DD025D">
                    <w:pPr>
                      <w:pStyle w:val="Bibliography"/>
                      <w:rPr>
                        <w:noProof/>
                        <w:szCs w:val="24"/>
                      </w:rPr>
                    </w:pPr>
                    <w:r>
                      <w:rPr>
                        <w:noProof/>
                      </w:rPr>
                      <w:t xml:space="preserve">[1] </w:t>
                    </w:r>
                  </w:p>
                </w:tc>
                <w:tc>
                  <w:tcPr>
                    <w:tcW w:w="0" w:type="auto"/>
                    <w:hideMark/>
                  </w:tcPr>
                  <w:p w14:paraId="4C578CED" w14:textId="77777777" w:rsidR="00DD025D" w:rsidRDefault="00DD025D">
                    <w:pPr>
                      <w:pStyle w:val="Bibliography"/>
                      <w:rPr>
                        <w:noProof/>
                      </w:rPr>
                    </w:pPr>
                    <w:r>
                      <w:rPr>
                        <w:noProof/>
                      </w:rPr>
                      <w:t>ONR, “ONR-RD-POL-002 - Risk Informed and Targeted Engagements,” [Online]. Available: To ONR staff via HOW2 Hub (Internal ONR system).</w:t>
                    </w:r>
                  </w:p>
                </w:tc>
              </w:tr>
              <w:tr w:rsidR="00DD025D" w14:paraId="0B347F5B" w14:textId="77777777">
                <w:trPr>
                  <w:divId w:val="526330341"/>
                  <w:tblCellSpacing w:w="15" w:type="dxa"/>
                </w:trPr>
                <w:tc>
                  <w:tcPr>
                    <w:tcW w:w="50" w:type="pct"/>
                    <w:hideMark/>
                  </w:tcPr>
                  <w:p w14:paraId="328C6822" w14:textId="77777777" w:rsidR="00DD025D" w:rsidRDefault="00DD025D">
                    <w:pPr>
                      <w:pStyle w:val="Bibliography"/>
                      <w:rPr>
                        <w:noProof/>
                      </w:rPr>
                    </w:pPr>
                    <w:r>
                      <w:rPr>
                        <w:noProof/>
                      </w:rPr>
                      <w:t xml:space="preserve">[2] </w:t>
                    </w:r>
                  </w:p>
                </w:tc>
                <w:tc>
                  <w:tcPr>
                    <w:tcW w:w="0" w:type="auto"/>
                    <w:hideMark/>
                  </w:tcPr>
                  <w:p w14:paraId="4F83B7F1" w14:textId="77777777" w:rsidR="00DD025D" w:rsidRDefault="00DD025D">
                    <w:pPr>
                      <w:pStyle w:val="Bibliography"/>
                      <w:rPr>
                        <w:noProof/>
                      </w:rPr>
                    </w:pPr>
                    <w:r>
                      <w:rPr>
                        <w:noProof/>
                      </w:rPr>
                      <w:t>ONR, “Licence Condition Handbook,” [Online]. Available: To ONR staff via HOW2 Hub (Internal ONR system).</w:t>
                    </w:r>
                  </w:p>
                </w:tc>
              </w:tr>
              <w:tr w:rsidR="00DD025D" w14:paraId="3A8FCAC8" w14:textId="77777777">
                <w:trPr>
                  <w:divId w:val="526330341"/>
                  <w:tblCellSpacing w:w="15" w:type="dxa"/>
                </w:trPr>
                <w:tc>
                  <w:tcPr>
                    <w:tcW w:w="50" w:type="pct"/>
                    <w:hideMark/>
                  </w:tcPr>
                  <w:p w14:paraId="780681A0" w14:textId="77777777" w:rsidR="00DD025D" w:rsidRDefault="00DD025D">
                    <w:pPr>
                      <w:pStyle w:val="Bibliography"/>
                      <w:rPr>
                        <w:noProof/>
                      </w:rPr>
                    </w:pPr>
                    <w:r>
                      <w:rPr>
                        <w:noProof/>
                      </w:rPr>
                      <w:t xml:space="preserve">[3] </w:t>
                    </w:r>
                  </w:p>
                </w:tc>
                <w:tc>
                  <w:tcPr>
                    <w:tcW w:w="0" w:type="auto"/>
                    <w:hideMark/>
                  </w:tcPr>
                  <w:p w14:paraId="2CA7C07A" w14:textId="77777777" w:rsidR="00DD025D" w:rsidRDefault="00DD025D">
                    <w:pPr>
                      <w:pStyle w:val="Bibliography"/>
                      <w:rPr>
                        <w:noProof/>
                      </w:rPr>
                    </w:pPr>
                    <w:r>
                      <w:rPr>
                        <w:noProof/>
                      </w:rPr>
                      <w:t xml:space="preserve">ONR, NS-TAST-GD-049 Licensee Core Safety and Intelligent Customer Capabilities. </w:t>
                    </w:r>
                  </w:p>
                </w:tc>
              </w:tr>
              <w:tr w:rsidR="00DD025D" w14:paraId="3275EF24" w14:textId="77777777">
                <w:trPr>
                  <w:divId w:val="526330341"/>
                  <w:tblCellSpacing w:w="15" w:type="dxa"/>
                </w:trPr>
                <w:tc>
                  <w:tcPr>
                    <w:tcW w:w="50" w:type="pct"/>
                    <w:hideMark/>
                  </w:tcPr>
                  <w:p w14:paraId="396338EB" w14:textId="77777777" w:rsidR="00DD025D" w:rsidRDefault="00DD025D">
                    <w:pPr>
                      <w:pStyle w:val="Bibliography"/>
                      <w:rPr>
                        <w:noProof/>
                      </w:rPr>
                    </w:pPr>
                    <w:r>
                      <w:rPr>
                        <w:noProof/>
                      </w:rPr>
                      <w:t xml:space="preserve">[4] </w:t>
                    </w:r>
                  </w:p>
                </w:tc>
                <w:tc>
                  <w:tcPr>
                    <w:tcW w:w="0" w:type="auto"/>
                    <w:hideMark/>
                  </w:tcPr>
                  <w:p w14:paraId="2E8B562E" w14:textId="77777777" w:rsidR="00DD025D" w:rsidRDefault="00DD025D">
                    <w:pPr>
                      <w:pStyle w:val="Bibliography"/>
                      <w:rPr>
                        <w:noProof/>
                      </w:rPr>
                    </w:pPr>
                    <w:r>
                      <w:rPr>
                        <w:noProof/>
                      </w:rPr>
                      <w:t xml:space="preserve">H. Government, Nuclear Safeguards (EU Exit) Regulations 2019 (NSR19). </w:t>
                    </w:r>
                  </w:p>
                </w:tc>
              </w:tr>
            </w:tbl>
            <w:p w14:paraId="7163F60B" w14:textId="77777777" w:rsidR="00DD025D" w:rsidRDefault="00DD025D">
              <w:pPr>
                <w:divId w:val="526330341"/>
                <w:rPr>
                  <w:rFonts w:eastAsia="Times New Roman"/>
                  <w:noProof/>
                </w:rPr>
              </w:pPr>
            </w:p>
            <w:p w14:paraId="7CD57A40" w14:textId="28CCA3A7" w:rsidR="002042C2" w:rsidRDefault="002042C2" w:rsidP="002042C2">
              <w:r>
                <w:rPr>
                  <w:b/>
                  <w:bCs/>
                  <w:noProof/>
                </w:rPr>
                <w:fldChar w:fldCharType="end"/>
              </w:r>
            </w:p>
          </w:sdtContent>
        </w:sdt>
      </w:sdtContent>
    </w:sdt>
    <w:p w14:paraId="62744701" w14:textId="6D69F826" w:rsidR="00DD025D" w:rsidRDefault="00DD025D">
      <w:pPr>
        <w:spacing w:after="0" w:line="240" w:lineRule="auto"/>
        <w:rPr>
          <w:color w:val="22413A"/>
          <w:sz w:val="48"/>
        </w:rPr>
      </w:pPr>
      <w:bookmarkStart w:id="21" w:name="_Toc225866462"/>
    </w:p>
    <w:p w14:paraId="41D98985" w14:textId="0476F3D1" w:rsidR="004F4C48" w:rsidRPr="00595C8C" w:rsidRDefault="004F4C48" w:rsidP="00DD025D">
      <w:pPr>
        <w:pStyle w:val="Heading1"/>
        <w:numPr>
          <w:ilvl w:val="0"/>
          <w:numId w:val="0"/>
        </w:numPr>
      </w:pPr>
      <w:bookmarkStart w:id="22" w:name="_Toc226723373"/>
      <w:r>
        <w:t>Document control information</w:t>
      </w:r>
      <w:bookmarkEnd w:id="21"/>
      <w:bookmarkEnd w:id="22"/>
    </w:p>
    <w:p w14:paraId="4FE67C99" w14:textId="77777777" w:rsidR="001E0C9A" w:rsidRPr="001E0C9A" w:rsidRDefault="001E0C9A" w:rsidP="001E0C9A">
      <w:pPr>
        <w:rPr>
          <w:b/>
          <w:bCs/>
          <w:szCs w:val="24"/>
        </w:rPr>
      </w:pPr>
      <w:r w:rsidRPr="001E0C9A">
        <w:rPr>
          <w:b/>
          <w:bCs/>
          <w:szCs w:val="24"/>
        </w:rPr>
        <w:t xml:space="preserve">Approved by: </w:t>
      </w:r>
      <w:r w:rsidRPr="001E0C9A">
        <w:rPr>
          <w:szCs w:val="24"/>
        </w:rPr>
        <w:t>Head of Profession – Operational Inspection</w:t>
      </w:r>
    </w:p>
    <w:p w14:paraId="5777D665" w14:textId="61ABF44D" w:rsidR="004F4C48" w:rsidRPr="00196ADB" w:rsidRDefault="004F4C48" w:rsidP="004F4C48">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F2DF42EB07824298885B053BE9F16EC1"/>
          </w:placeholder>
          <w:dataBinding w:prefixMappings="xmlns:ns0='http://purl.org/dc/elements/1.1/' xmlns:ns1='http://schemas.openxmlformats.org/package/2006/metadata/core-properties' " w:xpath="/ns1:coreProperties[1]/ns1:contentStatus[1]" w:storeItemID="{6C3C8BC8-F283-45AE-878A-BAB7291924A1}"/>
          <w:text/>
        </w:sdtPr>
        <w:sdtEndPr/>
        <w:sdtContent>
          <w:r w:rsidR="00CA10A4">
            <w:rPr>
              <w:szCs w:val="24"/>
            </w:rPr>
            <w:t>7.1</w:t>
          </w:r>
        </w:sdtContent>
      </w:sdt>
    </w:p>
    <w:p w14:paraId="2B68B86F" w14:textId="3A89D8B7" w:rsidR="004F4C48" w:rsidRPr="00196ADB" w:rsidRDefault="004F4C48" w:rsidP="004F4C48">
      <w:pPr>
        <w:rPr>
          <w:szCs w:val="24"/>
        </w:rPr>
      </w:pPr>
      <w:r>
        <w:rPr>
          <w:b/>
          <w:bCs/>
          <w:szCs w:val="24"/>
        </w:rPr>
        <w:t>Published</w:t>
      </w:r>
      <w:r w:rsidRPr="00196ADB">
        <w:rPr>
          <w:szCs w:val="24"/>
        </w:rPr>
        <w:t xml:space="preserve">: </w:t>
      </w:r>
      <w:r w:rsidR="00CA10A4">
        <w:rPr>
          <w:szCs w:val="24"/>
        </w:rPr>
        <w:t>April</w:t>
      </w:r>
      <w:r>
        <w:rPr>
          <w:szCs w:val="24"/>
        </w:rPr>
        <w:t xml:space="preserve"> 2026</w:t>
      </w:r>
    </w:p>
    <w:p w14:paraId="6B7848B2" w14:textId="77777777" w:rsidR="004F4C48" w:rsidRPr="00196ADB" w:rsidRDefault="004F4C48" w:rsidP="004F4C48">
      <w:pPr>
        <w:rPr>
          <w:szCs w:val="24"/>
        </w:rPr>
      </w:pPr>
      <w:r w:rsidRPr="00196ADB">
        <w:rPr>
          <w:b/>
          <w:bCs/>
          <w:szCs w:val="24"/>
        </w:rPr>
        <w:t xml:space="preserve">Next </w:t>
      </w:r>
      <w:r>
        <w:rPr>
          <w:b/>
          <w:bCs/>
          <w:szCs w:val="24"/>
        </w:rPr>
        <w:t>scheduled review</w:t>
      </w:r>
      <w:r w:rsidRPr="00196ADB">
        <w:rPr>
          <w:szCs w:val="24"/>
        </w:rPr>
        <w:t xml:space="preserve">: </w:t>
      </w:r>
      <w:r>
        <w:rPr>
          <w:szCs w:val="24"/>
        </w:rPr>
        <w:t>October 2027</w:t>
      </w:r>
    </w:p>
    <w:p w14:paraId="0089D4B9" w14:textId="26DD7027" w:rsidR="004F4C48" w:rsidRPr="00196ADB" w:rsidRDefault="004F4C48" w:rsidP="004F4C48">
      <w:pPr>
        <w:rPr>
          <w:szCs w:val="24"/>
        </w:rPr>
      </w:pPr>
      <w:r w:rsidRPr="00196ADB">
        <w:rPr>
          <w:b/>
          <w:bCs/>
          <w:szCs w:val="24"/>
        </w:rPr>
        <w:t>Doc</w:t>
      </w:r>
      <w:r>
        <w:rPr>
          <w:b/>
          <w:bCs/>
          <w:szCs w:val="24"/>
        </w:rPr>
        <w:t>ument reference</w:t>
      </w:r>
      <w:r w:rsidRPr="00196ADB">
        <w:rPr>
          <w:szCs w:val="24"/>
        </w:rPr>
        <w:t xml:space="preserve">: </w:t>
      </w:r>
      <w:r w:rsidR="005B2600">
        <w:rPr>
          <w:szCs w:val="24"/>
        </w:rPr>
        <w:t>NS-INSP-GD-022</w:t>
      </w:r>
    </w:p>
    <w:p w14:paraId="4F4CA145" w14:textId="78395E41" w:rsidR="004F4C48" w:rsidRDefault="004F4C48" w:rsidP="005B2600">
      <w:r w:rsidRPr="00196ADB">
        <w:rPr>
          <w:b/>
          <w:bCs/>
          <w:szCs w:val="24"/>
        </w:rPr>
        <w:t xml:space="preserve">Record </w:t>
      </w:r>
      <w:r>
        <w:rPr>
          <w:b/>
          <w:bCs/>
          <w:szCs w:val="24"/>
        </w:rPr>
        <w:t>reference</w:t>
      </w:r>
      <w:r w:rsidRPr="00196ADB">
        <w:rPr>
          <w:szCs w:val="24"/>
        </w:rPr>
        <w:t xml:space="preserve">: </w:t>
      </w:r>
      <w:r w:rsidR="005B2600" w:rsidRPr="005B2600">
        <w:rPr>
          <w:szCs w:val="24"/>
        </w:rPr>
        <w:t>ONRHH-822789359-20474</w:t>
      </w:r>
    </w:p>
    <w:p w14:paraId="49D3A8E3" w14:textId="77777777" w:rsidR="004F4C48" w:rsidRDefault="004F4C48" w:rsidP="004F4C48">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4F4C48" w:rsidRPr="00B23A5E" w14:paraId="006BE38D" w14:textId="77777777" w:rsidTr="00A9079D">
        <w:trPr>
          <w:cnfStyle w:val="100000000000" w:firstRow="1" w:lastRow="0" w:firstColumn="0" w:lastColumn="0" w:oddVBand="0" w:evenVBand="0" w:oddHBand="0" w:evenHBand="0" w:firstRowFirstColumn="0" w:firstRowLastColumn="0" w:lastRowFirstColumn="0" w:lastRowLastColumn="0"/>
        </w:trPr>
        <w:tc>
          <w:tcPr>
            <w:tcW w:w="1550" w:type="dxa"/>
          </w:tcPr>
          <w:p w14:paraId="5802D79E" w14:textId="77777777" w:rsidR="004F4C48" w:rsidRPr="00B23A5E" w:rsidRDefault="004F4C48" w:rsidP="00A9079D">
            <w:pPr>
              <w:spacing w:before="60" w:after="60"/>
              <w:rPr>
                <w:b w:val="0"/>
                <w:bCs/>
              </w:rPr>
            </w:pPr>
            <w:r w:rsidRPr="00B23A5E">
              <w:rPr>
                <w:b w:val="0"/>
                <w:bCs/>
              </w:rPr>
              <w:t>Issue</w:t>
            </w:r>
          </w:p>
        </w:tc>
        <w:tc>
          <w:tcPr>
            <w:tcW w:w="7466" w:type="dxa"/>
          </w:tcPr>
          <w:p w14:paraId="0016A95C" w14:textId="77777777" w:rsidR="004F4C48" w:rsidRPr="00B23A5E" w:rsidRDefault="004F4C48" w:rsidP="00A9079D">
            <w:pPr>
              <w:spacing w:before="60" w:after="60"/>
              <w:rPr>
                <w:b w:val="0"/>
                <w:bCs/>
              </w:rPr>
            </w:pPr>
            <w:r w:rsidRPr="00B23A5E">
              <w:rPr>
                <w:b w:val="0"/>
                <w:bCs/>
              </w:rPr>
              <w:t xml:space="preserve">Description of </w:t>
            </w:r>
            <w:r>
              <w:rPr>
                <w:b w:val="0"/>
                <w:bCs/>
              </w:rPr>
              <w:t>u</w:t>
            </w:r>
            <w:r w:rsidRPr="00B23A5E">
              <w:rPr>
                <w:b w:val="0"/>
                <w:bCs/>
              </w:rPr>
              <w:t>pdate(s)</w:t>
            </w:r>
          </w:p>
        </w:tc>
      </w:tr>
      <w:tr w:rsidR="004F4C48" w14:paraId="63F11445" w14:textId="77777777" w:rsidTr="00A9079D">
        <w:tc>
          <w:tcPr>
            <w:tcW w:w="1550" w:type="dxa"/>
          </w:tcPr>
          <w:p w14:paraId="46054362" w14:textId="77777777" w:rsidR="004F4C48" w:rsidRDefault="004F4C48" w:rsidP="00A9079D">
            <w:pPr>
              <w:spacing w:before="60" w:after="60"/>
            </w:pPr>
            <w:r>
              <w:t>7</w:t>
            </w:r>
          </w:p>
        </w:tc>
        <w:tc>
          <w:tcPr>
            <w:tcW w:w="7466" w:type="dxa"/>
          </w:tcPr>
          <w:p w14:paraId="52F6DFB5" w14:textId="3062DF2E" w:rsidR="004F4C48" w:rsidRDefault="00073126" w:rsidP="00A9079D">
            <w:pPr>
              <w:spacing w:before="60" w:after="60"/>
            </w:pPr>
            <w:r>
              <w:t>Fit for purpose review. No significant changes at this revision.</w:t>
            </w:r>
          </w:p>
        </w:tc>
      </w:tr>
      <w:tr w:rsidR="004F4C48" w14:paraId="72B3EAA4" w14:textId="77777777" w:rsidTr="00A9079D">
        <w:tc>
          <w:tcPr>
            <w:tcW w:w="1550" w:type="dxa"/>
          </w:tcPr>
          <w:p w14:paraId="32A37C06" w14:textId="77777777" w:rsidR="004F4C48" w:rsidRDefault="004F4C48" w:rsidP="00A9079D">
            <w:pPr>
              <w:spacing w:before="60" w:after="60"/>
            </w:pPr>
            <w:r>
              <w:t>7.1</w:t>
            </w:r>
          </w:p>
        </w:tc>
        <w:tc>
          <w:tcPr>
            <w:tcW w:w="7466" w:type="dxa"/>
          </w:tcPr>
          <w:p w14:paraId="44D9CDAB" w14:textId="77777777" w:rsidR="004F4C48" w:rsidRPr="00AB543F" w:rsidRDefault="004F4C48" w:rsidP="00A9079D">
            <w:pPr>
              <w:spacing w:before="60" w:after="60"/>
            </w:pPr>
            <w:r>
              <w:t>Word count reduction and updated to the latest TIG template</w:t>
            </w:r>
          </w:p>
        </w:tc>
      </w:tr>
    </w:tbl>
    <w:p w14:paraId="7B3D8764" w14:textId="77777777" w:rsidR="004F4C48" w:rsidRDefault="004F4C48" w:rsidP="004F4C48">
      <w:pPr>
        <w:rPr>
          <w:b/>
          <w:bCs/>
          <w:sz w:val="20"/>
          <w:szCs w:val="18"/>
        </w:rPr>
      </w:pPr>
    </w:p>
    <w:p w14:paraId="17669631" w14:textId="1FA1CF78" w:rsidR="00930E37" w:rsidRPr="004F4C48" w:rsidRDefault="00930E37" w:rsidP="004F4C48">
      <w:pPr>
        <w:pStyle w:val="Heading1"/>
        <w:numPr>
          <w:ilvl w:val="0"/>
          <w:numId w:val="0"/>
        </w:numPr>
        <w:ind w:left="851" w:hanging="851"/>
      </w:pPr>
    </w:p>
    <w:sectPr w:rsidR="00930E37" w:rsidRPr="004F4C48"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BDE8E" w14:textId="77777777" w:rsidR="007657C7" w:rsidRDefault="007657C7" w:rsidP="007D199A">
      <w:pPr>
        <w:spacing w:after="0"/>
      </w:pPr>
      <w:r>
        <w:separator/>
      </w:r>
    </w:p>
    <w:p w14:paraId="7F35C46D" w14:textId="77777777" w:rsidR="007657C7" w:rsidRDefault="007657C7"/>
  </w:endnote>
  <w:endnote w:type="continuationSeparator" w:id="0">
    <w:p w14:paraId="1B9C0EFB" w14:textId="77777777" w:rsidR="007657C7" w:rsidRDefault="007657C7" w:rsidP="007D199A">
      <w:pPr>
        <w:spacing w:after="0"/>
      </w:pPr>
      <w:r>
        <w:continuationSeparator/>
      </w:r>
    </w:p>
    <w:p w14:paraId="4CF7805C" w14:textId="77777777" w:rsidR="007657C7" w:rsidRDefault="00765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35A56" w14:textId="77777777" w:rsidR="007657C7" w:rsidRPr="005E0344" w:rsidRDefault="007657C7" w:rsidP="005E0344">
      <w:pPr>
        <w:spacing w:after="120"/>
        <w:rPr>
          <w:color w:val="000000" w:themeColor="text2"/>
        </w:rPr>
      </w:pPr>
      <w:r w:rsidRPr="005E0344">
        <w:rPr>
          <w:color w:val="000000" w:themeColor="text2"/>
        </w:rPr>
        <w:separator/>
      </w:r>
    </w:p>
  </w:footnote>
  <w:footnote w:type="continuationSeparator" w:id="0">
    <w:p w14:paraId="0B5C8FAE" w14:textId="77777777" w:rsidR="007657C7" w:rsidRPr="005E0344" w:rsidRDefault="007657C7" w:rsidP="0090581D">
      <w:pPr>
        <w:spacing w:after="120"/>
        <w:rPr>
          <w:color w:val="000000" w:themeColor="text2"/>
        </w:rPr>
      </w:pPr>
      <w:r w:rsidRPr="005E0344">
        <w:rPr>
          <w:color w:val="000000" w:themeColor="text2"/>
        </w:rPr>
        <w:continuationSeparator/>
      </w:r>
    </w:p>
    <w:p w14:paraId="7900BAF5" w14:textId="77777777" w:rsidR="007657C7" w:rsidRDefault="007657C7"/>
  </w:footnote>
  <w:footnote w:type="continuationNotice" w:id="1">
    <w:p w14:paraId="2D7A5047" w14:textId="77777777" w:rsidR="007657C7" w:rsidRDefault="007657C7">
      <w:pPr>
        <w:spacing w:after="0"/>
      </w:pPr>
    </w:p>
    <w:p w14:paraId="48668F5B" w14:textId="77777777" w:rsidR="007657C7" w:rsidRDefault="00765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04C34F0" w:rsidR="00177666" w:rsidRPr="00196ADB" w:rsidRDefault="001E0C9A"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8C6AAE">
          <w:rPr>
            <w:sz w:val="20"/>
            <w:szCs w:val="24"/>
          </w:rPr>
          <w:t>LC22 – Modification or experiment on existing plant</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A10A4">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C0359"/>
    <w:multiLevelType w:val="multilevel"/>
    <w:tmpl w:val="3804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83E54"/>
    <w:multiLevelType w:val="hybridMultilevel"/>
    <w:tmpl w:val="60482F9C"/>
    <w:lvl w:ilvl="0" w:tplc="BF989EA6">
      <w:start w:val="1"/>
      <w:numFmt w:val="decimal"/>
      <w:pStyle w:val="F9-Paragraph"/>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AA32BCDA"/>
    <w:lvl w:ilvl="0" w:tplc="9A76437A">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3A1E93"/>
    <w:multiLevelType w:val="hybridMultilevel"/>
    <w:tmpl w:val="4D16BB8A"/>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7F2150"/>
    <w:multiLevelType w:val="hybridMultilevel"/>
    <w:tmpl w:val="4692CC1A"/>
    <w:lvl w:ilvl="0" w:tplc="898C338A">
      <w:start w:val="1"/>
      <w:numFmt w:val="bullet"/>
      <w:pStyle w:val="BulletPoin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1"/>
  </w:num>
  <w:num w:numId="12" w16cid:durableId="1085146277">
    <w:abstractNumId w:val="22"/>
  </w:num>
  <w:num w:numId="13" w16cid:durableId="989944809">
    <w:abstractNumId w:val="15"/>
  </w:num>
  <w:num w:numId="14" w16cid:durableId="1148547717">
    <w:abstractNumId w:val="12"/>
  </w:num>
  <w:num w:numId="15" w16cid:durableId="1619264317">
    <w:abstractNumId w:val="22"/>
    <w:lvlOverride w:ilvl="0">
      <w:startOverride w:val="1"/>
    </w:lvlOverride>
  </w:num>
  <w:num w:numId="16" w16cid:durableId="1717772705">
    <w:abstractNumId w:val="15"/>
    <w:lvlOverride w:ilvl="0">
      <w:startOverride w:val="1"/>
    </w:lvlOverride>
  </w:num>
  <w:num w:numId="17" w16cid:durableId="1421370352">
    <w:abstractNumId w:val="12"/>
    <w:lvlOverride w:ilvl="0">
      <w:startOverride w:val="1"/>
    </w:lvlOverride>
  </w:num>
  <w:num w:numId="18" w16cid:durableId="802893121">
    <w:abstractNumId w:val="21"/>
  </w:num>
  <w:num w:numId="19" w16cid:durableId="1666081420">
    <w:abstractNumId w:val="18"/>
  </w:num>
  <w:num w:numId="20" w16cid:durableId="874538197">
    <w:abstractNumId w:val="14"/>
  </w:num>
  <w:num w:numId="21" w16cid:durableId="2057311976">
    <w:abstractNumId w:val="19"/>
  </w:num>
  <w:num w:numId="22" w16cid:durableId="689793726">
    <w:abstractNumId w:val="13"/>
  </w:num>
  <w:num w:numId="23" w16cid:durableId="48653822">
    <w:abstractNumId w:val="24"/>
  </w:num>
  <w:num w:numId="24" w16cid:durableId="1603800266">
    <w:abstractNumId w:val="17"/>
  </w:num>
  <w:num w:numId="25" w16cid:durableId="1864591591">
    <w:abstractNumId w:val="16"/>
  </w:num>
  <w:num w:numId="26" w16cid:durableId="832574242">
    <w:abstractNumId w:val="20"/>
  </w:num>
  <w:num w:numId="27" w16cid:durableId="1391732823">
    <w:abstractNumId w:val="16"/>
    <w:lvlOverride w:ilvl="0">
      <w:startOverride w:val="1"/>
    </w:lvlOverride>
  </w:num>
  <w:num w:numId="28" w16cid:durableId="344790685">
    <w:abstractNumId w:val="25"/>
  </w:num>
  <w:num w:numId="29" w16cid:durableId="1854607490">
    <w:abstractNumId w:val="23"/>
  </w:num>
  <w:num w:numId="30" w16cid:durableId="1184825870">
    <w:abstractNumId w:val="10"/>
  </w:num>
  <w:num w:numId="31" w16cid:durableId="20577308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1872643">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17FA"/>
    <w:rsid w:val="00014814"/>
    <w:rsid w:val="00014EE9"/>
    <w:rsid w:val="00022033"/>
    <w:rsid w:val="00024522"/>
    <w:rsid w:val="00024B2E"/>
    <w:rsid w:val="00027F4F"/>
    <w:rsid w:val="00030430"/>
    <w:rsid w:val="0003078E"/>
    <w:rsid w:val="00031B89"/>
    <w:rsid w:val="0003693D"/>
    <w:rsid w:val="0004440F"/>
    <w:rsid w:val="00052C8A"/>
    <w:rsid w:val="000539CC"/>
    <w:rsid w:val="000548C8"/>
    <w:rsid w:val="00055850"/>
    <w:rsid w:val="0005690E"/>
    <w:rsid w:val="00064A1B"/>
    <w:rsid w:val="00073126"/>
    <w:rsid w:val="00075605"/>
    <w:rsid w:val="00075C66"/>
    <w:rsid w:val="000817D4"/>
    <w:rsid w:val="00082879"/>
    <w:rsid w:val="00084ABE"/>
    <w:rsid w:val="00091EEA"/>
    <w:rsid w:val="0009225F"/>
    <w:rsid w:val="00092469"/>
    <w:rsid w:val="000964A6"/>
    <w:rsid w:val="000A105C"/>
    <w:rsid w:val="000A41F9"/>
    <w:rsid w:val="000C2DDC"/>
    <w:rsid w:val="000C5F5A"/>
    <w:rsid w:val="000C6A6D"/>
    <w:rsid w:val="000D2FD4"/>
    <w:rsid w:val="000D3232"/>
    <w:rsid w:val="000F15EC"/>
    <w:rsid w:val="000F1B7B"/>
    <w:rsid w:val="000F2ED4"/>
    <w:rsid w:val="000F5396"/>
    <w:rsid w:val="000F6A11"/>
    <w:rsid w:val="001028E8"/>
    <w:rsid w:val="00103043"/>
    <w:rsid w:val="00122FCC"/>
    <w:rsid w:val="00124667"/>
    <w:rsid w:val="00124C2B"/>
    <w:rsid w:val="00126752"/>
    <w:rsid w:val="00127173"/>
    <w:rsid w:val="00130B30"/>
    <w:rsid w:val="00140E1C"/>
    <w:rsid w:val="00147AE4"/>
    <w:rsid w:val="001571E5"/>
    <w:rsid w:val="001632B5"/>
    <w:rsid w:val="00176DB5"/>
    <w:rsid w:val="00177666"/>
    <w:rsid w:val="0017768E"/>
    <w:rsid w:val="001849CA"/>
    <w:rsid w:val="00185410"/>
    <w:rsid w:val="001868B0"/>
    <w:rsid w:val="00190B9D"/>
    <w:rsid w:val="00192352"/>
    <w:rsid w:val="00196ADB"/>
    <w:rsid w:val="001B30F6"/>
    <w:rsid w:val="001B4D5A"/>
    <w:rsid w:val="001C4D63"/>
    <w:rsid w:val="001C4D7F"/>
    <w:rsid w:val="001D0DE0"/>
    <w:rsid w:val="001D5AFF"/>
    <w:rsid w:val="001D74B4"/>
    <w:rsid w:val="001E03E1"/>
    <w:rsid w:val="001E0C9A"/>
    <w:rsid w:val="001F059F"/>
    <w:rsid w:val="001F58A0"/>
    <w:rsid w:val="00200811"/>
    <w:rsid w:val="00200CA1"/>
    <w:rsid w:val="002042C2"/>
    <w:rsid w:val="0021338D"/>
    <w:rsid w:val="00214D43"/>
    <w:rsid w:val="00223090"/>
    <w:rsid w:val="002238B4"/>
    <w:rsid w:val="002319AB"/>
    <w:rsid w:val="002319AC"/>
    <w:rsid w:val="00234342"/>
    <w:rsid w:val="0024040D"/>
    <w:rsid w:val="00240756"/>
    <w:rsid w:val="00243E8A"/>
    <w:rsid w:val="00251CD7"/>
    <w:rsid w:val="00255FA3"/>
    <w:rsid w:val="00257288"/>
    <w:rsid w:val="00261FB6"/>
    <w:rsid w:val="002629F8"/>
    <w:rsid w:val="00263396"/>
    <w:rsid w:val="002659FA"/>
    <w:rsid w:val="00267815"/>
    <w:rsid w:val="00280DDF"/>
    <w:rsid w:val="002917FF"/>
    <w:rsid w:val="00292ADF"/>
    <w:rsid w:val="00296DBB"/>
    <w:rsid w:val="002A0DEC"/>
    <w:rsid w:val="002A69FE"/>
    <w:rsid w:val="002B1C53"/>
    <w:rsid w:val="002B6666"/>
    <w:rsid w:val="002D2665"/>
    <w:rsid w:val="002E0BE4"/>
    <w:rsid w:val="002E3B58"/>
    <w:rsid w:val="002E3E8A"/>
    <w:rsid w:val="002E6109"/>
    <w:rsid w:val="002E6A6A"/>
    <w:rsid w:val="002F3397"/>
    <w:rsid w:val="0030380D"/>
    <w:rsid w:val="00312411"/>
    <w:rsid w:val="00313BA1"/>
    <w:rsid w:val="003227D5"/>
    <w:rsid w:val="00323E71"/>
    <w:rsid w:val="00326F77"/>
    <w:rsid w:val="003401B0"/>
    <w:rsid w:val="00345D54"/>
    <w:rsid w:val="00346B41"/>
    <w:rsid w:val="00346C8E"/>
    <w:rsid w:val="00367B30"/>
    <w:rsid w:val="00367BD5"/>
    <w:rsid w:val="00386414"/>
    <w:rsid w:val="00390327"/>
    <w:rsid w:val="00393B78"/>
    <w:rsid w:val="00393D70"/>
    <w:rsid w:val="003A01E9"/>
    <w:rsid w:val="003A7D39"/>
    <w:rsid w:val="003B0C9A"/>
    <w:rsid w:val="003C0306"/>
    <w:rsid w:val="003C114C"/>
    <w:rsid w:val="003C465D"/>
    <w:rsid w:val="003D0718"/>
    <w:rsid w:val="003D23E7"/>
    <w:rsid w:val="003D495D"/>
    <w:rsid w:val="003D5793"/>
    <w:rsid w:val="003D7277"/>
    <w:rsid w:val="003E098E"/>
    <w:rsid w:val="003E0F60"/>
    <w:rsid w:val="003E2FAE"/>
    <w:rsid w:val="003E56EC"/>
    <w:rsid w:val="003F40BE"/>
    <w:rsid w:val="0040353C"/>
    <w:rsid w:val="00407CF7"/>
    <w:rsid w:val="00415ED6"/>
    <w:rsid w:val="00417CAF"/>
    <w:rsid w:val="00420A11"/>
    <w:rsid w:val="00422265"/>
    <w:rsid w:val="0043395B"/>
    <w:rsid w:val="004373A7"/>
    <w:rsid w:val="00437D94"/>
    <w:rsid w:val="0044030C"/>
    <w:rsid w:val="00457109"/>
    <w:rsid w:val="004648A4"/>
    <w:rsid w:val="00464FD3"/>
    <w:rsid w:val="00470556"/>
    <w:rsid w:val="00471380"/>
    <w:rsid w:val="004845F2"/>
    <w:rsid w:val="00485DD8"/>
    <w:rsid w:val="00490A3D"/>
    <w:rsid w:val="004947EF"/>
    <w:rsid w:val="00494F0D"/>
    <w:rsid w:val="00496BFD"/>
    <w:rsid w:val="004A3DF2"/>
    <w:rsid w:val="004A501D"/>
    <w:rsid w:val="004C1424"/>
    <w:rsid w:val="004C2D69"/>
    <w:rsid w:val="004C361D"/>
    <w:rsid w:val="004C4891"/>
    <w:rsid w:val="004D2C89"/>
    <w:rsid w:val="004E1B67"/>
    <w:rsid w:val="004E3932"/>
    <w:rsid w:val="004F1E79"/>
    <w:rsid w:val="004F4C48"/>
    <w:rsid w:val="004F5F33"/>
    <w:rsid w:val="004F7A05"/>
    <w:rsid w:val="0050103A"/>
    <w:rsid w:val="00501C07"/>
    <w:rsid w:val="00507FAA"/>
    <w:rsid w:val="00511B0F"/>
    <w:rsid w:val="005249DA"/>
    <w:rsid w:val="0055388E"/>
    <w:rsid w:val="00562542"/>
    <w:rsid w:val="0056357D"/>
    <w:rsid w:val="00571391"/>
    <w:rsid w:val="005754AE"/>
    <w:rsid w:val="00577FB5"/>
    <w:rsid w:val="00581BAD"/>
    <w:rsid w:val="0058522D"/>
    <w:rsid w:val="005852D1"/>
    <w:rsid w:val="0058701A"/>
    <w:rsid w:val="00587A22"/>
    <w:rsid w:val="0059299D"/>
    <w:rsid w:val="00595C8C"/>
    <w:rsid w:val="00597747"/>
    <w:rsid w:val="005A49B8"/>
    <w:rsid w:val="005A4CDD"/>
    <w:rsid w:val="005B2600"/>
    <w:rsid w:val="005B57E4"/>
    <w:rsid w:val="005B5ABD"/>
    <w:rsid w:val="005C140A"/>
    <w:rsid w:val="005C1E52"/>
    <w:rsid w:val="005C3367"/>
    <w:rsid w:val="005C6763"/>
    <w:rsid w:val="005D3164"/>
    <w:rsid w:val="005E0344"/>
    <w:rsid w:val="005E440B"/>
    <w:rsid w:val="005F2C85"/>
    <w:rsid w:val="005F5FC3"/>
    <w:rsid w:val="00605ADB"/>
    <w:rsid w:val="00611C9F"/>
    <w:rsid w:val="006125D0"/>
    <w:rsid w:val="00614E9A"/>
    <w:rsid w:val="006248DE"/>
    <w:rsid w:val="00627555"/>
    <w:rsid w:val="006322A0"/>
    <w:rsid w:val="00634EA7"/>
    <w:rsid w:val="006361FD"/>
    <w:rsid w:val="006373C8"/>
    <w:rsid w:val="0064226F"/>
    <w:rsid w:val="00642DDB"/>
    <w:rsid w:val="006511E5"/>
    <w:rsid w:val="00651698"/>
    <w:rsid w:val="00651F23"/>
    <w:rsid w:val="00653298"/>
    <w:rsid w:val="00663A7C"/>
    <w:rsid w:val="00667DF2"/>
    <w:rsid w:val="00670DF1"/>
    <w:rsid w:val="00671345"/>
    <w:rsid w:val="00672A9B"/>
    <w:rsid w:val="00675884"/>
    <w:rsid w:val="00695E74"/>
    <w:rsid w:val="00696EE0"/>
    <w:rsid w:val="00697980"/>
    <w:rsid w:val="006A19EF"/>
    <w:rsid w:val="006A43D5"/>
    <w:rsid w:val="006A525B"/>
    <w:rsid w:val="006C045F"/>
    <w:rsid w:val="006C3832"/>
    <w:rsid w:val="006C4196"/>
    <w:rsid w:val="006C63B0"/>
    <w:rsid w:val="006C6959"/>
    <w:rsid w:val="006C76A2"/>
    <w:rsid w:val="006C792E"/>
    <w:rsid w:val="006D116C"/>
    <w:rsid w:val="006E7C42"/>
    <w:rsid w:val="006F168A"/>
    <w:rsid w:val="006F5076"/>
    <w:rsid w:val="006F6009"/>
    <w:rsid w:val="006F7E5F"/>
    <w:rsid w:val="0070321D"/>
    <w:rsid w:val="007068BA"/>
    <w:rsid w:val="00715204"/>
    <w:rsid w:val="00716AB1"/>
    <w:rsid w:val="007174EA"/>
    <w:rsid w:val="00721D63"/>
    <w:rsid w:val="00723B63"/>
    <w:rsid w:val="00724B2B"/>
    <w:rsid w:val="00726CE4"/>
    <w:rsid w:val="007310AD"/>
    <w:rsid w:val="00732C7B"/>
    <w:rsid w:val="00734D2B"/>
    <w:rsid w:val="00737705"/>
    <w:rsid w:val="007408D4"/>
    <w:rsid w:val="007420AC"/>
    <w:rsid w:val="00742617"/>
    <w:rsid w:val="00752723"/>
    <w:rsid w:val="007636B0"/>
    <w:rsid w:val="007657C7"/>
    <w:rsid w:val="0077205A"/>
    <w:rsid w:val="00783AFA"/>
    <w:rsid w:val="00785427"/>
    <w:rsid w:val="00790540"/>
    <w:rsid w:val="007968CA"/>
    <w:rsid w:val="007A43FF"/>
    <w:rsid w:val="007A72FA"/>
    <w:rsid w:val="007B3918"/>
    <w:rsid w:val="007C180C"/>
    <w:rsid w:val="007C3C1D"/>
    <w:rsid w:val="007D199A"/>
    <w:rsid w:val="007D2EBE"/>
    <w:rsid w:val="007E1C07"/>
    <w:rsid w:val="007F1310"/>
    <w:rsid w:val="007F24B6"/>
    <w:rsid w:val="00803D94"/>
    <w:rsid w:val="00816843"/>
    <w:rsid w:val="00821337"/>
    <w:rsid w:val="008229BA"/>
    <w:rsid w:val="00824151"/>
    <w:rsid w:val="008256FF"/>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015A"/>
    <w:rsid w:val="008B1519"/>
    <w:rsid w:val="008B5F2F"/>
    <w:rsid w:val="008B7BCC"/>
    <w:rsid w:val="008C4CC3"/>
    <w:rsid w:val="008C50C3"/>
    <w:rsid w:val="008C6AAE"/>
    <w:rsid w:val="008C7094"/>
    <w:rsid w:val="008D2B97"/>
    <w:rsid w:val="008D49A5"/>
    <w:rsid w:val="008D6C81"/>
    <w:rsid w:val="008E6CF0"/>
    <w:rsid w:val="008F1439"/>
    <w:rsid w:val="008F7051"/>
    <w:rsid w:val="009033A9"/>
    <w:rsid w:val="0090581D"/>
    <w:rsid w:val="0091439C"/>
    <w:rsid w:val="00920572"/>
    <w:rsid w:val="00920BF2"/>
    <w:rsid w:val="00930E37"/>
    <w:rsid w:val="0093472E"/>
    <w:rsid w:val="009349A9"/>
    <w:rsid w:val="00936C52"/>
    <w:rsid w:val="009436C1"/>
    <w:rsid w:val="00952C08"/>
    <w:rsid w:val="0095489B"/>
    <w:rsid w:val="009602D8"/>
    <w:rsid w:val="0096158B"/>
    <w:rsid w:val="00966FB9"/>
    <w:rsid w:val="009671CD"/>
    <w:rsid w:val="009751A9"/>
    <w:rsid w:val="00980F9C"/>
    <w:rsid w:val="0098632B"/>
    <w:rsid w:val="00997BFB"/>
    <w:rsid w:val="009A54A4"/>
    <w:rsid w:val="009A7348"/>
    <w:rsid w:val="009B462C"/>
    <w:rsid w:val="009C15F3"/>
    <w:rsid w:val="009C3689"/>
    <w:rsid w:val="009C57B7"/>
    <w:rsid w:val="009E07C2"/>
    <w:rsid w:val="009E0E52"/>
    <w:rsid w:val="009E267B"/>
    <w:rsid w:val="009F6532"/>
    <w:rsid w:val="009F72F9"/>
    <w:rsid w:val="00A00205"/>
    <w:rsid w:val="00A00AF0"/>
    <w:rsid w:val="00A14B5A"/>
    <w:rsid w:val="00A3567F"/>
    <w:rsid w:val="00A37698"/>
    <w:rsid w:val="00A41ED3"/>
    <w:rsid w:val="00A81D82"/>
    <w:rsid w:val="00A8506C"/>
    <w:rsid w:val="00A85A4E"/>
    <w:rsid w:val="00A9118F"/>
    <w:rsid w:val="00A93E33"/>
    <w:rsid w:val="00AA034D"/>
    <w:rsid w:val="00AB3129"/>
    <w:rsid w:val="00AB6970"/>
    <w:rsid w:val="00AC1939"/>
    <w:rsid w:val="00AC395C"/>
    <w:rsid w:val="00AC7C05"/>
    <w:rsid w:val="00AD167C"/>
    <w:rsid w:val="00AD17C7"/>
    <w:rsid w:val="00AD1B9F"/>
    <w:rsid w:val="00AD4041"/>
    <w:rsid w:val="00AE302B"/>
    <w:rsid w:val="00AE689F"/>
    <w:rsid w:val="00B018EA"/>
    <w:rsid w:val="00B0248D"/>
    <w:rsid w:val="00B16BE5"/>
    <w:rsid w:val="00B23A5E"/>
    <w:rsid w:val="00B259DF"/>
    <w:rsid w:val="00B27B23"/>
    <w:rsid w:val="00B36D19"/>
    <w:rsid w:val="00B44B1F"/>
    <w:rsid w:val="00B517BB"/>
    <w:rsid w:val="00B61839"/>
    <w:rsid w:val="00B64141"/>
    <w:rsid w:val="00B64E72"/>
    <w:rsid w:val="00B67235"/>
    <w:rsid w:val="00B711AF"/>
    <w:rsid w:val="00B77913"/>
    <w:rsid w:val="00B814B0"/>
    <w:rsid w:val="00B824FB"/>
    <w:rsid w:val="00B82646"/>
    <w:rsid w:val="00B8699C"/>
    <w:rsid w:val="00B93BB4"/>
    <w:rsid w:val="00B97359"/>
    <w:rsid w:val="00B97A8F"/>
    <w:rsid w:val="00BA4E58"/>
    <w:rsid w:val="00BA7074"/>
    <w:rsid w:val="00BB7829"/>
    <w:rsid w:val="00BD1457"/>
    <w:rsid w:val="00BE2AD9"/>
    <w:rsid w:val="00BE662E"/>
    <w:rsid w:val="00BF0D32"/>
    <w:rsid w:val="00BF27FE"/>
    <w:rsid w:val="00C043B3"/>
    <w:rsid w:val="00C079AB"/>
    <w:rsid w:val="00C10E61"/>
    <w:rsid w:val="00C14787"/>
    <w:rsid w:val="00C1596D"/>
    <w:rsid w:val="00C15B8D"/>
    <w:rsid w:val="00C17010"/>
    <w:rsid w:val="00C20562"/>
    <w:rsid w:val="00C215C3"/>
    <w:rsid w:val="00C23A96"/>
    <w:rsid w:val="00C2420F"/>
    <w:rsid w:val="00C249C6"/>
    <w:rsid w:val="00C32CC1"/>
    <w:rsid w:val="00C426EC"/>
    <w:rsid w:val="00C60D14"/>
    <w:rsid w:val="00C6483C"/>
    <w:rsid w:val="00C64AE9"/>
    <w:rsid w:val="00C70CFF"/>
    <w:rsid w:val="00C718FE"/>
    <w:rsid w:val="00C83C99"/>
    <w:rsid w:val="00C86CEC"/>
    <w:rsid w:val="00C8773D"/>
    <w:rsid w:val="00C87ABB"/>
    <w:rsid w:val="00C91831"/>
    <w:rsid w:val="00C91BEF"/>
    <w:rsid w:val="00C953DF"/>
    <w:rsid w:val="00C963E6"/>
    <w:rsid w:val="00CA10A4"/>
    <w:rsid w:val="00CA4E26"/>
    <w:rsid w:val="00CA7093"/>
    <w:rsid w:val="00CC0118"/>
    <w:rsid w:val="00CD5401"/>
    <w:rsid w:val="00CE2709"/>
    <w:rsid w:val="00CE2D64"/>
    <w:rsid w:val="00CE6198"/>
    <w:rsid w:val="00CE6CD6"/>
    <w:rsid w:val="00CF01CF"/>
    <w:rsid w:val="00CF6230"/>
    <w:rsid w:val="00D00F0D"/>
    <w:rsid w:val="00D017FC"/>
    <w:rsid w:val="00D0226A"/>
    <w:rsid w:val="00D03E83"/>
    <w:rsid w:val="00D040EA"/>
    <w:rsid w:val="00D13147"/>
    <w:rsid w:val="00D463FF"/>
    <w:rsid w:val="00D5715A"/>
    <w:rsid w:val="00D60BCB"/>
    <w:rsid w:val="00D71687"/>
    <w:rsid w:val="00D74813"/>
    <w:rsid w:val="00D77CE0"/>
    <w:rsid w:val="00D82543"/>
    <w:rsid w:val="00D83230"/>
    <w:rsid w:val="00D875B7"/>
    <w:rsid w:val="00D9096E"/>
    <w:rsid w:val="00D966AA"/>
    <w:rsid w:val="00DA1AE6"/>
    <w:rsid w:val="00DA30BC"/>
    <w:rsid w:val="00DA69C2"/>
    <w:rsid w:val="00DA6D70"/>
    <w:rsid w:val="00DB6050"/>
    <w:rsid w:val="00DC0E4E"/>
    <w:rsid w:val="00DC2C34"/>
    <w:rsid w:val="00DC3D98"/>
    <w:rsid w:val="00DD025D"/>
    <w:rsid w:val="00DD22D7"/>
    <w:rsid w:val="00DD6F51"/>
    <w:rsid w:val="00DE2C87"/>
    <w:rsid w:val="00DE459A"/>
    <w:rsid w:val="00DE7FB2"/>
    <w:rsid w:val="00DF27DA"/>
    <w:rsid w:val="00DF4DBE"/>
    <w:rsid w:val="00E02574"/>
    <w:rsid w:val="00E22421"/>
    <w:rsid w:val="00E22657"/>
    <w:rsid w:val="00E40820"/>
    <w:rsid w:val="00E4658F"/>
    <w:rsid w:val="00E54A67"/>
    <w:rsid w:val="00E607CD"/>
    <w:rsid w:val="00E61C0D"/>
    <w:rsid w:val="00E63EB4"/>
    <w:rsid w:val="00E66160"/>
    <w:rsid w:val="00E71329"/>
    <w:rsid w:val="00E74FE0"/>
    <w:rsid w:val="00E8034A"/>
    <w:rsid w:val="00E8363B"/>
    <w:rsid w:val="00E83B7E"/>
    <w:rsid w:val="00E84966"/>
    <w:rsid w:val="00E90752"/>
    <w:rsid w:val="00E92383"/>
    <w:rsid w:val="00EA096A"/>
    <w:rsid w:val="00EA1B3A"/>
    <w:rsid w:val="00EA2109"/>
    <w:rsid w:val="00EA69A0"/>
    <w:rsid w:val="00EB057A"/>
    <w:rsid w:val="00EB6ECB"/>
    <w:rsid w:val="00EC1543"/>
    <w:rsid w:val="00ED3B76"/>
    <w:rsid w:val="00ED4D4E"/>
    <w:rsid w:val="00EE0C77"/>
    <w:rsid w:val="00EE4E54"/>
    <w:rsid w:val="00EE68C2"/>
    <w:rsid w:val="00EF4334"/>
    <w:rsid w:val="00F04794"/>
    <w:rsid w:val="00F309A7"/>
    <w:rsid w:val="00F436BB"/>
    <w:rsid w:val="00F47145"/>
    <w:rsid w:val="00F52638"/>
    <w:rsid w:val="00F545BF"/>
    <w:rsid w:val="00F7142A"/>
    <w:rsid w:val="00F71B56"/>
    <w:rsid w:val="00F832C8"/>
    <w:rsid w:val="00F873B3"/>
    <w:rsid w:val="00FA00BE"/>
    <w:rsid w:val="00FA33FE"/>
    <w:rsid w:val="00FA42B9"/>
    <w:rsid w:val="00FA751C"/>
    <w:rsid w:val="00FA755A"/>
    <w:rsid w:val="00FB2B0F"/>
    <w:rsid w:val="00FB4F6B"/>
    <w:rsid w:val="00FB5FE1"/>
    <w:rsid w:val="00FC0E8D"/>
    <w:rsid w:val="00FC3791"/>
    <w:rsid w:val="00FC46EF"/>
    <w:rsid w:val="00FD3010"/>
    <w:rsid w:val="00FD31B3"/>
    <w:rsid w:val="00FD4204"/>
    <w:rsid w:val="00FF392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DE7FB2"/>
    <w:pPr>
      <w:numPr>
        <w:numId w:val="12"/>
      </w:numPr>
      <w:spacing w:before="240" w:after="120"/>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paragraph" w:customStyle="1" w:styleId="BulletPoint">
    <w:name w:val="Bullet Point"/>
    <w:basedOn w:val="ListParagraph"/>
    <w:link w:val="BulletPointChar"/>
    <w:qFormat/>
    <w:rsid w:val="004C2D69"/>
    <w:pPr>
      <w:numPr>
        <w:numId w:val="28"/>
      </w:numPr>
      <w:spacing w:before="240" w:after="120" w:line="240" w:lineRule="auto"/>
    </w:pPr>
    <w:rPr>
      <w:rFonts w:eastAsia="Times New Roman"/>
      <w:szCs w:val="24"/>
      <w:lang w:bidi="ar-SA"/>
    </w:rPr>
  </w:style>
  <w:style w:type="character" w:customStyle="1" w:styleId="BulletPointChar">
    <w:name w:val="Bullet Point Char"/>
    <w:basedOn w:val="DefaultParagraphFont"/>
    <w:link w:val="BulletPoint"/>
    <w:rsid w:val="004C2D69"/>
    <w:rPr>
      <w:rFonts w:ascii="Arial" w:eastAsia="Times New Roman" w:hAnsi="Arial"/>
      <w:sz w:val="24"/>
      <w:szCs w:val="24"/>
      <w:lang w:eastAsia="en-US"/>
    </w:rPr>
  </w:style>
  <w:style w:type="paragraph" w:customStyle="1" w:styleId="NumberedParagraph">
    <w:name w:val="Numbered Paragraph"/>
    <w:basedOn w:val="Normal"/>
    <w:link w:val="NumberedParagraphChar"/>
    <w:qFormat/>
    <w:rsid w:val="004C2D69"/>
    <w:pPr>
      <w:spacing w:before="240" w:after="120" w:line="240" w:lineRule="auto"/>
      <w:ind w:left="709" w:hanging="709"/>
    </w:pPr>
    <w:rPr>
      <w:rFonts w:eastAsia="Times New Roman"/>
      <w:szCs w:val="24"/>
      <w:lang w:bidi="ar-SA"/>
    </w:rPr>
  </w:style>
  <w:style w:type="character" w:customStyle="1" w:styleId="NumberedParagraphChar">
    <w:name w:val="Numbered Paragraph Char"/>
    <w:basedOn w:val="DefaultParagraphFont"/>
    <w:link w:val="NumberedParagraph"/>
    <w:rsid w:val="004C2D69"/>
    <w:rPr>
      <w:rFonts w:ascii="Arial" w:eastAsia="Times New Roman" w:hAnsi="Arial"/>
      <w:sz w:val="24"/>
      <w:szCs w:val="24"/>
      <w:lang w:eastAsia="en-US"/>
    </w:rPr>
  </w:style>
  <w:style w:type="paragraph" w:customStyle="1" w:styleId="F10-Bullet1">
    <w:name w:val="F10 - Bullet 1"/>
    <w:basedOn w:val="ListParagraph"/>
    <w:link w:val="F10-Bullet1Char"/>
    <w:qFormat/>
    <w:rsid w:val="00346B41"/>
    <w:pPr>
      <w:spacing w:before="240" w:after="120" w:line="240" w:lineRule="auto"/>
      <w:ind w:left="1418" w:hanging="425"/>
      <w:contextualSpacing w:val="0"/>
    </w:pPr>
    <w:rPr>
      <w:rFonts w:eastAsia="Times New Roman"/>
      <w:szCs w:val="24"/>
      <w:lang w:bidi="ar-SA"/>
    </w:rPr>
  </w:style>
  <w:style w:type="character" w:customStyle="1" w:styleId="F10-Bullet1Char">
    <w:name w:val="F10 - Bullet 1 Char"/>
    <w:basedOn w:val="DefaultParagraphFont"/>
    <w:link w:val="F10-Bullet1"/>
    <w:rsid w:val="00346B41"/>
    <w:rPr>
      <w:rFonts w:ascii="Arial" w:eastAsia="Times New Roman" w:hAnsi="Arial"/>
      <w:sz w:val="24"/>
      <w:szCs w:val="24"/>
      <w:lang w:eastAsia="en-US"/>
    </w:rPr>
  </w:style>
  <w:style w:type="paragraph" w:customStyle="1" w:styleId="F11-Bullet2">
    <w:name w:val="F11 - Bullet 2"/>
    <w:basedOn w:val="F10-Bullet1"/>
    <w:link w:val="F11-Bullet2Char"/>
    <w:qFormat/>
    <w:rsid w:val="00346B41"/>
    <w:pPr>
      <w:tabs>
        <w:tab w:val="num" w:pos="360"/>
      </w:tabs>
      <w:ind w:left="360" w:hanging="360"/>
    </w:pPr>
  </w:style>
  <w:style w:type="character" w:customStyle="1" w:styleId="F11-Bullet2Char">
    <w:name w:val="F11 - Bullet 2 Char"/>
    <w:basedOn w:val="F10-Bullet1Char"/>
    <w:link w:val="F11-Bullet2"/>
    <w:rsid w:val="00B36D19"/>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1110020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736938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6020726">
      <w:bodyDiv w:val="1"/>
      <w:marLeft w:val="0"/>
      <w:marRight w:val="0"/>
      <w:marTop w:val="0"/>
      <w:marBottom w:val="0"/>
      <w:divBdr>
        <w:top w:val="none" w:sz="0" w:space="0" w:color="auto"/>
        <w:left w:val="none" w:sz="0" w:space="0" w:color="auto"/>
        <w:bottom w:val="none" w:sz="0" w:space="0" w:color="auto"/>
        <w:right w:val="none" w:sz="0" w:space="0" w:color="auto"/>
      </w:divBdr>
    </w:div>
    <w:div w:id="514655244">
      <w:bodyDiv w:val="1"/>
      <w:marLeft w:val="0"/>
      <w:marRight w:val="0"/>
      <w:marTop w:val="0"/>
      <w:marBottom w:val="0"/>
      <w:divBdr>
        <w:top w:val="none" w:sz="0" w:space="0" w:color="auto"/>
        <w:left w:val="none" w:sz="0" w:space="0" w:color="auto"/>
        <w:bottom w:val="none" w:sz="0" w:space="0" w:color="auto"/>
        <w:right w:val="none" w:sz="0" w:space="0" w:color="auto"/>
      </w:divBdr>
    </w:div>
    <w:div w:id="5263303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1258998">
      <w:bodyDiv w:val="1"/>
      <w:marLeft w:val="0"/>
      <w:marRight w:val="0"/>
      <w:marTop w:val="0"/>
      <w:marBottom w:val="0"/>
      <w:divBdr>
        <w:top w:val="none" w:sz="0" w:space="0" w:color="auto"/>
        <w:left w:val="none" w:sz="0" w:space="0" w:color="auto"/>
        <w:bottom w:val="none" w:sz="0" w:space="0" w:color="auto"/>
        <w:right w:val="none" w:sz="0" w:space="0" w:color="auto"/>
      </w:divBdr>
    </w:div>
    <w:div w:id="743066620">
      <w:bodyDiv w:val="1"/>
      <w:marLeft w:val="0"/>
      <w:marRight w:val="0"/>
      <w:marTop w:val="0"/>
      <w:marBottom w:val="0"/>
      <w:divBdr>
        <w:top w:val="none" w:sz="0" w:space="0" w:color="auto"/>
        <w:left w:val="none" w:sz="0" w:space="0" w:color="auto"/>
        <w:bottom w:val="none" w:sz="0" w:space="0" w:color="auto"/>
        <w:right w:val="none" w:sz="0" w:space="0" w:color="auto"/>
      </w:divBdr>
    </w:div>
    <w:div w:id="784618629">
      <w:bodyDiv w:val="1"/>
      <w:marLeft w:val="0"/>
      <w:marRight w:val="0"/>
      <w:marTop w:val="0"/>
      <w:marBottom w:val="0"/>
      <w:divBdr>
        <w:top w:val="none" w:sz="0" w:space="0" w:color="auto"/>
        <w:left w:val="none" w:sz="0" w:space="0" w:color="auto"/>
        <w:bottom w:val="none" w:sz="0" w:space="0" w:color="auto"/>
        <w:right w:val="none" w:sz="0" w:space="0" w:color="auto"/>
      </w:divBdr>
    </w:div>
    <w:div w:id="938636010">
      <w:bodyDiv w:val="1"/>
      <w:marLeft w:val="0"/>
      <w:marRight w:val="0"/>
      <w:marTop w:val="0"/>
      <w:marBottom w:val="0"/>
      <w:divBdr>
        <w:top w:val="none" w:sz="0" w:space="0" w:color="auto"/>
        <w:left w:val="none" w:sz="0" w:space="0" w:color="auto"/>
        <w:bottom w:val="none" w:sz="0" w:space="0" w:color="auto"/>
        <w:right w:val="none" w:sz="0" w:space="0" w:color="auto"/>
      </w:divBdr>
    </w:div>
    <w:div w:id="9676632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996784">
      <w:bodyDiv w:val="1"/>
      <w:marLeft w:val="0"/>
      <w:marRight w:val="0"/>
      <w:marTop w:val="0"/>
      <w:marBottom w:val="0"/>
      <w:divBdr>
        <w:top w:val="none" w:sz="0" w:space="0" w:color="auto"/>
        <w:left w:val="none" w:sz="0" w:space="0" w:color="auto"/>
        <w:bottom w:val="none" w:sz="0" w:space="0" w:color="auto"/>
        <w:right w:val="none" w:sz="0" w:space="0" w:color="auto"/>
      </w:divBdr>
    </w:div>
    <w:div w:id="1240942927">
      <w:bodyDiv w:val="1"/>
      <w:marLeft w:val="0"/>
      <w:marRight w:val="0"/>
      <w:marTop w:val="0"/>
      <w:marBottom w:val="0"/>
      <w:divBdr>
        <w:top w:val="none" w:sz="0" w:space="0" w:color="auto"/>
        <w:left w:val="none" w:sz="0" w:space="0" w:color="auto"/>
        <w:bottom w:val="none" w:sz="0" w:space="0" w:color="auto"/>
        <w:right w:val="none" w:sz="0" w:space="0" w:color="auto"/>
      </w:divBdr>
    </w:div>
    <w:div w:id="1310480693">
      <w:bodyDiv w:val="1"/>
      <w:marLeft w:val="0"/>
      <w:marRight w:val="0"/>
      <w:marTop w:val="0"/>
      <w:marBottom w:val="0"/>
      <w:divBdr>
        <w:top w:val="none" w:sz="0" w:space="0" w:color="auto"/>
        <w:left w:val="none" w:sz="0" w:space="0" w:color="auto"/>
        <w:bottom w:val="none" w:sz="0" w:space="0" w:color="auto"/>
        <w:right w:val="none" w:sz="0" w:space="0" w:color="auto"/>
      </w:divBdr>
    </w:div>
    <w:div w:id="134467017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167615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974664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886053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0868695">
      <w:bodyDiv w:val="1"/>
      <w:marLeft w:val="0"/>
      <w:marRight w:val="0"/>
      <w:marTop w:val="0"/>
      <w:marBottom w:val="0"/>
      <w:divBdr>
        <w:top w:val="none" w:sz="0" w:space="0" w:color="auto"/>
        <w:left w:val="none" w:sz="0" w:space="0" w:color="auto"/>
        <w:bottom w:val="none" w:sz="0" w:space="0" w:color="auto"/>
        <w:right w:val="none" w:sz="0" w:space="0" w:color="auto"/>
      </w:divBdr>
    </w:div>
    <w:div w:id="1927223739">
      <w:bodyDiv w:val="1"/>
      <w:marLeft w:val="0"/>
      <w:marRight w:val="0"/>
      <w:marTop w:val="0"/>
      <w:marBottom w:val="0"/>
      <w:divBdr>
        <w:top w:val="none" w:sz="0" w:space="0" w:color="auto"/>
        <w:left w:val="none" w:sz="0" w:space="0" w:color="auto"/>
        <w:bottom w:val="none" w:sz="0" w:space="0" w:color="auto"/>
        <w:right w:val="none" w:sz="0" w:space="0" w:color="auto"/>
      </w:divBdr>
    </w:div>
    <w:div w:id="1958753082">
      <w:bodyDiv w:val="1"/>
      <w:marLeft w:val="0"/>
      <w:marRight w:val="0"/>
      <w:marTop w:val="0"/>
      <w:marBottom w:val="0"/>
      <w:divBdr>
        <w:top w:val="none" w:sz="0" w:space="0" w:color="auto"/>
        <w:left w:val="none" w:sz="0" w:space="0" w:color="auto"/>
        <w:bottom w:val="none" w:sz="0" w:space="0" w:color="auto"/>
        <w:right w:val="none" w:sz="0" w:space="0" w:color="auto"/>
      </w:divBdr>
    </w:div>
    <w:div w:id="1971670495">
      <w:bodyDiv w:val="1"/>
      <w:marLeft w:val="0"/>
      <w:marRight w:val="0"/>
      <w:marTop w:val="0"/>
      <w:marBottom w:val="0"/>
      <w:divBdr>
        <w:top w:val="none" w:sz="0" w:space="0" w:color="auto"/>
        <w:left w:val="none" w:sz="0" w:space="0" w:color="auto"/>
        <w:bottom w:val="none" w:sz="0" w:space="0" w:color="auto"/>
        <w:right w:val="none" w:sz="0" w:space="0" w:color="auto"/>
      </w:divBdr>
    </w:div>
    <w:div w:id="2031102370">
      <w:bodyDiv w:val="1"/>
      <w:marLeft w:val="0"/>
      <w:marRight w:val="0"/>
      <w:marTop w:val="0"/>
      <w:marBottom w:val="0"/>
      <w:divBdr>
        <w:top w:val="none" w:sz="0" w:space="0" w:color="auto"/>
        <w:left w:val="none" w:sz="0" w:space="0" w:color="auto"/>
        <w:bottom w:val="none" w:sz="0" w:space="0" w:color="auto"/>
        <w:right w:val="none" w:sz="0" w:space="0" w:color="auto"/>
      </w:divBdr>
    </w:div>
    <w:div w:id="2042199746">
      <w:bodyDiv w:val="1"/>
      <w:marLeft w:val="0"/>
      <w:marRight w:val="0"/>
      <w:marTop w:val="0"/>
      <w:marBottom w:val="0"/>
      <w:divBdr>
        <w:top w:val="none" w:sz="0" w:space="0" w:color="auto"/>
        <w:left w:val="none" w:sz="0" w:space="0" w:color="auto"/>
        <w:bottom w:val="none" w:sz="0" w:space="0" w:color="auto"/>
        <w:right w:val="none" w:sz="0" w:space="0" w:color="auto"/>
      </w:divBdr>
    </w:div>
    <w:div w:id="207023105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805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F2DF42EB07824298885B053BE9F16EC1"/>
        <w:category>
          <w:name w:val="General"/>
          <w:gallery w:val="placeholder"/>
        </w:category>
        <w:types>
          <w:type w:val="bbPlcHdr"/>
        </w:types>
        <w:behaviors>
          <w:behavior w:val="content"/>
        </w:behaviors>
        <w:guid w:val="{B14B0DDD-913F-464E-A3C5-6BFC182CAC7A}"/>
      </w:docPartPr>
      <w:docPartBody>
        <w:p w:rsidR="00D94C93" w:rsidRDefault="00C437AE" w:rsidP="00C437AE">
          <w:pPr>
            <w:pStyle w:val="F2DF42EB07824298885B053BE9F16EC1"/>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6E9E"/>
    <w:rsid w:val="000F15EC"/>
    <w:rsid w:val="001101B7"/>
    <w:rsid w:val="00176DB5"/>
    <w:rsid w:val="00183F29"/>
    <w:rsid w:val="002550FD"/>
    <w:rsid w:val="003033E8"/>
    <w:rsid w:val="00333F8E"/>
    <w:rsid w:val="00350199"/>
    <w:rsid w:val="003D5793"/>
    <w:rsid w:val="004F7A05"/>
    <w:rsid w:val="0056357D"/>
    <w:rsid w:val="005A49B8"/>
    <w:rsid w:val="007154C5"/>
    <w:rsid w:val="00764F6F"/>
    <w:rsid w:val="0083336C"/>
    <w:rsid w:val="00835E07"/>
    <w:rsid w:val="008B5F2F"/>
    <w:rsid w:val="008C4CC3"/>
    <w:rsid w:val="009A54A4"/>
    <w:rsid w:val="00A009A6"/>
    <w:rsid w:val="00A657B0"/>
    <w:rsid w:val="00AE689F"/>
    <w:rsid w:val="00B711AF"/>
    <w:rsid w:val="00BC7EAA"/>
    <w:rsid w:val="00BF0D32"/>
    <w:rsid w:val="00C17C1E"/>
    <w:rsid w:val="00C41BCC"/>
    <w:rsid w:val="00C437AE"/>
    <w:rsid w:val="00D94C93"/>
    <w:rsid w:val="00DD7BA4"/>
    <w:rsid w:val="00E27559"/>
    <w:rsid w:val="00E318CE"/>
    <w:rsid w:val="00E646E1"/>
    <w:rsid w:val="00EB73F1"/>
    <w:rsid w:val="00F843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7AE"/>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F2DF42EB07824298885B053BE9F16EC1">
    <w:name w:val="F2DF42EB07824298885B053BE9F16EC1"/>
    <w:rsid w:val="00C437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ONR46</b:Tag>
    <b:SourceType>DocumentFromInternetSite</b:SourceType>
    <b:Guid>{62767264-37A1-4F62-86B2-4DF5F24E83F1}</b:Guid>
    <b:Author>
      <b:Author>
        <b:Corporate>ONR</b:Corporate>
      </b:Author>
    </b:Author>
    <b:Title>Licence Condition Handbook</b:Title>
    <b:City>https://www.onr.org.uk/media/gixbe2br/licence-condition-handbook.pdf</b:City>
    <b:URL>To ONR staff via HOW2 Hub (Internal ONR system)</b:URL>
    <b:RefOrder>2</b:RefOrder>
  </b:Source>
  <b:Source>
    <b:Tag>HMG2</b:Tag>
    <b:SourceType>Book</b:SourceType>
    <b:Guid>{72095292-4806-48BC-B526-C82857FAD658}</b:Guid>
    <b:Author>
      <b:Author>
        <b:NameList>
          <b:Person>
            <b:Last>Government</b:Last>
            <b:First>HM</b:First>
          </b:Person>
        </b:NameList>
      </b:Author>
    </b:Author>
    <b:Title>Nuclear Safeguards (EU Exit) Regulations 2019 (NSR19)</b:Title>
    <b:RefOrder>4</b:RefOrder>
  </b:Source>
  <b:Source>
    <b:Tag>ONR</b:Tag>
    <b:SourceType>Book</b:SourceType>
    <b:Guid>{8BBAA464-0840-43E9-9507-AA99AD54E84D}</b:Guid>
    <b:Author>
      <b:Author>
        <b:NameList>
          <b:Person>
            <b:Last>ONR</b:Last>
          </b:Person>
        </b:NameList>
      </b:Author>
    </b:Author>
    <b:Title>NS-TAST-GD-049 Licensee Core Safety and Intelligent Customer Capabilities </b: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9732FBD6-3900-46DE-B71A-0E53C702E4B5}">
  <ds:schemaRefs>
    <ds:schemaRef ds:uri="http://schemas.microsoft.com/sharepoint/events"/>
  </ds:schemaRefs>
</ds:datastoreItem>
</file>

<file path=customXml/itemProps4.xml><?xml version="1.0" encoding="utf-8"?>
<ds:datastoreItem xmlns:ds="http://schemas.openxmlformats.org/officeDocument/2006/customXml" ds:itemID="{302464A8-7BA5-4131-8D06-4B18A77BE91D}">
  <ds:schemaRefs>
    <ds:schemaRef ds:uri="8c4e2855-9588-4bc9-9890-af639bd565eb"/>
    <ds:schemaRef ds:uri="http://www.w3.org/XML/1998/namespace"/>
    <ds:schemaRef ds:uri="http://purl.org/dc/dcmitype/"/>
    <ds:schemaRef ds:uri="http://schemas.microsoft.com/office/2006/metadata/properties"/>
    <ds:schemaRef ds:uri="http://schemas.microsoft.com/office/2006/documentManagement/types"/>
    <ds:schemaRef ds:uri="http://purl.org/dc/terms/"/>
    <ds:schemaRef ds:uri="http://purl.org/dc/elements/1.1/"/>
    <ds:schemaRef ds:uri="fbd4c4c3-96d4-4265-b68e-6a383a5dca66"/>
    <ds:schemaRef ds:uri="http://schemas.microsoft.com/office/infopath/2007/PartnerControls"/>
    <ds:schemaRef ds:uri="http://schemas.openxmlformats.org/package/2006/metadata/core-properties"/>
    <ds:schemaRef ds:uri="05350e14-297a-489c-ad04-faf6563b232c"/>
  </ds:schemaRefs>
</ds:datastoreItem>
</file>

<file path=customXml/itemProps5.xml><?xml version="1.0" encoding="utf-8"?>
<ds:datastoreItem xmlns:ds="http://schemas.openxmlformats.org/officeDocument/2006/customXml" ds:itemID="{1DEE2FF2-5D81-4587-89CD-A94A16B4C01A}">
  <ds:schemaRefs>
    <ds:schemaRef ds:uri="Microsoft.SharePoint.Taxonomy.ContentTypeSync"/>
  </ds:schemaRefs>
</ds:datastoreItem>
</file>

<file path=customXml/itemProps6.xml><?xml version="1.0" encoding="utf-8"?>
<ds:datastoreItem xmlns:ds="http://schemas.openxmlformats.org/officeDocument/2006/customXml" ds:itemID="{9F93501E-4F0F-45DA-BBC2-9DCB05FB6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ADD911B-174C-455C-AB0D-A546D7D9F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18</Pages>
  <Words>4204</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28117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LC22 – Modification or experiment on existing plant</dc:title>
  <dc:subject>[Subtitle or description]</dc:subject>
  <cp:keywords>[Key words separated by commas]</cp:keywords>
  <dc:description/>
  <cp:revision>4</cp:revision>
  <cp:lastPrinted>2016-11-28T11:35:00Z</cp:lastPrinted>
  <dcterms:created xsi:type="dcterms:W3CDTF">2026-05-05T11:46:00Z</dcterms:created>
  <dcterms:modified xsi:type="dcterms:W3CDTF">2026-05-05T11:55:00Z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