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96"/>
                <w:szCs w:val="96"/>
              </w:rPr>
              <w:id w:val="1228188510"/>
              <w:placeholder>
                <w:docPart w:val="DefaultPlaceholder_-1854013440"/>
              </w:placeholder>
            </w:sdtPr>
            <w:sdtEndPr/>
            <w:sdtContent>
              <w:p w14:paraId="7C4EA414" w14:textId="2F5F7228" w:rsidR="00D0226A" w:rsidRPr="001E03E1" w:rsidRDefault="002971A5"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5B03CF" w:rsidRPr="002F420E">
                      <w:rPr>
                        <w:sz w:val="72"/>
                        <w:szCs w:val="72"/>
                      </w:rPr>
                      <w:t>LC21</w:t>
                    </w:r>
                    <w:r w:rsidR="00C03CD1" w:rsidRPr="002F420E">
                      <w:rPr>
                        <w:sz w:val="72"/>
                        <w:szCs w:val="72"/>
                      </w:rPr>
                      <w:t xml:space="preserve"> – </w:t>
                    </w:r>
                    <w:r w:rsidR="002F5784" w:rsidRPr="002F420E">
                      <w:rPr>
                        <w:sz w:val="72"/>
                        <w:szCs w:val="72"/>
                      </w:rPr>
                      <w:t>Commissioning</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B23A5E">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bookmarkEnd w:id="0" w:displacedByCustomXml="next"/>
    <w:bookmarkStart w:id="1" w:name="_Toc225949199" w:displacedByCustomXml="next"/>
    <w:sdt>
      <w:sdtPr>
        <w:rPr>
          <w:rFonts w:ascii="Arial" w:eastAsia="Calibri" w:hAnsi="Arial" w:cs="Arial"/>
          <w:color w:val="auto"/>
          <w:sz w:val="24"/>
          <w:szCs w:val="22"/>
          <w:lang w:eastAsia="en-US" w:bidi="he-IL"/>
        </w:rPr>
        <w:id w:val="-143431201"/>
        <w:docPartObj>
          <w:docPartGallery w:val="Table of Contents"/>
          <w:docPartUnique/>
        </w:docPartObj>
      </w:sdtPr>
      <w:sdtEndPr>
        <w:rPr>
          <w:b/>
          <w:bCs/>
        </w:rPr>
      </w:sdtEndPr>
      <w:sdtContent>
        <w:p w14:paraId="74E8855F" w14:textId="029DD328" w:rsidR="002F420E" w:rsidRPr="002F420E" w:rsidRDefault="002F420E">
          <w:pPr>
            <w:pStyle w:val="TOCHeading"/>
            <w:rPr>
              <w:sz w:val="48"/>
              <w:szCs w:val="48"/>
            </w:rPr>
          </w:pPr>
          <w:r w:rsidRPr="002F420E">
            <w:rPr>
              <w:sz w:val="48"/>
              <w:szCs w:val="48"/>
            </w:rPr>
            <w:t>Contents</w:t>
          </w:r>
        </w:p>
        <w:p w14:paraId="6C89F597" w14:textId="6FCD623A" w:rsidR="002F420E" w:rsidRDefault="002F420E">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26729700" w:history="1">
            <w:r w:rsidRPr="003F57F3">
              <w:rPr>
                <w:rStyle w:val="Hyperlink"/>
              </w:rPr>
              <w:t>1.</w:t>
            </w:r>
            <w:r>
              <w:rPr>
                <w:rFonts w:asciiTheme="minorHAnsi" w:eastAsiaTheme="minorEastAsia" w:hAnsiTheme="minorHAnsi" w:cstheme="minorBidi"/>
                <w:kern w:val="2"/>
                <w:szCs w:val="24"/>
                <w:lang w:eastAsia="en-GB" w:bidi="ar-SA"/>
                <w14:ligatures w14:val="standardContextual"/>
              </w:rPr>
              <w:tab/>
            </w:r>
            <w:r w:rsidRPr="003F57F3">
              <w:rPr>
                <w:rStyle w:val="Hyperlink"/>
              </w:rPr>
              <w:t>Introduction</w:t>
            </w:r>
            <w:r>
              <w:rPr>
                <w:webHidden/>
              </w:rPr>
              <w:tab/>
            </w:r>
            <w:r>
              <w:rPr>
                <w:webHidden/>
              </w:rPr>
              <w:fldChar w:fldCharType="begin"/>
            </w:r>
            <w:r>
              <w:rPr>
                <w:webHidden/>
              </w:rPr>
              <w:instrText xml:space="preserve"> PAGEREF _Toc226729700 \h </w:instrText>
            </w:r>
            <w:r>
              <w:rPr>
                <w:webHidden/>
              </w:rPr>
            </w:r>
            <w:r>
              <w:rPr>
                <w:webHidden/>
              </w:rPr>
              <w:fldChar w:fldCharType="separate"/>
            </w:r>
            <w:r>
              <w:rPr>
                <w:webHidden/>
              </w:rPr>
              <w:t>3</w:t>
            </w:r>
            <w:r>
              <w:rPr>
                <w:webHidden/>
              </w:rPr>
              <w:fldChar w:fldCharType="end"/>
            </w:r>
          </w:hyperlink>
        </w:p>
        <w:p w14:paraId="039F8716" w14:textId="313F5529" w:rsidR="002F420E" w:rsidRDefault="002F420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9701" w:history="1">
            <w:r w:rsidRPr="003F57F3">
              <w:rPr>
                <w:rStyle w:val="Hyperlink"/>
              </w:rPr>
              <w:t>2.</w:t>
            </w:r>
            <w:r>
              <w:rPr>
                <w:rFonts w:asciiTheme="minorHAnsi" w:eastAsiaTheme="minorEastAsia" w:hAnsiTheme="minorHAnsi" w:cstheme="minorBidi"/>
                <w:kern w:val="2"/>
                <w:szCs w:val="24"/>
                <w:lang w:eastAsia="en-GB" w:bidi="ar-SA"/>
                <w14:ligatures w14:val="standardContextual"/>
              </w:rPr>
              <w:tab/>
            </w:r>
            <w:r w:rsidRPr="003F57F3">
              <w:rPr>
                <w:rStyle w:val="Hyperlink"/>
              </w:rPr>
              <w:t>Licence Condition 21 – Commissioning</w:t>
            </w:r>
            <w:r>
              <w:rPr>
                <w:webHidden/>
              </w:rPr>
              <w:tab/>
            </w:r>
            <w:r>
              <w:rPr>
                <w:webHidden/>
              </w:rPr>
              <w:fldChar w:fldCharType="begin"/>
            </w:r>
            <w:r>
              <w:rPr>
                <w:webHidden/>
              </w:rPr>
              <w:instrText xml:space="preserve"> PAGEREF _Toc226729701 \h </w:instrText>
            </w:r>
            <w:r>
              <w:rPr>
                <w:webHidden/>
              </w:rPr>
            </w:r>
            <w:r>
              <w:rPr>
                <w:webHidden/>
              </w:rPr>
              <w:fldChar w:fldCharType="separate"/>
            </w:r>
            <w:r>
              <w:rPr>
                <w:webHidden/>
              </w:rPr>
              <w:t>4</w:t>
            </w:r>
            <w:r>
              <w:rPr>
                <w:webHidden/>
              </w:rPr>
              <w:fldChar w:fldCharType="end"/>
            </w:r>
          </w:hyperlink>
        </w:p>
        <w:p w14:paraId="1A0E19C2" w14:textId="1A12E2E9" w:rsidR="002F420E" w:rsidRDefault="002F420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9702" w:history="1">
            <w:r w:rsidRPr="003F57F3">
              <w:rPr>
                <w:rStyle w:val="Hyperlink"/>
              </w:rPr>
              <w:t>3.</w:t>
            </w:r>
            <w:r>
              <w:rPr>
                <w:rFonts w:asciiTheme="minorHAnsi" w:eastAsiaTheme="minorEastAsia" w:hAnsiTheme="minorHAnsi" w:cstheme="minorBidi"/>
                <w:kern w:val="2"/>
                <w:szCs w:val="24"/>
                <w:lang w:eastAsia="en-GB" w:bidi="ar-SA"/>
                <w14:ligatures w14:val="standardContextual"/>
              </w:rPr>
              <w:tab/>
            </w:r>
            <w:r w:rsidRPr="003F57F3">
              <w:rPr>
                <w:rStyle w:val="Hyperlink"/>
              </w:rPr>
              <w:t>Purpose and outcomes of Licence Condition 21</w:t>
            </w:r>
            <w:r>
              <w:rPr>
                <w:webHidden/>
              </w:rPr>
              <w:tab/>
            </w:r>
            <w:r>
              <w:rPr>
                <w:webHidden/>
              </w:rPr>
              <w:fldChar w:fldCharType="begin"/>
            </w:r>
            <w:r>
              <w:rPr>
                <w:webHidden/>
              </w:rPr>
              <w:instrText xml:space="preserve"> PAGEREF _Toc226729702 \h </w:instrText>
            </w:r>
            <w:r>
              <w:rPr>
                <w:webHidden/>
              </w:rPr>
            </w:r>
            <w:r>
              <w:rPr>
                <w:webHidden/>
              </w:rPr>
              <w:fldChar w:fldCharType="separate"/>
            </w:r>
            <w:r>
              <w:rPr>
                <w:webHidden/>
              </w:rPr>
              <w:t>6</w:t>
            </w:r>
            <w:r>
              <w:rPr>
                <w:webHidden/>
              </w:rPr>
              <w:fldChar w:fldCharType="end"/>
            </w:r>
          </w:hyperlink>
        </w:p>
        <w:p w14:paraId="29FED4E3" w14:textId="17F1C73C" w:rsidR="002F420E" w:rsidRDefault="002F420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9703" w:history="1">
            <w:r w:rsidRPr="003F57F3">
              <w:rPr>
                <w:rStyle w:val="Hyperlink"/>
              </w:rPr>
              <w:t>3.1.</w:t>
            </w:r>
            <w:r>
              <w:rPr>
                <w:rFonts w:asciiTheme="minorHAnsi" w:eastAsiaTheme="minorEastAsia" w:hAnsiTheme="minorHAnsi" w:cstheme="minorBidi"/>
                <w:kern w:val="2"/>
                <w:szCs w:val="24"/>
                <w:lang w:eastAsia="en-GB" w:bidi="ar-SA"/>
                <w14:ligatures w14:val="standardContextual"/>
              </w:rPr>
              <w:tab/>
            </w:r>
            <w:r w:rsidRPr="003F57F3">
              <w:rPr>
                <w:rStyle w:val="Hyperlink"/>
              </w:rPr>
              <w:t>Outcomes</w:t>
            </w:r>
            <w:r>
              <w:rPr>
                <w:webHidden/>
              </w:rPr>
              <w:tab/>
            </w:r>
            <w:r>
              <w:rPr>
                <w:webHidden/>
              </w:rPr>
              <w:fldChar w:fldCharType="begin"/>
            </w:r>
            <w:r>
              <w:rPr>
                <w:webHidden/>
              </w:rPr>
              <w:instrText xml:space="preserve"> PAGEREF _Toc226729703 \h </w:instrText>
            </w:r>
            <w:r>
              <w:rPr>
                <w:webHidden/>
              </w:rPr>
            </w:r>
            <w:r>
              <w:rPr>
                <w:webHidden/>
              </w:rPr>
              <w:fldChar w:fldCharType="separate"/>
            </w:r>
            <w:r>
              <w:rPr>
                <w:webHidden/>
              </w:rPr>
              <w:t>6</w:t>
            </w:r>
            <w:r>
              <w:rPr>
                <w:webHidden/>
              </w:rPr>
              <w:fldChar w:fldCharType="end"/>
            </w:r>
          </w:hyperlink>
        </w:p>
        <w:p w14:paraId="3039BECA" w14:textId="700D3A74" w:rsidR="002F420E" w:rsidRDefault="002F420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9704" w:history="1">
            <w:r w:rsidRPr="003F57F3">
              <w:rPr>
                <w:rStyle w:val="Hyperlink"/>
              </w:rPr>
              <w:t>4.</w:t>
            </w:r>
            <w:r>
              <w:rPr>
                <w:rFonts w:asciiTheme="minorHAnsi" w:eastAsiaTheme="minorEastAsia" w:hAnsiTheme="minorHAnsi" w:cstheme="minorBidi"/>
                <w:kern w:val="2"/>
                <w:szCs w:val="24"/>
                <w:lang w:eastAsia="en-GB" w:bidi="ar-SA"/>
                <w14:ligatures w14:val="standardContextual"/>
              </w:rPr>
              <w:tab/>
            </w:r>
            <w:r w:rsidRPr="003F57F3">
              <w:rPr>
                <w:rStyle w:val="Hyperlink"/>
              </w:rPr>
              <w:t>Guidance on inspection of Licence Condition 21</w:t>
            </w:r>
            <w:r>
              <w:rPr>
                <w:webHidden/>
              </w:rPr>
              <w:tab/>
            </w:r>
            <w:r>
              <w:rPr>
                <w:webHidden/>
              </w:rPr>
              <w:fldChar w:fldCharType="begin"/>
            </w:r>
            <w:r>
              <w:rPr>
                <w:webHidden/>
              </w:rPr>
              <w:instrText xml:space="preserve"> PAGEREF _Toc226729704 \h </w:instrText>
            </w:r>
            <w:r>
              <w:rPr>
                <w:webHidden/>
              </w:rPr>
            </w:r>
            <w:r>
              <w:rPr>
                <w:webHidden/>
              </w:rPr>
              <w:fldChar w:fldCharType="separate"/>
            </w:r>
            <w:r>
              <w:rPr>
                <w:webHidden/>
              </w:rPr>
              <w:t>8</w:t>
            </w:r>
            <w:r>
              <w:rPr>
                <w:webHidden/>
              </w:rPr>
              <w:fldChar w:fldCharType="end"/>
            </w:r>
          </w:hyperlink>
        </w:p>
        <w:p w14:paraId="3259194F" w14:textId="78BC6A21" w:rsidR="002F420E" w:rsidRDefault="002F420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9705" w:history="1">
            <w:r w:rsidRPr="003F57F3">
              <w:rPr>
                <w:rStyle w:val="Hyperlink"/>
              </w:rPr>
              <w:t>4.1.</w:t>
            </w:r>
            <w:r>
              <w:rPr>
                <w:rFonts w:asciiTheme="minorHAnsi" w:eastAsiaTheme="minorEastAsia" w:hAnsiTheme="minorHAnsi" w:cstheme="minorBidi"/>
                <w:kern w:val="2"/>
                <w:szCs w:val="24"/>
                <w:lang w:eastAsia="en-GB" w:bidi="ar-SA"/>
                <w14:ligatures w14:val="standardContextual"/>
              </w:rPr>
              <w:tab/>
            </w:r>
            <w:r w:rsidRPr="003F57F3">
              <w:rPr>
                <w:rStyle w:val="Hyperlink"/>
              </w:rPr>
              <w:t>Arrangements</w:t>
            </w:r>
            <w:r>
              <w:rPr>
                <w:webHidden/>
              </w:rPr>
              <w:tab/>
            </w:r>
            <w:r>
              <w:rPr>
                <w:webHidden/>
              </w:rPr>
              <w:fldChar w:fldCharType="begin"/>
            </w:r>
            <w:r>
              <w:rPr>
                <w:webHidden/>
              </w:rPr>
              <w:instrText xml:space="preserve"> PAGEREF _Toc226729705 \h </w:instrText>
            </w:r>
            <w:r>
              <w:rPr>
                <w:webHidden/>
              </w:rPr>
            </w:r>
            <w:r>
              <w:rPr>
                <w:webHidden/>
              </w:rPr>
              <w:fldChar w:fldCharType="separate"/>
            </w:r>
            <w:r>
              <w:rPr>
                <w:webHidden/>
              </w:rPr>
              <w:t>8</w:t>
            </w:r>
            <w:r>
              <w:rPr>
                <w:webHidden/>
              </w:rPr>
              <w:fldChar w:fldCharType="end"/>
            </w:r>
          </w:hyperlink>
        </w:p>
        <w:p w14:paraId="1F2CC1F2" w14:textId="140D0C47" w:rsidR="002F420E" w:rsidRDefault="002F420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9706" w:history="1">
            <w:r w:rsidRPr="003F57F3">
              <w:rPr>
                <w:rStyle w:val="Hyperlink"/>
              </w:rPr>
              <w:t>4.2.</w:t>
            </w:r>
            <w:r>
              <w:rPr>
                <w:rFonts w:asciiTheme="minorHAnsi" w:eastAsiaTheme="minorEastAsia" w:hAnsiTheme="minorHAnsi" w:cstheme="minorBidi"/>
                <w:kern w:val="2"/>
                <w:szCs w:val="24"/>
                <w:lang w:eastAsia="en-GB" w:bidi="ar-SA"/>
                <w14:ligatures w14:val="standardContextual"/>
              </w:rPr>
              <w:tab/>
            </w:r>
            <w:r w:rsidRPr="003F57F3">
              <w:rPr>
                <w:rStyle w:val="Hyperlink"/>
              </w:rPr>
              <w:t>Inspection of implementation of arrangements</w:t>
            </w:r>
            <w:r>
              <w:rPr>
                <w:webHidden/>
              </w:rPr>
              <w:tab/>
            </w:r>
            <w:r>
              <w:rPr>
                <w:webHidden/>
              </w:rPr>
              <w:fldChar w:fldCharType="begin"/>
            </w:r>
            <w:r>
              <w:rPr>
                <w:webHidden/>
              </w:rPr>
              <w:instrText xml:space="preserve"> PAGEREF _Toc226729706 \h </w:instrText>
            </w:r>
            <w:r>
              <w:rPr>
                <w:webHidden/>
              </w:rPr>
            </w:r>
            <w:r>
              <w:rPr>
                <w:webHidden/>
              </w:rPr>
              <w:fldChar w:fldCharType="separate"/>
            </w:r>
            <w:r>
              <w:rPr>
                <w:webHidden/>
              </w:rPr>
              <w:t>10</w:t>
            </w:r>
            <w:r>
              <w:rPr>
                <w:webHidden/>
              </w:rPr>
              <w:fldChar w:fldCharType="end"/>
            </w:r>
          </w:hyperlink>
        </w:p>
        <w:p w14:paraId="13191704" w14:textId="3C823C27" w:rsidR="002F420E" w:rsidRDefault="002F420E">
          <w:pPr>
            <w:pStyle w:val="TOC1"/>
            <w:rPr>
              <w:rFonts w:asciiTheme="minorHAnsi" w:eastAsiaTheme="minorEastAsia" w:hAnsiTheme="minorHAnsi" w:cstheme="minorBidi"/>
              <w:kern w:val="2"/>
              <w:szCs w:val="24"/>
              <w:lang w:eastAsia="en-GB" w:bidi="ar-SA"/>
              <w14:ligatures w14:val="standardContextual"/>
            </w:rPr>
          </w:pPr>
          <w:hyperlink w:anchor="_Toc226729707" w:history="1">
            <w:r w:rsidRPr="003F57F3">
              <w:rPr>
                <w:rStyle w:val="Hyperlink"/>
              </w:rPr>
              <w:t>References</w:t>
            </w:r>
            <w:r>
              <w:rPr>
                <w:webHidden/>
              </w:rPr>
              <w:tab/>
            </w:r>
            <w:r>
              <w:rPr>
                <w:webHidden/>
              </w:rPr>
              <w:fldChar w:fldCharType="begin"/>
            </w:r>
            <w:r>
              <w:rPr>
                <w:webHidden/>
              </w:rPr>
              <w:instrText xml:space="preserve"> PAGEREF _Toc226729707 \h </w:instrText>
            </w:r>
            <w:r>
              <w:rPr>
                <w:webHidden/>
              </w:rPr>
            </w:r>
            <w:r>
              <w:rPr>
                <w:webHidden/>
              </w:rPr>
              <w:fldChar w:fldCharType="separate"/>
            </w:r>
            <w:r>
              <w:rPr>
                <w:webHidden/>
              </w:rPr>
              <w:t>15</w:t>
            </w:r>
            <w:r>
              <w:rPr>
                <w:webHidden/>
              </w:rPr>
              <w:fldChar w:fldCharType="end"/>
            </w:r>
          </w:hyperlink>
        </w:p>
        <w:p w14:paraId="4494AD79" w14:textId="258B907C" w:rsidR="002F420E" w:rsidRDefault="002F420E">
          <w:pPr>
            <w:pStyle w:val="TOC1"/>
            <w:rPr>
              <w:rFonts w:asciiTheme="minorHAnsi" w:eastAsiaTheme="minorEastAsia" w:hAnsiTheme="minorHAnsi" w:cstheme="minorBidi"/>
              <w:kern w:val="2"/>
              <w:szCs w:val="24"/>
              <w:lang w:eastAsia="en-GB" w:bidi="ar-SA"/>
              <w14:ligatures w14:val="standardContextual"/>
            </w:rPr>
          </w:pPr>
          <w:hyperlink w:anchor="_Toc226729708" w:history="1">
            <w:r w:rsidRPr="003F57F3">
              <w:rPr>
                <w:rStyle w:val="Hyperlink"/>
              </w:rPr>
              <w:t>Document control information</w:t>
            </w:r>
            <w:r>
              <w:rPr>
                <w:webHidden/>
              </w:rPr>
              <w:tab/>
            </w:r>
            <w:r>
              <w:rPr>
                <w:webHidden/>
              </w:rPr>
              <w:fldChar w:fldCharType="begin"/>
            </w:r>
            <w:r>
              <w:rPr>
                <w:webHidden/>
              </w:rPr>
              <w:instrText xml:space="preserve"> PAGEREF _Toc226729708 \h </w:instrText>
            </w:r>
            <w:r>
              <w:rPr>
                <w:webHidden/>
              </w:rPr>
            </w:r>
            <w:r>
              <w:rPr>
                <w:webHidden/>
              </w:rPr>
              <w:fldChar w:fldCharType="separate"/>
            </w:r>
            <w:r>
              <w:rPr>
                <w:webHidden/>
              </w:rPr>
              <w:t>16</w:t>
            </w:r>
            <w:r>
              <w:rPr>
                <w:webHidden/>
              </w:rPr>
              <w:fldChar w:fldCharType="end"/>
            </w:r>
          </w:hyperlink>
        </w:p>
        <w:p w14:paraId="1751846D" w14:textId="707CE659" w:rsidR="002F420E" w:rsidRDefault="002F420E">
          <w:r>
            <w:rPr>
              <w:b/>
              <w:bCs/>
            </w:rPr>
            <w:fldChar w:fldCharType="end"/>
          </w:r>
        </w:p>
      </w:sdtContent>
    </w:sdt>
    <w:p w14:paraId="347A0F80" w14:textId="77777777" w:rsidR="002F420E" w:rsidRDefault="002F420E" w:rsidP="00C03CD1">
      <w:pPr>
        <w:pStyle w:val="Heading1"/>
        <w:sectPr w:rsidR="002F420E" w:rsidSect="00D62AB3">
          <w:headerReference w:type="even" r:id="rId20"/>
          <w:headerReference w:type="default" r:id="rId21"/>
          <w:footerReference w:type="even" r:id="rId22"/>
          <w:pgSz w:w="11906" w:h="16838" w:code="9"/>
          <w:pgMar w:top="1440" w:right="1440" w:bottom="1440" w:left="1276" w:header="397" w:footer="397" w:gutter="0"/>
          <w:cols w:space="312"/>
          <w:docGrid w:linePitch="360"/>
        </w:sectPr>
      </w:pPr>
    </w:p>
    <w:p w14:paraId="43A875A4" w14:textId="7F61F835" w:rsidR="008D49A5" w:rsidRPr="00A12190" w:rsidRDefault="008D49A5" w:rsidP="00C03CD1">
      <w:pPr>
        <w:pStyle w:val="Heading1"/>
      </w:pPr>
      <w:bookmarkStart w:id="2" w:name="_Toc226729700"/>
      <w:r w:rsidRPr="00A12190">
        <w:lastRenderedPageBreak/>
        <w:t>Introduction</w:t>
      </w:r>
      <w:bookmarkEnd w:id="2"/>
      <w:bookmarkEnd w:id="1"/>
    </w:p>
    <w:p w14:paraId="1E4BDB84" w14:textId="001368DA" w:rsidR="00314216" w:rsidRDefault="00A12190" w:rsidP="00C03CD1">
      <w:pPr>
        <w:pStyle w:val="F9-Paragraph"/>
      </w:pPr>
      <w:bookmarkStart w:id="3" w:name="_Hlk64448648"/>
      <w:r w:rsidRPr="00194C0C">
        <w:t xml:space="preserve">Technical Inspection Guides (TIG) support inspectors undertaking compliance inspections to make regulatory judgements in relation to the adequacy of compliance and in providing regulatory advice on specific Licence Conditions (LCs) to licensees. </w:t>
      </w:r>
      <w:r w:rsidR="00314216" w:rsidRPr="00314216">
        <w:t>LC21 sits within a suite of licence conditions (LC19–22 and LC35) that together establish a rigorous and proportionate framework for the regulatory control of change, supporting the safe progression of plant through construction, modification, commissioning operatio</w:t>
      </w:r>
      <w:r w:rsidR="0059502F">
        <w:t>ns</w:t>
      </w:r>
      <w:r w:rsidR="00314216" w:rsidRPr="00314216">
        <w:t xml:space="preserve"> </w:t>
      </w:r>
      <w:r w:rsidR="0059502F">
        <w:t>and decommissioning</w:t>
      </w:r>
      <w:r w:rsidR="00314216" w:rsidRPr="00314216">
        <w:t>.</w:t>
      </w:r>
    </w:p>
    <w:p w14:paraId="3E2F668B" w14:textId="00ACEFF4" w:rsidR="00A12190" w:rsidRDefault="00A12190" w:rsidP="00C03CD1">
      <w:pPr>
        <w:pStyle w:val="F9-Paragraph"/>
      </w:pPr>
      <w:r w:rsidRPr="00194C0C">
        <w:t xml:space="preserve">The purpose of this guidance is to facilitate a consistent approach to </w:t>
      </w:r>
      <w:r>
        <w:t>LC</w:t>
      </w:r>
      <w:r w:rsidR="00B73647">
        <w:t>21</w:t>
      </w:r>
      <w:r w:rsidRPr="00194C0C">
        <w:t>.</w:t>
      </w:r>
      <w:r w:rsidR="00314216">
        <w:t xml:space="preserve"> </w:t>
      </w:r>
      <w:r w:rsidRPr="00D41FFD">
        <w:t>While not exhaustive or mandatory, the guidance offers a clear framework for inspectors to assess the adequacy of compliance.</w:t>
      </w:r>
      <w:r w:rsidRPr="00DD6240">
        <w:t xml:space="preserve"> </w:t>
      </w:r>
      <w:r w:rsidRPr="00C71586">
        <w:t>Inspectors should also refer to the ONR p</w:t>
      </w:r>
      <w:r>
        <w:t>olicy</w:t>
      </w:r>
      <w:r w:rsidRPr="00C71586">
        <w:t xml:space="preserve"> on Risk-Informed and Targeted Engagements (RITE)</w:t>
      </w:r>
      <w:sdt>
        <w:sdtPr>
          <w:id w:val="196125768"/>
          <w:citation/>
        </w:sdtPr>
        <w:sdtEndPr/>
        <w:sdtContent>
          <w:r>
            <w:fldChar w:fldCharType="begin"/>
          </w:r>
          <w:r>
            <w:instrText xml:space="preserve">CITATION ONR2 \l 2057 </w:instrText>
          </w:r>
          <w:r>
            <w:fldChar w:fldCharType="separate"/>
          </w:r>
          <w:r w:rsidR="007D39BF">
            <w:rPr>
              <w:noProof/>
            </w:rPr>
            <w:t xml:space="preserve"> </w:t>
          </w:r>
          <w:r w:rsidR="007D39BF" w:rsidRPr="007D39BF">
            <w:rPr>
              <w:noProof/>
            </w:rPr>
            <w:t>[1]</w:t>
          </w:r>
          <w:r>
            <w:fldChar w:fldCharType="end"/>
          </w:r>
        </w:sdtContent>
      </w:sdt>
      <w:r>
        <w:t xml:space="preserve">, </w:t>
      </w:r>
      <w:r w:rsidRPr="00C71586">
        <w:t>which guides risk-based prioriti</w:t>
      </w:r>
      <w:r>
        <w:t>s</w:t>
      </w:r>
      <w:r w:rsidRPr="00C71586">
        <w:t xml:space="preserve">ation in regulatory interventions and supports decisions on engaging with </w:t>
      </w:r>
      <w:r>
        <w:t>d</w:t>
      </w:r>
      <w:r w:rsidRPr="00C71586">
        <w:t>utyholders</w:t>
      </w:r>
      <w:r>
        <w:t>.</w:t>
      </w:r>
      <w:bookmarkEnd w:id="3"/>
    </w:p>
    <w:p w14:paraId="59E50006" w14:textId="77777777" w:rsidR="00C03CD1" w:rsidRDefault="00C03CD1" w:rsidP="00C03CD1">
      <w:pPr>
        <w:pStyle w:val="Heading1"/>
        <w:sectPr w:rsidR="00C03CD1" w:rsidSect="00D62AB3">
          <w:pgSz w:w="11906" w:h="16838" w:code="9"/>
          <w:pgMar w:top="1440" w:right="1440" w:bottom="1440" w:left="1276" w:header="397" w:footer="397" w:gutter="0"/>
          <w:cols w:space="312"/>
          <w:docGrid w:linePitch="360"/>
        </w:sectPr>
      </w:pPr>
      <w:bookmarkStart w:id="4" w:name="_Toc225780251"/>
      <w:bookmarkStart w:id="5" w:name="_Toc225949200"/>
    </w:p>
    <w:p w14:paraId="3B7DAEC6" w14:textId="51DA0329" w:rsidR="00A12190" w:rsidRPr="00C4151D" w:rsidRDefault="002F420E" w:rsidP="00C03CD1">
      <w:pPr>
        <w:pStyle w:val="Heading1"/>
      </w:pPr>
      <w:bookmarkStart w:id="6" w:name="_Toc226729701"/>
      <w:r>
        <w:lastRenderedPageBreak/>
        <w:t>Licence Condition 21 –</w:t>
      </w:r>
      <w:bookmarkEnd w:id="4"/>
      <w:r>
        <w:t xml:space="preserve"> </w:t>
      </w:r>
      <w:r w:rsidR="00796B2A" w:rsidRPr="00C4151D">
        <w:t>Commissioning</w:t>
      </w:r>
      <w:bookmarkEnd w:id="5"/>
      <w:bookmarkEnd w:id="6"/>
    </w:p>
    <w:p w14:paraId="5FA6B852" w14:textId="77777777" w:rsidR="00A12190" w:rsidRDefault="00A12190" w:rsidP="002F420E">
      <w:pPr>
        <w:pStyle w:val="F9-Paragraph"/>
        <w:numPr>
          <w:ilvl w:val="0"/>
          <w:numId w:val="0"/>
        </w:numPr>
        <w:ind w:left="851"/>
      </w:pPr>
      <w:r w:rsidRPr="00B4258F">
        <w:t>The LC states:</w:t>
      </w:r>
    </w:p>
    <w:p w14:paraId="19FA0C31" w14:textId="1C0AEB39" w:rsidR="00A12190" w:rsidRPr="002F420E" w:rsidRDefault="00A12190" w:rsidP="002F420E">
      <w:pPr>
        <w:pStyle w:val="QuoteText"/>
        <w:rPr>
          <w:sz w:val="24"/>
          <w:szCs w:val="28"/>
        </w:rPr>
      </w:pPr>
      <w:r w:rsidRPr="002F420E">
        <w:rPr>
          <w:sz w:val="24"/>
          <w:szCs w:val="28"/>
        </w:rPr>
        <w:t>“2</w:t>
      </w:r>
      <w:r w:rsidR="000B2B6F" w:rsidRPr="002F420E">
        <w:rPr>
          <w:sz w:val="24"/>
          <w:szCs w:val="28"/>
        </w:rPr>
        <w:t>1</w:t>
      </w:r>
      <w:r w:rsidRPr="002F420E">
        <w:rPr>
          <w:sz w:val="24"/>
          <w:szCs w:val="28"/>
        </w:rPr>
        <w:t xml:space="preserve">(1)   </w:t>
      </w:r>
      <w:r w:rsidR="00157B68" w:rsidRPr="002F420E">
        <w:rPr>
          <w:sz w:val="24"/>
          <w:szCs w:val="28"/>
        </w:rPr>
        <w:t>The licensee shall make and implement adequate arrangements for the commissioning of any plant or process which may affect safety</w:t>
      </w:r>
      <w:r w:rsidRPr="002F420E">
        <w:rPr>
          <w:sz w:val="24"/>
          <w:szCs w:val="28"/>
        </w:rPr>
        <w:t xml:space="preserve">. </w:t>
      </w:r>
    </w:p>
    <w:p w14:paraId="28B26495" w14:textId="068EB205" w:rsidR="00A12190" w:rsidRPr="002F420E" w:rsidRDefault="00A12190" w:rsidP="002F420E">
      <w:pPr>
        <w:pStyle w:val="QuoteText"/>
        <w:rPr>
          <w:sz w:val="24"/>
          <w:szCs w:val="28"/>
        </w:rPr>
      </w:pPr>
      <w:r w:rsidRPr="002F420E">
        <w:rPr>
          <w:sz w:val="24"/>
          <w:szCs w:val="28"/>
        </w:rPr>
        <w:t>2</w:t>
      </w:r>
      <w:r w:rsidR="000B2B6F" w:rsidRPr="002F420E">
        <w:rPr>
          <w:sz w:val="24"/>
          <w:szCs w:val="28"/>
        </w:rPr>
        <w:t>1</w:t>
      </w:r>
      <w:r w:rsidRPr="002F420E">
        <w:rPr>
          <w:sz w:val="24"/>
          <w:szCs w:val="28"/>
        </w:rPr>
        <w:t>(2)</w:t>
      </w:r>
      <w:r w:rsidRPr="002F420E">
        <w:rPr>
          <w:sz w:val="24"/>
          <w:szCs w:val="28"/>
        </w:rPr>
        <w:tab/>
        <w:t xml:space="preserve">   The licensee shall submit to ONR for </w:t>
      </w:r>
      <w:r w:rsidRPr="002F420E">
        <w:rPr>
          <w:sz w:val="24"/>
          <w:szCs w:val="28"/>
          <w:shd w:val="clear" w:color="auto" w:fill="DAE49B"/>
        </w:rPr>
        <w:t xml:space="preserve">approval </w:t>
      </w:r>
      <w:r w:rsidRPr="002F420E">
        <w:rPr>
          <w:sz w:val="24"/>
          <w:szCs w:val="28"/>
        </w:rPr>
        <w:t xml:space="preserve">such part or parts of the aforesaid arrangements as ONR may </w:t>
      </w:r>
      <w:r w:rsidRPr="002F420E">
        <w:rPr>
          <w:sz w:val="24"/>
          <w:szCs w:val="28"/>
          <w:shd w:val="clear" w:color="auto" w:fill="A3D8E7"/>
        </w:rPr>
        <w:t>specify</w:t>
      </w:r>
      <w:r w:rsidRPr="002F420E">
        <w:rPr>
          <w:sz w:val="24"/>
          <w:szCs w:val="28"/>
        </w:rPr>
        <w:t xml:space="preserve">. </w:t>
      </w:r>
    </w:p>
    <w:p w14:paraId="5EC9651E" w14:textId="4B355947" w:rsidR="00A12190" w:rsidRPr="002F420E" w:rsidRDefault="00A12190" w:rsidP="002F420E">
      <w:pPr>
        <w:pStyle w:val="QuoteText"/>
        <w:rPr>
          <w:sz w:val="24"/>
          <w:szCs w:val="28"/>
        </w:rPr>
      </w:pPr>
      <w:r w:rsidRPr="002F420E">
        <w:rPr>
          <w:sz w:val="24"/>
          <w:szCs w:val="28"/>
        </w:rPr>
        <w:t>2</w:t>
      </w:r>
      <w:r w:rsidR="00D133AF" w:rsidRPr="002F420E">
        <w:rPr>
          <w:sz w:val="24"/>
          <w:szCs w:val="28"/>
        </w:rPr>
        <w:t>1</w:t>
      </w:r>
      <w:r w:rsidRPr="002F420E">
        <w:rPr>
          <w:sz w:val="24"/>
          <w:szCs w:val="28"/>
        </w:rPr>
        <w:t>(3)   The licensee shall ensure that once</w:t>
      </w:r>
      <w:r w:rsidR="00E26F64" w:rsidRPr="002F420E">
        <w:rPr>
          <w:sz w:val="24"/>
          <w:szCs w:val="28"/>
        </w:rPr>
        <w:t xml:space="preserve"> approved</w:t>
      </w:r>
      <w:r w:rsidRPr="002F420E">
        <w:rPr>
          <w:sz w:val="24"/>
          <w:szCs w:val="28"/>
        </w:rPr>
        <w:t xml:space="preserve"> no alteration or amendment is made to the approved arrangements unless ONR has </w:t>
      </w:r>
      <w:r w:rsidR="00E26F64" w:rsidRPr="002F420E">
        <w:rPr>
          <w:sz w:val="24"/>
          <w:szCs w:val="28"/>
          <w:shd w:val="clear" w:color="auto" w:fill="DAE49B"/>
        </w:rPr>
        <w:t>approved</w:t>
      </w:r>
      <w:r w:rsidR="00E26F64" w:rsidRPr="002F420E">
        <w:rPr>
          <w:sz w:val="24"/>
          <w:szCs w:val="28"/>
        </w:rPr>
        <w:t xml:space="preserve"> </w:t>
      </w:r>
      <w:r w:rsidRPr="002F420E">
        <w:rPr>
          <w:sz w:val="24"/>
          <w:szCs w:val="28"/>
        </w:rPr>
        <w:t>such alteration or amendment.</w:t>
      </w:r>
    </w:p>
    <w:p w14:paraId="1B4AAF1E" w14:textId="49B30D2F" w:rsidR="007E0E74" w:rsidRPr="002F420E" w:rsidRDefault="00A12190" w:rsidP="002F420E">
      <w:pPr>
        <w:pStyle w:val="QuoteText"/>
        <w:rPr>
          <w:sz w:val="24"/>
          <w:szCs w:val="28"/>
        </w:rPr>
      </w:pPr>
      <w:r w:rsidRPr="002F420E">
        <w:rPr>
          <w:sz w:val="24"/>
          <w:szCs w:val="28"/>
        </w:rPr>
        <w:t>2</w:t>
      </w:r>
      <w:r w:rsidR="00D133AF" w:rsidRPr="002F420E">
        <w:rPr>
          <w:sz w:val="24"/>
          <w:szCs w:val="28"/>
        </w:rPr>
        <w:t>1</w:t>
      </w:r>
      <w:r w:rsidRPr="002F420E">
        <w:rPr>
          <w:sz w:val="24"/>
          <w:szCs w:val="28"/>
        </w:rPr>
        <w:t>(4)</w:t>
      </w:r>
      <w:r w:rsidRPr="002F420E">
        <w:rPr>
          <w:sz w:val="24"/>
          <w:szCs w:val="28"/>
        </w:rPr>
        <w:tab/>
        <w:t xml:space="preserve">   </w:t>
      </w:r>
      <w:r w:rsidR="00D33DC7" w:rsidRPr="002F420E">
        <w:rPr>
          <w:sz w:val="24"/>
          <w:szCs w:val="28"/>
        </w:rPr>
        <w:t xml:space="preserve">The aforesaid arrangement shall where appropriate divide the commissioning into stages. Where ONR so </w:t>
      </w:r>
      <w:r w:rsidR="00D33DC7" w:rsidRPr="002F420E">
        <w:rPr>
          <w:sz w:val="24"/>
          <w:szCs w:val="28"/>
          <w:shd w:val="clear" w:color="auto" w:fill="A3D8E7"/>
        </w:rPr>
        <w:t xml:space="preserve">specifies </w:t>
      </w:r>
      <w:r w:rsidR="00D33DC7" w:rsidRPr="002F420E">
        <w:rPr>
          <w:sz w:val="24"/>
          <w:szCs w:val="28"/>
        </w:rPr>
        <w:t xml:space="preserve">the licensee shall not commence nor thereafter proceed from one stage to the next of the commissioning without the </w:t>
      </w:r>
      <w:r w:rsidR="007E0E74" w:rsidRPr="002F420E">
        <w:rPr>
          <w:rFonts w:ascii="Arial" w:eastAsia="Calibri" w:hAnsi="Arial" w:cs="Arial"/>
          <w:color w:val="auto"/>
          <w:sz w:val="24"/>
          <w:szCs w:val="20"/>
          <w:shd w:val="clear" w:color="auto" w:fill="FCC978"/>
          <w:lang w:bidi="he-IL"/>
        </w:rPr>
        <w:t>consent</w:t>
      </w:r>
      <w:r w:rsidR="007E0E74" w:rsidRPr="002F420E">
        <w:rPr>
          <w:sz w:val="24"/>
          <w:szCs w:val="28"/>
        </w:rPr>
        <w:t xml:space="preserve"> </w:t>
      </w:r>
      <w:r w:rsidR="00D33DC7" w:rsidRPr="002F420E">
        <w:rPr>
          <w:sz w:val="24"/>
          <w:szCs w:val="28"/>
        </w:rPr>
        <w:t>of ONR. The arrangements shall include a requirement for the provision of adequate documentation to justify the safety of the proposed commissioning and shall, where appropriate, provide for the submission of this documentation to ONR</w:t>
      </w:r>
      <w:r w:rsidRPr="002F420E">
        <w:rPr>
          <w:sz w:val="24"/>
          <w:szCs w:val="28"/>
        </w:rPr>
        <w:t xml:space="preserve">.” </w:t>
      </w:r>
    </w:p>
    <w:p w14:paraId="6AEEB060" w14:textId="2E4F8DBE" w:rsidR="000D6912" w:rsidRPr="002F420E" w:rsidRDefault="007E0E74" w:rsidP="002F420E">
      <w:pPr>
        <w:pStyle w:val="QuoteText"/>
        <w:rPr>
          <w:sz w:val="24"/>
          <w:szCs w:val="28"/>
        </w:rPr>
      </w:pPr>
      <w:r w:rsidRPr="002F420E">
        <w:rPr>
          <w:sz w:val="24"/>
          <w:szCs w:val="28"/>
        </w:rPr>
        <w:t>2</w:t>
      </w:r>
      <w:r w:rsidR="00D133AF" w:rsidRPr="002F420E">
        <w:rPr>
          <w:sz w:val="24"/>
          <w:szCs w:val="28"/>
        </w:rPr>
        <w:t>1</w:t>
      </w:r>
      <w:r w:rsidRPr="002F420E">
        <w:rPr>
          <w:sz w:val="24"/>
          <w:szCs w:val="28"/>
        </w:rPr>
        <w:t xml:space="preserve">(5) </w:t>
      </w:r>
      <w:r w:rsidR="000D6912" w:rsidRPr="002F420E">
        <w:rPr>
          <w:sz w:val="24"/>
          <w:szCs w:val="28"/>
        </w:rPr>
        <w:t xml:space="preserve"> </w:t>
      </w:r>
      <w:r w:rsidR="00D133AF" w:rsidRPr="002F420E">
        <w:rPr>
          <w:sz w:val="24"/>
          <w:szCs w:val="28"/>
        </w:rPr>
        <w:t>The licensee shall appoint a suitably qualified person or persons for the purpose of controlling, witnessing, recording and assessing the results of any tests carried out in accordance with the requirements of the aforesaid commissioning arrangements.</w:t>
      </w:r>
    </w:p>
    <w:p w14:paraId="3FB60FE3" w14:textId="4BE7B7F6" w:rsidR="00F656C6" w:rsidRPr="002F420E" w:rsidRDefault="00AC5412" w:rsidP="002F420E">
      <w:pPr>
        <w:pStyle w:val="QuoteText"/>
        <w:rPr>
          <w:sz w:val="24"/>
          <w:szCs w:val="28"/>
        </w:rPr>
      </w:pPr>
      <w:r w:rsidRPr="002F420E">
        <w:rPr>
          <w:sz w:val="24"/>
          <w:szCs w:val="28"/>
        </w:rPr>
        <w:t xml:space="preserve">21(6) </w:t>
      </w:r>
      <w:r w:rsidR="004976BE" w:rsidRPr="002F420E">
        <w:rPr>
          <w:sz w:val="24"/>
          <w:szCs w:val="28"/>
        </w:rPr>
        <w:t>The licensee shall ensure that full and accurate records are kept of the results of every test and operation carried out in pursuance of this condition.</w:t>
      </w:r>
    </w:p>
    <w:p w14:paraId="3076BE6A" w14:textId="77777777" w:rsidR="00C83FA1" w:rsidRPr="002F420E" w:rsidRDefault="004976BE" w:rsidP="002F420E">
      <w:pPr>
        <w:pStyle w:val="QuoteText"/>
        <w:rPr>
          <w:sz w:val="24"/>
          <w:szCs w:val="28"/>
        </w:rPr>
      </w:pPr>
      <w:r w:rsidRPr="002F420E">
        <w:rPr>
          <w:sz w:val="24"/>
          <w:szCs w:val="28"/>
        </w:rPr>
        <w:t>21(7)</w:t>
      </w:r>
      <w:r w:rsidR="00C83FA1" w:rsidRPr="002F420E">
        <w:rPr>
          <w:sz w:val="24"/>
          <w:szCs w:val="28"/>
        </w:rPr>
        <w:t xml:space="preserve"> The licensee shall ensure that no plant or process which may affect safety is operated (except for the purpose of commissioning) until:</w:t>
      </w:r>
    </w:p>
    <w:p w14:paraId="5673BCBA" w14:textId="77777777" w:rsidR="00C83FA1" w:rsidRPr="002F420E" w:rsidRDefault="00C83FA1" w:rsidP="002F420E">
      <w:pPr>
        <w:pStyle w:val="QuoteText"/>
        <w:rPr>
          <w:sz w:val="24"/>
          <w:szCs w:val="28"/>
        </w:rPr>
      </w:pPr>
      <w:r w:rsidRPr="002F420E">
        <w:rPr>
          <w:sz w:val="24"/>
          <w:szCs w:val="28"/>
        </w:rPr>
        <w:t>the appropriate stage of commissioning has been completed and a report of such commissioning, including any results and assessments of any tests as may have been required under the commissioning arrangements referred to in paragraph (1) of this condition, has been considered in accordance with those arrangements; and</w:t>
      </w:r>
    </w:p>
    <w:p w14:paraId="0DD17942" w14:textId="77777777" w:rsidR="00964C05" w:rsidRPr="002F420E" w:rsidRDefault="00964C05" w:rsidP="002F420E">
      <w:pPr>
        <w:pStyle w:val="QuoteText"/>
        <w:rPr>
          <w:sz w:val="24"/>
          <w:szCs w:val="28"/>
        </w:rPr>
      </w:pPr>
      <w:r w:rsidRPr="002F420E">
        <w:rPr>
          <w:sz w:val="24"/>
          <w:szCs w:val="28"/>
        </w:rPr>
        <w:t>a safety case or cases as appropriate, which shall include the safety implications of modifications made since the commencement of construction of the plant and those arising from the commissioning of the plant, and any matters whereby the operation of the plant may be affected by such modifications or commissioning, has been considered in accordance with the arrangements referred to in paragraph (1) of this condition.</w:t>
      </w:r>
    </w:p>
    <w:p w14:paraId="7187221A" w14:textId="77777777" w:rsidR="002F420E" w:rsidRDefault="002F420E" w:rsidP="002F420E">
      <w:pPr>
        <w:pStyle w:val="QuoteText"/>
        <w:rPr>
          <w:sz w:val="24"/>
          <w:szCs w:val="28"/>
        </w:rPr>
        <w:sectPr w:rsidR="002F420E" w:rsidSect="00D62AB3">
          <w:pgSz w:w="11906" w:h="16838" w:code="9"/>
          <w:pgMar w:top="1440" w:right="1440" w:bottom="1440" w:left="1276" w:header="397" w:footer="397" w:gutter="0"/>
          <w:cols w:space="312"/>
          <w:docGrid w:linePitch="360"/>
        </w:sectPr>
      </w:pPr>
    </w:p>
    <w:p w14:paraId="6F392A8E" w14:textId="56B58C5D" w:rsidR="00A12190" w:rsidRPr="002F420E" w:rsidRDefault="00964C05" w:rsidP="002F420E">
      <w:pPr>
        <w:pStyle w:val="QuoteText"/>
        <w:rPr>
          <w:sz w:val="24"/>
          <w:szCs w:val="28"/>
        </w:rPr>
      </w:pPr>
      <w:r w:rsidRPr="002F420E">
        <w:rPr>
          <w:sz w:val="24"/>
          <w:szCs w:val="28"/>
        </w:rPr>
        <w:lastRenderedPageBreak/>
        <w:t xml:space="preserve">21(8) </w:t>
      </w:r>
      <w:r w:rsidR="00261F24" w:rsidRPr="002F420E">
        <w:rPr>
          <w:sz w:val="24"/>
          <w:szCs w:val="28"/>
        </w:rPr>
        <w:t xml:space="preserve">The licensee shall, if so, </w:t>
      </w:r>
      <w:r w:rsidR="00261F24" w:rsidRPr="002F420E">
        <w:rPr>
          <w:sz w:val="24"/>
          <w:szCs w:val="28"/>
          <w:highlight w:val="yellow"/>
        </w:rPr>
        <w:t>notified</w:t>
      </w:r>
      <w:r w:rsidR="00261F24" w:rsidRPr="002F420E">
        <w:rPr>
          <w:sz w:val="24"/>
          <w:szCs w:val="28"/>
        </w:rPr>
        <w:t xml:space="preserve"> by the ONR, submit to ONR the safety case for the aforesaid plant or processes prepared in pursuance of paragraph (7) of this condition and shall not commence operation of the relevant plant or process without the </w:t>
      </w:r>
      <w:r w:rsidR="00D47608" w:rsidRPr="002F420E">
        <w:rPr>
          <w:rFonts w:eastAsia="Calibri"/>
          <w:sz w:val="24"/>
          <w:szCs w:val="20"/>
          <w:shd w:val="clear" w:color="auto" w:fill="FCC978"/>
          <w:lang w:bidi="he-IL"/>
        </w:rPr>
        <w:t>consent</w:t>
      </w:r>
      <w:r w:rsidR="00D47608" w:rsidRPr="002F420E">
        <w:rPr>
          <w:sz w:val="24"/>
          <w:szCs w:val="28"/>
        </w:rPr>
        <w:t xml:space="preserve"> </w:t>
      </w:r>
      <w:r w:rsidR="00261F24" w:rsidRPr="002F420E">
        <w:rPr>
          <w:sz w:val="24"/>
          <w:szCs w:val="28"/>
        </w:rPr>
        <w:t xml:space="preserve">of </w:t>
      </w:r>
      <w:r w:rsidR="00093E85" w:rsidRPr="002F420E">
        <w:rPr>
          <w:sz w:val="24"/>
          <w:szCs w:val="28"/>
        </w:rPr>
        <w:t xml:space="preserve">ONR </w:t>
      </w:r>
      <w:sdt>
        <w:sdtPr>
          <w:rPr>
            <w:sz w:val="24"/>
            <w:szCs w:val="28"/>
          </w:rPr>
          <w:id w:val="-587155606"/>
          <w:citation/>
        </w:sdtPr>
        <w:sdtEndPr/>
        <w:sdtContent>
          <w:r w:rsidR="00093E85" w:rsidRPr="002F420E">
            <w:rPr>
              <w:sz w:val="24"/>
              <w:szCs w:val="28"/>
            </w:rPr>
            <w:fldChar w:fldCharType="begin"/>
          </w:r>
          <w:r w:rsidR="00093E85" w:rsidRPr="002F420E">
            <w:rPr>
              <w:sz w:val="24"/>
              <w:szCs w:val="28"/>
            </w:rPr>
            <w:instrText xml:space="preserve"> CITATION ONR46 \l 2057 </w:instrText>
          </w:r>
          <w:r w:rsidR="00093E85" w:rsidRPr="002F420E">
            <w:rPr>
              <w:sz w:val="24"/>
              <w:szCs w:val="28"/>
            </w:rPr>
            <w:fldChar w:fldCharType="separate"/>
          </w:r>
          <w:r w:rsidR="007D39BF" w:rsidRPr="002F420E">
            <w:rPr>
              <w:noProof/>
              <w:sz w:val="24"/>
              <w:szCs w:val="28"/>
            </w:rPr>
            <w:t>[2]</w:t>
          </w:r>
          <w:r w:rsidR="00093E85" w:rsidRPr="002F420E">
            <w:rPr>
              <w:sz w:val="24"/>
              <w:szCs w:val="28"/>
            </w:rPr>
            <w:fldChar w:fldCharType="end"/>
          </w:r>
        </w:sdtContent>
      </w:sdt>
      <w:r w:rsidR="00093E85" w:rsidRPr="002F420E">
        <w:rPr>
          <w:sz w:val="24"/>
          <w:szCs w:val="28"/>
        </w:rPr>
        <w:t>.</w:t>
      </w:r>
    </w:p>
    <w:p w14:paraId="641F569F" w14:textId="77777777" w:rsidR="002F420E" w:rsidRDefault="002F420E" w:rsidP="002F420E">
      <w:pPr>
        <w:pStyle w:val="Heading1"/>
        <w:sectPr w:rsidR="002F420E" w:rsidSect="00D62AB3">
          <w:pgSz w:w="11906" w:h="16838" w:code="9"/>
          <w:pgMar w:top="1440" w:right="1440" w:bottom="1440" w:left="1276" w:header="397" w:footer="397" w:gutter="0"/>
          <w:cols w:space="312"/>
          <w:docGrid w:linePitch="360"/>
        </w:sectPr>
      </w:pPr>
      <w:bookmarkStart w:id="7" w:name="_Toc225949201"/>
    </w:p>
    <w:p w14:paraId="546293A4" w14:textId="3647DF31" w:rsidR="008D49A5" w:rsidRDefault="006A5CEC" w:rsidP="002F420E">
      <w:pPr>
        <w:pStyle w:val="Heading1"/>
      </w:pPr>
      <w:bookmarkStart w:id="8" w:name="_Toc226729702"/>
      <w:r>
        <w:lastRenderedPageBreak/>
        <w:t xml:space="preserve">Purpose </w:t>
      </w:r>
      <w:r w:rsidR="00E467DA">
        <w:t xml:space="preserve">and </w:t>
      </w:r>
      <w:r w:rsidR="002F420E">
        <w:t>o</w:t>
      </w:r>
      <w:r w:rsidR="00E467DA">
        <w:t xml:space="preserve">utcomes </w:t>
      </w:r>
      <w:r w:rsidR="00E06279">
        <w:t xml:space="preserve">of </w:t>
      </w:r>
      <w:bookmarkEnd w:id="7"/>
      <w:r w:rsidR="002F420E">
        <w:t>Licence Condition 21</w:t>
      </w:r>
      <w:bookmarkEnd w:id="8"/>
    </w:p>
    <w:p w14:paraId="6553F01D" w14:textId="634D1C3E" w:rsidR="007C3E6D" w:rsidRDefault="007C3E6D" w:rsidP="007C3E6D">
      <w:pPr>
        <w:pStyle w:val="F9-Paragraph"/>
      </w:pPr>
      <w:r w:rsidRPr="00551483">
        <w:t>The purpose of LC21 is to ensure that the commissioning</w:t>
      </w:r>
      <w:r w:rsidR="0031664D" w:rsidRPr="00220E5E">
        <w:rPr>
          <w:vertAlign w:val="superscript"/>
        </w:rPr>
        <w:footnoteReference w:id="2"/>
      </w:r>
      <w:r w:rsidRPr="00551483">
        <w:t xml:space="preserve"> of plant, which may affect nuclear safety, </w:t>
      </w:r>
      <w:r w:rsidRPr="00D62AB3">
        <w:t xml:space="preserve">is </w:t>
      </w:r>
      <w:r w:rsidR="009F396D" w:rsidRPr="00D62AB3">
        <w:t>appropriately</w:t>
      </w:r>
      <w:r w:rsidRPr="00551483">
        <w:t xml:space="preserve"> planned, controlled, supervised and recorded, so that the plant is demonstrated to perform as intended and in accordance with the approved safety case before it is brought into operational service</w:t>
      </w:r>
      <w:r w:rsidRPr="007C3E6D">
        <w:t>.</w:t>
      </w:r>
    </w:p>
    <w:p w14:paraId="4AF9140F" w14:textId="687ED029" w:rsidR="009768BB" w:rsidRPr="00551483" w:rsidRDefault="009768BB" w:rsidP="009768BB">
      <w:pPr>
        <w:pStyle w:val="F9-Paragraph"/>
      </w:pPr>
      <w:r w:rsidRPr="00551483">
        <w:t>LC21 provides the mechanism by which a licensee progressively and systematically demonstrates that installed or modified plant meets its design intent, safety functions and performance claims, using commissioning tests and operations commensurate with safety significance and complexity. LC21 also establishes clear control over the transition from installation or modification into operational use, including the appointment of suitably qualified persons to control, witness, assess and record commissioning activities</w:t>
      </w:r>
      <w:r w:rsidR="00212F6F" w:rsidRPr="00551483">
        <w:t>.</w:t>
      </w:r>
    </w:p>
    <w:p w14:paraId="22AC3FBF" w14:textId="77777777" w:rsidR="002F420E" w:rsidRPr="002F420E" w:rsidRDefault="00551483" w:rsidP="002F420E">
      <w:pPr>
        <w:pStyle w:val="Heading2"/>
      </w:pPr>
      <w:bookmarkStart w:id="9" w:name="_Toc226729703"/>
      <w:r w:rsidRPr="00551483">
        <w:t>Ou</w:t>
      </w:r>
      <w:r w:rsidR="00E467DA" w:rsidRPr="00551483">
        <w:t>tcomes</w:t>
      </w:r>
      <w:bookmarkEnd w:id="9"/>
    </w:p>
    <w:p w14:paraId="26191EA9" w14:textId="2A01D099" w:rsidR="008452A9" w:rsidRPr="00E467DA" w:rsidRDefault="00E467DA" w:rsidP="00505FDF">
      <w:pPr>
        <w:pStyle w:val="F9-Paragraph"/>
      </w:pPr>
      <w:r w:rsidRPr="00E467DA">
        <w:t>Through inspection of LC21 arrangements and their implementation, ONR seeks to establish that</w:t>
      </w:r>
      <w:r w:rsidRPr="00E467DA">
        <w:rPr>
          <w:rFonts w:asciiTheme="minorHAnsi" w:eastAsiaTheme="minorHAnsi" w:hAnsiTheme="minorHAnsi" w:cstheme="minorBidi"/>
          <w:color w:val="22413A"/>
          <w:szCs w:val="28"/>
          <w:lang w:bidi="ar-SA"/>
        </w:rPr>
        <w:t>:</w:t>
      </w:r>
    </w:p>
    <w:p w14:paraId="37AC6508" w14:textId="77777777" w:rsidR="00E467DA" w:rsidRPr="00E467DA" w:rsidRDefault="00E467DA" w:rsidP="002F420E">
      <w:pPr>
        <w:pStyle w:val="Bulletlist1"/>
        <w:rPr>
          <w:rFonts w:asciiTheme="minorHAnsi" w:eastAsiaTheme="minorHAnsi" w:hAnsiTheme="minorHAnsi" w:cstheme="minorBidi"/>
          <w:color w:val="22413A"/>
          <w:szCs w:val="28"/>
          <w:lang w:bidi="ar-SA"/>
        </w:rPr>
      </w:pPr>
      <w:r w:rsidRPr="00E467DA">
        <w:t>Commissioning</w:t>
      </w:r>
      <w:r w:rsidRPr="00E467DA">
        <w:rPr>
          <w:rFonts w:asciiTheme="minorHAnsi" w:eastAsiaTheme="minorHAnsi" w:hAnsiTheme="minorHAnsi" w:cstheme="minorBidi"/>
          <w:color w:val="22413A"/>
          <w:szCs w:val="28"/>
          <w:lang w:bidi="ar-SA"/>
        </w:rPr>
        <w:t xml:space="preserve"> </w:t>
      </w:r>
      <w:r w:rsidRPr="00E467DA">
        <w:t>is conducted in a staged, structured and controlled manner, appropriate to the nuclear and conventional hazards presented by the plant.</w:t>
      </w:r>
    </w:p>
    <w:p w14:paraId="6BACA564" w14:textId="77777777" w:rsidR="00E467DA" w:rsidRPr="00E467DA" w:rsidRDefault="00E467DA" w:rsidP="002F420E">
      <w:pPr>
        <w:pStyle w:val="Bulletlist1"/>
      </w:pPr>
      <w:r w:rsidRPr="00E467DA">
        <w:t>Commissioning activities do not proceed beyond the bounds of the approved safety case, and commissioning evidence is used appropriately to confirm or validate safety case claims.</w:t>
      </w:r>
    </w:p>
    <w:p w14:paraId="5951E417" w14:textId="77777777" w:rsidR="00E467DA" w:rsidRPr="00E467DA" w:rsidRDefault="00E467DA" w:rsidP="002F420E">
      <w:pPr>
        <w:pStyle w:val="Bulletlist1"/>
      </w:pPr>
      <w:r w:rsidRPr="00E467DA">
        <w:t>Suitably qualified and experienced persons (SQEP) are appointed to control, witness, assess and accept commissioning tests and results.</w:t>
      </w:r>
    </w:p>
    <w:p w14:paraId="35A81C73" w14:textId="77777777" w:rsidR="00E467DA" w:rsidRPr="00E467DA" w:rsidRDefault="00E467DA" w:rsidP="002F420E">
      <w:pPr>
        <w:pStyle w:val="Bulletlist1"/>
      </w:pPr>
      <w:r w:rsidRPr="00E467DA">
        <w:t>Technical queries, issues and deviations arising during commissioning are identified, resolved and closed before progression to subsequent stages or operational use.</w:t>
      </w:r>
    </w:p>
    <w:p w14:paraId="0D58364E" w14:textId="77777777" w:rsidR="00E467DA" w:rsidRPr="00E467DA" w:rsidRDefault="00E467DA" w:rsidP="002F420E">
      <w:pPr>
        <w:pStyle w:val="Bulletlist1"/>
      </w:pPr>
      <w:r w:rsidRPr="00E467DA">
        <w:t>Full and accurate records of commissioning tests and operations are produced and retained, providing a clear audit trail to support regulatory confidence and operational handover.</w:t>
      </w:r>
    </w:p>
    <w:p w14:paraId="0C280F9A" w14:textId="77777777" w:rsidR="00E467DA" w:rsidRPr="00E467DA" w:rsidRDefault="00E467DA" w:rsidP="002F420E">
      <w:pPr>
        <w:pStyle w:val="Bulletlist1"/>
        <w:rPr>
          <w:rFonts w:asciiTheme="minorHAnsi" w:eastAsiaTheme="minorHAnsi" w:hAnsiTheme="minorHAnsi" w:cstheme="minorBidi"/>
          <w:color w:val="22413A"/>
          <w:szCs w:val="28"/>
          <w:lang w:bidi="ar-SA"/>
        </w:rPr>
      </w:pPr>
      <w:r w:rsidRPr="00E467DA">
        <w:lastRenderedPageBreak/>
        <w:t>The transition from installation or modification to commissioning, and ultimately to operation, is clearly defined and effectively managed, with responsibilities and plant status unambiguou</w:t>
      </w:r>
      <w:r w:rsidRPr="00E467DA">
        <w:rPr>
          <w:rFonts w:asciiTheme="minorHAnsi" w:eastAsiaTheme="minorHAnsi" w:hAnsiTheme="minorHAnsi" w:cstheme="minorBidi"/>
          <w:color w:val="22413A"/>
          <w:szCs w:val="28"/>
          <w:lang w:bidi="ar-SA"/>
        </w:rPr>
        <w:t>s.</w:t>
      </w:r>
    </w:p>
    <w:p w14:paraId="02EBF5CA" w14:textId="77777777" w:rsidR="00C7148D" w:rsidRDefault="005C0143" w:rsidP="007C3E6D">
      <w:pPr>
        <w:pStyle w:val="F9-Paragraph"/>
      </w:pPr>
      <w:r w:rsidRPr="00551483">
        <w:t xml:space="preserve">When </w:t>
      </w:r>
      <w:r w:rsidRPr="00E467DA">
        <w:t>these outcomes are met, ONR can have confidence that commissioning activities provide a robust demonstration of plant readiness, reduce the risk of latent defects, and support the safe introduction of plant into service</w:t>
      </w:r>
      <w:r w:rsidRPr="00551483">
        <w:t>.</w:t>
      </w:r>
      <w:r w:rsidR="00ED296F" w:rsidRPr="00ED296F">
        <w:t xml:space="preserve"> </w:t>
      </w:r>
    </w:p>
    <w:p w14:paraId="528DCEEA" w14:textId="3140FC55" w:rsidR="009768BB" w:rsidRDefault="00ED296F" w:rsidP="007C3E6D">
      <w:pPr>
        <w:pStyle w:val="F9-Paragraph"/>
      </w:pPr>
      <w:r>
        <w:t>These changes may be brought about by the following means</w:t>
      </w:r>
      <w:r w:rsidR="00C7148D">
        <w:t>:</w:t>
      </w:r>
    </w:p>
    <w:p w14:paraId="5A428A60" w14:textId="77777777" w:rsidR="00ED296F" w:rsidRPr="00ED296F" w:rsidRDefault="00ED296F" w:rsidP="002F420E">
      <w:pPr>
        <w:pStyle w:val="Bulletlist1"/>
      </w:pPr>
      <w:r w:rsidRPr="00ED296F">
        <w:t>Construction, modification or commissioning of new plant.</w:t>
      </w:r>
    </w:p>
    <w:p w14:paraId="45C36DED" w14:textId="77777777" w:rsidR="00ED296F" w:rsidRPr="00ED296F" w:rsidRDefault="00ED296F" w:rsidP="002F420E">
      <w:pPr>
        <w:pStyle w:val="Bulletlist1"/>
      </w:pPr>
      <w:r w:rsidRPr="00ED296F">
        <w:t>Commissioning, modification or experiment on existing plant including any change of process.</w:t>
      </w:r>
    </w:p>
    <w:p w14:paraId="755CE9E5" w14:textId="77777777" w:rsidR="00ED296F" w:rsidRPr="00ED296F" w:rsidRDefault="00ED296F" w:rsidP="002F420E">
      <w:pPr>
        <w:pStyle w:val="Bulletlist1"/>
      </w:pPr>
      <w:r w:rsidRPr="00ED296F">
        <w:t>Commissioning of plant during the return to service from a periodic shutdown.</w:t>
      </w:r>
    </w:p>
    <w:p w14:paraId="0885FD5E" w14:textId="5007D468" w:rsidR="00ED296F" w:rsidRPr="00ED296F" w:rsidRDefault="00ED296F" w:rsidP="002F420E">
      <w:pPr>
        <w:pStyle w:val="Bulletlist1"/>
      </w:pPr>
      <w:r w:rsidRPr="00ED296F">
        <w:t xml:space="preserve">Modifications to existing plant under construction shall be progressed under arrangements made under LC20. </w:t>
      </w:r>
    </w:p>
    <w:p w14:paraId="1755A657" w14:textId="576C727F" w:rsidR="00ED296F" w:rsidRPr="00ED296F" w:rsidRDefault="00ED296F" w:rsidP="002F420E">
      <w:pPr>
        <w:pStyle w:val="Bulletlist1"/>
      </w:pPr>
      <w:r w:rsidRPr="00ED296F">
        <w:t>A modification or experiment on an existing plant and/or changes to an existing facility or process shall be progressed under arrangements made under LC22 as appropriate.</w:t>
      </w:r>
    </w:p>
    <w:p w14:paraId="65DB8B14" w14:textId="38D5E754" w:rsidR="001B4D5A" w:rsidRPr="00674989" w:rsidRDefault="00ED296F" w:rsidP="002F420E">
      <w:pPr>
        <w:pStyle w:val="Bulletlist1"/>
      </w:pPr>
      <w:r w:rsidRPr="00ED296F">
        <w:t xml:space="preserve">Decommissioning of existing plant which has reached its design life. </w:t>
      </w:r>
    </w:p>
    <w:p w14:paraId="5709966D" w14:textId="65F85531" w:rsidR="00674989" w:rsidRDefault="00D042C1" w:rsidP="00674989">
      <w:pPr>
        <w:pStyle w:val="F9-Paragraph"/>
      </w:pPr>
      <w:r w:rsidRPr="00D042C1">
        <w:rPr>
          <w:b/>
          <w:bCs/>
        </w:rPr>
        <w:t>Note</w:t>
      </w:r>
      <w:r>
        <w:t>:</w:t>
      </w:r>
      <w:r w:rsidR="00674989" w:rsidRPr="00551483">
        <w:t xml:space="preserve"> </w:t>
      </w:r>
      <w:r w:rsidRPr="00535963">
        <w:t>Construction and installation activities, modifications to existing facilities or processes</w:t>
      </w:r>
      <w:r w:rsidR="00C0727F">
        <w:t>/</w:t>
      </w:r>
      <w:r w:rsidRPr="00535963">
        <w:t>decommissioning strategies and programmes shall be progressed under the relevant arrangements for LC19, LC22, and LC35</w:t>
      </w:r>
      <w:r w:rsidR="00674989" w:rsidRPr="00551483">
        <w:t>.</w:t>
      </w:r>
      <w:r w:rsidR="00674989" w:rsidRPr="00ED296F">
        <w:t xml:space="preserve"> </w:t>
      </w:r>
    </w:p>
    <w:p w14:paraId="43F09434" w14:textId="77777777" w:rsidR="009E0E52" w:rsidRDefault="009E0E52" w:rsidP="005754AE">
      <w:pPr>
        <w:sectPr w:rsidR="009E0E52" w:rsidSect="00D62AB3">
          <w:pgSz w:w="11906" w:h="16838" w:code="9"/>
          <w:pgMar w:top="1440" w:right="1440" w:bottom="1440" w:left="1276" w:header="397" w:footer="397" w:gutter="0"/>
          <w:cols w:space="312"/>
          <w:docGrid w:linePitch="360"/>
        </w:sectPr>
      </w:pPr>
    </w:p>
    <w:p w14:paraId="4F8786CC" w14:textId="423C482C" w:rsidR="000D7890" w:rsidRPr="000D30D7" w:rsidRDefault="000D7890" w:rsidP="002F420E">
      <w:pPr>
        <w:pStyle w:val="Heading1"/>
      </w:pPr>
      <w:bookmarkStart w:id="10" w:name="_Toc348368144"/>
      <w:bookmarkStart w:id="11" w:name="_Toc45517850"/>
      <w:bookmarkStart w:id="12" w:name="_Toc217046645"/>
      <w:bookmarkStart w:id="13" w:name="_Toc225779920"/>
      <w:bookmarkStart w:id="14" w:name="_Toc225949202"/>
      <w:bookmarkStart w:id="15" w:name="_Toc226729704"/>
      <w:r w:rsidRPr="000D30D7">
        <w:lastRenderedPageBreak/>
        <w:t xml:space="preserve">Guidance on inspection of </w:t>
      </w:r>
      <w:bookmarkEnd w:id="10"/>
      <w:bookmarkEnd w:id="11"/>
      <w:bookmarkEnd w:id="12"/>
      <w:bookmarkEnd w:id="13"/>
      <w:bookmarkEnd w:id="14"/>
      <w:r w:rsidR="002F420E">
        <w:t>Licence Condition 21</w:t>
      </w:r>
      <w:bookmarkEnd w:id="15"/>
    </w:p>
    <w:p w14:paraId="26ADCF56" w14:textId="77777777" w:rsidR="002F420E" w:rsidRPr="002F420E" w:rsidRDefault="00E33A07" w:rsidP="002F420E">
      <w:pPr>
        <w:pStyle w:val="Heading2"/>
      </w:pPr>
      <w:bookmarkStart w:id="16" w:name="_Toc226729705"/>
      <w:r w:rsidRPr="005424A3">
        <w:t>Arrangements</w:t>
      </w:r>
      <w:bookmarkEnd w:id="16"/>
    </w:p>
    <w:p w14:paraId="17CB951C" w14:textId="6C843338" w:rsidR="00E33A07" w:rsidRPr="005424A3" w:rsidRDefault="00E33A07" w:rsidP="002F420E">
      <w:pPr>
        <w:pStyle w:val="F9-Paragraph"/>
      </w:pPr>
      <w:r w:rsidRPr="005424A3">
        <w:t>In judging the adequacy of the arrangements consider:</w:t>
      </w:r>
    </w:p>
    <w:p w14:paraId="78240B84" w14:textId="670DC370" w:rsidR="00E33A07" w:rsidRPr="002F420E" w:rsidRDefault="00E33A07" w:rsidP="002F420E">
      <w:pPr>
        <w:pStyle w:val="Bulletlist1"/>
      </w:pPr>
      <w:r w:rsidRPr="002F420E">
        <w:t xml:space="preserve">To ensure effective compliance with this LC, the licensee must establish arrangements, process/procedures, that provide assurance of addressing all legal requirements set out in sections (1) to (8) of this condition. </w:t>
      </w:r>
    </w:p>
    <w:p w14:paraId="50DD5EB6" w14:textId="77777777" w:rsidR="00D36C1F" w:rsidRDefault="00D36C1F" w:rsidP="002F420E">
      <w:pPr>
        <w:pStyle w:val="Bulletlist1"/>
      </w:pPr>
      <w:r w:rsidRPr="00D36C1F">
        <w:t>Use of generic models: Where generic arrangements are used, sites (or facilities on multi</w:t>
      </w:r>
      <w:r w:rsidRPr="00D36C1F">
        <w:noBreakHyphen/>
        <w:t>plant sites) should justify any deviations and be able to demonstrate compliance with regulatory requirements (noting that not all licensees use generic models).</w:t>
      </w:r>
    </w:p>
    <w:p w14:paraId="3C2AAAA2" w14:textId="48F09BA4" w:rsidR="0047699E" w:rsidRPr="0047699E" w:rsidRDefault="0047699E" w:rsidP="002F420E">
      <w:pPr>
        <w:pStyle w:val="Bulletlist1"/>
      </w:pPr>
      <w:r w:rsidRPr="0047699E">
        <w:t>As</w:t>
      </w:r>
      <w:r w:rsidRPr="0047699E">
        <w:noBreakHyphen/>
        <w:t>built compliance: Arrangements should demonstrate that the facility, as built, meets relevant safety criteria and can be safely operated within the limits defined by the safety case.</w:t>
      </w:r>
    </w:p>
    <w:p w14:paraId="735B9A2F" w14:textId="77777777" w:rsidR="00385A0D" w:rsidRDefault="0047699E" w:rsidP="002F420E">
      <w:pPr>
        <w:pStyle w:val="Bulletlist1"/>
      </w:pPr>
      <w:r w:rsidRPr="0047699E">
        <w:t>Safety commissioning programme: Arrangements should enable a structured programme of safety commissioning activities that, so far as reasonably practicable, demonstrates at each stage:</w:t>
      </w:r>
    </w:p>
    <w:p w14:paraId="0EF7DFDF" w14:textId="03A1E836" w:rsidR="0047699E" w:rsidRPr="002F420E" w:rsidRDefault="0047699E" w:rsidP="002F420E">
      <w:pPr>
        <w:pStyle w:val="Bulletlist2"/>
      </w:pPr>
      <w:r w:rsidRPr="002F420E">
        <w:t>Safe functioning of systems and equipment</w:t>
      </w:r>
      <w:r w:rsidR="002A5079" w:rsidRPr="002F420E">
        <w:t>.</w:t>
      </w:r>
    </w:p>
    <w:p w14:paraId="56541F8A" w14:textId="75561470" w:rsidR="0047699E" w:rsidRPr="002F420E" w:rsidRDefault="0047699E" w:rsidP="002F420E">
      <w:pPr>
        <w:pStyle w:val="Bulletlist2"/>
      </w:pPr>
      <w:r w:rsidRPr="002F420E">
        <w:t>Delivery of safety claims</w:t>
      </w:r>
      <w:r w:rsidR="002A5079" w:rsidRPr="002F420E">
        <w:t>.</w:t>
      </w:r>
    </w:p>
    <w:p w14:paraId="744ACD71" w14:textId="025B0F11" w:rsidR="0047699E" w:rsidRPr="002F420E" w:rsidRDefault="0047699E" w:rsidP="002F420E">
      <w:pPr>
        <w:pStyle w:val="Bulletlist2"/>
      </w:pPr>
      <w:r w:rsidRPr="002F420E">
        <w:t>Validity of safety assumptions and procedures</w:t>
      </w:r>
      <w:r w:rsidR="002A5079" w:rsidRPr="002F420E">
        <w:t>.</w:t>
      </w:r>
    </w:p>
    <w:p w14:paraId="74B85FDC" w14:textId="7A5DB4BF" w:rsidR="0047699E" w:rsidRPr="002F420E" w:rsidRDefault="0047699E" w:rsidP="002F420E">
      <w:pPr>
        <w:pStyle w:val="Bulletlist2"/>
      </w:pPr>
      <w:r w:rsidRPr="002F420E">
        <w:t>Identification of safety aspects that cannot be demonstrated inactively</w:t>
      </w:r>
      <w:r w:rsidR="002A5079" w:rsidRPr="002F420E">
        <w:t>.</w:t>
      </w:r>
    </w:p>
    <w:p w14:paraId="604265D8" w14:textId="5FD083E7" w:rsidR="0047699E" w:rsidRPr="0047699E" w:rsidRDefault="0047699E" w:rsidP="002F420E">
      <w:pPr>
        <w:pStyle w:val="Bulletlist1"/>
      </w:pPr>
      <w:r w:rsidRPr="0047699E">
        <w:t>Modular or phased commissioning: Arrangements should ensure that, where commissioning is modular or phased, the system as a whole is demonstrated to meet design intent and safety objectives.</w:t>
      </w:r>
    </w:p>
    <w:p w14:paraId="6E49F119" w14:textId="6010BE8C" w:rsidR="0047699E" w:rsidRPr="0047699E" w:rsidRDefault="0047699E" w:rsidP="002F420E">
      <w:pPr>
        <w:pStyle w:val="Bulletlist1"/>
      </w:pPr>
      <w:r w:rsidRPr="0047699E">
        <w:t>Large or complex projects: For large or complex projects (e.g. new nuclear build), arrangements should require a commissioning strategy (or equivalent) describing how commissioning will be organised and managed, including how transitions from installation (LC19) to commissioning (LC21) are controlled across systems.</w:t>
      </w:r>
    </w:p>
    <w:p w14:paraId="25B33FEC" w14:textId="6E58B1B2" w:rsidR="0047699E" w:rsidRPr="0047699E" w:rsidRDefault="0047699E" w:rsidP="002F420E">
      <w:pPr>
        <w:pStyle w:val="Bulletlist1"/>
      </w:pPr>
      <w:r w:rsidRPr="0047699E">
        <w:t>Organisation and resources: Arrangements should clearly define the commissioning organisation and ensure adequate resources are in place before each commissioning stage begins.</w:t>
      </w:r>
    </w:p>
    <w:p w14:paraId="1DA985D2" w14:textId="77777777" w:rsidR="002F420E" w:rsidRDefault="002F420E" w:rsidP="002F420E">
      <w:pPr>
        <w:pStyle w:val="Bulletlist1"/>
        <w:sectPr w:rsidR="002F420E" w:rsidSect="00B23A5E">
          <w:pgSz w:w="11906" w:h="16838" w:code="9"/>
          <w:pgMar w:top="1440" w:right="1440" w:bottom="1440" w:left="1440" w:header="397" w:footer="397" w:gutter="0"/>
          <w:cols w:space="312"/>
          <w:docGrid w:linePitch="360"/>
        </w:sectPr>
      </w:pPr>
    </w:p>
    <w:p w14:paraId="68A813AE" w14:textId="5447D7B2" w:rsidR="0047699E" w:rsidRPr="0047699E" w:rsidRDefault="0047699E" w:rsidP="002F420E">
      <w:pPr>
        <w:pStyle w:val="Bulletlist1"/>
      </w:pPr>
      <w:r w:rsidRPr="0047699E">
        <w:lastRenderedPageBreak/>
        <w:t>Control of changes: Arrangements should require commissioning instruction changes to be systematically developed, reviewed, assessed, approved, or withdrawn by SQEPs/DAPs, with independent safety oversight where appropriate, and clear linkage to relevant supporting licence conditions.</w:t>
      </w:r>
    </w:p>
    <w:p w14:paraId="1307D6FA" w14:textId="7FBAAA90" w:rsidR="0047699E" w:rsidRPr="0047699E" w:rsidRDefault="0047699E" w:rsidP="002F420E">
      <w:pPr>
        <w:pStyle w:val="Bulletlist1"/>
      </w:pPr>
      <w:r w:rsidRPr="0047699E">
        <w:t>Operational involvement: Arrangements should ensure operating and maintenance personnel are involved in commissioning activities as far as reasonably practicable.</w:t>
      </w:r>
    </w:p>
    <w:p w14:paraId="2ECEE35A" w14:textId="707AA282" w:rsidR="0047699E" w:rsidRPr="0047699E" w:rsidRDefault="0047699E" w:rsidP="002F420E">
      <w:pPr>
        <w:pStyle w:val="Bulletlist1"/>
      </w:pPr>
      <w:r w:rsidRPr="0047699E">
        <w:t>Safety significance classification: Arrangements should include a hazard</w:t>
      </w:r>
      <w:r w:rsidRPr="0047699E">
        <w:noBreakHyphen/>
        <w:t>based classification system for commissioning, installation, or modification activities, with review proportional to safety significance and referral to safety committees where appropriate.</w:t>
      </w:r>
    </w:p>
    <w:p w14:paraId="51F4C5D1" w14:textId="28A36BA0" w:rsidR="0047699E" w:rsidRPr="0047699E" w:rsidRDefault="0047699E" w:rsidP="002F420E">
      <w:pPr>
        <w:pStyle w:val="Bulletlist1"/>
      </w:pPr>
      <w:r w:rsidRPr="0047699E">
        <w:t>Conservative assumptions: Classification should explicitly consider worst</w:t>
      </w:r>
      <w:r w:rsidRPr="0047699E">
        <w:noBreakHyphen/>
        <w:t>case outcomes, apply reasoned judgement, and align categories with potential doses to workers and the public, with referral to ONR where legal limits or significant off</w:t>
      </w:r>
      <w:r w:rsidRPr="0047699E">
        <w:noBreakHyphen/>
        <w:t>site doses could be challenged.</w:t>
      </w:r>
    </w:p>
    <w:p w14:paraId="3655BFC3" w14:textId="6EA6978A" w:rsidR="0047699E" w:rsidRPr="0047699E" w:rsidRDefault="0047699E" w:rsidP="002F420E">
      <w:pPr>
        <w:pStyle w:val="Bulletlist1"/>
      </w:pPr>
      <w:r w:rsidRPr="0047699E">
        <w:t xml:space="preserve">Consistency across </w:t>
      </w:r>
      <w:r w:rsidR="006E0458">
        <w:t>LC’s</w:t>
      </w:r>
      <w:r w:rsidRPr="0047699E">
        <w:t>: The safety significance classification system should be consistent with those used under LC19, LC20, LC22, and LC35.</w:t>
      </w:r>
    </w:p>
    <w:p w14:paraId="15AB95BA" w14:textId="21845AFC" w:rsidR="00D92B94" w:rsidRPr="00D92B94" w:rsidRDefault="00D92B94" w:rsidP="002F420E">
      <w:pPr>
        <w:pStyle w:val="Bulletlist1"/>
      </w:pPr>
      <w:r w:rsidRPr="00D92B94">
        <w:t>Issue management: Arrangements should include robust processes for tracking and resolving technical queries, concessions, omissions, non</w:t>
      </w:r>
      <w:r w:rsidRPr="00D92B94">
        <w:noBreakHyphen/>
        <w:t>conformities, and modifications, including active management of aggregated concessions.</w:t>
      </w:r>
    </w:p>
    <w:p w14:paraId="729BC08E" w14:textId="520E1267" w:rsidR="00D92B94" w:rsidRPr="00D92B94" w:rsidRDefault="00D92B94" w:rsidP="002F420E">
      <w:pPr>
        <w:pStyle w:val="Bulletlist1"/>
      </w:pPr>
      <w:r w:rsidRPr="00D92B94">
        <w:t>Quality management: Commissioning should be undertaken in accordance with a quality plan or equivalent that addresses:</w:t>
      </w:r>
    </w:p>
    <w:p w14:paraId="5C370C6F" w14:textId="77777777" w:rsidR="00D92B94" w:rsidRPr="00D92B94" w:rsidRDefault="00D92B94" w:rsidP="002F420E">
      <w:pPr>
        <w:pStyle w:val="Bulletlist2"/>
      </w:pPr>
      <w:r w:rsidRPr="00D92B94">
        <w:t>All commissioning hazards (nuclear, conventional, environmental)</w:t>
      </w:r>
    </w:p>
    <w:p w14:paraId="46E4DA1C" w14:textId="77777777" w:rsidR="00D92B94" w:rsidRPr="00D92B94" w:rsidRDefault="00D92B94" w:rsidP="002F420E">
      <w:pPr>
        <w:pStyle w:val="Bulletlist2"/>
      </w:pPr>
      <w:r w:rsidRPr="00D92B94">
        <w:t>Clear procedures for execution and close</w:t>
      </w:r>
      <w:r w:rsidRPr="00D92B94">
        <w:noBreakHyphen/>
        <w:t>out</w:t>
      </w:r>
    </w:p>
    <w:p w14:paraId="54905191" w14:textId="77777777" w:rsidR="00D92B94" w:rsidRPr="00D92B94" w:rsidRDefault="00D92B94" w:rsidP="002F420E">
      <w:pPr>
        <w:pStyle w:val="Bulletlist2"/>
      </w:pPr>
      <w:r w:rsidRPr="00D92B94">
        <w:t>Identification and retention of decommissioning records</w:t>
      </w:r>
    </w:p>
    <w:p w14:paraId="3F960902" w14:textId="77777777" w:rsidR="00D92B94" w:rsidRPr="00D92B94" w:rsidRDefault="00D92B94" w:rsidP="002F420E">
      <w:pPr>
        <w:pStyle w:val="Bulletlist2"/>
      </w:pPr>
      <w:r w:rsidRPr="00D92B94">
        <w:t>Issue tracking and resolution</w:t>
      </w:r>
    </w:p>
    <w:p w14:paraId="79E469B0" w14:textId="77777777" w:rsidR="00D92B94" w:rsidRPr="00D92B94" w:rsidRDefault="00D92B94" w:rsidP="002F420E">
      <w:pPr>
        <w:pStyle w:val="Bulletlist2"/>
      </w:pPr>
      <w:r w:rsidRPr="00D92B94">
        <w:t>Roles, responsibilities, and contractor control</w:t>
      </w:r>
    </w:p>
    <w:p w14:paraId="4AB78E95" w14:textId="77777777" w:rsidR="00D92B94" w:rsidRPr="00D92B94" w:rsidRDefault="00D92B94" w:rsidP="002F420E">
      <w:pPr>
        <w:pStyle w:val="Bulletlist2"/>
      </w:pPr>
      <w:r w:rsidRPr="00D92B94">
        <w:t>Contractor compliance with licensee arrangements and systems of work</w:t>
      </w:r>
    </w:p>
    <w:p w14:paraId="7EE5B787" w14:textId="491C3D24" w:rsidR="00D92B94" w:rsidRPr="00D92B94" w:rsidRDefault="00D92B94" w:rsidP="002F420E">
      <w:pPr>
        <w:pStyle w:val="Bulletlist1"/>
      </w:pPr>
      <w:r w:rsidRPr="00D92B94">
        <w:t>Safety case integration: Arrangements should ensure commissioning activities appropriately consider impacts on existing or new facility safety cases.</w:t>
      </w:r>
    </w:p>
    <w:p w14:paraId="4DBEA83C" w14:textId="3522E941" w:rsidR="00D92B94" w:rsidRPr="00D92B94" w:rsidRDefault="00D92B94" w:rsidP="002F420E">
      <w:pPr>
        <w:pStyle w:val="Bulletlist1"/>
      </w:pPr>
      <w:r w:rsidRPr="00D92B94">
        <w:lastRenderedPageBreak/>
        <w:t>Inactive commissioning credit: Where appropriate, arrangements should allow credit to be claimed for inactive commissioning activities undertaken outside controlled areas or at manufacturers’ works.</w:t>
      </w:r>
    </w:p>
    <w:p w14:paraId="2648D8BF" w14:textId="524B5392" w:rsidR="00D92B94" w:rsidRPr="00D92B94" w:rsidRDefault="00D92B94" w:rsidP="002F420E">
      <w:pPr>
        <w:pStyle w:val="Bulletlist1"/>
      </w:pPr>
      <w:r w:rsidRPr="00D92B94">
        <w:t>First Plant Only Tests (FPOT)</w:t>
      </w:r>
      <w:r w:rsidR="00FB2C74" w:rsidRPr="00FB2C74">
        <w:t xml:space="preserve"> </w:t>
      </w:r>
      <w:sdt>
        <w:sdtPr>
          <w:id w:val="1730722448"/>
          <w:citation/>
        </w:sdtPr>
        <w:sdtEndPr/>
        <w:sdtContent>
          <w:r w:rsidR="00FB2C74">
            <w:fldChar w:fldCharType="begin"/>
          </w:r>
          <w:r w:rsidR="00FB2C74">
            <w:instrText xml:space="preserve">CITATION 1MD \l 2057 </w:instrText>
          </w:r>
          <w:r w:rsidR="00FB2C74">
            <w:fldChar w:fldCharType="separate"/>
          </w:r>
          <w:r w:rsidR="007D39BF" w:rsidRPr="007D39BF">
            <w:rPr>
              <w:noProof/>
            </w:rPr>
            <w:t>[3]</w:t>
          </w:r>
          <w:r w:rsidR="00FB2C74">
            <w:fldChar w:fldCharType="end"/>
          </w:r>
        </w:sdtContent>
      </w:sdt>
      <w:r w:rsidRPr="00D92B94">
        <w:t>: Arrangements should recognise, where justified, the use of FPOT results to characterise system or component performance.</w:t>
      </w:r>
    </w:p>
    <w:p w14:paraId="53AFCDC9" w14:textId="136571EF" w:rsidR="00D92B94" w:rsidRPr="00D92B94" w:rsidRDefault="00D92B94" w:rsidP="002F420E">
      <w:pPr>
        <w:pStyle w:val="Bulletlist1"/>
      </w:pPr>
      <w:r w:rsidRPr="00D92B94">
        <w:t>Progressive commissioning: Arrangements should require a staged and progressive challenge to demonstrate safe operation within operational limits and conditions (e.g. inactive, trace active, and active commissioning).</w:t>
      </w:r>
    </w:p>
    <w:p w14:paraId="1A766CEA" w14:textId="67328CBA" w:rsidR="00D92B94" w:rsidRPr="00D92B94" w:rsidRDefault="00D92B94" w:rsidP="002F420E">
      <w:pPr>
        <w:pStyle w:val="Bulletlist1"/>
      </w:pPr>
      <w:r w:rsidRPr="00D92B94">
        <w:t>Performance testing: Arrangements should identify where steady</w:t>
      </w:r>
      <w:r w:rsidRPr="00D92B94">
        <w:noBreakHyphen/>
        <w:t>state operation is required to confirm that structures, systems, and components meet specifications.</w:t>
      </w:r>
    </w:p>
    <w:p w14:paraId="78C800E1" w14:textId="753A4F18" w:rsidR="00BB29C6" w:rsidRDefault="00D92B94" w:rsidP="002F420E">
      <w:pPr>
        <w:pStyle w:val="Bulletlist1"/>
      </w:pPr>
      <w:r w:rsidRPr="00D92B94">
        <w:t>Emergency preparedness: Appropriate emergency arrangements under LC11 should be in place and tested before active commissioning, taking account of residual construction hazards.</w:t>
      </w:r>
    </w:p>
    <w:p w14:paraId="3C4AF7DE" w14:textId="69580ED1" w:rsidR="002F420E" w:rsidRPr="002F420E" w:rsidRDefault="005654C2" w:rsidP="002F420E">
      <w:pPr>
        <w:pStyle w:val="Heading2"/>
      </w:pPr>
      <w:bookmarkStart w:id="17" w:name="_Toc226729706"/>
      <w:r w:rsidRPr="005654C2">
        <w:t xml:space="preserve">Inspection of </w:t>
      </w:r>
      <w:r w:rsidR="002F420E">
        <w:t>i</w:t>
      </w:r>
      <w:r w:rsidRPr="005654C2">
        <w:t xml:space="preserve">mplementation of </w:t>
      </w:r>
      <w:r w:rsidR="002F420E">
        <w:t>a</w:t>
      </w:r>
      <w:r w:rsidRPr="005654C2">
        <w:t>rrangements</w:t>
      </w:r>
      <w:bookmarkEnd w:id="17"/>
    </w:p>
    <w:p w14:paraId="0E5AF7F2" w14:textId="63D34D57" w:rsidR="005654C2" w:rsidRPr="005654C2" w:rsidRDefault="005654C2" w:rsidP="002F420E">
      <w:pPr>
        <w:pStyle w:val="F9-Paragraph"/>
      </w:pPr>
      <w:r w:rsidRPr="005654C2">
        <w:t>When inspecting the implementation of arrangements the Inspector should:</w:t>
      </w:r>
    </w:p>
    <w:p w14:paraId="07E30E96" w14:textId="37540FEA" w:rsidR="00A63E7F" w:rsidRPr="00A63E7F" w:rsidRDefault="00A63E7F" w:rsidP="002F420E">
      <w:pPr>
        <w:pStyle w:val="Bulletlist1"/>
      </w:pPr>
      <w:r w:rsidRPr="00A63E7F">
        <w:t xml:space="preserve">Commissioning governance: </w:t>
      </w:r>
      <w:r>
        <w:t>C</w:t>
      </w:r>
      <w:r w:rsidRPr="00A63E7F">
        <w:t>heck that the licensee has a fit</w:t>
      </w:r>
      <w:r w:rsidRPr="00A63E7F">
        <w:noBreakHyphen/>
        <w:t>for</w:t>
      </w:r>
      <w:r w:rsidRPr="00A63E7F">
        <w:noBreakHyphen/>
        <w:t>purpose commissioning process with adequate oversight and control, including effective resolution of Technical Queries before progression to active commissioning.</w:t>
      </w:r>
    </w:p>
    <w:p w14:paraId="2CB344DE" w14:textId="400DA73B" w:rsidR="00A63E7F" w:rsidRPr="00A63E7F" w:rsidRDefault="00A63E7F" w:rsidP="002F420E">
      <w:pPr>
        <w:pStyle w:val="Bulletlist1"/>
      </w:pPr>
      <w:r w:rsidRPr="00A63E7F">
        <w:t xml:space="preserve">Staged commissioning: </w:t>
      </w:r>
      <w:r>
        <w:t>C</w:t>
      </w:r>
      <w:r w:rsidRPr="00A63E7F">
        <w:t>heck that commissioning is undertaken in stages proportionate to safety significance (nuclear and conventional hazards) and plant complexity, providing a progressive and systematic demonstration against full design intent.</w:t>
      </w:r>
    </w:p>
    <w:p w14:paraId="7465D136" w14:textId="05891A04" w:rsidR="00A63E7F" w:rsidRPr="00A63E7F" w:rsidRDefault="00A63E7F" w:rsidP="002F420E">
      <w:pPr>
        <w:pStyle w:val="Bulletlist1"/>
      </w:pPr>
      <w:r w:rsidRPr="00A63E7F">
        <w:t>FPOT justification: Inspectors should ensure that any credit taken for First Plant Only Tests is adequately justified, with reference to relevant MDEP guidance where applicable.</w:t>
      </w:r>
    </w:p>
    <w:p w14:paraId="0117F949" w14:textId="575663B5" w:rsidR="00A63E7F" w:rsidRPr="00A63E7F" w:rsidRDefault="00A63E7F" w:rsidP="002F420E">
      <w:pPr>
        <w:pStyle w:val="Bulletlist1"/>
      </w:pPr>
      <w:r w:rsidRPr="00A63E7F">
        <w:t>Transition to operational controls: Inspectors should ensure the licensee clearly defines when operating rules, safety systems, and maintenance arrangements take effect, prior to the introduction of radioactive material.</w:t>
      </w:r>
    </w:p>
    <w:p w14:paraId="0FC311F5" w14:textId="5F54FFD9" w:rsidR="00A63E7F" w:rsidRPr="00A63E7F" w:rsidRDefault="00A63E7F" w:rsidP="002F420E">
      <w:pPr>
        <w:pStyle w:val="Bulletlist1"/>
      </w:pPr>
      <w:r w:rsidRPr="00A63E7F">
        <w:t xml:space="preserve">Safety classification: </w:t>
      </w:r>
      <w:r w:rsidR="00AB0F98">
        <w:t>C</w:t>
      </w:r>
      <w:r w:rsidRPr="00A63E7F">
        <w:t>heck the application and adequacy of the licensee’s safety classification system for commissioning activities, challenging its use where necessary.</w:t>
      </w:r>
    </w:p>
    <w:p w14:paraId="49948C77" w14:textId="214ADBB0" w:rsidR="00A63E7F" w:rsidRPr="00A63E7F" w:rsidRDefault="00A63E7F" w:rsidP="002F420E">
      <w:pPr>
        <w:pStyle w:val="Bulletlist1"/>
      </w:pPr>
      <w:r w:rsidRPr="00A63E7F">
        <w:lastRenderedPageBreak/>
        <w:t xml:space="preserve">Safety case delivery: </w:t>
      </w:r>
      <w:r w:rsidR="00AB0F98">
        <w:t>C</w:t>
      </w:r>
      <w:r w:rsidRPr="00A63E7F">
        <w:t>heck that, at each commissioning stage, required safety functions for all safety</w:t>
      </w:r>
      <w:r w:rsidRPr="00A63E7F">
        <w:noBreakHyphen/>
        <w:t>case conditions are met and appropriately evidenced.</w:t>
      </w:r>
    </w:p>
    <w:p w14:paraId="62DD99DE" w14:textId="63B40F09" w:rsidR="00A63E7F" w:rsidRPr="00A63E7F" w:rsidRDefault="00A63E7F" w:rsidP="002F420E">
      <w:pPr>
        <w:pStyle w:val="Bulletlist1"/>
      </w:pPr>
      <w:r w:rsidRPr="00A63E7F">
        <w:t xml:space="preserve">Interface with other regulators: </w:t>
      </w:r>
      <w:r w:rsidR="00AB0F98">
        <w:t>C</w:t>
      </w:r>
      <w:r w:rsidRPr="00A63E7F">
        <w:t>heck that suitable safety equipment is in place, tested and maintained, and that appropriate liaison with other regulators (e.g. CDM, fire, environmental permitting) occurs before each commissioning stage.</w:t>
      </w:r>
    </w:p>
    <w:p w14:paraId="6A64B9B4" w14:textId="3B879EA2" w:rsidR="00A63E7F" w:rsidRPr="00A63E7F" w:rsidRDefault="00A63E7F" w:rsidP="002F420E">
      <w:pPr>
        <w:pStyle w:val="Bulletlist1"/>
      </w:pPr>
      <w:r w:rsidRPr="00A63E7F">
        <w:t xml:space="preserve">Emergency preparedness: </w:t>
      </w:r>
      <w:r w:rsidR="00AB0F98">
        <w:t>C</w:t>
      </w:r>
      <w:r w:rsidRPr="00A63E7F">
        <w:t>heck that appropriate emergency arrangements are in place and can be implemented for commissioning activities.</w:t>
      </w:r>
    </w:p>
    <w:p w14:paraId="35352959" w14:textId="56421A85" w:rsidR="00A63E7F" w:rsidRPr="00A63E7F" w:rsidRDefault="00A63E7F" w:rsidP="002F420E">
      <w:pPr>
        <w:pStyle w:val="Bulletlist1"/>
      </w:pPr>
      <w:r w:rsidRPr="00A63E7F">
        <w:t xml:space="preserve">Schedule alignment: </w:t>
      </w:r>
      <w:r w:rsidR="00AB0F98">
        <w:t>C</w:t>
      </w:r>
      <w:r w:rsidRPr="00A63E7F">
        <w:t>heck for clear linkage between commissioning schedules and safety</w:t>
      </w:r>
      <w:r w:rsidRPr="00A63E7F">
        <w:noBreakHyphen/>
        <w:t>case requirements, supported by adequate written commissioning instructions.</w:t>
      </w:r>
    </w:p>
    <w:p w14:paraId="538017F1" w14:textId="01F71919" w:rsidR="00A63E7F" w:rsidRPr="00A63E7F" w:rsidRDefault="00A63E7F" w:rsidP="002F420E">
      <w:pPr>
        <w:pStyle w:val="Bulletlist1"/>
      </w:pPr>
      <w:r w:rsidRPr="00A63E7F">
        <w:t xml:space="preserve">Issue management: </w:t>
      </w:r>
      <w:r w:rsidR="00AF58A1">
        <w:t>C</w:t>
      </w:r>
      <w:r w:rsidRPr="00A63E7F">
        <w:t>heck the effectiveness of arrangements for progressing commissioning issues, including technical queries, concessions, omissions, and modifications.</w:t>
      </w:r>
    </w:p>
    <w:p w14:paraId="742365DE" w14:textId="4024F775" w:rsidR="00A63E7F" w:rsidRPr="00A63E7F" w:rsidRDefault="00A63E7F" w:rsidP="002F420E">
      <w:pPr>
        <w:pStyle w:val="Bulletlist1"/>
      </w:pPr>
      <w:r w:rsidRPr="00A63E7F">
        <w:t xml:space="preserve">Control of implementation: </w:t>
      </w:r>
      <w:r w:rsidR="00AF58A1">
        <w:t>C</w:t>
      </w:r>
      <w:r w:rsidRPr="00A63E7F">
        <w:t>heck the licensee’s control of commissioning implementation, including:</w:t>
      </w:r>
    </w:p>
    <w:p w14:paraId="0D07F661" w14:textId="00E32609" w:rsidR="00A63E7F" w:rsidRPr="00A63E7F" w:rsidRDefault="00A63E7F" w:rsidP="002F420E">
      <w:pPr>
        <w:pStyle w:val="Bulletlist2"/>
      </w:pPr>
      <w:r w:rsidRPr="00A63E7F">
        <w:t>Clear definition of roles and responsibilities within the Nuclear Baseline</w:t>
      </w:r>
      <w:r w:rsidR="000A0F63">
        <w:t>.</w:t>
      </w:r>
    </w:p>
    <w:p w14:paraId="05839D1E" w14:textId="2536C671" w:rsidR="00A63E7F" w:rsidRPr="00A63E7F" w:rsidRDefault="00A63E7F" w:rsidP="002F420E">
      <w:pPr>
        <w:pStyle w:val="Bulletlist2"/>
      </w:pPr>
      <w:r w:rsidRPr="00A63E7F">
        <w:t>Availability of suitably competent personnel</w:t>
      </w:r>
      <w:r w:rsidR="000A0F63">
        <w:t>.</w:t>
      </w:r>
    </w:p>
    <w:p w14:paraId="252F2C04" w14:textId="4167A61B" w:rsidR="00A63E7F" w:rsidRPr="00A63E7F" w:rsidRDefault="00A63E7F" w:rsidP="002F420E">
      <w:pPr>
        <w:pStyle w:val="Bulletlist2"/>
      </w:pPr>
      <w:r w:rsidRPr="00A63E7F">
        <w:t>Adequacy of procedures and work instructions</w:t>
      </w:r>
      <w:r w:rsidR="000A0F63">
        <w:t>.</w:t>
      </w:r>
    </w:p>
    <w:p w14:paraId="1DB85E10" w14:textId="405C42F9" w:rsidR="00A63E7F" w:rsidRPr="00A63E7F" w:rsidRDefault="00A63E7F" w:rsidP="002F420E">
      <w:pPr>
        <w:pStyle w:val="Bulletlist2"/>
      </w:pPr>
      <w:r w:rsidRPr="00A63E7F">
        <w:t>Calibration and control of test equipment</w:t>
      </w:r>
      <w:r w:rsidR="000A0F63">
        <w:t>.</w:t>
      </w:r>
    </w:p>
    <w:p w14:paraId="44FD3FAA" w14:textId="2E820E7E" w:rsidR="00A63E7F" w:rsidRPr="00A63E7F" w:rsidRDefault="00A63E7F" w:rsidP="002F420E">
      <w:pPr>
        <w:pStyle w:val="Bulletlist2"/>
      </w:pPr>
      <w:r w:rsidRPr="00A63E7F">
        <w:t>Systems of work addressing hazards, maintenance, and temporary commissioning aids</w:t>
      </w:r>
      <w:r w:rsidR="000A0F63">
        <w:t>.</w:t>
      </w:r>
    </w:p>
    <w:p w14:paraId="42802AE8" w14:textId="3BD9B45E" w:rsidR="00A63E7F" w:rsidRPr="00A63E7F" w:rsidRDefault="00A63E7F" w:rsidP="002F420E">
      <w:pPr>
        <w:pStyle w:val="Bulletlist1"/>
      </w:pPr>
      <w:r w:rsidRPr="00A63E7F">
        <w:t>Contractor and SQEP control: Where contractors are involved, check the adequacy of control and supervision, and the appointment, independence, and challenge capability of SQEPs, proportionate to safety significance.</w:t>
      </w:r>
    </w:p>
    <w:p w14:paraId="49FAF16E" w14:textId="3DF00765" w:rsidR="00A63E7F" w:rsidRPr="00A63E7F" w:rsidRDefault="00A63E7F" w:rsidP="002F420E">
      <w:pPr>
        <w:pStyle w:val="Bulletlist1"/>
      </w:pPr>
      <w:r w:rsidRPr="00A63E7F">
        <w:t xml:space="preserve">Operational involvement: </w:t>
      </w:r>
      <w:r w:rsidR="00E348FC">
        <w:t>C</w:t>
      </w:r>
      <w:r w:rsidRPr="00A63E7F">
        <w:t>heck that operating and maintenance personnel are appropriately involved in commissioning to gain plant familiarity.</w:t>
      </w:r>
    </w:p>
    <w:p w14:paraId="3B0CD90F" w14:textId="33CBFCFF" w:rsidR="00A63E7F" w:rsidRPr="00A63E7F" w:rsidRDefault="00A63E7F" w:rsidP="002F420E">
      <w:pPr>
        <w:pStyle w:val="Bulletlist1"/>
      </w:pPr>
      <w:r w:rsidRPr="00A63E7F">
        <w:t xml:space="preserve">Procedure validation: </w:t>
      </w:r>
      <w:r w:rsidR="00E348FC">
        <w:t>C</w:t>
      </w:r>
      <w:r w:rsidRPr="00A63E7F">
        <w:t>heck that operating procedures are validated through representative commissioning tests and, where practicable, by trial use.</w:t>
      </w:r>
    </w:p>
    <w:p w14:paraId="76EFF4F4" w14:textId="6C6B1EC2" w:rsidR="00A63E7F" w:rsidRPr="00A63E7F" w:rsidRDefault="00A63E7F" w:rsidP="002F420E">
      <w:pPr>
        <w:pStyle w:val="Bulletlist1"/>
      </w:pPr>
      <w:r w:rsidRPr="00A63E7F">
        <w:lastRenderedPageBreak/>
        <w:t>C&amp;I guidance: Sample check that relevant guidance in NS</w:t>
      </w:r>
      <w:r w:rsidRPr="00A63E7F">
        <w:noBreakHyphen/>
        <w:t>TAST</w:t>
      </w:r>
      <w:r w:rsidRPr="00A63E7F">
        <w:noBreakHyphen/>
        <w:t>GD</w:t>
      </w:r>
      <w:r w:rsidRPr="00A63E7F">
        <w:noBreakHyphen/>
        <w:t xml:space="preserve">028 (Control and Instrumentation) </w:t>
      </w:r>
      <w:sdt>
        <w:sdtPr>
          <w:id w:val="-1833283249"/>
          <w:citation/>
        </w:sdtPr>
        <w:sdtEndPr/>
        <w:sdtContent>
          <w:r w:rsidR="00314883">
            <w:fldChar w:fldCharType="begin"/>
          </w:r>
          <w:r w:rsidR="00314883">
            <w:instrText xml:space="preserve"> CITATION ONR42 \l 2057 </w:instrText>
          </w:r>
          <w:r w:rsidR="00314883">
            <w:fldChar w:fldCharType="separate"/>
          </w:r>
          <w:r w:rsidR="007D39BF" w:rsidRPr="007D39BF">
            <w:rPr>
              <w:noProof/>
            </w:rPr>
            <w:t>[4]</w:t>
          </w:r>
          <w:r w:rsidR="00314883">
            <w:fldChar w:fldCharType="end"/>
          </w:r>
        </w:sdtContent>
      </w:sdt>
      <w:r w:rsidR="00314883" w:rsidRPr="00A63E7F">
        <w:t xml:space="preserve"> </w:t>
      </w:r>
      <w:r w:rsidRPr="00A63E7F">
        <w:t>is adequately reflected in commissioning arrangements.</w:t>
      </w:r>
    </w:p>
    <w:p w14:paraId="6E95330B" w14:textId="05DC3E26" w:rsidR="00A63E7F" w:rsidRPr="00A63E7F" w:rsidRDefault="00A63E7F" w:rsidP="002F420E">
      <w:pPr>
        <w:pStyle w:val="Bulletlist1"/>
      </w:pPr>
      <w:r w:rsidRPr="00A63E7F">
        <w:t xml:space="preserve">Test witnessing and records: </w:t>
      </w:r>
      <w:r w:rsidR="00FB5E20">
        <w:t>C</w:t>
      </w:r>
      <w:r w:rsidRPr="00A63E7F">
        <w:t>heck witnessed commissioning tests and records for completeness, accuracy, and appropriate transfer to the licensee.</w:t>
      </w:r>
    </w:p>
    <w:p w14:paraId="6CD41751" w14:textId="5900137D" w:rsidR="00A63E7F" w:rsidRPr="00A63E7F" w:rsidRDefault="00A63E7F" w:rsidP="002F420E">
      <w:pPr>
        <w:pStyle w:val="Bulletlist1"/>
      </w:pPr>
      <w:r w:rsidRPr="00A63E7F">
        <w:t xml:space="preserve">Learning and substantiation: </w:t>
      </w:r>
      <w:r w:rsidR="00FB5E20">
        <w:t>C</w:t>
      </w:r>
      <w:r w:rsidRPr="00A63E7F">
        <w:t>heck the use of OPEX, ALARP justifications, and consideration of Human Factors in commissioning activities.</w:t>
      </w:r>
    </w:p>
    <w:p w14:paraId="1F8F750A" w14:textId="289F8970" w:rsidR="00A63E7F" w:rsidRPr="00A63E7F" w:rsidRDefault="00A63E7F" w:rsidP="002F420E">
      <w:pPr>
        <w:pStyle w:val="Bulletlist1"/>
      </w:pPr>
      <w:r w:rsidRPr="00A63E7F">
        <w:t xml:space="preserve">Stage reporting: </w:t>
      </w:r>
      <w:r w:rsidR="00FB5E20">
        <w:t>C</w:t>
      </w:r>
      <w:r w:rsidRPr="00A63E7F">
        <w:t>heck that commissioning stage reports are completed, reviewed by the appropriate body, and integrated into the safety case before progression.</w:t>
      </w:r>
    </w:p>
    <w:p w14:paraId="5D89C8CA" w14:textId="260D784E" w:rsidR="00A63E7F" w:rsidRPr="00A63E7F" w:rsidRDefault="00A63E7F" w:rsidP="002F420E">
      <w:pPr>
        <w:pStyle w:val="Bulletlist1"/>
      </w:pPr>
      <w:r w:rsidRPr="00A63E7F">
        <w:t xml:space="preserve">Records management: </w:t>
      </w:r>
      <w:r w:rsidR="00FB5E20">
        <w:t>C</w:t>
      </w:r>
      <w:r w:rsidRPr="00A63E7F">
        <w:t>heck that full and accurate commissioning records are maintained in accordance with LC21(6).</w:t>
      </w:r>
    </w:p>
    <w:p w14:paraId="7D3EE88F" w14:textId="305EA359" w:rsidR="0048271E" w:rsidRDefault="00A63E7F" w:rsidP="002F420E">
      <w:pPr>
        <w:pStyle w:val="Bulletlist1"/>
      </w:pPr>
      <w:r w:rsidRPr="00A63E7F">
        <w:t>Novel or complex activities: Identify and sample any novel, complex, or operationally impactful commissioning activities.</w:t>
      </w:r>
    </w:p>
    <w:p w14:paraId="16E2D8DE" w14:textId="77777777" w:rsidR="002F420E" w:rsidRDefault="002F420E" w:rsidP="002F420E">
      <w:pPr>
        <w:pStyle w:val="Caption"/>
        <w:keepNext/>
        <w:sectPr w:rsidR="002F420E" w:rsidSect="00B23A5E">
          <w:pgSz w:w="11906" w:h="16838" w:code="9"/>
          <w:pgMar w:top="1440" w:right="1440" w:bottom="1440" w:left="1440" w:header="397" w:footer="397" w:gutter="0"/>
          <w:cols w:space="312"/>
          <w:docGrid w:linePitch="360"/>
        </w:sectPr>
      </w:pPr>
    </w:p>
    <w:p w14:paraId="318A4C7F" w14:textId="34498CB6" w:rsidR="002F420E" w:rsidRDefault="002F420E" w:rsidP="002F420E">
      <w:pPr>
        <w:pStyle w:val="Caption"/>
        <w:keepNext/>
      </w:pPr>
      <w:r>
        <w:lastRenderedPageBreak/>
        <w:t xml:space="preserve">Table </w:t>
      </w:r>
      <w:r>
        <w:fldChar w:fldCharType="begin"/>
      </w:r>
      <w:r>
        <w:instrText xml:space="preserve"> SEQ Table \* ARABIC </w:instrText>
      </w:r>
      <w:r>
        <w:fldChar w:fldCharType="separate"/>
      </w:r>
      <w:r>
        <w:rPr>
          <w:noProof/>
        </w:rPr>
        <w:t>1</w:t>
      </w:r>
      <w:r>
        <w:fldChar w:fldCharType="end"/>
      </w:r>
      <w:r>
        <w:t xml:space="preserve"> - </w:t>
      </w:r>
      <w:r w:rsidRPr="00FA433E">
        <w:t>Interdependency with other LC’s / Legislation</w:t>
      </w:r>
    </w:p>
    <w:tbl>
      <w:tblPr>
        <w:tblStyle w:val="ONRTable1"/>
        <w:tblW w:w="5000" w:type="pct"/>
        <w:tblInd w:w="0" w:type="dxa"/>
        <w:tblLook w:val="04A0" w:firstRow="1" w:lastRow="0" w:firstColumn="1" w:lastColumn="0" w:noHBand="0" w:noVBand="1"/>
      </w:tblPr>
      <w:tblGrid>
        <w:gridCol w:w="1867"/>
        <w:gridCol w:w="2014"/>
        <w:gridCol w:w="2701"/>
        <w:gridCol w:w="2444"/>
      </w:tblGrid>
      <w:tr w:rsidR="0048271E" w:rsidRPr="002F420E" w14:paraId="42629ED4" w14:textId="77777777" w:rsidTr="002F420E">
        <w:trPr>
          <w:cnfStyle w:val="100000000000" w:firstRow="1" w:lastRow="0" w:firstColumn="0" w:lastColumn="0" w:oddVBand="0" w:evenVBand="0" w:oddHBand="0" w:evenHBand="0" w:firstRowFirstColumn="0" w:firstRowLastColumn="0" w:lastRowFirstColumn="0" w:lastRowLastColumn="0"/>
          <w:cantSplit/>
          <w:tblHeader/>
        </w:trPr>
        <w:tc>
          <w:tcPr>
            <w:tcW w:w="1034" w:type="pct"/>
          </w:tcPr>
          <w:p w14:paraId="004C9C52" w14:textId="3C42DE09" w:rsidR="0048271E" w:rsidRPr="002F420E" w:rsidRDefault="0048271E" w:rsidP="002F420E">
            <w:pPr>
              <w:pStyle w:val="F9-Paragraph"/>
              <w:numPr>
                <w:ilvl w:val="0"/>
                <w:numId w:val="0"/>
              </w:numPr>
              <w:spacing w:before="60" w:after="60"/>
              <w:rPr>
                <w:rFonts w:cs="Arial"/>
                <w:b w:val="0"/>
                <w:szCs w:val="24"/>
              </w:rPr>
            </w:pPr>
            <w:r w:rsidRPr="002F420E">
              <w:rPr>
                <w:rFonts w:cs="Arial"/>
                <w:szCs w:val="24"/>
              </w:rPr>
              <w:t>LC</w:t>
            </w:r>
            <w:r w:rsidR="002F420E">
              <w:rPr>
                <w:rFonts w:cs="Arial"/>
                <w:szCs w:val="24"/>
              </w:rPr>
              <w:t xml:space="preserve"> </w:t>
            </w:r>
            <w:r w:rsidRPr="002F420E">
              <w:rPr>
                <w:rFonts w:cs="Arial"/>
                <w:szCs w:val="24"/>
              </w:rPr>
              <w:t>/ legislation</w:t>
            </w:r>
          </w:p>
        </w:tc>
        <w:tc>
          <w:tcPr>
            <w:tcW w:w="1116" w:type="pct"/>
          </w:tcPr>
          <w:p w14:paraId="1615AB5E" w14:textId="77777777" w:rsidR="0048271E" w:rsidRPr="002F420E" w:rsidRDefault="0048271E" w:rsidP="002F420E">
            <w:pPr>
              <w:pStyle w:val="F9-Paragraph"/>
              <w:numPr>
                <w:ilvl w:val="0"/>
                <w:numId w:val="0"/>
              </w:numPr>
              <w:spacing w:before="60" w:after="60"/>
              <w:rPr>
                <w:rFonts w:cs="Arial"/>
                <w:b w:val="0"/>
                <w:szCs w:val="24"/>
              </w:rPr>
            </w:pPr>
            <w:r w:rsidRPr="002F420E">
              <w:rPr>
                <w:rFonts w:cs="Arial"/>
                <w:szCs w:val="24"/>
              </w:rPr>
              <w:t>Intent / purpose</w:t>
            </w:r>
          </w:p>
        </w:tc>
        <w:tc>
          <w:tcPr>
            <w:tcW w:w="1496" w:type="pct"/>
          </w:tcPr>
          <w:p w14:paraId="585BE3C1" w14:textId="47C3C3FF" w:rsidR="0048271E" w:rsidRPr="002F420E" w:rsidRDefault="0048271E" w:rsidP="002F420E">
            <w:pPr>
              <w:pStyle w:val="F9-Paragraph"/>
              <w:numPr>
                <w:ilvl w:val="0"/>
                <w:numId w:val="0"/>
              </w:numPr>
              <w:spacing w:before="60" w:after="60"/>
              <w:rPr>
                <w:rFonts w:cs="Arial"/>
                <w:b w:val="0"/>
                <w:szCs w:val="24"/>
              </w:rPr>
            </w:pPr>
            <w:r w:rsidRPr="002F420E">
              <w:rPr>
                <w:rFonts w:cs="Arial"/>
                <w:szCs w:val="24"/>
              </w:rPr>
              <w:t>LC</w:t>
            </w:r>
            <w:r w:rsidR="007A06F9" w:rsidRPr="002F420E">
              <w:rPr>
                <w:rFonts w:cs="Arial"/>
                <w:szCs w:val="24"/>
              </w:rPr>
              <w:t>21</w:t>
            </w:r>
            <w:r w:rsidRPr="002F420E">
              <w:rPr>
                <w:rFonts w:cs="Arial"/>
                <w:szCs w:val="24"/>
              </w:rPr>
              <w:t xml:space="preserve"> </w:t>
            </w:r>
            <w:r w:rsidR="002F420E">
              <w:rPr>
                <w:rFonts w:cs="Arial"/>
                <w:szCs w:val="24"/>
              </w:rPr>
              <w:t>i</w:t>
            </w:r>
            <w:r w:rsidRPr="002F420E">
              <w:rPr>
                <w:rFonts w:cs="Arial"/>
                <w:szCs w:val="24"/>
              </w:rPr>
              <w:t xml:space="preserve">nterdependency </w:t>
            </w:r>
          </w:p>
        </w:tc>
        <w:tc>
          <w:tcPr>
            <w:tcW w:w="1354" w:type="pct"/>
          </w:tcPr>
          <w:p w14:paraId="583D4A92" w14:textId="77777777" w:rsidR="0048271E" w:rsidRPr="002F420E" w:rsidRDefault="0048271E" w:rsidP="002F420E">
            <w:pPr>
              <w:pStyle w:val="F9-Paragraph"/>
              <w:numPr>
                <w:ilvl w:val="0"/>
                <w:numId w:val="0"/>
              </w:numPr>
              <w:spacing w:before="60" w:after="60"/>
              <w:rPr>
                <w:rFonts w:cs="Arial"/>
                <w:szCs w:val="24"/>
              </w:rPr>
            </w:pPr>
            <w:r w:rsidRPr="002F420E">
              <w:rPr>
                <w:rFonts w:cs="Arial"/>
                <w:szCs w:val="24"/>
              </w:rPr>
              <w:t>Regulatory outcome</w:t>
            </w:r>
          </w:p>
        </w:tc>
      </w:tr>
      <w:tr w:rsidR="00385979" w:rsidRPr="002F420E" w14:paraId="25159CAC" w14:textId="77777777" w:rsidTr="002F420E">
        <w:trPr>
          <w:cantSplit/>
          <w:trHeight w:val="1176"/>
        </w:trPr>
        <w:tc>
          <w:tcPr>
            <w:tcW w:w="1034" w:type="pct"/>
          </w:tcPr>
          <w:p w14:paraId="5C73F20C" w14:textId="172E3EAE" w:rsidR="00385979" w:rsidRPr="002F420E" w:rsidRDefault="00385979" w:rsidP="002F420E">
            <w:pPr>
              <w:pStyle w:val="F9-Paragraph"/>
              <w:numPr>
                <w:ilvl w:val="0"/>
                <w:numId w:val="0"/>
              </w:numPr>
              <w:spacing w:before="60" w:after="60"/>
              <w:rPr>
                <w:rFonts w:cs="Arial"/>
                <w:szCs w:val="24"/>
              </w:rPr>
            </w:pPr>
            <w:r w:rsidRPr="002F420E">
              <w:rPr>
                <w:rFonts w:cs="Arial"/>
                <w:szCs w:val="24"/>
              </w:rPr>
              <w:t>LC6 Documents, Records, Authorities and Certificates</w:t>
            </w:r>
          </w:p>
          <w:p w14:paraId="671997B0" w14:textId="77777777" w:rsidR="00385979" w:rsidRPr="002F420E" w:rsidRDefault="00385979" w:rsidP="002F420E">
            <w:pPr>
              <w:pStyle w:val="F9-Paragraph"/>
              <w:numPr>
                <w:ilvl w:val="0"/>
                <w:numId w:val="0"/>
              </w:numPr>
              <w:spacing w:before="60" w:after="60"/>
              <w:rPr>
                <w:rFonts w:cs="Arial"/>
                <w:szCs w:val="24"/>
              </w:rPr>
            </w:pPr>
          </w:p>
        </w:tc>
        <w:tc>
          <w:tcPr>
            <w:tcW w:w="1116" w:type="pct"/>
          </w:tcPr>
          <w:p w14:paraId="3CF1DB0D" w14:textId="77777777" w:rsidR="00385979" w:rsidRPr="002F420E" w:rsidRDefault="00385979" w:rsidP="002F420E">
            <w:pPr>
              <w:pStyle w:val="F9-Paragraph"/>
              <w:numPr>
                <w:ilvl w:val="0"/>
                <w:numId w:val="0"/>
              </w:numPr>
              <w:spacing w:before="60" w:after="60"/>
              <w:rPr>
                <w:rFonts w:cs="Arial"/>
                <w:szCs w:val="24"/>
              </w:rPr>
            </w:pPr>
            <w:r w:rsidRPr="002F420E">
              <w:rPr>
                <w:rFonts w:cs="Arial"/>
                <w:szCs w:val="24"/>
              </w:rPr>
              <w:t>Ensure adequate documentation and records are produced, controlled and retained to demonstrate safety.</w:t>
            </w:r>
          </w:p>
          <w:p w14:paraId="50EAC8FB" w14:textId="71A496A5" w:rsidR="0050485D" w:rsidRPr="002F420E" w:rsidRDefault="0050485D" w:rsidP="002F420E">
            <w:pPr>
              <w:pStyle w:val="F9-Paragraph"/>
              <w:numPr>
                <w:ilvl w:val="0"/>
                <w:numId w:val="0"/>
              </w:numPr>
              <w:spacing w:before="60" w:after="60"/>
              <w:rPr>
                <w:rFonts w:cs="Arial"/>
                <w:szCs w:val="24"/>
              </w:rPr>
            </w:pPr>
          </w:p>
        </w:tc>
        <w:tc>
          <w:tcPr>
            <w:tcW w:w="1496" w:type="pct"/>
          </w:tcPr>
          <w:p w14:paraId="13EBAE3D" w14:textId="52341FF1" w:rsidR="00385979" w:rsidRPr="002F420E" w:rsidRDefault="00385979" w:rsidP="002F420E">
            <w:pPr>
              <w:pStyle w:val="F9-Paragraph"/>
              <w:numPr>
                <w:ilvl w:val="0"/>
                <w:numId w:val="0"/>
              </w:numPr>
              <w:spacing w:before="60" w:after="60"/>
              <w:rPr>
                <w:rFonts w:cs="Arial"/>
                <w:szCs w:val="24"/>
              </w:rPr>
            </w:pPr>
            <w:r w:rsidRPr="002F420E">
              <w:rPr>
                <w:rFonts w:cs="Arial"/>
                <w:szCs w:val="24"/>
              </w:rPr>
              <w:t>LC21 commissioning activities generate test records, results and acceptance evidence that must be controlled to demonstrate compliance and support operational handover.</w:t>
            </w:r>
          </w:p>
        </w:tc>
        <w:tc>
          <w:tcPr>
            <w:tcW w:w="1354" w:type="pct"/>
          </w:tcPr>
          <w:p w14:paraId="6C47F88C" w14:textId="77777777" w:rsidR="00385979" w:rsidRPr="002F420E" w:rsidRDefault="00385979" w:rsidP="002F420E">
            <w:pPr>
              <w:pStyle w:val="F9-Paragraph"/>
              <w:numPr>
                <w:ilvl w:val="0"/>
                <w:numId w:val="0"/>
              </w:numPr>
              <w:spacing w:before="60" w:after="60"/>
              <w:rPr>
                <w:rFonts w:cs="Arial"/>
                <w:szCs w:val="24"/>
              </w:rPr>
            </w:pPr>
            <w:r w:rsidRPr="002F420E">
              <w:rPr>
                <w:rFonts w:cs="Arial"/>
                <w:szCs w:val="24"/>
              </w:rPr>
              <w:t>Complete and accurate commissioning records available; clear evidence that plant has met commissioning requirements and is fit to proceed to operation.</w:t>
            </w:r>
          </w:p>
          <w:p w14:paraId="53880ADD" w14:textId="680B583D" w:rsidR="0050485D" w:rsidRPr="002F420E" w:rsidRDefault="0050485D" w:rsidP="002F420E">
            <w:pPr>
              <w:pStyle w:val="F9-Paragraph"/>
              <w:numPr>
                <w:ilvl w:val="0"/>
                <w:numId w:val="0"/>
              </w:numPr>
              <w:spacing w:before="60" w:after="60"/>
              <w:rPr>
                <w:rFonts w:cs="Arial"/>
                <w:szCs w:val="24"/>
              </w:rPr>
            </w:pPr>
          </w:p>
        </w:tc>
      </w:tr>
      <w:tr w:rsidR="00F8791D" w:rsidRPr="002F420E" w14:paraId="3211347D" w14:textId="77777777" w:rsidTr="002F420E">
        <w:trPr>
          <w:cantSplit/>
          <w:trHeight w:val="1176"/>
        </w:trPr>
        <w:tc>
          <w:tcPr>
            <w:tcW w:w="1034" w:type="pct"/>
          </w:tcPr>
          <w:p w14:paraId="1FFA34FD" w14:textId="630696BB" w:rsidR="00F8791D" w:rsidRPr="002F420E" w:rsidRDefault="00F8791D" w:rsidP="002F420E">
            <w:pPr>
              <w:pStyle w:val="F9-Paragraph"/>
              <w:numPr>
                <w:ilvl w:val="0"/>
                <w:numId w:val="0"/>
              </w:numPr>
              <w:spacing w:before="60" w:after="60"/>
              <w:rPr>
                <w:rFonts w:cs="Arial"/>
                <w:szCs w:val="24"/>
              </w:rPr>
            </w:pPr>
            <w:r w:rsidRPr="002F420E">
              <w:rPr>
                <w:rFonts w:cs="Arial"/>
                <w:szCs w:val="24"/>
              </w:rPr>
              <w:t>LC10 Training</w:t>
            </w:r>
          </w:p>
        </w:tc>
        <w:tc>
          <w:tcPr>
            <w:tcW w:w="1116" w:type="pct"/>
          </w:tcPr>
          <w:p w14:paraId="2D8E5DCE" w14:textId="77777777" w:rsidR="00F8791D" w:rsidRPr="002F420E" w:rsidRDefault="00F8791D" w:rsidP="002F420E">
            <w:pPr>
              <w:pStyle w:val="F9-Paragraph"/>
              <w:numPr>
                <w:ilvl w:val="0"/>
                <w:numId w:val="0"/>
              </w:numPr>
              <w:spacing w:before="60" w:after="60"/>
              <w:rPr>
                <w:rFonts w:cs="Arial"/>
                <w:szCs w:val="24"/>
              </w:rPr>
            </w:pPr>
            <w:r w:rsidRPr="002F420E">
              <w:rPr>
                <w:rFonts w:cs="Arial"/>
                <w:szCs w:val="24"/>
              </w:rPr>
              <w:t>Ensure personnel are suitably trained to undertake their duties.</w:t>
            </w:r>
          </w:p>
          <w:p w14:paraId="5CCF8AFA" w14:textId="7615E7DB" w:rsidR="0050485D" w:rsidRPr="002F420E" w:rsidRDefault="0050485D" w:rsidP="002F420E">
            <w:pPr>
              <w:pStyle w:val="F9-Paragraph"/>
              <w:numPr>
                <w:ilvl w:val="0"/>
                <w:numId w:val="0"/>
              </w:numPr>
              <w:spacing w:before="60" w:after="60"/>
              <w:rPr>
                <w:rFonts w:cs="Arial"/>
                <w:szCs w:val="24"/>
              </w:rPr>
            </w:pPr>
          </w:p>
        </w:tc>
        <w:tc>
          <w:tcPr>
            <w:tcW w:w="1496" w:type="pct"/>
          </w:tcPr>
          <w:p w14:paraId="21137416" w14:textId="32483502" w:rsidR="00F8791D" w:rsidRPr="002F420E" w:rsidRDefault="00F8791D" w:rsidP="002F420E">
            <w:pPr>
              <w:pStyle w:val="F9-Paragraph"/>
              <w:numPr>
                <w:ilvl w:val="0"/>
                <w:numId w:val="0"/>
              </w:numPr>
              <w:spacing w:before="60" w:after="60"/>
              <w:rPr>
                <w:rFonts w:cs="Arial"/>
                <w:szCs w:val="24"/>
              </w:rPr>
            </w:pPr>
            <w:r w:rsidRPr="002F420E">
              <w:rPr>
                <w:rFonts w:cs="Arial"/>
                <w:szCs w:val="24"/>
              </w:rPr>
              <w:t>LC21 relies on trained personnel to plan, control, witness and undertake commissioning activities safely.</w:t>
            </w:r>
          </w:p>
        </w:tc>
        <w:tc>
          <w:tcPr>
            <w:tcW w:w="1354" w:type="pct"/>
          </w:tcPr>
          <w:p w14:paraId="02592C9D" w14:textId="1726506A" w:rsidR="00F8791D" w:rsidRPr="002F420E" w:rsidRDefault="00F8791D" w:rsidP="002F420E">
            <w:pPr>
              <w:pStyle w:val="F9-Paragraph"/>
              <w:numPr>
                <w:ilvl w:val="0"/>
                <w:numId w:val="0"/>
              </w:numPr>
              <w:spacing w:before="60" w:after="60"/>
              <w:rPr>
                <w:rFonts w:cs="Arial"/>
                <w:szCs w:val="24"/>
              </w:rPr>
            </w:pPr>
            <w:r w:rsidRPr="002F420E">
              <w:rPr>
                <w:rFonts w:cs="Arial"/>
                <w:szCs w:val="24"/>
              </w:rPr>
              <w:t>Commissioning conducted competently; reduced risk of error during active testing and transition to operation.</w:t>
            </w:r>
          </w:p>
        </w:tc>
      </w:tr>
      <w:tr w:rsidR="007C1BCB" w:rsidRPr="002F420E" w14:paraId="3CB04FA1" w14:textId="77777777" w:rsidTr="002F420E">
        <w:trPr>
          <w:cantSplit/>
          <w:trHeight w:val="1176"/>
        </w:trPr>
        <w:tc>
          <w:tcPr>
            <w:tcW w:w="1034" w:type="pct"/>
          </w:tcPr>
          <w:p w14:paraId="08480D38" w14:textId="0ED17D3F" w:rsidR="007C1BCB" w:rsidRPr="002F420E" w:rsidRDefault="007C1BCB" w:rsidP="002F420E">
            <w:pPr>
              <w:pStyle w:val="F9-Paragraph"/>
              <w:numPr>
                <w:ilvl w:val="0"/>
                <w:numId w:val="0"/>
              </w:numPr>
              <w:spacing w:before="60" w:after="60"/>
              <w:rPr>
                <w:rFonts w:cs="Arial"/>
                <w:szCs w:val="24"/>
              </w:rPr>
            </w:pPr>
            <w:r w:rsidRPr="002F420E">
              <w:rPr>
                <w:rFonts w:cs="Arial"/>
                <w:szCs w:val="24"/>
              </w:rPr>
              <w:t>LC12 Duly Authorised and SQEP</w:t>
            </w:r>
          </w:p>
        </w:tc>
        <w:tc>
          <w:tcPr>
            <w:tcW w:w="1116" w:type="pct"/>
          </w:tcPr>
          <w:p w14:paraId="4F2FE281" w14:textId="509C3EDE" w:rsidR="0050485D" w:rsidRPr="002F420E" w:rsidRDefault="007C1BCB" w:rsidP="002F420E">
            <w:pPr>
              <w:pStyle w:val="F9-Paragraph"/>
              <w:numPr>
                <w:ilvl w:val="0"/>
                <w:numId w:val="0"/>
              </w:numPr>
              <w:spacing w:before="60" w:after="60"/>
              <w:rPr>
                <w:rFonts w:cs="Arial"/>
                <w:szCs w:val="24"/>
              </w:rPr>
            </w:pPr>
            <w:r w:rsidRPr="002F420E">
              <w:rPr>
                <w:rFonts w:cs="Arial"/>
                <w:szCs w:val="24"/>
              </w:rPr>
              <w:t>Ensure safety</w:t>
            </w:r>
            <w:r w:rsidRPr="002F420E">
              <w:rPr>
                <w:rFonts w:cs="Arial"/>
                <w:szCs w:val="24"/>
              </w:rPr>
              <w:noBreakHyphen/>
              <w:t xml:space="preserve">significant roles are undertaken by </w:t>
            </w:r>
            <w:r w:rsidR="0050485D" w:rsidRPr="002F420E">
              <w:rPr>
                <w:rFonts w:cs="Arial"/>
                <w:szCs w:val="24"/>
              </w:rPr>
              <w:t>SQEP</w:t>
            </w:r>
            <w:r w:rsidRPr="002F420E">
              <w:rPr>
                <w:rFonts w:cs="Arial"/>
                <w:szCs w:val="24"/>
              </w:rPr>
              <w:t xml:space="preserve"> persons.</w:t>
            </w:r>
          </w:p>
        </w:tc>
        <w:tc>
          <w:tcPr>
            <w:tcW w:w="1496" w:type="pct"/>
          </w:tcPr>
          <w:p w14:paraId="356A6DD4" w14:textId="77777777" w:rsidR="007C1BCB" w:rsidRPr="002F420E" w:rsidRDefault="007C1BCB" w:rsidP="002F420E">
            <w:pPr>
              <w:pStyle w:val="F9-Paragraph"/>
              <w:numPr>
                <w:ilvl w:val="0"/>
                <w:numId w:val="0"/>
              </w:numPr>
              <w:spacing w:before="60" w:after="60"/>
              <w:rPr>
                <w:rFonts w:cs="Arial"/>
                <w:szCs w:val="24"/>
              </w:rPr>
            </w:pPr>
            <w:r w:rsidRPr="002F420E">
              <w:rPr>
                <w:rFonts w:cs="Arial"/>
                <w:szCs w:val="24"/>
              </w:rPr>
              <w:t>LC21 requires SQEP to control, witness, assess and accept commissioning tests and results.</w:t>
            </w:r>
          </w:p>
          <w:p w14:paraId="7B113B70" w14:textId="1594B520" w:rsidR="0050485D" w:rsidRPr="002F420E" w:rsidRDefault="0050485D" w:rsidP="002F420E">
            <w:pPr>
              <w:pStyle w:val="F9-Paragraph"/>
              <w:numPr>
                <w:ilvl w:val="0"/>
                <w:numId w:val="0"/>
              </w:numPr>
              <w:spacing w:before="60" w:after="60"/>
              <w:rPr>
                <w:rFonts w:cs="Arial"/>
                <w:szCs w:val="24"/>
              </w:rPr>
            </w:pPr>
          </w:p>
        </w:tc>
        <w:tc>
          <w:tcPr>
            <w:tcW w:w="1354" w:type="pct"/>
          </w:tcPr>
          <w:p w14:paraId="5F2229F4" w14:textId="1AEF3596" w:rsidR="0050485D" w:rsidRPr="002F420E" w:rsidRDefault="007C1BCB" w:rsidP="002F420E">
            <w:pPr>
              <w:pStyle w:val="F9-Paragraph"/>
              <w:numPr>
                <w:ilvl w:val="0"/>
                <w:numId w:val="0"/>
              </w:numPr>
              <w:spacing w:before="60" w:after="60"/>
              <w:rPr>
                <w:rFonts w:cs="Arial"/>
                <w:szCs w:val="24"/>
              </w:rPr>
            </w:pPr>
            <w:r w:rsidRPr="002F420E">
              <w:rPr>
                <w:rFonts w:cs="Arial"/>
                <w:szCs w:val="24"/>
              </w:rPr>
              <w:t>Commissioning decisions are technically robust and authorised; regulatory confidence in acceptance of plant</w:t>
            </w:r>
            <w:r w:rsidR="0050485D" w:rsidRPr="002F420E">
              <w:rPr>
                <w:rFonts w:cs="Arial"/>
                <w:szCs w:val="24"/>
              </w:rPr>
              <w:t>.</w:t>
            </w:r>
          </w:p>
        </w:tc>
      </w:tr>
      <w:tr w:rsidR="007C1BCB" w:rsidRPr="002F420E" w14:paraId="30A6C4B0" w14:textId="77777777" w:rsidTr="002F420E">
        <w:trPr>
          <w:cantSplit/>
          <w:trHeight w:val="1176"/>
        </w:trPr>
        <w:tc>
          <w:tcPr>
            <w:tcW w:w="1034" w:type="pct"/>
          </w:tcPr>
          <w:p w14:paraId="585A63B0" w14:textId="15BE904A" w:rsidR="007C1BCB" w:rsidRPr="002F420E" w:rsidRDefault="007C1BCB" w:rsidP="002F420E">
            <w:pPr>
              <w:pStyle w:val="F9-Paragraph"/>
              <w:numPr>
                <w:ilvl w:val="0"/>
                <w:numId w:val="0"/>
              </w:numPr>
              <w:spacing w:before="60" w:after="60"/>
              <w:rPr>
                <w:rFonts w:cs="Arial"/>
                <w:szCs w:val="24"/>
              </w:rPr>
            </w:pPr>
            <w:r w:rsidRPr="002F420E">
              <w:rPr>
                <w:rFonts w:cs="Arial"/>
                <w:szCs w:val="24"/>
              </w:rPr>
              <w:t>LC17  - Management Systems</w:t>
            </w:r>
          </w:p>
        </w:tc>
        <w:tc>
          <w:tcPr>
            <w:tcW w:w="1116" w:type="pct"/>
          </w:tcPr>
          <w:p w14:paraId="23644B25" w14:textId="77777777" w:rsidR="007C1BCB" w:rsidRPr="002F420E" w:rsidRDefault="007C1BCB" w:rsidP="002F420E">
            <w:pPr>
              <w:pStyle w:val="F9-Paragraph"/>
              <w:numPr>
                <w:ilvl w:val="0"/>
                <w:numId w:val="0"/>
              </w:numPr>
              <w:spacing w:before="60" w:after="60"/>
              <w:rPr>
                <w:rFonts w:cs="Arial"/>
                <w:szCs w:val="24"/>
              </w:rPr>
            </w:pPr>
            <w:r w:rsidRPr="002F420E">
              <w:rPr>
                <w:rFonts w:cs="Arial"/>
                <w:szCs w:val="24"/>
              </w:rPr>
              <w:t>Ensure safety documentation adequately justifies safety throughout the lifecycle.</w:t>
            </w:r>
          </w:p>
          <w:p w14:paraId="1EAF3B92" w14:textId="13D62C19" w:rsidR="0050485D" w:rsidRPr="002F420E" w:rsidRDefault="0050485D" w:rsidP="002F420E">
            <w:pPr>
              <w:pStyle w:val="F9-Paragraph"/>
              <w:numPr>
                <w:ilvl w:val="0"/>
                <w:numId w:val="0"/>
              </w:numPr>
              <w:spacing w:before="60" w:after="60"/>
              <w:rPr>
                <w:rFonts w:cs="Arial"/>
                <w:szCs w:val="24"/>
              </w:rPr>
            </w:pPr>
          </w:p>
        </w:tc>
        <w:tc>
          <w:tcPr>
            <w:tcW w:w="1496" w:type="pct"/>
          </w:tcPr>
          <w:p w14:paraId="713F053D" w14:textId="77777777" w:rsidR="007C1BCB" w:rsidRPr="002F420E" w:rsidRDefault="007C1BCB" w:rsidP="002F420E">
            <w:pPr>
              <w:pStyle w:val="F9-Paragraph"/>
              <w:numPr>
                <w:ilvl w:val="0"/>
                <w:numId w:val="0"/>
              </w:numPr>
              <w:spacing w:before="60" w:after="60"/>
              <w:rPr>
                <w:rFonts w:cs="Arial"/>
                <w:szCs w:val="24"/>
              </w:rPr>
            </w:pPr>
            <w:r w:rsidRPr="002F420E">
              <w:rPr>
                <w:rFonts w:cs="Arial"/>
                <w:szCs w:val="24"/>
              </w:rPr>
              <w:t>LC21 commissioning must be consistent with the approved safety case and may be used to confirm or validate safety case claims.</w:t>
            </w:r>
          </w:p>
          <w:p w14:paraId="438D0158" w14:textId="1A668317" w:rsidR="0050485D" w:rsidRPr="002F420E" w:rsidRDefault="0050485D" w:rsidP="002F420E">
            <w:pPr>
              <w:pStyle w:val="F9-Paragraph"/>
              <w:numPr>
                <w:ilvl w:val="0"/>
                <w:numId w:val="0"/>
              </w:numPr>
              <w:spacing w:before="60" w:after="60"/>
              <w:rPr>
                <w:rFonts w:cs="Arial"/>
                <w:szCs w:val="24"/>
              </w:rPr>
            </w:pPr>
          </w:p>
        </w:tc>
        <w:tc>
          <w:tcPr>
            <w:tcW w:w="1354" w:type="pct"/>
          </w:tcPr>
          <w:p w14:paraId="13795461" w14:textId="69BFD22F" w:rsidR="007C1BCB" w:rsidRPr="002F420E" w:rsidRDefault="007C1BCB" w:rsidP="002F420E">
            <w:pPr>
              <w:pStyle w:val="F9-Paragraph"/>
              <w:numPr>
                <w:ilvl w:val="0"/>
                <w:numId w:val="0"/>
              </w:numPr>
              <w:spacing w:before="60" w:after="60"/>
              <w:rPr>
                <w:rFonts w:cs="Arial"/>
                <w:szCs w:val="24"/>
              </w:rPr>
            </w:pPr>
            <w:r w:rsidRPr="002F420E">
              <w:rPr>
                <w:rFonts w:cs="Arial"/>
                <w:szCs w:val="24"/>
              </w:rPr>
              <w:t>Safety case assumptions and claims are demonstrated in practice; commissioning does not proceed beyond justified limits.</w:t>
            </w:r>
          </w:p>
        </w:tc>
      </w:tr>
      <w:tr w:rsidR="007C1BCB" w:rsidRPr="002F420E" w14:paraId="6E956B3A" w14:textId="77777777" w:rsidTr="002F420E">
        <w:trPr>
          <w:cantSplit/>
          <w:trHeight w:val="1176"/>
        </w:trPr>
        <w:tc>
          <w:tcPr>
            <w:tcW w:w="1034" w:type="pct"/>
          </w:tcPr>
          <w:p w14:paraId="4DD09C77" w14:textId="75FD858F" w:rsidR="007C1BCB" w:rsidRPr="002F420E" w:rsidRDefault="007C1BCB" w:rsidP="002F420E">
            <w:pPr>
              <w:pStyle w:val="F9-Paragraph"/>
              <w:numPr>
                <w:ilvl w:val="0"/>
                <w:numId w:val="0"/>
              </w:numPr>
              <w:spacing w:before="60" w:after="60"/>
              <w:rPr>
                <w:rFonts w:cs="Arial"/>
                <w:szCs w:val="24"/>
              </w:rPr>
            </w:pPr>
            <w:r w:rsidRPr="002F420E">
              <w:rPr>
                <w:rFonts w:cs="Arial"/>
                <w:szCs w:val="24"/>
              </w:rPr>
              <w:lastRenderedPageBreak/>
              <w:t>LC21 – Commissioning</w:t>
            </w:r>
          </w:p>
        </w:tc>
        <w:tc>
          <w:tcPr>
            <w:tcW w:w="1116" w:type="pct"/>
          </w:tcPr>
          <w:p w14:paraId="570F524D" w14:textId="33E42A41" w:rsidR="007C1BCB" w:rsidRPr="002F420E" w:rsidRDefault="007C1BCB" w:rsidP="002F420E">
            <w:pPr>
              <w:pStyle w:val="F9-Paragraph"/>
              <w:numPr>
                <w:ilvl w:val="0"/>
                <w:numId w:val="0"/>
              </w:numPr>
              <w:spacing w:before="60" w:after="60"/>
              <w:rPr>
                <w:rFonts w:cs="Arial"/>
                <w:szCs w:val="24"/>
              </w:rPr>
            </w:pPr>
            <w:r w:rsidRPr="002F420E">
              <w:rPr>
                <w:rFonts w:cs="Arial"/>
                <w:szCs w:val="24"/>
              </w:rPr>
              <w:t>Establish and implement effective management systems, including planning and control of work.</w:t>
            </w:r>
          </w:p>
        </w:tc>
        <w:tc>
          <w:tcPr>
            <w:tcW w:w="1496" w:type="pct"/>
          </w:tcPr>
          <w:p w14:paraId="63F24D43" w14:textId="77777777" w:rsidR="007C1BCB" w:rsidRPr="002F420E" w:rsidRDefault="007C1BCB" w:rsidP="002F420E">
            <w:pPr>
              <w:pStyle w:val="F9-Paragraph"/>
              <w:numPr>
                <w:ilvl w:val="0"/>
                <w:numId w:val="0"/>
              </w:numPr>
              <w:spacing w:before="60" w:after="60"/>
              <w:rPr>
                <w:rFonts w:cs="Arial"/>
                <w:szCs w:val="24"/>
              </w:rPr>
            </w:pPr>
            <w:r w:rsidRPr="002F420E">
              <w:rPr>
                <w:rFonts w:cs="Arial"/>
                <w:szCs w:val="24"/>
              </w:rPr>
              <w:t>LC21 is delivered through LC17 arrangements governing commissioning processes, oversight, and governance.</w:t>
            </w:r>
          </w:p>
          <w:p w14:paraId="01D54259" w14:textId="5335BC14" w:rsidR="0050485D" w:rsidRPr="002F420E" w:rsidRDefault="0050485D" w:rsidP="002F420E">
            <w:pPr>
              <w:pStyle w:val="F9-Paragraph"/>
              <w:numPr>
                <w:ilvl w:val="0"/>
                <w:numId w:val="0"/>
              </w:numPr>
              <w:spacing w:before="60" w:after="60"/>
              <w:rPr>
                <w:rFonts w:cs="Arial"/>
                <w:szCs w:val="24"/>
              </w:rPr>
            </w:pPr>
          </w:p>
        </w:tc>
        <w:tc>
          <w:tcPr>
            <w:tcW w:w="1354" w:type="pct"/>
          </w:tcPr>
          <w:p w14:paraId="2A75FB4D" w14:textId="77777777" w:rsidR="007C1BCB" w:rsidRPr="002F420E" w:rsidRDefault="007C1BCB" w:rsidP="002F420E">
            <w:pPr>
              <w:pStyle w:val="F9-Paragraph"/>
              <w:numPr>
                <w:ilvl w:val="0"/>
                <w:numId w:val="0"/>
              </w:numPr>
              <w:spacing w:before="60" w:after="60"/>
              <w:rPr>
                <w:rFonts w:cs="Arial"/>
                <w:szCs w:val="24"/>
              </w:rPr>
            </w:pPr>
            <w:r w:rsidRPr="002F420E">
              <w:rPr>
                <w:rFonts w:cs="Arial"/>
                <w:szCs w:val="24"/>
              </w:rPr>
              <w:t>Commissioning activities are planned, controlled and repeatable; consistent application of arrangements.</w:t>
            </w:r>
          </w:p>
          <w:p w14:paraId="6D5EF2CC" w14:textId="4F7D3B82" w:rsidR="0050485D" w:rsidRPr="002F420E" w:rsidRDefault="0050485D" w:rsidP="002F420E">
            <w:pPr>
              <w:pStyle w:val="F9-Paragraph"/>
              <w:numPr>
                <w:ilvl w:val="0"/>
                <w:numId w:val="0"/>
              </w:numPr>
              <w:spacing w:before="60" w:after="60"/>
              <w:rPr>
                <w:rFonts w:cs="Arial"/>
                <w:szCs w:val="24"/>
              </w:rPr>
            </w:pPr>
          </w:p>
        </w:tc>
      </w:tr>
      <w:tr w:rsidR="00F16908" w:rsidRPr="002F420E" w14:paraId="602577DB" w14:textId="77777777" w:rsidTr="002F420E">
        <w:trPr>
          <w:cantSplit/>
          <w:trHeight w:val="1176"/>
        </w:trPr>
        <w:tc>
          <w:tcPr>
            <w:tcW w:w="1034" w:type="pct"/>
          </w:tcPr>
          <w:p w14:paraId="3CCC34C6" w14:textId="40E68BEF" w:rsidR="00F16908" w:rsidRPr="002F420E" w:rsidRDefault="00F16908" w:rsidP="002F420E">
            <w:pPr>
              <w:pStyle w:val="F9-Paragraph"/>
              <w:numPr>
                <w:ilvl w:val="0"/>
                <w:numId w:val="0"/>
              </w:numPr>
              <w:spacing w:before="60" w:after="60"/>
              <w:rPr>
                <w:rFonts w:cs="Arial"/>
                <w:szCs w:val="24"/>
              </w:rPr>
            </w:pPr>
            <w:r w:rsidRPr="002F420E">
              <w:rPr>
                <w:rFonts w:cs="Arial"/>
                <w:szCs w:val="24"/>
              </w:rPr>
              <w:t>LC24</w:t>
            </w:r>
            <w:r w:rsidR="00DD2470" w:rsidRPr="002F420E">
              <w:rPr>
                <w:rFonts w:cs="Arial"/>
                <w:szCs w:val="24"/>
              </w:rPr>
              <w:t xml:space="preserve"> - </w:t>
            </w:r>
            <w:r w:rsidRPr="002F420E">
              <w:rPr>
                <w:rFonts w:cs="Arial"/>
                <w:szCs w:val="24"/>
              </w:rPr>
              <w:t>Operating Instructions</w:t>
            </w:r>
          </w:p>
        </w:tc>
        <w:tc>
          <w:tcPr>
            <w:tcW w:w="1116" w:type="pct"/>
          </w:tcPr>
          <w:p w14:paraId="47C4E612" w14:textId="77777777" w:rsidR="00F16908" w:rsidRPr="002F420E" w:rsidRDefault="00F16908" w:rsidP="002F420E">
            <w:pPr>
              <w:pStyle w:val="F9-Paragraph"/>
              <w:numPr>
                <w:ilvl w:val="0"/>
                <w:numId w:val="0"/>
              </w:numPr>
              <w:spacing w:before="60" w:after="60"/>
              <w:rPr>
                <w:rFonts w:cs="Arial"/>
                <w:szCs w:val="24"/>
              </w:rPr>
            </w:pPr>
            <w:r w:rsidRPr="002F420E">
              <w:rPr>
                <w:rFonts w:cs="Arial"/>
                <w:szCs w:val="24"/>
              </w:rPr>
              <w:t>Provide clear instructions to ensure plant is operated safely.</w:t>
            </w:r>
          </w:p>
          <w:p w14:paraId="01116CB2" w14:textId="745B4642" w:rsidR="0050485D" w:rsidRPr="002F420E" w:rsidRDefault="0050485D" w:rsidP="002F420E">
            <w:pPr>
              <w:pStyle w:val="F9-Paragraph"/>
              <w:numPr>
                <w:ilvl w:val="0"/>
                <w:numId w:val="0"/>
              </w:numPr>
              <w:spacing w:before="60" w:after="60"/>
              <w:rPr>
                <w:rFonts w:cs="Arial"/>
                <w:szCs w:val="24"/>
              </w:rPr>
            </w:pPr>
          </w:p>
        </w:tc>
        <w:tc>
          <w:tcPr>
            <w:tcW w:w="1496" w:type="pct"/>
          </w:tcPr>
          <w:p w14:paraId="14839733" w14:textId="6CA33627" w:rsidR="00F16908" w:rsidRPr="002F420E" w:rsidRDefault="00F16908" w:rsidP="002F420E">
            <w:pPr>
              <w:pStyle w:val="F9-Paragraph"/>
              <w:numPr>
                <w:ilvl w:val="0"/>
                <w:numId w:val="0"/>
              </w:numPr>
              <w:spacing w:before="60" w:after="60"/>
              <w:rPr>
                <w:rFonts w:cs="Arial"/>
                <w:szCs w:val="24"/>
              </w:rPr>
            </w:pPr>
            <w:r w:rsidRPr="002F420E">
              <w:rPr>
                <w:rFonts w:cs="Arial"/>
                <w:szCs w:val="24"/>
              </w:rPr>
              <w:t>Outcomes from LC21 commissioning inform and validate operating instructions prior to routine operation.</w:t>
            </w:r>
          </w:p>
        </w:tc>
        <w:tc>
          <w:tcPr>
            <w:tcW w:w="1354" w:type="pct"/>
          </w:tcPr>
          <w:p w14:paraId="100F6B7E" w14:textId="77777777" w:rsidR="00F16908" w:rsidRPr="002F420E" w:rsidRDefault="00F16908" w:rsidP="002F420E">
            <w:pPr>
              <w:pStyle w:val="F9-Paragraph"/>
              <w:numPr>
                <w:ilvl w:val="0"/>
                <w:numId w:val="0"/>
              </w:numPr>
              <w:spacing w:before="60" w:after="60"/>
              <w:rPr>
                <w:rFonts w:cs="Arial"/>
                <w:szCs w:val="24"/>
              </w:rPr>
            </w:pPr>
            <w:r w:rsidRPr="002F420E">
              <w:rPr>
                <w:rFonts w:cs="Arial"/>
                <w:szCs w:val="24"/>
              </w:rPr>
              <w:t>Operating instructions are accurate and reflect actual plant behaviour; reduced operational risk.</w:t>
            </w:r>
          </w:p>
          <w:p w14:paraId="174C2B4A" w14:textId="4C6170D3" w:rsidR="0050485D" w:rsidRPr="002F420E" w:rsidRDefault="0050485D" w:rsidP="002F420E">
            <w:pPr>
              <w:pStyle w:val="F9-Paragraph"/>
              <w:numPr>
                <w:ilvl w:val="0"/>
                <w:numId w:val="0"/>
              </w:numPr>
              <w:spacing w:before="60" w:after="60"/>
              <w:rPr>
                <w:rFonts w:cs="Arial"/>
                <w:szCs w:val="24"/>
              </w:rPr>
            </w:pPr>
          </w:p>
        </w:tc>
      </w:tr>
      <w:tr w:rsidR="00DD2470" w:rsidRPr="002F420E" w14:paraId="12DA1D12" w14:textId="77777777" w:rsidTr="002F420E">
        <w:trPr>
          <w:cantSplit/>
          <w:trHeight w:val="1176"/>
        </w:trPr>
        <w:tc>
          <w:tcPr>
            <w:tcW w:w="1034" w:type="pct"/>
          </w:tcPr>
          <w:p w14:paraId="4CAD6E97" w14:textId="1F7590E2" w:rsidR="00DD2470" w:rsidRPr="002F420E" w:rsidRDefault="00DD2470" w:rsidP="002F420E">
            <w:pPr>
              <w:pStyle w:val="F9-Paragraph"/>
              <w:numPr>
                <w:ilvl w:val="0"/>
                <w:numId w:val="0"/>
              </w:numPr>
              <w:spacing w:before="60" w:after="60"/>
              <w:rPr>
                <w:rFonts w:cs="Arial"/>
                <w:szCs w:val="24"/>
              </w:rPr>
            </w:pPr>
            <w:r w:rsidRPr="002F420E">
              <w:rPr>
                <w:rFonts w:cs="Arial"/>
                <w:szCs w:val="24"/>
              </w:rPr>
              <w:t>LC28 - EMIT</w:t>
            </w:r>
          </w:p>
        </w:tc>
        <w:tc>
          <w:tcPr>
            <w:tcW w:w="1116" w:type="pct"/>
          </w:tcPr>
          <w:p w14:paraId="4C019B78" w14:textId="77777777" w:rsidR="00DD2470" w:rsidRPr="002F420E" w:rsidRDefault="00DD2470" w:rsidP="002F420E">
            <w:pPr>
              <w:pStyle w:val="F9-Paragraph"/>
              <w:numPr>
                <w:ilvl w:val="0"/>
                <w:numId w:val="0"/>
              </w:numPr>
              <w:spacing w:before="60" w:after="60"/>
              <w:rPr>
                <w:rFonts w:cs="Arial"/>
                <w:szCs w:val="24"/>
              </w:rPr>
            </w:pPr>
            <w:r w:rsidRPr="002F420E">
              <w:rPr>
                <w:rFonts w:cs="Arial"/>
                <w:szCs w:val="24"/>
              </w:rPr>
              <w:t>Maintain plant integrity through planned EIMT.</w:t>
            </w:r>
          </w:p>
          <w:p w14:paraId="099DD3A4" w14:textId="77777777" w:rsidR="00106D9F" w:rsidRPr="002F420E" w:rsidRDefault="00106D9F" w:rsidP="002F420E">
            <w:pPr>
              <w:pStyle w:val="F9-Paragraph"/>
              <w:numPr>
                <w:ilvl w:val="0"/>
                <w:numId w:val="0"/>
              </w:numPr>
              <w:spacing w:before="60" w:after="60"/>
              <w:rPr>
                <w:rFonts w:cs="Arial"/>
                <w:szCs w:val="24"/>
              </w:rPr>
            </w:pPr>
          </w:p>
          <w:p w14:paraId="347875DE" w14:textId="0308AAF0" w:rsidR="00106D9F" w:rsidRPr="002F420E" w:rsidRDefault="00106D9F" w:rsidP="002F420E">
            <w:pPr>
              <w:pStyle w:val="F9-Paragraph"/>
              <w:numPr>
                <w:ilvl w:val="0"/>
                <w:numId w:val="0"/>
              </w:numPr>
              <w:spacing w:before="60" w:after="60"/>
              <w:rPr>
                <w:rFonts w:cs="Arial"/>
                <w:szCs w:val="24"/>
              </w:rPr>
            </w:pPr>
          </w:p>
        </w:tc>
        <w:tc>
          <w:tcPr>
            <w:tcW w:w="1496" w:type="pct"/>
          </w:tcPr>
          <w:p w14:paraId="0C4E856A" w14:textId="7E927188" w:rsidR="00DD2470" w:rsidRPr="002F420E" w:rsidRDefault="00DD2470" w:rsidP="002F420E">
            <w:pPr>
              <w:pStyle w:val="F9-Paragraph"/>
              <w:numPr>
                <w:ilvl w:val="0"/>
                <w:numId w:val="0"/>
              </w:numPr>
              <w:spacing w:before="60" w:after="60"/>
              <w:rPr>
                <w:rFonts w:cs="Arial"/>
                <w:szCs w:val="24"/>
              </w:rPr>
            </w:pPr>
            <w:r w:rsidRPr="002F420E">
              <w:rPr>
                <w:rFonts w:cs="Arial"/>
                <w:szCs w:val="24"/>
              </w:rPr>
              <w:t>LC21 commissioning provides baseline data and early demonstration of EIMT effectiveness for new or modified plant.</w:t>
            </w:r>
          </w:p>
        </w:tc>
        <w:tc>
          <w:tcPr>
            <w:tcW w:w="1354" w:type="pct"/>
          </w:tcPr>
          <w:p w14:paraId="3B60FD17" w14:textId="21136367" w:rsidR="00DD2470" w:rsidRPr="002F420E" w:rsidRDefault="00DD2470" w:rsidP="002F420E">
            <w:pPr>
              <w:pStyle w:val="F9-Paragraph"/>
              <w:numPr>
                <w:ilvl w:val="0"/>
                <w:numId w:val="0"/>
              </w:numPr>
              <w:spacing w:before="60" w:after="60"/>
              <w:rPr>
                <w:rFonts w:cs="Arial"/>
                <w:szCs w:val="24"/>
              </w:rPr>
            </w:pPr>
            <w:r w:rsidRPr="002F420E">
              <w:rPr>
                <w:rFonts w:cs="Arial"/>
                <w:szCs w:val="24"/>
              </w:rPr>
              <w:t>EIMT regimes are appropriate and informed by commissioning experience</w:t>
            </w:r>
            <w:r w:rsidR="00106D9F" w:rsidRPr="002F420E">
              <w:rPr>
                <w:rFonts w:cs="Arial"/>
                <w:szCs w:val="24"/>
              </w:rPr>
              <w:t>.</w:t>
            </w:r>
          </w:p>
        </w:tc>
      </w:tr>
      <w:tr w:rsidR="00D85BA1" w:rsidRPr="002F420E" w14:paraId="574CEE54" w14:textId="77777777" w:rsidTr="002F420E">
        <w:trPr>
          <w:cantSplit/>
          <w:trHeight w:val="1176"/>
        </w:trPr>
        <w:tc>
          <w:tcPr>
            <w:tcW w:w="1034" w:type="pct"/>
          </w:tcPr>
          <w:p w14:paraId="498B7979" w14:textId="64D97638" w:rsidR="00D85BA1" w:rsidRPr="002F420E" w:rsidRDefault="00D85BA1" w:rsidP="002F420E">
            <w:pPr>
              <w:pStyle w:val="F9-Paragraph"/>
              <w:numPr>
                <w:ilvl w:val="0"/>
                <w:numId w:val="0"/>
              </w:numPr>
              <w:spacing w:before="60" w:after="60"/>
              <w:rPr>
                <w:rFonts w:cs="Arial"/>
                <w:szCs w:val="24"/>
              </w:rPr>
            </w:pPr>
            <w:r w:rsidRPr="002F420E">
              <w:rPr>
                <w:rFonts w:cs="Arial"/>
                <w:szCs w:val="24"/>
              </w:rPr>
              <w:t>LC36 – Organisational Capability</w:t>
            </w:r>
          </w:p>
        </w:tc>
        <w:tc>
          <w:tcPr>
            <w:tcW w:w="1116" w:type="pct"/>
          </w:tcPr>
          <w:p w14:paraId="06BFE483" w14:textId="05993A3C" w:rsidR="00D85BA1" w:rsidRPr="002F420E" w:rsidRDefault="00D85BA1" w:rsidP="002F420E">
            <w:pPr>
              <w:pStyle w:val="F9-Paragraph"/>
              <w:numPr>
                <w:ilvl w:val="0"/>
                <w:numId w:val="0"/>
              </w:numPr>
              <w:spacing w:before="60" w:after="60"/>
              <w:rPr>
                <w:rFonts w:cs="Arial"/>
                <w:szCs w:val="24"/>
              </w:rPr>
            </w:pPr>
            <w:r w:rsidRPr="002F420E">
              <w:rPr>
                <w:rFonts w:cs="Arial"/>
                <w:szCs w:val="24"/>
              </w:rPr>
              <w:t>Ensure commissioning of plant that may affect safety is properly planned, controlled and justified.</w:t>
            </w:r>
          </w:p>
        </w:tc>
        <w:tc>
          <w:tcPr>
            <w:tcW w:w="1496" w:type="pct"/>
          </w:tcPr>
          <w:p w14:paraId="7CDB7784" w14:textId="77777777" w:rsidR="00D85BA1" w:rsidRPr="002F420E" w:rsidRDefault="00D85BA1" w:rsidP="002F420E">
            <w:pPr>
              <w:pStyle w:val="F9-Paragraph"/>
              <w:numPr>
                <w:ilvl w:val="0"/>
                <w:numId w:val="0"/>
              </w:numPr>
              <w:spacing w:before="60" w:after="60"/>
              <w:rPr>
                <w:rFonts w:cs="Arial"/>
                <w:szCs w:val="24"/>
              </w:rPr>
            </w:pPr>
            <w:r w:rsidRPr="002F420E">
              <w:rPr>
                <w:rFonts w:cs="Arial"/>
                <w:szCs w:val="24"/>
              </w:rPr>
              <w:t>Central LC governing the transition from installation to operation; interfaces with construction, modification and operational arrangements.</w:t>
            </w:r>
          </w:p>
          <w:p w14:paraId="0AAE28FF" w14:textId="625BB4E2" w:rsidR="00106D9F" w:rsidRPr="002F420E" w:rsidRDefault="00106D9F" w:rsidP="002F420E">
            <w:pPr>
              <w:pStyle w:val="F9-Paragraph"/>
              <w:numPr>
                <w:ilvl w:val="0"/>
                <w:numId w:val="0"/>
              </w:numPr>
              <w:spacing w:before="60" w:after="60"/>
              <w:rPr>
                <w:rFonts w:cs="Arial"/>
                <w:szCs w:val="24"/>
              </w:rPr>
            </w:pPr>
          </w:p>
        </w:tc>
        <w:tc>
          <w:tcPr>
            <w:tcW w:w="1354" w:type="pct"/>
          </w:tcPr>
          <w:p w14:paraId="2B3BAE43" w14:textId="77777777" w:rsidR="00D85BA1" w:rsidRPr="002F420E" w:rsidRDefault="00D85BA1" w:rsidP="002F420E">
            <w:pPr>
              <w:pStyle w:val="F9-Paragraph"/>
              <w:numPr>
                <w:ilvl w:val="0"/>
                <w:numId w:val="0"/>
              </w:numPr>
              <w:spacing w:before="60" w:after="60"/>
              <w:rPr>
                <w:rFonts w:cs="Arial"/>
                <w:szCs w:val="24"/>
              </w:rPr>
            </w:pPr>
            <w:r w:rsidRPr="002F420E">
              <w:rPr>
                <w:rFonts w:cs="Arial"/>
                <w:szCs w:val="24"/>
              </w:rPr>
              <w:t>Plant performance demonstrated progressively and systematically; safe transition to operational status.</w:t>
            </w:r>
          </w:p>
          <w:p w14:paraId="566762FA" w14:textId="73373EEE" w:rsidR="00106D9F" w:rsidRPr="002F420E" w:rsidRDefault="00106D9F" w:rsidP="002F420E">
            <w:pPr>
              <w:pStyle w:val="F9-Paragraph"/>
              <w:numPr>
                <w:ilvl w:val="0"/>
                <w:numId w:val="0"/>
              </w:numPr>
              <w:spacing w:before="60" w:after="60"/>
              <w:rPr>
                <w:rFonts w:cs="Arial"/>
                <w:szCs w:val="24"/>
              </w:rPr>
            </w:pPr>
          </w:p>
        </w:tc>
      </w:tr>
      <w:tr w:rsidR="00FE2990" w:rsidRPr="002F420E" w14:paraId="68A33846" w14:textId="77777777" w:rsidTr="002F420E">
        <w:trPr>
          <w:cantSplit/>
          <w:trHeight w:val="1176"/>
        </w:trPr>
        <w:tc>
          <w:tcPr>
            <w:tcW w:w="1034" w:type="pct"/>
          </w:tcPr>
          <w:p w14:paraId="297621D4" w14:textId="66B1601B" w:rsidR="00FE2990" w:rsidRPr="002F420E" w:rsidRDefault="00FE2990" w:rsidP="002F420E">
            <w:pPr>
              <w:pStyle w:val="F9-Paragraph"/>
              <w:numPr>
                <w:ilvl w:val="0"/>
                <w:numId w:val="0"/>
              </w:numPr>
              <w:spacing w:before="60" w:after="60"/>
              <w:rPr>
                <w:rFonts w:cs="Arial"/>
                <w:szCs w:val="24"/>
              </w:rPr>
            </w:pPr>
            <w:r w:rsidRPr="002F420E">
              <w:rPr>
                <w:rFonts w:cs="Arial"/>
                <w:szCs w:val="24"/>
              </w:rPr>
              <w:t xml:space="preserve">Nuclear Industries Security Regulations (NISR) </w:t>
            </w:r>
            <w:sdt>
              <w:sdtPr>
                <w:rPr>
                  <w:szCs w:val="24"/>
                </w:rPr>
                <w:id w:val="287170438"/>
                <w:citation/>
              </w:sdtPr>
              <w:sdtEndPr/>
              <w:sdtContent>
                <w:r w:rsidR="00B95CEA" w:rsidRPr="002F420E">
                  <w:rPr>
                    <w:szCs w:val="24"/>
                  </w:rPr>
                  <w:fldChar w:fldCharType="begin"/>
                </w:r>
                <w:r w:rsidR="00E65567" w:rsidRPr="002F420E">
                  <w:rPr>
                    <w:rFonts w:cs="Arial"/>
                    <w:szCs w:val="24"/>
                  </w:rPr>
                  <w:instrText xml:space="preserve">CITATION HMG \l 2057 </w:instrText>
                </w:r>
                <w:r w:rsidR="00B95CEA" w:rsidRPr="002F420E">
                  <w:rPr>
                    <w:szCs w:val="24"/>
                  </w:rPr>
                  <w:fldChar w:fldCharType="separate"/>
                </w:r>
                <w:r w:rsidR="007D39BF" w:rsidRPr="002F420E">
                  <w:rPr>
                    <w:rFonts w:cs="Arial"/>
                    <w:noProof/>
                    <w:szCs w:val="24"/>
                  </w:rPr>
                  <w:t>[5]</w:t>
                </w:r>
                <w:r w:rsidR="00B95CEA" w:rsidRPr="002F420E">
                  <w:rPr>
                    <w:szCs w:val="24"/>
                  </w:rPr>
                  <w:fldChar w:fldCharType="end"/>
                </w:r>
              </w:sdtContent>
            </w:sdt>
          </w:p>
          <w:p w14:paraId="6F561DE0" w14:textId="77777777" w:rsidR="00FE2990" w:rsidRPr="002F420E" w:rsidRDefault="00FE2990" w:rsidP="002F420E">
            <w:pPr>
              <w:pStyle w:val="F9-Paragraph"/>
              <w:numPr>
                <w:ilvl w:val="0"/>
                <w:numId w:val="0"/>
              </w:numPr>
              <w:spacing w:before="60" w:after="60"/>
              <w:rPr>
                <w:rFonts w:cs="Arial"/>
                <w:szCs w:val="24"/>
              </w:rPr>
            </w:pPr>
          </w:p>
        </w:tc>
        <w:tc>
          <w:tcPr>
            <w:tcW w:w="1116" w:type="pct"/>
          </w:tcPr>
          <w:p w14:paraId="2B630A53" w14:textId="77777777" w:rsidR="00FE2990" w:rsidRPr="002F420E" w:rsidRDefault="00FE2990" w:rsidP="002F420E">
            <w:pPr>
              <w:pStyle w:val="F9-Paragraph"/>
              <w:numPr>
                <w:ilvl w:val="0"/>
                <w:numId w:val="0"/>
              </w:numPr>
              <w:spacing w:before="60" w:after="60"/>
              <w:rPr>
                <w:rFonts w:cs="Arial"/>
                <w:szCs w:val="24"/>
              </w:rPr>
            </w:pPr>
            <w:r w:rsidRPr="002F420E">
              <w:rPr>
                <w:rFonts w:cs="Arial"/>
                <w:szCs w:val="24"/>
              </w:rPr>
              <w:t>Protect nuclear sites, plant and information against security threats.</w:t>
            </w:r>
          </w:p>
          <w:p w14:paraId="570FFB75" w14:textId="77777777" w:rsidR="00106D9F" w:rsidRPr="002F420E" w:rsidRDefault="00106D9F" w:rsidP="002F420E">
            <w:pPr>
              <w:pStyle w:val="F9-Paragraph"/>
              <w:numPr>
                <w:ilvl w:val="0"/>
                <w:numId w:val="0"/>
              </w:numPr>
              <w:spacing w:before="60" w:after="60"/>
              <w:rPr>
                <w:rFonts w:cs="Arial"/>
                <w:szCs w:val="24"/>
              </w:rPr>
            </w:pPr>
          </w:p>
          <w:p w14:paraId="55C50A51" w14:textId="503431F4" w:rsidR="00106D9F" w:rsidRPr="002F420E" w:rsidRDefault="00106D9F" w:rsidP="002F420E">
            <w:pPr>
              <w:pStyle w:val="F9-Paragraph"/>
              <w:numPr>
                <w:ilvl w:val="0"/>
                <w:numId w:val="0"/>
              </w:numPr>
              <w:spacing w:before="60" w:after="60"/>
              <w:rPr>
                <w:rFonts w:cs="Arial"/>
                <w:szCs w:val="24"/>
              </w:rPr>
            </w:pPr>
          </w:p>
        </w:tc>
        <w:tc>
          <w:tcPr>
            <w:tcW w:w="1496" w:type="pct"/>
          </w:tcPr>
          <w:p w14:paraId="0329ADA8" w14:textId="6620B2EA" w:rsidR="00FE2990" w:rsidRPr="002F420E" w:rsidRDefault="00CD437F" w:rsidP="002F420E">
            <w:pPr>
              <w:pStyle w:val="F9-Paragraph"/>
              <w:numPr>
                <w:ilvl w:val="0"/>
                <w:numId w:val="0"/>
              </w:numPr>
              <w:spacing w:before="60" w:after="60"/>
              <w:rPr>
                <w:rFonts w:cs="Arial"/>
                <w:szCs w:val="24"/>
              </w:rPr>
            </w:pPr>
            <w:r w:rsidRPr="002F420E">
              <w:rPr>
                <w:rFonts w:cs="Arial"/>
                <w:szCs w:val="24"/>
              </w:rPr>
              <w:t>C</w:t>
            </w:r>
            <w:r w:rsidR="00FE2990" w:rsidRPr="002F420E">
              <w:rPr>
                <w:rFonts w:cs="Arial"/>
                <w:szCs w:val="24"/>
              </w:rPr>
              <w:t>ommissioning must ensure that security features and controls are functional and effective before plant enters operation.</w:t>
            </w:r>
          </w:p>
        </w:tc>
        <w:tc>
          <w:tcPr>
            <w:tcW w:w="1354" w:type="pct"/>
          </w:tcPr>
          <w:p w14:paraId="64990DFE" w14:textId="77777777" w:rsidR="00FE2990" w:rsidRPr="002F420E" w:rsidRDefault="00FE2990" w:rsidP="002F420E">
            <w:pPr>
              <w:pStyle w:val="F9-Paragraph"/>
              <w:numPr>
                <w:ilvl w:val="0"/>
                <w:numId w:val="0"/>
              </w:numPr>
              <w:spacing w:before="60" w:after="60"/>
              <w:rPr>
                <w:rFonts w:cs="Arial"/>
                <w:szCs w:val="24"/>
              </w:rPr>
            </w:pPr>
            <w:r w:rsidRPr="002F420E">
              <w:rPr>
                <w:rFonts w:cs="Arial"/>
                <w:szCs w:val="24"/>
              </w:rPr>
              <w:t>Security arrangements demonstrated as effective; no security vulnerabilities introduced at operational handover.</w:t>
            </w:r>
          </w:p>
          <w:p w14:paraId="70F7AC8B" w14:textId="6482BDFF" w:rsidR="00106D9F" w:rsidRPr="002F420E" w:rsidRDefault="00106D9F" w:rsidP="002F420E">
            <w:pPr>
              <w:pStyle w:val="F9-Paragraph"/>
              <w:numPr>
                <w:ilvl w:val="0"/>
                <w:numId w:val="0"/>
              </w:numPr>
              <w:spacing w:before="60" w:after="60"/>
              <w:rPr>
                <w:rFonts w:cs="Arial"/>
                <w:szCs w:val="24"/>
              </w:rPr>
            </w:pPr>
          </w:p>
        </w:tc>
      </w:tr>
      <w:tr w:rsidR="00FE2990" w:rsidRPr="002F420E" w14:paraId="2785853B" w14:textId="77777777" w:rsidTr="002F420E">
        <w:trPr>
          <w:cantSplit/>
          <w:trHeight w:val="1176"/>
        </w:trPr>
        <w:tc>
          <w:tcPr>
            <w:tcW w:w="1034" w:type="pct"/>
          </w:tcPr>
          <w:p w14:paraId="70DF60A9" w14:textId="77777777" w:rsidR="00FE2990" w:rsidRPr="002F420E" w:rsidRDefault="00FE2990" w:rsidP="002F420E">
            <w:pPr>
              <w:pStyle w:val="F9-Paragraph"/>
              <w:numPr>
                <w:ilvl w:val="0"/>
                <w:numId w:val="0"/>
              </w:numPr>
              <w:spacing w:before="60" w:after="60"/>
              <w:rPr>
                <w:rFonts w:cs="Arial"/>
                <w:szCs w:val="24"/>
              </w:rPr>
            </w:pPr>
            <w:r w:rsidRPr="002F420E">
              <w:rPr>
                <w:rFonts w:cs="Arial"/>
                <w:szCs w:val="24"/>
              </w:rPr>
              <w:lastRenderedPageBreak/>
              <w:t xml:space="preserve">Regulatory Reform (Fire Safety) Order </w:t>
            </w:r>
          </w:p>
          <w:p w14:paraId="448C2CB4" w14:textId="77777777" w:rsidR="00FE2990" w:rsidRPr="002F420E" w:rsidRDefault="00FE2990" w:rsidP="002F420E">
            <w:pPr>
              <w:pStyle w:val="F9-Paragraph"/>
              <w:numPr>
                <w:ilvl w:val="0"/>
                <w:numId w:val="0"/>
              </w:numPr>
              <w:spacing w:before="60" w:after="60"/>
              <w:rPr>
                <w:rFonts w:cs="Arial"/>
                <w:szCs w:val="24"/>
              </w:rPr>
            </w:pPr>
          </w:p>
          <w:p w14:paraId="39243181" w14:textId="41698A6A" w:rsidR="00FE2990" w:rsidRPr="002F420E" w:rsidRDefault="00FE2990" w:rsidP="002F420E">
            <w:pPr>
              <w:pStyle w:val="F9-Paragraph"/>
              <w:numPr>
                <w:ilvl w:val="0"/>
                <w:numId w:val="0"/>
              </w:numPr>
              <w:spacing w:before="60" w:after="60"/>
              <w:rPr>
                <w:rFonts w:cs="Arial"/>
                <w:szCs w:val="24"/>
              </w:rPr>
            </w:pPr>
          </w:p>
        </w:tc>
        <w:tc>
          <w:tcPr>
            <w:tcW w:w="1116" w:type="pct"/>
          </w:tcPr>
          <w:p w14:paraId="3BA86355" w14:textId="77777777" w:rsidR="00FE2990" w:rsidRPr="002F420E" w:rsidRDefault="00FE2990" w:rsidP="002F420E">
            <w:pPr>
              <w:pStyle w:val="F9-Paragraph"/>
              <w:numPr>
                <w:ilvl w:val="0"/>
                <w:numId w:val="0"/>
              </w:numPr>
              <w:spacing w:before="60" w:after="60"/>
              <w:rPr>
                <w:rFonts w:cs="Arial"/>
                <w:szCs w:val="24"/>
              </w:rPr>
            </w:pPr>
            <w:r w:rsidRPr="002F420E">
              <w:rPr>
                <w:rFonts w:cs="Arial"/>
                <w:szCs w:val="24"/>
              </w:rPr>
              <w:t>Prevent and mitigate fire risks to protect people and assets.</w:t>
            </w:r>
          </w:p>
          <w:p w14:paraId="3C8BE3BA" w14:textId="37CD7926" w:rsidR="00106D9F" w:rsidRPr="002F420E" w:rsidRDefault="00106D9F" w:rsidP="002F420E">
            <w:pPr>
              <w:pStyle w:val="F9-Paragraph"/>
              <w:numPr>
                <w:ilvl w:val="0"/>
                <w:numId w:val="0"/>
              </w:numPr>
              <w:spacing w:before="60" w:after="60"/>
              <w:rPr>
                <w:rFonts w:cs="Arial"/>
                <w:szCs w:val="24"/>
              </w:rPr>
            </w:pPr>
          </w:p>
        </w:tc>
        <w:tc>
          <w:tcPr>
            <w:tcW w:w="1496" w:type="pct"/>
          </w:tcPr>
          <w:p w14:paraId="5DAC2372" w14:textId="60AD8031" w:rsidR="00FE2990" w:rsidRPr="002F420E" w:rsidRDefault="00FE2990" w:rsidP="002F420E">
            <w:pPr>
              <w:pStyle w:val="F9-Paragraph"/>
              <w:numPr>
                <w:ilvl w:val="0"/>
                <w:numId w:val="0"/>
              </w:numPr>
              <w:spacing w:before="60" w:after="60"/>
              <w:rPr>
                <w:rFonts w:cs="Arial"/>
                <w:szCs w:val="24"/>
              </w:rPr>
            </w:pPr>
            <w:r w:rsidRPr="002F420E">
              <w:rPr>
                <w:rFonts w:cs="Arial"/>
                <w:szCs w:val="24"/>
              </w:rPr>
              <w:t>LC21 commissioning includes verification of fire detection, protection and response features associated with the plant.</w:t>
            </w:r>
          </w:p>
        </w:tc>
        <w:tc>
          <w:tcPr>
            <w:tcW w:w="1354" w:type="pct"/>
          </w:tcPr>
          <w:p w14:paraId="2FD8B431" w14:textId="7B1BCC63" w:rsidR="00FE2990" w:rsidRPr="002F420E" w:rsidRDefault="00FE2990" w:rsidP="002F420E">
            <w:pPr>
              <w:pStyle w:val="F9-Paragraph"/>
              <w:numPr>
                <w:ilvl w:val="0"/>
                <w:numId w:val="0"/>
              </w:numPr>
              <w:spacing w:before="60" w:after="60"/>
              <w:rPr>
                <w:rFonts w:cs="Arial"/>
                <w:szCs w:val="24"/>
              </w:rPr>
            </w:pPr>
            <w:r w:rsidRPr="002F420E">
              <w:rPr>
                <w:rFonts w:cs="Arial"/>
                <w:szCs w:val="24"/>
              </w:rPr>
              <w:t>Fire protection systems proven to function as intended; fire risks controlled prior to operation.</w:t>
            </w:r>
          </w:p>
        </w:tc>
      </w:tr>
      <w:tr w:rsidR="0050485D" w:rsidRPr="002F420E" w14:paraId="20643445" w14:textId="77777777" w:rsidTr="002F420E">
        <w:trPr>
          <w:cantSplit/>
          <w:trHeight w:val="1176"/>
        </w:trPr>
        <w:tc>
          <w:tcPr>
            <w:tcW w:w="1034" w:type="pct"/>
          </w:tcPr>
          <w:p w14:paraId="77E8BFB5" w14:textId="149AC8F1" w:rsidR="0050485D" w:rsidRPr="002F420E" w:rsidRDefault="0050485D" w:rsidP="002F420E">
            <w:pPr>
              <w:pStyle w:val="F9-Paragraph"/>
              <w:numPr>
                <w:ilvl w:val="0"/>
                <w:numId w:val="0"/>
              </w:numPr>
              <w:spacing w:before="60" w:after="60"/>
              <w:rPr>
                <w:rFonts w:cs="Arial"/>
                <w:szCs w:val="24"/>
              </w:rPr>
            </w:pPr>
            <w:r w:rsidRPr="002F420E">
              <w:rPr>
                <w:rFonts w:cs="Arial"/>
                <w:szCs w:val="24"/>
              </w:rPr>
              <w:t xml:space="preserve">Nuclear Safeguards Act 2018 </w:t>
            </w:r>
            <w:sdt>
              <w:sdtPr>
                <w:rPr>
                  <w:szCs w:val="24"/>
                </w:rPr>
                <w:id w:val="-335848265"/>
                <w:citation/>
              </w:sdtPr>
              <w:sdtEndPr/>
              <w:sdtContent>
                <w:r w:rsidR="009608D9" w:rsidRPr="002F420E">
                  <w:rPr>
                    <w:szCs w:val="24"/>
                  </w:rPr>
                  <w:fldChar w:fldCharType="begin"/>
                </w:r>
                <w:r w:rsidR="00E65567" w:rsidRPr="002F420E">
                  <w:rPr>
                    <w:rFonts w:cs="Arial"/>
                    <w:szCs w:val="24"/>
                  </w:rPr>
                  <w:instrText xml:space="preserve">CITATION HMG1 \l 2057 </w:instrText>
                </w:r>
                <w:r w:rsidR="009608D9" w:rsidRPr="002F420E">
                  <w:rPr>
                    <w:szCs w:val="24"/>
                  </w:rPr>
                  <w:fldChar w:fldCharType="separate"/>
                </w:r>
                <w:r w:rsidR="007D39BF" w:rsidRPr="002F420E">
                  <w:rPr>
                    <w:rFonts w:cs="Arial"/>
                    <w:noProof/>
                    <w:szCs w:val="24"/>
                  </w:rPr>
                  <w:t>[6]</w:t>
                </w:r>
                <w:r w:rsidR="009608D9" w:rsidRPr="002F420E">
                  <w:rPr>
                    <w:szCs w:val="24"/>
                  </w:rPr>
                  <w:fldChar w:fldCharType="end"/>
                </w:r>
              </w:sdtContent>
            </w:sdt>
          </w:p>
        </w:tc>
        <w:tc>
          <w:tcPr>
            <w:tcW w:w="1116" w:type="pct"/>
          </w:tcPr>
          <w:p w14:paraId="46047201" w14:textId="77777777" w:rsidR="0050485D" w:rsidRPr="002F420E" w:rsidRDefault="0050485D" w:rsidP="002F420E">
            <w:pPr>
              <w:pStyle w:val="F9-Paragraph"/>
              <w:numPr>
                <w:ilvl w:val="0"/>
                <w:numId w:val="0"/>
              </w:numPr>
              <w:spacing w:before="60" w:after="60"/>
              <w:rPr>
                <w:rFonts w:cs="Arial"/>
                <w:szCs w:val="24"/>
              </w:rPr>
            </w:pPr>
            <w:r w:rsidRPr="002F420E">
              <w:rPr>
                <w:rFonts w:cs="Arial"/>
                <w:szCs w:val="24"/>
              </w:rPr>
              <w:t>Manage health, safety and welfare risks during construction activities.</w:t>
            </w:r>
          </w:p>
          <w:p w14:paraId="370F6A9B" w14:textId="51396988" w:rsidR="00106D9F" w:rsidRPr="002F420E" w:rsidRDefault="00106D9F" w:rsidP="002F420E">
            <w:pPr>
              <w:pStyle w:val="F9-Paragraph"/>
              <w:numPr>
                <w:ilvl w:val="0"/>
                <w:numId w:val="0"/>
              </w:numPr>
              <w:spacing w:before="60" w:after="60"/>
              <w:rPr>
                <w:rFonts w:cs="Arial"/>
                <w:szCs w:val="24"/>
              </w:rPr>
            </w:pPr>
          </w:p>
        </w:tc>
        <w:tc>
          <w:tcPr>
            <w:tcW w:w="1496" w:type="pct"/>
          </w:tcPr>
          <w:p w14:paraId="65798CDB" w14:textId="22925861" w:rsidR="0050485D" w:rsidRPr="002F420E" w:rsidRDefault="0050485D" w:rsidP="002F420E">
            <w:pPr>
              <w:pStyle w:val="F9-Paragraph"/>
              <w:numPr>
                <w:ilvl w:val="0"/>
                <w:numId w:val="0"/>
              </w:numPr>
              <w:spacing w:before="60" w:after="60"/>
              <w:rPr>
                <w:rFonts w:cs="Arial"/>
                <w:szCs w:val="24"/>
              </w:rPr>
            </w:pPr>
            <w:r w:rsidRPr="002F420E">
              <w:rPr>
                <w:rFonts w:cs="Arial"/>
                <w:szCs w:val="24"/>
              </w:rPr>
              <w:t>LC21 commissioning often marks the transition from CDM</w:t>
            </w:r>
            <w:r w:rsidRPr="002F420E">
              <w:rPr>
                <w:rFonts w:cs="Arial"/>
                <w:szCs w:val="24"/>
              </w:rPr>
              <w:noBreakHyphen/>
              <w:t>dominated construction to operational control; interfaces must be managed safely.</w:t>
            </w:r>
          </w:p>
        </w:tc>
        <w:tc>
          <w:tcPr>
            <w:tcW w:w="1354" w:type="pct"/>
          </w:tcPr>
          <w:p w14:paraId="031D9184" w14:textId="63555023" w:rsidR="0050485D" w:rsidRPr="002F420E" w:rsidRDefault="0050485D" w:rsidP="002F420E">
            <w:pPr>
              <w:pStyle w:val="F9-Paragraph"/>
              <w:numPr>
                <w:ilvl w:val="0"/>
                <w:numId w:val="0"/>
              </w:numPr>
              <w:spacing w:before="60" w:after="60"/>
              <w:rPr>
                <w:rFonts w:cs="Arial"/>
                <w:szCs w:val="24"/>
              </w:rPr>
            </w:pPr>
            <w:r w:rsidRPr="002F420E">
              <w:rPr>
                <w:rFonts w:cs="Arial"/>
                <w:szCs w:val="24"/>
              </w:rPr>
              <w:t>Safe handover from construction to commissioning; conventional risks controlled during testing activities.</w:t>
            </w:r>
          </w:p>
        </w:tc>
      </w:tr>
    </w:tbl>
    <w:p w14:paraId="6C29DF81" w14:textId="4BE65563" w:rsidR="00C71A4A" w:rsidRDefault="00C71A4A" w:rsidP="002F420E">
      <w:pPr>
        <w:pStyle w:val="Bulletlist1"/>
        <w:numPr>
          <w:ilvl w:val="0"/>
          <w:numId w:val="0"/>
        </w:numPr>
      </w:pPr>
    </w:p>
    <w:bookmarkStart w:id="18" w:name="_Toc225949203" w:displacedByCustomXml="next"/>
    <w:bookmarkStart w:id="19" w:name="_Toc226729707" w:displacedByCustomXml="next"/>
    <w:sdt>
      <w:sdtPr>
        <w:rPr>
          <w:color w:val="auto"/>
          <w:sz w:val="24"/>
          <w:szCs w:val="24"/>
        </w:rPr>
        <w:id w:val="-652758001"/>
        <w:docPartObj>
          <w:docPartGallery w:val="Bibliographies"/>
          <w:docPartUnique/>
        </w:docPartObj>
      </w:sdtPr>
      <w:sdtEndPr/>
      <w:sdtContent>
        <w:p w14:paraId="5F37DAE5" w14:textId="47180D51" w:rsidR="002042C2" w:rsidRDefault="002042C2" w:rsidP="002042C2">
          <w:pPr>
            <w:pStyle w:val="Heading1"/>
            <w:numPr>
              <w:ilvl w:val="0"/>
              <w:numId w:val="0"/>
            </w:numPr>
            <w:ind w:left="851" w:hanging="851"/>
          </w:pPr>
          <w:r>
            <w:t>References</w:t>
          </w:r>
          <w:bookmarkEnd w:id="19"/>
          <w:bookmarkEnd w:id="18"/>
        </w:p>
        <w:sdt>
          <w:sdtPr>
            <w:id w:val="-573587230"/>
            <w:bibliography/>
          </w:sdtPr>
          <w:sdtEndPr/>
          <w:sdtContent>
            <w:p w14:paraId="1E2A2DE8" w14:textId="77777777" w:rsidR="007D39BF" w:rsidRDefault="002042C2" w:rsidP="002042C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7D39BF" w14:paraId="1DCA58EA" w14:textId="77777777">
                <w:trPr>
                  <w:divId w:val="65346290"/>
                  <w:tblCellSpacing w:w="15" w:type="dxa"/>
                </w:trPr>
                <w:tc>
                  <w:tcPr>
                    <w:tcW w:w="50" w:type="pct"/>
                    <w:hideMark/>
                  </w:tcPr>
                  <w:p w14:paraId="383CA2C8" w14:textId="52F1B7EF" w:rsidR="007D39BF" w:rsidRDefault="007D39BF">
                    <w:pPr>
                      <w:pStyle w:val="Bibliography"/>
                      <w:rPr>
                        <w:noProof/>
                        <w:szCs w:val="24"/>
                      </w:rPr>
                    </w:pPr>
                    <w:r>
                      <w:rPr>
                        <w:noProof/>
                      </w:rPr>
                      <w:t xml:space="preserve">[1] </w:t>
                    </w:r>
                  </w:p>
                </w:tc>
                <w:tc>
                  <w:tcPr>
                    <w:tcW w:w="0" w:type="auto"/>
                    <w:hideMark/>
                  </w:tcPr>
                  <w:p w14:paraId="093DAAB3" w14:textId="77777777" w:rsidR="007D39BF" w:rsidRDefault="007D39BF">
                    <w:pPr>
                      <w:pStyle w:val="Bibliography"/>
                      <w:rPr>
                        <w:noProof/>
                      </w:rPr>
                    </w:pPr>
                    <w:r>
                      <w:rPr>
                        <w:noProof/>
                      </w:rPr>
                      <w:t>ONR, “ONR-RD-POL-002 - Risk Informed and Targeted Engagements,” [Online]. Available: To ONR staff via HOW2 Hub (Internal ONR system).</w:t>
                    </w:r>
                  </w:p>
                </w:tc>
              </w:tr>
              <w:tr w:rsidR="007D39BF" w14:paraId="14610A87" w14:textId="77777777">
                <w:trPr>
                  <w:divId w:val="65346290"/>
                  <w:tblCellSpacing w:w="15" w:type="dxa"/>
                </w:trPr>
                <w:tc>
                  <w:tcPr>
                    <w:tcW w:w="50" w:type="pct"/>
                    <w:hideMark/>
                  </w:tcPr>
                  <w:p w14:paraId="76C1D236" w14:textId="77777777" w:rsidR="007D39BF" w:rsidRDefault="007D39BF">
                    <w:pPr>
                      <w:pStyle w:val="Bibliography"/>
                      <w:rPr>
                        <w:noProof/>
                      </w:rPr>
                    </w:pPr>
                    <w:r>
                      <w:rPr>
                        <w:noProof/>
                      </w:rPr>
                      <w:t xml:space="preserve">[2] </w:t>
                    </w:r>
                  </w:p>
                </w:tc>
                <w:tc>
                  <w:tcPr>
                    <w:tcW w:w="0" w:type="auto"/>
                    <w:hideMark/>
                  </w:tcPr>
                  <w:p w14:paraId="04AA4D38" w14:textId="77777777" w:rsidR="007D39BF" w:rsidRDefault="007D39BF">
                    <w:pPr>
                      <w:pStyle w:val="Bibliography"/>
                      <w:rPr>
                        <w:noProof/>
                      </w:rPr>
                    </w:pPr>
                    <w:r>
                      <w:rPr>
                        <w:noProof/>
                      </w:rPr>
                      <w:t>ONR, “Licence Condition Handbook,” [Online]. Available: To ONR staff via HOW2 Hub (Internal ONR system).</w:t>
                    </w:r>
                  </w:p>
                </w:tc>
              </w:tr>
              <w:tr w:rsidR="007D39BF" w14:paraId="31424EAC" w14:textId="77777777">
                <w:trPr>
                  <w:divId w:val="65346290"/>
                  <w:tblCellSpacing w:w="15" w:type="dxa"/>
                </w:trPr>
                <w:tc>
                  <w:tcPr>
                    <w:tcW w:w="50" w:type="pct"/>
                    <w:hideMark/>
                  </w:tcPr>
                  <w:p w14:paraId="69DDA4D2" w14:textId="77777777" w:rsidR="007D39BF" w:rsidRDefault="007D39BF">
                    <w:pPr>
                      <w:pStyle w:val="Bibliography"/>
                      <w:rPr>
                        <w:noProof/>
                      </w:rPr>
                    </w:pPr>
                    <w:r>
                      <w:rPr>
                        <w:noProof/>
                      </w:rPr>
                      <w:t xml:space="preserve">[3] </w:t>
                    </w:r>
                  </w:p>
                </w:tc>
                <w:tc>
                  <w:tcPr>
                    <w:tcW w:w="0" w:type="auto"/>
                    <w:hideMark/>
                  </w:tcPr>
                  <w:p w14:paraId="77090CF0" w14:textId="77777777" w:rsidR="007D39BF" w:rsidRDefault="007D39BF">
                    <w:pPr>
                      <w:pStyle w:val="Bibliography"/>
                      <w:rPr>
                        <w:noProof/>
                      </w:rPr>
                    </w:pPr>
                    <w:r>
                      <w:rPr>
                        <w:noProof/>
                      </w:rPr>
                      <w:t>Nuclear Energy Agency, “MDEP, CP-STC-01, Common Position Addressing First Plant Only Tests, Version 1, April 2018 (2019/46062)”.</w:t>
                    </w:r>
                  </w:p>
                </w:tc>
              </w:tr>
              <w:tr w:rsidR="007D39BF" w14:paraId="39433FC8" w14:textId="77777777">
                <w:trPr>
                  <w:divId w:val="65346290"/>
                  <w:tblCellSpacing w:w="15" w:type="dxa"/>
                </w:trPr>
                <w:tc>
                  <w:tcPr>
                    <w:tcW w:w="50" w:type="pct"/>
                    <w:hideMark/>
                  </w:tcPr>
                  <w:p w14:paraId="57D0DD25" w14:textId="77777777" w:rsidR="007D39BF" w:rsidRDefault="007D39BF">
                    <w:pPr>
                      <w:pStyle w:val="Bibliography"/>
                      <w:rPr>
                        <w:noProof/>
                      </w:rPr>
                    </w:pPr>
                    <w:r>
                      <w:rPr>
                        <w:noProof/>
                      </w:rPr>
                      <w:t xml:space="preserve">[4] </w:t>
                    </w:r>
                  </w:p>
                </w:tc>
                <w:tc>
                  <w:tcPr>
                    <w:tcW w:w="0" w:type="auto"/>
                    <w:hideMark/>
                  </w:tcPr>
                  <w:p w14:paraId="02C0CB48" w14:textId="77777777" w:rsidR="007D39BF" w:rsidRDefault="007D39BF">
                    <w:pPr>
                      <w:pStyle w:val="Bibliography"/>
                      <w:rPr>
                        <w:noProof/>
                      </w:rPr>
                    </w:pPr>
                    <w:r>
                      <w:rPr>
                        <w:noProof/>
                      </w:rPr>
                      <w:t>ONR, “NS-TAST-GD-028 - Control and Instrumentation”.</w:t>
                    </w:r>
                  </w:p>
                </w:tc>
              </w:tr>
              <w:tr w:rsidR="007D39BF" w14:paraId="1B599B94" w14:textId="77777777">
                <w:trPr>
                  <w:divId w:val="65346290"/>
                  <w:tblCellSpacing w:w="15" w:type="dxa"/>
                </w:trPr>
                <w:tc>
                  <w:tcPr>
                    <w:tcW w:w="50" w:type="pct"/>
                    <w:hideMark/>
                  </w:tcPr>
                  <w:p w14:paraId="63F29F18" w14:textId="77777777" w:rsidR="007D39BF" w:rsidRDefault="007D39BF">
                    <w:pPr>
                      <w:pStyle w:val="Bibliography"/>
                      <w:rPr>
                        <w:noProof/>
                      </w:rPr>
                    </w:pPr>
                    <w:r>
                      <w:rPr>
                        <w:noProof/>
                      </w:rPr>
                      <w:t xml:space="preserve">[5] </w:t>
                    </w:r>
                  </w:p>
                </w:tc>
                <w:tc>
                  <w:tcPr>
                    <w:tcW w:w="0" w:type="auto"/>
                    <w:hideMark/>
                  </w:tcPr>
                  <w:p w14:paraId="6DCE387A" w14:textId="77777777" w:rsidR="007D39BF" w:rsidRDefault="007D39BF">
                    <w:pPr>
                      <w:pStyle w:val="Bibliography"/>
                      <w:rPr>
                        <w:noProof/>
                      </w:rPr>
                    </w:pPr>
                    <w:r>
                      <w:rPr>
                        <w:noProof/>
                      </w:rPr>
                      <w:t xml:space="preserve">H. Government, “The Nuclear Industries Security Regulations 2003”. </w:t>
                    </w:r>
                  </w:p>
                </w:tc>
              </w:tr>
              <w:tr w:rsidR="007D39BF" w14:paraId="0F61CABB" w14:textId="77777777">
                <w:trPr>
                  <w:divId w:val="65346290"/>
                  <w:tblCellSpacing w:w="15" w:type="dxa"/>
                </w:trPr>
                <w:tc>
                  <w:tcPr>
                    <w:tcW w:w="50" w:type="pct"/>
                    <w:hideMark/>
                  </w:tcPr>
                  <w:p w14:paraId="57B24EF6" w14:textId="77777777" w:rsidR="007D39BF" w:rsidRDefault="007D39BF">
                    <w:pPr>
                      <w:pStyle w:val="Bibliography"/>
                      <w:rPr>
                        <w:noProof/>
                      </w:rPr>
                    </w:pPr>
                    <w:r>
                      <w:rPr>
                        <w:noProof/>
                      </w:rPr>
                      <w:t xml:space="preserve">[6] </w:t>
                    </w:r>
                  </w:p>
                </w:tc>
                <w:tc>
                  <w:tcPr>
                    <w:tcW w:w="0" w:type="auto"/>
                    <w:hideMark/>
                  </w:tcPr>
                  <w:p w14:paraId="6E8C172B" w14:textId="77777777" w:rsidR="007D39BF" w:rsidRDefault="007D39BF">
                    <w:pPr>
                      <w:pStyle w:val="Bibliography"/>
                      <w:rPr>
                        <w:noProof/>
                      </w:rPr>
                    </w:pPr>
                    <w:r>
                      <w:rPr>
                        <w:noProof/>
                      </w:rPr>
                      <w:t xml:space="preserve">H. Government, “Nuclear Safeguards (EU Exit) Regulations 2019”. </w:t>
                    </w:r>
                  </w:p>
                </w:tc>
              </w:tr>
            </w:tbl>
            <w:p w14:paraId="35AB1005" w14:textId="77777777" w:rsidR="007D39BF" w:rsidRDefault="007D39BF">
              <w:pPr>
                <w:divId w:val="65346290"/>
                <w:rPr>
                  <w:rFonts w:eastAsia="Times New Roman"/>
                  <w:noProof/>
                </w:rPr>
              </w:pPr>
            </w:p>
            <w:p w14:paraId="7CD57A40" w14:textId="5C38D12E" w:rsidR="002042C2" w:rsidRDefault="002042C2" w:rsidP="002042C2">
              <w:r>
                <w:rPr>
                  <w:b/>
                  <w:bCs/>
                  <w:noProof/>
                </w:rPr>
                <w:fldChar w:fldCharType="end"/>
              </w:r>
            </w:p>
          </w:sdtContent>
        </w:sdt>
      </w:sdtContent>
    </w:sdt>
    <w:p w14:paraId="59016A9F" w14:textId="77777777" w:rsidR="006F3542" w:rsidRDefault="006F3542">
      <w:pPr>
        <w:spacing w:after="0" w:line="240" w:lineRule="auto"/>
        <w:rPr>
          <w:color w:val="22413A"/>
          <w:sz w:val="48"/>
        </w:rPr>
      </w:pPr>
      <w:r>
        <w:br w:type="page"/>
      </w:r>
    </w:p>
    <w:p w14:paraId="07D791C5" w14:textId="71620908" w:rsidR="00930E37" w:rsidRPr="00595C8C" w:rsidRDefault="00930E37" w:rsidP="00930E37">
      <w:pPr>
        <w:pStyle w:val="Heading1"/>
        <w:numPr>
          <w:ilvl w:val="0"/>
          <w:numId w:val="0"/>
        </w:numPr>
        <w:ind w:left="851" w:hanging="851"/>
      </w:pPr>
      <w:bookmarkStart w:id="20" w:name="_Toc225949204"/>
      <w:bookmarkStart w:id="21" w:name="_Toc226729708"/>
      <w:r>
        <w:lastRenderedPageBreak/>
        <w:t>Document control information</w:t>
      </w:r>
      <w:bookmarkEnd w:id="20"/>
      <w:bookmarkEnd w:id="21"/>
    </w:p>
    <w:p w14:paraId="15F045DE" w14:textId="77777777" w:rsidR="00E524F0" w:rsidRPr="00F80A30" w:rsidRDefault="00E524F0" w:rsidP="00E524F0">
      <w:pPr>
        <w:rPr>
          <w:b/>
          <w:bCs/>
          <w:szCs w:val="24"/>
        </w:rPr>
      </w:pPr>
      <w:r w:rsidRPr="00F80A30">
        <w:rPr>
          <w:b/>
          <w:bCs/>
          <w:szCs w:val="24"/>
        </w:rPr>
        <w:t xml:space="preserve">Authored by: </w:t>
      </w:r>
      <w:r w:rsidRPr="00194C0C">
        <w:rPr>
          <w:szCs w:val="24"/>
        </w:rPr>
        <w:t>Nuclear Safety Inspector</w:t>
      </w:r>
      <w:r w:rsidRPr="00F80A30">
        <w:rPr>
          <w:b/>
          <w:bCs/>
          <w:szCs w:val="24"/>
        </w:rPr>
        <w:t xml:space="preserve"> </w:t>
      </w:r>
    </w:p>
    <w:p w14:paraId="3DB521A0" w14:textId="77777777" w:rsidR="00E524F0" w:rsidRPr="00F80A30" w:rsidRDefault="00E524F0" w:rsidP="00E524F0">
      <w:pPr>
        <w:rPr>
          <w:b/>
          <w:bCs/>
          <w:szCs w:val="24"/>
        </w:rPr>
      </w:pPr>
      <w:r w:rsidRPr="00F80A30">
        <w:rPr>
          <w:b/>
          <w:bCs/>
          <w:szCs w:val="24"/>
        </w:rPr>
        <w:t xml:space="preserve">Approved by: </w:t>
      </w:r>
      <w:r w:rsidRPr="00194C0C">
        <w:rPr>
          <w:szCs w:val="24"/>
        </w:rPr>
        <w:t>Head of Profession – Operational Inspection</w:t>
      </w:r>
    </w:p>
    <w:p w14:paraId="68D7D801" w14:textId="41C40E7F" w:rsidR="00E524F0" w:rsidRPr="00B4258F" w:rsidRDefault="00E524F0" w:rsidP="00E524F0">
      <w:pPr>
        <w:rPr>
          <w:szCs w:val="24"/>
        </w:rPr>
      </w:pPr>
      <w:r w:rsidRPr="00B4258F">
        <w:rPr>
          <w:b/>
          <w:bCs/>
          <w:szCs w:val="24"/>
        </w:rPr>
        <w:t>Issue:</w:t>
      </w:r>
      <w:r w:rsidRPr="00B4258F">
        <w:rPr>
          <w:szCs w:val="24"/>
        </w:rPr>
        <w:t xml:space="preserve"> </w:t>
      </w:r>
      <w:sdt>
        <w:sdtPr>
          <w:rPr>
            <w:szCs w:val="24"/>
          </w:rPr>
          <w:alias w:val="Issue No."/>
          <w:tag w:val=""/>
          <w:id w:val="-894428327"/>
          <w:placeholder>
            <w:docPart w:val="7B4BCBAF5FD84804BC3F469A2139A187"/>
          </w:placeholder>
          <w:dataBinding w:prefixMappings="xmlns:ns0='http://purl.org/dc/elements/1.1/' xmlns:ns1='http://schemas.openxmlformats.org/package/2006/metadata/core-properties' " w:xpath="/ns1:coreProperties[1]/ns1:contentStatus[1]" w:storeItemID="{6C3C8BC8-F283-45AE-878A-BAB7291924A1}"/>
          <w:text/>
        </w:sdtPr>
        <w:sdtEndPr/>
        <w:sdtContent>
          <w:r w:rsidR="009403A6">
            <w:rPr>
              <w:szCs w:val="24"/>
            </w:rPr>
            <w:t>7.2</w:t>
          </w:r>
        </w:sdtContent>
      </w:sdt>
    </w:p>
    <w:p w14:paraId="3B86993F" w14:textId="63F19EDB" w:rsidR="00E524F0" w:rsidRPr="00194C0C" w:rsidRDefault="00E524F0" w:rsidP="00E524F0">
      <w:pPr>
        <w:rPr>
          <w:szCs w:val="24"/>
        </w:rPr>
      </w:pPr>
      <w:r w:rsidRPr="00194C0C">
        <w:rPr>
          <w:b/>
          <w:bCs/>
          <w:szCs w:val="24"/>
        </w:rPr>
        <w:t>Published</w:t>
      </w:r>
      <w:r w:rsidRPr="00194C0C">
        <w:rPr>
          <w:szCs w:val="24"/>
        </w:rPr>
        <w:t xml:space="preserve">: </w:t>
      </w:r>
      <w:r w:rsidR="00220E5E">
        <w:rPr>
          <w:szCs w:val="24"/>
        </w:rPr>
        <w:t>April</w:t>
      </w:r>
      <w:r>
        <w:rPr>
          <w:szCs w:val="24"/>
        </w:rPr>
        <w:t xml:space="preserve"> 2026</w:t>
      </w:r>
    </w:p>
    <w:p w14:paraId="35B1DB88" w14:textId="77777777" w:rsidR="00E524F0" w:rsidRPr="00194C0C" w:rsidRDefault="00E524F0" w:rsidP="00E524F0">
      <w:pPr>
        <w:rPr>
          <w:szCs w:val="24"/>
        </w:rPr>
      </w:pPr>
      <w:r w:rsidRPr="00194C0C">
        <w:rPr>
          <w:b/>
          <w:bCs/>
          <w:szCs w:val="24"/>
        </w:rPr>
        <w:t>Next scheduled review</w:t>
      </w:r>
      <w:r w:rsidRPr="00194C0C">
        <w:rPr>
          <w:szCs w:val="24"/>
        </w:rPr>
        <w:t xml:space="preserve">: </w:t>
      </w:r>
      <w:r>
        <w:rPr>
          <w:szCs w:val="24"/>
        </w:rPr>
        <w:t>September 2027</w:t>
      </w:r>
    </w:p>
    <w:p w14:paraId="033FBB7D" w14:textId="02921824" w:rsidR="00E524F0" w:rsidRPr="00194C0C" w:rsidRDefault="00E524F0" w:rsidP="00E524F0">
      <w:pPr>
        <w:rPr>
          <w:b/>
          <w:bCs/>
          <w:szCs w:val="24"/>
        </w:rPr>
      </w:pPr>
      <w:r w:rsidRPr="00194C0C">
        <w:rPr>
          <w:b/>
          <w:bCs/>
          <w:szCs w:val="24"/>
        </w:rPr>
        <w:t>Document reference</w:t>
      </w:r>
      <w:r w:rsidRPr="00194C0C">
        <w:rPr>
          <w:szCs w:val="24"/>
        </w:rPr>
        <w:t>: NS-INSP-GD-0</w:t>
      </w:r>
      <w:r>
        <w:rPr>
          <w:szCs w:val="24"/>
        </w:rPr>
        <w:t>2</w:t>
      </w:r>
      <w:r w:rsidR="00220E5E">
        <w:rPr>
          <w:szCs w:val="24"/>
        </w:rPr>
        <w:t>1</w:t>
      </w:r>
    </w:p>
    <w:p w14:paraId="3F085E09" w14:textId="040E5096" w:rsidR="00E524F0" w:rsidRDefault="00E524F0" w:rsidP="009403A6">
      <w:pPr>
        <w:rPr>
          <w:szCs w:val="24"/>
        </w:rPr>
      </w:pPr>
      <w:r w:rsidRPr="00194C0C">
        <w:rPr>
          <w:b/>
          <w:bCs/>
          <w:szCs w:val="24"/>
        </w:rPr>
        <w:t>Record reference</w:t>
      </w:r>
      <w:r w:rsidRPr="00194C0C">
        <w:rPr>
          <w:szCs w:val="24"/>
        </w:rPr>
        <w:t xml:space="preserve">: </w:t>
      </w:r>
      <w:r w:rsidR="009403A6" w:rsidRPr="009403A6">
        <w:t>ONRHH-822789359-20494</w:t>
      </w:r>
    </w:p>
    <w:p w14:paraId="7D13A83B" w14:textId="77777777" w:rsidR="00930E37" w:rsidRDefault="00930E37" w:rsidP="00930E37"/>
    <w:p w14:paraId="7629CA34" w14:textId="77777777" w:rsidR="00930E37" w:rsidRDefault="00930E37" w:rsidP="00930E37">
      <w:pPr>
        <w:pStyle w:val="Caption"/>
        <w:keepNext/>
      </w:pPr>
      <w:r>
        <w:t>Revision commentary</w:t>
      </w:r>
    </w:p>
    <w:tbl>
      <w:tblPr>
        <w:tblStyle w:val="ONRTable1"/>
        <w:tblW w:w="0" w:type="auto"/>
        <w:tblInd w:w="10" w:type="dxa"/>
        <w:tblLook w:val="04A0" w:firstRow="1" w:lastRow="0" w:firstColumn="1" w:lastColumn="0" w:noHBand="0" w:noVBand="1"/>
      </w:tblPr>
      <w:tblGrid>
        <w:gridCol w:w="1550"/>
        <w:gridCol w:w="7466"/>
      </w:tblGrid>
      <w:tr w:rsidR="00930E37" w:rsidRPr="00B23A5E" w14:paraId="1216A18F" w14:textId="77777777" w:rsidTr="00CF24A9">
        <w:trPr>
          <w:cnfStyle w:val="100000000000" w:firstRow="1" w:lastRow="0" w:firstColumn="0" w:lastColumn="0" w:oddVBand="0" w:evenVBand="0" w:oddHBand="0" w:evenHBand="0" w:firstRowFirstColumn="0" w:firstRowLastColumn="0" w:lastRowFirstColumn="0" w:lastRowLastColumn="0"/>
        </w:trPr>
        <w:tc>
          <w:tcPr>
            <w:tcW w:w="1550" w:type="dxa"/>
          </w:tcPr>
          <w:p w14:paraId="3C3F26F3" w14:textId="77777777" w:rsidR="00930E37" w:rsidRPr="00B23A5E" w:rsidRDefault="00930E37" w:rsidP="00CF24A9">
            <w:pPr>
              <w:spacing w:before="60" w:after="60"/>
              <w:rPr>
                <w:b w:val="0"/>
                <w:bCs/>
              </w:rPr>
            </w:pPr>
            <w:r w:rsidRPr="00B23A5E">
              <w:rPr>
                <w:b w:val="0"/>
                <w:bCs/>
              </w:rPr>
              <w:t>Issue</w:t>
            </w:r>
          </w:p>
        </w:tc>
        <w:tc>
          <w:tcPr>
            <w:tcW w:w="7466" w:type="dxa"/>
          </w:tcPr>
          <w:p w14:paraId="5DC60E12" w14:textId="77777777" w:rsidR="00930E37" w:rsidRPr="00B23A5E" w:rsidRDefault="00930E37" w:rsidP="00CF24A9">
            <w:pPr>
              <w:spacing w:before="60" w:after="60"/>
              <w:rPr>
                <w:b w:val="0"/>
                <w:bCs/>
              </w:rPr>
            </w:pPr>
            <w:r w:rsidRPr="00B23A5E">
              <w:rPr>
                <w:b w:val="0"/>
                <w:bCs/>
              </w:rPr>
              <w:t xml:space="preserve">Description of </w:t>
            </w:r>
            <w:r>
              <w:rPr>
                <w:b w:val="0"/>
                <w:bCs/>
              </w:rPr>
              <w:t>u</w:t>
            </w:r>
            <w:r w:rsidRPr="00B23A5E">
              <w:rPr>
                <w:b w:val="0"/>
                <w:bCs/>
              </w:rPr>
              <w:t>pdate(s)</w:t>
            </w:r>
          </w:p>
        </w:tc>
      </w:tr>
      <w:tr w:rsidR="00930E37" w14:paraId="1D25BD44" w14:textId="77777777" w:rsidTr="00CF24A9">
        <w:tc>
          <w:tcPr>
            <w:tcW w:w="1550" w:type="dxa"/>
          </w:tcPr>
          <w:p w14:paraId="09409656" w14:textId="1FAF27DF" w:rsidR="00930E37" w:rsidRDefault="00E51A34" w:rsidP="00CF24A9">
            <w:pPr>
              <w:spacing w:before="60" w:after="60"/>
            </w:pPr>
            <w:r>
              <w:t>7.</w:t>
            </w:r>
            <w:r w:rsidR="009403A6">
              <w:t>2</w:t>
            </w:r>
          </w:p>
        </w:tc>
        <w:tc>
          <w:tcPr>
            <w:tcW w:w="7466" w:type="dxa"/>
          </w:tcPr>
          <w:p w14:paraId="0DD41B3D" w14:textId="5615EE23" w:rsidR="00930E37" w:rsidRDefault="00AB307A" w:rsidP="00CF24A9">
            <w:pPr>
              <w:spacing w:before="60" w:after="60"/>
            </w:pPr>
            <w:r>
              <w:t>Minor update – document simplified and duplication removed, no major change to outcomes or intent.</w:t>
            </w:r>
          </w:p>
        </w:tc>
      </w:tr>
    </w:tbl>
    <w:p w14:paraId="17669631" w14:textId="42403BC4" w:rsidR="00930E37" w:rsidRPr="007133D7" w:rsidRDefault="00930E37" w:rsidP="00220E5E"/>
    <w:sectPr w:rsidR="00930E37" w:rsidRPr="007133D7"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21241" w14:textId="77777777" w:rsidR="009B052D" w:rsidRDefault="009B052D" w:rsidP="007D199A">
      <w:pPr>
        <w:spacing w:after="0"/>
      </w:pPr>
      <w:r>
        <w:separator/>
      </w:r>
    </w:p>
    <w:p w14:paraId="7D432712" w14:textId="77777777" w:rsidR="009B052D" w:rsidRDefault="009B052D"/>
  </w:endnote>
  <w:endnote w:type="continuationSeparator" w:id="0">
    <w:p w14:paraId="47697AD4" w14:textId="77777777" w:rsidR="009B052D" w:rsidRDefault="009B052D" w:rsidP="007D199A">
      <w:pPr>
        <w:spacing w:after="0"/>
      </w:pPr>
      <w:r>
        <w:continuationSeparator/>
      </w:r>
    </w:p>
    <w:p w14:paraId="3499E1F2" w14:textId="77777777" w:rsidR="009B052D" w:rsidRDefault="009B05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3EC6D5EA" w:rsidR="007C3C1D" w:rsidRPr="00C03CD1" w:rsidRDefault="00C03CD1" w:rsidP="00C03CD1">
    <w:pPr>
      <w:pStyle w:val="Footer"/>
    </w:pPr>
    <w:r>
      <w:t xml:space="preserve">Page | </w:t>
    </w: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0AE7D" w14:textId="77777777" w:rsidR="009B052D" w:rsidRPr="005E0344" w:rsidRDefault="009B052D" w:rsidP="005E0344">
      <w:pPr>
        <w:spacing w:after="120"/>
        <w:rPr>
          <w:color w:val="000000" w:themeColor="text2"/>
        </w:rPr>
      </w:pPr>
      <w:r w:rsidRPr="005E0344">
        <w:rPr>
          <w:color w:val="000000" w:themeColor="text2"/>
        </w:rPr>
        <w:separator/>
      </w:r>
    </w:p>
  </w:footnote>
  <w:footnote w:type="continuationSeparator" w:id="0">
    <w:p w14:paraId="6B136D5A" w14:textId="77777777" w:rsidR="009B052D" w:rsidRPr="005E0344" w:rsidRDefault="009B052D" w:rsidP="0090581D">
      <w:pPr>
        <w:spacing w:after="120"/>
        <w:rPr>
          <w:color w:val="000000" w:themeColor="text2"/>
        </w:rPr>
      </w:pPr>
      <w:r w:rsidRPr="005E0344">
        <w:rPr>
          <w:color w:val="000000" w:themeColor="text2"/>
        </w:rPr>
        <w:continuationSeparator/>
      </w:r>
    </w:p>
    <w:p w14:paraId="635702B7" w14:textId="77777777" w:rsidR="009B052D" w:rsidRDefault="009B052D"/>
  </w:footnote>
  <w:footnote w:type="continuationNotice" w:id="1">
    <w:p w14:paraId="2E928852" w14:textId="77777777" w:rsidR="009B052D" w:rsidRDefault="009B052D">
      <w:pPr>
        <w:spacing w:after="0"/>
      </w:pPr>
    </w:p>
    <w:p w14:paraId="46848F13" w14:textId="77777777" w:rsidR="009B052D" w:rsidRDefault="009B052D"/>
  </w:footnote>
  <w:footnote w:id="2">
    <w:p w14:paraId="0E889360" w14:textId="7E59E397" w:rsidR="0031664D" w:rsidRDefault="0031664D" w:rsidP="0031664D">
      <w:pPr>
        <w:pStyle w:val="FootnoteText"/>
        <w:ind w:left="0" w:hanging="113"/>
      </w:pPr>
      <w:r w:rsidRPr="002F420E">
        <w:rPr>
          <w:rStyle w:val="FootnoteReference"/>
          <w:sz w:val="22"/>
          <w:szCs w:val="22"/>
        </w:rPr>
        <w:footnoteRef/>
      </w:r>
      <w:r w:rsidRPr="002F420E">
        <w:rPr>
          <w:sz w:val="22"/>
          <w:szCs w:val="22"/>
        </w:rPr>
        <w:t xml:space="preserve"> </w:t>
      </w:r>
      <w:r w:rsidRPr="002F420E">
        <w:rPr>
          <w:rFonts w:asciiTheme="minorHAnsi" w:eastAsiaTheme="minorHAnsi" w:hAnsiTheme="minorHAnsi" w:cstheme="minorBidi"/>
          <w:color w:val="22413A"/>
          <w:sz w:val="22"/>
          <w:szCs w:val="22"/>
          <w:lang w:bidi="ar-SA"/>
        </w:rPr>
        <w:t>The term "commissioning" is defined in Condition 1(1) and this condition applies to all commissioning activities whether on new or existing plant</w:t>
      </w:r>
      <w:r w:rsidRPr="002F420E">
        <w:rPr>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24C5D22" w:rsidR="00177666" w:rsidRPr="00196ADB" w:rsidRDefault="002971A5"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Pr>
            <w:sz w:val="20"/>
            <w:szCs w:val="24"/>
          </w:rPr>
          <w:t>LC21 – Commissioning</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403A6">
          <w:rPr>
            <w:sz w:val="20"/>
            <w:szCs w:val="24"/>
          </w:rPr>
          <w:t>7.2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4A0EEE"/>
    <w:multiLevelType w:val="multilevel"/>
    <w:tmpl w:val="00BE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3A6A60"/>
    <w:multiLevelType w:val="multilevel"/>
    <w:tmpl w:val="6024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9935BFA"/>
    <w:multiLevelType w:val="hybridMultilevel"/>
    <w:tmpl w:val="AE6A90BC"/>
    <w:lvl w:ilvl="0" w:tplc="08090017">
      <w:start w:val="1"/>
      <w:numFmt w:val="lowerLetter"/>
      <w:lvlText w:val="%1)"/>
      <w:lvlJc w:val="left"/>
      <w:pPr>
        <w:ind w:left="720" w:hanging="360"/>
      </w:pPr>
      <w:rPr>
        <w:rFonts w:hint="default"/>
        <w:color w:val="006D6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BD5CE5"/>
    <w:multiLevelType w:val="multilevel"/>
    <w:tmpl w:val="EFFA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6C69E1"/>
    <w:multiLevelType w:val="hybridMultilevel"/>
    <w:tmpl w:val="55089AD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F66F91"/>
    <w:multiLevelType w:val="hybridMultilevel"/>
    <w:tmpl w:val="D26C18E2"/>
    <w:lvl w:ilvl="0" w:tplc="76260F14">
      <w:start w:val="1"/>
      <w:numFmt w:val="bullet"/>
      <w:lvlText w:val=""/>
      <w:lvlJc w:val="left"/>
      <w:pPr>
        <w:ind w:left="1800" w:hanging="360"/>
      </w:pPr>
      <w:rPr>
        <w:rFonts w:ascii="Symbol" w:hAnsi="Symbol" w:hint="default"/>
        <w:strike w:val="0"/>
        <w:dstrike w:val="0"/>
        <w:color w:val="07716C" w:themeColor="accent1"/>
        <w:sz w:val="24"/>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0"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487688"/>
    <w:multiLevelType w:val="hybridMultilevel"/>
    <w:tmpl w:val="2048DD9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4"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DD399B"/>
    <w:multiLevelType w:val="hybridMultilevel"/>
    <w:tmpl w:val="4B14BC18"/>
    <w:lvl w:ilvl="0" w:tplc="0809000F">
      <w:start w:val="1"/>
      <w:numFmt w:val="decimal"/>
      <w:lvlText w:val="%1."/>
      <w:lvlJc w:val="left"/>
      <w:pPr>
        <w:ind w:left="2280" w:hanging="360"/>
      </w:p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2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9AB17C0"/>
    <w:multiLevelType w:val="multilevel"/>
    <w:tmpl w:val="A7B8B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5F46359"/>
    <w:multiLevelType w:val="hybridMultilevel"/>
    <w:tmpl w:val="62A6D532"/>
    <w:lvl w:ilvl="0" w:tplc="65E46EEC">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268C4E4">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3A1E93"/>
    <w:multiLevelType w:val="hybridMultilevel"/>
    <w:tmpl w:val="4D16BB8A"/>
    <w:lvl w:ilvl="0" w:tplc="08090017">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2"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7F2150"/>
    <w:multiLevelType w:val="hybridMultilevel"/>
    <w:tmpl w:val="4692CC1A"/>
    <w:lvl w:ilvl="0" w:tplc="898C338A">
      <w:start w:val="1"/>
      <w:numFmt w:val="bullet"/>
      <w:pStyle w:val="BulletPoint"/>
      <w:lvlText w:val=""/>
      <w:lvlJc w:val="left"/>
      <w:pPr>
        <w:ind w:left="720" w:hanging="360"/>
      </w:pPr>
      <w:rPr>
        <w:rFonts w:ascii="Wingdings" w:hAnsi="Wingdings" w:hint="default"/>
        <w:color w:val="006D6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2"/>
  </w:num>
  <w:num w:numId="12" w16cid:durableId="1085146277">
    <w:abstractNumId w:val="30"/>
  </w:num>
  <w:num w:numId="13" w16cid:durableId="989944809">
    <w:abstractNumId w:val="20"/>
  </w:num>
  <w:num w:numId="14" w16cid:durableId="1148547717">
    <w:abstractNumId w:val="14"/>
  </w:num>
  <w:num w:numId="15" w16cid:durableId="1619264317">
    <w:abstractNumId w:val="30"/>
    <w:lvlOverride w:ilvl="0">
      <w:startOverride w:val="1"/>
    </w:lvlOverride>
  </w:num>
  <w:num w:numId="16" w16cid:durableId="1717772705">
    <w:abstractNumId w:val="20"/>
    <w:lvlOverride w:ilvl="0">
      <w:startOverride w:val="1"/>
    </w:lvlOverride>
  </w:num>
  <w:num w:numId="17" w16cid:durableId="1421370352">
    <w:abstractNumId w:val="14"/>
    <w:lvlOverride w:ilvl="0">
      <w:startOverride w:val="1"/>
    </w:lvlOverride>
  </w:num>
  <w:num w:numId="18" w16cid:durableId="802893121">
    <w:abstractNumId w:val="29"/>
  </w:num>
  <w:num w:numId="19" w16cid:durableId="1666081420">
    <w:abstractNumId w:val="24"/>
  </w:num>
  <w:num w:numId="20" w16cid:durableId="874538197">
    <w:abstractNumId w:val="18"/>
  </w:num>
  <w:num w:numId="21" w16cid:durableId="2057311976">
    <w:abstractNumId w:val="26"/>
  </w:num>
  <w:num w:numId="22" w16cid:durableId="689793726">
    <w:abstractNumId w:val="16"/>
  </w:num>
  <w:num w:numId="23" w16cid:durableId="48653822">
    <w:abstractNumId w:val="32"/>
  </w:num>
  <w:num w:numId="24" w16cid:durableId="1603800266">
    <w:abstractNumId w:val="22"/>
  </w:num>
  <w:num w:numId="25" w16cid:durableId="1864591591">
    <w:abstractNumId w:val="21"/>
  </w:num>
  <w:num w:numId="26" w16cid:durableId="832574242">
    <w:abstractNumId w:val="28"/>
  </w:num>
  <w:num w:numId="27" w16cid:durableId="1391732823">
    <w:abstractNumId w:val="21"/>
    <w:lvlOverride w:ilvl="0">
      <w:startOverride w:val="1"/>
    </w:lvlOverride>
  </w:num>
  <w:num w:numId="28" w16cid:durableId="344790685">
    <w:abstractNumId w:val="33"/>
  </w:num>
  <w:num w:numId="29" w16cid:durableId="1751735052">
    <w:abstractNumId w:val="13"/>
  </w:num>
  <w:num w:numId="30" w16cid:durableId="1854607490">
    <w:abstractNumId w:val="31"/>
  </w:num>
  <w:num w:numId="31" w16cid:durableId="1975212082">
    <w:abstractNumId w:val="33"/>
  </w:num>
  <w:num w:numId="32" w16cid:durableId="686903819">
    <w:abstractNumId w:val="11"/>
  </w:num>
  <w:num w:numId="33" w16cid:durableId="287856837">
    <w:abstractNumId w:val="23"/>
  </w:num>
  <w:num w:numId="34" w16cid:durableId="1716730034">
    <w:abstractNumId w:val="15"/>
  </w:num>
  <w:num w:numId="35" w16cid:durableId="800416223">
    <w:abstractNumId w:val="25"/>
  </w:num>
  <w:num w:numId="36" w16cid:durableId="1492869120">
    <w:abstractNumId w:val="17"/>
  </w:num>
  <w:num w:numId="37" w16cid:durableId="1799645780">
    <w:abstractNumId w:val="19"/>
  </w:num>
  <w:num w:numId="38" w16cid:durableId="329598623">
    <w:abstractNumId w:val="10"/>
  </w:num>
  <w:num w:numId="39" w16cid:durableId="19271112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07D6E"/>
    <w:rsid w:val="00011177"/>
    <w:rsid w:val="00014814"/>
    <w:rsid w:val="00022033"/>
    <w:rsid w:val="00024522"/>
    <w:rsid w:val="00024B2E"/>
    <w:rsid w:val="00027F4F"/>
    <w:rsid w:val="00030430"/>
    <w:rsid w:val="0003078E"/>
    <w:rsid w:val="00031B89"/>
    <w:rsid w:val="0003693D"/>
    <w:rsid w:val="0004440F"/>
    <w:rsid w:val="00044C75"/>
    <w:rsid w:val="00052C8A"/>
    <w:rsid w:val="000548C8"/>
    <w:rsid w:val="00055850"/>
    <w:rsid w:val="00064A1B"/>
    <w:rsid w:val="00075605"/>
    <w:rsid w:val="00075C66"/>
    <w:rsid w:val="000817D4"/>
    <w:rsid w:val="00082879"/>
    <w:rsid w:val="00084ABE"/>
    <w:rsid w:val="00091EEA"/>
    <w:rsid w:val="0009225F"/>
    <w:rsid w:val="00093E85"/>
    <w:rsid w:val="000A0F63"/>
    <w:rsid w:val="000A105C"/>
    <w:rsid w:val="000B2B6F"/>
    <w:rsid w:val="000C2DDC"/>
    <w:rsid w:val="000C5F5A"/>
    <w:rsid w:val="000D1890"/>
    <w:rsid w:val="000D2FD4"/>
    <w:rsid w:val="000D3232"/>
    <w:rsid w:val="000D6912"/>
    <w:rsid w:val="000D7890"/>
    <w:rsid w:val="000F1B7B"/>
    <w:rsid w:val="000F2ED4"/>
    <w:rsid w:val="001028E8"/>
    <w:rsid w:val="00103043"/>
    <w:rsid w:val="00106D9F"/>
    <w:rsid w:val="00112239"/>
    <w:rsid w:val="00122FCC"/>
    <w:rsid w:val="00124C2B"/>
    <w:rsid w:val="00126752"/>
    <w:rsid w:val="00130B30"/>
    <w:rsid w:val="00140E1C"/>
    <w:rsid w:val="00147AE4"/>
    <w:rsid w:val="001571E5"/>
    <w:rsid w:val="00157B68"/>
    <w:rsid w:val="00160ADE"/>
    <w:rsid w:val="00176DB5"/>
    <w:rsid w:val="00177666"/>
    <w:rsid w:val="001849CA"/>
    <w:rsid w:val="00185410"/>
    <w:rsid w:val="00192352"/>
    <w:rsid w:val="00196ADB"/>
    <w:rsid w:val="001B4D5A"/>
    <w:rsid w:val="001C4D63"/>
    <w:rsid w:val="001D0DE0"/>
    <w:rsid w:val="001D5AFF"/>
    <w:rsid w:val="001D74B4"/>
    <w:rsid w:val="001E03E1"/>
    <w:rsid w:val="001E51C3"/>
    <w:rsid w:val="001F059F"/>
    <w:rsid w:val="00200811"/>
    <w:rsid w:val="00200CA1"/>
    <w:rsid w:val="002042C2"/>
    <w:rsid w:val="00212F6F"/>
    <w:rsid w:val="0021338D"/>
    <w:rsid w:val="00214D43"/>
    <w:rsid w:val="00220E5E"/>
    <w:rsid w:val="00223090"/>
    <w:rsid w:val="002238B4"/>
    <w:rsid w:val="002319AB"/>
    <w:rsid w:val="002319AC"/>
    <w:rsid w:val="00234342"/>
    <w:rsid w:val="0024040D"/>
    <w:rsid w:val="00251CD7"/>
    <w:rsid w:val="002528ED"/>
    <w:rsid w:val="00255FA3"/>
    <w:rsid w:val="00257288"/>
    <w:rsid w:val="00261F24"/>
    <w:rsid w:val="00261FB6"/>
    <w:rsid w:val="002629F8"/>
    <w:rsid w:val="00263396"/>
    <w:rsid w:val="002659FA"/>
    <w:rsid w:val="00267815"/>
    <w:rsid w:val="00280DDF"/>
    <w:rsid w:val="002917FF"/>
    <w:rsid w:val="00292ADF"/>
    <w:rsid w:val="00296DBB"/>
    <w:rsid w:val="002971A5"/>
    <w:rsid w:val="002A0DEC"/>
    <w:rsid w:val="002A5079"/>
    <w:rsid w:val="002B1C53"/>
    <w:rsid w:val="002B6666"/>
    <w:rsid w:val="002D0731"/>
    <w:rsid w:val="002E0BE4"/>
    <w:rsid w:val="002E3B58"/>
    <w:rsid w:val="002E3E8A"/>
    <w:rsid w:val="002E6A6A"/>
    <w:rsid w:val="002F3397"/>
    <w:rsid w:val="002F420E"/>
    <w:rsid w:val="002F4B08"/>
    <w:rsid w:val="002F5784"/>
    <w:rsid w:val="0030380D"/>
    <w:rsid w:val="00312411"/>
    <w:rsid w:val="00314216"/>
    <w:rsid w:val="00314883"/>
    <w:rsid w:val="0031664D"/>
    <w:rsid w:val="00323E71"/>
    <w:rsid w:val="00326F77"/>
    <w:rsid w:val="00333B04"/>
    <w:rsid w:val="003401B0"/>
    <w:rsid w:val="00345D54"/>
    <w:rsid w:val="00346C8E"/>
    <w:rsid w:val="00367B30"/>
    <w:rsid w:val="00367BD5"/>
    <w:rsid w:val="00385979"/>
    <w:rsid w:val="00385A0D"/>
    <w:rsid w:val="00390327"/>
    <w:rsid w:val="00393B78"/>
    <w:rsid w:val="003A01E9"/>
    <w:rsid w:val="003B0C9A"/>
    <w:rsid w:val="003C0306"/>
    <w:rsid w:val="003C114C"/>
    <w:rsid w:val="003C465D"/>
    <w:rsid w:val="003D0718"/>
    <w:rsid w:val="003D23E7"/>
    <w:rsid w:val="003D495D"/>
    <w:rsid w:val="003D55FC"/>
    <w:rsid w:val="003D5793"/>
    <w:rsid w:val="003E098E"/>
    <w:rsid w:val="003E2FAE"/>
    <w:rsid w:val="003E56EC"/>
    <w:rsid w:val="00407CF7"/>
    <w:rsid w:val="00415ED6"/>
    <w:rsid w:val="00417CAF"/>
    <w:rsid w:val="00420A11"/>
    <w:rsid w:val="00422265"/>
    <w:rsid w:val="004373A7"/>
    <w:rsid w:val="00437D94"/>
    <w:rsid w:val="0044030C"/>
    <w:rsid w:val="0045545F"/>
    <w:rsid w:val="004648A4"/>
    <w:rsid w:val="00471380"/>
    <w:rsid w:val="0047699E"/>
    <w:rsid w:val="0048271E"/>
    <w:rsid w:val="00494F0D"/>
    <w:rsid w:val="00496BFD"/>
    <w:rsid w:val="004976BE"/>
    <w:rsid w:val="004A3DF2"/>
    <w:rsid w:val="004C361D"/>
    <w:rsid w:val="004C4891"/>
    <w:rsid w:val="004D2C89"/>
    <w:rsid w:val="004E3932"/>
    <w:rsid w:val="004F1E79"/>
    <w:rsid w:val="004F5F33"/>
    <w:rsid w:val="0050103A"/>
    <w:rsid w:val="0050485D"/>
    <w:rsid w:val="00505FDF"/>
    <w:rsid w:val="00511B0F"/>
    <w:rsid w:val="00541710"/>
    <w:rsid w:val="00551483"/>
    <w:rsid w:val="0055388E"/>
    <w:rsid w:val="005654C2"/>
    <w:rsid w:val="005754AE"/>
    <w:rsid w:val="00577FB5"/>
    <w:rsid w:val="005852D1"/>
    <w:rsid w:val="00587A22"/>
    <w:rsid w:val="005902AF"/>
    <w:rsid w:val="0059299D"/>
    <w:rsid w:val="0059502F"/>
    <w:rsid w:val="00595C8C"/>
    <w:rsid w:val="00597747"/>
    <w:rsid w:val="005A49B8"/>
    <w:rsid w:val="005A4CDD"/>
    <w:rsid w:val="005B03CF"/>
    <w:rsid w:val="005B57E4"/>
    <w:rsid w:val="005B5ABD"/>
    <w:rsid w:val="005C0143"/>
    <w:rsid w:val="005C0ED9"/>
    <w:rsid w:val="005C140A"/>
    <w:rsid w:val="005C1E52"/>
    <w:rsid w:val="005C3367"/>
    <w:rsid w:val="005C6763"/>
    <w:rsid w:val="005D1BDE"/>
    <w:rsid w:val="005D3164"/>
    <w:rsid w:val="005E0344"/>
    <w:rsid w:val="005E440B"/>
    <w:rsid w:val="005F2C85"/>
    <w:rsid w:val="00605ADB"/>
    <w:rsid w:val="00611C9F"/>
    <w:rsid w:val="00620497"/>
    <w:rsid w:val="006248DE"/>
    <w:rsid w:val="00627555"/>
    <w:rsid w:val="006322A0"/>
    <w:rsid w:val="006361FD"/>
    <w:rsid w:val="0064226F"/>
    <w:rsid w:val="00642DDB"/>
    <w:rsid w:val="00653298"/>
    <w:rsid w:val="006545EF"/>
    <w:rsid w:val="00663A7C"/>
    <w:rsid w:val="00667DF2"/>
    <w:rsid w:val="00670DF1"/>
    <w:rsid w:val="00671345"/>
    <w:rsid w:val="00672A9B"/>
    <w:rsid w:val="00674989"/>
    <w:rsid w:val="00675884"/>
    <w:rsid w:val="00680149"/>
    <w:rsid w:val="00696EE0"/>
    <w:rsid w:val="00697980"/>
    <w:rsid w:val="006A19EF"/>
    <w:rsid w:val="006A43D5"/>
    <w:rsid w:val="006A525B"/>
    <w:rsid w:val="006A5CEC"/>
    <w:rsid w:val="006C045F"/>
    <w:rsid w:val="006C4196"/>
    <w:rsid w:val="006C63B0"/>
    <w:rsid w:val="006C76A2"/>
    <w:rsid w:val="006C792E"/>
    <w:rsid w:val="006D116C"/>
    <w:rsid w:val="006E0458"/>
    <w:rsid w:val="006E7C42"/>
    <w:rsid w:val="006F168A"/>
    <w:rsid w:val="006F3542"/>
    <w:rsid w:val="006F5076"/>
    <w:rsid w:val="006F6009"/>
    <w:rsid w:val="006F7E5F"/>
    <w:rsid w:val="0070321D"/>
    <w:rsid w:val="007068BA"/>
    <w:rsid w:val="007133D7"/>
    <w:rsid w:val="007154C5"/>
    <w:rsid w:val="00716AB1"/>
    <w:rsid w:val="00721D63"/>
    <w:rsid w:val="00723B63"/>
    <w:rsid w:val="00724B2B"/>
    <w:rsid w:val="00732C7B"/>
    <w:rsid w:val="00734D2B"/>
    <w:rsid w:val="00737705"/>
    <w:rsid w:val="007408D4"/>
    <w:rsid w:val="007420AC"/>
    <w:rsid w:val="00742617"/>
    <w:rsid w:val="00780C6C"/>
    <w:rsid w:val="00783AFA"/>
    <w:rsid w:val="00785427"/>
    <w:rsid w:val="00790540"/>
    <w:rsid w:val="007968CA"/>
    <w:rsid w:val="00796B2A"/>
    <w:rsid w:val="007A06F9"/>
    <w:rsid w:val="007A43FF"/>
    <w:rsid w:val="007A72FA"/>
    <w:rsid w:val="007B3918"/>
    <w:rsid w:val="007C180C"/>
    <w:rsid w:val="007C1BCB"/>
    <w:rsid w:val="007C3C1D"/>
    <w:rsid w:val="007C3E6D"/>
    <w:rsid w:val="007D199A"/>
    <w:rsid w:val="007D2EBE"/>
    <w:rsid w:val="007D39BF"/>
    <w:rsid w:val="007E0E74"/>
    <w:rsid w:val="007E1C07"/>
    <w:rsid w:val="007F24B6"/>
    <w:rsid w:val="00803D94"/>
    <w:rsid w:val="00821337"/>
    <w:rsid w:val="008229BA"/>
    <w:rsid w:val="00824151"/>
    <w:rsid w:val="008452A9"/>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A2379"/>
    <w:rsid w:val="008A4329"/>
    <w:rsid w:val="008A4809"/>
    <w:rsid w:val="008A578E"/>
    <w:rsid w:val="008B015A"/>
    <w:rsid w:val="008B1519"/>
    <w:rsid w:val="008B5F2F"/>
    <w:rsid w:val="008B7BCC"/>
    <w:rsid w:val="008C50C3"/>
    <w:rsid w:val="008C7094"/>
    <w:rsid w:val="008D2B97"/>
    <w:rsid w:val="008D49A5"/>
    <w:rsid w:val="008D6C81"/>
    <w:rsid w:val="008E6CF0"/>
    <w:rsid w:val="008F1439"/>
    <w:rsid w:val="008F7051"/>
    <w:rsid w:val="009033A9"/>
    <w:rsid w:val="0090581D"/>
    <w:rsid w:val="0091439C"/>
    <w:rsid w:val="00920572"/>
    <w:rsid w:val="00920BF2"/>
    <w:rsid w:val="00930E37"/>
    <w:rsid w:val="009349A9"/>
    <w:rsid w:val="00935710"/>
    <w:rsid w:val="00936C52"/>
    <w:rsid w:val="009403A6"/>
    <w:rsid w:val="009436C1"/>
    <w:rsid w:val="0095489B"/>
    <w:rsid w:val="009608D9"/>
    <w:rsid w:val="00964C05"/>
    <w:rsid w:val="00966FB9"/>
    <w:rsid w:val="009671CD"/>
    <w:rsid w:val="009751A9"/>
    <w:rsid w:val="009768BB"/>
    <w:rsid w:val="00980F9C"/>
    <w:rsid w:val="0098632B"/>
    <w:rsid w:val="00997BFB"/>
    <w:rsid w:val="009A54A4"/>
    <w:rsid w:val="009A7348"/>
    <w:rsid w:val="009B052D"/>
    <w:rsid w:val="009B462C"/>
    <w:rsid w:val="009C15F3"/>
    <w:rsid w:val="009C3689"/>
    <w:rsid w:val="009E07C2"/>
    <w:rsid w:val="009E0E52"/>
    <w:rsid w:val="009E7456"/>
    <w:rsid w:val="009F396D"/>
    <w:rsid w:val="009F72F9"/>
    <w:rsid w:val="00A00205"/>
    <w:rsid w:val="00A00AF0"/>
    <w:rsid w:val="00A12190"/>
    <w:rsid w:val="00A14B5A"/>
    <w:rsid w:val="00A3567F"/>
    <w:rsid w:val="00A37698"/>
    <w:rsid w:val="00A41ED3"/>
    <w:rsid w:val="00A63E7F"/>
    <w:rsid w:val="00A81D82"/>
    <w:rsid w:val="00A9118F"/>
    <w:rsid w:val="00A93E33"/>
    <w:rsid w:val="00AA034D"/>
    <w:rsid w:val="00AB0F98"/>
    <w:rsid w:val="00AB307A"/>
    <w:rsid w:val="00AB3129"/>
    <w:rsid w:val="00AB6970"/>
    <w:rsid w:val="00AC1939"/>
    <w:rsid w:val="00AC5412"/>
    <w:rsid w:val="00AC6AF1"/>
    <w:rsid w:val="00AC7C05"/>
    <w:rsid w:val="00AD167C"/>
    <w:rsid w:val="00AD17C7"/>
    <w:rsid w:val="00AD4041"/>
    <w:rsid w:val="00AE302B"/>
    <w:rsid w:val="00AE689F"/>
    <w:rsid w:val="00AF27BC"/>
    <w:rsid w:val="00AF58A1"/>
    <w:rsid w:val="00B018EA"/>
    <w:rsid w:val="00B0248D"/>
    <w:rsid w:val="00B16BE5"/>
    <w:rsid w:val="00B23A5E"/>
    <w:rsid w:val="00B259DF"/>
    <w:rsid w:val="00B44B1F"/>
    <w:rsid w:val="00B542F0"/>
    <w:rsid w:val="00B64141"/>
    <w:rsid w:val="00B64E72"/>
    <w:rsid w:val="00B711AF"/>
    <w:rsid w:val="00B73647"/>
    <w:rsid w:val="00B77913"/>
    <w:rsid w:val="00B824FB"/>
    <w:rsid w:val="00B82646"/>
    <w:rsid w:val="00B95CEA"/>
    <w:rsid w:val="00B97359"/>
    <w:rsid w:val="00B9757A"/>
    <w:rsid w:val="00B97A8F"/>
    <w:rsid w:val="00BA4E58"/>
    <w:rsid w:val="00BA7074"/>
    <w:rsid w:val="00BB29C6"/>
    <w:rsid w:val="00BB7829"/>
    <w:rsid w:val="00BD1457"/>
    <w:rsid w:val="00BE2AD9"/>
    <w:rsid w:val="00BE662E"/>
    <w:rsid w:val="00BF0D32"/>
    <w:rsid w:val="00BF27FE"/>
    <w:rsid w:val="00C03CD1"/>
    <w:rsid w:val="00C043B3"/>
    <w:rsid w:val="00C0604C"/>
    <w:rsid w:val="00C0727F"/>
    <w:rsid w:val="00C079AB"/>
    <w:rsid w:val="00C10E61"/>
    <w:rsid w:val="00C14787"/>
    <w:rsid w:val="00C1596D"/>
    <w:rsid w:val="00C15B8D"/>
    <w:rsid w:val="00C17010"/>
    <w:rsid w:val="00C20562"/>
    <w:rsid w:val="00C215C3"/>
    <w:rsid w:val="00C23A96"/>
    <w:rsid w:val="00C249C6"/>
    <w:rsid w:val="00C32CC1"/>
    <w:rsid w:val="00C4151D"/>
    <w:rsid w:val="00C426EC"/>
    <w:rsid w:val="00C5296E"/>
    <w:rsid w:val="00C5581E"/>
    <w:rsid w:val="00C628F1"/>
    <w:rsid w:val="00C6483C"/>
    <w:rsid w:val="00C64AE9"/>
    <w:rsid w:val="00C70CFF"/>
    <w:rsid w:val="00C7148D"/>
    <w:rsid w:val="00C718FE"/>
    <w:rsid w:val="00C71A4A"/>
    <w:rsid w:val="00C83FA1"/>
    <w:rsid w:val="00C86CEC"/>
    <w:rsid w:val="00C8773D"/>
    <w:rsid w:val="00C87ABB"/>
    <w:rsid w:val="00C910AA"/>
    <w:rsid w:val="00C91831"/>
    <w:rsid w:val="00C91BEF"/>
    <w:rsid w:val="00C953DF"/>
    <w:rsid w:val="00C963E6"/>
    <w:rsid w:val="00CD437F"/>
    <w:rsid w:val="00CD5401"/>
    <w:rsid w:val="00CE2709"/>
    <w:rsid w:val="00CE2D64"/>
    <w:rsid w:val="00CE6198"/>
    <w:rsid w:val="00CE6CD6"/>
    <w:rsid w:val="00CF6230"/>
    <w:rsid w:val="00D017FC"/>
    <w:rsid w:val="00D01B8F"/>
    <w:rsid w:val="00D0226A"/>
    <w:rsid w:val="00D04213"/>
    <w:rsid w:val="00D042C1"/>
    <w:rsid w:val="00D13147"/>
    <w:rsid w:val="00D133AF"/>
    <w:rsid w:val="00D33DC7"/>
    <w:rsid w:val="00D36C1F"/>
    <w:rsid w:val="00D463FF"/>
    <w:rsid w:val="00D47608"/>
    <w:rsid w:val="00D50403"/>
    <w:rsid w:val="00D5715A"/>
    <w:rsid w:val="00D60BCB"/>
    <w:rsid w:val="00D62AB3"/>
    <w:rsid w:val="00D71687"/>
    <w:rsid w:val="00D74813"/>
    <w:rsid w:val="00D85BA1"/>
    <w:rsid w:val="00D92B94"/>
    <w:rsid w:val="00DA30BC"/>
    <w:rsid w:val="00DA69C2"/>
    <w:rsid w:val="00DA6D70"/>
    <w:rsid w:val="00DB6050"/>
    <w:rsid w:val="00DC2C34"/>
    <w:rsid w:val="00DD2470"/>
    <w:rsid w:val="00DD2BB7"/>
    <w:rsid w:val="00DE2C87"/>
    <w:rsid w:val="00DE459A"/>
    <w:rsid w:val="00DF27DA"/>
    <w:rsid w:val="00DF4DBE"/>
    <w:rsid w:val="00E06279"/>
    <w:rsid w:val="00E11D90"/>
    <w:rsid w:val="00E132F7"/>
    <w:rsid w:val="00E26F64"/>
    <w:rsid w:val="00E33A07"/>
    <w:rsid w:val="00E348FC"/>
    <w:rsid w:val="00E40820"/>
    <w:rsid w:val="00E4658F"/>
    <w:rsid w:val="00E467DA"/>
    <w:rsid w:val="00E51A34"/>
    <w:rsid w:val="00E524F0"/>
    <w:rsid w:val="00E54A67"/>
    <w:rsid w:val="00E607CD"/>
    <w:rsid w:val="00E61C0D"/>
    <w:rsid w:val="00E63EB4"/>
    <w:rsid w:val="00E65567"/>
    <w:rsid w:val="00E66160"/>
    <w:rsid w:val="00E71329"/>
    <w:rsid w:val="00E74FE0"/>
    <w:rsid w:val="00E8363B"/>
    <w:rsid w:val="00E84966"/>
    <w:rsid w:val="00E92383"/>
    <w:rsid w:val="00E9562A"/>
    <w:rsid w:val="00EA1B3A"/>
    <w:rsid w:val="00EA2109"/>
    <w:rsid w:val="00EB057A"/>
    <w:rsid w:val="00EB6ECB"/>
    <w:rsid w:val="00EC1FC4"/>
    <w:rsid w:val="00ED296F"/>
    <w:rsid w:val="00ED341A"/>
    <w:rsid w:val="00ED4D4E"/>
    <w:rsid w:val="00EE0C77"/>
    <w:rsid w:val="00EE4E54"/>
    <w:rsid w:val="00EF4334"/>
    <w:rsid w:val="00F16908"/>
    <w:rsid w:val="00F32BB6"/>
    <w:rsid w:val="00F436BB"/>
    <w:rsid w:val="00F47145"/>
    <w:rsid w:val="00F545BF"/>
    <w:rsid w:val="00F656C6"/>
    <w:rsid w:val="00F71B56"/>
    <w:rsid w:val="00F832C8"/>
    <w:rsid w:val="00F873B3"/>
    <w:rsid w:val="00F8791D"/>
    <w:rsid w:val="00FA00BE"/>
    <w:rsid w:val="00FA33FE"/>
    <w:rsid w:val="00FA42B9"/>
    <w:rsid w:val="00FA755A"/>
    <w:rsid w:val="00FB2B0F"/>
    <w:rsid w:val="00FB2C74"/>
    <w:rsid w:val="00FB4F6B"/>
    <w:rsid w:val="00FB5E20"/>
    <w:rsid w:val="00FB5FE1"/>
    <w:rsid w:val="00FC0E8D"/>
    <w:rsid w:val="00FC46EF"/>
    <w:rsid w:val="00FD31B3"/>
    <w:rsid w:val="00FD40E6"/>
    <w:rsid w:val="00FD4204"/>
    <w:rsid w:val="00FE2990"/>
    <w:rsid w:val="00FF3924"/>
    <w:rsid w:val="00FF3CCB"/>
    <w:rsid w:val="00FF57B5"/>
    <w:rsid w:val="4F640A5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2F420E"/>
    <w:pPr>
      <w:numPr>
        <w:numId w:val="12"/>
      </w:numPr>
      <w:spacing w:before="240" w:after="120"/>
      <w:ind w:left="1276"/>
    </w:pPr>
    <w:rPr>
      <w:bCs/>
    </w:rPr>
  </w:style>
  <w:style w:type="paragraph" w:customStyle="1" w:styleId="Bulletlist2">
    <w:name w:val="Bullet list 2"/>
    <w:basedOn w:val="Bulletlist1"/>
    <w:uiPriority w:val="1"/>
    <w:qFormat/>
    <w:rsid w:val="002F420E"/>
    <w:pPr>
      <w:numPr>
        <w:ilvl w:val="1"/>
      </w:numPr>
      <w:ind w:left="1701"/>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uiPriority w:val="22"/>
    <w:qFormat/>
    <w:rsid w:val="00FA00BE"/>
    <w:rPr>
      <w:b/>
      <w:bCs/>
    </w:rPr>
  </w:style>
  <w:style w:type="paragraph" w:customStyle="1" w:styleId="BulletPoint">
    <w:name w:val="Bullet Point"/>
    <w:basedOn w:val="ListParagraph"/>
    <w:link w:val="BulletPointChar"/>
    <w:qFormat/>
    <w:rsid w:val="00C83FA1"/>
    <w:pPr>
      <w:numPr>
        <w:numId w:val="28"/>
      </w:numPr>
      <w:spacing w:before="240" w:after="120" w:line="240" w:lineRule="auto"/>
    </w:pPr>
    <w:rPr>
      <w:rFonts w:eastAsia="Times New Roman"/>
      <w:szCs w:val="24"/>
      <w:lang w:bidi="ar-SA"/>
    </w:rPr>
  </w:style>
  <w:style w:type="character" w:customStyle="1" w:styleId="BulletPointChar">
    <w:name w:val="Bullet Point Char"/>
    <w:basedOn w:val="DefaultParagraphFont"/>
    <w:link w:val="BulletPoint"/>
    <w:rsid w:val="00C83FA1"/>
    <w:rPr>
      <w:rFonts w:ascii="Arial" w:eastAsia="Times New Roman" w:hAnsi="Arial"/>
      <w:sz w:val="24"/>
      <w:szCs w:val="24"/>
      <w:lang w:eastAsia="en-US"/>
    </w:rPr>
  </w:style>
  <w:style w:type="paragraph" w:customStyle="1" w:styleId="NumberedParagraph">
    <w:name w:val="Numbered Paragraph"/>
    <w:basedOn w:val="Normal"/>
    <w:link w:val="NumberedParagraphChar"/>
    <w:qFormat/>
    <w:rsid w:val="00C83FA1"/>
    <w:pPr>
      <w:spacing w:before="240" w:after="120" w:line="240" w:lineRule="auto"/>
      <w:ind w:left="709" w:hanging="709"/>
    </w:pPr>
    <w:rPr>
      <w:rFonts w:eastAsia="Times New Roman"/>
      <w:szCs w:val="24"/>
      <w:lang w:bidi="ar-SA"/>
    </w:rPr>
  </w:style>
  <w:style w:type="character" w:customStyle="1" w:styleId="NumberedParagraphChar">
    <w:name w:val="Numbered Paragraph Char"/>
    <w:basedOn w:val="DefaultParagraphFont"/>
    <w:link w:val="NumberedParagraph"/>
    <w:rsid w:val="00C83FA1"/>
    <w:rPr>
      <w:rFonts w:ascii="Arial" w:eastAsia="Times New Roman" w:hAnsi="Arial"/>
      <w:sz w:val="24"/>
      <w:szCs w:val="24"/>
      <w:lang w:eastAsia="en-US"/>
    </w:rPr>
  </w:style>
  <w:style w:type="paragraph" w:styleId="TOCHeading">
    <w:name w:val="TOC Heading"/>
    <w:basedOn w:val="Heading1"/>
    <w:next w:val="Normal"/>
    <w:uiPriority w:val="39"/>
    <w:unhideWhenUsed/>
    <w:qFormat/>
    <w:rsid w:val="002F420E"/>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1872">
      <w:bodyDiv w:val="1"/>
      <w:marLeft w:val="0"/>
      <w:marRight w:val="0"/>
      <w:marTop w:val="0"/>
      <w:marBottom w:val="0"/>
      <w:divBdr>
        <w:top w:val="none" w:sz="0" w:space="0" w:color="auto"/>
        <w:left w:val="none" w:sz="0" w:space="0" w:color="auto"/>
        <w:bottom w:val="none" w:sz="0" w:space="0" w:color="auto"/>
        <w:right w:val="none" w:sz="0" w:space="0" w:color="auto"/>
      </w:divBdr>
    </w:div>
    <w:div w:id="65346290">
      <w:bodyDiv w:val="1"/>
      <w:marLeft w:val="0"/>
      <w:marRight w:val="0"/>
      <w:marTop w:val="0"/>
      <w:marBottom w:val="0"/>
      <w:divBdr>
        <w:top w:val="none" w:sz="0" w:space="0" w:color="auto"/>
        <w:left w:val="none" w:sz="0" w:space="0" w:color="auto"/>
        <w:bottom w:val="none" w:sz="0" w:space="0" w:color="auto"/>
        <w:right w:val="none" w:sz="0" w:space="0" w:color="auto"/>
      </w:divBdr>
    </w:div>
    <w:div w:id="75833902">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3920223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61651833">
      <w:bodyDiv w:val="1"/>
      <w:marLeft w:val="0"/>
      <w:marRight w:val="0"/>
      <w:marTop w:val="0"/>
      <w:marBottom w:val="0"/>
      <w:divBdr>
        <w:top w:val="none" w:sz="0" w:space="0" w:color="auto"/>
        <w:left w:val="none" w:sz="0" w:space="0" w:color="auto"/>
        <w:bottom w:val="none" w:sz="0" w:space="0" w:color="auto"/>
        <w:right w:val="none" w:sz="0" w:space="0" w:color="auto"/>
      </w:divBdr>
    </w:div>
    <w:div w:id="307052200">
      <w:bodyDiv w:val="1"/>
      <w:marLeft w:val="0"/>
      <w:marRight w:val="0"/>
      <w:marTop w:val="0"/>
      <w:marBottom w:val="0"/>
      <w:divBdr>
        <w:top w:val="none" w:sz="0" w:space="0" w:color="auto"/>
        <w:left w:val="none" w:sz="0" w:space="0" w:color="auto"/>
        <w:bottom w:val="none" w:sz="0" w:space="0" w:color="auto"/>
        <w:right w:val="none" w:sz="0" w:space="0" w:color="auto"/>
      </w:divBdr>
    </w:div>
    <w:div w:id="310447886">
      <w:bodyDiv w:val="1"/>
      <w:marLeft w:val="0"/>
      <w:marRight w:val="0"/>
      <w:marTop w:val="0"/>
      <w:marBottom w:val="0"/>
      <w:divBdr>
        <w:top w:val="none" w:sz="0" w:space="0" w:color="auto"/>
        <w:left w:val="none" w:sz="0" w:space="0" w:color="auto"/>
        <w:bottom w:val="none" w:sz="0" w:space="0" w:color="auto"/>
        <w:right w:val="none" w:sz="0" w:space="0" w:color="auto"/>
      </w:divBdr>
    </w:div>
    <w:div w:id="324474528">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9457357">
      <w:bodyDiv w:val="1"/>
      <w:marLeft w:val="0"/>
      <w:marRight w:val="0"/>
      <w:marTop w:val="0"/>
      <w:marBottom w:val="0"/>
      <w:divBdr>
        <w:top w:val="none" w:sz="0" w:space="0" w:color="auto"/>
        <w:left w:val="none" w:sz="0" w:space="0" w:color="auto"/>
        <w:bottom w:val="none" w:sz="0" w:space="0" w:color="auto"/>
        <w:right w:val="none" w:sz="0" w:space="0" w:color="auto"/>
      </w:divBdr>
    </w:div>
    <w:div w:id="38105700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3619551">
      <w:bodyDiv w:val="1"/>
      <w:marLeft w:val="0"/>
      <w:marRight w:val="0"/>
      <w:marTop w:val="0"/>
      <w:marBottom w:val="0"/>
      <w:divBdr>
        <w:top w:val="none" w:sz="0" w:space="0" w:color="auto"/>
        <w:left w:val="none" w:sz="0" w:space="0" w:color="auto"/>
        <w:bottom w:val="none" w:sz="0" w:space="0" w:color="auto"/>
        <w:right w:val="none" w:sz="0" w:space="0" w:color="auto"/>
      </w:divBdr>
    </w:div>
    <w:div w:id="473371575">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4805232">
      <w:bodyDiv w:val="1"/>
      <w:marLeft w:val="0"/>
      <w:marRight w:val="0"/>
      <w:marTop w:val="0"/>
      <w:marBottom w:val="0"/>
      <w:divBdr>
        <w:top w:val="none" w:sz="0" w:space="0" w:color="auto"/>
        <w:left w:val="none" w:sz="0" w:space="0" w:color="auto"/>
        <w:bottom w:val="none" w:sz="0" w:space="0" w:color="auto"/>
        <w:right w:val="none" w:sz="0" w:space="0" w:color="auto"/>
      </w:divBdr>
    </w:div>
    <w:div w:id="655647369">
      <w:bodyDiv w:val="1"/>
      <w:marLeft w:val="0"/>
      <w:marRight w:val="0"/>
      <w:marTop w:val="0"/>
      <w:marBottom w:val="0"/>
      <w:divBdr>
        <w:top w:val="none" w:sz="0" w:space="0" w:color="auto"/>
        <w:left w:val="none" w:sz="0" w:space="0" w:color="auto"/>
        <w:bottom w:val="none" w:sz="0" w:space="0" w:color="auto"/>
        <w:right w:val="none" w:sz="0" w:space="0" w:color="auto"/>
      </w:divBdr>
    </w:div>
    <w:div w:id="661080113">
      <w:bodyDiv w:val="1"/>
      <w:marLeft w:val="0"/>
      <w:marRight w:val="0"/>
      <w:marTop w:val="0"/>
      <w:marBottom w:val="0"/>
      <w:divBdr>
        <w:top w:val="none" w:sz="0" w:space="0" w:color="auto"/>
        <w:left w:val="none" w:sz="0" w:space="0" w:color="auto"/>
        <w:bottom w:val="none" w:sz="0" w:space="0" w:color="auto"/>
        <w:right w:val="none" w:sz="0" w:space="0" w:color="auto"/>
      </w:divBdr>
    </w:div>
    <w:div w:id="666246672">
      <w:bodyDiv w:val="1"/>
      <w:marLeft w:val="0"/>
      <w:marRight w:val="0"/>
      <w:marTop w:val="0"/>
      <w:marBottom w:val="0"/>
      <w:divBdr>
        <w:top w:val="none" w:sz="0" w:space="0" w:color="auto"/>
        <w:left w:val="none" w:sz="0" w:space="0" w:color="auto"/>
        <w:bottom w:val="none" w:sz="0" w:space="0" w:color="auto"/>
        <w:right w:val="none" w:sz="0" w:space="0" w:color="auto"/>
      </w:divBdr>
    </w:div>
    <w:div w:id="769935266">
      <w:bodyDiv w:val="1"/>
      <w:marLeft w:val="0"/>
      <w:marRight w:val="0"/>
      <w:marTop w:val="0"/>
      <w:marBottom w:val="0"/>
      <w:divBdr>
        <w:top w:val="none" w:sz="0" w:space="0" w:color="auto"/>
        <w:left w:val="none" w:sz="0" w:space="0" w:color="auto"/>
        <w:bottom w:val="none" w:sz="0" w:space="0" w:color="auto"/>
        <w:right w:val="none" w:sz="0" w:space="0" w:color="auto"/>
      </w:divBdr>
    </w:div>
    <w:div w:id="862744317">
      <w:bodyDiv w:val="1"/>
      <w:marLeft w:val="0"/>
      <w:marRight w:val="0"/>
      <w:marTop w:val="0"/>
      <w:marBottom w:val="0"/>
      <w:divBdr>
        <w:top w:val="none" w:sz="0" w:space="0" w:color="auto"/>
        <w:left w:val="none" w:sz="0" w:space="0" w:color="auto"/>
        <w:bottom w:val="none" w:sz="0" w:space="0" w:color="auto"/>
        <w:right w:val="none" w:sz="0" w:space="0" w:color="auto"/>
      </w:divBdr>
    </w:div>
    <w:div w:id="884217372">
      <w:bodyDiv w:val="1"/>
      <w:marLeft w:val="0"/>
      <w:marRight w:val="0"/>
      <w:marTop w:val="0"/>
      <w:marBottom w:val="0"/>
      <w:divBdr>
        <w:top w:val="none" w:sz="0" w:space="0" w:color="auto"/>
        <w:left w:val="none" w:sz="0" w:space="0" w:color="auto"/>
        <w:bottom w:val="none" w:sz="0" w:space="0" w:color="auto"/>
        <w:right w:val="none" w:sz="0" w:space="0" w:color="auto"/>
      </w:divBdr>
    </w:div>
    <w:div w:id="893196012">
      <w:bodyDiv w:val="1"/>
      <w:marLeft w:val="0"/>
      <w:marRight w:val="0"/>
      <w:marTop w:val="0"/>
      <w:marBottom w:val="0"/>
      <w:divBdr>
        <w:top w:val="none" w:sz="0" w:space="0" w:color="auto"/>
        <w:left w:val="none" w:sz="0" w:space="0" w:color="auto"/>
        <w:bottom w:val="none" w:sz="0" w:space="0" w:color="auto"/>
        <w:right w:val="none" w:sz="0" w:space="0" w:color="auto"/>
      </w:divBdr>
    </w:div>
    <w:div w:id="918364441">
      <w:bodyDiv w:val="1"/>
      <w:marLeft w:val="0"/>
      <w:marRight w:val="0"/>
      <w:marTop w:val="0"/>
      <w:marBottom w:val="0"/>
      <w:divBdr>
        <w:top w:val="none" w:sz="0" w:space="0" w:color="auto"/>
        <w:left w:val="none" w:sz="0" w:space="0" w:color="auto"/>
        <w:bottom w:val="none" w:sz="0" w:space="0" w:color="auto"/>
        <w:right w:val="none" w:sz="0" w:space="0" w:color="auto"/>
      </w:divBdr>
    </w:div>
    <w:div w:id="953513614">
      <w:bodyDiv w:val="1"/>
      <w:marLeft w:val="0"/>
      <w:marRight w:val="0"/>
      <w:marTop w:val="0"/>
      <w:marBottom w:val="0"/>
      <w:divBdr>
        <w:top w:val="none" w:sz="0" w:space="0" w:color="auto"/>
        <w:left w:val="none" w:sz="0" w:space="0" w:color="auto"/>
        <w:bottom w:val="none" w:sz="0" w:space="0" w:color="auto"/>
        <w:right w:val="none" w:sz="0" w:space="0" w:color="auto"/>
      </w:divBdr>
    </w:div>
    <w:div w:id="97001797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4624699">
      <w:bodyDiv w:val="1"/>
      <w:marLeft w:val="0"/>
      <w:marRight w:val="0"/>
      <w:marTop w:val="0"/>
      <w:marBottom w:val="0"/>
      <w:divBdr>
        <w:top w:val="none" w:sz="0" w:space="0" w:color="auto"/>
        <w:left w:val="none" w:sz="0" w:space="0" w:color="auto"/>
        <w:bottom w:val="none" w:sz="0" w:space="0" w:color="auto"/>
        <w:right w:val="none" w:sz="0" w:space="0" w:color="auto"/>
      </w:divBdr>
    </w:div>
    <w:div w:id="1064445881">
      <w:bodyDiv w:val="1"/>
      <w:marLeft w:val="0"/>
      <w:marRight w:val="0"/>
      <w:marTop w:val="0"/>
      <w:marBottom w:val="0"/>
      <w:divBdr>
        <w:top w:val="none" w:sz="0" w:space="0" w:color="auto"/>
        <w:left w:val="none" w:sz="0" w:space="0" w:color="auto"/>
        <w:bottom w:val="none" w:sz="0" w:space="0" w:color="auto"/>
        <w:right w:val="none" w:sz="0" w:space="0" w:color="auto"/>
      </w:divBdr>
    </w:div>
    <w:div w:id="1135832175">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64010205">
      <w:bodyDiv w:val="1"/>
      <w:marLeft w:val="0"/>
      <w:marRight w:val="0"/>
      <w:marTop w:val="0"/>
      <w:marBottom w:val="0"/>
      <w:divBdr>
        <w:top w:val="none" w:sz="0" w:space="0" w:color="auto"/>
        <w:left w:val="none" w:sz="0" w:space="0" w:color="auto"/>
        <w:bottom w:val="none" w:sz="0" w:space="0" w:color="auto"/>
        <w:right w:val="none" w:sz="0" w:space="0" w:color="auto"/>
      </w:divBdr>
    </w:div>
    <w:div w:id="1191912575">
      <w:bodyDiv w:val="1"/>
      <w:marLeft w:val="0"/>
      <w:marRight w:val="0"/>
      <w:marTop w:val="0"/>
      <w:marBottom w:val="0"/>
      <w:divBdr>
        <w:top w:val="none" w:sz="0" w:space="0" w:color="auto"/>
        <w:left w:val="none" w:sz="0" w:space="0" w:color="auto"/>
        <w:bottom w:val="none" w:sz="0" w:space="0" w:color="auto"/>
        <w:right w:val="none" w:sz="0" w:space="0" w:color="auto"/>
      </w:divBdr>
    </w:div>
    <w:div w:id="1205753245">
      <w:bodyDiv w:val="1"/>
      <w:marLeft w:val="0"/>
      <w:marRight w:val="0"/>
      <w:marTop w:val="0"/>
      <w:marBottom w:val="0"/>
      <w:divBdr>
        <w:top w:val="none" w:sz="0" w:space="0" w:color="auto"/>
        <w:left w:val="none" w:sz="0" w:space="0" w:color="auto"/>
        <w:bottom w:val="none" w:sz="0" w:space="0" w:color="auto"/>
        <w:right w:val="none" w:sz="0" w:space="0" w:color="auto"/>
      </w:divBdr>
    </w:div>
    <w:div w:id="1274480132">
      <w:bodyDiv w:val="1"/>
      <w:marLeft w:val="0"/>
      <w:marRight w:val="0"/>
      <w:marTop w:val="0"/>
      <w:marBottom w:val="0"/>
      <w:divBdr>
        <w:top w:val="none" w:sz="0" w:space="0" w:color="auto"/>
        <w:left w:val="none" w:sz="0" w:space="0" w:color="auto"/>
        <w:bottom w:val="none" w:sz="0" w:space="0" w:color="auto"/>
        <w:right w:val="none" w:sz="0" w:space="0" w:color="auto"/>
      </w:divBdr>
    </w:div>
    <w:div w:id="1310398635">
      <w:bodyDiv w:val="1"/>
      <w:marLeft w:val="0"/>
      <w:marRight w:val="0"/>
      <w:marTop w:val="0"/>
      <w:marBottom w:val="0"/>
      <w:divBdr>
        <w:top w:val="none" w:sz="0" w:space="0" w:color="auto"/>
        <w:left w:val="none" w:sz="0" w:space="0" w:color="auto"/>
        <w:bottom w:val="none" w:sz="0" w:space="0" w:color="auto"/>
        <w:right w:val="none" w:sz="0" w:space="0" w:color="auto"/>
      </w:divBdr>
    </w:div>
    <w:div w:id="1318417443">
      <w:bodyDiv w:val="1"/>
      <w:marLeft w:val="0"/>
      <w:marRight w:val="0"/>
      <w:marTop w:val="0"/>
      <w:marBottom w:val="0"/>
      <w:divBdr>
        <w:top w:val="none" w:sz="0" w:space="0" w:color="auto"/>
        <w:left w:val="none" w:sz="0" w:space="0" w:color="auto"/>
        <w:bottom w:val="none" w:sz="0" w:space="0" w:color="auto"/>
        <w:right w:val="none" w:sz="0" w:space="0" w:color="auto"/>
      </w:divBdr>
    </w:div>
    <w:div w:id="1362971697">
      <w:bodyDiv w:val="1"/>
      <w:marLeft w:val="0"/>
      <w:marRight w:val="0"/>
      <w:marTop w:val="0"/>
      <w:marBottom w:val="0"/>
      <w:divBdr>
        <w:top w:val="none" w:sz="0" w:space="0" w:color="auto"/>
        <w:left w:val="none" w:sz="0" w:space="0" w:color="auto"/>
        <w:bottom w:val="none" w:sz="0" w:space="0" w:color="auto"/>
        <w:right w:val="none" w:sz="0" w:space="0" w:color="auto"/>
      </w:divBdr>
    </w:div>
    <w:div w:id="139901230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5446367">
      <w:bodyDiv w:val="1"/>
      <w:marLeft w:val="0"/>
      <w:marRight w:val="0"/>
      <w:marTop w:val="0"/>
      <w:marBottom w:val="0"/>
      <w:divBdr>
        <w:top w:val="none" w:sz="0" w:space="0" w:color="auto"/>
        <w:left w:val="none" w:sz="0" w:space="0" w:color="auto"/>
        <w:bottom w:val="none" w:sz="0" w:space="0" w:color="auto"/>
        <w:right w:val="none" w:sz="0" w:space="0" w:color="auto"/>
      </w:divBdr>
    </w:div>
    <w:div w:id="1518301368">
      <w:bodyDiv w:val="1"/>
      <w:marLeft w:val="0"/>
      <w:marRight w:val="0"/>
      <w:marTop w:val="0"/>
      <w:marBottom w:val="0"/>
      <w:divBdr>
        <w:top w:val="none" w:sz="0" w:space="0" w:color="auto"/>
        <w:left w:val="none" w:sz="0" w:space="0" w:color="auto"/>
        <w:bottom w:val="none" w:sz="0" w:space="0" w:color="auto"/>
        <w:right w:val="none" w:sz="0" w:space="0" w:color="auto"/>
      </w:divBdr>
    </w:div>
    <w:div w:id="1541897880">
      <w:bodyDiv w:val="1"/>
      <w:marLeft w:val="0"/>
      <w:marRight w:val="0"/>
      <w:marTop w:val="0"/>
      <w:marBottom w:val="0"/>
      <w:divBdr>
        <w:top w:val="none" w:sz="0" w:space="0" w:color="auto"/>
        <w:left w:val="none" w:sz="0" w:space="0" w:color="auto"/>
        <w:bottom w:val="none" w:sz="0" w:space="0" w:color="auto"/>
        <w:right w:val="none" w:sz="0" w:space="0" w:color="auto"/>
      </w:divBdr>
    </w:div>
    <w:div w:id="1546988315">
      <w:bodyDiv w:val="1"/>
      <w:marLeft w:val="0"/>
      <w:marRight w:val="0"/>
      <w:marTop w:val="0"/>
      <w:marBottom w:val="0"/>
      <w:divBdr>
        <w:top w:val="none" w:sz="0" w:space="0" w:color="auto"/>
        <w:left w:val="none" w:sz="0" w:space="0" w:color="auto"/>
        <w:bottom w:val="none" w:sz="0" w:space="0" w:color="auto"/>
        <w:right w:val="none" w:sz="0" w:space="0" w:color="auto"/>
      </w:divBdr>
    </w:div>
    <w:div w:id="1560240007">
      <w:bodyDiv w:val="1"/>
      <w:marLeft w:val="0"/>
      <w:marRight w:val="0"/>
      <w:marTop w:val="0"/>
      <w:marBottom w:val="0"/>
      <w:divBdr>
        <w:top w:val="none" w:sz="0" w:space="0" w:color="auto"/>
        <w:left w:val="none" w:sz="0" w:space="0" w:color="auto"/>
        <w:bottom w:val="none" w:sz="0" w:space="0" w:color="auto"/>
        <w:right w:val="none" w:sz="0" w:space="0" w:color="auto"/>
      </w:divBdr>
    </w:div>
    <w:div w:id="161940635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75376622">
      <w:bodyDiv w:val="1"/>
      <w:marLeft w:val="0"/>
      <w:marRight w:val="0"/>
      <w:marTop w:val="0"/>
      <w:marBottom w:val="0"/>
      <w:divBdr>
        <w:top w:val="none" w:sz="0" w:space="0" w:color="auto"/>
        <w:left w:val="none" w:sz="0" w:space="0" w:color="auto"/>
        <w:bottom w:val="none" w:sz="0" w:space="0" w:color="auto"/>
        <w:right w:val="none" w:sz="0" w:space="0" w:color="auto"/>
      </w:divBdr>
    </w:div>
    <w:div w:id="1737119989">
      <w:bodyDiv w:val="1"/>
      <w:marLeft w:val="0"/>
      <w:marRight w:val="0"/>
      <w:marTop w:val="0"/>
      <w:marBottom w:val="0"/>
      <w:divBdr>
        <w:top w:val="none" w:sz="0" w:space="0" w:color="auto"/>
        <w:left w:val="none" w:sz="0" w:space="0" w:color="auto"/>
        <w:bottom w:val="none" w:sz="0" w:space="0" w:color="auto"/>
        <w:right w:val="none" w:sz="0" w:space="0" w:color="auto"/>
      </w:divBdr>
    </w:div>
    <w:div w:id="1755856050">
      <w:bodyDiv w:val="1"/>
      <w:marLeft w:val="0"/>
      <w:marRight w:val="0"/>
      <w:marTop w:val="0"/>
      <w:marBottom w:val="0"/>
      <w:divBdr>
        <w:top w:val="none" w:sz="0" w:space="0" w:color="auto"/>
        <w:left w:val="none" w:sz="0" w:space="0" w:color="auto"/>
        <w:bottom w:val="none" w:sz="0" w:space="0" w:color="auto"/>
        <w:right w:val="none" w:sz="0" w:space="0" w:color="auto"/>
      </w:divBdr>
    </w:div>
    <w:div w:id="1799254772">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51948777">
      <w:bodyDiv w:val="1"/>
      <w:marLeft w:val="0"/>
      <w:marRight w:val="0"/>
      <w:marTop w:val="0"/>
      <w:marBottom w:val="0"/>
      <w:divBdr>
        <w:top w:val="none" w:sz="0" w:space="0" w:color="auto"/>
        <w:left w:val="none" w:sz="0" w:space="0" w:color="auto"/>
        <w:bottom w:val="none" w:sz="0" w:space="0" w:color="auto"/>
        <w:right w:val="none" w:sz="0" w:space="0" w:color="auto"/>
      </w:divBdr>
    </w:div>
    <w:div w:id="1935745697">
      <w:bodyDiv w:val="1"/>
      <w:marLeft w:val="0"/>
      <w:marRight w:val="0"/>
      <w:marTop w:val="0"/>
      <w:marBottom w:val="0"/>
      <w:divBdr>
        <w:top w:val="none" w:sz="0" w:space="0" w:color="auto"/>
        <w:left w:val="none" w:sz="0" w:space="0" w:color="auto"/>
        <w:bottom w:val="none" w:sz="0" w:space="0" w:color="auto"/>
        <w:right w:val="none" w:sz="0" w:space="0" w:color="auto"/>
      </w:divBdr>
    </w:div>
    <w:div w:id="1947498987">
      <w:bodyDiv w:val="1"/>
      <w:marLeft w:val="0"/>
      <w:marRight w:val="0"/>
      <w:marTop w:val="0"/>
      <w:marBottom w:val="0"/>
      <w:divBdr>
        <w:top w:val="none" w:sz="0" w:space="0" w:color="auto"/>
        <w:left w:val="none" w:sz="0" w:space="0" w:color="auto"/>
        <w:bottom w:val="none" w:sz="0" w:space="0" w:color="auto"/>
        <w:right w:val="none" w:sz="0" w:space="0" w:color="auto"/>
      </w:divBdr>
    </w:div>
    <w:div w:id="2026247317">
      <w:bodyDiv w:val="1"/>
      <w:marLeft w:val="0"/>
      <w:marRight w:val="0"/>
      <w:marTop w:val="0"/>
      <w:marBottom w:val="0"/>
      <w:divBdr>
        <w:top w:val="none" w:sz="0" w:space="0" w:color="auto"/>
        <w:left w:val="none" w:sz="0" w:space="0" w:color="auto"/>
        <w:bottom w:val="none" w:sz="0" w:space="0" w:color="auto"/>
        <w:right w:val="none" w:sz="0" w:space="0" w:color="auto"/>
      </w:divBdr>
    </w:div>
    <w:div w:id="207696992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2041126">
      <w:bodyDiv w:val="1"/>
      <w:marLeft w:val="0"/>
      <w:marRight w:val="0"/>
      <w:marTop w:val="0"/>
      <w:marBottom w:val="0"/>
      <w:divBdr>
        <w:top w:val="none" w:sz="0" w:space="0" w:color="auto"/>
        <w:left w:val="none" w:sz="0" w:space="0" w:color="auto"/>
        <w:bottom w:val="none" w:sz="0" w:space="0" w:color="auto"/>
        <w:right w:val="none" w:sz="0" w:space="0" w:color="auto"/>
      </w:divBdr>
    </w:div>
    <w:div w:id="2101024882">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6559669">
      <w:bodyDiv w:val="1"/>
      <w:marLeft w:val="0"/>
      <w:marRight w:val="0"/>
      <w:marTop w:val="0"/>
      <w:marBottom w:val="0"/>
      <w:divBdr>
        <w:top w:val="none" w:sz="0" w:space="0" w:color="auto"/>
        <w:left w:val="none" w:sz="0" w:space="0" w:color="auto"/>
        <w:bottom w:val="none" w:sz="0" w:space="0" w:color="auto"/>
        <w:right w:val="none" w:sz="0" w:space="0" w:color="auto"/>
      </w:divBdr>
    </w:div>
    <w:div w:id="212927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B4BCBAF5FD84804BC3F469A2139A187"/>
        <w:category>
          <w:name w:val="General"/>
          <w:gallery w:val="placeholder"/>
        </w:category>
        <w:types>
          <w:type w:val="bbPlcHdr"/>
        </w:types>
        <w:behaviors>
          <w:behavior w:val="content"/>
        </w:behaviors>
        <w:guid w:val="{A6293D68-A232-408D-BD37-3B8284D25858}"/>
      </w:docPartPr>
      <w:docPartBody>
        <w:p w:rsidR="00C628F1" w:rsidRDefault="00C628F1" w:rsidP="00C628F1">
          <w:pPr>
            <w:pStyle w:val="7B4BCBAF5FD84804BC3F469A2139A187"/>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D6E9E"/>
    <w:rsid w:val="001101B7"/>
    <w:rsid w:val="00176DB5"/>
    <w:rsid w:val="00183F29"/>
    <w:rsid w:val="001C5B32"/>
    <w:rsid w:val="002550FD"/>
    <w:rsid w:val="00333F8E"/>
    <w:rsid w:val="00350199"/>
    <w:rsid w:val="003D5793"/>
    <w:rsid w:val="005A49B8"/>
    <w:rsid w:val="007154C5"/>
    <w:rsid w:val="00764F6F"/>
    <w:rsid w:val="0083336C"/>
    <w:rsid w:val="00835E07"/>
    <w:rsid w:val="008B5F2F"/>
    <w:rsid w:val="00935710"/>
    <w:rsid w:val="009A54A4"/>
    <w:rsid w:val="00A009A6"/>
    <w:rsid w:val="00A657B0"/>
    <w:rsid w:val="00AE689F"/>
    <w:rsid w:val="00B542F0"/>
    <w:rsid w:val="00B711AF"/>
    <w:rsid w:val="00B9757A"/>
    <w:rsid w:val="00BF0D32"/>
    <w:rsid w:val="00C17C1E"/>
    <w:rsid w:val="00C41BCC"/>
    <w:rsid w:val="00C628F1"/>
    <w:rsid w:val="00DD7BA4"/>
    <w:rsid w:val="00E27559"/>
    <w:rsid w:val="00E318CE"/>
    <w:rsid w:val="00E646E1"/>
    <w:rsid w:val="00EB73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28F1"/>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7B4BCBAF5FD84804BC3F469A2139A187">
    <w:name w:val="7B4BCBAF5FD84804BC3F469A2139A187"/>
    <w:rsid w:val="00C628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IEEE2006OfficeOnline.xsl" StyleName="IEEE" Version="2006">
  <b:Source>
    <b:Tag>ONR2</b:Tag>
    <b:SourceType>DocumentFromInternetSite</b:SourceType>
    <b:Guid>{FE6E47C9-41DD-4D86-855A-D3C19AFA070E}</b:Guid>
    <b:Author>
      <b:Author>
        <b:Corporate>ONR</b:Corporate>
      </b:Author>
    </b:Author>
    <b:Title>ONR-RD-POL-002 - Risk Informed and Targeted Engagements</b:Title>
    <b:URL>To ONR staff via HOW2 Hub (Internal ONR system)</b:URL>
    <b:RefOrder>1</b:RefOrder>
  </b:Source>
  <b:Source>
    <b:Tag>ONR46</b:Tag>
    <b:SourceType>DocumentFromInternetSite</b:SourceType>
    <b:Guid>{62767264-37A1-4F62-86B2-4DF5F24E83F1}</b:Guid>
    <b:Author>
      <b:Author>
        <b:Corporate>ONR</b:Corporate>
      </b:Author>
    </b:Author>
    <b:Title>Licence Condition Handbook</b:Title>
    <b:City>https://www.onr.org.uk/media/gixbe2br/licence-condition-handbook.pdf</b:City>
    <b:URL>To ONR staff via HOW2 Hub (Internal ONR system)</b:URL>
    <b:RefOrder>2</b:RefOrder>
  </b:Source>
  <b:Source>
    <b:Tag>1MD</b:Tag>
    <b:SourceType>Report</b:SourceType>
    <b:Guid>{B9623E60-8206-420B-B093-3E40425ABB41}</b:Guid>
    <b:Title>MDEP, CP-STC-01, Common Position Addressing First Plant Only Tests, Version 1, April 2018 (2019/46062)</b:Title>
    <b:Author>
      <b:Author>
        <b:Corporate>Nuclear Energy Agency</b:Corporate>
      </b:Author>
    </b:Author>
    <b:RefOrder>3</b:RefOrder>
  </b:Source>
  <b:Source>
    <b:Tag>ONR42</b:Tag>
    <b:SourceType>Report</b:SourceType>
    <b:Guid>{90C4A312-6F35-49B1-AF25-EC83573817BD}</b:Guid>
    <b:Author>
      <b:Author>
        <b:Corporate>ONR</b:Corporate>
      </b:Author>
    </b:Author>
    <b:Title>NS-TAST-GD-028 - Control and Instrumentation</b:Title>
    <b:RefOrder>4</b:RefOrder>
  </b:Source>
  <b:Source>
    <b:Tag>HMG</b:Tag>
    <b:SourceType>Book</b:SourceType>
    <b:Guid>{03E0DD9B-FDAE-4053-97E4-10FFFB2A85EA}</b:Guid>
    <b:Author>
      <b:Author>
        <b:NameList>
          <b:Person>
            <b:Last>Government</b:Last>
            <b:First>HM</b:First>
          </b:Person>
        </b:NameList>
      </b:Author>
    </b:Author>
    <b:Title>“The Nuclear Industries Security Regulations 2003”</b:Title>
    <b:RefOrder>5</b:RefOrder>
  </b:Source>
  <b:Source>
    <b:Tag>HMG1</b:Tag>
    <b:SourceType>Book</b:SourceType>
    <b:Guid>{911B5E71-D07E-412D-A6CA-7602465D860E}</b:Guid>
    <b:Author>
      <b:Author>
        <b:NameList>
          <b:Person>
            <b:Last>Government</b:Last>
            <b:First>HM</b:First>
          </b:Person>
        </b:NameList>
      </b:Author>
    </b:Author>
    <b:Title>“Nuclear Safeguards (EU Exit) Regulations 2019”</b:Title>
    <b:RefOrder>6</b:RefOrder>
  </b:Source>
</b:Sources>
</file>

<file path=customXml/item6.xml><?xml version="1.0" encoding="utf-8"?>
<?mso-contentType ?>
<SharedContentType xmlns="Microsoft.SharePoint.Taxonomy.ContentTypeSync" SourceId="66693000-3e12-4b44-a742-9a2ba35b7d28" ContentTypeId="0x0101000C70A82DFAAC384DB9F6EBA2C8B87C57" PreviousValue="false"/>
</file>

<file path=customXml/item7.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b57e419ffb840abb95ac6618f3e3a8b">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2464A8-7BA5-4131-8D06-4B18A77BE91D}">
  <ds:schemaRefs>
    <ds:schemaRef ds:uri="http://schemas.microsoft.com/office/infopath/2007/PartnerControls"/>
    <ds:schemaRef ds:uri="http://purl.org/dc/dcmitype/"/>
    <ds:schemaRef ds:uri="8c4e2855-9588-4bc9-9890-af639bd565eb"/>
    <ds:schemaRef ds:uri="http://purl.org/dc/elements/1.1/"/>
    <ds:schemaRef ds:uri="http://purl.org/dc/terms/"/>
    <ds:schemaRef ds:uri="fbd4c4c3-96d4-4265-b68e-6a383a5dca66"/>
    <ds:schemaRef ds:uri="http://schemas.microsoft.com/office/2006/documentManagement/types"/>
    <ds:schemaRef ds:uri="http://schemas.openxmlformats.org/package/2006/metadata/core-properties"/>
    <ds:schemaRef ds:uri="05350e14-297a-489c-ad04-faf6563b232c"/>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CB5C32C-1674-4892-B641-6CEDEAE34831}">
  <ds:schemaRefs>
    <ds:schemaRef ds:uri="http://schemas.microsoft.com/sharepoint/events"/>
  </ds:schemaRefs>
</ds:datastoreItem>
</file>

<file path=customXml/itemProps4.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5.xml><?xml version="1.0" encoding="utf-8"?>
<ds:datastoreItem xmlns:ds="http://schemas.openxmlformats.org/officeDocument/2006/customXml" ds:itemID="{2C5F33E7-479C-44CD-96F1-37750730D90A}">
  <ds:schemaRefs>
    <ds:schemaRef ds:uri="http://schemas.openxmlformats.org/officeDocument/2006/bibliography"/>
  </ds:schemaRefs>
</ds:datastoreItem>
</file>

<file path=customXml/itemProps6.xml><?xml version="1.0" encoding="utf-8"?>
<ds:datastoreItem xmlns:ds="http://schemas.openxmlformats.org/officeDocument/2006/customXml" ds:itemID="{2AB47BE0-4731-4D45-A735-AAFBC525D64A}">
  <ds:schemaRefs>
    <ds:schemaRef ds:uri="Microsoft.SharePoint.Taxonomy.ContentTypeSync"/>
  </ds:schemaRefs>
</ds:datastoreItem>
</file>

<file path=customXml/itemProps7.xml><?xml version="1.0" encoding="utf-8"?>
<ds:datastoreItem xmlns:ds="http://schemas.openxmlformats.org/officeDocument/2006/customXml" ds:itemID="{2A7818FE-609D-4334-89A3-E9CC0F290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16</Pages>
  <Words>3151</Words>
  <Characters>17966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21075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LC21 – Commissioning</dc:title>
  <dc:subject>[Subtitle or description]</dc:subject>
  <dc:creator>Liam Dunning</dc:creator>
  <cp:keywords>[Key words separated by commas]</cp:keywords>
  <dc:description/>
  <cp:lastModifiedBy>Linda Beckett</cp:lastModifiedBy>
  <cp:revision>3</cp:revision>
  <cp:lastPrinted>2016-11-28T11:35:00Z</cp:lastPrinted>
  <dcterms:created xsi:type="dcterms:W3CDTF">2026-05-05T11:40:00Z</dcterms:created>
  <dcterms:modified xsi:type="dcterms:W3CDTF">2026-05-05T11:40:00Z</dcterms:modified>
  <cp:contentStatus>7.2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y fmtid="{D5CDD505-2E9C-101B-9397-08002B2CF9AE}" pid="10" name="docLang">
    <vt:lpwstr>en</vt:lpwstr>
  </property>
</Properties>
</file>