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B4258F" w14:paraId="6C65111E" w14:textId="77777777" w:rsidTr="00881B6F">
        <w:trPr>
          <w:trHeight w:val="1162"/>
        </w:trPr>
        <w:tc>
          <w:tcPr>
            <w:tcW w:w="9156" w:type="dxa"/>
            <w:tcBorders>
              <w:bottom w:val="single" w:sz="24" w:space="0" w:color="22413A"/>
            </w:tcBorders>
          </w:tcPr>
          <w:p w14:paraId="35C1F1C6" w14:textId="77777777" w:rsidR="00C20562" w:rsidRPr="00B4258F" w:rsidRDefault="00C20562" w:rsidP="00323E71">
            <w:bookmarkStart w:id="0" w:name="_Toc466022543"/>
          </w:p>
        </w:tc>
      </w:tr>
      <w:tr w:rsidR="00D0226A" w:rsidRPr="00B4258F"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B4258F" w:rsidRDefault="00595C8C" w:rsidP="00595C8C">
            <w:pPr>
              <w:pStyle w:val="InnerCoverTitle"/>
              <w:rPr>
                <w:sz w:val="36"/>
                <w:szCs w:val="36"/>
              </w:rPr>
            </w:pPr>
            <w:r w:rsidRPr="00B4258F">
              <w:rPr>
                <w:sz w:val="36"/>
                <w:szCs w:val="36"/>
              </w:rPr>
              <w:t xml:space="preserve">ONR </w:t>
            </w:r>
            <w:r w:rsidR="00D60BCB" w:rsidRPr="00B4258F">
              <w:rPr>
                <w:sz w:val="36"/>
                <w:szCs w:val="36"/>
              </w:rPr>
              <w:t>Technical Inspection Guide (TIG)</w:t>
            </w:r>
          </w:p>
          <w:sdt>
            <w:sdtPr>
              <w:rPr>
                <w:sz w:val="96"/>
                <w:szCs w:val="96"/>
              </w:rPr>
              <w:id w:val="1228188510"/>
              <w:placeholder>
                <w:docPart w:val="DefaultPlaceholder_-1854013440"/>
              </w:placeholder>
            </w:sdtPr>
            <w:sdtEndPr/>
            <w:sdtContent>
              <w:p w14:paraId="7C4EA414" w14:textId="4CCAFD73" w:rsidR="00D0226A" w:rsidRPr="00C0342B" w:rsidRDefault="00D26809" w:rsidP="001E03E1">
                <w:pPr>
                  <w:pStyle w:val="CoverTitle"/>
                  <w:rPr>
                    <w:sz w:val="56"/>
                    <w:szCs w:val="56"/>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D070F" w:rsidRPr="00B51688">
                      <w:rPr>
                        <w:sz w:val="72"/>
                        <w:szCs w:val="72"/>
                      </w:rPr>
                      <w:t>LC</w:t>
                    </w:r>
                    <w:r w:rsidR="00B51688" w:rsidRPr="00B51688">
                      <w:rPr>
                        <w:sz w:val="72"/>
                        <w:szCs w:val="72"/>
                      </w:rPr>
                      <w:t xml:space="preserve"> </w:t>
                    </w:r>
                    <w:r w:rsidR="004D070F" w:rsidRPr="00B51688">
                      <w:rPr>
                        <w:sz w:val="72"/>
                        <w:szCs w:val="72"/>
                      </w:rPr>
                      <w:t>1</w:t>
                    </w:r>
                    <w:r w:rsidR="00AD647B" w:rsidRPr="00B51688">
                      <w:rPr>
                        <w:sz w:val="72"/>
                        <w:szCs w:val="72"/>
                      </w:rPr>
                      <w:t>5</w:t>
                    </w:r>
                    <w:r w:rsidR="004D070F" w:rsidRPr="00B51688">
                      <w:rPr>
                        <w:sz w:val="72"/>
                        <w:szCs w:val="72"/>
                      </w:rPr>
                      <w:t xml:space="preserve"> – </w:t>
                    </w:r>
                    <w:r w:rsidR="00AD647B" w:rsidRPr="00B51688">
                      <w:rPr>
                        <w:sz w:val="72"/>
                        <w:szCs w:val="72"/>
                      </w:rPr>
                      <w:t xml:space="preserve">Periodic </w:t>
                    </w:r>
                    <w:r w:rsidR="00B51688">
                      <w:rPr>
                        <w:sz w:val="72"/>
                        <w:szCs w:val="72"/>
                      </w:rPr>
                      <w:t>r</w:t>
                    </w:r>
                    <w:r w:rsidR="00AD647B" w:rsidRPr="00B51688">
                      <w:rPr>
                        <w:sz w:val="72"/>
                        <w:szCs w:val="72"/>
                      </w:rPr>
                      <w:t>eview</w:t>
                    </w:r>
                  </w:sdtContent>
                </w:sdt>
              </w:p>
            </w:sdtContent>
          </w:sdt>
        </w:tc>
      </w:tr>
    </w:tbl>
    <w:p w14:paraId="56A09D10" w14:textId="77777777" w:rsidR="00D0226A" w:rsidRPr="00B4258F" w:rsidRDefault="00D0226A">
      <w:pPr>
        <w:spacing w:after="0"/>
      </w:pPr>
    </w:p>
    <w:p w14:paraId="6AB6425B" w14:textId="77777777" w:rsidR="00D0226A" w:rsidRPr="00B4258F" w:rsidRDefault="00881B6F">
      <w:pPr>
        <w:spacing w:after="0"/>
      </w:pPr>
      <w:r w:rsidRPr="00B4258F">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B4258F" w:rsidRDefault="00267815">
      <w:pPr>
        <w:spacing w:after="0"/>
      </w:pPr>
      <w:r w:rsidRPr="00B4258F">
        <w:br w:type="page"/>
      </w:r>
    </w:p>
    <w:p w14:paraId="1FDB4B56" w14:textId="6C10B266" w:rsidR="00595C8C" w:rsidRPr="008B73BF" w:rsidRDefault="00595C8C" w:rsidP="00323E71">
      <w:pPr>
        <w:sectPr w:rsidR="00595C8C" w:rsidRPr="008B73BF" w:rsidSect="00194C0C">
          <w:headerReference w:type="default" r:id="rId16"/>
          <w:footerReference w:type="default" r:id="rId17"/>
          <w:pgSz w:w="11906" w:h="16838" w:code="9"/>
          <w:pgMar w:top="1440" w:right="1440" w:bottom="1440" w:left="1440" w:header="397" w:footer="397" w:gutter="0"/>
          <w:cols w:space="312"/>
          <w:titlePg/>
          <w:docGrid w:linePitch="360"/>
        </w:sectPr>
      </w:pPr>
    </w:p>
    <w:p w14:paraId="15905A9C" w14:textId="1A123F76" w:rsidR="00131529" w:rsidRPr="00194C0C" w:rsidRDefault="00131529" w:rsidP="00194C0C">
      <w:pPr>
        <w:pStyle w:val="Heading1"/>
      </w:pPr>
      <w:bookmarkStart w:id="1" w:name="_Toc217046642"/>
      <w:bookmarkEnd w:id="0"/>
      <w:r w:rsidRPr="00194C0C">
        <w:lastRenderedPageBreak/>
        <w:t>Introduction</w:t>
      </w:r>
      <w:bookmarkEnd w:id="1"/>
    </w:p>
    <w:p w14:paraId="4FA736FF" w14:textId="320C1EB8" w:rsidR="005352AD" w:rsidRPr="00194C0C" w:rsidRDefault="005352AD" w:rsidP="00194C0C">
      <w:pPr>
        <w:pStyle w:val="F9-Paragraph"/>
      </w:pPr>
      <w:bookmarkStart w:id="2" w:name="_Hlk64448648"/>
      <w:r w:rsidRPr="00194C0C">
        <w:t xml:space="preserve">Technical Inspection Guides (TIG) support inspectors undertaking compliance inspections to make regulatory judgements in relation to the adequacy of compliance and in providing regulatory advice on specific Licence Conditions (LCs) to licensees. The purpose of this guidance is to facilitate a consistent approach to </w:t>
      </w:r>
      <w:r w:rsidR="00194C0C">
        <w:t>LC 15</w:t>
      </w:r>
      <w:r w:rsidRPr="00194C0C">
        <w:t>.</w:t>
      </w:r>
    </w:p>
    <w:p w14:paraId="76CAD70F" w14:textId="2F329D4A" w:rsidR="00D21865" w:rsidRDefault="005352AD" w:rsidP="00194C0C">
      <w:pPr>
        <w:pStyle w:val="F9-Paragraph"/>
      </w:pPr>
      <w:r w:rsidRPr="00194C0C">
        <w:rPr>
          <w:rFonts w:cs="Times New Roman"/>
          <w:szCs w:val="24"/>
        </w:rPr>
        <w:t xml:space="preserve">While not exhaustive or mandatory, the guidance offers a clear framework for inspectors to assess the adequacy of compliance. </w:t>
      </w:r>
      <w:r w:rsidRPr="00C71586">
        <w:t>Inspectors should also refer to the ONR p</w:t>
      </w:r>
      <w:r w:rsidR="007D1250">
        <w:t>olicy</w:t>
      </w:r>
      <w:r w:rsidRPr="00C71586">
        <w:t xml:space="preserve"> on Risk-Informed and Targeted Engagements (RITE)</w:t>
      </w:r>
      <w:sdt>
        <w:sdtPr>
          <w:id w:val="196125768"/>
          <w:citation/>
        </w:sdtPr>
        <w:sdtEndPr/>
        <w:sdtContent>
          <w:r w:rsidR="006F4E1F">
            <w:fldChar w:fldCharType="begin"/>
          </w:r>
          <w:r w:rsidR="00194C0C">
            <w:instrText xml:space="preserve">CITATION ONR2 \l 2057 </w:instrText>
          </w:r>
          <w:r w:rsidR="006F4E1F">
            <w:fldChar w:fldCharType="separate"/>
          </w:r>
          <w:r w:rsidR="00194C0C">
            <w:rPr>
              <w:noProof/>
            </w:rPr>
            <w:t xml:space="preserve"> </w:t>
          </w:r>
          <w:r w:rsidR="00194C0C" w:rsidRPr="00194C0C">
            <w:rPr>
              <w:noProof/>
            </w:rPr>
            <w:t>[1]</w:t>
          </w:r>
          <w:r w:rsidR="006F4E1F">
            <w:fldChar w:fldCharType="end"/>
          </w:r>
        </w:sdtContent>
      </w:sdt>
      <w:r w:rsidR="006F4E1F">
        <w:rPr>
          <w:noProof/>
        </w:rPr>
        <w:t xml:space="preserve">, </w:t>
      </w:r>
      <w:r w:rsidRPr="00C71586">
        <w:t>which guides risk-based prioriti</w:t>
      </w:r>
      <w:r>
        <w:t>s</w:t>
      </w:r>
      <w:r w:rsidRPr="00C71586">
        <w:t xml:space="preserve">ation in regulatory interventions and supports decisions on engaging with </w:t>
      </w:r>
      <w:r w:rsidR="007D1250">
        <w:t>d</w:t>
      </w:r>
      <w:r w:rsidRPr="00C71586">
        <w:t>utyholders</w:t>
      </w:r>
      <w:r>
        <w:t>.</w:t>
      </w:r>
      <w:bookmarkEnd w:id="2"/>
    </w:p>
    <w:p w14:paraId="11580C38" w14:textId="77777777" w:rsidR="00194C0C" w:rsidRPr="009709AD" w:rsidRDefault="00194C0C" w:rsidP="00194C0C">
      <w:pPr>
        <w:pStyle w:val="F9-Paragraph"/>
        <w:numPr>
          <w:ilvl w:val="0"/>
          <w:numId w:val="0"/>
        </w:numPr>
        <w:ind w:left="851"/>
      </w:pPr>
    </w:p>
    <w:p w14:paraId="4EB0C492" w14:textId="021A86CA" w:rsidR="00131529" w:rsidRPr="00B4258F" w:rsidRDefault="00131529" w:rsidP="00194C0C">
      <w:pPr>
        <w:pStyle w:val="Heading1"/>
      </w:pPr>
      <w:bookmarkStart w:id="3" w:name="_Toc217046643"/>
      <w:r w:rsidRPr="00B4258F">
        <w:t>LC</w:t>
      </w:r>
      <w:r w:rsidR="00194C0C">
        <w:t xml:space="preserve"> </w:t>
      </w:r>
      <w:r w:rsidR="00E90964">
        <w:t>1</w:t>
      </w:r>
      <w:r w:rsidR="00AD647B">
        <w:t>5</w:t>
      </w:r>
      <w:r w:rsidR="00B60216" w:rsidRPr="00B4258F">
        <w:t xml:space="preserve"> – </w:t>
      </w:r>
      <w:r w:rsidR="003746CE">
        <w:t xml:space="preserve">Periodic </w:t>
      </w:r>
      <w:r w:rsidR="00194C0C">
        <w:t>r</w:t>
      </w:r>
      <w:r w:rsidR="003746CE">
        <w:t>eview</w:t>
      </w:r>
      <w:bookmarkEnd w:id="3"/>
    </w:p>
    <w:p w14:paraId="6DC7612B" w14:textId="77777777" w:rsidR="00E574A7" w:rsidRDefault="00E574A7" w:rsidP="00194C0C">
      <w:pPr>
        <w:pStyle w:val="F9-Paragraph"/>
      </w:pPr>
      <w:r w:rsidRPr="00B4258F">
        <w:t>The LC states:</w:t>
      </w:r>
    </w:p>
    <w:p w14:paraId="59639CED" w14:textId="4998698A" w:rsidR="00E574A7" w:rsidRPr="00194C0C" w:rsidRDefault="00194C0C" w:rsidP="00194C0C">
      <w:pPr>
        <w:pStyle w:val="QuoteText"/>
        <w:rPr>
          <w:sz w:val="24"/>
          <w:szCs w:val="28"/>
        </w:rPr>
      </w:pPr>
      <w:r>
        <w:rPr>
          <w:sz w:val="24"/>
          <w:szCs w:val="28"/>
        </w:rPr>
        <w:t>“</w:t>
      </w:r>
      <w:r w:rsidR="00E574A7" w:rsidRPr="00194C0C">
        <w:rPr>
          <w:sz w:val="24"/>
          <w:szCs w:val="28"/>
        </w:rPr>
        <w:t>15(1)</w:t>
      </w:r>
      <w:r w:rsidR="00E574A7" w:rsidRPr="00194C0C">
        <w:rPr>
          <w:sz w:val="24"/>
          <w:szCs w:val="28"/>
        </w:rPr>
        <w:tab/>
        <w:t>The licensee shall make and implement adequate arrangements for the periodic and systematic review and reassessment of safety cases.</w:t>
      </w:r>
      <w:r w:rsidR="00697A05" w:rsidRPr="00194C0C">
        <w:rPr>
          <w:sz w:val="24"/>
          <w:szCs w:val="28"/>
        </w:rPr>
        <w:t xml:space="preserve"> </w:t>
      </w:r>
    </w:p>
    <w:p w14:paraId="5D882249" w14:textId="197BD088" w:rsidR="00E574A7" w:rsidRPr="00194C0C" w:rsidRDefault="00E574A7" w:rsidP="00194C0C">
      <w:pPr>
        <w:pStyle w:val="QuoteText"/>
        <w:rPr>
          <w:sz w:val="24"/>
          <w:szCs w:val="28"/>
        </w:rPr>
      </w:pPr>
      <w:r w:rsidRPr="00194C0C">
        <w:rPr>
          <w:sz w:val="24"/>
          <w:szCs w:val="28"/>
        </w:rPr>
        <w:t>15(2)</w:t>
      </w:r>
      <w:r w:rsidRPr="00194C0C">
        <w:rPr>
          <w:sz w:val="24"/>
          <w:szCs w:val="28"/>
        </w:rPr>
        <w:tab/>
        <w:t xml:space="preserve">The licensee shall submit to ONR for </w:t>
      </w:r>
      <w:r w:rsidR="00CD1B49" w:rsidRPr="00194C0C">
        <w:rPr>
          <w:sz w:val="24"/>
          <w:szCs w:val="28"/>
          <w:shd w:val="clear" w:color="auto" w:fill="DAE49B"/>
        </w:rPr>
        <w:t xml:space="preserve">approval </w:t>
      </w:r>
      <w:r w:rsidRPr="00194C0C">
        <w:rPr>
          <w:sz w:val="24"/>
          <w:szCs w:val="28"/>
        </w:rPr>
        <w:t xml:space="preserve">such part or parts of the aforesaid arrangements as ONR may </w:t>
      </w:r>
      <w:r w:rsidR="009E5BF9" w:rsidRPr="00194C0C">
        <w:rPr>
          <w:sz w:val="24"/>
          <w:szCs w:val="28"/>
          <w:shd w:val="clear" w:color="auto" w:fill="A3D8E7"/>
        </w:rPr>
        <w:t>specify</w:t>
      </w:r>
      <w:r w:rsidRPr="00194C0C">
        <w:rPr>
          <w:sz w:val="24"/>
          <w:szCs w:val="28"/>
        </w:rPr>
        <w:t>.</w:t>
      </w:r>
      <w:r w:rsidR="00D2037F" w:rsidRPr="00194C0C">
        <w:rPr>
          <w:sz w:val="24"/>
          <w:szCs w:val="28"/>
        </w:rPr>
        <w:t xml:space="preserve"> </w:t>
      </w:r>
    </w:p>
    <w:p w14:paraId="44050A01" w14:textId="53EBFDD8" w:rsidR="00B51208" w:rsidRPr="00194C0C" w:rsidRDefault="00E574A7" w:rsidP="00194C0C">
      <w:pPr>
        <w:pStyle w:val="QuoteText"/>
        <w:rPr>
          <w:sz w:val="24"/>
          <w:szCs w:val="28"/>
        </w:rPr>
      </w:pPr>
      <w:r w:rsidRPr="00194C0C">
        <w:rPr>
          <w:sz w:val="24"/>
          <w:szCs w:val="28"/>
        </w:rPr>
        <w:t>15(3)</w:t>
      </w:r>
      <w:r w:rsidRPr="00194C0C">
        <w:rPr>
          <w:sz w:val="24"/>
          <w:szCs w:val="28"/>
        </w:rPr>
        <w:tab/>
        <w:t xml:space="preserve">The licensee shall ensure that once approved no alteration or amendment is made to the approved arrangements unless ONR has </w:t>
      </w:r>
      <w:r w:rsidR="00BE6C68" w:rsidRPr="00194C0C">
        <w:rPr>
          <w:sz w:val="24"/>
          <w:szCs w:val="28"/>
          <w:shd w:val="clear" w:color="auto" w:fill="DAE49B"/>
        </w:rPr>
        <w:t>approved</w:t>
      </w:r>
      <w:r w:rsidR="00BE6C68" w:rsidRPr="00194C0C">
        <w:rPr>
          <w:sz w:val="24"/>
          <w:szCs w:val="28"/>
        </w:rPr>
        <w:t xml:space="preserve"> </w:t>
      </w:r>
      <w:r w:rsidRPr="00194C0C">
        <w:rPr>
          <w:sz w:val="24"/>
          <w:szCs w:val="28"/>
        </w:rPr>
        <w:t>such alteration or amendment.</w:t>
      </w:r>
    </w:p>
    <w:p w14:paraId="57E85973" w14:textId="598D5A80" w:rsidR="00723D00" w:rsidRPr="00194C0C" w:rsidRDefault="00E574A7" w:rsidP="00194C0C">
      <w:pPr>
        <w:pStyle w:val="QuoteText"/>
        <w:rPr>
          <w:sz w:val="24"/>
          <w:szCs w:val="28"/>
        </w:rPr>
      </w:pPr>
      <w:r w:rsidRPr="00194C0C">
        <w:rPr>
          <w:sz w:val="24"/>
          <w:szCs w:val="28"/>
        </w:rPr>
        <w:t>15(4)</w:t>
      </w:r>
      <w:r w:rsidRPr="00194C0C">
        <w:rPr>
          <w:sz w:val="24"/>
          <w:szCs w:val="28"/>
        </w:rPr>
        <w:tab/>
        <w:t xml:space="preserve">The licensee shall, if so </w:t>
      </w:r>
      <w:r w:rsidR="002346A8" w:rsidRPr="00194C0C">
        <w:rPr>
          <w:sz w:val="24"/>
          <w:szCs w:val="28"/>
          <w:shd w:val="clear" w:color="auto" w:fill="DBBFDD"/>
        </w:rPr>
        <w:t>directed</w:t>
      </w:r>
      <w:r w:rsidR="002346A8" w:rsidRPr="00194C0C">
        <w:rPr>
          <w:sz w:val="24"/>
          <w:szCs w:val="28"/>
        </w:rPr>
        <w:t xml:space="preserve"> </w:t>
      </w:r>
      <w:r w:rsidRPr="00194C0C">
        <w:rPr>
          <w:sz w:val="24"/>
          <w:szCs w:val="28"/>
        </w:rPr>
        <w:t xml:space="preserve">by ONR, carry out a review and reassessment of safety and submit a report of such review and reassessment to ONR at such intervals, within such a period and for such of the matters or operations as may be </w:t>
      </w:r>
      <w:r w:rsidR="00AD647B" w:rsidRPr="00194C0C">
        <w:rPr>
          <w:sz w:val="24"/>
          <w:szCs w:val="28"/>
          <w:shd w:val="clear" w:color="auto" w:fill="A3D8E7"/>
        </w:rPr>
        <w:t>specified</w:t>
      </w:r>
      <w:r w:rsidR="00AD647B" w:rsidRPr="00194C0C">
        <w:rPr>
          <w:sz w:val="24"/>
          <w:szCs w:val="28"/>
        </w:rPr>
        <w:t xml:space="preserve"> </w:t>
      </w:r>
      <w:r w:rsidRPr="00194C0C">
        <w:rPr>
          <w:sz w:val="24"/>
          <w:szCs w:val="28"/>
        </w:rPr>
        <w:t>in the direction.</w:t>
      </w:r>
      <w:r w:rsidR="00194C0C">
        <w:rPr>
          <w:sz w:val="24"/>
          <w:szCs w:val="28"/>
        </w:rPr>
        <w:t>”</w:t>
      </w:r>
      <w:r w:rsidR="00B51208" w:rsidRPr="00194C0C">
        <w:rPr>
          <w:b/>
          <w:bCs/>
          <w:sz w:val="24"/>
          <w:szCs w:val="28"/>
        </w:rPr>
        <w:t xml:space="preserve"> </w:t>
      </w:r>
      <w:sdt>
        <w:sdtPr>
          <w:rPr>
            <w:b/>
            <w:bCs/>
            <w:sz w:val="24"/>
            <w:szCs w:val="28"/>
          </w:rPr>
          <w:id w:val="-587155606"/>
          <w:citation/>
        </w:sdtPr>
        <w:sdtEndPr/>
        <w:sdtContent>
          <w:r w:rsidR="00194C0C">
            <w:rPr>
              <w:b/>
              <w:bCs/>
              <w:sz w:val="24"/>
              <w:szCs w:val="28"/>
            </w:rPr>
            <w:fldChar w:fldCharType="begin"/>
          </w:r>
          <w:r w:rsidR="00194C0C">
            <w:rPr>
              <w:b/>
              <w:bCs/>
              <w:sz w:val="24"/>
              <w:szCs w:val="28"/>
            </w:rPr>
            <w:instrText xml:space="preserve"> CITATION ONR46 \l 2057 </w:instrText>
          </w:r>
          <w:r w:rsidR="00194C0C">
            <w:rPr>
              <w:b/>
              <w:bCs/>
              <w:sz w:val="24"/>
              <w:szCs w:val="28"/>
            </w:rPr>
            <w:fldChar w:fldCharType="separate"/>
          </w:r>
          <w:r w:rsidR="00194C0C" w:rsidRPr="00194C0C">
            <w:rPr>
              <w:noProof/>
              <w:sz w:val="24"/>
              <w:szCs w:val="28"/>
            </w:rPr>
            <w:t>[2]</w:t>
          </w:r>
          <w:r w:rsidR="00194C0C">
            <w:rPr>
              <w:b/>
              <w:bCs/>
              <w:sz w:val="24"/>
              <w:szCs w:val="28"/>
            </w:rPr>
            <w:fldChar w:fldCharType="end"/>
          </w:r>
        </w:sdtContent>
      </w:sdt>
    </w:p>
    <w:p w14:paraId="356093EF" w14:textId="4794881F" w:rsidR="005E0E14" w:rsidRPr="00EB60ED" w:rsidRDefault="00F93FD9" w:rsidP="00194C0C">
      <w:pPr>
        <w:pStyle w:val="F9-Paragraph"/>
      </w:pPr>
      <w:bookmarkStart w:id="4" w:name="_Toc348368143"/>
      <w:bookmarkStart w:id="5" w:name="_Toc45517849"/>
      <w:r w:rsidRPr="00F93FD9">
        <w:rPr>
          <w:b/>
          <w:bCs/>
        </w:rPr>
        <w:t>Note</w:t>
      </w:r>
      <w:r>
        <w:t xml:space="preserve">: </w:t>
      </w:r>
      <w:r w:rsidR="009842C0" w:rsidRPr="009842C0">
        <w:t xml:space="preserve">Specifications, Approvals, Directions, and Specifications under </w:t>
      </w:r>
      <w:r w:rsidR="00194C0C">
        <w:br/>
        <w:t>LC 15</w:t>
      </w:r>
      <w:r w:rsidR="009842C0" w:rsidRPr="009842C0">
        <w:t xml:space="preserve">(2), (3), and (4) are </w:t>
      </w:r>
      <w:r w:rsidR="00660E9F">
        <w:t>rarely</w:t>
      </w:r>
      <w:r w:rsidR="009842C0" w:rsidRPr="009842C0">
        <w:t xml:space="preserve"> used; most periodic reviews are </w:t>
      </w:r>
      <w:r w:rsidR="00660E9F">
        <w:t>regulated</w:t>
      </w:r>
      <w:r w:rsidR="009842C0" w:rsidRPr="009842C0">
        <w:t xml:space="preserve"> </w:t>
      </w:r>
      <w:r w:rsidR="00660E9F" w:rsidRPr="000B63A7">
        <w:t xml:space="preserve">via derived powers under the </w:t>
      </w:r>
      <w:r w:rsidR="00660E9F">
        <w:t>licensee’s</w:t>
      </w:r>
      <w:r w:rsidR="00660E9F" w:rsidRPr="000B63A7">
        <w:t xml:space="preserve"> arrangements</w:t>
      </w:r>
      <w:r w:rsidR="009842C0" w:rsidRPr="009842C0">
        <w:t>.</w:t>
      </w:r>
    </w:p>
    <w:p w14:paraId="03EFD1C6" w14:textId="77777777" w:rsidR="00194C0C" w:rsidRDefault="00194C0C" w:rsidP="00194C0C">
      <w:pPr>
        <w:pStyle w:val="Heading1"/>
        <w:rPr>
          <w:sz w:val="40"/>
          <w:szCs w:val="40"/>
        </w:rPr>
        <w:sectPr w:rsidR="00194C0C" w:rsidSect="00194C0C">
          <w:headerReference w:type="default" r:id="rId18"/>
          <w:headerReference w:type="first" r:id="rId19"/>
          <w:pgSz w:w="11906" w:h="16838" w:code="9"/>
          <w:pgMar w:top="1440" w:right="1440" w:bottom="1440" w:left="1440" w:header="431" w:footer="567" w:gutter="0"/>
          <w:cols w:space="708"/>
          <w:docGrid w:linePitch="360"/>
        </w:sectPr>
      </w:pPr>
    </w:p>
    <w:p w14:paraId="26C8BE2D" w14:textId="59D6022E" w:rsidR="00131529" w:rsidRPr="00B4258F" w:rsidRDefault="00131529" w:rsidP="00194C0C">
      <w:pPr>
        <w:pStyle w:val="Heading1"/>
      </w:pPr>
      <w:bookmarkStart w:id="6" w:name="_Toc217046644"/>
      <w:r w:rsidRPr="00B4258F">
        <w:lastRenderedPageBreak/>
        <w:t xml:space="preserve">Purpose </w:t>
      </w:r>
      <w:r w:rsidR="00F80A30">
        <w:t xml:space="preserve">and </w:t>
      </w:r>
      <w:r w:rsidR="00194C0C">
        <w:t>o</w:t>
      </w:r>
      <w:r w:rsidR="00F80A30">
        <w:t xml:space="preserve">utcomes </w:t>
      </w:r>
      <w:r w:rsidRPr="00B4258F">
        <w:t xml:space="preserve">of </w:t>
      </w:r>
      <w:bookmarkEnd w:id="4"/>
      <w:bookmarkEnd w:id="5"/>
      <w:r w:rsidR="00194C0C">
        <w:t>LC 15</w:t>
      </w:r>
      <w:bookmarkEnd w:id="6"/>
      <w:r w:rsidR="005A5194" w:rsidRPr="00B4258F">
        <w:t xml:space="preserve"> </w:t>
      </w:r>
    </w:p>
    <w:p w14:paraId="475C3E2F" w14:textId="56DB3F92" w:rsidR="00F80A30" w:rsidRPr="00776204" w:rsidRDefault="00F80A30" w:rsidP="00194C0C">
      <w:pPr>
        <w:pStyle w:val="F9-Paragraph"/>
      </w:pPr>
      <w:r w:rsidRPr="00F80A30">
        <w:t xml:space="preserve">The purpose of this licence condition is to require that the </w:t>
      </w:r>
      <w:r w:rsidR="00EB57A1">
        <w:t xml:space="preserve">licensee </w:t>
      </w:r>
      <w:r w:rsidR="002D0D2B">
        <w:t xml:space="preserve">ensures that throughout its declared lifetime, the plant remains adequately safe and that safety cases </w:t>
      </w:r>
      <w:r w:rsidR="00CC4194">
        <w:t xml:space="preserve">are kept up to date. </w:t>
      </w:r>
      <w:r w:rsidRPr="00F80A30">
        <w:t xml:space="preserve"> </w:t>
      </w:r>
    </w:p>
    <w:p w14:paraId="43B224F5" w14:textId="1B35B078" w:rsidR="00D821E3" w:rsidRPr="00A866C9" w:rsidRDefault="00F80A30" w:rsidP="00194C0C">
      <w:pPr>
        <w:pStyle w:val="F9-Paragraph"/>
      </w:pPr>
      <w:r w:rsidRPr="00D766BA">
        <w:t>The regulatory outcomes being sought are:</w:t>
      </w:r>
    </w:p>
    <w:p w14:paraId="47608490" w14:textId="394B578E" w:rsidR="00A143E6" w:rsidRPr="00194C0C" w:rsidRDefault="00A143E6" w:rsidP="00194C0C">
      <w:pPr>
        <w:pStyle w:val="Bulletlist1"/>
      </w:pPr>
      <w:r w:rsidRPr="00194C0C">
        <w:t>a formal mechanism exists to reassess safety through the plant lifecycle and to identify reasonably practicable improvements.</w:t>
      </w:r>
    </w:p>
    <w:p w14:paraId="03A1B19D" w14:textId="1D0BD96F" w:rsidR="001B644E" w:rsidRDefault="005D4367" w:rsidP="00194C0C">
      <w:pPr>
        <w:pStyle w:val="Bulletlist1"/>
      </w:pPr>
      <w:r>
        <w:t>licensee’s</w:t>
      </w:r>
      <w:r w:rsidR="00ED3EEC">
        <w:t xml:space="preserve"> review current safety case</w:t>
      </w:r>
      <w:r w:rsidR="00B04B99">
        <w:t>s and confirm that it is still adequate.</w:t>
      </w:r>
    </w:p>
    <w:p w14:paraId="031C2E64" w14:textId="49472C8D" w:rsidR="00885B43" w:rsidRDefault="00EE27C7" w:rsidP="00194C0C">
      <w:pPr>
        <w:pStyle w:val="Bulletlist1"/>
      </w:pPr>
      <w:r>
        <w:t>l</w:t>
      </w:r>
      <w:r w:rsidR="00417150">
        <w:t>icensee’s review</w:t>
      </w:r>
      <w:r w:rsidR="00695D18">
        <w:t xml:space="preserve"> compares the safety case against current standards for new plant, evaluates any deficiencies and implement any </w:t>
      </w:r>
      <w:r w:rsidR="00AF24B8">
        <w:t>reasonably practicable improvements to enhance safety.</w:t>
      </w:r>
    </w:p>
    <w:p w14:paraId="4DC02784" w14:textId="71B33D30" w:rsidR="00027EAF" w:rsidRDefault="008925FB" w:rsidP="00194C0C">
      <w:pPr>
        <w:pStyle w:val="Bulletlist1"/>
      </w:pPr>
      <w:r>
        <w:t>l</w:t>
      </w:r>
      <w:r w:rsidR="00EE27C7">
        <w:t xml:space="preserve">icensee’s review </w:t>
      </w:r>
      <w:r w:rsidR="008724D7">
        <w:t>identifies ageing processes which may limit the life of the plant</w:t>
      </w:r>
      <w:r w:rsidR="00E7101D">
        <w:t>.</w:t>
      </w:r>
    </w:p>
    <w:p w14:paraId="456D365A" w14:textId="043F5819" w:rsidR="003D4F9D" w:rsidRDefault="00B6045F" w:rsidP="00194C0C">
      <w:pPr>
        <w:pStyle w:val="Bulletlist1"/>
      </w:pPr>
      <w:r>
        <w:t>that i</w:t>
      </w:r>
      <w:r w:rsidR="003D4F9D" w:rsidRPr="003D4F9D">
        <w:t>dentified</w:t>
      </w:r>
      <w:r w:rsidR="00893EB0">
        <w:t xml:space="preserve">, </w:t>
      </w:r>
      <w:r w:rsidR="003D4F9D" w:rsidRPr="003D4F9D">
        <w:t>gaps, weaknesses,</w:t>
      </w:r>
      <w:r w:rsidR="00AE6FD8" w:rsidRPr="00AE6FD8">
        <w:t xml:space="preserve"> </w:t>
      </w:r>
      <w:r w:rsidR="00AE6FD8">
        <w:t>recommendations</w:t>
      </w:r>
      <w:r w:rsidR="003D4F9D" w:rsidRPr="003D4F9D">
        <w:t xml:space="preserve"> or opportunities for improvement are prioritised based on their safety significance</w:t>
      </w:r>
      <w:r w:rsidR="003D4F9D">
        <w:t>.</w:t>
      </w:r>
    </w:p>
    <w:p w14:paraId="6BC790C3" w14:textId="40AAC0DD" w:rsidR="00510232" w:rsidRPr="00B4258F" w:rsidRDefault="003B4BDF" w:rsidP="00194C0C">
      <w:pPr>
        <w:pStyle w:val="Bulletlist1"/>
      </w:pPr>
      <w:r w:rsidRPr="003B4BDF">
        <w:t xml:space="preserve">the review process is carried out methodically and thoroughly documented, subject to oversight by internal governance (with provision for independent scrutiny) and that all findings are formally </w:t>
      </w:r>
      <w:r w:rsidR="003F5BB1">
        <w:t xml:space="preserve">sentenced </w:t>
      </w:r>
      <w:r w:rsidR="003346C1">
        <w:t>and addressed</w:t>
      </w:r>
      <w:r w:rsidRPr="003B4BDF">
        <w:t xml:space="preserve"> through an </w:t>
      </w:r>
      <w:r w:rsidR="00155499">
        <w:t>approved</w:t>
      </w:r>
      <w:r w:rsidRPr="003B4BDF">
        <w:t xml:space="preserve"> action plan</w:t>
      </w:r>
      <w:r w:rsidR="009D0338">
        <w:t xml:space="preserve">, such that the safety case is revalidated until the next </w:t>
      </w:r>
      <w:r w:rsidR="00131660">
        <w:t>periodic review period</w:t>
      </w:r>
      <w:r w:rsidR="003346C1">
        <w:t>.</w:t>
      </w:r>
    </w:p>
    <w:p w14:paraId="5A8A0E19" w14:textId="77777777" w:rsidR="00194C0C" w:rsidRDefault="00194C0C" w:rsidP="00194C0C">
      <w:pPr>
        <w:pStyle w:val="Heading1"/>
        <w:sectPr w:rsidR="00194C0C" w:rsidSect="00194C0C">
          <w:pgSz w:w="11906" w:h="16838" w:code="9"/>
          <w:pgMar w:top="1440" w:right="1440" w:bottom="1440" w:left="1440" w:header="431" w:footer="567" w:gutter="0"/>
          <w:cols w:space="708"/>
          <w:docGrid w:linePitch="360"/>
        </w:sectPr>
      </w:pPr>
      <w:bookmarkStart w:id="7" w:name="_Toc348368144"/>
      <w:bookmarkStart w:id="8" w:name="_Toc45517850"/>
      <w:bookmarkStart w:id="9" w:name="_Toc217046645"/>
    </w:p>
    <w:p w14:paraId="175674E6" w14:textId="5B29496A" w:rsidR="008B2D5A" w:rsidRPr="00D33BDA" w:rsidRDefault="00131529" w:rsidP="00194C0C">
      <w:pPr>
        <w:pStyle w:val="Heading1"/>
      </w:pPr>
      <w:r w:rsidRPr="00D33BDA">
        <w:lastRenderedPageBreak/>
        <w:t xml:space="preserve">Guidance on </w:t>
      </w:r>
      <w:r w:rsidR="00194C0C">
        <w:t>i</w:t>
      </w:r>
      <w:r w:rsidR="00027EAF">
        <w:t>nspection</w:t>
      </w:r>
      <w:r w:rsidR="004D1634" w:rsidRPr="00D33BDA">
        <w:t xml:space="preserve"> </w:t>
      </w:r>
      <w:r w:rsidRPr="00D33BDA">
        <w:t xml:space="preserve">for </w:t>
      </w:r>
      <w:bookmarkEnd w:id="7"/>
      <w:bookmarkEnd w:id="8"/>
      <w:r w:rsidR="00194C0C">
        <w:t>LC 15</w:t>
      </w:r>
      <w:bookmarkEnd w:id="9"/>
    </w:p>
    <w:p w14:paraId="63DCFD20" w14:textId="62E6F935" w:rsidR="00262476" w:rsidRDefault="00375819" w:rsidP="00194C0C">
      <w:pPr>
        <w:pStyle w:val="F9-Paragraph"/>
      </w:pPr>
      <w:r w:rsidRPr="00A26FEE">
        <w:t>To ensure effective compliance with this L</w:t>
      </w:r>
      <w:r w:rsidR="00131660">
        <w:t>C</w:t>
      </w:r>
      <w:r w:rsidRPr="00A26FEE">
        <w:t xml:space="preserve">, the licensee must establish </w:t>
      </w:r>
      <w:r w:rsidR="00D226B1" w:rsidRPr="00B4258F">
        <w:t>arrangements, process</w:t>
      </w:r>
      <w:r w:rsidR="00BD506D">
        <w:t>/</w:t>
      </w:r>
      <w:r w:rsidR="00D226B1" w:rsidRPr="00B4258F">
        <w:t>procedures</w:t>
      </w:r>
      <w:r w:rsidR="00BD506D">
        <w:t>,</w:t>
      </w:r>
      <w:r w:rsidR="00D226B1" w:rsidRPr="00B4258F">
        <w:t xml:space="preserve"> </w:t>
      </w:r>
      <w:r w:rsidR="004A233D" w:rsidRPr="00A26FEE">
        <w:t xml:space="preserve">that provide assurance of </w:t>
      </w:r>
      <w:r w:rsidR="001E762A">
        <w:t>addressing</w:t>
      </w:r>
      <w:r w:rsidR="004A233D" w:rsidRPr="00A26FEE">
        <w:t xml:space="preserve"> all legal requirements set out in </w:t>
      </w:r>
      <w:r w:rsidR="00664468">
        <w:t>sections</w:t>
      </w:r>
      <w:r w:rsidR="004A233D" w:rsidRPr="00A26FEE">
        <w:t xml:space="preserve"> </w:t>
      </w:r>
      <w:r w:rsidR="00664468">
        <w:t>(</w:t>
      </w:r>
      <w:r w:rsidR="004A233D" w:rsidRPr="00A26FEE">
        <w:t>1</w:t>
      </w:r>
      <w:r w:rsidR="00664468">
        <w:t>)</w:t>
      </w:r>
      <w:r w:rsidR="004A233D" w:rsidRPr="00A26FEE">
        <w:t xml:space="preserve"> to </w:t>
      </w:r>
      <w:r w:rsidR="00664468">
        <w:t>(</w:t>
      </w:r>
      <w:r w:rsidR="004A233D" w:rsidRPr="00A26FEE">
        <w:t>4</w:t>
      </w:r>
      <w:r w:rsidR="00664468">
        <w:t xml:space="preserve">) </w:t>
      </w:r>
      <w:r w:rsidR="004A233D" w:rsidRPr="00A26FEE">
        <w:t>of th</w:t>
      </w:r>
      <w:r w:rsidR="00CC632E">
        <w:t>is</w:t>
      </w:r>
      <w:r w:rsidR="004A233D" w:rsidRPr="00A26FEE">
        <w:t xml:space="preserve"> condition.</w:t>
      </w:r>
      <w:r w:rsidR="004A233D">
        <w:t xml:space="preserve"> </w:t>
      </w:r>
      <w:r w:rsidR="00262476" w:rsidRPr="00262476">
        <w:t>The scope and structure of a PSR are a matter for the licensee to determine, although they should meet ONR’s expectations as set out in</w:t>
      </w:r>
      <w:r w:rsidR="002D5CF5">
        <w:t xml:space="preserve"> Technical Assessment Guide (TAG) </w:t>
      </w:r>
      <w:hyperlink r:id="rId20" w:history="1">
        <w:r w:rsidR="002D5CF5" w:rsidRPr="00847AAA">
          <w:rPr>
            <w:rStyle w:val="Hyperlink"/>
          </w:rPr>
          <w:t>Periodic Safety Review (PSR)</w:t>
        </w:r>
      </w:hyperlink>
      <w:r w:rsidR="00847AAA">
        <w:t xml:space="preserve"> </w:t>
      </w:r>
      <w:sdt>
        <w:sdtPr>
          <w:id w:val="216558808"/>
          <w:citation/>
        </w:sdtPr>
        <w:sdtEndPr/>
        <w:sdtContent>
          <w:r w:rsidR="00847AAA">
            <w:fldChar w:fldCharType="begin"/>
          </w:r>
          <w:r w:rsidR="00194C0C">
            <w:instrText xml:space="preserve">CITATION ONR48 \l 2057 </w:instrText>
          </w:r>
          <w:r w:rsidR="00847AAA">
            <w:fldChar w:fldCharType="separate"/>
          </w:r>
          <w:r w:rsidR="00194C0C" w:rsidRPr="00194C0C">
            <w:rPr>
              <w:noProof/>
            </w:rPr>
            <w:t>[3]</w:t>
          </w:r>
          <w:r w:rsidR="00847AAA">
            <w:fldChar w:fldCharType="end"/>
          </w:r>
        </w:sdtContent>
      </w:sdt>
      <w:r w:rsidR="00847AAA">
        <w:t>.</w:t>
      </w:r>
    </w:p>
    <w:p w14:paraId="00346B99" w14:textId="77777777" w:rsidR="00194C0C" w:rsidRPr="00194C0C" w:rsidRDefault="009B744D" w:rsidP="00194C0C">
      <w:pPr>
        <w:pStyle w:val="Heading2"/>
      </w:pPr>
      <w:r>
        <w:t>Arrangements</w:t>
      </w:r>
    </w:p>
    <w:p w14:paraId="56AB3E71" w14:textId="72CB66D2" w:rsidR="006F11B8" w:rsidRDefault="006F11B8" w:rsidP="00194C0C">
      <w:pPr>
        <w:pStyle w:val="F9-Paragraph"/>
      </w:pPr>
      <w:r>
        <w:t>In judging</w:t>
      </w:r>
      <w:r w:rsidRPr="008B2D5A">
        <w:t xml:space="preserve"> </w:t>
      </w:r>
      <w:r>
        <w:t>the adequacy of the arrangements</w:t>
      </w:r>
      <w:r w:rsidR="00E27166">
        <w:t xml:space="preserve"> consider</w:t>
      </w:r>
      <w:r w:rsidR="00ED489E">
        <w:t xml:space="preserve"> that</w:t>
      </w:r>
      <w:r>
        <w:t xml:space="preserve">: </w:t>
      </w:r>
    </w:p>
    <w:p w14:paraId="7781C328" w14:textId="50180366" w:rsidR="00906DD4" w:rsidRDefault="006F61AD" w:rsidP="00194C0C">
      <w:pPr>
        <w:pStyle w:val="Bulletlist1"/>
      </w:pPr>
      <w:r>
        <w:t>T</w:t>
      </w:r>
      <w:r w:rsidR="00DC2E98">
        <w:t xml:space="preserve">he arrangements are </w:t>
      </w:r>
      <w:r w:rsidR="008F6A34" w:rsidRPr="001117FE">
        <w:t>documented within the licensee’s safety management system,</w:t>
      </w:r>
      <w:r w:rsidR="008F6A34">
        <w:t xml:space="preserve"> </w:t>
      </w:r>
      <w:r w:rsidR="00DC2E98">
        <w:t xml:space="preserve">current and authorised by an appropriate SQEP individual. </w:t>
      </w:r>
    </w:p>
    <w:p w14:paraId="4066B41B" w14:textId="5BF880CA" w:rsidR="009C0420" w:rsidRDefault="00786322" w:rsidP="00194C0C">
      <w:pPr>
        <w:pStyle w:val="Bulletlist1"/>
      </w:pPr>
      <w:r>
        <w:t>A</w:t>
      </w:r>
      <w:r w:rsidR="009C0420">
        <w:t xml:space="preserve">ll roles </w:t>
      </w:r>
      <w:r w:rsidR="00E95BEB">
        <w:t xml:space="preserve">and responsibilities are clearly defined for the conduct of the review.  </w:t>
      </w:r>
    </w:p>
    <w:p w14:paraId="6B2C322A" w14:textId="7B2FD3CF" w:rsidR="00747614" w:rsidRDefault="00747614" w:rsidP="00194C0C">
      <w:pPr>
        <w:pStyle w:val="Bulletlist1"/>
      </w:pPr>
      <w:r w:rsidRPr="00747614">
        <w:t xml:space="preserve">The arrangements ensure that the licensee is able to respond effectively to any Specifications or Directions issued by ONR under </w:t>
      </w:r>
      <w:r w:rsidR="00194C0C">
        <w:t>LC 15</w:t>
      </w:r>
      <w:r w:rsidRPr="00747614">
        <w:t xml:space="preserve">(2) or </w:t>
      </w:r>
      <w:r w:rsidR="000D5240">
        <w:br/>
      </w:r>
      <w:r w:rsidR="00194C0C">
        <w:t>LC 15</w:t>
      </w:r>
      <w:r w:rsidRPr="00747614">
        <w:t xml:space="preserve">(4). Procedures should clearly </w:t>
      </w:r>
      <w:r w:rsidR="00031A02">
        <w:t>identify</w:t>
      </w:r>
      <w:r w:rsidRPr="00747614">
        <w:t xml:space="preserve"> the individual responsible for addressing such Specifications</w:t>
      </w:r>
      <w:r w:rsidR="00985F91">
        <w:t>/Directions</w:t>
      </w:r>
      <w:r w:rsidRPr="00747614">
        <w:t>.</w:t>
      </w:r>
    </w:p>
    <w:p w14:paraId="10156496" w14:textId="09B7B5B5" w:rsidR="0020081C" w:rsidRPr="00747614" w:rsidRDefault="0020081C" w:rsidP="00194C0C">
      <w:pPr>
        <w:pStyle w:val="Bulletlist1"/>
      </w:pPr>
      <w:r w:rsidRPr="008A3D50">
        <w:t xml:space="preserve">The arrangements ensure that any parts Specified and Approved by ONR can only be changed or amended with the further Approval of ONR. </w:t>
      </w:r>
    </w:p>
    <w:p w14:paraId="2C324305" w14:textId="53623FA1" w:rsidR="00D7709E" w:rsidRDefault="00D7709E" w:rsidP="00194C0C">
      <w:pPr>
        <w:pStyle w:val="Bulletlist1"/>
      </w:pPr>
      <w:r w:rsidRPr="00D7709E">
        <w:t xml:space="preserve">The arrangements </w:t>
      </w:r>
      <w:r>
        <w:t>specify timescales</w:t>
      </w:r>
      <w:r w:rsidRPr="00D7709E">
        <w:t xml:space="preserve"> for submitting review documentation to ONR, which may</w:t>
      </w:r>
      <w:r w:rsidR="007A3CDC">
        <w:t xml:space="preserve">, for example, </w:t>
      </w:r>
      <w:r w:rsidRPr="00D7709E">
        <w:t>align with the schedule for licence instruments, such as consents to restart after LC</w:t>
      </w:r>
      <w:r w:rsidR="000D5240">
        <w:t xml:space="preserve"> </w:t>
      </w:r>
      <w:r w:rsidRPr="00D7709E">
        <w:t>30 periodic shutdowns.</w:t>
      </w:r>
    </w:p>
    <w:p w14:paraId="47AD326E" w14:textId="1889D7DD" w:rsidR="00C017F0" w:rsidRDefault="00C017F0" w:rsidP="00194C0C">
      <w:pPr>
        <w:pStyle w:val="Bulletlist1"/>
      </w:pPr>
      <w:r>
        <w:t xml:space="preserve">The arrangements identify a </w:t>
      </w:r>
      <w:r w:rsidR="004C73FC">
        <w:t>tiered system of reviews/reassessments</w:t>
      </w:r>
      <w:r w:rsidR="00DE200C">
        <w:t xml:space="preserve"> such as:</w:t>
      </w:r>
    </w:p>
    <w:p w14:paraId="13FBC3B9" w14:textId="1E30DB85" w:rsidR="004C73FC" w:rsidRPr="00194C0C" w:rsidRDefault="00165BD2" w:rsidP="00194C0C">
      <w:pPr>
        <w:pStyle w:val="Bulletlist2"/>
      </w:pPr>
      <w:r w:rsidRPr="00194C0C">
        <w:t xml:space="preserve">Short term reviews </w:t>
      </w:r>
      <w:r w:rsidR="00DE200C" w:rsidRPr="00194C0C">
        <w:t xml:space="preserve"> - e.g. LC</w:t>
      </w:r>
      <w:r w:rsidR="000D5240">
        <w:t xml:space="preserve"> </w:t>
      </w:r>
      <w:r w:rsidR="00DE200C" w:rsidRPr="00194C0C">
        <w:t xml:space="preserve">30 </w:t>
      </w:r>
      <w:r w:rsidR="00CF0818" w:rsidRPr="00194C0C">
        <w:t xml:space="preserve">periodic shutdown review, or annual </w:t>
      </w:r>
      <w:r w:rsidR="001B4C68" w:rsidRPr="00194C0C">
        <w:t>reviews.</w:t>
      </w:r>
    </w:p>
    <w:p w14:paraId="46AD6121" w14:textId="6FBCEA05" w:rsidR="001B4C68" w:rsidRPr="00194C0C" w:rsidRDefault="001B4C68" w:rsidP="00194C0C">
      <w:pPr>
        <w:pStyle w:val="Bulletlist2"/>
      </w:pPr>
      <w:r w:rsidRPr="00194C0C">
        <w:t xml:space="preserve">Full PSR of </w:t>
      </w:r>
      <w:r w:rsidR="001B2288" w:rsidRPr="00194C0C">
        <w:t xml:space="preserve">plant process and systems – e.g. </w:t>
      </w:r>
      <w:r w:rsidR="00694FD5" w:rsidRPr="00194C0C">
        <w:t>10 year review</w:t>
      </w:r>
      <w:r w:rsidR="001E236A" w:rsidRPr="00194C0C">
        <w:t xml:space="preserve">, with a </w:t>
      </w:r>
      <w:r w:rsidR="00A83D24" w:rsidRPr="00194C0C">
        <w:t>look forward over planned future operation, and review the whole of the remaining life of the facility, including post-operational clean-out (POCO) and decommissioning</w:t>
      </w:r>
    </w:p>
    <w:p w14:paraId="2BE73811" w14:textId="0476AF28" w:rsidR="00694FD5" w:rsidRPr="00194C0C" w:rsidRDefault="00694FD5" w:rsidP="00194C0C">
      <w:pPr>
        <w:pStyle w:val="Bulletlist2"/>
      </w:pPr>
      <w:r w:rsidRPr="00194C0C">
        <w:t>Exceptional (or reactive) review</w:t>
      </w:r>
      <w:r w:rsidR="00422AF1" w:rsidRPr="00194C0C">
        <w:t xml:space="preserve"> – e.g. post incident </w:t>
      </w:r>
    </w:p>
    <w:p w14:paraId="5A052838" w14:textId="77777777" w:rsidR="00194C0C" w:rsidRDefault="00194C0C" w:rsidP="00194C0C">
      <w:pPr>
        <w:pStyle w:val="Bulletlist1"/>
        <w:sectPr w:rsidR="00194C0C" w:rsidSect="00194C0C">
          <w:pgSz w:w="11906" w:h="16838" w:code="9"/>
          <w:pgMar w:top="1440" w:right="1440" w:bottom="1440" w:left="1440" w:header="431" w:footer="567" w:gutter="0"/>
          <w:cols w:space="708"/>
          <w:docGrid w:linePitch="360"/>
        </w:sectPr>
      </w:pPr>
    </w:p>
    <w:p w14:paraId="34A38635" w14:textId="1228961D" w:rsidR="009477CB" w:rsidRDefault="003F67D7" w:rsidP="00194C0C">
      <w:pPr>
        <w:pStyle w:val="Bulletlist1"/>
      </w:pPr>
      <w:r>
        <w:lastRenderedPageBreak/>
        <w:t>Check t</w:t>
      </w:r>
      <w:r w:rsidR="009477CB" w:rsidRPr="000B63A7">
        <w:t xml:space="preserve">he </w:t>
      </w:r>
      <w:r w:rsidR="00584C60">
        <w:t>arrangement</w:t>
      </w:r>
      <w:r w:rsidR="00B5762B">
        <w:t>s</w:t>
      </w:r>
      <w:r w:rsidR="00584C60">
        <w:t xml:space="preserve"> and associated processes include the </w:t>
      </w:r>
      <w:r w:rsidR="009477CB" w:rsidRPr="000B63A7">
        <w:t>outcome</w:t>
      </w:r>
      <w:r w:rsidR="009477CB">
        <w:t xml:space="preserve"> of review</w:t>
      </w:r>
      <w:r w:rsidR="009477CB" w:rsidRPr="000B63A7">
        <w:t>s</w:t>
      </w:r>
      <w:r w:rsidR="00584C60">
        <w:t xml:space="preserve">, which </w:t>
      </w:r>
      <w:r w:rsidR="009477CB" w:rsidRPr="000B63A7">
        <w:t>may include the revision</w:t>
      </w:r>
      <w:r w:rsidR="00584C60">
        <w:t>/</w:t>
      </w:r>
      <w:r w:rsidR="009477CB" w:rsidRPr="000B63A7">
        <w:t>re-issue of the safety case incorporating all safety submissions</w:t>
      </w:r>
      <w:r w:rsidR="008C39BD">
        <w:t>/modifications</w:t>
      </w:r>
      <w:r w:rsidR="009477CB" w:rsidRPr="000B63A7">
        <w:t xml:space="preserve"> made since the case was last issued</w:t>
      </w:r>
      <w:r w:rsidR="008C39BD">
        <w:t>.</w:t>
      </w:r>
    </w:p>
    <w:p w14:paraId="54AD86BC" w14:textId="733CCDEA" w:rsidR="006C5FE6" w:rsidRDefault="006C5FE6" w:rsidP="00194C0C">
      <w:pPr>
        <w:pStyle w:val="Bulletlist1"/>
      </w:pPr>
      <w:r>
        <w:t xml:space="preserve">Check that the arrangements </w:t>
      </w:r>
      <w:r w:rsidR="00171D56">
        <w:t>for reviewing the safety case include as a minimum:</w:t>
      </w:r>
    </w:p>
    <w:p w14:paraId="3F85764E" w14:textId="56DC5E97" w:rsidR="006279DD" w:rsidRDefault="006279DD" w:rsidP="00194C0C">
      <w:pPr>
        <w:pStyle w:val="Bulletlist2"/>
      </w:pPr>
      <w:r>
        <w:t>Changes in</w:t>
      </w:r>
      <w:r w:rsidR="00956DF5">
        <w:t xml:space="preserve"> standards, codes and </w:t>
      </w:r>
      <w:r w:rsidR="00803406">
        <w:t>legislation</w:t>
      </w:r>
      <w:r w:rsidR="00956DF5">
        <w:t>.</w:t>
      </w:r>
    </w:p>
    <w:p w14:paraId="6D5B200E" w14:textId="4D1BD349" w:rsidR="00171D56" w:rsidRDefault="00EF1FA2" w:rsidP="00194C0C">
      <w:pPr>
        <w:pStyle w:val="Bulletlist2"/>
      </w:pPr>
      <w:r>
        <w:t xml:space="preserve">Operating experience </w:t>
      </w:r>
      <w:r w:rsidR="00CA46B5">
        <w:t xml:space="preserve">and data </w:t>
      </w:r>
      <w:r>
        <w:t>since last review</w:t>
      </w:r>
      <w:r w:rsidR="00CA46B5">
        <w:t>.</w:t>
      </w:r>
    </w:p>
    <w:p w14:paraId="3C353E64" w14:textId="6326C4FF" w:rsidR="004A4B87" w:rsidRDefault="00B077F8" w:rsidP="00194C0C">
      <w:pPr>
        <w:pStyle w:val="Bulletlist2"/>
      </w:pPr>
      <w:r w:rsidRPr="00146B05">
        <w:t>Incidents and abnormal events.</w:t>
      </w:r>
    </w:p>
    <w:p w14:paraId="5C397E1B" w14:textId="1BB5E770" w:rsidR="00037F32" w:rsidRDefault="00EF1FA2" w:rsidP="00194C0C">
      <w:pPr>
        <w:pStyle w:val="Bulletlist2"/>
      </w:pPr>
      <w:r>
        <w:t>Ageing mechanism</w:t>
      </w:r>
      <w:r w:rsidR="00CA46B5">
        <w:t>s</w:t>
      </w:r>
      <w:r w:rsidR="00803406">
        <w:t xml:space="preserve">, </w:t>
      </w:r>
      <w:r w:rsidR="00CA46B5">
        <w:t>obsolescence</w:t>
      </w:r>
      <w:r w:rsidR="00803406">
        <w:t xml:space="preserve"> and </w:t>
      </w:r>
      <w:r w:rsidR="00037F32">
        <w:t>life limiting items.</w:t>
      </w:r>
    </w:p>
    <w:p w14:paraId="616AEB2C" w14:textId="55731B08" w:rsidR="00037F32" w:rsidRDefault="00037F32" w:rsidP="00194C0C">
      <w:pPr>
        <w:pStyle w:val="Bulletlist2"/>
      </w:pPr>
      <w:r>
        <w:t xml:space="preserve">Internal and </w:t>
      </w:r>
      <w:r w:rsidR="00803406">
        <w:t>external hazards.</w:t>
      </w:r>
    </w:p>
    <w:p w14:paraId="6DCFE001" w14:textId="11E8446A" w:rsidR="00CA46B5" w:rsidRDefault="00DF08D7" w:rsidP="00194C0C">
      <w:pPr>
        <w:pStyle w:val="Bulletlist2"/>
      </w:pPr>
      <w:r>
        <w:t xml:space="preserve">EMIT findings and </w:t>
      </w:r>
      <w:r w:rsidR="006279DD">
        <w:t>commentary.</w:t>
      </w:r>
    </w:p>
    <w:p w14:paraId="07074949" w14:textId="77777777" w:rsidR="00531154" w:rsidRDefault="006279DD" w:rsidP="00194C0C">
      <w:pPr>
        <w:pStyle w:val="Bulletlist2"/>
      </w:pPr>
      <w:r>
        <w:t>Modifications</w:t>
      </w:r>
      <w:r w:rsidR="00531154">
        <w:t>.</w:t>
      </w:r>
    </w:p>
    <w:p w14:paraId="4B0240A9" w14:textId="39826575" w:rsidR="006E1579" w:rsidRDefault="006E1579" w:rsidP="00194C0C">
      <w:pPr>
        <w:pStyle w:val="Bulletlist2"/>
      </w:pPr>
      <w:r>
        <w:t>Worker doses.</w:t>
      </w:r>
    </w:p>
    <w:p w14:paraId="770AC850" w14:textId="20856BB9" w:rsidR="006279DD" w:rsidRDefault="006E1579" w:rsidP="00194C0C">
      <w:pPr>
        <w:pStyle w:val="Bulletlist2"/>
      </w:pPr>
      <w:r>
        <w:t>Accumulation and monitoring of radioactive waste.</w:t>
      </w:r>
      <w:r w:rsidR="006279DD">
        <w:t xml:space="preserve"> </w:t>
      </w:r>
    </w:p>
    <w:p w14:paraId="0B988F0B" w14:textId="793D04A6" w:rsidR="003E3006" w:rsidRPr="00420B88" w:rsidRDefault="008D7FCD" w:rsidP="00194C0C">
      <w:pPr>
        <w:pStyle w:val="Heading2"/>
      </w:pPr>
      <w:r w:rsidRPr="00C42FBB">
        <w:t xml:space="preserve">Governance and </w:t>
      </w:r>
      <w:r w:rsidR="00194C0C">
        <w:t>p</w:t>
      </w:r>
      <w:r w:rsidRPr="00C42FBB">
        <w:t>lanning</w:t>
      </w:r>
      <w:r w:rsidR="00C42FBB">
        <w:t xml:space="preserve"> </w:t>
      </w:r>
    </w:p>
    <w:p w14:paraId="6596B626" w14:textId="77777777" w:rsidR="0005178B" w:rsidRDefault="009B3151" w:rsidP="00194C0C">
      <w:pPr>
        <w:pStyle w:val="Bulletlist1"/>
      </w:pPr>
      <w:r w:rsidRPr="008A3D50">
        <w:t>The scope and outcome of all reviews should be independently assessed</w:t>
      </w:r>
      <w:r>
        <w:t xml:space="preserve"> and if appropriate (as indicated in the licensee’s arrangements)</w:t>
      </w:r>
      <w:r w:rsidRPr="008A3D50">
        <w:t xml:space="preserve"> they should be considered by the Nuclear Safety Committee</w:t>
      </w:r>
      <w:r>
        <w:t xml:space="preserve"> (NSC)</w:t>
      </w:r>
      <w:r w:rsidRPr="008A3D50">
        <w:t>.</w:t>
      </w:r>
    </w:p>
    <w:p w14:paraId="0EB230C1" w14:textId="77777777" w:rsidR="002910E9" w:rsidRDefault="002910E9" w:rsidP="00194C0C">
      <w:pPr>
        <w:pStyle w:val="Bulletlist1"/>
      </w:pPr>
      <w:r>
        <w:t>Discuss with the responsible person(s) identified in the procedures the strategy adopted at the site for periodic reviews.</w:t>
      </w:r>
    </w:p>
    <w:p w14:paraId="424B5D56" w14:textId="3572CB40" w:rsidR="004926B4" w:rsidRDefault="00BD7B5E" w:rsidP="00194C0C">
      <w:pPr>
        <w:pStyle w:val="Bulletlist1"/>
      </w:pPr>
      <w:r>
        <w:t xml:space="preserve">Ensure the process </w:t>
      </w:r>
      <w:r w:rsidR="002910E9">
        <w:t xml:space="preserve">is systematic, documented </w:t>
      </w:r>
      <w:r w:rsidR="003419F3">
        <w:t xml:space="preserve">and shows evidence </w:t>
      </w:r>
      <w:r w:rsidR="004E0BEA">
        <w:t xml:space="preserve">of independent challenge. </w:t>
      </w:r>
    </w:p>
    <w:p w14:paraId="561BCD6C" w14:textId="11F16FC9" w:rsidR="00A55914" w:rsidRDefault="00A55914" w:rsidP="00194C0C">
      <w:pPr>
        <w:pStyle w:val="Bulletlist1"/>
      </w:pPr>
      <w:r w:rsidRPr="004369D9">
        <w:t>Verify that documented arrangements align with actual practices, and ensure that all decision-making processes are clearly traceable and properly recorded.</w:t>
      </w:r>
    </w:p>
    <w:p w14:paraId="1210597A" w14:textId="3677D45E" w:rsidR="0076784E" w:rsidRPr="00747614" w:rsidRDefault="00292BCB" w:rsidP="00194C0C">
      <w:pPr>
        <w:pStyle w:val="Bulletlist1"/>
      </w:pPr>
      <w:r>
        <w:t>Ens</w:t>
      </w:r>
      <w:r w:rsidR="00366777">
        <w:t>ure t</w:t>
      </w:r>
      <w:r w:rsidR="00850B60" w:rsidRPr="008A3D50">
        <w:t xml:space="preserve">he persons carrying out the </w:t>
      </w:r>
      <w:r w:rsidR="00850B60">
        <w:t xml:space="preserve">safety case </w:t>
      </w:r>
      <w:r w:rsidR="00850B60" w:rsidRPr="008A3D50">
        <w:t>review are suitably qualified and experienced</w:t>
      </w:r>
      <w:r w:rsidR="00850B60">
        <w:t xml:space="preserve"> (SQEP)</w:t>
      </w:r>
      <w:r w:rsidR="00850B60" w:rsidRPr="008A3D50">
        <w:t>.</w:t>
      </w:r>
      <w:r w:rsidR="00850B60" w:rsidRPr="003A1092">
        <w:t xml:space="preserve"> This also applies to the supply chain/contractors used for review work (including criteria for selecting contractors and assessing</w:t>
      </w:r>
      <w:r w:rsidR="00850B60" w:rsidRPr="00EC65F8">
        <w:rPr>
          <w:color w:val="000000"/>
        </w:rPr>
        <w:t xml:space="preserve"> their competence before, during and after completion of the work)</w:t>
      </w:r>
      <w:r w:rsidR="00850B60">
        <w:rPr>
          <w:color w:val="000000"/>
        </w:rPr>
        <w:t>.</w:t>
      </w:r>
    </w:p>
    <w:p w14:paraId="77205D17" w14:textId="62DF1689" w:rsidR="00877524" w:rsidRPr="00877524" w:rsidRDefault="008D7FCD" w:rsidP="00194C0C">
      <w:pPr>
        <w:pStyle w:val="Heading2"/>
      </w:pPr>
      <w:r>
        <w:lastRenderedPageBreak/>
        <w:t xml:space="preserve">Implementation </w:t>
      </w:r>
      <w:r w:rsidR="00C51902">
        <w:t>(</w:t>
      </w:r>
      <w:r w:rsidR="00194C0C">
        <w:t>s</w:t>
      </w:r>
      <w:r w:rsidR="00C51902">
        <w:t xml:space="preserve">cope, </w:t>
      </w:r>
      <w:r w:rsidR="00194C0C">
        <w:t>m</w:t>
      </w:r>
      <w:r w:rsidR="00C42FBB">
        <w:t xml:space="preserve">ethodology, </w:t>
      </w:r>
      <w:r w:rsidR="00194C0C">
        <w:t>f</w:t>
      </w:r>
      <w:r w:rsidR="00C42FBB">
        <w:t xml:space="preserve">indings) </w:t>
      </w:r>
    </w:p>
    <w:p w14:paraId="0D2593A6" w14:textId="7D79FBDE" w:rsidR="00F83134" w:rsidRDefault="00877524" w:rsidP="00194C0C">
      <w:pPr>
        <w:pStyle w:val="Bulletlist1"/>
      </w:pPr>
      <w:r w:rsidRPr="008A3D50">
        <w:t>The scope and outcome of all reviews should be independently assessed</w:t>
      </w:r>
      <w:r>
        <w:t xml:space="preserve"> and if appropriate (as indicated in the licensee’s arrangements)</w:t>
      </w:r>
      <w:r w:rsidRPr="008A3D50">
        <w:t xml:space="preserve"> they should be considered by the </w:t>
      </w:r>
      <w:r>
        <w:t>NSC</w:t>
      </w:r>
      <w:r w:rsidRPr="008A3D50">
        <w:t>.</w:t>
      </w:r>
    </w:p>
    <w:p w14:paraId="29314C02" w14:textId="3C0BAAFC" w:rsidR="00E16215" w:rsidRDefault="00E16215" w:rsidP="00194C0C">
      <w:pPr>
        <w:pStyle w:val="Bulletlist1"/>
      </w:pPr>
      <w:r>
        <w:t xml:space="preserve">The Licensee should be able to demonstrate a </w:t>
      </w:r>
      <w:r w:rsidR="00C406D4">
        <w:t>comprehensive review of the safety case and that it is still valid or identifies areas requiring improvement.</w:t>
      </w:r>
    </w:p>
    <w:p w14:paraId="0542DFBF" w14:textId="1CF1C922" w:rsidR="00F42E67" w:rsidRDefault="003206DF" w:rsidP="00194C0C">
      <w:pPr>
        <w:pStyle w:val="Bulletlist1"/>
      </w:pPr>
      <w:r w:rsidRPr="003206DF">
        <w:t>Ensure that the methodology is informed by risk and comprehensively addresses all relevant aspects of the facility</w:t>
      </w:r>
      <w:r w:rsidR="00366777">
        <w:t xml:space="preserve">, </w:t>
      </w:r>
      <w:r w:rsidRPr="003206DF">
        <w:t>such as design, operation, ageing, and external hazards</w:t>
      </w:r>
      <w:r w:rsidR="00366777">
        <w:t xml:space="preserve">, </w:t>
      </w:r>
      <w:r w:rsidRPr="003206DF">
        <w:t>by employing a robust and well-documented approach</w:t>
      </w:r>
      <w:r w:rsidR="00D841CA">
        <w:t>.</w:t>
      </w:r>
    </w:p>
    <w:p w14:paraId="496B2AE2" w14:textId="33B9C3B7" w:rsidR="00D841CA" w:rsidRDefault="00D841CA" w:rsidP="00194C0C">
      <w:pPr>
        <w:pStyle w:val="Bulletlist1"/>
      </w:pPr>
      <w:r>
        <w:t>Ensure the methodology inc</w:t>
      </w:r>
      <w:r w:rsidR="006E0411">
        <w:t xml:space="preserve">orporates lessons identified/learned, OPEX and operators experience. </w:t>
      </w:r>
    </w:p>
    <w:p w14:paraId="4F37F55A" w14:textId="5B82E866" w:rsidR="00A67F83" w:rsidRDefault="00461790" w:rsidP="00194C0C">
      <w:pPr>
        <w:pStyle w:val="Bulletlist1"/>
      </w:pPr>
      <w:r>
        <w:t xml:space="preserve">Ensure the </w:t>
      </w:r>
      <w:r w:rsidR="00E13131" w:rsidRPr="00CE0CD1">
        <w:t>reviews are carried out relevant to the current and projected status of the plant, process or system “time of life” e.g. construction, commissioning, operation or decommissioning</w:t>
      </w:r>
      <w:r w:rsidR="00203B70" w:rsidRPr="00CE0CD1">
        <w:t>.</w:t>
      </w:r>
    </w:p>
    <w:p w14:paraId="7C788463" w14:textId="0C463E0E" w:rsidR="00786E45" w:rsidRPr="00304006" w:rsidRDefault="00461790" w:rsidP="00194C0C">
      <w:pPr>
        <w:pStyle w:val="Bulletlist1"/>
      </w:pPr>
      <w:r>
        <w:t xml:space="preserve">Ensure </w:t>
      </w:r>
      <w:r w:rsidR="00786E45" w:rsidRPr="00CE0CD1">
        <w:t>a full and accurate report is made of each review, authorised at appropriate level in the licensee’s management structure</w:t>
      </w:r>
      <w:r w:rsidR="00D82784" w:rsidRPr="00CE0CD1">
        <w:t>.</w:t>
      </w:r>
    </w:p>
    <w:p w14:paraId="1FE1E710" w14:textId="34379ABF" w:rsidR="00304006" w:rsidRDefault="00461790" w:rsidP="00194C0C">
      <w:pPr>
        <w:pStyle w:val="Bulletlist1"/>
      </w:pPr>
      <w:r>
        <w:t xml:space="preserve">Check that </w:t>
      </w:r>
      <w:r w:rsidR="00304006" w:rsidRPr="00CE0CD1">
        <w:t>any change to a safety case is managed using appropriate arrangements/process</w:t>
      </w:r>
      <w:r>
        <w:t xml:space="preserve"> e.g. LC22</w:t>
      </w:r>
      <w:r w:rsidR="00156B10">
        <w:t>/36.</w:t>
      </w:r>
    </w:p>
    <w:p w14:paraId="6298EE67" w14:textId="0AFAC293" w:rsidR="00636052" w:rsidRDefault="00636052" w:rsidP="00194C0C">
      <w:pPr>
        <w:pStyle w:val="Bulletlist1"/>
      </w:pPr>
      <w:r>
        <w:t xml:space="preserve">Ensure that </w:t>
      </w:r>
      <w:r w:rsidR="00E80168">
        <w:t xml:space="preserve">the improvements are delivered in a way that maintains / enhances and prioritises safety. </w:t>
      </w:r>
    </w:p>
    <w:p w14:paraId="0BF74443" w14:textId="446E3E94" w:rsidR="009E18F2" w:rsidRPr="00F86550" w:rsidRDefault="009E18F2" w:rsidP="00194C0C">
      <w:pPr>
        <w:pStyle w:val="Bulletlist1"/>
      </w:pPr>
      <w:r>
        <w:t>I</w:t>
      </w:r>
      <w:r w:rsidRPr="009E18F2">
        <w:t>nspect records, logs, and reports showing how arrangements are applied in practice.</w:t>
      </w:r>
    </w:p>
    <w:p w14:paraId="02839F81" w14:textId="569378F8" w:rsidR="00F86550" w:rsidRDefault="00F86550" w:rsidP="00194C0C">
      <w:pPr>
        <w:pStyle w:val="Bulletlist1"/>
      </w:pPr>
      <w:r w:rsidRPr="00F86550">
        <w:t>Conduct plant walkdowns</w:t>
      </w:r>
      <w:r>
        <w:t>/</w:t>
      </w:r>
      <w:r w:rsidRPr="00F86550">
        <w:t xml:space="preserve">interviews to confirm arrangements are embedded in day-to-day operations. </w:t>
      </w:r>
    </w:p>
    <w:p w14:paraId="35B88EE1" w14:textId="3F2A9AF4" w:rsidR="00DC7926" w:rsidRPr="00DC7926" w:rsidRDefault="00DC7926" w:rsidP="00194C0C">
      <w:pPr>
        <w:pStyle w:val="Bulletlist1"/>
      </w:pPr>
      <w:r w:rsidRPr="00DC7926">
        <w:t>Ensure staff are trained and competent to implement LC arrangements</w:t>
      </w:r>
      <w:r w:rsidR="004618EC">
        <w:t xml:space="preserve"> and that changes to the safety case are communicated effectively. </w:t>
      </w:r>
    </w:p>
    <w:p w14:paraId="186A4605" w14:textId="5A86D79B" w:rsidR="00DC7926" w:rsidRPr="00F86550" w:rsidRDefault="000849A3" w:rsidP="00194C0C">
      <w:pPr>
        <w:pStyle w:val="Bulletlist1"/>
      </w:pPr>
      <w:r>
        <w:t>Ensure that the timescales f</w:t>
      </w:r>
      <w:r w:rsidR="00585C52">
        <w:t>or</w:t>
      </w:r>
      <w:r>
        <w:t xml:space="preserve"> implementation o</w:t>
      </w:r>
      <w:r w:rsidR="00585C52">
        <w:t xml:space="preserve">f nuclear safety improvements are agreed, resourced and tracked. </w:t>
      </w:r>
    </w:p>
    <w:p w14:paraId="396EDBDD" w14:textId="77777777" w:rsidR="00194C0C" w:rsidRDefault="00194C0C" w:rsidP="00194C0C">
      <w:pPr>
        <w:pStyle w:val="Heading2"/>
        <w:sectPr w:rsidR="00194C0C" w:rsidSect="00194C0C">
          <w:pgSz w:w="11906" w:h="16838" w:code="9"/>
          <w:pgMar w:top="1440" w:right="1440" w:bottom="1440" w:left="1440" w:header="431" w:footer="567" w:gutter="0"/>
          <w:cols w:space="708"/>
          <w:docGrid w:linePitch="360"/>
        </w:sectPr>
      </w:pPr>
    </w:p>
    <w:p w14:paraId="776B49F8" w14:textId="237061B5" w:rsidR="0083256E" w:rsidRPr="00B4258F" w:rsidRDefault="00BF6F64" w:rsidP="00194C0C">
      <w:pPr>
        <w:pStyle w:val="Heading2"/>
      </w:pPr>
      <w:r>
        <w:lastRenderedPageBreak/>
        <w:t>Maintenance of ALARP</w:t>
      </w:r>
      <w:r w:rsidR="00A55B71">
        <w:t xml:space="preserve"> </w:t>
      </w:r>
      <w:r w:rsidR="00804106">
        <w:t xml:space="preserve"> </w:t>
      </w:r>
    </w:p>
    <w:p w14:paraId="5DEF5522" w14:textId="6607439C" w:rsidR="003C4532" w:rsidRDefault="00A55914" w:rsidP="00194C0C">
      <w:pPr>
        <w:pStyle w:val="Bulletlist1"/>
      </w:pPr>
      <w:r>
        <w:t xml:space="preserve">Verify that </w:t>
      </w:r>
      <w:r w:rsidR="003C4532" w:rsidRPr="003A1092">
        <w:t>the plant, process or system meets all safety functional claims and modern standards</w:t>
      </w:r>
      <w:r w:rsidR="005E6B44">
        <w:t xml:space="preserve"> i.e. demonstrably </w:t>
      </w:r>
      <w:r w:rsidR="00A545AC" w:rsidRPr="003A1092">
        <w:t>ALARP</w:t>
      </w:r>
      <w:r w:rsidR="003C4532" w:rsidRPr="003A1092">
        <w:t xml:space="preserve"> and that there is a full up to date description of the plant or process with any modifications clearly defined</w:t>
      </w:r>
      <w:r w:rsidR="00387E60" w:rsidRPr="003A1092">
        <w:t>.</w:t>
      </w:r>
    </w:p>
    <w:p w14:paraId="608DC148" w14:textId="2B3F71A4" w:rsidR="008356D4" w:rsidRPr="00656C3E" w:rsidRDefault="00387E60" w:rsidP="00194C0C">
      <w:pPr>
        <w:pStyle w:val="Bulletlist1"/>
        <w:rPr>
          <w:color w:val="000000"/>
        </w:rPr>
      </w:pPr>
      <w:r w:rsidRPr="003A1092">
        <w:t xml:space="preserve">The review should ensure </w:t>
      </w:r>
      <w:r w:rsidR="00DF3D9C" w:rsidRPr="003A1092">
        <w:t xml:space="preserve">any life-limiting features are identified; and </w:t>
      </w:r>
      <w:r w:rsidR="008356D4" w:rsidRPr="003A1092">
        <w:t>where shortfalls against modern standards / modern safety cases are identified, the arrangements</w:t>
      </w:r>
      <w:r w:rsidR="008356D4" w:rsidRPr="00656C3E">
        <w:rPr>
          <w:color w:val="000000"/>
        </w:rPr>
        <w:t xml:space="preserve"> should clarify that :</w:t>
      </w:r>
    </w:p>
    <w:p w14:paraId="393CC9FD" w14:textId="640F9FE9" w:rsidR="008356D4" w:rsidRDefault="004F7A7D" w:rsidP="00194C0C">
      <w:pPr>
        <w:pStyle w:val="Bulletlist2"/>
      </w:pPr>
      <w:r>
        <w:t>T</w:t>
      </w:r>
      <w:r w:rsidR="008356D4">
        <w:t xml:space="preserve">he shortfalls are categorised in terms of their nuclear safety significance and the risk arising from each shortfall is quantified. </w:t>
      </w:r>
    </w:p>
    <w:p w14:paraId="6C1DB8C9" w14:textId="4CD68A9B" w:rsidR="008356D4" w:rsidRDefault="004F7A7D" w:rsidP="00194C0C">
      <w:pPr>
        <w:pStyle w:val="Bulletlist2"/>
      </w:pPr>
      <w:r>
        <w:t>S</w:t>
      </w:r>
      <w:r w:rsidR="008356D4">
        <w:t xml:space="preserve">hortfall remediation is prioritised </w:t>
      </w:r>
      <w:r w:rsidR="00FE6202">
        <w:t>to</w:t>
      </w:r>
      <w:r w:rsidR="008356D4">
        <w:t xml:space="preserve"> address shortfalls that make the largest contributions to overall risk; </w:t>
      </w:r>
      <w:r w:rsidR="00A004CC">
        <w:t xml:space="preserve">. </w:t>
      </w:r>
    </w:p>
    <w:p w14:paraId="62656CC1" w14:textId="027912DE" w:rsidR="001126F6" w:rsidRPr="00A545AC" w:rsidRDefault="001126F6" w:rsidP="00194C0C">
      <w:pPr>
        <w:pStyle w:val="Bulletlist2"/>
      </w:pPr>
      <w:r w:rsidRPr="001126F6">
        <w:t>If further work is reasonably practicable, a resourced programme with clear deadlines is implemented to address the shortfalls.</w:t>
      </w:r>
    </w:p>
    <w:p w14:paraId="7D16D0FC" w14:textId="1F0C563F" w:rsidR="008356D4" w:rsidRDefault="004F7A7D" w:rsidP="00194C0C">
      <w:pPr>
        <w:pStyle w:val="Bulletlist2"/>
      </w:pPr>
      <w:r>
        <w:t>I</w:t>
      </w:r>
      <w:r w:rsidR="008356D4">
        <w:t xml:space="preserve">f further work is deemed not reasonably practicable then appropriate </w:t>
      </w:r>
      <w:r w:rsidR="00A545AC">
        <w:t>ALARP</w:t>
      </w:r>
      <w:r w:rsidR="008356D4">
        <w:t xml:space="preserve"> justifications should be made for the shortfalls. </w:t>
      </w:r>
    </w:p>
    <w:p w14:paraId="4EAF7D3B" w14:textId="194B0349" w:rsidR="00194C0C" w:rsidRPr="00194C0C" w:rsidRDefault="00583D95" w:rsidP="00194C0C">
      <w:pPr>
        <w:pStyle w:val="Heading2"/>
      </w:pPr>
      <w:bookmarkStart w:id="10" w:name="_Toc45517852"/>
      <w:r w:rsidRPr="00194C0C">
        <w:t>Interdependency with</w:t>
      </w:r>
      <w:r w:rsidR="00194C0C">
        <w:t xml:space="preserve"> o</w:t>
      </w:r>
      <w:r w:rsidRPr="00194C0C">
        <w:t>ther LC’s</w:t>
      </w:r>
      <w:r w:rsidR="00194C0C">
        <w:t xml:space="preserve"> </w:t>
      </w:r>
      <w:r w:rsidR="008200F0" w:rsidRPr="00194C0C">
        <w:t>/</w:t>
      </w:r>
      <w:r w:rsidR="00194C0C">
        <w:t xml:space="preserve"> l</w:t>
      </w:r>
      <w:r w:rsidR="008200F0" w:rsidRPr="00194C0C">
        <w:t>egislation</w:t>
      </w:r>
      <w:r w:rsidR="00EE6DA9" w:rsidRPr="00194C0C">
        <w:t> </w:t>
      </w:r>
    </w:p>
    <w:p w14:paraId="05F96B96" w14:textId="1BCB6945" w:rsidR="00194C0C" w:rsidRPr="00194C0C" w:rsidRDefault="00194C0C" w:rsidP="00194C0C">
      <w:pPr>
        <w:pStyle w:val="F9-Paragraph"/>
        <w:rPr>
          <w:b/>
          <w:bCs/>
        </w:rPr>
        <w:sectPr w:rsidR="00194C0C" w:rsidRPr="00194C0C" w:rsidSect="00194C0C">
          <w:pgSz w:w="11906" w:h="16838" w:code="9"/>
          <w:pgMar w:top="1440" w:right="1440" w:bottom="1440" w:left="1440" w:header="431" w:footer="567" w:gutter="0"/>
          <w:cols w:space="708"/>
          <w:docGrid w:linePitch="360"/>
        </w:sectPr>
      </w:pPr>
      <w:r w:rsidRPr="00194C0C">
        <w:rPr>
          <w:b/>
          <w:bCs/>
        </w:rPr>
        <w:t>Important</w:t>
      </w:r>
      <w:r>
        <w:t>: LC 15</w:t>
      </w:r>
      <w:r w:rsidR="00EE6DA9" w:rsidRPr="00DE7D9C">
        <w:t xml:space="preserve"> does not operate in isolation; its outputs commonly </w:t>
      </w:r>
      <w:r w:rsidR="00E227D5" w:rsidRPr="00DE7D9C">
        <w:t>prompt</w:t>
      </w:r>
      <w:r w:rsidR="00EE6DA9" w:rsidRPr="00DE7D9C">
        <w:t xml:space="preserve"> </w:t>
      </w:r>
      <w:r w:rsidR="00E227D5">
        <w:t>regulatory activities</w:t>
      </w:r>
      <w:r w:rsidR="00EE6DA9" w:rsidRPr="00DE7D9C">
        <w:t xml:space="preserve"> under other LCs and statutory </w:t>
      </w:r>
      <w:r w:rsidR="00627182">
        <w:t>purposes</w:t>
      </w:r>
      <w:r w:rsidR="00EE6DA9" w:rsidRPr="00DE7D9C">
        <w:t xml:space="preserve"> and may lead to</w:t>
      </w:r>
      <w:r w:rsidR="006D3451">
        <w:t xml:space="preserve"> permissions, regulatory decisions</w:t>
      </w:r>
      <w:r w:rsidR="00873768">
        <w:t xml:space="preserve">, enforcement </w:t>
      </w:r>
      <w:r w:rsidR="00EE6DA9" w:rsidRPr="00DE7D9C">
        <w:t>or cross</w:t>
      </w:r>
      <w:r w:rsidR="00EE6DA9" w:rsidRPr="00DE7D9C">
        <w:noBreakHyphen/>
      </w:r>
      <w:r w:rsidR="00873768">
        <w:t>purpose interventions</w:t>
      </w:r>
      <w:r>
        <w:t xml:space="preserve"> (refer to </w:t>
      </w:r>
      <w:r>
        <w:fldChar w:fldCharType="begin"/>
      </w:r>
      <w:r>
        <w:instrText xml:space="preserve"> REF _Ref217048140 \h </w:instrText>
      </w:r>
      <w:r>
        <w:fldChar w:fldCharType="separate"/>
      </w:r>
      <w:r>
        <w:t xml:space="preserve">Table </w:t>
      </w:r>
      <w:r>
        <w:rPr>
          <w:noProof/>
        </w:rPr>
        <w:t>1</w:t>
      </w:r>
      <w:r>
        <w:fldChar w:fldCharType="end"/>
      </w:r>
      <w:r>
        <w:t>)</w:t>
      </w:r>
    </w:p>
    <w:p w14:paraId="2092B5A8" w14:textId="62CB03EE" w:rsidR="00194C0C" w:rsidRDefault="00194C0C" w:rsidP="00194C0C">
      <w:pPr>
        <w:pStyle w:val="Caption"/>
        <w:keepNext/>
      </w:pPr>
      <w:bookmarkStart w:id="11" w:name="_Ref217048140"/>
      <w:r>
        <w:lastRenderedPageBreak/>
        <w:t xml:space="preserve">Table </w:t>
      </w:r>
      <w:r>
        <w:fldChar w:fldCharType="begin"/>
      </w:r>
      <w:r>
        <w:instrText xml:space="preserve"> SEQ Table \* ARABIC </w:instrText>
      </w:r>
      <w:r>
        <w:fldChar w:fldCharType="separate"/>
      </w:r>
      <w:r>
        <w:rPr>
          <w:noProof/>
        </w:rPr>
        <w:t>1</w:t>
      </w:r>
      <w:r>
        <w:fldChar w:fldCharType="end"/>
      </w:r>
      <w:bookmarkEnd w:id="11"/>
      <w:r>
        <w:t xml:space="preserve"> - </w:t>
      </w:r>
      <w:r w:rsidRPr="003B4C77">
        <w:t xml:space="preserve">Interdependency with </w:t>
      </w:r>
      <w:r>
        <w:t>o</w:t>
      </w:r>
      <w:r w:rsidRPr="003B4C77">
        <w:t>ther LC’s</w:t>
      </w:r>
      <w:r>
        <w:t xml:space="preserve"> </w:t>
      </w:r>
      <w:r w:rsidRPr="003B4C77">
        <w:t>/</w:t>
      </w:r>
      <w:r>
        <w:t xml:space="preserve"> l</w:t>
      </w:r>
      <w:r w:rsidRPr="003B4C77">
        <w:t>egislation</w:t>
      </w:r>
    </w:p>
    <w:tbl>
      <w:tblPr>
        <w:tblStyle w:val="ONRTable1"/>
        <w:tblW w:w="5000" w:type="pct"/>
        <w:tblInd w:w="5" w:type="dxa"/>
        <w:tblLook w:val="04A0" w:firstRow="1" w:lastRow="0" w:firstColumn="1" w:lastColumn="0" w:noHBand="0" w:noVBand="1"/>
      </w:tblPr>
      <w:tblGrid>
        <w:gridCol w:w="1841"/>
        <w:gridCol w:w="1969"/>
        <w:gridCol w:w="2737"/>
        <w:gridCol w:w="2479"/>
      </w:tblGrid>
      <w:tr w:rsidR="007E53FE" w14:paraId="2DDBFD06" w14:textId="77777777" w:rsidTr="00194C0C">
        <w:trPr>
          <w:cnfStyle w:val="100000000000" w:firstRow="1" w:lastRow="0" w:firstColumn="0" w:lastColumn="0" w:oddVBand="0" w:evenVBand="0" w:oddHBand="0" w:evenHBand="0" w:firstRowFirstColumn="0" w:firstRowLastColumn="0" w:lastRowFirstColumn="0" w:lastRowLastColumn="0"/>
          <w:cantSplit/>
          <w:tblHeader/>
        </w:trPr>
        <w:tc>
          <w:tcPr>
            <w:tcW w:w="855" w:type="pct"/>
          </w:tcPr>
          <w:p w14:paraId="60C14F43" w14:textId="65D2E5A9" w:rsidR="007E53FE" w:rsidRPr="007E53FE" w:rsidRDefault="0093727C" w:rsidP="00194C0C">
            <w:pPr>
              <w:pStyle w:val="F9-Paragraph"/>
              <w:numPr>
                <w:ilvl w:val="0"/>
                <w:numId w:val="0"/>
              </w:numPr>
              <w:spacing w:before="60" w:after="60"/>
              <w:rPr>
                <w:b w:val="0"/>
              </w:rPr>
            </w:pPr>
            <w:r>
              <w:t>LC</w:t>
            </w:r>
            <w:r w:rsidR="00194C0C">
              <w:t>/ legislation</w:t>
            </w:r>
          </w:p>
        </w:tc>
        <w:tc>
          <w:tcPr>
            <w:tcW w:w="1146" w:type="pct"/>
          </w:tcPr>
          <w:p w14:paraId="7FCF1D17" w14:textId="24D2C3C1" w:rsidR="007E53FE" w:rsidRPr="007E53FE" w:rsidRDefault="007E53FE" w:rsidP="00194C0C">
            <w:pPr>
              <w:pStyle w:val="F9-Paragraph"/>
              <w:numPr>
                <w:ilvl w:val="0"/>
                <w:numId w:val="0"/>
              </w:numPr>
              <w:spacing w:before="60" w:after="60"/>
              <w:rPr>
                <w:b w:val="0"/>
              </w:rPr>
            </w:pPr>
            <w:r w:rsidRPr="007E53FE">
              <w:t xml:space="preserve">Intent </w:t>
            </w:r>
            <w:r w:rsidRPr="0093727C">
              <w:rPr>
                <w:shd w:val="clear" w:color="auto" w:fill="D9D9D9" w:themeFill="background1" w:themeFillShade="D9"/>
              </w:rPr>
              <w:t>/</w:t>
            </w:r>
            <w:r w:rsidRPr="007E53FE">
              <w:t xml:space="preserve"> </w:t>
            </w:r>
            <w:r w:rsidR="00194C0C">
              <w:t>p</w:t>
            </w:r>
            <w:r w:rsidRPr="007E53FE">
              <w:t>urpose</w:t>
            </w:r>
          </w:p>
        </w:tc>
        <w:tc>
          <w:tcPr>
            <w:tcW w:w="1571" w:type="pct"/>
          </w:tcPr>
          <w:p w14:paraId="730A9EBE" w14:textId="28DDDE8E" w:rsidR="007E53FE" w:rsidRPr="007E53FE" w:rsidRDefault="00194C0C" w:rsidP="00194C0C">
            <w:pPr>
              <w:pStyle w:val="F9-Paragraph"/>
              <w:numPr>
                <w:ilvl w:val="0"/>
                <w:numId w:val="0"/>
              </w:numPr>
              <w:spacing w:before="60" w:after="60"/>
              <w:rPr>
                <w:b w:val="0"/>
              </w:rPr>
            </w:pPr>
            <w:r>
              <w:t>LC 15</w:t>
            </w:r>
            <w:r w:rsidR="0093727C">
              <w:t xml:space="preserve"> </w:t>
            </w:r>
            <w:r>
              <w:t>i</w:t>
            </w:r>
            <w:r w:rsidR="007E53FE" w:rsidRPr="00EB4237">
              <w:t>nterdependency</w:t>
            </w:r>
            <w:r w:rsidR="007E53FE">
              <w:t xml:space="preserve"> </w:t>
            </w:r>
          </w:p>
        </w:tc>
        <w:tc>
          <w:tcPr>
            <w:tcW w:w="1428" w:type="pct"/>
          </w:tcPr>
          <w:p w14:paraId="7978E451" w14:textId="071610BD" w:rsidR="007E53FE" w:rsidRDefault="007E53FE" w:rsidP="00194C0C">
            <w:pPr>
              <w:pStyle w:val="F9-Paragraph"/>
              <w:numPr>
                <w:ilvl w:val="0"/>
                <w:numId w:val="0"/>
              </w:numPr>
              <w:spacing w:before="60" w:after="60"/>
            </w:pPr>
            <w:r w:rsidRPr="00EB4237">
              <w:t xml:space="preserve">Regulatory </w:t>
            </w:r>
            <w:r w:rsidR="00194C0C">
              <w:t>o</w:t>
            </w:r>
            <w:r w:rsidRPr="00EB4237">
              <w:t>utcome</w:t>
            </w:r>
          </w:p>
        </w:tc>
      </w:tr>
      <w:tr w:rsidR="001866FC" w:rsidRPr="009E2998" w14:paraId="4EB9E2A7" w14:textId="77777777" w:rsidTr="00194C0C">
        <w:trPr>
          <w:cantSplit/>
          <w:trHeight w:val="1176"/>
        </w:trPr>
        <w:tc>
          <w:tcPr>
            <w:tcW w:w="855" w:type="pct"/>
          </w:tcPr>
          <w:p w14:paraId="6B86A3EC" w14:textId="7C7E0D15" w:rsidR="001866FC" w:rsidRPr="001866FC" w:rsidRDefault="001866FC" w:rsidP="00194C0C">
            <w:pPr>
              <w:pStyle w:val="F9-Paragraph"/>
              <w:numPr>
                <w:ilvl w:val="0"/>
                <w:numId w:val="0"/>
              </w:numPr>
              <w:spacing w:before="60" w:after="60"/>
            </w:pPr>
            <w:r w:rsidRPr="001866FC">
              <w:t>LC11 Emergency Arrangements</w:t>
            </w:r>
          </w:p>
        </w:tc>
        <w:tc>
          <w:tcPr>
            <w:tcW w:w="1146" w:type="pct"/>
          </w:tcPr>
          <w:p w14:paraId="19E8902C" w14:textId="37A5AB95" w:rsidR="001866FC" w:rsidRPr="001866FC" w:rsidRDefault="001866FC" w:rsidP="00194C0C">
            <w:pPr>
              <w:pStyle w:val="F9-Paragraph"/>
              <w:numPr>
                <w:ilvl w:val="0"/>
                <w:numId w:val="0"/>
              </w:numPr>
              <w:spacing w:before="60" w:after="60"/>
            </w:pPr>
            <w:r w:rsidRPr="001866FC">
              <w:t>Ensure effective preparedness, response, and recovery arrangements for nuclear emergencies (on-site interface with off-site plans).</w:t>
            </w:r>
          </w:p>
        </w:tc>
        <w:tc>
          <w:tcPr>
            <w:tcW w:w="1571" w:type="pct"/>
          </w:tcPr>
          <w:p w14:paraId="274B7F49" w14:textId="35461266" w:rsidR="001866FC" w:rsidRPr="001866FC" w:rsidRDefault="00194C0C" w:rsidP="00194C0C">
            <w:pPr>
              <w:pStyle w:val="F9-Paragraph"/>
              <w:numPr>
                <w:ilvl w:val="0"/>
                <w:numId w:val="0"/>
              </w:numPr>
              <w:spacing w:before="60" w:after="60"/>
            </w:pPr>
            <w:r>
              <w:t>LC 15</w:t>
            </w:r>
            <w:r w:rsidR="001866FC" w:rsidRPr="001866FC">
              <w:t xml:space="preserve"> periodic reviews reassess accident analysis, source terms, and safety case claims/assumptions that underpin emergency arrangements; may drive updates to emergency planning basis, staffing, facilities, training, and drills.</w:t>
            </w:r>
          </w:p>
        </w:tc>
        <w:tc>
          <w:tcPr>
            <w:tcW w:w="1428" w:type="pct"/>
          </w:tcPr>
          <w:p w14:paraId="165ED263" w14:textId="79649665" w:rsidR="001866FC" w:rsidRPr="001866FC" w:rsidRDefault="001866FC" w:rsidP="00194C0C">
            <w:pPr>
              <w:pStyle w:val="F9-Paragraph"/>
              <w:numPr>
                <w:ilvl w:val="0"/>
                <w:numId w:val="0"/>
              </w:numPr>
              <w:spacing w:before="60" w:after="60"/>
            </w:pPr>
            <w:r w:rsidRPr="001866FC">
              <w:t>Emergency arrangements remain commensurate with current hazards and analysis; exercises validate capability; improvements implemented to maintain resilience and compliance.</w:t>
            </w:r>
          </w:p>
        </w:tc>
      </w:tr>
      <w:tr w:rsidR="00141446" w:rsidRPr="00C94B3B" w14:paraId="2A472CDC" w14:textId="77777777" w:rsidTr="00194C0C">
        <w:trPr>
          <w:cantSplit/>
        </w:trPr>
        <w:tc>
          <w:tcPr>
            <w:tcW w:w="855" w:type="pct"/>
          </w:tcPr>
          <w:p w14:paraId="4C38ED78" w14:textId="0AC8DE76" w:rsidR="00141446" w:rsidRPr="00175300" w:rsidRDefault="00141446" w:rsidP="00194C0C">
            <w:pPr>
              <w:pStyle w:val="F9-Paragraph"/>
              <w:numPr>
                <w:ilvl w:val="0"/>
                <w:numId w:val="0"/>
              </w:numPr>
              <w:spacing w:before="60" w:after="60"/>
              <w:rPr>
                <w:sz w:val="22"/>
              </w:rPr>
            </w:pPr>
            <w:r>
              <w:t>LC14 Safety Documentation</w:t>
            </w:r>
          </w:p>
        </w:tc>
        <w:tc>
          <w:tcPr>
            <w:tcW w:w="1146" w:type="pct"/>
          </w:tcPr>
          <w:p w14:paraId="18F6B00F" w14:textId="325664FB" w:rsidR="00141446" w:rsidRPr="000D3F71" w:rsidRDefault="00141446" w:rsidP="00194C0C">
            <w:pPr>
              <w:pStyle w:val="F9-Paragraph"/>
              <w:numPr>
                <w:ilvl w:val="0"/>
                <w:numId w:val="0"/>
              </w:numPr>
              <w:spacing w:before="60" w:after="60"/>
              <w:rPr>
                <w:sz w:val="22"/>
              </w:rPr>
            </w:pPr>
            <w:r>
              <w:t>Prepare, maintain, and control the safety case.</w:t>
            </w:r>
          </w:p>
        </w:tc>
        <w:tc>
          <w:tcPr>
            <w:tcW w:w="1571" w:type="pct"/>
          </w:tcPr>
          <w:p w14:paraId="3EFAF567" w14:textId="1CD0553D" w:rsidR="00141446" w:rsidRPr="00175300" w:rsidRDefault="00194C0C" w:rsidP="00194C0C">
            <w:pPr>
              <w:pStyle w:val="F9-Paragraph"/>
              <w:numPr>
                <w:ilvl w:val="0"/>
                <w:numId w:val="0"/>
              </w:numPr>
              <w:spacing w:before="60" w:after="60"/>
              <w:rPr>
                <w:sz w:val="22"/>
              </w:rPr>
            </w:pPr>
            <w:r>
              <w:t>LC 15</w:t>
            </w:r>
            <w:r w:rsidR="00141446">
              <w:t xml:space="preserve"> evaluates adequacy and currency of the safety case maintained under LC14.</w:t>
            </w:r>
          </w:p>
        </w:tc>
        <w:tc>
          <w:tcPr>
            <w:tcW w:w="1428" w:type="pct"/>
          </w:tcPr>
          <w:p w14:paraId="3CA53DF8" w14:textId="262AEC74" w:rsidR="00141446" w:rsidRPr="00175300" w:rsidRDefault="00141446" w:rsidP="00194C0C">
            <w:pPr>
              <w:pStyle w:val="F9-Paragraph"/>
              <w:numPr>
                <w:ilvl w:val="0"/>
                <w:numId w:val="0"/>
              </w:numPr>
              <w:spacing w:before="60" w:after="60"/>
              <w:rPr>
                <w:sz w:val="22"/>
              </w:rPr>
            </w:pPr>
            <w:r>
              <w:t>Safety case updated to reflect current standards and plant condition; clear traceability and governance maintained.</w:t>
            </w:r>
          </w:p>
        </w:tc>
      </w:tr>
      <w:tr w:rsidR="00141446" w:rsidRPr="00C94B3B" w14:paraId="3E434F73" w14:textId="77777777" w:rsidTr="00194C0C">
        <w:trPr>
          <w:cantSplit/>
        </w:trPr>
        <w:tc>
          <w:tcPr>
            <w:tcW w:w="855" w:type="pct"/>
          </w:tcPr>
          <w:p w14:paraId="0790BEA1" w14:textId="570B03D9" w:rsidR="00141446" w:rsidRPr="00175300" w:rsidRDefault="00141446" w:rsidP="00194C0C">
            <w:pPr>
              <w:pStyle w:val="F9-Paragraph"/>
              <w:numPr>
                <w:ilvl w:val="0"/>
                <w:numId w:val="0"/>
              </w:numPr>
              <w:spacing w:before="60" w:after="60"/>
              <w:rPr>
                <w:sz w:val="22"/>
              </w:rPr>
            </w:pPr>
            <w:r>
              <w:t>LC22 Modification or Experiment on Existing Plant</w:t>
            </w:r>
          </w:p>
        </w:tc>
        <w:tc>
          <w:tcPr>
            <w:tcW w:w="1146" w:type="pct"/>
          </w:tcPr>
          <w:p w14:paraId="6FB2210C" w14:textId="5069C33F" w:rsidR="00141446" w:rsidRPr="00716BBA" w:rsidRDefault="00141446" w:rsidP="00194C0C">
            <w:pPr>
              <w:pStyle w:val="F9-Paragraph"/>
              <w:numPr>
                <w:ilvl w:val="0"/>
                <w:numId w:val="0"/>
              </w:numPr>
              <w:spacing w:before="60" w:after="60"/>
              <w:rPr>
                <w:sz w:val="22"/>
              </w:rPr>
            </w:pPr>
            <w:r>
              <w:t>Control modifications and experiments to manage safety impact.</w:t>
            </w:r>
          </w:p>
        </w:tc>
        <w:tc>
          <w:tcPr>
            <w:tcW w:w="1571" w:type="pct"/>
          </w:tcPr>
          <w:p w14:paraId="56EDDDA2" w14:textId="09B9BB20" w:rsidR="00141446" w:rsidRPr="00175300" w:rsidRDefault="00141446" w:rsidP="00194C0C">
            <w:pPr>
              <w:pStyle w:val="F9-Paragraph"/>
              <w:numPr>
                <w:ilvl w:val="0"/>
                <w:numId w:val="0"/>
              </w:numPr>
              <w:spacing w:before="60" w:after="60"/>
              <w:rPr>
                <w:sz w:val="22"/>
              </w:rPr>
            </w:pPr>
            <w:r>
              <w:t>LC 15 may drive modifications to address ageing/obsolescence or risk reduction; outputs flow into LC22 change control.</w:t>
            </w:r>
          </w:p>
        </w:tc>
        <w:tc>
          <w:tcPr>
            <w:tcW w:w="1428" w:type="pct"/>
          </w:tcPr>
          <w:p w14:paraId="7E5C8410" w14:textId="0C29F2BF" w:rsidR="00141446" w:rsidRPr="00175300" w:rsidRDefault="00141446" w:rsidP="00194C0C">
            <w:pPr>
              <w:pStyle w:val="F9-Paragraph"/>
              <w:numPr>
                <w:ilvl w:val="0"/>
                <w:numId w:val="0"/>
              </w:numPr>
              <w:spacing w:before="60" w:after="60"/>
              <w:rPr>
                <w:sz w:val="22"/>
              </w:rPr>
            </w:pPr>
            <w:r>
              <w:t>Modifications justified and controlled; safety impacts assessed; ALARP demonstrated; configuration baseline maintained.</w:t>
            </w:r>
          </w:p>
        </w:tc>
      </w:tr>
      <w:tr w:rsidR="00141446" w:rsidRPr="00C94B3B" w14:paraId="73633DA9" w14:textId="77777777" w:rsidTr="00194C0C">
        <w:trPr>
          <w:cantSplit/>
        </w:trPr>
        <w:tc>
          <w:tcPr>
            <w:tcW w:w="855" w:type="pct"/>
          </w:tcPr>
          <w:p w14:paraId="0C7F6C72" w14:textId="5C9F7166" w:rsidR="00141446" w:rsidRPr="00175300" w:rsidRDefault="00141446" w:rsidP="00194C0C">
            <w:pPr>
              <w:pStyle w:val="F9-Paragraph"/>
              <w:numPr>
                <w:ilvl w:val="0"/>
                <w:numId w:val="0"/>
              </w:numPr>
              <w:spacing w:before="60" w:after="60"/>
              <w:rPr>
                <w:sz w:val="22"/>
              </w:rPr>
            </w:pPr>
            <w:r>
              <w:t>LC23 – Operating Rules</w:t>
            </w:r>
          </w:p>
        </w:tc>
        <w:tc>
          <w:tcPr>
            <w:tcW w:w="1146" w:type="pct"/>
          </w:tcPr>
          <w:p w14:paraId="07DD7364" w14:textId="66BEC660" w:rsidR="00141446" w:rsidRDefault="00141446" w:rsidP="00194C0C">
            <w:pPr>
              <w:pStyle w:val="F9-Paragraph"/>
              <w:numPr>
                <w:ilvl w:val="0"/>
                <w:numId w:val="0"/>
              </w:numPr>
              <w:spacing w:before="60" w:after="60"/>
              <w:rPr>
                <w:sz w:val="22"/>
              </w:rPr>
            </w:pPr>
            <w:r>
              <w:t>Define limits and conditions for safe operation derived from the safety case.</w:t>
            </w:r>
          </w:p>
        </w:tc>
        <w:tc>
          <w:tcPr>
            <w:tcW w:w="1571" w:type="pct"/>
          </w:tcPr>
          <w:p w14:paraId="0F7012C1" w14:textId="0C9C50FF" w:rsidR="00141446" w:rsidRPr="00716BBA" w:rsidRDefault="00194C0C" w:rsidP="00194C0C">
            <w:pPr>
              <w:pStyle w:val="F9-Paragraph"/>
              <w:numPr>
                <w:ilvl w:val="0"/>
                <w:numId w:val="0"/>
              </w:numPr>
              <w:spacing w:before="60" w:after="60"/>
              <w:rPr>
                <w:sz w:val="22"/>
              </w:rPr>
            </w:pPr>
            <w:r>
              <w:t>LC 15</w:t>
            </w:r>
            <w:r w:rsidR="00141446">
              <w:t xml:space="preserve"> may necessitate updates to limits/conditions based on reassessment.</w:t>
            </w:r>
          </w:p>
        </w:tc>
        <w:tc>
          <w:tcPr>
            <w:tcW w:w="1428" w:type="pct"/>
          </w:tcPr>
          <w:p w14:paraId="598C3893" w14:textId="2C64C870" w:rsidR="00141446" w:rsidRPr="00716BBA" w:rsidRDefault="00141446" w:rsidP="00194C0C">
            <w:pPr>
              <w:pStyle w:val="F9-Paragraph"/>
              <w:numPr>
                <w:ilvl w:val="0"/>
                <w:numId w:val="0"/>
              </w:numPr>
              <w:spacing w:before="60" w:after="60"/>
              <w:rPr>
                <w:sz w:val="22"/>
              </w:rPr>
            </w:pPr>
            <w:r>
              <w:t>Operating rules revised to reflect current safety case and maintain ALARP; clear linkage to monitoring and control.</w:t>
            </w:r>
          </w:p>
        </w:tc>
      </w:tr>
      <w:tr w:rsidR="008911CE" w:rsidRPr="00C94B3B" w14:paraId="110A696B" w14:textId="77777777" w:rsidTr="00194C0C">
        <w:trPr>
          <w:cantSplit/>
        </w:trPr>
        <w:tc>
          <w:tcPr>
            <w:tcW w:w="855" w:type="pct"/>
          </w:tcPr>
          <w:p w14:paraId="374BCF83" w14:textId="6BCE4087" w:rsidR="008911CE" w:rsidRPr="00175300" w:rsidRDefault="008911CE" w:rsidP="00194C0C">
            <w:pPr>
              <w:pStyle w:val="F9-Paragraph"/>
              <w:numPr>
                <w:ilvl w:val="0"/>
                <w:numId w:val="0"/>
              </w:numPr>
              <w:spacing w:before="60" w:after="60"/>
              <w:rPr>
                <w:sz w:val="22"/>
              </w:rPr>
            </w:pPr>
            <w:r>
              <w:lastRenderedPageBreak/>
              <w:t>LC24 – Operating Instructions</w:t>
            </w:r>
          </w:p>
        </w:tc>
        <w:tc>
          <w:tcPr>
            <w:tcW w:w="1146" w:type="pct"/>
          </w:tcPr>
          <w:p w14:paraId="45331A08" w14:textId="3559C4CE" w:rsidR="008911CE" w:rsidRPr="000E564E" w:rsidRDefault="008911CE" w:rsidP="00194C0C">
            <w:pPr>
              <w:pStyle w:val="F9-Paragraph"/>
              <w:numPr>
                <w:ilvl w:val="0"/>
                <w:numId w:val="0"/>
              </w:numPr>
              <w:spacing w:before="60" w:after="60"/>
              <w:rPr>
                <w:sz w:val="22"/>
              </w:rPr>
            </w:pPr>
            <w:r>
              <w:t>Provide clear, accurate instructions to implement operating rules and safety case claims.</w:t>
            </w:r>
          </w:p>
        </w:tc>
        <w:tc>
          <w:tcPr>
            <w:tcW w:w="1571" w:type="pct"/>
          </w:tcPr>
          <w:p w14:paraId="72649B2B" w14:textId="0C0DDA12" w:rsidR="008911CE" w:rsidRPr="00175300" w:rsidRDefault="00194C0C" w:rsidP="00194C0C">
            <w:pPr>
              <w:pStyle w:val="F9-Paragraph"/>
              <w:numPr>
                <w:ilvl w:val="0"/>
                <w:numId w:val="0"/>
              </w:numPr>
              <w:spacing w:before="60" w:after="60"/>
              <w:rPr>
                <w:sz w:val="22"/>
              </w:rPr>
            </w:pPr>
            <w:r>
              <w:t>LC 15</w:t>
            </w:r>
            <w:r w:rsidR="008911CE">
              <w:t xml:space="preserve"> changes propagate to operating instructions and human-factors considerations.</w:t>
            </w:r>
          </w:p>
        </w:tc>
        <w:tc>
          <w:tcPr>
            <w:tcW w:w="1428" w:type="pct"/>
          </w:tcPr>
          <w:p w14:paraId="18A1C4DF" w14:textId="5D22B389" w:rsidR="008911CE" w:rsidRPr="00175300" w:rsidRDefault="008911CE" w:rsidP="00194C0C">
            <w:pPr>
              <w:pStyle w:val="F9-Paragraph"/>
              <w:numPr>
                <w:ilvl w:val="0"/>
                <w:numId w:val="0"/>
              </w:numPr>
              <w:spacing w:before="60" w:after="60"/>
              <w:rPr>
                <w:sz w:val="22"/>
              </w:rPr>
            </w:pPr>
            <w:r>
              <w:t>Updated, validated instructions; human performance risks reduced; consistency between practice and documentation.</w:t>
            </w:r>
          </w:p>
        </w:tc>
      </w:tr>
      <w:tr w:rsidR="008911CE" w:rsidRPr="00C94B3B" w14:paraId="635360A9" w14:textId="77777777" w:rsidTr="00194C0C">
        <w:trPr>
          <w:cantSplit/>
        </w:trPr>
        <w:tc>
          <w:tcPr>
            <w:tcW w:w="855" w:type="pct"/>
          </w:tcPr>
          <w:p w14:paraId="577AEF82" w14:textId="628E5927" w:rsidR="008911CE" w:rsidRPr="00175300" w:rsidRDefault="008911CE" w:rsidP="00194C0C">
            <w:pPr>
              <w:pStyle w:val="F9-Paragraph"/>
              <w:numPr>
                <w:ilvl w:val="0"/>
                <w:numId w:val="0"/>
              </w:numPr>
              <w:spacing w:before="60" w:after="60"/>
              <w:rPr>
                <w:sz w:val="22"/>
              </w:rPr>
            </w:pPr>
            <w:r>
              <w:t>LC28 – Examination, Inspection, Maintenance and Testing (EIMT)</w:t>
            </w:r>
          </w:p>
        </w:tc>
        <w:tc>
          <w:tcPr>
            <w:tcW w:w="1146" w:type="pct"/>
          </w:tcPr>
          <w:p w14:paraId="002C6C78" w14:textId="3723EDEE" w:rsidR="008911CE" w:rsidRPr="006A07FA" w:rsidRDefault="008911CE" w:rsidP="00194C0C">
            <w:pPr>
              <w:pStyle w:val="F9-Paragraph"/>
              <w:numPr>
                <w:ilvl w:val="0"/>
                <w:numId w:val="0"/>
              </w:numPr>
              <w:spacing w:before="60" w:after="60"/>
              <w:rPr>
                <w:sz w:val="22"/>
              </w:rPr>
            </w:pPr>
            <w:r>
              <w:t>Maintain plant integrity through planned EIMT.</w:t>
            </w:r>
          </w:p>
        </w:tc>
        <w:tc>
          <w:tcPr>
            <w:tcW w:w="1571" w:type="pct"/>
          </w:tcPr>
          <w:p w14:paraId="22432C90" w14:textId="0D797BB3" w:rsidR="008911CE" w:rsidRPr="00175300" w:rsidRDefault="00194C0C" w:rsidP="00194C0C">
            <w:pPr>
              <w:pStyle w:val="F9-Paragraph"/>
              <w:numPr>
                <w:ilvl w:val="0"/>
                <w:numId w:val="0"/>
              </w:numPr>
              <w:spacing w:before="60" w:after="60"/>
              <w:rPr>
                <w:sz w:val="22"/>
              </w:rPr>
            </w:pPr>
            <w:r>
              <w:t>LC 15</w:t>
            </w:r>
            <w:r w:rsidR="008911CE">
              <w:t xml:space="preserve"> evaluates ageing, reliability, and effectiveness of EIMT.</w:t>
            </w:r>
          </w:p>
        </w:tc>
        <w:tc>
          <w:tcPr>
            <w:tcW w:w="1428" w:type="pct"/>
          </w:tcPr>
          <w:p w14:paraId="06115E18" w14:textId="51A13A1D" w:rsidR="008911CE" w:rsidRPr="00175300" w:rsidRDefault="008911CE" w:rsidP="00194C0C">
            <w:pPr>
              <w:pStyle w:val="F9-Paragraph"/>
              <w:numPr>
                <w:ilvl w:val="0"/>
                <w:numId w:val="0"/>
              </w:numPr>
              <w:spacing w:before="60" w:after="60"/>
              <w:rPr>
                <w:sz w:val="22"/>
              </w:rPr>
            </w:pPr>
            <w:r>
              <w:t>Optimised EIMT strategies; risk</w:t>
            </w:r>
            <w:r>
              <w:rPr>
                <w:rFonts w:ascii="Cambria Math" w:hAnsi="Cambria Math" w:cs="Cambria Math"/>
              </w:rPr>
              <w:t>‑</w:t>
            </w:r>
            <w:r>
              <w:t>informed maintenance; improved asset health and reliability.</w:t>
            </w:r>
          </w:p>
        </w:tc>
      </w:tr>
      <w:tr w:rsidR="008911CE" w:rsidRPr="00C94B3B" w14:paraId="6DC7D29B" w14:textId="77777777" w:rsidTr="00194C0C">
        <w:trPr>
          <w:cantSplit/>
        </w:trPr>
        <w:tc>
          <w:tcPr>
            <w:tcW w:w="855" w:type="pct"/>
          </w:tcPr>
          <w:p w14:paraId="4F848C51" w14:textId="09FF0C68" w:rsidR="008911CE" w:rsidRPr="00175300" w:rsidRDefault="008911CE" w:rsidP="00194C0C">
            <w:pPr>
              <w:pStyle w:val="F9-Paragraph"/>
              <w:numPr>
                <w:ilvl w:val="0"/>
                <w:numId w:val="0"/>
              </w:numPr>
              <w:spacing w:before="60" w:after="60"/>
              <w:rPr>
                <w:sz w:val="22"/>
              </w:rPr>
            </w:pPr>
            <w:r>
              <w:t>LC36 – Organisational Capability</w:t>
            </w:r>
          </w:p>
        </w:tc>
        <w:tc>
          <w:tcPr>
            <w:tcW w:w="1146" w:type="pct"/>
          </w:tcPr>
          <w:p w14:paraId="63FFA0C6" w14:textId="62267471" w:rsidR="008911CE" w:rsidRPr="00175300" w:rsidRDefault="008911CE" w:rsidP="00194C0C">
            <w:pPr>
              <w:pStyle w:val="F9-Paragraph"/>
              <w:numPr>
                <w:ilvl w:val="0"/>
                <w:numId w:val="0"/>
              </w:numPr>
              <w:spacing w:before="60" w:after="60"/>
              <w:rPr>
                <w:sz w:val="22"/>
              </w:rPr>
            </w:pPr>
            <w:r>
              <w:t>Ensure adequate resources, competence, and management of organisational change.</w:t>
            </w:r>
          </w:p>
        </w:tc>
        <w:tc>
          <w:tcPr>
            <w:tcW w:w="1571" w:type="pct"/>
          </w:tcPr>
          <w:p w14:paraId="2B07D9B7" w14:textId="61DACD27" w:rsidR="008911CE" w:rsidRPr="00175300" w:rsidRDefault="00194C0C" w:rsidP="00194C0C">
            <w:pPr>
              <w:pStyle w:val="F9-Paragraph"/>
              <w:numPr>
                <w:ilvl w:val="0"/>
                <w:numId w:val="0"/>
              </w:numPr>
              <w:spacing w:before="60" w:after="60"/>
              <w:rPr>
                <w:sz w:val="22"/>
              </w:rPr>
            </w:pPr>
            <w:r>
              <w:t>LC 15</w:t>
            </w:r>
            <w:r w:rsidR="008911CE">
              <w:t xml:space="preserve"> may identify resourcing and capability needs to deliver improvements.</w:t>
            </w:r>
          </w:p>
        </w:tc>
        <w:tc>
          <w:tcPr>
            <w:tcW w:w="1428" w:type="pct"/>
          </w:tcPr>
          <w:p w14:paraId="67381699" w14:textId="08D4F87D" w:rsidR="008911CE" w:rsidRPr="00175300" w:rsidRDefault="008911CE" w:rsidP="00194C0C">
            <w:pPr>
              <w:pStyle w:val="F9-Paragraph"/>
              <w:numPr>
                <w:ilvl w:val="0"/>
                <w:numId w:val="0"/>
              </w:numPr>
              <w:spacing w:before="60" w:after="60"/>
              <w:rPr>
                <w:sz w:val="22"/>
              </w:rPr>
            </w:pPr>
            <w:r>
              <w:t xml:space="preserve">Resourcing plans aligned; organisational changes managed; sustained capability to implement </w:t>
            </w:r>
            <w:r w:rsidR="00194C0C">
              <w:t>LC 15</w:t>
            </w:r>
            <w:r>
              <w:t xml:space="preserve"> outcomes.</w:t>
            </w:r>
          </w:p>
        </w:tc>
      </w:tr>
      <w:tr w:rsidR="008911CE" w:rsidRPr="00C94B3B" w14:paraId="2ED31B8C" w14:textId="77777777" w:rsidTr="00194C0C">
        <w:trPr>
          <w:cantSplit/>
        </w:trPr>
        <w:tc>
          <w:tcPr>
            <w:tcW w:w="855" w:type="pct"/>
          </w:tcPr>
          <w:p w14:paraId="0F7BD499" w14:textId="627447D4" w:rsidR="008911CE" w:rsidRPr="00175300" w:rsidRDefault="008911CE" w:rsidP="00194C0C">
            <w:pPr>
              <w:pStyle w:val="F9-Paragraph"/>
              <w:numPr>
                <w:ilvl w:val="0"/>
                <w:numId w:val="0"/>
              </w:numPr>
              <w:spacing w:before="60" w:after="60"/>
              <w:rPr>
                <w:sz w:val="22"/>
              </w:rPr>
            </w:pPr>
            <w:r>
              <w:t>NISR 2019 – Nuclear Industries Security Regulations</w:t>
            </w:r>
            <w:r w:rsidR="004A14BD">
              <w:t xml:space="preserve"> </w:t>
            </w:r>
            <w:sdt>
              <w:sdtPr>
                <w:id w:val="536937355"/>
                <w:citation/>
              </w:sdtPr>
              <w:sdtEndPr/>
              <w:sdtContent>
                <w:r w:rsidR="00AF1E9F">
                  <w:fldChar w:fldCharType="begin"/>
                </w:r>
                <w:r w:rsidR="00194C0C">
                  <w:instrText xml:space="preserve">CITATION Gov2 \l 2057 </w:instrText>
                </w:r>
                <w:r w:rsidR="00AF1E9F">
                  <w:fldChar w:fldCharType="separate"/>
                </w:r>
                <w:r w:rsidR="00194C0C" w:rsidRPr="00194C0C">
                  <w:rPr>
                    <w:noProof/>
                  </w:rPr>
                  <w:t>[4]</w:t>
                </w:r>
                <w:r w:rsidR="00AF1E9F">
                  <w:fldChar w:fldCharType="end"/>
                </w:r>
              </w:sdtContent>
            </w:sdt>
          </w:p>
        </w:tc>
        <w:tc>
          <w:tcPr>
            <w:tcW w:w="1146" w:type="pct"/>
          </w:tcPr>
          <w:p w14:paraId="3F95C288" w14:textId="3FA4B67D" w:rsidR="008911CE" w:rsidRPr="00175300" w:rsidRDefault="008911CE" w:rsidP="00194C0C">
            <w:pPr>
              <w:pStyle w:val="F9-Paragraph"/>
              <w:numPr>
                <w:ilvl w:val="0"/>
                <w:numId w:val="0"/>
              </w:numPr>
              <w:spacing w:before="60" w:after="60"/>
              <w:rPr>
                <w:sz w:val="22"/>
              </w:rPr>
            </w:pPr>
            <w:r>
              <w:t>Ensure robust nuclear security arrangements.</w:t>
            </w:r>
          </w:p>
        </w:tc>
        <w:tc>
          <w:tcPr>
            <w:tcW w:w="1571" w:type="pct"/>
          </w:tcPr>
          <w:p w14:paraId="1C97A9EE" w14:textId="51B28A58" w:rsidR="008911CE" w:rsidRPr="00175300" w:rsidRDefault="00194C0C" w:rsidP="00194C0C">
            <w:pPr>
              <w:pStyle w:val="F9-Paragraph"/>
              <w:numPr>
                <w:ilvl w:val="0"/>
                <w:numId w:val="0"/>
              </w:numPr>
              <w:spacing w:before="60" w:after="60"/>
              <w:rPr>
                <w:sz w:val="22"/>
              </w:rPr>
            </w:pPr>
            <w:r>
              <w:t>LC 15</w:t>
            </w:r>
            <w:r w:rsidR="008911CE">
              <w:t xml:space="preserve"> should consider safety–security interfaces and impacts of plant changes or lifecycle risks.</w:t>
            </w:r>
          </w:p>
        </w:tc>
        <w:tc>
          <w:tcPr>
            <w:tcW w:w="1428" w:type="pct"/>
          </w:tcPr>
          <w:p w14:paraId="015ED9B8" w14:textId="0098445C" w:rsidR="008911CE" w:rsidRPr="00175300" w:rsidRDefault="008911CE" w:rsidP="00194C0C">
            <w:pPr>
              <w:pStyle w:val="F9-Paragraph"/>
              <w:numPr>
                <w:ilvl w:val="0"/>
                <w:numId w:val="0"/>
              </w:numPr>
              <w:spacing w:before="60" w:after="60"/>
              <w:rPr>
                <w:sz w:val="22"/>
              </w:rPr>
            </w:pPr>
            <w:r>
              <w:t>Integrated safety–security approach; security assessments updated where relevant.</w:t>
            </w:r>
          </w:p>
        </w:tc>
      </w:tr>
      <w:tr w:rsidR="008911CE" w:rsidRPr="00C94B3B" w14:paraId="6E1E14AE" w14:textId="77777777" w:rsidTr="00194C0C">
        <w:trPr>
          <w:cantSplit/>
        </w:trPr>
        <w:tc>
          <w:tcPr>
            <w:tcW w:w="855" w:type="pct"/>
          </w:tcPr>
          <w:p w14:paraId="40DEB137" w14:textId="6A8C75B5" w:rsidR="008911CE" w:rsidRPr="00175300" w:rsidRDefault="008911CE" w:rsidP="00194C0C">
            <w:pPr>
              <w:pStyle w:val="F9-Paragraph"/>
              <w:numPr>
                <w:ilvl w:val="0"/>
                <w:numId w:val="0"/>
              </w:numPr>
              <w:spacing w:before="60" w:after="60"/>
              <w:rPr>
                <w:sz w:val="22"/>
              </w:rPr>
            </w:pPr>
            <w:r>
              <w:t>Nuclear Safeguards Act 2018</w:t>
            </w:r>
            <w:r w:rsidR="004A14BD">
              <w:t xml:space="preserve"> </w:t>
            </w:r>
            <w:sdt>
              <w:sdtPr>
                <w:id w:val="-1481382906"/>
                <w:citation/>
              </w:sdtPr>
              <w:sdtEndPr/>
              <w:sdtContent>
                <w:r w:rsidR="005013CA">
                  <w:fldChar w:fldCharType="begin"/>
                </w:r>
                <w:r w:rsidR="00194C0C">
                  <w:instrText xml:space="preserve">CITATION Gov1 \l 2057 </w:instrText>
                </w:r>
                <w:r w:rsidR="005013CA">
                  <w:fldChar w:fldCharType="separate"/>
                </w:r>
                <w:r w:rsidR="00194C0C" w:rsidRPr="00194C0C">
                  <w:rPr>
                    <w:noProof/>
                  </w:rPr>
                  <w:t>[5]</w:t>
                </w:r>
                <w:r w:rsidR="005013CA">
                  <w:fldChar w:fldCharType="end"/>
                </w:r>
              </w:sdtContent>
            </w:sdt>
          </w:p>
        </w:tc>
        <w:tc>
          <w:tcPr>
            <w:tcW w:w="1146" w:type="pct"/>
          </w:tcPr>
          <w:p w14:paraId="421B4972" w14:textId="7FBE3BD0" w:rsidR="008911CE" w:rsidRDefault="008911CE" w:rsidP="00194C0C">
            <w:pPr>
              <w:pStyle w:val="F9-Paragraph"/>
              <w:numPr>
                <w:ilvl w:val="0"/>
                <w:numId w:val="0"/>
              </w:numPr>
              <w:spacing w:before="60" w:after="60"/>
              <w:rPr>
                <w:sz w:val="22"/>
              </w:rPr>
            </w:pPr>
            <w:r>
              <w:t>Meet safeguards obligations for nuclear material accountancy and control.</w:t>
            </w:r>
          </w:p>
        </w:tc>
        <w:tc>
          <w:tcPr>
            <w:tcW w:w="1571" w:type="pct"/>
          </w:tcPr>
          <w:p w14:paraId="3A416B0A" w14:textId="3CE1EC0B" w:rsidR="008911CE" w:rsidRPr="00175300" w:rsidRDefault="00194C0C" w:rsidP="00194C0C">
            <w:pPr>
              <w:pStyle w:val="F9-Paragraph"/>
              <w:numPr>
                <w:ilvl w:val="0"/>
                <w:numId w:val="0"/>
              </w:numPr>
              <w:spacing w:before="60" w:after="60"/>
              <w:rPr>
                <w:sz w:val="22"/>
              </w:rPr>
            </w:pPr>
            <w:r>
              <w:t>LC 15</w:t>
            </w:r>
            <w:r w:rsidR="008911CE">
              <w:t xml:space="preserve"> considers safeguards implications of plant or process changes.</w:t>
            </w:r>
          </w:p>
        </w:tc>
        <w:tc>
          <w:tcPr>
            <w:tcW w:w="1428" w:type="pct"/>
          </w:tcPr>
          <w:p w14:paraId="7AB43339" w14:textId="41E69E0E" w:rsidR="008911CE" w:rsidRPr="00175300" w:rsidRDefault="008911CE" w:rsidP="00194C0C">
            <w:pPr>
              <w:pStyle w:val="F9-Paragraph"/>
              <w:numPr>
                <w:ilvl w:val="0"/>
                <w:numId w:val="0"/>
              </w:numPr>
              <w:spacing w:before="60" w:after="60"/>
              <w:rPr>
                <w:sz w:val="22"/>
              </w:rPr>
            </w:pPr>
            <w:r>
              <w:t xml:space="preserve">Continued compliance with UK/IAEA safeguards; no adverse impact from </w:t>
            </w:r>
            <w:r w:rsidR="00194C0C">
              <w:t>LC 15</w:t>
            </w:r>
            <w:r w:rsidR="00460B38">
              <w:t xml:space="preserve"> </w:t>
            </w:r>
            <w:r>
              <w:t>driven changes.</w:t>
            </w:r>
          </w:p>
        </w:tc>
      </w:tr>
    </w:tbl>
    <w:p w14:paraId="2EE299DB" w14:textId="77777777" w:rsidR="00EB68C8" w:rsidRDefault="00EB68C8">
      <w:pPr>
        <w:spacing w:after="0" w:line="240" w:lineRule="auto"/>
      </w:pPr>
    </w:p>
    <w:p w14:paraId="46094D43" w14:textId="03A52463" w:rsidR="005013CA" w:rsidRDefault="005013CA">
      <w:pPr>
        <w:spacing w:after="0" w:line="240" w:lineRule="auto"/>
      </w:pPr>
      <w:r>
        <w:br w:type="page"/>
      </w:r>
    </w:p>
    <w:bookmarkEnd w:id="10" w:displacedByCustomXml="next"/>
    <w:sdt>
      <w:sdtPr>
        <w:rPr>
          <w:color w:val="auto"/>
          <w:sz w:val="24"/>
        </w:rPr>
        <w:id w:val="2020890342"/>
        <w:docPartObj>
          <w:docPartGallery w:val="Bibliographies"/>
          <w:docPartUnique/>
        </w:docPartObj>
      </w:sdtPr>
      <w:sdtEndPr/>
      <w:sdtContent>
        <w:p w14:paraId="35637053" w14:textId="4EAF7579" w:rsidR="00194C0C" w:rsidRDefault="00194C0C" w:rsidP="00194C0C">
          <w:pPr>
            <w:pStyle w:val="Heading1"/>
            <w:numPr>
              <w:ilvl w:val="0"/>
              <w:numId w:val="0"/>
            </w:numPr>
            <w:ind w:left="851" w:hanging="851"/>
          </w:pPr>
          <w:r>
            <w:t>References</w:t>
          </w:r>
        </w:p>
        <w:sdt>
          <w:sdtPr>
            <w:id w:val="-573587230"/>
            <w:bibliography/>
          </w:sdtPr>
          <w:sdtEndPr/>
          <w:sdtContent>
            <w:p w14:paraId="633ED341" w14:textId="77777777" w:rsidR="00194C0C" w:rsidRDefault="00194C0C">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194C0C" w14:paraId="21381B9C" w14:textId="77777777">
                <w:trPr>
                  <w:divId w:val="1051004965"/>
                  <w:tblCellSpacing w:w="15" w:type="dxa"/>
                </w:trPr>
                <w:tc>
                  <w:tcPr>
                    <w:tcW w:w="50" w:type="pct"/>
                    <w:hideMark/>
                  </w:tcPr>
                  <w:p w14:paraId="559139D8" w14:textId="54307D2C" w:rsidR="00194C0C" w:rsidRDefault="00194C0C">
                    <w:pPr>
                      <w:pStyle w:val="Bibliography"/>
                      <w:rPr>
                        <w:noProof/>
                        <w:szCs w:val="24"/>
                      </w:rPr>
                    </w:pPr>
                    <w:r>
                      <w:rPr>
                        <w:noProof/>
                      </w:rPr>
                      <w:t xml:space="preserve">[1] </w:t>
                    </w:r>
                  </w:p>
                </w:tc>
                <w:tc>
                  <w:tcPr>
                    <w:tcW w:w="0" w:type="auto"/>
                    <w:hideMark/>
                  </w:tcPr>
                  <w:p w14:paraId="3F650330" w14:textId="77777777" w:rsidR="00194C0C" w:rsidRDefault="00194C0C">
                    <w:pPr>
                      <w:pStyle w:val="Bibliography"/>
                      <w:rPr>
                        <w:noProof/>
                      </w:rPr>
                    </w:pPr>
                    <w:r>
                      <w:rPr>
                        <w:noProof/>
                      </w:rPr>
                      <w:t>ONR, “ONR-RD-POL-002 - Risk Informed and Targeted Engagements,” [Online]. Available: To ONR staff via HOW2 Hub (Internal ONR system).</w:t>
                    </w:r>
                  </w:p>
                </w:tc>
              </w:tr>
              <w:tr w:rsidR="00194C0C" w14:paraId="460A7CF1" w14:textId="77777777">
                <w:trPr>
                  <w:divId w:val="1051004965"/>
                  <w:tblCellSpacing w:w="15" w:type="dxa"/>
                </w:trPr>
                <w:tc>
                  <w:tcPr>
                    <w:tcW w:w="50" w:type="pct"/>
                    <w:hideMark/>
                  </w:tcPr>
                  <w:p w14:paraId="0087FAFB" w14:textId="77777777" w:rsidR="00194C0C" w:rsidRDefault="00194C0C">
                    <w:pPr>
                      <w:pStyle w:val="Bibliography"/>
                      <w:rPr>
                        <w:noProof/>
                      </w:rPr>
                    </w:pPr>
                    <w:r>
                      <w:rPr>
                        <w:noProof/>
                      </w:rPr>
                      <w:t xml:space="preserve">[2] </w:t>
                    </w:r>
                  </w:p>
                </w:tc>
                <w:tc>
                  <w:tcPr>
                    <w:tcW w:w="0" w:type="auto"/>
                    <w:hideMark/>
                  </w:tcPr>
                  <w:p w14:paraId="7BB41159" w14:textId="77777777" w:rsidR="00194C0C" w:rsidRDefault="00194C0C">
                    <w:pPr>
                      <w:pStyle w:val="Bibliography"/>
                      <w:rPr>
                        <w:noProof/>
                      </w:rPr>
                    </w:pPr>
                    <w:r>
                      <w:rPr>
                        <w:noProof/>
                      </w:rPr>
                      <w:t>ONR, “Licence Condition Handbook,” [Online]. Available: To ONR staff via HOW2 Hub (Internal ONR system).</w:t>
                    </w:r>
                  </w:p>
                </w:tc>
              </w:tr>
              <w:tr w:rsidR="00194C0C" w14:paraId="6376607C" w14:textId="77777777">
                <w:trPr>
                  <w:divId w:val="1051004965"/>
                  <w:tblCellSpacing w:w="15" w:type="dxa"/>
                </w:trPr>
                <w:tc>
                  <w:tcPr>
                    <w:tcW w:w="50" w:type="pct"/>
                    <w:hideMark/>
                  </w:tcPr>
                  <w:p w14:paraId="1B680770" w14:textId="77777777" w:rsidR="00194C0C" w:rsidRDefault="00194C0C">
                    <w:pPr>
                      <w:pStyle w:val="Bibliography"/>
                      <w:rPr>
                        <w:noProof/>
                      </w:rPr>
                    </w:pPr>
                    <w:r>
                      <w:rPr>
                        <w:noProof/>
                      </w:rPr>
                      <w:t xml:space="preserve">[3] </w:t>
                    </w:r>
                  </w:p>
                </w:tc>
                <w:tc>
                  <w:tcPr>
                    <w:tcW w:w="0" w:type="auto"/>
                    <w:hideMark/>
                  </w:tcPr>
                  <w:p w14:paraId="00F21E05" w14:textId="77777777" w:rsidR="00194C0C" w:rsidRDefault="00194C0C">
                    <w:pPr>
                      <w:pStyle w:val="Bibliography"/>
                      <w:rPr>
                        <w:noProof/>
                      </w:rPr>
                    </w:pPr>
                    <w:r>
                      <w:rPr>
                        <w:noProof/>
                      </w:rPr>
                      <w:t>ONR, “NS-TAST-GD-050 - Periodic Safety Review (PSR),” [Online]. Available: To ONR staff via HOW2 Hub (Internal ONR system).</w:t>
                    </w:r>
                  </w:p>
                </w:tc>
              </w:tr>
              <w:tr w:rsidR="00194C0C" w14:paraId="186671BF" w14:textId="77777777">
                <w:trPr>
                  <w:divId w:val="1051004965"/>
                  <w:tblCellSpacing w:w="15" w:type="dxa"/>
                </w:trPr>
                <w:tc>
                  <w:tcPr>
                    <w:tcW w:w="50" w:type="pct"/>
                    <w:hideMark/>
                  </w:tcPr>
                  <w:p w14:paraId="4F605781" w14:textId="77777777" w:rsidR="00194C0C" w:rsidRDefault="00194C0C">
                    <w:pPr>
                      <w:pStyle w:val="Bibliography"/>
                      <w:rPr>
                        <w:noProof/>
                      </w:rPr>
                    </w:pPr>
                    <w:r>
                      <w:rPr>
                        <w:noProof/>
                      </w:rPr>
                      <w:t xml:space="preserve">[4] </w:t>
                    </w:r>
                  </w:p>
                </w:tc>
                <w:tc>
                  <w:tcPr>
                    <w:tcW w:w="0" w:type="auto"/>
                    <w:hideMark/>
                  </w:tcPr>
                  <w:p w14:paraId="3E09C8BB" w14:textId="77777777" w:rsidR="00194C0C" w:rsidRDefault="00194C0C">
                    <w:pPr>
                      <w:pStyle w:val="Bibliography"/>
                      <w:rPr>
                        <w:noProof/>
                      </w:rPr>
                    </w:pPr>
                    <w:r>
                      <w:rPr>
                        <w:noProof/>
                      </w:rPr>
                      <w:t>HM Governement, “The Nuclear Industries Security Regulations 2003”.</w:t>
                    </w:r>
                  </w:p>
                </w:tc>
              </w:tr>
              <w:tr w:rsidR="00194C0C" w14:paraId="50CE76DA" w14:textId="77777777">
                <w:trPr>
                  <w:divId w:val="1051004965"/>
                  <w:tblCellSpacing w:w="15" w:type="dxa"/>
                </w:trPr>
                <w:tc>
                  <w:tcPr>
                    <w:tcW w:w="50" w:type="pct"/>
                    <w:hideMark/>
                  </w:tcPr>
                  <w:p w14:paraId="2D266EA0" w14:textId="77777777" w:rsidR="00194C0C" w:rsidRDefault="00194C0C">
                    <w:pPr>
                      <w:pStyle w:val="Bibliography"/>
                      <w:rPr>
                        <w:noProof/>
                      </w:rPr>
                    </w:pPr>
                    <w:r>
                      <w:rPr>
                        <w:noProof/>
                      </w:rPr>
                      <w:t xml:space="preserve">[5] </w:t>
                    </w:r>
                  </w:p>
                </w:tc>
                <w:tc>
                  <w:tcPr>
                    <w:tcW w:w="0" w:type="auto"/>
                    <w:hideMark/>
                  </w:tcPr>
                  <w:p w14:paraId="366EB97B" w14:textId="77777777" w:rsidR="00194C0C" w:rsidRDefault="00194C0C">
                    <w:pPr>
                      <w:pStyle w:val="Bibliography"/>
                      <w:rPr>
                        <w:noProof/>
                      </w:rPr>
                    </w:pPr>
                    <w:r>
                      <w:rPr>
                        <w:noProof/>
                      </w:rPr>
                      <w:t>HM Governement, “Nuclear Safeguards (EU Exit) Regulations 2019”.</w:t>
                    </w:r>
                  </w:p>
                </w:tc>
              </w:tr>
            </w:tbl>
            <w:p w14:paraId="1BB27ADD" w14:textId="77777777" w:rsidR="00194C0C" w:rsidRDefault="00194C0C">
              <w:pPr>
                <w:divId w:val="1051004965"/>
                <w:rPr>
                  <w:rFonts w:eastAsia="Times New Roman"/>
                  <w:noProof/>
                </w:rPr>
              </w:pPr>
            </w:p>
            <w:p w14:paraId="42D8FF16" w14:textId="7E103433" w:rsidR="00194C0C" w:rsidRDefault="00194C0C">
              <w:r>
                <w:rPr>
                  <w:b/>
                  <w:bCs/>
                </w:rPr>
                <w:fldChar w:fldCharType="end"/>
              </w:r>
            </w:p>
          </w:sdtContent>
        </w:sdt>
      </w:sdtContent>
    </w:sdt>
    <w:p w14:paraId="50E08ED2" w14:textId="477C0E22" w:rsidR="00194C0C" w:rsidRPr="00B4258F" w:rsidRDefault="00194C0C" w:rsidP="00194C0C">
      <w:pPr>
        <w:pStyle w:val="Heading1"/>
        <w:numPr>
          <w:ilvl w:val="0"/>
          <w:numId w:val="0"/>
        </w:numPr>
      </w:pPr>
      <w:r>
        <w:t>Document control information</w:t>
      </w:r>
    </w:p>
    <w:p w14:paraId="51D3DF70" w14:textId="77777777" w:rsidR="00194C0C" w:rsidRPr="00F80A30" w:rsidRDefault="00194C0C" w:rsidP="00194C0C">
      <w:pPr>
        <w:rPr>
          <w:b/>
          <w:bCs/>
          <w:szCs w:val="24"/>
        </w:rPr>
      </w:pPr>
      <w:r w:rsidRPr="00F80A30">
        <w:rPr>
          <w:b/>
          <w:bCs/>
          <w:szCs w:val="24"/>
        </w:rPr>
        <w:t xml:space="preserve">Authored by: </w:t>
      </w:r>
      <w:r w:rsidRPr="00194C0C">
        <w:rPr>
          <w:szCs w:val="24"/>
        </w:rPr>
        <w:t>Nuclear Safety Inspector</w:t>
      </w:r>
      <w:r w:rsidRPr="00F80A30">
        <w:rPr>
          <w:b/>
          <w:bCs/>
          <w:szCs w:val="24"/>
        </w:rPr>
        <w:t xml:space="preserve"> </w:t>
      </w:r>
    </w:p>
    <w:p w14:paraId="482F9AA9" w14:textId="77777777" w:rsidR="00194C0C" w:rsidRPr="00F80A30" w:rsidRDefault="00194C0C" w:rsidP="00194C0C">
      <w:pPr>
        <w:rPr>
          <w:b/>
          <w:bCs/>
          <w:szCs w:val="24"/>
        </w:rPr>
      </w:pPr>
      <w:r w:rsidRPr="00F80A30">
        <w:rPr>
          <w:b/>
          <w:bCs/>
          <w:szCs w:val="24"/>
        </w:rPr>
        <w:t xml:space="preserve">Approved by: </w:t>
      </w:r>
      <w:r w:rsidRPr="00194C0C">
        <w:rPr>
          <w:szCs w:val="24"/>
        </w:rPr>
        <w:t>Head of Profession – Operational Inspection</w:t>
      </w:r>
    </w:p>
    <w:p w14:paraId="654D3077" w14:textId="77777777" w:rsidR="00194C0C" w:rsidRPr="00B4258F" w:rsidRDefault="00194C0C" w:rsidP="00194C0C">
      <w:pPr>
        <w:rPr>
          <w:szCs w:val="24"/>
        </w:rPr>
      </w:pPr>
      <w:r w:rsidRPr="00B4258F">
        <w:rPr>
          <w:b/>
          <w:bCs/>
          <w:szCs w:val="24"/>
        </w:rPr>
        <w:t>Issue:</w:t>
      </w:r>
      <w:r w:rsidRPr="00B4258F">
        <w:rPr>
          <w:szCs w:val="24"/>
        </w:rPr>
        <w:t xml:space="preserve"> </w:t>
      </w:r>
      <w:sdt>
        <w:sdtPr>
          <w:rPr>
            <w:szCs w:val="24"/>
          </w:rPr>
          <w:alias w:val="Issue No."/>
          <w:tag w:val=""/>
          <w:id w:val="-894428327"/>
          <w:placeholder>
            <w:docPart w:val="B1F6EFE0AA3D406E9CA4035CFE535E82"/>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5.1</w:t>
          </w:r>
        </w:sdtContent>
      </w:sdt>
    </w:p>
    <w:p w14:paraId="5D4934B9" w14:textId="77777777" w:rsidR="00194C0C" w:rsidRPr="00194C0C" w:rsidRDefault="00194C0C" w:rsidP="00194C0C">
      <w:pPr>
        <w:rPr>
          <w:szCs w:val="24"/>
        </w:rPr>
      </w:pPr>
      <w:r w:rsidRPr="00194C0C">
        <w:rPr>
          <w:b/>
          <w:bCs/>
          <w:szCs w:val="24"/>
        </w:rPr>
        <w:t>Published</w:t>
      </w:r>
      <w:r w:rsidRPr="00194C0C">
        <w:rPr>
          <w:szCs w:val="24"/>
        </w:rPr>
        <w:t>: December 2025</w:t>
      </w:r>
    </w:p>
    <w:p w14:paraId="5C7881D6" w14:textId="77777777" w:rsidR="00194C0C" w:rsidRPr="00194C0C" w:rsidRDefault="00194C0C" w:rsidP="00194C0C">
      <w:pPr>
        <w:rPr>
          <w:szCs w:val="24"/>
        </w:rPr>
      </w:pPr>
      <w:r w:rsidRPr="00194C0C">
        <w:rPr>
          <w:b/>
          <w:bCs/>
          <w:szCs w:val="24"/>
        </w:rPr>
        <w:t>Next scheduled review</w:t>
      </w:r>
      <w:r w:rsidRPr="00194C0C">
        <w:rPr>
          <w:szCs w:val="24"/>
        </w:rPr>
        <w:t>: December 2030</w:t>
      </w:r>
    </w:p>
    <w:p w14:paraId="1619C669" w14:textId="52CD97ED" w:rsidR="00194C0C" w:rsidRPr="00194C0C" w:rsidRDefault="00194C0C" w:rsidP="00194C0C">
      <w:pPr>
        <w:rPr>
          <w:b/>
          <w:bCs/>
          <w:szCs w:val="24"/>
        </w:rPr>
      </w:pPr>
      <w:r w:rsidRPr="00194C0C">
        <w:rPr>
          <w:b/>
          <w:bCs/>
          <w:szCs w:val="24"/>
        </w:rPr>
        <w:t>Document reference</w:t>
      </w:r>
      <w:r w:rsidRPr="00194C0C">
        <w:rPr>
          <w:szCs w:val="24"/>
        </w:rPr>
        <w:t>: NS-INSP-GD-015</w:t>
      </w:r>
    </w:p>
    <w:p w14:paraId="75DD718C" w14:textId="4D3DBFD9" w:rsidR="00194C0C" w:rsidRDefault="00194C0C" w:rsidP="00194C0C">
      <w:pPr>
        <w:rPr>
          <w:szCs w:val="24"/>
        </w:rPr>
      </w:pPr>
      <w:r w:rsidRPr="00194C0C">
        <w:rPr>
          <w:b/>
          <w:bCs/>
          <w:szCs w:val="24"/>
        </w:rPr>
        <w:t>Record reference</w:t>
      </w:r>
      <w:r w:rsidRPr="00194C0C">
        <w:rPr>
          <w:szCs w:val="24"/>
        </w:rPr>
        <w:t xml:space="preserve">: </w:t>
      </w:r>
      <w:hyperlink r:id="rId21" w:tgtFrame="_blank" w:tooltip="ONRHH-822789359-20438" w:history="1">
        <w:r w:rsidRPr="00194C0C">
          <w:rPr>
            <w:rStyle w:val="Hyperlink"/>
            <w:szCs w:val="24"/>
          </w:rPr>
          <w:t>ONRHH-822789359-20438</w:t>
        </w:r>
      </w:hyperlink>
    </w:p>
    <w:p w14:paraId="4B5A0C08" w14:textId="77777777" w:rsidR="00194C0C" w:rsidRPr="00B4258F" w:rsidRDefault="00194C0C" w:rsidP="00194C0C"/>
    <w:p w14:paraId="588C78A1" w14:textId="77777777" w:rsidR="00194C0C" w:rsidRPr="00B4258F" w:rsidRDefault="00194C0C" w:rsidP="00194C0C">
      <w:pPr>
        <w:pStyle w:val="Caption"/>
        <w:keepNext/>
      </w:pPr>
      <w:r w:rsidRPr="00B4258F">
        <w:t>Revision commentary</w:t>
      </w:r>
    </w:p>
    <w:tbl>
      <w:tblPr>
        <w:tblStyle w:val="ONRTable1"/>
        <w:tblW w:w="0" w:type="auto"/>
        <w:tblInd w:w="10" w:type="dxa"/>
        <w:tblLook w:val="04A0" w:firstRow="1" w:lastRow="0" w:firstColumn="1" w:lastColumn="0" w:noHBand="0" w:noVBand="1"/>
      </w:tblPr>
      <w:tblGrid>
        <w:gridCol w:w="1124"/>
        <w:gridCol w:w="7892"/>
      </w:tblGrid>
      <w:tr w:rsidR="00194C0C" w:rsidRPr="00B4258F" w14:paraId="475FEA51" w14:textId="77777777" w:rsidTr="008F6D10">
        <w:trPr>
          <w:cnfStyle w:val="100000000000" w:firstRow="1" w:lastRow="0" w:firstColumn="0" w:lastColumn="0" w:oddVBand="0" w:evenVBand="0" w:oddHBand="0" w:evenHBand="0" w:firstRowFirstColumn="0" w:firstRowLastColumn="0" w:lastRowFirstColumn="0" w:lastRowLastColumn="0"/>
        </w:trPr>
        <w:tc>
          <w:tcPr>
            <w:tcW w:w="1124" w:type="dxa"/>
          </w:tcPr>
          <w:p w14:paraId="1FFC9DA5" w14:textId="77777777" w:rsidR="00194C0C" w:rsidRPr="00B4258F" w:rsidRDefault="00194C0C" w:rsidP="008F6D10">
            <w:pPr>
              <w:spacing w:before="60" w:after="60"/>
              <w:rPr>
                <w:b w:val="0"/>
                <w:bCs/>
              </w:rPr>
            </w:pPr>
            <w:r w:rsidRPr="00B4258F">
              <w:rPr>
                <w:b w:val="0"/>
                <w:bCs/>
              </w:rPr>
              <w:t>Issue</w:t>
            </w:r>
          </w:p>
        </w:tc>
        <w:tc>
          <w:tcPr>
            <w:tcW w:w="7892" w:type="dxa"/>
          </w:tcPr>
          <w:p w14:paraId="39387EA9" w14:textId="77777777" w:rsidR="00194C0C" w:rsidRPr="00B4258F" w:rsidRDefault="00194C0C" w:rsidP="008F6D10">
            <w:pPr>
              <w:spacing w:before="60" w:after="60"/>
              <w:rPr>
                <w:b w:val="0"/>
                <w:bCs/>
              </w:rPr>
            </w:pPr>
            <w:r w:rsidRPr="00B4258F">
              <w:rPr>
                <w:b w:val="0"/>
                <w:bCs/>
              </w:rPr>
              <w:t>Description of update(s)</w:t>
            </w:r>
          </w:p>
        </w:tc>
      </w:tr>
      <w:tr w:rsidR="00194C0C" w:rsidRPr="00B4258F" w14:paraId="730E93A4" w14:textId="77777777" w:rsidTr="00194C0C">
        <w:trPr>
          <w:trHeight w:val="96"/>
        </w:trPr>
        <w:tc>
          <w:tcPr>
            <w:tcW w:w="1124" w:type="dxa"/>
          </w:tcPr>
          <w:p w14:paraId="45AD05DC" w14:textId="77777777" w:rsidR="00194C0C" w:rsidRPr="00B4258F" w:rsidRDefault="00194C0C" w:rsidP="008F6D10">
            <w:pPr>
              <w:spacing w:before="60" w:after="60"/>
            </w:pPr>
            <w:r>
              <w:t>5</w:t>
            </w:r>
          </w:p>
        </w:tc>
        <w:tc>
          <w:tcPr>
            <w:tcW w:w="7892" w:type="dxa"/>
          </w:tcPr>
          <w:p w14:paraId="19C699FF" w14:textId="344A38F0" w:rsidR="00194C0C" w:rsidRPr="00B4258F" w:rsidRDefault="00194C0C" w:rsidP="008F6D10">
            <w:pPr>
              <w:spacing w:after="0"/>
            </w:pPr>
            <w:r>
              <w:t>Updated review period.</w:t>
            </w:r>
          </w:p>
        </w:tc>
      </w:tr>
      <w:tr w:rsidR="00194C0C" w:rsidRPr="008B73BF" w14:paraId="115936BA" w14:textId="77777777" w:rsidTr="008F6D10">
        <w:tc>
          <w:tcPr>
            <w:tcW w:w="1124" w:type="dxa"/>
          </w:tcPr>
          <w:p w14:paraId="1142E9C6" w14:textId="77777777" w:rsidR="00194C0C" w:rsidRDefault="00194C0C" w:rsidP="008F6D10">
            <w:pPr>
              <w:spacing w:before="60" w:after="60"/>
            </w:pPr>
            <w:r>
              <w:t>5.1</w:t>
            </w:r>
          </w:p>
        </w:tc>
        <w:tc>
          <w:tcPr>
            <w:tcW w:w="7892" w:type="dxa"/>
          </w:tcPr>
          <w:p w14:paraId="4F0F19AF" w14:textId="77777777" w:rsidR="00194C0C" w:rsidRDefault="00194C0C" w:rsidP="008F6D10">
            <w:pPr>
              <w:spacing w:before="60" w:after="60"/>
            </w:pPr>
            <w:r>
              <w:t xml:space="preserve">Minor update – document simplified and duplication removed, no major change to outcomes or intent. </w:t>
            </w:r>
          </w:p>
        </w:tc>
      </w:tr>
    </w:tbl>
    <w:p w14:paraId="42369065" w14:textId="77777777" w:rsidR="00194C0C" w:rsidRDefault="00194C0C" w:rsidP="00571705">
      <w:pPr>
        <w:rPr>
          <w:noProof/>
        </w:rPr>
      </w:pPr>
    </w:p>
    <w:sectPr w:rsidR="00194C0C" w:rsidSect="00194C0C">
      <w:pgSz w:w="11906" w:h="16838" w:code="9"/>
      <w:pgMar w:top="1440" w:right="1440" w:bottom="1440" w:left="1440" w:header="431"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A85F5" w14:textId="77777777" w:rsidR="007229A6" w:rsidRPr="00B4258F" w:rsidRDefault="007229A6" w:rsidP="007D199A">
      <w:pPr>
        <w:spacing w:after="0"/>
      </w:pPr>
      <w:r w:rsidRPr="00B4258F">
        <w:separator/>
      </w:r>
    </w:p>
    <w:p w14:paraId="4E71F373" w14:textId="77777777" w:rsidR="007229A6" w:rsidRPr="00B4258F" w:rsidRDefault="007229A6"/>
  </w:endnote>
  <w:endnote w:type="continuationSeparator" w:id="0">
    <w:p w14:paraId="73C68BC5" w14:textId="77777777" w:rsidR="007229A6" w:rsidRPr="00B4258F" w:rsidRDefault="007229A6" w:rsidP="007D199A">
      <w:pPr>
        <w:spacing w:after="0"/>
      </w:pPr>
      <w:r w:rsidRPr="00B4258F">
        <w:continuationSeparator/>
      </w:r>
    </w:p>
    <w:p w14:paraId="22ED0479" w14:textId="77777777" w:rsidR="007229A6" w:rsidRPr="00B4258F" w:rsidRDefault="007229A6"/>
  </w:endnote>
  <w:endnote w:type="continuationNotice" w:id="1">
    <w:p w14:paraId="6D56F4DB" w14:textId="77777777" w:rsidR="007229A6" w:rsidRPr="00B4258F" w:rsidRDefault="007229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689F" w14:textId="2AB522E0" w:rsidR="00194C0C" w:rsidRDefault="00194C0C">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5532" w14:textId="77777777" w:rsidR="007229A6" w:rsidRPr="00B4258F" w:rsidRDefault="007229A6" w:rsidP="005E0344">
      <w:pPr>
        <w:spacing w:after="120"/>
        <w:rPr>
          <w:color w:val="000000" w:themeColor="text2"/>
        </w:rPr>
      </w:pPr>
      <w:r w:rsidRPr="00B4258F">
        <w:rPr>
          <w:color w:val="000000" w:themeColor="text2"/>
        </w:rPr>
        <w:separator/>
      </w:r>
    </w:p>
  </w:footnote>
  <w:footnote w:type="continuationSeparator" w:id="0">
    <w:p w14:paraId="782DC1E9" w14:textId="77777777" w:rsidR="007229A6" w:rsidRPr="00B4258F" w:rsidRDefault="007229A6" w:rsidP="0090581D">
      <w:pPr>
        <w:spacing w:after="120"/>
        <w:rPr>
          <w:color w:val="000000" w:themeColor="text2"/>
        </w:rPr>
      </w:pPr>
      <w:r w:rsidRPr="00B4258F">
        <w:rPr>
          <w:color w:val="000000" w:themeColor="text2"/>
        </w:rPr>
        <w:continuationSeparator/>
      </w:r>
    </w:p>
    <w:p w14:paraId="0E751304" w14:textId="77777777" w:rsidR="007229A6" w:rsidRPr="00B4258F" w:rsidRDefault="007229A6"/>
  </w:footnote>
  <w:footnote w:type="continuationNotice" w:id="1">
    <w:p w14:paraId="5D658CF6" w14:textId="77777777" w:rsidR="007229A6" w:rsidRPr="00B4258F" w:rsidRDefault="007229A6">
      <w:pPr>
        <w:spacing w:after="0"/>
      </w:pPr>
    </w:p>
    <w:p w14:paraId="1BDD990E" w14:textId="77777777" w:rsidR="007229A6" w:rsidRPr="00B4258F" w:rsidRDefault="007229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B4258F"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82B7" w14:textId="6EBFFFA6" w:rsidR="00131529" w:rsidRPr="00B4258F" w:rsidRDefault="00D26809" w:rsidP="00131529">
    <w:pPr>
      <w:pStyle w:val="Header"/>
      <w:pBdr>
        <w:bottom w:val="single" w:sz="4" w:space="1" w:color="auto"/>
      </w:pBdr>
    </w:pPr>
    <w:sdt>
      <w:sdtPr>
        <w:alias w:val="Title"/>
        <w:tag w:val=""/>
        <w:id w:val="-1395496903"/>
        <w:placeholder>
          <w:docPart w:val="3927692E30BC45F8AFCF32D9F96404DC"/>
        </w:placeholder>
        <w:dataBinding w:prefixMappings="xmlns:ns0='http://purl.org/dc/elements/1.1/' xmlns:ns1='http://schemas.openxmlformats.org/package/2006/metadata/core-properties' " w:xpath="/ns1:coreProperties[1]/ns0:title[1]" w:storeItemID="{6C3C8BC8-F283-45AE-878A-BAB7291924A1}"/>
        <w:text/>
      </w:sdtPr>
      <w:sdtEndPr/>
      <w:sdtContent>
        <w:r w:rsidR="00B51688">
          <w:t>LC 15 – Periodic review</w:t>
        </w:r>
      </w:sdtContent>
    </w:sdt>
    <w:r w:rsidR="00131529" w:rsidRPr="00B4258F">
      <w:t xml:space="preserve"> | Issue: </w:t>
    </w:r>
    <w:sdt>
      <w:sdtPr>
        <w:alias w:val="Status"/>
        <w:tag w:val=""/>
        <w:id w:val="-138655273"/>
        <w:placeholder>
          <w:docPart w:val="95F559460F5045AAB1855580988E130C"/>
        </w:placeholder>
        <w:dataBinding w:prefixMappings="xmlns:ns0='http://purl.org/dc/elements/1.1/' xmlns:ns1='http://schemas.openxmlformats.org/package/2006/metadata/core-properties' " w:xpath="/ns1:coreProperties[1]/ns1:contentStatus[1]" w:storeItemID="{6C3C8BC8-F283-45AE-878A-BAB7291924A1}"/>
        <w:text/>
      </w:sdtPr>
      <w:sdtEndPr/>
      <w:sdtContent>
        <w:r w:rsidR="00BE1276">
          <w:t>5.1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FBD8" w14:textId="7E8268E4" w:rsidR="00131529" w:rsidRPr="00B4258F" w:rsidRDefault="00D26809">
    <w:pPr>
      <w:pStyle w:val="Header"/>
    </w:pPr>
    <w:sdt>
      <w:sdtPr>
        <w:alias w:val="Title"/>
        <w:tag w:val=""/>
        <w:id w:val="-953092799"/>
        <w:placeholder>
          <w:docPart w:val="515237502F7343D09816F92BB15C1E0A"/>
        </w:placeholder>
        <w:dataBinding w:prefixMappings="xmlns:ns0='http://purl.org/dc/elements/1.1/' xmlns:ns1='http://schemas.openxmlformats.org/package/2006/metadata/core-properties' " w:xpath="/ns1:coreProperties[1]/ns0:title[1]" w:storeItemID="{6C3C8BC8-F283-45AE-878A-BAB7291924A1}"/>
        <w:text/>
      </w:sdtPr>
      <w:sdtEndPr/>
      <w:sdtContent>
        <w:r w:rsidR="00B51688">
          <w:t>LC 15 – Periodic review</w:t>
        </w:r>
      </w:sdtContent>
    </w:sdt>
    <w:r w:rsidR="00131529" w:rsidRPr="00B4258F">
      <w:t xml:space="preserve"> | Issue: </w:t>
    </w:r>
    <w:sdt>
      <w:sdtPr>
        <w:alias w:val="Status"/>
        <w:tag w:val=""/>
        <w:id w:val="2079402384"/>
        <w:placeholder>
          <w:docPart w:val="BC4F160965914534A77F6CC3686494B5"/>
        </w:placeholder>
        <w:dataBinding w:prefixMappings="xmlns:ns0='http://purl.org/dc/elements/1.1/' xmlns:ns1='http://schemas.openxmlformats.org/package/2006/metadata/core-properties' " w:xpath="/ns1:coreProperties[1]/ns1:contentStatus[1]" w:storeItemID="{6C3C8BC8-F283-45AE-878A-BAB7291924A1}"/>
        <w:text/>
      </w:sdtPr>
      <w:sdtEndPr/>
      <w:sdtContent>
        <w:r w:rsidR="00BE1276">
          <w:t>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72DB3"/>
    <w:multiLevelType w:val="multilevel"/>
    <w:tmpl w:val="B8A4E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D575C"/>
    <w:multiLevelType w:val="hybridMultilevel"/>
    <w:tmpl w:val="D6D2D5BA"/>
    <w:lvl w:ilvl="0" w:tplc="08090001">
      <w:start w:val="1"/>
      <w:numFmt w:val="bullet"/>
      <w:lvlText w:val=""/>
      <w:lvlJc w:val="left"/>
      <w:pPr>
        <w:ind w:left="1080" w:hanging="360"/>
      </w:pPr>
      <w:rPr>
        <w:rFonts w:ascii="Symbol" w:hAnsi="Symbol" w:hint="default"/>
        <w:b w:val="0"/>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C667148"/>
    <w:multiLevelType w:val="multilevel"/>
    <w:tmpl w:val="62083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6D14A2"/>
    <w:multiLevelType w:val="multilevel"/>
    <w:tmpl w:val="3FE48EB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A93461"/>
    <w:multiLevelType w:val="multilevel"/>
    <w:tmpl w:val="9D58AD56"/>
    <w:lvl w:ilvl="0">
      <w:start w:val="1"/>
      <w:numFmt w:val="decimal"/>
      <w:lvlText w:val="%1"/>
      <w:lvlJc w:val="left"/>
      <w:pPr>
        <w:tabs>
          <w:tab w:val="num" w:pos="-31680"/>
        </w:tabs>
        <w:ind w:left="720" w:hanging="720"/>
      </w:pPr>
      <w:rPr>
        <w:rFonts w:hint="default"/>
        <w:sz w:val="22"/>
      </w:rPr>
    </w:lvl>
    <w:lvl w:ilvl="1">
      <w:start w:val="1"/>
      <w:numFmt w:val="decimal"/>
      <w:lvlText w:val="%2."/>
      <w:lvlJc w:val="left"/>
      <w:pPr>
        <w:tabs>
          <w:tab w:val="num" w:pos="-31680"/>
        </w:tabs>
        <w:ind w:left="720" w:hanging="720"/>
      </w:pPr>
      <w:rPr>
        <w:rFonts w:hint="default"/>
        <w:b w:val="0"/>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4E83E54"/>
    <w:multiLevelType w:val="hybridMultilevel"/>
    <w:tmpl w:val="BB0C2BE6"/>
    <w:lvl w:ilvl="0" w:tplc="A4863094">
      <w:start w:val="1"/>
      <w:numFmt w:val="decimal"/>
      <w:pStyle w:val="F9-Paragraph"/>
      <w:lvlText w:val="%1."/>
      <w:lvlJc w:val="left"/>
      <w:pPr>
        <w:ind w:left="720" w:hanging="360"/>
      </w:pPr>
      <w:rPr>
        <w:b w:val="0"/>
        <w:bCs/>
      </w:rPr>
    </w:lvl>
    <w:lvl w:ilvl="1" w:tplc="08090001">
      <w:start w:val="1"/>
      <w:numFmt w:val="bullet"/>
      <w:lvlText w:val=""/>
      <w:lvlJc w:val="left"/>
      <w:pPr>
        <w:ind w:left="1495" w:hanging="360"/>
      </w:pPr>
      <w:rPr>
        <w:rFonts w:ascii="Symbol" w:hAnsi="Symbol" w:hint="default"/>
      </w:rPr>
    </w:lvl>
    <w:lvl w:ilvl="2" w:tplc="08090003">
      <w:start w:val="1"/>
      <w:numFmt w:val="bullet"/>
      <w:lvlText w:val="o"/>
      <w:lvlJc w:val="left"/>
      <w:pPr>
        <w:ind w:left="2340" w:hanging="36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246192"/>
    <w:multiLevelType w:val="multilevel"/>
    <w:tmpl w:val="F7982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DC73DCA"/>
    <w:multiLevelType w:val="hybridMultilevel"/>
    <w:tmpl w:val="B98EF49E"/>
    <w:lvl w:ilvl="0" w:tplc="F944482C">
      <w:start w:val="1"/>
      <w:numFmt w:val="decimal"/>
      <w:lvlText w:val="%1)"/>
      <w:lvlJc w:val="left"/>
      <w:pPr>
        <w:ind w:left="1440" w:hanging="360"/>
      </w:pPr>
      <w:rPr>
        <w:rFonts w:ascii="Arial" w:hAnsi="Arial" w:cs="Times New Roman" w:hint="default"/>
        <w:b w:val="0"/>
        <w:i w:val="0"/>
        <w:color w:val="auto"/>
        <w:sz w:val="22"/>
      </w:r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6E0B75FE"/>
    <w:multiLevelType w:val="hybridMultilevel"/>
    <w:tmpl w:val="EA56905C"/>
    <w:lvl w:ilvl="0" w:tplc="FFFFFFFF">
      <w:start w:val="1"/>
      <w:numFmt w:val="decimal"/>
      <w:lvlText w:val="%1."/>
      <w:lvlJc w:val="left"/>
      <w:pPr>
        <w:ind w:left="720" w:hanging="360"/>
      </w:pPr>
      <w:rPr>
        <w:b w:val="0"/>
        <w:bCs/>
      </w:rPr>
    </w:lvl>
    <w:lvl w:ilvl="1" w:tplc="08090003">
      <w:start w:val="1"/>
      <w:numFmt w:val="bullet"/>
      <w:lvlText w:val="o"/>
      <w:lvlJc w:val="left"/>
      <w:pPr>
        <w:ind w:left="1495"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5F46359"/>
    <w:multiLevelType w:val="hybridMultilevel"/>
    <w:tmpl w:val="8B22156C"/>
    <w:lvl w:ilvl="0" w:tplc="8F6CBA1A">
      <w:start w:val="1"/>
      <w:numFmt w:val="bullet"/>
      <w:pStyle w:val="Bulletlist1"/>
      <w:lvlText w:val=""/>
      <w:lvlJc w:val="left"/>
      <w:pPr>
        <w:ind w:left="360" w:hanging="360"/>
      </w:pPr>
      <w:rPr>
        <w:rFonts w:ascii="Symbol" w:hAnsi="Symbol" w:hint="default"/>
        <w:strike w:val="0"/>
        <w:dstrike w:val="0"/>
        <w:color w:val="07716C" w:themeColor="accent1"/>
        <w:sz w:val="24"/>
      </w:rPr>
    </w:lvl>
    <w:lvl w:ilvl="1" w:tplc="4C2ED73E">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C26E1E"/>
    <w:multiLevelType w:val="hybridMultilevel"/>
    <w:tmpl w:val="6BB2F956"/>
    <w:lvl w:ilvl="0" w:tplc="FFFFFFFF">
      <w:start w:val="1"/>
      <w:numFmt w:val="decimal"/>
      <w:lvlText w:val="%1."/>
      <w:lvlJc w:val="left"/>
      <w:pPr>
        <w:ind w:left="720" w:hanging="360"/>
      </w:pPr>
      <w:rPr>
        <w:b w:val="0"/>
        <w:bCs/>
      </w:rPr>
    </w:lvl>
    <w:lvl w:ilvl="1" w:tplc="08090003">
      <w:start w:val="1"/>
      <w:numFmt w:val="bullet"/>
      <w:lvlText w:val="o"/>
      <w:lvlJc w:val="left"/>
      <w:pPr>
        <w:ind w:left="1495"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5146277">
    <w:abstractNumId w:val="11"/>
  </w:num>
  <w:num w:numId="2" w16cid:durableId="802893121">
    <w:abstractNumId w:val="10"/>
  </w:num>
  <w:num w:numId="3" w16cid:durableId="874538197">
    <w:abstractNumId w:val="3"/>
  </w:num>
  <w:num w:numId="4" w16cid:durableId="1864591591">
    <w:abstractNumId w:val="5"/>
  </w:num>
  <w:num w:numId="5" w16cid:durableId="832574242">
    <w:abstractNumId w:val="7"/>
  </w:num>
  <w:num w:numId="6" w16cid:durableId="1809931427">
    <w:abstractNumId w:val="4"/>
  </w:num>
  <w:num w:numId="7" w16cid:durableId="609051837">
    <w:abstractNumId w:val="1"/>
  </w:num>
  <w:num w:numId="8" w16cid:durableId="2001303208">
    <w:abstractNumId w:val="5"/>
    <w:lvlOverride w:ilvl="0">
      <w:startOverride w:val="1"/>
    </w:lvlOverride>
  </w:num>
  <w:num w:numId="9" w16cid:durableId="1159998868">
    <w:abstractNumId w:val="3"/>
  </w:num>
  <w:num w:numId="10" w16cid:durableId="315956736">
    <w:abstractNumId w:val="2"/>
  </w:num>
  <w:num w:numId="11" w16cid:durableId="1167131296">
    <w:abstractNumId w:val="6"/>
  </w:num>
  <w:num w:numId="12" w16cid:durableId="270818151">
    <w:abstractNumId w:val="0"/>
  </w:num>
  <w:num w:numId="13" w16cid:durableId="807480496">
    <w:abstractNumId w:val="5"/>
  </w:num>
  <w:num w:numId="14" w16cid:durableId="1797216105">
    <w:abstractNumId w:val="5"/>
  </w:num>
  <w:num w:numId="15" w16cid:durableId="735780007">
    <w:abstractNumId w:val="5"/>
  </w:num>
  <w:num w:numId="16" w16cid:durableId="1759524111">
    <w:abstractNumId w:val="5"/>
  </w:num>
  <w:num w:numId="17" w16cid:durableId="1213153591">
    <w:abstractNumId w:val="5"/>
  </w:num>
  <w:num w:numId="18" w16cid:durableId="281031">
    <w:abstractNumId w:val="8"/>
  </w:num>
  <w:num w:numId="19" w16cid:durableId="1056272641">
    <w:abstractNumId w:val="5"/>
  </w:num>
  <w:num w:numId="20" w16cid:durableId="1213081736">
    <w:abstractNumId w:val="12"/>
  </w:num>
  <w:num w:numId="21" w16cid:durableId="688719944">
    <w:abstractNumId w:val="5"/>
  </w:num>
  <w:num w:numId="22" w16cid:durableId="206141571">
    <w:abstractNumId w:val="5"/>
  </w:num>
  <w:num w:numId="23" w16cid:durableId="1133863429">
    <w:abstractNumId w:val="5"/>
  </w:num>
  <w:num w:numId="24" w16cid:durableId="1467970179">
    <w:abstractNumId w:val="5"/>
  </w:num>
  <w:num w:numId="25" w16cid:durableId="1663509736">
    <w:abstractNumId w:val="5"/>
  </w:num>
  <w:num w:numId="26" w16cid:durableId="707724949">
    <w:abstractNumId w:val="5"/>
  </w:num>
  <w:num w:numId="27" w16cid:durableId="1718436496">
    <w:abstractNumId w:val="5"/>
  </w:num>
  <w:num w:numId="28" w16cid:durableId="193662035">
    <w:abstractNumId w:val="5"/>
  </w:num>
  <w:num w:numId="29" w16cid:durableId="305671810">
    <w:abstractNumId w:val="5"/>
  </w:num>
  <w:num w:numId="30" w16cid:durableId="671181917">
    <w:abstractNumId w:val="5"/>
  </w:num>
  <w:num w:numId="31" w16cid:durableId="1259678570">
    <w:abstractNumId w:val="5"/>
  </w:num>
  <w:num w:numId="32" w16cid:durableId="1198853800">
    <w:abstractNumId w:val="5"/>
  </w:num>
  <w:num w:numId="33" w16cid:durableId="520094999">
    <w:abstractNumId w:val="5"/>
  </w:num>
  <w:num w:numId="34" w16cid:durableId="1059278874">
    <w:abstractNumId w:val="5"/>
  </w:num>
  <w:num w:numId="35" w16cid:durableId="120850123">
    <w:abstractNumId w:val="5"/>
  </w:num>
  <w:num w:numId="36" w16cid:durableId="1817070663">
    <w:abstractNumId w:val="9"/>
  </w:num>
  <w:num w:numId="37" w16cid:durableId="451634162">
    <w:abstractNumId w:val="5"/>
  </w:num>
  <w:num w:numId="38" w16cid:durableId="203717870">
    <w:abstractNumId w:val="5"/>
  </w:num>
  <w:num w:numId="39" w16cid:durableId="125976694">
    <w:abstractNumId w:val="5"/>
  </w:num>
  <w:num w:numId="40" w16cid:durableId="145729040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205"/>
    <w:rsid w:val="00002F03"/>
    <w:rsid w:val="00003F45"/>
    <w:rsid w:val="00004C16"/>
    <w:rsid w:val="00006A84"/>
    <w:rsid w:val="000071F3"/>
    <w:rsid w:val="00007D25"/>
    <w:rsid w:val="00010A4D"/>
    <w:rsid w:val="00011177"/>
    <w:rsid w:val="000126F6"/>
    <w:rsid w:val="000146C2"/>
    <w:rsid w:val="00014814"/>
    <w:rsid w:val="00014C8E"/>
    <w:rsid w:val="0001636A"/>
    <w:rsid w:val="00017CB9"/>
    <w:rsid w:val="000206D3"/>
    <w:rsid w:val="00022033"/>
    <w:rsid w:val="000242DE"/>
    <w:rsid w:val="00024522"/>
    <w:rsid w:val="00024B2E"/>
    <w:rsid w:val="00024C5E"/>
    <w:rsid w:val="0002656D"/>
    <w:rsid w:val="00026C04"/>
    <w:rsid w:val="000272F4"/>
    <w:rsid w:val="00027EAF"/>
    <w:rsid w:val="00027F4F"/>
    <w:rsid w:val="00030430"/>
    <w:rsid w:val="0003078E"/>
    <w:rsid w:val="00031475"/>
    <w:rsid w:val="00031A02"/>
    <w:rsid w:val="00031B89"/>
    <w:rsid w:val="00033257"/>
    <w:rsid w:val="0003424B"/>
    <w:rsid w:val="00034F10"/>
    <w:rsid w:val="00035D5B"/>
    <w:rsid w:val="00035EDA"/>
    <w:rsid w:val="0003693D"/>
    <w:rsid w:val="000379C3"/>
    <w:rsid w:val="00037F32"/>
    <w:rsid w:val="00040CE3"/>
    <w:rsid w:val="0004148E"/>
    <w:rsid w:val="00042165"/>
    <w:rsid w:val="00043F32"/>
    <w:rsid w:val="0004440F"/>
    <w:rsid w:val="00044584"/>
    <w:rsid w:val="000447AC"/>
    <w:rsid w:val="000451E3"/>
    <w:rsid w:val="00045A81"/>
    <w:rsid w:val="000513E2"/>
    <w:rsid w:val="0005178B"/>
    <w:rsid w:val="00051EFA"/>
    <w:rsid w:val="00051FCD"/>
    <w:rsid w:val="00052C8A"/>
    <w:rsid w:val="000548C8"/>
    <w:rsid w:val="00054D0D"/>
    <w:rsid w:val="00057012"/>
    <w:rsid w:val="00057C11"/>
    <w:rsid w:val="0006032B"/>
    <w:rsid w:val="00060CF8"/>
    <w:rsid w:val="00063E84"/>
    <w:rsid w:val="000648AD"/>
    <w:rsid w:val="00064A1B"/>
    <w:rsid w:val="00064FE1"/>
    <w:rsid w:val="00065A95"/>
    <w:rsid w:val="00071ACE"/>
    <w:rsid w:val="000742A7"/>
    <w:rsid w:val="00075605"/>
    <w:rsid w:val="00075C66"/>
    <w:rsid w:val="00077575"/>
    <w:rsid w:val="00081328"/>
    <w:rsid w:val="000817D4"/>
    <w:rsid w:val="000825F0"/>
    <w:rsid w:val="00082879"/>
    <w:rsid w:val="000832EE"/>
    <w:rsid w:val="00083F06"/>
    <w:rsid w:val="000840AE"/>
    <w:rsid w:val="000849A3"/>
    <w:rsid w:val="0008542E"/>
    <w:rsid w:val="00085449"/>
    <w:rsid w:val="00086E7A"/>
    <w:rsid w:val="00087C32"/>
    <w:rsid w:val="00091061"/>
    <w:rsid w:val="00091EEA"/>
    <w:rsid w:val="0009225F"/>
    <w:rsid w:val="00092DB9"/>
    <w:rsid w:val="00095E7C"/>
    <w:rsid w:val="00095EB5"/>
    <w:rsid w:val="000978DD"/>
    <w:rsid w:val="000A0C46"/>
    <w:rsid w:val="000A0E2F"/>
    <w:rsid w:val="000A105C"/>
    <w:rsid w:val="000A3B19"/>
    <w:rsid w:val="000A3D01"/>
    <w:rsid w:val="000A649B"/>
    <w:rsid w:val="000B0537"/>
    <w:rsid w:val="000B1BF2"/>
    <w:rsid w:val="000B2525"/>
    <w:rsid w:val="000B302F"/>
    <w:rsid w:val="000B6927"/>
    <w:rsid w:val="000B71AE"/>
    <w:rsid w:val="000C2339"/>
    <w:rsid w:val="000C2A1D"/>
    <w:rsid w:val="000C2DDC"/>
    <w:rsid w:val="000C5F5A"/>
    <w:rsid w:val="000D0386"/>
    <w:rsid w:val="000D2FD4"/>
    <w:rsid w:val="000D3232"/>
    <w:rsid w:val="000D3F71"/>
    <w:rsid w:val="000D5240"/>
    <w:rsid w:val="000D547C"/>
    <w:rsid w:val="000D6D1A"/>
    <w:rsid w:val="000D7CCC"/>
    <w:rsid w:val="000E1CD2"/>
    <w:rsid w:val="000E5402"/>
    <w:rsid w:val="000E564E"/>
    <w:rsid w:val="000E7260"/>
    <w:rsid w:val="000F1B7B"/>
    <w:rsid w:val="000F2E52"/>
    <w:rsid w:val="000F2ED4"/>
    <w:rsid w:val="000F457F"/>
    <w:rsid w:val="000F6D6D"/>
    <w:rsid w:val="001028E8"/>
    <w:rsid w:val="00103043"/>
    <w:rsid w:val="001062EF"/>
    <w:rsid w:val="00106794"/>
    <w:rsid w:val="001067E7"/>
    <w:rsid w:val="00107A80"/>
    <w:rsid w:val="00110142"/>
    <w:rsid w:val="001117FE"/>
    <w:rsid w:val="0011230F"/>
    <w:rsid w:val="001126F6"/>
    <w:rsid w:val="00112A38"/>
    <w:rsid w:val="00112F6D"/>
    <w:rsid w:val="001159BA"/>
    <w:rsid w:val="00117073"/>
    <w:rsid w:val="001200D8"/>
    <w:rsid w:val="00121389"/>
    <w:rsid w:val="00122FCC"/>
    <w:rsid w:val="00123AE2"/>
    <w:rsid w:val="00123E2E"/>
    <w:rsid w:val="0012497B"/>
    <w:rsid w:val="00124C2B"/>
    <w:rsid w:val="00126752"/>
    <w:rsid w:val="00127294"/>
    <w:rsid w:val="00130B30"/>
    <w:rsid w:val="00130BB9"/>
    <w:rsid w:val="00131529"/>
    <w:rsid w:val="00131660"/>
    <w:rsid w:val="00133A9C"/>
    <w:rsid w:val="00134982"/>
    <w:rsid w:val="00140E1C"/>
    <w:rsid w:val="00141446"/>
    <w:rsid w:val="00142A0D"/>
    <w:rsid w:val="00142AD7"/>
    <w:rsid w:val="001433E6"/>
    <w:rsid w:val="00146B05"/>
    <w:rsid w:val="001477A6"/>
    <w:rsid w:val="00147AE4"/>
    <w:rsid w:val="00154DEB"/>
    <w:rsid w:val="00154EE8"/>
    <w:rsid w:val="00155499"/>
    <w:rsid w:val="00156B10"/>
    <w:rsid w:val="001571E5"/>
    <w:rsid w:val="001605B8"/>
    <w:rsid w:val="00161889"/>
    <w:rsid w:val="00161CAA"/>
    <w:rsid w:val="00163726"/>
    <w:rsid w:val="00165BD2"/>
    <w:rsid w:val="00165F41"/>
    <w:rsid w:val="00167E8A"/>
    <w:rsid w:val="0017116E"/>
    <w:rsid w:val="00171D56"/>
    <w:rsid w:val="0017245B"/>
    <w:rsid w:val="0017287A"/>
    <w:rsid w:val="001736DF"/>
    <w:rsid w:val="00174539"/>
    <w:rsid w:val="00175300"/>
    <w:rsid w:val="00177666"/>
    <w:rsid w:val="00180E44"/>
    <w:rsid w:val="00181C1A"/>
    <w:rsid w:val="001849CA"/>
    <w:rsid w:val="00185410"/>
    <w:rsid w:val="00186119"/>
    <w:rsid w:val="00186673"/>
    <w:rsid w:val="001866FC"/>
    <w:rsid w:val="001912DB"/>
    <w:rsid w:val="00191D1F"/>
    <w:rsid w:val="00192352"/>
    <w:rsid w:val="0019251E"/>
    <w:rsid w:val="00193E24"/>
    <w:rsid w:val="00194C0C"/>
    <w:rsid w:val="00196ADB"/>
    <w:rsid w:val="001A06D4"/>
    <w:rsid w:val="001A0D79"/>
    <w:rsid w:val="001A241E"/>
    <w:rsid w:val="001A3B7C"/>
    <w:rsid w:val="001A73BC"/>
    <w:rsid w:val="001B0702"/>
    <w:rsid w:val="001B0EDD"/>
    <w:rsid w:val="001B145E"/>
    <w:rsid w:val="001B1CAA"/>
    <w:rsid w:val="001B2288"/>
    <w:rsid w:val="001B3D9D"/>
    <w:rsid w:val="001B4C68"/>
    <w:rsid w:val="001B4D5A"/>
    <w:rsid w:val="001B63E7"/>
    <w:rsid w:val="001B644E"/>
    <w:rsid w:val="001B7233"/>
    <w:rsid w:val="001C12E0"/>
    <w:rsid w:val="001C19A7"/>
    <w:rsid w:val="001C1E78"/>
    <w:rsid w:val="001C3543"/>
    <w:rsid w:val="001C4D63"/>
    <w:rsid w:val="001C6B58"/>
    <w:rsid w:val="001C71D5"/>
    <w:rsid w:val="001D0DE0"/>
    <w:rsid w:val="001D138C"/>
    <w:rsid w:val="001D25D1"/>
    <w:rsid w:val="001D3244"/>
    <w:rsid w:val="001D3668"/>
    <w:rsid w:val="001D4DB4"/>
    <w:rsid w:val="001D4FEC"/>
    <w:rsid w:val="001D5467"/>
    <w:rsid w:val="001D5538"/>
    <w:rsid w:val="001D5AFF"/>
    <w:rsid w:val="001D74B4"/>
    <w:rsid w:val="001D7920"/>
    <w:rsid w:val="001D7E3E"/>
    <w:rsid w:val="001E03E1"/>
    <w:rsid w:val="001E0BE3"/>
    <w:rsid w:val="001E236A"/>
    <w:rsid w:val="001E60DC"/>
    <w:rsid w:val="001E69E6"/>
    <w:rsid w:val="001E762A"/>
    <w:rsid w:val="001F059F"/>
    <w:rsid w:val="001F1DB2"/>
    <w:rsid w:val="001F570C"/>
    <w:rsid w:val="001F76F0"/>
    <w:rsid w:val="00200811"/>
    <w:rsid w:val="0020081C"/>
    <w:rsid w:val="00200CA1"/>
    <w:rsid w:val="002010A2"/>
    <w:rsid w:val="002031A8"/>
    <w:rsid w:val="00203B70"/>
    <w:rsid w:val="002040B2"/>
    <w:rsid w:val="00206845"/>
    <w:rsid w:val="00211877"/>
    <w:rsid w:val="00212797"/>
    <w:rsid w:val="0021338D"/>
    <w:rsid w:val="00214783"/>
    <w:rsid w:val="00214D43"/>
    <w:rsid w:val="002156C3"/>
    <w:rsid w:val="00216EB1"/>
    <w:rsid w:val="0022186E"/>
    <w:rsid w:val="00223090"/>
    <w:rsid w:val="00223509"/>
    <w:rsid w:val="002238B4"/>
    <w:rsid w:val="0022400A"/>
    <w:rsid w:val="00227034"/>
    <w:rsid w:val="002300BA"/>
    <w:rsid w:val="002303AA"/>
    <w:rsid w:val="002319AB"/>
    <w:rsid w:val="002319AC"/>
    <w:rsid w:val="00234342"/>
    <w:rsid w:val="002346A8"/>
    <w:rsid w:val="00236D47"/>
    <w:rsid w:val="00237427"/>
    <w:rsid w:val="002377F5"/>
    <w:rsid w:val="002403BF"/>
    <w:rsid w:val="0024040D"/>
    <w:rsid w:val="00242C33"/>
    <w:rsid w:val="00245BF7"/>
    <w:rsid w:val="00250420"/>
    <w:rsid w:val="00250B17"/>
    <w:rsid w:val="00251722"/>
    <w:rsid w:val="00251CD7"/>
    <w:rsid w:val="002548F4"/>
    <w:rsid w:val="00255FA3"/>
    <w:rsid w:val="002565D1"/>
    <w:rsid w:val="00257288"/>
    <w:rsid w:val="002572AA"/>
    <w:rsid w:val="002608CA"/>
    <w:rsid w:val="00260E4B"/>
    <w:rsid w:val="00261532"/>
    <w:rsid w:val="00261FB6"/>
    <w:rsid w:val="00262476"/>
    <w:rsid w:val="002629F8"/>
    <w:rsid w:val="00263396"/>
    <w:rsid w:val="002654A2"/>
    <w:rsid w:val="002659FA"/>
    <w:rsid w:val="00266D44"/>
    <w:rsid w:val="00267093"/>
    <w:rsid w:val="002670ED"/>
    <w:rsid w:val="002676D7"/>
    <w:rsid w:val="00267815"/>
    <w:rsid w:val="0027092A"/>
    <w:rsid w:val="00272E2E"/>
    <w:rsid w:val="00274AF5"/>
    <w:rsid w:val="002801B1"/>
    <w:rsid w:val="00280765"/>
    <w:rsid w:val="00280DDF"/>
    <w:rsid w:val="00282108"/>
    <w:rsid w:val="002833BA"/>
    <w:rsid w:val="00284B21"/>
    <w:rsid w:val="00285370"/>
    <w:rsid w:val="00286F7F"/>
    <w:rsid w:val="002870B2"/>
    <w:rsid w:val="0028770A"/>
    <w:rsid w:val="002877E5"/>
    <w:rsid w:val="002910E9"/>
    <w:rsid w:val="002917FF"/>
    <w:rsid w:val="00291982"/>
    <w:rsid w:val="002919DC"/>
    <w:rsid w:val="00292ADF"/>
    <w:rsid w:val="00292BCB"/>
    <w:rsid w:val="00292BDD"/>
    <w:rsid w:val="0029343A"/>
    <w:rsid w:val="00295392"/>
    <w:rsid w:val="002965FD"/>
    <w:rsid w:val="00296DBB"/>
    <w:rsid w:val="00297442"/>
    <w:rsid w:val="00297D7C"/>
    <w:rsid w:val="002A0DEC"/>
    <w:rsid w:val="002A1F58"/>
    <w:rsid w:val="002A3644"/>
    <w:rsid w:val="002A3A38"/>
    <w:rsid w:val="002A7887"/>
    <w:rsid w:val="002A7B60"/>
    <w:rsid w:val="002B176B"/>
    <w:rsid w:val="002B1C53"/>
    <w:rsid w:val="002B41F8"/>
    <w:rsid w:val="002C045D"/>
    <w:rsid w:val="002C2E1A"/>
    <w:rsid w:val="002C370E"/>
    <w:rsid w:val="002C4999"/>
    <w:rsid w:val="002D00CF"/>
    <w:rsid w:val="002D0D2B"/>
    <w:rsid w:val="002D12F0"/>
    <w:rsid w:val="002D22AC"/>
    <w:rsid w:val="002D2776"/>
    <w:rsid w:val="002D5CF5"/>
    <w:rsid w:val="002D7432"/>
    <w:rsid w:val="002E0817"/>
    <w:rsid w:val="002E09EC"/>
    <w:rsid w:val="002E0BE4"/>
    <w:rsid w:val="002E1A0F"/>
    <w:rsid w:val="002E2040"/>
    <w:rsid w:val="002E3B58"/>
    <w:rsid w:val="002E3E8A"/>
    <w:rsid w:val="002E59A3"/>
    <w:rsid w:val="002E69A2"/>
    <w:rsid w:val="002E6A6A"/>
    <w:rsid w:val="002E7B70"/>
    <w:rsid w:val="002E7C0E"/>
    <w:rsid w:val="002F167C"/>
    <w:rsid w:val="002F18DC"/>
    <w:rsid w:val="002F2268"/>
    <w:rsid w:val="002F2A34"/>
    <w:rsid w:val="002F2EFA"/>
    <w:rsid w:val="002F3397"/>
    <w:rsid w:val="002F3688"/>
    <w:rsid w:val="002F47BF"/>
    <w:rsid w:val="002F5C3B"/>
    <w:rsid w:val="002F696B"/>
    <w:rsid w:val="00300357"/>
    <w:rsid w:val="00301E73"/>
    <w:rsid w:val="003024CB"/>
    <w:rsid w:val="0030342F"/>
    <w:rsid w:val="0030380D"/>
    <w:rsid w:val="00304006"/>
    <w:rsid w:val="003060FF"/>
    <w:rsid w:val="003067C5"/>
    <w:rsid w:val="00306B80"/>
    <w:rsid w:val="00306D2C"/>
    <w:rsid w:val="00306EBC"/>
    <w:rsid w:val="003101B3"/>
    <w:rsid w:val="003108F3"/>
    <w:rsid w:val="00312411"/>
    <w:rsid w:val="0031386D"/>
    <w:rsid w:val="00314953"/>
    <w:rsid w:val="00316D3B"/>
    <w:rsid w:val="00320593"/>
    <w:rsid w:val="003206DF"/>
    <w:rsid w:val="00320AAB"/>
    <w:rsid w:val="00321BE7"/>
    <w:rsid w:val="00322352"/>
    <w:rsid w:val="003227FE"/>
    <w:rsid w:val="003233AE"/>
    <w:rsid w:val="00323C30"/>
    <w:rsid w:val="00323E71"/>
    <w:rsid w:val="00324F57"/>
    <w:rsid w:val="00326F77"/>
    <w:rsid w:val="00333A57"/>
    <w:rsid w:val="00333F37"/>
    <w:rsid w:val="003346C1"/>
    <w:rsid w:val="003349F5"/>
    <w:rsid w:val="003360A0"/>
    <w:rsid w:val="003367CD"/>
    <w:rsid w:val="00337537"/>
    <w:rsid w:val="003376BC"/>
    <w:rsid w:val="003401B0"/>
    <w:rsid w:val="00340F7F"/>
    <w:rsid w:val="003419F3"/>
    <w:rsid w:val="00342061"/>
    <w:rsid w:val="0034462B"/>
    <w:rsid w:val="00344D28"/>
    <w:rsid w:val="00345C13"/>
    <w:rsid w:val="00345D54"/>
    <w:rsid w:val="00346C8E"/>
    <w:rsid w:val="0034782F"/>
    <w:rsid w:val="00351624"/>
    <w:rsid w:val="00351725"/>
    <w:rsid w:val="00351AAC"/>
    <w:rsid w:val="00351D31"/>
    <w:rsid w:val="00360C24"/>
    <w:rsid w:val="00360CE0"/>
    <w:rsid w:val="00362517"/>
    <w:rsid w:val="003655BE"/>
    <w:rsid w:val="00366093"/>
    <w:rsid w:val="00366777"/>
    <w:rsid w:val="003673AD"/>
    <w:rsid w:val="00367BD5"/>
    <w:rsid w:val="003739E1"/>
    <w:rsid w:val="003746CE"/>
    <w:rsid w:val="00375819"/>
    <w:rsid w:val="00376BAF"/>
    <w:rsid w:val="003773F5"/>
    <w:rsid w:val="00383345"/>
    <w:rsid w:val="00387E60"/>
    <w:rsid w:val="00390327"/>
    <w:rsid w:val="00390FAF"/>
    <w:rsid w:val="00391421"/>
    <w:rsid w:val="00393B78"/>
    <w:rsid w:val="00393FD1"/>
    <w:rsid w:val="0039661E"/>
    <w:rsid w:val="003A00F8"/>
    <w:rsid w:val="003A01E9"/>
    <w:rsid w:val="003A1092"/>
    <w:rsid w:val="003A1D66"/>
    <w:rsid w:val="003A632C"/>
    <w:rsid w:val="003A657D"/>
    <w:rsid w:val="003A66B4"/>
    <w:rsid w:val="003A7E31"/>
    <w:rsid w:val="003B08E9"/>
    <w:rsid w:val="003B16A1"/>
    <w:rsid w:val="003B1AE8"/>
    <w:rsid w:val="003B1E3E"/>
    <w:rsid w:val="003B3B01"/>
    <w:rsid w:val="003B44EB"/>
    <w:rsid w:val="003B4BDF"/>
    <w:rsid w:val="003B6E3A"/>
    <w:rsid w:val="003C0306"/>
    <w:rsid w:val="003C0CCA"/>
    <w:rsid w:val="003C114C"/>
    <w:rsid w:val="003C414B"/>
    <w:rsid w:val="003C4532"/>
    <w:rsid w:val="003C465D"/>
    <w:rsid w:val="003C4E13"/>
    <w:rsid w:val="003C7780"/>
    <w:rsid w:val="003D001D"/>
    <w:rsid w:val="003D0718"/>
    <w:rsid w:val="003D1270"/>
    <w:rsid w:val="003D3585"/>
    <w:rsid w:val="003D495D"/>
    <w:rsid w:val="003D4F9D"/>
    <w:rsid w:val="003D5ABA"/>
    <w:rsid w:val="003E098E"/>
    <w:rsid w:val="003E2CC1"/>
    <w:rsid w:val="003E2FAE"/>
    <w:rsid w:val="003E3006"/>
    <w:rsid w:val="003E34C8"/>
    <w:rsid w:val="003E500A"/>
    <w:rsid w:val="003E52FC"/>
    <w:rsid w:val="003E5422"/>
    <w:rsid w:val="003E5C11"/>
    <w:rsid w:val="003E6EF3"/>
    <w:rsid w:val="003F00A5"/>
    <w:rsid w:val="003F325E"/>
    <w:rsid w:val="003F4009"/>
    <w:rsid w:val="003F43E3"/>
    <w:rsid w:val="003F4461"/>
    <w:rsid w:val="003F454E"/>
    <w:rsid w:val="003F5BB1"/>
    <w:rsid w:val="003F67D7"/>
    <w:rsid w:val="00400D74"/>
    <w:rsid w:val="00403596"/>
    <w:rsid w:val="0040415A"/>
    <w:rsid w:val="0040465E"/>
    <w:rsid w:val="004051BE"/>
    <w:rsid w:val="00406400"/>
    <w:rsid w:val="00406594"/>
    <w:rsid w:val="00406729"/>
    <w:rsid w:val="0040725B"/>
    <w:rsid w:val="00407C65"/>
    <w:rsid w:val="00407CF7"/>
    <w:rsid w:val="00410169"/>
    <w:rsid w:val="0041017B"/>
    <w:rsid w:val="004104BE"/>
    <w:rsid w:val="00410A83"/>
    <w:rsid w:val="00414298"/>
    <w:rsid w:val="00415491"/>
    <w:rsid w:val="00415C2E"/>
    <w:rsid w:val="00415ED6"/>
    <w:rsid w:val="00417006"/>
    <w:rsid w:val="00417150"/>
    <w:rsid w:val="00417CAF"/>
    <w:rsid w:val="00420771"/>
    <w:rsid w:val="00420A11"/>
    <w:rsid w:val="00420B88"/>
    <w:rsid w:val="0042169E"/>
    <w:rsid w:val="00422265"/>
    <w:rsid w:val="00422A9F"/>
    <w:rsid w:val="00422AF1"/>
    <w:rsid w:val="00422DD0"/>
    <w:rsid w:val="00423BC6"/>
    <w:rsid w:val="0042586A"/>
    <w:rsid w:val="004264A2"/>
    <w:rsid w:val="00426986"/>
    <w:rsid w:val="00431381"/>
    <w:rsid w:val="004315ED"/>
    <w:rsid w:val="00431634"/>
    <w:rsid w:val="00432E14"/>
    <w:rsid w:val="00436560"/>
    <w:rsid w:val="004369D9"/>
    <w:rsid w:val="00437378"/>
    <w:rsid w:val="004373A7"/>
    <w:rsid w:val="00437D94"/>
    <w:rsid w:val="0044030C"/>
    <w:rsid w:val="004415B9"/>
    <w:rsid w:val="00443ACD"/>
    <w:rsid w:val="004468C8"/>
    <w:rsid w:val="00451308"/>
    <w:rsid w:val="004514B4"/>
    <w:rsid w:val="0045175D"/>
    <w:rsid w:val="00451A7A"/>
    <w:rsid w:val="00454288"/>
    <w:rsid w:val="00454E3B"/>
    <w:rsid w:val="00460B38"/>
    <w:rsid w:val="00461790"/>
    <w:rsid w:val="004618DA"/>
    <w:rsid w:val="004618EC"/>
    <w:rsid w:val="00462487"/>
    <w:rsid w:val="0046338B"/>
    <w:rsid w:val="0046408C"/>
    <w:rsid w:val="00464113"/>
    <w:rsid w:val="004648A4"/>
    <w:rsid w:val="0046502A"/>
    <w:rsid w:val="00465B1A"/>
    <w:rsid w:val="00470B6C"/>
    <w:rsid w:val="00471380"/>
    <w:rsid w:val="0047251B"/>
    <w:rsid w:val="00472C4C"/>
    <w:rsid w:val="0047731A"/>
    <w:rsid w:val="00480FB8"/>
    <w:rsid w:val="004814D2"/>
    <w:rsid w:val="00481620"/>
    <w:rsid w:val="00481C99"/>
    <w:rsid w:val="00485038"/>
    <w:rsid w:val="00487389"/>
    <w:rsid w:val="004923CE"/>
    <w:rsid w:val="004926B4"/>
    <w:rsid w:val="004932FE"/>
    <w:rsid w:val="004946C2"/>
    <w:rsid w:val="00494F0D"/>
    <w:rsid w:val="00496536"/>
    <w:rsid w:val="00496BFD"/>
    <w:rsid w:val="004A06BD"/>
    <w:rsid w:val="004A0C11"/>
    <w:rsid w:val="004A14BD"/>
    <w:rsid w:val="004A233D"/>
    <w:rsid w:val="004A2823"/>
    <w:rsid w:val="004A35DC"/>
    <w:rsid w:val="004A3DF2"/>
    <w:rsid w:val="004A4860"/>
    <w:rsid w:val="004A4B87"/>
    <w:rsid w:val="004A55FE"/>
    <w:rsid w:val="004B084B"/>
    <w:rsid w:val="004B0C6D"/>
    <w:rsid w:val="004B16A6"/>
    <w:rsid w:val="004B3A8B"/>
    <w:rsid w:val="004B3E73"/>
    <w:rsid w:val="004B5334"/>
    <w:rsid w:val="004B63B1"/>
    <w:rsid w:val="004B663C"/>
    <w:rsid w:val="004C0D01"/>
    <w:rsid w:val="004C1311"/>
    <w:rsid w:val="004C308B"/>
    <w:rsid w:val="004C361D"/>
    <w:rsid w:val="004C3E61"/>
    <w:rsid w:val="004C4068"/>
    <w:rsid w:val="004C4891"/>
    <w:rsid w:val="004C73FC"/>
    <w:rsid w:val="004C7B22"/>
    <w:rsid w:val="004D070F"/>
    <w:rsid w:val="004D0C87"/>
    <w:rsid w:val="004D1634"/>
    <w:rsid w:val="004D2C89"/>
    <w:rsid w:val="004D63BD"/>
    <w:rsid w:val="004D7385"/>
    <w:rsid w:val="004D788A"/>
    <w:rsid w:val="004D79AC"/>
    <w:rsid w:val="004E0BEA"/>
    <w:rsid w:val="004E3932"/>
    <w:rsid w:val="004E54B6"/>
    <w:rsid w:val="004E5937"/>
    <w:rsid w:val="004E5CEF"/>
    <w:rsid w:val="004F0F88"/>
    <w:rsid w:val="004F1E79"/>
    <w:rsid w:val="004F3362"/>
    <w:rsid w:val="004F4EF8"/>
    <w:rsid w:val="004F5F33"/>
    <w:rsid w:val="004F6BAF"/>
    <w:rsid w:val="004F7A7D"/>
    <w:rsid w:val="00500119"/>
    <w:rsid w:val="00500690"/>
    <w:rsid w:val="0050103A"/>
    <w:rsid w:val="005013C6"/>
    <w:rsid w:val="005013CA"/>
    <w:rsid w:val="00501489"/>
    <w:rsid w:val="00503FD8"/>
    <w:rsid w:val="00504F45"/>
    <w:rsid w:val="00510232"/>
    <w:rsid w:val="005102FC"/>
    <w:rsid w:val="00511B0F"/>
    <w:rsid w:val="005135EE"/>
    <w:rsid w:val="00513F69"/>
    <w:rsid w:val="0052098B"/>
    <w:rsid w:val="005219D6"/>
    <w:rsid w:val="005243CC"/>
    <w:rsid w:val="005250DB"/>
    <w:rsid w:val="00526D4D"/>
    <w:rsid w:val="00531154"/>
    <w:rsid w:val="00533DBC"/>
    <w:rsid w:val="00534787"/>
    <w:rsid w:val="005352AD"/>
    <w:rsid w:val="0053676B"/>
    <w:rsid w:val="005367BD"/>
    <w:rsid w:val="00541F9B"/>
    <w:rsid w:val="00544279"/>
    <w:rsid w:val="0054722E"/>
    <w:rsid w:val="005478C6"/>
    <w:rsid w:val="0055388E"/>
    <w:rsid w:val="005547BC"/>
    <w:rsid w:val="00557E8C"/>
    <w:rsid w:val="005610B9"/>
    <w:rsid w:val="00561B4E"/>
    <w:rsid w:val="005623EC"/>
    <w:rsid w:val="00563153"/>
    <w:rsid w:val="0056512A"/>
    <w:rsid w:val="00565C96"/>
    <w:rsid w:val="005663E9"/>
    <w:rsid w:val="00570C56"/>
    <w:rsid w:val="00571705"/>
    <w:rsid w:val="0057247E"/>
    <w:rsid w:val="00572B7C"/>
    <w:rsid w:val="005734FB"/>
    <w:rsid w:val="00574433"/>
    <w:rsid w:val="005754AE"/>
    <w:rsid w:val="00577B6E"/>
    <w:rsid w:val="00577FB5"/>
    <w:rsid w:val="005833C1"/>
    <w:rsid w:val="00583D95"/>
    <w:rsid w:val="00584C60"/>
    <w:rsid w:val="005852D1"/>
    <w:rsid w:val="00585C52"/>
    <w:rsid w:val="00587A22"/>
    <w:rsid w:val="005903B3"/>
    <w:rsid w:val="00590526"/>
    <w:rsid w:val="005917D1"/>
    <w:rsid w:val="0059299D"/>
    <w:rsid w:val="00593D63"/>
    <w:rsid w:val="00594CFE"/>
    <w:rsid w:val="00595C8C"/>
    <w:rsid w:val="00596AA4"/>
    <w:rsid w:val="0059706A"/>
    <w:rsid w:val="00597217"/>
    <w:rsid w:val="00597747"/>
    <w:rsid w:val="00597D15"/>
    <w:rsid w:val="005A0589"/>
    <w:rsid w:val="005A2888"/>
    <w:rsid w:val="005A4CDD"/>
    <w:rsid w:val="005A5194"/>
    <w:rsid w:val="005A6AA3"/>
    <w:rsid w:val="005A7997"/>
    <w:rsid w:val="005B0B03"/>
    <w:rsid w:val="005B57E4"/>
    <w:rsid w:val="005B5ABD"/>
    <w:rsid w:val="005B664C"/>
    <w:rsid w:val="005B6A75"/>
    <w:rsid w:val="005B6B5A"/>
    <w:rsid w:val="005B70B7"/>
    <w:rsid w:val="005C130B"/>
    <w:rsid w:val="005C140A"/>
    <w:rsid w:val="005C1E52"/>
    <w:rsid w:val="005C2281"/>
    <w:rsid w:val="005C2353"/>
    <w:rsid w:val="005C3367"/>
    <w:rsid w:val="005C6763"/>
    <w:rsid w:val="005D3164"/>
    <w:rsid w:val="005D4367"/>
    <w:rsid w:val="005E0344"/>
    <w:rsid w:val="005E0650"/>
    <w:rsid w:val="005E0E14"/>
    <w:rsid w:val="005E1570"/>
    <w:rsid w:val="005E2320"/>
    <w:rsid w:val="005E3984"/>
    <w:rsid w:val="005E440B"/>
    <w:rsid w:val="005E4C28"/>
    <w:rsid w:val="005E6B44"/>
    <w:rsid w:val="005F1221"/>
    <w:rsid w:val="005F282E"/>
    <w:rsid w:val="005F2C85"/>
    <w:rsid w:val="005F37F3"/>
    <w:rsid w:val="005F41E8"/>
    <w:rsid w:val="005F4C02"/>
    <w:rsid w:val="005F4DAA"/>
    <w:rsid w:val="005F7E22"/>
    <w:rsid w:val="006014C3"/>
    <w:rsid w:val="00603354"/>
    <w:rsid w:val="0060348B"/>
    <w:rsid w:val="006046E5"/>
    <w:rsid w:val="00605ADB"/>
    <w:rsid w:val="00610A42"/>
    <w:rsid w:val="00610F54"/>
    <w:rsid w:val="00611C9F"/>
    <w:rsid w:val="006156A8"/>
    <w:rsid w:val="00620D6D"/>
    <w:rsid w:val="0062271D"/>
    <w:rsid w:val="006248DE"/>
    <w:rsid w:val="00626CC2"/>
    <w:rsid w:val="00627182"/>
    <w:rsid w:val="00627555"/>
    <w:rsid w:val="006279DD"/>
    <w:rsid w:val="00627A0C"/>
    <w:rsid w:val="0063209C"/>
    <w:rsid w:val="006322A0"/>
    <w:rsid w:val="00632CC6"/>
    <w:rsid w:val="006339DE"/>
    <w:rsid w:val="0063539C"/>
    <w:rsid w:val="00635B62"/>
    <w:rsid w:val="00635C90"/>
    <w:rsid w:val="00636052"/>
    <w:rsid w:val="006361FD"/>
    <w:rsid w:val="0064226F"/>
    <w:rsid w:val="00642419"/>
    <w:rsid w:val="00642DDB"/>
    <w:rsid w:val="00643755"/>
    <w:rsid w:val="006502A9"/>
    <w:rsid w:val="00652909"/>
    <w:rsid w:val="00653298"/>
    <w:rsid w:val="006539F7"/>
    <w:rsid w:val="00656C3E"/>
    <w:rsid w:val="0066070C"/>
    <w:rsid w:val="006609F6"/>
    <w:rsid w:val="00660E9F"/>
    <w:rsid w:val="00663A7C"/>
    <w:rsid w:val="00664468"/>
    <w:rsid w:val="00667D3E"/>
    <w:rsid w:val="00667DF2"/>
    <w:rsid w:val="00670DA1"/>
    <w:rsid w:val="00670DF1"/>
    <w:rsid w:val="00670E0F"/>
    <w:rsid w:val="00671345"/>
    <w:rsid w:val="00671C0D"/>
    <w:rsid w:val="0067206A"/>
    <w:rsid w:val="00672A9B"/>
    <w:rsid w:val="00675884"/>
    <w:rsid w:val="006759A4"/>
    <w:rsid w:val="00681356"/>
    <w:rsid w:val="00681A7B"/>
    <w:rsid w:val="00682042"/>
    <w:rsid w:val="00682901"/>
    <w:rsid w:val="00682EC9"/>
    <w:rsid w:val="00685B3F"/>
    <w:rsid w:val="006907EB"/>
    <w:rsid w:val="00690DB5"/>
    <w:rsid w:val="00692C83"/>
    <w:rsid w:val="00693A2D"/>
    <w:rsid w:val="00694FD5"/>
    <w:rsid w:val="006957CA"/>
    <w:rsid w:val="00695D18"/>
    <w:rsid w:val="00696EE0"/>
    <w:rsid w:val="00697980"/>
    <w:rsid w:val="00697A05"/>
    <w:rsid w:val="006A07FA"/>
    <w:rsid w:val="006A19EF"/>
    <w:rsid w:val="006A43D5"/>
    <w:rsid w:val="006A525B"/>
    <w:rsid w:val="006A55D2"/>
    <w:rsid w:val="006A6114"/>
    <w:rsid w:val="006B0704"/>
    <w:rsid w:val="006B0B3D"/>
    <w:rsid w:val="006B2DAD"/>
    <w:rsid w:val="006B418E"/>
    <w:rsid w:val="006B4D2E"/>
    <w:rsid w:val="006B544F"/>
    <w:rsid w:val="006C01FF"/>
    <w:rsid w:val="006C045F"/>
    <w:rsid w:val="006C4196"/>
    <w:rsid w:val="006C593A"/>
    <w:rsid w:val="006C5FE6"/>
    <w:rsid w:val="006C63B0"/>
    <w:rsid w:val="006C76A2"/>
    <w:rsid w:val="006C792E"/>
    <w:rsid w:val="006D116C"/>
    <w:rsid w:val="006D2855"/>
    <w:rsid w:val="006D295D"/>
    <w:rsid w:val="006D3141"/>
    <w:rsid w:val="006D3451"/>
    <w:rsid w:val="006D4F8C"/>
    <w:rsid w:val="006D6BD8"/>
    <w:rsid w:val="006E0411"/>
    <w:rsid w:val="006E1385"/>
    <w:rsid w:val="006E1579"/>
    <w:rsid w:val="006E1709"/>
    <w:rsid w:val="006E6337"/>
    <w:rsid w:val="006E666F"/>
    <w:rsid w:val="006E7C42"/>
    <w:rsid w:val="006E7E92"/>
    <w:rsid w:val="006F0D11"/>
    <w:rsid w:val="006F11B8"/>
    <w:rsid w:val="006F168A"/>
    <w:rsid w:val="006F2A2F"/>
    <w:rsid w:val="006F4E1F"/>
    <w:rsid w:val="006F5076"/>
    <w:rsid w:val="006F6009"/>
    <w:rsid w:val="006F6043"/>
    <w:rsid w:val="006F61AD"/>
    <w:rsid w:val="006F7A0F"/>
    <w:rsid w:val="006F7D64"/>
    <w:rsid w:val="006F7E5F"/>
    <w:rsid w:val="0070321D"/>
    <w:rsid w:val="007068BA"/>
    <w:rsid w:val="00710B27"/>
    <w:rsid w:val="00711F91"/>
    <w:rsid w:val="007126FC"/>
    <w:rsid w:val="00714024"/>
    <w:rsid w:val="007154C5"/>
    <w:rsid w:val="00715FBD"/>
    <w:rsid w:val="00715FF2"/>
    <w:rsid w:val="00716AB1"/>
    <w:rsid w:val="00716BBA"/>
    <w:rsid w:val="00716DEA"/>
    <w:rsid w:val="00721D63"/>
    <w:rsid w:val="00721F49"/>
    <w:rsid w:val="00722454"/>
    <w:rsid w:val="0072278A"/>
    <w:rsid w:val="007229A6"/>
    <w:rsid w:val="00723D00"/>
    <w:rsid w:val="00724B2B"/>
    <w:rsid w:val="007255DD"/>
    <w:rsid w:val="00727867"/>
    <w:rsid w:val="007313E9"/>
    <w:rsid w:val="0073170A"/>
    <w:rsid w:val="00732C7B"/>
    <w:rsid w:val="00734D2B"/>
    <w:rsid w:val="0073555C"/>
    <w:rsid w:val="00737705"/>
    <w:rsid w:val="007408D4"/>
    <w:rsid w:val="007415D0"/>
    <w:rsid w:val="00741BE0"/>
    <w:rsid w:val="007420AC"/>
    <w:rsid w:val="00742617"/>
    <w:rsid w:val="007428EF"/>
    <w:rsid w:val="00746BE0"/>
    <w:rsid w:val="00746BF0"/>
    <w:rsid w:val="00747614"/>
    <w:rsid w:val="00750B6E"/>
    <w:rsid w:val="00751519"/>
    <w:rsid w:val="007515F3"/>
    <w:rsid w:val="00752FA4"/>
    <w:rsid w:val="00755B21"/>
    <w:rsid w:val="007610EC"/>
    <w:rsid w:val="00762009"/>
    <w:rsid w:val="00763620"/>
    <w:rsid w:val="007661B5"/>
    <w:rsid w:val="00766449"/>
    <w:rsid w:val="007676DA"/>
    <w:rsid w:val="0076784E"/>
    <w:rsid w:val="007678D8"/>
    <w:rsid w:val="007746D7"/>
    <w:rsid w:val="00775256"/>
    <w:rsid w:val="00776204"/>
    <w:rsid w:val="00777C7D"/>
    <w:rsid w:val="00780B25"/>
    <w:rsid w:val="00783AFA"/>
    <w:rsid w:val="00783EBE"/>
    <w:rsid w:val="00785427"/>
    <w:rsid w:val="007858A3"/>
    <w:rsid w:val="00785B20"/>
    <w:rsid w:val="00786322"/>
    <w:rsid w:val="00786E45"/>
    <w:rsid w:val="00790540"/>
    <w:rsid w:val="007931EF"/>
    <w:rsid w:val="00793349"/>
    <w:rsid w:val="00793AD6"/>
    <w:rsid w:val="007968CA"/>
    <w:rsid w:val="00796A9E"/>
    <w:rsid w:val="00796E81"/>
    <w:rsid w:val="007A3CDC"/>
    <w:rsid w:val="007A43FF"/>
    <w:rsid w:val="007A72FA"/>
    <w:rsid w:val="007B32BF"/>
    <w:rsid w:val="007B3918"/>
    <w:rsid w:val="007B3974"/>
    <w:rsid w:val="007B5CB0"/>
    <w:rsid w:val="007B5F5C"/>
    <w:rsid w:val="007C22AE"/>
    <w:rsid w:val="007C3072"/>
    <w:rsid w:val="007C3C1D"/>
    <w:rsid w:val="007C5695"/>
    <w:rsid w:val="007C591C"/>
    <w:rsid w:val="007D07D2"/>
    <w:rsid w:val="007D1250"/>
    <w:rsid w:val="007D199A"/>
    <w:rsid w:val="007D2EBE"/>
    <w:rsid w:val="007D34FC"/>
    <w:rsid w:val="007D38F1"/>
    <w:rsid w:val="007D44E8"/>
    <w:rsid w:val="007D7D57"/>
    <w:rsid w:val="007E175D"/>
    <w:rsid w:val="007E1C07"/>
    <w:rsid w:val="007E53FE"/>
    <w:rsid w:val="007E7D34"/>
    <w:rsid w:val="007F186F"/>
    <w:rsid w:val="007F18E4"/>
    <w:rsid w:val="007F24B6"/>
    <w:rsid w:val="007F3F4F"/>
    <w:rsid w:val="007F4432"/>
    <w:rsid w:val="007F470F"/>
    <w:rsid w:val="007F6BA7"/>
    <w:rsid w:val="007F706C"/>
    <w:rsid w:val="007F7271"/>
    <w:rsid w:val="007F78FC"/>
    <w:rsid w:val="0080002E"/>
    <w:rsid w:val="0080276F"/>
    <w:rsid w:val="00803406"/>
    <w:rsid w:val="00803871"/>
    <w:rsid w:val="00803D94"/>
    <w:rsid w:val="00804106"/>
    <w:rsid w:val="00804D24"/>
    <w:rsid w:val="0080601E"/>
    <w:rsid w:val="0080767F"/>
    <w:rsid w:val="008126CF"/>
    <w:rsid w:val="0081309D"/>
    <w:rsid w:val="00814061"/>
    <w:rsid w:val="008145B0"/>
    <w:rsid w:val="008153F4"/>
    <w:rsid w:val="00816843"/>
    <w:rsid w:val="0081700F"/>
    <w:rsid w:val="008175C2"/>
    <w:rsid w:val="008200F0"/>
    <w:rsid w:val="00821337"/>
    <w:rsid w:val="00821D5F"/>
    <w:rsid w:val="00822829"/>
    <w:rsid w:val="008229BA"/>
    <w:rsid w:val="00822D86"/>
    <w:rsid w:val="00823C07"/>
    <w:rsid w:val="00824151"/>
    <w:rsid w:val="008249D0"/>
    <w:rsid w:val="00825204"/>
    <w:rsid w:val="0083025D"/>
    <w:rsid w:val="0083256E"/>
    <w:rsid w:val="0083285E"/>
    <w:rsid w:val="008332A5"/>
    <w:rsid w:val="00834052"/>
    <w:rsid w:val="0083424F"/>
    <w:rsid w:val="008356D4"/>
    <w:rsid w:val="00837722"/>
    <w:rsid w:val="00841DE5"/>
    <w:rsid w:val="0084220F"/>
    <w:rsid w:val="00845390"/>
    <w:rsid w:val="0084601B"/>
    <w:rsid w:val="0084736B"/>
    <w:rsid w:val="00847AAA"/>
    <w:rsid w:val="00847DAE"/>
    <w:rsid w:val="0085024B"/>
    <w:rsid w:val="00850B60"/>
    <w:rsid w:val="00851F90"/>
    <w:rsid w:val="00853078"/>
    <w:rsid w:val="008606F0"/>
    <w:rsid w:val="00860F1E"/>
    <w:rsid w:val="00860FE4"/>
    <w:rsid w:val="008622DF"/>
    <w:rsid w:val="00863834"/>
    <w:rsid w:val="008639E1"/>
    <w:rsid w:val="00864DEF"/>
    <w:rsid w:val="00864EE2"/>
    <w:rsid w:val="00865382"/>
    <w:rsid w:val="00865489"/>
    <w:rsid w:val="0086553D"/>
    <w:rsid w:val="0087157F"/>
    <w:rsid w:val="008715A6"/>
    <w:rsid w:val="008724D7"/>
    <w:rsid w:val="00872EFA"/>
    <w:rsid w:val="00873768"/>
    <w:rsid w:val="00874FBF"/>
    <w:rsid w:val="00874FEB"/>
    <w:rsid w:val="00876986"/>
    <w:rsid w:val="0087744A"/>
    <w:rsid w:val="00877524"/>
    <w:rsid w:val="0087783E"/>
    <w:rsid w:val="00881B6F"/>
    <w:rsid w:val="00882A4C"/>
    <w:rsid w:val="00882AA4"/>
    <w:rsid w:val="008839C1"/>
    <w:rsid w:val="00883E22"/>
    <w:rsid w:val="00884E43"/>
    <w:rsid w:val="00885B43"/>
    <w:rsid w:val="0088709A"/>
    <w:rsid w:val="00887EC6"/>
    <w:rsid w:val="0089020D"/>
    <w:rsid w:val="0089084C"/>
    <w:rsid w:val="00890B87"/>
    <w:rsid w:val="008911CE"/>
    <w:rsid w:val="008925FB"/>
    <w:rsid w:val="00892642"/>
    <w:rsid w:val="00893409"/>
    <w:rsid w:val="00893D9F"/>
    <w:rsid w:val="00893EB0"/>
    <w:rsid w:val="00896594"/>
    <w:rsid w:val="00897A6F"/>
    <w:rsid w:val="008A2379"/>
    <w:rsid w:val="008A2FD4"/>
    <w:rsid w:val="008A3D00"/>
    <w:rsid w:val="008A4329"/>
    <w:rsid w:val="008A578E"/>
    <w:rsid w:val="008A5D36"/>
    <w:rsid w:val="008A5FEB"/>
    <w:rsid w:val="008A780B"/>
    <w:rsid w:val="008A7FB5"/>
    <w:rsid w:val="008B06A3"/>
    <w:rsid w:val="008B1519"/>
    <w:rsid w:val="008B23F1"/>
    <w:rsid w:val="008B2D5A"/>
    <w:rsid w:val="008B4760"/>
    <w:rsid w:val="008B73BF"/>
    <w:rsid w:val="008B7BCC"/>
    <w:rsid w:val="008C0FC7"/>
    <w:rsid w:val="008C39BD"/>
    <w:rsid w:val="008C50C3"/>
    <w:rsid w:val="008C7042"/>
    <w:rsid w:val="008C7094"/>
    <w:rsid w:val="008C75FC"/>
    <w:rsid w:val="008D11A4"/>
    <w:rsid w:val="008D140E"/>
    <w:rsid w:val="008D2B97"/>
    <w:rsid w:val="008D49A5"/>
    <w:rsid w:val="008D4D97"/>
    <w:rsid w:val="008D608E"/>
    <w:rsid w:val="008D64C5"/>
    <w:rsid w:val="008D6C81"/>
    <w:rsid w:val="008D7FCD"/>
    <w:rsid w:val="008E0E9A"/>
    <w:rsid w:val="008E2CD9"/>
    <w:rsid w:val="008E3010"/>
    <w:rsid w:val="008E6CB2"/>
    <w:rsid w:val="008E6CF0"/>
    <w:rsid w:val="008F103C"/>
    <w:rsid w:val="008F1439"/>
    <w:rsid w:val="008F56AC"/>
    <w:rsid w:val="008F5CF6"/>
    <w:rsid w:val="008F6A34"/>
    <w:rsid w:val="008F7051"/>
    <w:rsid w:val="009012D7"/>
    <w:rsid w:val="00901DCA"/>
    <w:rsid w:val="009033A9"/>
    <w:rsid w:val="0090581D"/>
    <w:rsid w:val="00906846"/>
    <w:rsid w:val="00906DD4"/>
    <w:rsid w:val="009117E5"/>
    <w:rsid w:val="00912CBC"/>
    <w:rsid w:val="00913B44"/>
    <w:rsid w:val="0091439C"/>
    <w:rsid w:val="00916BAC"/>
    <w:rsid w:val="00920572"/>
    <w:rsid w:val="00920867"/>
    <w:rsid w:val="00920BF2"/>
    <w:rsid w:val="009235CE"/>
    <w:rsid w:val="009238CC"/>
    <w:rsid w:val="00923B4A"/>
    <w:rsid w:val="00924C06"/>
    <w:rsid w:val="00925B1E"/>
    <w:rsid w:val="00930EED"/>
    <w:rsid w:val="009328A9"/>
    <w:rsid w:val="009349A9"/>
    <w:rsid w:val="00936C52"/>
    <w:rsid w:val="0093727C"/>
    <w:rsid w:val="009401CE"/>
    <w:rsid w:val="00940390"/>
    <w:rsid w:val="00942713"/>
    <w:rsid w:val="00942C26"/>
    <w:rsid w:val="00943C8B"/>
    <w:rsid w:val="00945274"/>
    <w:rsid w:val="0094534B"/>
    <w:rsid w:val="009477CB"/>
    <w:rsid w:val="0095110A"/>
    <w:rsid w:val="00951A5B"/>
    <w:rsid w:val="0095369E"/>
    <w:rsid w:val="009540CC"/>
    <w:rsid w:val="0095489B"/>
    <w:rsid w:val="00955113"/>
    <w:rsid w:val="00955159"/>
    <w:rsid w:val="00956DF5"/>
    <w:rsid w:val="00957ACC"/>
    <w:rsid w:val="00961158"/>
    <w:rsid w:val="00961872"/>
    <w:rsid w:val="00962848"/>
    <w:rsid w:val="00962ED8"/>
    <w:rsid w:val="009650DE"/>
    <w:rsid w:val="009658A0"/>
    <w:rsid w:val="009658AF"/>
    <w:rsid w:val="00965EBD"/>
    <w:rsid w:val="00966FB9"/>
    <w:rsid w:val="009671CD"/>
    <w:rsid w:val="009705A2"/>
    <w:rsid w:val="009709AD"/>
    <w:rsid w:val="009716F4"/>
    <w:rsid w:val="009722B5"/>
    <w:rsid w:val="009726E4"/>
    <w:rsid w:val="00974AFD"/>
    <w:rsid w:val="009751A9"/>
    <w:rsid w:val="00976D31"/>
    <w:rsid w:val="00980F9C"/>
    <w:rsid w:val="0098246C"/>
    <w:rsid w:val="00982C1D"/>
    <w:rsid w:val="00983165"/>
    <w:rsid w:val="00983916"/>
    <w:rsid w:val="0098397A"/>
    <w:rsid w:val="009842C0"/>
    <w:rsid w:val="00984B37"/>
    <w:rsid w:val="00985F91"/>
    <w:rsid w:val="0098632B"/>
    <w:rsid w:val="0099076B"/>
    <w:rsid w:val="00993432"/>
    <w:rsid w:val="009945C4"/>
    <w:rsid w:val="009947D5"/>
    <w:rsid w:val="0099688F"/>
    <w:rsid w:val="00997BFB"/>
    <w:rsid w:val="009A0044"/>
    <w:rsid w:val="009A0C55"/>
    <w:rsid w:val="009A1390"/>
    <w:rsid w:val="009A1761"/>
    <w:rsid w:val="009A18DD"/>
    <w:rsid w:val="009A3451"/>
    <w:rsid w:val="009A3A7A"/>
    <w:rsid w:val="009A4B83"/>
    <w:rsid w:val="009A4D02"/>
    <w:rsid w:val="009A7348"/>
    <w:rsid w:val="009B01F3"/>
    <w:rsid w:val="009B03D4"/>
    <w:rsid w:val="009B3151"/>
    <w:rsid w:val="009B462C"/>
    <w:rsid w:val="009B59DE"/>
    <w:rsid w:val="009B6EFC"/>
    <w:rsid w:val="009B744D"/>
    <w:rsid w:val="009C0420"/>
    <w:rsid w:val="009C15F3"/>
    <w:rsid w:val="009C3689"/>
    <w:rsid w:val="009C73DE"/>
    <w:rsid w:val="009C7B51"/>
    <w:rsid w:val="009D0338"/>
    <w:rsid w:val="009D33B4"/>
    <w:rsid w:val="009D40F1"/>
    <w:rsid w:val="009D48C5"/>
    <w:rsid w:val="009D521D"/>
    <w:rsid w:val="009D5999"/>
    <w:rsid w:val="009D7A80"/>
    <w:rsid w:val="009E02CC"/>
    <w:rsid w:val="009E07C2"/>
    <w:rsid w:val="009E0E52"/>
    <w:rsid w:val="009E18F2"/>
    <w:rsid w:val="009E1C9E"/>
    <w:rsid w:val="009E2998"/>
    <w:rsid w:val="009E5BF9"/>
    <w:rsid w:val="009E60B5"/>
    <w:rsid w:val="009E622D"/>
    <w:rsid w:val="009E650B"/>
    <w:rsid w:val="009F03C4"/>
    <w:rsid w:val="009F2B1D"/>
    <w:rsid w:val="009F3FFC"/>
    <w:rsid w:val="009F5C61"/>
    <w:rsid w:val="009F72F9"/>
    <w:rsid w:val="00A00025"/>
    <w:rsid w:val="00A00205"/>
    <w:rsid w:val="00A004CC"/>
    <w:rsid w:val="00A00AF0"/>
    <w:rsid w:val="00A00BC9"/>
    <w:rsid w:val="00A00FC6"/>
    <w:rsid w:val="00A02ACD"/>
    <w:rsid w:val="00A03029"/>
    <w:rsid w:val="00A039DD"/>
    <w:rsid w:val="00A03B46"/>
    <w:rsid w:val="00A03E4A"/>
    <w:rsid w:val="00A04556"/>
    <w:rsid w:val="00A059FC"/>
    <w:rsid w:val="00A12EE0"/>
    <w:rsid w:val="00A143E6"/>
    <w:rsid w:val="00A14B5A"/>
    <w:rsid w:val="00A14FB4"/>
    <w:rsid w:val="00A15FAD"/>
    <w:rsid w:val="00A16473"/>
    <w:rsid w:val="00A2017F"/>
    <w:rsid w:val="00A26FEE"/>
    <w:rsid w:val="00A30F4F"/>
    <w:rsid w:val="00A310DA"/>
    <w:rsid w:val="00A312C3"/>
    <w:rsid w:val="00A33AC8"/>
    <w:rsid w:val="00A34AFC"/>
    <w:rsid w:val="00A3567F"/>
    <w:rsid w:val="00A361D8"/>
    <w:rsid w:val="00A3753D"/>
    <w:rsid w:val="00A37698"/>
    <w:rsid w:val="00A41197"/>
    <w:rsid w:val="00A41406"/>
    <w:rsid w:val="00A418F3"/>
    <w:rsid w:val="00A41ED3"/>
    <w:rsid w:val="00A44BA3"/>
    <w:rsid w:val="00A459AF"/>
    <w:rsid w:val="00A4671C"/>
    <w:rsid w:val="00A50675"/>
    <w:rsid w:val="00A51F1B"/>
    <w:rsid w:val="00A53355"/>
    <w:rsid w:val="00A545AC"/>
    <w:rsid w:val="00A55914"/>
    <w:rsid w:val="00A55A9A"/>
    <w:rsid w:val="00A55B71"/>
    <w:rsid w:val="00A55D88"/>
    <w:rsid w:val="00A57AFC"/>
    <w:rsid w:val="00A621C7"/>
    <w:rsid w:val="00A66389"/>
    <w:rsid w:val="00A67F83"/>
    <w:rsid w:val="00A713DD"/>
    <w:rsid w:val="00A719BF"/>
    <w:rsid w:val="00A75504"/>
    <w:rsid w:val="00A75CE9"/>
    <w:rsid w:val="00A81D82"/>
    <w:rsid w:val="00A83D24"/>
    <w:rsid w:val="00A866C9"/>
    <w:rsid w:val="00A87A45"/>
    <w:rsid w:val="00A9118F"/>
    <w:rsid w:val="00A91E2A"/>
    <w:rsid w:val="00A93E33"/>
    <w:rsid w:val="00A941B4"/>
    <w:rsid w:val="00A95C5C"/>
    <w:rsid w:val="00AA38C1"/>
    <w:rsid w:val="00AA42FA"/>
    <w:rsid w:val="00AA43CF"/>
    <w:rsid w:val="00AA4738"/>
    <w:rsid w:val="00AA528A"/>
    <w:rsid w:val="00AB107D"/>
    <w:rsid w:val="00AB15B9"/>
    <w:rsid w:val="00AB23AB"/>
    <w:rsid w:val="00AB3129"/>
    <w:rsid w:val="00AB6970"/>
    <w:rsid w:val="00AC1939"/>
    <w:rsid w:val="00AC1FD9"/>
    <w:rsid w:val="00AC2A44"/>
    <w:rsid w:val="00AC2D38"/>
    <w:rsid w:val="00AC374C"/>
    <w:rsid w:val="00AC37C9"/>
    <w:rsid w:val="00AC71E3"/>
    <w:rsid w:val="00AC7C05"/>
    <w:rsid w:val="00AD0724"/>
    <w:rsid w:val="00AD167C"/>
    <w:rsid w:val="00AD17C7"/>
    <w:rsid w:val="00AD4041"/>
    <w:rsid w:val="00AD5462"/>
    <w:rsid w:val="00AD647B"/>
    <w:rsid w:val="00AD6C3C"/>
    <w:rsid w:val="00AD784C"/>
    <w:rsid w:val="00AE302B"/>
    <w:rsid w:val="00AE3533"/>
    <w:rsid w:val="00AE6734"/>
    <w:rsid w:val="00AE6FD8"/>
    <w:rsid w:val="00AF185D"/>
    <w:rsid w:val="00AF1E9F"/>
    <w:rsid w:val="00AF2153"/>
    <w:rsid w:val="00AF24B8"/>
    <w:rsid w:val="00AF3F55"/>
    <w:rsid w:val="00AF5D7F"/>
    <w:rsid w:val="00B0248D"/>
    <w:rsid w:val="00B04049"/>
    <w:rsid w:val="00B04B07"/>
    <w:rsid w:val="00B04B99"/>
    <w:rsid w:val="00B05035"/>
    <w:rsid w:val="00B06421"/>
    <w:rsid w:val="00B077F8"/>
    <w:rsid w:val="00B14390"/>
    <w:rsid w:val="00B143F5"/>
    <w:rsid w:val="00B14D91"/>
    <w:rsid w:val="00B16846"/>
    <w:rsid w:val="00B16A21"/>
    <w:rsid w:val="00B16BE5"/>
    <w:rsid w:val="00B16C2C"/>
    <w:rsid w:val="00B178B1"/>
    <w:rsid w:val="00B20BA3"/>
    <w:rsid w:val="00B22132"/>
    <w:rsid w:val="00B23A5E"/>
    <w:rsid w:val="00B24BD8"/>
    <w:rsid w:val="00B2581D"/>
    <w:rsid w:val="00B259DF"/>
    <w:rsid w:val="00B33893"/>
    <w:rsid w:val="00B35A0D"/>
    <w:rsid w:val="00B372E2"/>
    <w:rsid w:val="00B4258F"/>
    <w:rsid w:val="00B42C19"/>
    <w:rsid w:val="00B44B1F"/>
    <w:rsid w:val="00B44C20"/>
    <w:rsid w:val="00B469A8"/>
    <w:rsid w:val="00B472D7"/>
    <w:rsid w:val="00B50B75"/>
    <w:rsid w:val="00B51208"/>
    <w:rsid w:val="00B51688"/>
    <w:rsid w:val="00B534AB"/>
    <w:rsid w:val="00B53D42"/>
    <w:rsid w:val="00B54833"/>
    <w:rsid w:val="00B54BF8"/>
    <w:rsid w:val="00B54FC6"/>
    <w:rsid w:val="00B5762B"/>
    <w:rsid w:val="00B57886"/>
    <w:rsid w:val="00B60216"/>
    <w:rsid w:val="00B6045F"/>
    <w:rsid w:val="00B61836"/>
    <w:rsid w:val="00B6257F"/>
    <w:rsid w:val="00B64141"/>
    <w:rsid w:val="00B64E72"/>
    <w:rsid w:val="00B65E7B"/>
    <w:rsid w:val="00B66D18"/>
    <w:rsid w:val="00B71C17"/>
    <w:rsid w:val="00B71C69"/>
    <w:rsid w:val="00B767AC"/>
    <w:rsid w:val="00B77913"/>
    <w:rsid w:val="00B77BDE"/>
    <w:rsid w:val="00B81552"/>
    <w:rsid w:val="00B81E9A"/>
    <w:rsid w:val="00B824FB"/>
    <w:rsid w:val="00B82646"/>
    <w:rsid w:val="00B8363E"/>
    <w:rsid w:val="00B878F4"/>
    <w:rsid w:val="00B91DDB"/>
    <w:rsid w:val="00B932B2"/>
    <w:rsid w:val="00B9505E"/>
    <w:rsid w:val="00B95673"/>
    <w:rsid w:val="00B95FBB"/>
    <w:rsid w:val="00B96412"/>
    <w:rsid w:val="00B97359"/>
    <w:rsid w:val="00B97A8F"/>
    <w:rsid w:val="00BA0A93"/>
    <w:rsid w:val="00BA4E58"/>
    <w:rsid w:val="00BA7074"/>
    <w:rsid w:val="00BA7C70"/>
    <w:rsid w:val="00BB0FE6"/>
    <w:rsid w:val="00BB2299"/>
    <w:rsid w:val="00BB2561"/>
    <w:rsid w:val="00BB3652"/>
    <w:rsid w:val="00BB492C"/>
    <w:rsid w:val="00BB4B7F"/>
    <w:rsid w:val="00BB6665"/>
    <w:rsid w:val="00BB7829"/>
    <w:rsid w:val="00BC08AD"/>
    <w:rsid w:val="00BC1873"/>
    <w:rsid w:val="00BC3793"/>
    <w:rsid w:val="00BC37AC"/>
    <w:rsid w:val="00BC3845"/>
    <w:rsid w:val="00BC4C46"/>
    <w:rsid w:val="00BC638B"/>
    <w:rsid w:val="00BC68BD"/>
    <w:rsid w:val="00BC6B7F"/>
    <w:rsid w:val="00BC6F89"/>
    <w:rsid w:val="00BC71FE"/>
    <w:rsid w:val="00BC7BC5"/>
    <w:rsid w:val="00BD05CE"/>
    <w:rsid w:val="00BD1457"/>
    <w:rsid w:val="00BD250C"/>
    <w:rsid w:val="00BD506D"/>
    <w:rsid w:val="00BD59BE"/>
    <w:rsid w:val="00BD734F"/>
    <w:rsid w:val="00BD7B5E"/>
    <w:rsid w:val="00BE1276"/>
    <w:rsid w:val="00BE1FD6"/>
    <w:rsid w:val="00BE2AD9"/>
    <w:rsid w:val="00BE3335"/>
    <w:rsid w:val="00BE4C5C"/>
    <w:rsid w:val="00BE6C68"/>
    <w:rsid w:val="00BE6EC3"/>
    <w:rsid w:val="00BF1315"/>
    <w:rsid w:val="00BF1DB7"/>
    <w:rsid w:val="00BF27FE"/>
    <w:rsid w:val="00BF337A"/>
    <w:rsid w:val="00BF3ACA"/>
    <w:rsid w:val="00BF4664"/>
    <w:rsid w:val="00BF6F64"/>
    <w:rsid w:val="00BF7E6F"/>
    <w:rsid w:val="00C00708"/>
    <w:rsid w:val="00C00C47"/>
    <w:rsid w:val="00C017F0"/>
    <w:rsid w:val="00C0342B"/>
    <w:rsid w:val="00C043B3"/>
    <w:rsid w:val="00C05766"/>
    <w:rsid w:val="00C079AB"/>
    <w:rsid w:val="00C10E61"/>
    <w:rsid w:val="00C11AE5"/>
    <w:rsid w:val="00C12091"/>
    <w:rsid w:val="00C12B72"/>
    <w:rsid w:val="00C12EF8"/>
    <w:rsid w:val="00C140B9"/>
    <w:rsid w:val="00C14787"/>
    <w:rsid w:val="00C1596D"/>
    <w:rsid w:val="00C15B8D"/>
    <w:rsid w:val="00C17010"/>
    <w:rsid w:val="00C1702E"/>
    <w:rsid w:val="00C20562"/>
    <w:rsid w:val="00C20F54"/>
    <w:rsid w:val="00C215C3"/>
    <w:rsid w:val="00C22933"/>
    <w:rsid w:val="00C23A96"/>
    <w:rsid w:val="00C249C6"/>
    <w:rsid w:val="00C2571C"/>
    <w:rsid w:val="00C263A7"/>
    <w:rsid w:val="00C2775C"/>
    <w:rsid w:val="00C32CC1"/>
    <w:rsid w:val="00C33AEF"/>
    <w:rsid w:val="00C36783"/>
    <w:rsid w:val="00C406D4"/>
    <w:rsid w:val="00C426EC"/>
    <w:rsid w:val="00C42FBB"/>
    <w:rsid w:val="00C4357E"/>
    <w:rsid w:val="00C45882"/>
    <w:rsid w:val="00C45CF2"/>
    <w:rsid w:val="00C4673A"/>
    <w:rsid w:val="00C51902"/>
    <w:rsid w:val="00C52A86"/>
    <w:rsid w:val="00C5457A"/>
    <w:rsid w:val="00C558B5"/>
    <w:rsid w:val="00C572C7"/>
    <w:rsid w:val="00C60313"/>
    <w:rsid w:val="00C60A4C"/>
    <w:rsid w:val="00C6483C"/>
    <w:rsid w:val="00C64AE9"/>
    <w:rsid w:val="00C65EBF"/>
    <w:rsid w:val="00C66303"/>
    <w:rsid w:val="00C671B9"/>
    <w:rsid w:val="00C70CFF"/>
    <w:rsid w:val="00C718FE"/>
    <w:rsid w:val="00C74778"/>
    <w:rsid w:val="00C750E7"/>
    <w:rsid w:val="00C75E48"/>
    <w:rsid w:val="00C779B4"/>
    <w:rsid w:val="00C80334"/>
    <w:rsid w:val="00C8656B"/>
    <w:rsid w:val="00C86925"/>
    <w:rsid w:val="00C86BD0"/>
    <w:rsid w:val="00C86CEC"/>
    <w:rsid w:val="00C87474"/>
    <w:rsid w:val="00C8773D"/>
    <w:rsid w:val="00C87ABB"/>
    <w:rsid w:val="00C87D72"/>
    <w:rsid w:val="00C91831"/>
    <w:rsid w:val="00C93DA8"/>
    <w:rsid w:val="00C94B3B"/>
    <w:rsid w:val="00C94B51"/>
    <w:rsid w:val="00C953DF"/>
    <w:rsid w:val="00C95F4B"/>
    <w:rsid w:val="00C963E6"/>
    <w:rsid w:val="00CA425C"/>
    <w:rsid w:val="00CA46B5"/>
    <w:rsid w:val="00CA4D21"/>
    <w:rsid w:val="00CB50CF"/>
    <w:rsid w:val="00CB706A"/>
    <w:rsid w:val="00CB73E4"/>
    <w:rsid w:val="00CC0410"/>
    <w:rsid w:val="00CC0EA1"/>
    <w:rsid w:val="00CC25C9"/>
    <w:rsid w:val="00CC3DB0"/>
    <w:rsid w:val="00CC4194"/>
    <w:rsid w:val="00CC43C5"/>
    <w:rsid w:val="00CC632E"/>
    <w:rsid w:val="00CC7DEE"/>
    <w:rsid w:val="00CD08F3"/>
    <w:rsid w:val="00CD097A"/>
    <w:rsid w:val="00CD0D13"/>
    <w:rsid w:val="00CD12A0"/>
    <w:rsid w:val="00CD131A"/>
    <w:rsid w:val="00CD1B49"/>
    <w:rsid w:val="00CD2131"/>
    <w:rsid w:val="00CD3A2D"/>
    <w:rsid w:val="00CD5401"/>
    <w:rsid w:val="00CE0CD1"/>
    <w:rsid w:val="00CE2709"/>
    <w:rsid w:val="00CE2D64"/>
    <w:rsid w:val="00CE4EF7"/>
    <w:rsid w:val="00CE6198"/>
    <w:rsid w:val="00CE6ADC"/>
    <w:rsid w:val="00CE6CD6"/>
    <w:rsid w:val="00CE6D31"/>
    <w:rsid w:val="00CF04DB"/>
    <w:rsid w:val="00CF0818"/>
    <w:rsid w:val="00CF08FD"/>
    <w:rsid w:val="00CF0A40"/>
    <w:rsid w:val="00CF6230"/>
    <w:rsid w:val="00CF746D"/>
    <w:rsid w:val="00D017FC"/>
    <w:rsid w:val="00D0187D"/>
    <w:rsid w:val="00D021D9"/>
    <w:rsid w:val="00D0226A"/>
    <w:rsid w:val="00D02920"/>
    <w:rsid w:val="00D05780"/>
    <w:rsid w:val="00D05D7B"/>
    <w:rsid w:val="00D0614D"/>
    <w:rsid w:val="00D06B83"/>
    <w:rsid w:val="00D07818"/>
    <w:rsid w:val="00D10791"/>
    <w:rsid w:val="00D13147"/>
    <w:rsid w:val="00D1492F"/>
    <w:rsid w:val="00D149FC"/>
    <w:rsid w:val="00D17065"/>
    <w:rsid w:val="00D17E97"/>
    <w:rsid w:val="00D2037F"/>
    <w:rsid w:val="00D21865"/>
    <w:rsid w:val="00D226B1"/>
    <w:rsid w:val="00D2298B"/>
    <w:rsid w:val="00D22A27"/>
    <w:rsid w:val="00D260C3"/>
    <w:rsid w:val="00D26809"/>
    <w:rsid w:val="00D3082B"/>
    <w:rsid w:val="00D31C95"/>
    <w:rsid w:val="00D33BDA"/>
    <w:rsid w:val="00D345D8"/>
    <w:rsid w:val="00D35E32"/>
    <w:rsid w:val="00D36162"/>
    <w:rsid w:val="00D40B7F"/>
    <w:rsid w:val="00D40EBC"/>
    <w:rsid w:val="00D4281B"/>
    <w:rsid w:val="00D42E36"/>
    <w:rsid w:val="00D4523E"/>
    <w:rsid w:val="00D459CF"/>
    <w:rsid w:val="00D463FF"/>
    <w:rsid w:val="00D47D97"/>
    <w:rsid w:val="00D50104"/>
    <w:rsid w:val="00D5061D"/>
    <w:rsid w:val="00D5082E"/>
    <w:rsid w:val="00D51312"/>
    <w:rsid w:val="00D51E1C"/>
    <w:rsid w:val="00D524D6"/>
    <w:rsid w:val="00D52FF2"/>
    <w:rsid w:val="00D5715A"/>
    <w:rsid w:val="00D573AE"/>
    <w:rsid w:val="00D60BCB"/>
    <w:rsid w:val="00D61629"/>
    <w:rsid w:val="00D61F0D"/>
    <w:rsid w:val="00D639E1"/>
    <w:rsid w:val="00D63AA4"/>
    <w:rsid w:val="00D70A42"/>
    <w:rsid w:val="00D710D7"/>
    <w:rsid w:val="00D71687"/>
    <w:rsid w:val="00D71EA7"/>
    <w:rsid w:val="00D7405D"/>
    <w:rsid w:val="00D7466E"/>
    <w:rsid w:val="00D74813"/>
    <w:rsid w:val="00D75174"/>
    <w:rsid w:val="00D766BA"/>
    <w:rsid w:val="00D7709E"/>
    <w:rsid w:val="00D821E3"/>
    <w:rsid w:val="00D82784"/>
    <w:rsid w:val="00D841CA"/>
    <w:rsid w:val="00D90199"/>
    <w:rsid w:val="00D90768"/>
    <w:rsid w:val="00D9159D"/>
    <w:rsid w:val="00D932F8"/>
    <w:rsid w:val="00D96543"/>
    <w:rsid w:val="00D97C49"/>
    <w:rsid w:val="00D97CDA"/>
    <w:rsid w:val="00DA06F4"/>
    <w:rsid w:val="00DA30BC"/>
    <w:rsid w:val="00DA3E24"/>
    <w:rsid w:val="00DA5E91"/>
    <w:rsid w:val="00DA69C2"/>
    <w:rsid w:val="00DA6D70"/>
    <w:rsid w:val="00DA7676"/>
    <w:rsid w:val="00DB1831"/>
    <w:rsid w:val="00DB2E08"/>
    <w:rsid w:val="00DB3B7C"/>
    <w:rsid w:val="00DB6050"/>
    <w:rsid w:val="00DB71AF"/>
    <w:rsid w:val="00DC2C34"/>
    <w:rsid w:val="00DC2E98"/>
    <w:rsid w:val="00DC4318"/>
    <w:rsid w:val="00DC5359"/>
    <w:rsid w:val="00DC7926"/>
    <w:rsid w:val="00DD13F7"/>
    <w:rsid w:val="00DD25AB"/>
    <w:rsid w:val="00DD2A76"/>
    <w:rsid w:val="00DD37DD"/>
    <w:rsid w:val="00DD7824"/>
    <w:rsid w:val="00DE200C"/>
    <w:rsid w:val="00DE2C87"/>
    <w:rsid w:val="00DE2F05"/>
    <w:rsid w:val="00DE3F07"/>
    <w:rsid w:val="00DE459A"/>
    <w:rsid w:val="00DE51A1"/>
    <w:rsid w:val="00DE681C"/>
    <w:rsid w:val="00DE7293"/>
    <w:rsid w:val="00DE7D9C"/>
    <w:rsid w:val="00DF08D7"/>
    <w:rsid w:val="00DF13E1"/>
    <w:rsid w:val="00DF27DA"/>
    <w:rsid w:val="00DF3D9C"/>
    <w:rsid w:val="00DF4DBE"/>
    <w:rsid w:val="00DF5DAC"/>
    <w:rsid w:val="00DF636F"/>
    <w:rsid w:val="00E01169"/>
    <w:rsid w:val="00E01BFE"/>
    <w:rsid w:val="00E03992"/>
    <w:rsid w:val="00E050E2"/>
    <w:rsid w:val="00E05B75"/>
    <w:rsid w:val="00E060E6"/>
    <w:rsid w:val="00E1312F"/>
    <w:rsid w:val="00E13131"/>
    <w:rsid w:val="00E15CDC"/>
    <w:rsid w:val="00E16215"/>
    <w:rsid w:val="00E165AF"/>
    <w:rsid w:val="00E2127E"/>
    <w:rsid w:val="00E227D5"/>
    <w:rsid w:val="00E22BB3"/>
    <w:rsid w:val="00E27166"/>
    <w:rsid w:val="00E275D4"/>
    <w:rsid w:val="00E31C8D"/>
    <w:rsid w:val="00E32DFC"/>
    <w:rsid w:val="00E35696"/>
    <w:rsid w:val="00E40820"/>
    <w:rsid w:val="00E42BB4"/>
    <w:rsid w:val="00E45016"/>
    <w:rsid w:val="00E4658F"/>
    <w:rsid w:val="00E52AFD"/>
    <w:rsid w:val="00E52D90"/>
    <w:rsid w:val="00E53473"/>
    <w:rsid w:val="00E54A67"/>
    <w:rsid w:val="00E574A7"/>
    <w:rsid w:val="00E61486"/>
    <w:rsid w:val="00E61C0D"/>
    <w:rsid w:val="00E622FF"/>
    <w:rsid w:val="00E63EB4"/>
    <w:rsid w:val="00E654E9"/>
    <w:rsid w:val="00E66160"/>
    <w:rsid w:val="00E663C6"/>
    <w:rsid w:val="00E6737B"/>
    <w:rsid w:val="00E6759B"/>
    <w:rsid w:val="00E7101D"/>
    <w:rsid w:val="00E71329"/>
    <w:rsid w:val="00E73040"/>
    <w:rsid w:val="00E73D12"/>
    <w:rsid w:val="00E759DE"/>
    <w:rsid w:val="00E7717C"/>
    <w:rsid w:val="00E77701"/>
    <w:rsid w:val="00E80168"/>
    <w:rsid w:val="00E8110E"/>
    <w:rsid w:val="00E8363B"/>
    <w:rsid w:val="00E84966"/>
    <w:rsid w:val="00E85537"/>
    <w:rsid w:val="00E85609"/>
    <w:rsid w:val="00E877A9"/>
    <w:rsid w:val="00E90964"/>
    <w:rsid w:val="00E92383"/>
    <w:rsid w:val="00E95A1C"/>
    <w:rsid w:val="00E95BEB"/>
    <w:rsid w:val="00E973DB"/>
    <w:rsid w:val="00EA1B3A"/>
    <w:rsid w:val="00EA2109"/>
    <w:rsid w:val="00EA3297"/>
    <w:rsid w:val="00EA5203"/>
    <w:rsid w:val="00EA67D6"/>
    <w:rsid w:val="00EA6DA2"/>
    <w:rsid w:val="00EA7498"/>
    <w:rsid w:val="00EA77FB"/>
    <w:rsid w:val="00EB057A"/>
    <w:rsid w:val="00EB139A"/>
    <w:rsid w:val="00EB24B3"/>
    <w:rsid w:val="00EB4237"/>
    <w:rsid w:val="00EB529D"/>
    <w:rsid w:val="00EB57A1"/>
    <w:rsid w:val="00EB60ED"/>
    <w:rsid w:val="00EB68C8"/>
    <w:rsid w:val="00EB7507"/>
    <w:rsid w:val="00EB7C01"/>
    <w:rsid w:val="00EC4213"/>
    <w:rsid w:val="00ED031A"/>
    <w:rsid w:val="00ED035A"/>
    <w:rsid w:val="00ED0820"/>
    <w:rsid w:val="00ED1EED"/>
    <w:rsid w:val="00ED3EEC"/>
    <w:rsid w:val="00ED4715"/>
    <w:rsid w:val="00ED482C"/>
    <w:rsid w:val="00ED489E"/>
    <w:rsid w:val="00ED4D4E"/>
    <w:rsid w:val="00ED5B35"/>
    <w:rsid w:val="00EE0C77"/>
    <w:rsid w:val="00EE174E"/>
    <w:rsid w:val="00EE27C7"/>
    <w:rsid w:val="00EE4481"/>
    <w:rsid w:val="00EE4E54"/>
    <w:rsid w:val="00EE605D"/>
    <w:rsid w:val="00EE645B"/>
    <w:rsid w:val="00EE6DA9"/>
    <w:rsid w:val="00EF16E6"/>
    <w:rsid w:val="00EF1FA2"/>
    <w:rsid w:val="00EF31E5"/>
    <w:rsid w:val="00EF3BBD"/>
    <w:rsid w:val="00EF3DD2"/>
    <w:rsid w:val="00EF4334"/>
    <w:rsid w:val="00EF49A4"/>
    <w:rsid w:val="00F00007"/>
    <w:rsid w:val="00F00453"/>
    <w:rsid w:val="00F00EA6"/>
    <w:rsid w:val="00F027C2"/>
    <w:rsid w:val="00F02A4B"/>
    <w:rsid w:val="00F0581D"/>
    <w:rsid w:val="00F07A10"/>
    <w:rsid w:val="00F10EFF"/>
    <w:rsid w:val="00F122AB"/>
    <w:rsid w:val="00F12399"/>
    <w:rsid w:val="00F1318D"/>
    <w:rsid w:val="00F16760"/>
    <w:rsid w:val="00F177BF"/>
    <w:rsid w:val="00F201BB"/>
    <w:rsid w:val="00F2085E"/>
    <w:rsid w:val="00F219B0"/>
    <w:rsid w:val="00F26145"/>
    <w:rsid w:val="00F35AE3"/>
    <w:rsid w:val="00F35D0D"/>
    <w:rsid w:val="00F36A6C"/>
    <w:rsid w:val="00F42E67"/>
    <w:rsid w:val="00F42E6A"/>
    <w:rsid w:val="00F43211"/>
    <w:rsid w:val="00F43672"/>
    <w:rsid w:val="00F436BB"/>
    <w:rsid w:val="00F453D1"/>
    <w:rsid w:val="00F454BD"/>
    <w:rsid w:val="00F45FAA"/>
    <w:rsid w:val="00F464AA"/>
    <w:rsid w:val="00F47145"/>
    <w:rsid w:val="00F51989"/>
    <w:rsid w:val="00F5214E"/>
    <w:rsid w:val="00F545BF"/>
    <w:rsid w:val="00F6468E"/>
    <w:rsid w:val="00F649A6"/>
    <w:rsid w:val="00F65B4F"/>
    <w:rsid w:val="00F71706"/>
    <w:rsid w:val="00F71B56"/>
    <w:rsid w:val="00F72DA8"/>
    <w:rsid w:val="00F72F30"/>
    <w:rsid w:val="00F72FA8"/>
    <w:rsid w:val="00F73BE9"/>
    <w:rsid w:val="00F7624B"/>
    <w:rsid w:val="00F76477"/>
    <w:rsid w:val="00F77C17"/>
    <w:rsid w:val="00F80A30"/>
    <w:rsid w:val="00F828FB"/>
    <w:rsid w:val="00F82A4D"/>
    <w:rsid w:val="00F83134"/>
    <w:rsid w:val="00F832C8"/>
    <w:rsid w:val="00F840E8"/>
    <w:rsid w:val="00F85A2A"/>
    <w:rsid w:val="00F85A96"/>
    <w:rsid w:val="00F86550"/>
    <w:rsid w:val="00F873B3"/>
    <w:rsid w:val="00F93B51"/>
    <w:rsid w:val="00F93FD9"/>
    <w:rsid w:val="00F96372"/>
    <w:rsid w:val="00FA00BE"/>
    <w:rsid w:val="00FA095C"/>
    <w:rsid w:val="00FA33FE"/>
    <w:rsid w:val="00FA42B9"/>
    <w:rsid w:val="00FA6210"/>
    <w:rsid w:val="00FA6641"/>
    <w:rsid w:val="00FA755A"/>
    <w:rsid w:val="00FB034F"/>
    <w:rsid w:val="00FB0560"/>
    <w:rsid w:val="00FB28BA"/>
    <w:rsid w:val="00FB2B0F"/>
    <w:rsid w:val="00FB3CF8"/>
    <w:rsid w:val="00FB4F6B"/>
    <w:rsid w:val="00FB5FE1"/>
    <w:rsid w:val="00FC0E8D"/>
    <w:rsid w:val="00FC31D7"/>
    <w:rsid w:val="00FC46EF"/>
    <w:rsid w:val="00FC644A"/>
    <w:rsid w:val="00FC724C"/>
    <w:rsid w:val="00FD1F22"/>
    <w:rsid w:val="00FD31B3"/>
    <w:rsid w:val="00FD4204"/>
    <w:rsid w:val="00FD420B"/>
    <w:rsid w:val="00FD4983"/>
    <w:rsid w:val="00FD5BEA"/>
    <w:rsid w:val="00FD6595"/>
    <w:rsid w:val="00FD6A72"/>
    <w:rsid w:val="00FE0ACD"/>
    <w:rsid w:val="00FE2E61"/>
    <w:rsid w:val="00FE50FA"/>
    <w:rsid w:val="00FE5144"/>
    <w:rsid w:val="00FE55B9"/>
    <w:rsid w:val="00FE5B60"/>
    <w:rsid w:val="00FE6202"/>
    <w:rsid w:val="00FF2912"/>
    <w:rsid w:val="00FF3CCB"/>
    <w:rsid w:val="00FF4585"/>
    <w:rsid w:val="00FF57B5"/>
    <w:rsid w:val="00FF5A38"/>
    <w:rsid w:val="00FF6212"/>
    <w:rsid w:val="1D3839C6"/>
    <w:rsid w:val="1FDA8E77"/>
    <w:rsid w:val="25A3FB11"/>
    <w:rsid w:val="53421612"/>
    <w:rsid w:val="559E3301"/>
    <w:rsid w:val="64971CCA"/>
    <w:rsid w:val="6ED93A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65F168C-D8EB-415E-A969-EEB5A7A6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194C0C"/>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13152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13152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13152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194C0C"/>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94C0C"/>
    <w:pPr>
      <w:numPr>
        <w:numId w:val="1"/>
      </w:numPr>
      <w:ind w:left="1276"/>
    </w:pPr>
    <w:rPr>
      <w:bCs/>
    </w:rPr>
  </w:style>
  <w:style w:type="paragraph" w:customStyle="1" w:styleId="Bulletlist2">
    <w:name w:val="Bullet list 2"/>
    <w:basedOn w:val="Bulletlist1"/>
    <w:uiPriority w:val="1"/>
    <w:qFormat/>
    <w:rsid w:val="00194C0C"/>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194C0C"/>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194C0C"/>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13152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13152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131529"/>
    <w:rPr>
      <w:rFonts w:ascii="Arial" w:eastAsia="Times New Roman" w:hAnsi="Arial"/>
      <w:sz w:val="22"/>
      <w:szCs w:val="22"/>
      <w:lang w:eastAsia="en-US"/>
    </w:rPr>
  </w:style>
  <w:style w:type="paragraph" w:customStyle="1" w:styleId="TSHeadingNumbered1">
    <w:name w:val="TS Heading Numbered 1."/>
    <w:basedOn w:val="Normal"/>
    <w:rsid w:val="00131529"/>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131529"/>
  </w:style>
  <w:style w:type="paragraph" w:customStyle="1" w:styleId="TSHeadingNumbered111">
    <w:name w:val="TS Heading Numbered 1.1.1"/>
    <w:basedOn w:val="TSHeadingNumbered1"/>
    <w:rsid w:val="00131529"/>
  </w:style>
  <w:style w:type="paragraph" w:customStyle="1" w:styleId="TSHeadingNumbered1111">
    <w:name w:val="TS Heading Numbered 1.1.1.1"/>
    <w:basedOn w:val="TSHeadingNumbered1"/>
    <w:rsid w:val="00131529"/>
  </w:style>
  <w:style w:type="paragraph" w:customStyle="1" w:styleId="TSNumberedParagraph11">
    <w:name w:val="TS Numbered Paragraph 1.1"/>
    <w:basedOn w:val="TSHeadingNumbered11"/>
    <w:rsid w:val="00131529"/>
    <w:pPr>
      <w:numPr>
        <w:ilvl w:val="1"/>
      </w:numPr>
      <w:tabs>
        <w:tab w:val="num" w:pos="-31680"/>
      </w:tabs>
      <w:ind w:left="720" w:hanging="720"/>
    </w:pPr>
    <w:rPr>
      <w:rFonts w:ascii="Arial" w:hAnsi="Arial"/>
      <w:b w:val="0"/>
      <w:caps w:val="0"/>
    </w:rPr>
  </w:style>
  <w:style w:type="paragraph" w:styleId="Revision">
    <w:name w:val="Revision"/>
    <w:hidden/>
    <w:uiPriority w:val="99"/>
    <w:semiHidden/>
    <w:rsid w:val="00351AAC"/>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6E7E9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E7E92"/>
    <w:rPr>
      <w:rFonts w:ascii="Arial" w:eastAsiaTheme="minorHAnsi" w:hAnsi="Arial" w:cstheme="minorBidi"/>
      <w:b/>
      <w:bCs/>
      <w:lang w:eastAsia="en-US" w:bidi="he-IL"/>
    </w:rPr>
  </w:style>
  <w:style w:type="paragraph" w:customStyle="1" w:styleId="Style55390657">
    <w:name w:val="Style55390657"/>
    <w:rsid w:val="00D07818"/>
    <w:pPr>
      <w:autoSpaceDE w:val="0"/>
      <w:autoSpaceDN w:val="0"/>
      <w:adjustRightInd w:val="0"/>
      <w:jc w:val="both"/>
    </w:pPr>
    <w:rPr>
      <w:rFonts w:ascii="Arial" w:eastAsia="Times New Roman" w:hAnsi="Arial" w:cs="Times New Roman"/>
      <w:sz w:val="24"/>
      <w:szCs w:val="24"/>
      <w:lang w:val="en-US" w:eastAsia="en-US"/>
    </w:rPr>
  </w:style>
  <w:style w:type="paragraph" w:customStyle="1" w:styleId="NumberedParagraph">
    <w:name w:val="Numbered Paragraph"/>
    <w:basedOn w:val="Normal"/>
    <w:link w:val="NumberedParagraphChar"/>
    <w:qFormat/>
    <w:rsid w:val="00F82A4D"/>
    <w:pPr>
      <w:tabs>
        <w:tab w:val="num" w:pos="-31680"/>
      </w:tabs>
      <w:spacing w:line="240" w:lineRule="auto"/>
      <w:ind w:left="720" w:hanging="720"/>
      <w:jc w:val="both"/>
    </w:pPr>
    <w:rPr>
      <w:rFonts w:eastAsia="Times New Roman"/>
      <w:sz w:val="22"/>
      <w:lang w:bidi="ar-SA"/>
    </w:rPr>
  </w:style>
  <w:style w:type="paragraph" w:customStyle="1" w:styleId="NumberedHeading">
    <w:name w:val="Numbered Heading"/>
    <w:basedOn w:val="Normal"/>
    <w:rsid w:val="001D7920"/>
    <w:pPr>
      <w:keepNext/>
      <w:tabs>
        <w:tab w:val="num" w:pos="-31680"/>
      </w:tabs>
      <w:overflowPunct w:val="0"/>
      <w:autoSpaceDE w:val="0"/>
      <w:autoSpaceDN w:val="0"/>
      <w:adjustRightInd w:val="0"/>
      <w:spacing w:line="240" w:lineRule="auto"/>
      <w:ind w:left="720" w:hanging="720"/>
      <w:textAlignment w:val="baseline"/>
    </w:pPr>
    <w:rPr>
      <w:rFonts w:ascii="Arial Bold" w:eastAsia="Times New Roman" w:hAnsi="Arial Bold"/>
      <w:b/>
      <w:bCs/>
      <w:caps/>
      <w:color w:val="000000"/>
      <w:sz w:val="22"/>
      <w:szCs w:val="20"/>
      <w:lang w:bidi="ar-SA"/>
    </w:rPr>
  </w:style>
  <w:style w:type="character" w:styleId="FollowedHyperlink">
    <w:name w:val="FollowedHyperlink"/>
    <w:basedOn w:val="DefaultParagraphFont"/>
    <w:uiPriority w:val="99"/>
    <w:semiHidden/>
    <w:unhideWhenUsed/>
    <w:rsid w:val="00A2017F"/>
    <w:rPr>
      <w:color w:val="AA1C76" w:themeColor="followedHyperlink"/>
      <w:u w:val="single"/>
    </w:rPr>
  </w:style>
  <w:style w:type="character" w:customStyle="1" w:styleId="NumberedParagraphChar">
    <w:name w:val="Numbered Paragraph Char"/>
    <w:basedOn w:val="DefaultParagraphFont"/>
    <w:link w:val="NumberedParagraph"/>
    <w:rsid w:val="00212797"/>
    <w:rPr>
      <w:rFonts w:ascii="Arial" w:eastAsia="Times New Roman" w:hAnsi="Arial"/>
      <w:sz w:val="22"/>
      <w:szCs w:val="22"/>
      <w:lang w:eastAsia="en-US"/>
    </w:rPr>
  </w:style>
  <w:style w:type="paragraph" w:customStyle="1" w:styleId="StyleLeft125cmHanging125cm">
    <w:name w:val="Style Left:  1.25 cm Hanging:  1.25 cm"/>
    <w:basedOn w:val="Normal"/>
    <w:rsid w:val="00E574A7"/>
    <w:pPr>
      <w:spacing w:after="120" w:line="240" w:lineRule="auto"/>
      <w:ind w:left="1560" w:hanging="709"/>
      <w:jc w:val="both"/>
    </w:pPr>
    <w:rPr>
      <w:rFonts w:eastAsia="Times New Roman" w:cs="Times New Roman"/>
      <w:sz w:val="22"/>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0582">
      <w:bodyDiv w:val="1"/>
      <w:marLeft w:val="0"/>
      <w:marRight w:val="0"/>
      <w:marTop w:val="0"/>
      <w:marBottom w:val="0"/>
      <w:divBdr>
        <w:top w:val="none" w:sz="0" w:space="0" w:color="auto"/>
        <w:left w:val="none" w:sz="0" w:space="0" w:color="auto"/>
        <w:bottom w:val="none" w:sz="0" w:space="0" w:color="auto"/>
        <w:right w:val="none" w:sz="0" w:space="0" w:color="auto"/>
      </w:divBdr>
    </w:div>
    <w:div w:id="29109625">
      <w:bodyDiv w:val="1"/>
      <w:marLeft w:val="0"/>
      <w:marRight w:val="0"/>
      <w:marTop w:val="0"/>
      <w:marBottom w:val="0"/>
      <w:divBdr>
        <w:top w:val="none" w:sz="0" w:space="0" w:color="auto"/>
        <w:left w:val="none" w:sz="0" w:space="0" w:color="auto"/>
        <w:bottom w:val="none" w:sz="0" w:space="0" w:color="auto"/>
        <w:right w:val="none" w:sz="0" w:space="0" w:color="auto"/>
      </w:divBdr>
    </w:div>
    <w:div w:id="75054244">
      <w:bodyDiv w:val="1"/>
      <w:marLeft w:val="0"/>
      <w:marRight w:val="0"/>
      <w:marTop w:val="0"/>
      <w:marBottom w:val="0"/>
      <w:divBdr>
        <w:top w:val="none" w:sz="0" w:space="0" w:color="auto"/>
        <w:left w:val="none" w:sz="0" w:space="0" w:color="auto"/>
        <w:bottom w:val="none" w:sz="0" w:space="0" w:color="auto"/>
        <w:right w:val="none" w:sz="0" w:space="0" w:color="auto"/>
      </w:divBdr>
    </w:div>
    <w:div w:id="89856533">
      <w:bodyDiv w:val="1"/>
      <w:marLeft w:val="0"/>
      <w:marRight w:val="0"/>
      <w:marTop w:val="0"/>
      <w:marBottom w:val="0"/>
      <w:divBdr>
        <w:top w:val="none" w:sz="0" w:space="0" w:color="auto"/>
        <w:left w:val="none" w:sz="0" w:space="0" w:color="auto"/>
        <w:bottom w:val="none" w:sz="0" w:space="0" w:color="auto"/>
        <w:right w:val="none" w:sz="0" w:space="0" w:color="auto"/>
      </w:divBdr>
    </w:div>
    <w:div w:id="9093118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9514060">
      <w:bodyDiv w:val="1"/>
      <w:marLeft w:val="0"/>
      <w:marRight w:val="0"/>
      <w:marTop w:val="0"/>
      <w:marBottom w:val="0"/>
      <w:divBdr>
        <w:top w:val="none" w:sz="0" w:space="0" w:color="auto"/>
        <w:left w:val="none" w:sz="0" w:space="0" w:color="auto"/>
        <w:bottom w:val="none" w:sz="0" w:space="0" w:color="auto"/>
        <w:right w:val="none" w:sz="0" w:space="0" w:color="auto"/>
      </w:divBdr>
    </w:div>
    <w:div w:id="122621319">
      <w:bodyDiv w:val="1"/>
      <w:marLeft w:val="0"/>
      <w:marRight w:val="0"/>
      <w:marTop w:val="0"/>
      <w:marBottom w:val="0"/>
      <w:divBdr>
        <w:top w:val="none" w:sz="0" w:space="0" w:color="auto"/>
        <w:left w:val="none" w:sz="0" w:space="0" w:color="auto"/>
        <w:bottom w:val="none" w:sz="0" w:space="0" w:color="auto"/>
        <w:right w:val="none" w:sz="0" w:space="0" w:color="auto"/>
      </w:divBdr>
    </w:div>
    <w:div w:id="125240148">
      <w:bodyDiv w:val="1"/>
      <w:marLeft w:val="0"/>
      <w:marRight w:val="0"/>
      <w:marTop w:val="0"/>
      <w:marBottom w:val="0"/>
      <w:divBdr>
        <w:top w:val="none" w:sz="0" w:space="0" w:color="auto"/>
        <w:left w:val="none" w:sz="0" w:space="0" w:color="auto"/>
        <w:bottom w:val="none" w:sz="0" w:space="0" w:color="auto"/>
        <w:right w:val="none" w:sz="0" w:space="0" w:color="auto"/>
      </w:divBdr>
    </w:div>
    <w:div w:id="126049291">
      <w:bodyDiv w:val="1"/>
      <w:marLeft w:val="0"/>
      <w:marRight w:val="0"/>
      <w:marTop w:val="0"/>
      <w:marBottom w:val="0"/>
      <w:divBdr>
        <w:top w:val="none" w:sz="0" w:space="0" w:color="auto"/>
        <w:left w:val="none" w:sz="0" w:space="0" w:color="auto"/>
        <w:bottom w:val="none" w:sz="0" w:space="0" w:color="auto"/>
        <w:right w:val="none" w:sz="0" w:space="0" w:color="auto"/>
      </w:divBdr>
    </w:div>
    <w:div w:id="154956355">
      <w:bodyDiv w:val="1"/>
      <w:marLeft w:val="0"/>
      <w:marRight w:val="0"/>
      <w:marTop w:val="0"/>
      <w:marBottom w:val="0"/>
      <w:divBdr>
        <w:top w:val="none" w:sz="0" w:space="0" w:color="auto"/>
        <w:left w:val="none" w:sz="0" w:space="0" w:color="auto"/>
        <w:bottom w:val="none" w:sz="0" w:space="0" w:color="auto"/>
        <w:right w:val="none" w:sz="0" w:space="0" w:color="auto"/>
      </w:divBdr>
    </w:div>
    <w:div w:id="173765882">
      <w:bodyDiv w:val="1"/>
      <w:marLeft w:val="0"/>
      <w:marRight w:val="0"/>
      <w:marTop w:val="0"/>
      <w:marBottom w:val="0"/>
      <w:divBdr>
        <w:top w:val="none" w:sz="0" w:space="0" w:color="auto"/>
        <w:left w:val="none" w:sz="0" w:space="0" w:color="auto"/>
        <w:bottom w:val="none" w:sz="0" w:space="0" w:color="auto"/>
        <w:right w:val="none" w:sz="0" w:space="0" w:color="auto"/>
      </w:divBdr>
    </w:div>
    <w:div w:id="18495255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9751119">
      <w:bodyDiv w:val="1"/>
      <w:marLeft w:val="0"/>
      <w:marRight w:val="0"/>
      <w:marTop w:val="0"/>
      <w:marBottom w:val="0"/>
      <w:divBdr>
        <w:top w:val="none" w:sz="0" w:space="0" w:color="auto"/>
        <w:left w:val="none" w:sz="0" w:space="0" w:color="auto"/>
        <w:bottom w:val="none" w:sz="0" w:space="0" w:color="auto"/>
        <w:right w:val="none" w:sz="0" w:space="0" w:color="auto"/>
      </w:divBdr>
    </w:div>
    <w:div w:id="262809576">
      <w:bodyDiv w:val="1"/>
      <w:marLeft w:val="0"/>
      <w:marRight w:val="0"/>
      <w:marTop w:val="0"/>
      <w:marBottom w:val="0"/>
      <w:divBdr>
        <w:top w:val="none" w:sz="0" w:space="0" w:color="auto"/>
        <w:left w:val="none" w:sz="0" w:space="0" w:color="auto"/>
        <w:bottom w:val="none" w:sz="0" w:space="0" w:color="auto"/>
        <w:right w:val="none" w:sz="0" w:space="0" w:color="auto"/>
      </w:divBdr>
    </w:div>
    <w:div w:id="277415815">
      <w:bodyDiv w:val="1"/>
      <w:marLeft w:val="0"/>
      <w:marRight w:val="0"/>
      <w:marTop w:val="0"/>
      <w:marBottom w:val="0"/>
      <w:divBdr>
        <w:top w:val="none" w:sz="0" w:space="0" w:color="auto"/>
        <w:left w:val="none" w:sz="0" w:space="0" w:color="auto"/>
        <w:bottom w:val="none" w:sz="0" w:space="0" w:color="auto"/>
        <w:right w:val="none" w:sz="0" w:space="0" w:color="auto"/>
      </w:divBdr>
    </w:div>
    <w:div w:id="295575049">
      <w:bodyDiv w:val="1"/>
      <w:marLeft w:val="0"/>
      <w:marRight w:val="0"/>
      <w:marTop w:val="0"/>
      <w:marBottom w:val="0"/>
      <w:divBdr>
        <w:top w:val="none" w:sz="0" w:space="0" w:color="auto"/>
        <w:left w:val="none" w:sz="0" w:space="0" w:color="auto"/>
        <w:bottom w:val="none" w:sz="0" w:space="0" w:color="auto"/>
        <w:right w:val="none" w:sz="0" w:space="0" w:color="auto"/>
      </w:divBdr>
    </w:div>
    <w:div w:id="300309976">
      <w:bodyDiv w:val="1"/>
      <w:marLeft w:val="0"/>
      <w:marRight w:val="0"/>
      <w:marTop w:val="0"/>
      <w:marBottom w:val="0"/>
      <w:divBdr>
        <w:top w:val="none" w:sz="0" w:space="0" w:color="auto"/>
        <w:left w:val="none" w:sz="0" w:space="0" w:color="auto"/>
        <w:bottom w:val="none" w:sz="0" w:space="0" w:color="auto"/>
        <w:right w:val="none" w:sz="0" w:space="0" w:color="auto"/>
      </w:divBdr>
    </w:div>
    <w:div w:id="30686369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0764164">
      <w:bodyDiv w:val="1"/>
      <w:marLeft w:val="0"/>
      <w:marRight w:val="0"/>
      <w:marTop w:val="0"/>
      <w:marBottom w:val="0"/>
      <w:divBdr>
        <w:top w:val="none" w:sz="0" w:space="0" w:color="auto"/>
        <w:left w:val="none" w:sz="0" w:space="0" w:color="auto"/>
        <w:bottom w:val="none" w:sz="0" w:space="0" w:color="auto"/>
        <w:right w:val="none" w:sz="0" w:space="0" w:color="auto"/>
      </w:divBdr>
    </w:div>
    <w:div w:id="378558799">
      <w:bodyDiv w:val="1"/>
      <w:marLeft w:val="0"/>
      <w:marRight w:val="0"/>
      <w:marTop w:val="0"/>
      <w:marBottom w:val="0"/>
      <w:divBdr>
        <w:top w:val="none" w:sz="0" w:space="0" w:color="auto"/>
        <w:left w:val="none" w:sz="0" w:space="0" w:color="auto"/>
        <w:bottom w:val="none" w:sz="0" w:space="0" w:color="auto"/>
        <w:right w:val="none" w:sz="0" w:space="0" w:color="auto"/>
      </w:divBdr>
    </w:div>
    <w:div w:id="44219070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995024">
      <w:bodyDiv w:val="1"/>
      <w:marLeft w:val="0"/>
      <w:marRight w:val="0"/>
      <w:marTop w:val="0"/>
      <w:marBottom w:val="0"/>
      <w:divBdr>
        <w:top w:val="none" w:sz="0" w:space="0" w:color="auto"/>
        <w:left w:val="none" w:sz="0" w:space="0" w:color="auto"/>
        <w:bottom w:val="none" w:sz="0" w:space="0" w:color="auto"/>
        <w:right w:val="none" w:sz="0" w:space="0" w:color="auto"/>
      </w:divBdr>
    </w:div>
    <w:div w:id="553272370">
      <w:bodyDiv w:val="1"/>
      <w:marLeft w:val="0"/>
      <w:marRight w:val="0"/>
      <w:marTop w:val="0"/>
      <w:marBottom w:val="0"/>
      <w:divBdr>
        <w:top w:val="none" w:sz="0" w:space="0" w:color="auto"/>
        <w:left w:val="none" w:sz="0" w:space="0" w:color="auto"/>
        <w:bottom w:val="none" w:sz="0" w:space="0" w:color="auto"/>
        <w:right w:val="none" w:sz="0" w:space="0" w:color="auto"/>
      </w:divBdr>
    </w:div>
    <w:div w:id="628123111">
      <w:bodyDiv w:val="1"/>
      <w:marLeft w:val="0"/>
      <w:marRight w:val="0"/>
      <w:marTop w:val="0"/>
      <w:marBottom w:val="0"/>
      <w:divBdr>
        <w:top w:val="none" w:sz="0" w:space="0" w:color="auto"/>
        <w:left w:val="none" w:sz="0" w:space="0" w:color="auto"/>
        <w:bottom w:val="none" w:sz="0" w:space="0" w:color="auto"/>
        <w:right w:val="none" w:sz="0" w:space="0" w:color="auto"/>
      </w:divBdr>
    </w:div>
    <w:div w:id="640306877">
      <w:bodyDiv w:val="1"/>
      <w:marLeft w:val="0"/>
      <w:marRight w:val="0"/>
      <w:marTop w:val="0"/>
      <w:marBottom w:val="0"/>
      <w:divBdr>
        <w:top w:val="none" w:sz="0" w:space="0" w:color="auto"/>
        <w:left w:val="none" w:sz="0" w:space="0" w:color="auto"/>
        <w:bottom w:val="none" w:sz="0" w:space="0" w:color="auto"/>
        <w:right w:val="none" w:sz="0" w:space="0" w:color="auto"/>
      </w:divBdr>
    </w:div>
    <w:div w:id="750005283">
      <w:bodyDiv w:val="1"/>
      <w:marLeft w:val="0"/>
      <w:marRight w:val="0"/>
      <w:marTop w:val="0"/>
      <w:marBottom w:val="0"/>
      <w:divBdr>
        <w:top w:val="none" w:sz="0" w:space="0" w:color="auto"/>
        <w:left w:val="none" w:sz="0" w:space="0" w:color="auto"/>
        <w:bottom w:val="none" w:sz="0" w:space="0" w:color="auto"/>
        <w:right w:val="none" w:sz="0" w:space="0" w:color="auto"/>
      </w:divBdr>
    </w:div>
    <w:div w:id="790242693">
      <w:bodyDiv w:val="1"/>
      <w:marLeft w:val="0"/>
      <w:marRight w:val="0"/>
      <w:marTop w:val="0"/>
      <w:marBottom w:val="0"/>
      <w:divBdr>
        <w:top w:val="none" w:sz="0" w:space="0" w:color="auto"/>
        <w:left w:val="none" w:sz="0" w:space="0" w:color="auto"/>
        <w:bottom w:val="none" w:sz="0" w:space="0" w:color="auto"/>
        <w:right w:val="none" w:sz="0" w:space="0" w:color="auto"/>
      </w:divBdr>
    </w:div>
    <w:div w:id="818765014">
      <w:bodyDiv w:val="1"/>
      <w:marLeft w:val="0"/>
      <w:marRight w:val="0"/>
      <w:marTop w:val="0"/>
      <w:marBottom w:val="0"/>
      <w:divBdr>
        <w:top w:val="none" w:sz="0" w:space="0" w:color="auto"/>
        <w:left w:val="none" w:sz="0" w:space="0" w:color="auto"/>
        <w:bottom w:val="none" w:sz="0" w:space="0" w:color="auto"/>
        <w:right w:val="none" w:sz="0" w:space="0" w:color="auto"/>
      </w:divBdr>
    </w:div>
    <w:div w:id="831264105">
      <w:bodyDiv w:val="1"/>
      <w:marLeft w:val="0"/>
      <w:marRight w:val="0"/>
      <w:marTop w:val="0"/>
      <w:marBottom w:val="0"/>
      <w:divBdr>
        <w:top w:val="none" w:sz="0" w:space="0" w:color="auto"/>
        <w:left w:val="none" w:sz="0" w:space="0" w:color="auto"/>
        <w:bottom w:val="none" w:sz="0" w:space="0" w:color="auto"/>
        <w:right w:val="none" w:sz="0" w:space="0" w:color="auto"/>
      </w:divBdr>
    </w:div>
    <w:div w:id="850024983">
      <w:bodyDiv w:val="1"/>
      <w:marLeft w:val="0"/>
      <w:marRight w:val="0"/>
      <w:marTop w:val="0"/>
      <w:marBottom w:val="0"/>
      <w:divBdr>
        <w:top w:val="none" w:sz="0" w:space="0" w:color="auto"/>
        <w:left w:val="none" w:sz="0" w:space="0" w:color="auto"/>
        <w:bottom w:val="none" w:sz="0" w:space="0" w:color="auto"/>
        <w:right w:val="none" w:sz="0" w:space="0" w:color="auto"/>
      </w:divBdr>
    </w:div>
    <w:div w:id="859128066">
      <w:bodyDiv w:val="1"/>
      <w:marLeft w:val="0"/>
      <w:marRight w:val="0"/>
      <w:marTop w:val="0"/>
      <w:marBottom w:val="0"/>
      <w:divBdr>
        <w:top w:val="none" w:sz="0" w:space="0" w:color="auto"/>
        <w:left w:val="none" w:sz="0" w:space="0" w:color="auto"/>
        <w:bottom w:val="none" w:sz="0" w:space="0" w:color="auto"/>
        <w:right w:val="none" w:sz="0" w:space="0" w:color="auto"/>
      </w:divBdr>
    </w:div>
    <w:div w:id="887689536">
      <w:bodyDiv w:val="1"/>
      <w:marLeft w:val="0"/>
      <w:marRight w:val="0"/>
      <w:marTop w:val="0"/>
      <w:marBottom w:val="0"/>
      <w:divBdr>
        <w:top w:val="none" w:sz="0" w:space="0" w:color="auto"/>
        <w:left w:val="none" w:sz="0" w:space="0" w:color="auto"/>
        <w:bottom w:val="none" w:sz="0" w:space="0" w:color="auto"/>
        <w:right w:val="none" w:sz="0" w:space="0" w:color="auto"/>
      </w:divBdr>
      <w:divsChild>
        <w:div w:id="1909878666">
          <w:marLeft w:val="0"/>
          <w:marRight w:val="0"/>
          <w:marTop w:val="0"/>
          <w:marBottom w:val="0"/>
          <w:divBdr>
            <w:top w:val="none" w:sz="0" w:space="0" w:color="auto"/>
            <w:left w:val="none" w:sz="0" w:space="0" w:color="auto"/>
            <w:bottom w:val="none" w:sz="0" w:space="0" w:color="auto"/>
            <w:right w:val="none" w:sz="0" w:space="0" w:color="auto"/>
          </w:divBdr>
        </w:div>
      </w:divsChild>
    </w:div>
    <w:div w:id="893658301">
      <w:bodyDiv w:val="1"/>
      <w:marLeft w:val="0"/>
      <w:marRight w:val="0"/>
      <w:marTop w:val="0"/>
      <w:marBottom w:val="0"/>
      <w:divBdr>
        <w:top w:val="none" w:sz="0" w:space="0" w:color="auto"/>
        <w:left w:val="none" w:sz="0" w:space="0" w:color="auto"/>
        <w:bottom w:val="none" w:sz="0" w:space="0" w:color="auto"/>
        <w:right w:val="none" w:sz="0" w:space="0" w:color="auto"/>
      </w:divBdr>
    </w:div>
    <w:div w:id="938440719">
      <w:bodyDiv w:val="1"/>
      <w:marLeft w:val="0"/>
      <w:marRight w:val="0"/>
      <w:marTop w:val="0"/>
      <w:marBottom w:val="0"/>
      <w:divBdr>
        <w:top w:val="none" w:sz="0" w:space="0" w:color="auto"/>
        <w:left w:val="none" w:sz="0" w:space="0" w:color="auto"/>
        <w:bottom w:val="none" w:sz="0" w:space="0" w:color="auto"/>
        <w:right w:val="none" w:sz="0" w:space="0" w:color="auto"/>
      </w:divBdr>
    </w:div>
    <w:div w:id="947009762">
      <w:bodyDiv w:val="1"/>
      <w:marLeft w:val="0"/>
      <w:marRight w:val="0"/>
      <w:marTop w:val="0"/>
      <w:marBottom w:val="0"/>
      <w:divBdr>
        <w:top w:val="none" w:sz="0" w:space="0" w:color="auto"/>
        <w:left w:val="none" w:sz="0" w:space="0" w:color="auto"/>
        <w:bottom w:val="none" w:sz="0" w:space="0" w:color="auto"/>
        <w:right w:val="none" w:sz="0" w:space="0" w:color="auto"/>
      </w:divBdr>
    </w:div>
    <w:div w:id="95008868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13343560">
      <w:bodyDiv w:val="1"/>
      <w:marLeft w:val="0"/>
      <w:marRight w:val="0"/>
      <w:marTop w:val="0"/>
      <w:marBottom w:val="0"/>
      <w:divBdr>
        <w:top w:val="none" w:sz="0" w:space="0" w:color="auto"/>
        <w:left w:val="none" w:sz="0" w:space="0" w:color="auto"/>
        <w:bottom w:val="none" w:sz="0" w:space="0" w:color="auto"/>
        <w:right w:val="none" w:sz="0" w:space="0" w:color="auto"/>
      </w:divBdr>
    </w:div>
    <w:div w:id="1051004965">
      <w:bodyDiv w:val="1"/>
      <w:marLeft w:val="0"/>
      <w:marRight w:val="0"/>
      <w:marTop w:val="0"/>
      <w:marBottom w:val="0"/>
      <w:divBdr>
        <w:top w:val="none" w:sz="0" w:space="0" w:color="auto"/>
        <w:left w:val="none" w:sz="0" w:space="0" w:color="auto"/>
        <w:bottom w:val="none" w:sz="0" w:space="0" w:color="auto"/>
        <w:right w:val="none" w:sz="0" w:space="0" w:color="auto"/>
      </w:divBdr>
    </w:div>
    <w:div w:id="1108770421">
      <w:bodyDiv w:val="1"/>
      <w:marLeft w:val="0"/>
      <w:marRight w:val="0"/>
      <w:marTop w:val="0"/>
      <w:marBottom w:val="0"/>
      <w:divBdr>
        <w:top w:val="none" w:sz="0" w:space="0" w:color="auto"/>
        <w:left w:val="none" w:sz="0" w:space="0" w:color="auto"/>
        <w:bottom w:val="none" w:sz="0" w:space="0" w:color="auto"/>
        <w:right w:val="none" w:sz="0" w:space="0" w:color="auto"/>
      </w:divBdr>
    </w:div>
    <w:div w:id="1113477643">
      <w:bodyDiv w:val="1"/>
      <w:marLeft w:val="0"/>
      <w:marRight w:val="0"/>
      <w:marTop w:val="0"/>
      <w:marBottom w:val="0"/>
      <w:divBdr>
        <w:top w:val="none" w:sz="0" w:space="0" w:color="auto"/>
        <w:left w:val="none" w:sz="0" w:space="0" w:color="auto"/>
        <w:bottom w:val="none" w:sz="0" w:space="0" w:color="auto"/>
        <w:right w:val="none" w:sz="0" w:space="0" w:color="auto"/>
      </w:divBdr>
    </w:div>
    <w:div w:id="112847333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8207551">
      <w:bodyDiv w:val="1"/>
      <w:marLeft w:val="0"/>
      <w:marRight w:val="0"/>
      <w:marTop w:val="0"/>
      <w:marBottom w:val="0"/>
      <w:divBdr>
        <w:top w:val="none" w:sz="0" w:space="0" w:color="auto"/>
        <w:left w:val="none" w:sz="0" w:space="0" w:color="auto"/>
        <w:bottom w:val="none" w:sz="0" w:space="0" w:color="auto"/>
        <w:right w:val="none" w:sz="0" w:space="0" w:color="auto"/>
      </w:divBdr>
    </w:div>
    <w:div w:id="1149522221">
      <w:bodyDiv w:val="1"/>
      <w:marLeft w:val="0"/>
      <w:marRight w:val="0"/>
      <w:marTop w:val="0"/>
      <w:marBottom w:val="0"/>
      <w:divBdr>
        <w:top w:val="none" w:sz="0" w:space="0" w:color="auto"/>
        <w:left w:val="none" w:sz="0" w:space="0" w:color="auto"/>
        <w:bottom w:val="none" w:sz="0" w:space="0" w:color="auto"/>
        <w:right w:val="none" w:sz="0" w:space="0" w:color="auto"/>
      </w:divBdr>
    </w:div>
    <w:div w:id="1152411543">
      <w:bodyDiv w:val="1"/>
      <w:marLeft w:val="0"/>
      <w:marRight w:val="0"/>
      <w:marTop w:val="0"/>
      <w:marBottom w:val="0"/>
      <w:divBdr>
        <w:top w:val="none" w:sz="0" w:space="0" w:color="auto"/>
        <w:left w:val="none" w:sz="0" w:space="0" w:color="auto"/>
        <w:bottom w:val="none" w:sz="0" w:space="0" w:color="auto"/>
        <w:right w:val="none" w:sz="0" w:space="0" w:color="auto"/>
      </w:divBdr>
    </w:div>
    <w:div w:id="1176649866">
      <w:bodyDiv w:val="1"/>
      <w:marLeft w:val="0"/>
      <w:marRight w:val="0"/>
      <w:marTop w:val="0"/>
      <w:marBottom w:val="0"/>
      <w:divBdr>
        <w:top w:val="none" w:sz="0" w:space="0" w:color="auto"/>
        <w:left w:val="none" w:sz="0" w:space="0" w:color="auto"/>
        <w:bottom w:val="none" w:sz="0" w:space="0" w:color="auto"/>
        <w:right w:val="none" w:sz="0" w:space="0" w:color="auto"/>
      </w:divBdr>
    </w:div>
    <w:div w:id="1191410187">
      <w:bodyDiv w:val="1"/>
      <w:marLeft w:val="0"/>
      <w:marRight w:val="0"/>
      <w:marTop w:val="0"/>
      <w:marBottom w:val="0"/>
      <w:divBdr>
        <w:top w:val="none" w:sz="0" w:space="0" w:color="auto"/>
        <w:left w:val="none" w:sz="0" w:space="0" w:color="auto"/>
        <w:bottom w:val="none" w:sz="0" w:space="0" w:color="auto"/>
        <w:right w:val="none" w:sz="0" w:space="0" w:color="auto"/>
      </w:divBdr>
    </w:div>
    <w:div w:id="1202284861">
      <w:bodyDiv w:val="1"/>
      <w:marLeft w:val="0"/>
      <w:marRight w:val="0"/>
      <w:marTop w:val="0"/>
      <w:marBottom w:val="0"/>
      <w:divBdr>
        <w:top w:val="none" w:sz="0" w:space="0" w:color="auto"/>
        <w:left w:val="none" w:sz="0" w:space="0" w:color="auto"/>
        <w:bottom w:val="none" w:sz="0" w:space="0" w:color="auto"/>
        <w:right w:val="none" w:sz="0" w:space="0" w:color="auto"/>
      </w:divBdr>
    </w:div>
    <w:div w:id="1237202602">
      <w:bodyDiv w:val="1"/>
      <w:marLeft w:val="0"/>
      <w:marRight w:val="0"/>
      <w:marTop w:val="0"/>
      <w:marBottom w:val="0"/>
      <w:divBdr>
        <w:top w:val="none" w:sz="0" w:space="0" w:color="auto"/>
        <w:left w:val="none" w:sz="0" w:space="0" w:color="auto"/>
        <w:bottom w:val="none" w:sz="0" w:space="0" w:color="auto"/>
        <w:right w:val="none" w:sz="0" w:space="0" w:color="auto"/>
      </w:divBdr>
    </w:div>
    <w:div w:id="1257980752">
      <w:bodyDiv w:val="1"/>
      <w:marLeft w:val="0"/>
      <w:marRight w:val="0"/>
      <w:marTop w:val="0"/>
      <w:marBottom w:val="0"/>
      <w:divBdr>
        <w:top w:val="none" w:sz="0" w:space="0" w:color="auto"/>
        <w:left w:val="none" w:sz="0" w:space="0" w:color="auto"/>
        <w:bottom w:val="none" w:sz="0" w:space="0" w:color="auto"/>
        <w:right w:val="none" w:sz="0" w:space="0" w:color="auto"/>
      </w:divBdr>
    </w:div>
    <w:div w:id="1261141172">
      <w:bodyDiv w:val="1"/>
      <w:marLeft w:val="0"/>
      <w:marRight w:val="0"/>
      <w:marTop w:val="0"/>
      <w:marBottom w:val="0"/>
      <w:divBdr>
        <w:top w:val="none" w:sz="0" w:space="0" w:color="auto"/>
        <w:left w:val="none" w:sz="0" w:space="0" w:color="auto"/>
        <w:bottom w:val="none" w:sz="0" w:space="0" w:color="auto"/>
        <w:right w:val="none" w:sz="0" w:space="0" w:color="auto"/>
      </w:divBdr>
    </w:div>
    <w:div w:id="1262451167">
      <w:bodyDiv w:val="1"/>
      <w:marLeft w:val="0"/>
      <w:marRight w:val="0"/>
      <w:marTop w:val="0"/>
      <w:marBottom w:val="0"/>
      <w:divBdr>
        <w:top w:val="none" w:sz="0" w:space="0" w:color="auto"/>
        <w:left w:val="none" w:sz="0" w:space="0" w:color="auto"/>
        <w:bottom w:val="none" w:sz="0" w:space="0" w:color="auto"/>
        <w:right w:val="none" w:sz="0" w:space="0" w:color="auto"/>
      </w:divBdr>
    </w:div>
    <w:div w:id="1297370583">
      <w:bodyDiv w:val="1"/>
      <w:marLeft w:val="0"/>
      <w:marRight w:val="0"/>
      <w:marTop w:val="0"/>
      <w:marBottom w:val="0"/>
      <w:divBdr>
        <w:top w:val="none" w:sz="0" w:space="0" w:color="auto"/>
        <w:left w:val="none" w:sz="0" w:space="0" w:color="auto"/>
        <w:bottom w:val="none" w:sz="0" w:space="0" w:color="auto"/>
        <w:right w:val="none" w:sz="0" w:space="0" w:color="auto"/>
      </w:divBdr>
    </w:div>
    <w:div w:id="1297445680">
      <w:bodyDiv w:val="1"/>
      <w:marLeft w:val="0"/>
      <w:marRight w:val="0"/>
      <w:marTop w:val="0"/>
      <w:marBottom w:val="0"/>
      <w:divBdr>
        <w:top w:val="none" w:sz="0" w:space="0" w:color="auto"/>
        <w:left w:val="none" w:sz="0" w:space="0" w:color="auto"/>
        <w:bottom w:val="none" w:sz="0" w:space="0" w:color="auto"/>
        <w:right w:val="none" w:sz="0" w:space="0" w:color="auto"/>
      </w:divBdr>
    </w:div>
    <w:div w:id="1309551246">
      <w:bodyDiv w:val="1"/>
      <w:marLeft w:val="0"/>
      <w:marRight w:val="0"/>
      <w:marTop w:val="0"/>
      <w:marBottom w:val="0"/>
      <w:divBdr>
        <w:top w:val="none" w:sz="0" w:space="0" w:color="auto"/>
        <w:left w:val="none" w:sz="0" w:space="0" w:color="auto"/>
        <w:bottom w:val="none" w:sz="0" w:space="0" w:color="auto"/>
        <w:right w:val="none" w:sz="0" w:space="0" w:color="auto"/>
      </w:divBdr>
    </w:div>
    <w:div w:id="1350326811">
      <w:bodyDiv w:val="1"/>
      <w:marLeft w:val="0"/>
      <w:marRight w:val="0"/>
      <w:marTop w:val="0"/>
      <w:marBottom w:val="0"/>
      <w:divBdr>
        <w:top w:val="none" w:sz="0" w:space="0" w:color="auto"/>
        <w:left w:val="none" w:sz="0" w:space="0" w:color="auto"/>
        <w:bottom w:val="none" w:sz="0" w:space="0" w:color="auto"/>
        <w:right w:val="none" w:sz="0" w:space="0" w:color="auto"/>
      </w:divBdr>
    </w:div>
    <w:div w:id="1358581950">
      <w:bodyDiv w:val="1"/>
      <w:marLeft w:val="0"/>
      <w:marRight w:val="0"/>
      <w:marTop w:val="0"/>
      <w:marBottom w:val="0"/>
      <w:divBdr>
        <w:top w:val="none" w:sz="0" w:space="0" w:color="auto"/>
        <w:left w:val="none" w:sz="0" w:space="0" w:color="auto"/>
        <w:bottom w:val="none" w:sz="0" w:space="0" w:color="auto"/>
        <w:right w:val="none" w:sz="0" w:space="0" w:color="auto"/>
      </w:divBdr>
    </w:div>
    <w:div w:id="1369184775">
      <w:bodyDiv w:val="1"/>
      <w:marLeft w:val="0"/>
      <w:marRight w:val="0"/>
      <w:marTop w:val="0"/>
      <w:marBottom w:val="0"/>
      <w:divBdr>
        <w:top w:val="none" w:sz="0" w:space="0" w:color="auto"/>
        <w:left w:val="none" w:sz="0" w:space="0" w:color="auto"/>
        <w:bottom w:val="none" w:sz="0" w:space="0" w:color="auto"/>
        <w:right w:val="none" w:sz="0" w:space="0" w:color="auto"/>
      </w:divBdr>
    </w:div>
    <w:div w:id="140718992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624964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8813058">
      <w:bodyDiv w:val="1"/>
      <w:marLeft w:val="0"/>
      <w:marRight w:val="0"/>
      <w:marTop w:val="0"/>
      <w:marBottom w:val="0"/>
      <w:divBdr>
        <w:top w:val="none" w:sz="0" w:space="0" w:color="auto"/>
        <w:left w:val="none" w:sz="0" w:space="0" w:color="auto"/>
        <w:bottom w:val="none" w:sz="0" w:space="0" w:color="auto"/>
        <w:right w:val="none" w:sz="0" w:space="0" w:color="auto"/>
      </w:divBdr>
    </w:div>
    <w:div w:id="1475609965">
      <w:bodyDiv w:val="1"/>
      <w:marLeft w:val="0"/>
      <w:marRight w:val="0"/>
      <w:marTop w:val="0"/>
      <w:marBottom w:val="0"/>
      <w:divBdr>
        <w:top w:val="none" w:sz="0" w:space="0" w:color="auto"/>
        <w:left w:val="none" w:sz="0" w:space="0" w:color="auto"/>
        <w:bottom w:val="none" w:sz="0" w:space="0" w:color="auto"/>
        <w:right w:val="none" w:sz="0" w:space="0" w:color="auto"/>
      </w:divBdr>
    </w:div>
    <w:div w:id="1493837027">
      <w:bodyDiv w:val="1"/>
      <w:marLeft w:val="0"/>
      <w:marRight w:val="0"/>
      <w:marTop w:val="0"/>
      <w:marBottom w:val="0"/>
      <w:divBdr>
        <w:top w:val="none" w:sz="0" w:space="0" w:color="auto"/>
        <w:left w:val="none" w:sz="0" w:space="0" w:color="auto"/>
        <w:bottom w:val="none" w:sz="0" w:space="0" w:color="auto"/>
        <w:right w:val="none" w:sz="0" w:space="0" w:color="auto"/>
      </w:divBdr>
    </w:div>
    <w:div w:id="1513034057">
      <w:bodyDiv w:val="1"/>
      <w:marLeft w:val="0"/>
      <w:marRight w:val="0"/>
      <w:marTop w:val="0"/>
      <w:marBottom w:val="0"/>
      <w:divBdr>
        <w:top w:val="none" w:sz="0" w:space="0" w:color="auto"/>
        <w:left w:val="none" w:sz="0" w:space="0" w:color="auto"/>
        <w:bottom w:val="none" w:sz="0" w:space="0" w:color="auto"/>
        <w:right w:val="none" w:sz="0" w:space="0" w:color="auto"/>
      </w:divBdr>
    </w:div>
    <w:div w:id="1516765902">
      <w:bodyDiv w:val="1"/>
      <w:marLeft w:val="0"/>
      <w:marRight w:val="0"/>
      <w:marTop w:val="0"/>
      <w:marBottom w:val="0"/>
      <w:divBdr>
        <w:top w:val="none" w:sz="0" w:space="0" w:color="auto"/>
        <w:left w:val="none" w:sz="0" w:space="0" w:color="auto"/>
        <w:bottom w:val="none" w:sz="0" w:space="0" w:color="auto"/>
        <w:right w:val="none" w:sz="0" w:space="0" w:color="auto"/>
      </w:divBdr>
    </w:div>
    <w:div w:id="1521508118">
      <w:bodyDiv w:val="1"/>
      <w:marLeft w:val="0"/>
      <w:marRight w:val="0"/>
      <w:marTop w:val="0"/>
      <w:marBottom w:val="0"/>
      <w:divBdr>
        <w:top w:val="none" w:sz="0" w:space="0" w:color="auto"/>
        <w:left w:val="none" w:sz="0" w:space="0" w:color="auto"/>
        <w:bottom w:val="none" w:sz="0" w:space="0" w:color="auto"/>
        <w:right w:val="none" w:sz="0" w:space="0" w:color="auto"/>
      </w:divBdr>
    </w:div>
    <w:div w:id="1547788545">
      <w:bodyDiv w:val="1"/>
      <w:marLeft w:val="0"/>
      <w:marRight w:val="0"/>
      <w:marTop w:val="0"/>
      <w:marBottom w:val="0"/>
      <w:divBdr>
        <w:top w:val="none" w:sz="0" w:space="0" w:color="auto"/>
        <w:left w:val="none" w:sz="0" w:space="0" w:color="auto"/>
        <w:bottom w:val="none" w:sz="0" w:space="0" w:color="auto"/>
        <w:right w:val="none" w:sz="0" w:space="0" w:color="auto"/>
      </w:divBdr>
    </w:div>
    <w:div w:id="1555778040">
      <w:bodyDiv w:val="1"/>
      <w:marLeft w:val="0"/>
      <w:marRight w:val="0"/>
      <w:marTop w:val="0"/>
      <w:marBottom w:val="0"/>
      <w:divBdr>
        <w:top w:val="none" w:sz="0" w:space="0" w:color="auto"/>
        <w:left w:val="none" w:sz="0" w:space="0" w:color="auto"/>
        <w:bottom w:val="none" w:sz="0" w:space="0" w:color="auto"/>
        <w:right w:val="none" w:sz="0" w:space="0" w:color="auto"/>
      </w:divBdr>
    </w:div>
    <w:div w:id="1578054297">
      <w:bodyDiv w:val="1"/>
      <w:marLeft w:val="0"/>
      <w:marRight w:val="0"/>
      <w:marTop w:val="0"/>
      <w:marBottom w:val="0"/>
      <w:divBdr>
        <w:top w:val="none" w:sz="0" w:space="0" w:color="auto"/>
        <w:left w:val="none" w:sz="0" w:space="0" w:color="auto"/>
        <w:bottom w:val="none" w:sz="0" w:space="0" w:color="auto"/>
        <w:right w:val="none" w:sz="0" w:space="0" w:color="auto"/>
      </w:divBdr>
    </w:div>
    <w:div w:id="160368035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5035535">
      <w:bodyDiv w:val="1"/>
      <w:marLeft w:val="0"/>
      <w:marRight w:val="0"/>
      <w:marTop w:val="0"/>
      <w:marBottom w:val="0"/>
      <w:divBdr>
        <w:top w:val="none" w:sz="0" w:space="0" w:color="auto"/>
        <w:left w:val="none" w:sz="0" w:space="0" w:color="auto"/>
        <w:bottom w:val="none" w:sz="0" w:space="0" w:color="auto"/>
        <w:right w:val="none" w:sz="0" w:space="0" w:color="auto"/>
      </w:divBdr>
    </w:div>
    <w:div w:id="1677033395">
      <w:bodyDiv w:val="1"/>
      <w:marLeft w:val="0"/>
      <w:marRight w:val="0"/>
      <w:marTop w:val="0"/>
      <w:marBottom w:val="0"/>
      <w:divBdr>
        <w:top w:val="none" w:sz="0" w:space="0" w:color="auto"/>
        <w:left w:val="none" w:sz="0" w:space="0" w:color="auto"/>
        <w:bottom w:val="none" w:sz="0" w:space="0" w:color="auto"/>
        <w:right w:val="none" w:sz="0" w:space="0" w:color="auto"/>
      </w:divBdr>
    </w:div>
    <w:div w:id="1678077795">
      <w:bodyDiv w:val="1"/>
      <w:marLeft w:val="0"/>
      <w:marRight w:val="0"/>
      <w:marTop w:val="0"/>
      <w:marBottom w:val="0"/>
      <w:divBdr>
        <w:top w:val="none" w:sz="0" w:space="0" w:color="auto"/>
        <w:left w:val="none" w:sz="0" w:space="0" w:color="auto"/>
        <w:bottom w:val="none" w:sz="0" w:space="0" w:color="auto"/>
        <w:right w:val="none" w:sz="0" w:space="0" w:color="auto"/>
      </w:divBdr>
    </w:div>
    <w:div w:id="168729243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9535116">
      <w:bodyDiv w:val="1"/>
      <w:marLeft w:val="0"/>
      <w:marRight w:val="0"/>
      <w:marTop w:val="0"/>
      <w:marBottom w:val="0"/>
      <w:divBdr>
        <w:top w:val="none" w:sz="0" w:space="0" w:color="auto"/>
        <w:left w:val="none" w:sz="0" w:space="0" w:color="auto"/>
        <w:bottom w:val="none" w:sz="0" w:space="0" w:color="auto"/>
        <w:right w:val="none" w:sz="0" w:space="0" w:color="auto"/>
      </w:divBdr>
    </w:div>
    <w:div w:id="1857115546">
      <w:bodyDiv w:val="1"/>
      <w:marLeft w:val="0"/>
      <w:marRight w:val="0"/>
      <w:marTop w:val="0"/>
      <w:marBottom w:val="0"/>
      <w:divBdr>
        <w:top w:val="none" w:sz="0" w:space="0" w:color="auto"/>
        <w:left w:val="none" w:sz="0" w:space="0" w:color="auto"/>
        <w:bottom w:val="none" w:sz="0" w:space="0" w:color="auto"/>
        <w:right w:val="none" w:sz="0" w:space="0" w:color="auto"/>
      </w:divBdr>
    </w:div>
    <w:div w:id="1908606081">
      <w:bodyDiv w:val="1"/>
      <w:marLeft w:val="0"/>
      <w:marRight w:val="0"/>
      <w:marTop w:val="0"/>
      <w:marBottom w:val="0"/>
      <w:divBdr>
        <w:top w:val="none" w:sz="0" w:space="0" w:color="auto"/>
        <w:left w:val="none" w:sz="0" w:space="0" w:color="auto"/>
        <w:bottom w:val="none" w:sz="0" w:space="0" w:color="auto"/>
        <w:right w:val="none" w:sz="0" w:space="0" w:color="auto"/>
      </w:divBdr>
    </w:div>
    <w:div w:id="1910144281">
      <w:bodyDiv w:val="1"/>
      <w:marLeft w:val="0"/>
      <w:marRight w:val="0"/>
      <w:marTop w:val="0"/>
      <w:marBottom w:val="0"/>
      <w:divBdr>
        <w:top w:val="none" w:sz="0" w:space="0" w:color="auto"/>
        <w:left w:val="none" w:sz="0" w:space="0" w:color="auto"/>
        <w:bottom w:val="none" w:sz="0" w:space="0" w:color="auto"/>
        <w:right w:val="none" w:sz="0" w:space="0" w:color="auto"/>
      </w:divBdr>
    </w:div>
    <w:div w:id="1985545180">
      <w:bodyDiv w:val="1"/>
      <w:marLeft w:val="0"/>
      <w:marRight w:val="0"/>
      <w:marTop w:val="0"/>
      <w:marBottom w:val="0"/>
      <w:divBdr>
        <w:top w:val="none" w:sz="0" w:space="0" w:color="auto"/>
        <w:left w:val="none" w:sz="0" w:space="0" w:color="auto"/>
        <w:bottom w:val="none" w:sz="0" w:space="0" w:color="auto"/>
        <w:right w:val="none" w:sz="0" w:space="0" w:color="auto"/>
      </w:divBdr>
    </w:div>
    <w:div w:id="1992367589">
      <w:bodyDiv w:val="1"/>
      <w:marLeft w:val="0"/>
      <w:marRight w:val="0"/>
      <w:marTop w:val="0"/>
      <w:marBottom w:val="0"/>
      <w:divBdr>
        <w:top w:val="none" w:sz="0" w:space="0" w:color="auto"/>
        <w:left w:val="none" w:sz="0" w:space="0" w:color="auto"/>
        <w:bottom w:val="none" w:sz="0" w:space="0" w:color="auto"/>
        <w:right w:val="none" w:sz="0" w:space="0" w:color="auto"/>
      </w:divBdr>
    </w:div>
    <w:div w:id="2008633809">
      <w:bodyDiv w:val="1"/>
      <w:marLeft w:val="0"/>
      <w:marRight w:val="0"/>
      <w:marTop w:val="0"/>
      <w:marBottom w:val="0"/>
      <w:divBdr>
        <w:top w:val="none" w:sz="0" w:space="0" w:color="auto"/>
        <w:left w:val="none" w:sz="0" w:space="0" w:color="auto"/>
        <w:bottom w:val="none" w:sz="0" w:space="0" w:color="auto"/>
        <w:right w:val="none" w:sz="0" w:space="0" w:color="auto"/>
      </w:divBdr>
    </w:div>
    <w:div w:id="2010280655">
      <w:bodyDiv w:val="1"/>
      <w:marLeft w:val="0"/>
      <w:marRight w:val="0"/>
      <w:marTop w:val="0"/>
      <w:marBottom w:val="0"/>
      <w:divBdr>
        <w:top w:val="none" w:sz="0" w:space="0" w:color="auto"/>
        <w:left w:val="none" w:sz="0" w:space="0" w:color="auto"/>
        <w:bottom w:val="none" w:sz="0" w:space="0" w:color="auto"/>
        <w:right w:val="none" w:sz="0" w:space="0" w:color="auto"/>
      </w:divBdr>
      <w:divsChild>
        <w:div w:id="888224195">
          <w:marLeft w:val="0"/>
          <w:marRight w:val="0"/>
          <w:marTop w:val="0"/>
          <w:marBottom w:val="0"/>
          <w:divBdr>
            <w:top w:val="none" w:sz="0" w:space="0" w:color="auto"/>
            <w:left w:val="none" w:sz="0" w:space="0" w:color="auto"/>
            <w:bottom w:val="none" w:sz="0" w:space="0" w:color="auto"/>
            <w:right w:val="none" w:sz="0" w:space="0" w:color="auto"/>
          </w:divBdr>
        </w:div>
      </w:divsChild>
    </w:div>
    <w:div w:id="2011250208">
      <w:bodyDiv w:val="1"/>
      <w:marLeft w:val="0"/>
      <w:marRight w:val="0"/>
      <w:marTop w:val="0"/>
      <w:marBottom w:val="0"/>
      <w:divBdr>
        <w:top w:val="none" w:sz="0" w:space="0" w:color="auto"/>
        <w:left w:val="none" w:sz="0" w:space="0" w:color="auto"/>
        <w:bottom w:val="none" w:sz="0" w:space="0" w:color="auto"/>
        <w:right w:val="none" w:sz="0" w:space="0" w:color="auto"/>
      </w:divBdr>
    </w:div>
    <w:div w:id="2013212962">
      <w:bodyDiv w:val="1"/>
      <w:marLeft w:val="0"/>
      <w:marRight w:val="0"/>
      <w:marTop w:val="0"/>
      <w:marBottom w:val="0"/>
      <w:divBdr>
        <w:top w:val="none" w:sz="0" w:space="0" w:color="auto"/>
        <w:left w:val="none" w:sz="0" w:space="0" w:color="auto"/>
        <w:bottom w:val="none" w:sz="0" w:space="0" w:color="auto"/>
        <w:right w:val="none" w:sz="0" w:space="0" w:color="auto"/>
      </w:divBdr>
    </w:div>
    <w:div w:id="2053378849">
      <w:bodyDiv w:val="1"/>
      <w:marLeft w:val="0"/>
      <w:marRight w:val="0"/>
      <w:marTop w:val="0"/>
      <w:marBottom w:val="0"/>
      <w:divBdr>
        <w:top w:val="none" w:sz="0" w:space="0" w:color="auto"/>
        <w:left w:val="none" w:sz="0" w:space="0" w:color="auto"/>
        <w:bottom w:val="none" w:sz="0" w:space="0" w:color="auto"/>
        <w:right w:val="none" w:sz="0" w:space="0" w:color="auto"/>
      </w:divBdr>
    </w:div>
    <w:div w:id="2071689267">
      <w:bodyDiv w:val="1"/>
      <w:marLeft w:val="0"/>
      <w:marRight w:val="0"/>
      <w:marTop w:val="0"/>
      <w:marBottom w:val="0"/>
      <w:divBdr>
        <w:top w:val="none" w:sz="0" w:space="0" w:color="auto"/>
        <w:left w:val="none" w:sz="0" w:space="0" w:color="auto"/>
        <w:bottom w:val="none" w:sz="0" w:space="0" w:color="auto"/>
        <w:right w:val="none" w:sz="0" w:space="0" w:color="auto"/>
      </w:divBdr>
    </w:div>
    <w:div w:id="2074742126">
      <w:bodyDiv w:val="1"/>
      <w:marLeft w:val="0"/>
      <w:marRight w:val="0"/>
      <w:marTop w:val="0"/>
      <w:marBottom w:val="0"/>
      <w:divBdr>
        <w:top w:val="none" w:sz="0" w:space="0" w:color="auto"/>
        <w:left w:val="none" w:sz="0" w:space="0" w:color="auto"/>
        <w:bottom w:val="none" w:sz="0" w:space="0" w:color="auto"/>
        <w:right w:val="none" w:sz="0" w:space="0" w:color="auto"/>
      </w:divBdr>
    </w:div>
    <w:div w:id="2076202670">
      <w:bodyDiv w:val="1"/>
      <w:marLeft w:val="0"/>
      <w:marRight w:val="0"/>
      <w:marTop w:val="0"/>
      <w:marBottom w:val="0"/>
      <w:divBdr>
        <w:top w:val="none" w:sz="0" w:space="0" w:color="auto"/>
        <w:left w:val="none" w:sz="0" w:space="0" w:color="auto"/>
        <w:bottom w:val="none" w:sz="0" w:space="0" w:color="auto"/>
        <w:right w:val="none" w:sz="0" w:space="0" w:color="auto"/>
      </w:divBdr>
    </w:div>
    <w:div w:id="207751197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yperlink" Target="https://prodonrgov.sharepoint.com/sites/HOW2Hub/_layouts/15/DocIdRedir.aspx?ID=ONRHH-822789359-20438" TargetMode="Externa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yperlink" Target="https://prodonrgov.sharepoint.com/:w:/r/sites/HOW2Hub/_layouts/15/Doc.aspx?sourcedoc=%7B561675FB-EE50-4B04-CA10-3F0052D29F88%7D&amp;file=NS-TAST-GD-050%20-%20Periodic%20Safety%20Reviews%20(PSR).docx&amp;action=default&amp;mobileredirect=true&amp;DefaultItemOpen=1"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515237502F7343D09816F92BB15C1E0A"/>
        <w:category>
          <w:name w:val="General"/>
          <w:gallery w:val="placeholder"/>
        </w:category>
        <w:types>
          <w:type w:val="bbPlcHdr"/>
        </w:types>
        <w:behaviors>
          <w:behavior w:val="content"/>
        </w:behaviors>
        <w:guid w:val="{AF4D72E7-EF24-4214-A9E8-770122BFA024}"/>
      </w:docPartPr>
      <w:docPartBody>
        <w:p w:rsidR="005F3469" w:rsidRDefault="001B63E7">
          <w:r w:rsidRPr="00AB4796">
            <w:rPr>
              <w:rStyle w:val="PlaceholderText"/>
            </w:rPr>
            <w:t>[Title]</w:t>
          </w:r>
        </w:p>
      </w:docPartBody>
    </w:docPart>
    <w:docPart>
      <w:docPartPr>
        <w:name w:val="BC4F160965914534A77F6CC3686494B5"/>
        <w:category>
          <w:name w:val="General"/>
          <w:gallery w:val="placeholder"/>
        </w:category>
        <w:types>
          <w:type w:val="bbPlcHdr"/>
        </w:types>
        <w:behaviors>
          <w:behavior w:val="content"/>
        </w:behaviors>
        <w:guid w:val="{70A91B4D-BBE5-47DD-9732-9C25EF40C302}"/>
      </w:docPartPr>
      <w:docPartBody>
        <w:p w:rsidR="005F3469" w:rsidRDefault="001B63E7">
          <w:r w:rsidRPr="00AB4796">
            <w:rPr>
              <w:rStyle w:val="PlaceholderText"/>
            </w:rPr>
            <w:t>[Status]</w:t>
          </w:r>
        </w:p>
      </w:docPartBody>
    </w:docPart>
    <w:docPart>
      <w:docPartPr>
        <w:name w:val="3927692E30BC45F8AFCF32D9F96404DC"/>
        <w:category>
          <w:name w:val="General"/>
          <w:gallery w:val="placeholder"/>
        </w:category>
        <w:types>
          <w:type w:val="bbPlcHdr"/>
        </w:types>
        <w:behaviors>
          <w:behavior w:val="content"/>
        </w:behaviors>
        <w:guid w:val="{971C4971-440C-4DD4-9ED7-343CA3796B11}"/>
      </w:docPartPr>
      <w:docPartBody>
        <w:p w:rsidR="005F3469" w:rsidRDefault="001B63E7">
          <w:r w:rsidRPr="00AB4796">
            <w:rPr>
              <w:rStyle w:val="PlaceholderText"/>
            </w:rPr>
            <w:t>[Title]</w:t>
          </w:r>
        </w:p>
      </w:docPartBody>
    </w:docPart>
    <w:docPart>
      <w:docPartPr>
        <w:name w:val="95F559460F5045AAB1855580988E130C"/>
        <w:category>
          <w:name w:val="General"/>
          <w:gallery w:val="placeholder"/>
        </w:category>
        <w:types>
          <w:type w:val="bbPlcHdr"/>
        </w:types>
        <w:behaviors>
          <w:behavior w:val="content"/>
        </w:behaviors>
        <w:guid w:val="{1A762079-8679-4AE0-9648-1C5A1E61C9F4}"/>
      </w:docPartPr>
      <w:docPartBody>
        <w:p w:rsidR="005F3469" w:rsidRDefault="001B63E7">
          <w:r w:rsidRPr="00AB4796">
            <w:rPr>
              <w:rStyle w:val="PlaceholderText"/>
            </w:rPr>
            <w:t>[Status]</w:t>
          </w:r>
        </w:p>
      </w:docPartBody>
    </w:docPart>
    <w:docPart>
      <w:docPartPr>
        <w:name w:val="B1F6EFE0AA3D406E9CA4035CFE535E82"/>
        <w:category>
          <w:name w:val="General"/>
          <w:gallery w:val="placeholder"/>
        </w:category>
        <w:types>
          <w:type w:val="bbPlcHdr"/>
        </w:types>
        <w:behaviors>
          <w:behavior w:val="content"/>
        </w:behaviors>
        <w:guid w:val="{36F9FFA0-F5D2-436D-A31B-DB3F5757A83D}"/>
      </w:docPartPr>
      <w:docPartBody>
        <w:p w:rsidR="00D60867" w:rsidRDefault="00D60867" w:rsidP="00D60867">
          <w:pPr>
            <w:pStyle w:val="B1F6EFE0AA3D406E9CA4035CFE535E82"/>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72F4"/>
    <w:rsid w:val="00060CF8"/>
    <w:rsid w:val="001340CA"/>
    <w:rsid w:val="00142A0D"/>
    <w:rsid w:val="00154EE8"/>
    <w:rsid w:val="00183F29"/>
    <w:rsid w:val="001A06D4"/>
    <w:rsid w:val="001B63E7"/>
    <w:rsid w:val="001B7233"/>
    <w:rsid w:val="001C32F2"/>
    <w:rsid w:val="001C574E"/>
    <w:rsid w:val="001D4DB4"/>
    <w:rsid w:val="002040B2"/>
    <w:rsid w:val="00222ABE"/>
    <w:rsid w:val="00250B17"/>
    <w:rsid w:val="002550FD"/>
    <w:rsid w:val="002C43E7"/>
    <w:rsid w:val="002F167C"/>
    <w:rsid w:val="00333F8E"/>
    <w:rsid w:val="00350199"/>
    <w:rsid w:val="00414298"/>
    <w:rsid w:val="00445E5B"/>
    <w:rsid w:val="00451A7A"/>
    <w:rsid w:val="0046502A"/>
    <w:rsid w:val="005013C6"/>
    <w:rsid w:val="005079AD"/>
    <w:rsid w:val="005502C8"/>
    <w:rsid w:val="005917D1"/>
    <w:rsid w:val="005F1C2C"/>
    <w:rsid w:val="005F3469"/>
    <w:rsid w:val="006B4D2E"/>
    <w:rsid w:val="007154C5"/>
    <w:rsid w:val="00717D06"/>
    <w:rsid w:val="007646EA"/>
    <w:rsid w:val="00764F6F"/>
    <w:rsid w:val="00765F96"/>
    <w:rsid w:val="007D34FC"/>
    <w:rsid w:val="00835E07"/>
    <w:rsid w:val="00841DE5"/>
    <w:rsid w:val="008F5CF6"/>
    <w:rsid w:val="00955113"/>
    <w:rsid w:val="00983916"/>
    <w:rsid w:val="009B6710"/>
    <w:rsid w:val="009C64B6"/>
    <w:rsid w:val="009D40F1"/>
    <w:rsid w:val="009E51F4"/>
    <w:rsid w:val="00A009A6"/>
    <w:rsid w:val="00A56375"/>
    <w:rsid w:val="00A57AFC"/>
    <w:rsid w:val="00A657B0"/>
    <w:rsid w:val="00B0561F"/>
    <w:rsid w:val="00B53D42"/>
    <w:rsid w:val="00B932B2"/>
    <w:rsid w:val="00C06D2E"/>
    <w:rsid w:val="00C17C1E"/>
    <w:rsid w:val="00C41BCC"/>
    <w:rsid w:val="00CD5DF8"/>
    <w:rsid w:val="00CF558D"/>
    <w:rsid w:val="00D05A88"/>
    <w:rsid w:val="00D260C3"/>
    <w:rsid w:val="00D573AE"/>
    <w:rsid w:val="00D60867"/>
    <w:rsid w:val="00D9741A"/>
    <w:rsid w:val="00D97C49"/>
    <w:rsid w:val="00DC0CB8"/>
    <w:rsid w:val="00DD3D1A"/>
    <w:rsid w:val="00DD7BA4"/>
    <w:rsid w:val="00DF636F"/>
    <w:rsid w:val="00E1416F"/>
    <w:rsid w:val="00E27559"/>
    <w:rsid w:val="00E318CE"/>
    <w:rsid w:val="00E34DA6"/>
    <w:rsid w:val="00E435C1"/>
    <w:rsid w:val="00E469B9"/>
    <w:rsid w:val="00E646E1"/>
    <w:rsid w:val="00ED482C"/>
    <w:rsid w:val="00EE4481"/>
    <w:rsid w:val="00F26524"/>
    <w:rsid w:val="00F717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86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B1F6EFE0AA3D406E9CA4035CFE535E82">
    <w:name w:val="B1F6EFE0AA3D406E9CA4035CFE535E82"/>
    <w:rsid w:val="00D6086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e08dad75e210701c7641bd52308ed46">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32699c1f193d15895ade472b8dde3a5d"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TD)"/>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Regulatory Capability Lead"/>
              <xsd:enumeration value="Regulatory Intelligence Lead"/>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IEEE2006OfficeOnline.xsl" StyleName="IEEE" Version="2006">
  <b:Source>
    <b:Tag>ONR46</b:Tag>
    <b:SourceType>DocumentFromInternetSite</b:SourceType>
    <b:Guid>{62767264-37A1-4F62-86B2-4DF5F24E83F1}</b:Guid>
    <b:Author>
      <b:Author>
        <b:Corporate>ONR</b:Corporate>
      </b:Author>
    </b:Author>
    <b:Title>Licence Condition Handbook</b:Title>
    <b:City>https://www.onr.org.uk/media/gixbe2br/licence-condition-handbook.pdf</b:City>
    <b:URL>To ONR staff via HOW2 Hub (Internal ONR system)</b:URL>
    <b:RefOrder>2</b:RefOrder>
  </b:Source>
  <b:Source>
    <b:Tag>Gov1</b:Tag>
    <b:SourceType>ElectronicSource</b:SourceType>
    <b:Guid>{5C9EA7D2-21BA-4E18-AF2A-3AD533191EB8}</b:Guid>
    <b:Author>
      <b:Author>
        <b:Corporate>HM Governement</b:Corporate>
      </b:Author>
    </b:Author>
    <b:Title>Nuclear Safeguards (EU Exit) Regulations 2019</b:Title>
    <b:RefOrder>5</b:RefOrder>
  </b:Source>
  <b:Source>
    <b:Tag>Gov2</b:Tag>
    <b:SourceType>ElectronicSource</b:SourceType>
    <b:Guid>{7FE66F15-AA7B-4040-B0CF-CD77EE39D311}</b:Guid>
    <b:Author>
      <b:Author>
        <b:Corporate>HM Governement</b:Corporate>
      </b:Author>
    </b:Author>
    <b:Title>The Nuclear Industries Security Regulations 2003</b:Title>
    <b:RefOrder>4</b:RefOrder>
  </b:Source>
  <b:Source>
    <b:Tag>ONR2</b:Tag>
    <b:SourceType>DocumentFromInternetSite</b:SourceType>
    <b:Guid>{FE6E47C9-41DD-4D86-855A-D3C19AFA070E}</b:Guid>
    <b:Author>
      <b:Author>
        <b:Corporate>ONR</b:Corporate>
      </b:Author>
    </b:Author>
    <b:Title>ONR-RD-POL-002 - Risk Informed and Targeted Engagements</b:Title>
    <b:URL>To ONR staff via HOW2 Hub (Internal ONR system)</b:URL>
    <b:RefOrder>1</b:RefOrder>
  </b:Source>
  <b:Source>
    <b:Tag>ONR48</b:Tag>
    <b:SourceType>DocumentFromInternetSite</b:SourceType>
    <b:Guid>{411242EC-5704-4DA4-AD28-85A8E84C6C9C}</b:Guid>
    <b:Author>
      <b:Author>
        <b:Corporate>ONR</b:Corporate>
      </b:Author>
    </b:Author>
    <b:Title>NS-TAST-GD-050 - Periodic Safety Review (PSR)</b:Title>
    <b:URL>To ONR staff via HOW2 Hub (Internal ONR system)</b:URL>
    <b:RefOrder>3</b:RefOrder>
  </b:Source>
</b:Sourc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A26594-5E1B-4658-8EF6-65B8C8C434C8}">
  <ds:schemaRefs>
    <ds:schemaRef ds:uri="http://schemas.microsoft.com/sharepoint/events"/>
  </ds:schemaRefs>
</ds:datastoreItem>
</file>

<file path=customXml/itemProps3.xml><?xml version="1.0" encoding="utf-8"?>
<ds:datastoreItem xmlns:ds="http://schemas.openxmlformats.org/officeDocument/2006/customXml" ds:itemID="{AB5479A1-1924-4CAD-95FD-5399E3486340}">
  <ds:schemaRefs>
    <ds:schemaRef ds:uri="Microsoft.SharePoint.Taxonomy.ContentTypeSync"/>
  </ds:schemaRefs>
</ds:datastoreItem>
</file>

<file path=customXml/itemProps4.xml><?xml version="1.0" encoding="utf-8"?>
<ds:datastoreItem xmlns:ds="http://schemas.openxmlformats.org/officeDocument/2006/customXml" ds:itemID="{E182FD65-8A3D-44F5-89DF-EE064E9AD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92CFD0-1D46-42A0-9AA8-2745650DFEDA}">
  <ds:schemaRefs>
    <ds:schemaRef ds:uri="http://schemas.microsoft.com/sharepoint/v3/contenttype/forms"/>
  </ds:schemaRefs>
</ds:datastoreItem>
</file>

<file path=customXml/itemProps6.xml><?xml version="1.0" encoding="utf-8"?>
<ds:datastoreItem xmlns:ds="http://schemas.openxmlformats.org/officeDocument/2006/customXml" ds:itemID="{03BD173B-0899-48B0-A03A-D5AE3F4381D7}">
  <ds:schemaRefs>
    <ds:schemaRef ds:uri="http://schemas.openxmlformats.org/officeDocument/2006/bibliography"/>
  </ds:schemaRefs>
</ds:datastoreItem>
</file>

<file path=customXml/itemProps7.xml><?xml version="1.0" encoding="utf-8"?>
<ds:datastoreItem xmlns:ds="http://schemas.openxmlformats.org/officeDocument/2006/customXml" ds:itemID="{39B0B622-6964-4C98-94D0-69470DD82012}">
  <ds:schemaRefs>
    <ds:schemaRef ds:uri="http://schemas.microsoft.com/office/2006/metadata/properties"/>
    <ds:schemaRef ds:uri="http://schemas.microsoft.com/office/infopath/2007/PartnerControls"/>
    <ds:schemaRef ds:uri="8c4e2855-9588-4bc9-9890-af639bd565eb"/>
    <ds:schemaRef ds:uri="http://schemas.microsoft.com/office/2006/documentManagement/types"/>
    <ds:schemaRef ds:uri="http://www.w3.org/XML/1998/namespace"/>
    <ds:schemaRef ds:uri="http://purl.org/dc/terms/"/>
    <ds:schemaRef ds:uri="http://purl.org/dc/elements/1.1/"/>
    <ds:schemaRef ds:uri="http://purl.org/dc/dcmitype/"/>
    <ds:schemaRef ds:uri="fbd4c4c3-96d4-4265-b68e-6a383a5dca66"/>
    <ds:schemaRef ds:uri="http://schemas.openxmlformats.org/package/2006/metadata/core-properties"/>
    <ds:schemaRef ds:uri="05350e14-297a-489c-ad04-faf6563b232c"/>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2063</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LC15 – Periodic Review</vt:lpstr>
    </vt:vector>
  </TitlesOfParts>
  <Manager>Office for Nuclear Regulation</Manager>
  <Company>Office for Nuclear Regulation</Company>
  <LinksUpToDate>false</LinksUpToDate>
  <CharactersWithSpaces>13801</CharactersWithSpaces>
  <SharedDoc>false</SharedDoc>
  <HLinks>
    <vt:vector size="48" baseType="variant">
      <vt:variant>
        <vt:i4>1703999</vt:i4>
      </vt:variant>
      <vt:variant>
        <vt:i4>44</vt:i4>
      </vt:variant>
      <vt:variant>
        <vt:i4>0</vt:i4>
      </vt:variant>
      <vt:variant>
        <vt:i4>5</vt:i4>
      </vt:variant>
      <vt:variant>
        <vt:lpwstr/>
      </vt:variant>
      <vt:variant>
        <vt:lpwstr>_Toc192257911</vt:lpwstr>
      </vt:variant>
      <vt:variant>
        <vt:i4>1703999</vt:i4>
      </vt:variant>
      <vt:variant>
        <vt:i4>38</vt:i4>
      </vt:variant>
      <vt:variant>
        <vt:i4>0</vt:i4>
      </vt:variant>
      <vt:variant>
        <vt:i4>5</vt:i4>
      </vt:variant>
      <vt:variant>
        <vt:lpwstr/>
      </vt:variant>
      <vt:variant>
        <vt:lpwstr>_Toc192257910</vt:lpwstr>
      </vt:variant>
      <vt:variant>
        <vt:i4>1769535</vt:i4>
      </vt:variant>
      <vt:variant>
        <vt:i4>32</vt:i4>
      </vt:variant>
      <vt:variant>
        <vt:i4>0</vt:i4>
      </vt:variant>
      <vt:variant>
        <vt:i4>5</vt:i4>
      </vt:variant>
      <vt:variant>
        <vt:lpwstr/>
      </vt:variant>
      <vt:variant>
        <vt:lpwstr>_Toc192257909</vt:lpwstr>
      </vt:variant>
      <vt:variant>
        <vt:i4>1769535</vt:i4>
      </vt:variant>
      <vt:variant>
        <vt:i4>26</vt:i4>
      </vt:variant>
      <vt:variant>
        <vt:i4>0</vt:i4>
      </vt:variant>
      <vt:variant>
        <vt:i4>5</vt:i4>
      </vt:variant>
      <vt:variant>
        <vt:lpwstr/>
      </vt:variant>
      <vt:variant>
        <vt:lpwstr>_Toc192257908</vt:lpwstr>
      </vt:variant>
      <vt:variant>
        <vt:i4>1769535</vt:i4>
      </vt:variant>
      <vt:variant>
        <vt:i4>20</vt:i4>
      </vt:variant>
      <vt:variant>
        <vt:i4>0</vt:i4>
      </vt:variant>
      <vt:variant>
        <vt:i4>5</vt:i4>
      </vt:variant>
      <vt:variant>
        <vt:lpwstr/>
      </vt:variant>
      <vt:variant>
        <vt:lpwstr>_Toc192257907</vt:lpwstr>
      </vt:variant>
      <vt:variant>
        <vt:i4>1769535</vt:i4>
      </vt:variant>
      <vt:variant>
        <vt:i4>14</vt:i4>
      </vt:variant>
      <vt:variant>
        <vt:i4>0</vt:i4>
      </vt:variant>
      <vt:variant>
        <vt:i4>5</vt:i4>
      </vt:variant>
      <vt:variant>
        <vt:lpwstr/>
      </vt:variant>
      <vt:variant>
        <vt:lpwstr>_Toc192257906</vt:lpwstr>
      </vt:variant>
      <vt:variant>
        <vt:i4>1769535</vt:i4>
      </vt:variant>
      <vt:variant>
        <vt:i4>8</vt:i4>
      </vt:variant>
      <vt:variant>
        <vt:i4>0</vt:i4>
      </vt:variant>
      <vt:variant>
        <vt:i4>5</vt:i4>
      </vt:variant>
      <vt:variant>
        <vt:lpwstr/>
      </vt:variant>
      <vt:variant>
        <vt:lpwstr>_Toc192257905</vt:lpwstr>
      </vt:variant>
      <vt:variant>
        <vt:i4>1769535</vt:i4>
      </vt:variant>
      <vt:variant>
        <vt:i4>2</vt:i4>
      </vt:variant>
      <vt:variant>
        <vt:i4>0</vt:i4>
      </vt:variant>
      <vt:variant>
        <vt:i4>5</vt:i4>
      </vt:variant>
      <vt:variant>
        <vt:lpwstr/>
      </vt:variant>
      <vt:variant>
        <vt:lpwstr>_Toc192257904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15 – Periodic review</dc:title>
  <dc:subject>[Subtitle or description]</dc:subject>
  <cp:keywords>[Key words separated by commas]</cp:keywords>
  <dc:description/>
  <cp:revision>2</cp:revision>
  <cp:lastPrinted>2016-11-28T19:35:00Z</cp:lastPrinted>
  <dcterms:created xsi:type="dcterms:W3CDTF">2025-12-31T12:56:00Z</dcterms:created>
  <dcterms:modified xsi:type="dcterms:W3CDTF">2025-12-31T12:56:00Z</dcterms:modified>
  <cp:contentStatus>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docLang">
    <vt:lpwstr>en</vt:lpwstr>
  </property>
</Properties>
</file>