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58EFF7F4" w:rsidR="00D0226A" w:rsidRPr="001E03E1" w:rsidRDefault="00816A7C"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82045">
                      <w:rPr>
                        <w:sz w:val="72"/>
                        <w:szCs w:val="72"/>
                      </w:rPr>
                      <w:t xml:space="preserve">LC 14 </w:t>
                    </w:r>
                    <w:r w:rsidR="00915EEC">
                      <w:rPr>
                        <w:sz w:val="72"/>
                        <w:szCs w:val="72"/>
                      </w:rPr>
                      <w:t xml:space="preserve">– </w:t>
                    </w:r>
                    <w:r w:rsidR="00982045">
                      <w:rPr>
                        <w:sz w:val="72"/>
                        <w:szCs w:val="72"/>
                      </w:rPr>
                      <w:t>Safety</w:t>
                    </w:r>
                    <w:r w:rsidR="00915EEC">
                      <w:rPr>
                        <w:sz w:val="72"/>
                        <w:szCs w:val="72"/>
                      </w:rPr>
                      <w:t xml:space="preserve"> d</w:t>
                    </w:r>
                    <w:r w:rsidR="00982045">
                      <w:rPr>
                        <w:sz w:val="72"/>
                        <w:szCs w:val="72"/>
                      </w:rPr>
                      <w:t>ocumentation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43A875A4" w14:textId="7F61F835" w:rsidR="008D49A5" w:rsidRPr="00223090" w:rsidRDefault="008D49A5" w:rsidP="00223090">
      <w:pPr>
        <w:pStyle w:val="Heading1"/>
      </w:pPr>
      <w:bookmarkStart w:id="1" w:name="_Toc219295925"/>
      <w:bookmarkEnd w:id="0"/>
      <w:r w:rsidRPr="00223090">
        <w:lastRenderedPageBreak/>
        <w:t>Introduction</w:t>
      </w:r>
      <w:bookmarkEnd w:id="1"/>
    </w:p>
    <w:p w14:paraId="5AB697E6" w14:textId="1A5DCE16" w:rsidR="00D825DD" w:rsidRPr="00D825DD" w:rsidRDefault="00D825DD" w:rsidP="00332E9C">
      <w:pPr>
        <w:pStyle w:val="F9-Paragraph"/>
      </w:pPr>
      <w:r w:rsidRPr="00D825DD">
        <w:t xml:space="preserve">Technical Inspection Guides (TIGs) assist inspectors in making regulatory judgements and providing advice on licence conditions (LCs). Most LCs are goal setting, leaving the specifics of arrangements to the dutyholder, who is responsible for safety. This guidance aims to support consistent inspection of LC 14 – Safety </w:t>
      </w:r>
      <w:r w:rsidR="00816A7C">
        <w:t>d</w:t>
      </w:r>
      <w:r w:rsidRPr="00D825DD">
        <w:t xml:space="preserve">ocumentation. </w:t>
      </w:r>
    </w:p>
    <w:p w14:paraId="29EE2D85" w14:textId="1807E975" w:rsidR="00D825DD" w:rsidRPr="00D825DD" w:rsidRDefault="00D825DD" w:rsidP="00332E9C">
      <w:pPr>
        <w:pStyle w:val="F9-Paragraph"/>
      </w:pPr>
      <w:r w:rsidRPr="00D825DD">
        <w:t xml:space="preserve">While not exhaustive or mandatory, the guidance offers a clear framework for inspectors to assess the adequacy of compliance. Additional relevant guidance  is available in the Technical Assessment Guide (TAG) on </w:t>
      </w:r>
      <w:r w:rsidR="00816A7C">
        <w:br/>
      </w:r>
      <w:r w:rsidRPr="00D825DD">
        <w:t>“</w:t>
      </w:r>
      <w:hyperlink r:id="rId20" w:history="1">
        <w:r w:rsidRPr="00A7443D">
          <w:rPr>
            <w:rStyle w:val="Hyperlink"/>
          </w:rPr>
          <w:t>The purpose, scope and content of safety cases</w:t>
        </w:r>
      </w:hyperlink>
      <w:r w:rsidRPr="00D825DD">
        <w:t xml:space="preserve">” </w:t>
      </w:r>
      <w:sdt>
        <w:sdtPr>
          <w:id w:val="1171375387"/>
          <w:citation/>
        </w:sdtPr>
        <w:sdtEndPr/>
        <w:sdtContent>
          <w:r w:rsidR="0080005C">
            <w:fldChar w:fldCharType="begin"/>
          </w:r>
          <w:r w:rsidR="00816A7C">
            <w:instrText xml:space="preserve">CITATION ONR52 \l 2057 </w:instrText>
          </w:r>
          <w:r w:rsidR="0080005C">
            <w:fldChar w:fldCharType="separate"/>
          </w:r>
          <w:r w:rsidR="00816A7C" w:rsidRPr="00816A7C">
            <w:rPr>
              <w:noProof/>
            </w:rPr>
            <w:t>[1]</w:t>
          </w:r>
          <w:r w:rsidR="0080005C">
            <w:fldChar w:fldCharType="end"/>
          </w:r>
        </w:sdtContent>
      </w:sdt>
      <w:r w:rsidRPr="00D825DD">
        <w:t>.</w:t>
      </w:r>
    </w:p>
    <w:p w14:paraId="04AB2727" w14:textId="6E8EF505" w:rsidR="00D825DD" w:rsidRPr="00915EEC" w:rsidRDefault="00D825DD" w:rsidP="00332E9C">
      <w:pPr>
        <w:pStyle w:val="F9-Paragraph"/>
        <w:rPr>
          <w:color w:val="22413A"/>
          <w:sz w:val="36"/>
        </w:rPr>
      </w:pPr>
      <w:r w:rsidRPr="00D825DD">
        <w:t xml:space="preserve">Inspectors should also refer to the ONR policy on Risk-Informed and Targeted Engagements (RITE) </w:t>
      </w:r>
      <w:sdt>
        <w:sdtPr>
          <w:id w:val="1524823624"/>
          <w:citation/>
        </w:sdtPr>
        <w:sdtEndPr/>
        <w:sdtContent>
          <w:r w:rsidR="00A66059">
            <w:fldChar w:fldCharType="begin"/>
          </w:r>
          <w:r w:rsidR="00816A7C">
            <w:instrText xml:space="preserve">CITATION ONR53 \l 2057 </w:instrText>
          </w:r>
          <w:r w:rsidR="00A66059">
            <w:fldChar w:fldCharType="separate"/>
          </w:r>
          <w:r w:rsidR="00816A7C" w:rsidRPr="00816A7C">
            <w:rPr>
              <w:noProof/>
            </w:rPr>
            <w:t>[2]</w:t>
          </w:r>
          <w:r w:rsidR="00A66059">
            <w:fldChar w:fldCharType="end"/>
          </w:r>
        </w:sdtContent>
      </w:sdt>
      <w:r w:rsidRPr="00D825DD">
        <w:t>, which guides risk-based prioritisation in regulatory interventions and supports decisions on engaging with dutyholders.</w:t>
      </w:r>
    </w:p>
    <w:p w14:paraId="3A19DAB9" w14:textId="77777777" w:rsidR="00915EEC" w:rsidRPr="00D825DD" w:rsidRDefault="00915EEC" w:rsidP="00915EEC">
      <w:pPr>
        <w:pStyle w:val="F9-Paragraph"/>
        <w:numPr>
          <w:ilvl w:val="0"/>
          <w:numId w:val="0"/>
        </w:numPr>
        <w:ind w:left="851"/>
        <w:rPr>
          <w:color w:val="22413A"/>
          <w:sz w:val="36"/>
        </w:rPr>
      </w:pPr>
    </w:p>
    <w:p w14:paraId="616F197D" w14:textId="68E6B390" w:rsidR="008D49A5" w:rsidRPr="002042C2" w:rsidRDefault="009364AD" w:rsidP="00C16424">
      <w:pPr>
        <w:pStyle w:val="Heading1"/>
      </w:pPr>
      <w:bookmarkStart w:id="2" w:name="_Toc219295926"/>
      <w:r>
        <w:t xml:space="preserve">LC 14 </w:t>
      </w:r>
      <w:r w:rsidR="00915EEC">
        <w:t xml:space="preserve">– </w:t>
      </w:r>
      <w:r>
        <w:t>Safety</w:t>
      </w:r>
      <w:r w:rsidR="00915EEC">
        <w:t xml:space="preserve"> do</w:t>
      </w:r>
      <w:r>
        <w:t>cumentation</w:t>
      </w:r>
      <w:bookmarkEnd w:id="2"/>
    </w:p>
    <w:p w14:paraId="12520E3B" w14:textId="77777777" w:rsidR="00673BAA" w:rsidRPr="00E7084B" w:rsidRDefault="00673BAA" w:rsidP="00332E9C">
      <w:pPr>
        <w:pStyle w:val="F9-Paragraph"/>
      </w:pPr>
      <w:bookmarkStart w:id="3" w:name="_Hlk219293763"/>
      <w:r w:rsidRPr="00E7084B">
        <w:t>The LC states:</w:t>
      </w:r>
    </w:p>
    <w:p w14:paraId="70F8A58D" w14:textId="77777777" w:rsidR="00673BAA" w:rsidRPr="007554E0" w:rsidRDefault="00673BAA" w:rsidP="006250A9">
      <w:pPr>
        <w:pStyle w:val="F9-Paragraph"/>
        <w:numPr>
          <w:ilvl w:val="0"/>
          <w:numId w:val="0"/>
        </w:numPr>
        <w:ind w:left="851"/>
      </w:pPr>
      <w:r>
        <w:t>(1)  Without prejudice to any other requirements of the conditions attached to this licence the licensee</w:t>
      </w:r>
      <w:r w:rsidRPr="00DF63F1">
        <w:t xml:space="preserve"> shall</w:t>
      </w:r>
      <w:r>
        <w:t xml:space="preserve"> make and implement adequate arrangements for the production and assessment of safety cases consisting of documentation to justify safety during the design, construction, manufacture, commissioning, operation and decommissioning phases of the installation.</w:t>
      </w:r>
    </w:p>
    <w:p w14:paraId="0DF4144D" w14:textId="77777777" w:rsidR="00673BAA" w:rsidRPr="007554E0" w:rsidRDefault="00673BAA" w:rsidP="006250A9">
      <w:pPr>
        <w:pStyle w:val="F9-Paragraph"/>
        <w:numPr>
          <w:ilvl w:val="0"/>
          <w:numId w:val="0"/>
        </w:numPr>
        <w:ind w:left="851"/>
      </w:pPr>
      <w:r>
        <w:t>(</w:t>
      </w:r>
      <w:r w:rsidRPr="007554E0">
        <w:t>2</w:t>
      </w:r>
      <w:r>
        <w:t>)</w:t>
      </w:r>
      <w:r w:rsidRPr="007554E0">
        <w:t xml:space="preserve">  </w:t>
      </w:r>
      <w:r w:rsidRPr="00DF63F1">
        <w:t>The licensee</w:t>
      </w:r>
      <w:r>
        <w:t xml:space="preserve"> shall submit to ONR for </w:t>
      </w:r>
      <w:r w:rsidRPr="00590E64">
        <w:rPr>
          <w:shd w:val="clear" w:color="auto" w:fill="DAE49B"/>
        </w:rPr>
        <w:t>approval</w:t>
      </w:r>
      <w:r>
        <w:t xml:space="preserve"> part or such parts of the aforesaid arrangements as ONR may </w:t>
      </w:r>
      <w:r w:rsidRPr="00590E64">
        <w:rPr>
          <w:shd w:val="clear" w:color="auto" w:fill="A3D8E7"/>
        </w:rPr>
        <w:t>specify</w:t>
      </w:r>
      <w:r>
        <w:t>.</w:t>
      </w:r>
    </w:p>
    <w:p w14:paraId="67BB8E09" w14:textId="77777777" w:rsidR="00673BAA" w:rsidRPr="007554E0" w:rsidRDefault="00673BAA" w:rsidP="006250A9">
      <w:pPr>
        <w:pStyle w:val="F9-Paragraph"/>
        <w:numPr>
          <w:ilvl w:val="0"/>
          <w:numId w:val="0"/>
        </w:numPr>
        <w:ind w:left="851"/>
      </w:pPr>
      <w:r>
        <w:t>(</w:t>
      </w:r>
      <w:r w:rsidRPr="007554E0">
        <w:t>3</w:t>
      </w:r>
      <w:r>
        <w:t>)</w:t>
      </w:r>
      <w:r w:rsidRPr="007554E0">
        <w:t xml:space="preserve"> </w:t>
      </w:r>
      <w:r w:rsidRPr="00DF63F1">
        <w:t xml:space="preserve">The licensee shall ensure that once </w:t>
      </w:r>
      <w:r w:rsidRPr="006F7FA0">
        <w:t>approved</w:t>
      </w:r>
      <w:r w:rsidRPr="00DF63F1">
        <w:t xml:space="preserve"> no alteration or amendment is made to </w:t>
      </w:r>
      <w:r>
        <w:t xml:space="preserve">the approved arrangements unless ONR has </w:t>
      </w:r>
      <w:r w:rsidRPr="00016CF9">
        <w:rPr>
          <w:shd w:val="clear" w:color="auto" w:fill="D2E7B5" w:themeFill="accent4" w:themeFillTint="66"/>
        </w:rPr>
        <w:t>approved</w:t>
      </w:r>
      <w:r>
        <w:t xml:space="preserve"> such alteration or amendment.</w:t>
      </w:r>
    </w:p>
    <w:p w14:paraId="2144D4BA" w14:textId="77777777" w:rsidR="00673BAA" w:rsidRDefault="00673BAA" w:rsidP="006250A9">
      <w:pPr>
        <w:pStyle w:val="F9-Paragraph"/>
        <w:numPr>
          <w:ilvl w:val="0"/>
          <w:numId w:val="0"/>
        </w:numPr>
        <w:ind w:left="851"/>
      </w:pPr>
      <w:r>
        <w:t>(</w:t>
      </w:r>
      <w:r w:rsidRPr="007554E0">
        <w:t>4</w:t>
      </w:r>
      <w:r>
        <w:t>)</w:t>
      </w:r>
      <w:r w:rsidRPr="007554E0">
        <w:t xml:space="preserve"> </w:t>
      </w:r>
      <w:r w:rsidRPr="00DF63F1">
        <w:t xml:space="preserve">The licensee shall </w:t>
      </w:r>
      <w:r>
        <w:t>furnish to ONR</w:t>
      </w:r>
      <w:r w:rsidRPr="00DF63F1">
        <w:t xml:space="preserve"> </w:t>
      </w:r>
      <w:r>
        <w:t>copies of any such documentation or any such category of documentation as ONR</w:t>
      </w:r>
      <w:r w:rsidRPr="00DF63F1">
        <w:t xml:space="preserve"> may </w:t>
      </w:r>
      <w:r w:rsidRPr="00590E64">
        <w:rPr>
          <w:shd w:val="clear" w:color="auto" w:fill="A3D8E7"/>
        </w:rPr>
        <w:t>specify</w:t>
      </w:r>
      <w:r w:rsidRPr="007554E0">
        <w:t>.</w:t>
      </w:r>
    </w:p>
    <w:p w14:paraId="36CA3EE9" w14:textId="77777777" w:rsidR="00816A7C" w:rsidRDefault="00816A7C" w:rsidP="004D4763">
      <w:pPr>
        <w:pStyle w:val="Heading1"/>
        <w:sectPr w:rsidR="00816A7C" w:rsidSect="00B23A5E">
          <w:headerReference w:type="even" r:id="rId21"/>
          <w:headerReference w:type="default" r:id="rId22"/>
          <w:footerReference w:type="even" r:id="rId23"/>
          <w:pgSz w:w="11906" w:h="16838" w:code="9"/>
          <w:pgMar w:top="1440" w:right="1440" w:bottom="1440" w:left="1440" w:header="397" w:footer="397" w:gutter="0"/>
          <w:cols w:space="312"/>
          <w:docGrid w:linePitch="360"/>
        </w:sectPr>
      </w:pPr>
      <w:bookmarkStart w:id="4" w:name="_Toc219295927"/>
      <w:bookmarkEnd w:id="3"/>
    </w:p>
    <w:p w14:paraId="546293A4" w14:textId="28535208" w:rsidR="008D49A5" w:rsidRDefault="004D4763" w:rsidP="004D4763">
      <w:pPr>
        <w:pStyle w:val="Heading1"/>
      </w:pPr>
      <w:r>
        <w:lastRenderedPageBreak/>
        <w:t xml:space="preserve">Purpose and </w:t>
      </w:r>
      <w:r w:rsidR="00816A7C">
        <w:t>o</w:t>
      </w:r>
      <w:r>
        <w:t>utcomes of LC 14</w:t>
      </w:r>
      <w:bookmarkEnd w:id="4"/>
    </w:p>
    <w:p w14:paraId="10F95A46" w14:textId="0FEC68B9" w:rsidR="006B08C5" w:rsidRPr="006B08C5" w:rsidRDefault="006B08C5" w:rsidP="00816A7C">
      <w:pPr>
        <w:pStyle w:val="F9-Paragraph"/>
      </w:pPr>
      <w:r w:rsidRPr="006B08C5">
        <w:t>The purpose of LC</w:t>
      </w:r>
      <w:r w:rsidR="00816A7C">
        <w:t xml:space="preserve"> </w:t>
      </w:r>
      <w:r w:rsidRPr="006B08C5">
        <w:t>14 is to ensure that the licensee establishes effective  arrangements for the preparation, assessment and maintenance of the safety related documentation, comprising safety cases, to ensure that the licensee justifies safety during design, construction, manufacture, commissioning, operation and decommissioning. The safety case will comprise a suite of pre-defined safety documentation which in its component parts covers the various project stages and which taken together comprise the safety case for the plant throughout its life.</w:t>
      </w:r>
    </w:p>
    <w:p w14:paraId="4908F6D6" w14:textId="1462087D" w:rsidR="006B08C5" w:rsidRPr="006B08C5" w:rsidRDefault="006B08C5" w:rsidP="00816A7C">
      <w:pPr>
        <w:pStyle w:val="F9-Paragraph"/>
        <w:rPr>
          <w:rFonts w:cs="Times New Roman"/>
          <w:szCs w:val="24"/>
        </w:rPr>
      </w:pPr>
      <w:r w:rsidRPr="006B08C5">
        <w:t>The regulatory outcomes being sought by LC</w:t>
      </w:r>
      <w:r w:rsidR="00816A7C">
        <w:t xml:space="preserve"> </w:t>
      </w:r>
      <w:r w:rsidRPr="006B08C5">
        <w:t>14 are:</w:t>
      </w:r>
    </w:p>
    <w:p w14:paraId="77F24D8D" w14:textId="7DF9B65D" w:rsidR="006B08C5" w:rsidRPr="006B08C5" w:rsidRDefault="006B08C5" w:rsidP="00816A7C">
      <w:pPr>
        <w:pStyle w:val="Bulletlist1"/>
      </w:pPr>
      <w:r w:rsidRPr="006B08C5">
        <w:t>For each phase of an installations life the licensee’s arrangements should specify the format, content and purpose of each safety document and the suitably qualified and experienced persons (SQEP) responsible for its production and maintenance together with those SQEP responsible for control and supervision of implementation of the arrangements.</w:t>
      </w:r>
    </w:p>
    <w:p w14:paraId="259603F3" w14:textId="6FD60FDC" w:rsidR="006B08C5" w:rsidRPr="006B08C5" w:rsidRDefault="006B08C5" w:rsidP="00816A7C">
      <w:pPr>
        <w:pStyle w:val="Bulletlist1"/>
      </w:pPr>
      <w:r w:rsidRPr="006B08C5">
        <w:t>The licensee’s arrangements should demonstrate how safety documents are categorised in accordance with their safety significance</w:t>
      </w:r>
      <w:r w:rsidRPr="006B08C5">
        <w:rPr>
          <w:vertAlign w:val="superscript"/>
        </w:rPr>
        <w:footnoteReference w:id="2"/>
      </w:r>
      <w:r w:rsidRPr="006B08C5">
        <w:t xml:space="preserve">. </w:t>
      </w:r>
    </w:p>
    <w:p w14:paraId="07224025" w14:textId="022B515A" w:rsidR="006B08C5" w:rsidRPr="006B08C5" w:rsidRDefault="006B08C5" w:rsidP="00816A7C">
      <w:pPr>
        <w:pStyle w:val="Bulletlist1"/>
        <w:rPr>
          <w:b/>
        </w:rPr>
      </w:pPr>
      <w:r w:rsidRPr="006B08C5">
        <w:t>The licensee’s arrangements should include provisions for the safety documentation to be written, independently assessed</w:t>
      </w:r>
      <w:r w:rsidRPr="006B08C5">
        <w:rPr>
          <w:vertAlign w:val="superscript"/>
        </w:rPr>
        <w:footnoteReference w:id="3"/>
      </w:r>
      <w:r w:rsidRPr="006B08C5">
        <w:t xml:space="preserve"> and peer reviewed as appropriate. In all cases, the documents should be reviewed</w:t>
      </w:r>
      <w:r w:rsidRPr="006B08C5">
        <w:rPr>
          <w:vertAlign w:val="superscript"/>
        </w:rPr>
        <w:footnoteReference w:id="4"/>
      </w:r>
      <w:r w:rsidRPr="006B08C5">
        <w:t xml:space="preserve"> and approved by staff of an appropriate level within the licensee’s management before the particular activity is started. </w:t>
      </w:r>
    </w:p>
    <w:p w14:paraId="7D5AB6AD" w14:textId="77777777" w:rsidR="00816A7C" w:rsidRDefault="00816A7C" w:rsidP="00816A7C">
      <w:pPr>
        <w:pStyle w:val="F9-Paragraph"/>
        <w:sectPr w:rsidR="00816A7C" w:rsidSect="00B23A5E">
          <w:pgSz w:w="11906" w:h="16838" w:code="9"/>
          <w:pgMar w:top="1440" w:right="1440" w:bottom="1440" w:left="1440" w:header="397" w:footer="397" w:gutter="0"/>
          <w:cols w:space="312"/>
          <w:docGrid w:linePitch="360"/>
        </w:sectPr>
      </w:pPr>
    </w:p>
    <w:p w14:paraId="48038E21" w14:textId="4FA8A8D6" w:rsidR="006B08C5" w:rsidRPr="006B08C5" w:rsidRDefault="006B08C5" w:rsidP="00816A7C">
      <w:pPr>
        <w:pStyle w:val="F9-Paragraph"/>
      </w:pPr>
      <w:r w:rsidRPr="006B08C5">
        <w:lastRenderedPageBreak/>
        <w:t>LC</w:t>
      </w:r>
      <w:r w:rsidR="00816A7C">
        <w:t xml:space="preserve"> </w:t>
      </w:r>
      <w:r w:rsidRPr="006B08C5">
        <w:t>14 is focused on the whole process (i.e. the arrangements) for delivering safety cases during any phase of a facility’s life cycle. Other licence conditions have more explicit requirements on what needs to be produced and why, namely:</w:t>
      </w:r>
    </w:p>
    <w:p w14:paraId="4B7054CA" w14:textId="03A8675E" w:rsidR="006B08C5" w:rsidRPr="006B08C5" w:rsidRDefault="006B08C5" w:rsidP="00816A7C">
      <w:pPr>
        <w:pStyle w:val="Bulletlist1"/>
      </w:pPr>
      <w:r w:rsidRPr="006B08C5">
        <w:t>LC23 (Operating Rules), specifically 23(1), requires a licensee to produce an adequate safety case in respect of any operation that may affect safety;</w:t>
      </w:r>
    </w:p>
    <w:p w14:paraId="2F71AA31" w14:textId="77777777" w:rsidR="006B08C5" w:rsidRPr="006B08C5" w:rsidRDefault="006B08C5" w:rsidP="00816A7C">
      <w:pPr>
        <w:pStyle w:val="Bulletlist1"/>
      </w:pPr>
      <w:r w:rsidRPr="006B08C5">
        <w:t>LC19 (Construction or Installation of New Facility), (4) ‘…</w:t>
      </w:r>
      <w:r w:rsidRPr="006B08C5">
        <w:rPr>
          <w:i/>
          <w:iCs/>
        </w:rPr>
        <w:t>provision of adequate documentation to justify the safety of the proposed construction or installation</w:t>
      </w:r>
      <w:r w:rsidRPr="006B08C5">
        <w:t>..’;</w:t>
      </w:r>
    </w:p>
    <w:p w14:paraId="369AE75A" w14:textId="77777777" w:rsidR="006B08C5" w:rsidRPr="006B08C5" w:rsidRDefault="006B08C5" w:rsidP="00816A7C">
      <w:pPr>
        <w:pStyle w:val="Bulletlist1"/>
      </w:pPr>
      <w:r w:rsidRPr="006B08C5">
        <w:t>LC20 (Modification to Design of Facility under Construction) (4) ‘…provision of adequate documentation to justify the safety of the proposed modification..’;</w:t>
      </w:r>
    </w:p>
    <w:p w14:paraId="6FAA4175" w14:textId="77777777" w:rsidR="006B08C5" w:rsidRPr="006B08C5" w:rsidRDefault="006B08C5" w:rsidP="00816A7C">
      <w:pPr>
        <w:pStyle w:val="Bulletlist1"/>
      </w:pPr>
      <w:r w:rsidRPr="006B08C5">
        <w:t>LC21 (Commissioning); (4) ‘…provision of adequate documentation to justify the safety of the proposed commissioning..’;</w:t>
      </w:r>
    </w:p>
    <w:p w14:paraId="719E1691" w14:textId="77777777" w:rsidR="006B08C5" w:rsidRPr="006B08C5" w:rsidRDefault="006B08C5" w:rsidP="00816A7C">
      <w:pPr>
        <w:pStyle w:val="Bulletlist1"/>
      </w:pPr>
      <w:r w:rsidRPr="006B08C5">
        <w:t>LC22 (Modification or Experiment on Existing Facility), (4) ‘…provision of adequate documentation to justify the safety of the proposed modification or experiment..’;</w:t>
      </w:r>
    </w:p>
    <w:p w14:paraId="58D4BCA0" w14:textId="77777777" w:rsidR="006B08C5" w:rsidRPr="006B08C5" w:rsidRDefault="006B08C5" w:rsidP="00816A7C">
      <w:pPr>
        <w:pStyle w:val="Bulletlist1"/>
      </w:pPr>
      <w:r w:rsidRPr="006B08C5">
        <w:t>LC35 (Decommissioning) (5) ‘…provision of adequate documentation to justify the safety of the proposed decommissioning..’;</w:t>
      </w:r>
    </w:p>
    <w:p w14:paraId="74551B04" w14:textId="77777777" w:rsidR="006B08C5" w:rsidRPr="006B08C5" w:rsidRDefault="006B08C5" w:rsidP="00816A7C">
      <w:pPr>
        <w:pStyle w:val="Bulletlist1"/>
      </w:pPr>
      <w:r w:rsidRPr="006B08C5">
        <w:t>LC15 (Periodic Review) (1) requires a licensee to make and implement adequate arrangements for the periodic and systematic review and reassessment of safety cases.</w:t>
      </w:r>
    </w:p>
    <w:p w14:paraId="73FBF14D" w14:textId="77777777" w:rsidR="00816A7C" w:rsidRDefault="00816A7C" w:rsidP="00223090">
      <w:pPr>
        <w:pStyle w:val="Heading1"/>
        <w:sectPr w:rsidR="00816A7C" w:rsidSect="00B23A5E">
          <w:pgSz w:w="11906" w:h="16838" w:code="9"/>
          <w:pgMar w:top="1440" w:right="1440" w:bottom="1440" w:left="1440" w:header="397" w:footer="397" w:gutter="0"/>
          <w:cols w:space="312"/>
          <w:docGrid w:linePitch="360"/>
        </w:sectPr>
      </w:pPr>
      <w:bookmarkStart w:id="5" w:name="_Toc219295928"/>
    </w:p>
    <w:p w14:paraId="05AAE39A" w14:textId="7A10D981" w:rsidR="008D49A5" w:rsidRDefault="00005CE7" w:rsidP="00223090">
      <w:pPr>
        <w:pStyle w:val="Heading1"/>
      </w:pPr>
      <w:r>
        <w:lastRenderedPageBreak/>
        <w:t xml:space="preserve">Guidance </w:t>
      </w:r>
      <w:r w:rsidR="00BB1E20">
        <w:t>on inspection of LC 14</w:t>
      </w:r>
      <w:bookmarkEnd w:id="5"/>
    </w:p>
    <w:p w14:paraId="3AD2FCEA" w14:textId="27EE5100" w:rsidR="0040447E" w:rsidRPr="0040447E" w:rsidRDefault="0040447E" w:rsidP="00816A7C">
      <w:pPr>
        <w:pStyle w:val="F9-Paragraph"/>
      </w:pPr>
      <w:r w:rsidRPr="0040447E">
        <w:t xml:space="preserve">In judging the adequacy of the arrangements, it is important to sample not only their scope and adequacy, but also their practical implementation, consider how best to theme the inspection to cover both aspects, </w:t>
      </w:r>
      <w:r w:rsidR="00816A7C">
        <w:t>for example,</w:t>
      </w:r>
      <w:r w:rsidRPr="0040447E">
        <w:t xml:space="preserve"> </w:t>
      </w:r>
      <w:r w:rsidR="00816A7C">
        <w:t>c</w:t>
      </w:r>
      <w:r w:rsidRPr="0040447E">
        <w:t xml:space="preserve">ontrol and </w:t>
      </w:r>
      <w:r w:rsidR="00816A7C">
        <w:t>i</w:t>
      </w:r>
      <w:r w:rsidRPr="0040447E">
        <w:t xml:space="preserve">mplementation of </w:t>
      </w:r>
      <w:r w:rsidR="00816A7C">
        <w:t>s</w:t>
      </w:r>
      <w:r w:rsidRPr="0040447E">
        <w:t xml:space="preserve">afety </w:t>
      </w:r>
      <w:r w:rsidR="00816A7C">
        <w:t>c</w:t>
      </w:r>
      <w:r w:rsidRPr="0040447E">
        <w:t>ases could theme LC</w:t>
      </w:r>
      <w:r w:rsidR="00816A7C">
        <w:t xml:space="preserve"> </w:t>
      </w:r>
      <w:r w:rsidRPr="0040447E">
        <w:t xml:space="preserve">14, 15, 23, 24 and 28, for a specific activity. </w:t>
      </w:r>
    </w:p>
    <w:p w14:paraId="4B3D6B62" w14:textId="7CA62BA3" w:rsidR="0040447E" w:rsidRPr="0040447E" w:rsidRDefault="0040447E" w:rsidP="00816A7C">
      <w:pPr>
        <w:pStyle w:val="F9-Paragraph"/>
      </w:pPr>
      <w:r w:rsidRPr="0040447E">
        <w:t>Inspectors should be aware of the licensee’s history regarding safety cases prior to carrying out LC</w:t>
      </w:r>
      <w:r w:rsidR="00816A7C">
        <w:t xml:space="preserve"> </w:t>
      </w:r>
      <w:r w:rsidRPr="0040447E">
        <w:t>14 inspections (discuss this with ONR specialist inspectors, who have undertaken assessment of licensee’s safety submissions). Any notable or persistent shortcomings should inform the scope and depth of the inspection scope.</w:t>
      </w:r>
    </w:p>
    <w:p w14:paraId="0E4D684B" w14:textId="77777777" w:rsidR="0040447E" w:rsidRPr="0040447E" w:rsidRDefault="0040447E" w:rsidP="00816A7C">
      <w:pPr>
        <w:pStyle w:val="F9-Paragraph"/>
        <w:rPr>
          <w:lang w:val="en"/>
        </w:rPr>
      </w:pPr>
      <w:r w:rsidRPr="0040447E">
        <w:t>Consider sampling the arrangements:</w:t>
      </w:r>
    </w:p>
    <w:p w14:paraId="4AA6C8FB" w14:textId="0DE506BA" w:rsidR="0040447E" w:rsidRPr="0040447E" w:rsidRDefault="0040447E" w:rsidP="00816A7C">
      <w:pPr>
        <w:pStyle w:val="Bulletlist1"/>
        <w:rPr>
          <w:lang w:val="en"/>
        </w:rPr>
      </w:pPr>
      <w:r w:rsidRPr="0040447E">
        <w:t>That they cover all the clauses of LC</w:t>
      </w:r>
      <w:r w:rsidR="00816A7C">
        <w:t xml:space="preserve"> </w:t>
      </w:r>
      <w:r w:rsidRPr="0040447E">
        <w:t>14 related to ONR approval of specified arrangements and that these approved arrangements should not be altered or amended unless approved by ONR and that ONR may specify copies of any such documentation or any such category of documentation.</w:t>
      </w:r>
    </w:p>
    <w:p w14:paraId="7B7926D0" w14:textId="587D5FB1" w:rsidR="0040447E" w:rsidRPr="0040447E" w:rsidRDefault="00816A7C" w:rsidP="00816A7C">
      <w:pPr>
        <w:pStyle w:val="Bulletlist1"/>
        <w:rPr>
          <w:lang w:val="en"/>
        </w:rPr>
      </w:pPr>
      <w:r>
        <w:rPr>
          <w:lang w:val="en"/>
        </w:rPr>
        <w:t>Ensure</w:t>
      </w:r>
      <w:r w:rsidR="0040447E" w:rsidRPr="0040447E">
        <w:t xml:space="preserve"> that the impact of any new or revised safety case on all other relevant safety cases is visible, documented, monitored and controlled.</w:t>
      </w:r>
    </w:p>
    <w:p w14:paraId="71D2ED66" w14:textId="765E91F7" w:rsidR="0040447E" w:rsidRPr="0040447E" w:rsidRDefault="0040447E" w:rsidP="00816A7C">
      <w:pPr>
        <w:pStyle w:val="Bulletlist1"/>
        <w:rPr>
          <w:lang w:val="en"/>
        </w:rPr>
      </w:pPr>
      <w:r w:rsidRPr="0040447E">
        <w:t>Require suitably qualified and experienced persons (SQEP) to undertake relevant roles or activities and an overview of any specific training for key roles in the safety case process.</w:t>
      </w:r>
    </w:p>
    <w:p w14:paraId="43EA5B5D" w14:textId="25129570" w:rsidR="0040447E" w:rsidRPr="0040447E" w:rsidRDefault="0040447E" w:rsidP="00816A7C">
      <w:pPr>
        <w:pStyle w:val="Bulletlist1"/>
        <w:rPr>
          <w:lang w:val="en"/>
        </w:rPr>
      </w:pPr>
      <w:r w:rsidRPr="0040447E">
        <w:t>Ensure that contractors used for safety case work are relevant and are SQEP (including criteria for selecting contractors and assessing their competence before, during and after completion of the work).</w:t>
      </w:r>
    </w:p>
    <w:p w14:paraId="10BFDBA0" w14:textId="46D7BB20" w:rsidR="0040447E" w:rsidRPr="0040447E" w:rsidRDefault="00816A7C" w:rsidP="00816A7C">
      <w:pPr>
        <w:pStyle w:val="Bulletlist1"/>
        <w:rPr>
          <w:lang w:val="en"/>
        </w:rPr>
      </w:pPr>
      <w:r>
        <w:rPr>
          <w:lang w:val="en"/>
        </w:rPr>
        <w:t>Include</w:t>
      </w:r>
      <w:r w:rsidR="0040447E" w:rsidRPr="0040447E">
        <w:t xml:space="preserve"> optioneering and development of the safety case strategy as formal elements of the process (rather than an ad-hoc or optional step).</w:t>
      </w:r>
    </w:p>
    <w:p w14:paraId="2B593EA0" w14:textId="1A14F6F3" w:rsidR="0040447E" w:rsidRPr="0040447E" w:rsidRDefault="0040447E" w:rsidP="00816A7C">
      <w:pPr>
        <w:pStyle w:val="Bulletlist1"/>
        <w:rPr>
          <w:lang w:val="en"/>
        </w:rPr>
      </w:pPr>
      <w:r w:rsidRPr="0040447E">
        <w:t xml:space="preserve">That key users of the safety case are engaged in the process and their needs are taken into account.  Key users include operations and maintenance staff and those managers accountable for safety and the safety case. </w:t>
      </w:r>
    </w:p>
    <w:p w14:paraId="19C44E21" w14:textId="315298E7" w:rsidR="0040447E" w:rsidRPr="0040447E" w:rsidRDefault="0040447E" w:rsidP="00816A7C">
      <w:pPr>
        <w:pStyle w:val="Bulletlist1"/>
        <w:rPr>
          <w:lang w:val="en"/>
        </w:rPr>
      </w:pPr>
      <w:r w:rsidRPr="0040447E">
        <w:t>Include a system for classification by safety significance based on hazard which takes due recognition of the work being inadequately conceived or executed.</w:t>
      </w:r>
    </w:p>
    <w:p w14:paraId="1AF5FED7" w14:textId="48C09A7A" w:rsidR="0040447E" w:rsidRPr="0040447E" w:rsidRDefault="0040447E" w:rsidP="00816A7C">
      <w:pPr>
        <w:pStyle w:val="Bulletlist1"/>
        <w:rPr>
          <w:lang w:val="en"/>
        </w:rPr>
      </w:pPr>
      <w:r w:rsidRPr="0040447E">
        <w:t>Include appropriate governance for checking and review of safety cases; and for the endorsement and approval process for safety documentation that is commensurate with its safety significance.</w:t>
      </w:r>
    </w:p>
    <w:p w14:paraId="6A3E3015" w14:textId="1FF31BE1" w:rsidR="0040447E" w:rsidRPr="0040447E" w:rsidRDefault="0040447E" w:rsidP="00816A7C">
      <w:pPr>
        <w:pStyle w:val="Bulletlist1"/>
        <w:rPr>
          <w:lang w:val="en"/>
        </w:rPr>
      </w:pPr>
      <w:r w:rsidRPr="0040447E">
        <w:lastRenderedPageBreak/>
        <w:t>Ensure the licensee maintains and controls safety case supporting documentation and it is readily retrievable.</w:t>
      </w:r>
    </w:p>
    <w:p w14:paraId="6EC77562" w14:textId="4C814D3F" w:rsidR="0040447E" w:rsidRPr="0040447E" w:rsidRDefault="0040447E" w:rsidP="00816A7C">
      <w:pPr>
        <w:pStyle w:val="Bulletlist1"/>
        <w:rPr>
          <w:lang w:val="en"/>
        </w:rPr>
      </w:pPr>
      <w:r w:rsidRPr="0040447E">
        <w:rPr>
          <w:lang w:val="en"/>
        </w:rPr>
        <w:t>Ensure the responsibility for ownership of safety cases is clearly defined.</w:t>
      </w:r>
      <w:r w:rsidRPr="0040447E">
        <w:t xml:space="preserve"> </w:t>
      </w:r>
    </w:p>
    <w:p w14:paraId="74EF360C" w14:textId="263FC073" w:rsidR="0040447E" w:rsidRPr="0040447E" w:rsidRDefault="0040447E" w:rsidP="00816A7C">
      <w:pPr>
        <w:pStyle w:val="Bulletlist1"/>
        <w:rPr>
          <w:lang w:val="en"/>
        </w:rPr>
      </w:pPr>
      <w:r w:rsidRPr="0040447E">
        <w:t>Identifies a Process Owner for LC</w:t>
      </w:r>
      <w:r w:rsidR="00816A7C">
        <w:t xml:space="preserve"> </w:t>
      </w:r>
      <w:r w:rsidRPr="0040447E">
        <w:t>14 arrangements, with responsibility for the whole safety case process, to ensure the process is continually monitored, reviewed and improved.</w:t>
      </w:r>
    </w:p>
    <w:p w14:paraId="17F95788" w14:textId="1A5DB6F9" w:rsidR="0040447E" w:rsidRPr="0040447E" w:rsidRDefault="0040447E" w:rsidP="00816A7C">
      <w:pPr>
        <w:pStyle w:val="Bulletlist1"/>
        <w:rPr>
          <w:lang w:val="en"/>
        </w:rPr>
      </w:pPr>
      <w:r w:rsidRPr="0040447E">
        <w:rPr>
          <w:lang w:val="en"/>
        </w:rPr>
        <w:t>Learning from reviews, including external reviews</w:t>
      </w:r>
      <w:r w:rsidR="00816A7C">
        <w:rPr>
          <w:lang w:val="en"/>
        </w:rPr>
        <w:t>, for example,</w:t>
      </w:r>
      <w:r w:rsidRPr="0040447E">
        <w:rPr>
          <w:lang w:val="en"/>
        </w:rPr>
        <w:t xml:space="preserve"> NIMROD </w:t>
      </w:r>
      <w:sdt>
        <w:sdtPr>
          <w:rPr>
            <w:lang w:val="en"/>
          </w:rPr>
          <w:id w:val="1695812895"/>
          <w:citation/>
        </w:sdtPr>
        <w:sdtEndPr/>
        <w:sdtContent>
          <w:r w:rsidRPr="0040447E">
            <w:rPr>
              <w:lang w:val="en"/>
            </w:rPr>
            <w:fldChar w:fldCharType="begin"/>
          </w:r>
          <w:r w:rsidR="00816A7C">
            <w:instrText xml:space="preserve">CITATION Gov4 \l 2057 </w:instrText>
          </w:r>
          <w:r w:rsidRPr="0040447E">
            <w:rPr>
              <w:lang w:val="en"/>
            </w:rPr>
            <w:fldChar w:fldCharType="separate"/>
          </w:r>
          <w:r w:rsidR="00816A7C" w:rsidRPr="00816A7C">
            <w:rPr>
              <w:noProof/>
              <w:lang w:val="en"/>
            </w:rPr>
            <w:t>[3]</w:t>
          </w:r>
          <w:r w:rsidRPr="0040447E">
            <w:rPr>
              <w:lang w:val="en"/>
            </w:rPr>
            <w:fldChar w:fldCharType="end"/>
          </w:r>
        </w:sdtContent>
      </w:sdt>
      <w:r w:rsidRPr="0040447E">
        <w:rPr>
          <w:lang w:val="en"/>
        </w:rPr>
        <w:t xml:space="preserve"> are incorporated into the arrangements.</w:t>
      </w:r>
    </w:p>
    <w:p w14:paraId="539FC8E8" w14:textId="18413245" w:rsidR="0040447E" w:rsidRPr="0040447E" w:rsidRDefault="0040447E" w:rsidP="00816A7C">
      <w:pPr>
        <w:pStyle w:val="Bulletlist1"/>
      </w:pPr>
      <w:r w:rsidRPr="0040447E">
        <w:t xml:space="preserve">Should include clear interfaces between the licensee and ONR, ensuring programmes allow sufficient time for ONR assessment of safety submissions, and identifying interfaces with other relevant regulators </w:t>
      </w:r>
      <w:r w:rsidR="00816A7C">
        <w:br/>
      </w:r>
      <w:r w:rsidRPr="0040447E">
        <w:t>(as necessary)</w:t>
      </w:r>
      <w:r w:rsidR="00D710EF">
        <w:t>.</w:t>
      </w:r>
    </w:p>
    <w:p w14:paraId="6E3DB28E" w14:textId="62E17BF0" w:rsidR="00A1313B" w:rsidRPr="00A1313B" w:rsidRDefault="00A1313B" w:rsidP="00816A7C">
      <w:pPr>
        <w:pStyle w:val="F9-Paragraph"/>
      </w:pPr>
      <w:r w:rsidRPr="00A1313B">
        <w:t>Consider sampling the implementation of the arrangements, by discussing with key roles</w:t>
      </w:r>
      <w:r w:rsidR="00816A7C">
        <w:t xml:space="preserve">, </w:t>
      </w:r>
      <w:r w:rsidR="00816A7C">
        <w:t xml:space="preserve">for example, </w:t>
      </w:r>
      <w:r w:rsidRPr="00A1313B">
        <w:t>process owner, safety case manager, safety case authors, verifiers, independent reviewers, NSC members (including independents), facility / safety case owner, operations and maintenance staff:</w:t>
      </w:r>
    </w:p>
    <w:p w14:paraId="4FF7EF77" w14:textId="56A30D29" w:rsidR="00A1313B" w:rsidRPr="00A1313B" w:rsidRDefault="00A1313B" w:rsidP="00816A7C">
      <w:pPr>
        <w:pStyle w:val="Bulletlist1"/>
        <w:rPr>
          <w:lang w:val="en"/>
        </w:rPr>
      </w:pPr>
      <w:r w:rsidRPr="00A1313B">
        <w:t>Head document that defines the whole safety case process, the different elements and their purpose and key roles (</w:t>
      </w:r>
      <w:r w:rsidR="00816A7C">
        <w:t xml:space="preserve">for example, </w:t>
      </w:r>
      <w:r w:rsidRPr="00A1313B">
        <w:t xml:space="preserve">Process Owner).  </w:t>
      </w:r>
      <w:r w:rsidR="00816A7C">
        <w:br/>
      </w:r>
      <w:r w:rsidRPr="00A1313B">
        <w:t>Some licensees call this type of document the Safety Case Manual or Process Manual.  This document should also identify key potential failure modes and defences within the process, in line with SAP  SC.1</w:t>
      </w:r>
      <w:r w:rsidRPr="00A1313B">
        <w:rPr>
          <w:vertAlign w:val="superscript"/>
        </w:rPr>
        <w:footnoteReference w:id="5"/>
      </w:r>
      <w:r w:rsidR="00816A7C" w:rsidRPr="00816A7C">
        <w:t xml:space="preserve"> </w:t>
      </w:r>
      <w:sdt>
        <w:sdtPr>
          <w:id w:val="2103366615"/>
          <w:citation/>
        </w:sdtPr>
        <w:sdtContent>
          <w:r w:rsidR="00816A7C" w:rsidRPr="00A1313B">
            <w:fldChar w:fldCharType="begin"/>
          </w:r>
          <w:r w:rsidR="00816A7C">
            <w:instrText xml:space="preserve">CITATION ONR49 \l 2057 </w:instrText>
          </w:r>
          <w:r w:rsidR="00816A7C" w:rsidRPr="00A1313B">
            <w:fldChar w:fldCharType="separate"/>
          </w:r>
          <w:r w:rsidR="00816A7C" w:rsidRPr="00816A7C">
            <w:rPr>
              <w:noProof/>
            </w:rPr>
            <w:t>[4]</w:t>
          </w:r>
          <w:r w:rsidR="00816A7C" w:rsidRPr="00A1313B">
            <w:fldChar w:fldCharType="end"/>
          </w:r>
        </w:sdtContent>
      </w:sdt>
      <w:r w:rsidRPr="00A1313B">
        <w:t>.</w:t>
      </w:r>
    </w:p>
    <w:p w14:paraId="75AA8810" w14:textId="47E2F4ED" w:rsidR="00A1313B" w:rsidRPr="00A1313B" w:rsidRDefault="00A1313B" w:rsidP="00816A7C">
      <w:pPr>
        <w:pStyle w:val="Bulletlist1"/>
        <w:rPr>
          <w:lang w:val="en"/>
        </w:rPr>
      </w:pPr>
      <w:r w:rsidRPr="00A1313B">
        <w:t>Governance arrangements of safety documentation and the overview of the developing whole safety case. How technical peer review and independent assessment findings have been considered, captured and sentenced.</w:t>
      </w:r>
    </w:p>
    <w:p w14:paraId="762B0E68" w14:textId="2D1EBB55" w:rsidR="00A1313B" w:rsidRPr="00B045CF" w:rsidRDefault="00A1313B" w:rsidP="00816A7C">
      <w:pPr>
        <w:pStyle w:val="Bulletlist1"/>
      </w:pPr>
      <w:r w:rsidRPr="00A1313B">
        <w:t>How the licensee monitors, reviews and improves the process, including how operating experience and learning processes ensure that information from events and near misses is fed back into both existing and developing safety cases.</w:t>
      </w:r>
    </w:p>
    <w:p w14:paraId="17F1A033" w14:textId="77777777" w:rsidR="00816A7C" w:rsidRDefault="00816A7C" w:rsidP="00816A7C">
      <w:pPr>
        <w:pStyle w:val="Bulletlist1"/>
        <w:sectPr w:rsidR="00816A7C" w:rsidSect="00B23A5E">
          <w:pgSz w:w="11906" w:h="16838" w:code="9"/>
          <w:pgMar w:top="1440" w:right="1440" w:bottom="1440" w:left="1440" w:header="397" w:footer="397" w:gutter="0"/>
          <w:cols w:space="312"/>
          <w:docGrid w:linePitch="360"/>
        </w:sectPr>
      </w:pPr>
    </w:p>
    <w:p w14:paraId="34EDDED8" w14:textId="42E12649" w:rsidR="00A1313B" w:rsidRPr="00A1313B" w:rsidRDefault="00816A7C" w:rsidP="00816A7C">
      <w:pPr>
        <w:pStyle w:val="Bulletlist1"/>
      </w:pPr>
      <w:r>
        <w:lastRenderedPageBreak/>
        <w:t>A</w:t>
      </w:r>
      <w:r w:rsidR="00A1313B" w:rsidRPr="00A1313B">
        <w:t xml:space="preserve"> robust safety case process is dependent upon a good safety culture and that the different steps in the process are seen to be important defences that help ensure safety and not as obstacles that need to be overcome (especially when the pressure is on).  Recognition of this from key roles and their ability to raise issues, have time to review the safety documentation and to discuss it with those it impacts are all lines of questions to inform a view on the safety culture along with the TIG ‘Organisational culture guide for inspectors’ </w:t>
      </w:r>
      <w:sdt>
        <w:sdtPr>
          <w:id w:val="-307247366"/>
          <w:citation/>
        </w:sdtPr>
        <w:sdtEndPr/>
        <w:sdtContent>
          <w:r w:rsidR="00A1313B" w:rsidRPr="00A1313B">
            <w:fldChar w:fldCharType="begin"/>
          </w:r>
          <w:r>
            <w:instrText xml:space="preserve">CITATION ONR50 \l 2057 </w:instrText>
          </w:r>
          <w:r w:rsidR="00A1313B" w:rsidRPr="00A1313B">
            <w:fldChar w:fldCharType="separate"/>
          </w:r>
          <w:r w:rsidRPr="00816A7C">
            <w:rPr>
              <w:noProof/>
            </w:rPr>
            <w:t>[5]</w:t>
          </w:r>
          <w:r w:rsidR="00A1313B" w:rsidRPr="00A1313B">
            <w:fldChar w:fldCharType="end"/>
          </w:r>
        </w:sdtContent>
      </w:sdt>
      <w:r w:rsidR="00A1313B" w:rsidRPr="00A1313B">
        <w:t xml:space="preserve">. </w:t>
      </w:r>
    </w:p>
    <w:p w14:paraId="248AE068" w14:textId="04292973" w:rsidR="00A1313B" w:rsidRPr="00A1313B" w:rsidRDefault="00A1313B" w:rsidP="00816A7C">
      <w:pPr>
        <w:pStyle w:val="Bulletlist1"/>
        <w:rPr>
          <w:lang w:val="en"/>
        </w:rPr>
      </w:pPr>
      <w:r w:rsidRPr="00A1313B">
        <w:t>LC</w:t>
      </w:r>
      <w:r w:rsidR="00816A7C">
        <w:t xml:space="preserve"> </w:t>
      </w:r>
      <w:r w:rsidRPr="00A1313B">
        <w:t>14 applies to the licensee, not just to a licensed site.  Activities undertaken by a licensee in connection with LC</w:t>
      </w:r>
      <w:r w:rsidR="00816A7C">
        <w:t xml:space="preserve"> </w:t>
      </w:r>
      <w:r w:rsidRPr="00A1313B">
        <w:t xml:space="preserve">14 at locations away from site (e.g. corporate headquarters, technical centre, design office) are subject to the requirements of the arrangements. </w:t>
      </w:r>
    </w:p>
    <w:p w14:paraId="2BFCEDB0" w14:textId="216FC7CD" w:rsidR="00D60BCB" w:rsidRDefault="00A1313B" w:rsidP="00816A7C">
      <w:pPr>
        <w:pStyle w:val="Bulletlist1"/>
      </w:pPr>
      <w:r w:rsidRPr="00A1313B">
        <w:t xml:space="preserve">Licensees often use contractors or agency staff in the production or review of safety cases.  Inspectors should establish where, how and to what extent the licensee uses contractors. The licensee should be able to demonstrate that Intelligent Customer </w:t>
      </w:r>
      <w:sdt>
        <w:sdtPr>
          <w:id w:val="-1448002112"/>
          <w:citation/>
        </w:sdtPr>
        <w:sdtEndPr/>
        <w:sdtContent>
          <w:r w:rsidRPr="00A1313B">
            <w:fldChar w:fldCharType="begin"/>
          </w:r>
          <w:r w:rsidR="00816A7C">
            <w:instrText xml:space="preserve">CITATION ONR51 \l 2057 </w:instrText>
          </w:r>
          <w:r w:rsidRPr="00A1313B">
            <w:fldChar w:fldCharType="separate"/>
          </w:r>
          <w:r w:rsidR="00816A7C" w:rsidRPr="00816A7C">
            <w:rPr>
              <w:noProof/>
            </w:rPr>
            <w:t>[6]</w:t>
          </w:r>
          <w:r w:rsidRPr="00A1313B">
            <w:fldChar w:fldCharType="end"/>
          </w:r>
        </w:sdtContent>
      </w:sdt>
      <w:r w:rsidRPr="00A1313B">
        <w:t xml:space="preserve"> requirements are being met.</w:t>
      </w:r>
    </w:p>
    <w:p w14:paraId="6BA43501" w14:textId="32DFD445" w:rsidR="00502E6E" w:rsidRDefault="00502E6E">
      <w:pPr>
        <w:spacing w:after="0" w:line="240" w:lineRule="auto"/>
        <w:rPr>
          <w:bCs/>
        </w:rPr>
      </w:pPr>
    </w:p>
    <w:bookmarkStart w:id="6" w:name="_Toc219295929" w:displacedByCustomXml="next"/>
    <w:sdt>
      <w:sdtPr>
        <w:rPr>
          <w:color w:val="auto"/>
          <w:sz w:val="24"/>
        </w:rPr>
        <w:id w:val="-652758001"/>
        <w:docPartObj>
          <w:docPartGallery w:val="Bibliographies"/>
          <w:docPartUnique/>
        </w:docPartObj>
      </w:sdtPr>
      <w:sdtEndPr/>
      <w:sdtContent>
        <w:p w14:paraId="5F37DAE5" w14:textId="77777777" w:rsidR="002042C2" w:rsidRDefault="002042C2" w:rsidP="002042C2">
          <w:pPr>
            <w:pStyle w:val="Heading1"/>
            <w:numPr>
              <w:ilvl w:val="0"/>
              <w:numId w:val="0"/>
            </w:numPr>
            <w:ind w:left="851" w:hanging="851"/>
          </w:pPr>
          <w:r>
            <w:t>References</w:t>
          </w:r>
          <w:bookmarkEnd w:id="6"/>
        </w:p>
        <w:sdt>
          <w:sdtPr>
            <w:id w:val="-573587230"/>
            <w:bibliography/>
          </w:sdtPr>
          <w:sdtEndPr/>
          <w:sdtContent>
            <w:p w14:paraId="2AB81941" w14:textId="77777777" w:rsidR="00816A7C" w:rsidRDefault="002042C2" w:rsidP="00502E6E">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816A7C" w14:paraId="2E1504B8" w14:textId="77777777">
                <w:trPr>
                  <w:divId w:val="2043239026"/>
                  <w:tblCellSpacing w:w="15" w:type="dxa"/>
                </w:trPr>
                <w:tc>
                  <w:tcPr>
                    <w:tcW w:w="50" w:type="pct"/>
                    <w:hideMark/>
                  </w:tcPr>
                  <w:p w14:paraId="6D56AC07" w14:textId="79EA4077" w:rsidR="00816A7C" w:rsidRDefault="00816A7C">
                    <w:pPr>
                      <w:pStyle w:val="Bibliography"/>
                      <w:rPr>
                        <w:noProof/>
                        <w:szCs w:val="24"/>
                      </w:rPr>
                    </w:pPr>
                    <w:r>
                      <w:rPr>
                        <w:noProof/>
                      </w:rPr>
                      <w:t xml:space="preserve">[1] </w:t>
                    </w:r>
                  </w:p>
                </w:tc>
                <w:tc>
                  <w:tcPr>
                    <w:tcW w:w="0" w:type="auto"/>
                    <w:hideMark/>
                  </w:tcPr>
                  <w:p w14:paraId="31128214" w14:textId="77777777" w:rsidR="00816A7C" w:rsidRDefault="00816A7C">
                    <w:pPr>
                      <w:pStyle w:val="Bibliography"/>
                      <w:rPr>
                        <w:noProof/>
                      </w:rPr>
                    </w:pPr>
                    <w:r>
                      <w:rPr>
                        <w:noProof/>
                      </w:rPr>
                      <w:t>ONR, “NS-TAST-GD-051 - The purpose, content and scope of safety cases,” [Online]. Available: ONR website.</w:t>
                    </w:r>
                  </w:p>
                </w:tc>
              </w:tr>
              <w:tr w:rsidR="00816A7C" w14:paraId="3D888C46" w14:textId="77777777">
                <w:trPr>
                  <w:divId w:val="2043239026"/>
                  <w:tblCellSpacing w:w="15" w:type="dxa"/>
                </w:trPr>
                <w:tc>
                  <w:tcPr>
                    <w:tcW w:w="50" w:type="pct"/>
                    <w:hideMark/>
                  </w:tcPr>
                  <w:p w14:paraId="7762DD4F" w14:textId="77777777" w:rsidR="00816A7C" w:rsidRDefault="00816A7C">
                    <w:pPr>
                      <w:pStyle w:val="Bibliography"/>
                      <w:rPr>
                        <w:noProof/>
                      </w:rPr>
                    </w:pPr>
                    <w:r>
                      <w:rPr>
                        <w:noProof/>
                      </w:rPr>
                      <w:t xml:space="preserve">[2] </w:t>
                    </w:r>
                  </w:p>
                </w:tc>
                <w:tc>
                  <w:tcPr>
                    <w:tcW w:w="0" w:type="auto"/>
                    <w:hideMark/>
                  </w:tcPr>
                  <w:p w14:paraId="26D11111" w14:textId="77777777" w:rsidR="00816A7C" w:rsidRDefault="00816A7C">
                    <w:pPr>
                      <w:pStyle w:val="Bibliography"/>
                      <w:rPr>
                        <w:noProof/>
                      </w:rPr>
                    </w:pPr>
                    <w:r>
                      <w:rPr>
                        <w:noProof/>
                      </w:rPr>
                      <w:t>ONR, “ONR-RD-POL-002 - Risk-Informed and Targeted Engagements (RITE) Policy,” [Online]. Available: ONR website.</w:t>
                    </w:r>
                  </w:p>
                </w:tc>
              </w:tr>
              <w:tr w:rsidR="00816A7C" w14:paraId="702B086D" w14:textId="77777777">
                <w:trPr>
                  <w:divId w:val="2043239026"/>
                  <w:tblCellSpacing w:w="15" w:type="dxa"/>
                </w:trPr>
                <w:tc>
                  <w:tcPr>
                    <w:tcW w:w="50" w:type="pct"/>
                    <w:hideMark/>
                  </w:tcPr>
                  <w:p w14:paraId="3A7A1DC4" w14:textId="77777777" w:rsidR="00816A7C" w:rsidRDefault="00816A7C">
                    <w:pPr>
                      <w:pStyle w:val="Bibliography"/>
                      <w:rPr>
                        <w:noProof/>
                      </w:rPr>
                    </w:pPr>
                    <w:r>
                      <w:rPr>
                        <w:noProof/>
                      </w:rPr>
                      <w:t xml:space="preserve">[3] </w:t>
                    </w:r>
                  </w:p>
                </w:tc>
                <w:tc>
                  <w:tcPr>
                    <w:tcW w:w="0" w:type="auto"/>
                    <w:hideMark/>
                  </w:tcPr>
                  <w:p w14:paraId="79D4B4DA" w14:textId="77777777" w:rsidR="00816A7C" w:rsidRDefault="00816A7C">
                    <w:pPr>
                      <w:pStyle w:val="Bibliography"/>
                      <w:rPr>
                        <w:noProof/>
                      </w:rPr>
                    </w:pPr>
                    <w:r>
                      <w:rPr>
                        <w:noProof/>
                      </w:rPr>
                      <w:t>C. Haddon-Cave (QC), “The Nimrod Review: an independent review into the broader issues surrounding the loss of the RAF Nimrod MR2 aircraft XV230 in Afghanistan in 2006,,” October 2009. [Online]. Available: https://www.gov.uk/government/publications/the-nimrod-review.</w:t>
                    </w:r>
                  </w:p>
                </w:tc>
              </w:tr>
              <w:tr w:rsidR="00816A7C" w14:paraId="4DF4C963" w14:textId="77777777">
                <w:trPr>
                  <w:divId w:val="2043239026"/>
                  <w:tblCellSpacing w:w="15" w:type="dxa"/>
                </w:trPr>
                <w:tc>
                  <w:tcPr>
                    <w:tcW w:w="50" w:type="pct"/>
                    <w:hideMark/>
                  </w:tcPr>
                  <w:p w14:paraId="3DEF39E7" w14:textId="77777777" w:rsidR="00816A7C" w:rsidRDefault="00816A7C">
                    <w:pPr>
                      <w:pStyle w:val="Bibliography"/>
                      <w:rPr>
                        <w:noProof/>
                      </w:rPr>
                    </w:pPr>
                    <w:r>
                      <w:rPr>
                        <w:noProof/>
                      </w:rPr>
                      <w:t xml:space="preserve">[4] </w:t>
                    </w:r>
                  </w:p>
                </w:tc>
                <w:tc>
                  <w:tcPr>
                    <w:tcW w:w="0" w:type="auto"/>
                    <w:hideMark/>
                  </w:tcPr>
                  <w:p w14:paraId="1D8D39F2" w14:textId="77777777" w:rsidR="00816A7C" w:rsidRDefault="00816A7C">
                    <w:pPr>
                      <w:pStyle w:val="Bibliography"/>
                      <w:rPr>
                        <w:noProof/>
                      </w:rPr>
                    </w:pPr>
                    <w:r>
                      <w:rPr>
                        <w:noProof/>
                      </w:rPr>
                      <w:t>ONR, “Safety Assessment Principles (2014 Edition Revision 1)”.</w:t>
                    </w:r>
                  </w:p>
                </w:tc>
              </w:tr>
              <w:tr w:rsidR="00816A7C" w14:paraId="456BF806" w14:textId="77777777">
                <w:trPr>
                  <w:divId w:val="2043239026"/>
                  <w:tblCellSpacing w:w="15" w:type="dxa"/>
                </w:trPr>
                <w:tc>
                  <w:tcPr>
                    <w:tcW w:w="50" w:type="pct"/>
                    <w:hideMark/>
                  </w:tcPr>
                  <w:p w14:paraId="42DEB7F3" w14:textId="77777777" w:rsidR="00816A7C" w:rsidRDefault="00816A7C">
                    <w:pPr>
                      <w:pStyle w:val="Bibliography"/>
                      <w:rPr>
                        <w:noProof/>
                      </w:rPr>
                    </w:pPr>
                    <w:r>
                      <w:rPr>
                        <w:noProof/>
                      </w:rPr>
                      <w:t xml:space="preserve">[5] </w:t>
                    </w:r>
                  </w:p>
                </w:tc>
                <w:tc>
                  <w:tcPr>
                    <w:tcW w:w="0" w:type="auto"/>
                    <w:hideMark/>
                  </w:tcPr>
                  <w:p w14:paraId="7543CF13" w14:textId="77777777" w:rsidR="00816A7C" w:rsidRDefault="00816A7C">
                    <w:pPr>
                      <w:pStyle w:val="Bibliography"/>
                      <w:rPr>
                        <w:noProof/>
                      </w:rPr>
                    </w:pPr>
                    <w:r>
                      <w:rPr>
                        <w:noProof/>
                      </w:rPr>
                      <w:t>ONR, “NS-INSP-GD-070 - Organisational culture guide for inspectors,” [Online]. Available: ONR website.</w:t>
                    </w:r>
                  </w:p>
                </w:tc>
              </w:tr>
              <w:tr w:rsidR="00816A7C" w14:paraId="536203AD" w14:textId="77777777">
                <w:trPr>
                  <w:divId w:val="2043239026"/>
                  <w:tblCellSpacing w:w="15" w:type="dxa"/>
                </w:trPr>
                <w:tc>
                  <w:tcPr>
                    <w:tcW w:w="50" w:type="pct"/>
                    <w:hideMark/>
                  </w:tcPr>
                  <w:p w14:paraId="5A16DC37" w14:textId="77777777" w:rsidR="00816A7C" w:rsidRDefault="00816A7C">
                    <w:pPr>
                      <w:pStyle w:val="Bibliography"/>
                      <w:rPr>
                        <w:noProof/>
                      </w:rPr>
                    </w:pPr>
                    <w:r>
                      <w:rPr>
                        <w:noProof/>
                      </w:rPr>
                      <w:t xml:space="preserve">[6] </w:t>
                    </w:r>
                  </w:p>
                </w:tc>
                <w:tc>
                  <w:tcPr>
                    <w:tcW w:w="0" w:type="auto"/>
                    <w:hideMark/>
                  </w:tcPr>
                  <w:p w14:paraId="3A0B023F" w14:textId="77777777" w:rsidR="00816A7C" w:rsidRDefault="00816A7C">
                    <w:pPr>
                      <w:pStyle w:val="Bibliography"/>
                      <w:rPr>
                        <w:noProof/>
                      </w:rPr>
                    </w:pPr>
                    <w:r>
                      <w:rPr>
                        <w:noProof/>
                      </w:rPr>
                      <w:t>ONR, “Licensee Core Safety and Intelligent Customer Capabilities NS-TAST-GD-049”.</w:t>
                    </w:r>
                  </w:p>
                </w:tc>
              </w:tr>
            </w:tbl>
            <w:p w14:paraId="7233E70D" w14:textId="77777777" w:rsidR="00816A7C" w:rsidRDefault="00816A7C">
              <w:pPr>
                <w:divId w:val="2043239026"/>
                <w:rPr>
                  <w:rFonts w:eastAsia="Times New Roman"/>
                  <w:noProof/>
                </w:rPr>
              </w:pPr>
            </w:p>
            <w:p w14:paraId="197376BB" w14:textId="271AE6C7" w:rsidR="00084ABE" w:rsidRDefault="002042C2" w:rsidP="00502E6E">
              <w:r>
                <w:rPr>
                  <w:b/>
                  <w:bCs/>
                  <w:noProof/>
                </w:rPr>
                <w:fldChar w:fldCharType="end"/>
              </w:r>
            </w:p>
          </w:sdtContent>
        </w:sdt>
      </w:sdtContent>
    </w:sdt>
    <w:p w14:paraId="07D791C5" w14:textId="07AF2B13" w:rsidR="00930E37" w:rsidRPr="00595C8C" w:rsidRDefault="00930E37" w:rsidP="00930E37">
      <w:pPr>
        <w:pStyle w:val="Heading1"/>
        <w:numPr>
          <w:ilvl w:val="0"/>
          <w:numId w:val="0"/>
        </w:numPr>
        <w:ind w:left="851" w:hanging="851"/>
      </w:pPr>
      <w:bookmarkStart w:id="7" w:name="_Toc219295930"/>
      <w:r>
        <w:lastRenderedPageBreak/>
        <w:t>Document control information</w:t>
      </w:r>
      <w:bookmarkEnd w:id="7"/>
    </w:p>
    <w:p w14:paraId="47B60150" w14:textId="079D2BBC" w:rsidR="00930E37" w:rsidRPr="00196ADB" w:rsidRDefault="00930E37" w:rsidP="00930E37">
      <w:pPr>
        <w:rPr>
          <w:szCs w:val="24"/>
        </w:rPr>
      </w:pPr>
      <w:r w:rsidRPr="00196ADB">
        <w:rPr>
          <w:b/>
          <w:bCs/>
          <w:szCs w:val="24"/>
        </w:rPr>
        <w:t>Authored by</w:t>
      </w:r>
      <w:r w:rsidRPr="00196ADB">
        <w:rPr>
          <w:szCs w:val="24"/>
        </w:rPr>
        <w:t xml:space="preserve"> – </w:t>
      </w:r>
      <w:r w:rsidR="00537113">
        <w:rPr>
          <w:szCs w:val="24"/>
        </w:rPr>
        <w:t>Nuclear Safety Inspector</w:t>
      </w:r>
    </w:p>
    <w:p w14:paraId="2C5D42AA" w14:textId="53780F52" w:rsidR="00930E37" w:rsidRPr="00196ADB" w:rsidRDefault="00930E37" w:rsidP="00930E37">
      <w:pPr>
        <w:rPr>
          <w:szCs w:val="24"/>
        </w:rPr>
      </w:pPr>
      <w:r w:rsidRPr="00196ADB">
        <w:rPr>
          <w:b/>
          <w:bCs/>
          <w:szCs w:val="24"/>
        </w:rPr>
        <w:t>Approved by</w:t>
      </w:r>
      <w:r w:rsidRPr="00196ADB">
        <w:rPr>
          <w:szCs w:val="24"/>
        </w:rPr>
        <w:t xml:space="preserve"> – </w:t>
      </w:r>
      <w:r>
        <w:rPr>
          <w:szCs w:val="24"/>
        </w:rPr>
        <w:t xml:space="preserve">Head of Profession for </w:t>
      </w:r>
      <w:r w:rsidR="00537113">
        <w:rPr>
          <w:szCs w:val="24"/>
        </w:rPr>
        <w:t>Operational Inspection</w:t>
      </w:r>
    </w:p>
    <w:p w14:paraId="10D33D1E" w14:textId="0577344F"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F56E6">
            <w:rPr>
              <w:szCs w:val="24"/>
            </w:rPr>
            <w:t>5.1</w:t>
          </w:r>
        </w:sdtContent>
      </w:sdt>
    </w:p>
    <w:p w14:paraId="12DC54B5" w14:textId="6E71C77C" w:rsidR="00930E37" w:rsidRPr="00196ADB" w:rsidRDefault="00930E37" w:rsidP="00930E37">
      <w:pPr>
        <w:rPr>
          <w:szCs w:val="24"/>
        </w:rPr>
      </w:pPr>
      <w:r>
        <w:rPr>
          <w:b/>
          <w:bCs/>
          <w:szCs w:val="24"/>
        </w:rPr>
        <w:t>Published</w:t>
      </w:r>
      <w:r w:rsidRPr="00196ADB">
        <w:rPr>
          <w:szCs w:val="24"/>
        </w:rPr>
        <w:t xml:space="preserve">: </w:t>
      </w:r>
      <w:r w:rsidR="006F56E6">
        <w:rPr>
          <w:szCs w:val="24"/>
        </w:rPr>
        <w:t>January</w:t>
      </w:r>
      <w:r>
        <w:rPr>
          <w:szCs w:val="24"/>
        </w:rPr>
        <w:t xml:space="preserve"> </w:t>
      </w:r>
      <w:r w:rsidR="006F56E6">
        <w:rPr>
          <w:szCs w:val="24"/>
        </w:rPr>
        <w:t>2026</w:t>
      </w:r>
    </w:p>
    <w:p w14:paraId="29AA6F0F" w14:textId="4DE54DE6"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6F56E6">
        <w:rPr>
          <w:szCs w:val="24"/>
        </w:rPr>
        <w:t>January</w:t>
      </w:r>
      <w:r>
        <w:rPr>
          <w:szCs w:val="24"/>
        </w:rPr>
        <w:t xml:space="preserve"> </w:t>
      </w:r>
      <w:r w:rsidR="006F56E6">
        <w:rPr>
          <w:szCs w:val="24"/>
        </w:rPr>
        <w:t>2029</w:t>
      </w:r>
    </w:p>
    <w:p w14:paraId="0A735AFC" w14:textId="341479EC"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816A7C">
        <w:rPr>
          <w:szCs w:val="24"/>
        </w:rPr>
        <w:t>NS-INSP-GD-014</w:t>
      </w:r>
    </w:p>
    <w:p w14:paraId="7D13A83B" w14:textId="3021077E" w:rsidR="00930E37" w:rsidRPr="004821C3" w:rsidRDefault="00930E37" w:rsidP="00816A7C">
      <w:pPr>
        <w:rPr>
          <w:szCs w:val="24"/>
        </w:rPr>
      </w:pPr>
      <w:r w:rsidRPr="00816A7C">
        <w:rPr>
          <w:b/>
          <w:bCs/>
          <w:szCs w:val="24"/>
        </w:rPr>
        <w:t>Record reference</w:t>
      </w:r>
      <w:r w:rsidRPr="00816A7C">
        <w:rPr>
          <w:szCs w:val="24"/>
        </w:rPr>
        <w:t xml:space="preserve">: </w:t>
      </w:r>
      <w:hyperlink r:id="rId24" w:tgtFrame="_blank" w:tooltip="ONRHH-822789359-20431" w:history="1">
        <w:r w:rsidR="00816A7C" w:rsidRPr="00816A7C">
          <w:rPr>
            <w:rStyle w:val="Hyperlink"/>
            <w:szCs w:val="24"/>
          </w:rPr>
          <w:t>ONRHH-822789359-20431</w:t>
        </w:r>
      </w:hyperlink>
    </w:p>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124"/>
        <w:gridCol w:w="7892"/>
      </w:tblGrid>
      <w:tr w:rsidR="004821C3" w:rsidRPr="00E7084B" w14:paraId="789E773B" w14:textId="77777777" w:rsidTr="00995B93">
        <w:trPr>
          <w:cnfStyle w:val="100000000000" w:firstRow="1" w:lastRow="0" w:firstColumn="0" w:lastColumn="0" w:oddVBand="0" w:evenVBand="0" w:oddHBand="0" w:evenHBand="0" w:firstRowFirstColumn="0" w:firstRowLastColumn="0" w:lastRowFirstColumn="0" w:lastRowLastColumn="0"/>
        </w:trPr>
        <w:tc>
          <w:tcPr>
            <w:tcW w:w="1124" w:type="dxa"/>
          </w:tcPr>
          <w:p w14:paraId="0DD3ACD1" w14:textId="77777777" w:rsidR="004821C3" w:rsidRPr="00E7084B" w:rsidRDefault="004821C3" w:rsidP="00995B93">
            <w:pPr>
              <w:spacing w:before="60" w:after="60"/>
              <w:rPr>
                <w:b w:val="0"/>
                <w:bCs/>
              </w:rPr>
            </w:pPr>
            <w:r w:rsidRPr="00E7084B">
              <w:rPr>
                <w:b w:val="0"/>
                <w:bCs/>
              </w:rPr>
              <w:t>Issue</w:t>
            </w:r>
          </w:p>
        </w:tc>
        <w:tc>
          <w:tcPr>
            <w:tcW w:w="7892" w:type="dxa"/>
          </w:tcPr>
          <w:p w14:paraId="0C998560" w14:textId="77777777" w:rsidR="004821C3" w:rsidRPr="00E7084B" w:rsidRDefault="004821C3" w:rsidP="00995B93">
            <w:pPr>
              <w:spacing w:before="60" w:after="60"/>
              <w:rPr>
                <w:b w:val="0"/>
                <w:bCs/>
              </w:rPr>
            </w:pPr>
            <w:r w:rsidRPr="00E7084B">
              <w:rPr>
                <w:b w:val="0"/>
                <w:bCs/>
              </w:rPr>
              <w:t>Description of update(s)</w:t>
            </w:r>
          </w:p>
        </w:tc>
      </w:tr>
      <w:tr w:rsidR="004821C3" w:rsidRPr="00E7084B" w14:paraId="0EC35FB9" w14:textId="77777777" w:rsidTr="00995B93">
        <w:tc>
          <w:tcPr>
            <w:tcW w:w="1124" w:type="dxa"/>
          </w:tcPr>
          <w:p w14:paraId="373DF30E" w14:textId="77777777" w:rsidR="004821C3" w:rsidRPr="00E7084B" w:rsidRDefault="004821C3" w:rsidP="00995B93">
            <w:pPr>
              <w:spacing w:before="60" w:after="60"/>
            </w:pPr>
            <w:r>
              <w:t>5</w:t>
            </w:r>
            <w:r w:rsidRPr="00E7084B">
              <w:t>.1</w:t>
            </w:r>
          </w:p>
        </w:tc>
        <w:tc>
          <w:tcPr>
            <w:tcW w:w="7892" w:type="dxa"/>
          </w:tcPr>
          <w:p w14:paraId="5EA22DC9" w14:textId="77777777" w:rsidR="004821C3" w:rsidRPr="00E7084B" w:rsidRDefault="004821C3" w:rsidP="00995B93">
            <w:pPr>
              <w:spacing w:before="60" w:after="60"/>
            </w:pPr>
            <w:r w:rsidRPr="00E7084B">
              <w:t xml:space="preserve">Minor update – </w:t>
            </w:r>
            <w:r>
              <w:t xml:space="preserve">updated template, </w:t>
            </w:r>
            <w:r w:rsidRPr="00E7084B">
              <w:t xml:space="preserve">document simplified and duplication removed, no major change to outcomes or intent. </w:t>
            </w:r>
          </w:p>
        </w:tc>
      </w:tr>
    </w:tbl>
    <w:p w14:paraId="17669631" w14:textId="2006EFF6" w:rsidR="00930E37" w:rsidRPr="002042C2" w:rsidRDefault="00930E37" w:rsidP="002042C2"/>
    <w:sectPr w:rsidR="00930E37" w:rsidRPr="002042C2"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622AD" w14:textId="77777777" w:rsidR="000E09A3" w:rsidRDefault="000E09A3" w:rsidP="007D199A">
      <w:pPr>
        <w:spacing w:after="0"/>
      </w:pPr>
      <w:r>
        <w:separator/>
      </w:r>
    </w:p>
    <w:p w14:paraId="610D3C09" w14:textId="77777777" w:rsidR="000E09A3" w:rsidRDefault="000E09A3"/>
  </w:endnote>
  <w:endnote w:type="continuationSeparator" w:id="0">
    <w:p w14:paraId="47FA2127" w14:textId="77777777" w:rsidR="000E09A3" w:rsidRDefault="000E09A3" w:rsidP="007D199A">
      <w:pPr>
        <w:spacing w:after="0"/>
      </w:pPr>
      <w:r>
        <w:continuationSeparator/>
      </w:r>
    </w:p>
    <w:p w14:paraId="61D6B90C" w14:textId="77777777" w:rsidR="000E09A3" w:rsidRDefault="000E09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1699D438" w:rsidR="007C3C1D" w:rsidRPr="00816A7C" w:rsidRDefault="00816A7C" w:rsidP="00816A7C">
    <w:pPr>
      <w:pStyle w:val="Footer"/>
    </w:pPr>
    <w:r>
      <w:t xml:space="preserve">Page | </w:t>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BB2CD" w14:textId="77777777" w:rsidR="000E09A3" w:rsidRPr="005E0344" w:rsidRDefault="000E09A3" w:rsidP="005E0344">
      <w:pPr>
        <w:spacing w:after="120"/>
        <w:rPr>
          <w:color w:val="000000" w:themeColor="text2"/>
        </w:rPr>
      </w:pPr>
      <w:r w:rsidRPr="005E0344">
        <w:rPr>
          <w:color w:val="000000" w:themeColor="text2"/>
        </w:rPr>
        <w:separator/>
      </w:r>
    </w:p>
  </w:footnote>
  <w:footnote w:type="continuationSeparator" w:id="0">
    <w:p w14:paraId="3C1AC134" w14:textId="77777777" w:rsidR="000E09A3" w:rsidRPr="005E0344" w:rsidRDefault="000E09A3" w:rsidP="0090581D">
      <w:pPr>
        <w:spacing w:after="120"/>
        <w:rPr>
          <w:color w:val="000000" w:themeColor="text2"/>
        </w:rPr>
      </w:pPr>
      <w:r w:rsidRPr="005E0344">
        <w:rPr>
          <w:color w:val="000000" w:themeColor="text2"/>
        </w:rPr>
        <w:continuationSeparator/>
      </w:r>
    </w:p>
    <w:p w14:paraId="6972BDE8" w14:textId="77777777" w:rsidR="000E09A3" w:rsidRDefault="000E09A3"/>
  </w:footnote>
  <w:footnote w:type="continuationNotice" w:id="1">
    <w:p w14:paraId="13739F47" w14:textId="77777777" w:rsidR="000E09A3" w:rsidRDefault="000E09A3">
      <w:pPr>
        <w:spacing w:after="0"/>
      </w:pPr>
    </w:p>
    <w:p w14:paraId="55B2220F" w14:textId="77777777" w:rsidR="000E09A3" w:rsidRDefault="000E09A3"/>
  </w:footnote>
  <w:footnote w:id="2">
    <w:p w14:paraId="7FFA60EF" w14:textId="77777777" w:rsidR="006B08C5" w:rsidRDefault="006B08C5" w:rsidP="006B08C5">
      <w:pPr>
        <w:pStyle w:val="FootnoteText"/>
        <w:ind w:left="142" w:hanging="142"/>
      </w:pPr>
      <w:r>
        <w:rPr>
          <w:rStyle w:val="FootnoteReference"/>
        </w:rPr>
        <w:footnoteRef/>
      </w:r>
      <w:r>
        <w:t xml:space="preserve"> </w:t>
      </w:r>
      <w:r w:rsidRPr="00EB2E65">
        <w:t>The safety significance of the document should determine the extent of peer review and independent assessment and whether or not it is then submitted to the Nuclear Safety Committee (NSC) for consideration and advice. When categorising safety significance it is not the considered risk but the potential hazard arising directly or indirectly, during or after the activities under consideration that must be considered. This should include any hazard arising from inadequacy in conception or execution.</w:t>
      </w:r>
    </w:p>
  </w:footnote>
  <w:footnote w:id="3">
    <w:p w14:paraId="4365B406" w14:textId="77777777" w:rsidR="006B08C5" w:rsidRDefault="006B08C5" w:rsidP="006B08C5">
      <w:pPr>
        <w:pStyle w:val="FootnoteText"/>
        <w:ind w:left="142" w:hanging="142"/>
      </w:pPr>
      <w:r>
        <w:rPr>
          <w:rStyle w:val="FootnoteReference"/>
        </w:rPr>
        <w:footnoteRef/>
      </w:r>
      <w:r>
        <w:t xml:space="preserve"> For higher categories of safety significance an independent nuclear safety assessment (INSA) may be required and the arrangements should include for this. The INSA should be carried out by persons independent of the groups responsible for the production of the safety case and for operations. It provides a detailed overview based on a rigorous safety assessment. After peer review and any necessary INSA, higher category safety cases should be considered by the NSC. This requirement should be explicit in the licensee’s arrangements.</w:t>
      </w:r>
    </w:p>
  </w:footnote>
  <w:footnote w:id="4">
    <w:p w14:paraId="2FB8261E" w14:textId="77777777" w:rsidR="006B08C5" w:rsidRDefault="006B08C5" w:rsidP="006B08C5">
      <w:pPr>
        <w:pStyle w:val="FootnoteText"/>
        <w:ind w:left="142" w:hanging="142"/>
      </w:pPr>
      <w:r>
        <w:rPr>
          <w:rStyle w:val="FootnoteReference"/>
        </w:rPr>
        <w:footnoteRef/>
      </w:r>
      <w:r>
        <w:t xml:space="preserve"> </w:t>
      </w:r>
      <w:r w:rsidRPr="00C906D3">
        <w:t>This peer review may comprise internal design validation and verification. It should include a check that hazards have been properly identified, that assumption</w:t>
      </w:r>
      <w:r>
        <w:t>s</w:t>
      </w:r>
      <w:r w:rsidRPr="00C906D3">
        <w:t xml:space="preserve"> made comply with accepted criteria and that standards and methods to evaluate consequences are in accordance with recognised and accepted procedures.</w:t>
      </w:r>
    </w:p>
  </w:footnote>
  <w:footnote w:id="5">
    <w:p w14:paraId="04A200D8" w14:textId="77777777" w:rsidR="00A1313B" w:rsidRDefault="00A1313B" w:rsidP="00A1313B">
      <w:pPr>
        <w:pStyle w:val="FootnoteText"/>
        <w:ind w:left="142" w:hanging="142"/>
      </w:pPr>
      <w:r>
        <w:rPr>
          <w:rStyle w:val="FootnoteReference"/>
        </w:rPr>
        <w:footnoteRef/>
      </w:r>
      <w:r>
        <w:t xml:space="preserve"> “</w:t>
      </w:r>
      <w:r w:rsidRPr="00AA5971">
        <w:t>the process for producing safety cases should be designed and operated commensurate with the hazard, using the concepts applied to high reliability engineered systems.”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19D782BF" w:rsidR="00177666" w:rsidRPr="00196ADB" w:rsidRDefault="00816A7C"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915EEC">
          <w:rPr>
            <w:sz w:val="20"/>
            <w:szCs w:val="24"/>
          </w:rPr>
          <w:t>LC 14 – Safety documentation</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F56E6">
          <w:rPr>
            <w:sz w:val="20"/>
            <w:szCs w:val="24"/>
          </w:rPr>
          <w:t>5.1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83E54"/>
    <w:multiLevelType w:val="hybridMultilevel"/>
    <w:tmpl w:val="1660C002"/>
    <w:lvl w:ilvl="0" w:tplc="98AA3E82">
      <w:start w:val="1"/>
      <w:numFmt w:val="decimal"/>
      <w:pStyle w:val="F9-Paragraph"/>
      <w:lvlText w:val="%1."/>
      <w:lvlJc w:val="left"/>
      <w:pPr>
        <w:ind w:left="502"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0"/>
  </w:num>
  <w:num w:numId="12" w16cid:durableId="1085146277">
    <w:abstractNumId w:val="21"/>
  </w:num>
  <w:num w:numId="13" w16cid:durableId="989944809">
    <w:abstractNumId w:val="14"/>
  </w:num>
  <w:num w:numId="14" w16cid:durableId="1148547717">
    <w:abstractNumId w:val="11"/>
  </w:num>
  <w:num w:numId="15" w16cid:durableId="1619264317">
    <w:abstractNumId w:val="21"/>
    <w:lvlOverride w:ilvl="0">
      <w:startOverride w:val="1"/>
    </w:lvlOverride>
  </w:num>
  <w:num w:numId="16" w16cid:durableId="1717772705">
    <w:abstractNumId w:val="14"/>
    <w:lvlOverride w:ilvl="0">
      <w:startOverride w:val="1"/>
    </w:lvlOverride>
  </w:num>
  <w:num w:numId="17" w16cid:durableId="1421370352">
    <w:abstractNumId w:val="11"/>
    <w:lvlOverride w:ilvl="0">
      <w:startOverride w:val="1"/>
    </w:lvlOverride>
  </w:num>
  <w:num w:numId="18" w16cid:durableId="802893121">
    <w:abstractNumId w:val="20"/>
  </w:num>
  <w:num w:numId="19" w16cid:durableId="1666081420">
    <w:abstractNumId w:val="17"/>
  </w:num>
  <w:num w:numId="20" w16cid:durableId="874538197">
    <w:abstractNumId w:val="13"/>
  </w:num>
  <w:num w:numId="21" w16cid:durableId="2057311976">
    <w:abstractNumId w:val="18"/>
  </w:num>
  <w:num w:numId="22" w16cid:durableId="689793726">
    <w:abstractNumId w:val="12"/>
  </w:num>
  <w:num w:numId="23" w16cid:durableId="48653822">
    <w:abstractNumId w:val="22"/>
  </w:num>
  <w:num w:numId="24" w16cid:durableId="1603800266">
    <w:abstractNumId w:val="16"/>
  </w:num>
  <w:num w:numId="25" w16cid:durableId="1864591591">
    <w:abstractNumId w:val="15"/>
  </w:num>
  <w:num w:numId="26" w16cid:durableId="832574242">
    <w:abstractNumId w:val="19"/>
  </w:num>
  <w:num w:numId="27" w16cid:durableId="1391732823">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05CE7"/>
    <w:rsid w:val="00011177"/>
    <w:rsid w:val="00014814"/>
    <w:rsid w:val="00022033"/>
    <w:rsid w:val="00024522"/>
    <w:rsid w:val="00024B2E"/>
    <w:rsid w:val="00027F4F"/>
    <w:rsid w:val="00030430"/>
    <w:rsid w:val="0003078E"/>
    <w:rsid w:val="00031B89"/>
    <w:rsid w:val="00033688"/>
    <w:rsid w:val="0003693D"/>
    <w:rsid w:val="0004440F"/>
    <w:rsid w:val="00052C8A"/>
    <w:rsid w:val="000548C8"/>
    <w:rsid w:val="00055850"/>
    <w:rsid w:val="00064A1B"/>
    <w:rsid w:val="00065CBE"/>
    <w:rsid w:val="00075605"/>
    <w:rsid w:val="00075C66"/>
    <w:rsid w:val="000817D4"/>
    <w:rsid w:val="00082879"/>
    <w:rsid w:val="00084ABE"/>
    <w:rsid w:val="00091EEA"/>
    <w:rsid w:val="0009225F"/>
    <w:rsid w:val="000A105C"/>
    <w:rsid w:val="000C2DDC"/>
    <w:rsid w:val="000C5F5A"/>
    <w:rsid w:val="000D2FD4"/>
    <w:rsid w:val="000D3232"/>
    <w:rsid w:val="000E09A3"/>
    <w:rsid w:val="000F1B7B"/>
    <w:rsid w:val="000F2ED4"/>
    <w:rsid w:val="000F3B9A"/>
    <w:rsid w:val="001028E8"/>
    <w:rsid w:val="00103043"/>
    <w:rsid w:val="00122FCC"/>
    <w:rsid w:val="00124C2B"/>
    <w:rsid w:val="00126752"/>
    <w:rsid w:val="00130B30"/>
    <w:rsid w:val="00140E1C"/>
    <w:rsid w:val="00147AE4"/>
    <w:rsid w:val="001571E5"/>
    <w:rsid w:val="00176DB5"/>
    <w:rsid w:val="00177666"/>
    <w:rsid w:val="001849CA"/>
    <w:rsid w:val="00185410"/>
    <w:rsid w:val="00192352"/>
    <w:rsid w:val="00196ADB"/>
    <w:rsid w:val="001B4D5A"/>
    <w:rsid w:val="001C4D63"/>
    <w:rsid w:val="001D0DE0"/>
    <w:rsid w:val="001D5AFF"/>
    <w:rsid w:val="001D74B4"/>
    <w:rsid w:val="001E03E1"/>
    <w:rsid w:val="001F059F"/>
    <w:rsid w:val="00200811"/>
    <w:rsid w:val="00200CA1"/>
    <w:rsid w:val="002042C2"/>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917FF"/>
    <w:rsid w:val="00292ADF"/>
    <w:rsid w:val="00296DBB"/>
    <w:rsid w:val="002A0DEC"/>
    <w:rsid w:val="002B1C53"/>
    <w:rsid w:val="002B6666"/>
    <w:rsid w:val="002D5DF7"/>
    <w:rsid w:val="002E0BE4"/>
    <w:rsid w:val="002E3B58"/>
    <w:rsid w:val="002E3E8A"/>
    <w:rsid w:val="002E6A6A"/>
    <w:rsid w:val="002F3397"/>
    <w:rsid w:val="0030380D"/>
    <w:rsid w:val="00312411"/>
    <w:rsid w:val="00323E71"/>
    <w:rsid w:val="00326F77"/>
    <w:rsid w:val="00332E9C"/>
    <w:rsid w:val="003401B0"/>
    <w:rsid w:val="00345D54"/>
    <w:rsid w:val="00346C8E"/>
    <w:rsid w:val="00367B30"/>
    <w:rsid w:val="00367BD5"/>
    <w:rsid w:val="00390327"/>
    <w:rsid w:val="00393B78"/>
    <w:rsid w:val="003A01E9"/>
    <w:rsid w:val="003B0C9A"/>
    <w:rsid w:val="003C0306"/>
    <w:rsid w:val="003C114C"/>
    <w:rsid w:val="003C465D"/>
    <w:rsid w:val="003D0718"/>
    <w:rsid w:val="003D495D"/>
    <w:rsid w:val="003D5793"/>
    <w:rsid w:val="003E098E"/>
    <w:rsid w:val="003E2FAE"/>
    <w:rsid w:val="003E56EC"/>
    <w:rsid w:val="0040447E"/>
    <w:rsid w:val="00407CF7"/>
    <w:rsid w:val="00415ED6"/>
    <w:rsid w:val="00417CAF"/>
    <w:rsid w:val="00420A11"/>
    <w:rsid w:val="00422265"/>
    <w:rsid w:val="004233FF"/>
    <w:rsid w:val="004373A7"/>
    <w:rsid w:val="00437D94"/>
    <w:rsid w:val="0044030C"/>
    <w:rsid w:val="00440E1E"/>
    <w:rsid w:val="004648A4"/>
    <w:rsid w:val="00471380"/>
    <w:rsid w:val="004821C3"/>
    <w:rsid w:val="00494F0D"/>
    <w:rsid w:val="00496BFD"/>
    <w:rsid w:val="004A3DF2"/>
    <w:rsid w:val="004C361D"/>
    <w:rsid w:val="004C4891"/>
    <w:rsid w:val="004D2C89"/>
    <w:rsid w:val="004D4763"/>
    <w:rsid w:val="004E3932"/>
    <w:rsid w:val="004F1E79"/>
    <w:rsid w:val="004F5F33"/>
    <w:rsid w:val="0050103A"/>
    <w:rsid w:val="00502E6E"/>
    <w:rsid w:val="00511B0F"/>
    <w:rsid w:val="00537113"/>
    <w:rsid w:val="0055388E"/>
    <w:rsid w:val="005754AE"/>
    <w:rsid w:val="00577FB5"/>
    <w:rsid w:val="005852D1"/>
    <w:rsid w:val="00587A22"/>
    <w:rsid w:val="0059299D"/>
    <w:rsid w:val="00595C8C"/>
    <w:rsid w:val="00597747"/>
    <w:rsid w:val="005A49B8"/>
    <w:rsid w:val="005A4CDD"/>
    <w:rsid w:val="005B57E4"/>
    <w:rsid w:val="005B5ABD"/>
    <w:rsid w:val="005B6AC9"/>
    <w:rsid w:val="005C140A"/>
    <w:rsid w:val="005C1E52"/>
    <w:rsid w:val="005C3367"/>
    <w:rsid w:val="005C6763"/>
    <w:rsid w:val="005D3164"/>
    <w:rsid w:val="005E0344"/>
    <w:rsid w:val="005E440B"/>
    <w:rsid w:val="005F2C85"/>
    <w:rsid w:val="00605ADB"/>
    <w:rsid w:val="00611C9F"/>
    <w:rsid w:val="006248DE"/>
    <w:rsid w:val="006250A9"/>
    <w:rsid w:val="00627555"/>
    <w:rsid w:val="006322A0"/>
    <w:rsid w:val="00633C30"/>
    <w:rsid w:val="006361FD"/>
    <w:rsid w:val="0064226F"/>
    <w:rsid w:val="006425D1"/>
    <w:rsid w:val="00642DDB"/>
    <w:rsid w:val="00653298"/>
    <w:rsid w:val="00663A7C"/>
    <w:rsid w:val="00667DF2"/>
    <w:rsid w:val="00670DF1"/>
    <w:rsid w:val="00671345"/>
    <w:rsid w:val="00672A9B"/>
    <w:rsid w:val="00673BAA"/>
    <w:rsid w:val="00675473"/>
    <w:rsid w:val="00675884"/>
    <w:rsid w:val="00676335"/>
    <w:rsid w:val="00696EE0"/>
    <w:rsid w:val="00697980"/>
    <w:rsid w:val="006A19EF"/>
    <w:rsid w:val="006A43D5"/>
    <w:rsid w:val="006A525B"/>
    <w:rsid w:val="006B08C5"/>
    <w:rsid w:val="006C045F"/>
    <w:rsid w:val="006C4196"/>
    <w:rsid w:val="006C63B0"/>
    <w:rsid w:val="006C76A2"/>
    <w:rsid w:val="006C792E"/>
    <w:rsid w:val="006D116C"/>
    <w:rsid w:val="006E7C42"/>
    <w:rsid w:val="006F168A"/>
    <w:rsid w:val="006F5076"/>
    <w:rsid w:val="006F56E6"/>
    <w:rsid w:val="006F6009"/>
    <w:rsid w:val="006F7E5F"/>
    <w:rsid w:val="0070321D"/>
    <w:rsid w:val="007068BA"/>
    <w:rsid w:val="00716AB1"/>
    <w:rsid w:val="00721D63"/>
    <w:rsid w:val="00723B63"/>
    <w:rsid w:val="00724B2B"/>
    <w:rsid w:val="00732C7B"/>
    <w:rsid w:val="00734D2B"/>
    <w:rsid w:val="00737705"/>
    <w:rsid w:val="007408D4"/>
    <w:rsid w:val="007420AC"/>
    <w:rsid w:val="00742617"/>
    <w:rsid w:val="00783AFA"/>
    <w:rsid w:val="00785427"/>
    <w:rsid w:val="00790540"/>
    <w:rsid w:val="007968CA"/>
    <w:rsid w:val="007A43FF"/>
    <w:rsid w:val="007A72FA"/>
    <w:rsid w:val="007B3918"/>
    <w:rsid w:val="007C3C1D"/>
    <w:rsid w:val="007D199A"/>
    <w:rsid w:val="007D2EBE"/>
    <w:rsid w:val="007E1C07"/>
    <w:rsid w:val="007F24B6"/>
    <w:rsid w:val="0080005C"/>
    <w:rsid w:val="00803D94"/>
    <w:rsid w:val="00816A7C"/>
    <w:rsid w:val="00821337"/>
    <w:rsid w:val="008229BA"/>
    <w:rsid w:val="00824151"/>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015A"/>
    <w:rsid w:val="008B1519"/>
    <w:rsid w:val="008B7BCC"/>
    <w:rsid w:val="008C50C3"/>
    <w:rsid w:val="008C7094"/>
    <w:rsid w:val="008D02A6"/>
    <w:rsid w:val="008D2B97"/>
    <w:rsid w:val="008D49A5"/>
    <w:rsid w:val="008D6C81"/>
    <w:rsid w:val="008E6CF0"/>
    <w:rsid w:val="008F1439"/>
    <w:rsid w:val="008F7051"/>
    <w:rsid w:val="009033A9"/>
    <w:rsid w:val="0090581D"/>
    <w:rsid w:val="0091439C"/>
    <w:rsid w:val="00915EEC"/>
    <w:rsid w:val="00920572"/>
    <w:rsid w:val="00920BF2"/>
    <w:rsid w:val="00930E37"/>
    <w:rsid w:val="009349A9"/>
    <w:rsid w:val="009364AD"/>
    <w:rsid w:val="00936C52"/>
    <w:rsid w:val="009436C1"/>
    <w:rsid w:val="0095489B"/>
    <w:rsid w:val="00966FB9"/>
    <w:rsid w:val="009671CD"/>
    <w:rsid w:val="009751A9"/>
    <w:rsid w:val="00980F9C"/>
    <w:rsid w:val="00982045"/>
    <w:rsid w:val="00984D7C"/>
    <w:rsid w:val="0098632B"/>
    <w:rsid w:val="00997BFB"/>
    <w:rsid w:val="009A7348"/>
    <w:rsid w:val="009B462C"/>
    <w:rsid w:val="009C15F3"/>
    <w:rsid w:val="009C3689"/>
    <w:rsid w:val="009E07C2"/>
    <w:rsid w:val="009E0E52"/>
    <w:rsid w:val="009F72F9"/>
    <w:rsid w:val="00A00205"/>
    <w:rsid w:val="00A00AF0"/>
    <w:rsid w:val="00A1313B"/>
    <w:rsid w:val="00A14B5A"/>
    <w:rsid w:val="00A3567F"/>
    <w:rsid w:val="00A37698"/>
    <w:rsid w:val="00A41ED3"/>
    <w:rsid w:val="00A66059"/>
    <w:rsid w:val="00A7443D"/>
    <w:rsid w:val="00A81D82"/>
    <w:rsid w:val="00A9118F"/>
    <w:rsid w:val="00A93E33"/>
    <w:rsid w:val="00AB3129"/>
    <w:rsid w:val="00AB6970"/>
    <w:rsid w:val="00AC1939"/>
    <w:rsid w:val="00AC7C05"/>
    <w:rsid w:val="00AD167C"/>
    <w:rsid w:val="00AD17C7"/>
    <w:rsid w:val="00AD4041"/>
    <w:rsid w:val="00AE302B"/>
    <w:rsid w:val="00AF6700"/>
    <w:rsid w:val="00B0248D"/>
    <w:rsid w:val="00B045CF"/>
    <w:rsid w:val="00B16BE5"/>
    <w:rsid w:val="00B23A5E"/>
    <w:rsid w:val="00B259DF"/>
    <w:rsid w:val="00B44B1F"/>
    <w:rsid w:val="00B64141"/>
    <w:rsid w:val="00B64E72"/>
    <w:rsid w:val="00B77913"/>
    <w:rsid w:val="00B824FB"/>
    <w:rsid w:val="00B82646"/>
    <w:rsid w:val="00B97359"/>
    <w:rsid w:val="00B97A8F"/>
    <w:rsid w:val="00BA4E58"/>
    <w:rsid w:val="00BA7074"/>
    <w:rsid w:val="00BB1E20"/>
    <w:rsid w:val="00BB7829"/>
    <w:rsid w:val="00BD1457"/>
    <w:rsid w:val="00BE2AD9"/>
    <w:rsid w:val="00BE662E"/>
    <w:rsid w:val="00BF27FE"/>
    <w:rsid w:val="00C043B3"/>
    <w:rsid w:val="00C079AB"/>
    <w:rsid w:val="00C10E61"/>
    <w:rsid w:val="00C14787"/>
    <w:rsid w:val="00C1596D"/>
    <w:rsid w:val="00C15B8D"/>
    <w:rsid w:val="00C16424"/>
    <w:rsid w:val="00C17010"/>
    <w:rsid w:val="00C20562"/>
    <w:rsid w:val="00C215C3"/>
    <w:rsid w:val="00C23A96"/>
    <w:rsid w:val="00C249C6"/>
    <w:rsid w:val="00C32CC1"/>
    <w:rsid w:val="00C41962"/>
    <w:rsid w:val="00C426EC"/>
    <w:rsid w:val="00C6483C"/>
    <w:rsid w:val="00C64AE9"/>
    <w:rsid w:val="00C70CFF"/>
    <w:rsid w:val="00C718FE"/>
    <w:rsid w:val="00C71BB1"/>
    <w:rsid w:val="00C72486"/>
    <w:rsid w:val="00C86CEC"/>
    <w:rsid w:val="00C8773D"/>
    <w:rsid w:val="00C87ABB"/>
    <w:rsid w:val="00C91831"/>
    <w:rsid w:val="00C953DF"/>
    <w:rsid w:val="00C963E6"/>
    <w:rsid w:val="00CD5401"/>
    <w:rsid w:val="00CE2709"/>
    <w:rsid w:val="00CE2D64"/>
    <w:rsid w:val="00CE6198"/>
    <w:rsid w:val="00CE6CD6"/>
    <w:rsid w:val="00CF6230"/>
    <w:rsid w:val="00D017FC"/>
    <w:rsid w:val="00D0226A"/>
    <w:rsid w:val="00D13147"/>
    <w:rsid w:val="00D463FF"/>
    <w:rsid w:val="00D5715A"/>
    <w:rsid w:val="00D60BCB"/>
    <w:rsid w:val="00D710EF"/>
    <w:rsid w:val="00D71687"/>
    <w:rsid w:val="00D74813"/>
    <w:rsid w:val="00D825DD"/>
    <w:rsid w:val="00DA30BC"/>
    <w:rsid w:val="00DA69C2"/>
    <w:rsid w:val="00DA6D70"/>
    <w:rsid w:val="00DB6050"/>
    <w:rsid w:val="00DC2C34"/>
    <w:rsid w:val="00DE2C87"/>
    <w:rsid w:val="00DE459A"/>
    <w:rsid w:val="00DF27DA"/>
    <w:rsid w:val="00DF4DBE"/>
    <w:rsid w:val="00E14FA1"/>
    <w:rsid w:val="00E40820"/>
    <w:rsid w:val="00E4658F"/>
    <w:rsid w:val="00E54A67"/>
    <w:rsid w:val="00E57D8C"/>
    <w:rsid w:val="00E607CD"/>
    <w:rsid w:val="00E61C0D"/>
    <w:rsid w:val="00E63EB4"/>
    <w:rsid w:val="00E66160"/>
    <w:rsid w:val="00E71329"/>
    <w:rsid w:val="00E74FE0"/>
    <w:rsid w:val="00E8363B"/>
    <w:rsid w:val="00E84966"/>
    <w:rsid w:val="00E92383"/>
    <w:rsid w:val="00EA1B3A"/>
    <w:rsid w:val="00EA2109"/>
    <w:rsid w:val="00EB057A"/>
    <w:rsid w:val="00EB6ECB"/>
    <w:rsid w:val="00EC4028"/>
    <w:rsid w:val="00ED4D4E"/>
    <w:rsid w:val="00EE0C77"/>
    <w:rsid w:val="00EE4E54"/>
    <w:rsid w:val="00EF4334"/>
    <w:rsid w:val="00F436BB"/>
    <w:rsid w:val="00F46328"/>
    <w:rsid w:val="00F47145"/>
    <w:rsid w:val="00F545BF"/>
    <w:rsid w:val="00F71B56"/>
    <w:rsid w:val="00F832C8"/>
    <w:rsid w:val="00F873B3"/>
    <w:rsid w:val="00FA00BE"/>
    <w:rsid w:val="00FA33FE"/>
    <w:rsid w:val="00FA42B9"/>
    <w:rsid w:val="00FA755A"/>
    <w:rsid w:val="00FB2B0F"/>
    <w:rsid w:val="00FB4F6B"/>
    <w:rsid w:val="00FB5FE1"/>
    <w:rsid w:val="00FC0E8D"/>
    <w:rsid w:val="00FC46EF"/>
    <w:rsid w:val="00FD129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2"/>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558669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3266681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2535148">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8119517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71082837">
      <w:bodyDiv w:val="1"/>
      <w:marLeft w:val="0"/>
      <w:marRight w:val="0"/>
      <w:marTop w:val="0"/>
      <w:marBottom w:val="0"/>
      <w:divBdr>
        <w:top w:val="none" w:sz="0" w:space="0" w:color="auto"/>
        <w:left w:val="none" w:sz="0" w:space="0" w:color="auto"/>
        <w:bottom w:val="none" w:sz="0" w:space="0" w:color="auto"/>
        <w:right w:val="none" w:sz="0" w:space="0" w:color="auto"/>
      </w:divBdr>
    </w:div>
    <w:div w:id="593902033">
      <w:bodyDiv w:val="1"/>
      <w:marLeft w:val="0"/>
      <w:marRight w:val="0"/>
      <w:marTop w:val="0"/>
      <w:marBottom w:val="0"/>
      <w:divBdr>
        <w:top w:val="none" w:sz="0" w:space="0" w:color="auto"/>
        <w:left w:val="none" w:sz="0" w:space="0" w:color="auto"/>
        <w:bottom w:val="none" w:sz="0" w:space="0" w:color="auto"/>
        <w:right w:val="none" w:sz="0" w:space="0" w:color="auto"/>
      </w:divBdr>
    </w:div>
    <w:div w:id="595865573">
      <w:bodyDiv w:val="1"/>
      <w:marLeft w:val="0"/>
      <w:marRight w:val="0"/>
      <w:marTop w:val="0"/>
      <w:marBottom w:val="0"/>
      <w:divBdr>
        <w:top w:val="none" w:sz="0" w:space="0" w:color="auto"/>
        <w:left w:val="none" w:sz="0" w:space="0" w:color="auto"/>
        <w:bottom w:val="none" w:sz="0" w:space="0" w:color="auto"/>
        <w:right w:val="none" w:sz="0" w:space="0" w:color="auto"/>
      </w:divBdr>
    </w:div>
    <w:div w:id="621619856">
      <w:bodyDiv w:val="1"/>
      <w:marLeft w:val="0"/>
      <w:marRight w:val="0"/>
      <w:marTop w:val="0"/>
      <w:marBottom w:val="0"/>
      <w:divBdr>
        <w:top w:val="none" w:sz="0" w:space="0" w:color="auto"/>
        <w:left w:val="none" w:sz="0" w:space="0" w:color="auto"/>
        <w:bottom w:val="none" w:sz="0" w:space="0" w:color="auto"/>
        <w:right w:val="none" w:sz="0" w:space="0" w:color="auto"/>
      </w:divBdr>
    </w:div>
    <w:div w:id="653491102">
      <w:bodyDiv w:val="1"/>
      <w:marLeft w:val="0"/>
      <w:marRight w:val="0"/>
      <w:marTop w:val="0"/>
      <w:marBottom w:val="0"/>
      <w:divBdr>
        <w:top w:val="none" w:sz="0" w:space="0" w:color="auto"/>
        <w:left w:val="none" w:sz="0" w:space="0" w:color="auto"/>
        <w:bottom w:val="none" w:sz="0" w:space="0" w:color="auto"/>
        <w:right w:val="none" w:sz="0" w:space="0" w:color="auto"/>
      </w:divBdr>
    </w:div>
    <w:div w:id="703407058">
      <w:bodyDiv w:val="1"/>
      <w:marLeft w:val="0"/>
      <w:marRight w:val="0"/>
      <w:marTop w:val="0"/>
      <w:marBottom w:val="0"/>
      <w:divBdr>
        <w:top w:val="none" w:sz="0" w:space="0" w:color="auto"/>
        <w:left w:val="none" w:sz="0" w:space="0" w:color="auto"/>
        <w:bottom w:val="none" w:sz="0" w:space="0" w:color="auto"/>
        <w:right w:val="none" w:sz="0" w:space="0" w:color="auto"/>
      </w:divBdr>
    </w:div>
    <w:div w:id="878323799">
      <w:bodyDiv w:val="1"/>
      <w:marLeft w:val="0"/>
      <w:marRight w:val="0"/>
      <w:marTop w:val="0"/>
      <w:marBottom w:val="0"/>
      <w:divBdr>
        <w:top w:val="none" w:sz="0" w:space="0" w:color="auto"/>
        <w:left w:val="none" w:sz="0" w:space="0" w:color="auto"/>
        <w:bottom w:val="none" w:sz="0" w:space="0" w:color="auto"/>
        <w:right w:val="none" w:sz="0" w:space="0" w:color="auto"/>
      </w:divBdr>
    </w:div>
    <w:div w:id="90036610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600514">
      <w:bodyDiv w:val="1"/>
      <w:marLeft w:val="0"/>
      <w:marRight w:val="0"/>
      <w:marTop w:val="0"/>
      <w:marBottom w:val="0"/>
      <w:divBdr>
        <w:top w:val="none" w:sz="0" w:space="0" w:color="auto"/>
        <w:left w:val="none" w:sz="0" w:space="0" w:color="auto"/>
        <w:bottom w:val="none" w:sz="0" w:space="0" w:color="auto"/>
        <w:right w:val="none" w:sz="0" w:space="0" w:color="auto"/>
      </w:divBdr>
    </w:div>
    <w:div w:id="1040085320">
      <w:bodyDiv w:val="1"/>
      <w:marLeft w:val="0"/>
      <w:marRight w:val="0"/>
      <w:marTop w:val="0"/>
      <w:marBottom w:val="0"/>
      <w:divBdr>
        <w:top w:val="none" w:sz="0" w:space="0" w:color="auto"/>
        <w:left w:val="none" w:sz="0" w:space="0" w:color="auto"/>
        <w:bottom w:val="none" w:sz="0" w:space="0" w:color="auto"/>
        <w:right w:val="none" w:sz="0" w:space="0" w:color="auto"/>
      </w:divBdr>
    </w:div>
    <w:div w:id="1076584554">
      <w:bodyDiv w:val="1"/>
      <w:marLeft w:val="0"/>
      <w:marRight w:val="0"/>
      <w:marTop w:val="0"/>
      <w:marBottom w:val="0"/>
      <w:divBdr>
        <w:top w:val="none" w:sz="0" w:space="0" w:color="auto"/>
        <w:left w:val="none" w:sz="0" w:space="0" w:color="auto"/>
        <w:bottom w:val="none" w:sz="0" w:space="0" w:color="auto"/>
        <w:right w:val="none" w:sz="0" w:space="0" w:color="auto"/>
      </w:divBdr>
    </w:div>
    <w:div w:id="1112480761">
      <w:bodyDiv w:val="1"/>
      <w:marLeft w:val="0"/>
      <w:marRight w:val="0"/>
      <w:marTop w:val="0"/>
      <w:marBottom w:val="0"/>
      <w:divBdr>
        <w:top w:val="none" w:sz="0" w:space="0" w:color="auto"/>
        <w:left w:val="none" w:sz="0" w:space="0" w:color="auto"/>
        <w:bottom w:val="none" w:sz="0" w:space="0" w:color="auto"/>
        <w:right w:val="none" w:sz="0" w:space="0" w:color="auto"/>
      </w:divBdr>
    </w:div>
    <w:div w:id="111332920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09075863">
      <w:bodyDiv w:val="1"/>
      <w:marLeft w:val="0"/>
      <w:marRight w:val="0"/>
      <w:marTop w:val="0"/>
      <w:marBottom w:val="0"/>
      <w:divBdr>
        <w:top w:val="none" w:sz="0" w:space="0" w:color="auto"/>
        <w:left w:val="none" w:sz="0" w:space="0" w:color="auto"/>
        <w:bottom w:val="none" w:sz="0" w:space="0" w:color="auto"/>
        <w:right w:val="none" w:sz="0" w:space="0" w:color="auto"/>
      </w:divBdr>
    </w:div>
    <w:div w:id="140864932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850575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88739792">
      <w:bodyDiv w:val="1"/>
      <w:marLeft w:val="0"/>
      <w:marRight w:val="0"/>
      <w:marTop w:val="0"/>
      <w:marBottom w:val="0"/>
      <w:divBdr>
        <w:top w:val="none" w:sz="0" w:space="0" w:color="auto"/>
        <w:left w:val="none" w:sz="0" w:space="0" w:color="auto"/>
        <w:bottom w:val="none" w:sz="0" w:space="0" w:color="auto"/>
        <w:right w:val="none" w:sz="0" w:space="0" w:color="auto"/>
      </w:divBdr>
    </w:div>
    <w:div w:id="1495223192">
      <w:bodyDiv w:val="1"/>
      <w:marLeft w:val="0"/>
      <w:marRight w:val="0"/>
      <w:marTop w:val="0"/>
      <w:marBottom w:val="0"/>
      <w:divBdr>
        <w:top w:val="none" w:sz="0" w:space="0" w:color="auto"/>
        <w:left w:val="none" w:sz="0" w:space="0" w:color="auto"/>
        <w:bottom w:val="none" w:sz="0" w:space="0" w:color="auto"/>
        <w:right w:val="none" w:sz="0" w:space="0" w:color="auto"/>
      </w:divBdr>
    </w:div>
    <w:div w:id="152470987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4406924">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12304993">
      <w:bodyDiv w:val="1"/>
      <w:marLeft w:val="0"/>
      <w:marRight w:val="0"/>
      <w:marTop w:val="0"/>
      <w:marBottom w:val="0"/>
      <w:divBdr>
        <w:top w:val="none" w:sz="0" w:space="0" w:color="auto"/>
        <w:left w:val="none" w:sz="0" w:space="0" w:color="auto"/>
        <w:bottom w:val="none" w:sz="0" w:space="0" w:color="auto"/>
        <w:right w:val="none" w:sz="0" w:space="0" w:color="auto"/>
      </w:divBdr>
    </w:div>
    <w:div w:id="204323902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03111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header" Target="header3.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yperlink" Target="https://prodonrgov.sharepoint.com/:w:/r/sites/HOW2Hub/_layouts/15/Doc.aspx?sourcedoc=%7B616DEA1F-5C81-6EA8-77BD-D03764E22A80%7D&amp;file=NS-TAST-GD-051%20-%20The%20Purpose%2C%20Scope%2Cand%20Content%20of%20Safety%20Cases.docx&amp;action=default&amp;mobileredirect=true&amp;DefaultItemOpen=1%3Fweb%3D1"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yperlink" Target="https://prodonrgov.sharepoint.com/sites/HOW2Hub/_layouts/15/DocIdRedir.aspx?ID=ONRHH-822789359-20431" TargetMode="Externa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101B7"/>
    <w:rsid w:val="00176DB5"/>
    <w:rsid w:val="00183F29"/>
    <w:rsid w:val="002550FD"/>
    <w:rsid w:val="00333F8E"/>
    <w:rsid w:val="00350199"/>
    <w:rsid w:val="003D5793"/>
    <w:rsid w:val="005A49B8"/>
    <w:rsid w:val="00633C30"/>
    <w:rsid w:val="007154C5"/>
    <w:rsid w:val="00764F6F"/>
    <w:rsid w:val="0083336C"/>
    <w:rsid w:val="00835E07"/>
    <w:rsid w:val="0089756E"/>
    <w:rsid w:val="00A009A6"/>
    <w:rsid w:val="00A657B0"/>
    <w:rsid w:val="00C17C1E"/>
    <w:rsid w:val="00C41962"/>
    <w:rsid w:val="00C41BCC"/>
    <w:rsid w:val="00DD7BA4"/>
    <w:rsid w:val="00E27559"/>
    <w:rsid w:val="00E318CE"/>
    <w:rsid w:val="00E646E1"/>
    <w:rsid w:val="00EB73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724e73164808191a758277c779b53781">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0d07b2e48c5c6cb673863f8fde9c9f33"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IEEE2006OfficeOnline.xsl" StyleName="IEEE" Version="2006">
  <b:Source>
    <b:Tag>ONR52</b:Tag>
    <b:SourceType>DocumentFromInternetSite</b:SourceType>
    <b:Guid>{9C9F9030-DDF4-4702-AAB3-6D9EC30A7687}</b:Guid>
    <b:Author>
      <b:Author>
        <b:Corporate>ONR</b:Corporate>
      </b:Author>
    </b:Author>
    <b:Title>NS-TAST-GD-051 - The purpose, content and scope of safety cases</b:Title>
    <b:URL>ONR website</b:URL>
    <b:RefOrder>1</b:RefOrder>
  </b:Source>
  <b:Source>
    <b:Tag>ONR53</b:Tag>
    <b:SourceType>DocumentFromInternetSite</b:SourceType>
    <b:Guid>{5983C01E-2941-4897-B42C-72721D9BE639}</b:Guid>
    <b:Author>
      <b:Author>
        <b:Corporate>ONR</b:Corporate>
      </b:Author>
    </b:Author>
    <b:Title>ONR-RD-POL-002 - Risk-Informed and Targeted Engagements (RITE) Policy</b:Title>
    <b:URL>ONR website</b:URL>
    <b:RefOrder>2</b:RefOrder>
  </b:Source>
  <b:Source>
    <b:Tag>Gov4</b:Tag>
    <b:SourceType>DocumentFromInternetSite</b:SourceType>
    <b:Guid>{53A7DF16-00F4-4080-9B60-5B4DA51784AD}</b:Guid>
    <b:Author>
      <b:Author>
        <b:NameList>
          <b:Person>
            <b:Last>Haddon-Cave (QC)</b:Last>
            <b:First>Charles </b:First>
          </b:Person>
        </b:NameList>
      </b:Author>
    </b:Author>
    <b:Title>The Nimrod Review: an independent review into the broader issues surrounding the loss of the RAF Nimrod MR2 aircraft XV230 in Afghanistan in 2006,</b:Title>
    <b:Year>2009</b:Year>
    <b:Month>October</b:Month>
    <b:URL>https://www.gov.uk/government/publications/the-nimrod-review</b:URL>
    <b:RefOrder>3</b:RefOrder>
  </b:Source>
  <b:Source>
    <b:Tag>ONR49</b:Tag>
    <b:SourceType>ElectronicSource</b:SourceType>
    <b:Guid>{4EB55E99-7126-44D7-9995-639A64767092}</b:Guid>
    <b:Author>
      <b:Author>
        <b:Corporate>ONR</b:Corporate>
      </b:Author>
    </b:Author>
    <b:Title>Safety Assessment Principles (2014 Edition Revision 1)</b:Title>
    <b:RefOrder>4</b:RefOrder>
  </b:Source>
  <b:Source>
    <b:Tag>ONR50</b:Tag>
    <b:SourceType>DocumentFromInternetSite</b:SourceType>
    <b:Guid>{3FB662FB-2587-4095-BE24-D2E27D7288AA}</b:Guid>
    <b:Author>
      <b:Author>
        <b:Corporate>ONR</b:Corporate>
      </b:Author>
    </b:Author>
    <b:Title>NS-INSP-GD-070 - Organisational culture guide for inspectors</b:Title>
    <b:URL>ONR website</b:URL>
    <b:RefOrder>5</b:RefOrder>
  </b:Source>
  <b:Source>
    <b:Tag>ONR51</b:Tag>
    <b:SourceType>DocumentFromInternetSite</b:SourceType>
    <b:Guid>{8D32F97B-3192-40CA-9A4D-62A453BCC0A5}</b:Guid>
    <b:Author>
      <b:Author>
        <b:Corporate>ONR</b:Corporate>
      </b:Author>
    </b:Author>
    <b:Title>NS-TAST-GD-049 - Licensee Core Safety and Intelligent Customer Capabilities</b:Title>
    <b:URL>ONR website</b:URL>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3.xml><?xml version="1.0" encoding="utf-8"?>
<ds:datastoreItem xmlns:ds="http://schemas.openxmlformats.org/officeDocument/2006/customXml" ds:itemID="{302464A8-7BA5-4131-8D06-4B18A77BE91D}">
  <ds:schemaRefs>
    <ds:schemaRef ds:uri="http://purl.org/dc/elements/1.1/"/>
    <ds:schemaRef ds:uri="http://schemas.microsoft.com/office/2006/metadata/properties"/>
    <ds:schemaRef ds:uri="05350e14-297a-489c-ad04-faf6563b232c"/>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fbd4c4c3-96d4-4265-b68e-6a383a5dca66"/>
    <ds:schemaRef ds:uri="http://purl.org/dc/dcmitype/"/>
    <ds:schemaRef ds:uri="8c4e2855-9588-4bc9-9890-af639bd565eb"/>
    <ds:schemaRef ds:uri="http://www.w3.org/XML/1998/namespace"/>
  </ds:schemaRefs>
</ds:datastoreItem>
</file>

<file path=customXml/itemProps4.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5.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6.xml><?xml version="1.0" encoding="utf-8"?>
<ds:datastoreItem xmlns:ds="http://schemas.openxmlformats.org/officeDocument/2006/customXml" ds:itemID="{A9A87125-619F-4E8D-8B70-ECB69377D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AD811EA-D60D-4613-8D9B-32F329D94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1687</Words>
  <Characters>9802</Characters>
  <Application>Microsoft Office Word</Application>
  <DocSecurity>0</DocSecurity>
  <Lines>227</Lines>
  <Paragraphs>103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14 – Safety documentation</dc:title>
  <dc:subject>[Subtitle or description]</dc:subject>
  <cp:keywords>[Key words separated by commas]</cp:keywords>
  <dc:description/>
  <cp:revision>4</cp:revision>
  <cp:lastPrinted>2016-11-28T11:35:00Z</cp:lastPrinted>
  <dcterms:created xsi:type="dcterms:W3CDTF">2026-01-14T15:36:00Z</dcterms:created>
  <dcterms:modified xsi:type="dcterms:W3CDTF">2026-01-14T15:44:00Z</dcterms:modified>
  <cp:contentStatus>5.1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