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03508A8D" w:rsidR="00C20562" w:rsidRPr="00C20562" w:rsidRDefault="00C20562" w:rsidP="00323E71">
            <w:bookmarkStart w:id="0" w:name="_Toc466022543"/>
          </w:p>
        </w:tc>
      </w:tr>
      <w:tr w:rsidR="00D0226A" w:rsidRPr="002E6A3A"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5883F379" w:rsidR="00595C8C" w:rsidRPr="00A5229C" w:rsidRDefault="00595C8C" w:rsidP="00595C8C">
            <w:pPr>
              <w:pStyle w:val="InnerCoverTitle"/>
              <w:rPr>
                <w:sz w:val="36"/>
                <w:szCs w:val="36"/>
              </w:rPr>
            </w:pPr>
            <w:r w:rsidRPr="00A5229C">
              <w:rPr>
                <w:sz w:val="36"/>
                <w:szCs w:val="36"/>
              </w:rPr>
              <w:t xml:space="preserve">ONR </w:t>
            </w:r>
            <w:r w:rsidR="00D60BCB" w:rsidRPr="00A5229C">
              <w:rPr>
                <w:sz w:val="36"/>
                <w:szCs w:val="36"/>
              </w:rPr>
              <w:t>Technical Inspection Guide (TIG)</w:t>
            </w:r>
          </w:p>
          <w:sdt>
            <w:sdtPr>
              <w:rPr>
                <w:sz w:val="48"/>
                <w:szCs w:val="48"/>
              </w:rPr>
              <w:id w:val="1228188510"/>
              <w:placeholder>
                <w:docPart w:val="DefaultPlaceholder_-1854013440"/>
              </w:placeholder>
            </w:sdtPr>
            <w:sdtEndPr/>
            <w:sdtContent>
              <w:p w14:paraId="7C4EA414" w14:textId="6E700294" w:rsidR="00D0226A" w:rsidRPr="002E6A3A" w:rsidRDefault="000875C2" w:rsidP="001E03E1">
                <w:pPr>
                  <w:pStyle w:val="CoverTitle"/>
                  <w:rPr>
                    <w:sz w:val="48"/>
                    <w:szCs w:val="48"/>
                  </w:rPr>
                </w:pPr>
                <w:sdt>
                  <w:sdtPr>
                    <w:rPr>
                      <w:sz w:val="48"/>
                      <w:szCs w:val="48"/>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F40A6B" w:rsidRPr="002E6A3A">
                      <w:rPr>
                        <w:sz w:val="48"/>
                        <w:szCs w:val="48"/>
                      </w:rPr>
                      <w:t xml:space="preserve">Licence Condition 12 – Duly </w:t>
                    </w:r>
                    <w:r w:rsidR="00A5229C">
                      <w:rPr>
                        <w:sz w:val="48"/>
                        <w:szCs w:val="48"/>
                      </w:rPr>
                      <w:t>a</w:t>
                    </w:r>
                    <w:r w:rsidR="00F40A6B" w:rsidRPr="002E6A3A">
                      <w:rPr>
                        <w:sz w:val="48"/>
                        <w:szCs w:val="48"/>
                      </w:rPr>
                      <w:t>uthorised and other sui</w:t>
                    </w:r>
                    <w:r w:rsidR="002E6A3A">
                      <w:rPr>
                        <w:sz w:val="48"/>
                        <w:szCs w:val="48"/>
                      </w:rPr>
                      <w:t>tably qualified and experienced persons</w:t>
                    </w:r>
                  </w:sdtContent>
                </w:sdt>
              </w:p>
            </w:sdtContent>
          </w:sdt>
        </w:tc>
      </w:tr>
    </w:tbl>
    <w:p w14:paraId="56A09D10" w14:textId="77777777" w:rsidR="00D0226A" w:rsidRPr="002E6A3A" w:rsidRDefault="00D0226A">
      <w:pPr>
        <w:spacing w:after="0"/>
        <w:rPr>
          <w:sz w:val="48"/>
          <w:szCs w:val="48"/>
        </w:rPr>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FDB4B56" w14:textId="6C10B266" w:rsidR="00595C8C" w:rsidRDefault="00595C8C" w:rsidP="00323E71">
      <w:pPr>
        <w:sectPr w:rsidR="00595C8C" w:rsidSect="00777CB4">
          <w:headerReference w:type="default" r:id="rId16"/>
          <w:footerReference w:type="default" r:id="rId17"/>
          <w:headerReference w:type="first" r:id="rId18"/>
          <w:footerReference w:type="first" r:id="rId19"/>
          <w:type w:val="continuous"/>
          <w:pgSz w:w="11906" w:h="16838" w:code="9"/>
          <w:pgMar w:top="1440" w:right="1440" w:bottom="1440" w:left="1440" w:header="397" w:footer="397" w:gutter="0"/>
          <w:cols w:space="312"/>
          <w:titlePg/>
          <w:docGrid w:linePitch="360"/>
        </w:sectPr>
      </w:pPr>
    </w:p>
    <w:p w14:paraId="14306098" w14:textId="77777777" w:rsidR="002C301C" w:rsidRPr="00223090" w:rsidRDefault="002C301C" w:rsidP="002C301C">
      <w:pPr>
        <w:pStyle w:val="Heading1"/>
      </w:pPr>
      <w:bookmarkStart w:id="1" w:name="_Toc216427441"/>
      <w:bookmarkStart w:id="2" w:name="_Toc220242305"/>
      <w:bookmarkEnd w:id="0"/>
      <w:r w:rsidRPr="00223090">
        <w:lastRenderedPageBreak/>
        <w:t>Introduction</w:t>
      </w:r>
      <w:bookmarkEnd w:id="1"/>
      <w:bookmarkEnd w:id="2"/>
    </w:p>
    <w:p w14:paraId="1EF66842" w14:textId="098F4292" w:rsidR="002C301C" w:rsidRDefault="002C301C" w:rsidP="002C301C">
      <w:pPr>
        <w:pStyle w:val="F9-Paragraph"/>
        <w:numPr>
          <w:ilvl w:val="0"/>
          <w:numId w:val="27"/>
        </w:numPr>
        <w:spacing w:before="0" w:after="240"/>
        <w:ind w:left="851" w:hanging="709"/>
      </w:pPr>
      <w:bookmarkStart w:id="3" w:name="_Hlk64448648"/>
      <w:r>
        <w:t xml:space="preserve">Technical Inspection Guides (TIGs) assist inspectors in making regulatory judgments and providing advice on licence conditions (LCs). Most LCs are goal setting, leaving the specifics of arrangements to the dutyholder, who is responsible for safety. This guidance aims to support consistent inspection of LC 12 – </w:t>
      </w:r>
      <w:r w:rsidRPr="001A60DE">
        <w:t>Duly authorised and other suitably qualified and experienced persons</w:t>
      </w:r>
      <w:r>
        <w:t xml:space="preserve">. </w:t>
      </w:r>
    </w:p>
    <w:p w14:paraId="6E0A78ED" w14:textId="40C9ED3C" w:rsidR="002C301C" w:rsidRDefault="002C301C" w:rsidP="002C301C">
      <w:pPr>
        <w:pStyle w:val="F9-Paragraph"/>
        <w:numPr>
          <w:ilvl w:val="0"/>
          <w:numId w:val="27"/>
        </w:numPr>
        <w:spacing w:before="0" w:after="240"/>
        <w:ind w:left="851" w:hanging="709"/>
      </w:pPr>
      <w:r>
        <w:t>While not exhaustive or mandatory, the guidance offers a clear framework for inspectors to assess the adequacy of compliance. Additional relevant guidance</w:t>
      </w:r>
      <w:r>
        <w:rPr>
          <w:rStyle w:val="FootnoteReference"/>
        </w:rPr>
        <w:footnoteReference w:id="2"/>
      </w:r>
      <w:r>
        <w:t xml:space="preserve"> is available in the Technical Assessment Guide (TAG) on </w:t>
      </w:r>
      <w:r w:rsidR="00777CB4">
        <w:t>‘</w:t>
      </w:r>
      <w:r>
        <w:t>Training and Assuring Personnel Competence</w:t>
      </w:r>
      <w:r w:rsidR="00777CB4">
        <w:t>’</w:t>
      </w:r>
      <w:r>
        <w:t xml:space="preserve"> </w:t>
      </w:r>
      <w:sdt>
        <w:sdtPr>
          <w:id w:val="439420315"/>
          <w:citation/>
        </w:sdtPr>
        <w:sdtEndPr/>
        <w:sdtContent>
          <w:r>
            <w:fldChar w:fldCharType="begin"/>
          </w:r>
          <w:r w:rsidR="00777CB4">
            <w:instrText xml:space="preserve">CITATION ONR51 \l 2057 </w:instrText>
          </w:r>
          <w:r>
            <w:fldChar w:fldCharType="separate"/>
          </w:r>
          <w:r w:rsidR="00777CB4" w:rsidRPr="00777CB4">
            <w:rPr>
              <w:noProof/>
            </w:rPr>
            <w:t>[1]</w:t>
          </w:r>
          <w:r>
            <w:fldChar w:fldCharType="end"/>
          </w:r>
        </w:sdtContent>
      </w:sdt>
      <w:r>
        <w:t>.</w:t>
      </w:r>
    </w:p>
    <w:p w14:paraId="22CE0AD8" w14:textId="745B1995" w:rsidR="002C301C" w:rsidRPr="00AA78A4" w:rsidRDefault="002C301C" w:rsidP="002C301C">
      <w:pPr>
        <w:pStyle w:val="F9-Paragraph"/>
        <w:numPr>
          <w:ilvl w:val="0"/>
          <w:numId w:val="27"/>
        </w:numPr>
        <w:spacing w:before="0" w:after="240"/>
        <w:ind w:left="851" w:hanging="709"/>
      </w:pPr>
      <w:r>
        <w:t xml:space="preserve">Inspectors should also refer to the ONR policy on </w:t>
      </w:r>
      <w:r w:rsidR="00777CB4">
        <w:t>‘</w:t>
      </w:r>
      <w:r>
        <w:t>Risk-Informed and Targeted Engagements</w:t>
      </w:r>
      <w:r w:rsidR="00777CB4">
        <w:t>’</w:t>
      </w:r>
      <w:r>
        <w:t xml:space="preserve"> (RITE) </w:t>
      </w:r>
      <w:sdt>
        <w:sdtPr>
          <w:id w:val="1204134584"/>
          <w:citation/>
        </w:sdtPr>
        <w:sdtEndPr/>
        <w:sdtContent>
          <w:r>
            <w:fldChar w:fldCharType="begin"/>
          </w:r>
          <w:r w:rsidR="00777CB4">
            <w:instrText xml:space="preserve">CITATION ONR33 \l 2057 </w:instrText>
          </w:r>
          <w:r>
            <w:fldChar w:fldCharType="separate"/>
          </w:r>
          <w:r w:rsidR="00777CB4" w:rsidRPr="00777CB4">
            <w:rPr>
              <w:noProof/>
            </w:rPr>
            <w:t>[2]</w:t>
          </w:r>
          <w:r>
            <w:fldChar w:fldCharType="end"/>
          </w:r>
        </w:sdtContent>
      </w:sdt>
      <w:r>
        <w:t>, which guides risk-based prioritisation in regulatory interventions and supports decisions on engaging with dutyholders.</w:t>
      </w:r>
    </w:p>
    <w:p w14:paraId="6FD15C8D" w14:textId="77777777" w:rsidR="00777CB4" w:rsidRDefault="00777CB4" w:rsidP="002C301C">
      <w:pPr>
        <w:pStyle w:val="Heading1"/>
        <w:sectPr w:rsidR="00777CB4" w:rsidSect="00777CB4">
          <w:headerReference w:type="even" r:id="rId20"/>
          <w:headerReference w:type="default" r:id="rId21"/>
          <w:footerReference w:type="even" r:id="rId22"/>
          <w:type w:val="continuous"/>
          <w:pgSz w:w="11906" w:h="16838" w:code="9"/>
          <w:pgMar w:top="1440" w:right="1440" w:bottom="1440" w:left="1440" w:header="397" w:footer="397" w:gutter="0"/>
          <w:cols w:space="312"/>
          <w:docGrid w:linePitch="360"/>
        </w:sectPr>
      </w:pPr>
      <w:bookmarkStart w:id="4" w:name="_Toc216427442"/>
      <w:bookmarkStart w:id="5" w:name="_Toc220242306"/>
      <w:bookmarkEnd w:id="3"/>
    </w:p>
    <w:p w14:paraId="5582C5ED" w14:textId="77777777" w:rsidR="002C301C" w:rsidRDefault="002C301C" w:rsidP="002C301C">
      <w:pPr>
        <w:pStyle w:val="Heading1"/>
      </w:pPr>
      <w:r>
        <w:lastRenderedPageBreak/>
        <w:t xml:space="preserve">Licence Condition 12 – </w:t>
      </w:r>
      <w:bookmarkStart w:id="6" w:name="_Hlk216358780"/>
      <w:r>
        <w:rPr>
          <w:szCs w:val="48"/>
        </w:rPr>
        <w:t>Duly authorised and other suitably qualified and experienced persons</w:t>
      </w:r>
      <w:bookmarkEnd w:id="4"/>
      <w:bookmarkEnd w:id="5"/>
      <w:bookmarkEnd w:id="6"/>
    </w:p>
    <w:p w14:paraId="14EFFD8D" w14:textId="77777777" w:rsidR="002C301C" w:rsidRDefault="002C301C" w:rsidP="002C301C">
      <w:pPr>
        <w:pStyle w:val="Bulletlist1"/>
        <w:numPr>
          <w:ilvl w:val="0"/>
          <w:numId w:val="0"/>
        </w:numPr>
        <w:ind w:left="1800" w:hanging="954"/>
      </w:pPr>
      <w:r>
        <w:t xml:space="preserve">12(1) </w:t>
      </w:r>
      <w:r>
        <w:tab/>
        <w:t>The licensee shall make and implement adequate arrangements to ensure that only suitably qualified and experienced persons perform any duties which may affect the safety of operations on the site or any other duties assigned by or under these condition or any arrangements required under these conditions.</w:t>
      </w:r>
    </w:p>
    <w:p w14:paraId="55DEC5A4" w14:textId="11633BED" w:rsidR="002C301C" w:rsidRDefault="002C301C" w:rsidP="002C301C">
      <w:pPr>
        <w:pStyle w:val="Bulletlist1"/>
        <w:numPr>
          <w:ilvl w:val="0"/>
          <w:numId w:val="0"/>
        </w:numPr>
        <w:ind w:left="1800" w:hanging="954"/>
      </w:pPr>
      <w:r>
        <w:t xml:space="preserve">12(2) </w:t>
      </w:r>
      <w:r>
        <w:tab/>
        <w:t xml:space="preserve">The </w:t>
      </w:r>
      <w:r w:rsidR="00CB698E">
        <w:t>aforesaid</w:t>
      </w:r>
      <w:r>
        <w:t xml:space="preserve"> arrangements shall also provide for the appointment, in appropriate cases, of duly authorised persons to control and supervise operations which may affect plant safety.</w:t>
      </w:r>
    </w:p>
    <w:p w14:paraId="5E50FFFD" w14:textId="77777777" w:rsidR="002C301C" w:rsidRDefault="002C301C" w:rsidP="002C301C">
      <w:pPr>
        <w:pStyle w:val="Bulletlist1"/>
        <w:numPr>
          <w:ilvl w:val="0"/>
          <w:numId w:val="0"/>
        </w:numPr>
        <w:ind w:left="1800" w:hanging="954"/>
      </w:pPr>
      <w:r>
        <w:t xml:space="preserve">12(3) </w:t>
      </w:r>
      <w:r>
        <w:tab/>
        <w:t xml:space="preserve">The licensee shall submit to ONR for </w:t>
      </w:r>
      <w:r w:rsidRPr="00D46689">
        <w:rPr>
          <w:shd w:val="clear" w:color="auto" w:fill="D2E7B5" w:themeFill="accent4" w:themeFillTint="66"/>
        </w:rPr>
        <w:t xml:space="preserve">approval </w:t>
      </w:r>
      <w:r>
        <w:t xml:space="preserve">such part or parts of the aforesaid arrangements as ONR may </w:t>
      </w:r>
      <w:r w:rsidRPr="00D46689">
        <w:rPr>
          <w:shd w:val="clear" w:color="auto" w:fill="B6E6E9" w:themeFill="accent3" w:themeFillTint="66"/>
        </w:rPr>
        <w:t>specify</w:t>
      </w:r>
      <w:r>
        <w:t>.</w:t>
      </w:r>
    </w:p>
    <w:p w14:paraId="64797DD3" w14:textId="703F03B5" w:rsidR="002C301C" w:rsidRDefault="002C301C" w:rsidP="002C301C">
      <w:pPr>
        <w:pStyle w:val="Bulletlist1"/>
        <w:numPr>
          <w:ilvl w:val="0"/>
          <w:numId w:val="0"/>
        </w:numPr>
        <w:ind w:left="1800" w:hanging="954"/>
      </w:pPr>
      <w:r>
        <w:t>12(4)</w:t>
      </w:r>
      <w:r>
        <w:tab/>
        <w:t xml:space="preserve">The licensee shall ensure that once approved no alteration or amendment is made to the approved </w:t>
      </w:r>
      <w:r w:rsidR="00CB698E">
        <w:t>arrangements</w:t>
      </w:r>
      <w:r>
        <w:t xml:space="preserve"> unless ONR has </w:t>
      </w:r>
      <w:r w:rsidRPr="00605FAF">
        <w:rPr>
          <w:shd w:val="clear" w:color="auto" w:fill="D2E7B5" w:themeFill="accent4" w:themeFillTint="66"/>
        </w:rPr>
        <w:t>approved</w:t>
      </w:r>
      <w:r>
        <w:t xml:space="preserve"> such alteration or amendment.</w:t>
      </w:r>
    </w:p>
    <w:p w14:paraId="23DCFD97" w14:textId="77777777" w:rsidR="002C301C" w:rsidRDefault="002C301C" w:rsidP="002C301C">
      <w:pPr>
        <w:pStyle w:val="Bulletlist1"/>
        <w:numPr>
          <w:ilvl w:val="0"/>
          <w:numId w:val="0"/>
        </w:numPr>
        <w:ind w:left="1800" w:hanging="954"/>
      </w:pPr>
      <w:r>
        <w:t>12(5)</w:t>
      </w:r>
      <w:r>
        <w:tab/>
        <w:t xml:space="preserve">The licensee shall ensure that no person continues to act as a duly authorised person if, in the opinion of ONR, he is unfit to act in that capacity and ONR has </w:t>
      </w:r>
      <w:r w:rsidRPr="007C69F3">
        <w:rPr>
          <w:shd w:val="clear" w:color="auto" w:fill="FFFF99"/>
        </w:rPr>
        <w:t>notified</w:t>
      </w:r>
      <w:r>
        <w:t xml:space="preserve"> the licensee to that effect.</w:t>
      </w:r>
    </w:p>
    <w:p w14:paraId="7D0CC4D8" w14:textId="77777777" w:rsidR="00777CB4" w:rsidRDefault="00777CB4" w:rsidP="002C301C">
      <w:pPr>
        <w:pStyle w:val="Heading1"/>
        <w:sectPr w:rsidR="00777CB4" w:rsidSect="00777CB4">
          <w:pgSz w:w="11906" w:h="16838" w:code="9"/>
          <w:pgMar w:top="1440" w:right="1440" w:bottom="1440" w:left="1440" w:header="397" w:footer="397" w:gutter="0"/>
          <w:cols w:space="312"/>
          <w:docGrid w:linePitch="360"/>
        </w:sectPr>
      </w:pPr>
      <w:bookmarkStart w:id="7" w:name="_Toc216427443"/>
      <w:bookmarkStart w:id="8" w:name="_Toc220242307"/>
    </w:p>
    <w:p w14:paraId="6FF95FF2" w14:textId="10608A70" w:rsidR="002C301C" w:rsidRDefault="002C301C" w:rsidP="002C301C">
      <w:pPr>
        <w:pStyle w:val="Heading1"/>
      </w:pPr>
      <w:r>
        <w:lastRenderedPageBreak/>
        <w:t xml:space="preserve">Purpose and </w:t>
      </w:r>
      <w:r w:rsidR="00777CB4">
        <w:t>o</w:t>
      </w:r>
      <w:r>
        <w:t>utcomes of LC12</w:t>
      </w:r>
      <w:bookmarkEnd w:id="7"/>
      <w:bookmarkEnd w:id="8"/>
    </w:p>
    <w:p w14:paraId="4CE2BBCD" w14:textId="27159471" w:rsidR="002C301C" w:rsidRDefault="0059100E" w:rsidP="002C301C">
      <w:pPr>
        <w:pStyle w:val="F9-Paragraph"/>
        <w:spacing w:before="0" w:after="240"/>
        <w:ind w:hanging="709"/>
      </w:pPr>
      <w:r w:rsidRPr="00F1336E">
        <w:t>The purpose of LC</w:t>
      </w:r>
      <w:r>
        <w:t xml:space="preserve"> </w:t>
      </w:r>
      <w:r w:rsidRPr="00F1336E">
        <w:t>12 is to ensure that only suitably qualified and experienced persons (SQEP), appointed or otherwise, perform duties which may affect the safety of operations on the site, or any other duties assigned by or under the licence conditions, or any arrangements required under the licence conditions</w:t>
      </w:r>
      <w:r w:rsidR="002C301C">
        <w:t xml:space="preserve">. </w:t>
      </w:r>
    </w:p>
    <w:p w14:paraId="314B8F1A" w14:textId="77777777" w:rsidR="002C301C" w:rsidRDefault="002C301C" w:rsidP="002C301C">
      <w:pPr>
        <w:pStyle w:val="F9-Paragraph"/>
        <w:spacing w:before="0" w:after="240"/>
        <w:ind w:hanging="709"/>
      </w:pPr>
      <w:r>
        <w:t>The regulatory outcomes being sought by LC 12, are that:</w:t>
      </w:r>
    </w:p>
    <w:p w14:paraId="3ABD93F0" w14:textId="59B74CAB" w:rsidR="002C301C" w:rsidRDefault="002C301C" w:rsidP="002C301C">
      <w:pPr>
        <w:pStyle w:val="F9-Paragraph"/>
        <w:numPr>
          <w:ilvl w:val="1"/>
          <w:numId w:val="31"/>
        </w:numPr>
        <w:spacing w:before="0" w:after="240"/>
        <w:ind w:hanging="306"/>
      </w:pPr>
      <w:r w:rsidRPr="00807607">
        <w:t>The safety of operations</w:t>
      </w:r>
      <w:r>
        <w:rPr>
          <w:rStyle w:val="FootnoteReference"/>
        </w:rPr>
        <w:footnoteReference w:id="3"/>
      </w:r>
      <w:r w:rsidRPr="00807607">
        <w:t xml:space="preserve"> is dependent on the individuals who design, construct, operate, maintain, modify and decommission it. </w:t>
      </w:r>
      <w:r w:rsidR="00777CB4">
        <w:br/>
      </w:r>
      <w:r w:rsidRPr="00807607">
        <w:t xml:space="preserve">The Licensee is therefore required to establish, and implement, arrangements to ensure that individuals who perform these activities, and any other activities pertinent to safety, are </w:t>
      </w:r>
      <w:r w:rsidRPr="00086203">
        <w:rPr>
          <w:bCs/>
          <w:iCs/>
        </w:rPr>
        <w:t>competent</w:t>
      </w:r>
      <w:r w:rsidRPr="00086203">
        <w:rPr>
          <w:rStyle w:val="FootnoteReference"/>
          <w:bCs/>
          <w:iCs/>
        </w:rPr>
        <w:footnoteReference w:id="4"/>
      </w:r>
      <w:r>
        <w:rPr>
          <w:b/>
          <w:iCs/>
        </w:rPr>
        <w:t>.</w:t>
      </w:r>
    </w:p>
    <w:p w14:paraId="15E14092" w14:textId="6EE4C71B" w:rsidR="002C301C" w:rsidRDefault="002C301C" w:rsidP="002C301C">
      <w:pPr>
        <w:pStyle w:val="F9-Paragraph"/>
        <w:numPr>
          <w:ilvl w:val="1"/>
          <w:numId w:val="31"/>
        </w:numPr>
        <w:spacing w:before="0" w:after="240"/>
        <w:ind w:hanging="306"/>
      </w:pPr>
      <w:r>
        <w:t xml:space="preserve">persons conducting and directly supervising specified operations of the highest safety significance should be appointed as ‘duly authorised persons’ (DAP) in accordance with </w:t>
      </w:r>
      <w:r w:rsidR="00777CB4">
        <w:t>LC</w:t>
      </w:r>
      <w:r>
        <w:t xml:space="preserve"> 12(2).</w:t>
      </w:r>
    </w:p>
    <w:p w14:paraId="7D76E778" w14:textId="77777777" w:rsidR="002C301C" w:rsidRDefault="002C301C" w:rsidP="002C301C">
      <w:pPr>
        <w:pStyle w:val="F9-Paragraph"/>
        <w:numPr>
          <w:ilvl w:val="1"/>
          <w:numId w:val="31"/>
        </w:numPr>
        <w:spacing w:before="0" w:after="240"/>
        <w:ind w:hanging="306"/>
      </w:pPr>
      <w:r>
        <w:t>posts requiring a DAP should be specified in the arrangements and a formal system for the assessment, authorisation, notification and periodic re-authorisation and re-notification should be in existence.</w:t>
      </w:r>
    </w:p>
    <w:p w14:paraId="559ADCE8" w14:textId="2A4FE031" w:rsidR="002C301C" w:rsidRDefault="002C301C" w:rsidP="002C301C">
      <w:pPr>
        <w:pStyle w:val="F9-Paragraph"/>
        <w:spacing w:before="0" w:after="240"/>
        <w:ind w:hanging="709"/>
      </w:pPr>
      <w:r>
        <w:t xml:space="preserve">Roles requiring appointment can be found in LC 21, 26, and 28: </w:t>
      </w:r>
    </w:p>
    <w:p w14:paraId="311982EE" w14:textId="55587491" w:rsidR="002C301C" w:rsidRDefault="002C301C" w:rsidP="002C301C">
      <w:pPr>
        <w:pStyle w:val="F9-Paragraph"/>
        <w:numPr>
          <w:ilvl w:val="1"/>
          <w:numId w:val="25"/>
        </w:numPr>
        <w:spacing w:before="0" w:after="240"/>
        <w:ind w:hanging="447"/>
      </w:pPr>
      <w:r>
        <w:t>LC</w:t>
      </w:r>
      <w:r w:rsidR="00777CB4">
        <w:t xml:space="preserve"> </w:t>
      </w:r>
      <w:r>
        <w:t xml:space="preserve">21 requires the appointment of a SQEP for the purpose of controlling, witnessing, recording, and assessing the results of commissioning tests. </w:t>
      </w:r>
    </w:p>
    <w:p w14:paraId="3AC0A559" w14:textId="3D7CC46E" w:rsidR="002C301C" w:rsidRDefault="002C301C" w:rsidP="002C301C">
      <w:pPr>
        <w:pStyle w:val="F9-Paragraph"/>
        <w:numPr>
          <w:ilvl w:val="1"/>
          <w:numId w:val="25"/>
        </w:numPr>
        <w:spacing w:before="0" w:after="240"/>
        <w:ind w:hanging="447"/>
      </w:pPr>
      <w:r>
        <w:t>LC</w:t>
      </w:r>
      <w:r w:rsidR="00777CB4">
        <w:t xml:space="preserve"> </w:t>
      </w:r>
      <w:r>
        <w:t xml:space="preserve">26 requires that no operations (including commissioning) which may affect safety are carried out unless under the control and supervision of a SQEP specifically appointed for that purpose by the licensee. </w:t>
      </w:r>
    </w:p>
    <w:p w14:paraId="0B942CB7" w14:textId="76887D0F" w:rsidR="002C301C" w:rsidRDefault="002C301C" w:rsidP="002C301C">
      <w:pPr>
        <w:pStyle w:val="F9-Paragraph"/>
        <w:numPr>
          <w:ilvl w:val="1"/>
          <w:numId w:val="25"/>
        </w:numPr>
        <w:spacing w:before="0" w:after="240"/>
        <w:ind w:hanging="447"/>
      </w:pPr>
      <w:r>
        <w:t>LC</w:t>
      </w:r>
      <w:r w:rsidR="00777CB4">
        <w:t xml:space="preserve"> </w:t>
      </w:r>
      <w:r>
        <w:t>28 requires that examination, inspection, maintenance and test of a plant or any part thereof be conducted under the control and supervision of a SQEP appointed by the licensee for that purpose.</w:t>
      </w:r>
    </w:p>
    <w:p w14:paraId="799A882D" w14:textId="77777777" w:rsidR="00777CB4" w:rsidRDefault="00777CB4" w:rsidP="002C301C">
      <w:pPr>
        <w:pStyle w:val="F9-Paragraph"/>
        <w:spacing w:before="0" w:after="240"/>
        <w:ind w:hanging="567"/>
        <w:sectPr w:rsidR="00777CB4" w:rsidSect="00777CB4">
          <w:pgSz w:w="11906" w:h="16838" w:code="9"/>
          <w:pgMar w:top="1440" w:right="1440" w:bottom="1440" w:left="1440" w:header="397" w:footer="397" w:gutter="0"/>
          <w:cols w:space="312"/>
          <w:docGrid w:linePitch="360"/>
        </w:sectPr>
      </w:pPr>
    </w:p>
    <w:p w14:paraId="4E8412BD" w14:textId="38B95F5E" w:rsidR="002C301C" w:rsidRDefault="002C301C" w:rsidP="002C301C">
      <w:pPr>
        <w:pStyle w:val="F9-Paragraph"/>
        <w:spacing w:before="0" w:after="240"/>
        <w:ind w:hanging="567"/>
      </w:pPr>
      <w:r w:rsidRPr="003A1644">
        <w:lastRenderedPageBreak/>
        <w:t xml:space="preserve">The </w:t>
      </w:r>
      <w:r>
        <w:t>l</w:t>
      </w:r>
      <w:r w:rsidRPr="003A1644">
        <w:t>icensee’s LC 36</w:t>
      </w:r>
      <w:r w:rsidR="00777CB4">
        <w:t xml:space="preserve"> (O</w:t>
      </w:r>
      <w:r>
        <w:t>rganisational capability</w:t>
      </w:r>
      <w:r w:rsidR="00777CB4">
        <w:t>)</w:t>
      </w:r>
      <w:r>
        <w:t xml:space="preserve"> </w:t>
      </w:r>
      <w:r w:rsidRPr="003A1644">
        <w:t>arrangements should ensure that roles which could affect safety are identified and placed on the nuclear baseline.</w:t>
      </w:r>
      <w:r>
        <w:t xml:space="preserve"> </w:t>
      </w:r>
      <w:r w:rsidRPr="003A1644">
        <w:t xml:space="preserve">The </w:t>
      </w:r>
      <w:r>
        <w:t>l</w:t>
      </w:r>
      <w:r w:rsidRPr="003A1644">
        <w:t xml:space="preserve">icensee’s LC 10 </w:t>
      </w:r>
      <w:r w:rsidR="00777CB4">
        <w:t xml:space="preserve">(Training) </w:t>
      </w:r>
      <w:r w:rsidRPr="003A1644">
        <w:t xml:space="preserve">arrangements should be used to support the identification of the competence requirements for that role (and develop a training programme to provide the knowledge and skills required to deliver that role, including the assessment of the individual). </w:t>
      </w:r>
      <w:r w:rsidR="00777CB4">
        <w:br/>
      </w:r>
      <w:r w:rsidRPr="003A1644">
        <w:t xml:space="preserve">The </w:t>
      </w:r>
      <w:r>
        <w:t>l</w:t>
      </w:r>
      <w:r w:rsidRPr="003A1644">
        <w:t>icensee’s LC 12 arrangements should be used to ensure that only SQEPs fulfil those roles identified through LC 36 and provide for the formal appointment of individuals to appointed roles as required by the relevant licence conditions.</w:t>
      </w:r>
    </w:p>
    <w:p w14:paraId="3BCFC795" w14:textId="5CC78002" w:rsidR="002C301C" w:rsidRPr="00491323" w:rsidRDefault="002C301C" w:rsidP="002C301C">
      <w:pPr>
        <w:pStyle w:val="F9-Paragraph"/>
        <w:spacing w:before="0" w:after="240"/>
        <w:ind w:hanging="567"/>
      </w:pPr>
      <w:r w:rsidRPr="00491323">
        <w:t xml:space="preserve">It is recommended that </w:t>
      </w:r>
      <w:hyperlink r:id="rId23" w:history="1">
        <w:r w:rsidRPr="00842A6C">
          <w:rPr>
            <w:rStyle w:val="Hyperlink"/>
          </w:rPr>
          <w:t>LC 10</w:t>
        </w:r>
      </w:hyperlink>
      <w:r w:rsidRPr="00491323">
        <w:t xml:space="preserve"> </w:t>
      </w:r>
      <w:sdt>
        <w:sdtPr>
          <w:id w:val="1825472984"/>
          <w:citation/>
        </w:sdtPr>
        <w:sdtEndPr/>
        <w:sdtContent>
          <w:r>
            <w:fldChar w:fldCharType="begin"/>
          </w:r>
          <w:r w:rsidR="00777CB4">
            <w:instrText xml:space="preserve">CITATION ONR36 \l 2057 </w:instrText>
          </w:r>
          <w:r>
            <w:fldChar w:fldCharType="separate"/>
          </w:r>
          <w:r w:rsidR="00777CB4" w:rsidRPr="00777CB4">
            <w:rPr>
              <w:noProof/>
            </w:rPr>
            <w:t>[3]</w:t>
          </w:r>
          <w:r>
            <w:fldChar w:fldCharType="end"/>
          </w:r>
        </w:sdtContent>
      </w:sdt>
      <w:r>
        <w:t xml:space="preserve"> </w:t>
      </w:r>
      <w:r w:rsidRPr="00491323">
        <w:t>and LC 12 compliance inspection are conducted in parallel due to the significant overlap between the two topic areas. Both LC</w:t>
      </w:r>
      <w:r w:rsidR="00777CB4">
        <w:t xml:space="preserve"> </w:t>
      </w:r>
      <w:r w:rsidRPr="00491323">
        <w:t>10 and LC12 are usually an integral part of targeted themed inspections</w:t>
      </w:r>
      <w:sdt>
        <w:sdtPr>
          <w:id w:val="-1707026529"/>
          <w:citation/>
        </w:sdtPr>
        <w:sdtEndPr/>
        <w:sdtContent>
          <w:r w:rsidRPr="00491323">
            <w:fldChar w:fldCharType="begin"/>
          </w:r>
          <w:r w:rsidR="00777CB4">
            <w:instrText xml:space="preserve">CITATION ONR34 \l 2057 </w:instrText>
          </w:r>
          <w:r w:rsidRPr="00491323">
            <w:fldChar w:fldCharType="separate"/>
          </w:r>
          <w:r w:rsidR="00777CB4">
            <w:rPr>
              <w:noProof/>
            </w:rPr>
            <w:t xml:space="preserve"> </w:t>
          </w:r>
          <w:r w:rsidR="00777CB4" w:rsidRPr="00777CB4">
            <w:rPr>
              <w:noProof/>
            </w:rPr>
            <w:t>[4]</w:t>
          </w:r>
          <w:r w:rsidRPr="00491323">
            <w:fldChar w:fldCharType="end"/>
          </w:r>
        </w:sdtContent>
      </w:sdt>
      <w:r w:rsidRPr="00491323">
        <w:t>.</w:t>
      </w:r>
    </w:p>
    <w:p w14:paraId="05DDA673" w14:textId="42A0DB7A" w:rsidR="002C301C" w:rsidRDefault="00777CB4" w:rsidP="00614773">
      <w:pPr>
        <w:pStyle w:val="F9-Paragraph"/>
        <w:spacing w:before="0" w:after="240"/>
        <w:ind w:hanging="567"/>
      </w:pPr>
      <w:r>
        <w:t>‘</w:t>
      </w:r>
      <w:hyperlink r:id="rId24" w:history="1">
        <w:r w:rsidR="002C301C" w:rsidRPr="00803E00">
          <w:rPr>
            <w:rStyle w:val="Hyperlink"/>
          </w:rPr>
          <w:t>Training and Assuring Personnel Competence</w:t>
        </w:r>
        <w:r>
          <w:rPr>
            <w:rStyle w:val="Hyperlink"/>
          </w:rPr>
          <w:t>’</w:t>
        </w:r>
        <w:r w:rsidR="002C301C" w:rsidRPr="00803E00">
          <w:rPr>
            <w:rStyle w:val="Hyperlink"/>
          </w:rPr>
          <w:t xml:space="preserve"> (NS-TAST-GD-027)</w:t>
        </w:r>
      </w:hyperlink>
      <w:r w:rsidR="002C301C" w:rsidRPr="00803E00">
        <w:t xml:space="preserve"> </w:t>
      </w:r>
      <w:sdt>
        <w:sdtPr>
          <w:id w:val="1046957595"/>
          <w:citation/>
        </w:sdtPr>
        <w:sdtEndPr/>
        <w:sdtContent>
          <w:r w:rsidR="002C301C" w:rsidRPr="00803E00">
            <w:fldChar w:fldCharType="begin"/>
          </w:r>
          <w:r>
            <w:instrText xml:space="preserve">CITATION ONR51 \l 2057 </w:instrText>
          </w:r>
          <w:r w:rsidR="002C301C" w:rsidRPr="00803E00">
            <w:fldChar w:fldCharType="separate"/>
          </w:r>
          <w:r w:rsidRPr="00777CB4">
            <w:rPr>
              <w:noProof/>
            </w:rPr>
            <w:t>[1]</w:t>
          </w:r>
          <w:r w:rsidR="002C301C" w:rsidRPr="00803E00">
            <w:fldChar w:fldCharType="end"/>
          </w:r>
        </w:sdtContent>
      </w:sdt>
      <w:r w:rsidR="002C301C" w:rsidRPr="00803E00">
        <w:t xml:space="preserve"> provides additional guidance to inform inspection activities carried out to judge compliance with </w:t>
      </w:r>
      <w:r>
        <w:t xml:space="preserve">LC </w:t>
      </w:r>
      <w:r w:rsidR="002C301C" w:rsidRPr="00803E00">
        <w:t>10 and LC 12. Similarities with other purposes are identified in section 5 of this TIG to support inspectors in identifying any inspection synergies.</w:t>
      </w:r>
    </w:p>
    <w:p w14:paraId="23473A55" w14:textId="77777777" w:rsidR="002C301C" w:rsidRDefault="002C301C" w:rsidP="002C301C">
      <w:pPr>
        <w:spacing w:after="0" w:line="240" w:lineRule="auto"/>
      </w:pPr>
      <w:r>
        <w:br w:type="page"/>
      </w:r>
    </w:p>
    <w:p w14:paraId="7E959D53" w14:textId="5E66B96A" w:rsidR="002C301C" w:rsidRPr="00803E00" w:rsidRDefault="002C301C" w:rsidP="002C301C">
      <w:pPr>
        <w:pStyle w:val="Heading1"/>
      </w:pPr>
      <w:bookmarkStart w:id="9" w:name="_Toc216427444"/>
      <w:bookmarkStart w:id="10" w:name="_Toc220242308"/>
      <w:r w:rsidRPr="00803E00">
        <w:lastRenderedPageBreak/>
        <w:t xml:space="preserve">Guidance on </w:t>
      </w:r>
      <w:r w:rsidR="00777CB4">
        <w:t>i</w:t>
      </w:r>
      <w:r w:rsidRPr="00803E00">
        <w:t>nspection for LC</w:t>
      </w:r>
      <w:r w:rsidR="00777CB4">
        <w:t xml:space="preserve"> </w:t>
      </w:r>
      <w:r w:rsidRPr="00803E00">
        <w:t>12 - Duly authorised and other suitably qualified and experienced persons</w:t>
      </w:r>
      <w:bookmarkEnd w:id="9"/>
      <w:bookmarkEnd w:id="10"/>
    </w:p>
    <w:p w14:paraId="4CC1802C" w14:textId="362D47BA" w:rsidR="002C301C" w:rsidRPr="0048491B" w:rsidRDefault="002C301C" w:rsidP="002C301C">
      <w:pPr>
        <w:pStyle w:val="F9-Paragraph"/>
        <w:spacing w:before="0" w:after="240"/>
      </w:pPr>
      <w:r w:rsidRPr="0048491B">
        <w:rPr>
          <w:b/>
          <w:bCs/>
        </w:rPr>
        <w:t>Inspection of a licensee’s LC</w:t>
      </w:r>
      <w:r w:rsidR="00777CB4">
        <w:rPr>
          <w:b/>
          <w:bCs/>
        </w:rPr>
        <w:t xml:space="preserve"> </w:t>
      </w:r>
      <w:r w:rsidRPr="0048491B">
        <w:rPr>
          <w:b/>
          <w:bCs/>
        </w:rPr>
        <w:t>12 arrangements</w:t>
      </w:r>
      <w:r w:rsidRPr="0048491B">
        <w:t xml:space="preserve"> should provide the inspector with assurance that roles which affect safety </w:t>
      </w:r>
      <w:r>
        <w:t>are</w:t>
      </w:r>
      <w:r w:rsidRPr="0048491B">
        <w:t xml:space="preserve"> identified, that only persons with requisite qualifications, training and experience carry out such tasks, </w:t>
      </w:r>
      <w:r>
        <w:t xml:space="preserve">and </w:t>
      </w:r>
      <w:r w:rsidRPr="0048491B">
        <w:t xml:space="preserve">that there are </w:t>
      </w:r>
      <w:r>
        <w:t>controls</w:t>
      </w:r>
      <w:r w:rsidRPr="0048491B">
        <w:t xml:space="preserve"> for the appointment of individuals for specific roles required by the licence conditions. The inspection sample </w:t>
      </w:r>
      <w:r>
        <w:t xml:space="preserve">to support an inspector’s judgement </w:t>
      </w:r>
      <w:r w:rsidRPr="0048491B">
        <w:t>may include:</w:t>
      </w:r>
    </w:p>
    <w:p w14:paraId="365EFE1D" w14:textId="4CC5880D" w:rsidR="002C301C" w:rsidRPr="00C55EAC" w:rsidRDefault="002C301C" w:rsidP="002C301C">
      <w:pPr>
        <w:pStyle w:val="Bulletlist1"/>
        <w:ind w:left="1560" w:hanging="709"/>
      </w:pPr>
      <w:r w:rsidRPr="00C55EAC">
        <w:t>Confirm that the Licensee’s has arrangements in place for LC</w:t>
      </w:r>
      <w:r w:rsidR="00777CB4">
        <w:t xml:space="preserve"> </w:t>
      </w:r>
      <w:r w:rsidRPr="00C55EAC">
        <w:t>12</w:t>
      </w:r>
      <w:r>
        <w:t>, and:</w:t>
      </w:r>
    </w:p>
    <w:p w14:paraId="7547681D" w14:textId="79889C11" w:rsidR="002C301C" w:rsidRPr="00C55EAC" w:rsidRDefault="002C301C" w:rsidP="002C301C">
      <w:pPr>
        <w:pStyle w:val="Bulletlist2"/>
        <w:ind w:left="1843"/>
      </w:pPr>
      <w:r w:rsidRPr="00C55EAC">
        <w:t>make provision for submission to the ONR for approval of those part or parts of the arrangements that the ONR may specify, under LC</w:t>
      </w:r>
      <w:r w:rsidR="00777CB4">
        <w:t xml:space="preserve"> </w:t>
      </w:r>
      <w:r w:rsidRPr="00C55EAC">
        <w:t xml:space="preserve">12(3).  </w:t>
      </w:r>
    </w:p>
    <w:p w14:paraId="4F72089C" w14:textId="4CAF3B73" w:rsidR="002C301C" w:rsidRPr="00C55EAC" w:rsidRDefault="002C301C" w:rsidP="002C301C">
      <w:pPr>
        <w:pStyle w:val="Bulletlist2"/>
        <w:ind w:left="1843"/>
      </w:pPr>
      <w:r w:rsidRPr="00C55EAC">
        <w:t>if any parts of the LC</w:t>
      </w:r>
      <w:r w:rsidR="00777CB4">
        <w:t xml:space="preserve"> </w:t>
      </w:r>
      <w:r w:rsidRPr="00C55EAC">
        <w:t>12 arrangements under LC</w:t>
      </w:r>
      <w:r w:rsidR="00777CB4">
        <w:t xml:space="preserve"> </w:t>
      </w:r>
      <w:r w:rsidRPr="00C55EAC">
        <w:t xml:space="preserve">12(3) are approved and, if so, confirm that the approved arrangements are in place, implemented and subject to configuration control and oversight.  </w:t>
      </w:r>
    </w:p>
    <w:p w14:paraId="64C12E0C" w14:textId="77777777" w:rsidR="002C301C" w:rsidRPr="00C55EAC" w:rsidRDefault="002C301C" w:rsidP="002C301C">
      <w:pPr>
        <w:pStyle w:val="Bulletlist2"/>
        <w:ind w:left="1843"/>
      </w:pPr>
      <w:r w:rsidRPr="00C55EAC">
        <w:t>enable the withdrawal of an appointment by the Licensee or if ONR notify the Licensee that it deems a DAP is unfit to act in that capacity (LC 12(5)).</w:t>
      </w:r>
    </w:p>
    <w:p w14:paraId="62107958" w14:textId="77777777" w:rsidR="002C301C" w:rsidRPr="00C55EAC" w:rsidRDefault="002C301C" w:rsidP="002C301C">
      <w:pPr>
        <w:pStyle w:val="Bulletlist1"/>
        <w:ind w:left="1560" w:hanging="709"/>
      </w:pPr>
      <w:r w:rsidRPr="00C55EAC">
        <w:t xml:space="preserve">Check that the arrangements specify that only SQEPs; (a) perform any duties which may affect the safety of operations or, (b) perform any other duties assigned by or under the Licence Conditions or, (c) perform any arrangements required under the Licence Conditions. </w:t>
      </w:r>
    </w:p>
    <w:p w14:paraId="2D0C0FE5" w14:textId="67E6CAC7" w:rsidR="002C301C" w:rsidRPr="00C55EAC" w:rsidRDefault="002C301C" w:rsidP="002C301C">
      <w:pPr>
        <w:pStyle w:val="Bulletlist1"/>
        <w:ind w:left="1560" w:hanging="709"/>
      </w:pPr>
      <w:r w:rsidRPr="00C55EAC">
        <w:t>Check that there is a formal process to identify SQEP and DAP roles (this may be a part of LC36 arrangements), and that competencies of these roles have been defined. Confirm that these roles are evident on the Licensee’s nuclear baseline (LC</w:t>
      </w:r>
      <w:r w:rsidR="00777CB4">
        <w:t xml:space="preserve"> </w:t>
      </w:r>
      <w:r w:rsidRPr="00C55EAC">
        <w:t>36).</w:t>
      </w:r>
    </w:p>
    <w:p w14:paraId="42CA7F63" w14:textId="1BFE3206" w:rsidR="002C301C" w:rsidRPr="00C55EAC" w:rsidRDefault="002C301C" w:rsidP="002C301C">
      <w:pPr>
        <w:pStyle w:val="Bulletlist1"/>
        <w:ind w:left="1560" w:hanging="709"/>
      </w:pPr>
      <w:r w:rsidRPr="00C55EAC">
        <w:t>Check that the arrangements differentiate between SQEP and DAP roles. The arrangements may include a definition of SQEP and DAP to di</w:t>
      </w:r>
      <w:r>
        <w:t>stinguish</w:t>
      </w:r>
      <w:r w:rsidRPr="00C55EAC">
        <w:t xml:space="preserve"> between the roles and their responsibilities. </w:t>
      </w:r>
      <w:r w:rsidR="00777CB4">
        <w:br/>
      </w:r>
      <w:r w:rsidRPr="00C55EAC">
        <w:t xml:space="preserve">The following are </w:t>
      </w:r>
      <w:r w:rsidRPr="00C55EAC">
        <w:rPr>
          <w:b/>
          <w:i/>
          <w:iCs/>
        </w:rPr>
        <w:t>examples</w:t>
      </w:r>
      <w:r w:rsidRPr="00C55EAC">
        <w:t xml:space="preserve"> of a definition for SQEP and DAP:</w:t>
      </w:r>
    </w:p>
    <w:p w14:paraId="6D85BF78" w14:textId="77777777" w:rsidR="002C301C" w:rsidRPr="00777CB4" w:rsidRDefault="002C301C" w:rsidP="00777CB4">
      <w:pPr>
        <w:pStyle w:val="QuoteText"/>
        <w:ind w:left="1560"/>
        <w:rPr>
          <w:noProof/>
          <w:sz w:val="24"/>
          <w:szCs w:val="28"/>
        </w:rPr>
      </w:pPr>
      <w:r w:rsidRPr="00777CB4">
        <w:rPr>
          <w:noProof/>
          <w:sz w:val="24"/>
          <w:szCs w:val="28"/>
        </w:rPr>
        <w:t>"A SQEP is an individual who has the necessary competence to perform the duties which may affect safety as defined as part of their role; as demonstrated by their training and experience”.</w:t>
      </w:r>
    </w:p>
    <w:p w14:paraId="3F0F5BE0" w14:textId="77777777" w:rsidR="002C301C" w:rsidRPr="00C55EAC" w:rsidRDefault="002C301C" w:rsidP="00777CB4">
      <w:pPr>
        <w:pStyle w:val="QuoteText"/>
        <w:ind w:left="1560"/>
        <w:rPr>
          <w:noProof/>
        </w:rPr>
      </w:pPr>
      <w:r w:rsidRPr="00777CB4">
        <w:rPr>
          <w:noProof/>
          <w:sz w:val="24"/>
          <w:szCs w:val="28"/>
        </w:rPr>
        <w:lastRenderedPageBreak/>
        <w:t>"A DAP is an individual who has direct control and supervision of operations or activities which may affect plant safety. A DAP needs to have, and demonstrated, knowledge of the plant and its associated safety case, to ensure that operations under their control and supervision are carried out safely".</w:t>
      </w:r>
    </w:p>
    <w:p w14:paraId="4B446ED3" w14:textId="77777777" w:rsidR="002C301C" w:rsidRPr="00C55EAC" w:rsidRDefault="002C301C" w:rsidP="002C301C">
      <w:pPr>
        <w:pStyle w:val="Bulletlist1"/>
        <w:ind w:left="1560" w:hanging="709"/>
      </w:pPr>
      <w:r w:rsidRPr="00C55EAC">
        <w:t>Check that the arrangements provide a process for ensuring only SQEP individuals fill roles which may affect safety.</w:t>
      </w:r>
    </w:p>
    <w:p w14:paraId="1B5C7550" w14:textId="5F414D22" w:rsidR="002C301C" w:rsidRPr="00C55EAC" w:rsidRDefault="002C301C" w:rsidP="002C301C">
      <w:pPr>
        <w:pStyle w:val="Bulletlist1"/>
        <w:ind w:left="1560" w:hanging="709"/>
      </w:pPr>
      <w:r w:rsidRPr="00C55EAC">
        <w:t>Check that the arrangements support an appointment process for DAPs to control and supervise operations which may affect safety</w:t>
      </w:r>
      <w:r w:rsidR="00777CB4">
        <w:t>, for example,</w:t>
      </w:r>
      <w:r w:rsidRPr="00C55EAC">
        <w:t xml:space="preserve"> under LC 21 Commissioning, LC 26 Control and supervision of operations, and LC 28 Examination, inspection, maintenance and testing.</w:t>
      </w:r>
      <w:r w:rsidRPr="00C55EAC" w:rsidDel="00E32462">
        <w:t xml:space="preserve"> </w:t>
      </w:r>
      <w:r w:rsidRPr="00C55EAC">
        <w:t xml:space="preserve"> </w:t>
      </w:r>
    </w:p>
    <w:p w14:paraId="450D3DAD" w14:textId="77777777" w:rsidR="002C301C" w:rsidRDefault="002C301C" w:rsidP="002C301C">
      <w:pPr>
        <w:pStyle w:val="Bulletlist1"/>
        <w:ind w:left="1560" w:hanging="709"/>
      </w:pPr>
      <w:r w:rsidRPr="00C55EAC">
        <w:t>Check that the arrangements provide for the management of individuals who do not meet the full competence requirements for a role.</w:t>
      </w:r>
      <w:r>
        <w:t xml:space="preserve"> </w:t>
      </w:r>
      <w:r w:rsidRPr="00C55EAC">
        <w:t>This could be through restrict</w:t>
      </w:r>
      <w:r>
        <w:t>ed duties</w:t>
      </w:r>
      <w:r w:rsidRPr="00C55EAC">
        <w:t xml:space="preserve"> or additional supervision requirements until such a time that they are deemed competent to discharge those duties.</w:t>
      </w:r>
    </w:p>
    <w:p w14:paraId="2803F7DB" w14:textId="0EDA1183" w:rsidR="002C301C" w:rsidRPr="00C55EAC" w:rsidRDefault="002C301C" w:rsidP="002C301C">
      <w:pPr>
        <w:pStyle w:val="Bulletlist1"/>
        <w:ind w:left="1560" w:hanging="709"/>
      </w:pPr>
      <w:r>
        <w:t xml:space="preserve">Check if the licensee utilises training waivers as part of their arrangements. </w:t>
      </w:r>
      <w:r w:rsidRPr="00D848A4">
        <w:t xml:space="preserve">Such waivers should be kept to a minimum. </w:t>
      </w:r>
      <w:r w:rsidR="00777CB4">
        <w:br/>
      </w:r>
      <w:r w:rsidRPr="00D848A4">
        <w:t xml:space="preserve">Where training is waived, the licensee should ensure that the affected person is assessed to the same, or an equivalent, standard. </w:t>
      </w:r>
      <w:r w:rsidR="00777CB4">
        <w:br/>
      </w:r>
      <w:r w:rsidRPr="00D848A4">
        <w:t>This provides a basis for demonstrating that the person is competent, despite not receiving the waived part of training.</w:t>
      </w:r>
    </w:p>
    <w:p w14:paraId="3B485683" w14:textId="77777777" w:rsidR="002C301C" w:rsidRPr="00C55EAC" w:rsidRDefault="002C301C" w:rsidP="002C301C">
      <w:pPr>
        <w:pStyle w:val="Bulletlist1"/>
        <w:ind w:left="1560" w:hanging="709"/>
      </w:pPr>
      <w:r w:rsidRPr="00C55EAC">
        <w:t xml:space="preserve">The arrangements should state whether contractors are able to fulfil SQEP or DAP roles, and should: </w:t>
      </w:r>
    </w:p>
    <w:p w14:paraId="612BC424" w14:textId="77777777" w:rsidR="002C301C" w:rsidRPr="00C55EAC" w:rsidRDefault="002C301C" w:rsidP="002C301C">
      <w:pPr>
        <w:pStyle w:val="Bulletlist2"/>
        <w:ind w:left="1985"/>
      </w:pPr>
      <w:r w:rsidRPr="00C55EAC">
        <w:t xml:space="preserve">identify the competence requirements for contractors to meet in order to fulfil those roles, and </w:t>
      </w:r>
    </w:p>
    <w:p w14:paraId="67109023" w14:textId="77777777" w:rsidR="002C301C" w:rsidRPr="00C55EAC" w:rsidRDefault="002C301C" w:rsidP="002C301C">
      <w:pPr>
        <w:pStyle w:val="Bulletlist2"/>
        <w:ind w:left="1985"/>
      </w:pPr>
      <w:r w:rsidRPr="00C55EAC">
        <w:t xml:space="preserve">require provision of, or access to, the contractor’s demonstration of competence prior to work / appointment.  </w:t>
      </w:r>
    </w:p>
    <w:p w14:paraId="0176809C" w14:textId="77777777" w:rsidR="002C301C" w:rsidRPr="00C55EAC" w:rsidRDefault="002C301C" w:rsidP="002C301C">
      <w:pPr>
        <w:pStyle w:val="Bulletlist1"/>
        <w:ind w:left="1560" w:hanging="709"/>
      </w:pPr>
      <w:r w:rsidRPr="00C55EAC">
        <w:t xml:space="preserve">The arrangements for LC 12 should be supported by, and support, LC 36 in order to enable identification of any roles which may affect safety. </w:t>
      </w:r>
    </w:p>
    <w:p w14:paraId="3A3097BF" w14:textId="77777777" w:rsidR="002C301C" w:rsidRPr="00C55EAC" w:rsidRDefault="002C301C" w:rsidP="002C301C">
      <w:pPr>
        <w:pStyle w:val="Bulletlist1"/>
        <w:ind w:left="1560" w:hanging="709"/>
      </w:pPr>
      <w:r w:rsidRPr="00C55EAC">
        <w:t xml:space="preserve">The arrangements for LC 12 should be supported by, and support, LC 10 to ensure competence requirements are adequately identified and to enable the provision of training as required. </w:t>
      </w:r>
    </w:p>
    <w:p w14:paraId="1A0DEDE4" w14:textId="77777777" w:rsidR="00777CB4" w:rsidRDefault="00777CB4" w:rsidP="002C301C">
      <w:pPr>
        <w:pStyle w:val="F9-Paragraph"/>
        <w:spacing w:before="0" w:after="240"/>
        <w:rPr>
          <w:b/>
          <w:bCs/>
        </w:rPr>
        <w:sectPr w:rsidR="00777CB4" w:rsidSect="00777CB4">
          <w:pgSz w:w="11906" w:h="16838" w:code="9"/>
          <w:pgMar w:top="1440" w:right="1440" w:bottom="1440" w:left="1440" w:header="397" w:footer="397" w:gutter="0"/>
          <w:cols w:space="312"/>
          <w:docGrid w:linePitch="360"/>
        </w:sectPr>
      </w:pPr>
    </w:p>
    <w:p w14:paraId="753A4144" w14:textId="5EDE87D5" w:rsidR="002C301C" w:rsidRPr="00274222" w:rsidRDefault="002C301C" w:rsidP="002C301C">
      <w:pPr>
        <w:pStyle w:val="F9-Paragraph"/>
        <w:spacing w:before="0" w:after="240"/>
      </w:pPr>
      <w:r w:rsidRPr="00A85E38">
        <w:rPr>
          <w:b/>
          <w:bCs/>
        </w:rPr>
        <w:lastRenderedPageBreak/>
        <w:t>Inspection of a licensee’s LC</w:t>
      </w:r>
      <w:r w:rsidR="00777CB4">
        <w:rPr>
          <w:b/>
          <w:bCs/>
        </w:rPr>
        <w:t xml:space="preserve"> </w:t>
      </w:r>
      <w:r w:rsidRPr="00A85E38">
        <w:rPr>
          <w:b/>
          <w:bCs/>
        </w:rPr>
        <w:t>12 implementation</w:t>
      </w:r>
      <w:r w:rsidRPr="00274222">
        <w:t xml:space="preserve"> </w:t>
      </w:r>
      <w:r>
        <w:t xml:space="preserve">of arrangements </w:t>
      </w:r>
      <w:r w:rsidRPr="00274222">
        <w:t xml:space="preserve">should provide the inspector with assurance that roles which affect safety are identified, that only persons with requisite qualifications, training and experience </w:t>
      </w:r>
      <w:r>
        <w:t xml:space="preserve">are </w:t>
      </w:r>
      <w:r w:rsidRPr="00274222">
        <w:t>conducting such tasks</w:t>
      </w:r>
      <w:r>
        <w:t xml:space="preserve"> and</w:t>
      </w:r>
      <w:r w:rsidRPr="00274222">
        <w:t xml:space="preserve"> that there are controls for the</w:t>
      </w:r>
      <w:r>
        <w:t>ir</w:t>
      </w:r>
      <w:r w:rsidRPr="00274222">
        <w:t xml:space="preserve"> appointment</w:t>
      </w:r>
      <w:r>
        <w:t xml:space="preserve">. </w:t>
      </w:r>
      <w:r w:rsidRPr="00274222">
        <w:t>The inspection sample</w:t>
      </w:r>
      <w:r>
        <w:t>,</w:t>
      </w:r>
      <w:r w:rsidRPr="00274222">
        <w:t xml:space="preserve"> </w:t>
      </w:r>
      <w:r>
        <w:t xml:space="preserve">to support an inspector’s judgement, </w:t>
      </w:r>
      <w:r w:rsidRPr="00274222">
        <w:t>may include:</w:t>
      </w:r>
    </w:p>
    <w:p w14:paraId="56E6D2ED" w14:textId="77777777" w:rsidR="002C301C" w:rsidRPr="0047107E" w:rsidRDefault="002C301C" w:rsidP="002C301C">
      <w:pPr>
        <w:pStyle w:val="Bulletlist1"/>
        <w:ind w:left="1418" w:hanging="567"/>
      </w:pPr>
      <w:r w:rsidRPr="0047107E">
        <w:t>Check that the roles which may affect safety have a written role profile/ description that includes the competence requirements to fulfil the role (this could be checked as part of an LC 10 inspection focusing on the analysis of the role).</w:t>
      </w:r>
    </w:p>
    <w:p w14:paraId="7036A66F" w14:textId="77777777" w:rsidR="002C301C" w:rsidRPr="0047107E" w:rsidRDefault="002C301C" w:rsidP="002C301C">
      <w:pPr>
        <w:pStyle w:val="Bulletlist1"/>
        <w:ind w:left="1418" w:hanging="567"/>
      </w:pPr>
      <w:r w:rsidRPr="0047107E">
        <w:t xml:space="preserve">Check that: </w:t>
      </w:r>
    </w:p>
    <w:p w14:paraId="7B9BF671" w14:textId="77777777" w:rsidR="002C301C" w:rsidRPr="0047107E" w:rsidRDefault="002C301C" w:rsidP="002C301C">
      <w:pPr>
        <w:pStyle w:val="Bulletlist2"/>
        <w:ind w:left="1985" w:hanging="567"/>
      </w:pPr>
      <w:r w:rsidRPr="0047107E">
        <w:t xml:space="preserve">a schedule exists listing the roles that require appointment. </w:t>
      </w:r>
    </w:p>
    <w:p w14:paraId="294A52A6" w14:textId="77777777" w:rsidR="002C301C" w:rsidRPr="0047107E" w:rsidRDefault="002C301C" w:rsidP="002C301C">
      <w:pPr>
        <w:pStyle w:val="Bulletlist2"/>
        <w:ind w:left="1985" w:hanging="567"/>
      </w:pPr>
      <w:r w:rsidRPr="0047107E">
        <w:t xml:space="preserve">a name is identified against each role in the schedule and includes the list of the holders authorised duties, qualifications, training and experience. </w:t>
      </w:r>
    </w:p>
    <w:p w14:paraId="23517F0D" w14:textId="77777777" w:rsidR="002C301C" w:rsidRPr="0047107E" w:rsidRDefault="002C301C" w:rsidP="002C301C">
      <w:pPr>
        <w:pStyle w:val="Bulletlist2"/>
        <w:ind w:left="1985" w:hanging="567"/>
      </w:pPr>
      <w:r w:rsidRPr="0047107E">
        <w:t>those on the register still hold valid appointments. In addition, check that any LC 12(5) notifications have been acted upon by the Licensee.</w:t>
      </w:r>
    </w:p>
    <w:p w14:paraId="0883D9E9" w14:textId="6F632A0B" w:rsidR="002C301C" w:rsidRPr="0047107E" w:rsidRDefault="002C301C" w:rsidP="002C301C">
      <w:pPr>
        <w:pStyle w:val="Bulletlist1"/>
        <w:ind w:left="1418" w:hanging="567"/>
      </w:pPr>
      <w:r w:rsidRPr="0047107E">
        <w:t xml:space="preserve">Confirm that role holders (staff and contractors) are SQEP to conduct operations which may affect safety in line with the Licensee’s competence </w:t>
      </w:r>
      <w:r w:rsidR="007B384D" w:rsidRPr="0047107E">
        <w:t>requirements. This</w:t>
      </w:r>
      <w:r w:rsidRPr="0047107E">
        <w:t xml:space="preserve"> could be conducted by checking the individuals training and competence assessment records to check the elements are current and have not expired.</w:t>
      </w:r>
    </w:p>
    <w:p w14:paraId="454B7E5C" w14:textId="77777777" w:rsidR="002C301C" w:rsidRPr="0047107E" w:rsidRDefault="002C301C" w:rsidP="002C301C">
      <w:pPr>
        <w:pStyle w:val="Bulletlist1"/>
        <w:ind w:left="1418" w:hanging="567"/>
      </w:pPr>
      <w:r w:rsidRPr="0047107E">
        <w:t xml:space="preserve">Request a demonstration from the dutyholder of how they determine an individual (staff or contractor) is SQEP before the individual performs any duties which may affect safety. The dutyholder should be able to positively confirm the individual is SQEP against the competencies required of the role.  </w:t>
      </w:r>
    </w:p>
    <w:p w14:paraId="7C3B6A88" w14:textId="77777777" w:rsidR="002C301C" w:rsidRPr="0047107E" w:rsidRDefault="002C301C" w:rsidP="002C301C">
      <w:pPr>
        <w:pStyle w:val="Bulletlist1"/>
        <w:ind w:left="1418" w:hanging="567"/>
      </w:pPr>
      <w:r w:rsidRPr="0047107E">
        <w:t xml:space="preserve">Check that the Licensee’s appointment process is being used effectively to appoint DAPs, and that competence assessments of DAPs are conducted prior to appointment. The </w:t>
      </w:r>
      <w:r>
        <w:t xml:space="preserve">competence </w:t>
      </w:r>
      <w:r w:rsidRPr="0047107E">
        <w:t>assessments</w:t>
      </w:r>
      <w:r>
        <w:rPr>
          <w:rStyle w:val="FootnoteReference"/>
        </w:rPr>
        <w:footnoteReference w:id="5"/>
      </w:r>
      <w:r w:rsidRPr="0047107E">
        <w:t xml:space="preserve"> should be challenging and reflect the significance of the role and conducted by SQEPs.</w:t>
      </w:r>
    </w:p>
    <w:p w14:paraId="0E72DED1" w14:textId="77777777" w:rsidR="002C301C" w:rsidRPr="0047107E" w:rsidRDefault="002C301C" w:rsidP="002C301C">
      <w:pPr>
        <w:pStyle w:val="Bulletlist1"/>
        <w:ind w:left="1418" w:hanging="567"/>
      </w:pPr>
      <w:r w:rsidRPr="0047107E">
        <w:lastRenderedPageBreak/>
        <w:t xml:space="preserve">Confirm, via sample, that SQEPs and DAPs understand their responsibilities and authorities for the specific role they are undertaking. </w:t>
      </w:r>
    </w:p>
    <w:p w14:paraId="67DAB1B2" w14:textId="77777777" w:rsidR="002C301C" w:rsidRPr="0047107E" w:rsidRDefault="002C301C" w:rsidP="002C301C">
      <w:pPr>
        <w:pStyle w:val="Bulletlist2"/>
        <w:ind w:left="1843" w:hanging="425"/>
      </w:pPr>
      <w:r w:rsidRPr="0047107E">
        <w:t>Check that the DAP has an appointment letter (or equivalent) and that this is in date. Additionally, check if the appointment identifies any limitations that currently apply to the DAP and how the limitations are being managed.</w:t>
      </w:r>
    </w:p>
    <w:p w14:paraId="4BDFD53A" w14:textId="77777777" w:rsidR="002C301C" w:rsidRPr="0047107E" w:rsidRDefault="002C301C" w:rsidP="002C301C">
      <w:pPr>
        <w:pStyle w:val="Bulletlist2"/>
        <w:ind w:left="1843" w:hanging="425"/>
      </w:pPr>
      <w:r w:rsidRPr="0047107E">
        <w:t>Check that Licensee has a process for reviewing compliance against LC 12, and that it has a process in place to action any findings in a timely manner.</w:t>
      </w:r>
    </w:p>
    <w:p w14:paraId="6503EA8F" w14:textId="0A77902F" w:rsidR="002C301C" w:rsidRPr="00850F1A" w:rsidRDefault="002C301C" w:rsidP="002C301C">
      <w:pPr>
        <w:pStyle w:val="Bulletlist2"/>
        <w:ind w:left="1843" w:hanging="425"/>
      </w:pPr>
      <w:r w:rsidRPr="0047107E">
        <w:t>Walk down the plant with the SQEPs and DAPs. Request them to explain their role, and compare this with the written role profile</w:t>
      </w:r>
      <w:r w:rsidR="00777CB4">
        <w:t xml:space="preserve"> </w:t>
      </w:r>
      <w:r w:rsidRPr="0047107E">
        <w:t>/</w:t>
      </w:r>
      <w:r w:rsidR="00777CB4">
        <w:t xml:space="preserve"> </w:t>
      </w:r>
      <w:r w:rsidRPr="0047107E">
        <w:t>description and defined competencies. This comparison should enable the inspector to determine whether the individual understands the role requirements.</w:t>
      </w:r>
      <w:r w:rsidRPr="00A2185B">
        <w:t xml:space="preserve"> </w:t>
      </w:r>
    </w:p>
    <w:p w14:paraId="624A5DA4" w14:textId="77777777" w:rsidR="002C301C" w:rsidRPr="00B05735" w:rsidRDefault="002C301C" w:rsidP="002C301C">
      <w:pPr>
        <w:pStyle w:val="Bulletlist1"/>
        <w:numPr>
          <w:ilvl w:val="0"/>
          <w:numId w:val="0"/>
        </w:numPr>
        <w:rPr>
          <w:szCs w:val="28"/>
          <w:highlight w:val="yellow"/>
        </w:rPr>
        <w:sectPr w:rsidR="002C301C" w:rsidRPr="00B05735" w:rsidSect="00777CB4">
          <w:pgSz w:w="11906" w:h="16838" w:code="9"/>
          <w:pgMar w:top="1440" w:right="1440" w:bottom="1440" w:left="1440" w:header="397" w:footer="397" w:gutter="0"/>
          <w:cols w:space="312"/>
          <w:docGrid w:linePitch="360"/>
        </w:sectPr>
      </w:pPr>
    </w:p>
    <w:p w14:paraId="59F759C8" w14:textId="77777777" w:rsidR="002C301C" w:rsidRPr="00ED02CC" w:rsidRDefault="002C301C" w:rsidP="002C301C">
      <w:pPr>
        <w:pStyle w:val="Heading1"/>
      </w:pPr>
      <w:bookmarkStart w:id="11" w:name="_Toc216427445"/>
      <w:bookmarkStart w:id="12" w:name="_Toc220242309"/>
      <w:r w:rsidRPr="00ED02CC">
        <w:lastRenderedPageBreak/>
        <w:t>Similarities with other purposes</w:t>
      </w:r>
      <w:bookmarkEnd w:id="11"/>
      <w:bookmarkEnd w:id="12"/>
    </w:p>
    <w:tbl>
      <w:tblPr>
        <w:tblStyle w:val="ONRTable1"/>
        <w:tblW w:w="5000" w:type="pct"/>
        <w:tblInd w:w="0" w:type="dxa"/>
        <w:tblLook w:val="04A0" w:firstRow="1" w:lastRow="0" w:firstColumn="1" w:lastColumn="0" w:noHBand="0" w:noVBand="1"/>
      </w:tblPr>
      <w:tblGrid>
        <w:gridCol w:w="2319"/>
        <w:gridCol w:w="4019"/>
        <w:gridCol w:w="11420"/>
        <w:gridCol w:w="3173"/>
      </w:tblGrid>
      <w:tr w:rsidR="00777CB4" w:rsidRPr="00777CB4" w14:paraId="592FF1FC" w14:textId="77777777" w:rsidTr="00777CB4">
        <w:trPr>
          <w:cnfStyle w:val="100000000000" w:firstRow="1" w:lastRow="0" w:firstColumn="0" w:lastColumn="0" w:oddVBand="0" w:evenVBand="0" w:oddHBand="0" w:evenHBand="0" w:firstRowFirstColumn="0" w:firstRowLastColumn="0" w:lastRowFirstColumn="0" w:lastRowLastColumn="0"/>
          <w:cantSplit/>
          <w:tblHeader/>
        </w:trPr>
        <w:tc>
          <w:tcPr>
            <w:tcW w:w="554" w:type="pct"/>
          </w:tcPr>
          <w:p w14:paraId="013C3B81" w14:textId="77777777" w:rsidR="002C301C" w:rsidRPr="00777CB4" w:rsidRDefault="002C301C" w:rsidP="00777CB4">
            <w:pPr>
              <w:spacing w:before="60" w:after="60" w:line="259" w:lineRule="auto"/>
            </w:pPr>
            <w:r w:rsidRPr="00777CB4">
              <w:t>Purpose</w:t>
            </w:r>
          </w:p>
        </w:tc>
        <w:tc>
          <w:tcPr>
            <w:tcW w:w="960" w:type="pct"/>
          </w:tcPr>
          <w:p w14:paraId="7EC38246" w14:textId="7274C20A" w:rsidR="002C301C" w:rsidRPr="00777CB4" w:rsidRDefault="002C301C" w:rsidP="00777CB4">
            <w:pPr>
              <w:spacing w:before="60" w:after="60" w:line="259" w:lineRule="auto"/>
            </w:pPr>
            <w:r w:rsidRPr="00777CB4">
              <w:t>Legislation / Guidance similar to LC</w:t>
            </w:r>
            <w:r w:rsidR="00777CB4">
              <w:t xml:space="preserve"> </w:t>
            </w:r>
            <w:r w:rsidRPr="00777CB4">
              <w:t>12</w:t>
            </w:r>
          </w:p>
        </w:tc>
        <w:tc>
          <w:tcPr>
            <w:tcW w:w="2728" w:type="pct"/>
          </w:tcPr>
          <w:p w14:paraId="2D69C366" w14:textId="77777777" w:rsidR="002C301C" w:rsidRPr="00777CB4" w:rsidRDefault="002C301C" w:rsidP="00777CB4">
            <w:pPr>
              <w:spacing w:before="60" w:after="60" w:line="259" w:lineRule="auto"/>
            </w:pPr>
            <w:r w:rsidRPr="00777CB4">
              <w:t>Aspect</w:t>
            </w:r>
          </w:p>
        </w:tc>
        <w:tc>
          <w:tcPr>
            <w:tcW w:w="758" w:type="pct"/>
          </w:tcPr>
          <w:p w14:paraId="4D79EAC2" w14:textId="1C3CB517" w:rsidR="002C301C" w:rsidRPr="00777CB4" w:rsidRDefault="002C301C" w:rsidP="00777CB4">
            <w:pPr>
              <w:spacing w:before="60" w:after="60" w:line="259" w:lineRule="auto"/>
            </w:pPr>
            <w:r w:rsidRPr="00777CB4">
              <w:t xml:space="preserve">Relevant </w:t>
            </w:r>
            <w:r w:rsidR="00777CB4">
              <w:t>TIG</w:t>
            </w:r>
            <w:r w:rsidRPr="00777CB4">
              <w:t xml:space="preserve"> </w:t>
            </w:r>
          </w:p>
        </w:tc>
      </w:tr>
      <w:tr w:rsidR="002C301C" w:rsidRPr="00B05735" w14:paraId="4DCCEC56" w14:textId="77777777" w:rsidTr="00777CB4">
        <w:trPr>
          <w:cantSplit/>
        </w:trPr>
        <w:tc>
          <w:tcPr>
            <w:tcW w:w="554" w:type="pct"/>
          </w:tcPr>
          <w:p w14:paraId="1F6344C3" w14:textId="77777777" w:rsidR="002C301C" w:rsidRPr="00ED02CC" w:rsidRDefault="002C301C" w:rsidP="00777CB4">
            <w:pPr>
              <w:spacing w:before="60" w:after="60" w:line="259" w:lineRule="auto"/>
            </w:pPr>
            <w:r w:rsidRPr="00ED02CC">
              <w:t>Safeguards</w:t>
            </w:r>
          </w:p>
        </w:tc>
        <w:tc>
          <w:tcPr>
            <w:tcW w:w="960" w:type="pct"/>
          </w:tcPr>
          <w:p w14:paraId="08C1AEE9" w14:textId="08363C10" w:rsidR="002C301C" w:rsidRPr="00ED02CC" w:rsidRDefault="002C301C" w:rsidP="00777CB4">
            <w:pPr>
              <w:spacing w:before="60" w:after="60" w:line="259" w:lineRule="auto"/>
            </w:pPr>
            <w:r w:rsidRPr="00ED02CC">
              <w:t>Nuclear Material Accountancy,</w:t>
            </w:r>
            <w:r w:rsidR="00777CB4">
              <w:t xml:space="preserve"> </w:t>
            </w:r>
            <w:r w:rsidRPr="00ED02CC">
              <w:t>Control and Safeguards Assessment</w:t>
            </w:r>
            <w:r w:rsidR="00777CB4">
              <w:t xml:space="preserve"> </w:t>
            </w:r>
            <w:r w:rsidRPr="00ED02CC">
              <w:t xml:space="preserve">Principles (ONMACS) </w:t>
            </w:r>
            <w:sdt>
              <w:sdtPr>
                <w:id w:val="-38217667"/>
                <w:citation/>
              </w:sdtPr>
              <w:sdtEndPr/>
              <w:sdtContent>
                <w:r w:rsidRPr="00ED02CC">
                  <w:fldChar w:fldCharType="begin"/>
                </w:r>
                <w:r w:rsidR="00777CB4">
                  <w:instrText xml:space="preserve">CITATION ONR232 \l 2057 </w:instrText>
                </w:r>
                <w:r w:rsidRPr="00ED02CC">
                  <w:fldChar w:fldCharType="separate"/>
                </w:r>
                <w:r w:rsidR="00777CB4" w:rsidRPr="00777CB4">
                  <w:rPr>
                    <w:noProof/>
                  </w:rPr>
                  <w:t>[5]</w:t>
                </w:r>
                <w:r w:rsidRPr="00ED02CC">
                  <w:fldChar w:fldCharType="end"/>
                </w:r>
              </w:sdtContent>
            </w:sdt>
          </w:p>
        </w:tc>
        <w:tc>
          <w:tcPr>
            <w:tcW w:w="2728" w:type="pct"/>
          </w:tcPr>
          <w:p w14:paraId="095FE06A" w14:textId="77777777" w:rsidR="002C301C" w:rsidRPr="00ED02CC" w:rsidRDefault="002C301C" w:rsidP="00777CB4">
            <w:pPr>
              <w:spacing w:before="60" w:after="60" w:line="259" w:lineRule="auto"/>
            </w:pPr>
            <w:r w:rsidRPr="00ED02CC">
              <w:t xml:space="preserve">Fundamental Safeguards Expectations (FSE) 3 - Competency Management </w:t>
            </w:r>
          </w:p>
          <w:p w14:paraId="3E30E5B9" w14:textId="66AB736C" w:rsidR="002C301C" w:rsidRPr="00ED02CC" w:rsidRDefault="002C301C" w:rsidP="00777CB4">
            <w:pPr>
              <w:spacing w:before="60" w:after="60" w:line="259" w:lineRule="auto"/>
            </w:pPr>
            <w:r w:rsidRPr="00ED02CC">
              <w:t>‘Operators should implement and maintain effective arrangements to manage the competence of those with assigned NMACS roles and responsibilities.</w:t>
            </w:r>
            <w:r w:rsidR="00777CB4">
              <w:t>’</w:t>
            </w:r>
          </w:p>
          <w:p w14:paraId="74E9D248" w14:textId="77777777" w:rsidR="002C301C" w:rsidRPr="00ED02CC" w:rsidRDefault="002C301C" w:rsidP="00777CB4">
            <w:pPr>
              <w:spacing w:before="60" w:after="60" w:line="259" w:lineRule="auto"/>
            </w:pPr>
            <w:r w:rsidRPr="00ED02CC">
              <w:t>Material Accountancy and Control Expectations (MACEs):</w:t>
            </w:r>
          </w:p>
          <w:p w14:paraId="7742973B" w14:textId="77777777" w:rsidR="00777CB4" w:rsidRDefault="002C301C" w:rsidP="00777CB4">
            <w:pPr>
              <w:pStyle w:val="ListParagraph"/>
              <w:numPr>
                <w:ilvl w:val="3"/>
                <w:numId w:val="12"/>
              </w:numPr>
              <w:spacing w:before="60" w:after="60" w:line="259" w:lineRule="auto"/>
              <w:ind w:left="497"/>
            </w:pPr>
            <w:r w:rsidRPr="00777CB4">
              <w:t>MACE 3.1 - Analysis of NMACS roles and associated competencies.</w:t>
            </w:r>
          </w:p>
          <w:p w14:paraId="1052ED86" w14:textId="652C804B" w:rsidR="002C301C" w:rsidRPr="00ED02CC" w:rsidRDefault="002C301C" w:rsidP="00777CB4">
            <w:pPr>
              <w:pStyle w:val="ListParagraph"/>
              <w:numPr>
                <w:ilvl w:val="3"/>
                <w:numId w:val="12"/>
              </w:numPr>
              <w:spacing w:before="60" w:after="60" w:line="259" w:lineRule="auto"/>
              <w:ind w:left="497"/>
            </w:pPr>
            <w:r w:rsidRPr="00ED02CC">
              <w:t>MACE 3.3 - Measurement of competence</w:t>
            </w:r>
          </w:p>
        </w:tc>
        <w:tc>
          <w:tcPr>
            <w:tcW w:w="758" w:type="pct"/>
          </w:tcPr>
          <w:p w14:paraId="586EF65C" w14:textId="016517C9" w:rsidR="002C301C" w:rsidRPr="00ED02CC" w:rsidRDefault="002C301C" w:rsidP="00777CB4">
            <w:pPr>
              <w:spacing w:before="60" w:after="60" w:line="259" w:lineRule="auto"/>
            </w:pPr>
            <w:r w:rsidRPr="00ED02CC">
              <w:t>Safeguards (SG-INSP-001</w:t>
            </w:r>
            <w:r w:rsidR="00777CB4">
              <w:t>)</w:t>
            </w:r>
            <w:sdt>
              <w:sdtPr>
                <w:id w:val="-1928340894"/>
                <w:citation/>
              </w:sdtPr>
              <w:sdtEndPr/>
              <w:sdtContent>
                <w:r>
                  <w:fldChar w:fldCharType="begin"/>
                </w:r>
                <w:r w:rsidR="00777CB4">
                  <w:instrText xml:space="preserve">CITATION ONR37 \l 2057 </w:instrText>
                </w:r>
                <w:r>
                  <w:fldChar w:fldCharType="separate"/>
                </w:r>
                <w:r w:rsidR="00777CB4">
                  <w:rPr>
                    <w:noProof/>
                  </w:rPr>
                  <w:t xml:space="preserve"> </w:t>
                </w:r>
                <w:r w:rsidR="00777CB4" w:rsidRPr="00777CB4">
                  <w:rPr>
                    <w:noProof/>
                  </w:rPr>
                  <w:t>[6]</w:t>
                </w:r>
                <w:r>
                  <w:fldChar w:fldCharType="end"/>
                </w:r>
              </w:sdtContent>
            </w:sdt>
          </w:p>
          <w:p w14:paraId="33EE089B" w14:textId="77777777" w:rsidR="002C301C" w:rsidRPr="00ED02CC" w:rsidRDefault="002C301C" w:rsidP="00777CB4">
            <w:pPr>
              <w:spacing w:before="60" w:after="60" w:line="259" w:lineRule="auto"/>
            </w:pPr>
          </w:p>
        </w:tc>
      </w:tr>
      <w:tr w:rsidR="002C301C" w:rsidRPr="00B05735" w14:paraId="3AE47AEB" w14:textId="77777777" w:rsidTr="00777CB4">
        <w:trPr>
          <w:cantSplit/>
        </w:trPr>
        <w:tc>
          <w:tcPr>
            <w:tcW w:w="554" w:type="pct"/>
          </w:tcPr>
          <w:p w14:paraId="49938AC4" w14:textId="77777777" w:rsidR="002C301C" w:rsidRPr="00030F0D" w:rsidRDefault="002C301C" w:rsidP="00777CB4">
            <w:pPr>
              <w:spacing w:before="60" w:after="60" w:line="259" w:lineRule="auto"/>
            </w:pPr>
            <w:r w:rsidRPr="00030F0D">
              <w:t>Security</w:t>
            </w:r>
          </w:p>
        </w:tc>
        <w:tc>
          <w:tcPr>
            <w:tcW w:w="960" w:type="pct"/>
          </w:tcPr>
          <w:p w14:paraId="3C3F4DC8" w14:textId="63E8682A" w:rsidR="002C301C" w:rsidRPr="00030F0D" w:rsidRDefault="002C301C" w:rsidP="00777CB4">
            <w:pPr>
              <w:spacing w:before="60" w:after="60" w:line="259" w:lineRule="auto"/>
            </w:pPr>
            <w:r w:rsidRPr="00030F0D">
              <w:t>Security Assessment Principles for the Civil Nuclear Industry (SyAPs)</w:t>
            </w:r>
            <w:sdt>
              <w:sdtPr>
                <w:id w:val="-1932039550"/>
                <w:citation/>
              </w:sdtPr>
              <w:sdtEndPr/>
              <w:sdtContent>
                <w:r w:rsidRPr="00030F0D">
                  <w:fldChar w:fldCharType="begin"/>
                </w:r>
                <w:r w:rsidR="00777CB4">
                  <w:instrText xml:space="preserve">CITATION ONR35 \l 2057 </w:instrText>
                </w:r>
                <w:r w:rsidRPr="00030F0D">
                  <w:fldChar w:fldCharType="separate"/>
                </w:r>
                <w:r w:rsidR="00777CB4">
                  <w:rPr>
                    <w:noProof/>
                  </w:rPr>
                  <w:t xml:space="preserve"> </w:t>
                </w:r>
                <w:r w:rsidR="00777CB4" w:rsidRPr="00777CB4">
                  <w:rPr>
                    <w:noProof/>
                  </w:rPr>
                  <w:t>[7]</w:t>
                </w:r>
                <w:r w:rsidRPr="00030F0D">
                  <w:fldChar w:fldCharType="end"/>
                </w:r>
              </w:sdtContent>
            </w:sdt>
          </w:p>
        </w:tc>
        <w:tc>
          <w:tcPr>
            <w:tcW w:w="2728" w:type="pct"/>
          </w:tcPr>
          <w:p w14:paraId="6397BD8F" w14:textId="77777777" w:rsidR="002C301C" w:rsidRPr="00030F0D" w:rsidRDefault="002C301C" w:rsidP="00777CB4">
            <w:pPr>
              <w:spacing w:before="60" w:after="60" w:line="259" w:lineRule="auto"/>
            </w:pPr>
            <w:r w:rsidRPr="00030F0D">
              <w:t>Fundamental Security Principle (FSyP) 3 – Management of Human Performance</w:t>
            </w:r>
          </w:p>
          <w:p w14:paraId="4F4FF0DD" w14:textId="77777777" w:rsidR="002C301C" w:rsidRPr="00030F0D" w:rsidRDefault="002C301C" w:rsidP="00777CB4">
            <w:pPr>
              <w:spacing w:before="60" w:after="60" w:line="259" w:lineRule="auto"/>
            </w:pPr>
            <w:r w:rsidRPr="00030F0D">
              <w:t>‘Dutyholders must implement and maintain effective arrangements to ensure the human contribution to delivery of security is understood and appropriately designed (to include tasks, competence staffing, workspace, equipment and administrative control), implemented and resourced.’</w:t>
            </w:r>
          </w:p>
          <w:p w14:paraId="48D826ED" w14:textId="77777777" w:rsidR="002C301C" w:rsidRPr="00030F0D" w:rsidRDefault="002C301C" w:rsidP="00777CB4">
            <w:pPr>
              <w:spacing w:before="60" w:after="60" w:line="259" w:lineRule="auto"/>
            </w:pPr>
            <w:r w:rsidRPr="00030F0D">
              <w:t>Security Delivery Principles (</w:t>
            </w:r>
            <w:proofErr w:type="spellStart"/>
            <w:r w:rsidRPr="00030F0D">
              <w:t>SyDP</w:t>
            </w:r>
            <w:proofErr w:type="spellEnd"/>
            <w:r w:rsidRPr="00030F0D">
              <w:t>):</w:t>
            </w:r>
          </w:p>
          <w:p w14:paraId="275A275E" w14:textId="77777777" w:rsidR="002C301C" w:rsidRPr="00030F0D" w:rsidRDefault="002C301C" w:rsidP="00777CB4">
            <w:pPr>
              <w:pStyle w:val="ListParagraph"/>
              <w:numPr>
                <w:ilvl w:val="3"/>
                <w:numId w:val="12"/>
              </w:numPr>
              <w:spacing w:before="60" w:after="60" w:line="259" w:lineRule="auto"/>
              <w:ind w:left="497"/>
            </w:pPr>
            <w:proofErr w:type="spellStart"/>
            <w:r w:rsidRPr="00030F0D">
              <w:t>SyDP</w:t>
            </w:r>
            <w:proofErr w:type="spellEnd"/>
            <w:r w:rsidRPr="00030F0D">
              <w:t xml:space="preserve"> 3.1 – Identification and Analysis of Security Tasks and Roles</w:t>
            </w:r>
          </w:p>
          <w:p w14:paraId="48A50FBF" w14:textId="77777777" w:rsidR="002C301C" w:rsidRPr="00030F0D" w:rsidRDefault="002C301C" w:rsidP="00777CB4">
            <w:pPr>
              <w:pStyle w:val="ListParagraph"/>
              <w:numPr>
                <w:ilvl w:val="3"/>
                <w:numId w:val="12"/>
              </w:numPr>
              <w:spacing w:before="60" w:after="60" w:line="259" w:lineRule="auto"/>
              <w:ind w:left="497"/>
            </w:pPr>
            <w:proofErr w:type="spellStart"/>
            <w:r w:rsidRPr="00030F0D">
              <w:t>SyDP</w:t>
            </w:r>
            <w:proofErr w:type="spellEnd"/>
            <w:r w:rsidRPr="00030F0D">
              <w:t xml:space="preserve"> 3.2 - Sufficiency and Competence of Persons Delivering Security</w:t>
            </w:r>
          </w:p>
        </w:tc>
        <w:tc>
          <w:tcPr>
            <w:tcW w:w="758" w:type="pct"/>
          </w:tcPr>
          <w:p w14:paraId="7F5A00FA" w14:textId="03366BFE" w:rsidR="002C301C" w:rsidRPr="00030F0D" w:rsidRDefault="002C301C" w:rsidP="00777CB4">
            <w:pPr>
              <w:spacing w:before="60" w:after="60" w:line="259" w:lineRule="auto"/>
            </w:pPr>
            <w:r w:rsidRPr="00030F0D">
              <w:t>Nuclear Security Inspections (CNS-INSP-GD-001</w:t>
            </w:r>
            <w:r w:rsidR="00777CB4">
              <w:t>)</w:t>
            </w:r>
            <w:r>
              <w:t xml:space="preserve"> </w:t>
            </w:r>
            <w:sdt>
              <w:sdtPr>
                <w:id w:val="580176957"/>
                <w:citation/>
              </w:sdtPr>
              <w:sdtEndPr/>
              <w:sdtContent>
                <w:r>
                  <w:fldChar w:fldCharType="begin"/>
                </w:r>
                <w:r w:rsidR="00777CB4">
                  <w:instrText xml:space="preserve">CITATION ONR38 \l 2057 </w:instrText>
                </w:r>
                <w:r>
                  <w:fldChar w:fldCharType="separate"/>
                </w:r>
                <w:r w:rsidR="00777CB4" w:rsidRPr="00777CB4">
                  <w:rPr>
                    <w:noProof/>
                  </w:rPr>
                  <w:t>[8]</w:t>
                </w:r>
                <w:r>
                  <w:fldChar w:fldCharType="end"/>
                </w:r>
              </w:sdtContent>
            </w:sdt>
          </w:p>
        </w:tc>
      </w:tr>
      <w:tr w:rsidR="002C301C" w:rsidRPr="00B05735" w14:paraId="326E8112" w14:textId="77777777" w:rsidTr="00777CB4">
        <w:trPr>
          <w:cantSplit/>
        </w:trPr>
        <w:tc>
          <w:tcPr>
            <w:tcW w:w="554" w:type="pct"/>
          </w:tcPr>
          <w:p w14:paraId="6A4C6C33" w14:textId="77777777" w:rsidR="002C301C" w:rsidRPr="00566A0B" w:rsidRDefault="002C301C" w:rsidP="00777CB4">
            <w:pPr>
              <w:spacing w:before="60" w:after="60" w:line="259" w:lineRule="auto"/>
            </w:pPr>
            <w:r w:rsidRPr="00566A0B">
              <w:t>Transport</w:t>
            </w:r>
          </w:p>
        </w:tc>
        <w:tc>
          <w:tcPr>
            <w:tcW w:w="960" w:type="pct"/>
          </w:tcPr>
          <w:p w14:paraId="10DFD0C6" w14:textId="1C98E640" w:rsidR="002C301C" w:rsidRPr="00566A0B" w:rsidRDefault="002C301C" w:rsidP="00777CB4">
            <w:pPr>
              <w:spacing w:before="60" w:after="60" w:line="259" w:lineRule="auto"/>
            </w:pPr>
            <w:r w:rsidRPr="00566A0B">
              <w:t>Ionising Radiation Regulations 2017 (IRR17)</w:t>
            </w:r>
            <w:r>
              <w:t xml:space="preserve"> </w:t>
            </w:r>
            <w:sdt>
              <w:sdtPr>
                <w:id w:val="-2021931072"/>
                <w:citation/>
              </w:sdtPr>
              <w:sdtEndPr/>
              <w:sdtContent>
                <w:r>
                  <w:fldChar w:fldCharType="begin"/>
                </w:r>
                <w:r w:rsidR="00777CB4">
                  <w:instrText xml:space="preserve">CITATION GOV \l 2057 </w:instrText>
                </w:r>
                <w:r>
                  <w:fldChar w:fldCharType="separate"/>
                </w:r>
                <w:r w:rsidR="00777CB4" w:rsidRPr="00777CB4">
                  <w:rPr>
                    <w:noProof/>
                  </w:rPr>
                  <w:t>[9]</w:t>
                </w:r>
                <w:r>
                  <w:fldChar w:fldCharType="end"/>
                </w:r>
              </w:sdtContent>
            </w:sdt>
          </w:p>
          <w:p w14:paraId="7558F326" w14:textId="77777777" w:rsidR="002C301C" w:rsidRPr="00566A0B" w:rsidRDefault="002C301C" w:rsidP="00777CB4">
            <w:pPr>
              <w:spacing w:before="60" w:after="60" w:line="259" w:lineRule="auto"/>
            </w:pPr>
            <w:r w:rsidRPr="00566A0B">
              <w:t>Agreement concerning the International Carriage of Dangerous Goods by Road (ADR) (for road) and the Regulations concerning the International Carriage of Dangerous Goods by Rail (RID) (for rail) (ADR/RID)</w:t>
            </w:r>
          </w:p>
        </w:tc>
        <w:tc>
          <w:tcPr>
            <w:tcW w:w="2728" w:type="pct"/>
          </w:tcPr>
          <w:p w14:paraId="7074F3FC" w14:textId="77777777" w:rsidR="002C301C" w:rsidRPr="00566A0B" w:rsidRDefault="002C301C" w:rsidP="00777CB4">
            <w:pPr>
              <w:spacing w:before="60" w:after="60" w:line="259" w:lineRule="auto"/>
            </w:pPr>
            <w:r w:rsidRPr="00566A0B">
              <w:t>IRR17 Regulation 14 – Radiation protection adviser (2) ‘…..the employer must appoint that radiation protection adviser in writing and must include in that appointment the scope of the advice which the radiation protection adviser is required to give.’</w:t>
            </w:r>
          </w:p>
          <w:p w14:paraId="51C0FC10" w14:textId="77777777" w:rsidR="002C301C" w:rsidRPr="00566A0B" w:rsidRDefault="002C301C" w:rsidP="00777CB4">
            <w:pPr>
              <w:spacing w:before="60" w:after="60" w:line="259" w:lineRule="auto"/>
            </w:pPr>
            <w:r w:rsidRPr="00566A0B">
              <w:t>ADR/ RID §1.3.1 requires persons whose duties concern the carriage of dangerous goods, shall be trained in the requirements governing the carriage of such goods appropriate to their responsibilities and duties.</w:t>
            </w:r>
          </w:p>
          <w:p w14:paraId="7392D2D8" w14:textId="77777777" w:rsidR="002C301C" w:rsidRPr="00566A0B" w:rsidRDefault="002C301C" w:rsidP="00777CB4">
            <w:pPr>
              <w:spacing w:before="60" w:after="60" w:line="259" w:lineRule="auto"/>
            </w:pPr>
            <w:r w:rsidRPr="00566A0B">
              <w:t>ADR/ RID § 1.7.2.5 requires workers to be appropriately trained in radiation protection (including the protection of others that may be affected by their actions).</w:t>
            </w:r>
          </w:p>
        </w:tc>
        <w:tc>
          <w:tcPr>
            <w:tcW w:w="758" w:type="pct"/>
          </w:tcPr>
          <w:p w14:paraId="037173A7" w14:textId="01C3FAF6" w:rsidR="002C301C" w:rsidRPr="00566A0B" w:rsidRDefault="002C301C" w:rsidP="00777CB4">
            <w:pPr>
              <w:spacing w:before="60" w:after="60" w:line="259" w:lineRule="auto"/>
            </w:pPr>
            <w:r w:rsidRPr="00566A0B">
              <w:t>Compliance Inspection of Transport Arrangements (NS-INSP-GD-069</w:t>
            </w:r>
            <w:r w:rsidR="00777CB4">
              <w:t>)</w:t>
            </w:r>
            <w:r>
              <w:t xml:space="preserve"> </w:t>
            </w:r>
            <w:sdt>
              <w:sdtPr>
                <w:id w:val="-1938365523"/>
                <w:citation/>
              </w:sdtPr>
              <w:sdtEndPr/>
              <w:sdtContent>
                <w:r>
                  <w:fldChar w:fldCharType="begin"/>
                </w:r>
                <w:r w:rsidR="00777CB4">
                  <w:instrText xml:space="preserve">CITATION ONR39 \l 2057 </w:instrText>
                </w:r>
                <w:r>
                  <w:fldChar w:fldCharType="separate"/>
                </w:r>
                <w:r w:rsidR="00777CB4" w:rsidRPr="00777CB4">
                  <w:rPr>
                    <w:noProof/>
                  </w:rPr>
                  <w:t>[10]</w:t>
                </w:r>
                <w:r>
                  <w:fldChar w:fldCharType="end"/>
                </w:r>
              </w:sdtContent>
            </w:sdt>
          </w:p>
        </w:tc>
      </w:tr>
      <w:tr w:rsidR="002C301C" w:rsidRPr="00B05735" w14:paraId="4BCF39C3" w14:textId="77777777" w:rsidTr="00777CB4">
        <w:trPr>
          <w:cantSplit/>
        </w:trPr>
        <w:tc>
          <w:tcPr>
            <w:tcW w:w="554" w:type="pct"/>
          </w:tcPr>
          <w:p w14:paraId="545A5A3E" w14:textId="77777777" w:rsidR="002C301C" w:rsidRPr="00E360B3" w:rsidRDefault="002C301C" w:rsidP="00777CB4">
            <w:pPr>
              <w:spacing w:before="60" w:after="60" w:line="259" w:lineRule="auto"/>
            </w:pPr>
            <w:r w:rsidRPr="00E360B3">
              <w:lastRenderedPageBreak/>
              <w:t>Nuclear Site Health and Safety</w:t>
            </w:r>
          </w:p>
        </w:tc>
        <w:tc>
          <w:tcPr>
            <w:tcW w:w="960" w:type="pct"/>
          </w:tcPr>
          <w:p w14:paraId="2944DA09" w14:textId="77777777" w:rsidR="002C301C" w:rsidRPr="00E360B3" w:rsidRDefault="002C301C" w:rsidP="00777CB4">
            <w:pPr>
              <w:spacing w:before="60" w:after="60" w:line="259" w:lineRule="auto"/>
            </w:pPr>
            <w:r w:rsidRPr="00E360B3">
              <w:t>Health and Safety at Work etc Act 1974 (HSWA)</w:t>
            </w:r>
          </w:p>
          <w:p w14:paraId="516D591F" w14:textId="77777777" w:rsidR="002C301C" w:rsidRPr="00E360B3" w:rsidRDefault="002C301C" w:rsidP="00777CB4">
            <w:pPr>
              <w:spacing w:before="60" w:after="60" w:line="259" w:lineRule="auto"/>
            </w:pPr>
            <w:r w:rsidRPr="00E360B3">
              <w:t xml:space="preserve">Most RSPs of HSWA also relate specifically to </w:t>
            </w:r>
            <w:r>
              <w:t>competence and or appointment</w:t>
            </w:r>
            <w:r w:rsidRPr="00E360B3">
              <w:t xml:space="preserve"> some examples are identified here.</w:t>
            </w:r>
          </w:p>
        </w:tc>
        <w:tc>
          <w:tcPr>
            <w:tcW w:w="2728" w:type="pct"/>
          </w:tcPr>
          <w:p w14:paraId="6B00C989" w14:textId="77777777" w:rsidR="002C301C" w:rsidRPr="00E360B3" w:rsidRDefault="002C301C" w:rsidP="00777CB4">
            <w:pPr>
              <w:spacing w:before="60" w:after="60" w:line="259" w:lineRule="auto"/>
            </w:pPr>
            <w:r w:rsidRPr="00E276B3">
              <w:rPr>
                <w:u w:val="single"/>
              </w:rPr>
              <w:t>HSWA § 2 General duties of employers to their employees</w:t>
            </w:r>
            <w:r w:rsidRPr="00E360B3">
              <w:t xml:space="preserve"> (2) Without prejudice to the generality of an employer’s duty under the preceding subsection, the matters to which that duty extends include in particular—</w:t>
            </w:r>
          </w:p>
          <w:p w14:paraId="18406D5B" w14:textId="77777777" w:rsidR="002C301C" w:rsidRPr="00E360B3" w:rsidRDefault="002C301C" w:rsidP="00777CB4">
            <w:pPr>
              <w:spacing w:before="60" w:after="60" w:line="259" w:lineRule="auto"/>
            </w:pPr>
            <w:r w:rsidRPr="00E360B3">
              <w:t>(c)the provision of such information, instruction, training, and supervision as is necessary to ensure, so far as is reasonably practicable, the health and safety at work of his employees;</w:t>
            </w:r>
          </w:p>
          <w:p w14:paraId="7AAFF4C7" w14:textId="77777777" w:rsidR="002C301C" w:rsidRPr="00E276B3" w:rsidRDefault="002C301C" w:rsidP="00777CB4">
            <w:pPr>
              <w:spacing w:before="60" w:after="60" w:line="259" w:lineRule="auto"/>
              <w:rPr>
                <w:u w:val="single"/>
              </w:rPr>
            </w:pPr>
            <w:r w:rsidRPr="00E276B3">
              <w:rPr>
                <w:u w:val="single"/>
              </w:rPr>
              <w:t>CDM15 §8 General duties</w:t>
            </w:r>
          </w:p>
          <w:p w14:paraId="4B4E6363" w14:textId="77777777" w:rsidR="002C301C" w:rsidRPr="00E360B3" w:rsidRDefault="002C301C" w:rsidP="00777CB4">
            <w:pPr>
              <w:spacing w:before="60" w:after="60" w:line="259" w:lineRule="auto"/>
            </w:pPr>
            <w:r w:rsidRPr="00E360B3">
              <w:t>(1) A designer (including a principal designer) or contractor (including a principal contractor) appointed to work on a project must have the skills, knowledge and experience, and, if they are an organisation, the organisational capability, necessary to fulfil the role that they are appointed to undertake, in a manner that secures the health and safety of any person affected by the project.</w:t>
            </w:r>
          </w:p>
          <w:p w14:paraId="1947B8CA" w14:textId="77777777" w:rsidR="002C301C" w:rsidRPr="00E360B3" w:rsidRDefault="002C301C" w:rsidP="00777CB4">
            <w:pPr>
              <w:spacing w:before="60" w:after="60" w:line="259" w:lineRule="auto"/>
            </w:pPr>
            <w:r w:rsidRPr="00E360B3">
              <w:t>(2) A designer or contractor must not accept an appointment to a project unless they fulfil the conditions in paragraph (1).</w:t>
            </w:r>
          </w:p>
          <w:p w14:paraId="6F88DF78" w14:textId="77777777" w:rsidR="002C301C" w:rsidRPr="00E360B3" w:rsidRDefault="002C301C" w:rsidP="00777CB4">
            <w:pPr>
              <w:spacing w:before="60" w:after="60" w:line="259" w:lineRule="auto"/>
            </w:pPr>
            <w:r w:rsidRPr="00E360B3">
              <w:t>(3) A person who is responsible for appointing a designer or contractor to carry out work on a project must take reasonable steps to satisfy themselves that the designer or contractor fulfils the conditions in paragraph (1).</w:t>
            </w:r>
          </w:p>
          <w:p w14:paraId="70F1E05F" w14:textId="77777777" w:rsidR="002C301C" w:rsidRPr="00E360B3" w:rsidRDefault="002C301C" w:rsidP="00777CB4">
            <w:pPr>
              <w:spacing w:before="60" w:after="60" w:line="259" w:lineRule="auto"/>
            </w:pPr>
            <w:r w:rsidRPr="00E360B3">
              <w:t xml:space="preserve">Regulatory Reform (Fire Safety) Order 2005 §13 Firefighting and fire detection </w:t>
            </w:r>
          </w:p>
          <w:p w14:paraId="0A399E5E" w14:textId="77777777" w:rsidR="002C301C" w:rsidRPr="00E360B3" w:rsidRDefault="002C301C" w:rsidP="00777CB4">
            <w:pPr>
              <w:spacing w:before="60" w:after="60" w:line="259" w:lineRule="auto"/>
            </w:pPr>
            <w:r w:rsidRPr="00E360B3">
              <w:t>(3) The responsible person must, where necessary—</w:t>
            </w:r>
          </w:p>
          <w:p w14:paraId="5F7D2761" w14:textId="77777777" w:rsidR="002C301C" w:rsidRPr="00E360B3" w:rsidRDefault="002C301C" w:rsidP="00777CB4">
            <w:pPr>
              <w:spacing w:before="60" w:after="60" w:line="259" w:lineRule="auto"/>
            </w:pPr>
            <w:r w:rsidRPr="00E360B3">
              <w:t>(b) nominate competent persons to implement those measures and ensure that the number of such persons, their training, and the equipment available to them are adequate, taking into account the size of, and the specific hazards involved in, the premises concerned; and</w:t>
            </w:r>
          </w:p>
          <w:p w14:paraId="5F5CAD05" w14:textId="77777777" w:rsidR="002C301C" w:rsidRPr="00E360B3" w:rsidRDefault="002C301C" w:rsidP="00777CB4">
            <w:pPr>
              <w:spacing w:before="60" w:after="60" w:line="259" w:lineRule="auto"/>
            </w:pPr>
            <w:r w:rsidRPr="00E360B3">
              <w:t>(4) A person is to be regarded as competent for the purposes of paragraph (3)(b) where he has sufficient training and experience or knowledge and other qualities to enable him properly to implement the measures referred to in that paragraph.</w:t>
            </w:r>
          </w:p>
        </w:tc>
        <w:tc>
          <w:tcPr>
            <w:tcW w:w="758" w:type="pct"/>
          </w:tcPr>
          <w:p w14:paraId="01669188" w14:textId="77777777" w:rsidR="002C301C" w:rsidRPr="00E360B3" w:rsidRDefault="002C301C" w:rsidP="00777CB4">
            <w:pPr>
              <w:spacing w:before="60" w:after="60" w:line="259" w:lineRule="auto"/>
            </w:pPr>
          </w:p>
          <w:p w14:paraId="56E9B36B" w14:textId="77777777" w:rsidR="002C301C" w:rsidRPr="00E360B3" w:rsidRDefault="002C301C" w:rsidP="00777CB4">
            <w:pPr>
              <w:spacing w:before="60" w:after="60" w:line="259" w:lineRule="auto"/>
            </w:pPr>
          </w:p>
          <w:p w14:paraId="5E9505BC" w14:textId="77777777" w:rsidR="002C301C" w:rsidRPr="00E360B3" w:rsidRDefault="002C301C" w:rsidP="00777CB4">
            <w:pPr>
              <w:spacing w:before="60" w:after="60" w:line="259" w:lineRule="auto"/>
            </w:pPr>
          </w:p>
          <w:p w14:paraId="1609D7E3" w14:textId="77777777" w:rsidR="002C301C" w:rsidRPr="00E360B3" w:rsidRDefault="002C301C" w:rsidP="00777CB4">
            <w:pPr>
              <w:spacing w:before="60" w:after="60" w:line="259" w:lineRule="auto"/>
            </w:pPr>
          </w:p>
          <w:p w14:paraId="12ABEA19" w14:textId="77777777" w:rsidR="002C301C" w:rsidRPr="00E360B3" w:rsidRDefault="002C301C" w:rsidP="00777CB4">
            <w:pPr>
              <w:spacing w:before="60" w:after="60" w:line="259" w:lineRule="auto"/>
            </w:pPr>
          </w:p>
          <w:p w14:paraId="68407142" w14:textId="77777777" w:rsidR="002C301C" w:rsidRPr="00E360B3" w:rsidRDefault="002C301C" w:rsidP="00777CB4">
            <w:pPr>
              <w:spacing w:before="60" w:after="60" w:line="259" w:lineRule="auto"/>
            </w:pPr>
          </w:p>
          <w:p w14:paraId="0B45E951" w14:textId="420168E4" w:rsidR="002C301C" w:rsidRPr="00E360B3" w:rsidRDefault="002C301C" w:rsidP="00777CB4">
            <w:pPr>
              <w:spacing w:before="60" w:after="60" w:line="259" w:lineRule="auto"/>
            </w:pPr>
            <w:r w:rsidRPr="00E360B3">
              <w:t>Construction (Design and Management) Regulations (NS-INSP-GD-074</w:t>
            </w:r>
            <w:r w:rsidR="00777CB4">
              <w:t>)</w:t>
            </w:r>
            <w:sdt>
              <w:sdtPr>
                <w:id w:val="1582566716"/>
                <w:citation/>
              </w:sdtPr>
              <w:sdtEndPr/>
              <w:sdtContent>
                <w:r>
                  <w:fldChar w:fldCharType="begin"/>
                </w:r>
                <w:r w:rsidR="00777CB4">
                  <w:instrText xml:space="preserve">CITATION ONR40 \l 2057 </w:instrText>
                </w:r>
                <w:r>
                  <w:fldChar w:fldCharType="separate"/>
                </w:r>
                <w:r w:rsidR="00777CB4">
                  <w:rPr>
                    <w:noProof/>
                  </w:rPr>
                  <w:t xml:space="preserve"> </w:t>
                </w:r>
                <w:r w:rsidR="00777CB4" w:rsidRPr="00777CB4">
                  <w:rPr>
                    <w:noProof/>
                  </w:rPr>
                  <w:t>[11]</w:t>
                </w:r>
                <w:r>
                  <w:fldChar w:fldCharType="end"/>
                </w:r>
              </w:sdtContent>
            </w:sdt>
          </w:p>
          <w:p w14:paraId="141470F7" w14:textId="77777777" w:rsidR="002C301C" w:rsidRPr="00E360B3" w:rsidRDefault="002C301C" w:rsidP="00777CB4">
            <w:pPr>
              <w:spacing w:before="60" w:after="60" w:line="259" w:lineRule="auto"/>
            </w:pPr>
          </w:p>
          <w:p w14:paraId="6F3E7178" w14:textId="77777777" w:rsidR="002C301C" w:rsidRPr="00E360B3" w:rsidRDefault="002C301C" w:rsidP="00777CB4">
            <w:pPr>
              <w:spacing w:before="60" w:after="60" w:line="259" w:lineRule="auto"/>
            </w:pPr>
          </w:p>
          <w:p w14:paraId="4993FC35" w14:textId="77777777" w:rsidR="002C301C" w:rsidRPr="00E360B3" w:rsidRDefault="002C301C" w:rsidP="00777CB4">
            <w:pPr>
              <w:spacing w:before="60" w:after="60" w:line="259" w:lineRule="auto"/>
            </w:pPr>
          </w:p>
          <w:p w14:paraId="4D3F6195" w14:textId="77777777" w:rsidR="002C301C" w:rsidRPr="00E360B3" w:rsidRDefault="002C301C" w:rsidP="00777CB4">
            <w:pPr>
              <w:spacing w:before="60" w:after="60" w:line="259" w:lineRule="auto"/>
            </w:pPr>
          </w:p>
          <w:p w14:paraId="138F734A" w14:textId="77777777" w:rsidR="002C301C" w:rsidRPr="00E360B3" w:rsidRDefault="002C301C" w:rsidP="00777CB4">
            <w:pPr>
              <w:spacing w:before="60" w:after="60" w:line="259" w:lineRule="auto"/>
            </w:pPr>
          </w:p>
          <w:p w14:paraId="01468F6A" w14:textId="77777777" w:rsidR="002C301C" w:rsidRPr="00E360B3" w:rsidRDefault="002C301C" w:rsidP="00777CB4">
            <w:pPr>
              <w:spacing w:before="60" w:after="60" w:line="259" w:lineRule="auto"/>
            </w:pPr>
          </w:p>
          <w:p w14:paraId="0AF88B76" w14:textId="77777777" w:rsidR="002C301C" w:rsidRPr="00E360B3" w:rsidRDefault="002C301C" w:rsidP="00777CB4">
            <w:pPr>
              <w:spacing w:before="60" w:after="60" w:line="259" w:lineRule="auto"/>
            </w:pPr>
          </w:p>
          <w:p w14:paraId="7C0AD8F3" w14:textId="77777777" w:rsidR="002C301C" w:rsidRPr="00E360B3" w:rsidRDefault="002C301C" w:rsidP="00777CB4">
            <w:pPr>
              <w:spacing w:before="60" w:after="60" w:line="259" w:lineRule="auto"/>
            </w:pPr>
          </w:p>
          <w:p w14:paraId="4731D8A0" w14:textId="77777777" w:rsidR="002C301C" w:rsidRPr="00E360B3" w:rsidRDefault="002C301C" w:rsidP="00777CB4">
            <w:pPr>
              <w:spacing w:before="60" w:after="60" w:line="259" w:lineRule="auto"/>
            </w:pPr>
          </w:p>
          <w:p w14:paraId="5E505B66" w14:textId="2C8A74A8" w:rsidR="002C301C" w:rsidRPr="00E360B3" w:rsidRDefault="002C301C" w:rsidP="00777CB4">
            <w:pPr>
              <w:spacing w:before="60" w:after="60" w:line="259" w:lineRule="auto"/>
            </w:pPr>
            <w:r w:rsidRPr="00E360B3">
              <w:t>The regulation of Life Fire Safety on Nuclear Licensed Sites (TIG) NS-INSP-GD-073</w:t>
            </w:r>
            <w:r>
              <w:t xml:space="preserve"> </w:t>
            </w:r>
            <w:sdt>
              <w:sdtPr>
                <w:id w:val="1756325743"/>
                <w:citation/>
              </w:sdtPr>
              <w:sdtEndPr/>
              <w:sdtContent>
                <w:r>
                  <w:fldChar w:fldCharType="begin"/>
                </w:r>
                <w:r w:rsidR="00777CB4">
                  <w:instrText xml:space="preserve">CITATION ONR41 \l 2057 </w:instrText>
                </w:r>
                <w:r>
                  <w:fldChar w:fldCharType="separate"/>
                </w:r>
                <w:r w:rsidR="00777CB4" w:rsidRPr="00777CB4">
                  <w:rPr>
                    <w:noProof/>
                  </w:rPr>
                  <w:t>[12]</w:t>
                </w:r>
                <w:r>
                  <w:fldChar w:fldCharType="end"/>
                </w:r>
              </w:sdtContent>
            </w:sdt>
          </w:p>
        </w:tc>
      </w:tr>
    </w:tbl>
    <w:p w14:paraId="67E7C248" w14:textId="77777777" w:rsidR="002C301C" w:rsidRPr="00B05735" w:rsidRDefault="002C301C" w:rsidP="002C301C">
      <w:pPr>
        <w:spacing w:after="0" w:line="240" w:lineRule="auto"/>
        <w:rPr>
          <w:highlight w:val="yellow"/>
        </w:rPr>
        <w:sectPr w:rsidR="002C301C" w:rsidRPr="00B05735" w:rsidSect="00777CB4">
          <w:pgSz w:w="23811" w:h="16838" w:orient="landscape" w:code="8"/>
          <w:pgMar w:top="1440" w:right="1440" w:bottom="1440" w:left="1440" w:header="397" w:footer="397" w:gutter="0"/>
          <w:cols w:space="312"/>
          <w:docGrid w:linePitch="360"/>
        </w:sectPr>
      </w:pPr>
    </w:p>
    <w:bookmarkStart w:id="13" w:name="_Toc220242310" w:displacedByCustomXml="next"/>
    <w:sdt>
      <w:sdtPr>
        <w:rPr>
          <w:color w:val="auto"/>
          <w:sz w:val="24"/>
        </w:rPr>
        <w:id w:val="-652758001"/>
        <w:docPartObj>
          <w:docPartGallery w:val="Bibliographies"/>
          <w:docPartUnique/>
        </w:docPartObj>
      </w:sdtPr>
      <w:sdtEndPr/>
      <w:sdtContent>
        <w:p w14:paraId="5F37DAE5" w14:textId="77777777" w:rsidR="002042C2" w:rsidRDefault="002042C2" w:rsidP="002042C2">
          <w:pPr>
            <w:pStyle w:val="Heading1"/>
            <w:numPr>
              <w:ilvl w:val="0"/>
              <w:numId w:val="0"/>
            </w:numPr>
            <w:ind w:left="851" w:hanging="851"/>
          </w:pPr>
          <w:r>
            <w:t>References</w:t>
          </w:r>
          <w:bookmarkEnd w:id="13"/>
        </w:p>
        <w:sdt>
          <w:sdtPr>
            <w:id w:val="-573587230"/>
            <w:bibliography/>
          </w:sdtPr>
          <w:sdtEndPr/>
          <w:sdtContent>
            <w:p w14:paraId="6D9B14AA" w14:textId="77777777" w:rsidR="00777CB4" w:rsidRDefault="002042C2" w:rsidP="002042C2">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8550"/>
              </w:tblGrid>
              <w:tr w:rsidR="00777CB4" w14:paraId="047F4A94" w14:textId="77777777">
                <w:trPr>
                  <w:divId w:val="648022370"/>
                  <w:tblCellSpacing w:w="15" w:type="dxa"/>
                </w:trPr>
                <w:tc>
                  <w:tcPr>
                    <w:tcW w:w="50" w:type="pct"/>
                    <w:hideMark/>
                  </w:tcPr>
                  <w:p w14:paraId="72437995" w14:textId="4400CBE6" w:rsidR="00777CB4" w:rsidRDefault="00777CB4" w:rsidP="00777CB4">
                    <w:pPr>
                      <w:pStyle w:val="Bibliography"/>
                      <w:spacing w:after="0"/>
                      <w:rPr>
                        <w:noProof/>
                        <w:szCs w:val="24"/>
                      </w:rPr>
                    </w:pPr>
                    <w:r>
                      <w:rPr>
                        <w:noProof/>
                      </w:rPr>
                      <w:t xml:space="preserve">[1] </w:t>
                    </w:r>
                  </w:p>
                </w:tc>
                <w:tc>
                  <w:tcPr>
                    <w:tcW w:w="0" w:type="auto"/>
                    <w:hideMark/>
                  </w:tcPr>
                  <w:p w14:paraId="219C4E94" w14:textId="77777777" w:rsidR="00777CB4" w:rsidRDefault="00777CB4" w:rsidP="00777CB4">
                    <w:pPr>
                      <w:pStyle w:val="Bibliography"/>
                      <w:spacing w:after="0"/>
                      <w:rPr>
                        <w:noProof/>
                      </w:rPr>
                    </w:pPr>
                    <w:r>
                      <w:rPr>
                        <w:noProof/>
                      </w:rPr>
                      <w:t>ONR, “NS-TAST-GD-027 - Training and Assuring Personnel Competence,” [Online]. Available: Available internally via HOW2 Hub and externally via the ONR website..</w:t>
                    </w:r>
                  </w:p>
                </w:tc>
              </w:tr>
              <w:tr w:rsidR="00777CB4" w14:paraId="12D49421" w14:textId="77777777">
                <w:trPr>
                  <w:divId w:val="648022370"/>
                  <w:tblCellSpacing w:w="15" w:type="dxa"/>
                </w:trPr>
                <w:tc>
                  <w:tcPr>
                    <w:tcW w:w="50" w:type="pct"/>
                    <w:hideMark/>
                  </w:tcPr>
                  <w:p w14:paraId="225CB5D5" w14:textId="77777777" w:rsidR="00777CB4" w:rsidRDefault="00777CB4" w:rsidP="00777CB4">
                    <w:pPr>
                      <w:pStyle w:val="Bibliography"/>
                      <w:spacing w:after="0"/>
                      <w:rPr>
                        <w:noProof/>
                      </w:rPr>
                    </w:pPr>
                    <w:r>
                      <w:rPr>
                        <w:noProof/>
                      </w:rPr>
                      <w:t xml:space="preserve">[2] </w:t>
                    </w:r>
                  </w:p>
                </w:tc>
                <w:tc>
                  <w:tcPr>
                    <w:tcW w:w="0" w:type="auto"/>
                    <w:hideMark/>
                  </w:tcPr>
                  <w:p w14:paraId="59B86A58" w14:textId="77777777" w:rsidR="00777CB4" w:rsidRDefault="00777CB4" w:rsidP="00777CB4">
                    <w:pPr>
                      <w:pStyle w:val="Bibliography"/>
                      <w:spacing w:after="0"/>
                      <w:rPr>
                        <w:noProof/>
                      </w:rPr>
                    </w:pPr>
                    <w:r>
                      <w:rPr>
                        <w:noProof/>
                      </w:rPr>
                      <w:t>ONR, “ONR-RD-POL-002 - Risk-Informed and Targeted Engagements (RITE) Policy,” [Online]. Available: Available internally via HOW2 Hub and externally via the ONR website..</w:t>
                    </w:r>
                  </w:p>
                </w:tc>
              </w:tr>
              <w:tr w:rsidR="00777CB4" w14:paraId="1F417527" w14:textId="77777777">
                <w:trPr>
                  <w:divId w:val="648022370"/>
                  <w:tblCellSpacing w:w="15" w:type="dxa"/>
                </w:trPr>
                <w:tc>
                  <w:tcPr>
                    <w:tcW w:w="50" w:type="pct"/>
                    <w:hideMark/>
                  </w:tcPr>
                  <w:p w14:paraId="00436785" w14:textId="77777777" w:rsidR="00777CB4" w:rsidRDefault="00777CB4" w:rsidP="00777CB4">
                    <w:pPr>
                      <w:pStyle w:val="Bibliography"/>
                      <w:spacing w:after="0"/>
                      <w:rPr>
                        <w:noProof/>
                      </w:rPr>
                    </w:pPr>
                    <w:r>
                      <w:rPr>
                        <w:noProof/>
                      </w:rPr>
                      <w:t xml:space="preserve">[3] </w:t>
                    </w:r>
                  </w:p>
                </w:tc>
                <w:tc>
                  <w:tcPr>
                    <w:tcW w:w="0" w:type="auto"/>
                    <w:hideMark/>
                  </w:tcPr>
                  <w:p w14:paraId="34E70F44" w14:textId="77777777" w:rsidR="00777CB4" w:rsidRDefault="00777CB4" w:rsidP="00777CB4">
                    <w:pPr>
                      <w:pStyle w:val="Bibliography"/>
                      <w:spacing w:after="0"/>
                      <w:rPr>
                        <w:noProof/>
                      </w:rPr>
                    </w:pPr>
                    <w:r>
                      <w:rPr>
                        <w:noProof/>
                      </w:rPr>
                      <w:t>ONR, “NS-INSP-GD-010 - LC 10 Training,” [Online]. Available: Available internally via HOW2 Hub and externally via the ONR website..</w:t>
                    </w:r>
                  </w:p>
                </w:tc>
              </w:tr>
              <w:tr w:rsidR="00777CB4" w14:paraId="5D869B9C" w14:textId="77777777">
                <w:trPr>
                  <w:divId w:val="648022370"/>
                  <w:tblCellSpacing w:w="15" w:type="dxa"/>
                </w:trPr>
                <w:tc>
                  <w:tcPr>
                    <w:tcW w:w="50" w:type="pct"/>
                    <w:hideMark/>
                  </w:tcPr>
                  <w:p w14:paraId="2D382C0A" w14:textId="77777777" w:rsidR="00777CB4" w:rsidRDefault="00777CB4" w:rsidP="00777CB4">
                    <w:pPr>
                      <w:pStyle w:val="Bibliography"/>
                      <w:spacing w:after="0"/>
                      <w:rPr>
                        <w:noProof/>
                      </w:rPr>
                    </w:pPr>
                    <w:r>
                      <w:rPr>
                        <w:noProof/>
                      </w:rPr>
                      <w:t xml:space="preserve">[4] </w:t>
                    </w:r>
                  </w:p>
                </w:tc>
                <w:tc>
                  <w:tcPr>
                    <w:tcW w:w="0" w:type="auto"/>
                    <w:hideMark/>
                  </w:tcPr>
                  <w:p w14:paraId="5EFE516D" w14:textId="77777777" w:rsidR="00777CB4" w:rsidRDefault="00777CB4" w:rsidP="00777CB4">
                    <w:pPr>
                      <w:pStyle w:val="Bibliography"/>
                      <w:spacing w:after="0"/>
                      <w:rPr>
                        <w:noProof/>
                      </w:rPr>
                    </w:pPr>
                    <w:r>
                      <w:rPr>
                        <w:noProof/>
                      </w:rPr>
                      <w:t>ONR, “ONR-INSP-GD-064 - General Inspection Guide,” [Online]. Available: Available internally via HOW2 Hub and externally via the ONR website..</w:t>
                    </w:r>
                  </w:p>
                </w:tc>
              </w:tr>
              <w:tr w:rsidR="00777CB4" w14:paraId="600E578E" w14:textId="77777777">
                <w:trPr>
                  <w:divId w:val="648022370"/>
                  <w:tblCellSpacing w:w="15" w:type="dxa"/>
                </w:trPr>
                <w:tc>
                  <w:tcPr>
                    <w:tcW w:w="50" w:type="pct"/>
                    <w:hideMark/>
                  </w:tcPr>
                  <w:p w14:paraId="100CA7C9" w14:textId="77777777" w:rsidR="00777CB4" w:rsidRDefault="00777CB4" w:rsidP="00777CB4">
                    <w:pPr>
                      <w:pStyle w:val="Bibliography"/>
                      <w:spacing w:after="0"/>
                      <w:rPr>
                        <w:noProof/>
                      </w:rPr>
                    </w:pPr>
                    <w:r>
                      <w:rPr>
                        <w:noProof/>
                      </w:rPr>
                      <w:t xml:space="preserve">[5] </w:t>
                    </w:r>
                  </w:p>
                </w:tc>
                <w:tc>
                  <w:tcPr>
                    <w:tcW w:w="0" w:type="auto"/>
                    <w:hideMark/>
                  </w:tcPr>
                  <w:p w14:paraId="508D8403" w14:textId="77777777" w:rsidR="00777CB4" w:rsidRDefault="00777CB4" w:rsidP="00777CB4">
                    <w:pPr>
                      <w:pStyle w:val="Bibliography"/>
                      <w:spacing w:after="0"/>
                      <w:rPr>
                        <w:noProof/>
                      </w:rPr>
                    </w:pPr>
                    <w:r>
                      <w:rPr>
                        <w:noProof/>
                      </w:rPr>
                      <w:t>ONR, “ONR Nuclear Material Accountancy Control &amp; Safeguards (ONMACS),” [Online]. Available: Available internally via HOW2 Hub and externally via the ONR website..</w:t>
                    </w:r>
                  </w:p>
                </w:tc>
              </w:tr>
              <w:tr w:rsidR="00777CB4" w14:paraId="695F0D7B" w14:textId="77777777">
                <w:trPr>
                  <w:divId w:val="648022370"/>
                  <w:tblCellSpacing w:w="15" w:type="dxa"/>
                </w:trPr>
                <w:tc>
                  <w:tcPr>
                    <w:tcW w:w="50" w:type="pct"/>
                    <w:hideMark/>
                  </w:tcPr>
                  <w:p w14:paraId="2141D514" w14:textId="77777777" w:rsidR="00777CB4" w:rsidRDefault="00777CB4" w:rsidP="00777CB4">
                    <w:pPr>
                      <w:pStyle w:val="Bibliography"/>
                      <w:spacing w:after="0"/>
                      <w:rPr>
                        <w:noProof/>
                      </w:rPr>
                    </w:pPr>
                    <w:r>
                      <w:rPr>
                        <w:noProof/>
                      </w:rPr>
                      <w:t xml:space="preserve">[6] </w:t>
                    </w:r>
                  </w:p>
                </w:tc>
                <w:tc>
                  <w:tcPr>
                    <w:tcW w:w="0" w:type="auto"/>
                    <w:hideMark/>
                  </w:tcPr>
                  <w:p w14:paraId="759828B8" w14:textId="77777777" w:rsidR="00777CB4" w:rsidRDefault="00777CB4" w:rsidP="00777CB4">
                    <w:pPr>
                      <w:pStyle w:val="Bibliography"/>
                      <w:spacing w:after="0"/>
                      <w:rPr>
                        <w:noProof/>
                      </w:rPr>
                    </w:pPr>
                    <w:r>
                      <w:rPr>
                        <w:noProof/>
                      </w:rPr>
                      <w:t>ONR, “SG-INSP-GD-001 - Safeguards,” [Online]. Available: Available internally via HOW2 Hub and externally via the ONR website..</w:t>
                    </w:r>
                  </w:p>
                </w:tc>
              </w:tr>
              <w:tr w:rsidR="00777CB4" w14:paraId="14A64211" w14:textId="77777777">
                <w:trPr>
                  <w:divId w:val="648022370"/>
                  <w:tblCellSpacing w:w="15" w:type="dxa"/>
                </w:trPr>
                <w:tc>
                  <w:tcPr>
                    <w:tcW w:w="50" w:type="pct"/>
                    <w:hideMark/>
                  </w:tcPr>
                  <w:p w14:paraId="7E952496" w14:textId="77777777" w:rsidR="00777CB4" w:rsidRDefault="00777CB4" w:rsidP="00777CB4">
                    <w:pPr>
                      <w:pStyle w:val="Bibliography"/>
                      <w:spacing w:after="0"/>
                      <w:rPr>
                        <w:noProof/>
                      </w:rPr>
                    </w:pPr>
                    <w:r>
                      <w:rPr>
                        <w:noProof/>
                      </w:rPr>
                      <w:t xml:space="preserve">[7] </w:t>
                    </w:r>
                  </w:p>
                </w:tc>
                <w:tc>
                  <w:tcPr>
                    <w:tcW w:w="0" w:type="auto"/>
                    <w:hideMark/>
                  </w:tcPr>
                  <w:p w14:paraId="3AA986D4" w14:textId="77777777" w:rsidR="00777CB4" w:rsidRDefault="00777CB4" w:rsidP="00777CB4">
                    <w:pPr>
                      <w:pStyle w:val="Bibliography"/>
                      <w:spacing w:after="0"/>
                      <w:rPr>
                        <w:noProof/>
                      </w:rPr>
                    </w:pPr>
                    <w:r>
                      <w:rPr>
                        <w:noProof/>
                      </w:rPr>
                      <w:t>ONR, “Security Assessment Principles for the Civil Nuclear Industry (SyAPs),” [Online]. Available: Available internally via HOW2 Hub and externally via the ONR website..</w:t>
                    </w:r>
                  </w:p>
                </w:tc>
              </w:tr>
              <w:tr w:rsidR="00777CB4" w14:paraId="6B0BB6AD" w14:textId="77777777">
                <w:trPr>
                  <w:divId w:val="648022370"/>
                  <w:tblCellSpacing w:w="15" w:type="dxa"/>
                </w:trPr>
                <w:tc>
                  <w:tcPr>
                    <w:tcW w:w="50" w:type="pct"/>
                    <w:hideMark/>
                  </w:tcPr>
                  <w:p w14:paraId="494151DA" w14:textId="77777777" w:rsidR="00777CB4" w:rsidRDefault="00777CB4" w:rsidP="00777CB4">
                    <w:pPr>
                      <w:pStyle w:val="Bibliography"/>
                      <w:spacing w:after="0"/>
                      <w:rPr>
                        <w:noProof/>
                      </w:rPr>
                    </w:pPr>
                    <w:r>
                      <w:rPr>
                        <w:noProof/>
                      </w:rPr>
                      <w:t xml:space="preserve">[8] </w:t>
                    </w:r>
                  </w:p>
                </w:tc>
                <w:tc>
                  <w:tcPr>
                    <w:tcW w:w="0" w:type="auto"/>
                    <w:hideMark/>
                  </w:tcPr>
                  <w:p w14:paraId="69EE0391" w14:textId="77777777" w:rsidR="00777CB4" w:rsidRDefault="00777CB4" w:rsidP="00777CB4">
                    <w:pPr>
                      <w:pStyle w:val="Bibliography"/>
                      <w:spacing w:after="0"/>
                      <w:rPr>
                        <w:noProof/>
                      </w:rPr>
                    </w:pPr>
                    <w:r>
                      <w:rPr>
                        <w:noProof/>
                      </w:rPr>
                      <w:t>ONR, “CNS-INSP-GD-001 - Nuclear Security Inspections,” [Online]. Available: Available internally via HOW2 Hub and externally via the ONR website..</w:t>
                    </w:r>
                  </w:p>
                </w:tc>
              </w:tr>
              <w:tr w:rsidR="00777CB4" w14:paraId="04A04344" w14:textId="77777777">
                <w:trPr>
                  <w:divId w:val="648022370"/>
                  <w:tblCellSpacing w:w="15" w:type="dxa"/>
                </w:trPr>
                <w:tc>
                  <w:tcPr>
                    <w:tcW w:w="50" w:type="pct"/>
                    <w:hideMark/>
                  </w:tcPr>
                  <w:p w14:paraId="3B6C055B" w14:textId="77777777" w:rsidR="00777CB4" w:rsidRDefault="00777CB4" w:rsidP="00777CB4">
                    <w:pPr>
                      <w:pStyle w:val="Bibliography"/>
                      <w:spacing w:after="0"/>
                      <w:rPr>
                        <w:noProof/>
                      </w:rPr>
                    </w:pPr>
                    <w:r>
                      <w:rPr>
                        <w:noProof/>
                      </w:rPr>
                      <w:t xml:space="preserve">[9] </w:t>
                    </w:r>
                  </w:p>
                </w:tc>
                <w:tc>
                  <w:tcPr>
                    <w:tcW w:w="0" w:type="auto"/>
                    <w:hideMark/>
                  </w:tcPr>
                  <w:p w14:paraId="3A164D4D" w14:textId="77777777" w:rsidR="00777CB4" w:rsidRDefault="00777CB4" w:rsidP="00777CB4">
                    <w:pPr>
                      <w:pStyle w:val="Bibliography"/>
                      <w:spacing w:after="0"/>
                      <w:rPr>
                        <w:noProof/>
                      </w:rPr>
                    </w:pPr>
                    <w:r>
                      <w:rPr>
                        <w:noProof/>
                      </w:rPr>
                      <w:t>HM Government, “The Ionising Radiation Regulations 2017,” 2017.</w:t>
                    </w:r>
                  </w:p>
                </w:tc>
              </w:tr>
              <w:tr w:rsidR="00777CB4" w14:paraId="109AB686" w14:textId="77777777">
                <w:trPr>
                  <w:divId w:val="648022370"/>
                  <w:tblCellSpacing w:w="15" w:type="dxa"/>
                </w:trPr>
                <w:tc>
                  <w:tcPr>
                    <w:tcW w:w="50" w:type="pct"/>
                    <w:hideMark/>
                  </w:tcPr>
                  <w:p w14:paraId="13413556" w14:textId="77777777" w:rsidR="00777CB4" w:rsidRDefault="00777CB4" w:rsidP="00777CB4">
                    <w:pPr>
                      <w:pStyle w:val="Bibliography"/>
                      <w:spacing w:after="0"/>
                      <w:rPr>
                        <w:noProof/>
                      </w:rPr>
                    </w:pPr>
                    <w:r>
                      <w:rPr>
                        <w:noProof/>
                      </w:rPr>
                      <w:t xml:space="preserve">[10] </w:t>
                    </w:r>
                  </w:p>
                </w:tc>
                <w:tc>
                  <w:tcPr>
                    <w:tcW w:w="0" w:type="auto"/>
                    <w:hideMark/>
                  </w:tcPr>
                  <w:p w14:paraId="47A7EF78" w14:textId="77777777" w:rsidR="00777CB4" w:rsidRDefault="00777CB4" w:rsidP="00777CB4">
                    <w:pPr>
                      <w:pStyle w:val="Bibliography"/>
                      <w:spacing w:after="0"/>
                      <w:rPr>
                        <w:noProof/>
                      </w:rPr>
                    </w:pPr>
                    <w:r>
                      <w:rPr>
                        <w:noProof/>
                      </w:rPr>
                      <w:t>ONR, “NS-INSP-GD-069 - Compliance Inspection of Transport Arrangements,” [Online]. Available: Available internally via HOW2 Hub and externally via the ONR website..</w:t>
                    </w:r>
                  </w:p>
                </w:tc>
              </w:tr>
              <w:tr w:rsidR="00777CB4" w14:paraId="705123E3" w14:textId="77777777">
                <w:trPr>
                  <w:divId w:val="648022370"/>
                  <w:tblCellSpacing w:w="15" w:type="dxa"/>
                </w:trPr>
                <w:tc>
                  <w:tcPr>
                    <w:tcW w:w="50" w:type="pct"/>
                    <w:hideMark/>
                  </w:tcPr>
                  <w:p w14:paraId="1A58E3AF" w14:textId="77777777" w:rsidR="00777CB4" w:rsidRDefault="00777CB4" w:rsidP="00777CB4">
                    <w:pPr>
                      <w:pStyle w:val="Bibliography"/>
                      <w:spacing w:after="0"/>
                      <w:rPr>
                        <w:noProof/>
                      </w:rPr>
                    </w:pPr>
                    <w:r>
                      <w:rPr>
                        <w:noProof/>
                      </w:rPr>
                      <w:t xml:space="preserve">[11] </w:t>
                    </w:r>
                  </w:p>
                </w:tc>
                <w:tc>
                  <w:tcPr>
                    <w:tcW w:w="0" w:type="auto"/>
                    <w:hideMark/>
                  </w:tcPr>
                  <w:p w14:paraId="5F238278" w14:textId="77777777" w:rsidR="00777CB4" w:rsidRDefault="00777CB4" w:rsidP="00777CB4">
                    <w:pPr>
                      <w:pStyle w:val="Bibliography"/>
                      <w:spacing w:after="0"/>
                      <w:rPr>
                        <w:noProof/>
                      </w:rPr>
                    </w:pPr>
                    <w:r>
                      <w:rPr>
                        <w:noProof/>
                      </w:rPr>
                      <w:t>ONR, “NS-INSP-GD-074 - Construction (Design and Management) Regulations,” [Online]. Available: Available internally via HOW2 Hub and externally via the ONR website..</w:t>
                    </w:r>
                  </w:p>
                </w:tc>
              </w:tr>
              <w:tr w:rsidR="00777CB4" w14:paraId="4CB2A812" w14:textId="77777777">
                <w:trPr>
                  <w:divId w:val="648022370"/>
                  <w:tblCellSpacing w:w="15" w:type="dxa"/>
                </w:trPr>
                <w:tc>
                  <w:tcPr>
                    <w:tcW w:w="50" w:type="pct"/>
                    <w:hideMark/>
                  </w:tcPr>
                  <w:p w14:paraId="73DAA3B0" w14:textId="77777777" w:rsidR="00777CB4" w:rsidRDefault="00777CB4" w:rsidP="00777CB4">
                    <w:pPr>
                      <w:pStyle w:val="Bibliography"/>
                      <w:spacing w:after="0"/>
                      <w:rPr>
                        <w:noProof/>
                      </w:rPr>
                    </w:pPr>
                    <w:r>
                      <w:rPr>
                        <w:noProof/>
                      </w:rPr>
                      <w:t xml:space="preserve">[12] </w:t>
                    </w:r>
                  </w:p>
                </w:tc>
                <w:tc>
                  <w:tcPr>
                    <w:tcW w:w="0" w:type="auto"/>
                    <w:hideMark/>
                  </w:tcPr>
                  <w:p w14:paraId="25C68A41" w14:textId="77777777" w:rsidR="00777CB4" w:rsidRDefault="00777CB4" w:rsidP="00777CB4">
                    <w:pPr>
                      <w:pStyle w:val="Bibliography"/>
                      <w:spacing w:after="0"/>
                      <w:rPr>
                        <w:noProof/>
                      </w:rPr>
                    </w:pPr>
                    <w:r>
                      <w:rPr>
                        <w:noProof/>
                      </w:rPr>
                      <w:t>ONR, “NS-INSP-GD-073 - The regulation of Life Fire Safety on Nuclear Licensed Sites,” [Online]. Available: Available internally via HOW2 Hub and externally via the ONR website..</w:t>
                    </w:r>
                  </w:p>
                </w:tc>
              </w:tr>
            </w:tbl>
            <w:p w14:paraId="7CE686D0" w14:textId="77777777" w:rsidR="00777CB4" w:rsidRDefault="00777CB4">
              <w:pPr>
                <w:divId w:val="648022370"/>
                <w:rPr>
                  <w:rFonts w:eastAsia="Times New Roman"/>
                  <w:noProof/>
                </w:rPr>
              </w:pPr>
            </w:p>
            <w:p w14:paraId="7CD57A40" w14:textId="5F43FB94" w:rsidR="002042C2" w:rsidRDefault="002042C2" w:rsidP="002042C2">
              <w:r>
                <w:rPr>
                  <w:b/>
                  <w:bCs/>
                  <w:noProof/>
                </w:rPr>
                <w:fldChar w:fldCharType="end"/>
              </w:r>
            </w:p>
          </w:sdtContent>
        </w:sdt>
      </w:sdtContent>
    </w:sdt>
    <w:p w14:paraId="03973FCE" w14:textId="77777777" w:rsidR="00930E37" w:rsidRDefault="00930E37" w:rsidP="002042C2"/>
    <w:p w14:paraId="6DB6E9BC" w14:textId="77777777" w:rsidR="00084ABE" w:rsidRDefault="00084ABE" w:rsidP="00930E37">
      <w:pPr>
        <w:pStyle w:val="Heading1"/>
        <w:numPr>
          <w:ilvl w:val="0"/>
          <w:numId w:val="0"/>
        </w:numPr>
        <w:ind w:left="851" w:hanging="851"/>
        <w:sectPr w:rsidR="00084ABE" w:rsidSect="00777CB4">
          <w:headerReference w:type="even" r:id="rId25"/>
          <w:headerReference w:type="default" r:id="rId26"/>
          <w:footerReference w:type="even" r:id="rId27"/>
          <w:pgSz w:w="11906" w:h="16838" w:code="9"/>
          <w:pgMar w:top="1440" w:right="1440" w:bottom="1440" w:left="1440" w:header="397" w:footer="397" w:gutter="0"/>
          <w:cols w:space="312"/>
          <w:docGrid w:linePitch="360"/>
        </w:sectPr>
      </w:pPr>
    </w:p>
    <w:p w14:paraId="336D4958" w14:textId="77777777" w:rsidR="00777CB4" w:rsidRDefault="00777CB4" w:rsidP="00930E37">
      <w:pPr>
        <w:pStyle w:val="Heading1"/>
        <w:numPr>
          <w:ilvl w:val="0"/>
          <w:numId w:val="0"/>
        </w:numPr>
        <w:ind w:left="851" w:hanging="851"/>
        <w:sectPr w:rsidR="00777CB4" w:rsidSect="00777CB4">
          <w:type w:val="continuous"/>
          <w:pgSz w:w="11906" w:h="16838" w:code="9"/>
          <w:pgMar w:top="1440" w:right="1440" w:bottom="1440" w:left="1440" w:header="397" w:footer="397" w:gutter="0"/>
          <w:cols w:space="312"/>
          <w:docGrid w:linePitch="360"/>
        </w:sectPr>
      </w:pPr>
      <w:bookmarkStart w:id="14" w:name="_Toc220242311"/>
    </w:p>
    <w:p w14:paraId="07D791C5" w14:textId="77777777" w:rsidR="00930E37" w:rsidRPr="00595C8C" w:rsidRDefault="00930E37" w:rsidP="00930E37">
      <w:pPr>
        <w:pStyle w:val="Heading1"/>
        <w:numPr>
          <w:ilvl w:val="0"/>
          <w:numId w:val="0"/>
        </w:numPr>
        <w:ind w:left="851" w:hanging="851"/>
      </w:pPr>
      <w:r>
        <w:lastRenderedPageBreak/>
        <w:t>Document control information</w:t>
      </w:r>
      <w:bookmarkEnd w:id="14"/>
    </w:p>
    <w:p w14:paraId="52FB8A73" w14:textId="77777777" w:rsidR="004E6568" w:rsidRPr="004E6568" w:rsidRDefault="004E6568" w:rsidP="004E6568">
      <w:pPr>
        <w:rPr>
          <w:b/>
          <w:bCs/>
          <w:szCs w:val="24"/>
        </w:rPr>
      </w:pPr>
      <w:r w:rsidRPr="004E6568">
        <w:rPr>
          <w:b/>
          <w:bCs/>
          <w:szCs w:val="24"/>
        </w:rPr>
        <w:t xml:space="preserve">Authored by: </w:t>
      </w:r>
      <w:r w:rsidRPr="00777CB4">
        <w:rPr>
          <w:szCs w:val="24"/>
        </w:rPr>
        <w:t>Nuclear Safety Inspector</w:t>
      </w:r>
      <w:r w:rsidRPr="004E6568">
        <w:rPr>
          <w:b/>
          <w:bCs/>
          <w:szCs w:val="24"/>
        </w:rPr>
        <w:t xml:space="preserve"> </w:t>
      </w:r>
    </w:p>
    <w:p w14:paraId="16FB3EAA" w14:textId="77777777" w:rsidR="004E6568" w:rsidRPr="004E6568" w:rsidRDefault="004E6568" w:rsidP="004E6568">
      <w:pPr>
        <w:rPr>
          <w:b/>
          <w:bCs/>
          <w:szCs w:val="24"/>
        </w:rPr>
      </w:pPr>
      <w:r w:rsidRPr="004E6568">
        <w:rPr>
          <w:b/>
          <w:bCs/>
          <w:szCs w:val="24"/>
        </w:rPr>
        <w:t xml:space="preserve">Approved by: </w:t>
      </w:r>
      <w:r w:rsidRPr="00777CB4">
        <w:rPr>
          <w:szCs w:val="24"/>
        </w:rPr>
        <w:t>Head of Profession – Operational Inspection</w:t>
      </w:r>
    </w:p>
    <w:p w14:paraId="10D33D1E" w14:textId="300BBA06" w:rsidR="00930E37" w:rsidRPr="00196ADB" w:rsidRDefault="00930E37" w:rsidP="00930E37">
      <w:pPr>
        <w:rPr>
          <w:szCs w:val="24"/>
        </w:rPr>
      </w:pPr>
      <w:r w:rsidRPr="00196ADB">
        <w:rPr>
          <w:b/>
          <w:bCs/>
          <w:szCs w:val="24"/>
        </w:rPr>
        <w:t>Issue</w:t>
      </w:r>
      <w:r>
        <w:rPr>
          <w:b/>
          <w:bCs/>
          <w:szCs w:val="24"/>
        </w:rPr>
        <w:t>:</w:t>
      </w:r>
      <w:r w:rsidRPr="00196ADB">
        <w:rPr>
          <w:szCs w:val="24"/>
        </w:rPr>
        <w:t xml:space="preserve"> </w:t>
      </w:r>
      <w:sdt>
        <w:sdtPr>
          <w:rPr>
            <w:szCs w:val="24"/>
          </w:rPr>
          <w:alias w:val="Issue No."/>
          <w:tag w:val=""/>
          <w:id w:val="-894428327"/>
          <w:placeholder>
            <w:docPart w:val="4BFF33CE9ACF45B4BD9D9653F86AF5B6"/>
          </w:placeholder>
          <w:dataBinding w:prefixMappings="xmlns:ns0='http://purl.org/dc/elements/1.1/' xmlns:ns1='http://schemas.openxmlformats.org/package/2006/metadata/core-properties' " w:xpath="/ns1:coreProperties[1]/ns1:contentStatus[1]" w:storeItemID="{6C3C8BC8-F283-45AE-878A-BAB7291924A1}"/>
          <w:text/>
        </w:sdtPr>
        <w:sdtEndPr/>
        <w:sdtContent>
          <w:r w:rsidR="004E6568">
            <w:rPr>
              <w:szCs w:val="24"/>
            </w:rPr>
            <w:t>4.1</w:t>
          </w:r>
        </w:sdtContent>
      </w:sdt>
    </w:p>
    <w:p w14:paraId="12DC54B5" w14:textId="1E53A504" w:rsidR="00930E37" w:rsidRPr="00196ADB" w:rsidRDefault="00930E37" w:rsidP="00930E37">
      <w:pPr>
        <w:rPr>
          <w:szCs w:val="24"/>
        </w:rPr>
      </w:pPr>
      <w:r>
        <w:rPr>
          <w:b/>
          <w:bCs/>
          <w:szCs w:val="24"/>
        </w:rPr>
        <w:t>Published</w:t>
      </w:r>
      <w:r w:rsidRPr="00196ADB">
        <w:rPr>
          <w:szCs w:val="24"/>
        </w:rPr>
        <w:t xml:space="preserve">: </w:t>
      </w:r>
      <w:r w:rsidR="004E6568">
        <w:rPr>
          <w:szCs w:val="24"/>
        </w:rPr>
        <w:t>January</w:t>
      </w:r>
      <w:r>
        <w:rPr>
          <w:szCs w:val="24"/>
        </w:rPr>
        <w:t xml:space="preserve"> </w:t>
      </w:r>
      <w:r w:rsidR="004E6568">
        <w:rPr>
          <w:szCs w:val="24"/>
        </w:rPr>
        <w:t>2026</w:t>
      </w:r>
    </w:p>
    <w:p w14:paraId="29AA6F0F" w14:textId="000052EC" w:rsidR="00930E37" w:rsidRPr="00196ADB" w:rsidRDefault="00930E37" w:rsidP="00930E37">
      <w:pPr>
        <w:rPr>
          <w:szCs w:val="24"/>
        </w:rPr>
      </w:pPr>
      <w:r w:rsidRPr="00196ADB">
        <w:rPr>
          <w:b/>
          <w:bCs/>
          <w:szCs w:val="24"/>
        </w:rPr>
        <w:t xml:space="preserve">Next </w:t>
      </w:r>
      <w:r>
        <w:rPr>
          <w:b/>
          <w:bCs/>
          <w:szCs w:val="24"/>
        </w:rPr>
        <w:t>scheduled review</w:t>
      </w:r>
      <w:r w:rsidRPr="00196ADB">
        <w:rPr>
          <w:szCs w:val="24"/>
        </w:rPr>
        <w:t xml:space="preserve">: </w:t>
      </w:r>
      <w:r w:rsidR="004E6568">
        <w:rPr>
          <w:szCs w:val="24"/>
        </w:rPr>
        <w:t>February</w:t>
      </w:r>
      <w:r>
        <w:rPr>
          <w:szCs w:val="24"/>
        </w:rPr>
        <w:t xml:space="preserve"> </w:t>
      </w:r>
      <w:r w:rsidR="004E6568">
        <w:rPr>
          <w:szCs w:val="24"/>
        </w:rPr>
        <w:t>2029</w:t>
      </w:r>
    </w:p>
    <w:p w14:paraId="0A735AFC" w14:textId="7A331BD2" w:rsidR="00930E37" w:rsidRPr="00196ADB" w:rsidRDefault="00930E37" w:rsidP="00930E37">
      <w:pPr>
        <w:rPr>
          <w:szCs w:val="24"/>
        </w:rPr>
      </w:pPr>
      <w:r w:rsidRPr="00196ADB">
        <w:rPr>
          <w:b/>
          <w:bCs/>
          <w:szCs w:val="24"/>
        </w:rPr>
        <w:t>Doc</w:t>
      </w:r>
      <w:r>
        <w:rPr>
          <w:b/>
          <w:bCs/>
          <w:szCs w:val="24"/>
        </w:rPr>
        <w:t>ument reference</w:t>
      </w:r>
      <w:r w:rsidRPr="00196ADB">
        <w:rPr>
          <w:szCs w:val="24"/>
        </w:rPr>
        <w:t xml:space="preserve">: </w:t>
      </w:r>
      <w:r w:rsidR="00151945">
        <w:rPr>
          <w:szCs w:val="24"/>
        </w:rPr>
        <w:t>NS-INSP-GD-012</w:t>
      </w:r>
    </w:p>
    <w:p w14:paraId="0676226F" w14:textId="0EF79BF7" w:rsidR="00930E37" w:rsidRPr="00196ADB" w:rsidRDefault="00930E37" w:rsidP="00151945">
      <w:pPr>
        <w:rPr>
          <w:szCs w:val="24"/>
        </w:rPr>
      </w:pPr>
      <w:r w:rsidRPr="00151945">
        <w:rPr>
          <w:b/>
          <w:bCs/>
          <w:szCs w:val="24"/>
        </w:rPr>
        <w:t>Record reference</w:t>
      </w:r>
      <w:r w:rsidRPr="00151945">
        <w:rPr>
          <w:szCs w:val="24"/>
        </w:rPr>
        <w:t xml:space="preserve">: </w:t>
      </w:r>
      <w:hyperlink r:id="rId28" w:tgtFrame="_blank" w:tooltip="ONRHH-822789359-20421" w:history="1">
        <w:r w:rsidR="00151945" w:rsidRPr="00151945">
          <w:rPr>
            <w:rStyle w:val="Hyperlink"/>
            <w:szCs w:val="24"/>
          </w:rPr>
          <w:t>ONRHH-822789359-20421</w:t>
        </w:r>
      </w:hyperlink>
    </w:p>
    <w:p w14:paraId="7D13A83B" w14:textId="77777777" w:rsidR="00930E37" w:rsidRDefault="00930E37" w:rsidP="00930E37"/>
    <w:p w14:paraId="7629CA34" w14:textId="77777777" w:rsidR="00930E37" w:rsidRDefault="00930E37" w:rsidP="00930E37">
      <w:pPr>
        <w:pStyle w:val="Caption"/>
        <w:keepNext/>
      </w:pPr>
      <w:r>
        <w:t>Revision commentary</w:t>
      </w:r>
    </w:p>
    <w:tbl>
      <w:tblPr>
        <w:tblStyle w:val="ONRTable1"/>
        <w:tblW w:w="0" w:type="auto"/>
        <w:tblInd w:w="10" w:type="dxa"/>
        <w:tblLook w:val="04A0" w:firstRow="1" w:lastRow="0" w:firstColumn="1" w:lastColumn="0" w:noHBand="0" w:noVBand="1"/>
      </w:tblPr>
      <w:tblGrid>
        <w:gridCol w:w="1550"/>
        <w:gridCol w:w="7466"/>
      </w:tblGrid>
      <w:tr w:rsidR="00930E37" w:rsidRPr="00B23A5E" w14:paraId="1216A18F" w14:textId="77777777" w:rsidTr="008C73D2">
        <w:trPr>
          <w:cnfStyle w:val="100000000000" w:firstRow="1" w:lastRow="0" w:firstColumn="0" w:lastColumn="0" w:oddVBand="0" w:evenVBand="0" w:oddHBand="0" w:evenHBand="0" w:firstRowFirstColumn="0" w:firstRowLastColumn="0" w:lastRowFirstColumn="0" w:lastRowLastColumn="0"/>
        </w:trPr>
        <w:tc>
          <w:tcPr>
            <w:tcW w:w="1550" w:type="dxa"/>
          </w:tcPr>
          <w:p w14:paraId="3C3F26F3" w14:textId="77777777" w:rsidR="00930E37" w:rsidRPr="00B23A5E" w:rsidRDefault="00930E37" w:rsidP="00CF24A9">
            <w:pPr>
              <w:spacing w:before="60" w:after="60"/>
              <w:rPr>
                <w:b w:val="0"/>
                <w:bCs/>
              </w:rPr>
            </w:pPr>
            <w:r w:rsidRPr="00B23A5E">
              <w:rPr>
                <w:b w:val="0"/>
                <w:bCs/>
              </w:rPr>
              <w:t>Issue</w:t>
            </w:r>
          </w:p>
        </w:tc>
        <w:tc>
          <w:tcPr>
            <w:tcW w:w="7466" w:type="dxa"/>
          </w:tcPr>
          <w:p w14:paraId="5DC60E12" w14:textId="77777777" w:rsidR="00930E37" w:rsidRPr="00B23A5E" w:rsidRDefault="00930E37" w:rsidP="00CF24A9">
            <w:pPr>
              <w:spacing w:before="60" w:after="60"/>
              <w:rPr>
                <w:b w:val="0"/>
                <w:bCs/>
              </w:rPr>
            </w:pPr>
            <w:r w:rsidRPr="00B23A5E">
              <w:rPr>
                <w:b w:val="0"/>
                <w:bCs/>
              </w:rPr>
              <w:t xml:space="preserve">Description of </w:t>
            </w:r>
            <w:r>
              <w:rPr>
                <w:b w:val="0"/>
                <w:bCs/>
              </w:rPr>
              <w:t>u</w:t>
            </w:r>
            <w:r w:rsidRPr="00B23A5E">
              <w:rPr>
                <w:b w:val="0"/>
                <w:bCs/>
              </w:rPr>
              <w:t>pdate(s)</w:t>
            </w:r>
          </w:p>
        </w:tc>
      </w:tr>
      <w:tr w:rsidR="008C73D2" w14:paraId="73CEADC7" w14:textId="77777777" w:rsidTr="008C73D2">
        <w:tc>
          <w:tcPr>
            <w:tcW w:w="1550" w:type="dxa"/>
          </w:tcPr>
          <w:p w14:paraId="0EE6CD04" w14:textId="77777777" w:rsidR="008C73D2" w:rsidRDefault="008C73D2" w:rsidP="006B364D">
            <w:pPr>
              <w:spacing w:before="60" w:after="60"/>
            </w:pPr>
            <w:r>
              <w:t>4</w:t>
            </w:r>
          </w:p>
        </w:tc>
        <w:tc>
          <w:tcPr>
            <w:tcW w:w="7466" w:type="dxa"/>
          </w:tcPr>
          <w:p w14:paraId="4753C58E" w14:textId="77777777" w:rsidR="008C73D2" w:rsidRDefault="008C73D2" w:rsidP="006B364D">
            <w:pPr>
              <w:spacing w:before="60" w:after="60"/>
            </w:pPr>
            <w:r>
              <w:t>Revision of content to align with NS-TAST-GD-027 revision and update to new TIG format.</w:t>
            </w:r>
          </w:p>
        </w:tc>
      </w:tr>
      <w:tr w:rsidR="008C73D2" w14:paraId="73F77328" w14:textId="77777777" w:rsidTr="008C73D2">
        <w:tc>
          <w:tcPr>
            <w:tcW w:w="1550" w:type="dxa"/>
          </w:tcPr>
          <w:p w14:paraId="5AED9949" w14:textId="77777777" w:rsidR="008C73D2" w:rsidRDefault="008C73D2" w:rsidP="006B364D">
            <w:pPr>
              <w:spacing w:before="60" w:after="60"/>
            </w:pPr>
            <w:r>
              <w:t>4.1</w:t>
            </w:r>
          </w:p>
        </w:tc>
        <w:tc>
          <w:tcPr>
            <w:tcW w:w="7466" w:type="dxa"/>
          </w:tcPr>
          <w:p w14:paraId="681E783C" w14:textId="77777777" w:rsidR="008C73D2" w:rsidRDefault="008C73D2" w:rsidP="006B364D">
            <w:pPr>
              <w:spacing w:before="60" w:after="60"/>
            </w:pPr>
            <w:r w:rsidRPr="004F53A0">
              <w:t xml:space="preserve">Minor update - </w:t>
            </w:r>
            <w:r>
              <w:t>Format</w:t>
            </w:r>
            <w:r w:rsidRPr="004F53A0">
              <w:t xml:space="preserve"> simplified and duplication removed, no change to outcomes</w:t>
            </w:r>
            <w:r>
              <w:t xml:space="preserve">, </w:t>
            </w:r>
            <w:r w:rsidRPr="004F53A0">
              <w:t>intent</w:t>
            </w:r>
            <w:r>
              <w:t xml:space="preserve"> or alignment with NS-TAST-GD-027, added a table related to similar guidance across ONR’s purposes</w:t>
            </w:r>
            <w:r w:rsidRPr="004F53A0">
              <w:t>.</w:t>
            </w:r>
          </w:p>
        </w:tc>
      </w:tr>
    </w:tbl>
    <w:p w14:paraId="5AB38FA4" w14:textId="77777777" w:rsidR="00084ABE" w:rsidRDefault="00084ABE" w:rsidP="002042C2">
      <w:pPr>
        <w:rPr>
          <w:b/>
          <w:bCs/>
          <w:sz w:val="20"/>
          <w:szCs w:val="18"/>
        </w:rPr>
      </w:pPr>
    </w:p>
    <w:p w14:paraId="17669631" w14:textId="5BB8C6E8" w:rsidR="00930E37" w:rsidRPr="002042C2" w:rsidRDefault="00084ABE" w:rsidP="002042C2">
      <w:r w:rsidRPr="00084ABE">
        <w:rPr>
          <w:b/>
          <w:bCs/>
          <w:sz w:val="20"/>
          <w:szCs w:val="18"/>
        </w:rPr>
        <w:t>Template reference</w:t>
      </w:r>
      <w:r w:rsidRPr="00084ABE">
        <w:rPr>
          <w:sz w:val="20"/>
          <w:szCs w:val="18"/>
        </w:rPr>
        <w:t>: ONR-DOC-TEMP-003</w:t>
      </w:r>
      <w:r>
        <w:tab/>
      </w:r>
    </w:p>
    <w:sectPr w:rsidR="00930E37" w:rsidRPr="002042C2" w:rsidSect="00777CB4">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GADkAIAAtACAAIwAgAFAAYQByAGEAZwByAGEAcABo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7DD2D" w14:textId="77777777" w:rsidR="009805FD" w:rsidRDefault="009805FD" w:rsidP="007D199A">
      <w:pPr>
        <w:spacing w:after="0"/>
      </w:pPr>
      <w:r>
        <w:separator/>
      </w:r>
    </w:p>
    <w:p w14:paraId="2FECD846" w14:textId="77777777" w:rsidR="009805FD" w:rsidRDefault="009805FD"/>
  </w:endnote>
  <w:endnote w:type="continuationSeparator" w:id="0">
    <w:p w14:paraId="09269293" w14:textId="77777777" w:rsidR="009805FD" w:rsidRDefault="009805FD" w:rsidP="007D199A">
      <w:pPr>
        <w:spacing w:after="0"/>
      </w:pPr>
      <w:r>
        <w:continuationSeparator/>
      </w:r>
    </w:p>
    <w:p w14:paraId="27D1D969" w14:textId="77777777" w:rsidR="009805FD" w:rsidRDefault="009805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41F656EF" w:rsidR="007C3C1D" w:rsidRPr="00777CB4" w:rsidRDefault="00777CB4" w:rsidP="00777CB4">
    <w:pPr>
      <w:pStyle w:val="Footer"/>
    </w:pPr>
    <w:r>
      <w:t xml:space="preserve">Page | </w:t>
    </w:r>
    <w:r>
      <w:fldChar w:fldCharType="begin"/>
    </w:r>
    <w:r>
      <w:instrText>PAGE   \* MERGEFORMAT</w:instrText>
    </w:r>
    <w:r>
      <w:fldChar w:fldCharType="separate"/>
    </w:r>
    <w: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DD047" w14:textId="61416359" w:rsidR="00084ABE" w:rsidRDefault="00084ABE" w:rsidP="00084ABE">
    <w:pPr>
      <w:pStyle w:val="Footer"/>
      <w:jc w:val="left"/>
    </w:pPr>
    <w:r>
      <w:tab/>
    </w:r>
    <w:r>
      <w:tab/>
      <w:t xml:space="preserve">Page | </w:t>
    </w:r>
    <w:r>
      <w:fldChar w:fldCharType="begin"/>
    </w:r>
    <w:r>
      <w:instrText>PAGE   \* MERGEFORMAT</w:instrText>
    </w:r>
    <w:r>
      <w:fldChar w:fldCharType="separate"/>
    </w:r>
    <w: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BD379" w14:textId="77777777" w:rsidR="002C301C" w:rsidRPr="008C50C3" w:rsidRDefault="002C301C" w:rsidP="008229B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5FE23" w14:textId="77777777" w:rsidR="009805FD" w:rsidRPr="005E0344" w:rsidRDefault="009805FD" w:rsidP="005E0344">
      <w:pPr>
        <w:spacing w:after="120"/>
        <w:rPr>
          <w:color w:val="000000" w:themeColor="text2"/>
        </w:rPr>
      </w:pPr>
      <w:r w:rsidRPr="005E0344">
        <w:rPr>
          <w:color w:val="000000" w:themeColor="text2"/>
        </w:rPr>
        <w:separator/>
      </w:r>
    </w:p>
  </w:footnote>
  <w:footnote w:type="continuationSeparator" w:id="0">
    <w:p w14:paraId="7634E40A" w14:textId="77777777" w:rsidR="009805FD" w:rsidRPr="005E0344" w:rsidRDefault="009805FD" w:rsidP="0090581D">
      <w:pPr>
        <w:spacing w:after="120"/>
        <w:rPr>
          <w:color w:val="000000" w:themeColor="text2"/>
        </w:rPr>
      </w:pPr>
      <w:r w:rsidRPr="005E0344">
        <w:rPr>
          <w:color w:val="000000" w:themeColor="text2"/>
        </w:rPr>
        <w:continuationSeparator/>
      </w:r>
    </w:p>
    <w:p w14:paraId="661D527C" w14:textId="77777777" w:rsidR="009805FD" w:rsidRDefault="009805FD"/>
  </w:footnote>
  <w:footnote w:type="continuationNotice" w:id="1">
    <w:p w14:paraId="2379CBBD" w14:textId="77777777" w:rsidR="009805FD" w:rsidRDefault="009805FD">
      <w:pPr>
        <w:spacing w:after="0"/>
      </w:pPr>
    </w:p>
    <w:p w14:paraId="1289D506" w14:textId="77777777" w:rsidR="009805FD" w:rsidRDefault="009805FD"/>
  </w:footnote>
  <w:footnote w:id="2">
    <w:p w14:paraId="41153932" w14:textId="5D6D4DC9" w:rsidR="002C301C" w:rsidRDefault="002C301C" w:rsidP="002C301C">
      <w:pPr>
        <w:pStyle w:val="FootnoteText"/>
        <w:ind w:left="0" w:firstLine="0"/>
      </w:pPr>
      <w:r>
        <w:rPr>
          <w:rStyle w:val="FootnoteReference"/>
        </w:rPr>
        <w:footnoteRef/>
      </w:r>
      <w:r>
        <w:t xml:space="preserve"> Including the r</w:t>
      </w:r>
      <w:r w:rsidRPr="00A76091">
        <w:t xml:space="preserve">elationship to </w:t>
      </w:r>
      <w:r>
        <w:t xml:space="preserve">ONR </w:t>
      </w:r>
      <w:r w:rsidRPr="00A76091">
        <w:t>Safety Assessment Principles, WENRA Reference Levels, and IAEA Safety Standards and Guides</w:t>
      </w:r>
      <w:r w:rsidR="00777CB4">
        <w:t>.</w:t>
      </w:r>
    </w:p>
  </w:footnote>
  <w:footnote w:id="3">
    <w:p w14:paraId="6640025C" w14:textId="77777777" w:rsidR="002C301C" w:rsidRDefault="002C301C" w:rsidP="00777CB4">
      <w:pPr>
        <w:pStyle w:val="FootnoteText"/>
        <w:ind w:left="0" w:firstLine="0"/>
      </w:pPr>
      <w:r>
        <w:rPr>
          <w:rStyle w:val="FootnoteReference"/>
        </w:rPr>
        <w:footnoteRef/>
      </w:r>
      <w:r>
        <w:t xml:space="preserve"> </w:t>
      </w:r>
      <w:r w:rsidRPr="00086203">
        <w:t>As defined in LC 1 – Interpretation</w:t>
      </w:r>
    </w:p>
  </w:footnote>
  <w:footnote w:id="4">
    <w:p w14:paraId="40A78366" w14:textId="77777777" w:rsidR="002C301C" w:rsidRDefault="002C301C" w:rsidP="00777CB4">
      <w:pPr>
        <w:pStyle w:val="FootnoteText"/>
        <w:ind w:left="0" w:firstLine="0"/>
      </w:pPr>
      <w:r>
        <w:rPr>
          <w:rStyle w:val="FootnoteReference"/>
        </w:rPr>
        <w:footnoteRef/>
      </w:r>
      <w:r>
        <w:t xml:space="preserve"> </w:t>
      </w:r>
      <w:r w:rsidRPr="006538C2">
        <w:t>SQEPs, or competent persons, are those that have formally demonstrated an appropriate level of knowledge and skill, and have demonstrated the appropriate attitudes, to conduct duties which may affect safety</w:t>
      </w:r>
      <w:r>
        <w:t>.</w:t>
      </w:r>
    </w:p>
  </w:footnote>
  <w:footnote w:id="5">
    <w:p w14:paraId="7568C32F" w14:textId="77777777" w:rsidR="002C301C" w:rsidRDefault="002C301C" w:rsidP="00777CB4">
      <w:pPr>
        <w:pStyle w:val="FootnoteText"/>
        <w:ind w:left="0" w:firstLine="0"/>
      </w:pPr>
      <w:r>
        <w:rPr>
          <w:rStyle w:val="FootnoteReference"/>
        </w:rPr>
        <w:footnoteRef/>
      </w:r>
      <w:r>
        <w:t xml:space="preserve"> </w:t>
      </w:r>
      <w:r w:rsidRPr="00AD513F">
        <w:t>The competence assessment should be based on the role competence requirements, use an appropriate assessment method (written, physical, verbal, etc.), and be challenging.  It should also be controlled and consistent in delivery and expectation to ensure those who meet the competence requirements can be appointed.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35CE5" w14:textId="77777777" w:rsidR="00084ABE" w:rsidRDefault="00084ABE" w:rsidP="00084ABE">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4C7D4" w14:textId="77777777" w:rsidR="002C301C" w:rsidRPr="008C50C3" w:rsidRDefault="002C301C"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86AC4" w14:textId="2641F250" w:rsidR="002C301C" w:rsidRPr="000875C2" w:rsidRDefault="000875C2" w:rsidP="009E0E52">
    <w:pPr>
      <w:pStyle w:val="Header"/>
      <w:rPr>
        <w:sz w:val="20"/>
        <w:szCs w:val="24"/>
      </w:rPr>
    </w:pPr>
    <w:sdt>
      <w:sdtPr>
        <w:rPr>
          <w:sz w:val="20"/>
          <w:szCs w:val="24"/>
        </w:rPr>
        <w:alias w:val="Title"/>
        <w:tag w:val=""/>
        <w:id w:val="-27414936"/>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A5229C" w:rsidRPr="000875C2">
          <w:rPr>
            <w:sz w:val="20"/>
            <w:szCs w:val="24"/>
          </w:rPr>
          <w:t>Licence Condition 12 – Duly authorised and other suitably qualified and experienced persons</w:t>
        </w:r>
      </w:sdtContent>
    </w:sdt>
    <w:r>
      <w:rPr>
        <w:sz w:val="20"/>
        <w:szCs w:val="24"/>
      </w:rPr>
      <w:br/>
    </w:r>
    <w:r w:rsidR="002C301C" w:rsidRPr="000875C2">
      <w:rPr>
        <w:sz w:val="20"/>
        <w:szCs w:val="24"/>
      </w:rPr>
      <w:t xml:space="preserve">Issue: </w:t>
    </w:r>
    <w:sdt>
      <w:sdtPr>
        <w:rPr>
          <w:sz w:val="20"/>
          <w:szCs w:val="24"/>
        </w:rPr>
        <w:alias w:val="Status"/>
        <w:tag w:val=""/>
        <w:id w:val="490841052"/>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4E6568" w:rsidRPr="000875C2">
          <w:rPr>
            <w:sz w:val="20"/>
            <w:szCs w:val="24"/>
          </w:rPr>
          <w:t>4.1</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3C8D834E" w:rsidR="00177666" w:rsidRPr="00196ADB" w:rsidRDefault="000875C2" w:rsidP="009E0E52">
    <w:pPr>
      <w:pStyle w:val="Header"/>
      <w:rPr>
        <w:sz w:val="20"/>
        <w:szCs w:val="24"/>
      </w:rPr>
    </w:pPr>
    <w:sdt>
      <w:sdtPr>
        <w:rPr>
          <w:sz w:val="20"/>
          <w:szCs w:val="24"/>
        </w:rPr>
        <w:alias w:val="Title"/>
        <w:tag w:val=""/>
        <w:id w:val="-545993998"/>
        <w:dataBinding w:prefixMappings="xmlns:ns0='http://purl.org/dc/elements/1.1/' xmlns:ns1='http://schemas.openxmlformats.org/package/2006/metadata/core-properties' " w:xpath="/ns1:coreProperties[1]/ns0:title[1]" w:storeItemID="{6C3C8BC8-F283-45AE-878A-BAB7291924A1}"/>
        <w:text/>
      </w:sdtPr>
      <w:sdtEndPr/>
      <w:sdtContent>
        <w:r w:rsidR="00A5229C">
          <w:rPr>
            <w:sz w:val="20"/>
            <w:szCs w:val="24"/>
          </w:rPr>
          <w:t>Licence Condition 12 – Duly authorised and other suitably qualified and experienced persons</w:t>
        </w:r>
      </w:sdtContent>
    </w:sdt>
    <w:r w:rsidR="004E3932" w:rsidRPr="00196ADB">
      <w:rPr>
        <w:sz w:val="20"/>
        <w:szCs w:val="24"/>
      </w:rPr>
      <w:t xml:space="preserve"> </w:t>
    </w:r>
    <w:r w:rsidR="00151945">
      <w:rPr>
        <w:sz w:val="20"/>
        <w:szCs w:val="24"/>
      </w:rPr>
      <w:br/>
    </w:r>
    <w:r w:rsidR="004E3932" w:rsidRPr="00196ADB">
      <w:rPr>
        <w:sz w:val="20"/>
        <w:szCs w:val="24"/>
      </w:rPr>
      <w:t xml:space="preserve">Issue: </w:t>
    </w:r>
    <w:sdt>
      <w:sdtPr>
        <w:rPr>
          <w:sz w:val="20"/>
          <w:szCs w:val="24"/>
        </w:rPr>
        <w:alias w:val="Status"/>
        <w:tag w:val=""/>
        <w:id w:val="-1486926938"/>
        <w:dataBinding w:prefixMappings="xmlns:ns0='http://purl.org/dc/elements/1.1/' xmlns:ns1='http://schemas.openxmlformats.org/package/2006/metadata/core-properties' " w:xpath="/ns1:coreProperties[1]/ns1:contentStatus[1]" w:storeItemID="{6C3C8BC8-F283-45AE-878A-BAB7291924A1}"/>
        <w:text/>
      </w:sdtPr>
      <w:sdtEndPr/>
      <w:sdtContent>
        <w:r w:rsidR="004E6568">
          <w:rPr>
            <w:sz w:val="20"/>
            <w:szCs w:val="24"/>
          </w:rPr>
          <w:t>4.1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26E68F70"/>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2EE21AA"/>
    <w:multiLevelType w:val="hybridMultilevel"/>
    <w:tmpl w:val="EA2AF47E"/>
    <w:lvl w:ilvl="0" w:tplc="FFFFFFFF">
      <w:start w:val="1"/>
      <w:numFmt w:val="decimal"/>
      <w:lvlText w:val="%1."/>
      <w:lvlJc w:val="left"/>
      <w:pPr>
        <w:ind w:left="1495" w:hanging="360"/>
      </w:pPr>
    </w:lvl>
    <w:lvl w:ilvl="1" w:tplc="08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E83E54"/>
    <w:multiLevelType w:val="hybridMultilevel"/>
    <w:tmpl w:val="CBB0C0C8"/>
    <w:lvl w:ilvl="0" w:tplc="51300A06">
      <w:start w:val="1"/>
      <w:numFmt w:val="decimal"/>
      <w:pStyle w:val="F9-Paragraph"/>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6CE0110"/>
    <w:multiLevelType w:val="multilevel"/>
    <w:tmpl w:val="3714488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C902408"/>
    <w:multiLevelType w:val="multilevel"/>
    <w:tmpl w:val="5EE4A70A"/>
    <w:lvl w:ilvl="0">
      <w:start w:val="1"/>
      <w:numFmt w:val="lowerRoman"/>
      <w:pStyle w:val="NumList1"/>
      <w:lvlText w:val="%1."/>
      <w:lvlJc w:val="righ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6EAA2FBB"/>
    <w:multiLevelType w:val="hybridMultilevel"/>
    <w:tmpl w:val="36BAF222"/>
    <w:lvl w:ilvl="0" w:tplc="FFFFFFFF">
      <w:start w:val="1"/>
      <w:numFmt w:val="lowerRoman"/>
      <w:lvlText w:val="%1."/>
      <w:lvlJc w:val="right"/>
      <w:pPr>
        <w:ind w:left="1440" w:hanging="360"/>
      </w:pPr>
      <w:rPr>
        <w:rFonts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2" w15:restartNumberingAfterBreak="0">
    <w:nsid w:val="718A0F99"/>
    <w:multiLevelType w:val="multilevel"/>
    <w:tmpl w:val="241CA254"/>
    <w:lvl w:ilvl="0">
      <w:start w:val="1"/>
      <w:numFmt w:val="decimal"/>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5F46359"/>
    <w:multiLevelType w:val="hybridMultilevel"/>
    <w:tmpl w:val="0F660C02"/>
    <w:lvl w:ilvl="0" w:tplc="76260F14">
      <w:start w:val="1"/>
      <w:numFmt w:val="bullet"/>
      <w:pStyle w:val="Bulletlist1"/>
      <w:lvlText w:val=""/>
      <w:lvlJc w:val="left"/>
      <w:pPr>
        <w:ind w:left="360" w:hanging="360"/>
      </w:pPr>
      <w:rPr>
        <w:rFonts w:ascii="Symbol" w:hAnsi="Symbol" w:hint="default"/>
        <w:strike w:val="0"/>
        <w:dstrike w:val="0"/>
        <w:color w:val="07716C" w:themeColor="accent1"/>
        <w:sz w:val="24"/>
      </w:rPr>
    </w:lvl>
    <w:lvl w:ilvl="1" w:tplc="AE78E28A">
      <w:start w:val="1"/>
      <w:numFmt w:val="bullet"/>
      <w:pStyle w:val="Bulletlist2"/>
      <w:lvlText w:val="o"/>
      <w:lvlJc w:val="left"/>
      <w:pPr>
        <w:ind w:left="1440" w:hanging="360"/>
      </w:pPr>
      <w:rPr>
        <w:rFonts w:ascii="Courier New" w:hAnsi="Courier New" w:cs="Courier New" w:hint="default"/>
      </w:rPr>
    </w:lvl>
    <w:lvl w:ilvl="2" w:tplc="6730F432">
      <w:start w:val="1"/>
      <w:numFmt w:val="bullet"/>
      <w:pStyle w:val="BulletList3"/>
      <w:lvlText w:val=""/>
      <w:lvlJc w:val="left"/>
      <w:pPr>
        <w:ind w:left="2160" w:hanging="360"/>
      </w:pPr>
      <w:rPr>
        <w:rFonts w:ascii="Wingdings" w:hAnsi="Wingdings" w:hint="default"/>
      </w:rPr>
    </w:lvl>
    <w:lvl w:ilvl="3" w:tplc="2918C6E4">
      <w:start w:val="1"/>
      <w:numFmt w:val="bullet"/>
      <w:lvlText w:val="-"/>
      <w:lvlJc w:val="left"/>
      <w:pPr>
        <w:ind w:left="2880" w:hanging="360"/>
      </w:pPr>
      <w:rPr>
        <w:rFonts w:ascii="Arial" w:eastAsiaTheme="minorHAnsi" w:hAnsi="Arial" w:cs="Aria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9447535"/>
    <w:multiLevelType w:val="multilevel"/>
    <w:tmpl w:val="FC8AD34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E7F2150"/>
    <w:multiLevelType w:val="hybridMultilevel"/>
    <w:tmpl w:val="01B490B0"/>
    <w:lvl w:ilvl="0" w:tplc="17568902">
      <w:start w:val="1"/>
      <w:numFmt w:val="bullet"/>
      <w:pStyle w:val="F10-Bullet1"/>
      <w:lvlText w:val=""/>
      <w:lvlJc w:val="left"/>
      <w:pPr>
        <w:ind w:left="720" w:hanging="360"/>
      </w:pPr>
      <w:rPr>
        <w:rFonts w:ascii="Wingdings" w:hAnsi="Wingdings" w:hint="default"/>
        <w:color w:val="006D68"/>
      </w:rPr>
    </w:lvl>
    <w:lvl w:ilvl="1" w:tplc="08090003">
      <w:start w:val="1"/>
      <w:numFmt w:val="bullet"/>
      <w:lvlText w:val="o"/>
      <w:lvlJc w:val="left"/>
      <w:pPr>
        <w:ind w:left="1440" w:hanging="360"/>
      </w:pPr>
      <w:rPr>
        <w:rFonts w:ascii="Courier New" w:hAnsi="Courier New" w:cs="Courier New" w:hint="default"/>
      </w:rPr>
    </w:lvl>
    <w:lvl w:ilvl="2" w:tplc="B678A1C2">
      <w:start w:val="1"/>
      <w:numFmt w:val="bullet"/>
      <w:pStyle w:val="F11-Bullet2"/>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65443409">
    <w:abstractNumId w:val="9"/>
  </w:num>
  <w:num w:numId="2" w16cid:durableId="823543523">
    <w:abstractNumId w:val="7"/>
  </w:num>
  <w:num w:numId="3" w16cid:durableId="2085639988">
    <w:abstractNumId w:val="6"/>
  </w:num>
  <w:num w:numId="4" w16cid:durableId="1262179006">
    <w:abstractNumId w:val="5"/>
  </w:num>
  <w:num w:numId="5" w16cid:durableId="1002776976">
    <w:abstractNumId w:val="4"/>
  </w:num>
  <w:num w:numId="6" w16cid:durableId="2131317494">
    <w:abstractNumId w:val="8"/>
  </w:num>
  <w:num w:numId="7" w16cid:durableId="1578203617">
    <w:abstractNumId w:val="3"/>
  </w:num>
  <w:num w:numId="8" w16cid:durableId="995184146">
    <w:abstractNumId w:val="2"/>
  </w:num>
  <w:num w:numId="9" w16cid:durableId="348718920">
    <w:abstractNumId w:val="1"/>
  </w:num>
  <w:num w:numId="10" w16cid:durableId="1368944693">
    <w:abstractNumId w:val="0"/>
  </w:num>
  <w:num w:numId="11" w16cid:durableId="816150589">
    <w:abstractNumId w:val="10"/>
  </w:num>
  <w:num w:numId="12" w16cid:durableId="1085146277">
    <w:abstractNumId w:val="23"/>
  </w:num>
  <w:num w:numId="13" w16cid:durableId="989944809">
    <w:abstractNumId w:val="15"/>
  </w:num>
  <w:num w:numId="14" w16cid:durableId="1148547717">
    <w:abstractNumId w:val="11"/>
  </w:num>
  <w:num w:numId="15" w16cid:durableId="1619264317">
    <w:abstractNumId w:val="23"/>
    <w:lvlOverride w:ilvl="0">
      <w:startOverride w:val="1"/>
    </w:lvlOverride>
  </w:num>
  <w:num w:numId="16" w16cid:durableId="1717772705">
    <w:abstractNumId w:val="15"/>
    <w:lvlOverride w:ilvl="0">
      <w:startOverride w:val="1"/>
    </w:lvlOverride>
  </w:num>
  <w:num w:numId="17" w16cid:durableId="1421370352">
    <w:abstractNumId w:val="11"/>
    <w:lvlOverride w:ilvl="0">
      <w:startOverride w:val="1"/>
    </w:lvlOverride>
  </w:num>
  <w:num w:numId="18" w16cid:durableId="802893121">
    <w:abstractNumId w:val="22"/>
  </w:num>
  <w:num w:numId="19" w16cid:durableId="1666081420">
    <w:abstractNumId w:val="18"/>
  </w:num>
  <w:num w:numId="20" w16cid:durableId="874538197">
    <w:abstractNumId w:val="13"/>
  </w:num>
  <w:num w:numId="21" w16cid:durableId="2057311976">
    <w:abstractNumId w:val="19"/>
  </w:num>
  <w:num w:numId="22" w16cid:durableId="689793726">
    <w:abstractNumId w:val="12"/>
  </w:num>
  <w:num w:numId="23" w16cid:durableId="48653822">
    <w:abstractNumId w:val="24"/>
  </w:num>
  <w:num w:numId="24" w16cid:durableId="1603800266">
    <w:abstractNumId w:val="17"/>
  </w:num>
  <w:num w:numId="25" w16cid:durableId="1864591591">
    <w:abstractNumId w:val="16"/>
  </w:num>
  <w:num w:numId="26" w16cid:durableId="832574242">
    <w:abstractNumId w:val="20"/>
  </w:num>
  <w:num w:numId="27" w16cid:durableId="1391732823">
    <w:abstractNumId w:val="16"/>
    <w:lvlOverride w:ilvl="0">
      <w:startOverride w:val="1"/>
    </w:lvlOverride>
  </w:num>
  <w:num w:numId="28" w16cid:durableId="1884320341">
    <w:abstractNumId w:val="25"/>
  </w:num>
  <w:num w:numId="29" w16cid:durableId="970282590">
    <w:abstractNumId w:val="21"/>
  </w:num>
  <w:num w:numId="30" w16cid:durableId="15458671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0727656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E4D"/>
    <w:rsid w:val="00002F03"/>
    <w:rsid w:val="00004C16"/>
    <w:rsid w:val="00011177"/>
    <w:rsid w:val="00014814"/>
    <w:rsid w:val="00022033"/>
    <w:rsid w:val="00024522"/>
    <w:rsid w:val="00024B2E"/>
    <w:rsid w:val="00027F4F"/>
    <w:rsid w:val="00030430"/>
    <w:rsid w:val="0003078E"/>
    <w:rsid w:val="00031B89"/>
    <w:rsid w:val="0003693D"/>
    <w:rsid w:val="0004440F"/>
    <w:rsid w:val="00052C8A"/>
    <w:rsid w:val="000548C8"/>
    <w:rsid w:val="00055850"/>
    <w:rsid w:val="00064A1B"/>
    <w:rsid w:val="00075605"/>
    <w:rsid w:val="00075C66"/>
    <w:rsid w:val="000817D4"/>
    <w:rsid w:val="00082879"/>
    <w:rsid w:val="00084ABE"/>
    <w:rsid w:val="000875C2"/>
    <w:rsid w:val="00091EEA"/>
    <w:rsid w:val="0009225F"/>
    <w:rsid w:val="000A105C"/>
    <w:rsid w:val="000C2DDC"/>
    <w:rsid w:val="000C5F5A"/>
    <w:rsid w:val="000D2FD4"/>
    <w:rsid w:val="000D3232"/>
    <w:rsid w:val="000F1B7B"/>
    <w:rsid w:val="000F2ED4"/>
    <w:rsid w:val="001028E8"/>
    <w:rsid w:val="00103043"/>
    <w:rsid w:val="00122FCC"/>
    <w:rsid w:val="00124C2B"/>
    <w:rsid w:val="00126752"/>
    <w:rsid w:val="00130B30"/>
    <w:rsid w:val="00140E1C"/>
    <w:rsid w:val="00147AE4"/>
    <w:rsid w:val="00151945"/>
    <w:rsid w:val="001571E5"/>
    <w:rsid w:val="00176DB5"/>
    <w:rsid w:val="00177666"/>
    <w:rsid w:val="001849CA"/>
    <w:rsid w:val="00185410"/>
    <w:rsid w:val="00192352"/>
    <w:rsid w:val="00196ADB"/>
    <w:rsid w:val="00197F35"/>
    <w:rsid w:val="001B4D5A"/>
    <w:rsid w:val="001C4D63"/>
    <w:rsid w:val="001D0DE0"/>
    <w:rsid w:val="001D5AFF"/>
    <w:rsid w:val="001D74B4"/>
    <w:rsid w:val="001E03E1"/>
    <w:rsid w:val="001F059F"/>
    <w:rsid w:val="00200811"/>
    <w:rsid w:val="00200CA1"/>
    <w:rsid w:val="002042C2"/>
    <w:rsid w:val="0021338D"/>
    <w:rsid w:val="00214D43"/>
    <w:rsid w:val="00223090"/>
    <w:rsid w:val="002238B4"/>
    <w:rsid w:val="002319AB"/>
    <w:rsid w:val="002319AC"/>
    <w:rsid w:val="00234342"/>
    <w:rsid w:val="0024040D"/>
    <w:rsid w:val="00246BA6"/>
    <w:rsid w:val="00251CD7"/>
    <w:rsid w:val="00255FA3"/>
    <w:rsid w:val="00257288"/>
    <w:rsid w:val="00261FB6"/>
    <w:rsid w:val="002629F8"/>
    <w:rsid w:val="00263396"/>
    <w:rsid w:val="002659FA"/>
    <w:rsid w:val="00267815"/>
    <w:rsid w:val="00280DDF"/>
    <w:rsid w:val="002917FF"/>
    <w:rsid w:val="00292ADF"/>
    <w:rsid w:val="00296DBB"/>
    <w:rsid w:val="002A0DEC"/>
    <w:rsid w:val="002B1C53"/>
    <w:rsid w:val="002B6666"/>
    <w:rsid w:val="002C301C"/>
    <w:rsid w:val="002E0BE4"/>
    <w:rsid w:val="002E3B58"/>
    <w:rsid w:val="002E3E8A"/>
    <w:rsid w:val="002E6A3A"/>
    <w:rsid w:val="002E6A6A"/>
    <w:rsid w:val="002F3397"/>
    <w:rsid w:val="0030380D"/>
    <w:rsid w:val="00312411"/>
    <w:rsid w:val="00323E71"/>
    <w:rsid w:val="00326F77"/>
    <w:rsid w:val="003401B0"/>
    <w:rsid w:val="00345D54"/>
    <w:rsid w:val="00346C8E"/>
    <w:rsid w:val="00367B30"/>
    <w:rsid w:val="00367BD5"/>
    <w:rsid w:val="00390327"/>
    <w:rsid w:val="00391EA1"/>
    <w:rsid w:val="00393B78"/>
    <w:rsid w:val="003A01E9"/>
    <w:rsid w:val="003B0C9A"/>
    <w:rsid w:val="003C0306"/>
    <w:rsid w:val="003C114C"/>
    <w:rsid w:val="003C465D"/>
    <w:rsid w:val="003D0718"/>
    <w:rsid w:val="003D495D"/>
    <w:rsid w:val="003D5793"/>
    <w:rsid w:val="003E098E"/>
    <w:rsid w:val="003E2FAE"/>
    <w:rsid w:val="003E56EC"/>
    <w:rsid w:val="00407CF7"/>
    <w:rsid w:val="00415ED6"/>
    <w:rsid w:val="00417CAF"/>
    <w:rsid w:val="00420A11"/>
    <w:rsid w:val="00422265"/>
    <w:rsid w:val="004373A7"/>
    <w:rsid w:val="00437D94"/>
    <w:rsid w:val="0044030C"/>
    <w:rsid w:val="0044254B"/>
    <w:rsid w:val="004648A4"/>
    <w:rsid w:val="00471380"/>
    <w:rsid w:val="00494F0D"/>
    <w:rsid w:val="00496BFD"/>
    <w:rsid w:val="004A3DF2"/>
    <w:rsid w:val="004C361D"/>
    <w:rsid w:val="004C4891"/>
    <w:rsid w:val="004D2C89"/>
    <w:rsid w:val="004E3932"/>
    <w:rsid w:val="004E6568"/>
    <w:rsid w:val="004F1E79"/>
    <w:rsid w:val="004F5F33"/>
    <w:rsid w:val="0050103A"/>
    <w:rsid w:val="00511B0F"/>
    <w:rsid w:val="0055388E"/>
    <w:rsid w:val="005754AE"/>
    <w:rsid w:val="00577FB5"/>
    <w:rsid w:val="005852D1"/>
    <w:rsid w:val="00587A22"/>
    <w:rsid w:val="0059100E"/>
    <w:rsid w:val="0059299D"/>
    <w:rsid w:val="00595C8C"/>
    <w:rsid w:val="00597747"/>
    <w:rsid w:val="005A49B8"/>
    <w:rsid w:val="005A4CDD"/>
    <w:rsid w:val="005B57E4"/>
    <w:rsid w:val="005B5ABD"/>
    <w:rsid w:val="005C140A"/>
    <w:rsid w:val="005C1E52"/>
    <w:rsid w:val="005C3367"/>
    <w:rsid w:val="005C6763"/>
    <w:rsid w:val="005D3164"/>
    <w:rsid w:val="005E0344"/>
    <w:rsid w:val="005E440B"/>
    <w:rsid w:val="005F2C85"/>
    <w:rsid w:val="00605ADB"/>
    <w:rsid w:val="00611C9F"/>
    <w:rsid w:val="006248DE"/>
    <w:rsid w:val="00627555"/>
    <w:rsid w:val="006322A0"/>
    <w:rsid w:val="006361FD"/>
    <w:rsid w:val="0064226F"/>
    <w:rsid w:val="00642DDB"/>
    <w:rsid w:val="00653298"/>
    <w:rsid w:val="00663A7C"/>
    <w:rsid w:val="00667DF2"/>
    <w:rsid w:val="00670DF1"/>
    <w:rsid w:val="00671345"/>
    <w:rsid w:val="00672A9B"/>
    <w:rsid w:val="00675884"/>
    <w:rsid w:val="00696EE0"/>
    <w:rsid w:val="00697980"/>
    <w:rsid w:val="006A19EF"/>
    <w:rsid w:val="006A23E6"/>
    <w:rsid w:val="006A43CA"/>
    <w:rsid w:val="006A43D5"/>
    <w:rsid w:val="006A525B"/>
    <w:rsid w:val="006C045F"/>
    <w:rsid w:val="006C4196"/>
    <w:rsid w:val="006C63B0"/>
    <w:rsid w:val="006C76A2"/>
    <w:rsid w:val="006C792E"/>
    <w:rsid w:val="006D116C"/>
    <w:rsid w:val="006E7C42"/>
    <w:rsid w:val="006F168A"/>
    <w:rsid w:val="006F5076"/>
    <w:rsid w:val="006F6009"/>
    <w:rsid w:val="006F7E5F"/>
    <w:rsid w:val="0070321D"/>
    <w:rsid w:val="007068BA"/>
    <w:rsid w:val="00716AB1"/>
    <w:rsid w:val="00721D63"/>
    <w:rsid w:val="00723B63"/>
    <w:rsid w:val="00724B2B"/>
    <w:rsid w:val="00732C7B"/>
    <w:rsid w:val="00734D2B"/>
    <w:rsid w:val="00737705"/>
    <w:rsid w:val="007408D4"/>
    <w:rsid w:val="007420AC"/>
    <w:rsid w:val="00742617"/>
    <w:rsid w:val="00777CB4"/>
    <w:rsid w:val="00783AFA"/>
    <w:rsid w:val="00785427"/>
    <w:rsid w:val="00790540"/>
    <w:rsid w:val="007968CA"/>
    <w:rsid w:val="007A43FF"/>
    <w:rsid w:val="007A72FA"/>
    <w:rsid w:val="007B384D"/>
    <w:rsid w:val="007B3918"/>
    <w:rsid w:val="007C3C1D"/>
    <w:rsid w:val="007D199A"/>
    <w:rsid w:val="007D2EBE"/>
    <w:rsid w:val="007E1C07"/>
    <w:rsid w:val="007F24B6"/>
    <w:rsid w:val="00803D94"/>
    <w:rsid w:val="00821337"/>
    <w:rsid w:val="008229BA"/>
    <w:rsid w:val="00824151"/>
    <w:rsid w:val="00845390"/>
    <w:rsid w:val="0084601B"/>
    <w:rsid w:val="00855339"/>
    <w:rsid w:val="008606F0"/>
    <w:rsid w:val="00865489"/>
    <w:rsid w:val="0086553D"/>
    <w:rsid w:val="00874FEB"/>
    <w:rsid w:val="00881B6F"/>
    <w:rsid w:val="00882AA4"/>
    <w:rsid w:val="00883E22"/>
    <w:rsid w:val="00884E43"/>
    <w:rsid w:val="00887EC6"/>
    <w:rsid w:val="0089084C"/>
    <w:rsid w:val="00893409"/>
    <w:rsid w:val="00893D9F"/>
    <w:rsid w:val="008A2379"/>
    <w:rsid w:val="008A4329"/>
    <w:rsid w:val="008A578E"/>
    <w:rsid w:val="008B015A"/>
    <w:rsid w:val="008B1519"/>
    <w:rsid w:val="008B7BCC"/>
    <w:rsid w:val="008C50C3"/>
    <w:rsid w:val="008C7094"/>
    <w:rsid w:val="008C73D2"/>
    <w:rsid w:val="008D2B97"/>
    <w:rsid w:val="008D49A5"/>
    <w:rsid w:val="008D6C81"/>
    <w:rsid w:val="008E6CF0"/>
    <w:rsid w:val="008F1439"/>
    <w:rsid w:val="008F7051"/>
    <w:rsid w:val="009033A9"/>
    <w:rsid w:val="0090581D"/>
    <w:rsid w:val="0091439C"/>
    <w:rsid w:val="00920572"/>
    <w:rsid w:val="00920BF2"/>
    <w:rsid w:val="00930E37"/>
    <w:rsid w:val="009349A9"/>
    <w:rsid w:val="00936C52"/>
    <w:rsid w:val="009436C1"/>
    <w:rsid w:val="0095489B"/>
    <w:rsid w:val="00966FB9"/>
    <w:rsid w:val="009671CD"/>
    <w:rsid w:val="009751A9"/>
    <w:rsid w:val="009805FD"/>
    <w:rsid w:val="00980F9C"/>
    <w:rsid w:val="0098632B"/>
    <w:rsid w:val="00997BFB"/>
    <w:rsid w:val="009A7348"/>
    <w:rsid w:val="009B462C"/>
    <w:rsid w:val="009C15F3"/>
    <w:rsid w:val="009C3689"/>
    <w:rsid w:val="009E07C2"/>
    <w:rsid w:val="009E0E52"/>
    <w:rsid w:val="009F72F9"/>
    <w:rsid w:val="00A00205"/>
    <w:rsid w:val="00A00AF0"/>
    <w:rsid w:val="00A14B5A"/>
    <w:rsid w:val="00A3567F"/>
    <w:rsid w:val="00A37698"/>
    <w:rsid w:val="00A41ED3"/>
    <w:rsid w:val="00A42505"/>
    <w:rsid w:val="00A5229C"/>
    <w:rsid w:val="00A81D82"/>
    <w:rsid w:val="00A9118F"/>
    <w:rsid w:val="00A93E33"/>
    <w:rsid w:val="00AB3129"/>
    <w:rsid w:val="00AB6970"/>
    <w:rsid w:val="00AC1939"/>
    <w:rsid w:val="00AC7C05"/>
    <w:rsid w:val="00AD167C"/>
    <w:rsid w:val="00AD17C7"/>
    <w:rsid w:val="00AD4041"/>
    <w:rsid w:val="00AE302B"/>
    <w:rsid w:val="00B0248D"/>
    <w:rsid w:val="00B16BE5"/>
    <w:rsid w:val="00B23A5E"/>
    <w:rsid w:val="00B259DF"/>
    <w:rsid w:val="00B44B1F"/>
    <w:rsid w:val="00B64141"/>
    <w:rsid w:val="00B64E72"/>
    <w:rsid w:val="00B77913"/>
    <w:rsid w:val="00B824FB"/>
    <w:rsid w:val="00B82646"/>
    <w:rsid w:val="00B97359"/>
    <w:rsid w:val="00B97A8F"/>
    <w:rsid w:val="00BA4E58"/>
    <w:rsid w:val="00BA7074"/>
    <w:rsid w:val="00BB7829"/>
    <w:rsid w:val="00BD1457"/>
    <w:rsid w:val="00BE2AD9"/>
    <w:rsid w:val="00BE4DC5"/>
    <w:rsid w:val="00BE662E"/>
    <w:rsid w:val="00BF27FE"/>
    <w:rsid w:val="00C043B3"/>
    <w:rsid w:val="00C079AB"/>
    <w:rsid w:val="00C10E61"/>
    <w:rsid w:val="00C14787"/>
    <w:rsid w:val="00C1596D"/>
    <w:rsid w:val="00C15B8D"/>
    <w:rsid w:val="00C17010"/>
    <w:rsid w:val="00C20562"/>
    <w:rsid w:val="00C215C3"/>
    <w:rsid w:val="00C23A96"/>
    <w:rsid w:val="00C249C6"/>
    <w:rsid w:val="00C32CC1"/>
    <w:rsid w:val="00C426EC"/>
    <w:rsid w:val="00C6483C"/>
    <w:rsid w:val="00C64AE9"/>
    <w:rsid w:val="00C70CFF"/>
    <w:rsid w:val="00C718FE"/>
    <w:rsid w:val="00C86CEC"/>
    <w:rsid w:val="00C8773D"/>
    <w:rsid w:val="00C87ABB"/>
    <w:rsid w:val="00C91831"/>
    <w:rsid w:val="00C953DF"/>
    <w:rsid w:val="00C963E6"/>
    <w:rsid w:val="00CB698E"/>
    <w:rsid w:val="00CD5401"/>
    <w:rsid w:val="00CE2709"/>
    <w:rsid w:val="00CE2D64"/>
    <w:rsid w:val="00CE6198"/>
    <w:rsid w:val="00CE6CD6"/>
    <w:rsid w:val="00CF6230"/>
    <w:rsid w:val="00D017FC"/>
    <w:rsid w:val="00D0226A"/>
    <w:rsid w:val="00D13147"/>
    <w:rsid w:val="00D463FF"/>
    <w:rsid w:val="00D5715A"/>
    <w:rsid w:val="00D60BCB"/>
    <w:rsid w:val="00D71687"/>
    <w:rsid w:val="00D74813"/>
    <w:rsid w:val="00DA30BC"/>
    <w:rsid w:val="00DA69C2"/>
    <w:rsid w:val="00DA6D70"/>
    <w:rsid w:val="00DB6050"/>
    <w:rsid w:val="00DC2C34"/>
    <w:rsid w:val="00DE2C87"/>
    <w:rsid w:val="00DE459A"/>
    <w:rsid w:val="00DF27DA"/>
    <w:rsid w:val="00DF4DBE"/>
    <w:rsid w:val="00E40820"/>
    <w:rsid w:val="00E4658F"/>
    <w:rsid w:val="00E54A67"/>
    <w:rsid w:val="00E607CD"/>
    <w:rsid w:val="00E61C0D"/>
    <w:rsid w:val="00E63EB4"/>
    <w:rsid w:val="00E66160"/>
    <w:rsid w:val="00E71329"/>
    <w:rsid w:val="00E74FE0"/>
    <w:rsid w:val="00E8363B"/>
    <w:rsid w:val="00E84966"/>
    <w:rsid w:val="00E92383"/>
    <w:rsid w:val="00EA1B3A"/>
    <w:rsid w:val="00EA2109"/>
    <w:rsid w:val="00EB057A"/>
    <w:rsid w:val="00EB6ECB"/>
    <w:rsid w:val="00ED4D4E"/>
    <w:rsid w:val="00EE0C77"/>
    <w:rsid w:val="00EE4E54"/>
    <w:rsid w:val="00EF4334"/>
    <w:rsid w:val="00F04FC3"/>
    <w:rsid w:val="00F37289"/>
    <w:rsid w:val="00F40A6B"/>
    <w:rsid w:val="00F436BB"/>
    <w:rsid w:val="00F47145"/>
    <w:rsid w:val="00F545BF"/>
    <w:rsid w:val="00F71B56"/>
    <w:rsid w:val="00F832C8"/>
    <w:rsid w:val="00F873B3"/>
    <w:rsid w:val="00FA00BE"/>
    <w:rsid w:val="00FA33FE"/>
    <w:rsid w:val="00FA42B9"/>
    <w:rsid w:val="00FA755A"/>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0"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2042C2"/>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2042C2"/>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B23A5E"/>
    <w:pPr>
      <w:numPr>
        <w:numId w:val="12"/>
      </w:numPr>
      <w:ind w:left="1134"/>
    </w:pPr>
    <w:rPr>
      <w:bCs/>
    </w:rPr>
  </w:style>
  <w:style w:type="paragraph" w:customStyle="1" w:styleId="Bulletlist2">
    <w:name w:val="Bullet list 2"/>
    <w:basedOn w:val="Bulletlist1"/>
    <w:uiPriority w:val="1"/>
    <w:qFormat/>
    <w:rsid w:val="00B23A5E"/>
    <w:pPr>
      <w:numPr>
        <w:ilvl w:val="1"/>
      </w:numPr>
      <w:ind w:left="1560"/>
    </w:pPr>
    <w:rPr>
      <w:bCs w:val="0"/>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rsid w:val="00C32CC1"/>
    <w:rPr>
      <w:lang w:eastAsia="en-US" w:bidi="he-IL"/>
    </w:rPr>
  </w:style>
  <w:style w:type="character" w:styleId="FootnoteReference">
    <w:name w:val="footnote reference"/>
    <w:basedOn w:val="DefaultParagraphFont"/>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B23A5E"/>
    <w:pPr>
      <w:pBdr>
        <w:top w:val="single" w:sz="4" w:space="6" w:color="22413A"/>
        <w:bottom w:val="single" w:sz="4" w:space="6" w:color="22413A"/>
      </w:pBdr>
      <w:spacing w:before="240"/>
      <w:ind w:left="851"/>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B23A5E"/>
    <w:pPr>
      <w:numPr>
        <w:numId w:val="26"/>
      </w:numPr>
      <w:ind w:left="1276" w:hanging="283"/>
    </w:pPr>
    <w:rPr>
      <w:rFonts w:asciiTheme="minorHAnsi" w:eastAsiaTheme="minorHAnsi" w:hAnsiTheme="minorHAnsi" w:cstheme="minorBidi"/>
      <w:bCs/>
      <w:lang w:bidi="ar-SA"/>
    </w:rPr>
  </w:style>
  <w:style w:type="paragraph" w:customStyle="1" w:styleId="NumList2">
    <w:name w:val="Num List 2"/>
    <w:basedOn w:val="Normal"/>
    <w:uiPriority w:val="1"/>
    <w:qFormat/>
    <w:rsid w:val="00B23A5E"/>
    <w:pPr>
      <w:numPr>
        <w:ilvl w:val="1"/>
        <w:numId w:val="18"/>
      </w:numPr>
      <w:ind w:left="1276" w:hanging="425"/>
    </w:pPr>
    <w:rPr>
      <w:rFonts w:asciiTheme="minorHAnsi" w:eastAsiaTheme="minorHAnsi" w:hAnsiTheme="minorHAnsi" w:cstheme="minorBidi"/>
      <w:bCs/>
      <w:lang w:bidi="ar-SA"/>
    </w:rPr>
  </w:style>
  <w:style w:type="paragraph" w:customStyle="1" w:styleId="BulletList3">
    <w:name w:val="Bullet List 3"/>
    <w:basedOn w:val="Bulletlist2"/>
    <w:uiPriority w:val="1"/>
    <w:qFormat/>
    <w:rsid w:val="00B23A5E"/>
    <w:pPr>
      <w:numPr>
        <w:ilvl w:val="2"/>
      </w:numPr>
      <w:ind w:left="1985"/>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 Paragraph"/>
    <w:basedOn w:val="ListParagraph"/>
    <w:link w:val="F9-ParagraphChar"/>
    <w:qFormat/>
    <w:rsid w:val="00B23A5E"/>
    <w:pPr>
      <w:numPr>
        <w:numId w:val="25"/>
      </w:numPr>
      <w:spacing w:before="240" w:after="120"/>
      <w:ind w:left="851" w:hanging="851"/>
      <w:contextualSpacing w:val="0"/>
    </w:pPr>
  </w:style>
  <w:style w:type="character" w:customStyle="1" w:styleId="F9-ParagraphChar">
    <w:name w:val="F9 - # Paragraph Char"/>
    <w:basedOn w:val="DefaultParagraphFont"/>
    <w:link w:val="F9-Paragraph"/>
    <w:rsid w:val="00B23A5E"/>
    <w:rPr>
      <w:rFonts w:ascii="Arial" w:hAnsi="Arial"/>
      <w:sz w:val="24"/>
      <w:szCs w:val="22"/>
      <w:lang w:eastAsia="en-US" w:bidi="he-IL"/>
    </w:rPr>
  </w:style>
  <w:style w:type="paragraph" w:styleId="NormalWeb">
    <w:name w:val="Normal (Web)"/>
    <w:basedOn w:val="Normal"/>
    <w:rsid w:val="00FA00BE"/>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styleId="Strong">
    <w:name w:val="Strong"/>
    <w:qFormat/>
    <w:rsid w:val="00FA00BE"/>
    <w:rPr>
      <w:b/>
      <w:bCs/>
    </w:rPr>
  </w:style>
  <w:style w:type="paragraph" w:customStyle="1" w:styleId="F10-Bullet1">
    <w:name w:val="F10 - Bullet 1"/>
    <w:basedOn w:val="ListParagraph"/>
    <w:qFormat/>
    <w:rsid w:val="002C301C"/>
    <w:pPr>
      <w:numPr>
        <w:numId w:val="28"/>
      </w:numPr>
      <w:spacing w:before="240" w:after="120" w:line="240" w:lineRule="auto"/>
      <w:contextualSpacing w:val="0"/>
    </w:pPr>
    <w:rPr>
      <w:rFonts w:eastAsia="Times New Roman"/>
      <w:szCs w:val="24"/>
      <w:lang w:bidi="ar-SA"/>
    </w:rPr>
  </w:style>
  <w:style w:type="paragraph" w:customStyle="1" w:styleId="F11-Bullet2">
    <w:name w:val="F11 - Bullet 2"/>
    <w:basedOn w:val="F10-Bullet1"/>
    <w:qFormat/>
    <w:rsid w:val="002C301C"/>
    <w:pPr>
      <w:numPr>
        <w:ilvl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82395">
      <w:bodyDiv w:val="1"/>
      <w:marLeft w:val="0"/>
      <w:marRight w:val="0"/>
      <w:marTop w:val="0"/>
      <w:marBottom w:val="0"/>
      <w:divBdr>
        <w:top w:val="none" w:sz="0" w:space="0" w:color="auto"/>
        <w:left w:val="none" w:sz="0" w:space="0" w:color="auto"/>
        <w:bottom w:val="none" w:sz="0" w:space="0" w:color="auto"/>
        <w:right w:val="none" w:sz="0" w:space="0" w:color="auto"/>
      </w:divBdr>
    </w:div>
    <w:div w:id="59452437">
      <w:bodyDiv w:val="1"/>
      <w:marLeft w:val="0"/>
      <w:marRight w:val="0"/>
      <w:marTop w:val="0"/>
      <w:marBottom w:val="0"/>
      <w:divBdr>
        <w:top w:val="none" w:sz="0" w:space="0" w:color="auto"/>
        <w:left w:val="none" w:sz="0" w:space="0" w:color="auto"/>
        <w:bottom w:val="none" w:sz="0" w:space="0" w:color="auto"/>
        <w:right w:val="none" w:sz="0" w:space="0" w:color="auto"/>
      </w:divBdr>
    </w:div>
    <w:div w:id="85351926">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26046520">
      <w:bodyDiv w:val="1"/>
      <w:marLeft w:val="0"/>
      <w:marRight w:val="0"/>
      <w:marTop w:val="0"/>
      <w:marBottom w:val="0"/>
      <w:divBdr>
        <w:top w:val="none" w:sz="0" w:space="0" w:color="auto"/>
        <w:left w:val="none" w:sz="0" w:space="0" w:color="auto"/>
        <w:bottom w:val="none" w:sz="0" w:space="0" w:color="auto"/>
        <w:right w:val="none" w:sz="0" w:space="0" w:color="auto"/>
      </w:divBdr>
    </w:div>
    <w:div w:id="14104402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24358489">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74165482">
      <w:bodyDiv w:val="1"/>
      <w:marLeft w:val="0"/>
      <w:marRight w:val="0"/>
      <w:marTop w:val="0"/>
      <w:marBottom w:val="0"/>
      <w:divBdr>
        <w:top w:val="none" w:sz="0" w:space="0" w:color="auto"/>
        <w:left w:val="none" w:sz="0" w:space="0" w:color="auto"/>
        <w:bottom w:val="none" w:sz="0" w:space="0" w:color="auto"/>
        <w:right w:val="none" w:sz="0" w:space="0" w:color="auto"/>
      </w:divBdr>
    </w:div>
    <w:div w:id="409469402">
      <w:bodyDiv w:val="1"/>
      <w:marLeft w:val="0"/>
      <w:marRight w:val="0"/>
      <w:marTop w:val="0"/>
      <w:marBottom w:val="0"/>
      <w:divBdr>
        <w:top w:val="none" w:sz="0" w:space="0" w:color="auto"/>
        <w:left w:val="none" w:sz="0" w:space="0" w:color="auto"/>
        <w:bottom w:val="none" w:sz="0" w:space="0" w:color="auto"/>
        <w:right w:val="none" w:sz="0" w:space="0" w:color="auto"/>
      </w:divBdr>
    </w:div>
    <w:div w:id="449132279">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64296157">
      <w:bodyDiv w:val="1"/>
      <w:marLeft w:val="0"/>
      <w:marRight w:val="0"/>
      <w:marTop w:val="0"/>
      <w:marBottom w:val="0"/>
      <w:divBdr>
        <w:top w:val="none" w:sz="0" w:space="0" w:color="auto"/>
        <w:left w:val="none" w:sz="0" w:space="0" w:color="auto"/>
        <w:bottom w:val="none" w:sz="0" w:space="0" w:color="auto"/>
        <w:right w:val="none" w:sz="0" w:space="0" w:color="auto"/>
      </w:divBdr>
    </w:div>
    <w:div w:id="611592780">
      <w:bodyDiv w:val="1"/>
      <w:marLeft w:val="0"/>
      <w:marRight w:val="0"/>
      <w:marTop w:val="0"/>
      <w:marBottom w:val="0"/>
      <w:divBdr>
        <w:top w:val="none" w:sz="0" w:space="0" w:color="auto"/>
        <w:left w:val="none" w:sz="0" w:space="0" w:color="auto"/>
        <w:bottom w:val="none" w:sz="0" w:space="0" w:color="auto"/>
        <w:right w:val="none" w:sz="0" w:space="0" w:color="auto"/>
      </w:divBdr>
    </w:div>
    <w:div w:id="641664874">
      <w:bodyDiv w:val="1"/>
      <w:marLeft w:val="0"/>
      <w:marRight w:val="0"/>
      <w:marTop w:val="0"/>
      <w:marBottom w:val="0"/>
      <w:divBdr>
        <w:top w:val="none" w:sz="0" w:space="0" w:color="auto"/>
        <w:left w:val="none" w:sz="0" w:space="0" w:color="auto"/>
        <w:bottom w:val="none" w:sz="0" w:space="0" w:color="auto"/>
        <w:right w:val="none" w:sz="0" w:space="0" w:color="auto"/>
      </w:divBdr>
    </w:div>
    <w:div w:id="648022370">
      <w:bodyDiv w:val="1"/>
      <w:marLeft w:val="0"/>
      <w:marRight w:val="0"/>
      <w:marTop w:val="0"/>
      <w:marBottom w:val="0"/>
      <w:divBdr>
        <w:top w:val="none" w:sz="0" w:space="0" w:color="auto"/>
        <w:left w:val="none" w:sz="0" w:space="0" w:color="auto"/>
        <w:bottom w:val="none" w:sz="0" w:space="0" w:color="auto"/>
        <w:right w:val="none" w:sz="0" w:space="0" w:color="auto"/>
      </w:divBdr>
    </w:div>
    <w:div w:id="669989461">
      <w:bodyDiv w:val="1"/>
      <w:marLeft w:val="0"/>
      <w:marRight w:val="0"/>
      <w:marTop w:val="0"/>
      <w:marBottom w:val="0"/>
      <w:divBdr>
        <w:top w:val="none" w:sz="0" w:space="0" w:color="auto"/>
        <w:left w:val="none" w:sz="0" w:space="0" w:color="auto"/>
        <w:bottom w:val="none" w:sz="0" w:space="0" w:color="auto"/>
        <w:right w:val="none" w:sz="0" w:space="0" w:color="auto"/>
      </w:divBdr>
    </w:div>
    <w:div w:id="686180968">
      <w:bodyDiv w:val="1"/>
      <w:marLeft w:val="0"/>
      <w:marRight w:val="0"/>
      <w:marTop w:val="0"/>
      <w:marBottom w:val="0"/>
      <w:divBdr>
        <w:top w:val="none" w:sz="0" w:space="0" w:color="auto"/>
        <w:left w:val="none" w:sz="0" w:space="0" w:color="auto"/>
        <w:bottom w:val="none" w:sz="0" w:space="0" w:color="auto"/>
        <w:right w:val="none" w:sz="0" w:space="0" w:color="auto"/>
      </w:divBdr>
    </w:div>
    <w:div w:id="701982375">
      <w:bodyDiv w:val="1"/>
      <w:marLeft w:val="0"/>
      <w:marRight w:val="0"/>
      <w:marTop w:val="0"/>
      <w:marBottom w:val="0"/>
      <w:divBdr>
        <w:top w:val="none" w:sz="0" w:space="0" w:color="auto"/>
        <w:left w:val="none" w:sz="0" w:space="0" w:color="auto"/>
        <w:bottom w:val="none" w:sz="0" w:space="0" w:color="auto"/>
        <w:right w:val="none" w:sz="0" w:space="0" w:color="auto"/>
      </w:divBdr>
    </w:div>
    <w:div w:id="728117904">
      <w:bodyDiv w:val="1"/>
      <w:marLeft w:val="0"/>
      <w:marRight w:val="0"/>
      <w:marTop w:val="0"/>
      <w:marBottom w:val="0"/>
      <w:divBdr>
        <w:top w:val="none" w:sz="0" w:space="0" w:color="auto"/>
        <w:left w:val="none" w:sz="0" w:space="0" w:color="auto"/>
        <w:bottom w:val="none" w:sz="0" w:space="0" w:color="auto"/>
        <w:right w:val="none" w:sz="0" w:space="0" w:color="auto"/>
      </w:divBdr>
    </w:div>
    <w:div w:id="768618950">
      <w:bodyDiv w:val="1"/>
      <w:marLeft w:val="0"/>
      <w:marRight w:val="0"/>
      <w:marTop w:val="0"/>
      <w:marBottom w:val="0"/>
      <w:divBdr>
        <w:top w:val="none" w:sz="0" w:space="0" w:color="auto"/>
        <w:left w:val="none" w:sz="0" w:space="0" w:color="auto"/>
        <w:bottom w:val="none" w:sz="0" w:space="0" w:color="auto"/>
        <w:right w:val="none" w:sz="0" w:space="0" w:color="auto"/>
      </w:divBdr>
    </w:div>
    <w:div w:id="786045368">
      <w:bodyDiv w:val="1"/>
      <w:marLeft w:val="0"/>
      <w:marRight w:val="0"/>
      <w:marTop w:val="0"/>
      <w:marBottom w:val="0"/>
      <w:divBdr>
        <w:top w:val="none" w:sz="0" w:space="0" w:color="auto"/>
        <w:left w:val="none" w:sz="0" w:space="0" w:color="auto"/>
        <w:bottom w:val="none" w:sz="0" w:space="0" w:color="auto"/>
        <w:right w:val="none" w:sz="0" w:space="0" w:color="auto"/>
      </w:divBdr>
    </w:div>
    <w:div w:id="850532249">
      <w:bodyDiv w:val="1"/>
      <w:marLeft w:val="0"/>
      <w:marRight w:val="0"/>
      <w:marTop w:val="0"/>
      <w:marBottom w:val="0"/>
      <w:divBdr>
        <w:top w:val="none" w:sz="0" w:space="0" w:color="auto"/>
        <w:left w:val="none" w:sz="0" w:space="0" w:color="auto"/>
        <w:bottom w:val="none" w:sz="0" w:space="0" w:color="auto"/>
        <w:right w:val="none" w:sz="0" w:space="0" w:color="auto"/>
      </w:divBdr>
    </w:div>
    <w:div w:id="943918986">
      <w:bodyDiv w:val="1"/>
      <w:marLeft w:val="0"/>
      <w:marRight w:val="0"/>
      <w:marTop w:val="0"/>
      <w:marBottom w:val="0"/>
      <w:divBdr>
        <w:top w:val="none" w:sz="0" w:space="0" w:color="auto"/>
        <w:left w:val="none" w:sz="0" w:space="0" w:color="auto"/>
        <w:bottom w:val="none" w:sz="0" w:space="0" w:color="auto"/>
        <w:right w:val="none" w:sz="0" w:space="0" w:color="auto"/>
      </w:divBdr>
    </w:div>
    <w:div w:id="963004673">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85354387">
      <w:bodyDiv w:val="1"/>
      <w:marLeft w:val="0"/>
      <w:marRight w:val="0"/>
      <w:marTop w:val="0"/>
      <w:marBottom w:val="0"/>
      <w:divBdr>
        <w:top w:val="none" w:sz="0" w:space="0" w:color="auto"/>
        <w:left w:val="none" w:sz="0" w:space="0" w:color="auto"/>
        <w:bottom w:val="none" w:sz="0" w:space="0" w:color="auto"/>
        <w:right w:val="none" w:sz="0" w:space="0" w:color="auto"/>
      </w:divBdr>
    </w:div>
    <w:div w:id="992637138">
      <w:bodyDiv w:val="1"/>
      <w:marLeft w:val="0"/>
      <w:marRight w:val="0"/>
      <w:marTop w:val="0"/>
      <w:marBottom w:val="0"/>
      <w:divBdr>
        <w:top w:val="none" w:sz="0" w:space="0" w:color="auto"/>
        <w:left w:val="none" w:sz="0" w:space="0" w:color="auto"/>
        <w:bottom w:val="none" w:sz="0" w:space="0" w:color="auto"/>
        <w:right w:val="none" w:sz="0" w:space="0" w:color="auto"/>
      </w:divBdr>
    </w:div>
    <w:div w:id="1006904552">
      <w:bodyDiv w:val="1"/>
      <w:marLeft w:val="0"/>
      <w:marRight w:val="0"/>
      <w:marTop w:val="0"/>
      <w:marBottom w:val="0"/>
      <w:divBdr>
        <w:top w:val="none" w:sz="0" w:space="0" w:color="auto"/>
        <w:left w:val="none" w:sz="0" w:space="0" w:color="auto"/>
        <w:bottom w:val="none" w:sz="0" w:space="0" w:color="auto"/>
        <w:right w:val="none" w:sz="0" w:space="0" w:color="auto"/>
      </w:divBdr>
    </w:div>
    <w:div w:id="1010374392">
      <w:bodyDiv w:val="1"/>
      <w:marLeft w:val="0"/>
      <w:marRight w:val="0"/>
      <w:marTop w:val="0"/>
      <w:marBottom w:val="0"/>
      <w:divBdr>
        <w:top w:val="none" w:sz="0" w:space="0" w:color="auto"/>
        <w:left w:val="none" w:sz="0" w:space="0" w:color="auto"/>
        <w:bottom w:val="none" w:sz="0" w:space="0" w:color="auto"/>
        <w:right w:val="none" w:sz="0" w:space="0" w:color="auto"/>
      </w:divBdr>
    </w:div>
    <w:div w:id="1052463062">
      <w:bodyDiv w:val="1"/>
      <w:marLeft w:val="0"/>
      <w:marRight w:val="0"/>
      <w:marTop w:val="0"/>
      <w:marBottom w:val="0"/>
      <w:divBdr>
        <w:top w:val="none" w:sz="0" w:space="0" w:color="auto"/>
        <w:left w:val="none" w:sz="0" w:space="0" w:color="auto"/>
        <w:bottom w:val="none" w:sz="0" w:space="0" w:color="auto"/>
        <w:right w:val="none" w:sz="0" w:space="0" w:color="auto"/>
      </w:divBdr>
    </w:div>
    <w:div w:id="1054038137">
      <w:bodyDiv w:val="1"/>
      <w:marLeft w:val="0"/>
      <w:marRight w:val="0"/>
      <w:marTop w:val="0"/>
      <w:marBottom w:val="0"/>
      <w:divBdr>
        <w:top w:val="none" w:sz="0" w:space="0" w:color="auto"/>
        <w:left w:val="none" w:sz="0" w:space="0" w:color="auto"/>
        <w:bottom w:val="none" w:sz="0" w:space="0" w:color="auto"/>
        <w:right w:val="none" w:sz="0" w:space="0" w:color="auto"/>
      </w:divBdr>
    </w:div>
    <w:div w:id="1058356380">
      <w:bodyDiv w:val="1"/>
      <w:marLeft w:val="0"/>
      <w:marRight w:val="0"/>
      <w:marTop w:val="0"/>
      <w:marBottom w:val="0"/>
      <w:divBdr>
        <w:top w:val="none" w:sz="0" w:space="0" w:color="auto"/>
        <w:left w:val="none" w:sz="0" w:space="0" w:color="auto"/>
        <w:bottom w:val="none" w:sz="0" w:space="0" w:color="auto"/>
        <w:right w:val="none" w:sz="0" w:space="0" w:color="auto"/>
      </w:divBdr>
    </w:div>
    <w:div w:id="1108086174">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45509985">
      <w:bodyDiv w:val="1"/>
      <w:marLeft w:val="0"/>
      <w:marRight w:val="0"/>
      <w:marTop w:val="0"/>
      <w:marBottom w:val="0"/>
      <w:divBdr>
        <w:top w:val="none" w:sz="0" w:space="0" w:color="auto"/>
        <w:left w:val="none" w:sz="0" w:space="0" w:color="auto"/>
        <w:bottom w:val="none" w:sz="0" w:space="0" w:color="auto"/>
        <w:right w:val="none" w:sz="0" w:space="0" w:color="auto"/>
      </w:divBdr>
    </w:div>
    <w:div w:id="1249852693">
      <w:bodyDiv w:val="1"/>
      <w:marLeft w:val="0"/>
      <w:marRight w:val="0"/>
      <w:marTop w:val="0"/>
      <w:marBottom w:val="0"/>
      <w:divBdr>
        <w:top w:val="none" w:sz="0" w:space="0" w:color="auto"/>
        <w:left w:val="none" w:sz="0" w:space="0" w:color="auto"/>
        <w:bottom w:val="none" w:sz="0" w:space="0" w:color="auto"/>
        <w:right w:val="none" w:sz="0" w:space="0" w:color="auto"/>
      </w:divBdr>
    </w:div>
    <w:div w:id="1342777082">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26881493">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92022590">
      <w:bodyDiv w:val="1"/>
      <w:marLeft w:val="0"/>
      <w:marRight w:val="0"/>
      <w:marTop w:val="0"/>
      <w:marBottom w:val="0"/>
      <w:divBdr>
        <w:top w:val="none" w:sz="0" w:space="0" w:color="auto"/>
        <w:left w:val="none" w:sz="0" w:space="0" w:color="auto"/>
        <w:bottom w:val="none" w:sz="0" w:space="0" w:color="auto"/>
        <w:right w:val="none" w:sz="0" w:space="0" w:color="auto"/>
      </w:divBdr>
    </w:div>
    <w:div w:id="1563054633">
      <w:bodyDiv w:val="1"/>
      <w:marLeft w:val="0"/>
      <w:marRight w:val="0"/>
      <w:marTop w:val="0"/>
      <w:marBottom w:val="0"/>
      <w:divBdr>
        <w:top w:val="none" w:sz="0" w:space="0" w:color="auto"/>
        <w:left w:val="none" w:sz="0" w:space="0" w:color="auto"/>
        <w:bottom w:val="none" w:sz="0" w:space="0" w:color="auto"/>
        <w:right w:val="none" w:sz="0" w:space="0" w:color="auto"/>
      </w:divBdr>
    </w:div>
    <w:div w:id="1599100303">
      <w:bodyDiv w:val="1"/>
      <w:marLeft w:val="0"/>
      <w:marRight w:val="0"/>
      <w:marTop w:val="0"/>
      <w:marBottom w:val="0"/>
      <w:divBdr>
        <w:top w:val="none" w:sz="0" w:space="0" w:color="auto"/>
        <w:left w:val="none" w:sz="0" w:space="0" w:color="auto"/>
        <w:bottom w:val="none" w:sz="0" w:space="0" w:color="auto"/>
        <w:right w:val="none" w:sz="0" w:space="0" w:color="auto"/>
      </w:divBdr>
    </w:div>
    <w:div w:id="1602837132">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35987856">
      <w:bodyDiv w:val="1"/>
      <w:marLeft w:val="0"/>
      <w:marRight w:val="0"/>
      <w:marTop w:val="0"/>
      <w:marBottom w:val="0"/>
      <w:divBdr>
        <w:top w:val="none" w:sz="0" w:space="0" w:color="auto"/>
        <w:left w:val="none" w:sz="0" w:space="0" w:color="auto"/>
        <w:bottom w:val="none" w:sz="0" w:space="0" w:color="auto"/>
        <w:right w:val="none" w:sz="0" w:space="0" w:color="auto"/>
      </w:divBdr>
    </w:div>
    <w:div w:id="1647928060">
      <w:bodyDiv w:val="1"/>
      <w:marLeft w:val="0"/>
      <w:marRight w:val="0"/>
      <w:marTop w:val="0"/>
      <w:marBottom w:val="0"/>
      <w:divBdr>
        <w:top w:val="none" w:sz="0" w:space="0" w:color="auto"/>
        <w:left w:val="none" w:sz="0" w:space="0" w:color="auto"/>
        <w:bottom w:val="none" w:sz="0" w:space="0" w:color="auto"/>
        <w:right w:val="none" w:sz="0" w:space="0" w:color="auto"/>
      </w:divBdr>
    </w:div>
    <w:div w:id="1754430172">
      <w:bodyDiv w:val="1"/>
      <w:marLeft w:val="0"/>
      <w:marRight w:val="0"/>
      <w:marTop w:val="0"/>
      <w:marBottom w:val="0"/>
      <w:divBdr>
        <w:top w:val="none" w:sz="0" w:space="0" w:color="auto"/>
        <w:left w:val="none" w:sz="0" w:space="0" w:color="auto"/>
        <w:bottom w:val="none" w:sz="0" w:space="0" w:color="auto"/>
        <w:right w:val="none" w:sz="0" w:space="0" w:color="auto"/>
      </w:divBdr>
    </w:div>
    <w:div w:id="1756438459">
      <w:bodyDiv w:val="1"/>
      <w:marLeft w:val="0"/>
      <w:marRight w:val="0"/>
      <w:marTop w:val="0"/>
      <w:marBottom w:val="0"/>
      <w:divBdr>
        <w:top w:val="none" w:sz="0" w:space="0" w:color="auto"/>
        <w:left w:val="none" w:sz="0" w:space="0" w:color="auto"/>
        <w:bottom w:val="none" w:sz="0" w:space="0" w:color="auto"/>
        <w:right w:val="none" w:sz="0" w:space="0" w:color="auto"/>
      </w:divBdr>
    </w:div>
    <w:div w:id="1758793276">
      <w:bodyDiv w:val="1"/>
      <w:marLeft w:val="0"/>
      <w:marRight w:val="0"/>
      <w:marTop w:val="0"/>
      <w:marBottom w:val="0"/>
      <w:divBdr>
        <w:top w:val="none" w:sz="0" w:space="0" w:color="auto"/>
        <w:left w:val="none" w:sz="0" w:space="0" w:color="auto"/>
        <w:bottom w:val="none" w:sz="0" w:space="0" w:color="auto"/>
        <w:right w:val="none" w:sz="0" w:space="0" w:color="auto"/>
      </w:divBdr>
    </w:div>
    <w:div w:id="1762294269">
      <w:bodyDiv w:val="1"/>
      <w:marLeft w:val="0"/>
      <w:marRight w:val="0"/>
      <w:marTop w:val="0"/>
      <w:marBottom w:val="0"/>
      <w:divBdr>
        <w:top w:val="none" w:sz="0" w:space="0" w:color="auto"/>
        <w:left w:val="none" w:sz="0" w:space="0" w:color="auto"/>
        <w:bottom w:val="none" w:sz="0" w:space="0" w:color="auto"/>
        <w:right w:val="none" w:sz="0" w:space="0" w:color="auto"/>
      </w:divBdr>
    </w:div>
    <w:div w:id="1777215099">
      <w:bodyDiv w:val="1"/>
      <w:marLeft w:val="0"/>
      <w:marRight w:val="0"/>
      <w:marTop w:val="0"/>
      <w:marBottom w:val="0"/>
      <w:divBdr>
        <w:top w:val="none" w:sz="0" w:space="0" w:color="auto"/>
        <w:left w:val="none" w:sz="0" w:space="0" w:color="auto"/>
        <w:bottom w:val="none" w:sz="0" w:space="0" w:color="auto"/>
        <w:right w:val="none" w:sz="0" w:space="0" w:color="auto"/>
      </w:divBdr>
    </w:div>
    <w:div w:id="1802921935">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7896121">
      <w:bodyDiv w:val="1"/>
      <w:marLeft w:val="0"/>
      <w:marRight w:val="0"/>
      <w:marTop w:val="0"/>
      <w:marBottom w:val="0"/>
      <w:divBdr>
        <w:top w:val="none" w:sz="0" w:space="0" w:color="auto"/>
        <w:left w:val="none" w:sz="0" w:space="0" w:color="auto"/>
        <w:bottom w:val="none" w:sz="0" w:space="0" w:color="auto"/>
        <w:right w:val="none" w:sz="0" w:space="0" w:color="auto"/>
      </w:divBdr>
    </w:div>
    <w:div w:id="1916740254">
      <w:bodyDiv w:val="1"/>
      <w:marLeft w:val="0"/>
      <w:marRight w:val="0"/>
      <w:marTop w:val="0"/>
      <w:marBottom w:val="0"/>
      <w:divBdr>
        <w:top w:val="none" w:sz="0" w:space="0" w:color="auto"/>
        <w:left w:val="none" w:sz="0" w:space="0" w:color="auto"/>
        <w:bottom w:val="none" w:sz="0" w:space="0" w:color="auto"/>
        <w:right w:val="none" w:sz="0" w:space="0" w:color="auto"/>
      </w:divBdr>
    </w:div>
    <w:div w:id="1971737678">
      <w:bodyDiv w:val="1"/>
      <w:marLeft w:val="0"/>
      <w:marRight w:val="0"/>
      <w:marTop w:val="0"/>
      <w:marBottom w:val="0"/>
      <w:divBdr>
        <w:top w:val="none" w:sz="0" w:space="0" w:color="auto"/>
        <w:left w:val="none" w:sz="0" w:space="0" w:color="auto"/>
        <w:bottom w:val="none" w:sz="0" w:space="0" w:color="auto"/>
        <w:right w:val="none" w:sz="0" w:space="0" w:color="auto"/>
      </w:divBdr>
    </w:div>
    <w:div w:id="1992172594">
      <w:bodyDiv w:val="1"/>
      <w:marLeft w:val="0"/>
      <w:marRight w:val="0"/>
      <w:marTop w:val="0"/>
      <w:marBottom w:val="0"/>
      <w:divBdr>
        <w:top w:val="none" w:sz="0" w:space="0" w:color="auto"/>
        <w:left w:val="none" w:sz="0" w:space="0" w:color="auto"/>
        <w:bottom w:val="none" w:sz="0" w:space="0" w:color="auto"/>
        <w:right w:val="none" w:sz="0" w:space="0" w:color="auto"/>
      </w:divBdr>
    </w:div>
    <w:div w:id="2043090993">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00250197">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39257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footnotes" Target="footnotes.xml"/><Relationship Id="rId18" Type="http://schemas.openxmlformats.org/officeDocument/2006/relationships/header" Target="header2.xml"/><Relationship Id="rId26" Type="http://schemas.openxmlformats.org/officeDocument/2006/relationships/header" Target="header6.xml"/><Relationship Id="rId3" Type="http://schemas.openxmlformats.org/officeDocument/2006/relationships/customXml" Target="../customXml/item2.xml"/><Relationship Id="rId21" Type="http://schemas.openxmlformats.org/officeDocument/2006/relationships/header" Target="header4.xml"/><Relationship Id="rId7" Type="http://schemas.openxmlformats.org/officeDocument/2006/relationships/customXml" Target="../customXml/item6.xml"/><Relationship Id="rId12" Type="http://schemas.openxmlformats.org/officeDocument/2006/relationships/webSettings" Target="webSettings.xml"/><Relationship Id="rId17" Type="http://schemas.openxmlformats.org/officeDocument/2006/relationships/footer" Target="footer1.xml"/><Relationship Id="rId25" Type="http://schemas.openxmlformats.org/officeDocument/2006/relationships/header" Target="header5.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settings" Target="settings.xml"/><Relationship Id="rId24" Type="http://schemas.openxmlformats.org/officeDocument/2006/relationships/hyperlink" Target="https://prodonrgov.sharepoint.com/:w:/r/sites/HOW2Hub/_layouts/15/Doc.aspx?sourcedoc=%7B5821F3B2-821B-082D-08E5-D2A44F377121%7D&amp;file=NS-TAST-GD-027%20-%20Training%20and%20Assuring%20Personnel%20Competence.docx&amp;action=default&amp;mobileredirect=true&amp;DefaultItemOpen=1" TargetMode="External"/><Relationship Id="rId5" Type="http://schemas.openxmlformats.org/officeDocument/2006/relationships/customXml" Target="../customXml/item4.xml"/><Relationship Id="rId15" Type="http://schemas.openxmlformats.org/officeDocument/2006/relationships/image" Target="media/image1.png"/><Relationship Id="rId23" Type="http://schemas.openxmlformats.org/officeDocument/2006/relationships/hyperlink" Target="https://prodonrgov.sharepoint.com/:w:/r/sites/HOW2Hub/_layouts/15/Doc.aspx?sourcedoc=%7BE71B3DA0-4C80-45D2-F3BC-9801D0288703%7D&amp;file=NS-INSP-GD-010%20-%20LC%2010%20-%20Training.docx&amp;action=default&amp;mobileredirect=true&amp;DefaultItemOpen=1%3Fweb%3D1" TargetMode="External"/><Relationship Id="rId28" Type="http://schemas.openxmlformats.org/officeDocument/2006/relationships/hyperlink" Target="https://prodonrgov.sharepoint.com/sites/HOW2Hub/_layouts/15/DocIdRedir.aspx?ID=ONRHH-822789359-20421" TargetMode="External"/><Relationship Id="rId10" Type="http://schemas.openxmlformats.org/officeDocument/2006/relationships/styles" Target="styles.xml"/><Relationship Id="rId19" Type="http://schemas.openxmlformats.org/officeDocument/2006/relationships/footer" Target="footer2.xml"/><Relationship Id="rId31" Type="http://schemas.openxmlformats.org/officeDocument/2006/relationships/theme" Target="theme/theme1.xml"/><Relationship Id="rId4" Type="http://schemas.openxmlformats.org/officeDocument/2006/relationships/customXml" Target="../customXml/item3.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3.xml"/><Relationship Id="rId27" Type="http://schemas.openxmlformats.org/officeDocument/2006/relationships/footer" Target="footer4.xml"/><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4BFF33CE9ACF45B4BD9D9653F86AF5B6"/>
        <w:category>
          <w:name w:val="General"/>
          <w:gallery w:val="placeholder"/>
        </w:category>
        <w:types>
          <w:type w:val="bbPlcHdr"/>
        </w:types>
        <w:behaviors>
          <w:behavior w:val="content"/>
        </w:behaviors>
        <w:guid w:val="{7CD666C1-130E-4748-A724-97987CA52528}"/>
      </w:docPartPr>
      <w:docPartBody>
        <w:p w:rsidR="00EB73F1" w:rsidRDefault="00EB73F1" w:rsidP="00EB73F1">
          <w:pPr>
            <w:pStyle w:val="4BFF33CE9ACF45B4BD9D9653F86AF5B6"/>
          </w:pPr>
          <w:r w:rsidRPr="00812B14">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101B7"/>
    <w:rsid w:val="00176DB5"/>
    <w:rsid w:val="00183F29"/>
    <w:rsid w:val="002550FD"/>
    <w:rsid w:val="00333F8E"/>
    <w:rsid w:val="00350199"/>
    <w:rsid w:val="00391EA1"/>
    <w:rsid w:val="003D5793"/>
    <w:rsid w:val="0044254B"/>
    <w:rsid w:val="005A49B8"/>
    <w:rsid w:val="006A43CA"/>
    <w:rsid w:val="007154C5"/>
    <w:rsid w:val="00764F6F"/>
    <w:rsid w:val="0083336C"/>
    <w:rsid w:val="00835E07"/>
    <w:rsid w:val="00855060"/>
    <w:rsid w:val="00A009A6"/>
    <w:rsid w:val="00A657B0"/>
    <w:rsid w:val="00C17C1E"/>
    <w:rsid w:val="00C41BCC"/>
    <w:rsid w:val="00DD7BA4"/>
    <w:rsid w:val="00E27559"/>
    <w:rsid w:val="00E318CE"/>
    <w:rsid w:val="00E646E1"/>
    <w:rsid w:val="00EB73F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B73F1"/>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4BFF33CE9ACF45B4BD9D9653F86AF5B6">
    <w:name w:val="4BFF33CE9ACF45B4BD9D9653F86AF5B6"/>
    <w:rsid w:val="00EB73F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66693000-3e12-4b44-a742-9a2ba35b7d28" ContentTypeId="0x0101000C70A82DFAAC384DB9F6EBA2C8B87C57" PreviousValue="false"/>
</file>

<file path=customXml/item5.xml><?xml version="1.0" encoding="utf-8"?>
<p:properties xmlns:p="http://schemas.microsoft.com/office/2006/metadata/properties" xmlns:xsi="http://www.w3.org/2001/XMLSchema-instance" xmlns:pc="http://schemas.microsoft.com/office/infopath/2007/PartnerControls">
  <documentManagement>
    <PolicyPortalProcessSpecialismFunctionTopic xmlns="8c4e2855-9588-4bc9-9890-af639bd565eb" xsi:nil="true"/>
    <PolicyPortalFirstPublicationDate xmlns="8c4e2855-9588-4bc9-9890-af639bd565eb" xsi:nil="true"/>
    <PolicyPortalProcessOwnerRoleHolder xmlns="8c4e2855-9588-4bc9-9890-af639bd565eb">
      <UserInfo>
        <DisplayName/>
        <AccountId xsi:nil="true"/>
        <AccountType/>
      </UserInfo>
    </PolicyPortalProcessOwnerRoleHolder>
    <PolicyPortalPublishStatus xmlns="8c4e2855-9588-4bc9-9890-af639bd565eb" xsi:nil="true"/>
    <PolicyPortalResponsibleDelegatePostTitle xmlns="8c4e2855-9588-4bc9-9890-af639bd565eb" xsi:nil="true"/>
    <PolicyPortalDocRef xmlns="8c4e2855-9588-4bc9-9890-af639bd565eb" xsi:nil="true"/>
    <PolicyPortalDocType xmlns="8c4e2855-9588-4bc9-9890-af639bd565eb" xsi:nil="true"/>
    <PolicyPortalIssueDate xmlns="8c4e2855-9588-4bc9-9890-af639bd565eb" xsi:nil="true"/>
    <PolicyPortalOldDocRef xmlns="8c4e2855-9588-4bc9-9890-af639bd565eb" xsi:nil="true"/>
    <PolicyPortalOldRecordRef xmlns="8c4e2855-9588-4bc9-9890-af639bd565eb" xsi:nil="true"/>
    <PolicyPortalIssueNo xmlns="8c4e2855-9588-4bc9-9890-af639bd565eb" xsi:nil="true"/>
    <PolicyPortalProcessOwnerPostTitle xmlns="8c4e2855-9588-4bc9-9890-af639bd565eb" xsi:nil="true"/>
    <PolicyPortalResponsibleDelegateRoleHolder xmlns="8c4e2855-9588-4bc9-9890-af639bd565eb">
      <UserInfo>
        <DisplayName/>
        <AccountId xsi:nil="true"/>
        <AccountType/>
      </UserInfo>
    </PolicyPortalResponsibleDelegateRoleHolder>
    <PolicyPortalDirectorate xmlns="8c4e2855-9588-4bc9-9890-af639bd565eb" xsi:nil="true"/>
    <PolicyPortalReviewDate xmlns="8c4e2855-9588-4bc9-9890-af639bd565eb" xsi:nil="true"/>
    <PolicyPortalIssueHistoryComments xmlns="8c4e2855-9588-4bc9-9890-af639bd565eb" xsi:nil="true"/>
    <TaxKeywordTaxHTField xmlns="05350e14-297a-489c-ad04-faf6563b232c">
      <Terms xmlns="http://schemas.microsoft.com/office/infopath/2007/PartnerControls">
        <TermInfo xmlns="http://schemas.microsoft.com/office/infopath/2007/PartnerControls">
          <TermName xmlns="http://schemas.microsoft.com/office/infopath/2007/PartnerControls">[Key words separated by commas]</TermName>
          <TermId xmlns="http://schemas.microsoft.com/office/infopath/2007/PartnerControls">f43e2310-82d5-44d8-a731-b695dd9d1339</TermId>
        </TermInfo>
      </Terms>
    </TaxKeywordTaxHTField>
    <TaxCatchAll xmlns="05350e14-297a-489c-ad04-faf6563b232c"/>
    <dd2817321d504f1caee75a1112d299d4 xmlns="fbd4c4c3-96d4-4265-b68e-6a383a5dca66">
      <Terms xmlns="http://schemas.microsoft.com/office/infopath/2007/PartnerControls"/>
    </dd2817321d504f1caee75a1112d299d4>
    <PCR_x003f_ xmlns="fbd4c4c3-96d4-4265-b68e-6a383a5dca66">false</PCR_x003f_>
  </documentManagement>
</p:properties>
</file>

<file path=customXml/item6.xml><?xml version="1.0" encoding="utf-8"?>
<ct:contentTypeSchema xmlns:ct="http://schemas.microsoft.com/office/2006/metadata/contentType" xmlns:ma="http://schemas.microsoft.com/office/2006/metadata/properties/metaAttributes" ct:_="" ma:_="" ma:contentTypeName="HOW2 Hub Document" ma:contentTypeID="0x0101000C70A82DFAAC384DB9F6EBA2C8B87C5700D27B61D2EA57AC4F87A5F2CF441D8227" ma:contentTypeVersion="220" ma:contentTypeDescription="" ma:contentTypeScope="" ma:versionID="724e73164808191a758277c779b53781">
  <xsd:schema xmlns:xsd="http://www.w3.org/2001/XMLSchema" xmlns:xs="http://www.w3.org/2001/XMLSchema" xmlns:p="http://schemas.microsoft.com/office/2006/metadata/properties" xmlns:ns2="8c4e2855-9588-4bc9-9890-af639bd565eb" xmlns:ns3="05350e14-297a-489c-ad04-faf6563b232c" xmlns:ns4="fbd4c4c3-96d4-4265-b68e-6a383a5dca66" targetNamespace="http://schemas.microsoft.com/office/2006/metadata/properties" ma:root="true" ma:fieldsID="0d07b2e48c5c6cb673863f8fde9c9f33" ns2:_="" ns3:_="" ns4:_="">
    <xsd:import namespace="8c4e2855-9588-4bc9-9890-af639bd565eb"/>
    <xsd:import namespace="05350e14-297a-489c-ad04-faf6563b232c"/>
    <xsd:import namespace="fbd4c4c3-96d4-4265-b68e-6a383a5dca66"/>
    <xsd:element name="properties">
      <xsd:complexType>
        <xsd:sequence>
          <xsd:element name="documentManagement">
            <xsd:complexType>
              <xsd:all>
                <xsd:element ref="ns2:PolicyPortalIssueNo" minOccurs="0"/>
                <xsd:element ref="ns2:PolicyPortalDocRef" minOccurs="0"/>
                <xsd:element ref="ns2:PolicyPortalDocType" minOccurs="0"/>
                <xsd:element ref="ns2:PolicyPortalDirectorate" minOccurs="0"/>
                <xsd:element ref="ns2:PolicyPortalProcessSpecialismFunctionTopic" minOccurs="0"/>
                <xsd:element ref="ns2:PolicyPortalProcessOwnerPostTitle" minOccurs="0"/>
                <xsd:element ref="ns2:PolicyPortalProcessOwnerRoleHolder" minOccurs="0"/>
                <xsd:element ref="ns2:PolicyPortalResponsibleDelegatePostTitle" minOccurs="0"/>
                <xsd:element ref="ns2:PolicyPortalResponsibleDelegateRoleHolder" minOccurs="0"/>
                <xsd:element ref="ns2:PolicyPortalIssueDate" minOccurs="0"/>
                <xsd:element ref="ns2:PolicyPortalReviewDate" minOccurs="0"/>
                <xsd:element ref="ns2:PolicyPortalIssueHistoryComments" minOccurs="0"/>
                <xsd:element ref="ns2:PolicyPortalFirstPublicationDate" minOccurs="0"/>
                <xsd:element ref="ns2:PolicyPortalOldDocRef" minOccurs="0"/>
                <xsd:element ref="ns2:PolicyPortalOldRecordRef" minOccurs="0"/>
                <xsd:element ref="ns2:PolicyPortalPublishStatus" minOccurs="0"/>
                <xsd:element ref="ns3:_dlc_DocId" minOccurs="0"/>
                <xsd:element ref="ns3:_dlc_DocIdUrl" minOccurs="0"/>
                <xsd:element ref="ns3:_dlc_DocIdPersistId" minOccurs="0"/>
                <xsd:element ref="ns3:TaxKeywordTaxHTField" minOccurs="0"/>
                <xsd:element ref="ns3:TaxCatchAll" minOccurs="0"/>
                <xsd:element ref="ns4:dd2817321d504f1caee75a1112d299d4" minOccurs="0"/>
                <xsd:element ref="ns4:PCR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e2855-9588-4bc9-9890-af639bd565eb" elementFormDefault="qualified">
    <xsd:import namespace="http://schemas.microsoft.com/office/2006/documentManagement/types"/>
    <xsd:import namespace="http://schemas.microsoft.com/office/infopath/2007/PartnerControls"/>
    <xsd:element name="PolicyPortalIssueNo" ma:index="2" nillable="true" ma:displayName="Issue No." ma:internalName="PolicyPortalIssueNo" ma:percentage="FALSE">
      <xsd:simpleType>
        <xsd:restriction base="dms:Number"/>
      </xsd:simpleType>
    </xsd:element>
    <xsd:element name="PolicyPortalDocRef" ma:index="3" nillable="true" ma:displayName="Doc. Ref." ma:internalName="PolicyPortalDocRef">
      <xsd:simpleType>
        <xsd:restriction base="dms:Text">
          <xsd:maxLength value="255"/>
        </xsd:restriction>
      </xsd:simpleType>
    </xsd:element>
    <xsd:element name="PolicyPortalDocType" ma:index="4" nillable="true" ma:displayName="Doc. Type" ma:format="Dropdown" ma:internalName="PolicyPortalDocType">
      <xsd:simpleType>
        <xsd:restriction base="dms:Choice">
          <xsd:enumeration value="Framework/Strategy"/>
          <xsd:enumeration value="Guidance (Gen.)"/>
          <xsd:enumeration value="Handbook"/>
          <xsd:enumeration value="HSW Standard"/>
          <xsd:enumeration value="Instruction"/>
          <xsd:enumeration value="Manual"/>
          <xsd:enumeration value="MoU"/>
          <xsd:enumeration value="Policy"/>
          <xsd:enumeration value="Procedure"/>
          <xsd:enumeration value="Protocol"/>
          <xsd:enumeration value="R2A2"/>
          <xsd:enumeration value="Strategy"/>
          <xsd:enumeration value="TAG"/>
          <xsd:enumeration value="Template"/>
          <xsd:enumeration value="TIG"/>
          <xsd:enumeration value="TOR"/>
          <xsd:enumeration value="N/A"/>
        </xsd:restriction>
      </xsd:simpleType>
    </xsd:element>
    <xsd:element name="PolicyPortalDirectorate" ma:index="5" nillable="true" ma:displayName="Directorate" ma:format="Dropdown" ma:internalName="PolicyPortalDirectorate">
      <xsd:simpleType>
        <xsd:restriction base="dms:Choice">
          <xsd:enumeration value="Corporate Security and Resilience Office"/>
          <xsd:enumeration value="Finance"/>
          <xsd:enumeration value="Governance and Private Office"/>
          <xsd:enumeration value="HR"/>
          <xsd:enumeration value="IT"/>
          <xsd:enumeration value="New Reactors"/>
          <xsd:enumeration value="Operating Facilities"/>
          <xsd:enumeration value="Sellafield Decommissioning and Waste"/>
          <xsd:enumeration value="Strategy and Corporate Affairs"/>
          <xsd:enumeration value="Technical"/>
        </xsd:restriction>
      </xsd:simpleType>
    </xsd:element>
    <xsd:element name="PolicyPortalProcessSpecialismFunctionTopic" ma:index="6" nillable="true" ma:displayName="Process / Specialism / Function / Topic" ma:format="Dropdown" ma:internalName="PolicyPortalProcessSpecialismFunctionTopic">
      <xsd:simpleType>
        <xsd:union memberTypes="dms:Text">
          <xsd:simpleType>
            <xsd:restriction base="dms:Choice">
              <xsd:enumeration value="Academy - Training / L&amp;D"/>
              <xsd:enumeration value="Accessibility"/>
              <xsd:enumeration value="Accounting &amp; Budgeting"/>
              <xsd:enumeration value="ALARP Working Group"/>
              <xsd:enumeration value="Anti-Bribery and Corruption, and Fraud Prevention Compliance"/>
              <xsd:enumeration value="Assessment (Nuclear safety)"/>
              <xsd:enumeration value="Business Impact Target (BIT)"/>
              <xsd:enumeration value="Business Travel"/>
              <xsd:enumeration value="Change Management (Org.)"/>
              <xsd:enumeration value="Chemistry &amp; Chemical Engineering"/>
              <xsd:enumeration value="Civil Engineering"/>
              <xsd:enumeration value="Civil Engineering and External Hazards (CEEH)"/>
              <xsd:enumeration value="Civil Nuclear Security"/>
              <xsd:enumeration value="Comms"/>
              <xsd:enumeration value="Conducting Investigations"/>
              <xsd:enumeration value="Compliance"/>
              <xsd:enumeration value="Contractor Management"/>
              <xsd:enumeration value="Cyber Security and Information Assurance"/>
              <xsd:enumeration value="Data Protection"/>
              <xsd:enumeration value="Defence - Propulsion"/>
              <xsd:enumeration value="Delivery Lead - Technical Division (R&amp;TS)"/>
              <xsd:enumeration value="Development of Regulations and Guides"/>
              <xsd:enumeration value="Diversity &amp; Inclusion (HR)"/>
              <xsd:enumeration value="Divisional Delivery Support (DDS)"/>
              <xsd:enumeration value="EC&amp;I Engineering"/>
              <xsd:enumeration value="Efficiency Framework"/>
              <xsd:enumeration value="Emergency P&amp;R"/>
              <xsd:enumeration value="Emergency Preparedness &amp; Response (EP&amp;R)"/>
              <xsd:enumeration value="Environment and Sustainability"/>
              <xsd:enumeration value="Estates"/>
              <xsd:enumeration value="Expenses"/>
              <xsd:enumeration value="Export Control"/>
              <xsd:enumeration value="Fault Analysis"/>
              <xsd:enumeration value="Freedom of Information (FOI) &amp; Gen. Enquiries"/>
              <xsd:enumeration value="GDA"/>
              <xsd:enumeration value="Gifts and Hospitality"/>
              <xsd:enumeration value="Governance"/>
              <xsd:enumeration value="Health, Safety and Wellbeing (HSW)"/>
              <xsd:enumeration value="Human &amp; Organisational Capability"/>
              <xsd:enumeration value="Incident Management and Business Continuity"/>
              <xsd:enumeration value="Information Management"/>
              <xsd:enumeration value="Information Security"/>
              <xsd:enumeration value="International Cooperation"/>
              <xsd:enumeration value="Invoice Management"/>
              <xsd:enumeration value="IT"/>
              <xsd:enumeration value="Land Use Planning"/>
              <xsd:enumeration value="Leadership and Management for Safety and Security"/>
              <xsd:enumeration value="Learning &amp; Development"/>
              <xsd:enumeration value="Legal Support"/>
              <xsd:enumeration value="Management System"/>
              <xsd:enumeration value="Mechanical Engineering"/>
              <xsd:enumeration value="New build/construction"/>
              <xsd:enumeration value="NHSS"/>
              <xsd:enumeration value="Notification &amp; Authorisation"/>
              <xsd:enumeration value="Nuclear Liabilities Regulation"/>
              <xsd:enumeration value="Operating Reactors"/>
              <xsd:enumeration value="Operational Inspection"/>
              <xsd:enumeration value="Organisational Learning"/>
              <xsd:enumeration value="People Services"/>
              <xsd:enumeration value="Performance Management (HR)"/>
              <xsd:enumeration value="Permissioning"/>
              <xsd:enumeration value="PMO"/>
              <xsd:enumeration value="Policy"/>
              <xsd:enumeration value="Procurement"/>
              <xsd:enumeration value="Radiological Protection &amp; Criticality"/>
              <xsd:enumeration value="Regulations &amp; Regulatory Issues"/>
              <xsd:enumeration value="Regulatory Assurance"/>
              <xsd:enumeration value="Regulatory Oversight"/>
              <xsd:enumeration value="Research &amp; Development"/>
              <xsd:enumeration value="Risk Management"/>
              <xsd:enumeration value="RITE"/>
              <xsd:enumeration value="Safeguards"/>
              <xsd:enumeration value="Safety Case Working Group"/>
              <xsd:enumeration value="Security &amp; Information Regulatory Assurance"/>
              <xsd:enumeration value="Sellafield"/>
              <xsd:enumeration value="Shared Services"/>
              <xsd:enumeration value="Structural Integrity"/>
              <xsd:enumeration value="Transport Competent Authority (TCA)"/>
              <xsd:enumeration value="Whistleblowing"/>
              <xsd:enumeration value="WIReD"/>
            </xsd:restriction>
          </xsd:simpleType>
        </xsd:union>
      </xsd:simpleType>
    </xsd:element>
    <xsd:element name="PolicyPortalProcessOwnerPostTitle" ma:index="7" nillable="true" ma:displayName="Process Owner (Post Title)" ma:format="Dropdown" ma:internalName="PolicyPortalProcessOwnerPostTitle">
      <xsd:simpleType>
        <xsd:restriction base="dms:Choice">
          <xsd:enumeration value="CIO"/>
          <xsd:enumeration value="CISO"/>
          <xsd:enumeration value="Data Protection Officer (DPO)"/>
          <xsd:enumeration value="Finance Director"/>
          <xsd:enumeration value="Head of Governance and Private Office"/>
          <xsd:enumeration value="HR Director"/>
          <xsd:enumeration value="New Reactors Director"/>
          <xsd:enumeration value="Operating Facilities Director"/>
          <xsd:enumeration value="Sellafield Decommissioning and Waste Director"/>
          <xsd:enumeration value="Senior Director of Regulation"/>
          <xsd:enumeration value="Strategy and Corporate Affairs Director"/>
          <xsd:enumeration value="Technical Director"/>
        </xsd:restriction>
      </xsd:simpleType>
    </xsd:element>
    <xsd:element name="PolicyPortalProcessOwnerRoleHolder" ma:index="8" nillable="true" ma:displayName="Process Owner (Role Holder)" ma:list="UserInfo" ma:SharePointGroup="0" ma:internalName="PolicyPortalProcessOwner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ResponsibleDelegatePostTitle" ma:index="9" nillable="true" ma:displayName="Responsible Delegate (Post Title)" ma:format="Dropdown" ma:internalName="PolicyPortalResponsibleDelegatePostTitle">
      <xsd:simpleType>
        <xsd:union memberTypes="dms:Text">
          <xsd:simpleType>
            <xsd:restriction base="dms:Choice">
              <xsd:enumeration value="Chair of Accessibility Working Group (AWG)"/>
              <xsd:enumeration value="Corporate Security Manager"/>
              <xsd:enumeration value="Data Protection Compliance Lead"/>
              <xsd:enumeration value="Deputy Director of Regulation (TD)"/>
              <xsd:enumeration value="Executive Office Support"/>
              <xsd:enumeration value="Export Control Manager"/>
              <xsd:enumeration value="Governance and Compliance Lead"/>
              <xsd:enumeration value="Governance Manager"/>
              <xsd:enumeration value="Head of Academy"/>
              <xsd:enumeration value="Head of Commercial Management and Procurement"/>
              <xsd:enumeration value="Head of Communications"/>
              <xsd:enumeration value="Head of Compliance"/>
              <xsd:enumeration value="Head of Data and Analytics"/>
              <xsd:enumeration value="Head of Governance and Compliance"/>
              <xsd:enumeration value="Head of Private Office"/>
              <xsd:enumeration value="Head of Estates and Shared Services"/>
              <xsd:enumeration value="Head of Finance and Commercial"/>
              <xsd:enumeration value="Head of Incident Management and Business Continuity"/>
              <xsd:enumeration value="Head of International Strategy and Public Correspondence"/>
              <xsd:enumeration value="Head of IT"/>
              <xsd:enumeration value="Head of Legal Liaison"/>
              <xsd:enumeration value="Head of Organisational Development (HR)"/>
              <xsd:enumeration value="Head of Organisational Learning"/>
              <xsd:enumeration value="Head of People Services"/>
              <xsd:enumeration value="Head of PMO"/>
              <xsd:enumeration value="Head of Policy"/>
              <xsd:enumeration value="Head of Regulatory Policy and Standards"/>
              <xsd:enumeration value="Head of Risk and Assurance"/>
              <xsd:enumeration value="HoR - Advanced Nuclear Technologies (ANTs) and Holtec SMR-300 GDA"/>
              <xsd:enumeration value="HoR - Emergency Preparedness and Response"/>
              <xsd:enumeration value="HoR - Rolls-Royce SMR (GDA)"/>
              <xsd:enumeration value="HoR - Transport Competent Authority (TCA)"/>
              <xsd:enumeration value="HoR - Sellafield Compliance Intelligence and Enforcement"/>
              <xsd:enumeration value="HoR - Sellafield Project Delivery"/>
              <xsd:enumeration value="HoR - Sellafield Decommissioning"/>
              <xsd:enumeration value="HoP - Civil Engineering and External Hazards"/>
              <xsd:enumeration value="HoP - Cyber Security &amp; Information Assurance"/>
              <xsd:enumeration value="HoP - DDS"/>
              <xsd:enumeration value="HoP - Electrical, Control and Instrumentation Engineering"/>
              <xsd:enumeration value="HoP - Fault Analysis"/>
              <xsd:enumeration value="HoP - Human and Organisational Capability"/>
              <xsd:enumeration value="HoP - Mechanical Engineering and Structural Integrity"/>
              <xsd:enumeration value="HoP - Nuclear Internal Hazards and Site Safety"/>
              <xsd:enumeration value="HoP - Nuclear Liabilities, Chemistry and Chemical Engineering"/>
              <xsd:enumeration value="HoP - Operational Inspection"/>
              <xsd:enumeration value="HoP - Protective Security"/>
              <xsd:enumeration value="HoP - Radiological Protection and Criticality"/>
              <xsd:enumeration value="HoP - Regulatory Programme and Business Management"/>
              <xsd:enumeration value="HoP - Safeguards"/>
              <xsd:enumeration value="HSW Manager"/>
              <xsd:enumeration value="Information Management Manager"/>
              <xsd:enumeration value="WIReD Product Owner"/>
            </xsd:restriction>
          </xsd:simpleType>
        </xsd:union>
      </xsd:simpleType>
    </xsd:element>
    <xsd:element name="PolicyPortalResponsibleDelegateRoleHolder" ma:index="10" nillable="true" ma:displayName="Responsible Delegate (Role Holder)" ma:list="UserInfo" ma:SharePointGroup="0" ma:internalName="PolicyPortalResponsibleDelegate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IssueDate" ma:index="11" nillable="true" ma:displayName="Issue Date" ma:format="DateOnly" ma:internalName="PolicyPortalIssueDate">
      <xsd:simpleType>
        <xsd:restriction base="dms:DateTime"/>
      </xsd:simpleType>
    </xsd:element>
    <xsd:element name="PolicyPortalReviewDate" ma:index="12" nillable="true" ma:displayName="Review Date" ma:format="DateOnly" ma:internalName="PolicyPortalReviewDate">
      <xsd:simpleType>
        <xsd:restriction base="dms:DateTime"/>
      </xsd:simpleType>
    </xsd:element>
    <xsd:element name="PolicyPortalIssueHistoryComments" ma:index="15" nillable="true" ma:displayName="Issue History/Comments" ma:internalName="PolicyPortalIssueHistoryComments">
      <xsd:simpleType>
        <xsd:restriction base="dms:Note">
          <xsd:maxLength value="255"/>
        </xsd:restriction>
      </xsd:simpleType>
    </xsd:element>
    <xsd:element name="PolicyPortalFirstPublicationDate" ma:index="16" nillable="true" ma:displayName="First Publication Date" ma:format="DateOnly" ma:internalName="PolicyPortalFirstPublicationDate">
      <xsd:simpleType>
        <xsd:restriction base="dms:DateTime"/>
      </xsd:simpleType>
    </xsd:element>
    <xsd:element name="PolicyPortalOldDocRef" ma:index="17" nillable="true" ma:displayName="Old Doc. Ref." ma:internalName="PolicyPortalOldDocRef">
      <xsd:simpleType>
        <xsd:restriction base="dms:Text">
          <xsd:maxLength value="255"/>
        </xsd:restriction>
      </xsd:simpleType>
    </xsd:element>
    <xsd:element name="PolicyPortalOldRecordRef" ma:index="18" nillable="true" ma:displayName="Old Record Ref." ma:internalName="PolicyPortalOldRecordRef">
      <xsd:simpleType>
        <xsd:restriction base="dms:Text">
          <xsd:maxLength value="255"/>
        </xsd:restriction>
      </xsd:simpleType>
    </xsd:element>
    <xsd:element name="PolicyPortalPublishStatus" ma:index="25" nillable="true" ma:displayName="Publish Status" ma:format="Dropdown" ma:internalName="PolicyPortalPublishStatus">
      <xsd:simpleType>
        <xsd:restriction base="dms:Choice">
          <xsd:enumeration value="Live"/>
          <xsd:enumeration value="Unpublish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05350e14-297a-489c-ad04-faf6563b232c" elementFormDefault="qualified">
    <xsd:import namespace="http://schemas.microsoft.com/office/2006/documentManagement/types"/>
    <xsd:import namespace="http://schemas.microsoft.com/office/infopath/2007/PartnerControls"/>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TaxKeywordTaxHTField" ma:index="30" nillable="true" ma:taxonomy="true" ma:internalName="TaxKeywordTaxHTField" ma:taxonomyFieldName="TaxKeyword" ma:displayName="Enterprise Keywords" ma:fieldId="{23f27201-bee3-471e-b2e7-b64fd8b7ca38}" ma:taxonomyMulti="true" ma:sspId="66693000-3e12-4b44-a742-9a2ba35b7d28" ma:termSetId="00000000-0000-0000-0000-000000000000" ma:anchorId="00000000-0000-0000-0000-000000000000" ma:open="true" ma:isKeyword="true">
      <xsd:complexType>
        <xsd:sequence>
          <xsd:element ref="pc:Terms" minOccurs="0" maxOccurs="1"/>
        </xsd:sequence>
      </xsd:complexType>
    </xsd:element>
    <xsd:element name="TaxCatchAll" ma:index="31" nillable="true" ma:displayName="Taxonomy Catch All Column" ma:hidden="true" ma:list="{85a4ca9d-4aea-456d-868e-8e20a97dbaed}" ma:internalName="TaxCatchAll" ma:showField="CatchAllData" ma:web="05350e14-297a-489c-ad04-faf6563b232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bd4c4c3-96d4-4265-b68e-6a383a5dca66" elementFormDefault="qualified">
    <xsd:import namespace="http://schemas.microsoft.com/office/2006/documentManagement/types"/>
    <xsd:import namespace="http://schemas.microsoft.com/office/infopath/2007/PartnerControls"/>
    <xsd:element name="dd2817321d504f1caee75a1112d299d4" ma:index="33" nillable="true" ma:taxonomy="true" ma:internalName="dd2817321d504f1caee75a1112d299d4" ma:taxonomyFieldName="Topic" ma:displayName="Topic" ma:default="" ma:fieldId="{dd281732-1d50-4f1c-aee7-5a1112d299d4}" ma:taxonomyMulti="true" ma:sspId="66693000-3e12-4b44-a742-9a2ba35b7d28" ma:termSetId="7b4e1cbc-bd02-4183-9474-8a15f7a1216f" ma:anchorId="00000000-0000-0000-0000-000000000000" ma:open="false" ma:isKeyword="false">
      <xsd:complexType>
        <xsd:sequence>
          <xsd:element ref="pc:Terms" minOccurs="0" maxOccurs="1"/>
        </xsd:sequence>
      </xsd:complexType>
    </xsd:element>
    <xsd:element name="PCR_x003f_" ma:index="34" nillable="true" ma:displayName="PCR?" ma:default="0" ma:description="Document forms part of the Policy Compliance Report for ARAC." ma:format="Dropdown" ma:internalName="PCR_x003f_">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IEEE2006OfficeOnline.xsl" StyleName="IEEE" Version="2006">
  <b:Source>
    <b:Tag>ONR51</b:Tag>
    <b:SourceType>DocumentFromInternetSite</b:SourceType>
    <b:Guid>{F0D62252-DD84-4680-AAB2-CB317FE6E85E}</b:Guid>
    <b:Author>
      <b:Author>
        <b:Corporate>ONR</b:Corporate>
      </b:Author>
    </b:Author>
    <b:Title>NS-TAST-GD-027 - Training and Assuring Personnel Competence</b:Title>
    <b:URL>Available internally via HOW2 Hub and externally via the ONR website.</b:URL>
    <b:RefOrder>1</b:RefOrder>
  </b:Source>
  <b:Source>
    <b:Tag>ONR33</b:Tag>
    <b:SourceType>DocumentFromInternetSite</b:SourceType>
    <b:Guid>{2556555C-398E-4500-B0E7-BF64A989A65D}</b:Guid>
    <b:Author>
      <b:Author>
        <b:Corporate>ONR</b:Corporate>
      </b:Author>
    </b:Author>
    <b:Title>ONR-RD-POL-002 - Risk-Informed and Targeted Engagements (RITE) Policy</b:Title>
    <b:URL>Available internally via HOW2 Hub and externally via the ONR website.</b:URL>
    <b:RefOrder>2</b:RefOrder>
  </b:Source>
  <b:Source>
    <b:Tag>ONR36</b:Tag>
    <b:SourceType>DocumentFromInternetSite</b:SourceType>
    <b:Guid>{F23FEE05-B6F0-4D5A-80ED-777AF368C824}</b:Guid>
    <b:Author>
      <b:Author>
        <b:Corporate>ONR</b:Corporate>
      </b:Author>
    </b:Author>
    <b:Title>NS-INSP-GD-010 - LC 10 Training</b:Title>
    <b:URL>Available internally via HOW2 Hub and externally via the ONR website.</b:URL>
    <b:RefOrder>3</b:RefOrder>
  </b:Source>
  <b:Source>
    <b:Tag>ONR34</b:Tag>
    <b:SourceType>DocumentFromInternetSite</b:SourceType>
    <b:Guid>{7CA40745-B228-43FF-B580-1ED280E39A79}</b:Guid>
    <b:Author>
      <b:Author>
        <b:Corporate>ONR</b:Corporate>
      </b:Author>
    </b:Author>
    <b:Title>ONR-INSP-GD-064 - General Inspection Guide</b:Title>
    <b:URL>Available internally via HOW2 Hub and externally via the ONR website.</b:URL>
    <b:RefOrder>4</b:RefOrder>
  </b:Source>
  <b:Source>
    <b:Tag>ONR232</b:Tag>
    <b:SourceType>DocumentFromInternetSite</b:SourceType>
    <b:Guid>{3EE19DDF-08EF-4007-B405-A10F99A5DC75}</b:Guid>
    <b:Author>
      <b:Author>
        <b:Corporate>ONR</b:Corporate>
      </b:Author>
    </b:Author>
    <b:Title>ONR Nuclear Material Accountancy Control &amp; Safeguards (ONMACS)</b:Title>
    <b:URL>Available internally via HOW2 Hub and externally via the ONR website.</b:URL>
    <b:RefOrder>5</b:RefOrder>
  </b:Source>
  <b:Source>
    <b:Tag>ONR37</b:Tag>
    <b:SourceType>DocumentFromInternetSite</b:SourceType>
    <b:Guid>{76B7C614-59B8-4FC6-AD1D-BB858CAE33B3}</b:Guid>
    <b:Author>
      <b:Author>
        <b:Corporate>ONR</b:Corporate>
      </b:Author>
    </b:Author>
    <b:Title>SG-INSP-GD-001 - Safeguards</b:Title>
    <b:URL>Available internally via HOW2 Hub and externally via the ONR website.</b:URL>
    <b:RefOrder>6</b:RefOrder>
  </b:Source>
  <b:Source>
    <b:Tag>ONR35</b:Tag>
    <b:SourceType>DocumentFromInternetSite</b:SourceType>
    <b:Guid>{28C9A79A-3046-40D9-9618-2438CA2AB2AF}</b:Guid>
    <b:Author>
      <b:Author>
        <b:Corporate>ONR</b:Corporate>
      </b:Author>
    </b:Author>
    <b:Title>Security Assessment Principles for the Civil Nuclear Industry (SyAPs)</b:Title>
    <b:URL>Available internally via HOW2 Hub and externally via the ONR website.</b:URL>
    <b:RefOrder>7</b:RefOrder>
  </b:Source>
  <b:Source>
    <b:Tag>ONR38</b:Tag>
    <b:SourceType>DocumentFromInternetSite</b:SourceType>
    <b:Guid>{399E2B22-9597-467D-B812-07662F773B0F}</b:Guid>
    <b:Author>
      <b:Author>
        <b:Corporate>ONR</b:Corporate>
      </b:Author>
    </b:Author>
    <b:Title>CNS-INSP-GD-001 - Nuclear Security Inspections</b:Title>
    <b:URL>Available internally via HOW2 Hub and externally via the ONR website.</b:URL>
    <b:RefOrder>8</b:RefOrder>
  </b:Source>
  <b:Source>
    <b:Tag>ONR39</b:Tag>
    <b:SourceType>DocumentFromInternetSite</b:SourceType>
    <b:Guid>{CC81C121-D431-4ED6-B2C0-85A4B3A4C25C}</b:Guid>
    <b:Author>
      <b:Author>
        <b:Corporate>ONR</b:Corporate>
      </b:Author>
    </b:Author>
    <b:Title>NS-INSP-GD-069 - Compliance Inspection of Transport Arrangements</b:Title>
    <b:URL>Available internally via HOW2 Hub and externally via the ONR website.</b:URL>
    <b:RefOrder>10</b:RefOrder>
  </b:Source>
  <b:Source>
    <b:Tag>GOV</b:Tag>
    <b:SourceType>ElectronicSource</b:SourceType>
    <b:Guid>{AD635DCC-6CF1-4D15-BB38-4B49AFEEAF11}</b:Guid>
    <b:Author>
      <b:Author>
        <b:Corporate>HM Government</b:Corporate>
      </b:Author>
    </b:Author>
    <b:Title>The Ionising Radiation Regulations 2017</b:Title>
    <b:Year>2017</b:Year>
    <b:RefOrder>9</b:RefOrder>
  </b:Source>
  <b:Source>
    <b:Tag>ONR40</b:Tag>
    <b:SourceType>DocumentFromInternetSite</b:SourceType>
    <b:Guid>{836511B1-2D89-4BF4-89F8-93E1470C1543}</b:Guid>
    <b:Author>
      <b:Author>
        <b:Corporate>ONR</b:Corporate>
      </b:Author>
    </b:Author>
    <b:Title>NS-INSP-GD-074 - Construction (Design and Management) Regulations</b:Title>
    <b:URL>Available internally via HOW2 Hub and externally via the ONR website.</b:URL>
    <b:RefOrder>11</b:RefOrder>
  </b:Source>
  <b:Source>
    <b:Tag>ONR41</b:Tag>
    <b:SourceType>DocumentFromInternetSite</b:SourceType>
    <b:Guid>{F00A49B5-5C6D-4A7B-AD0D-FC9CC020E96D}</b:Guid>
    <b:Author>
      <b:Author>
        <b:Corporate>ONR</b:Corporate>
      </b:Author>
    </b:Author>
    <b:Title>NS-INSP-GD-073 - The regulation of Life Fire Safety on Nuclear Licensed Sites</b:Title>
    <b:URL>Available internally via HOW2 Hub and externally via the ONR website.</b:URL>
    <b:RefOrder>12</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F1E7696-64D0-4E76-BD09-5F47C27AB98C}">
  <ds:schemaRefs>
    <ds:schemaRef ds:uri="http://schemas.microsoft.com/sharepoint/v3/contenttype/forms"/>
  </ds:schemaRefs>
</ds:datastoreItem>
</file>

<file path=customXml/itemProps3.xml><?xml version="1.0" encoding="utf-8"?>
<ds:datastoreItem xmlns:ds="http://schemas.openxmlformats.org/officeDocument/2006/customXml" ds:itemID="{490ED5B9-84BB-4E11-AB53-C0B8C211310C}">
  <ds:schemaRefs>
    <ds:schemaRef ds:uri="http://schemas.microsoft.com/sharepoint/events"/>
  </ds:schemaRefs>
</ds:datastoreItem>
</file>

<file path=customXml/itemProps4.xml><?xml version="1.0" encoding="utf-8"?>
<ds:datastoreItem xmlns:ds="http://schemas.openxmlformats.org/officeDocument/2006/customXml" ds:itemID="{B9419ACF-FD9B-4EEB-B545-BB3F91B9B619}">
  <ds:schemaRefs>
    <ds:schemaRef ds:uri="Microsoft.SharePoint.Taxonomy.ContentTypeSync"/>
  </ds:schemaRefs>
</ds:datastoreItem>
</file>

<file path=customXml/itemProps5.xml><?xml version="1.0" encoding="utf-8"?>
<ds:datastoreItem xmlns:ds="http://schemas.openxmlformats.org/officeDocument/2006/customXml" ds:itemID="{302464A8-7BA5-4131-8D06-4B18A77BE91D}">
  <ds:schemaRefs>
    <ds:schemaRef ds:uri="http://schemas.microsoft.com/office/2006/documentManagement/types"/>
    <ds:schemaRef ds:uri="http://schemas.openxmlformats.org/package/2006/metadata/core-properties"/>
    <ds:schemaRef ds:uri="http://www.w3.org/XML/1998/namespace"/>
    <ds:schemaRef ds:uri="http://purl.org/dc/elements/1.1/"/>
    <ds:schemaRef ds:uri="8c4e2855-9588-4bc9-9890-af639bd565eb"/>
    <ds:schemaRef ds:uri="fbd4c4c3-96d4-4265-b68e-6a383a5dca66"/>
    <ds:schemaRef ds:uri="http://purl.org/dc/dcmitype/"/>
    <ds:schemaRef ds:uri="http://schemas.microsoft.com/office/infopath/2007/PartnerControls"/>
    <ds:schemaRef ds:uri="05350e14-297a-489c-ad04-faf6563b232c"/>
    <ds:schemaRef ds:uri="http://schemas.microsoft.com/office/2006/metadata/properties"/>
    <ds:schemaRef ds:uri="http://purl.org/dc/terms/"/>
  </ds:schemaRefs>
</ds:datastoreItem>
</file>

<file path=customXml/itemProps6.xml><?xml version="1.0" encoding="utf-8"?>
<ds:datastoreItem xmlns:ds="http://schemas.openxmlformats.org/officeDocument/2006/customXml" ds:itemID="{E6BDFBB1-A6D9-4EB1-A374-68D96B6493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e2855-9588-4bc9-9890-af639bd565eb"/>
    <ds:schemaRef ds:uri="05350e14-297a-489c-ad04-faf6563b232c"/>
    <ds:schemaRef ds:uri="fbd4c4c3-96d4-4265-b68e-6a383a5dc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016E3AC1-91D6-46B5-B046-1BC4ECD20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13</Pages>
  <Words>2974</Words>
  <Characters>16835</Characters>
  <Application>Microsoft Office Word</Application>
  <DocSecurity>0</DocSecurity>
  <Lines>455</Lines>
  <Paragraphs>194</Paragraphs>
  <ScaleCrop>false</ScaleCrop>
  <HeadingPairs>
    <vt:vector size="2" baseType="variant">
      <vt:variant>
        <vt:lpstr>Title</vt:lpstr>
      </vt:variant>
      <vt:variant>
        <vt:i4>1</vt:i4>
      </vt:variant>
    </vt:vector>
  </HeadingPairs>
  <TitlesOfParts>
    <vt:vector size="1" baseType="lpstr">
      <vt:lpstr>Licence Condition 12 – Duly Authorised and other suitably qualified and experienced persons</vt:lpstr>
    </vt:vector>
  </TitlesOfParts>
  <Manager>Office for Nuclear Regulation</Manager>
  <Company>Office for Nuclear Regulation</Company>
  <LinksUpToDate>false</LinksUpToDate>
  <CharactersWithSpaces>19615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Licence Condition 12 – Duly authorised and other suitably qualified and experienced persons</dc:title>
  <dc:subject>[Subtitle or description]</dc:subject>
  <dc:creator>Liam Dunning</dc:creator>
  <cp:keywords>[Key words separated by commas]</cp:keywords>
  <dc:description/>
  <cp:lastModifiedBy>Liam Dunning</cp:lastModifiedBy>
  <cp:revision>5</cp:revision>
  <cp:lastPrinted>2016-11-28T11:35:00Z</cp:lastPrinted>
  <dcterms:created xsi:type="dcterms:W3CDTF">2026-01-26T09:31:00Z</dcterms:created>
  <dcterms:modified xsi:type="dcterms:W3CDTF">2026-01-26T09:44:00Z</dcterms:modified>
  <cp:contentStatus>4.1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ContentTypeId">
    <vt:lpwstr>0x0101000C70A82DFAAC384DB9F6EBA2C8B87C5700D27B61D2EA57AC4F87A5F2CF441D8227</vt:lpwstr>
  </property>
</Properties>
</file>