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1F2E5A96" w:rsidR="00D0226A" w:rsidRPr="001E03E1" w:rsidRDefault="004B4ECC"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95AB0">
                      <w:rPr>
                        <w:sz w:val="72"/>
                        <w:szCs w:val="72"/>
                      </w:rPr>
                      <w:t>LC 3 – Control of Property Transactions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A29B4CB" w14:textId="77777777" w:rsidR="00B23A5E" w:rsidRPr="00595C8C" w:rsidRDefault="00B23A5E" w:rsidP="00B23A5E">
      <w:pPr>
        <w:pStyle w:val="InnerCoverTitle"/>
        <w:rPr>
          <w:sz w:val="36"/>
          <w:szCs w:val="36"/>
        </w:rPr>
      </w:pPr>
      <w:r w:rsidRPr="00595C8C">
        <w:rPr>
          <w:sz w:val="36"/>
          <w:szCs w:val="36"/>
        </w:rPr>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B6E986F" w:rsidR="00004C16" w:rsidRDefault="00017EE0" w:rsidP="00004C16">
          <w:r>
            <w:rPr>
              <w:rStyle w:val="Style2"/>
            </w:rPr>
            <w:t>LC 3</w:t>
          </w:r>
          <w:r w:rsidR="00A95AB0">
            <w:rPr>
              <w:rStyle w:val="Style2"/>
            </w:rPr>
            <w:t xml:space="preserve"> –</w:t>
          </w:r>
          <w:r>
            <w:rPr>
              <w:rStyle w:val="Style2"/>
            </w:rPr>
            <w:t xml:space="preserve"> Control</w:t>
          </w:r>
          <w:r w:rsidR="00A95AB0">
            <w:rPr>
              <w:rStyle w:val="Style2"/>
            </w:rPr>
            <w:t xml:space="preserve"> </w:t>
          </w:r>
          <w:r>
            <w:rPr>
              <w:rStyle w:val="Style2"/>
            </w:rPr>
            <w:t>of Property Transactions</w:t>
          </w:r>
        </w:p>
      </w:sdtContent>
    </w:sdt>
    <w:p w14:paraId="74D76014" w14:textId="77777777" w:rsidR="00350DB6" w:rsidRDefault="00350DB6" w:rsidP="00AF7FC3">
      <w:pPr>
        <w:rPr>
          <w:b/>
          <w:bCs/>
          <w:szCs w:val="24"/>
        </w:rPr>
      </w:pPr>
    </w:p>
    <w:p w14:paraId="446886A0" w14:textId="7959607C" w:rsidR="00AF7FC3" w:rsidRPr="00350DB6" w:rsidRDefault="00AF7FC3" w:rsidP="00AF7FC3">
      <w:pPr>
        <w:rPr>
          <w:b/>
          <w:bCs/>
          <w:szCs w:val="24"/>
        </w:rPr>
      </w:pPr>
      <w:r w:rsidRPr="00350DB6">
        <w:rPr>
          <w:b/>
          <w:bCs/>
          <w:szCs w:val="24"/>
        </w:rPr>
        <w:t xml:space="preserve">Authored by: Nuclear Safety Inspector </w:t>
      </w:r>
    </w:p>
    <w:p w14:paraId="79017D17" w14:textId="77777777" w:rsidR="00AF7FC3" w:rsidRPr="00350DB6" w:rsidRDefault="00AF7FC3" w:rsidP="00AF7FC3">
      <w:pPr>
        <w:rPr>
          <w:b/>
          <w:bCs/>
          <w:szCs w:val="24"/>
        </w:rPr>
      </w:pPr>
      <w:r w:rsidRPr="00350DB6">
        <w:rPr>
          <w:b/>
          <w:bCs/>
          <w:szCs w:val="24"/>
        </w:rPr>
        <w:t>Approved by: Head of Profession – Operational Inspection</w:t>
      </w:r>
    </w:p>
    <w:p w14:paraId="247E3769" w14:textId="171E5923" w:rsidR="00004C16" w:rsidRPr="00350DB6" w:rsidRDefault="00004C16" w:rsidP="00004C16">
      <w:pPr>
        <w:rPr>
          <w:szCs w:val="24"/>
        </w:rPr>
      </w:pPr>
      <w:r w:rsidRPr="00350DB6">
        <w:rPr>
          <w:b/>
          <w:bCs/>
          <w:szCs w:val="24"/>
        </w:rPr>
        <w:t>Issue</w:t>
      </w:r>
      <w:r w:rsidR="007A72FA" w:rsidRPr="00350DB6">
        <w:rPr>
          <w:b/>
          <w:bCs/>
          <w:szCs w:val="24"/>
        </w:rPr>
        <w:t>:</w:t>
      </w:r>
      <w:r w:rsidRPr="00350DB6">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50DB6">
            <w:rPr>
              <w:szCs w:val="24"/>
            </w:rPr>
            <w:t>1.2</w:t>
          </w:r>
        </w:sdtContent>
      </w:sdt>
    </w:p>
    <w:p w14:paraId="19206F45" w14:textId="679BB530" w:rsidR="00004C16" w:rsidRPr="00350DB6" w:rsidRDefault="007A72FA" w:rsidP="00004C16">
      <w:pPr>
        <w:rPr>
          <w:szCs w:val="24"/>
        </w:rPr>
      </w:pPr>
      <w:r w:rsidRPr="00350DB6">
        <w:rPr>
          <w:b/>
          <w:bCs/>
          <w:szCs w:val="24"/>
        </w:rPr>
        <w:t>Published</w:t>
      </w:r>
      <w:r w:rsidR="00004C16" w:rsidRPr="00350DB6">
        <w:rPr>
          <w:szCs w:val="24"/>
        </w:rPr>
        <w:t xml:space="preserve">: </w:t>
      </w:r>
      <w:r w:rsidR="00350DB6">
        <w:rPr>
          <w:szCs w:val="24"/>
        </w:rPr>
        <w:t>August 2025</w:t>
      </w:r>
    </w:p>
    <w:p w14:paraId="22297511" w14:textId="1732E252" w:rsidR="005C1E52" w:rsidRPr="00350DB6" w:rsidRDefault="005C1E52" w:rsidP="00004C16">
      <w:pPr>
        <w:rPr>
          <w:szCs w:val="24"/>
        </w:rPr>
      </w:pPr>
      <w:r w:rsidRPr="00350DB6">
        <w:rPr>
          <w:b/>
          <w:bCs/>
          <w:szCs w:val="24"/>
        </w:rPr>
        <w:t xml:space="preserve">Next </w:t>
      </w:r>
      <w:r w:rsidR="007A72FA" w:rsidRPr="00350DB6">
        <w:rPr>
          <w:b/>
          <w:bCs/>
          <w:szCs w:val="24"/>
        </w:rPr>
        <w:t>scheduled review</w:t>
      </w:r>
      <w:r w:rsidRPr="00350DB6">
        <w:rPr>
          <w:szCs w:val="24"/>
        </w:rPr>
        <w:t xml:space="preserve">: </w:t>
      </w:r>
      <w:r w:rsidR="00350DB6">
        <w:rPr>
          <w:szCs w:val="24"/>
        </w:rPr>
        <w:t>August 2028</w:t>
      </w:r>
    </w:p>
    <w:p w14:paraId="5C6B9B2F" w14:textId="1534249B" w:rsidR="006F7E5F" w:rsidRPr="00350DB6" w:rsidRDefault="006F7E5F" w:rsidP="00004C16">
      <w:pPr>
        <w:rPr>
          <w:szCs w:val="24"/>
        </w:rPr>
      </w:pPr>
      <w:r w:rsidRPr="00350DB6">
        <w:rPr>
          <w:b/>
          <w:bCs/>
          <w:szCs w:val="24"/>
        </w:rPr>
        <w:t>Doc</w:t>
      </w:r>
      <w:r w:rsidR="007A72FA" w:rsidRPr="00350DB6">
        <w:rPr>
          <w:b/>
          <w:bCs/>
          <w:szCs w:val="24"/>
        </w:rPr>
        <w:t>ument reference</w:t>
      </w:r>
      <w:r w:rsidRPr="00350DB6">
        <w:rPr>
          <w:szCs w:val="24"/>
        </w:rPr>
        <w:t xml:space="preserve">: </w:t>
      </w:r>
      <w:r w:rsidR="00350DB6">
        <w:rPr>
          <w:szCs w:val="24"/>
        </w:rPr>
        <w:t>NS-INSP-GD-003</w:t>
      </w:r>
    </w:p>
    <w:p w14:paraId="55057C62" w14:textId="160E9B18" w:rsidR="00004C16" w:rsidRPr="00350DB6" w:rsidRDefault="00004C16" w:rsidP="00A95AB0">
      <w:pPr>
        <w:rPr>
          <w:szCs w:val="24"/>
        </w:rPr>
      </w:pPr>
      <w:r w:rsidRPr="00A95AB0">
        <w:rPr>
          <w:b/>
          <w:bCs/>
          <w:szCs w:val="24"/>
        </w:rPr>
        <w:t xml:space="preserve">Record </w:t>
      </w:r>
      <w:r w:rsidR="007A72FA" w:rsidRPr="00A95AB0">
        <w:rPr>
          <w:b/>
          <w:bCs/>
          <w:szCs w:val="24"/>
        </w:rPr>
        <w:t>reference</w:t>
      </w:r>
      <w:r w:rsidRPr="00A95AB0">
        <w:rPr>
          <w:szCs w:val="24"/>
        </w:rPr>
        <w:t xml:space="preserve">: </w:t>
      </w:r>
      <w:hyperlink r:id="rId16" w:tgtFrame="_blank" w:tooltip="ONRHH-822789359-20348" w:history="1">
        <w:r w:rsidR="00A95AB0" w:rsidRPr="00A95AB0">
          <w:rPr>
            <w:rStyle w:val="Hyperlink"/>
            <w:szCs w:val="24"/>
          </w:rPr>
          <w:t>ONRHH-822789359-20348</w:t>
        </w:r>
      </w:hyperlink>
    </w:p>
    <w:p w14:paraId="39BC0EA4" w14:textId="77777777" w:rsidR="00420A11" w:rsidRDefault="00420A11" w:rsidP="00323E71"/>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1408"/>
        <w:gridCol w:w="7608"/>
      </w:tblGrid>
      <w:tr w:rsidR="00595C8C" w:rsidRPr="00B23A5E" w14:paraId="116B87DF" w14:textId="77777777" w:rsidTr="00A95AB0">
        <w:trPr>
          <w:cnfStyle w:val="100000000000" w:firstRow="1" w:lastRow="0" w:firstColumn="0" w:lastColumn="0" w:oddVBand="0" w:evenVBand="0" w:oddHBand="0" w:evenHBand="0" w:firstRowFirstColumn="0" w:firstRowLastColumn="0" w:lastRowFirstColumn="0" w:lastRowLastColumn="0"/>
        </w:trPr>
        <w:tc>
          <w:tcPr>
            <w:tcW w:w="1408" w:type="dxa"/>
          </w:tcPr>
          <w:p w14:paraId="72366D01" w14:textId="26F62300" w:rsidR="00595C8C" w:rsidRPr="00B23A5E" w:rsidRDefault="00595C8C" w:rsidP="00595C8C">
            <w:pPr>
              <w:spacing w:before="60" w:after="60"/>
              <w:rPr>
                <w:b w:val="0"/>
                <w:bCs/>
              </w:rPr>
            </w:pPr>
            <w:r w:rsidRPr="00B23A5E">
              <w:rPr>
                <w:b w:val="0"/>
                <w:bCs/>
              </w:rPr>
              <w:t>Issue</w:t>
            </w:r>
          </w:p>
        </w:tc>
        <w:tc>
          <w:tcPr>
            <w:tcW w:w="7608" w:type="dxa"/>
          </w:tcPr>
          <w:p w14:paraId="2D00C3FD" w14:textId="3DE5164D" w:rsidR="00595C8C" w:rsidRPr="00B23A5E" w:rsidRDefault="00595C8C" w:rsidP="00595C8C">
            <w:pPr>
              <w:spacing w:before="60" w:after="60"/>
              <w:rPr>
                <w:b w:val="0"/>
                <w:bCs/>
              </w:rPr>
            </w:pPr>
            <w:r w:rsidRPr="00B23A5E">
              <w:rPr>
                <w:b w:val="0"/>
                <w:bCs/>
              </w:rPr>
              <w:t xml:space="preserve">Description of </w:t>
            </w:r>
            <w:r w:rsidR="007A72FA">
              <w:rPr>
                <w:b w:val="0"/>
                <w:bCs/>
              </w:rPr>
              <w:t>u</w:t>
            </w:r>
            <w:r w:rsidRPr="00B23A5E">
              <w:rPr>
                <w:b w:val="0"/>
                <w:bCs/>
              </w:rPr>
              <w:t>pdate(s)</w:t>
            </w:r>
          </w:p>
        </w:tc>
      </w:tr>
      <w:tr w:rsidR="00595C8C" w14:paraId="0B4E4E42" w14:textId="77777777" w:rsidTr="00A95AB0">
        <w:tc>
          <w:tcPr>
            <w:tcW w:w="1408" w:type="dxa"/>
          </w:tcPr>
          <w:p w14:paraId="65482A03" w14:textId="63BC6693" w:rsidR="00595C8C" w:rsidRDefault="00C2565D" w:rsidP="00595C8C">
            <w:pPr>
              <w:spacing w:before="60" w:after="60"/>
            </w:pPr>
            <w:r>
              <w:t>1.2</w:t>
            </w:r>
          </w:p>
        </w:tc>
        <w:tc>
          <w:tcPr>
            <w:tcW w:w="7608" w:type="dxa"/>
          </w:tcPr>
          <w:p w14:paraId="22DF575A" w14:textId="77777777" w:rsidR="00595C8C" w:rsidRDefault="00C2565D" w:rsidP="00595C8C">
            <w:pPr>
              <w:spacing w:before="60" w:after="60"/>
            </w:pPr>
            <w:r>
              <w:t>Updated template and format</w:t>
            </w:r>
            <w:r w:rsidR="00FF104D">
              <w:t>.</w:t>
            </w:r>
          </w:p>
          <w:p w14:paraId="1C80912E" w14:textId="457A6079" w:rsidR="00FF104D" w:rsidRDefault="00FF104D" w:rsidP="00595C8C">
            <w:pPr>
              <w:spacing w:before="60" w:after="60"/>
            </w:pPr>
            <w:r>
              <w:t>No change to the intent of LC</w:t>
            </w:r>
            <w:r w:rsidR="000A6382">
              <w:t xml:space="preserve"> </w:t>
            </w:r>
            <w:r>
              <w:t>3</w:t>
            </w:r>
          </w:p>
        </w:tc>
      </w:tr>
    </w:tbl>
    <w:p w14:paraId="1FDB4B56" w14:textId="6C10B266" w:rsidR="00595C8C" w:rsidRDefault="00595C8C" w:rsidP="00323E71">
      <w:pPr>
        <w:sectPr w:rsidR="00595C8C" w:rsidSect="00B23A5E">
          <w:headerReference w:type="default" r:id="rId17"/>
          <w:footerReference w:type="default" r:id="rId18"/>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203057138"/>
      <w:bookmarkEnd w:id="0"/>
      <w:r w:rsidRPr="00223090">
        <w:t>Introduction</w:t>
      </w:r>
      <w:bookmarkEnd w:id="1"/>
    </w:p>
    <w:p w14:paraId="1E80079B" w14:textId="5E832913" w:rsidR="001B5818" w:rsidRDefault="001B5818" w:rsidP="001B5818">
      <w:pPr>
        <w:pStyle w:val="F9-Paragraph"/>
        <w:spacing w:before="0" w:after="240"/>
      </w:pPr>
      <w:bookmarkStart w:id="2" w:name="_Toc203057139"/>
      <w:r w:rsidRPr="00C71586">
        <w:t xml:space="preserve">Technical Inspection Guides (TIGs) assist inspectors in making regulatory judgments and providing advice on Licence Conditions (LCs). Most LCs are goal-setting, leaving the specifics of arrangements to the dutyholder, who is ultimately responsible for safety. This guidance aims to support consistent inspection of LC </w:t>
      </w:r>
      <w:r w:rsidR="00900D2C">
        <w:t>3</w:t>
      </w:r>
      <w:r w:rsidRPr="00C71586">
        <w:t xml:space="preserve"> – </w:t>
      </w:r>
      <w:r w:rsidR="00900D2C">
        <w:t xml:space="preserve">Control of </w:t>
      </w:r>
      <w:r w:rsidR="00116D62">
        <w:t>property transactions</w:t>
      </w:r>
      <w:r>
        <w:t xml:space="preserve">. </w:t>
      </w:r>
    </w:p>
    <w:p w14:paraId="30B08D3E" w14:textId="716D45D2" w:rsidR="001B5818" w:rsidRDefault="001B5818" w:rsidP="0041736A">
      <w:pPr>
        <w:pStyle w:val="F9-Paragraph"/>
        <w:spacing w:before="0" w:after="240"/>
      </w:pPr>
      <w:r w:rsidRPr="00C71586">
        <w:t xml:space="preserve">While not exhaustive or mandatory, the guidance offers a clear framework for inspectors to assess the adequacy </w:t>
      </w:r>
      <w:r>
        <w:t xml:space="preserve">of compliance. </w:t>
      </w:r>
      <w:r w:rsidRPr="00C71586">
        <w:t xml:space="preserve">Additional </w:t>
      </w:r>
      <w:r>
        <w:t xml:space="preserve">relevant </w:t>
      </w:r>
      <w:r w:rsidRPr="00C71586">
        <w:t>information on record management is available in the Technical Assessment Guide (TAG) on “</w:t>
      </w:r>
      <w:r w:rsidR="0041736A" w:rsidRPr="0041736A">
        <w:t>Control of Property Transactions on Licenced Sites”</w:t>
      </w:r>
      <w:sdt>
        <w:sdtPr>
          <w:id w:val="504483541"/>
          <w:citation/>
        </w:sdtPr>
        <w:sdtEndPr/>
        <w:sdtContent>
          <w:r w:rsidR="0048244F">
            <w:fldChar w:fldCharType="begin"/>
          </w:r>
          <w:r w:rsidR="0048244F">
            <w:instrText xml:space="preserve"> CITATION ONR264 \l 2057 </w:instrText>
          </w:r>
          <w:r w:rsidR="0048244F">
            <w:fldChar w:fldCharType="separate"/>
          </w:r>
          <w:r w:rsidR="008756E0">
            <w:rPr>
              <w:noProof/>
            </w:rPr>
            <w:t xml:space="preserve"> </w:t>
          </w:r>
          <w:r w:rsidR="008756E0" w:rsidRPr="008756E0">
            <w:rPr>
              <w:noProof/>
            </w:rPr>
            <w:t>[1]</w:t>
          </w:r>
          <w:r w:rsidR="0048244F">
            <w:fldChar w:fldCharType="end"/>
          </w:r>
        </w:sdtContent>
      </w:sdt>
      <w:r w:rsidR="0048244F">
        <w:t>.</w:t>
      </w:r>
    </w:p>
    <w:p w14:paraId="00274564" w14:textId="654D07B7" w:rsidR="001B5818" w:rsidRDefault="001B5818" w:rsidP="001B5818">
      <w:pPr>
        <w:pStyle w:val="F9-Paragraph"/>
        <w:spacing w:before="0" w:after="240"/>
      </w:pPr>
      <w:r w:rsidRPr="00C71586">
        <w:t>Inspectors should also refer to the ONR procedure on Risk-Informed and Targeted Engagements (RITE)</w:t>
      </w:r>
      <w:r>
        <w:t xml:space="preserve"> </w:t>
      </w:r>
      <w:sdt>
        <w:sdtPr>
          <w:id w:val="2095817672"/>
          <w:citation/>
        </w:sdtPr>
        <w:sdtEndPr/>
        <w:sdtContent>
          <w:r>
            <w:fldChar w:fldCharType="begin"/>
          </w:r>
          <w:r>
            <w:instrText xml:space="preserve"> CITATION ONR2 \l 2057 </w:instrText>
          </w:r>
          <w:r>
            <w:fldChar w:fldCharType="separate"/>
          </w:r>
          <w:r w:rsidR="008756E0" w:rsidRPr="008756E0">
            <w:rPr>
              <w:noProof/>
            </w:rPr>
            <w:t>[2]</w:t>
          </w:r>
          <w:r>
            <w:fldChar w:fldCharType="end"/>
          </w:r>
        </w:sdtContent>
      </w:sdt>
      <w:r w:rsidRPr="00C71586">
        <w:t>, which guides risk-based prioriti</w:t>
      </w:r>
      <w:r>
        <w:t>s</w:t>
      </w:r>
      <w:r w:rsidRPr="00C71586">
        <w:t>ation in regulatory interventions and supports decisions on engaging with dutyholders</w:t>
      </w:r>
      <w:r>
        <w:t>.</w:t>
      </w:r>
    </w:p>
    <w:p w14:paraId="616F197D" w14:textId="4BE3D870" w:rsidR="008D49A5" w:rsidRPr="002042C2" w:rsidRDefault="008D49A5" w:rsidP="002042C2">
      <w:pPr>
        <w:pStyle w:val="Heading2"/>
      </w:pPr>
      <w:r w:rsidRPr="002042C2">
        <w:t>Purpose</w:t>
      </w:r>
      <w:bookmarkEnd w:id="2"/>
      <w:r w:rsidR="009D3AF2">
        <w:t xml:space="preserve"> of LC</w:t>
      </w:r>
      <w:r w:rsidR="000A6382">
        <w:t xml:space="preserve"> </w:t>
      </w:r>
      <w:r w:rsidR="009D3AF2">
        <w:t>3</w:t>
      </w:r>
    </w:p>
    <w:p w14:paraId="29F42AEF" w14:textId="01AD4E2F" w:rsidR="009D3AF2" w:rsidRDefault="009100BB" w:rsidP="009D3AF2">
      <w:pPr>
        <w:pStyle w:val="F9-Paragraph"/>
      </w:pPr>
      <w:r w:rsidRPr="009100BB">
        <w:t xml:space="preserve">The purpose of LC </w:t>
      </w:r>
      <w:r w:rsidR="009D3AF2">
        <w:t xml:space="preserve">3 </w:t>
      </w:r>
      <w:r w:rsidRPr="009100BB">
        <w:t>is to ensure that the licensee remains in control of the whole of the nuclear licensed site, and the activities performed on it, at all times</w:t>
      </w:r>
      <w:r w:rsidR="00EC63B0">
        <w:t xml:space="preserve"> </w:t>
      </w:r>
      <w:sdt>
        <w:sdtPr>
          <w:id w:val="1060745235"/>
          <w:citation/>
        </w:sdtPr>
        <w:sdtEndPr/>
        <w:sdtContent>
          <w:r w:rsidR="00EC63B0">
            <w:fldChar w:fldCharType="begin"/>
          </w:r>
          <w:r w:rsidR="00EC63B0">
            <w:instrText xml:space="preserve"> CITATION ONR264 \l 2057 </w:instrText>
          </w:r>
          <w:r w:rsidR="00EC63B0">
            <w:fldChar w:fldCharType="separate"/>
          </w:r>
          <w:r w:rsidR="008756E0" w:rsidRPr="008756E0">
            <w:rPr>
              <w:noProof/>
            </w:rPr>
            <w:t>[1]</w:t>
          </w:r>
          <w:r w:rsidR="00EC63B0">
            <w:fldChar w:fldCharType="end"/>
          </w:r>
        </w:sdtContent>
      </w:sdt>
      <w:r w:rsidR="009D3AF2">
        <w:t>.</w:t>
      </w:r>
    </w:p>
    <w:p w14:paraId="22521C13" w14:textId="48FA4F4A" w:rsidR="005F1152" w:rsidRDefault="005446FE" w:rsidP="00EC63B0">
      <w:pPr>
        <w:pStyle w:val="F9-Paragraph"/>
        <w:sectPr w:rsidR="005F1152" w:rsidSect="00B23A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sidRPr="005446FE">
        <w:t>This guidance is for inspecting LC</w:t>
      </w:r>
      <w:r w:rsidR="000A6382">
        <w:t xml:space="preserve"> </w:t>
      </w:r>
      <w:r w:rsidRPr="005446FE">
        <w:t>3 compliance related to dutyholder arrangements and their implementation. Any LC</w:t>
      </w:r>
      <w:r w:rsidR="000A6382">
        <w:t xml:space="preserve"> </w:t>
      </w:r>
      <w:r w:rsidRPr="005446FE">
        <w:t xml:space="preserve">3 </w:t>
      </w:r>
      <w:r w:rsidR="004675D5">
        <w:t xml:space="preserve">related </w:t>
      </w:r>
      <w:r w:rsidRPr="005446FE">
        <w:t>permissioning follows our procedures on permissioning</w:t>
      </w:r>
      <w:r w:rsidR="00835F79">
        <w:t xml:space="preserve"> </w:t>
      </w:r>
      <w:sdt>
        <w:sdtPr>
          <w:id w:val="-248498271"/>
          <w:citation/>
        </w:sdtPr>
        <w:sdtEndPr/>
        <w:sdtContent>
          <w:r w:rsidR="006C25C3">
            <w:fldChar w:fldCharType="begin"/>
          </w:r>
          <w:r w:rsidR="006C25C3">
            <w:instrText xml:space="preserve"> CITATION ONR16 \l 2057 </w:instrText>
          </w:r>
          <w:r w:rsidR="006C25C3">
            <w:fldChar w:fldCharType="separate"/>
          </w:r>
          <w:r w:rsidR="008756E0" w:rsidRPr="008756E0">
            <w:rPr>
              <w:noProof/>
            </w:rPr>
            <w:t>[3]</w:t>
          </w:r>
          <w:r w:rsidR="006C25C3">
            <w:fldChar w:fldCharType="end"/>
          </w:r>
        </w:sdtContent>
      </w:sdt>
      <w:r w:rsidR="006C25C3">
        <w:t>.</w:t>
      </w:r>
    </w:p>
    <w:p w14:paraId="05AAE39A" w14:textId="3CDFFCA4" w:rsidR="008D49A5" w:rsidRPr="005446FE" w:rsidRDefault="00E86DF5" w:rsidP="004675D5">
      <w:pPr>
        <w:pStyle w:val="Heading1"/>
      </w:pPr>
      <w:bookmarkStart w:id="3" w:name="_Toc203057140"/>
      <w:r w:rsidRPr="00833E09">
        <w:t xml:space="preserve">Guidance on </w:t>
      </w:r>
      <w:r w:rsidR="002179E3" w:rsidRPr="00833E09">
        <w:t xml:space="preserve">inspection of </w:t>
      </w:r>
      <w:r w:rsidRPr="00833E09">
        <w:t>arrangements</w:t>
      </w:r>
      <w:r w:rsidR="00051DD7" w:rsidRPr="00833E09">
        <w:t xml:space="preserve">, and guidance on inspection of </w:t>
      </w:r>
      <w:r w:rsidR="002179E3" w:rsidRPr="00833E09">
        <w:t>implementation</w:t>
      </w:r>
      <w:bookmarkEnd w:id="3"/>
    </w:p>
    <w:tbl>
      <w:tblPr>
        <w:tblStyle w:val="ONRTable1"/>
        <w:tblW w:w="5000" w:type="pct"/>
        <w:tblInd w:w="0" w:type="dxa"/>
        <w:tblLook w:val="04A0" w:firstRow="1" w:lastRow="0" w:firstColumn="1" w:lastColumn="0" w:noHBand="0" w:noVBand="1"/>
      </w:tblPr>
      <w:tblGrid>
        <w:gridCol w:w="5232"/>
        <w:gridCol w:w="5233"/>
        <w:gridCol w:w="5233"/>
        <w:gridCol w:w="5233"/>
      </w:tblGrid>
      <w:tr w:rsidR="002E5D89" w14:paraId="40D4FB7E" w14:textId="77777777" w:rsidTr="003B28BA">
        <w:trPr>
          <w:cnfStyle w:val="100000000000" w:firstRow="1" w:lastRow="0" w:firstColumn="0" w:lastColumn="0" w:oddVBand="0" w:evenVBand="0" w:oddHBand="0" w:evenHBand="0" w:firstRowFirstColumn="0" w:firstRowLastColumn="0" w:lastRowFirstColumn="0" w:lastRowLastColumn="0"/>
          <w:cantSplit/>
          <w:tblHeader/>
        </w:trPr>
        <w:tc>
          <w:tcPr>
            <w:tcW w:w="1250" w:type="pct"/>
          </w:tcPr>
          <w:p w14:paraId="5CAA4096" w14:textId="3011AEE3" w:rsidR="002E5D89" w:rsidRDefault="002E5D89" w:rsidP="003B28BA">
            <w:pPr>
              <w:spacing w:before="60" w:after="60" w:line="240" w:lineRule="auto"/>
              <w:jc w:val="center"/>
            </w:pPr>
            <w:r>
              <w:t>Licence Condition</w:t>
            </w:r>
          </w:p>
        </w:tc>
        <w:tc>
          <w:tcPr>
            <w:tcW w:w="1250" w:type="pct"/>
          </w:tcPr>
          <w:p w14:paraId="0A7C9529" w14:textId="1B53A712" w:rsidR="002E5D89" w:rsidRDefault="002E5D89" w:rsidP="003B28BA">
            <w:pPr>
              <w:spacing w:before="60" w:after="60" w:line="240" w:lineRule="auto"/>
              <w:jc w:val="center"/>
            </w:pPr>
            <w:r>
              <w:t xml:space="preserve">Regulatory </w:t>
            </w:r>
            <w:r w:rsidR="003B28BA">
              <w:t>o</w:t>
            </w:r>
            <w:r>
              <w:t>utcome</w:t>
            </w:r>
          </w:p>
        </w:tc>
        <w:tc>
          <w:tcPr>
            <w:tcW w:w="1250" w:type="pct"/>
          </w:tcPr>
          <w:p w14:paraId="6872F120" w14:textId="250D2097" w:rsidR="002E5D89" w:rsidRDefault="002E5D89" w:rsidP="003B28BA">
            <w:pPr>
              <w:spacing w:before="60" w:after="60" w:line="240" w:lineRule="auto"/>
              <w:jc w:val="center"/>
            </w:pPr>
            <w:r>
              <w:t>Guidance on inspection of arrangements</w:t>
            </w:r>
          </w:p>
        </w:tc>
        <w:tc>
          <w:tcPr>
            <w:tcW w:w="1250" w:type="pct"/>
          </w:tcPr>
          <w:p w14:paraId="1C995169" w14:textId="1B9BA1B9" w:rsidR="002E5D89" w:rsidRDefault="002E5D89" w:rsidP="003B28BA">
            <w:pPr>
              <w:spacing w:before="60" w:after="60" w:line="240" w:lineRule="auto"/>
              <w:jc w:val="center"/>
            </w:pPr>
            <w:r>
              <w:t>Guidance on inspection of implementation of arrangements</w:t>
            </w:r>
          </w:p>
        </w:tc>
      </w:tr>
      <w:tr w:rsidR="002E5D89" w14:paraId="5BDE0EE9" w14:textId="77777777" w:rsidTr="003B28BA">
        <w:trPr>
          <w:cantSplit/>
        </w:trPr>
        <w:tc>
          <w:tcPr>
            <w:tcW w:w="1250" w:type="pct"/>
          </w:tcPr>
          <w:p w14:paraId="12CA93AC" w14:textId="761A6ED7" w:rsidR="002E5D89" w:rsidRPr="009F2594" w:rsidRDefault="002E5D89" w:rsidP="003B28BA">
            <w:pPr>
              <w:widowControl w:val="0"/>
              <w:numPr>
                <w:ilvl w:val="0"/>
                <w:numId w:val="29"/>
              </w:numPr>
              <w:autoSpaceDE w:val="0"/>
              <w:autoSpaceDN w:val="0"/>
              <w:spacing w:before="60" w:after="60" w:line="240" w:lineRule="auto"/>
              <w:ind w:left="720" w:right="635" w:hanging="720"/>
              <w:rPr>
                <w:rFonts w:eastAsia="Times New Roman" w:cs="Times New Roman"/>
                <w:szCs w:val="24"/>
                <w:lang w:bidi="ar-SA"/>
              </w:rPr>
            </w:pPr>
            <w:r w:rsidRPr="002E5D89">
              <w:rPr>
                <w:rFonts w:eastAsia="Times New Roman" w:cs="Times New Roman"/>
                <w:szCs w:val="24"/>
                <w:lang w:bidi="ar-SA"/>
              </w:rPr>
              <w:t>The licensee shall make and implement adequate arrangements to control all property transactions</w:t>
            </w:r>
            <w:r w:rsidRPr="002E5D89">
              <w:rPr>
                <w:rFonts w:eastAsia="Times New Roman" w:cs="Times New Roman"/>
                <w:szCs w:val="24"/>
                <w:vertAlign w:val="superscript"/>
                <w:lang w:bidi="ar-SA"/>
              </w:rPr>
              <w:footnoteReference w:id="2"/>
            </w:r>
            <w:r w:rsidRPr="002E5D89">
              <w:rPr>
                <w:rFonts w:eastAsia="Times New Roman" w:cs="Times New Roman"/>
                <w:szCs w:val="24"/>
                <w:lang w:bidi="ar-SA"/>
              </w:rPr>
              <w:t xml:space="preserve"> affecting the site or any part of </w:t>
            </w:r>
            <w:r w:rsidRPr="002E5D89">
              <w:rPr>
                <w:rFonts w:eastAsia="Times New Roman" w:cs="Times New Roman"/>
                <w:spacing w:val="-6"/>
                <w:szCs w:val="24"/>
                <w:lang w:bidi="ar-SA"/>
              </w:rPr>
              <w:t xml:space="preserve">the </w:t>
            </w:r>
            <w:r w:rsidRPr="002E5D89">
              <w:rPr>
                <w:rFonts w:eastAsia="Times New Roman" w:cs="Times New Roman"/>
                <w:szCs w:val="24"/>
                <w:lang w:bidi="ar-SA"/>
              </w:rPr>
              <w:t>site to ensure that the licensee remains in overall control of the</w:t>
            </w:r>
            <w:r w:rsidRPr="002E5D89">
              <w:rPr>
                <w:rFonts w:eastAsia="Times New Roman" w:cs="Times New Roman"/>
                <w:spacing w:val="29"/>
                <w:szCs w:val="24"/>
                <w:lang w:bidi="ar-SA"/>
              </w:rPr>
              <w:t xml:space="preserve"> </w:t>
            </w:r>
            <w:r w:rsidRPr="002E5D89">
              <w:rPr>
                <w:rFonts w:eastAsia="Times New Roman" w:cs="Times New Roman"/>
                <w:szCs w:val="24"/>
                <w:lang w:bidi="ar-SA"/>
              </w:rPr>
              <w:t>site.</w:t>
            </w:r>
          </w:p>
        </w:tc>
        <w:tc>
          <w:tcPr>
            <w:tcW w:w="1250" w:type="pct"/>
          </w:tcPr>
          <w:p w14:paraId="0D1D0335" w14:textId="7B9DA741" w:rsidR="0027344A" w:rsidRDefault="000A7F37" w:rsidP="003B28BA">
            <w:pPr>
              <w:spacing w:before="60" w:after="60" w:line="240" w:lineRule="auto"/>
            </w:pPr>
            <w:r w:rsidRPr="000A7F37">
              <w:t xml:space="preserve">The regulatory outcome being sought by LC3 is to ensure that the licensee remains in control of the whole of the nuclear licensed site, and the activities performed on it, at all times </w:t>
            </w:r>
            <w:sdt>
              <w:sdtPr>
                <w:id w:val="-116143255"/>
                <w:citation/>
              </w:sdtPr>
              <w:sdtEndPr/>
              <w:sdtContent>
                <w:r w:rsidRPr="000A7F37">
                  <w:fldChar w:fldCharType="begin"/>
                </w:r>
                <w:r w:rsidRPr="000A7F37">
                  <w:instrText xml:space="preserve"> CITATION ONR264 \l 2057 </w:instrText>
                </w:r>
                <w:r w:rsidRPr="000A7F37">
                  <w:fldChar w:fldCharType="separate"/>
                </w:r>
                <w:r w:rsidR="008756E0" w:rsidRPr="008756E0">
                  <w:rPr>
                    <w:noProof/>
                  </w:rPr>
                  <w:t>[1]</w:t>
                </w:r>
                <w:r w:rsidRPr="000A7F37">
                  <w:fldChar w:fldCharType="end"/>
                </w:r>
              </w:sdtContent>
            </w:sdt>
            <w:r w:rsidR="00C43A84">
              <w:t>.</w:t>
            </w:r>
            <w:r w:rsidR="0027344A" w:rsidRPr="003239C7">
              <w:t xml:space="preserve"> </w:t>
            </w:r>
          </w:p>
          <w:p w14:paraId="649570D1" w14:textId="28ACED6C" w:rsidR="0027344A" w:rsidRDefault="0027344A" w:rsidP="003B28BA">
            <w:pPr>
              <w:spacing w:before="60" w:after="60" w:line="240" w:lineRule="auto"/>
            </w:pPr>
            <w:r w:rsidRPr="003239C7">
              <w:t>This includes having rights of access to all parts of the licensed site. Any transaction which transfers property rights outside the licensee organisation has the potential to affect the licensee’s control.</w:t>
            </w:r>
          </w:p>
          <w:p w14:paraId="008FD640" w14:textId="3142A644" w:rsidR="002E5D89" w:rsidRPr="004675D5" w:rsidRDefault="0027344A" w:rsidP="003B28BA">
            <w:pPr>
              <w:spacing w:before="60" w:after="60" w:line="240" w:lineRule="auto"/>
            </w:pPr>
            <w:r w:rsidRPr="00662B0A">
              <w:t>Applications which involve either enlarging or reducing the area of a licensed site are outside the scope of this licence condition. In these circumstances variation of the licence or relicensing will be necessary, as required by section 3 of the Nuclear Installations Act 1965.</w:t>
            </w:r>
          </w:p>
        </w:tc>
        <w:tc>
          <w:tcPr>
            <w:tcW w:w="1250" w:type="pct"/>
          </w:tcPr>
          <w:p w14:paraId="291B0189" w14:textId="04907D55" w:rsidR="004F1E9E" w:rsidRPr="00456364" w:rsidRDefault="00456364" w:rsidP="003B28BA">
            <w:pPr>
              <w:spacing w:before="60" w:after="60" w:line="240" w:lineRule="auto"/>
            </w:pPr>
            <w:r w:rsidRPr="00456364">
              <w:t>Arrangements should ensure early and routine communication of proposed property transactions to ONR, along with access to documentation and records, so that ONR can confirm the licensee retains control and manages transactions appropriately.</w:t>
            </w:r>
          </w:p>
        </w:tc>
        <w:tc>
          <w:tcPr>
            <w:tcW w:w="1250" w:type="pct"/>
          </w:tcPr>
          <w:p w14:paraId="0C16A5A9" w14:textId="79EEBA5F" w:rsidR="002E5D89" w:rsidRDefault="006B13A5" w:rsidP="003B28BA">
            <w:pPr>
              <w:spacing w:before="60" w:after="60" w:line="240" w:lineRule="auto"/>
            </w:pPr>
            <w:r>
              <w:t>Obtain a copy of the property transactions register and check that it is up to date and includes sufficient detail of the transaction and its significance and confirm that all property transactions are captured.</w:t>
            </w:r>
          </w:p>
        </w:tc>
      </w:tr>
      <w:tr w:rsidR="002E5D89" w14:paraId="4CDCE7D5" w14:textId="77777777" w:rsidTr="003B28BA">
        <w:trPr>
          <w:cantSplit/>
        </w:trPr>
        <w:tc>
          <w:tcPr>
            <w:tcW w:w="1250" w:type="pct"/>
          </w:tcPr>
          <w:p w14:paraId="1710FF4F" w14:textId="24436F18" w:rsidR="002E5D89" w:rsidRDefault="004B6EE8" w:rsidP="003B28BA">
            <w:pPr>
              <w:pStyle w:val="ListParagraph"/>
              <w:numPr>
                <w:ilvl w:val="0"/>
                <w:numId w:val="29"/>
              </w:numPr>
              <w:spacing w:before="60" w:after="60" w:line="240" w:lineRule="auto"/>
              <w:ind w:left="720" w:hanging="720"/>
            </w:pPr>
            <w:r w:rsidRPr="004B6EE8">
              <w:t>The arrangements shall include provision for the classification of all property transactions according to their safety significance and their impact on the licensee’s control of the site. The arrangements shall include a requirement for the provision of adequate documentation to justify the classification of property transactions and shall where appropriately provide for the submission of this documentation to ONR.</w:t>
            </w:r>
          </w:p>
        </w:tc>
        <w:tc>
          <w:tcPr>
            <w:tcW w:w="1250" w:type="pct"/>
            <w:shd w:val="clear" w:color="auto" w:fill="D4EFE5"/>
          </w:tcPr>
          <w:p w14:paraId="021F3160" w14:textId="30EBE3F8" w:rsidR="00662B0A" w:rsidRDefault="00662B0A" w:rsidP="003B28BA">
            <w:pPr>
              <w:spacing w:before="60" w:after="60" w:line="240" w:lineRule="auto"/>
            </w:pPr>
          </w:p>
        </w:tc>
        <w:tc>
          <w:tcPr>
            <w:tcW w:w="1250" w:type="pct"/>
          </w:tcPr>
          <w:p w14:paraId="5E6E0E28" w14:textId="38EB010F" w:rsidR="005A39E8" w:rsidRDefault="007A4527" w:rsidP="003B28BA">
            <w:pPr>
              <w:spacing w:before="60" w:after="60" w:line="240" w:lineRule="auto"/>
            </w:pPr>
            <w:r>
              <w:t xml:space="preserve">Arrangements should contain a categorisation system for transactions which takes account </w:t>
            </w:r>
            <w:r w:rsidR="00E058A6">
              <w:t>and factors</w:t>
            </w:r>
            <w:r>
              <w:t xml:space="preserve"> licensee control and nuclear safety significance.</w:t>
            </w:r>
          </w:p>
          <w:p w14:paraId="01B5E1C8" w14:textId="45AEB39B" w:rsidR="006A49DD" w:rsidRPr="00B524AD" w:rsidRDefault="007A4527" w:rsidP="003B28BA">
            <w:pPr>
              <w:spacing w:before="60" w:after="60" w:line="240" w:lineRule="auto"/>
            </w:pPr>
            <w:r>
              <w:t xml:space="preserve">The licensee should conduct an impact assessment for any proposed transaction. The overall assessment should reflect the aspect with the highest significance. For transactions for which either of the two factors above are categorised as ‘high’, the licensee should obtain ONR’s permission before proceeding. Examples of categories of property transactions are given in Annex D of ONRs TAG, “Control of Property Transactions on Licenced Sites” </w:t>
            </w:r>
            <w:r w:rsidR="00D5786B">
              <w:t>[2]</w:t>
            </w:r>
          </w:p>
        </w:tc>
        <w:tc>
          <w:tcPr>
            <w:tcW w:w="1250" w:type="pct"/>
          </w:tcPr>
          <w:p w14:paraId="5345C877" w14:textId="561309F1" w:rsidR="00977D66" w:rsidRPr="00977D66" w:rsidRDefault="00977D66" w:rsidP="003B28BA">
            <w:pPr>
              <w:spacing w:before="60" w:after="60" w:line="240" w:lineRule="auto"/>
            </w:pPr>
            <w:r w:rsidRPr="00977D66">
              <w:t xml:space="preserve">Inspect the licensee’s safety classification system for property transactions. Check a sample of transactions; challenge as necessary. </w:t>
            </w:r>
            <w:r w:rsidR="004622EE">
              <w:t xml:space="preserve">Including </w:t>
            </w:r>
            <w:r w:rsidRPr="00977D66">
              <w:t>for ‘low’ and ‘medium’ categories.</w:t>
            </w:r>
          </w:p>
          <w:p w14:paraId="37285C04" w14:textId="77777777" w:rsidR="00977D66" w:rsidRPr="00977D66" w:rsidRDefault="00977D66" w:rsidP="003B28BA">
            <w:pPr>
              <w:spacing w:before="60" w:after="60" w:line="240" w:lineRule="auto"/>
            </w:pPr>
            <w:r w:rsidRPr="00977D66">
              <w:t>The arrangements should contain provision for independent review of the assessment of property transactions. Confirm that the arrangements have an appropriate review and approval route for each category of transaction. For transactions which require ONR Consent confirm that:</w:t>
            </w:r>
          </w:p>
          <w:p w14:paraId="225ED6AD" w14:textId="77777777" w:rsidR="00977D66" w:rsidRPr="00977D66" w:rsidRDefault="00977D66" w:rsidP="003B28BA">
            <w:pPr>
              <w:numPr>
                <w:ilvl w:val="0"/>
                <w:numId w:val="32"/>
              </w:numPr>
              <w:spacing w:before="60" w:after="60" w:line="240" w:lineRule="auto"/>
            </w:pPr>
            <w:r w:rsidRPr="00977D66">
              <w:t>Independent Review has been undertaken</w:t>
            </w:r>
          </w:p>
          <w:p w14:paraId="7DDB9661" w14:textId="77777777" w:rsidR="00977D66" w:rsidRDefault="00977D66" w:rsidP="003B28BA">
            <w:pPr>
              <w:numPr>
                <w:ilvl w:val="0"/>
                <w:numId w:val="32"/>
              </w:numPr>
              <w:spacing w:before="60" w:after="60" w:line="240" w:lineRule="auto"/>
            </w:pPr>
            <w:r w:rsidRPr="00977D66">
              <w:t>Nuclear Safety Committee advice has been sought and, if not accepted, there is appropriate justification</w:t>
            </w:r>
          </w:p>
          <w:p w14:paraId="39A36816" w14:textId="606AD789" w:rsidR="002E5D89" w:rsidRDefault="00977D66" w:rsidP="003B28BA">
            <w:pPr>
              <w:numPr>
                <w:ilvl w:val="0"/>
                <w:numId w:val="32"/>
              </w:numPr>
              <w:spacing w:before="60" w:after="60" w:line="240" w:lineRule="auto"/>
            </w:pPr>
            <w:r w:rsidRPr="00977D66">
              <w:t>Submission to ONR has taken place in accordance with timescale outlined in the management arrangements</w:t>
            </w:r>
          </w:p>
        </w:tc>
      </w:tr>
      <w:tr w:rsidR="002E5D89" w14:paraId="5E8EAD01" w14:textId="77777777" w:rsidTr="003B28BA">
        <w:trPr>
          <w:cantSplit/>
        </w:trPr>
        <w:tc>
          <w:tcPr>
            <w:tcW w:w="1250" w:type="pct"/>
          </w:tcPr>
          <w:p w14:paraId="68E68243" w14:textId="0014A727" w:rsidR="002E5D89" w:rsidRPr="0028023B" w:rsidRDefault="00B9078C" w:rsidP="003B28BA">
            <w:pPr>
              <w:widowControl w:val="0"/>
              <w:numPr>
                <w:ilvl w:val="0"/>
                <w:numId w:val="29"/>
              </w:numPr>
              <w:autoSpaceDE w:val="0"/>
              <w:autoSpaceDN w:val="0"/>
              <w:spacing w:before="60" w:after="60" w:line="240" w:lineRule="auto"/>
              <w:ind w:left="720" w:right="733" w:hanging="720"/>
              <w:rPr>
                <w:rFonts w:eastAsia="Times New Roman" w:cs="Times New Roman"/>
                <w:szCs w:val="24"/>
                <w:lang w:bidi="ar-SA"/>
              </w:rPr>
            </w:pPr>
            <w:r w:rsidRPr="00B9078C">
              <w:rPr>
                <w:rFonts w:eastAsia="Times New Roman" w:cs="Times New Roman"/>
                <w:szCs w:val="24"/>
                <w:lang w:bidi="ar-SA"/>
              </w:rPr>
              <w:t xml:space="preserve">The licensee shall submit to ONR for </w:t>
            </w:r>
            <w:r w:rsidRPr="00B9078C">
              <w:rPr>
                <w:rFonts w:eastAsia="Times New Roman" w:cs="Times New Roman"/>
                <w:szCs w:val="24"/>
                <w:shd w:val="clear" w:color="auto" w:fill="DAE49B"/>
                <w:lang w:bidi="ar-SA"/>
              </w:rPr>
              <w:t>approval</w:t>
            </w:r>
            <w:r w:rsidRPr="00B9078C">
              <w:rPr>
                <w:rFonts w:eastAsia="Times New Roman" w:cs="Times New Roman"/>
                <w:szCs w:val="24"/>
                <w:lang w:bidi="ar-SA"/>
              </w:rPr>
              <w:t xml:space="preserve"> such part or </w:t>
            </w:r>
            <w:r w:rsidRPr="00B9078C">
              <w:rPr>
                <w:rFonts w:eastAsia="Times New Roman" w:cs="Times New Roman"/>
                <w:spacing w:val="-4"/>
                <w:szCs w:val="24"/>
                <w:lang w:bidi="ar-SA"/>
              </w:rPr>
              <w:t xml:space="preserve">parts </w:t>
            </w:r>
            <w:r w:rsidRPr="00B9078C">
              <w:rPr>
                <w:rFonts w:eastAsia="Times New Roman" w:cs="Times New Roman"/>
                <w:szCs w:val="24"/>
                <w:lang w:bidi="ar-SA"/>
              </w:rPr>
              <w:t>of the arrangements as ONR may</w:t>
            </w:r>
            <w:r w:rsidRPr="00B9078C">
              <w:rPr>
                <w:rFonts w:eastAsia="Times New Roman" w:cs="Times New Roman"/>
                <w:spacing w:val="2"/>
                <w:szCs w:val="24"/>
                <w:lang w:bidi="ar-SA"/>
              </w:rPr>
              <w:t xml:space="preserve"> </w:t>
            </w:r>
            <w:r w:rsidRPr="00B9078C">
              <w:rPr>
                <w:rFonts w:eastAsia="Times New Roman" w:cs="Times New Roman"/>
                <w:spacing w:val="-3"/>
                <w:szCs w:val="24"/>
                <w:shd w:val="clear" w:color="auto" w:fill="A3D8E7"/>
                <w:lang w:bidi="ar-SA"/>
              </w:rPr>
              <w:t>specify</w:t>
            </w:r>
            <w:r w:rsidRPr="00B9078C">
              <w:rPr>
                <w:rFonts w:eastAsia="Times New Roman" w:cs="Times New Roman"/>
                <w:spacing w:val="-3"/>
                <w:szCs w:val="24"/>
                <w:lang w:bidi="ar-SA"/>
              </w:rPr>
              <w:t>.</w:t>
            </w:r>
          </w:p>
        </w:tc>
        <w:tc>
          <w:tcPr>
            <w:tcW w:w="1250" w:type="pct"/>
            <w:shd w:val="clear" w:color="auto" w:fill="D4EFE5"/>
          </w:tcPr>
          <w:p w14:paraId="6E203FAB" w14:textId="77777777" w:rsidR="002E5D89" w:rsidRDefault="002E5D89" w:rsidP="003B28BA">
            <w:pPr>
              <w:spacing w:before="60" w:after="60" w:line="240" w:lineRule="auto"/>
            </w:pPr>
          </w:p>
        </w:tc>
        <w:tc>
          <w:tcPr>
            <w:tcW w:w="1250" w:type="pct"/>
          </w:tcPr>
          <w:p w14:paraId="53E0EE59" w14:textId="77777777" w:rsidR="002E5D89" w:rsidRDefault="005708BC" w:rsidP="003B28BA">
            <w:pPr>
              <w:spacing w:before="60" w:after="60" w:line="240" w:lineRule="auto"/>
            </w:pPr>
            <w:r>
              <w:t>The requirement to submit for approval to the ONR those parts of the arrangements the ONR may specify</w:t>
            </w:r>
            <w:r w:rsidR="000B28A4">
              <w:t>.</w:t>
            </w:r>
          </w:p>
          <w:p w14:paraId="66378292" w14:textId="035B9726" w:rsidR="002D417A" w:rsidRDefault="00E37629" w:rsidP="003B28BA">
            <w:pPr>
              <w:spacing w:before="60" w:after="60" w:line="240" w:lineRule="auto"/>
            </w:pPr>
            <w:r>
              <w:t>The arrangements should give ONR the option to require the licensee to submit ‘medium’ category transactions for assessment.</w:t>
            </w:r>
          </w:p>
        </w:tc>
        <w:tc>
          <w:tcPr>
            <w:tcW w:w="1250" w:type="pct"/>
          </w:tcPr>
          <w:p w14:paraId="7A991A30" w14:textId="0860BDA9" w:rsidR="002E5D89" w:rsidRDefault="00977D66" w:rsidP="003B28BA">
            <w:pPr>
              <w:pStyle w:val="F9-Paragraph"/>
              <w:numPr>
                <w:ilvl w:val="0"/>
                <w:numId w:val="0"/>
              </w:numPr>
              <w:spacing w:before="60" w:after="60" w:line="240" w:lineRule="auto"/>
            </w:pPr>
            <w:r>
              <w:t>Inspect the licensee’s arrangements for the retention of documents, records, authorities and certificates relating to the property transactions. The terms of any right granted should be recorded in order to avoid disputes.</w:t>
            </w:r>
          </w:p>
        </w:tc>
      </w:tr>
      <w:tr w:rsidR="002E5D89" w14:paraId="1A0C1692" w14:textId="77777777" w:rsidTr="003B28BA">
        <w:trPr>
          <w:cantSplit/>
        </w:trPr>
        <w:tc>
          <w:tcPr>
            <w:tcW w:w="1250" w:type="pct"/>
          </w:tcPr>
          <w:p w14:paraId="0660D0FA" w14:textId="09C02838" w:rsidR="002E5D89" w:rsidRDefault="00B616EA" w:rsidP="003B28BA">
            <w:pPr>
              <w:pStyle w:val="ListParagraph"/>
              <w:widowControl w:val="0"/>
              <w:numPr>
                <w:ilvl w:val="0"/>
                <w:numId w:val="29"/>
              </w:numPr>
              <w:tabs>
                <w:tab w:val="left" w:pos="2358"/>
                <w:tab w:val="left" w:pos="2359"/>
              </w:tabs>
              <w:autoSpaceDE w:val="0"/>
              <w:autoSpaceDN w:val="0"/>
              <w:spacing w:before="60" w:after="60" w:line="240" w:lineRule="auto"/>
              <w:ind w:left="720" w:right="749" w:hanging="720"/>
              <w:contextualSpacing w:val="0"/>
            </w:pPr>
            <w:r w:rsidRPr="000A7950">
              <w:t xml:space="preserve">The licensee shall ensure that once approved no alteration or amendment is made to the approved arrangements unless ONR </w:t>
            </w:r>
            <w:r w:rsidRPr="000A7950">
              <w:rPr>
                <w:spacing w:val="-6"/>
              </w:rPr>
              <w:t>has</w:t>
            </w:r>
            <w:r w:rsidRPr="000A7950">
              <w:rPr>
                <w:spacing w:val="-6"/>
                <w:shd w:val="clear" w:color="auto" w:fill="DAE49B"/>
              </w:rPr>
              <w:t xml:space="preserve"> </w:t>
            </w:r>
            <w:r w:rsidRPr="000A7950">
              <w:rPr>
                <w:shd w:val="clear" w:color="auto" w:fill="DAE49B"/>
              </w:rPr>
              <w:t>approved</w:t>
            </w:r>
            <w:r w:rsidRPr="000A7950">
              <w:t xml:space="preserve"> such alteration or</w:t>
            </w:r>
            <w:r w:rsidRPr="000A7950">
              <w:rPr>
                <w:spacing w:val="3"/>
              </w:rPr>
              <w:t xml:space="preserve"> </w:t>
            </w:r>
            <w:r w:rsidRPr="000A7950">
              <w:t>amendment.</w:t>
            </w:r>
          </w:p>
        </w:tc>
        <w:tc>
          <w:tcPr>
            <w:tcW w:w="1250" w:type="pct"/>
            <w:shd w:val="clear" w:color="auto" w:fill="D4EFE5"/>
          </w:tcPr>
          <w:p w14:paraId="4B3DB726" w14:textId="77777777" w:rsidR="002E5D89" w:rsidRDefault="002E5D89" w:rsidP="003B28BA">
            <w:pPr>
              <w:spacing w:before="60" w:after="60" w:line="240" w:lineRule="auto"/>
            </w:pPr>
          </w:p>
        </w:tc>
        <w:tc>
          <w:tcPr>
            <w:tcW w:w="1250" w:type="pct"/>
          </w:tcPr>
          <w:p w14:paraId="19A80CB7" w14:textId="6755DF16" w:rsidR="002E5D89" w:rsidRDefault="00D175EB" w:rsidP="003B28BA">
            <w:pPr>
              <w:spacing w:before="60" w:after="60" w:line="240" w:lineRule="auto"/>
            </w:pPr>
            <w:r>
              <w:t>The requirement that once approved by the ONR arrangements cannot be altered or amended without the approval of the ONR</w:t>
            </w:r>
          </w:p>
        </w:tc>
        <w:tc>
          <w:tcPr>
            <w:tcW w:w="1250" w:type="pct"/>
          </w:tcPr>
          <w:p w14:paraId="5EFC8F23" w14:textId="77777777" w:rsidR="002E5D89" w:rsidRDefault="002E5D89" w:rsidP="003B28BA">
            <w:pPr>
              <w:spacing w:before="60" w:after="60" w:line="240" w:lineRule="auto"/>
            </w:pPr>
          </w:p>
        </w:tc>
      </w:tr>
      <w:tr w:rsidR="002E5D89" w14:paraId="5613DFD1" w14:textId="77777777" w:rsidTr="003B28BA">
        <w:trPr>
          <w:cantSplit/>
        </w:trPr>
        <w:tc>
          <w:tcPr>
            <w:tcW w:w="1250" w:type="pct"/>
          </w:tcPr>
          <w:p w14:paraId="6532434B" w14:textId="7FC1E919" w:rsidR="002E5D89" w:rsidRDefault="00DC7799" w:rsidP="003B28BA">
            <w:pPr>
              <w:pStyle w:val="ListParagraph"/>
              <w:numPr>
                <w:ilvl w:val="0"/>
                <w:numId w:val="29"/>
              </w:numPr>
              <w:spacing w:before="60" w:after="60" w:line="240" w:lineRule="auto"/>
              <w:ind w:left="720" w:hanging="720"/>
            </w:pPr>
            <w:r w:rsidRPr="000A7950">
              <w:t xml:space="preserve">The licensee shall not transfer its freehold or assign its leasehold interest in the site or any part of the site without the </w:t>
            </w:r>
            <w:r w:rsidRPr="00DC7799">
              <w:rPr>
                <w:shd w:val="clear" w:color="auto" w:fill="FCC978"/>
              </w:rPr>
              <w:t>consent</w:t>
            </w:r>
            <w:r w:rsidRPr="000A7950">
              <w:t xml:space="preserve"> of ONR. In addition, if ONR so </w:t>
            </w:r>
            <w:r w:rsidRPr="00DC7799">
              <w:rPr>
                <w:shd w:val="clear" w:color="auto" w:fill="A3D8E7"/>
              </w:rPr>
              <w:t>specifies</w:t>
            </w:r>
            <w:r w:rsidRPr="000A7950">
              <w:t xml:space="preserve"> the licensee shall not carry out any property transaction, or any property transaction of the description </w:t>
            </w:r>
            <w:r w:rsidRPr="00DC7799">
              <w:rPr>
                <w:spacing w:val="-9"/>
              </w:rPr>
              <w:t xml:space="preserve">or </w:t>
            </w:r>
            <w:r w:rsidRPr="000A7950">
              <w:t xml:space="preserve">descriptions specified by ONR, without the </w:t>
            </w:r>
            <w:r w:rsidRPr="00DC7799">
              <w:rPr>
                <w:shd w:val="clear" w:color="auto" w:fill="FCC978"/>
              </w:rPr>
              <w:t>consent</w:t>
            </w:r>
            <w:r w:rsidRPr="000A7950">
              <w:t xml:space="preserve"> of</w:t>
            </w:r>
            <w:r w:rsidRPr="00DC7799">
              <w:rPr>
                <w:spacing w:val="31"/>
              </w:rPr>
              <w:t xml:space="preserve"> </w:t>
            </w:r>
            <w:r w:rsidRPr="000A7950">
              <w:t>ONR.</w:t>
            </w:r>
          </w:p>
        </w:tc>
        <w:tc>
          <w:tcPr>
            <w:tcW w:w="1250" w:type="pct"/>
            <w:shd w:val="clear" w:color="auto" w:fill="D4EFE5"/>
          </w:tcPr>
          <w:p w14:paraId="544C732E" w14:textId="77777777" w:rsidR="002E5D89" w:rsidRDefault="002E5D89" w:rsidP="003B28BA">
            <w:pPr>
              <w:spacing w:before="60" w:after="60" w:line="240" w:lineRule="auto"/>
            </w:pPr>
          </w:p>
        </w:tc>
        <w:tc>
          <w:tcPr>
            <w:tcW w:w="1250" w:type="pct"/>
          </w:tcPr>
          <w:p w14:paraId="5B8B44FB" w14:textId="77777777" w:rsidR="002E5D89" w:rsidRDefault="001331C4" w:rsidP="003B28BA">
            <w:pPr>
              <w:spacing w:before="60" w:after="60" w:line="240" w:lineRule="auto"/>
            </w:pPr>
            <w:r>
              <w:t>The requirement that where the ONR so specifies, the licensee shall not carry out any property transaction without the consent of ONR</w:t>
            </w:r>
            <w:r w:rsidR="0062571E">
              <w:t>.</w:t>
            </w:r>
          </w:p>
          <w:p w14:paraId="13EB8ADF" w14:textId="62DC9501" w:rsidR="0062571E" w:rsidRDefault="0062571E" w:rsidP="003B28BA">
            <w:pPr>
              <w:spacing w:before="60" w:after="60" w:line="240" w:lineRule="auto"/>
            </w:pPr>
          </w:p>
        </w:tc>
        <w:tc>
          <w:tcPr>
            <w:tcW w:w="1250" w:type="pct"/>
          </w:tcPr>
          <w:p w14:paraId="4E3B5AB6" w14:textId="77777777" w:rsidR="002E5D89" w:rsidRDefault="002E5D89" w:rsidP="003B28BA">
            <w:pPr>
              <w:spacing w:before="60" w:after="60" w:line="240" w:lineRule="auto"/>
            </w:pPr>
          </w:p>
        </w:tc>
      </w:tr>
      <w:tr w:rsidR="00B616EA" w14:paraId="4FA0B8AB" w14:textId="77777777" w:rsidTr="003B28BA">
        <w:trPr>
          <w:cantSplit/>
        </w:trPr>
        <w:tc>
          <w:tcPr>
            <w:tcW w:w="1250" w:type="pct"/>
          </w:tcPr>
          <w:p w14:paraId="480BD6D2" w14:textId="76F5D77D" w:rsidR="00B616EA" w:rsidRDefault="0013181E" w:rsidP="003B28BA">
            <w:pPr>
              <w:pStyle w:val="ListParagraph"/>
              <w:widowControl w:val="0"/>
              <w:numPr>
                <w:ilvl w:val="0"/>
                <w:numId w:val="29"/>
              </w:numPr>
              <w:tabs>
                <w:tab w:val="left" w:pos="2358"/>
                <w:tab w:val="left" w:pos="2359"/>
              </w:tabs>
              <w:autoSpaceDE w:val="0"/>
              <w:autoSpaceDN w:val="0"/>
              <w:spacing w:before="60" w:after="60" w:line="240" w:lineRule="auto"/>
              <w:ind w:left="720" w:right="918" w:hanging="720"/>
              <w:contextualSpacing w:val="0"/>
            </w:pPr>
            <w:r w:rsidRPr="000A7950">
              <w:t xml:space="preserve">The licensee, if so </w:t>
            </w:r>
            <w:r w:rsidRPr="000A7950">
              <w:rPr>
                <w:shd w:val="clear" w:color="auto" w:fill="DBBFDD"/>
              </w:rPr>
              <w:t>directed</w:t>
            </w:r>
            <w:r w:rsidRPr="000A7950">
              <w:t xml:space="preserve"> by ONR, shall not complete the property transaction specified in that direction without the </w:t>
            </w:r>
            <w:r w:rsidRPr="000A7950">
              <w:rPr>
                <w:spacing w:val="-3"/>
                <w:shd w:val="clear" w:color="auto" w:fill="FCC978"/>
              </w:rPr>
              <w:t>consent</w:t>
            </w:r>
            <w:r w:rsidRPr="000A7950">
              <w:rPr>
                <w:spacing w:val="-3"/>
              </w:rPr>
              <w:t xml:space="preserve"> </w:t>
            </w:r>
            <w:r w:rsidRPr="000A7950">
              <w:t>of</w:t>
            </w:r>
            <w:r w:rsidRPr="000A7950">
              <w:rPr>
                <w:spacing w:val="-1"/>
              </w:rPr>
              <w:t xml:space="preserve"> </w:t>
            </w:r>
            <w:r w:rsidRPr="000A7950">
              <w:t>ONR.</w:t>
            </w:r>
          </w:p>
        </w:tc>
        <w:tc>
          <w:tcPr>
            <w:tcW w:w="1250" w:type="pct"/>
            <w:shd w:val="clear" w:color="auto" w:fill="D4EFE5"/>
          </w:tcPr>
          <w:p w14:paraId="093D05F1" w14:textId="77777777" w:rsidR="00B616EA" w:rsidRDefault="00B616EA" w:rsidP="003B28BA">
            <w:pPr>
              <w:spacing w:before="60" w:after="60" w:line="240" w:lineRule="auto"/>
            </w:pPr>
          </w:p>
        </w:tc>
        <w:tc>
          <w:tcPr>
            <w:tcW w:w="1250" w:type="pct"/>
          </w:tcPr>
          <w:p w14:paraId="0519A541" w14:textId="0AB2A5FF" w:rsidR="00B616EA" w:rsidRDefault="00A51465" w:rsidP="003B28BA">
            <w:pPr>
              <w:spacing w:before="60" w:after="60" w:line="240" w:lineRule="auto"/>
            </w:pPr>
            <w:r>
              <w:t>The requirement to halt the property transaction if so directed by the ONR and not to recommence without the consent of the ONR</w:t>
            </w:r>
          </w:p>
        </w:tc>
        <w:tc>
          <w:tcPr>
            <w:tcW w:w="1250" w:type="pct"/>
          </w:tcPr>
          <w:p w14:paraId="43E552A7" w14:textId="77777777" w:rsidR="00B616EA" w:rsidRDefault="00B616EA" w:rsidP="003B28BA">
            <w:pPr>
              <w:spacing w:before="60" w:after="60" w:line="240" w:lineRule="auto"/>
            </w:pPr>
          </w:p>
        </w:tc>
      </w:tr>
      <w:tr w:rsidR="0013181E" w14:paraId="65E68921" w14:textId="77777777" w:rsidTr="003B28BA">
        <w:trPr>
          <w:cantSplit/>
        </w:trPr>
        <w:tc>
          <w:tcPr>
            <w:tcW w:w="1250" w:type="pct"/>
          </w:tcPr>
          <w:p w14:paraId="7B8DDBD5" w14:textId="77777777" w:rsidR="00244417" w:rsidRDefault="00244417" w:rsidP="003B28BA">
            <w:pPr>
              <w:spacing w:before="60" w:after="60" w:line="240" w:lineRule="auto"/>
            </w:pPr>
            <w:bookmarkStart w:id="4" w:name="_Toc107566620"/>
            <w:bookmarkStart w:id="5" w:name="_Toc107566842"/>
            <w:bookmarkStart w:id="6" w:name="_Toc203056755"/>
            <w:r w:rsidRPr="00244417">
              <w:t>Alternative Versions of LC 3 Attached to the Licences of Certain Defence-Related Sites (e.g., AWE plc)</w:t>
            </w:r>
            <w:bookmarkEnd w:id="4"/>
            <w:bookmarkEnd w:id="5"/>
            <w:r w:rsidRPr="00244417">
              <w:t>:</w:t>
            </w:r>
            <w:bookmarkEnd w:id="6"/>
          </w:p>
          <w:p w14:paraId="3B765FF4" w14:textId="77777777" w:rsidR="0028023B" w:rsidRPr="00C3028A" w:rsidRDefault="0028023B" w:rsidP="003B28BA">
            <w:pPr>
              <w:pStyle w:val="ListParagraph"/>
              <w:widowControl w:val="0"/>
              <w:numPr>
                <w:ilvl w:val="0"/>
                <w:numId w:val="31"/>
              </w:numPr>
              <w:tabs>
                <w:tab w:val="left" w:pos="2358"/>
                <w:tab w:val="left" w:pos="2359"/>
              </w:tabs>
              <w:autoSpaceDE w:val="0"/>
              <w:autoSpaceDN w:val="0"/>
              <w:spacing w:before="60" w:after="60" w:line="240" w:lineRule="auto"/>
              <w:ind w:left="1276" w:right="792"/>
              <w:contextualSpacing w:val="0"/>
            </w:pPr>
            <w:r w:rsidRPr="00C3028A">
              <w:t xml:space="preserve">The licensee shall not </w:t>
            </w:r>
            <w:r w:rsidRPr="00C3028A">
              <w:rPr>
                <w:spacing w:val="-3"/>
              </w:rPr>
              <w:t xml:space="preserve">convey, </w:t>
            </w:r>
            <w:r w:rsidRPr="00C3028A">
              <w:t xml:space="preserve">assign, </w:t>
            </w:r>
            <w:r w:rsidRPr="00C3028A">
              <w:rPr>
                <w:spacing w:val="-3"/>
              </w:rPr>
              <w:t xml:space="preserve">transfer, </w:t>
            </w:r>
            <w:r w:rsidRPr="00C3028A">
              <w:t xml:space="preserve">let or part with possession of the site or any part thereof or grant any licence in relation thereto except to the Secretary of State for Defence </w:t>
            </w:r>
            <w:r w:rsidRPr="00C3028A">
              <w:rPr>
                <w:spacing w:val="-3"/>
              </w:rPr>
              <w:t xml:space="preserve">without </w:t>
            </w:r>
            <w:r w:rsidRPr="00C3028A">
              <w:t xml:space="preserve">the </w:t>
            </w:r>
            <w:r w:rsidRPr="00C3028A">
              <w:rPr>
                <w:shd w:val="clear" w:color="auto" w:fill="FCC978"/>
              </w:rPr>
              <w:t>consent</w:t>
            </w:r>
            <w:r w:rsidRPr="00C3028A">
              <w:t xml:space="preserve"> of ONR.</w:t>
            </w:r>
          </w:p>
          <w:p w14:paraId="1153D418" w14:textId="2A9B00F8" w:rsidR="0013181E" w:rsidRPr="000A7950" w:rsidRDefault="0028023B" w:rsidP="003B28BA">
            <w:pPr>
              <w:pStyle w:val="ListParagraph"/>
              <w:widowControl w:val="0"/>
              <w:numPr>
                <w:ilvl w:val="0"/>
                <w:numId w:val="31"/>
              </w:numPr>
              <w:tabs>
                <w:tab w:val="left" w:pos="2358"/>
                <w:tab w:val="left" w:pos="2359"/>
              </w:tabs>
              <w:autoSpaceDE w:val="0"/>
              <w:autoSpaceDN w:val="0"/>
              <w:spacing w:before="60" w:after="60" w:line="240" w:lineRule="auto"/>
              <w:ind w:left="1276" w:right="627"/>
              <w:contextualSpacing w:val="0"/>
            </w:pPr>
            <w:r w:rsidRPr="00C3028A">
              <w:t xml:space="preserve">The licensee shall notify ONR forthwith if occupancy of the site </w:t>
            </w:r>
            <w:r w:rsidRPr="00C3028A">
              <w:rPr>
                <w:spacing w:val="-9"/>
              </w:rPr>
              <w:t xml:space="preserve">or </w:t>
            </w:r>
            <w:r w:rsidRPr="00C3028A">
              <w:t>any part thereof is taken by the Secretary of State for</w:t>
            </w:r>
            <w:r w:rsidRPr="00C3028A">
              <w:rPr>
                <w:spacing w:val="18"/>
              </w:rPr>
              <w:t xml:space="preserve"> </w:t>
            </w:r>
            <w:r w:rsidRPr="00C3028A">
              <w:t>Defence.</w:t>
            </w:r>
          </w:p>
        </w:tc>
        <w:tc>
          <w:tcPr>
            <w:tcW w:w="1250" w:type="pct"/>
          </w:tcPr>
          <w:p w14:paraId="2CD7E37C" w14:textId="77777777" w:rsidR="00E2306E" w:rsidRDefault="006A270F" w:rsidP="003B28BA">
            <w:pPr>
              <w:spacing w:before="60" w:after="60" w:line="240" w:lineRule="auto"/>
            </w:pPr>
            <w:r w:rsidRPr="006A270F">
              <w:t xml:space="preserve">The alternative version of LC 3 attached to the licences of certain defence-related sites (AWE plc) recognises that commercial companies may be conducting licensable activities on land owned by the Secretary of State for Defence. </w:t>
            </w:r>
          </w:p>
          <w:p w14:paraId="54EDD551" w14:textId="40643ECB" w:rsidR="002E1FC2" w:rsidRDefault="006A270F" w:rsidP="003B28BA">
            <w:pPr>
              <w:spacing w:before="60" w:after="60" w:line="240" w:lineRule="auto"/>
            </w:pPr>
            <w:r w:rsidRPr="006A270F">
              <w:t>In such cases the licensee still requires ONR consent if they wish to convey, assign, transfer, let or part with possession of the site</w:t>
            </w:r>
            <w:r w:rsidR="00E2306E">
              <w:t>;</w:t>
            </w:r>
            <w:r w:rsidRPr="006A270F">
              <w:t xml:space="preserve"> or any part of the site to any party</w:t>
            </w:r>
            <w:r w:rsidR="00E2306E">
              <w:t>;</w:t>
            </w:r>
            <w:r w:rsidRPr="006A270F">
              <w:t xml:space="preserve"> or grant any licence in relation to the site or part of the site </w:t>
            </w:r>
            <w:r w:rsidR="00B6233A">
              <w:t xml:space="preserve">to </w:t>
            </w:r>
            <w:r w:rsidRPr="006A270F">
              <w:t>other than the Secretary of State for Defence</w:t>
            </w:r>
            <w:r w:rsidR="00E2306E">
              <w:t>.</w:t>
            </w:r>
            <w:r w:rsidRPr="006A270F">
              <w:t xml:space="preserve"> </w:t>
            </w:r>
            <w:r w:rsidR="003D75E3">
              <w:t>Licensee</w:t>
            </w:r>
            <w:r w:rsidRPr="006A270F">
              <w:t xml:space="preserve"> should have LC 3 management arrangements to obtain ONR consent for these transactions. </w:t>
            </w:r>
          </w:p>
          <w:p w14:paraId="57FC4EEB" w14:textId="6F976BB3" w:rsidR="0013181E" w:rsidRPr="00EE1799" w:rsidRDefault="006A270F" w:rsidP="003B28BA">
            <w:pPr>
              <w:spacing w:before="60" w:after="60" w:line="240" w:lineRule="auto"/>
            </w:pPr>
            <w:r w:rsidRPr="006A270F">
              <w:t>If the Secretary of State for Defence wishes to take occupancy of the site or any part of the site, the licensee should have LC 3 management arrangements to notify ONR.</w:t>
            </w:r>
          </w:p>
        </w:tc>
        <w:tc>
          <w:tcPr>
            <w:tcW w:w="1250" w:type="pct"/>
          </w:tcPr>
          <w:p w14:paraId="285395E7" w14:textId="77777777" w:rsidR="0013181E" w:rsidRDefault="008E463A" w:rsidP="003B28BA">
            <w:pPr>
              <w:spacing w:before="60" w:after="60" w:line="240" w:lineRule="auto"/>
            </w:pPr>
            <w:r>
              <w:t>The requirement for ONR consent to convey, assign, transfer, let or part with possession of the site or any part of the site or grant any licence in relation to the site or part of the site, except to the Secretary of State for Defence.</w:t>
            </w:r>
          </w:p>
          <w:p w14:paraId="056C820A" w14:textId="3F0DB300" w:rsidR="00BF3E93" w:rsidRDefault="00402247" w:rsidP="003B28BA">
            <w:pPr>
              <w:spacing w:before="60" w:after="60" w:line="240" w:lineRule="auto"/>
            </w:pPr>
            <w:r>
              <w:t>The requirement to notify ONR if the occupancy of the site or any part of the site is taken by the Secretary of State for Defence.</w:t>
            </w:r>
          </w:p>
        </w:tc>
        <w:tc>
          <w:tcPr>
            <w:tcW w:w="1250" w:type="pct"/>
          </w:tcPr>
          <w:p w14:paraId="2EC565FE" w14:textId="77777777" w:rsidR="0013181E" w:rsidRDefault="0013181E" w:rsidP="003B28BA">
            <w:pPr>
              <w:spacing w:before="60" w:after="60" w:line="240" w:lineRule="auto"/>
            </w:pPr>
          </w:p>
        </w:tc>
      </w:tr>
    </w:tbl>
    <w:p w14:paraId="2BFCEDB0" w14:textId="467873BE" w:rsidR="00D60BCB" w:rsidRDefault="00D60BCB">
      <w:pPr>
        <w:spacing w:after="0" w:line="240" w:lineRule="auto"/>
      </w:pPr>
    </w:p>
    <w:p w14:paraId="0F74729C" w14:textId="77777777" w:rsidR="00AF7099" w:rsidRDefault="00AF7099" w:rsidP="00E81663">
      <w:pPr>
        <w:pStyle w:val="F9-Paragraph"/>
        <w:numPr>
          <w:ilvl w:val="0"/>
          <w:numId w:val="0"/>
        </w:numPr>
        <w:ind w:left="851" w:hanging="851"/>
      </w:pPr>
    </w:p>
    <w:p w14:paraId="7B4A2323" w14:textId="77777777" w:rsidR="00E81663" w:rsidRDefault="00E81663" w:rsidP="00E81663">
      <w:pPr>
        <w:pStyle w:val="F9-Paragraph"/>
        <w:numPr>
          <w:ilvl w:val="0"/>
          <w:numId w:val="0"/>
        </w:numPr>
        <w:ind w:left="851" w:hanging="851"/>
      </w:pPr>
    </w:p>
    <w:sdt>
      <w:sdtPr>
        <w:id w:val="1498304504"/>
        <w:docPartObj>
          <w:docPartGallery w:val="Bibliographies"/>
          <w:docPartUnique/>
        </w:docPartObj>
      </w:sdtPr>
      <w:sdtEndPr>
        <w:rPr>
          <w:color w:val="auto"/>
          <w:sz w:val="24"/>
        </w:rPr>
      </w:sdtEndPr>
      <w:sdtContent>
        <w:p w14:paraId="01E1E81C" w14:textId="2F781415" w:rsidR="00E81663" w:rsidRDefault="00E81663" w:rsidP="00E81663">
          <w:pPr>
            <w:pStyle w:val="Heading1"/>
            <w:numPr>
              <w:ilvl w:val="0"/>
              <w:numId w:val="0"/>
            </w:numPr>
          </w:pPr>
          <w:r>
            <w:t>References</w:t>
          </w:r>
        </w:p>
        <w:sdt>
          <w:sdtPr>
            <w:id w:val="302510777"/>
            <w:bibliography/>
          </w:sdtPr>
          <w:sdtContent>
            <w:p w14:paraId="2C828A8E" w14:textId="77777777" w:rsidR="00E81663" w:rsidRDefault="00E81663">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20589"/>
              </w:tblGrid>
              <w:tr w:rsidR="00E81663" w14:paraId="4BCFA004" w14:textId="77777777">
                <w:trPr>
                  <w:divId w:val="610088456"/>
                  <w:tblCellSpacing w:w="15" w:type="dxa"/>
                </w:trPr>
                <w:tc>
                  <w:tcPr>
                    <w:tcW w:w="50" w:type="pct"/>
                    <w:hideMark/>
                  </w:tcPr>
                  <w:p w14:paraId="6606AB68" w14:textId="01F4EF07" w:rsidR="00E81663" w:rsidRDefault="00E81663">
                    <w:pPr>
                      <w:pStyle w:val="Bibliography"/>
                      <w:rPr>
                        <w:noProof/>
                        <w:szCs w:val="24"/>
                      </w:rPr>
                    </w:pPr>
                    <w:r>
                      <w:rPr>
                        <w:noProof/>
                      </w:rPr>
                      <w:t xml:space="preserve">[1] </w:t>
                    </w:r>
                  </w:p>
                </w:tc>
                <w:tc>
                  <w:tcPr>
                    <w:tcW w:w="0" w:type="auto"/>
                    <w:hideMark/>
                  </w:tcPr>
                  <w:p w14:paraId="28EA9E82" w14:textId="77777777" w:rsidR="00E81663" w:rsidRDefault="00E81663">
                    <w:pPr>
                      <w:pStyle w:val="Bibliography"/>
                      <w:rPr>
                        <w:noProof/>
                      </w:rPr>
                    </w:pPr>
                    <w:r>
                      <w:rPr>
                        <w:noProof/>
                      </w:rPr>
                      <w:t>ONR, “NS-TAST-GD-087 - Control of Property Tranasctions on Licenced Sites”.</w:t>
                    </w:r>
                  </w:p>
                </w:tc>
              </w:tr>
              <w:tr w:rsidR="00E81663" w14:paraId="6FC711BB" w14:textId="77777777">
                <w:trPr>
                  <w:divId w:val="610088456"/>
                  <w:tblCellSpacing w:w="15" w:type="dxa"/>
                </w:trPr>
                <w:tc>
                  <w:tcPr>
                    <w:tcW w:w="50" w:type="pct"/>
                    <w:hideMark/>
                  </w:tcPr>
                  <w:p w14:paraId="773A9B88" w14:textId="77777777" w:rsidR="00E81663" w:rsidRDefault="00E81663">
                    <w:pPr>
                      <w:pStyle w:val="Bibliography"/>
                      <w:rPr>
                        <w:noProof/>
                      </w:rPr>
                    </w:pPr>
                    <w:r>
                      <w:rPr>
                        <w:noProof/>
                      </w:rPr>
                      <w:t xml:space="preserve">[2] </w:t>
                    </w:r>
                  </w:p>
                </w:tc>
                <w:tc>
                  <w:tcPr>
                    <w:tcW w:w="0" w:type="auto"/>
                    <w:hideMark/>
                  </w:tcPr>
                  <w:p w14:paraId="1E6DA7B2" w14:textId="77777777" w:rsidR="00E81663" w:rsidRDefault="00E81663">
                    <w:pPr>
                      <w:pStyle w:val="Bibliography"/>
                      <w:rPr>
                        <w:noProof/>
                      </w:rPr>
                    </w:pPr>
                    <w:r>
                      <w:rPr>
                        <w:noProof/>
                      </w:rPr>
                      <w:t>ONR, “Risk Informed and Targeted Engagements (ONR-RD-POL-002)”.</w:t>
                    </w:r>
                  </w:p>
                </w:tc>
              </w:tr>
              <w:tr w:rsidR="00E81663" w14:paraId="06B1E4E4" w14:textId="77777777">
                <w:trPr>
                  <w:divId w:val="610088456"/>
                  <w:tblCellSpacing w:w="15" w:type="dxa"/>
                </w:trPr>
                <w:tc>
                  <w:tcPr>
                    <w:tcW w:w="50" w:type="pct"/>
                    <w:hideMark/>
                  </w:tcPr>
                  <w:p w14:paraId="43002A5F" w14:textId="77777777" w:rsidR="00E81663" w:rsidRDefault="00E81663">
                    <w:pPr>
                      <w:pStyle w:val="Bibliography"/>
                      <w:rPr>
                        <w:noProof/>
                      </w:rPr>
                    </w:pPr>
                    <w:r>
                      <w:rPr>
                        <w:noProof/>
                      </w:rPr>
                      <w:t xml:space="preserve">[3] </w:t>
                    </w:r>
                  </w:p>
                </w:tc>
                <w:tc>
                  <w:tcPr>
                    <w:tcW w:w="0" w:type="auto"/>
                    <w:hideMark/>
                  </w:tcPr>
                  <w:p w14:paraId="786646AA" w14:textId="77777777" w:rsidR="00E81663" w:rsidRDefault="00E81663">
                    <w:pPr>
                      <w:pStyle w:val="Bibliography"/>
                      <w:rPr>
                        <w:noProof/>
                      </w:rPr>
                    </w:pPr>
                    <w:r>
                      <w:rPr>
                        <w:noProof/>
                      </w:rPr>
                      <w:t>ONR, “Nuclear Safety Permissioning (NS-PER-GD-001)”.</w:t>
                    </w:r>
                  </w:p>
                </w:tc>
              </w:tr>
            </w:tbl>
            <w:p w14:paraId="71A6BF7D" w14:textId="77777777" w:rsidR="00E81663" w:rsidRDefault="00E81663">
              <w:pPr>
                <w:divId w:val="610088456"/>
                <w:rPr>
                  <w:rFonts w:eastAsia="Times New Roman"/>
                  <w:noProof/>
                </w:rPr>
              </w:pPr>
            </w:p>
            <w:p w14:paraId="5D9320E5" w14:textId="07D392D9" w:rsidR="002042C2" w:rsidRPr="002042C2" w:rsidRDefault="00E81663" w:rsidP="00E81663">
              <w:r>
                <w:rPr>
                  <w:b/>
                  <w:bCs/>
                </w:rPr>
                <w:fldChar w:fldCharType="end"/>
              </w:r>
            </w:p>
          </w:sdtContent>
        </w:sdt>
      </w:sdtContent>
    </w:sdt>
    <w:sectPr w:rsidR="002042C2" w:rsidRPr="002042C2" w:rsidSect="00E81663">
      <w:pgSz w:w="23811" w:h="16838" w:orient="landscape" w:code="8"/>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78BD7" w14:textId="77777777" w:rsidR="004B4ECC" w:rsidRDefault="004B4ECC" w:rsidP="007D199A">
      <w:pPr>
        <w:spacing w:after="0"/>
      </w:pPr>
      <w:r>
        <w:separator/>
      </w:r>
    </w:p>
    <w:p w14:paraId="59FC9BCF" w14:textId="77777777" w:rsidR="004B4ECC" w:rsidRDefault="004B4ECC"/>
  </w:endnote>
  <w:endnote w:type="continuationSeparator" w:id="0">
    <w:p w14:paraId="4894FF07" w14:textId="77777777" w:rsidR="004B4ECC" w:rsidRDefault="004B4ECC" w:rsidP="007D199A">
      <w:pPr>
        <w:spacing w:after="0"/>
      </w:pPr>
      <w:r>
        <w:continuationSeparator/>
      </w:r>
    </w:p>
    <w:p w14:paraId="17088DBB" w14:textId="77777777" w:rsidR="004B4ECC" w:rsidRDefault="004B4E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EF69" w14:textId="27DC3A48" w:rsidR="000A6382" w:rsidRPr="000A6382" w:rsidRDefault="000A6382" w:rsidP="000A6382">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4C6C4" w14:textId="77777777" w:rsidR="004B4ECC" w:rsidRPr="005E0344" w:rsidRDefault="004B4ECC" w:rsidP="005E0344">
      <w:pPr>
        <w:spacing w:after="120"/>
        <w:rPr>
          <w:color w:val="000000" w:themeColor="text2"/>
        </w:rPr>
      </w:pPr>
      <w:r w:rsidRPr="005E0344">
        <w:rPr>
          <w:color w:val="000000" w:themeColor="text2"/>
        </w:rPr>
        <w:separator/>
      </w:r>
    </w:p>
  </w:footnote>
  <w:footnote w:type="continuationSeparator" w:id="0">
    <w:p w14:paraId="29AE9E7A" w14:textId="77777777" w:rsidR="004B4ECC" w:rsidRPr="005E0344" w:rsidRDefault="004B4ECC" w:rsidP="0090581D">
      <w:pPr>
        <w:spacing w:after="120"/>
        <w:rPr>
          <w:color w:val="000000" w:themeColor="text2"/>
        </w:rPr>
      </w:pPr>
      <w:r w:rsidRPr="005E0344">
        <w:rPr>
          <w:color w:val="000000" w:themeColor="text2"/>
        </w:rPr>
        <w:continuationSeparator/>
      </w:r>
    </w:p>
    <w:p w14:paraId="2B026505" w14:textId="77777777" w:rsidR="004B4ECC" w:rsidRDefault="004B4ECC"/>
  </w:footnote>
  <w:footnote w:type="continuationNotice" w:id="1">
    <w:p w14:paraId="55EEBB58" w14:textId="77777777" w:rsidR="004B4ECC" w:rsidRDefault="004B4ECC">
      <w:pPr>
        <w:spacing w:after="0"/>
      </w:pPr>
    </w:p>
    <w:p w14:paraId="4295FD4E" w14:textId="77777777" w:rsidR="004B4ECC" w:rsidRDefault="004B4ECC"/>
  </w:footnote>
  <w:footnote w:id="2">
    <w:p w14:paraId="5DC8026A" w14:textId="6D510F82" w:rsidR="002E5D89" w:rsidRDefault="002E5D89" w:rsidP="00E81663">
      <w:pPr>
        <w:spacing w:line="240" w:lineRule="auto"/>
      </w:pPr>
      <w:r w:rsidRPr="001C03C0">
        <w:rPr>
          <w:rStyle w:val="FootnoteReference"/>
          <w:sz w:val="20"/>
          <w:szCs w:val="20"/>
        </w:rPr>
        <w:footnoteRef/>
      </w:r>
      <w:r w:rsidRPr="001C03C0">
        <w:rPr>
          <w:sz w:val="20"/>
          <w:szCs w:val="20"/>
        </w:rPr>
        <w:t xml:space="preserve"> </w:t>
      </w:r>
      <w:r>
        <w:rPr>
          <w:sz w:val="20"/>
          <w:szCs w:val="18"/>
        </w:rPr>
        <w:t>LC</w:t>
      </w:r>
      <w:r w:rsidRPr="001C03C0">
        <w:rPr>
          <w:sz w:val="20"/>
          <w:szCs w:val="18"/>
        </w:rPr>
        <w:t xml:space="preserve"> 1 defines a property transaction as “any property transaction including a transfer, conveyance, assignment, demise, letting, under-letting, parting with possession, sharing occupation or use, or granting or reserving any property licence, easement or wayleave over or in relation to the site or any part of it, but excluding a right of access or any right of occupation, use or possession to or with a party performing statutory, regulatory or international obligations, or a party delivering contracted services solely to or for the benefit of the licensee in relation to that nuclear licensed 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B9A6675" w:rsidR="00177666" w:rsidRPr="00196ADB" w:rsidRDefault="004B4ECC"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A95AB0">
          <w:rPr>
            <w:sz w:val="20"/>
            <w:szCs w:val="24"/>
          </w:rPr>
          <w:t>LC 3 – Control of Property Transactions</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50DB6">
          <w:rPr>
            <w:sz w:val="20"/>
            <w:szCs w:val="24"/>
          </w:rPr>
          <w:t>1.2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F355A98"/>
    <w:multiLevelType w:val="hybridMultilevel"/>
    <w:tmpl w:val="DFBE048C"/>
    <w:lvl w:ilvl="0" w:tplc="C8CAA480">
      <w:start w:val="1"/>
      <w:numFmt w:val="decimal"/>
      <w:lvlText w:val="%1)"/>
      <w:lvlJc w:val="left"/>
      <w:pPr>
        <w:ind w:left="1815" w:hanging="397"/>
      </w:pPr>
      <w:rPr>
        <w:rFonts w:hint="default"/>
        <w:color w:val="auto"/>
        <w:w w:val="99"/>
        <w:sz w:val="24"/>
        <w:szCs w:val="24"/>
        <w:lang w:val="en-GB" w:eastAsia="en-US" w:bidi="ar-SA"/>
      </w:rPr>
    </w:lvl>
    <w:lvl w:ilvl="1" w:tplc="11D8CBA4">
      <w:numFmt w:val="bullet"/>
      <w:lvlText w:val="•"/>
      <w:lvlJc w:val="left"/>
      <w:pPr>
        <w:ind w:left="2558" w:hanging="397"/>
      </w:pPr>
      <w:rPr>
        <w:rFonts w:hint="default"/>
        <w:lang w:val="en-US" w:eastAsia="en-US" w:bidi="ar-SA"/>
      </w:rPr>
    </w:lvl>
    <w:lvl w:ilvl="2" w:tplc="DC401D12">
      <w:numFmt w:val="bullet"/>
      <w:lvlText w:val="•"/>
      <w:lvlJc w:val="left"/>
      <w:pPr>
        <w:ind w:left="3303" w:hanging="397"/>
      </w:pPr>
      <w:rPr>
        <w:rFonts w:hint="default"/>
        <w:lang w:val="en-US" w:eastAsia="en-US" w:bidi="ar-SA"/>
      </w:rPr>
    </w:lvl>
    <w:lvl w:ilvl="3" w:tplc="B680FC32">
      <w:numFmt w:val="bullet"/>
      <w:lvlText w:val="•"/>
      <w:lvlJc w:val="left"/>
      <w:pPr>
        <w:ind w:left="4047" w:hanging="397"/>
      </w:pPr>
      <w:rPr>
        <w:rFonts w:hint="default"/>
        <w:lang w:val="en-US" w:eastAsia="en-US" w:bidi="ar-SA"/>
      </w:rPr>
    </w:lvl>
    <w:lvl w:ilvl="4" w:tplc="D638C97A">
      <w:numFmt w:val="bullet"/>
      <w:lvlText w:val="•"/>
      <w:lvlJc w:val="left"/>
      <w:pPr>
        <w:ind w:left="4792" w:hanging="397"/>
      </w:pPr>
      <w:rPr>
        <w:rFonts w:hint="default"/>
        <w:lang w:val="en-US" w:eastAsia="en-US" w:bidi="ar-SA"/>
      </w:rPr>
    </w:lvl>
    <w:lvl w:ilvl="5" w:tplc="D53860EC">
      <w:numFmt w:val="bullet"/>
      <w:lvlText w:val="•"/>
      <w:lvlJc w:val="left"/>
      <w:pPr>
        <w:ind w:left="5536" w:hanging="397"/>
      </w:pPr>
      <w:rPr>
        <w:rFonts w:hint="default"/>
        <w:lang w:val="en-US" w:eastAsia="en-US" w:bidi="ar-SA"/>
      </w:rPr>
    </w:lvl>
    <w:lvl w:ilvl="6" w:tplc="B992BC98">
      <w:numFmt w:val="bullet"/>
      <w:lvlText w:val="•"/>
      <w:lvlJc w:val="left"/>
      <w:pPr>
        <w:ind w:left="6281" w:hanging="397"/>
      </w:pPr>
      <w:rPr>
        <w:rFonts w:hint="default"/>
        <w:lang w:val="en-US" w:eastAsia="en-US" w:bidi="ar-SA"/>
      </w:rPr>
    </w:lvl>
    <w:lvl w:ilvl="7" w:tplc="B0CC262E">
      <w:numFmt w:val="bullet"/>
      <w:lvlText w:val="•"/>
      <w:lvlJc w:val="left"/>
      <w:pPr>
        <w:ind w:left="7025" w:hanging="397"/>
      </w:pPr>
      <w:rPr>
        <w:rFonts w:hint="default"/>
        <w:lang w:val="en-US" w:eastAsia="en-US" w:bidi="ar-SA"/>
      </w:rPr>
    </w:lvl>
    <w:lvl w:ilvl="8" w:tplc="1564F030">
      <w:numFmt w:val="bullet"/>
      <w:lvlText w:val="•"/>
      <w:lvlJc w:val="left"/>
      <w:pPr>
        <w:ind w:left="7770" w:hanging="397"/>
      </w:pPr>
      <w:rPr>
        <w:rFonts w:hint="default"/>
        <w:lang w:val="en-US" w:eastAsia="en-US" w:bidi="ar-SA"/>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9238D"/>
    <w:multiLevelType w:val="hybridMultilevel"/>
    <w:tmpl w:val="02BE7BD8"/>
    <w:lvl w:ilvl="0" w:tplc="08090011">
      <w:start w:val="1"/>
      <w:numFmt w:val="decimal"/>
      <w:lvlText w:val="%1)"/>
      <w:lvlJc w:val="left"/>
      <w:pPr>
        <w:ind w:left="1961" w:hanging="397"/>
      </w:pPr>
      <w:rPr>
        <w:rFonts w:hint="default"/>
        <w:color w:val="auto"/>
        <w:w w:val="99"/>
        <w:sz w:val="24"/>
        <w:szCs w:val="24"/>
        <w:lang w:val="en-US" w:eastAsia="en-US" w:bidi="ar-SA"/>
      </w:rPr>
    </w:lvl>
    <w:lvl w:ilvl="1" w:tplc="7932023C">
      <w:numFmt w:val="bullet"/>
      <w:lvlText w:val="•"/>
      <w:lvlJc w:val="left"/>
      <w:pPr>
        <w:ind w:left="2704" w:hanging="397"/>
      </w:pPr>
      <w:rPr>
        <w:rFonts w:hint="default"/>
        <w:lang w:val="en-US" w:eastAsia="en-US" w:bidi="ar-SA"/>
      </w:rPr>
    </w:lvl>
    <w:lvl w:ilvl="2" w:tplc="00C83C72">
      <w:numFmt w:val="bullet"/>
      <w:lvlText w:val="•"/>
      <w:lvlJc w:val="left"/>
      <w:pPr>
        <w:ind w:left="3449" w:hanging="397"/>
      </w:pPr>
      <w:rPr>
        <w:rFonts w:hint="default"/>
        <w:lang w:val="en-US" w:eastAsia="en-US" w:bidi="ar-SA"/>
      </w:rPr>
    </w:lvl>
    <w:lvl w:ilvl="3" w:tplc="3064CB0A">
      <w:numFmt w:val="bullet"/>
      <w:lvlText w:val="•"/>
      <w:lvlJc w:val="left"/>
      <w:pPr>
        <w:ind w:left="4193" w:hanging="397"/>
      </w:pPr>
      <w:rPr>
        <w:rFonts w:hint="default"/>
        <w:lang w:val="en-US" w:eastAsia="en-US" w:bidi="ar-SA"/>
      </w:rPr>
    </w:lvl>
    <w:lvl w:ilvl="4" w:tplc="B704C8FC">
      <w:numFmt w:val="bullet"/>
      <w:lvlText w:val="•"/>
      <w:lvlJc w:val="left"/>
      <w:pPr>
        <w:ind w:left="4938" w:hanging="397"/>
      </w:pPr>
      <w:rPr>
        <w:rFonts w:hint="default"/>
        <w:lang w:val="en-US" w:eastAsia="en-US" w:bidi="ar-SA"/>
      </w:rPr>
    </w:lvl>
    <w:lvl w:ilvl="5" w:tplc="05561776">
      <w:numFmt w:val="bullet"/>
      <w:lvlText w:val="•"/>
      <w:lvlJc w:val="left"/>
      <w:pPr>
        <w:ind w:left="5682" w:hanging="397"/>
      </w:pPr>
      <w:rPr>
        <w:rFonts w:hint="default"/>
        <w:lang w:val="en-US" w:eastAsia="en-US" w:bidi="ar-SA"/>
      </w:rPr>
    </w:lvl>
    <w:lvl w:ilvl="6" w:tplc="6810A432">
      <w:numFmt w:val="bullet"/>
      <w:lvlText w:val="•"/>
      <w:lvlJc w:val="left"/>
      <w:pPr>
        <w:ind w:left="6427" w:hanging="397"/>
      </w:pPr>
      <w:rPr>
        <w:rFonts w:hint="default"/>
        <w:lang w:val="en-US" w:eastAsia="en-US" w:bidi="ar-SA"/>
      </w:rPr>
    </w:lvl>
    <w:lvl w:ilvl="7" w:tplc="8772C71C">
      <w:numFmt w:val="bullet"/>
      <w:lvlText w:val="•"/>
      <w:lvlJc w:val="left"/>
      <w:pPr>
        <w:ind w:left="7171" w:hanging="397"/>
      </w:pPr>
      <w:rPr>
        <w:rFonts w:hint="default"/>
        <w:lang w:val="en-US" w:eastAsia="en-US" w:bidi="ar-SA"/>
      </w:rPr>
    </w:lvl>
    <w:lvl w:ilvl="8" w:tplc="0AFA5FD4">
      <w:numFmt w:val="bullet"/>
      <w:lvlText w:val="•"/>
      <w:lvlJc w:val="left"/>
      <w:pPr>
        <w:ind w:left="7916" w:hanging="397"/>
      </w:pPr>
      <w:rPr>
        <w:rFonts w:hint="default"/>
        <w:lang w:val="en-US" w:eastAsia="en-US" w:bidi="ar-SA"/>
      </w:rPr>
    </w:lvl>
  </w:abstractNum>
  <w:abstractNum w:abstractNumId="17"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4F2526"/>
    <w:multiLevelType w:val="hybridMultilevel"/>
    <w:tmpl w:val="A308EB58"/>
    <w:lvl w:ilvl="0" w:tplc="9DDA2A8A">
      <w:start w:val="1"/>
      <w:numFmt w:val="lowerLetter"/>
      <w:pStyle w:val="F12-ABCList"/>
      <w:lvlText w:val="%1)"/>
      <w:lvlJc w:val="left"/>
      <w:pPr>
        <w:ind w:left="720" w:hanging="360"/>
      </w:pPr>
    </w:lvl>
    <w:lvl w:ilvl="1" w:tplc="461E3AF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95142C"/>
    <w:multiLevelType w:val="multilevel"/>
    <w:tmpl w:val="0090DC7E"/>
    <w:lvl w:ilvl="0">
      <w:start w:val="1"/>
      <w:numFmt w:val="decimal"/>
      <w:lvlText w:val="%1."/>
      <w:lvlJc w:val="left"/>
      <w:pPr>
        <w:ind w:left="405" w:hanging="405"/>
      </w:pPr>
      <w:rPr>
        <w:rFonts w:ascii="Arial" w:eastAsia="Calibri" w:hAnsi="Arial" w:cs="Arial" w:hint="default"/>
        <w:color w:val="0563C1"/>
        <w:u w:val="single"/>
      </w:rPr>
    </w:lvl>
    <w:lvl w:ilvl="1">
      <w:start w:val="1"/>
      <w:numFmt w:val="decimal"/>
      <w:lvlText w:val="%1.%2."/>
      <w:lvlJc w:val="left"/>
      <w:pPr>
        <w:ind w:left="720" w:hanging="720"/>
      </w:pPr>
      <w:rPr>
        <w:rFonts w:ascii="Arial" w:eastAsia="Calibri" w:hAnsi="Arial" w:cs="Arial" w:hint="default"/>
        <w:color w:val="0563C1"/>
        <w:u w:val="single"/>
      </w:rPr>
    </w:lvl>
    <w:lvl w:ilvl="2">
      <w:start w:val="1"/>
      <w:numFmt w:val="decimal"/>
      <w:lvlText w:val="%1.%2.%3."/>
      <w:lvlJc w:val="left"/>
      <w:pPr>
        <w:ind w:left="720" w:hanging="720"/>
      </w:pPr>
      <w:rPr>
        <w:rFonts w:ascii="Arial" w:eastAsia="Calibri" w:hAnsi="Arial" w:cs="Arial" w:hint="default"/>
        <w:color w:val="0563C1"/>
        <w:u w:val="single"/>
      </w:rPr>
    </w:lvl>
    <w:lvl w:ilvl="3">
      <w:start w:val="1"/>
      <w:numFmt w:val="decimal"/>
      <w:lvlText w:val="%1.%2.%3.%4."/>
      <w:lvlJc w:val="left"/>
      <w:pPr>
        <w:ind w:left="1080" w:hanging="1080"/>
      </w:pPr>
      <w:rPr>
        <w:rFonts w:ascii="Arial" w:eastAsia="Calibri" w:hAnsi="Arial" w:cs="Arial" w:hint="default"/>
        <w:color w:val="0563C1"/>
        <w:u w:val="single"/>
      </w:rPr>
    </w:lvl>
    <w:lvl w:ilvl="4">
      <w:start w:val="1"/>
      <w:numFmt w:val="decimal"/>
      <w:lvlText w:val="%1.%2.%3.%4.%5."/>
      <w:lvlJc w:val="left"/>
      <w:pPr>
        <w:ind w:left="1080" w:hanging="1080"/>
      </w:pPr>
      <w:rPr>
        <w:rFonts w:ascii="Arial" w:eastAsia="Calibri" w:hAnsi="Arial" w:cs="Arial" w:hint="default"/>
        <w:color w:val="0563C1"/>
        <w:u w:val="single"/>
      </w:rPr>
    </w:lvl>
    <w:lvl w:ilvl="5">
      <w:start w:val="1"/>
      <w:numFmt w:val="decimal"/>
      <w:lvlText w:val="%1.%2.%3.%4.%5.%6."/>
      <w:lvlJc w:val="left"/>
      <w:pPr>
        <w:ind w:left="1440" w:hanging="1440"/>
      </w:pPr>
      <w:rPr>
        <w:rFonts w:ascii="Arial" w:eastAsia="Calibri" w:hAnsi="Arial" w:cs="Arial" w:hint="default"/>
        <w:color w:val="0563C1"/>
        <w:u w:val="single"/>
      </w:rPr>
    </w:lvl>
    <w:lvl w:ilvl="6">
      <w:start w:val="1"/>
      <w:numFmt w:val="decimal"/>
      <w:lvlText w:val="%1.%2.%3.%4.%5.%6.%7."/>
      <w:lvlJc w:val="left"/>
      <w:pPr>
        <w:ind w:left="1440" w:hanging="1440"/>
      </w:pPr>
      <w:rPr>
        <w:rFonts w:ascii="Arial" w:eastAsia="Calibri" w:hAnsi="Arial" w:cs="Arial" w:hint="default"/>
        <w:color w:val="0563C1"/>
        <w:u w:val="single"/>
      </w:rPr>
    </w:lvl>
    <w:lvl w:ilvl="7">
      <w:start w:val="1"/>
      <w:numFmt w:val="decimal"/>
      <w:lvlText w:val="%1.%2.%3.%4.%5.%6.%7.%8."/>
      <w:lvlJc w:val="left"/>
      <w:pPr>
        <w:ind w:left="1800" w:hanging="1800"/>
      </w:pPr>
      <w:rPr>
        <w:rFonts w:ascii="Arial" w:eastAsia="Calibri" w:hAnsi="Arial" w:cs="Arial" w:hint="default"/>
        <w:color w:val="0563C1"/>
        <w:u w:val="single"/>
      </w:rPr>
    </w:lvl>
    <w:lvl w:ilvl="8">
      <w:start w:val="1"/>
      <w:numFmt w:val="decimal"/>
      <w:lvlText w:val="%1.%2.%3.%4.%5.%6.%7.%8.%9."/>
      <w:lvlJc w:val="left"/>
      <w:pPr>
        <w:ind w:left="2160" w:hanging="2160"/>
      </w:pPr>
      <w:rPr>
        <w:rFonts w:ascii="Arial" w:eastAsia="Calibri" w:hAnsi="Arial" w:cs="Arial" w:hint="default"/>
        <w:color w:val="0563C1"/>
        <w:u w:val="single"/>
      </w:rPr>
    </w:lvl>
  </w:abstractNum>
  <w:abstractNum w:abstractNumId="27" w15:restartNumberingAfterBreak="0">
    <w:nsid w:val="7E7F2150"/>
    <w:multiLevelType w:val="hybridMultilevel"/>
    <w:tmpl w:val="AA5E8540"/>
    <w:lvl w:ilvl="0" w:tplc="5F607D8C">
      <w:start w:val="1"/>
      <w:numFmt w:val="bullet"/>
      <w:pStyle w:val="F10-Bullet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90186480">
      <w:start w:val="1"/>
      <w:numFmt w:val="bullet"/>
      <w:pStyle w:val="F11-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4"/>
  </w:num>
  <w:num w:numId="13" w16cid:durableId="989944809">
    <w:abstractNumId w:val="15"/>
  </w:num>
  <w:num w:numId="14" w16cid:durableId="1148547717">
    <w:abstractNumId w:val="12"/>
  </w:num>
  <w:num w:numId="15" w16cid:durableId="1619264317">
    <w:abstractNumId w:val="24"/>
    <w:lvlOverride w:ilvl="0">
      <w:startOverride w:val="1"/>
    </w:lvlOverride>
  </w:num>
  <w:num w:numId="16" w16cid:durableId="1717772705">
    <w:abstractNumId w:val="15"/>
    <w:lvlOverride w:ilvl="0">
      <w:startOverride w:val="1"/>
    </w:lvlOverride>
  </w:num>
  <w:num w:numId="17" w16cid:durableId="1421370352">
    <w:abstractNumId w:val="12"/>
    <w:lvlOverride w:ilvl="0">
      <w:startOverride w:val="1"/>
    </w:lvlOverride>
  </w:num>
  <w:num w:numId="18" w16cid:durableId="802893121">
    <w:abstractNumId w:val="23"/>
  </w:num>
  <w:num w:numId="19" w16cid:durableId="1666081420">
    <w:abstractNumId w:val="20"/>
  </w:num>
  <w:num w:numId="20" w16cid:durableId="874538197">
    <w:abstractNumId w:val="14"/>
  </w:num>
  <w:num w:numId="21" w16cid:durableId="2057311976">
    <w:abstractNumId w:val="21"/>
  </w:num>
  <w:num w:numId="22" w16cid:durableId="689793726">
    <w:abstractNumId w:val="13"/>
  </w:num>
  <w:num w:numId="23" w16cid:durableId="48653822">
    <w:abstractNumId w:val="25"/>
  </w:num>
  <w:num w:numId="24" w16cid:durableId="1603800266">
    <w:abstractNumId w:val="18"/>
  </w:num>
  <w:num w:numId="25" w16cid:durableId="1864591591">
    <w:abstractNumId w:val="17"/>
  </w:num>
  <w:num w:numId="26" w16cid:durableId="832574242">
    <w:abstractNumId w:val="22"/>
  </w:num>
  <w:num w:numId="27" w16cid:durableId="1391732823">
    <w:abstractNumId w:val="17"/>
    <w:lvlOverride w:ilvl="0">
      <w:startOverride w:val="1"/>
    </w:lvlOverride>
  </w:num>
  <w:num w:numId="28" w16cid:durableId="2145928841">
    <w:abstractNumId w:val="19"/>
  </w:num>
  <w:num w:numId="29" w16cid:durableId="569274024">
    <w:abstractNumId w:val="11"/>
  </w:num>
  <w:num w:numId="30" w16cid:durableId="1478258074">
    <w:abstractNumId w:val="25"/>
    <w:lvlOverride w:ilvl="0">
      <w:startOverride w:val="1"/>
    </w:lvlOverride>
  </w:num>
  <w:num w:numId="31" w16cid:durableId="110977635">
    <w:abstractNumId w:val="16"/>
  </w:num>
  <w:num w:numId="32" w16cid:durableId="42868823">
    <w:abstractNumId w:val="27"/>
  </w:num>
  <w:num w:numId="33" w16cid:durableId="11748813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EED"/>
    <w:rsid w:val="00002F03"/>
    <w:rsid w:val="00004C16"/>
    <w:rsid w:val="00011177"/>
    <w:rsid w:val="00014814"/>
    <w:rsid w:val="00017EE0"/>
    <w:rsid w:val="00022033"/>
    <w:rsid w:val="00024522"/>
    <w:rsid w:val="00024B2E"/>
    <w:rsid w:val="00027F4F"/>
    <w:rsid w:val="00030430"/>
    <w:rsid w:val="0003078E"/>
    <w:rsid w:val="0003090A"/>
    <w:rsid w:val="00031B89"/>
    <w:rsid w:val="0003693D"/>
    <w:rsid w:val="0004440F"/>
    <w:rsid w:val="00051DD7"/>
    <w:rsid w:val="00052C8A"/>
    <w:rsid w:val="000548C8"/>
    <w:rsid w:val="00055850"/>
    <w:rsid w:val="00064A1B"/>
    <w:rsid w:val="00075605"/>
    <w:rsid w:val="00075C66"/>
    <w:rsid w:val="000817D4"/>
    <w:rsid w:val="00082879"/>
    <w:rsid w:val="00091EEA"/>
    <w:rsid w:val="0009225F"/>
    <w:rsid w:val="000A105C"/>
    <w:rsid w:val="000A6382"/>
    <w:rsid w:val="000A7F37"/>
    <w:rsid w:val="000B28A4"/>
    <w:rsid w:val="000B7CDE"/>
    <w:rsid w:val="000C2DDC"/>
    <w:rsid w:val="000C5F5A"/>
    <w:rsid w:val="000C7316"/>
    <w:rsid w:val="000D2FD4"/>
    <w:rsid w:val="000D3232"/>
    <w:rsid w:val="000F0F6A"/>
    <w:rsid w:val="000F1B7B"/>
    <w:rsid w:val="000F2ED4"/>
    <w:rsid w:val="001017F9"/>
    <w:rsid w:val="001028E8"/>
    <w:rsid w:val="00103043"/>
    <w:rsid w:val="00106B8E"/>
    <w:rsid w:val="00107669"/>
    <w:rsid w:val="00116D62"/>
    <w:rsid w:val="00122FCC"/>
    <w:rsid w:val="00124C2B"/>
    <w:rsid w:val="001257A2"/>
    <w:rsid w:val="00126752"/>
    <w:rsid w:val="00130B30"/>
    <w:rsid w:val="0013181E"/>
    <w:rsid w:val="001331C4"/>
    <w:rsid w:val="00140E1C"/>
    <w:rsid w:val="00147AE4"/>
    <w:rsid w:val="001571E5"/>
    <w:rsid w:val="00177666"/>
    <w:rsid w:val="00183D2D"/>
    <w:rsid w:val="001849CA"/>
    <w:rsid w:val="00185410"/>
    <w:rsid w:val="00186E72"/>
    <w:rsid w:val="00192352"/>
    <w:rsid w:val="00196ADB"/>
    <w:rsid w:val="001B0B5B"/>
    <w:rsid w:val="001B4D5A"/>
    <w:rsid w:val="001B5818"/>
    <w:rsid w:val="001C4D63"/>
    <w:rsid w:val="001D0DE0"/>
    <w:rsid w:val="001D5AFF"/>
    <w:rsid w:val="001D74B4"/>
    <w:rsid w:val="001E03E1"/>
    <w:rsid w:val="001F059F"/>
    <w:rsid w:val="001F5FD4"/>
    <w:rsid w:val="00200811"/>
    <w:rsid w:val="00200CA1"/>
    <w:rsid w:val="00204289"/>
    <w:rsid w:val="002042C2"/>
    <w:rsid w:val="0021338D"/>
    <w:rsid w:val="00214D43"/>
    <w:rsid w:val="002179E3"/>
    <w:rsid w:val="00223090"/>
    <w:rsid w:val="002238B4"/>
    <w:rsid w:val="002319AB"/>
    <w:rsid w:val="002319AC"/>
    <w:rsid w:val="00234342"/>
    <w:rsid w:val="00235D0B"/>
    <w:rsid w:val="0024040D"/>
    <w:rsid w:val="00244417"/>
    <w:rsid w:val="00251CD7"/>
    <w:rsid w:val="00255FA3"/>
    <w:rsid w:val="00257288"/>
    <w:rsid w:val="00261FB6"/>
    <w:rsid w:val="002629F8"/>
    <w:rsid w:val="00263396"/>
    <w:rsid w:val="002659FA"/>
    <w:rsid w:val="00267815"/>
    <w:rsid w:val="0027344A"/>
    <w:rsid w:val="0028023B"/>
    <w:rsid w:val="00280DDF"/>
    <w:rsid w:val="002917FF"/>
    <w:rsid w:val="00291B17"/>
    <w:rsid w:val="00292ADF"/>
    <w:rsid w:val="00296995"/>
    <w:rsid w:val="00296DBB"/>
    <w:rsid w:val="002A0DEC"/>
    <w:rsid w:val="002B1C53"/>
    <w:rsid w:val="002B2D6F"/>
    <w:rsid w:val="002B6666"/>
    <w:rsid w:val="002C1DBE"/>
    <w:rsid w:val="002D417A"/>
    <w:rsid w:val="002E0BE4"/>
    <w:rsid w:val="002E1FC2"/>
    <w:rsid w:val="002E28B3"/>
    <w:rsid w:val="002E3B58"/>
    <w:rsid w:val="002E3E8A"/>
    <w:rsid w:val="002E5D89"/>
    <w:rsid w:val="002E6A6A"/>
    <w:rsid w:val="002F3397"/>
    <w:rsid w:val="002F6C84"/>
    <w:rsid w:val="00302BB4"/>
    <w:rsid w:val="003031BF"/>
    <w:rsid w:val="0030380D"/>
    <w:rsid w:val="00312411"/>
    <w:rsid w:val="003239C7"/>
    <w:rsid w:val="00323E71"/>
    <w:rsid w:val="00326F77"/>
    <w:rsid w:val="003401B0"/>
    <w:rsid w:val="00345D54"/>
    <w:rsid w:val="00346C8E"/>
    <w:rsid w:val="00350DB6"/>
    <w:rsid w:val="00363EC4"/>
    <w:rsid w:val="00367BD5"/>
    <w:rsid w:val="00390327"/>
    <w:rsid w:val="00393B78"/>
    <w:rsid w:val="003A01E9"/>
    <w:rsid w:val="003B0C9A"/>
    <w:rsid w:val="003B28BA"/>
    <w:rsid w:val="003C0306"/>
    <w:rsid w:val="003C114C"/>
    <w:rsid w:val="003C465D"/>
    <w:rsid w:val="003D0718"/>
    <w:rsid w:val="003D495D"/>
    <w:rsid w:val="003D75E3"/>
    <w:rsid w:val="003E098E"/>
    <w:rsid w:val="003E2FAE"/>
    <w:rsid w:val="00402247"/>
    <w:rsid w:val="00407CF7"/>
    <w:rsid w:val="00415ED6"/>
    <w:rsid w:val="0041736A"/>
    <w:rsid w:val="00417CAF"/>
    <w:rsid w:val="00420A11"/>
    <w:rsid w:val="00422265"/>
    <w:rsid w:val="00425034"/>
    <w:rsid w:val="00434D18"/>
    <w:rsid w:val="004373A7"/>
    <w:rsid w:val="00437D94"/>
    <w:rsid w:val="0044030C"/>
    <w:rsid w:val="004442FC"/>
    <w:rsid w:val="00456364"/>
    <w:rsid w:val="004622EE"/>
    <w:rsid w:val="004648A4"/>
    <w:rsid w:val="004675D5"/>
    <w:rsid w:val="00471380"/>
    <w:rsid w:val="0048244F"/>
    <w:rsid w:val="00494F0D"/>
    <w:rsid w:val="00496BFD"/>
    <w:rsid w:val="004A3DF2"/>
    <w:rsid w:val="004B4ECC"/>
    <w:rsid w:val="004B6EE8"/>
    <w:rsid w:val="004C361D"/>
    <w:rsid w:val="004C4891"/>
    <w:rsid w:val="004D2C89"/>
    <w:rsid w:val="004D48ED"/>
    <w:rsid w:val="004E3932"/>
    <w:rsid w:val="004F1E79"/>
    <w:rsid w:val="004F1E9E"/>
    <w:rsid w:val="004F5F33"/>
    <w:rsid w:val="004F7AD8"/>
    <w:rsid w:val="0050103A"/>
    <w:rsid w:val="00511B0F"/>
    <w:rsid w:val="005446FE"/>
    <w:rsid w:val="00547956"/>
    <w:rsid w:val="0055388E"/>
    <w:rsid w:val="005708BC"/>
    <w:rsid w:val="005754AE"/>
    <w:rsid w:val="00577FB5"/>
    <w:rsid w:val="005852D1"/>
    <w:rsid w:val="00587A22"/>
    <w:rsid w:val="0059299D"/>
    <w:rsid w:val="00595C8C"/>
    <w:rsid w:val="00597747"/>
    <w:rsid w:val="005A39E8"/>
    <w:rsid w:val="005A49B8"/>
    <w:rsid w:val="005A4CDD"/>
    <w:rsid w:val="005B57E4"/>
    <w:rsid w:val="005B5ABD"/>
    <w:rsid w:val="005C140A"/>
    <w:rsid w:val="005C1E52"/>
    <w:rsid w:val="005C3367"/>
    <w:rsid w:val="005C6763"/>
    <w:rsid w:val="005D3164"/>
    <w:rsid w:val="005E0344"/>
    <w:rsid w:val="005E0C1C"/>
    <w:rsid w:val="005E440B"/>
    <w:rsid w:val="005F1152"/>
    <w:rsid w:val="005F2C85"/>
    <w:rsid w:val="005F7817"/>
    <w:rsid w:val="00605ADB"/>
    <w:rsid w:val="00611C9F"/>
    <w:rsid w:val="006248DE"/>
    <w:rsid w:val="0062571E"/>
    <w:rsid w:val="00627555"/>
    <w:rsid w:val="006322A0"/>
    <w:rsid w:val="006361FD"/>
    <w:rsid w:val="0064226F"/>
    <w:rsid w:val="00642DDB"/>
    <w:rsid w:val="006437A3"/>
    <w:rsid w:val="00653298"/>
    <w:rsid w:val="00662B0A"/>
    <w:rsid w:val="00663A7C"/>
    <w:rsid w:val="00667DF2"/>
    <w:rsid w:val="00670DF1"/>
    <w:rsid w:val="00671345"/>
    <w:rsid w:val="00672A9B"/>
    <w:rsid w:val="00675884"/>
    <w:rsid w:val="006839BD"/>
    <w:rsid w:val="00696EE0"/>
    <w:rsid w:val="00697980"/>
    <w:rsid w:val="006A19EF"/>
    <w:rsid w:val="006A270F"/>
    <w:rsid w:val="006A43D5"/>
    <w:rsid w:val="006A49DD"/>
    <w:rsid w:val="006A525B"/>
    <w:rsid w:val="006B13A5"/>
    <w:rsid w:val="006C045F"/>
    <w:rsid w:val="006C25C3"/>
    <w:rsid w:val="006C4196"/>
    <w:rsid w:val="006C63B0"/>
    <w:rsid w:val="006C76A2"/>
    <w:rsid w:val="006C792E"/>
    <w:rsid w:val="006D116C"/>
    <w:rsid w:val="006D4099"/>
    <w:rsid w:val="006E3957"/>
    <w:rsid w:val="006E7C42"/>
    <w:rsid w:val="006F168A"/>
    <w:rsid w:val="006F5076"/>
    <w:rsid w:val="006F6009"/>
    <w:rsid w:val="006F7E5F"/>
    <w:rsid w:val="0070161B"/>
    <w:rsid w:val="0070321D"/>
    <w:rsid w:val="007068BA"/>
    <w:rsid w:val="007167EE"/>
    <w:rsid w:val="00716AB1"/>
    <w:rsid w:val="0072091A"/>
    <w:rsid w:val="00721D63"/>
    <w:rsid w:val="00723B63"/>
    <w:rsid w:val="00724B2B"/>
    <w:rsid w:val="00732C7B"/>
    <w:rsid w:val="00734D2B"/>
    <w:rsid w:val="00737705"/>
    <w:rsid w:val="007408D4"/>
    <w:rsid w:val="007420AC"/>
    <w:rsid w:val="00742617"/>
    <w:rsid w:val="00775C12"/>
    <w:rsid w:val="00783AFA"/>
    <w:rsid w:val="00785427"/>
    <w:rsid w:val="00790540"/>
    <w:rsid w:val="007968CA"/>
    <w:rsid w:val="007A43FF"/>
    <w:rsid w:val="007A4527"/>
    <w:rsid w:val="007A47CD"/>
    <w:rsid w:val="007A72FA"/>
    <w:rsid w:val="007B3918"/>
    <w:rsid w:val="007C3C1D"/>
    <w:rsid w:val="007D199A"/>
    <w:rsid w:val="007D2EBE"/>
    <w:rsid w:val="007E1C07"/>
    <w:rsid w:val="007F24B6"/>
    <w:rsid w:val="00803D94"/>
    <w:rsid w:val="00821337"/>
    <w:rsid w:val="008229BA"/>
    <w:rsid w:val="00824151"/>
    <w:rsid w:val="00827505"/>
    <w:rsid w:val="00833E09"/>
    <w:rsid w:val="00835F79"/>
    <w:rsid w:val="00845390"/>
    <w:rsid w:val="0084601B"/>
    <w:rsid w:val="008606F0"/>
    <w:rsid w:val="00861DF9"/>
    <w:rsid w:val="00865489"/>
    <w:rsid w:val="0086553D"/>
    <w:rsid w:val="00874FEB"/>
    <w:rsid w:val="008756E0"/>
    <w:rsid w:val="00881B6F"/>
    <w:rsid w:val="00882AA4"/>
    <w:rsid w:val="00883E22"/>
    <w:rsid w:val="00884E43"/>
    <w:rsid w:val="00887EC6"/>
    <w:rsid w:val="0089084C"/>
    <w:rsid w:val="00893409"/>
    <w:rsid w:val="00893D9F"/>
    <w:rsid w:val="008A2379"/>
    <w:rsid w:val="008A4329"/>
    <w:rsid w:val="008A578E"/>
    <w:rsid w:val="008B015A"/>
    <w:rsid w:val="008B1519"/>
    <w:rsid w:val="008B7BCC"/>
    <w:rsid w:val="008C50C3"/>
    <w:rsid w:val="008C7094"/>
    <w:rsid w:val="008D2AD8"/>
    <w:rsid w:val="008D2B97"/>
    <w:rsid w:val="008D49A5"/>
    <w:rsid w:val="008D6C81"/>
    <w:rsid w:val="008E463A"/>
    <w:rsid w:val="008E6CF0"/>
    <w:rsid w:val="008F1439"/>
    <w:rsid w:val="008F7051"/>
    <w:rsid w:val="00900D2C"/>
    <w:rsid w:val="009033A9"/>
    <w:rsid w:val="0090581D"/>
    <w:rsid w:val="009100BB"/>
    <w:rsid w:val="0091439C"/>
    <w:rsid w:val="00920572"/>
    <w:rsid w:val="00920BF2"/>
    <w:rsid w:val="009349A9"/>
    <w:rsid w:val="00936C52"/>
    <w:rsid w:val="009436C1"/>
    <w:rsid w:val="0095489B"/>
    <w:rsid w:val="00966CAB"/>
    <w:rsid w:val="00966FB9"/>
    <w:rsid w:val="009671CD"/>
    <w:rsid w:val="009751A9"/>
    <w:rsid w:val="00977D66"/>
    <w:rsid w:val="00980F9C"/>
    <w:rsid w:val="0098632B"/>
    <w:rsid w:val="00997BFB"/>
    <w:rsid w:val="009A7348"/>
    <w:rsid w:val="009B462C"/>
    <w:rsid w:val="009C15F3"/>
    <w:rsid w:val="009C3689"/>
    <w:rsid w:val="009D17DE"/>
    <w:rsid w:val="009D3AF2"/>
    <w:rsid w:val="009E07C2"/>
    <w:rsid w:val="009E0E52"/>
    <w:rsid w:val="009E4FCB"/>
    <w:rsid w:val="009F2594"/>
    <w:rsid w:val="009F72F9"/>
    <w:rsid w:val="00A00205"/>
    <w:rsid w:val="00A00AF0"/>
    <w:rsid w:val="00A14B5A"/>
    <w:rsid w:val="00A30DEF"/>
    <w:rsid w:val="00A31DA8"/>
    <w:rsid w:val="00A33424"/>
    <w:rsid w:val="00A3567F"/>
    <w:rsid w:val="00A37698"/>
    <w:rsid w:val="00A41ED3"/>
    <w:rsid w:val="00A51465"/>
    <w:rsid w:val="00A81D82"/>
    <w:rsid w:val="00A9118F"/>
    <w:rsid w:val="00A93E33"/>
    <w:rsid w:val="00A95AB0"/>
    <w:rsid w:val="00AB3129"/>
    <w:rsid w:val="00AB6970"/>
    <w:rsid w:val="00AC1939"/>
    <w:rsid w:val="00AC7C05"/>
    <w:rsid w:val="00AD167C"/>
    <w:rsid w:val="00AD17C7"/>
    <w:rsid w:val="00AD4041"/>
    <w:rsid w:val="00AE02D6"/>
    <w:rsid w:val="00AE302B"/>
    <w:rsid w:val="00AF3C37"/>
    <w:rsid w:val="00AF7099"/>
    <w:rsid w:val="00AF7FC3"/>
    <w:rsid w:val="00B0248D"/>
    <w:rsid w:val="00B16BE5"/>
    <w:rsid w:val="00B23A5E"/>
    <w:rsid w:val="00B259DF"/>
    <w:rsid w:val="00B25F52"/>
    <w:rsid w:val="00B44B1F"/>
    <w:rsid w:val="00B524AD"/>
    <w:rsid w:val="00B616EA"/>
    <w:rsid w:val="00B6233A"/>
    <w:rsid w:val="00B64141"/>
    <w:rsid w:val="00B64E72"/>
    <w:rsid w:val="00B77913"/>
    <w:rsid w:val="00B824FB"/>
    <w:rsid w:val="00B82646"/>
    <w:rsid w:val="00B9078C"/>
    <w:rsid w:val="00B97359"/>
    <w:rsid w:val="00B97A8F"/>
    <w:rsid w:val="00BA3B31"/>
    <w:rsid w:val="00BA4E37"/>
    <w:rsid w:val="00BA4E58"/>
    <w:rsid w:val="00BA7074"/>
    <w:rsid w:val="00BB7829"/>
    <w:rsid w:val="00BD1457"/>
    <w:rsid w:val="00BE2AD9"/>
    <w:rsid w:val="00BE662E"/>
    <w:rsid w:val="00BF27FE"/>
    <w:rsid w:val="00BF3E93"/>
    <w:rsid w:val="00C043B3"/>
    <w:rsid w:val="00C079AB"/>
    <w:rsid w:val="00C10E61"/>
    <w:rsid w:val="00C14787"/>
    <w:rsid w:val="00C1596D"/>
    <w:rsid w:val="00C15B8D"/>
    <w:rsid w:val="00C17010"/>
    <w:rsid w:val="00C20562"/>
    <w:rsid w:val="00C215C3"/>
    <w:rsid w:val="00C23A96"/>
    <w:rsid w:val="00C249C6"/>
    <w:rsid w:val="00C2565D"/>
    <w:rsid w:val="00C32CC1"/>
    <w:rsid w:val="00C426EC"/>
    <w:rsid w:val="00C43A84"/>
    <w:rsid w:val="00C6483C"/>
    <w:rsid w:val="00C64AE9"/>
    <w:rsid w:val="00C70CFF"/>
    <w:rsid w:val="00C718FE"/>
    <w:rsid w:val="00C7202A"/>
    <w:rsid w:val="00C86CEC"/>
    <w:rsid w:val="00C8773D"/>
    <w:rsid w:val="00C87ABB"/>
    <w:rsid w:val="00C906EC"/>
    <w:rsid w:val="00C91831"/>
    <w:rsid w:val="00C953DF"/>
    <w:rsid w:val="00C963E6"/>
    <w:rsid w:val="00CB16C1"/>
    <w:rsid w:val="00CD5401"/>
    <w:rsid w:val="00CE2709"/>
    <w:rsid w:val="00CE2D64"/>
    <w:rsid w:val="00CE6198"/>
    <w:rsid w:val="00CE6CD6"/>
    <w:rsid w:val="00CF6230"/>
    <w:rsid w:val="00CF6D55"/>
    <w:rsid w:val="00D017FC"/>
    <w:rsid w:val="00D0226A"/>
    <w:rsid w:val="00D13147"/>
    <w:rsid w:val="00D175EB"/>
    <w:rsid w:val="00D310C3"/>
    <w:rsid w:val="00D463FF"/>
    <w:rsid w:val="00D56504"/>
    <w:rsid w:val="00D5715A"/>
    <w:rsid w:val="00D5786B"/>
    <w:rsid w:val="00D60BCB"/>
    <w:rsid w:val="00D71687"/>
    <w:rsid w:val="00D74813"/>
    <w:rsid w:val="00DA30BC"/>
    <w:rsid w:val="00DA69C2"/>
    <w:rsid w:val="00DA6D70"/>
    <w:rsid w:val="00DB6050"/>
    <w:rsid w:val="00DC2C34"/>
    <w:rsid w:val="00DC7799"/>
    <w:rsid w:val="00DD4FEB"/>
    <w:rsid w:val="00DE2C87"/>
    <w:rsid w:val="00DE459A"/>
    <w:rsid w:val="00DF27DA"/>
    <w:rsid w:val="00DF4DBE"/>
    <w:rsid w:val="00E058A6"/>
    <w:rsid w:val="00E10713"/>
    <w:rsid w:val="00E2306E"/>
    <w:rsid w:val="00E37629"/>
    <w:rsid w:val="00E40820"/>
    <w:rsid w:val="00E4658F"/>
    <w:rsid w:val="00E54A67"/>
    <w:rsid w:val="00E61C0D"/>
    <w:rsid w:val="00E63EB4"/>
    <w:rsid w:val="00E66160"/>
    <w:rsid w:val="00E70078"/>
    <w:rsid w:val="00E71329"/>
    <w:rsid w:val="00E81663"/>
    <w:rsid w:val="00E8363B"/>
    <w:rsid w:val="00E837AF"/>
    <w:rsid w:val="00E84966"/>
    <w:rsid w:val="00E86DF5"/>
    <w:rsid w:val="00E92383"/>
    <w:rsid w:val="00EA1B3A"/>
    <w:rsid w:val="00EA2109"/>
    <w:rsid w:val="00EB057A"/>
    <w:rsid w:val="00EB6ECB"/>
    <w:rsid w:val="00EC63B0"/>
    <w:rsid w:val="00ED4D4E"/>
    <w:rsid w:val="00ED618F"/>
    <w:rsid w:val="00EE0C77"/>
    <w:rsid w:val="00EE1799"/>
    <w:rsid w:val="00EE4324"/>
    <w:rsid w:val="00EE4E54"/>
    <w:rsid w:val="00EF4334"/>
    <w:rsid w:val="00F10C73"/>
    <w:rsid w:val="00F14704"/>
    <w:rsid w:val="00F22BBC"/>
    <w:rsid w:val="00F33850"/>
    <w:rsid w:val="00F3647C"/>
    <w:rsid w:val="00F436BB"/>
    <w:rsid w:val="00F470F3"/>
    <w:rsid w:val="00F47145"/>
    <w:rsid w:val="00F545BF"/>
    <w:rsid w:val="00F60B61"/>
    <w:rsid w:val="00F71B56"/>
    <w:rsid w:val="00F832C8"/>
    <w:rsid w:val="00F873B3"/>
    <w:rsid w:val="00FA00BE"/>
    <w:rsid w:val="00FA33FE"/>
    <w:rsid w:val="00FA42B9"/>
    <w:rsid w:val="00FA63CA"/>
    <w:rsid w:val="00FA755A"/>
    <w:rsid w:val="00FB2B0F"/>
    <w:rsid w:val="00FB4F6B"/>
    <w:rsid w:val="00FB5FE1"/>
    <w:rsid w:val="00FC0E8D"/>
    <w:rsid w:val="00FC46EF"/>
    <w:rsid w:val="00FD31B3"/>
    <w:rsid w:val="00FD4204"/>
    <w:rsid w:val="00FD71D4"/>
    <w:rsid w:val="00FF104D"/>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1"/>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F12-ABCList">
    <w:name w:val="F12 - ABC List"/>
    <w:basedOn w:val="ListParagraph"/>
    <w:link w:val="F12-ABCListChar"/>
    <w:qFormat/>
    <w:rsid w:val="004D48ED"/>
    <w:pPr>
      <w:numPr>
        <w:numId w:val="28"/>
      </w:numPr>
      <w:spacing w:before="240" w:after="120" w:line="264" w:lineRule="auto"/>
      <w:ind w:left="1418" w:hanging="425"/>
    </w:pPr>
    <w:rPr>
      <w:rFonts w:eastAsia="Times New Roman" w:cs="Times New Roman"/>
      <w:szCs w:val="24"/>
      <w:lang w:bidi="ar-SA"/>
    </w:rPr>
  </w:style>
  <w:style w:type="character" w:customStyle="1" w:styleId="F12-ABCListChar">
    <w:name w:val="F12 - ABC List Char"/>
    <w:basedOn w:val="DefaultParagraphFont"/>
    <w:link w:val="F12-ABCList"/>
    <w:rsid w:val="004D48ED"/>
    <w:rPr>
      <w:rFonts w:ascii="Arial" w:eastAsia="Times New Roman" w:hAnsi="Arial" w:cs="Times New Roman"/>
      <w:sz w:val="24"/>
      <w:szCs w:val="24"/>
      <w:lang w:eastAsia="en-US"/>
    </w:rPr>
  </w:style>
  <w:style w:type="character" w:customStyle="1" w:styleId="ListParagraphChar">
    <w:name w:val="List Paragraph Char"/>
    <w:link w:val="ListParagraph"/>
    <w:uiPriority w:val="34"/>
    <w:rsid w:val="00B616EA"/>
    <w:rPr>
      <w:rFonts w:ascii="Arial" w:hAnsi="Arial"/>
      <w:sz w:val="24"/>
      <w:szCs w:val="22"/>
      <w:lang w:eastAsia="en-US" w:bidi="he-IL"/>
    </w:rPr>
  </w:style>
  <w:style w:type="paragraph" w:customStyle="1" w:styleId="F10-Bullet1">
    <w:name w:val="F10 - Bullet 1"/>
    <w:basedOn w:val="ListParagraph"/>
    <w:link w:val="F10-Bullet1Char"/>
    <w:qFormat/>
    <w:rsid w:val="003031BF"/>
    <w:pPr>
      <w:numPr>
        <w:numId w:val="32"/>
      </w:numPr>
      <w:spacing w:before="240" w:after="120" w:line="240" w:lineRule="auto"/>
      <w:ind w:left="1418" w:hanging="425"/>
      <w:contextualSpacing w:val="0"/>
    </w:pPr>
    <w:rPr>
      <w:rFonts w:eastAsia="Times New Roman"/>
      <w:szCs w:val="24"/>
    </w:rPr>
  </w:style>
  <w:style w:type="character" w:customStyle="1" w:styleId="F10-Bullet1Char">
    <w:name w:val="F10 - Bullet 1 Char"/>
    <w:basedOn w:val="ListParagraphChar"/>
    <w:link w:val="F10-Bullet1"/>
    <w:rsid w:val="003031BF"/>
    <w:rPr>
      <w:rFonts w:ascii="Arial" w:eastAsia="Times New Roman" w:hAnsi="Arial"/>
      <w:sz w:val="24"/>
      <w:szCs w:val="24"/>
      <w:lang w:eastAsia="en-US" w:bidi="he-IL"/>
    </w:rPr>
  </w:style>
  <w:style w:type="paragraph" w:customStyle="1" w:styleId="F11-Bullet2">
    <w:name w:val="F11 - Bullet 2"/>
    <w:basedOn w:val="F10-Bullet1"/>
    <w:qFormat/>
    <w:rsid w:val="003031BF"/>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987914">
      <w:bodyDiv w:val="1"/>
      <w:marLeft w:val="0"/>
      <w:marRight w:val="0"/>
      <w:marTop w:val="0"/>
      <w:marBottom w:val="0"/>
      <w:divBdr>
        <w:top w:val="none" w:sz="0" w:space="0" w:color="auto"/>
        <w:left w:val="none" w:sz="0" w:space="0" w:color="auto"/>
        <w:bottom w:val="none" w:sz="0" w:space="0" w:color="auto"/>
        <w:right w:val="none" w:sz="0" w:space="0" w:color="auto"/>
      </w:divBdr>
    </w:div>
    <w:div w:id="94903888">
      <w:bodyDiv w:val="1"/>
      <w:marLeft w:val="0"/>
      <w:marRight w:val="0"/>
      <w:marTop w:val="0"/>
      <w:marBottom w:val="0"/>
      <w:divBdr>
        <w:top w:val="none" w:sz="0" w:space="0" w:color="auto"/>
        <w:left w:val="none" w:sz="0" w:space="0" w:color="auto"/>
        <w:bottom w:val="none" w:sz="0" w:space="0" w:color="auto"/>
        <w:right w:val="none" w:sz="0" w:space="0" w:color="auto"/>
      </w:divBdr>
    </w:div>
    <w:div w:id="142698703">
      <w:bodyDiv w:val="1"/>
      <w:marLeft w:val="0"/>
      <w:marRight w:val="0"/>
      <w:marTop w:val="0"/>
      <w:marBottom w:val="0"/>
      <w:divBdr>
        <w:top w:val="none" w:sz="0" w:space="0" w:color="auto"/>
        <w:left w:val="none" w:sz="0" w:space="0" w:color="auto"/>
        <w:bottom w:val="none" w:sz="0" w:space="0" w:color="auto"/>
        <w:right w:val="none" w:sz="0" w:space="0" w:color="auto"/>
      </w:divBdr>
    </w:div>
    <w:div w:id="14963895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778753">
      <w:bodyDiv w:val="1"/>
      <w:marLeft w:val="0"/>
      <w:marRight w:val="0"/>
      <w:marTop w:val="0"/>
      <w:marBottom w:val="0"/>
      <w:divBdr>
        <w:top w:val="none" w:sz="0" w:space="0" w:color="auto"/>
        <w:left w:val="none" w:sz="0" w:space="0" w:color="auto"/>
        <w:bottom w:val="none" w:sz="0" w:space="0" w:color="auto"/>
        <w:right w:val="none" w:sz="0" w:space="0" w:color="auto"/>
      </w:divBdr>
    </w:div>
    <w:div w:id="362678159">
      <w:bodyDiv w:val="1"/>
      <w:marLeft w:val="0"/>
      <w:marRight w:val="0"/>
      <w:marTop w:val="0"/>
      <w:marBottom w:val="0"/>
      <w:divBdr>
        <w:top w:val="none" w:sz="0" w:space="0" w:color="auto"/>
        <w:left w:val="none" w:sz="0" w:space="0" w:color="auto"/>
        <w:bottom w:val="none" w:sz="0" w:space="0" w:color="auto"/>
        <w:right w:val="none" w:sz="0" w:space="0" w:color="auto"/>
      </w:divBdr>
    </w:div>
    <w:div w:id="373040905">
      <w:bodyDiv w:val="1"/>
      <w:marLeft w:val="0"/>
      <w:marRight w:val="0"/>
      <w:marTop w:val="0"/>
      <w:marBottom w:val="0"/>
      <w:divBdr>
        <w:top w:val="none" w:sz="0" w:space="0" w:color="auto"/>
        <w:left w:val="none" w:sz="0" w:space="0" w:color="auto"/>
        <w:bottom w:val="none" w:sz="0" w:space="0" w:color="auto"/>
        <w:right w:val="none" w:sz="0" w:space="0" w:color="auto"/>
      </w:divBdr>
    </w:div>
    <w:div w:id="43236165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663103">
      <w:bodyDiv w:val="1"/>
      <w:marLeft w:val="0"/>
      <w:marRight w:val="0"/>
      <w:marTop w:val="0"/>
      <w:marBottom w:val="0"/>
      <w:divBdr>
        <w:top w:val="none" w:sz="0" w:space="0" w:color="auto"/>
        <w:left w:val="none" w:sz="0" w:space="0" w:color="auto"/>
        <w:bottom w:val="none" w:sz="0" w:space="0" w:color="auto"/>
        <w:right w:val="none" w:sz="0" w:space="0" w:color="auto"/>
      </w:divBdr>
    </w:div>
    <w:div w:id="610088456">
      <w:bodyDiv w:val="1"/>
      <w:marLeft w:val="0"/>
      <w:marRight w:val="0"/>
      <w:marTop w:val="0"/>
      <w:marBottom w:val="0"/>
      <w:divBdr>
        <w:top w:val="none" w:sz="0" w:space="0" w:color="auto"/>
        <w:left w:val="none" w:sz="0" w:space="0" w:color="auto"/>
        <w:bottom w:val="none" w:sz="0" w:space="0" w:color="auto"/>
        <w:right w:val="none" w:sz="0" w:space="0" w:color="auto"/>
      </w:divBdr>
    </w:div>
    <w:div w:id="696278565">
      <w:bodyDiv w:val="1"/>
      <w:marLeft w:val="0"/>
      <w:marRight w:val="0"/>
      <w:marTop w:val="0"/>
      <w:marBottom w:val="0"/>
      <w:divBdr>
        <w:top w:val="none" w:sz="0" w:space="0" w:color="auto"/>
        <w:left w:val="none" w:sz="0" w:space="0" w:color="auto"/>
        <w:bottom w:val="none" w:sz="0" w:space="0" w:color="auto"/>
        <w:right w:val="none" w:sz="0" w:space="0" w:color="auto"/>
      </w:divBdr>
    </w:div>
    <w:div w:id="785346649">
      <w:bodyDiv w:val="1"/>
      <w:marLeft w:val="0"/>
      <w:marRight w:val="0"/>
      <w:marTop w:val="0"/>
      <w:marBottom w:val="0"/>
      <w:divBdr>
        <w:top w:val="none" w:sz="0" w:space="0" w:color="auto"/>
        <w:left w:val="none" w:sz="0" w:space="0" w:color="auto"/>
        <w:bottom w:val="none" w:sz="0" w:space="0" w:color="auto"/>
        <w:right w:val="none" w:sz="0" w:space="0" w:color="auto"/>
      </w:divBdr>
    </w:div>
    <w:div w:id="821389021">
      <w:bodyDiv w:val="1"/>
      <w:marLeft w:val="0"/>
      <w:marRight w:val="0"/>
      <w:marTop w:val="0"/>
      <w:marBottom w:val="0"/>
      <w:divBdr>
        <w:top w:val="none" w:sz="0" w:space="0" w:color="auto"/>
        <w:left w:val="none" w:sz="0" w:space="0" w:color="auto"/>
        <w:bottom w:val="none" w:sz="0" w:space="0" w:color="auto"/>
        <w:right w:val="none" w:sz="0" w:space="0" w:color="auto"/>
      </w:divBdr>
    </w:div>
    <w:div w:id="867793617">
      <w:bodyDiv w:val="1"/>
      <w:marLeft w:val="0"/>
      <w:marRight w:val="0"/>
      <w:marTop w:val="0"/>
      <w:marBottom w:val="0"/>
      <w:divBdr>
        <w:top w:val="none" w:sz="0" w:space="0" w:color="auto"/>
        <w:left w:val="none" w:sz="0" w:space="0" w:color="auto"/>
        <w:bottom w:val="none" w:sz="0" w:space="0" w:color="auto"/>
        <w:right w:val="none" w:sz="0" w:space="0" w:color="auto"/>
      </w:divBdr>
    </w:div>
    <w:div w:id="911357122">
      <w:bodyDiv w:val="1"/>
      <w:marLeft w:val="0"/>
      <w:marRight w:val="0"/>
      <w:marTop w:val="0"/>
      <w:marBottom w:val="0"/>
      <w:divBdr>
        <w:top w:val="none" w:sz="0" w:space="0" w:color="auto"/>
        <w:left w:val="none" w:sz="0" w:space="0" w:color="auto"/>
        <w:bottom w:val="none" w:sz="0" w:space="0" w:color="auto"/>
        <w:right w:val="none" w:sz="0" w:space="0" w:color="auto"/>
      </w:divBdr>
    </w:div>
    <w:div w:id="915942040">
      <w:bodyDiv w:val="1"/>
      <w:marLeft w:val="0"/>
      <w:marRight w:val="0"/>
      <w:marTop w:val="0"/>
      <w:marBottom w:val="0"/>
      <w:divBdr>
        <w:top w:val="none" w:sz="0" w:space="0" w:color="auto"/>
        <w:left w:val="none" w:sz="0" w:space="0" w:color="auto"/>
        <w:bottom w:val="none" w:sz="0" w:space="0" w:color="auto"/>
        <w:right w:val="none" w:sz="0" w:space="0" w:color="auto"/>
      </w:divBdr>
    </w:div>
    <w:div w:id="92727315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03166524">
      <w:bodyDiv w:val="1"/>
      <w:marLeft w:val="0"/>
      <w:marRight w:val="0"/>
      <w:marTop w:val="0"/>
      <w:marBottom w:val="0"/>
      <w:divBdr>
        <w:top w:val="none" w:sz="0" w:space="0" w:color="auto"/>
        <w:left w:val="none" w:sz="0" w:space="0" w:color="auto"/>
        <w:bottom w:val="none" w:sz="0" w:space="0" w:color="auto"/>
        <w:right w:val="none" w:sz="0" w:space="0" w:color="auto"/>
      </w:divBdr>
    </w:div>
    <w:div w:id="1053577100">
      <w:bodyDiv w:val="1"/>
      <w:marLeft w:val="0"/>
      <w:marRight w:val="0"/>
      <w:marTop w:val="0"/>
      <w:marBottom w:val="0"/>
      <w:divBdr>
        <w:top w:val="none" w:sz="0" w:space="0" w:color="auto"/>
        <w:left w:val="none" w:sz="0" w:space="0" w:color="auto"/>
        <w:bottom w:val="none" w:sz="0" w:space="0" w:color="auto"/>
        <w:right w:val="none" w:sz="0" w:space="0" w:color="auto"/>
      </w:divBdr>
    </w:div>
    <w:div w:id="108406355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10416045">
      <w:bodyDiv w:val="1"/>
      <w:marLeft w:val="0"/>
      <w:marRight w:val="0"/>
      <w:marTop w:val="0"/>
      <w:marBottom w:val="0"/>
      <w:divBdr>
        <w:top w:val="none" w:sz="0" w:space="0" w:color="auto"/>
        <w:left w:val="none" w:sz="0" w:space="0" w:color="auto"/>
        <w:bottom w:val="none" w:sz="0" w:space="0" w:color="auto"/>
        <w:right w:val="none" w:sz="0" w:space="0" w:color="auto"/>
      </w:divBdr>
    </w:div>
    <w:div w:id="1258103322">
      <w:bodyDiv w:val="1"/>
      <w:marLeft w:val="0"/>
      <w:marRight w:val="0"/>
      <w:marTop w:val="0"/>
      <w:marBottom w:val="0"/>
      <w:divBdr>
        <w:top w:val="none" w:sz="0" w:space="0" w:color="auto"/>
        <w:left w:val="none" w:sz="0" w:space="0" w:color="auto"/>
        <w:bottom w:val="none" w:sz="0" w:space="0" w:color="auto"/>
        <w:right w:val="none" w:sz="0" w:space="0" w:color="auto"/>
      </w:divBdr>
    </w:div>
    <w:div w:id="1270771752">
      <w:bodyDiv w:val="1"/>
      <w:marLeft w:val="0"/>
      <w:marRight w:val="0"/>
      <w:marTop w:val="0"/>
      <w:marBottom w:val="0"/>
      <w:divBdr>
        <w:top w:val="none" w:sz="0" w:space="0" w:color="auto"/>
        <w:left w:val="none" w:sz="0" w:space="0" w:color="auto"/>
        <w:bottom w:val="none" w:sz="0" w:space="0" w:color="auto"/>
        <w:right w:val="none" w:sz="0" w:space="0" w:color="auto"/>
      </w:divBdr>
    </w:div>
    <w:div w:id="1293093551">
      <w:bodyDiv w:val="1"/>
      <w:marLeft w:val="0"/>
      <w:marRight w:val="0"/>
      <w:marTop w:val="0"/>
      <w:marBottom w:val="0"/>
      <w:divBdr>
        <w:top w:val="none" w:sz="0" w:space="0" w:color="auto"/>
        <w:left w:val="none" w:sz="0" w:space="0" w:color="auto"/>
        <w:bottom w:val="none" w:sz="0" w:space="0" w:color="auto"/>
        <w:right w:val="none" w:sz="0" w:space="0" w:color="auto"/>
      </w:divBdr>
    </w:div>
    <w:div w:id="1315181826">
      <w:bodyDiv w:val="1"/>
      <w:marLeft w:val="0"/>
      <w:marRight w:val="0"/>
      <w:marTop w:val="0"/>
      <w:marBottom w:val="0"/>
      <w:divBdr>
        <w:top w:val="none" w:sz="0" w:space="0" w:color="auto"/>
        <w:left w:val="none" w:sz="0" w:space="0" w:color="auto"/>
        <w:bottom w:val="none" w:sz="0" w:space="0" w:color="auto"/>
        <w:right w:val="none" w:sz="0" w:space="0" w:color="auto"/>
      </w:divBdr>
    </w:div>
    <w:div w:id="136906487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0584826">
      <w:bodyDiv w:val="1"/>
      <w:marLeft w:val="0"/>
      <w:marRight w:val="0"/>
      <w:marTop w:val="0"/>
      <w:marBottom w:val="0"/>
      <w:divBdr>
        <w:top w:val="none" w:sz="0" w:space="0" w:color="auto"/>
        <w:left w:val="none" w:sz="0" w:space="0" w:color="auto"/>
        <w:bottom w:val="none" w:sz="0" w:space="0" w:color="auto"/>
        <w:right w:val="none" w:sz="0" w:space="0" w:color="auto"/>
      </w:divBdr>
    </w:div>
    <w:div w:id="1481072188">
      <w:bodyDiv w:val="1"/>
      <w:marLeft w:val="0"/>
      <w:marRight w:val="0"/>
      <w:marTop w:val="0"/>
      <w:marBottom w:val="0"/>
      <w:divBdr>
        <w:top w:val="none" w:sz="0" w:space="0" w:color="auto"/>
        <w:left w:val="none" w:sz="0" w:space="0" w:color="auto"/>
        <w:bottom w:val="none" w:sz="0" w:space="0" w:color="auto"/>
        <w:right w:val="none" w:sz="0" w:space="0" w:color="auto"/>
      </w:divBdr>
    </w:div>
    <w:div w:id="1520703455">
      <w:bodyDiv w:val="1"/>
      <w:marLeft w:val="0"/>
      <w:marRight w:val="0"/>
      <w:marTop w:val="0"/>
      <w:marBottom w:val="0"/>
      <w:divBdr>
        <w:top w:val="none" w:sz="0" w:space="0" w:color="auto"/>
        <w:left w:val="none" w:sz="0" w:space="0" w:color="auto"/>
        <w:bottom w:val="none" w:sz="0" w:space="0" w:color="auto"/>
        <w:right w:val="none" w:sz="0" w:space="0" w:color="auto"/>
      </w:divBdr>
    </w:div>
    <w:div w:id="1531147671">
      <w:bodyDiv w:val="1"/>
      <w:marLeft w:val="0"/>
      <w:marRight w:val="0"/>
      <w:marTop w:val="0"/>
      <w:marBottom w:val="0"/>
      <w:divBdr>
        <w:top w:val="none" w:sz="0" w:space="0" w:color="auto"/>
        <w:left w:val="none" w:sz="0" w:space="0" w:color="auto"/>
        <w:bottom w:val="none" w:sz="0" w:space="0" w:color="auto"/>
        <w:right w:val="none" w:sz="0" w:space="0" w:color="auto"/>
      </w:divBdr>
    </w:div>
    <w:div w:id="1535774559">
      <w:bodyDiv w:val="1"/>
      <w:marLeft w:val="0"/>
      <w:marRight w:val="0"/>
      <w:marTop w:val="0"/>
      <w:marBottom w:val="0"/>
      <w:divBdr>
        <w:top w:val="none" w:sz="0" w:space="0" w:color="auto"/>
        <w:left w:val="none" w:sz="0" w:space="0" w:color="auto"/>
        <w:bottom w:val="none" w:sz="0" w:space="0" w:color="auto"/>
        <w:right w:val="none" w:sz="0" w:space="0" w:color="auto"/>
      </w:divBdr>
    </w:div>
    <w:div w:id="155916885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7682289">
      <w:bodyDiv w:val="1"/>
      <w:marLeft w:val="0"/>
      <w:marRight w:val="0"/>
      <w:marTop w:val="0"/>
      <w:marBottom w:val="0"/>
      <w:divBdr>
        <w:top w:val="none" w:sz="0" w:space="0" w:color="auto"/>
        <w:left w:val="none" w:sz="0" w:space="0" w:color="auto"/>
        <w:bottom w:val="none" w:sz="0" w:space="0" w:color="auto"/>
        <w:right w:val="none" w:sz="0" w:space="0" w:color="auto"/>
      </w:divBdr>
    </w:div>
    <w:div w:id="1674145956">
      <w:bodyDiv w:val="1"/>
      <w:marLeft w:val="0"/>
      <w:marRight w:val="0"/>
      <w:marTop w:val="0"/>
      <w:marBottom w:val="0"/>
      <w:divBdr>
        <w:top w:val="none" w:sz="0" w:space="0" w:color="auto"/>
        <w:left w:val="none" w:sz="0" w:space="0" w:color="auto"/>
        <w:bottom w:val="none" w:sz="0" w:space="0" w:color="auto"/>
        <w:right w:val="none" w:sz="0" w:space="0" w:color="auto"/>
      </w:divBdr>
    </w:div>
    <w:div w:id="1688287754">
      <w:bodyDiv w:val="1"/>
      <w:marLeft w:val="0"/>
      <w:marRight w:val="0"/>
      <w:marTop w:val="0"/>
      <w:marBottom w:val="0"/>
      <w:divBdr>
        <w:top w:val="none" w:sz="0" w:space="0" w:color="auto"/>
        <w:left w:val="none" w:sz="0" w:space="0" w:color="auto"/>
        <w:bottom w:val="none" w:sz="0" w:space="0" w:color="auto"/>
        <w:right w:val="none" w:sz="0" w:space="0" w:color="auto"/>
      </w:divBdr>
    </w:div>
    <w:div w:id="177308402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0288717">
      <w:bodyDiv w:val="1"/>
      <w:marLeft w:val="0"/>
      <w:marRight w:val="0"/>
      <w:marTop w:val="0"/>
      <w:marBottom w:val="0"/>
      <w:divBdr>
        <w:top w:val="none" w:sz="0" w:space="0" w:color="auto"/>
        <w:left w:val="none" w:sz="0" w:space="0" w:color="auto"/>
        <w:bottom w:val="none" w:sz="0" w:space="0" w:color="auto"/>
        <w:right w:val="none" w:sz="0" w:space="0" w:color="auto"/>
      </w:divBdr>
    </w:div>
    <w:div w:id="1941529401">
      <w:bodyDiv w:val="1"/>
      <w:marLeft w:val="0"/>
      <w:marRight w:val="0"/>
      <w:marTop w:val="0"/>
      <w:marBottom w:val="0"/>
      <w:divBdr>
        <w:top w:val="none" w:sz="0" w:space="0" w:color="auto"/>
        <w:left w:val="none" w:sz="0" w:space="0" w:color="auto"/>
        <w:bottom w:val="none" w:sz="0" w:space="0" w:color="auto"/>
        <w:right w:val="none" w:sz="0" w:space="0" w:color="auto"/>
      </w:divBdr>
    </w:div>
    <w:div w:id="1948536278">
      <w:bodyDiv w:val="1"/>
      <w:marLeft w:val="0"/>
      <w:marRight w:val="0"/>
      <w:marTop w:val="0"/>
      <w:marBottom w:val="0"/>
      <w:divBdr>
        <w:top w:val="none" w:sz="0" w:space="0" w:color="auto"/>
        <w:left w:val="none" w:sz="0" w:space="0" w:color="auto"/>
        <w:bottom w:val="none" w:sz="0" w:space="0" w:color="auto"/>
        <w:right w:val="none" w:sz="0" w:space="0" w:color="auto"/>
      </w:divBdr>
    </w:div>
    <w:div w:id="205333756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prodonrgov.sharepoint.com/sites/HOW2Hub/_layouts/15/DocIdRedir.aspx?ID=ONRHH-822789359-20348" TargetMode="Externa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7CDE"/>
    <w:rsid w:val="000C737C"/>
    <w:rsid w:val="000D6011"/>
    <w:rsid w:val="001017F9"/>
    <w:rsid w:val="001101B7"/>
    <w:rsid w:val="00183F29"/>
    <w:rsid w:val="002268F5"/>
    <w:rsid w:val="002550FD"/>
    <w:rsid w:val="00333F8E"/>
    <w:rsid w:val="00350199"/>
    <w:rsid w:val="005A49B8"/>
    <w:rsid w:val="006E3957"/>
    <w:rsid w:val="007154C5"/>
    <w:rsid w:val="00764F6F"/>
    <w:rsid w:val="0083336C"/>
    <w:rsid w:val="00835E07"/>
    <w:rsid w:val="009D17DE"/>
    <w:rsid w:val="00A009A6"/>
    <w:rsid w:val="00A657B0"/>
    <w:rsid w:val="00C17C1E"/>
    <w:rsid w:val="00C41BCC"/>
    <w:rsid w:val="00CF6D55"/>
    <w:rsid w:val="00DD7BA4"/>
    <w:rsid w:val="00E27559"/>
    <w:rsid w:val="00E318CE"/>
    <w:rsid w:val="00E646E1"/>
    <w:rsid w:val="00ED618F"/>
    <w:rsid w:val="00EE35E5"/>
    <w:rsid w:val="00F074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b:Source>
    <b:Tag>ONR264</b:Tag>
    <b:SourceType>ElectronicSource</b:SourceType>
    <b:Guid>{A13ED430-56E3-4BCE-8EC0-4394881F35CA}</b:Guid>
    <b:Author>
      <b:Author>
        <b:Corporate>ONR</b:Corporate>
      </b:Author>
    </b:Author>
    <b:Title>NS-TAST-GD-087 - Control of Property Tranasctions on Licenced Sites</b:Title>
    <b:RefOrder>1</b:RefOrder>
  </b:Source>
  <b:Source>
    <b:Tag>ONR2</b:Tag>
    <b:SourceType>ElectronicSource</b:SourceType>
    <b:Guid>{741D4356-42FE-4349-B2D6-56B497B1DA0B}</b:Guid>
    <b:Author>
      <b:Author>
        <b:NameList>
          <b:Person>
            <b:Last>ONR</b:Last>
          </b:Person>
        </b:NameList>
      </b:Author>
    </b:Author>
    <b:Title>Risk Informed and Targeted Engagements (ONR-RD-POL-002)</b:Title>
    <b:RefOrder>2</b:RefOrder>
  </b:Source>
  <b:Source>
    <b:Tag>ONR16</b:Tag>
    <b:SourceType>ElectronicSource</b:SourceType>
    <b:Guid>{85010E10-73E8-419F-8E19-D27E4A910AD6}</b:Guid>
    <b:Author>
      <b:Author>
        <b:NameList>
          <b:Person>
            <b:Last>ONR</b:Last>
          </b:Person>
        </b:NameList>
      </b:Author>
    </b:Author>
    <b:Title>Nuclear Safety Permissioning (NS-PER-GD-001)</b:Title>
    <b:RefOrder>3</b:RefOrder>
  </b:Source>
</b:Sources>
</file>

<file path=customXml/item6.xml><?xml version="1.0" encoding="utf-8"?>
<?mso-contentType ?>
<SharedContentType xmlns="Microsoft.SharePoint.Taxonomy.ContentTypeSync" SourceId="66693000-3e12-4b44-a742-9a2ba35b7d28" ContentTypeId="0x0101000C70A82DFAAC384DB9F6EBA2C8B87C57" PreviousValue="false"/>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s>
</ds:datastoreItem>
</file>

<file path=customXml/itemProps4.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5.xml><?xml version="1.0" encoding="utf-8"?>
<ds:datastoreItem xmlns:ds="http://schemas.openxmlformats.org/officeDocument/2006/customXml" ds:itemID="{2EFE80E7-F037-473A-96E0-DDBE8F657C09}">
  <ds:schemaRefs>
    <ds:schemaRef ds:uri="http://schemas.openxmlformats.org/officeDocument/2006/bibliography"/>
  </ds:schemaRefs>
</ds:datastoreItem>
</file>

<file path=customXml/itemProps6.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7.xml><?xml version="1.0" encoding="utf-8"?>
<ds:datastoreItem xmlns:ds="http://schemas.openxmlformats.org/officeDocument/2006/customXml" ds:itemID="{936F4E04-212D-4F03-89F4-8291E1129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3 – Control of Property Transactions</dc:title>
  <dc:subject>[Subtitle or description]</dc:subject>
  <cp:keywords>[Key words separated by commas]</cp:keywords>
  <dc:description/>
  <cp:revision>2</cp:revision>
  <cp:lastPrinted>2016-11-28T11:35:00Z</cp:lastPrinted>
  <dcterms:created xsi:type="dcterms:W3CDTF">2025-08-14T09:15:00Z</dcterms:created>
  <dcterms:modified xsi:type="dcterms:W3CDTF">2025-08-14T09:15:00Z</dcterms:modified>
  <cp:contentStatus>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