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00881B6F">
        <w:trPr>
          <w:trHeight w:val="1162"/>
        </w:trPr>
        <w:tc>
          <w:tcPr>
            <w:tcW w:w="9156" w:type="dxa"/>
            <w:tcBorders>
              <w:bottom w:val="single" w:sz="24" w:space="0" w:color="22413A"/>
            </w:tcBorders>
            <w:shd w:val="clear" w:color="auto" w:fill="auto"/>
          </w:tcPr>
          <w:p w14:paraId="35C1F1C6" w14:textId="77777777" w:rsidR="00C20562" w:rsidRPr="00C20562" w:rsidRDefault="00C20562" w:rsidP="00323E71">
            <w:bookmarkStart w:id="0" w:name="_Toc466022543"/>
          </w:p>
        </w:tc>
      </w:tr>
      <w:tr w:rsidR="00D0226A" w:rsidRPr="001E03E1" w14:paraId="6FF9A0F4" w14:textId="77777777" w:rsidTr="008211F7">
        <w:trPr>
          <w:trHeight w:hRule="exact" w:val="3595"/>
        </w:trPr>
        <w:tc>
          <w:tcPr>
            <w:tcW w:w="9156" w:type="dxa"/>
            <w:tcBorders>
              <w:top w:val="single" w:sz="24" w:space="0" w:color="22413A"/>
              <w:left w:val="single" w:sz="24" w:space="0" w:color="22413A"/>
              <w:bottom w:val="single" w:sz="24" w:space="0" w:color="22413A"/>
              <w:right w:val="single" w:sz="24" w:space="0" w:color="22413A"/>
            </w:tcBorders>
            <w:shd w:val="clear" w:color="auto" w:fill="auto"/>
          </w:tcPr>
          <w:p w14:paraId="2F059A92" w14:textId="174DB197" w:rsidR="00595C8C" w:rsidRPr="00595C8C" w:rsidRDefault="00595C8C" w:rsidP="00595C8C">
            <w:pPr>
              <w:pStyle w:val="InnerCoverTitle"/>
              <w:rPr>
                <w:sz w:val="36"/>
                <w:szCs w:val="36"/>
              </w:rPr>
            </w:pPr>
            <w:r w:rsidRPr="00595C8C">
              <w:rPr>
                <w:sz w:val="36"/>
                <w:szCs w:val="36"/>
              </w:rPr>
              <w:t xml:space="preserve">ONR </w:t>
            </w:r>
            <w:r w:rsidR="00010E06">
              <w:rPr>
                <w:sz w:val="36"/>
                <w:szCs w:val="36"/>
              </w:rPr>
              <w:t>Procedure</w:t>
            </w:r>
          </w:p>
          <w:bookmarkStart w:id="1" w:name="_Hlk118361574"/>
          <w:p w14:paraId="7C4EA414" w14:textId="0B139249" w:rsidR="00D0226A" w:rsidRPr="001E03E1" w:rsidRDefault="009E17EE" w:rsidP="001E03E1">
            <w:pPr>
              <w:pStyle w:val="CoverTitle"/>
              <w:rPr>
                <w:szCs w:val="90"/>
              </w:rPr>
            </w:pPr>
            <w:sdt>
              <w:sdtPr>
                <w:rPr>
                  <w:sz w:val="72"/>
                  <w:szCs w:val="72"/>
                </w:rPr>
                <w:alias w:val="Title"/>
                <w:tag w:val=""/>
                <w:id w:val="-1089070423"/>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text/>
              </w:sdtPr>
              <w:sdtEndPr/>
              <w:sdtContent>
                <w:r w:rsidR="00010E06">
                  <w:rPr>
                    <w:sz w:val="72"/>
                    <w:szCs w:val="72"/>
                  </w:rPr>
                  <w:t>Resolving Differences of Regulatory Opinion</w:t>
                </w:r>
              </w:sdtContent>
            </w:sdt>
            <w:bookmarkEnd w:id="1"/>
          </w:p>
        </w:tc>
      </w:tr>
    </w:tbl>
    <w:p w14:paraId="56A09D10" w14:textId="71B3C080" w:rsidR="00D0226A" w:rsidRDefault="00355E21">
      <w:pPr>
        <w:spacing w:after="0"/>
      </w:pPr>
      <w:r>
        <w:rPr>
          <w:noProof/>
        </w:rPr>
        <w:drawing>
          <wp:anchor distT="0" distB="0" distL="114300" distR="114300" simplePos="0" relativeHeight="251658752" behindDoc="1" locked="0" layoutInCell="1" allowOverlap="1" wp14:anchorId="10B0A4AA" wp14:editId="6277D247">
            <wp:simplePos x="0" y="0"/>
            <wp:positionH relativeFrom="page">
              <wp:posOffset>-80010</wp:posOffset>
            </wp:positionH>
            <wp:positionV relativeFrom="page">
              <wp:posOffset>-182880</wp:posOffset>
            </wp:positionV>
            <wp:extent cx="7567930" cy="1069213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567930" cy="106921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AB6425B" w14:textId="5CDE2693" w:rsidR="00D0226A" w:rsidRDefault="00D0226A">
      <w:pPr>
        <w:spacing w:after="0"/>
      </w:pPr>
    </w:p>
    <w:p w14:paraId="6D1C8B33" w14:textId="17365FF7" w:rsidR="00267815" w:rsidRDefault="00267815">
      <w:pPr>
        <w:spacing w:after="0"/>
      </w:pPr>
      <w:r>
        <w:br w:type="page"/>
      </w:r>
    </w:p>
    <w:tbl>
      <w:tblPr>
        <w:tblStyle w:val="TableGrid"/>
        <w:tblW w:w="97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751"/>
      </w:tblGrid>
      <w:tr w:rsidR="00420A11" w14:paraId="7AB5314D" w14:textId="77777777" w:rsidTr="00F0151C">
        <w:trPr>
          <w:trHeight w:val="1134"/>
        </w:trPr>
        <w:tc>
          <w:tcPr>
            <w:tcW w:w="9751" w:type="dxa"/>
            <w:vAlign w:val="center"/>
            <w:hideMark/>
          </w:tcPr>
          <w:p w14:paraId="1542BDD6" w14:textId="3F49A5F7" w:rsidR="006C4196" w:rsidRPr="00B14D32" w:rsidRDefault="006C4196">
            <w:pPr>
              <w:pStyle w:val="InnerCoverTitle"/>
              <w:rPr>
                <w:sz w:val="36"/>
                <w:szCs w:val="36"/>
              </w:rPr>
            </w:pPr>
            <w:r w:rsidRPr="00B14D32">
              <w:rPr>
                <w:sz w:val="36"/>
                <w:szCs w:val="36"/>
              </w:rPr>
              <w:lastRenderedPageBreak/>
              <w:t xml:space="preserve">ONR </w:t>
            </w:r>
            <w:r w:rsidR="00010E06">
              <w:rPr>
                <w:sz w:val="36"/>
                <w:szCs w:val="36"/>
              </w:rPr>
              <w:t>Procedure</w:t>
            </w:r>
          </w:p>
          <w:p w14:paraId="79FD04FC" w14:textId="5B6C0570" w:rsidR="00420A11" w:rsidRDefault="009E17EE">
            <w:pPr>
              <w:pStyle w:val="InnerCoverTitle"/>
            </w:pPr>
            <w:sdt>
              <w:sdtPr>
                <w:alias w:val="Title"/>
                <w:tag w:val=""/>
                <w:id w:val="1068923325"/>
                <w:placeholder>
                  <w:docPart w:val="44884182EA6147FEB1141AA6A676324E"/>
                </w:placeholder>
                <w:dataBinding w:prefixMappings="xmlns:ns0='http://purl.org/dc/elements/1.1/' xmlns:ns1='http://schemas.openxmlformats.org/package/2006/metadata/core-properties' " w:xpath="/ns1:coreProperties[1]/ns0:title[1]" w:storeItemID="{6C3C8BC8-F283-45AE-878A-BAB7291924A1}"/>
                <w:text/>
              </w:sdtPr>
              <w:sdtEndPr/>
              <w:sdtContent>
                <w:r w:rsidR="00010E06">
                  <w:t>Resolving Differences of Regulatory Opinion</w:t>
                </w:r>
              </w:sdtContent>
            </w:sdt>
          </w:p>
        </w:tc>
      </w:tr>
      <w:tr w:rsidR="00E6093C" w:rsidRPr="00E6093C" w14:paraId="44E15FF9" w14:textId="77777777" w:rsidTr="00F0151C">
        <w:trPr>
          <w:trHeight w:val="2098"/>
        </w:trPr>
        <w:tc>
          <w:tcPr>
            <w:tcW w:w="9751" w:type="dxa"/>
            <w:hideMark/>
          </w:tcPr>
          <w:p w14:paraId="3623CEFF" w14:textId="77777777" w:rsidR="00F0151C" w:rsidRPr="00E6093C" w:rsidRDefault="00F0151C">
            <w:pPr>
              <w:pStyle w:val="InnerCoverAuthor"/>
              <w:rPr>
                <w:color w:val="auto"/>
              </w:rPr>
            </w:pPr>
          </w:p>
          <w:p w14:paraId="01A715ED" w14:textId="28F64B45" w:rsidR="00420A11" w:rsidRPr="00E6093C" w:rsidRDefault="004E3932">
            <w:pPr>
              <w:pStyle w:val="InnerCoverAuthor"/>
              <w:rPr>
                <w:color w:val="auto"/>
              </w:rPr>
            </w:pPr>
            <w:r w:rsidRPr="00E6093C">
              <w:rPr>
                <w:color w:val="auto"/>
              </w:rPr>
              <w:t>Authored by</w:t>
            </w:r>
            <w:r w:rsidR="00E6093C">
              <w:rPr>
                <w:color w:val="auto"/>
              </w:rPr>
              <w:t>:</w:t>
            </w:r>
            <w:r w:rsidR="00E81FAA" w:rsidRPr="00E6093C">
              <w:rPr>
                <w:color w:val="auto"/>
              </w:rPr>
              <w:t xml:space="preserve"> Regu</w:t>
            </w:r>
            <w:r w:rsidR="002321AA" w:rsidRPr="00E6093C">
              <w:rPr>
                <w:color w:val="auto"/>
              </w:rPr>
              <w:t xml:space="preserve">latory Intelligence and Oversight </w:t>
            </w:r>
            <w:r w:rsidR="00E6093C">
              <w:rPr>
                <w:color w:val="auto"/>
              </w:rPr>
              <w:t>(RIO)</w:t>
            </w:r>
          </w:p>
          <w:p w14:paraId="1FD1BDB5" w14:textId="5517A480" w:rsidR="00B14D32" w:rsidRPr="00E6093C" w:rsidRDefault="004E3932" w:rsidP="006C4196">
            <w:pPr>
              <w:rPr>
                <w:sz w:val="28"/>
                <w:szCs w:val="28"/>
              </w:rPr>
            </w:pPr>
            <w:r w:rsidRPr="00E6093C">
              <w:rPr>
                <w:sz w:val="28"/>
                <w:szCs w:val="28"/>
              </w:rPr>
              <w:t>Approved by</w:t>
            </w:r>
            <w:r w:rsidR="00E6093C">
              <w:rPr>
                <w:sz w:val="28"/>
                <w:szCs w:val="28"/>
              </w:rPr>
              <w:t>:</w:t>
            </w:r>
            <w:r w:rsidR="008211F7" w:rsidRPr="00E6093C">
              <w:rPr>
                <w:sz w:val="28"/>
                <w:szCs w:val="28"/>
              </w:rPr>
              <w:t xml:space="preserve"> Technical Director</w:t>
            </w:r>
          </w:p>
          <w:p w14:paraId="52F0C59E" w14:textId="55CFEFF1" w:rsidR="00B14D32" w:rsidRPr="00E6093C" w:rsidRDefault="00B14D32" w:rsidP="006C4196">
            <w:pPr>
              <w:rPr>
                <w:sz w:val="28"/>
                <w:szCs w:val="28"/>
              </w:rPr>
            </w:pPr>
            <w:r w:rsidRPr="00E6093C">
              <w:rPr>
                <w:sz w:val="28"/>
                <w:szCs w:val="28"/>
              </w:rPr>
              <w:t>Process Owner</w:t>
            </w:r>
            <w:r w:rsidR="00E6093C">
              <w:rPr>
                <w:sz w:val="28"/>
                <w:szCs w:val="28"/>
              </w:rPr>
              <w:t>:</w:t>
            </w:r>
            <w:r w:rsidR="008211F7" w:rsidRPr="00E6093C">
              <w:rPr>
                <w:sz w:val="28"/>
                <w:szCs w:val="28"/>
              </w:rPr>
              <w:t xml:space="preserve"> </w:t>
            </w:r>
            <w:r w:rsidR="00E6093C">
              <w:rPr>
                <w:sz w:val="28"/>
                <w:szCs w:val="28"/>
              </w:rPr>
              <w:t>RIO Lead</w:t>
            </w:r>
          </w:p>
          <w:p w14:paraId="7D32BEA0" w14:textId="77777777" w:rsidR="00F0151C" w:rsidRPr="00E6093C" w:rsidRDefault="00F0151C">
            <w:pPr>
              <w:pStyle w:val="InnerCoverAuthor"/>
              <w:rPr>
                <w:color w:val="auto"/>
              </w:rPr>
            </w:pPr>
          </w:p>
          <w:p w14:paraId="59CE03CD" w14:textId="4B7BC204" w:rsidR="006A525B" w:rsidRPr="00E6093C" w:rsidRDefault="004E3932">
            <w:pPr>
              <w:pStyle w:val="InnerCoverAuthor"/>
              <w:rPr>
                <w:color w:val="auto"/>
              </w:rPr>
            </w:pPr>
            <w:r w:rsidRPr="00E6093C">
              <w:rPr>
                <w:color w:val="auto"/>
              </w:rPr>
              <w:t>Publication Date:</w:t>
            </w:r>
            <w:r w:rsidR="00FB1452" w:rsidRPr="00E6093C">
              <w:rPr>
                <w:color w:val="auto"/>
              </w:rPr>
              <w:t xml:space="preserve"> </w:t>
            </w:r>
            <w:r w:rsidR="00082DD8" w:rsidRPr="00E6093C">
              <w:rPr>
                <w:color w:val="auto"/>
              </w:rPr>
              <w:t>Nov</w:t>
            </w:r>
            <w:r w:rsidR="00010E06" w:rsidRPr="00E6093C">
              <w:rPr>
                <w:color w:val="auto"/>
              </w:rPr>
              <w:t>-</w:t>
            </w:r>
            <w:r w:rsidR="00082DD8" w:rsidRPr="00E6093C">
              <w:rPr>
                <w:color w:val="auto"/>
              </w:rPr>
              <w:t>202</w:t>
            </w:r>
            <w:r w:rsidR="009F3276" w:rsidRPr="00E6093C">
              <w:rPr>
                <w:color w:val="auto"/>
              </w:rPr>
              <w:t>2</w:t>
            </w:r>
          </w:p>
          <w:p w14:paraId="41E4D303" w14:textId="6B434AED" w:rsidR="00B14D32" w:rsidRPr="00E6093C" w:rsidRDefault="00B14D32" w:rsidP="00B14D32">
            <w:pPr>
              <w:pStyle w:val="InnerCoverAuthor"/>
              <w:rPr>
                <w:color w:val="auto"/>
              </w:rPr>
            </w:pPr>
            <w:r w:rsidRPr="00E6093C">
              <w:rPr>
                <w:color w:val="auto"/>
              </w:rPr>
              <w:t xml:space="preserve">Next Major Review Date: </w:t>
            </w:r>
            <w:r w:rsidR="00082DD8" w:rsidRPr="00E6093C">
              <w:rPr>
                <w:color w:val="auto"/>
              </w:rPr>
              <w:t>Nov</w:t>
            </w:r>
            <w:r w:rsidR="00010E06" w:rsidRPr="00E6093C">
              <w:rPr>
                <w:color w:val="auto"/>
              </w:rPr>
              <w:t>-</w:t>
            </w:r>
            <w:r w:rsidR="00082DD8" w:rsidRPr="00E6093C">
              <w:rPr>
                <w:color w:val="auto"/>
              </w:rPr>
              <w:t>2025</w:t>
            </w:r>
          </w:p>
          <w:p w14:paraId="5447B948" w14:textId="4DD6480E" w:rsidR="00F0151C" w:rsidRPr="00E6093C" w:rsidRDefault="00F0151C" w:rsidP="00F0151C">
            <w:r w:rsidRPr="00E6093C">
              <w:rPr>
                <w:sz w:val="28"/>
                <w:szCs w:val="28"/>
              </w:rPr>
              <w:t xml:space="preserve">Issue No.: </w:t>
            </w:r>
            <w:sdt>
              <w:sdtPr>
                <w:rPr>
                  <w:sz w:val="28"/>
                  <w:szCs w:val="28"/>
                </w:rPr>
                <w:id w:val="1946504726"/>
                <w:placeholder>
                  <w:docPart w:val="0F8C41C7728442EB8FE7D8DF07580346"/>
                </w:placeholder>
              </w:sdtPr>
              <w:sdtEndPr/>
              <w:sdtContent>
                <w:sdt>
                  <w:sdtPr>
                    <w:rPr>
                      <w:sz w:val="28"/>
                      <w:szCs w:val="28"/>
                    </w:rPr>
                    <w:alias w:val="Status"/>
                    <w:tag w:val=""/>
                    <w:id w:val="-1487313182"/>
                    <w:placeholder>
                      <w:docPart w:val="8C97365EA9D2487FBF247098DA472D4E"/>
                    </w:placeholder>
                    <w:dataBinding w:prefixMappings="xmlns:ns0='http://purl.org/dc/elements/1.1/' xmlns:ns1='http://schemas.openxmlformats.org/package/2006/metadata/core-properties' " w:xpath="/ns1:coreProperties[1]/ns1:contentStatus[1]" w:storeItemID="{6C3C8BC8-F283-45AE-878A-BAB7291924A1}"/>
                    <w:text/>
                  </w:sdtPr>
                  <w:sdtEndPr/>
                  <w:sdtContent>
                    <w:r w:rsidR="00E6093C">
                      <w:rPr>
                        <w:sz w:val="28"/>
                        <w:szCs w:val="28"/>
                      </w:rPr>
                      <w:t>5.1</w:t>
                    </w:r>
                  </w:sdtContent>
                </w:sdt>
              </w:sdtContent>
            </w:sdt>
          </w:p>
          <w:p w14:paraId="5E9BE6EE" w14:textId="1D822549" w:rsidR="00F0151C" w:rsidRPr="00E6093C" w:rsidRDefault="00F0151C" w:rsidP="00F0151C">
            <w:r w:rsidRPr="00E6093C">
              <w:rPr>
                <w:sz w:val="28"/>
                <w:szCs w:val="28"/>
              </w:rPr>
              <w:t xml:space="preserve">Doc. Ref. No.: </w:t>
            </w:r>
            <w:r w:rsidR="008211F7" w:rsidRPr="00E6093C">
              <w:rPr>
                <w:sz w:val="28"/>
                <w:szCs w:val="28"/>
              </w:rPr>
              <w:t>NS-INSP-</w:t>
            </w:r>
            <w:r w:rsidR="00010E06" w:rsidRPr="00E6093C">
              <w:rPr>
                <w:sz w:val="28"/>
                <w:szCs w:val="28"/>
              </w:rPr>
              <w:t>PROC</w:t>
            </w:r>
            <w:r w:rsidR="008211F7" w:rsidRPr="00E6093C">
              <w:rPr>
                <w:sz w:val="28"/>
                <w:szCs w:val="28"/>
              </w:rPr>
              <w:t>-</w:t>
            </w:r>
            <w:r w:rsidR="00010E06" w:rsidRPr="00E6093C">
              <w:rPr>
                <w:sz w:val="28"/>
                <w:szCs w:val="28"/>
              </w:rPr>
              <w:t>001</w:t>
            </w:r>
          </w:p>
          <w:p w14:paraId="3093C635" w14:textId="03648897" w:rsidR="00F0151C" w:rsidRPr="00E6093C" w:rsidRDefault="00F0151C" w:rsidP="00F0151C">
            <w:pPr>
              <w:pStyle w:val="InnerCoverAuthor"/>
              <w:rPr>
                <w:color w:val="auto"/>
              </w:rPr>
            </w:pPr>
            <w:r w:rsidRPr="00E6093C">
              <w:rPr>
                <w:color w:val="auto"/>
              </w:rPr>
              <w:t>Record Ref. No.:</w:t>
            </w:r>
            <w:r w:rsidR="00B14D32" w:rsidRPr="00E6093C">
              <w:rPr>
                <w:color w:val="auto"/>
              </w:rPr>
              <w:t xml:space="preserve"> </w:t>
            </w:r>
            <w:r w:rsidR="00E6093C" w:rsidRPr="00E6093C">
              <w:rPr>
                <w:color w:val="auto"/>
              </w:rPr>
              <w:t>2018/404298</w:t>
            </w:r>
          </w:p>
          <w:p w14:paraId="14315D9F" w14:textId="13310423" w:rsidR="006C4196" w:rsidRPr="00E6093C" w:rsidRDefault="006C4196">
            <w:pPr>
              <w:pStyle w:val="InnerCoverAuthor"/>
              <w:rPr>
                <w:color w:val="auto"/>
              </w:rPr>
            </w:pPr>
          </w:p>
        </w:tc>
      </w:tr>
    </w:tbl>
    <w:p w14:paraId="39BC0EA4" w14:textId="77777777" w:rsidR="00420A11" w:rsidRDefault="00420A11" w:rsidP="00323E71"/>
    <w:p w14:paraId="04E547F5" w14:textId="2FE8C861" w:rsidR="00010E06" w:rsidRDefault="00010E06" w:rsidP="00010E06">
      <w:pPr>
        <w:pStyle w:val="Caption"/>
        <w:keepNext/>
      </w:pPr>
      <w:r>
        <w:t xml:space="preserve">Table </w:t>
      </w:r>
      <w:r w:rsidR="009E17EE">
        <w:fldChar w:fldCharType="begin"/>
      </w:r>
      <w:r w:rsidR="009E17EE">
        <w:instrText xml:space="preserve"> SEQ Table \* ARABIC </w:instrText>
      </w:r>
      <w:r w:rsidR="009E17EE">
        <w:fldChar w:fldCharType="separate"/>
      </w:r>
      <w:r>
        <w:rPr>
          <w:noProof/>
        </w:rPr>
        <w:t>1</w:t>
      </w:r>
      <w:r w:rsidR="009E17EE">
        <w:rPr>
          <w:noProof/>
        </w:rPr>
        <w:fldChar w:fldCharType="end"/>
      </w:r>
      <w:r w:rsidR="00E6093C">
        <w:rPr>
          <w:noProof/>
        </w:rPr>
        <w:t>:</w:t>
      </w:r>
      <w:r>
        <w:t xml:space="preserve"> Revision Commentary</w:t>
      </w:r>
    </w:p>
    <w:tbl>
      <w:tblPr>
        <w:tblStyle w:val="ONRTable1"/>
        <w:tblW w:w="0" w:type="auto"/>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6"/>
        <w:gridCol w:w="8465"/>
      </w:tblGrid>
      <w:tr w:rsidR="00595C8C" w:rsidRPr="00010E06" w14:paraId="116B87DF" w14:textId="77777777" w:rsidTr="00C14F1D">
        <w:trPr>
          <w:cnfStyle w:val="100000000000" w:firstRow="1" w:lastRow="0" w:firstColumn="0" w:lastColumn="0" w:oddVBand="0" w:evenVBand="0" w:oddHBand="0" w:evenHBand="0" w:firstRowFirstColumn="0" w:firstRowLastColumn="0" w:lastRowFirstColumn="0" w:lastRowLastColumn="0"/>
        </w:trPr>
        <w:tc>
          <w:tcPr>
            <w:tcW w:w="12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72366D01" w14:textId="5285E8FF" w:rsidR="00595C8C" w:rsidRPr="00010E06" w:rsidRDefault="00595C8C" w:rsidP="00595C8C">
            <w:pPr>
              <w:spacing w:before="60" w:after="60"/>
              <w:rPr>
                <w:b w:val="0"/>
                <w:bCs/>
              </w:rPr>
            </w:pPr>
            <w:r w:rsidRPr="00010E06">
              <w:rPr>
                <w:b w:val="0"/>
                <w:bCs/>
              </w:rPr>
              <w:t>Issue</w:t>
            </w:r>
            <w:r w:rsidR="004E3932" w:rsidRPr="00010E06">
              <w:rPr>
                <w:b w:val="0"/>
                <w:bCs/>
              </w:rPr>
              <w:t xml:space="preserve"> No.</w:t>
            </w:r>
          </w:p>
        </w:tc>
        <w:tc>
          <w:tcPr>
            <w:tcW w:w="8465"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2D00C3FD" w14:textId="26176D05" w:rsidR="00595C8C" w:rsidRPr="00010E06" w:rsidRDefault="00595C8C" w:rsidP="00595C8C">
            <w:pPr>
              <w:spacing w:before="60" w:after="60"/>
              <w:rPr>
                <w:b w:val="0"/>
                <w:bCs/>
              </w:rPr>
            </w:pPr>
            <w:r w:rsidRPr="00010E06">
              <w:rPr>
                <w:b w:val="0"/>
                <w:bCs/>
              </w:rPr>
              <w:t>Description of Update(s)</w:t>
            </w:r>
          </w:p>
        </w:tc>
      </w:tr>
      <w:tr w:rsidR="00595C8C" w14:paraId="0B4E4E42" w14:textId="77777777" w:rsidTr="00C14F1D">
        <w:tc>
          <w:tcPr>
            <w:tcW w:w="1256" w:type="dxa"/>
          </w:tcPr>
          <w:p w14:paraId="65482A03" w14:textId="359D2DA1" w:rsidR="00595C8C" w:rsidRDefault="00E6093C" w:rsidP="00595C8C">
            <w:pPr>
              <w:spacing w:before="60" w:after="60"/>
            </w:pPr>
            <w:r>
              <w:t>5.1</w:t>
            </w:r>
          </w:p>
        </w:tc>
        <w:tc>
          <w:tcPr>
            <w:tcW w:w="8465" w:type="dxa"/>
          </w:tcPr>
          <w:p w14:paraId="443EB081" w14:textId="2FDE25CD" w:rsidR="00082DD8" w:rsidRDefault="00082DD8" w:rsidP="00595C8C">
            <w:pPr>
              <w:spacing w:before="60" w:after="60"/>
            </w:pPr>
            <w:r>
              <w:t>Minor</w:t>
            </w:r>
            <w:r w:rsidR="00A3023D">
              <w:t xml:space="preserve"> content </w:t>
            </w:r>
            <w:r w:rsidR="00835EBF">
              <w:t xml:space="preserve">and textual </w:t>
            </w:r>
            <w:r>
              <w:t>updates</w:t>
            </w:r>
            <w:r w:rsidR="00A3023D">
              <w:t>.</w:t>
            </w:r>
          </w:p>
          <w:p w14:paraId="2623BEC8" w14:textId="77777777" w:rsidR="00595C8C" w:rsidRDefault="00082DD8" w:rsidP="00595C8C">
            <w:pPr>
              <w:spacing w:before="60" w:after="60"/>
            </w:pPr>
            <w:r>
              <w:t>Reviewed</w:t>
            </w:r>
            <w:r w:rsidR="008211F7">
              <w:t xml:space="preserve"> to conform with new </w:t>
            </w:r>
            <w:r w:rsidR="00A3023D">
              <w:t xml:space="preserve">ONR </w:t>
            </w:r>
            <w:r w:rsidR="008211F7">
              <w:t xml:space="preserve">template and </w:t>
            </w:r>
            <w:r w:rsidR="00A3023D">
              <w:t>requirements of the ONR</w:t>
            </w:r>
            <w:r w:rsidR="008211F7">
              <w:t xml:space="preserve"> Style Guide</w:t>
            </w:r>
            <w:r w:rsidR="00A3023D">
              <w:t>.</w:t>
            </w:r>
          </w:p>
          <w:p w14:paraId="1C80912E" w14:textId="11B7C3CB" w:rsidR="00E6093C" w:rsidRDefault="00E6093C" w:rsidP="00595C8C">
            <w:pPr>
              <w:spacing w:before="60" w:after="60"/>
            </w:pPr>
            <w:r>
              <w:t>Document type changed from ONR Instruction to Procedure to bring it line with the document types of the management system – former document reference NS-INSP-IN-002.</w:t>
            </w:r>
          </w:p>
        </w:tc>
      </w:tr>
    </w:tbl>
    <w:p w14:paraId="0A54F53A" w14:textId="77777777" w:rsidR="00595C8C" w:rsidRDefault="00595C8C" w:rsidP="00323E71"/>
    <w:p w14:paraId="75094A62" w14:textId="180E5A9C" w:rsidR="005344F2" w:rsidRDefault="005344F2">
      <w:pPr>
        <w:spacing w:after="0" w:line="240" w:lineRule="auto"/>
      </w:pPr>
      <w:r>
        <w:br w:type="page"/>
      </w:r>
    </w:p>
    <w:p w14:paraId="395FB235" w14:textId="77777777" w:rsidR="00E6093C" w:rsidRDefault="00E6093C" w:rsidP="00E6093C">
      <w:pPr>
        <w:ind w:left="851" w:hanging="851"/>
        <w:rPr>
          <w:color w:val="22413A"/>
          <w:sz w:val="48"/>
          <w:szCs w:val="48"/>
        </w:rPr>
        <w:sectPr w:rsidR="00E6093C" w:rsidSect="00E6093C">
          <w:headerReference w:type="even" r:id="rId11"/>
          <w:headerReference w:type="default" r:id="rId12"/>
          <w:footerReference w:type="even" r:id="rId13"/>
          <w:footerReference w:type="default" r:id="rId14"/>
          <w:headerReference w:type="first" r:id="rId15"/>
          <w:footerReference w:type="first" r:id="rId16"/>
          <w:pgSz w:w="11906" w:h="16838" w:code="9"/>
          <w:pgMar w:top="1440" w:right="1080" w:bottom="1440" w:left="1080" w:header="397" w:footer="397" w:gutter="0"/>
          <w:cols w:space="312"/>
          <w:titlePg/>
          <w:docGrid w:linePitch="360"/>
        </w:sectPr>
      </w:pPr>
    </w:p>
    <w:p w14:paraId="579E0C17" w14:textId="45452F81" w:rsidR="005344F2" w:rsidRPr="00E6093C" w:rsidRDefault="005344F2" w:rsidP="00E6093C">
      <w:pPr>
        <w:ind w:left="851" w:hanging="851"/>
        <w:rPr>
          <w:color w:val="22413A"/>
          <w:sz w:val="48"/>
          <w:szCs w:val="48"/>
        </w:rPr>
      </w:pPr>
      <w:r w:rsidRPr="00E6093C">
        <w:rPr>
          <w:color w:val="22413A"/>
          <w:sz w:val="48"/>
          <w:szCs w:val="48"/>
        </w:rPr>
        <w:lastRenderedPageBreak/>
        <w:t>Contents</w:t>
      </w:r>
    </w:p>
    <w:p w14:paraId="207EFA02" w14:textId="1F48D027" w:rsidR="00E6093C" w:rsidRDefault="005344F2">
      <w:pPr>
        <w:pStyle w:val="TOC1"/>
        <w:tabs>
          <w:tab w:val="left" w:pos="720"/>
        </w:tabs>
        <w:rPr>
          <w:rFonts w:asciiTheme="minorHAnsi" w:eastAsiaTheme="minorEastAsia" w:hAnsiTheme="minorHAnsi" w:cstheme="minorBidi"/>
          <w:sz w:val="22"/>
          <w:lang w:eastAsia="en-GB" w:bidi="ar-SA"/>
        </w:rPr>
      </w:pPr>
      <w:r w:rsidRPr="005344F2">
        <w:rPr>
          <w:rFonts w:eastAsia="Times New Roman" w:cs="Times New Roman"/>
          <w:szCs w:val="24"/>
          <w:lang w:bidi="ar-SA"/>
        </w:rPr>
        <w:fldChar w:fldCharType="begin"/>
      </w:r>
      <w:r w:rsidRPr="005344F2">
        <w:rPr>
          <w:rFonts w:eastAsia="Times New Roman" w:cs="Times New Roman"/>
          <w:szCs w:val="24"/>
          <w:lang w:bidi="ar-SA"/>
        </w:rPr>
        <w:instrText xml:space="preserve"> TOC \o "1-2" \h \z \u </w:instrText>
      </w:r>
      <w:r w:rsidRPr="005344F2">
        <w:rPr>
          <w:rFonts w:eastAsia="Times New Roman" w:cs="Times New Roman"/>
          <w:szCs w:val="24"/>
          <w:lang w:bidi="ar-SA"/>
        </w:rPr>
        <w:fldChar w:fldCharType="separate"/>
      </w:r>
      <w:hyperlink w:anchor="_Toc120027931" w:history="1">
        <w:r w:rsidR="00E6093C" w:rsidRPr="000B5AF1">
          <w:rPr>
            <w:rStyle w:val="Hyperlink"/>
          </w:rPr>
          <w:t>1.</w:t>
        </w:r>
        <w:r w:rsidR="00E6093C">
          <w:rPr>
            <w:rFonts w:asciiTheme="minorHAnsi" w:eastAsiaTheme="minorEastAsia" w:hAnsiTheme="minorHAnsi" w:cstheme="minorBidi"/>
            <w:sz w:val="22"/>
            <w:lang w:eastAsia="en-GB" w:bidi="ar-SA"/>
          </w:rPr>
          <w:tab/>
        </w:r>
        <w:r w:rsidR="00E6093C" w:rsidRPr="000B5AF1">
          <w:rPr>
            <w:rStyle w:val="Hyperlink"/>
          </w:rPr>
          <w:t>Introduction</w:t>
        </w:r>
        <w:r w:rsidR="00E6093C">
          <w:rPr>
            <w:webHidden/>
          </w:rPr>
          <w:tab/>
        </w:r>
        <w:r w:rsidR="00E6093C">
          <w:rPr>
            <w:webHidden/>
          </w:rPr>
          <w:fldChar w:fldCharType="begin"/>
        </w:r>
        <w:r w:rsidR="00E6093C">
          <w:rPr>
            <w:webHidden/>
          </w:rPr>
          <w:instrText xml:space="preserve"> PAGEREF _Toc120027931 \h </w:instrText>
        </w:r>
        <w:r w:rsidR="00E6093C">
          <w:rPr>
            <w:webHidden/>
          </w:rPr>
        </w:r>
        <w:r w:rsidR="00E6093C">
          <w:rPr>
            <w:webHidden/>
          </w:rPr>
          <w:fldChar w:fldCharType="separate"/>
        </w:r>
        <w:r w:rsidR="00E6093C">
          <w:rPr>
            <w:webHidden/>
          </w:rPr>
          <w:t>4</w:t>
        </w:r>
        <w:r w:rsidR="00E6093C">
          <w:rPr>
            <w:webHidden/>
          </w:rPr>
          <w:fldChar w:fldCharType="end"/>
        </w:r>
      </w:hyperlink>
    </w:p>
    <w:p w14:paraId="4249D340" w14:textId="33B53550" w:rsidR="00E6093C" w:rsidRDefault="009E17EE">
      <w:pPr>
        <w:pStyle w:val="TOC2"/>
        <w:tabs>
          <w:tab w:val="left" w:pos="1100"/>
        </w:tabs>
        <w:rPr>
          <w:rFonts w:asciiTheme="minorHAnsi" w:eastAsiaTheme="minorEastAsia" w:hAnsiTheme="minorHAnsi" w:cstheme="minorBidi"/>
          <w:sz w:val="22"/>
          <w:lang w:eastAsia="en-GB" w:bidi="ar-SA"/>
        </w:rPr>
      </w:pPr>
      <w:hyperlink w:anchor="_Toc120027932" w:history="1">
        <w:r w:rsidR="00E6093C" w:rsidRPr="000B5AF1">
          <w:rPr>
            <w:rStyle w:val="Hyperlink"/>
          </w:rPr>
          <w:t>1.1.</w:t>
        </w:r>
        <w:r w:rsidR="00E6093C">
          <w:rPr>
            <w:rFonts w:asciiTheme="minorHAnsi" w:eastAsiaTheme="minorEastAsia" w:hAnsiTheme="minorHAnsi" w:cstheme="minorBidi"/>
            <w:sz w:val="22"/>
            <w:lang w:eastAsia="en-GB" w:bidi="ar-SA"/>
          </w:rPr>
          <w:tab/>
        </w:r>
        <w:r w:rsidR="00E6093C" w:rsidRPr="000B5AF1">
          <w:rPr>
            <w:rStyle w:val="Hyperlink"/>
          </w:rPr>
          <w:t>Purpose, Scope and Applicability</w:t>
        </w:r>
        <w:r w:rsidR="00E6093C">
          <w:rPr>
            <w:webHidden/>
          </w:rPr>
          <w:tab/>
        </w:r>
        <w:r w:rsidR="00E6093C">
          <w:rPr>
            <w:webHidden/>
          </w:rPr>
          <w:fldChar w:fldCharType="begin"/>
        </w:r>
        <w:r w:rsidR="00E6093C">
          <w:rPr>
            <w:webHidden/>
          </w:rPr>
          <w:instrText xml:space="preserve"> PAGEREF _Toc120027932 \h </w:instrText>
        </w:r>
        <w:r w:rsidR="00E6093C">
          <w:rPr>
            <w:webHidden/>
          </w:rPr>
        </w:r>
        <w:r w:rsidR="00E6093C">
          <w:rPr>
            <w:webHidden/>
          </w:rPr>
          <w:fldChar w:fldCharType="separate"/>
        </w:r>
        <w:r w:rsidR="00E6093C">
          <w:rPr>
            <w:webHidden/>
          </w:rPr>
          <w:t>4</w:t>
        </w:r>
        <w:r w:rsidR="00E6093C">
          <w:rPr>
            <w:webHidden/>
          </w:rPr>
          <w:fldChar w:fldCharType="end"/>
        </w:r>
      </w:hyperlink>
    </w:p>
    <w:p w14:paraId="253A24C1" w14:textId="0CFC8624" w:rsidR="00E6093C" w:rsidRDefault="009E17EE">
      <w:pPr>
        <w:pStyle w:val="TOC2"/>
        <w:tabs>
          <w:tab w:val="left" w:pos="1100"/>
        </w:tabs>
        <w:rPr>
          <w:rFonts w:asciiTheme="minorHAnsi" w:eastAsiaTheme="minorEastAsia" w:hAnsiTheme="minorHAnsi" w:cstheme="minorBidi"/>
          <w:sz w:val="22"/>
          <w:lang w:eastAsia="en-GB" w:bidi="ar-SA"/>
        </w:rPr>
      </w:pPr>
      <w:hyperlink w:anchor="_Toc120027933" w:history="1">
        <w:r w:rsidR="00E6093C" w:rsidRPr="000B5AF1">
          <w:rPr>
            <w:rStyle w:val="Hyperlink"/>
          </w:rPr>
          <w:t>1.2.</w:t>
        </w:r>
        <w:r w:rsidR="00E6093C">
          <w:rPr>
            <w:rFonts w:asciiTheme="minorHAnsi" w:eastAsiaTheme="minorEastAsia" w:hAnsiTheme="minorHAnsi" w:cstheme="minorBidi"/>
            <w:sz w:val="22"/>
            <w:lang w:eastAsia="en-GB" w:bidi="ar-SA"/>
          </w:rPr>
          <w:tab/>
        </w:r>
        <w:r w:rsidR="00E6093C" w:rsidRPr="000B5AF1">
          <w:rPr>
            <w:rStyle w:val="Hyperlink"/>
          </w:rPr>
          <w:t>Definitions</w:t>
        </w:r>
        <w:r w:rsidR="00E6093C">
          <w:rPr>
            <w:webHidden/>
          </w:rPr>
          <w:tab/>
        </w:r>
        <w:r w:rsidR="00E6093C">
          <w:rPr>
            <w:webHidden/>
          </w:rPr>
          <w:fldChar w:fldCharType="begin"/>
        </w:r>
        <w:r w:rsidR="00E6093C">
          <w:rPr>
            <w:webHidden/>
          </w:rPr>
          <w:instrText xml:space="preserve"> PAGEREF _Toc120027933 \h </w:instrText>
        </w:r>
        <w:r w:rsidR="00E6093C">
          <w:rPr>
            <w:webHidden/>
          </w:rPr>
        </w:r>
        <w:r w:rsidR="00E6093C">
          <w:rPr>
            <w:webHidden/>
          </w:rPr>
          <w:fldChar w:fldCharType="separate"/>
        </w:r>
        <w:r w:rsidR="00E6093C">
          <w:rPr>
            <w:webHidden/>
          </w:rPr>
          <w:t>5</w:t>
        </w:r>
        <w:r w:rsidR="00E6093C">
          <w:rPr>
            <w:webHidden/>
          </w:rPr>
          <w:fldChar w:fldCharType="end"/>
        </w:r>
      </w:hyperlink>
    </w:p>
    <w:p w14:paraId="42A0C62C" w14:textId="3AB76FEC" w:rsidR="00E6093C" w:rsidRDefault="009E17EE">
      <w:pPr>
        <w:pStyle w:val="TOC1"/>
        <w:tabs>
          <w:tab w:val="left" w:pos="720"/>
        </w:tabs>
        <w:rPr>
          <w:rFonts w:asciiTheme="minorHAnsi" w:eastAsiaTheme="minorEastAsia" w:hAnsiTheme="minorHAnsi" w:cstheme="minorBidi"/>
          <w:sz w:val="22"/>
          <w:lang w:eastAsia="en-GB" w:bidi="ar-SA"/>
        </w:rPr>
      </w:pPr>
      <w:hyperlink w:anchor="_Toc120027934" w:history="1">
        <w:r w:rsidR="00E6093C" w:rsidRPr="000B5AF1">
          <w:rPr>
            <w:rStyle w:val="Hyperlink"/>
          </w:rPr>
          <w:t>2.</w:t>
        </w:r>
        <w:r w:rsidR="00E6093C">
          <w:rPr>
            <w:rFonts w:asciiTheme="minorHAnsi" w:eastAsiaTheme="minorEastAsia" w:hAnsiTheme="minorHAnsi" w:cstheme="minorBidi"/>
            <w:sz w:val="22"/>
            <w:lang w:eastAsia="en-GB" w:bidi="ar-SA"/>
          </w:rPr>
          <w:tab/>
        </w:r>
        <w:r w:rsidR="00E6093C" w:rsidRPr="000B5AF1">
          <w:rPr>
            <w:rStyle w:val="Hyperlink"/>
          </w:rPr>
          <w:t>Resolving Differences of Regulatory Opinion</w:t>
        </w:r>
        <w:r w:rsidR="00E6093C">
          <w:rPr>
            <w:webHidden/>
          </w:rPr>
          <w:tab/>
        </w:r>
        <w:r w:rsidR="00E6093C">
          <w:rPr>
            <w:webHidden/>
          </w:rPr>
          <w:fldChar w:fldCharType="begin"/>
        </w:r>
        <w:r w:rsidR="00E6093C">
          <w:rPr>
            <w:webHidden/>
          </w:rPr>
          <w:instrText xml:space="preserve"> PAGEREF _Toc120027934 \h </w:instrText>
        </w:r>
        <w:r w:rsidR="00E6093C">
          <w:rPr>
            <w:webHidden/>
          </w:rPr>
        </w:r>
        <w:r w:rsidR="00E6093C">
          <w:rPr>
            <w:webHidden/>
          </w:rPr>
          <w:fldChar w:fldCharType="separate"/>
        </w:r>
        <w:r w:rsidR="00E6093C">
          <w:rPr>
            <w:webHidden/>
          </w:rPr>
          <w:t>6</w:t>
        </w:r>
        <w:r w:rsidR="00E6093C">
          <w:rPr>
            <w:webHidden/>
          </w:rPr>
          <w:fldChar w:fldCharType="end"/>
        </w:r>
      </w:hyperlink>
    </w:p>
    <w:p w14:paraId="2CDF5975" w14:textId="7CDB0EC9" w:rsidR="00E6093C" w:rsidRDefault="009E17EE">
      <w:pPr>
        <w:pStyle w:val="TOC2"/>
        <w:tabs>
          <w:tab w:val="left" w:pos="1100"/>
        </w:tabs>
        <w:rPr>
          <w:rFonts w:asciiTheme="minorHAnsi" w:eastAsiaTheme="minorEastAsia" w:hAnsiTheme="minorHAnsi" w:cstheme="minorBidi"/>
          <w:sz w:val="22"/>
          <w:lang w:eastAsia="en-GB" w:bidi="ar-SA"/>
        </w:rPr>
      </w:pPr>
      <w:hyperlink w:anchor="_Toc120027935" w:history="1">
        <w:r w:rsidR="00E6093C" w:rsidRPr="000B5AF1">
          <w:rPr>
            <w:rStyle w:val="Hyperlink"/>
          </w:rPr>
          <w:t>2.1.</w:t>
        </w:r>
        <w:r w:rsidR="00E6093C">
          <w:rPr>
            <w:rFonts w:asciiTheme="minorHAnsi" w:eastAsiaTheme="minorEastAsia" w:hAnsiTheme="minorHAnsi" w:cstheme="minorBidi"/>
            <w:sz w:val="22"/>
            <w:lang w:eastAsia="en-GB" w:bidi="ar-SA"/>
          </w:rPr>
          <w:tab/>
        </w:r>
        <w:r w:rsidR="00E6093C" w:rsidRPr="000B5AF1">
          <w:rPr>
            <w:rStyle w:val="Hyperlink"/>
          </w:rPr>
          <w:t>Stage 1 – Initiation</w:t>
        </w:r>
        <w:r w:rsidR="00E6093C">
          <w:rPr>
            <w:webHidden/>
          </w:rPr>
          <w:tab/>
        </w:r>
        <w:r w:rsidR="00E6093C">
          <w:rPr>
            <w:webHidden/>
          </w:rPr>
          <w:fldChar w:fldCharType="begin"/>
        </w:r>
        <w:r w:rsidR="00E6093C">
          <w:rPr>
            <w:webHidden/>
          </w:rPr>
          <w:instrText xml:space="preserve"> PAGEREF _Toc120027935 \h </w:instrText>
        </w:r>
        <w:r w:rsidR="00E6093C">
          <w:rPr>
            <w:webHidden/>
          </w:rPr>
        </w:r>
        <w:r w:rsidR="00E6093C">
          <w:rPr>
            <w:webHidden/>
          </w:rPr>
          <w:fldChar w:fldCharType="separate"/>
        </w:r>
        <w:r w:rsidR="00E6093C">
          <w:rPr>
            <w:webHidden/>
          </w:rPr>
          <w:t>8</w:t>
        </w:r>
        <w:r w:rsidR="00E6093C">
          <w:rPr>
            <w:webHidden/>
          </w:rPr>
          <w:fldChar w:fldCharType="end"/>
        </w:r>
      </w:hyperlink>
    </w:p>
    <w:p w14:paraId="0F779E52" w14:textId="126E8BBD" w:rsidR="00E6093C" w:rsidRDefault="009E17EE">
      <w:pPr>
        <w:pStyle w:val="TOC2"/>
        <w:tabs>
          <w:tab w:val="left" w:pos="1100"/>
        </w:tabs>
        <w:rPr>
          <w:rFonts w:asciiTheme="minorHAnsi" w:eastAsiaTheme="minorEastAsia" w:hAnsiTheme="minorHAnsi" w:cstheme="minorBidi"/>
          <w:sz w:val="22"/>
          <w:lang w:eastAsia="en-GB" w:bidi="ar-SA"/>
        </w:rPr>
      </w:pPr>
      <w:hyperlink w:anchor="_Toc120027936" w:history="1">
        <w:r w:rsidR="00E6093C" w:rsidRPr="000B5AF1">
          <w:rPr>
            <w:rStyle w:val="Hyperlink"/>
          </w:rPr>
          <w:t>2.2.</w:t>
        </w:r>
        <w:r w:rsidR="00E6093C">
          <w:rPr>
            <w:rFonts w:asciiTheme="minorHAnsi" w:eastAsiaTheme="minorEastAsia" w:hAnsiTheme="minorHAnsi" w:cstheme="minorBidi"/>
            <w:sz w:val="22"/>
            <w:lang w:eastAsia="en-GB" w:bidi="ar-SA"/>
          </w:rPr>
          <w:tab/>
        </w:r>
        <w:r w:rsidR="00E6093C" w:rsidRPr="000B5AF1">
          <w:rPr>
            <w:rStyle w:val="Hyperlink"/>
          </w:rPr>
          <w:t>Stage 2 – Review</w:t>
        </w:r>
        <w:r w:rsidR="00E6093C">
          <w:rPr>
            <w:webHidden/>
          </w:rPr>
          <w:tab/>
        </w:r>
        <w:r w:rsidR="00E6093C">
          <w:rPr>
            <w:webHidden/>
          </w:rPr>
          <w:fldChar w:fldCharType="begin"/>
        </w:r>
        <w:r w:rsidR="00E6093C">
          <w:rPr>
            <w:webHidden/>
          </w:rPr>
          <w:instrText xml:space="preserve"> PAGEREF _Toc120027936 \h </w:instrText>
        </w:r>
        <w:r w:rsidR="00E6093C">
          <w:rPr>
            <w:webHidden/>
          </w:rPr>
        </w:r>
        <w:r w:rsidR="00E6093C">
          <w:rPr>
            <w:webHidden/>
          </w:rPr>
          <w:fldChar w:fldCharType="separate"/>
        </w:r>
        <w:r w:rsidR="00E6093C">
          <w:rPr>
            <w:webHidden/>
          </w:rPr>
          <w:t>9</w:t>
        </w:r>
        <w:r w:rsidR="00E6093C">
          <w:rPr>
            <w:webHidden/>
          </w:rPr>
          <w:fldChar w:fldCharType="end"/>
        </w:r>
      </w:hyperlink>
    </w:p>
    <w:p w14:paraId="7B0167D5" w14:textId="59C8E713" w:rsidR="00E6093C" w:rsidRDefault="009E17EE">
      <w:pPr>
        <w:pStyle w:val="TOC2"/>
        <w:tabs>
          <w:tab w:val="left" w:pos="1100"/>
        </w:tabs>
        <w:rPr>
          <w:rFonts w:asciiTheme="minorHAnsi" w:eastAsiaTheme="minorEastAsia" w:hAnsiTheme="minorHAnsi" w:cstheme="minorBidi"/>
          <w:sz w:val="22"/>
          <w:lang w:eastAsia="en-GB" w:bidi="ar-SA"/>
        </w:rPr>
      </w:pPr>
      <w:hyperlink w:anchor="_Toc120027937" w:history="1">
        <w:r w:rsidR="00E6093C" w:rsidRPr="000B5AF1">
          <w:rPr>
            <w:rStyle w:val="Hyperlink"/>
          </w:rPr>
          <w:t>2.3.</w:t>
        </w:r>
        <w:r w:rsidR="00E6093C">
          <w:rPr>
            <w:rFonts w:asciiTheme="minorHAnsi" w:eastAsiaTheme="minorEastAsia" w:hAnsiTheme="minorHAnsi" w:cstheme="minorBidi"/>
            <w:sz w:val="22"/>
            <w:lang w:eastAsia="en-GB" w:bidi="ar-SA"/>
          </w:rPr>
          <w:tab/>
        </w:r>
        <w:r w:rsidR="00E6093C" w:rsidRPr="000B5AF1">
          <w:rPr>
            <w:rStyle w:val="Hyperlink"/>
          </w:rPr>
          <w:t>Stage 3 – Appeal</w:t>
        </w:r>
        <w:r w:rsidR="00E6093C">
          <w:rPr>
            <w:webHidden/>
          </w:rPr>
          <w:tab/>
        </w:r>
        <w:r w:rsidR="00E6093C">
          <w:rPr>
            <w:webHidden/>
          </w:rPr>
          <w:fldChar w:fldCharType="begin"/>
        </w:r>
        <w:r w:rsidR="00E6093C">
          <w:rPr>
            <w:webHidden/>
          </w:rPr>
          <w:instrText xml:space="preserve"> PAGEREF _Toc120027937 \h </w:instrText>
        </w:r>
        <w:r w:rsidR="00E6093C">
          <w:rPr>
            <w:webHidden/>
          </w:rPr>
        </w:r>
        <w:r w:rsidR="00E6093C">
          <w:rPr>
            <w:webHidden/>
          </w:rPr>
          <w:fldChar w:fldCharType="separate"/>
        </w:r>
        <w:r w:rsidR="00E6093C">
          <w:rPr>
            <w:webHidden/>
          </w:rPr>
          <w:t>9</w:t>
        </w:r>
        <w:r w:rsidR="00E6093C">
          <w:rPr>
            <w:webHidden/>
          </w:rPr>
          <w:fldChar w:fldCharType="end"/>
        </w:r>
      </w:hyperlink>
    </w:p>
    <w:p w14:paraId="7FF9517C" w14:textId="72AD645C" w:rsidR="00E6093C" w:rsidRDefault="009E17EE">
      <w:pPr>
        <w:pStyle w:val="TOC2"/>
        <w:tabs>
          <w:tab w:val="left" w:pos="1100"/>
        </w:tabs>
        <w:rPr>
          <w:rFonts w:asciiTheme="minorHAnsi" w:eastAsiaTheme="minorEastAsia" w:hAnsiTheme="minorHAnsi" w:cstheme="minorBidi"/>
          <w:sz w:val="22"/>
          <w:lang w:eastAsia="en-GB" w:bidi="ar-SA"/>
        </w:rPr>
      </w:pPr>
      <w:hyperlink w:anchor="_Toc120027938" w:history="1">
        <w:r w:rsidR="00E6093C" w:rsidRPr="000B5AF1">
          <w:rPr>
            <w:rStyle w:val="Hyperlink"/>
          </w:rPr>
          <w:t>2.4.</w:t>
        </w:r>
        <w:r w:rsidR="00E6093C">
          <w:rPr>
            <w:rFonts w:asciiTheme="minorHAnsi" w:eastAsiaTheme="minorEastAsia" w:hAnsiTheme="minorHAnsi" w:cstheme="minorBidi"/>
            <w:sz w:val="22"/>
            <w:lang w:eastAsia="en-GB" w:bidi="ar-SA"/>
          </w:rPr>
          <w:tab/>
        </w:r>
        <w:r w:rsidR="00E6093C" w:rsidRPr="000B5AF1">
          <w:rPr>
            <w:rStyle w:val="Hyperlink"/>
          </w:rPr>
          <w:t>Stage 4 – Closure</w:t>
        </w:r>
        <w:r w:rsidR="00E6093C">
          <w:rPr>
            <w:webHidden/>
          </w:rPr>
          <w:tab/>
        </w:r>
        <w:r w:rsidR="00E6093C">
          <w:rPr>
            <w:webHidden/>
          </w:rPr>
          <w:fldChar w:fldCharType="begin"/>
        </w:r>
        <w:r w:rsidR="00E6093C">
          <w:rPr>
            <w:webHidden/>
          </w:rPr>
          <w:instrText xml:space="preserve"> PAGEREF _Toc120027938 \h </w:instrText>
        </w:r>
        <w:r w:rsidR="00E6093C">
          <w:rPr>
            <w:webHidden/>
          </w:rPr>
        </w:r>
        <w:r w:rsidR="00E6093C">
          <w:rPr>
            <w:webHidden/>
          </w:rPr>
          <w:fldChar w:fldCharType="separate"/>
        </w:r>
        <w:r w:rsidR="00E6093C">
          <w:rPr>
            <w:webHidden/>
          </w:rPr>
          <w:t>10</w:t>
        </w:r>
        <w:r w:rsidR="00E6093C">
          <w:rPr>
            <w:webHidden/>
          </w:rPr>
          <w:fldChar w:fldCharType="end"/>
        </w:r>
      </w:hyperlink>
    </w:p>
    <w:p w14:paraId="1AB7ECAC" w14:textId="14CA6A9A" w:rsidR="00E6093C" w:rsidRDefault="009E17EE">
      <w:pPr>
        <w:pStyle w:val="TOC1"/>
        <w:tabs>
          <w:tab w:val="left" w:pos="720"/>
        </w:tabs>
        <w:rPr>
          <w:rFonts w:asciiTheme="minorHAnsi" w:eastAsiaTheme="minorEastAsia" w:hAnsiTheme="minorHAnsi" w:cstheme="minorBidi"/>
          <w:sz w:val="22"/>
          <w:lang w:eastAsia="en-GB" w:bidi="ar-SA"/>
        </w:rPr>
      </w:pPr>
      <w:hyperlink w:anchor="_Toc120027939" w:history="1">
        <w:r w:rsidR="00E6093C" w:rsidRPr="000B5AF1">
          <w:rPr>
            <w:rStyle w:val="Hyperlink"/>
          </w:rPr>
          <w:t>3.</w:t>
        </w:r>
        <w:r w:rsidR="00E6093C">
          <w:rPr>
            <w:rFonts w:asciiTheme="minorHAnsi" w:eastAsiaTheme="minorEastAsia" w:hAnsiTheme="minorHAnsi" w:cstheme="minorBidi"/>
            <w:sz w:val="22"/>
            <w:lang w:eastAsia="en-GB" w:bidi="ar-SA"/>
          </w:rPr>
          <w:tab/>
        </w:r>
        <w:r w:rsidR="00E6093C" w:rsidRPr="000B5AF1">
          <w:rPr>
            <w:rStyle w:val="Hyperlink"/>
          </w:rPr>
          <w:t>Roles and Responsibilities</w:t>
        </w:r>
        <w:r w:rsidR="00E6093C">
          <w:rPr>
            <w:webHidden/>
          </w:rPr>
          <w:tab/>
        </w:r>
        <w:r w:rsidR="00E6093C">
          <w:rPr>
            <w:webHidden/>
          </w:rPr>
          <w:fldChar w:fldCharType="begin"/>
        </w:r>
        <w:r w:rsidR="00E6093C">
          <w:rPr>
            <w:webHidden/>
          </w:rPr>
          <w:instrText xml:space="preserve"> PAGEREF _Toc120027939 \h </w:instrText>
        </w:r>
        <w:r w:rsidR="00E6093C">
          <w:rPr>
            <w:webHidden/>
          </w:rPr>
        </w:r>
        <w:r w:rsidR="00E6093C">
          <w:rPr>
            <w:webHidden/>
          </w:rPr>
          <w:fldChar w:fldCharType="separate"/>
        </w:r>
        <w:r w:rsidR="00E6093C">
          <w:rPr>
            <w:webHidden/>
          </w:rPr>
          <w:t>11</w:t>
        </w:r>
        <w:r w:rsidR="00E6093C">
          <w:rPr>
            <w:webHidden/>
          </w:rPr>
          <w:fldChar w:fldCharType="end"/>
        </w:r>
      </w:hyperlink>
    </w:p>
    <w:p w14:paraId="1CFF483F" w14:textId="2114A30E" w:rsidR="00E6093C" w:rsidRDefault="009E17EE">
      <w:pPr>
        <w:pStyle w:val="TOC2"/>
        <w:tabs>
          <w:tab w:val="left" w:pos="1100"/>
        </w:tabs>
        <w:rPr>
          <w:rFonts w:asciiTheme="minorHAnsi" w:eastAsiaTheme="minorEastAsia" w:hAnsiTheme="minorHAnsi" w:cstheme="minorBidi"/>
          <w:sz w:val="22"/>
          <w:lang w:eastAsia="en-GB" w:bidi="ar-SA"/>
        </w:rPr>
      </w:pPr>
      <w:hyperlink w:anchor="_Toc120027940" w:history="1">
        <w:r w:rsidR="00E6093C" w:rsidRPr="000B5AF1">
          <w:rPr>
            <w:rStyle w:val="Hyperlink"/>
          </w:rPr>
          <w:t>3.1.</w:t>
        </w:r>
        <w:r w:rsidR="00E6093C">
          <w:rPr>
            <w:rFonts w:asciiTheme="minorHAnsi" w:eastAsiaTheme="minorEastAsia" w:hAnsiTheme="minorHAnsi" w:cstheme="minorBidi"/>
            <w:sz w:val="22"/>
            <w:lang w:eastAsia="en-GB" w:bidi="ar-SA"/>
          </w:rPr>
          <w:tab/>
        </w:r>
        <w:r w:rsidR="00E6093C" w:rsidRPr="000B5AF1">
          <w:rPr>
            <w:rStyle w:val="Hyperlink"/>
          </w:rPr>
          <w:t>Delivery Leads (DLs)</w:t>
        </w:r>
        <w:r w:rsidR="00E6093C">
          <w:rPr>
            <w:webHidden/>
          </w:rPr>
          <w:tab/>
        </w:r>
        <w:r w:rsidR="00E6093C">
          <w:rPr>
            <w:webHidden/>
          </w:rPr>
          <w:fldChar w:fldCharType="begin"/>
        </w:r>
        <w:r w:rsidR="00E6093C">
          <w:rPr>
            <w:webHidden/>
          </w:rPr>
          <w:instrText xml:space="preserve"> PAGEREF _Toc120027940 \h </w:instrText>
        </w:r>
        <w:r w:rsidR="00E6093C">
          <w:rPr>
            <w:webHidden/>
          </w:rPr>
        </w:r>
        <w:r w:rsidR="00E6093C">
          <w:rPr>
            <w:webHidden/>
          </w:rPr>
          <w:fldChar w:fldCharType="separate"/>
        </w:r>
        <w:r w:rsidR="00E6093C">
          <w:rPr>
            <w:webHidden/>
          </w:rPr>
          <w:t>11</w:t>
        </w:r>
        <w:r w:rsidR="00E6093C">
          <w:rPr>
            <w:webHidden/>
          </w:rPr>
          <w:fldChar w:fldCharType="end"/>
        </w:r>
      </w:hyperlink>
    </w:p>
    <w:p w14:paraId="0883507D" w14:textId="76E64F6E" w:rsidR="00E6093C" w:rsidRDefault="009E17EE">
      <w:pPr>
        <w:pStyle w:val="TOC2"/>
        <w:tabs>
          <w:tab w:val="left" w:pos="1100"/>
        </w:tabs>
        <w:rPr>
          <w:rFonts w:asciiTheme="minorHAnsi" w:eastAsiaTheme="minorEastAsia" w:hAnsiTheme="minorHAnsi" w:cstheme="minorBidi"/>
          <w:sz w:val="22"/>
          <w:lang w:eastAsia="en-GB" w:bidi="ar-SA"/>
        </w:rPr>
      </w:pPr>
      <w:hyperlink w:anchor="_Toc120027941" w:history="1">
        <w:r w:rsidR="00E6093C" w:rsidRPr="000B5AF1">
          <w:rPr>
            <w:rStyle w:val="Hyperlink"/>
          </w:rPr>
          <w:t>3.2.</w:t>
        </w:r>
        <w:r w:rsidR="00E6093C">
          <w:rPr>
            <w:rFonts w:asciiTheme="minorHAnsi" w:eastAsiaTheme="minorEastAsia" w:hAnsiTheme="minorHAnsi" w:cstheme="minorBidi"/>
            <w:sz w:val="22"/>
            <w:lang w:eastAsia="en-GB" w:bidi="ar-SA"/>
          </w:rPr>
          <w:tab/>
        </w:r>
        <w:r w:rsidR="00E6093C" w:rsidRPr="000B5AF1">
          <w:rPr>
            <w:rStyle w:val="Hyperlink"/>
          </w:rPr>
          <w:t>Professional Leads (PLs)</w:t>
        </w:r>
        <w:r w:rsidR="00E6093C">
          <w:rPr>
            <w:webHidden/>
          </w:rPr>
          <w:tab/>
        </w:r>
        <w:r w:rsidR="00E6093C">
          <w:rPr>
            <w:webHidden/>
          </w:rPr>
          <w:fldChar w:fldCharType="begin"/>
        </w:r>
        <w:r w:rsidR="00E6093C">
          <w:rPr>
            <w:webHidden/>
          </w:rPr>
          <w:instrText xml:space="preserve"> PAGEREF _Toc120027941 \h </w:instrText>
        </w:r>
        <w:r w:rsidR="00E6093C">
          <w:rPr>
            <w:webHidden/>
          </w:rPr>
        </w:r>
        <w:r w:rsidR="00E6093C">
          <w:rPr>
            <w:webHidden/>
          </w:rPr>
          <w:fldChar w:fldCharType="separate"/>
        </w:r>
        <w:r w:rsidR="00E6093C">
          <w:rPr>
            <w:webHidden/>
          </w:rPr>
          <w:t>11</w:t>
        </w:r>
        <w:r w:rsidR="00E6093C">
          <w:rPr>
            <w:webHidden/>
          </w:rPr>
          <w:fldChar w:fldCharType="end"/>
        </w:r>
      </w:hyperlink>
    </w:p>
    <w:p w14:paraId="30B37658" w14:textId="290363C9" w:rsidR="00E6093C" w:rsidRDefault="009E17EE">
      <w:pPr>
        <w:pStyle w:val="TOC2"/>
        <w:tabs>
          <w:tab w:val="left" w:pos="1100"/>
        </w:tabs>
        <w:rPr>
          <w:rFonts w:asciiTheme="minorHAnsi" w:eastAsiaTheme="minorEastAsia" w:hAnsiTheme="minorHAnsi" w:cstheme="minorBidi"/>
          <w:sz w:val="22"/>
          <w:lang w:eastAsia="en-GB" w:bidi="ar-SA"/>
        </w:rPr>
      </w:pPr>
      <w:hyperlink w:anchor="_Toc120027942" w:history="1">
        <w:r w:rsidR="00E6093C" w:rsidRPr="000B5AF1">
          <w:rPr>
            <w:rStyle w:val="Hyperlink"/>
          </w:rPr>
          <w:t>3.3.</w:t>
        </w:r>
        <w:r w:rsidR="00E6093C">
          <w:rPr>
            <w:rFonts w:asciiTheme="minorHAnsi" w:eastAsiaTheme="minorEastAsia" w:hAnsiTheme="minorHAnsi" w:cstheme="minorBidi"/>
            <w:sz w:val="22"/>
            <w:lang w:eastAsia="en-GB" w:bidi="ar-SA"/>
          </w:rPr>
          <w:tab/>
        </w:r>
        <w:r w:rsidR="00E6093C" w:rsidRPr="000B5AF1">
          <w:rPr>
            <w:rStyle w:val="Hyperlink"/>
          </w:rPr>
          <w:t>Regulatory Oversight Manager (ROM)</w:t>
        </w:r>
        <w:r w:rsidR="00E6093C">
          <w:rPr>
            <w:webHidden/>
          </w:rPr>
          <w:tab/>
        </w:r>
        <w:r w:rsidR="00E6093C">
          <w:rPr>
            <w:webHidden/>
          </w:rPr>
          <w:fldChar w:fldCharType="begin"/>
        </w:r>
        <w:r w:rsidR="00E6093C">
          <w:rPr>
            <w:webHidden/>
          </w:rPr>
          <w:instrText xml:space="preserve"> PAGEREF _Toc120027942 \h </w:instrText>
        </w:r>
        <w:r w:rsidR="00E6093C">
          <w:rPr>
            <w:webHidden/>
          </w:rPr>
        </w:r>
        <w:r w:rsidR="00E6093C">
          <w:rPr>
            <w:webHidden/>
          </w:rPr>
          <w:fldChar w:fldCharType="separate"/>
        </w:r>
        <w:r w:rsidR="00E6093C">
          <w:rPr>
            <w:webHidden/>
          </w:rPr>
          <w:t>11</w:t>
        </w:r>
        <w:r w:rsidR="00E6093C">
          <w:rPr>
            <w:webHidden/>
          </w:rPr>
          <w:fldChar w:fldCharType="end"/>
        </w:r>
      </w:hyperlink>
    </w:p>
    <w:p w14:paraId="6FCFEAE1" w14:textId="6709CE41" w:rsidR="00E6093C" w:rsidRDefault="009E17EE">
      <w:pPr>
        <w:pStyle w:val="TOC2"/>
        <w:tabs>
          <w:tab w:val="left" w:pos="1100"/>
        </w:tabs>
        <w:rPr>
          <w:rFonts w:asciiTheme="minorHAnsi" w:eastAsiaTheme="minorEastAsia" w:hAnsiTheme="minorHAnsi" w:cstheme="minorBidi"/>
          <w:sz w:val="22"/>
          <w:lang w:eastAsia="en-GB" w:bidi="ar-SA"/>
        </w:rPr>
      </w:pPr>
      <w:hyperlink w:anchor="_Toc120027943" w:history="1">
        <w:r w:rsidR="00E6093C" w:rsidRPr="000B5AF1">
          <w:rPr>
            <w:rStyle w:val="Hyperlink"/>
          </w:rPr>
          <w:t>3.4.</w:t>
        </w:r>
        <w:r w:rsidR="00E6093C">
          <w:rPr>
            <w:rFonts w:asciiTheme="minorHAnsi" w:eastAsiaTheme="minorEastAsia" w:hAnsiTheme="minorHAnsi" w:cstheme="minorBidi"/>
            <w:sz w:val="22"/>
            <w:lang w:eastAsia="en-GB" w:bidi="ar-SA"/>
          </w:rPr>
          <w:tab/>
        </w:r>
        <w:r w:rsidR="00E6093C" w:rsidRPr="000B5AF1">
          <w:rPr>
            <w:rStyle w:val="Hyperlink"/>
          </w:rPr>
          <w:t>Resolution Manager (RM)</w:t>
        </w:r>
        <w:r w:rsidR="00E6093C">
          <w:rPr>
            <w:webHidden/>
          </w:rPr>
          <w:tab/>
        </w:r>
        <w:r w:rsidR="00E6093C">
          <w:rPr>
            <w:webHidden/>
          </w:rPr>
          <w:fldChar w:fldCharType="begin"/>
        </w:r>
        <w:r w:rsidR="00E6093C">
          <w:rPr>
            <w:webHidden/>
          </w:rPr>
          <w:instrText xml:space="preserve"> PAGEREF _Toc120027943 \h </w:instrText>
        </w:r>
        <w:r w:rsidR="00E6093C">
          <w:rPr>
            <w:webHidden/>
          </w:rPr>
        </w:r>
        <w:r w:rsidR="00E6093C">
          <w:rPr>
            <w:webHidden/>
          </w:rPr>
          <w:fldChar w:fldCharType="separate"/>
        </w:r>
        <w:r w:rsidR="00E6093C">
          <w:rPr>
            <w:webHidden/>
          </w:rPr>
          <w:t>11</w:t>
        </w:r>
        <w:r w:rsidR="00E6093C">
          <w:rPr>
            <w:webHidden/>
          </w:rPr>
          <w:fldChar w:fldCharType="end"/>
        </w:r>
      </w:hyperlink>
    </w:p>
    <w:p w14:paraId="16729C92" w14:textId="23E4940A" w:rsidR="00E6093C" w:rsidRDefault="009E17EE">
      <w:pPr>
        <w:pStyle w:val="TOC2"/>
        <w:tabs>
          <w:tab w:val="left" w:pos="1100"/>
        </w:tabs>
        <w:rPr>
          <w:rFonts w:asciiTheme="minorHAnsi" w:eastAsiaTheme="minorEastAsia" w:hAnsiTheme="minorHAnsi" w:cstheme="minorBidi"/>
          <w:sz w:val="22"/>
          <w:lang w:eastAsia="en-GB" w:bidi="ar-SA"/>
        </w:rPr>
      </w:pPr>
      <w:hyperlink w:anchor="_Toc120027944" w:history="1">
        <w:r w:rsidR="00E6093C" w:rsidRPr="000B5AF1">
          <w:rPr>
            <w:rStyle w:val="Hyperlink"/>
          </w:rPr>
          <w:t>3.5.</w:t>
        </w:r>
        <w:r w:rsidR="00E6093C">
          <w:rPr>
            <w:rFonts w:asciiTheme="minorHAnsi" w:eastAsiaTheme="minorEastAsia" w:hAnsiTheme="minorHAnsi" w:cstheme="minorBidi"/>
            <w:sz w:val="22"/>
            <w:lang w:eastAsia="en-GB" w:bidi="ar-SA"/>
          </w:rPr>
          <w:tab/>
        </w:r>
        <w:r w:rsidR="00E6093C" w:rsidRPr="000B5AF1">
          <w:rPr>
            <w:rStyle w:val="Hyperlink"/>
          </w:rPr>
          <w:t>Chief Nuclear Inspector (CNI)</w:t>
        </w:r>
        <w:r w:rsidR="00E6093C">
          <w:rPr>
            <w:webHidden/>
          </w:rPr>
          <w:tab/>
        </w:r>
        <w:r w:rsidR="00E6093C">
          <w:rPr>
            <w:webHidden/>
          </w:rPr>
          <w:fldChar w:fldCharType="begin"/>
        </w:r>
        <w:r w:rsidR="00E6093C">
          <w:rPr>
            <w:webHidden/>
          </w:rPr>
          <w:instrText xml:space="preserve"> PAGEREF _Toc120027944 \h </w:instrText>
        </w:r>
        <w:r w:rsidR="00E6093C">
          <w:rPr>
            <w:webHidden/>
          </w:rPr>
        </w:r>
        <w:r w:rsidR="00E6093C">
          <w:rPr>
            <w:webHidden/>
          </w:rPr>
          <w:fldChar w:fldCharType="separate"/>
        </w:r>
        <w:r w:rsidR="00E6093C">
          <w:rPr>
            <w:webHidden/>
          </w:rPr>
          <w:t>12</w:t>
        </w:r>
        <w:r w:rsidR="00E6093C">
          <w:rPr>
            <w:webHidden/>
          </w:rPr>
          <w:fldChar w:fldCharType="end"/>
        </w:r>
      </w:hyperlink>
    </w:p>
    <w:p w14:paraId="45ED56FE" w14:textId="6A4213E8" w:rsidR="00E6093C" w:rsidRDefault="009E17EE">
      <w:pPr>
        <w:pStyle w:val="TOC1"/>
        <w:tabs>
          <w:tab w:val="left" w:pos="720"/>
        </w:tabs>
        <w:rPr>
          <w:rFonts w:asciiTheme="minorHAnsi" w:eastAsiaTheme="minorEastAsia" w:hAnsiTheme="minorHAnsi" w:cstheme="minorBidi"/>
          <w:sz w:val="22"/>
          <w:lang w:eastAsia="en-GB" w:bidi="ar-SA"/>
        </w:rPr>
      </w:pPr>
      <w:hyperlink w:anchor="_Toc120027945" w:history="1">
        <w:r w:rsidR="00E6093C" w:rsidRPr="000B5AF1">
          <w:rPr>
            <w:rStyle w:val="Hyperlink"/>
          </w:rPr>
          <w:t>4.</w:t>
        </w:r>
        <w:r w:rsidR="00E6093C">
          <w:rPr>
            <w:rFonts w:asciiTheme="minorHAnsi" w:eastAsiaTheme="minorEastAsia" w:hAnsiTheme="minorHAnsi" w:cstheme="minorBidi"/>
            <w:sz w:val="22"/>
            <w:lang w:eastAsia="en-GB" w:bidi="ar-SA"/>
          </w:rPr>
          <w:tab/>
        </w:r>
        <w:r w:rsidR="00E6093C" w:rsidRPr="000B5AF1">
          <w:rPr>
            <w:rStyle w:val="Hyperlink"/>
          </w:rPr>
          <w:t>Records</w:t>
        </w:r>
        <w:r w:rsidR="00E6093C">
          <w:rPr>
            <w:webHidden/>
          </w:rPr>
          <w:tab/>
        </w:r>
        <w:r w:rsidR="00E6093C">
          <w:rPr>
            <w:webHidden/>
          </w:rPr>
          <w:fldChar w:fldCharType="begin"/>
        </w:r>
        <w:r w:rsidR="00E6093C">
          <w:rPr>
            <w:webHidden/>
          </w:rPr>
          <w:instrText xml:space="preserve"> PAGEREF _Toc120027945 \h </w:instrText>
        </w:r>
        <w:r w:rsidR="00E6093C">
          <w:rPr>
            <w:webHidden/>
          </w:rPr>
        </w:r>
        <w:r w:rsidR="00E6093C">
          <w:rPr>
            <w:webHidden/>
          </w:rPr>
          <w:fldChar w:fldCharType="separate"/>
        </w:r>
        <w:r w:rsidR="00E6093C">
          <w:rPr>
            <w:webHidden/>
          </w:rPr>
          <w:t>12</w:t>
        </w:r>
        <w:r w:rsidR="00E6093C">
          <w:rPr>
            <w:webHidden/>
          </w:rPr>
          <w:fldChar w:fldCharType="end"/>
        </w:r>
      </w:hyperlink>
    </w:p>
    <w:p w14:paraId="3D2F32D4" w14:textId="7196F276" w:rsidR="00E6093C" w:rsidRDefault="009E17EE">
      <w:pPr>
        <w:pStyle w:val="TOC1"/>
        <w:rPr>
          <w:rFonts w:asciiTheme="minorHAnsi" w:eastAsiaTheme="minorEastAsia" w:hAnsiTheme="minorHAnsi" w:cstheme="minorBidi"/>
          <w:sz w:val="22"/>
          <w:lang w:eastAsia="en-GB" w:bidi="ar-SA"/>
        </w:rPr>
      </w:pPr>
      <w:hyperlink w:anchor="_Toc120027946" w:history="1">
        <w:r w:rsidR="00E6093C" w:rsidRPr="000B5AF1">
          <w:rPr>
            <w:rStyle w:val="Hyperlink"/>
          </w:rPr>
          <w:t>References</w:t>
        </w:r>
        <w:r w:rsidR="00E6093C">
          <w:rPr>
            <w:webHidden/>
          </w:rPr>
          <w:tab/>
        </w:r>
        <w:r w:rsidR="00E6093C">
          <w:rPr>
            <w:webHidden/>
          </w:rPr>
          <w:fldChar w:fldCharType="begin"/>
        </w:r>
        <w:r w:rsidR="00E6093C">
          <w:rPr>
            <w:webHidden/>
          </w:rPr>
          <w:instrText xml:space="preserve"> PAGEREF _Toc120027946 \h </w:instrText>
        </w:r>
        <w:r w:rsidR="00E6093C">
          <w:rPr>
            <w:webHidden/>
          </w:rPr>
        </w:r>
        <w:r w:rsidR="00E6093C">
          <w:rPr>
            <w:webHidden/>
          </w:rPr>
          <w:fldChar w:fldCharType="separate"/>
        </w:r>
        <w:r w:rsidR="00E6093C">
          <w:rPr>
            <w:webHidden/>
          </w:rPr>
          <w:t>13</w:t>
        </w:r>
        <w:r w:rsidR="00E6093C">
          <w:rPr>
            <w:webHidden/>
          </w:rPr>
          <w:fldChar w:fldCharType="end"/>
        </w:r>
      </w:hyperlink>
    </w:p>
    <w:p w14:paraId="79B6E1AD" w14:textId="56BDBFB6" w:rsidR="005344F2" w:rsidRDefault="005344F2" w:rsidP="005344F2">
      <w:r w:rsidRPr="005344F2">
        <w:rPr>
          <w:rFonts w:eastAsia="Times New Roman" w:cs="Times New Roman"/>
          <w:szCs w:val="24"/>
          <w:lang w:bidi="ar-SA"/>
        </w:rPr>
        <w:fldChar w:fldCharType="end"/>
      </w:r>
    </w:p>
    <w:p w14:paraId="04C86D1B" w14:textId="77777777" w:rsidR="005344F2" w:rsidRDefault="005344F2" w:rsidP="00323E71"/>
    <w:p w14:paraId="1FDB4B56" w14:textId="007788D1" w:rsidR="005344F2" w:rsidRDefault="005344F2" w:rsidP="00323E71">
      <w:pPr>
        <w:sectPr w:rsidR="005344F2" w:rsidSect="00E6093C">
          <w:footerReference w:type="first" r:id="rId17"/>
          <w:pgSz w:w="11906" w:h="16838" w:code="9"/>
          <w:pgMar w:top="1440" w:right="1080" w:bottom="1440" w:left="1080" w:header="397" w:footer="397" w:gutter="0"/>
          <w:cols w:space="312"/>
          <w:titlePg/>
          <w:docGrid w:linePitch="360"/>
        </w:sectPr>
      </w:pPr>
    </w:p>
    <w:p w14:paraId="4F6F2BFB" w14:textId="77777777" w:rsidR="00FB1452" w:rsidRPr="00010E06" w:rsidRDefault="00FB1452" w:rsidP="00E6093C">
      <w:pPr>
        <w:pStyle w:val="Heading1"/>
      </w:pPr>
      <w:bookmarkStart w:id="2" w:name="_Toc120027931"/>
      <w:bookmarkStart w:id="3" w:name="_Toc106867902"/>
      <w:bookmarkEnd w:id="0"/>
      <w:r w:rsidRPr="00010E06">
        <w:t>Introduction</w:t>
      </w:r>
      <w:bookmarkEnd w:id="2"/>
      <w:r w:rsidRPr="00010E06">
        <w:t xml:space="preserve"> </w:t>
      </w:r>
    </w:p>
    <w:p w14:paraId="49EC7847" w14:textId="3C1CBF25" w:rsidR="00010E06" w:rsidRPr="00341EC6" w:rsidRDefault="00010E06" w:rsidP="00010E06">
      <w:pPr>
        <w:pStyle w:val="ListParagraph"/>
      </w:pPr>
      <w:r w:rsidRPr="00341EC6">
        <w:t>A major strength of ONR is the range of expertise that can be brought to bear in resolving technical and regulatory issues or setting regulatory strategies. ONR values the diverse opinions of its staff</w:t>
      </w:r>
      <w:r w:rsidR="00597E1F">
        <w:t>.</w:t>
      </w:r>
      <w:r w:rsidR="00835EBF">
        <w:t xml:space="preserve"> </w:t>
      </w:r>
      <w:r w:rsidR="00597E1F">
        <w:t xml:space="preserve">It </w:t>
      </w:r>
      <w:r w:rsidRPr="00341EC6">
        <w:t xml:space="preserve">encourages them to make known their professional opinions, even when they differ from the prevailing view. </w:t>
      </w:r>
      <w:r w:rsidR="00A3023D">
        <w:br/>
      </w:r>
      <w:r w:rsidRPr="00341EC6">
        <w:t xml:space="preserve">ONR recognises the benefit of well-argued, objective </w:t>
      </w:r>
      <w:r w:rsidR="00597E1F">
        <w:t>questioning of</w:t>
      </w:r>
      <w:r w:rsidR="00835EBF">
        <w:t xml:space="preserve"> </w:t>
      </w:r>
      <w:r w:rsidRPr="00341EC6">
        <w:t>our regulatory decision</w:t>
      </w:r>
      <w:r>
        <w:noBreakHyphen/>
        <w:t xml:space="preserve">making </w:t>
      </w:r>
      <w:r w:rsidRPr="00341EC6">
        <w:t xml:space="preserve">processes when those </w:t>
      </w:r>
      <w:r w:rsidR="00597E1F">
        <w:t>exchanges</w:t>
      </w:r>
      <w:r w:rsidR="00835EBF">
        <w:t xml:space="preserve"> take </w:t>
      </w:r>
      <w:r w:rsidRPr="00341EC6">
        <w:t xml:space="preserve">place in accordance with our behavioural framework. Importantly, such </w:t>
      </w:r>
      <w:r w:rsidR="005B7E45">
        <w:t>exchanges</w:t>
      </w:r>
      <w:r w:rsidR="00597E1F">
        <w:t xml:space="preserve"> </w:t>
      </w:r>
      <w:r w:rsidRPr="00341EC6">
        <w:t xml:space="preserve">are an indicator of a healthy </w:t>
      </w:r>
      <w:r>
        <w:t>professional</w:t>
      </w:r>
      <w:r w:rsidRPr="00341EC6">
        <w:t xml:space="preserve"> culture </w:t>
      </w:r>
      <w:r>
        <w:t>across</w:t>
      </w:r>
      <w:r w:rsidRPr="00341EC6">
        <w:t xml:space="preserve"> a</w:t>
      </w:r>
      <w:r>
        <w:t>ll our</w:t>
      </w:r>
      <w:r w:rsidRPr="00341EC6">
        <w:t xml:space="preserve"> regulator</w:t>
      </w:r>
      <w:r>
        <w:t>y purposes</w:t>
      </w:r>
      <w:r w:rsidRPr="00341EC6">
        <w:t>.</w:t>
      </w:r>
    </w:p>
    <w:p w14:paraId="0FCF1F00" w14:textId="320AEB24" w:rsidR="00010E06" w:rsidRPr="00341EC6" w:rsidRDefault="00010E06" w:rsidP="00010E06">
      <w:pPr>
        <w:pStyle w:val="ListParagraph"/>
      </w:pPr>
      <w:r w:rsidRPr="00341EC6">
        <w:t xml:space="preserve">ONR employs professional people to use their diverse knowledge, skills, experience and judgement to achieve our mission. </w:t>
      </w:r>
      <w:r w:rsidR="00597E1F">
        <w:t xml:space="preserve">When </w:t>
      </w:r>
      <w:r w:rsidRPr="00341EC6">
        <w:t>making decisions on regulatory strategies, technical issues, or regulatory action</w:t>
      </w:r>
      <w:r w:rsidR="00835EBF">
        <w:t>,</w:t>
      </w:r>
      <w:r w:rsidRPr="00341EC6">
        <w:t xml:space="preserve"> the aim is to make appropriate decision</w:t>
      </w:r>
      <w:r>
        <w:t>s</w:t>
      </w:r>
      <w:r w:rsidRPr="00341EC6">
        <w:t xml:space="preserve"> at the lowest appropriate level</w:t>
      </w:r>
      <w:r w:rsidR="00597E1F">
        <w:t>.</w:t>
      </w:r>
      <w:r w:rsidR="00835EBF">
        <w:t xml:space="preserve"> </w:t>
      </w:r>
      <w:r w:rsidR="00597E1F">
        <w:t xml:space="preserve">These </w:t>
      </w:r>
      <w:r w:rsidR="00835EBF">
        <w:t xml:space="preserve">decisions </w:t>
      </w:r>
      <w:r w:rsidR="00597E1F">
        <w:t xml:space="preserve">should be </w:t>
      </w:r>
      <w:r w:rsidRPr="00341EC6">
        <w:t>consistent with the scheme of delegated authority</w:t>
      </w:r>
      <w:r w:rsidR="00597E1F">
        <w:t xml:space="preserve"> and</w:t>
      </w:r>
      <w:r w:rsidRPr="00341EC6">
        <w:t xml:space="preserve"> through consensus wherever possible.</w:t>
      </w:r>
    </w:p>
    <w:p w14:paraId="17E5095C" w14:textId="77777777" w:rsidR="00010E06" w:rsidRDefault="00010E06" w:rsidP="00010E06">
      <w:pPr>
        <w:pStyle w:val="ListParagraph"/>
      </w:pPr>
      <w:r w:rsidRPr="00341EC6">
        <w:t>Consensus does not mean that decisions are made by committee rather than through ONR’s system of delegated authority, nor that it is necessary that everyone involved agrees with the final decision. Rather it recognises that people may not agree completely with all aspects of the decision, but the extent of their disagreement is not such that they object to it taking effect.</w:t>
      </w:r>
    </w:p>
    <w:p w14:paraId="48A4D767" w14:textId="4C521336" w:rsidR="00010E06" w:rsidRPr="00341EC6" w:rsidRDefault="00886C0C" w:rsidP="00010E06">
      <w:pPr>
        <w:pStyle w:val="ListParagraph"/>
      </w:pPr>
      <w:r>
        <w:t xml:space="preserve">Professional </w:t>
      </w:r>
      <w:r w:rsidR="00597E1F">
        <w:t>difference</w:t>
      </w:r>
      <w:r w:rsidR="00835EBF">
        <w:t>s</w:t>
      </w:r>
      <w:r w:rsidR="00597E1F">
        <w:t xml:space="preserve"> of </w:t>
      </w:r>
      <w:r>
        <w:t xml:space="preserve">regulatory </w:t>
      </w:r>
      <w:r w:rsidR="00597E1F">
        <w:t>opinion</w:t>
      </w:r>
      <w:r w:rsidR="00010E06" w:rsidRPr="00341EC6">
        <w:t xml:space="preserve"> are welcome and encouraged; not least as they usually improve the robustness and/or broaden the basis of our decision-making in a helpful manner. Where the objection persists beyond these discussions, this </w:t>
      </w:r>
      <w:r w:rsidR="00070675">
        <w:t>ONR procedure</w:t>
      </w:r>
      <w:r w:rsidR="00010E06" w:rsidRPr="00341EC6">
        <w:t xml:space="preserve"> </w:t>
      </w:r>
      <w:r w:rsidR="00070675">
        <w:t>(</w:t>
      </w:r>
      <w:r w:rsidR="00070675" w:rsidRPr="00070675">
        <w:t>Resolving Differences of Regulatory Opinion</w:t>
      </w:r>
      <w:r w:rsidR="00070675">
        <w:t>)</w:t>
      </w:r>
      <w:r w:rsidR="00070675" w:rsidRPr="00070675">
        <w:t xml:space="preserve"> </w:t>
      </w:r>
      <w:r w:rsidR="00010E06" w:rsidRPr="00341EC6">
        <w:t>provides a mechanism to resolve the disagreement at the lowest appropriate level</w:t>
      </w:r>
      <w:r w:rsidR="00597E1F">
        <w:t>.</w:t>
      </w:r>
      <w:r w:rsidR="00835EBF">
        <w:t xml:space="preserve"> </w:t>
      </w:r>
      <w:r w:rsidR="00597E1F">
        <w:t>Where necessary, matters may be escalated</w:t>
      </w:r>
      <w:r w:rsidR="00010E06" w:rsidRPr="00341EC6">
        <w:t xml:space="preserve">, with the Chief Nuclear Inspector </w:t>
      </w:r>
      <w:r w:rsidR="006E5651">
        <w:t xml:space="preserve">(CNI) </w:t>
      </w:r>
      <w:r w:rsidR="00010E06" w:rsidRPr="00341EC6">
        <w:t xml:space="preserve">acting as the final arbiter within ONR in the most complex cases. </w:t>
      </w:r>
    </w:p>
    <w:p w14:paraId="616F197D" w14:textId="14B91088" w:rsidR="008D49A5" w:rsidRPr="00E6093C" w:rsidRDefault="008D49A5" w:rsidP="00E6093C">
      <w:pPr>
        <w:pStyle w:val="Heading2"/>
      </w:pPr>
      <w:bookmarkStart w:id="4" w:name="_Toc120027932"/>
      <w:r w:rsidRPr="00E6093C">
        <w:t>Purpose</w:t>
      </w:r>
      <w:bookmarkEnd w:id="3"/>
      <w:r w:rsidR="00D44704" w:rsidRPr="00E6093C">
        <w:t>, Scope and Applicability</w:t>
      </w:r>
      <w:bookmarkEnd w:id="4"/>
    </w:p>
    <w:p w14:paraId="5E8660E9" w14:textId="68DA0CF5" w:rsidR="00010E06" w:rsidRDefault="00010E06" w:rsidP="00010E06">
      <w:pPr>
        <w:pStyle w:val="ListParagraph"/>
      </w:pPr>
      <w:r w:rsidRPr="00341EC6">
        <w:t xml:space="preserve">This </w:t>
      </w:r>
      <w:r w:rsidR="00070675">
        <w:t xml:space="preserve">ONR </w:t>
      </w:r>
      <w:r w:rsidRPr="00341EC6">
        <w:t>procedure describes the process</w:t>
      </w:r>
      <w:r w:rsidR="00B15100">
        <w:t>es</w:t>
      </w:r>
      <w:r w:rsidRPr="00341EC6">
        <w:t xml:space="preserve"> for resolving differences of regulatory opinion within ONR. </w:t>
      </w:r>
    </w:p>
    <w:p w14:paraId="79E67990" w14:textId="13C9F8EB" w:rsidR="00010E06" w:rsidRPr="00341EC6" w:rsidRDefault="00010E06" w:rsidP="00010E06">
      <w:pPr>
        <w:pStyle w:val="ListParagraph"/>
      </w:pPr>
      <w:r w:rsidRPr="00341EC6">
        <w:t xml:space="preserve">The </w:t>
      </w:r>
      <w:r w:rsidR="00070675">
        <w:t>procedure</w:t>
      </w:r>
      <w:r w:rsidRPr="00341EC6">
        <w:t xml:space="preserve"> should be invoked in situations where there are differences in opinion over regulatory strategies, technical </w:t>
      </w:r>
      <w:r w:rsidR="00877EC0">
        <w:t>judgements</w:t>
      </w:r>
      <w:r w:rsidRPr="00341EC6">
        <w:t xml:space="preserve"> or regulatory action to be taken (or not taken) which cannot be resolved through discussion at the </w:t>
      </w:r>
      <w:r w:rsidR="00886C0C">
        <w:t>normal working</w:t>
      </w:r>
      <w:r w:rsidRPr="00341EC6">
        <w:t xml:space="preserve"> level. It supplements ONR’s </w:t>
      </w:r>
      <w:r w:rsidR="00886C0C">
        <w:t>Regula</w:t>
      </w:r>
      <w:r w:rsidR="00877EC0">
        <w:t>to</w:t>
      </w:r>
      <w:r w:rsidR="00886C0C">
        <w:t xml:space="preserve">ry Directorate management structure, </w:t>
      </w:r>
      <w:r w:rsidRPr="00341EC6">
        <w:t xml:space="preserve">human resources policies, and arrangements in the </w:t>
      </w:r>
      <w:r w:rsidR="006E5651">
        <w:t xml:space="preserve">ONR </w:t>
      </w:r>
      <w:r w:rsidRPr="00341EC6">
        <w:t>Staff Handbook for resolving problems at work</w:t>
      </w:r>
      <w:r w:rsidR="006E5651">
        <w:t xml:space="preserve"> </w:t>
      </w:r>
      <w:r w:rsidR="00E6093C">
        <w:t xml:space="preserve">(ref. </w:t>
      </w:r>
      <w:sdt>
        <w:sdtPr>
          <w:id w:val="-327827680"/>
          <w:citation/>
        </w:sdtPr>
        <w:sdtEndPr/>
        <w:sdtContent>
          <w:r>
            <w:fldChar w:fldCharType="begin"/>
          </w:r>
          <w:r w:rsidR="00D44704">
            <w:instrText xml:space="preserve">CITATION ONRStaffHbook \l 2057 </w:instrText>
          </w:r>
          <w:r>
            <w:fldChar w:fldCharType="separate"/>
          </w:r>
          <w:r w:rsidR="006E5651" w:rsidRPr="006E5651">
            <w:rPr>
              <w:noProof/>
            </w:rPr>
            <w:t>[1]</w:t>
          </w:r>
          <w:r>
            <w:fldChar w:fldCharType="end"/>
          </w:r>
        </w:sdtContent>
      </w:sdt>
      <w:r w:rsidR="00E6093C">
        <w:t>)</w:t>
      </w:r>
      <w:r>
        <w:t>.</w:t>
      </w:r>
    </w:p>
    <w:p w14:paraId="19D28C37" w14:textId="78E706C9" w:rsidR="00010E06" w:rsidRPr="00341EC6" w:rsidRDefault="00010E06" w:rsidP="00010E06">
      <w:pPr>
        <w:pStyle w:val="ListParagraph"/>
      </w:pPr>
      <w:r w:rsidRPr="00341EC6">
        <w:t xml:space="preserve">This </w:t>
      </w:r>
      <w:r w:rsidR="00B15100">
        <w:t>procedure</w:t>
      </w:r>
      <w:r w:rsidR="00B15100" w:rsidRPr="00341EC6">
        <w:t xml:space="preserve"> </w:t>
      </w:r>
      <w:r w:rsidRPr="00341EC6">
        <w:t xml:space="preserve">is designed to ensure that differences of regulatory opinion are fairly and objectively arbitrated to </w:t>
      </w:r>
      <w:r w:rsidR="00886C0C">
        <w:t xml:space="preserve">ensure </w:t>
      </w:r>
      <w:r w:rsidRPr="00341EC6">
        <w:t>the integrity of ONR’s regulatory decision making. The process</w:t>
      </w:r>
      <w:r w:rsidR="00B15100">
        <w:t>es are</w:t>
      </w:r>
      <w:r w:rsidR="00886C0C">
        <w:t xml:space="preserve"> not intended to be used for</w:t>
      </w:r>
      <w:r w:rsidR="00835EBF">
        <w:t xml:space="preserve"> </w:t>
      </w:r>
      <w:r w:rsidRPr="00341EC6">
        <w:t xml:space="preserve">minor difference of opinion or </w:t>
      </w:r>
      <w:r w:rsidR="00886C0C">
        <w:t>for</w:t>
      </w:r>
      <w:r w:rsidR="00835EBF">
        <w:t xml:space="preserve"> </w:t>
      </w:r>
      <w:r w:rsidRPr="00341EC6">
        <w:t xml:space="preserve">matters inconsequential to ONR’s reputation </w:t>
      </w:r>
      <w:r w:rsidR="00886C0C">
        <w:t xml:space="preserve">or ability to deliver </w:t>
      </w:r>
      <w:r w:rsidRPr="00341EC6">
        <w:t>effective, independent regulat</w:t>
      </w:r>
      <w:r w:rsidR="00886C0C">
        <w:t>ion</w:t>
      </w:r>
      <w:r w:rsidRPr="00341EC6">
        <w:t>.</w:t>
      </w:r>
    </w:p>
    <w:p w14:paraId="3D59DA0B" w14:textId="58C942D4" w:rsidR="00010E06" w:rsidRPr="00341EC6" w:rsidRDefault="00010E06" w:rsidP="00010E06">
      <w:pPr>
        <w:pStyle w:val="ListParagraph"/>
      </w:pPr>
      <w:r w:rsidRPr="00341EC6">
        <w:t xml:space="preserve">The </w:t>
      </w:r>
      <w:r w:rsidR="00B15100">
        <w:t>procedure</w:t>
      </w:r>
      <w:r w:rsidR="00B15100" w:rsidRPr="00341EC6">
        <w:t xml:space="preserve"> </w:t>
      </w:r>
      <w:r w:rsidRPr="00341EC6">
        <w:t xml:space="preserve">is not designed for the retrospective review of permissioning, or enforcement decisions already enacted. In the event of objections to past decisions, the relevant delegated person should instead consider initiating a regulatory oversight review </w:t>
      </w:r>
      <w:sdt>
        <w:sdtPr>
          <w:id w:val="-2015749424"/>
          <w:citation/>
        </w:sdtPr>
        <w:sdtEndPr/>
        <w:sdtContent>
          <w:r>
            <w:fldChar w:fldCharType="begin"/>
          </w:r>
          <w:r w:rsidR="00D44704">
            <w:instrText xml:space="preserve">CITATION ONRRegOver \l 2057 </w:instrText>
          </w:r>
          <w:r>
            <w:fldChar w:fldCharType="separate"/>
          </w:r>
          <w:r w:rsidR="006E5651" w:rsidRPr="006E5651">
            <w:rPr>
              <w:noProof/>
            </w:rPr>
            <w:t>[2]</w:t>
          </w:r>
          <w:r>
            <w:fldChar w:fldCharType="end"/>
          </w:r>
        </w:sdtContent>
      </w:sdt>
      <w:r w:rsidR="002A174F">
        <w:t xml:space="preserve"> </w:t>
      </w:r>
      <w:r w:rsidRPr="00341EC6">
        <w:t>to provide assurance and identify relevant organisational learning.</w:t>
      </w:r>
    </w:p>
    <w:p w14:paraId="3B0EBD73" w14:textId="279DCCCE" w:rsidR="00010E06" w:rsidRPr="00341EC6" w:rsidRDefault="00010E06" w:rsidP="00010E06">
      <w:pPr>
        <w:pStyle w:val="ListParagraph"/>
      </w:pPr>
      <w:r w:rsidRPr="00341EC6">
        <w:t xml:space="preserve">The </w:t>
      </w:r>
      <w:r w:rsidR="00B15100">
        <w:t>procedure</w:t>
      </w:r>
      <w:r w:rsidR="00B15100" w:rsidRPr="00341EC6">
        <w:t xml:space="preserve"> </w:t>
      </w:r>
      <w:r w:rsidRPr="00E6093C">
        <w:rPr>
          <w:b/>
          <w:bCs/>
        </w:rPr>
        <w:t>does not apply</w:t>
      </w:r>
      <w:r w:rsidRPr="00341EC6">
        <w:t xml:space="preserve"> to:</w:t>
      </w:r>
    </w:p>
    <w:p w14:paraId="3F86BC5E" w14:textId="77777777" w:rsidR="00010E06" w:rsidRPr="00010E06" w:rsidRDefault="00010E06" w:rsidP="00010E06">
      <w:pPr>
        <w:pStyle w:val="Bulletlist1"/>
      </w:pPr>
      <w:r w:rsidRPr="00010E06">
        <w:t xml:space="preserve">Regulatory permissions already granted. For example, those which have already resulted in the issue of a licence instrument, or an approval under the Nuclear Industries Security Regulations (NISR) etc. </w:t>
      </w:r>
    </w:p>
    <w:p w14:paraId="2EF548F4" w14:textId="77777777" w:rsidR="00010E06" w:rsidRPr="00010E06" w:rsidRDefault="00010E06" w:rsidP="00010E06">
      <w:pPr>
        <w:pStyle w:val="Bulletlist1"/>
      </w:pPr>
      <w:r w:rsidRPr="00010E06">
        <w:t xml:space="preserve">Enforcement decisions already enacted by the issue of an improvement or prohibition notice, a security direction, or use of powers in accordance with a nuclear site licence. </w:t>
      </w:r>
    </w:p>
    <w:p w14:paraId="12FC7436" w14:textId="77777777" w:rsidR="00010E06" w:rsidRPr="00010E06" w:rsidRDefault="00010E06" w:rsidP="00010E06">
      <w:pPr>
        <w:pStyle w:val="Bulletlist1"/>
      </w:pPr>
      <w:r w:rsidRPr="00010E06">
        <w:t>Decisions made by other organisations to which ONR has contributed advice.</w:t>
      </w:r>
    </w:p>
    <w:p w14:paraId="7A02FE9A" w14:textId="4289C8AC" w:rsidR="00010E06" w:rsidRDefault="00010E06" w:rsidP="00010E06">
      <w:pPr>
        <w:pStyle w:val="ListParagraph"/>
      </w:pPr>
      <w:r w:rsidRPr="00341EC6">
        <w:t xml:space="preserve">The </w:t>
      </w:r>
      <w:r w:rsidR="00B15100">
        <w:t>procedure</w:t>
      </w:r>
      <w:r w:rsidRPr="00341EC6">
        <w:t>, which provides for resolution of differences of regulatory opinion through</w:t>
      </w:r>
      <w:r w:rsidR="005671F8">
        <w:t xml:space="preserve"> </w:t>
      </w:r>
      <w:r w:rsidR="00886C0C">
        <w:t>arbitration</w:t>
      </w:r>
      <w:r w:rsidRPr="00341EC6">
        <w:t>, is not intended to accommodate anonymous concerns. ONR’s whistleblowing process</w:t>
      </w:r>
      <w:r w:rsidR="006E5651">
        <w:t xml:space="preserve"> </w:t>
      </w:r>
      <w:sdt>
        <w:sdtPr>
          <w:id w:val="-111214679"/>
          <w:citation/>
        </w:sdtPr>
        <w:sdtEndPr/>
        <w:sdtContent>
          <w:r>
            <w:fldChar w:fldCharType="begin"/>
          </w:r>
          <w:r w:rsidR="00D44704">
            <w:instrText xml:space="preserve">CITATION ProtDisc \l 2057 </w:instrText>
          </w:r>
          <w:r>
            <w:fldChar w:fldCharType="separate"/>
          </w:r>
          <w:r w:rsidR="006E5651" w:rsidRPr="006E5651">
            <w:rPr>
              <w:noProof/>
            </w:rPr>
            <w:t>[3]</w:t>
          </w:r>
          <w:r>
            <w:fldChar w:fldCharType="end"/>
          </w:r>
        </w:sdtContent>
      </w:sdt>
      <w:r>
        <w:t xml:space="preserve"> </w:t>
      </w:r>
      <w:r w:rsidRPr="00341EC6">
        <w:t xml:space="preserve">provides an alternative mechanism for staff who wish to protect their anonymity. This </w:t>
      </w:r>
      <w:r w:rsidR="006E5651">
        <w:t>process</w:t>
      </w:r>
      <w:r w:rsidRPr="00341EC6">
        <w:t xml:space="preserve"> is consistent with the UK Regulators’ Code and international regulatory guidance</w:t>
      </w:r>
      <w:r w:rsidR="006E5651">
        <w:t xml:space="preserve"> </w:t>
      </w:r>
      <w:sdt>
        <w:sdtPr>
          <w:id w:val="1628037189"/>
          <w:citation/>
        </w:sdtPr>
        <w:sdtEndPr/>
        <w:sdtContent>
          <w:r w:rsidR="006E5651">
            <w:fldChar w:fldCharType="begin"/>
          </w:r>
          <w:r w:rsidR="006E5651">
            <w:instrText xml:space="preserve"> CITATION NEASafCulture \l 2057 </w:instrText>
          </w:r>
          <w:r w:rsidR="00A45F3B">
            <w:instrText xml:space="preserve"> \m IAE18</w:instrText>
          </w:r>
          <w:r w:rsidR="006E5651">
            <w:fldChar w:fldCharType="separate"/>
          </w:r>
          <w:r w:rsidR="00A45F3B" w:rsidRPr="00A45F3B">
            <w:rPr>
              <w:noProof/>
            </w:rPr>
            <w:t>[4, 5]</w:t>
          </w:r>
          <w:r w:rsidR="006E5651">
            <w:fldChar w:fldCharType="end"/>
          </w:r>
        </w:sdtContent>
      </w:sdt>
      <w:r w:rsidR="00A45F3B">
        <w:t>.</w:t>
      </w:r>
    </w:p>
    <w:p w14:paraId="71F01C47" w14:textId="2D0EFD19" w:rsidR="00FB1452" w:rsidRPr="00EB1E6A" w:rsidRDefault="00FB1452" w:rsidP="00E6093C">
      <w:pPr>
        <w:pStyle w:val="Heading2"/>
      </w:pPr>
      <w:bookmarkStart w:id="5" w:name="_Toc90371116"/>
      <w:bookmarkStart w:id="6" w:name="_Toc120027933"/>
      <w:r w:rsidRPr="00EB1E6A">
        <w:t>Definitions</w:t>
      </w:r>
      <w:bookmarkEnd w:id="5"/>
      <w:bookmarkEnd w:id="6"/>
    </w:p>
    <w:p w14:paraId="11BA6C25" w14:textId="24DD12E6" w:rsidR="00FB1452" w:rsidRPr="002E66C4" w:rsidRDefault="00FB1452" w:rsidP="00FB1452">
      <w:pPr>
        <w:pStyle w:val="F12-TableFigureCaptions"/>
      </w:pPr>
      <w:r w:rsidRPr="002E66C4">
        <w:t xml:space="preserve">Table </w:t>
      </w:r>
      <w:r w:rsidR="009E17EE">
        <w:fldChar w:fldCharType="begin"/>
      </w:r>
      <w:r w:rsidR="009E17EE">
        <w:instrText xml:space="preserve"> SEQ Table \* ARABIC </w:instrText>
      </w:r>
      <w:r w:rsidR="009E17EE">
        <w:fldChar w:fldCharType="separate"/>
      </w:r>
      <w:r w:rsidR="00010E06">
        <w:rPr>
          <w:noProof/>
        </w:rPr>
        <w:t>2</w:t>
      </w:r>
      <w:r w:rsidR="009E17EE">
        <w:rPr>
          <w:noProof/>
        </w:rPr>
        <w:fldChar w:fldCharType="end"/>
      </w:r>
      <w:r w:rsidR="00010E06">
        <w:rPr>
          <w:noProof/>
        </w:rPr>
        <w:t xml:space="preserve"> - </w:t>
      </w:r>
      <w:r w:rsidRPr="002E66C4">
        <w:t>Table of Definitions</w:t>
      </w:r>
    </w:p>
    <w:tbl>
      <w:tblPr>
        <w:tblStyle w:val="ONRTable1"/>
        <w:tblW w:w="5000" w:type="pct"/>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4"/>
        <w:gridCol w:w="7532"/>
      </w:tblGrid>
      <w:tr w:rsidR="00FB1452" w:rsidRPr="00A07455" w14:paraId="3062D0B0" w14:textId="77777777" w:rsidTr="002B63B0">
        <w:trPr>
          <w:cnfStyle w:val="100000000000" w:firstRow="1" w:lastRow="0" w:firstColumn="0" w:lastColumn="0" w:oddVBand="0" w:evenVBand="0" w:oddHBand="0" w:evenHBand="0" w:firstRowFirstColumn="0" w:firstRowLastColumn="0" w:lastRowFirstColumn="0" w:lastRowLastColumn="0"/>
        </w:trPr>
        <w:tc>
          <w:tcPr>
            <w:tcW w:w="1132" w:type="pct"/>
            <w:tcBorders>
              <w:top w:val="none" w:sz="0" w:space="0" w:color="auto"/>
              <w:left w:val="none" w:sz="0" w:space="0" w:color="auto"/>
              <w:bottom w:val="none" w:sz="0" w:space="0" w:color="auto"/>
              <w:right w:val="none" w:sz="0" w:space="0" w:color="auto"/>
              <w:tl2br w:val="none" w:sz="0" w:space="0" w:color="auto"/>
              <w:tr2bl w:val="none" w:sz="0" w:space="0" w:color="auto"/>
            </w:tcBorders>
          </w:tcPr>
          <w:p w14:paraId="37D382EF" w14:textId="77777777" w:rsidR="00FB1452" w:rsidRPr="00A07455" w:rsidRDefault="00FB1452" w:rsidP="00C26193">
            <w:pPr>
              <w:spacing w:before="60" w:after="60"/>
              <w:rPr>
                <w:rFonts w:cs="Arial"/>
                <w:b w:val="0"/>
                <w:bCs/>
              </w:rPr>
            </w:pPr>
            <w:r w:rsidRPr="00A07455">
              <w:rPr>
                <w:rFonts w:cs="Arial"/>
                <w:b w:val="0"/>
                <w:bCs/>
              </w:rPr>
              <w:t>Term/Acronym</w:t>
            </w:r>
          </w:p>
        </w:tc>
        <w:tc>
          <w:tcPr>
            <w:tcW w:w="3868" w:type="pct"/>
            <w:tcBorders>
              <w:top w:val="none" w:sz="0" w:space="0" w:color="auto"/>
              <w:left w:val="none" w:sz="0" w:space="0" w:color="auto"/>
              <w:bottom w:val="none" w:sz="0" w:space="0" w:color="auto"/>
              <w:right w:val="none" w:sz="0" w:space="0" w:color="auto"/>
              <w:tl2br w:val="none" w:sz="0" w:space="0" w:color="auto"/>
              <w:tr2bl w:val="none" w:sz="0" w:space="0" w:color="auto"/>
            </w:tcBorders>
          </w:tcPr>
          <w:p w14:paraId="4852ED34" w14:textId="77777777" w:rsidR="00FB1452" w:rsidRPr="00A07455" w:rsidRDefault="00FB1452" w:rsidP="00C26193">
            <w:pPr>
              <w:spacing w:before="60" w:after="60"/>
              <w:rPr>
                <w:rFonts w:cs="Arial"/>
                <w:b w:val="0"/>
                <w:bCs/>
              </w:rPr>
            </w:pPr>
            <w:r w:rsidRPr="00A07455">
              <w:rPr>
                <w:rFonts w:cs="Arial"/>
                <w:b w:val="0"/>
                <w:bCs/>
              </w:rPr>
              <w:t>Description</w:t>
            </w:r>
          </w:p>
        </w:tc>
      </w:tr>
      <w:tr w:rsidR="00FB1452" w:rsidRPr="00A07455" w14:paraId="53E14B8D" w14:textId="77777777" w:rsidTr="002B63B0">
        <w:tc>
          <w:tcPr>
            <w:tcW w:w="1132" w:type="pct"/>
          </w:tcPr>
          <w:p w14:paraId="59ECBFE2" w14:textId="00E212B5" w:rsidR="00FB1452" w:rsidRPr="00A07455" w:rsidRDefault="00CF2915" w:rsidP="00C26193">
            <w:pPr>
              <w:spacing w:before="60" w:after="60"/>
              <w:rPr>
                <w:rFonts w:cs="Arial"/>
              </w:rPr>
            </w:pPr>
            <w:r>
              <w:rPr>
                <w:rFonts w:cs="Arial"/>
              </w:rPr>
              <w:t>CNI</w:t>
            </w:r>
          </w:p>
        </w:tc>
        <w:tc>
          <w:tcPr>
            <w:tcW w:w="3868" w:type="pct"/>
          </w:tcPr>
          <w:p w14:paraId="6A8A3A09" w14:textId="1C88F6C8" w:rsidR="00FB1452" w:rsidRPr="00A07455" w:rsidRDefault="00CF2915" w:rsidP="00C26193">
            <w:pPr>
              <w:spacing w:before="60" w:after="60"/>
              <w:rPr>
                <w:rFonts w:cs="Arial"/>
              </w:rPr>
            </w:pPr>
            <w:r>
              <w:rPr>
                <w:rFonts w:cs="Arial"/>
              </w:rPr>
              <w:t>Chief Nuclear Inspector</w:t>
            </w:r>
          </w:p>
        </w:tc>
      </w:tr>
      <w:tr w:rsidR="002D47B8" w:rsidRPr="00A07455" w14:paraId="6CDC4632" w14:textId="77777777" w:rsidTr="002B63B0">
        <w:tc>
          <w:tcPr>
            <w:tcW w:w="1132" w:type="pct"/>
          </w:tcPr>
          <w:p w14:paraId="638A2551" w14:textId="3AA40004" w:rsidR="002D47B8" w:rsidRDefault="002D47B8" w:rsidP="002D47B8">
            <w:pPr>
              <w:spacing w:before="60" w:after="60"/>
            </w:pPr>
            <w:r>
              <w:t>DL</w:t>
            </w:r>
          </w:p>
        </w:tc>
        <w:tc>
          <w:tcPr>
            <w:tcW w:w="3868" w:type="pct"/>
          </w:tcPr>
          <w:p w14:paraId="45C68B56" w14:textId="40A168E1" w:rsidR="002D47B8" w:rsidRDefault="002D47B8" w:rsidP="002D47B8">
            <w:pPr>
              <w:spacing w:before="60" w:after="60"/>
            </w:pPr>
            <w:r>
              <w:t>Delivery Lead</w:t>
            </w:r>
          </w:p>
        </w:tc>
      </w:tr>
      <w:tr w:rsidR="00B80835" w:rsidRPr="00A07455" w14:paraId="63D12684" w14:textId="77777777" w:rsidTr="002B63B0">
        <w:tc>
          <w:tcPr>
            <w:tcW w:w="1132" w:type="pct"/>
          </w:tcPr>
          <w:p w14:paraId="584A8B15" w14:textId="7C413595" w:rsidR="00B80835" w:rsidRDefault="00B80835" w:rsidP="002D47B8">
            <w:pPr>
              <w:spacing w:before="60" w:after="60"/>
            </w:pPr>
            <w:r w:rsidRPr="00B80835">
              <w:t>NISR</w:t>
            </w:r>
          </w:p>
        </w:tc>
        <w:tc>
          <w:tcPr>
            <w:tcW w:w="3868" w:type="pct"/>
          </w:tcPr>
          <w:p w14:paraId="3EC69865" w14:textId="4814990B" w:rsidR="00B80835" w:rsidRDefault="00B80835" w:rsidP="002D47B8">
            <w:pPr>
              <w:spacing w:before="60" w:after="60"/>
            </w:pPr>
            <w:r w:rsidRPr="00B80835">
              <w:t>Nuclear Industries Security Regulations</w:t>
            </w:r>
          </w:p>
        </w:tc>
      </w:tr>
      <w:tr w:rsidR="002D47B8" w:rsidRPr="00A07455" w14:paraId="5BF27171" w14:textId="77777777" w:rsidTr="002B63B0">
        <w:tc>
          <w:tcPr>
            <w:tcW w:w="1132" w:type="pct"/>
          </w:tcPr>
          <w:p w14:paraId="7BC887E1" w14:textId="3DA35E2A" w:rsidR="002D47B8" w:rsidRDefault="002D47B8" w:rsidP="002D47B8">
            <w:pPr>
              <w:spacing w:before="60" w:after="60"/>
            </w:pPr>
            <w:r>
              <w:t>PL</w:t>
            </w:r>
          </w:p>
        </w:tc>
        <w:tc>
          <w:tcPr>
            <w:tcW w:w="3868" w:type="pct"/>
          </w:tcPr>
          <w:p w14:paraId="5711ABA3" w14:textId="3F6048B3" w:rsidR="002D47B8" w:rsidRDefault="002D47B8" w:rsidP="002D47B8">
            <w:pPr>
              <w:spacing w:before="60" w:after="60"/>
            </w:pPr>
            <w:r>
              <w:t>Professional Lead</w:t>
            </w:r>
          </w:p>
        </w:tc>
      </w:tr>
      <w:tr w:rsidR="002D47B8" w:rsidRPr="00A07455" w14:paraId="59486695" w14:textId="77777777" w:rsidTr="002B63B0">
        <w:tc>
          <w:tcPr>
            <w:tcW w:w="1132" w:type="pct"/>
          </w:tcPr>
          <w:p w14:paraId="051C49BA" w14:textId="5C307654" w:rsidR="002D47B8" w:rsidRPr="00A07455" w:rsidRDefault="002D47B8" w:rsidP="002D47B8">
            <w:pPr>
              <w:spacing w:before="60" w:after="60"/>
              <w:rPr>
                <w:rFonts w:cs="Arial"/>
              </w:rPr>
            </w:pPr>
            <w:r>
              <w:rPr>
                <w:rFonts w:cs="Arial"/>
              </w:rPr>
              <w:t>RM</w:t>
            </w:r>
          </w:p>
        </w:tc>
        <w:tc>
          <w:tcPr>
            <w:tcW w:w="3868" w:type="pct"/>
          </w:tcPr>
          <w:p w14:paraId="29450E75" w14:textId="138286AF" w:rsidR="002D47B8" w:rsidRPr="00A07455" w:rsidRDefault="002D47B8" w:rsidP="002D47B8">
            <w:pPr>
              <w:spacing w:before="60" w:after="60"/>
              <w:rPr>
                <w:rFonts w:cs="Arial"/>
              </w:rPr>
            </w:pPr>
            <w:r>
              <w:rPr>
                <w:rFonts w:cs="Arial"/>
              </w:rPr>
              <w:t>Resolution Manager</w:t>
            </w:r>
          </w:p>
        </w:tc>
      </w:tr>
      <w:tr w:rsidR="002D47B8" w:rsidRPr="00A07455" w14:paraId="4A0877ED" w14:textId="77777777" w:rsidTr="002B63B0">
        <w:tc>
          <w:tcPr>
            <w:tcW w:w="1132" w:type="pct"/>
          </w:tcPr>
          <w:p w14:paraId="7244B478" w14:textId="77FE0FAF" w:rsidR="002D47B8" w:rsidRDefault="002D47B8" w:rsidP="002D47B8">
            <w:pPr>
              <w:spacing w:before="60" w:after="60"/>
            </w:pPr>
            <w:r>
              <w:rPr>
                <w:rFonts w:cs="Arial"/>
              </w:rPr>
              <w:t>ROM</w:t>
            </w:r>
          </w:p>
        </w:tc>
        <w:tc>
          <w:tcPr>
            <w:tcW w:w="3868" w:type="pct"/>
          </w:tcPr>
          <w:p w14:paraId="50CC55E8" w14:textId="4D7008EF" w:rsidR="002D47B8" w:rsidRPr="00A07455" w:rsidRDefault="002D47B8" w:rsidP="002D47B8">
            <w:pPr>
              <w:spacing w:before="60" w:after="60"/>
            </w:pPr>
            <w:r>
              <w:rPr>
                <w:rFonts w:cs="Arial"/>
              </w:rPr>
              <w:t>Regulatory Oversight Manager</w:t>
            </w:r>
          </w:p>
        </w:tc>
      </w:tr>
    </w:tbl>
    <w:p w14:paraId="20E4507A" w14:textId="77777777" w:rsidR="00FB1452" w:rsidRDefault="00FB1452" w:rsidP="008D49A5"/>
    <w:p w14:paraId="68B2FD64" w14:textId="77777777" w:rsidR="00FB1452" w:rsidRDefault="00FB1452" w:rsidP="00E6093C">
      <w:pPr>
        <w:pStyle w:val="Heading1"/>
        <w:sectPr w:rsidR="00FB1452" w:rsidSect="00B82646">
          <w:headerReference w:type="even" r:id="rId18"/>
          <w:headerReference w:type="default" r:id="rId19"/>
          <w:footerReference w:type="even" r:id="rId20"/>
          <w:footerReference w:type="default" r:id="rId21"/>
          <w:pgSz w:w="11906" w:h="16838" w:code="9"/>
          <w:pgMar w:top="1440" w:right="1080" w:bottom="1440" w:left="1080" w:header="397" w:footer="397" w:gutter="0"/>
          <w:cols w:space="312"/>
          <w:docGrid w:linePitch="360"/>
        </w:sectPr>
      </w:pPr>
    </w:p>
    <w:p w14:paraId="289E5DD0" w14:textId="77777777" w:rsidR="00010E06" w:rsidRPr="00E6093C" w:rsidRDefault="00010E06" w:rsidP="00E6093C">
      <w:pPr>
        <w:pStyle w:val="Heading1"/>
      </w:pPr>
      <w:bookmarkStart w:id="7" w:name="_Toc120027934"/>
      <w:r w:rsidRPr="00E6093C">
        <w:t>Resolving Differences of Regulatory Opinion</w:t>
      </w:r>
      <w:bookmarkStart w:id="8" w:name="_Toc431889008"/>
      <w:bookmarkStart w:id="9" w:name="_Toc18505263"/>
      <w:bookmarkEnd w:id="7"/>
    </w:p>
    <w:p w14:paraId="4BB677C5" w14:textId="19BF968B" w:rsidR="00D44704" w:rsidRPr="00341EC6" w:rsidRDefault="00D44704" w:rsidP="00D44704">
      <w:pPr>
        <w:pStyle w:val="ListParagraph"/>
      </w:pPr>
      <w:bookmarkStart w:id="10" w:name="_Toc363118419"/>
      <w:bookmarkStart w:id="11" w:name="_Toc431889010"/>
      <w:bookmarkEnd w:id="8"/>
      <w:bookmarkEnd w:id="9"/>
      <w:r w:rsidRPr="00341EC6">
        <w:t xml:space="preserve">Leaders are expected to create an environment which fosters open discussion, where diverse views are respected and valued, free from fear of negative consequences. All staff are expected to act in accordance with ONR’s </w:t>
      </w:r>
      <w:r w:rsidR="00C965E1">
        <w:t>values</w:t>
      </w:r>
      <w:r w:rsidRPr="00341EC6">
        <w:t xml:space="preserve"> and the relevant code of conduct of their professional body. We expect our staff to recognise that others may not always share their views on technical </w:t>
      </w:r>
      <w:r w:rsidR="00877EC0">
        <w:t xml:space="preserve">judgements </w:t>
      </w:r>
      <w:r w:rsidRPr="00341EC6">
        <w:t>and regulatory issues, or strategic factors</w:t>
      </w:r>
      <w:r w:rsidR="00C965E1">
        <w:t>.</w:t>
      </w:r>
      <w:r w:rsidR="00835EBF">
        <w:t xml:space="preserve"> </w:t>
      </w:r>
      <w:r w:rsidR="00C965E1">
        <w:t>R</w:t>
      </w:r>
      <w:r w:rsidRPr="00341EC6">
        <w:t xml:space="preserve">egulatory decisions on such issues that need to be taken within ONR may not accord fully with </w:t>
      </w:r>
      <w:r w:rsidR="00C965E1">
        <w:t>an individual’s</w:t>
      </w:r>
      <w:r w:rsidR="00835EBF">
        <w:t xml:space="preserve"> </w:t>
      </w:r>
      <w:r w:rsidRPr="00341EC6">
        <w:t>own judgement of the evidence and argument</w:t>
      </w:r>
      <w:r>
        <w:t>. This is e</w:t>
      </w:r>
      <w:r w:rsidRPr="00341EC6">
        <w:t xml:space="preserve">specially when wider considerations are considered. </w:t>
      </w:r>
    </w:p>
    <w:p w14:paraId="321DA57F" w14:textId="65FF1F38" w:rsidR="00D44704" w:rsidRDefault="00D44704" w:rsidP="00D44704">
      <w:pPr>
        <w:pStyle w:val="ListParagraph"/>
      </w:pPr>
      <w:r w:rsidRPr="00341EC6">
        <w:t>In forming their own view as to what action needs to be taken in a particular case, inspectors are expected to discuss issues with their peers, the Delivery Lead(s) and relevant Professional Leads. This is particularly important where there are likely to be differing views</w:t>
      </w:r>
      <w:r w:rsidR="00014BCC">
        <w:t>.</w:t>
      </w:r>
      <w:r w:rsidR="00835EBF">
        <w:t xml:space="preserve"> </w:t>
      </w:r>
      <w:r w:rsidR="00014BCC">
        <w:t>I</w:t>
      </w:r>
      <w:r w:rsidRPr="00341EC6">
        <w:t>nspectors should be alert to such situations so that every opportunity is taken to resolve areas of disagreement early through discussion.</w:t>
      </w:r>
    </w:p>
    <w:p w14:paraId="3662C650" w14:textId="77777777" w:rsidR="00D44704" w:rsidRDefault="00D44704" w:rsidP="00D44704">
      <w:pPr>
        <w:pStyle w:val="ListParagraph"/>
      </w:pPr>
      <w:r>
        <w:t xml:space="preserve">In cases where the PL and/or DL changes during the assessment process, the new PL and/or DL should satisfy themselves with the approach taken prior to this change. This is expected to take place at the earliest opportunity to eliminate any potential differences of opinion which could delay permissioning. </w:t>
      </w:r>
    </w:p>
    <w:p w14:paraId="63A6922B" w14:textId="3869912F" w:rsidR="00341EC6" w:rsidRPr="00341EC6" w:rsidRDefault="00341EC6" w:rsidP="00010E06">
      <w:pPr>
        <w:pStyle w:val="ListParagraph"/>
      </w:pPr>
      <w:r w:rsidRPr="00341EC6">
        <w:t xml:space="preserve">The process for resolving differences of regulatory opinion within ONR is set out </w:t>
      </w:r>
      <w:r w:rsidR="00D44704">
        <w:t xml:space="preserve">in </w:t>
      </w:r>
      <w:r w:rsidR="00D44704">
        <w:fldChar w:fldCharType="begin"/>
      </w:r>
      <w:r w:rsidR="00D44704">
        <w:instrText xml:space="preserve"> REF _Ref118105703 \h </w:instrText>
      </w:r>
      <w:r w:rsidR="00D44704">
        <w:fldChar w:fldCharType="separate"/>
      </w:r>
      <w:r w:rsidR="00D44704">
        <w:t xml:space="preserve">Figure </w:t>
      </w:r>
      <w:r w:rsidR="00D44704">
        <w:rPr>
          <w:noProof/>
        </w:rPr>
        <w:t>1</w:t>
      </w:r>
      <w:r w:rsidR="00D44704">
        <w:fldChar w:fldCharType="end"/>
      </w:r>
      <w:r w:rsidR="00D44704">
        <w:t>.</w:t>
      </w:r>
    </w:p>
    <w:p w14:paraId="59E635D7" w14:textId="77777777" w:rsidR="00A53E8C" w:rsidRDefault="00A53E8C" w:rsidP="00A53E8C">
      <w:pPr>
        <w:spacing w:after="0" w:line="240" w:lineRule="auto"/>
      </w:pPr>
      <w:r w:rsidRPr="00444DF8">
        <w:rPr>
          <w:noProof/>
        </w:rPr>
        <w:drawing>
          <wp:inline distT="0" distB="0" distL="0" distR="0" wp14:anchorId="20827CEB" wp14:editId="78EE7E2D">
            <wp:extent cx="5791200" cy="8486765"/>
            <wp:effectExtent l="0" t="0" r="0" b="0"/>
            <wp:docPr id="3" name="Picture 3" descr="This diagram presents a schematic showing the processes that must me followed and those responsible for them. Detail is provided in Sections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his diagram presents a schematic showing the processes that must me followed and those responsible for them. Detail is provided in Sections 2.1-4."/>
                    <pic:cNvPicPr/>
                  </pic:nvPicPr>
                  <pic:blipFill>
                    <a:blip r:embed="rId22"/>
                    <a:stretch>
                      <a:fillRect/>
                    </a:stretch>
                  </pic:blipFill>
                  <pic:spPr>
                    <a:xfrm>
                      <a:off x="0" y="0"/>
                      <a:ext cx="5837128" cy="8554070"/>
                    </a:xfrm>
                    <a:prstGeom prst="rect">
                      <a:avLst/>
                    </a:prstGeom>
                  </pic:spPr>
                </pic:pic>
              </a:graphicData>
            </a:graphic>
          </wp:inline>
        </w:drawing>
      </w:r>
      <w:bookmarkStart w:id="12" w:name="_Ref118105703"/>
      <w:bookmarkStart w:id="13" w:name="_Hlk118372968"/>
    </w:p>
    <w:p w14:paraId="00B08639" w14:textId="77777777" w:rsidR="00A53E8C" w:rsidRDefault="00A53E8C" w:rsidP="00A53E8C">
      <w:pPr>
        <w:spacing w:after="0" w:line="240" w:lineRule="auto"/>
      </w:pPr>
    </w:p>
    <w:p w14:paraId="08426247" w14:textId="50593D6A" w:rsidR="00341EC6" w:rsidRPr="00E6093C" w:rsidRDefault="00D44704" w:rsidP="00E6093C">
      <w:pPr>
        <w:spacing w:after="0" w:line="240" w:lineRule="auto"/>
        <w:jc w:val="center"/>
        <w:rPr>
          <w:b/>
          <w:bCs/>
          <w:sz w:val="22"/>
          <w:szCs w:val="20"/>
        </w:rPr>
      </w:pPr>
      <w:r w:rsidRPr="00E6093C">
        <w:rPr>
          <w:b/>
          <w:bCs/>
          <w:sz w:val="22"/>
          <w:szCs w:val="20"/>
        </w:rPr>
        <w:t xml:space="preserve">Figure </w:t>
      </w:r>
      <w:r w:rsidR="00B15100" w:rsidRPr="00E6093C">
        <w:rPr>
          <w:b/>
          <w:bCs/>
          <w:sz w:val="22"/>
          <w:szCs w:val="20"/>
        </w:rPr>
        <w:fldChar w:fldCharType="begin"/>
      </w:r>
      <w:r w:rsidR="00B15100" w:rsidRPr="00E6093C">
        <w:rPr>
          <w:b/>
          <w:bCs/>
          <w:sz w:val="22"/>
          <w:szCs w:val="20"/>
        </w:rPr>
        <w:instrText xml:space="preserve"> SEQ Figure \* ARABIC </w:instrText>
      </w:r>
      <w:r w:rsidR="00B15100" w:rsidRPr="00E6093C">
        <w:rPr>
          <w:b/>
          <w:bCs/>
          <w:sz w:val="22"/>
          <w:szCs w:val="20"/>
        </w:rPr>
        <w:fldChar w:fldCharType="separate"/>
      </w:r>
      <w:r w:rsidRPr="00E6093C">
        <w:rPr>
          <w:b/>
          <w:bCs/>
          <w:noProof/>
          <w:sz w:val="22"/>
          <w:szCs w:val="20"/>
        </w:rPr>
        <w:t>1</w:t>
      </w:r>
      <w:r w:rsidR="00B15100" w:rsidRPr="00E6093C">
        <w:rPr>
          <w:b/>
          <w:bCs/>
          <w:noProof/>
          <w:sz w:val="22"/>
          <w:szCs w:val="20"/>
        </w:rPr>
        <w:fldChar w:fldCharType="end"/>
      </w:r>
      <w:bookmarkEnd w:id="12"/>
      <w:r w:rsidR="002B63B0">
        <w:rPr>
          <w:b/>
          <w:bCs/>
          <w:sz w:val="22"/>
          <w:szCs w:val="20"/>
        </w:rPr>
        <w:t>:</w:t>
      </w:r>
      <w:r w:rsidRPr="00E6093C">
        <w:rPr>
          <w:b/>
          <w:bCs/>
          <w:sz w:val="22"/>
          <w:szCs w:val="20"/>
        </w:rPr>
        <w:t xml:space="preserve"> Resolving differences of regulatory opinion in ONR</w:t>
      </w:r>
    </w:p>
    <w:p w14:paraId="220A6C66" w14:textId="0AA60462" w:rsidR="00341EC6" w:rsidRPr="00010E06" w:rsidRDefault="00341EC6" w:rsidP="00E6093C">
      <w:pPr>
        <w:pStyle w:val="Heading2"/>
      </w:pPr>
      <w:bookmarkStart w:id="14" w:name="_Toc18505265"/>
      <w:bookmarkStart w:id="15" w:name="_Toc120027935"/>
      <w:bookmarkEnd w:id="10"/>
      <w:bookmarkEnd w:id="11"/>
      <w:bookmarkEnd w:id="13"/>
      <w:r w:rsidRPr="00010E06">
        <w:t>Stage 1 – Initiation</w:t>
      </w:r>
      <w:bookmarkEnd w:id="14"/>
      <w:bookmarkEnd w:id="15"/>
    </w:p>
    <w:p w14:paraId="04ED5B00" w14:textId="037CC9C1" w:rsidR="00341EC6" w:rsidRPr="00341EC6" w:rsidRDefault="00341EC6" w:rsidP="00010E06">
      <w:pPr>
        <w:pStyle w:val="ListParagraph"/>
      </w:pPr>
      <w:r w:rsidRPr="00341EC6">
        <w:t>Where staff have strong concerns about regulatory strategies</w:t>
      </w:r>
      <w:r w:rsidR="00877EC0">
        <w:t>,</w:t>
      </w:r>
      <w:r w:rsidRPr="00341EC6">
        <w:t xml:space="preserve"> technical </w:t>
      </w:r>
      <w:r w:rsidR="00877EC0">
        <w:t xml:space="preserve">judgements </w:t>
      </w:r>
      <w:r w:rsidRPr="00341EC6">
        <w:t xml:space="preserve">or regulatory issues they should raise these with their </w:t>
      </w:r>
      <w:r w:rsidR="006E5651">
        <w:t>DL</w:t>
      </w:r>
      <w:r w:rsidRPr="00341EC6">
        <w:t xml:space="preserve"> and/or </w:t>
      </w:r>
      <w:r w:rsidR="006E5651">
        <w:t>PL</w:t>
      </w:r>
      <w:r w:rsidR="00877EC0">
        <w:t xml:space="preserve"> in the first instance.</w:t>
      </w:r>
      <w:r w:rsidR="00835EBF">
        <w:t xml:space="preserve"> </w:t>
      </w:r>
      <w:r w:rsidR="00877EC0">
        <w:t>Only after this approach has been exhausted should the individual</w:t>
      </w:r>
      <w:r w:rsidR="00835EBF">
        <w:t xml:space="preserve"> </w:t>
      </w:r>
      <w:r w:rsidRPr="00341EC6">
        <w:t xml:space="preserve">request that the process for resolving differences of regulatory opinion be initiated. </w:t>
      </w:r>
    </w:p>
    <w:p w14:paraId="20C8CF97" w14:textId="2734017B" w:rsidR="00341EC6" w:rsidRPr="00341EC6" w:rsidRDefault="00341EC6" w:rsidP="00010E06">
      <w:pPr>
        <w:pStyle w:val="ListParagraph"/>
      </w:pPr>
      <w:r w:rsidRPr="00341EC6">
        <w:t xml:space="preserve">The process may be initiated by any party </w:t>
      </w:r>
      <w:r w:rsidR="007E5DC0">
        <w:t>submitting</w:t>
      </w:r>
      <w:r w:rsidR="007E5DC0" w:rsidRPr="00341EC6">
        <w:t xml:space="preserve"> </w:t>
      </w:r>
      <w:r w:rsidRPr="00341EC6">
        <w:t>a written request to the ROM.</w:t>
      </w:r>
      <w:r w:rsidR="006E5651">
        <w:t xml:space="preserve"> </w:t>
      </w:r>
      <w:r w:rsidRPr="00341EC6">
        <w:t>The request should include the following information:</w:t>
      </w:r>
    </w:p>
    <w:p w14:paraId="52D09D5C" w14:textId="1968F46C" w:rsidR="00341EC6" w:rsidRPr="00341EC6" w:rsidRDefault="00341EC6" w:rsidP="00E6093C">
      <w:pPr>
        <w:pStyle w:val="Bulletlist1"/>
      </w:pPr>
      <w:r w:rsidRPr="00341EC6">
        <w:t>A summary of the prevailing view or position, together with principal legal, policy, or technical arguments, evidence and judgements on which it is founded</w:t>
      </w:r>
    </w:p>
    <w:p w14:paraId="2831B388" w14:textId="6A759AF0" w:rsidR="00341EC6" w:rsidRPr="00341EC6" w:rsidRDefault="00341EC6" w:rsidP="00E6093C">
      <w:pPr>
        <w:pStyle w:val="Bulletlist1"/>
      </w:pPr>
      <w:r w:rsidRPr="00341EC6">
        <w:t>Name</w:t>
      </w:r>
      <w:r w:rsidR="00877EC0">
        <w:t>(</w:t>
      </w:r>
      <w:r w:rsidRPr="00341EC6">
        <w:t>s</w:t>
      </w:r>
      <w:r w:rsidR="00877EC0">
        <w:t>)</w:t>
      </w:r>
      <w:r w:rsidRPr="00341EC6">
        <w:t xml:space="preserve"> and role</w:t>
      </w:r>
      <w:r w:rsidR="00877EC0">
        <w:t>(</w:t>
      </w:r>
      <w:r w:rsidRPr="00341EC6">
        <w:t>s</w:t>
      </w:r>
      <w:r w:rsidR="00877EC0">
        <w:t>)</w:t>
      </w:r>
      <w:r w:rsidRPr="00341EC6">
        <w:t xml:space="preserve"> of those staff holding this view</w:t>
      </w:r>
    </w:p>
    <w:p w14:paraId="15C12B78" w14:textId="0E9D5E41" w:rsidR="00341EC6" w:rsidRPr="00341EC6" w:rsidRDefault="00341EC6" w:rsidP="00E6093C">
      <w:pPr>
        <w:pStyle w:val="Bulletlist1"/>
      </w:pPr>
      <w:r w:rsidRPr="00341EC6">
        <w:t>A summary of the alternative view, together with key underpinning arguments, evidence, and judgements on which it is based</w:t>
      </w:r>
    </w:p>
    <w:p w14:paraId="2EAD63E0" w14:textId="4635A3E7" w:rsidR="00341EC6" w:rsidRPr="00341EC6" w:rsidRDefault="00341EC6" w:rsidP="00E6093C">
      <w:pPr>
        <w:pStyle w:val="Bulletlist1"/>
      </w:pPr>
      <w:r w:rsidRPr="00341EC6">
        <w:t>Name</w:t>
      </w:r>
      <w:r w:rsidR="00877EC0">
        <w:t>(</w:t>
      </w:r>
      <w:r w:rsidRPr="00341EC6">
        <w:t>s</w:t>
      </w:r>
      <w:r w:rsidR="00877EC0">
        <w:t>)</w:t>
      </w:r>
      <w:r w:rsidRPr="00341EC6">
        <w:t xml:space="preserve"> and role</w:t>
      </w:r>
      <w:r w:rsidR="00877EC0">
        <w:t>(</w:t>
      </w:r>
      <w:r w:rsidRPr="00341EC6">
        <w:t>s</w:t>
      </w:r>
      <w:r w:rsidR="00877EC0">
        <w:t>)</w:t>
      </w:r>
      <w:r w:rsidRPr="00341EC6">
        <w:t xml:space="preserve"> of staff holding this alternative view</w:t>
      </w:r>
      <w:r w:rsidR="006E5651">
        <w:t xml:space="preserve"> </w:t>
      </w:r>
    </w:p>
    <w:p w14:paraId="4CDD5494" w14:textId="12DDA8EA" w:rsidR="00341EC6" w:rsidRPr="00341EC6" w:rsidRDefault="00341EC6" w:rsidP="00E6093C">
      <w:pPr>
        <w:pStyle w:val="Bulletlist1"/>
      </w:pPr>
      <w:r w:rsidRPr="00341EC6">
        <w:t>Their assessment of the consequences of ONR failing to adopt either view</w:t>
      </w:r>
      <w:r w:rsidR="00877EC0">
        <w:t xml:space="preserve"> or </w:t>
      </w:r>
      <w:r w:rsidRPr="00341EC6">
        <w:t>position</w:t>
      </w:r>
    </w:p>
    <w:p w14:paraId="62028130" w14:textId="2E4258D8" w:rsidR="00341EC6" w:rsidRPr="00341EC6" w:rsidRDefault="00341EC6" w:rsidP="00010E06">
      <w:pPr>
        <w:pStyle w:val="ListParagraph"/>
      </w:pPr>
      <w:r w:rsidRPr="00341EC6">
        <w:t xml:space="preserve">As a good practice, it is preferable for this written request to be agreed by both parties; </w:t>
      </w:r>
      <w:r w:rsidR="00BA3813">
        <w:t>although</w:t>
      </w:r>
      <w:r w:rsidR="00D377E4" w:rsidRPr="00341EC6">
        <w:t>,</w:t>
      </w:r>
      <w:r w:rsidRPr="00341EC6">
        <w:t xml:space="preserve"> it is </w:t>
      </w:r>
      <w:r w:rsidR="00BA3813">
        <w:t>recognised</w:t>
      </w:r>
      <w:r w:rsidRPr="00341EC6">
        <w:t xml:space="preserve"> this may not be appropriate in all cases. If the act of producing an agreed request resolves the difference in opinion, then the process should be terminated at that point. </w:t>
      </w:r>
    </w:p>
    <w:p w14:paraId="1522FCF6" w14:textId="7D62EDB1" w:rsidR="00341EC6" w:rsidRPr="00341EC6" w:rsidRDefault="00877EC0" w:rsidP="00010E06">
      <w:pPr>
        <w:pStyle w:val="ListParagraph"/>
      </w:pPr>
      <w:r>
        <w:t>Within five working days, t</w:t>
      </w:r>
      <w:r w:rsidR="00341EC6" w:rsidRPr="00341EC6">
        <w:t>he ROM (or delegate) will</w:t>
      </w:r>
      <w:r w:rsidR="00BA3813">
        <w:t>,</w:t>
      </w:r>
      <w:r w:rsidR="00341EC6" w:rsidRPr="00341EC6">
        <w:t xml:space="preserve"> review the request, confirm whether it falls within the scope of this procedure and</w:t>
      </w:r>
      <w:r w:rsidR="00835EBF">
        <w:t xml:space="preserve"> </w:t>
      </w:r>
      <w:r w:rsidR="00341EC6" w:rsidRPr="00341EC6">
        <w:t xml:space="preserve">identify </w:t>
      </w:r>
      <w:r>
        <w:t>a suitable ‘Resolution M</w:t>
      </w:r>
      <w:r w:rsidR="00341EC6" w:rsidRPr="00341EC6">
        <w:t>anager</w:t>
      </w:r>
      <w:r>
        <w:t>’ (RM)</w:t>
      </w:r>
      <w:r w:rsidR="00341EC6" w:rsidRPr="00341EC6">
        <w:t xml:space="preserve"> who will arbitrate on the disagreement. The </w:t>
      </w:r>
      <w:r w:rsidR="00D44704">
        <w:t xml:space="preserve">RM </w:t>
      </w:r>
      <w:r w:rsidR="00341EC6" w:rsidRPr="00341EC6">
        <w:t xml:space="preserve">will normally be </w:t>
      </w:r>
      <w:r>
        <w:t>a</w:t>
      </w:r>
      <w:r w:rsidR="00341EC6" w:rsidRPr="00341EC6">
        <w:t xml:space="preserve"> manager one level above those parties involved in the disagreement with accountability for the issue in question. For example, a disagreement between the author of an assessment report and the inspector peer-reviewing the report would be referred to the relevant </w:t>
      </w:r>
      <w:r w:rsidR="00D44704">
        <w:t>PL</w:t>
      </w:r>
      <w:r w:rsidR="00341EC6" w:rsidRPr="00341EC6">
        <w:t xml:space="preserve">. A disagreement between a specialist inspector and a project inspector regarding the treatment of specialist advice within a permissioning decision would be referred to the </w:t>
      </w:r>
      <w:r w:rsidR="00D44704">
        <w:t>DL</w:t>
      </w:r>
      <w:r w:rsidR="00341EC6" w:rsidRPr="00341EC6">
        <w:t>. The aim is to resolve areas of disagreement at the lowest level where possible.</w:t>
      </w:r>
    </w:p>
    <w:p w14:paraId="7A4F19C5" w14:textId="2DB9FD4F" w:rsidR="00341EC6" w:rsidRPr="00341EC6" w:rsidRDefault="00341EC6" w:rsidP="00010E06">
      <w:pPr>
        <w:pStyle w:val="ListParagraph"/>
      </w:pPr>
      <w:r w:rsidRPr="00341EC6">
        <w:t xml:space="preserve">The RM should not have any detailed prior involvement in the </w:t>
      </w:r>
      <w:r w:rsidR="00BA3813">
        <w:t xml:space="preserve">subject of </w:t>
      </w:r>
      <w:r w:rsidRPr="00341EC6">
        <w:t xml:space="preserve">disagreement. If the manager feels that they may have a potential conflict of interest (or this may be perceived), they should discuss these concerns with the ROM. In such circumstances, it may be appropriate for the ROM to identify an alternative person of similar authority and appropriate grade to fulfil the role of </w:t>
      </w:r>
      <w:r w:rsidR="00D44704">
        <w:t>RM</w:t>
      </w:r>
      <w:r w:rsidRPr="00341EC6">
        <w:t xml:space="preserve">. The role of RM may also be assigned to other alternative persons for reasons of technical competence or workload. </w:t>
      </w:r>
    </w:p>
    <w:p w14:paraId="479C8171" w14:textId="4C7901C9" w:rsidR="00341EC6" w:rsidRPr="00341EC6" w:rsidRDefault="00341EC6" w:rsidP="00010E06">
      <w:pPr>
        <w:pStyle w:val="ListParagraph"/>
      </w:pPr>
      <w:r w:rsidRPr="00341EC6">
        <w:t>Where the ROM judges that the request falls outside of the scope of this pro</w:t>
      </w:r>
      <w:r w:rsidR="006E5651">
        <w:t>cess</w:t>
      </w:r>
      <w:r w:rsidRPr="00341EC6">
        <w:t xml:space="preserve">, </w:t>
      </w:r>
      <w:r w:rsidR="00BA3813">
        <w:t>the ROM</w:t>
      </w:r>
      <w:r w:rsidRPr="00341EC6">
        <w:t xml:space="preserve"> will discuss the basis for this judgement with relevant parties, together with alternative mechanisms.</w:t>
      </w:r>
    </w:p>
    <w:p w14:paraId="5A1EB506" w14:textId="1B9C9D74" w:rsidR="00341EC6" w:rsidRPr="00341EC6" w:rsidRDefault="00341EC6" w:rsidP="00010E06">
      <w:pPr>
        <w:pStyle w:val="ListParagraph"/>
      </w:pPr>
      <w:r w:rsidRPr="00341EC6">
        <w:t xml:space="preserve">On receipt of a written request to initiate this process, the ROM will inform relevant Directors, </w:t>
      </w:r>
      <w:r w:rsidR="00D44704">
        <w:t>DLs</w:t>
      </w:r>
      <w:r w:rsidRPr="00341EC6">
        <w:t xml:space="preserve">, </w:t>
      </w:r>
      <w:r w:rsidR="00D44704">
        <w:t>PLs</w:t>
      </w:r>
      <w:r w:rsidRPr="00341EC6">
        <w:t xml:space="preserve"> and other internal stakeholders they judge appropriate. </w:t>
      </w:r>
    </w:p>
    <w:p w14:paraId="67139360" w14:textId="1E365176" w:rsidR="00341EC6" w:rsidRPr="00341EC6" w:rsidRDefault="00341EC6" w:rsidP="00E6093C">
      <w:pPr>
        <w:pStyle w:val="Heading2"/>
      </w:pPr>
      <w:bookmarkStart w:id="16" w:name="_Toc18505266"/>
      <w:bookmarkStart w:id="17" w:name="_Toc120027936"/>
      <w:r w:rsidRPr="00341EC6">
        <w:t>Stage 2 – Review</w:t>
      </w:r>
      <w:bookmarkEnd w:id="16"/>
      <w:bookmarkEnd w:id="17"/>
      <w:r w:rsidRPr="00341EC6">
        <w:t xml:space="preserve"> </w:t>
      </w:r>
    </w:p>
    <w:p w14:paraId="7509AECD" w14:textId="56560E18" w:rsidR="00341EC6" w:rsidRPr="00341EC6" w:rsidRDefault="00341EC6" w:rsidP="00010E06">
      <w:pPr>
        <w:pStyle w:val="ListParagraph"/>
      </w:pPr>
      <w:r w:rsidRPr="00341EC6">
        <w:t xml:space="preserve">The </w:t>
      </w:r>
      <w:r w:rsidR="00D44704">
        <w:t xml:space="preserve">RM </w:t>
      </w:r>
      <w:r w:rsidRPr="00341EC6">
        <w:t>should use their professional experience and take appropriate advice to consider objectively the differing professional opinions, respecting the views and professional standing of all parties. The RM should meet with the concerned parties to understand the basis for their position. The RM should also consult PLs, and other internal sources of regulatory or technical advice, and external independent advice as they consider necessary and appropriate to inform their judgement. This advice should be documented in writing.</w:t>
      </w:r>
      <w:r w:rsidR="006E5651">
        <w:t xml:space="preserve"> </w:t>
      </w:r>
      <w:r w:rsidRPr="00341EC6">
        <w:t xml:space="preserve">Any meetings convened should be recorded with agreed minutes. </w:t>
      </w:r>
    </w:p>
    <w:p w14:paraId="0F83E204" w14:textId="5745AD70" w:rsidR="00341EC6" w:rsidRPr="00341EC6" w:rsidRDefault="00341EC6" w:rsidP="00010E06">
      <w:pPr>
        <w:pStyle w:val="ListParagraph"/>
      </w:pPr>
      <w:r w:rsidRPr="00341EC6">
        <w:t>Senior managers should avoid any direct involvement which could be perceived as adversely impacting their ability to hear a subsequent appeal.</w:t>
      </w:r>
      <w:r w:rsidR="00835EBF">
        <w:t xml:space="preserve"> </w:t>
      </w:r>
    </w:p>
    <w:p w14:paraId="51826A86" w14:textId="022CD2C4" w:rsidR="00341EC6" w:rsidRPr="00341EC6" w:rsidRDefault="00341EC6" w:rsidP="00010E06">
      <w:pPr>
        <w:pStyle w:val="ListParagraph"/>
      </w:pPr>
      <w:r w:rsidRPr="00341EC6">
        <w:t xml:space="preserve">The RM should document their final judgement and its technical basis in a </w:t>
      </w:r>
      <w:r w:rsidR="005B7E45">
        <w:t xml:space="preserve">writing </w:t>
      </w:r>
      <w:r w:rsidRPr="00341EC6">
        <w:t>which should be distributed to relevant parties. This</w:t>
      </w:r>
      <w:r w:rsidR="005B7E45">
        <w:t xml:space="preserve"> written decision</w:t>
      </w:r>
      <w:r w:rsidRPr="00341EC6">
        <w:t xml:space="preserve">, together with relevant supporting documentation should be placed within the relevant project file. </w:t>
      </w:r>
      <w:r w:rsidR="006E5651">
        <w:br/>
      </w:r>
      <w:r w:rsidRPr="00341EC6">
        <w:t xml:space="preserve">These documents should be accessible to the ROM so they can maintain oversight of </w:t>
      </w:r>
      <w:r w:rsidR="00BF3AD9">
        <w:t xml:space="preserve">the </w:t>
      </w:r>
      <w:r w:rsidRPr="00341EC6">
        <w:t xml:space="preserve">overall process health. </w:t>
      </w:r>
    </w:p>
    <w:p w14:paraId="133D83EE" w14:textId="67ABD5B1" w:rsidR="00341EC6" w:rsidRPr="00341EC6" w:rsidRDefault="00341EC6" w:rsidP="00010E06">
      <w:pPr>
        <w:pStyle w:val="ListParagraph"/>
      </w:pPr>
      <w:r w:rsidRPr="00341EC6">
        <w:t xml:space="preserve">The </w:t>
      </w:r>
      <w:r w:rsidR="005B7E45">
        <w:t>RM</w:t>
      </w:r>
      <w:r w:rsidRPr="00341EC6">
        <w:t xml:space="preserve"> should arrange to meet with affected staff to discuss the basis for their final judgement.</w:t>
      </w:r>
      <w:r w:rsidR="00835EBF">
        <w:t xml:space="preserve"> </w:t>
      </w:r>
    </w:p>
    <w:p w14:paraId="39FAEE7E" w14:textId="32AC8D02" w:rsidR="00341EC6" w:rsidRPr="00341EC6" w:rsidRDefault="00341EC6" w:rsidP="00010E06">
      <w:pPr>
        <w:pStyle w:val="ListParagraph"/>
      </w:pPr>
      <w:r w:rsidRPr="00341EC6">
        <w:t>The regulatory decision being challenged should be deferred until a final outcome is achieved, allowing time for any appeal. The process described above should, therefore, be conducted promptly, minimising any delay. The RM should agree a timescale for completion of their review with the ROM and relevant Director. Where application of this process may adversely impact our permissioning programme, D</w:t>
      </w:r>
      <w:r w:rsidR="006552CD">
        <w:t>Ls</w:t>
      </w:r>
      <w:r w:rsidRPr="00341EC6">
        <w:t xml:space="preserve"> should ensure that dutyholders remain informed of any revised timescales.</w:t>
      </w:r>
    </w:p>
    <w:p w14:paraId="6A9C37FB" w14:textId="0F13914E" w:rsidR="00341EC6" w:rsidRPr="00341EC6" w:rsidRDefault="00341EC6" w:rsidP="00E6093C">
      <w:pPr>
        <w:pStyle w:val="Heading2"/>
      </w:pPr>
      <w:bookmarkStart w:id="18" w:name="_Toc18505267"/>
      <w:bookmarkStart w:id="19" w:name="_Toc120027937"/>
      <w:r w:rsidRPr="00341EC6">
        <w:t>Stage 3 – Appeal</w:t>
      </w:r>
      <w:bookmarkEnd w:id="18"/>
      <w:bookmarkEnd w:id="19"/>
      <w:r w:rsidRPr="00341EC6">
        <w:t xml:space="preserve"> </w:t>
      </w:r>
    </w:p>
    <w:p w14:paraId="061C7AB8" w14:textId="5A4525CA" w:rsidR="00341EC6" w:rsidRPr="00341EC6" w:rsidRDefault="005B7E45" w:rsidP="00010E06">
      <w:pPr>
        <w:pStyle w:val="ListParagraph"/>
      </w:pPr>
      <w:r>
        <w:t>Should any part</w:t>
      </w:r>
      <w:r w:rsidR="005671F8">
        <w:t>y</w:t>
      </w:r>
      <w:r>
        <w:t xml:space="preserve"> still </w:t>
      </w:r>
      <w:r w:rsidR="005671F8">
        <w:t>disagree</w:t>
      </w:r>
      <w:r>
        <w:t xml:space="preserve"> following the completion of this process,</w:t>
      </w:r>
      <w:r w:rsidR="00835EBF">
        <w:t xml:space="preserve"> </w:t>
      </w:r>
      <w:r w:rsidR="00341EC6" w:rsidRPr="00341EC6">
        <w:t>then they should lodge an appeal. Appeals should be lodged in writing to the ROM within three working days</w:t>
      </w:r>
      <w:r w:rsidR="005671F8">
        <w:t xml:space="preserve"> of the RM’s judgement. The RM</w:t>
      </w:r>
      <w:r w:rsidR="00341EC6" w:rsidRPr="00341EC6">
        <w:t xml:space="preserve"> will refer the appeal to another RM at a higher level of accountability. Given the need potentially to delay regulatory decisions to allow time for potential appeals, all parties should be proactive in advising colleagues if they are not minded to appeal.</w:t>
      </w:r>
    </w:p>
    <w:p w14:paraId="0D9C92DA" w14:textId="77777777" w:rsidR="00341EC6" w:rsidRPr="00341EC6" w:rsidRDefault="00341EC6" w:rsidP="00010E06">
      <w:pPr>
        <w:pStyle w:val="ListParagraph"/>
      </w:pPr>
      <w:r w:rsidRPr="00341EC6">
        <w:t xml:space="preserve">This process may be repeated until the appeal is considered by the Chief Nuclear Inspector, who acts as the ultimate arbitrator for ONR. </w:t>
      </w:r>
    </w:p>
    <w:p w14:paraId="4ABA7CE7" w14:textId="0A6DBDD7" w:rsidR="00341EC6" w:rsidRPr="00341EC6" w:rsidRDefault="00341EC6" w:rsidP="00E6093C">
      <w:pPr>
        <w:pStyle w:val="Heading2"/>
      </w:pPr>
      <w:bookmarkStart w:id="20" w:name="_Toc18505268"/>
      <w:bookmarkStart w:id="21" w:name="_Toc120027938"/>
      <w:r w:rsidRPr="00341EC6">
        <w:t>Stage 4 – Closure</w:t>
      </w:r>
      <w:bookmarkEnd w:id="20"/>
      <w:bookmarkEnd w:id="21"/>
      <w:r w:rsidRPr="00341EC6">
        <w:t xml:space="preserve"> </w:t>
      </w:r>
    </w:p>
    <w:p w14:paraId="6F567D3C" w14:textId="2B524962" w:rsidR="00341EC6" w:rsidRPr="00341EC6" w:rsidRDefault="00341EC6" w:rsidP="00010E06">
      <w:pPr>
        <w:pStyle w:val="ListParagraph"/>
      </w:pPr>
      <w:r w:rsidRPr="00341EC6">
        <w:t xml:space="preserve">The RM should ensure that good records documenting the application of this process are recorded and appropriately filed. </w:t>
      </w:r>
    </w:p>
    <w:p w14:paraId="640F6666" w14:textId="72C6EA83" w:rsidR="00341EC6" w:rsidRPr="00341EC6" w:rsidRDefault="00341EC6" w:rsidP="00010E06">
      <w:pPr>
        <w:pStyle w:val="ListParagraph"/>
      </w:pPr>
      <w:r w:rsidRPr="00341EC6">
        <w:t xml:space="preserve">On completion of the process, the relevant DL (or PL, if the ROM considers this would be more appropriate) should ensure that any wider organisational learning is captured, for example via application of ONR’s Review Learn Improve process </w:t>
      </w:r>
      <w:sdt>
        <w:sdtPr>
          <w:id w:val="-601874466"/>
          <w:citation/>
        </w:sdtPr>
        <w:sdtEndPr/>
        <w:sdtContent>
          <w:r w:rsidR="0048139E">
            <w:fldChar w:fldCharType="begin"/>
          </w:r>
          <w:r w:rsidR="006E5651">
            <w:instrText xml:space="preserve">CITATION RLI \l 2057 </w:instrText>
          </w:r>
          <w:r w:rsidR="0048139E">
            <w:fldChar w:fldCharType="separate"/>
          </w:r>
          <w:r w:rsidR="006E5651" w:rsidRPr="006E5651">
            <w:rPr>
              <w:noProof/>
            </w:rPr>
            <w:t>[6]</w:t>
          </w:r>
          <w:r w:rsidR="0048139E">
            <w:fldChar w:fldCharType="end"/>
          </w:r>
        </w:sdtContent>
      </w:sdt>
      <w:r w:rsidR="0048139E">
        <w:t xml:space="preserve"> </w:t>
      </w:r>
      <w:r w:rsidRPr="00341EC6">
        <w:t>or via a Regulatory Oversight review</w:t>
      </w:r>
      <w:r w:rsidR="0048139E">
        <w:t xml:space="preserve"> </w:t>
      </w:r>
      <w:sdt>
        <w:sdtPr>
          <w:id w:val="4024608"/>
          <w:citation/>
        </w:sdtPr>
        <w:sdtEndPr/>
        <w:sdtContent>
          <w:r w:rsidR="0048139E">
            <w:fldChar w:fldCharType="begin"/>
          </w:r>
          <w:r w:rsidR="00D44704">
            <w:instrText xml:space="preserve">CITATION ONRRegOver \l 2057 </w:instrText>
          </w:r>
          <w:r w:rsidR="0048139E">
            <w:fldChar w:fldCharType="separate"/>
          </w:r>
          <w:r w:rsidR="006E5651" w:rsidRPr="006E5651">
            <w:rPr>
              <w:noProof/>
            </w:rPr>
            <w:t>[2]</w:t>
          </w:r>
          <w:r w:rsidR="0048139E">
            <w:fldChar w:fldCharType="end"/>
          </w:r>
        </w:sdtContent>
      </w:sdt>
      <w:r w:rsidRPr="00341EC6">
        <w:t xml:space="preserve">. The objective of the review should be to contribute to ONR’s aim of continuous improvement. To this end, the ROM should brief the Technical Division Board on conclusion of the application of this process, confirming proposals for implementation of identified organisational learning. </w:t>
      </w:r>
    </w:p>
    <w:p w14:paraId="3DD83DC8" w14:textId="1530B13A" w:rsidR="00341EC6" w:rsidRPr="00341EC6" w:rsidRDefault="00341EC6" w:rsidP="00010E06">
      <w:pPr>
        <w:pStyle w:val="ListParagraph"/>
      </w:pPr>
      <w:r w:rsidRPr="00341EC6">
        <w:t xml:space="preserve">If after following the process described above, the member of staff still feels that their concern has not been adequately resolved then he/she should seek redress from either the procedure set out in </w:t>
      </w:r>
      <w:r w:rsidR="006E5651">
        <w:t xml:space="preserve">ONRs Staff Handbook </w:t>
      </w:r>
      <w:sdt>
        <w:sdtPr>
          <w:id w:val="-1331136357"/>
          <w:citation/>
        </w:sdtPr>
        <w:sdtEndPr/>
        <w:sdtContent>
          <w:r w:rsidR="0048139E">
            <w:fldChar w:fldCharType="begin"/>
          </w:r>
          <w:r w:rsidR="00D44704">
            <w:instrText xml:space="preserve">CITATION ONRStaffHbook \l 2057 </w:instrText>
          </w:r>
          <w:r w:rsidR="0048139E">
            <w:fldChar w:fldCharType="separate"/>
          </w:r>
          <w:r w:rsidR="006E5651" w:rsidRPr="006E5651">
            <w:rPr>
              <w:noProof/>
            </w:rPr>
            <w:t>[1]</w:t>
          </w:r>
          <w:r w:rsidR="0048139E">
            <w:fldChar w:fldCharType="end"/>
          </w:r>
        </w:sdtContent>
      </w:sdt>
      <w:r w:rsidR="0048139E">
        <w:t xml:space="preserve"> </w:t>
      </w:r>
      <w:r w:rsidRPr="00341EC6">
        <w:t>or ONR’s whistleblowing</w:t>
      </w:r>
      <w:r w:rsidR="00D44704">
        <w:t xml:space="preserve"> </w:t>
      </w:r>
      <w:r w:rsidRPr="00341EC6">
        <w:t xml:space="preserve">process </w:t>
      </w:r>
      <w:sdt>
        <w:sdtPr>
          <w:id w:val="-567809806"/>
          <w:citation/>
        </w:sdtPr>
        <w:sdtEndPr/>
        <w:sdtContent>
          <w:r w:rsidR="0048139E">
            <w:fldChar w:fldCharType="begin"/>
          </w:r>
          <w:r w:rsidR="00D44704">
            <w:rPr>
              <w:vertAlign w:val="superscript"/>
            </w:rPr>
            <w:instrText xml:space="preserve">CITATION ProtDisc \l 2057 </w:instrText>
          </w:r>
          <w:r w:rsidR="0048139E">
            <w:fldChar w:fldCharType="separate"/>
          </w:r>
          <w:r w:rsidR="006E5651" w:rsidRPr="006E5651">
            <w:rPr>
              <w:noProof/>
            </w:rPr>
            <w:t>[3]</w:t>
          </w:r>
          <w:r w:rsidR="0048139E">
            <w:fldChar w:fldCharType="end"/>
          </w:r>
        </w:sdtContent>
      </w:sdt>
      <w:r w:rsidR="0048139E">
        <w:t>.</w:t>
      </w:r>
    </w:p>
    <w:p w14:paraId="65907F0D" w14:textId="77777777" w:rsidR="00D44704" w:rsidRDefault="00D44704" w:rsidP="00E6093C">
      <w:pPr>
        <w:pStyle w:val="Heading1"/>
        <w:sectPr w:rsidR="00D44704" w:rsidSect="00B82646">
          <w:pgSz w:w="11906" w:h="16838" w:code="9"/>
          <w:pgMar w:top="1440" w:right="1080" w:bottom="1440" w:left="1080" w:header="397" w:footer="397" w:gutter="0"/>
          <w:cols w:space="312"/>
          <w:docGrid w:linePitch="360"/>
        </w:sectPr>
      </w:pPr>
    </w:p>
    <w:p w14:paraId="57D893B5" w14:textId="59F26C62" w:rsidR="00F0151C" w:rsidRDefault="00FB1452" w:rsidP="00E6093C">
      <w:pPr>
        <w:pStyle w:val="Heading1"/>
      </w:pPr>
      <w:bookmarkStart w:id="22" w:name="_Toc120027939"/>
      <w:r>
        <w:t>Roles and Responsibilities</w:t>
      </w:r>
      <w:bookmarkEnd w:id="22"/>
    </w:p>
    <w:p w14:paraId="1ED6F16E" w14:textId="1BEB8B86" w:rsidR="009F7D95" w:rsidRPr="00341EC6" w:rsidRDefault="009F7D95" w:rsidP="00E6093C">
      <w:pPr>
        <w:pStyle w:val="Heading2"/>
      </w:pPr>
      <w:bookmarkStart w:id="23" w:name="_Toc120027940"/>
      <w:r w:rsidRPr="00341EC6">
        <w:t>Delivery Leads (DL</w:t>
      </w:r>
      <w:r w:rsidR="006E5651">
        <w:t>s</w:t>
      </w:r>
      <w:r w:rsidRPr="00341EC6">
        <w:t>)</w:t>
      </w:r>
      <w:bookmarkEnd w:id="23"/>
      <w:r w:rsidRPr="00341EC6">
        <w:t xml:space="preserve"> </w:t>
      </w:r>
    </w:p>
    <w:p w14:paraId="36F8BAB7" w14:textId="23D04EB6" w:rsidR="009F7D95" w:rsidRPr="00010E06" w:rsidRDefault="006E5651" w:rsidP="00010E06">
      <w:pPr>
        <w:pStyle w:val="ListParagraph"/>
      </w:pPr>
      <w:r>
        <w:t>DLs</w:t>
      </w:r>
      <w:r w:rsidR="009F7D95" w:rsidRPr="00010E06">
        <w:t xml:space="preserve"> are responsible for ensuring that the views of regulatory staff are considered when decisions are made on technical and regulatory issues, and when regulatory strategies are set. </w:t>
      </w:r>
    </w:p>
    <w:p w14:paraId="7F1FC955" w14:textId="346E5BBE" w:rsidR="009F7D95" w:rsidRPr="00010E06" w:rsidRDefault="009F7D95" w:rsidP="00010E06">
      <w:pPr>
        <w:pStyle w:val="ListParagraph"/>
      </w:pPr>
      <w:r w:rsidRPr="00010E06">
        <w:t xml:space="preserve">The relevant </w:t>
      </w:r>
      <w:r w:rsidR="006E5651">
        <w:t xml:space="preserve">DL </w:t>
      </w:r>
      <w:r w:rsidRPr="00010E06">
        <w:t xml:space="preserve">is responsible for ensuring the process outlined in this document is instigated whenever </w:t>
      </w:r>
      <w:r w:rsidR="00796996">
        <w:t>they</w:t>
      </w:r>
      <w:r w:rsidRPr="00010E06">
        <w:t xml:space="preserve"> become aware of a position where consensus cannot be reached within the timescales needed for the decision through routine discussion. </w:t>
      </w:r>
    </w:p>
    <w:p w14:paraId="017BAD55" w14:textId="36545039" w:rsidR="009F7D95" w:rsidRPr="00341EC6" w:rsidRDefault="009F7D95" w:rsidP="00E6093C">
      <w:pPr>
        <w:pStyle w:val="Heading2"/>
      </w:pPr>
      <w:bookmarkStart w:id="24" w:name="_Toc120027941"/>
      <w:r w:rsidRPr="00341EC6">
        <w:t>Professional Leads (PL</w:t>
      </w:r>
      <w:r w:rsidR="006E5651">
        <w:t>s</w:t>
      </w:r>
      <w:r w:rsidRPr="00341EC6">
        <w:t>)</w:t>
      </w:r>
      <w:bookmarkEnd w:id="24"/>
      <w:r w:rsidRPr="00341EC6">
        <w:t xml:space="preserve"> </w:t>
      </w:r>
    </w:p>
    <w:p w14:paraId="00B53547" w14:textId="77777777" w:rsidR="009F7D95" w:rsidRPr="00341EC6" w:rsidRDefault="009F7D95" w:rsidP="00010E06">
      <w:pPr>
        <w:pStyle w:val="ListParagraph"/>
      </w:pPr>
      <w:r w:rsidRPr="00341EC6">
        <w:t xml:space="preserve">PLs are responsible for providing impartial advice on request to aid resolution of differences of regulatory opinion within ONR. </w:t>
      </w:r>
    </w:p>
    <w:p w14:paraId="42C99C64" w14:textId="77777777" w:rsidR="009F7D95" w:rsidRPr="00341EC6" w:rsidRDefault="009F7D95" w:rsidP="00E6093C">
      <w:pPr>
        <w:pStyle w:val="Heading2"/>
      </w:pPr>
      <w:bookmarkStart w:id="25" w:name="_Toc120027942"/>
      <w:r w:rsidRPr="00341EC6">
        <w:t>Regulatory Oversight Manager (ROM)</w:t>
      </w:r>
      <w:bookmarkEnd w:id="25"/>
    </w:p>
    <w:p w14:paraId="4B818520" w14:textId="77777777" w:rsidR="009F7D95" w:rsidRPr="00341EC6" w:rsidRDefault="009F7D95" w:rsidP="00010E06">
      <w:pPr>
        <w:pStyle w:val="ListParagraph"/>
      </w:pPr>
      <w:r w:rsidRPr="00341EC6">
        <w:t xml:space="preserve">The ROM is responsible for: </w:t>
      </w:r>
    </w:p>
    <w:p w14:paraId="42DCF138" w14:textId="5CA5E43C" w:rsidR="009F7D95" w:rsidRPr="00341EC6" w:rsidRDefault="009F7D95" w:rsidP="00010E06">
      <w:pPr>
        <w:pStyle w:val="Bulletlist1"/>
      </w:pPr>
      <w:r w:rsidRPr="00341EC6">
        <w:t xml:space="preserve">Screening submissions and formally assigning a case number for submissions which fall within the scope of this process </w:t>
      </w:r>
    </w:p>
    <w:p w14:paraId="311ECDF5" w14:textId="6331B9B8" w:rsidR="009F7D95" w:rsidRPr="00341EC6" w:rsidRDefault="009F7D95" w:rsidP="00010E06">
      <w:pPr>
        <w:pStyle w:val="Bulletlist1"/>
      </w:pPr>
      <w:r w:rsidRPr="00341EC6">
        <w:t>Identifying the manager at the next (higher) level of accountability who will be called upon to arbitrate the difference of regulatory opinion (known within this procedure as the Resolution Manager)</w:t>
      </w:r>
    </w:p>
    <w:p w14:paraId="05CFF6F7" w14:textId="1CDE6A4D" w:rsidR="009F7D95" w:rsidRPr="00341EC6" w:rsidRDefault="009F7D95" w:rsidP="00010E06">
      <w:pPr>
        <w:pStyle w:val="Bulletlist1"/>
      </w:pPr>
      <w:r w:rsidRPr="00341EC6">
        <w:t>Progressing the disagreement up the management chain if agreement cannot be reached at the current level,</w:t>
      </w:r>
      <w:r w:rsidR="00BF3AD9">
        <w:t xml:space="preserve"> </w:t>
      </w:r>
      <w:r w:rsidRPr="00341EC6">
        <w:t>and ensuring that any later Resolution Managers receive a full account of the resolution process to date</w:t>
      </w:r>
    </w:p>
    <w:p w14:paraId="164215BC" w14:textId="1BA0D3E8" w:rsidR="009F7D95" w:rsidRPr="00341EC6" w:rsidRDefault="009F7D95" w:rsidP="00010E06">
      <w:pPr>
        <w:pStyle w:val="Bulletlist1"/>
      </w:pPr>
      <w:r w:rsidRPr="00341EC6">
        <w:t>Effective record keeping by maintaining a register summarising the use of this procedure and the status of on-going cases</w:t>
      </w:r>
    </w:p>
    <w:p w14:paraId="00488306" w14:textId="03EE2D26" w:rsidR="009F7D95" w:rsidRPr="00341EC6" w:rsidRDefault="009F7D95" w:rsidP="00010E06">
      <w:pPr>
        <w:pStyle w:val="Bulletlist1"/>
      </w:pPr>
      <w:r w:rsidRPr="00341EC6">
        <w:t>Supporting and overseeing effectiveness of this process and its application within the organisation</w:t>
      </w:r>
    </w:p>
    <w:p w14:paraId="78D739B8" w14:textId="4B28D4B7" w:rsidR="009F7D95" w:rsidRPr="00341EC6" w:rsidRDefault="009F7D95" w:rsidP="00E6093C">
      <w:pPr>
        <w:pStyle w:val="Heading2"/>
      </w:pPr>
      <w:bookmarkStart w:id="26" w:name="_Toc120027943"/>
      <w:r w:rsidRPr="00341EC6">
        <w:t>Resolution Manager</w:t>
      </w:r>
      <w:r w:rsidR="006E5651">
        <w:t xml:space="preserve"> (RM)</w:t>
      </w:r>
      <w:bookmarkEnd w:id="26"/>
    </w:p>
    <w:p w14:paraId="73CE3F0E" w14:textId="3B8D2663" w:rsidR="009F7D95" w:rsidRPr="00341EC6" w:rsidRDefault="009F7D95" w:rsidP="00010E06">
      <w:pPr>
        <w:pStyle w:val="ListParagraph"/>
      </w:pPr>
      <w:r w:rsidRPr="00341EC6">
        <w:t xml:space="preserve">The </w:t>
      </w:r>
      <w:r w:rsidR="002D47B8">
        <w:t>RM</w:t>
      </w:r>
      <w:r w:rsidRPr="00341EC6">
        <w:t xml:space="preserve"> is the manager at the next level of accountability, called to arbitrate a difference of regulatory opinion. In so doing, the RM is responsible for:</w:t>
      </w:r>
    </w:p>
    <w:p w14:paraId="4A55E403" w14:textId="6346B151" w:rsidR="009F7D95" w:rsidRPr="00341EC6" w:rsidRDefault="009F7D95" w:rsidP="00010E06">
      <w:pPr>
        <w:pStyle w:val="Bulletlist1"/>
      </w:pPr>
      <w:r w:rsidRPr="00341EC6">
        <w:t>Meeting with those on all sides of the difference of regulatory opinion to understand their positions</w:t>
      </w:r>
    </w:p>
    <w:p w14:paraId="5C191E88" w14:textId="5CFD8C52" w:rsidR="009F7D95" w:rsidRPr="00341EC6" w:rsidRDefault="009F7D95" w:rsidP="00010E06">
      <w:pPr>
        <w:pStyle w:val="Bulletlist1"/>
      </w:pPr>
      <w:r w:rsidRPr="00341EC6">
        <w:t>Fairly and objectively consider the merit of arguments and evidence put forward by all parties</w:t>
      </w:r>
    </w:p>
    <w:p w14:paraId="4AB52045" w14:textId="05FCFFEF" w:rsidR="009F7D95" w:rsidRPr="00341EC6" w:rsidRDefault="009F7D95" w:rsidP="00010E06">
      <w:pPr>
        <w:pStyle w:val="Bulletlist1"/>
      </w:pPr>
      <w:r w:rsidRPr="00341EC6">
        <w:t xml:space="preserve">Consulting PLs, Regulatory Oversight and other internal sources of regulatory or technical advice, and external independent advice as they consider appropriate </w:t>
      </w:r>
    </w:p>
    <w:p w14:paraId="21A3E13E" w14:textId="55F314A4" w:rsidR="009F7D95" w:rsidRPr="00341EC6" w:rsidRDefault="009F7D95" w:rsidP="00010E06">
      <w:pPr>
        <w:pStyle w:val="Bulletlist1"/>
      </w:pPr>
      <w:r w:rsidRPr="00341EC6">
        <w:t>Ensuring that all those involved in the process (including the ROM) are made aware of any independent advice taken and received, the decision reached, and its basis</w:t>
      </w:r>
    </w:p>
    <w:p w14:paraId="21FC49DB" w14:textId="696BC6D8" w:rsidR="00725B2F" w:rsidRPr="00341EC6" w:rsidRDefault="009F7D95" w:rsidP="00010E06">
      <w:pPr>
        <w:pStyle w:val="Bulletlist1"/>
      </w:pPr>
      <w:r w:rsidRPr="00341EC6">
        <w:t>Ensuring that their review is adequately documented within the relevant project file</w:t>
      </w:r>
    </w:p>
    <w:p w14:paraId="7DBD0731" w14:textId="77777777" w:rsidR="009F7D95" w:rsidRPr="00341EC6" w:rsidRDefault="009F7D95" w:rsidP="00E6093C">
      <w:pPr>
        <w:pStyle w:val="Heading2"/>
      </w:pPr>
      <w:bookmarkStart w:id="27" w:name="_Toc120027944"/>
      <w:r w:rsidRPr="00341EC6">
        <w:t>Chief Nuclear Inspector (CNI)</w:t>
      </w:r>
      <w:bookmarkEnd w:id="27"/>
    </w:p>
    <w:p w14:paraId="57C9DC55" w14:textId="736713D3" w:rsidR="009F7D95" w:rsidRDefault="009F7D95" w:rsidP="00010E06">
      <w:pPr>
        <w:pStyle w:val="ListParagraph"/>
      </w:pPr>
      <w:r w:rsidRPr="00341EC6">
        <w:t xml:space="preserve">The CNI will act as the final arbiter within ONR in resolving differences of regulatory opinion where these have not been resolved at an </w:t>
      </w:r>
      <w:r w:rsidR="00010E06" w:rsidRPr="00341EC6">
        <w:t>earlier stage</w:t>
      </w:r>
      <w:r w:rsidR="00010E06">
        <w:t>,</w:t>
      </w:r>
      <w:r w:rsidR="00BF3AD9">
        <w:t xml:space="preserve"> noted</w:t>
      </w:r>
      <w:r w:rsidRPr="00341EC6">
        <w:t xml:space="preserve"> in this process. The CNI has the same responsibilities as other </w:t>
      </w:r>
      <w:r w:rsidR="00010E06" w:rsidRPr="00341EC6">
        <w:t>R</w:t>
      </w:r>
      <w:r w:rsidR="00010E06">
        <w:t>M</w:t>
      </w:r>
      <w:r w:rsidR="00010E06" w:rsidRPr="00341EC6">
        <w:t>s but</w:t>
      </w:r>
      <w:r w:rsidRPr="00341EC6">
        <w:t xml:space="preserve"> will make the final decision.</w:t>
      </w:r>
    </w:p>
    <w:p w14:paraId="54707A64" w14:textId="77777777" w:rsidR="00D44704" w:rsidRPr="00341EC6" w:rsidRDefault="00D44704" w:rsidP="00D44704">
      <w:pPr>
        <w:pStyle w:val="ListParagraph"/>
        <w:numPr>
          <w:ilvl w:val="0"/>
          <w:numId w:val="0"/>
        </w:numPr>
        <w:ind w:left="851"/>
      </w:pPr>
    </w:p>
    <w:p w14:paraId="4AEA3F50" w14:textId="31D6B033" w:rsidR="00FB1452" w:rsidRDefault="00FB1452" w:rsidP="00E6093C">
      <w:pPr>
        <w:pStyle w:val="Heading1"/>
      </w:pPr>
      <w:bookmarkStart w:id="28" w:name="_Toc120027945"/>
      <w:r>
        <w:t>Records</w:t>
      </w:r>
      <w:bookmarkEnd w:id="28"/>
    </w:p>
    <w:p w14:paraId="594C5BD3" w14:textId="4E890DB3" w:rsidR="00FB1452" w:rsidRDefault="00FB1452" w:rsidP="00010E06">
      <w:pPr>
        <w:pStyle w:val="ListParagraph"/>
      </w:pPr>
      <w:r>
        <w:t xml:space="preserve">The following records </w:t>
      </w:r>
      <w:r w:rsidR="00737E40">
        <w:t>should be</w:t>
      </w:r>
      <w:r>
        <w:t xml:space="preserve"> produced</w:t>
      </w:r>
      <w:r w:rsidR="00737E40">
        <w:t xml:space="preserve"> and placed in </w:t>
      </w:r>
      <w:r w:rsidR="009C128C">
        <w:t xml:space="preserve">the relevant project folder </w:t>
      </w:r>
      <w:r w:rsidR="006E5651">
        <w:t>within ONRs electronic document and record management system (EDRMS):</w:t>
      </w:r>
    </w:p>
    <w:p w14:paraId="4E27A7B4" w14:textId="66B8428E" w:rsidR="00737E40" w:rsidRPr="00737E40" w:rsidRDefault="00737E40" w:rsidP="00010E06">
      <w:pPr>
        <w:pStyle w:val="Bulletlist1"/>
      </w:pPr>
      <w:r w:rsidRPr="00737E40">
        <w:rPr>
          <w:b/>
          <w:bCs/>
        </w:rPr>
        <w:t>Any party:</w:t>
      </w:r>
      <w:r w:rsidRPr="00737E40">
        <w:t xml:space="preserve"> details of </w:t>
      </w:r>
      <w:r>
        <w:t xml:space="preserve">the </w:t>
      </w:r>
      <w:r w:rsidRPr="00737E40">
        <w:t xml:space="preserve">disagreement </w:t>
      </w:r>
      <w:r w:rsidR="009C128C">
        <w:t xml:space="preserve">that have been submitted </w:t>
      </w:r>
      <w:r w:rsidRPr="00737E40">
        <w:t xml:space="preserve">to the </w:t>
      </w:r>
      <w:r w:rsidR="006E5651">
        <w:t>ROM</w:t>
      </w:r>
      <w:r w:rsidRPr="00737E40">
        <w:t xml:space="preserve">, including names/roles of parties holding </w:t>
      </w:r>
      <w:r w:rsidR="009C128C">
        <w:t>differing</w:t>
      </w:r>
      <w:r w:rsidRPr="00737E40">
        <w:t xml:space="preserve"> views</w:t>
      </w:r>
    </w:p>
    <w:p w14:paraId="032BC6D9" w14:textId="45DE259D" w:rsidR="00737E40" w:rsidRPr="002D47B8" w:rsidRDefault="00737E40" w:rsidP="00010E06">
      <w:pPr>
        <w:pStyle w:val="Bulletlist1"/>
      </w:pPr>
      <w:r w:rsidRPr="00737E40">
        <w:rPr>
          <w:b/>
          <w:bCs/>
        </w:rPr>
        <w:t xml:space="preserve">ROM (or delegate): </w:t>
      </w:r>
      <w:r w:rsidRPr="00737E40">
        <w:rPr>
          <w:rFonts w:asciiTheme="majorHAnsi" w:hAnsiTheme="majorHAnsi" w:cstheme="majorHAnsi"/>
        </w:rPr>
        <w:t xml:space="preserve">will within </w:t>
      </w:r>
      <w:r w:rsidR="006E5651">
        <w:rPr>
          <w:rFonts w:asciiTheme="majorHAnsi" w:hAnsiTheme="majorHAnsi" w:cstheme="majorHAnsi"/>
        </w:rPr>
        <w:t>five</w:t>
      </w:r>
      <w:r w:rsidRPr="00737E40">
        <w:rPr>
          <w:rFonts w:asciiTheme="majorHAnsi" w:hAnsiTheme="majorHAnsi" w:cstheme="majorHAnsi"/>
        </w:rPr>
        <w:t xml:space="preserve"> working days review the request, confirming whether it falls within the scope of this procedure </w:t>
      </w:r>
      <w:r w:rsidR="009C128C">
        <w:rPr>
          <w:rFonts w:asciiTheme="majorHAnsi" w:hAnsiTheme="majorHAnsi" w:cstheme="majorHAnsi"/>
        </w:rPr>
        <w:t xml:space="preserve">or not. The ROM will </w:t>
      </w:r>
      <w:r w:rsidRPr="00737E40">
        <w:rPr>
          <w:rFonts w:asciiTheme="majorHAnsi" w:hAnsiTheme="majorHAnsi" w:cstheme="majorHAnsi"/>
        </w:rPr>
        <w:t xml:space="preserve">identify the </w:t>
      </w:r>
      <w:r w:rsidR="006E5651">
        <w:rPr>
          <w:rFonts w:asciiTheme="majorHAnsi" w:hAnsiTheme="majorHAnsi" w:cstheme="majorHAnsi"/>
        </w:rPr>
        <w:t>RM</w:t>
      </w:r>
      <w:r>
        <w:rPr>
          <w:rFonts w:asciiTheme="majorHAnsi" w:hAnsiTheme="majorHAnsi" w:cstheme="majorHAnsi"/>
        </w:rPr>
        <w:t xml:space="preserve"> </w:t>
      </w:r>
      <w:r w:rsidRPr="00737E40">
        <w:rPr>
          <w:rFonts w:asciiTheme="majorHAnsi" w:hAnsiTheme="majorHAnsi" w:cstheme="majorHAnsi"/>
        </w:rPr>
        <w:t>who will arbitrate on the disagreement</w:t>
      </w:r>
    </w:p>
    <w:p w14:paraId="38B7CA96" w14:textId="5832CF96" w:rsidR="007E5DC0" w:rsidRPr="00737E40" w:rsidRDefault="007E5DC0" w:rsidP="00010E06">
      <w:pPr>
        <w:pStyle w:val="Bulletlist1"/>
      </w:pPr>
      <w:r>
        <w:rPr>
          <w:b/>
          <w:bCs/>
        </w:rPr>
        <w:t>ROM:</w:t>
      </w:r>
      <w:r>
        <w:t xml:space="preserve"> will inform all interested parties of the arrangements</w:t>
      </w:r>
    </w:p>
    <w:p w14:paraId="68646F69" w14:textId="30528862" w:rsidR="002D47B8" w:rsidRPr="002D47B8" w:rsidRDefault="00737E40" w:rsidP="00010E06">
      <w:pPr>
        <w:pStyle w:val="Bulletlist1"/>
      </w:pPr>
      <w:r w:rsidRPr="00725B2F">
        <w:rPr>
          <w:b/>
          <w:bCs/>
        </w:rPr>
        <w:t>RM</w:t>
      </w:r>
      <w:r w:rsidRPr="00725B2F">
        <w:t xml:space="preserve">: </w:t>
      </w:r>
      <w:r w:rsidR="009C128C" w:rsidRPr="00725B2F">
        <w:t xml:space="preserve">summaries of all </w:t>
      </w:r>
      <w:r w:rsidRPr="00725B2F">
        <w:t>meetings with Inspectors</w:t>
      </w:r>
      <w:r w:rsidR="009C128C" w:rsidRPr="00725B2F">
        <w:t xml:space="preserve">, </w:t>
      </w:r>
      <w:r w:rsidR="006E5651">
        <w:t xml:space="preserve">DLs, PLs </w:t>
      </w:r>
      <w:r w:rsidR="009C128C" w:rsidRPr="00725B2F">
        <w:t>and other parties</w:t>
      </w:r>
    </w:p>
    <w:p w14:paraId="1D089227" w14:textId="6946D7BD" w:rsidR="00FB1452" w:rsidRPr="009C128C" w:rsidRDefault="00725B2F" w:rsidP="00010E06">
      <w:pPr>
        <w:pStyle w:val="Bulletlist1"/>
      </w:pPr>
      <w:r>
        <w:rPr>
          <w:b/>
          <w:bCs/>
        </w:rPr>
        <w:t>RM</w:t>
      </w:r>
      <w:r w:rsidR="009C128C" w:rsidRPr="00725B2F">
        <w:rPr>
          <w:b/>
          <w:bCs/>
        </w:rPr>
        <w:t xml:space="preserve"> </w:t>
      </w:r>
      <w:r w:rsidR="009C128C" w:rsidRPr="00725B2F">
        <w:t>The</w:t>
      </w:r>
      <w:r w:rsidR="009C128C" w:rsidRPr="00725B2F">
        <w:rPr>
          <w:b/>
          <w:bCs/>
        </w:rPr>
        <w:t xml:space="preserve"> </w:t>
      </w:r>
      <w:r w:rsidR="009C128C" w:rsidRPr="00725B2F">
        <w:rPr>
          <w:rFonts w:asciiTheme="majorHAnsi" w:hAnsiTheme="majorHAnsi" w:cstheme="majorHAnsi"/>
        </w:rPr>
        <w:t>final judgement and its technical basis. This must be shared with all relevant parties</w:t>
      </w:r>
    </w:p>
    <w:p w14:paraId="0B9F4D2C" w14:textId="23DD052B" w:rsidR="006E5651" w:rsidRDefault="009C128C" w:rsidP="00A45F3B">
      <w:pPr>
        <w:pStyle w:val="Bulletlist1"/>
        <w:sectPr w:rsidR="006E5651" w:rsidSect="00B82646">
          <w:pgSz w:w="11906" w:h="16838" w:code="9"/>
          <w:pgMar w:top="1440" w:right="1080" w:bottom="1440" w:left="1080" w:header="397" w:footer="397" w:gutter="0"/>
          <w:cols w:space="312"/>
          <w:docGrid w:linePitch="360"/>
        </w:sectPr>
      </w:pPr>
      <w:r w:rsidRPr="009C128C">
        <w:rPr>
          <w:b/>
          <w:bCs/>
        </w:rPr>
        <w:t>Appeals</w:t>
      </w:r>
      <w:r w:rsidR="00725B2F">
        <w:rPr>
          <w:b/>
          <w:bCs/>
        </w:rPr>
        <w:t xml:space="preserve"> (if made)</w:t>
      </w:r>
      <w:r>
        <w:t>: The reason for making the appeal (within three working days of a decision</w:t>
      </w:r>
    </w:p>
    <w:bookmarkStart w:id="29" w:name="_Toc120027946" w:displacedByCustomXml="next"/>
    <w:sdt>
      <w:sdtPr>
        <w:rPr>
          <w:color w:val="auto"/>
          <w:sz w:val="24"/>
        </w:rPr>
        <w:id w:val="-624385003"/>
        <w:docPartObj>
          <w:docPartGallery w:val="Bibliographies"/>
          <w:docPartUnique/>
        </w:docPartObj>
      </w:sdtPr>
      <w:sdtEndPr/>
      <w:sdtContent>
        <w:p w14:paraId="5E5BE971" w14:textId="2B90CF13" w:rsidR="00010E06" w:rsidRDefault="00010E06" w:rsidP="00E6093C">
          <w:pPr>
            <w:pStyle w:val="Heading1"/>
            <w:numPr>
              <w:ilvl w:val="0"/>
              <w:numId w:val="0"/>
            </w:numPr>
            <w:ind w:left="851" w:hanging="851"/>
          </w:pPr>
          <w:r>
            <w:t>References</w:t>
          </w:r>
          <w:bookmarkEnd w:id="29"/>
        </w:p>
        <w:sdt>
          <w:sdtPr>
            <w:id w:val="-573587230"/>
            <w:bibliography/>
          </w:sdtPr>
          <w:sdtEndPr/>
          <w:sdtContent>
            <w:p w14:paraId="364312EC" w14:textId="77777777" w:rsidR="006E5651" w:rsidRDefault="00010E06">
              <w:pPr>
                <w:rPr>
                  <w:rFonts w:ascii="Calibri" w:hAnsi="Calibri"/>
                  <w:noProof/>
                  <w:sz w:val="20"/>
                  <w:szCs w:val="20"/>
                  <w:lang w:eastAsia="en-GB" w:bidi="ar-SA"/>
                </w:rPr>
              </w:pPr>
              <w:r>
                <w:fldChar w:fldCharType="begin"/>
              </w:r>
              <w:r>
                <w:instrText xml:space="preserve"> BIBLIOGRAPHY </w:instrText>
              </w:r>
              <w:r>
                <w:fldChar w:fldCharType="separate"/>
              </w:r>
            </w:p>
            <w:tbl>
              <w:tblPr>
                <w:tblStyle w:val="Box1"/>
                <w:tblW w:w="5000" w:type="pct"/>
                <w:tblInd w:w="-5" w:type="dxa"/>
                <w:tblBorders>
                  <w:top w:val="none" w:sz="0" w:space="0" w:color="auto"/>
                  <w:left w:val="none" w:sz="0" w:space="0" w:color="auto"/>
                  <w:bottom w:val="none" w:sz="0" w:space="0" w:color="auto"/>
                  <w:right w:val="none" w:sz="0" w:space="0" w:color="auto"/>
                </w:tblBorders>
                <w:tblLayout w:type="fixed"/>
                <w:tblLook w:val="04A0" w:firstRow="1" w:lastRow="0" w:firstColumn="1" w:lastColumn="0" w:noHBand="0" w:noVBand="1"/>
              </w:tblPr>
              <w:tblGrid>
                <w:gridCol w:w="526"/>
                <w:gridCol w:w="9220"/>
              </w:tblGrid>
              <w:tr w:rsidR="00A3023D" w14:paraId="0122145E" w14:textId="77777777" w:rsidTr="002B63B0">
                <w:trPr>
                  <w:divId w:val="637538493"/>
                </w:trPr>
                <w:tc>
                  <w:tcPr>
                    <w:tcW w:w="268" w:type="pct"/>
                    <w:hideMark/>
                  </w:tcPr>
                  <w:p w14:paraId="1D4BB57A" w14:textId="0E4CE03C" w:rsidR="006E5651" w:rsidRDefault="006E5651">
                    <w:pPr>
                      <w:pStyle w:val="Bibliography"/>
                      <w:rPr>
                        <w:noProof/>
                        <w:szCs w:val="24"/>
                      </w:rPr>
                    </w:pPr>
                    <w:r>
                      <w:rPr>
                        <w:noProof/>
                      </w:rPr>
                      <w:t xml:space="preserve">[1] </w:t>
                    </w:r>
                  </w:p>
                </w:tc>
                <w:tc>
                  <w:tcPr>
                    <w:tcW w:w="4686" w:type="pct"/>
                    <w:hideMark/>
                  </w:tcPr>
                  <w:p w14:paraId="7C7DCCAD" w14:textId="77777777" w:rsidR="006E5651" w:rsidRDefault="006E5651">
                    <w:pPr>
                      <w:pStyle w:val="Bibliography"/>
                      <w:rPr>
                        <w:noProof/>
                      </w:rPr>
                    </w:pPr>
                    <w:r>
                      <w:rPr>
                        <w:noProof/>
                      </w:rPr>
                      <w:t>ONR, “ONR Staff Handbook - Problems at Work,” [Online]. Available: https://onr.kahootz.com/ONRIntranet/view?objectId=21896176.</w:t>
                    </w:r>
                  </w:p>
                </w:tc>
              </w:tr>
              <w:tr w:rsidR="00A3023D" w14:paraId="5330BEC1" w14:textId="77777777" w:rsidTr="002B63B0">
                <w:trPr>
                  <w:divId w:val="637538493"/>
                </w:trPr>
                <w:tc>
                  <w:tcPr>
                    <w:tcW w:w="268" w:type="pct"/>
                    <w:hideMark/>
                  </w:tcPr>
                  <w:p w14:paraId="13741605" w14:textId="77777777" w:rsidR="006E5651" w:rsidRDefault="006E5651">
                    <w:pPr>
                      <w:pStyle w:val="Bibliography"/>
                      <w:rPr>
                        <w:noProof/>
                      </w:rPr>
                    </w:pPr>
                    <w:r>
                      <w:rPr>
                        <w:noProof/>
                      </w:rPr>
                      <w:t xml:space="preserve">[2] </w:t>
                    </w:r>
                  </w:p>
                </w:tc>
                <w:tc>
                  <w:tcPr>
                    <w:tcW w:w="4686" w:type="pct"/>
                    <w:hideMark/>
                  </w:tcPr>
                  <w:p w14:paraId="677D7650" w14:textId="77777777" w:rsidR="006E5651" w:rsidRDefault="006E5651">
                    <w:pPr>
                      <w:pStyle w:val="Bibliography"/>
                      <w:rPr>
                        <w:noProof/>
                      </w:rPr>
                    </w:pPr>
                    <w:r>
                      <w:rPr>
                        <w:noProof/>
                      </w:rPr>
                      <w:t>ONR, “ONR-TD-GD-001 - Regulatory Oversight Process,” [Online]. Available: https://how2.prod.onr.gov.uk/CtrlWebIsapi.dll/C619FC5214B34A719EAFAC8F2DAE959F.cwl?__id=webFile.save&amp;doc=FC4292D5D3F24F6FA0B8E4053BAEA82E&amp;dpt=1&amp;save=1.</w:t>
                    </w:r>
                  </w:p>
                </w:tc>
              </w:tr>
              <w:tr w:rsidR="00A3023D" w14:paraId="1AB0A3B9" w14:textId="77777777" w:rsidTr="002B63B0">
                <w:trPr>
                  <w:divId w:val="637538493"/>
                </w:trPr>
                <w:tc>
                  <w:tcPr>
                    <w:tcW w:w="268" w:type="pct"/>
                    <w:hideMark/>
                  </w:tcPr>
                  <w:p w14:paraId="1012D2A0" w14:textId="77777777" w:rsidR="006E5651" w:rsidRDefault="006E5651">
                    <w:pPr>
                      <w:pStyle w:val="Bibliography"/>
                      <w:rPr>
                        <w:noProof/>
                      </w:rPr>
                    </w:pPr>
                    <w:r>
                      <w:rPr>
                        <w:noProof/>
                      </w:rPr>
                      <w:t xml:space="preserve">[3] </w:t>
                    </w:r>
                  </w:p>
                </w:tc>
                <w:tc>
                  <w:tcPr>
                    <w:tcW w:w="4686" w:type="pct"/>
                    <w:hideMark/>
                  </w:tcPr>
                  <w:p w14:paraId="3D26F5CE" w14:textId="77777777" w:rsidR="006E5651" w:rsidRDefault="006E5651">
                    <w:pPr>
                      <w:pStyle w:val="Bibliography"/>
                      <w:rPr>
                        <w:noProof/>
                      </w:rPr>
                    </w:pPr>
                    <w:r>
                      <w:rPr>
                        <w:noProof/>
                      </w:rPr>
                      <w:t>ONR, “ESO-WB-PROC-001 - Whistleblowing,” [Online]. Available: https://how2.prod.onr.gov.uk/CtrlWebIsapi.dll/221C29994EBE4CDCAD115BF0C7B6A48F.cwl?__id=webFile.save&amp;doc=735537046A324E2C97EDEF60C976B15C&amp;dpt=1&amp;save=1.</w:t>
                    </w:r>
                  </w:p>
                </w:tc>
              </w:tr>
              <w:tr w:rsidR="00A3023D" w14:paraId="4BEF3891" w14:textId="77777777" w:rsidTr="002B63B0">
                <w:trPr>
                  <w:divId w:val="637538493"/>
                </w:trPr>
                <w:tc>
                  <w:tcPr>
                    <w:tcW w:w="268" w:type="pct"/>
                    <w:hideMark/>
                  </w:tcPr>
                  <w:p w14:paraId="0585B96A" w14:textId="77777777" w:rsidR="006E5651" w:rsidRDefault="006E5651">
                    <w:pPr>
                      <w:pStyle w:val="Bibliography"/>
                      <w:rPr>
                        <w:noProof/>
                      </w:rPr>
                    </w:pPr>
                    <w:r>
                      <w:rPr>
                        <w:noProof/>
                      </w:rPr>
                      <w:t xml:space="preserve">[4] </w:t>
                    </w:r>
                  </w:p>
                </w:tc>
                <w:tc>
                  <w:tcPr>
                    <w:tcW w:w="4686" w:type="pct"/>
                    <w:hideMark/>
                  </w:tcPr>
                  <w:p w14:paraId="7626DCBD" w14:textId="77777777" w:rsidR="006E5651" w:rsidRDefault="006E5651">
                    <w:pPr>
                      <w:pStyle w:val="Bibliography"/>
                      <w:rPr>
                        <w:noProof/>
                      </w:rPr>
                    </w:pPr>
                    <w:r>
                      <w:rPr>
                        <w:noProof/>
                      </w:rPr>
                      <w:t>NEA, “The Safety Culture of an Effective Nuclear Regulatory Body,” [Online]. Available: https://www.oecd-nea.org/jcms/pl_14948/the-safety-culture-of-an-effective-nuclear-regulatory-body?details=true.</w:t>
                    </w:r>
                  </w:p>
                </w:tc>
              </w:tr>
              <w:tr w:rsidR="00A3023D" w14:paraId="405936C6" w14:textId="77777777" w:rsidTr="002B63B0">
                <w:trPr>
                  <w:divId w:val="637538493"/>
                </w:trPr>
                <w:tc>
                  <w:tcPr>
                    <w:tcW w:w="268" w:type="pct"/>
                    <w:hideMark/>
                  </w:tcPr>
                  <w:p w14:paraId="335A00E5" w14:textId="77777777" w:rsidR="006E5651" w:rsidRDefault="006E5651">
                    <w:pPr>
                      <w:pStyle w:val="Bibliography"/>
                      <w:rPr>
                        <w:noProof/>
                      </w:rPr>
                    </w:pPr>
                    <w:r>
                      <w:rPr>
                        <w:noProof/>
                      </w:rPr>
                      <w:t xml:space="preserve">[5] </w:t>
                    </w:r>
                  </w:p>
                </w:tc>
                <w:tc>
                  <w:tcPr>
                    <w:tcW w:w="4686" w:type="pct"/>
                    <w:hideMark/>
                  </w:tcPr>
                  <w:p w14:paraId="1EE13273" w14:textId="77777777" w:rsidR="006E5651" w:rsidRDefault="006E5651">
                    <w:pPr>
                      <w:pStyle w:val="Bibliography"/>
                      <w:rPr>
                        <w:noProof/>
                      </w:rPr>
                    </w:pPr>
                    <w:r>
                      <w:rPr>
                        <w:noProof/>
                      </w:rPr>
                      <w:t>IAEA, “GSG-12 - Organization, Management and Staffing of the Regulatory Body for Safety,” International Atomic Energy Agency (IAEA), Geneva, 2018.</w:t>
                    </w:r>
                  </w:p>
                </w:tc>
              </w:tr>
              <w:tr w:rsidR="00A3023D" w14:paraId="23ABF1C3" w14:textId="77777777" w:rsidTr="002B63B0">
                <w:trPr>
                  <w:divId w:val="637538493"/>
                </w:trPr>
                <w:tc>
                  <w:tcPr>
                    <w:tcW w:w="268" w:type="pct"/>
                    <w:hideMark/>
                  </w:tcPr>
                  <w:p w14:paraId="39973155" w14:textId="77777777" w:rsidR="006E5651" w:rsidRDefault="006E5651">
                    <w:pPr>
                      <w:pStyle w:val="Bibliography"/>
                      <w:rPr>
                        <w:noProof/>
                      </w:rPr>
                    </w:pPr>
                    <w:r>
                      <w:rPr>
                        <w:noProof/>
                      </w:rPr>
                      <w:t xml:space="preserve">[6] </w:t>
                    </w:r>
                  </w:p>
                </w:tc>
                <w:tc>
                  <w:tcPr>
                    <w:tcW w:w="4686" w:type="pct"/>
                    <w:hideMark/>
                  </w:tcPr>
                  <w:p w14:paraId="784C56D4" w14:textId="77777777" w:rsidR="006E5651" w:rsidRDefault="006E5651">
                    <w:pPr>
                      <w:pStyle w:val="Bibliography"/>
                      <w:rPr>
                        <w:noProof/>
                      </w:rPr>
                    </w:pPr>
                    <w:r>
                      <w:rPr>
                        <w:noProof/>
                      </w:rPr>
                      <w:t>ONR, “ONR-RLI-GD-001 - ONR Review-Learn-Improve Process,” [Online]. Available: https://how2.prod.onr.gov.uk/CtrlWebIsapi.dll/4DCF79255EAE4D94A40F620CFE2D77F7.cwl?__id=webFile.save&amp;doc=EA2A9A8C905F414DACA7D58CC083B8F4&amp;dpt=1&amp;save=1.</w:t>
                    </w:r>
                  </w:p>
                </w:tc>
              </w:tr>
            </w:tbl>
            <w:p w14:paraId="16668B4D" w14:textId="77777777" w:rsidR="006E5651" w:rsidRDefault="006E5651">
              <w:pPr>
                <w:divId w:val="637538493"/>
                <w:rPr>
                  <w:rFonts w:eastAsia="Times New Roman"/>
                  <w:noProof/>
                </w:rPr>
              </w:pPr>
            </w:p>
            <w:p w14:paraId="071789D8" w14:textId="587214B2" w:rsidR="00010E06" w:rsidRDefault="00010E06">
              <w:r>
                <w:rPr>
                  <w:b/>
                  <w:bCs/>
                  <w:noProof/>
                </w:rPr>
                <w:fldChar w:fldCharType="end"/>
              </w:r>
            </w:p>
          </w:sdtContent>
        </w:sdt>
      </w:sdtContent>
    </w:sdt>
    <w:p w14:paraId="412FE70E" w14:textId="3DDEBC14" w:rsidR="00845962" w:rsidRDefault="00845962" w:rsidP="00010E06"/>
    <w:sectPr w:rsidR="00845962" w:rsidSect="00B82646">
      <w:pgSz w:w="11906" w:h="16838" w:code="9"/>
      <w:pgMar w:top="1440" w:right="1080" w:bottom="1440" w:left="1080" w:header="397" w:footer="397" w:gutter="0"/>
      <w:cols w:space="312"/>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8"/>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 wne:argValue="AQAAALMA"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6FE72E" w14:textId="77777777" w:rsidR="007945F8" w:rsidRDefault="007945F8" w:rsidP="007D199A">
      <w:pPr>
        <w:spacing w:after="0"/>
      </w:pPr>
      <w:r>
        <w:separator/>
      </w:r>
    </w:p>
    <w:p w14:paraId="50049611" w14:textId="77777777" w:rsidR="007945F8" w:rsidRDefault="007945F8"/>
  </w:endnote>
  <w:endnote w:type="continuationSeparator" w:id="0">
    <w:p w14:paraId="5C5A3A02" w14:textId="77777777" w:rsidR="007945F8" w:rsidRDefault="007945F8" w:rsidP="007D199A">
      <w:pPr>
        <w:spacing w:after="0"/>
      </w:pPr>
      <w:r>
        <w:continuationSeparator/>
      </w:r>
    </w:p>
    <w:p w14:paraId="0C703EA3" w14:textId="77777777" w:rsidR="007945F8" w:rsidRDefault="007945F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altName w:val="Arial"/>
    <w:panose1 w:val="020B07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A8F7E3" w14:textId="77777777" w:rsidR="00523605" w:rsidRDefault="0052360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4E96E" w14:textId="51590A60" w:rsidR="007C3C1D" w:rsidRPr="006A525B" w:rsidRDefault="006A525B" w:rsidP="007C3C1D">
    <w:pPr>
      <w:pStyle w:val="Footer"/>
      <w:jc w:val="left"/>
      <w:rPr>
        <w:szCs w:val="24"/>
      </w:rPr>
    </w:pPr>
    <w:r w:rsidRPr="006A525B">
      <w:rPr>
        <w:szCs w:val="24"/>
      </w:rPr>
      <w:t>ONR-DOC-TEMP-</w:t>
    </w:r>
    <w:r w:rsidR="00FB1452">
      <w:rPr>
        <w:szCs w:val="24"/>
      </w:rPr>
      <w:t>18</w:t>
    </w:r>
    <w:r w:rsidR="006E5651">
      <w:rPr>
        <w:szCs w:val="24"/>
      </w:rPr>
      <w:t>0</w:t>
    </w:r>
    <w:r w:rsidRPr="006A525B">
      <w:rPr>
        <w:szCs w:val="24"/>
      </w:rPr>
      <w:t xml:space="preserve"> (Issue </w:t>
    </w:r>
    <w:r w:rsidR="001D0FA7">
      <w:rPr>
        <w:szCs w:val="24"/>
      </w:rPr>
      <w:t>2</w:t>
    </w:r>
    <w:r w:rsidRPr="006A525B">
      <w:rPr>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262D5E" w14:textId="77777777" w:rsidR="00523605" w:rsidRDefault="0052360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D15923" w14:textId="6B9D9010" w:rsidR="00E6093C" w:rsidRDefault="00E6093C" w:rsidP="00E6093C">
    <w:pPr>
      <w:pStyle w:val="Footer"/>
    </w:pPr>
    <w:r w:rsidRPr="00E6093C">
      <w:rPr>
        <w:rStyle w:val="PageNumber"/>
        <w:color w:val="22413A"/>
        <w:sz w:val="24"/>
      </w:rPr>
      <w:t xml:space="preserve">Page | </w:t>
    </w:r>
    <w:r w:rsidRPr="00E6093C">
      <w:rPr>
        <w:rStyle w:val="PageNumber"/>
        <w:color w:val="22413A"/>
        <w:sz w:val="24"/>
      </w:rPr>
      <w:fldChar w:fldCharType="begin"/>
    </w:r>
    <w:r w:rsidRPr="00E6093C">
      <w:rPr>
        <w:rStyle w:val="PageNumber"/>
        <w:color w:val="22413A"/>
        <w:sz w:val="24"/>
      </w:rPr>
      <w:instrText xml:space="preserve"> PAGE   \* MERGEFORMAT </w:instrText>
    </w:r>
    <w:r w:rsidRPr="00E6093C">
      <w:rPr>
        <w:rStyle w:val="PageNumber"/>
        <w:color w:val="22413A"/>
        <w:sz w:val="24"/>
      </w:rPr>
      <w:fldChar w:fldCharType="separate"/>
    </w:r>
    <w:r>
      <w:rPr>
        <w:rStyle w:val="PageNumber"/>
        <w:color w:val="22413A"/>
        <w:sz w:val="24"/>
      </w:rPr>
      <w:t>4</w:t>
    </w:r>
    <w:r w:rsidRPr="00E6093C">
      <w:rPr>
        <w:rStyle w:val="PageNumber"/>
        <w:noProof/>
        <w:color w:val="22413A"/>
        <w:sz w:val="24"/>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F830F2" w14:textId="77777777" w:rsidR="000D7A42" w:rsidRPr="008C50C3" w:rsidRDefault="000D7A42" w:rsidP="008229BA">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107424" w14:textId="468B8FEC" w:rsidR="000D7A42" w:rsidRPr="008229BA" w:rsidRDefault="00E6093C" w:rsidP="008229BA">
    <w:pPr>
      <w:pStyle w:val="Footer"/>
      <w:rPr>
        <w:rStyle w:val="PageNumber"/>
        <w:color w:val="22413A"/>
        <w:sz w:val="24"/>
      </w:rPr>
    </w:pPr>
    <w:r w:rsidRPr="00E6093C">
      <w:rPr>
        <w:rStyle w:val="PageNumber"/>
        <w:color w:val="22413A"/>
        <w:sz w:val="24"/>
      </w:rPr>
      <w:t xml:space="preserve">Page | </w:t>
    </w:r>
    <w:r w:rsidRPr="00E6093C">
      <w:rPr>
        <w:rStyle w:val="PageNumber"/>
        <w:color w:val="22413A"/>
        <w:sz w:val="24"/>
      </w:rPr>
      <w:fldChar w:fldCharType="begin"/>
    </w:r>
    <w:r w:rsidRPr="00E6093C">
      <w:rPr>
        <w:rStyle w:val="PageNumber"/>
        <w:color w:val="22413A"/>
        <w:sz w:val="24"/>
      </w:rPr>
      <w:instrText xml:space="preserve"> PAGE   \* MERGEFORMAT </w:instrText>
    </w:r>
    <w:r w:rsidRPr="00E6093C">
      <w:rPr>
        <w:rStyle w:val="PageNumber"/>
        <w:color w:val="22413A"/>
        <w:sz w:val="24"/>
      </w:rPr>
      <w:fldChar w:fldCharType="separate"/>
    </w:r>
    <w:r w:rsidRPr="00E6093C">
      <w:rPr>
        <w:rStyle w:val="PageNumber"/>
        <w:noProof/>
        <w:color w:val="22413A"/>
        <w:sz w:val="24"/>
      </w:rPr>
      <w:t>1</w:t>
    </w:r>
    <w:r w:rsidRPr="00E6093C">
      <w:rPr>
        <w:rStyle w:val="PageNumber"/>
        <w:noProof/>
        <w:color w:val="22413A"/>
        <w:sz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8B27BB" w14:textId="77777777" w:rsidR="007945F8" w:rsidRPr="005E0344" w:rsidRDefault="007945F8" w:rsidP="005E0344">
      <w:pPr>
        <w:spacing w:after="120"/>
        <w:rPr>
          <w:color w:val="000000" w:themeColor="text2"/>
        </w:rPr>
      </w:pPr>
      <w:r w:rsidRPr="005E0344">
        <w:rPr>
          <w:color w:val="000000" w:themeColor="text2"/>
        </w:rPr>
        <w:separator/>
      </w:r>
    </w:p>
  </w:footnote>
  <w:footnote w:type="continuationSeparator" w:id="0">
    <w:p w14:paraId="0F6FCA8A" w14:textId="77777777" w:rsidR="007945F8" w:rsidRPr="005E0344" w:rsidRDefault="007945F8" w:rsidP="0090581D">
      <w:pPr>
        <w:spacing w:after="120"/>
        <w:rPr>
          <w:color w:val="000000" w:themeColor="text2"/>
        </w:rPr>
      </w:pPr>
      <w:r w:rsidRPr="005E0344">
        <w:rPr>
          <w:color w:val="000000" w:themeColor="text2"/>
        </w:rPr>
        <w:continuationSeparator/>
      </w:r>
    </w:p>
    <w:p w14:paraId="4EB9DCA2" w14:textId="77777777" w:rsidR="007945F8" w:rsidRDefault="007945F8"/>
  </w:footnote>
  <w:footnote w:type="continuationNotice" w:id="1">
    <w:p w14:paraId="285B75D7" w14:textId="77777777" w:rsidR="007945F8" w:rsidRDefault="007945F8">
      <w:pPr>
        <w:spacing w:after="0"/>
      </w:pPr>
    </w:p>
    <w:p w14:paraId="57C4915F" w14:textId="77777777" w:rsidR="007945F8" w:rsidRDefault="007945F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DAD666" w14:textId="77777777" w:rsidR="00523605" w:rsidRDefault="005236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338445" w14:textId="77777777" w:rsidR="00091EEA" w:rsidRDefault="00091EEA" w:rsidP="00091EEA">
    <w:pPr>
      <w:pStyle w:val="Header"/>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4614F1" w14:textId="77777777" w:rsidR="00523605" w:rsidRDefault="0052360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9BF767" w14:textId="77777777" w:rsidR="000D7A42" w:rsidRPr="008C50C3" w:rsidRDefault="000D7A42" w:rsidP="0025728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ED5B40" w14:textId="318EB526" w:rsidR="000D7A42" w:rsidRPr="009E0E52" w:rsidRDefault="009E17EE" w:rsidP="009E0E52">
    <w:pPr>
      <w:pStyle w:val="Header"/>
    </w:pPr>
    <w:sdt>
      <w:sdtPr>
        <w:alias w:val="Title"/>
        <w:tag w:val=""/>
        <w:id w:val="1816293802"/>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EndPr/>
      <w:sdtContent>
        <w:r w:rsidR="00010E06">
          <w:t>Resolving Differences of Regulatory Opinion</w:t>
        </w:r>
      </w:sdtContent>
    </w:sdt>
    <w:r w:rsidR="000D7A42">
      <w:t xml:space="preserve"> | Issue No.: </w:t>
    </w:r>
    <w:sdt>
      <w:sdtPr>
        <w:alias w:val="Status"/>
        <w:tag w:val=""/>
        <w:id w:val="1679921422"/>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EndPr/>
      <w:sdtContent>
        <w:r w:rsidR="00E6093C">
          <w:t>5.1</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3B7E62"/>
    <w:multiLevelType w:val="hybridMultilevel"/>
    <w:tmpl w:val="86D87772"/>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065E0241"/>
    <w:multiLevelType w:val="hybridMultilevel"/>
    <w:tmpl w:val="6D56E890"/>
    <w:lvl w:ilvl="0" w:tplc="5960430E">
      <w:start w:val="1"/>
      <w:numFmt w:val="decimal"/>
      <w:lvlText w:val="%1."/>
      <w:lvlJc w:val="left"/>
      <w:pPr>
        <w:ind w:left="1440" w:hanging="360"/>
      </w:pPr>
      <w:rPr>
        <w:rFonts w:hint="default"/>
        <w:b w:val="0"/>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2" w15:restartNumberingAfterBreak="0">
    <w:nsid w:val="11A814C4"/>
    <w:multiLevelType w:val="hybridMultilevel"/>
    <w:tmpl w:val="94C264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17C35C25"/>
    <w:multiLevelType w:val="multilevel"/>
    <w:tmpl w:val="1D244542"/>
    <w:lvl w:ilvl="0">
      <w:start w:val="1"/>
      <w:numFmt w:val="decimal"/>
      <w:pStyle w:val="Heading1"/>
      <w:lvlText w:val="%1."/>
      <w:lvlJc w:val="left"/>
      <w:pPr>
        <w:ind w:left="360" w:hanging="360"/>
      </w:pPr>
    </w:lvl>
    <w:lvl w:ilvl="1">
      <w:start w:val="1"/>
      <w:numFmt w:val="decimal"/>
      <w:pStyle w:val="Heading2"/>
      <w:lvlText w:val="%1.%2."/>
      <w:lvlJc w:val="left"/>
      <w:pPr>
        <w:ind w:left="792" w:hanging="432"/>
      </w:pPr>
    </w:lvl>
    <w:lvl w:ilvl="2">
      <w:start w:val="1"/>
      <w:numFmt w:val="decimal"/>
      <w:pStyle w:val="Heading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9706A39"/>
    <w:multiLevelType w:val="multilevel"/>
    <w:tmpl w:val="199A8DC8"/>
    <w:lvl w:ilvl="0">
      <w:start w:val="1"/>
      <w:numFmt w:val="decimal"/>
      <w:lvlText w:val="%1."/>
      <w:lvlJc w:val="left"/>
      <w:pPr>
        <w:tabs>
          <w:tab w:val="num" w:pos="-31680"/>
        </w:tabs>
        <w:ind w:left="720" w:hanging="720"/>
      </w:pPr>
      <w:rPr>
        <w:rFonts w:hint="default"/>
        <w:sz w:val="22"/>
      </w:rPr>
    </w:lvl>
    <w:lvl w:ilvl="1">
      <w:start w:val="1"/>
      <w:numFmt w:val="decimal"/>
      <w:lvlText w:val="%1.%2"/>
      <w:lvlJc w:val="left"/>
      <w:pPr>
        <w:tabs>
          <w:tab w:val="num" w:pos="-31680"/>
        </w:tabs>
        <w:ind w:left="720" w:hanging="720"/>
      </w:pPr>
      <w:rPr>
        <w:rFonts w:hint="default"/>
        <w:sz w:val="22"/>
      </w:rPr>
    </w:lvl>
    <w:lvl w:ilvl="2">
      <w:start w:val="1"/>
      <w:numFmt w:val="decimal"/>
      <w:lvlText w:val="%1.%2.%3"/>
      <w:lvlJc w:val="left"/>
      <w:pPr>
        <w:tabs>
          <w:tab w:val="num" w:pos="-31680"/>
        </w:tabs>
        <w:ind w:left="720" w:hanging="720"/>
      </w:pPr>
      <w:rPr>
        <w:rFonts w:hint="default"/>
        <w:sz w:val="22"/>
      </w:rPr>
    </w:lvl>
    <w:lvl w:ilvl="3">
      <w:start w:val="1"/>
      <w:numFmt w:val="decimal"/>
      <w:lvlText w:val="%1.%2.%3.%4"/>
      <w:lvlJc w:val="left"/>
      <w:pPr>
        <w:tabs>
          <w:tab w:val="num" w:pos="-31680"/>
        </w:tabs>
        <w:ind w:left="720" w:hanging="720"/>
      </w:pPr>
      <w:rPr>
        <w:rFonts w:hint="default"/>
        <w:sz w:val="22"/>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17" w15:restartNumberingAfterBreak="0">
    <w:nsid w:val="335E5126"/>
    <w:multiLevelType w:val="hybridMultilevel"/>
    <w:tmpl w:val="DCFC4A5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5E234FE"/>
    <w:multiLevelType w:val="hybridMultilevel"/>
    <w:tmpl w:val="E6EECF2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69E4199"/>
    <w:multiLevelType w:val="hybridMultilevel"/>
    <w:tmpl w:val="C510772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DD27AEA"/>
    <w:multiLevelType w:val="hybridMultilevel"/>
    <w:tmpl w:val="46B602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E0940B1"/>
    <w:multiLevelType w:val="hybridMultilevel"/>
    <w:tmpl w:val="2C9821E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4" w15:restartNumberingAfterBreak="0">
    <w:nsid w:val="5E22004D"/>
    <w:multiLevelType w:val="hybridMultilevel"/>
    <w:tmpl w:val="4D10AE8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5" w15:restartNumberingAfterBreak="0">
    <w:nsid w:val="70C2195C"/>
    <w:multiLevelType w:val="hybridMultilevel"/>
    <w:tmpl w:val="11C8635E"/>
    <w:lvl w:ilvl="0" w:tplc="84BA4EF8">
      <w:start w:val="1"/>
      <w:numFmt w:val="bullet"/>
      <w:pStyle w:val="TSBullet1Square"/>
      <w:lvlText w:val=""/>
      <w:lvlJc w:val="left"/>
      <w:pPr>
        <w:tabs>
          <w:tab w:val="num" w:pos="-31680"/>
        </w:tabs>
        <w:ind w:left="1440" w:hanging="720"/>
      </w:pPr>
      <w:rPr>
        <w:rFonts w:ascii="Wingdings" w:hAnsi="Wingdings" w:hint="default"/>
        <w:b w:val="0"/>
        <w:i w:val="0"/>
        <w:color w:val="333333"/>
        <w:sz w:val="20"/>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18A0F99"/>
    <w:multiLevelType w:val="multilevel"/>
    <w:tmpl w:val="0468747C"/>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73124152"/>
    <w:multiLevelType w:val="hybridMultilevel"/>
    <w:tmpl w:val="99946F96"/>
    <w:lvl w:ilvl="0" w:tplc="356AA4F2">
      <w:start w:val="1"/>
      <w:numFmt w:val="decimal"/>
      <w:pStyle w:val="ListParagraph"/>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5F46359"/>
    <w:multiLevelType w:val="hybridMultilevel"/>
    <w:tmpl w:val="A2F07C5A"/>
    <w:lvl w:ilvl="0" w:tplc="266414A4">
      <w:start w:val="1"/>
      <w:numFmt w:val="bullet"/>
      <w:pStyle w:val="Bulletlist1"/>
      <w:lvlText w:val=""/>
      <w:lvlJc w:val="left"/>
      <w:pPr>
        <w:ind w:left="360" w:hanging="360"/>
      </w:pPr>
      <w:rPr>
        <w:rFonts w:ascii="Symbol" w:hAnsi="Symbol" w:hint="default"/>
        <w:strike w:val="0"/>
        <w:dstrike w:val="0"/>
        <w:color w:val="07716C" w:themeColor="accent1"/>
        <w:sz w:val="24"/>
      </w:rPr>
    </w:lvl>
    <w:lvl w:ilvl="1" w:tplc="8D1E33AC">
      <w:start w:val="1"/>
      <w:numFmt w:val="bullet"/>
      <w:pStyle w:val="Bulletlist2"/>
      <w:lvlText w:val="o"/>
      <w:lvlJc w:val="left"/>
      <w:pPr>
        <w:ind w:left="1440" w:hanging="360"/>
      </w:pPr>
      <w:rPr>
        <w:rFonts w:ascii="Courier New" w:hAnsi="Courier New" w:cs="Courier New" w:hint="default"/>
      </w:rPr>
    </w:lvl>
    <w:lvl w:ilvl="2" w:tplc="FB9AE3B6">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C4C4615"/>
    <w:multiLevelType w:val="multilevel"/>
    <w:tmpl w:val="0C567C3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3"/>
  </w:num>
  <w:num w:numId="12">
    <w:abstractNumId w:val="28"/>
  </w:num>
  <w:num w:numId="13">
    <w:abstractNumId w:val="18"/>
  </w:num>
  <w:num w:numId="14">
    <w:abstractNumId w:val="15"/>
  </w:num>
  <w:num w:numId="15">
    <w:abstractNumId w:val="28"/>
    <w:lvlOverride w:ilvl="0">
      <w:startOverride w:val="1"/>
    </w:lvlOverride>
  </w:num>
  <w:num w:numId="16">
    <w:abstractNumId w:val="18"/>
    <w:lvlOverride w:ilvl="0">
      <w:startOverride w:val="1"/>
    </w:lvlOverride>
  </w:num>
  <w:num w:numId="17">
    <w:abstractNumId w:val="15"/>
    <w:lvlOverride w:ilvl="0">
      <w:startOverride w:val="1"/>
    </w:lvlOverride>
  </w:num>
  <w:num w:numId="18">
    <w:abstractNumId w:val="26"/>
  </w:num>
  <w:num w:numId="19">
    <w:abstractNumId w:val="20"/>
  </w:num>
  <w:num w:numId="2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6"/>
  </w:num>
  <w:num w:numId="22">
    <w:abstractNumId w:val="25"/>
  </w:num>
  <w:num w:numId="23">
    <w:abstractNumId w:val="10"/>
  </w:num>
  <w:num w:numId="24">
    <w:abstractNumId w:val="11"/>
  </w:num>
  <w:num w:numId="25">
    <w:abstractNumId w:val="19"/>
  </w:num>
  <w:num w:numId="26">
    <w:abstractNumId w:val="12"/>
  </w:num>
  <w:num w:numId="27">
    <w:abstractNumId w:val="22"/>
  </w:num>
  <w:num w:numId="28">
    <w:abstractNumId w:val="24"/>
  </w:num>
  <w:num w:numId="29">
    <w:abstractNumId w:val="17"/>
  </w:num>
  <w:num w:numId="30">
    <w:abstractNumId w:val="23"/>
  </w:num>
  <w:num w:numId="31">
    <w:abstractNumId w:val="25"/>
  </w:num>
  <w:num w:numId="32">
    <w:abstractNumId w:val="25"/>
  </w:num>
  <w:num w:numId="33">
    <w:abstractNumId w:val="16"/>
    <w:lvlOverride w:ilvl="0">
      <w:startOverride w:val="4"/>
    </w:lvlOverride>
    <w:lvlOverride w:ilvl="1">
      <w:startOverride w:val="1"/>
    </w:lvlOverride>
  </w:num>
  <w:num w:numId="34">
    <w:abstractNumId w:val="16"/>
    <w:lvlOverride w:ilvl="0">
      <w:startOverride w:val="4"/>
    </w:lvlOverride>
    <w:lvlOverride w:ilvl="1">
      <w:startOverride w:val="2"/>
    </w:lvlOverride>
  </w:num>
  <w:num w:numId="35">
    <w:abstractNumId w:val="16"/>
    <w:lvlOverride w:ilvl="0">
      <w:startOverride w:val="4"/>
    </w:lvlOverride>
    <w:lvlOverride w:ilvl="1">
      <w:startOverride w:val="2"/>
    </w:lvlOverride>
  </w:num>
  <w:num w:numId="36">
    <w:abstractNumId w:val="16"/>
    <w:lvlOverride w:ilvl="0">
      <w:startOverride w:val="4"/>
    </w:lvlOverride>
    <w:lvlOverride w:ilvl="1">
      <w:startOverride w:val="3"/>
    </w:lvlOverride>
  </w:num>
  <w:num w:numId="37">
    <w:abstractNumId w:val="16"/>
    <w:lvlOverride w:ilvl="0">
      <w:startOverride w:val="4"/>
    </w:lvlOverride>
    <w:lvlOverride w:ilvl="1">
      <w:startOverride w:val="4"/>
    </w:lvlOverride>
  </w:num>
  <w:num w:numId="38">
    <w:abstractNumId w:val="14"/>
  </w:num>
  <w:num w:numId="39">
    <w:abstractNumId w:val="29"/>
  </w:num>
  <w:num w:numId="40">
    <w:abstractNumId w:val="27"/>
  </w:num>
  <w:num w:numId="41">
    <w:abstractNumId w:val="21"/>
  </w:num>
  <w:num w:numId="42">
    <w:abstractNumId w:val="14"/>
  </w:num>
  <w:num w:numId="4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mailMerge>
    <w:mainDocumentType w:val="catalog"/>
    <w:dataType w:val="textFile"/>
    <w:activeRecord w:val="-1"/>
  </w:mailMerge>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2F03"/>
    <w:rsid w:val="00010E06"/>
    <w:rsid w:val="00011177"/>
    <w:rsid w:val="00014814"/>
    <w:rsid w:val="00014BCC"/>
    <w:rsid w:val="00015181"/>
    <w:rsid w:val="00022C0F"/>
    <w:rsid w:val="00024522"/>
    <w:rsid w:val="00024B2E"/>
    <w:rsid w:val="00027F4F"/>
    <w:rsid w:val="00030430"/>
    <w:rsid w:val="0003078E"/>
    <w:rsid w:val="00031B89"/>
    <w:rsid w:val="0003693D"/>
    <w:rsid w:val="0004440F"/>
    <w:rsid w:val="00052C8A"/>
    <w:rsid w:val="000548C8"/>
    <w:rsid w:val="00070675"/>
    <w:rsid w:val="00075605"/>
    <w:rsid w:val="00080D4A"/>
    <w:rsid w:val="00082879"/>
    <w:rsid w:val="00082DD8"/>
    <w:rsid w:val="00091EEA"/>
    <w:rsid w:val="000C2DDC"/>
    <w:rsid w:val="000D2FD4"/>
    <w:rsid w:val="000D7A42"/>
    <w:rsid w:val="000F1B7B"/>
    <w:rsid w:val="000F2ED4"/>
    <w:rsid w:val="001028E8"/>
    <w:rsid w:val="00122FCC"/>
    <w:rsid w:val="00126752"/>
    <w:rsid w:val="00130B30"/>
    <w:rsid w:val="00140E1C"/>
    <w:rsid w:val="00147AE4"/>
    <w:rsid w:val="001571E5"/>
    <w:rsid w:val="00160DFE"/>
    <w:rsid w:val="00162E84"/>
    <w:rsid w:val="00177666"/>
    <w:rsid w:val="001849CA"/>
    <w:rsid w:val="00185410"/>
    <w:rsid w:val="00192352"/>
    <w:rsid w:val="001C4D63"/>
    <w:rsid w:val="001D0DE0"/>
    <w:rsid w:val="001D0FA7"/>
    <w:rsid w:val="001D5AFF"/>
    <w:rsid w:val="001D74B4"/>
    <w:rsid w:val="001E03E1"/>
    <w:rsid w:val="001F059F"/>
    <w:rsid w:val="001F7E6B"/>
    <w:rsid w:val="00200811"/>
    <w:rsid w:val="00200CA1"/>
    <w:rsid w:val="0021338D"/>
    <w:rsid w:val="00214D43"/>
    <w:rsid w:val="002238B4"/>
    <w:rsid w:val="002319AB"/>
    <w:rsid w:val="002319AC"/>
    <w:rsid w:val="002321AA"/>
    <w:rsid w:val="00234342"/>
    <w:rsid w:val="0024040D"/>
    <w:rsid w:val="00255FA3"/>
    <w:rsid w:val="00257288"/>
    <w:rsid w:val="002629F8"/>
    <w:rsid w:val="00263396"/>
    <w:rsid w:val="002659FA"/>
    <w:rsid w:val="00267815"/>
    <w:rsid w:val="00280DDF"/>
    <w:rsid w:val="00286A0C"/>
    <w:rsid w:val="002870EE"/>
    <w:rsid w:val="002917FF"/>
    <w:rsid w:val="00292ADF"/>
    <w:rsid w:val="002A0DEC"/>
    <w:rsid w:val="002A174F"/>
    <w:rsid w:val="002A1A36"/>
    <w:rsid w:val="002A7429"/>
    <w:rsid w:val="002B1C53"/>
    <w:rsid w:val="002B3493"/>
    <w:rsid w:val="002B63B0"/>
    <w:rsid w:val="002D47B8"/>
    <w:rsid w:val="002D5455"/>
    <w:rsid w:val="002E0BE4"/>
    <w:rsid w:val="002E3E8A"/>
    <w:rsid w:val="002E6A6A"/>
    <w:rsid w:val="002F3397"/>
    <w:rsid w:val="0030380D"/>
    <w:rsid w:val="00312411"/>
    <w:rsid w:val="00323E71"/>
    <w:rsid w:val="003341FC"/>
    <w:rsid w:val="00341EC6"/>
    <w:rsid w:val="00346C8E"/>
    <w:rsid w:val="00355E21"/>
    <w:rsid w:val="00367BD5"/>
    <w:rsid w:val="00375CA8"/>
    <w:rsid w:val="00390327"/>
    <w:rsid w:val="00393B78"/>
    <w:rsid w:val="003A01E9"/>
    <w:rsid w:val="003C0306"/>
    <w:rsid w:val="003C114C"/>
    <w:rsid w:val="003C465D"/>
    <w:rsid w:val="003D495D"/>
    <w:rsid w:val="003E098E"/>
    <w:rsid w:val="003E2FAE"/>
    <w:rsid w:val="00407CF7"/>
    <w:rsid w:val="00415ED6"/>
    <w:rsid w:val="00417CAF"/>
    <w:rsid w:val="00420A11"/>
    <w:rsid w:val="00422265"/>
    <w:rsid w:val="004373A7"/>
    <w:rsid w:val="00437D94"/>
    <w:rsid w:val="0044030C"/>
    <w:rsid w:val="004648A4"/>
    <w:rsid w:val="00471380"/>
    <w:rsid w:val="0048139E"/>
    <w:rsid w:val="00494F0D"/>
    <w:rsid w:val="00496BFD"/>
    <w:rsid w:val="004A3DF2"/>
    <w:rsid w:val="004B4E0A"/>
    <w:rsid w:val="004C361D"/>
    <w:rsid w:val="004C4891"/>
    <w:rsid w:val="004D2C89"/>
    <w:rsid w:val="004E3932"/>
    <w:rsid w:val="004E6CB0"/>
    <w:rsid w:val="004F1E79"/>
    <w:rsid w:val="004F5F33"/>
    <w:rsid w:val="0050103A"/>
    <w:rsid w:val="00511B0F"/>
    <w:rsid w:val="00523605"/>
    <w:rsid w:val="005344F2"/>
    <w:rsid w:val="0055388E"/>
    <w:rsid w:val="005671F8"/>
    <w:rsid w:val="005754AE"/>
    <w:rsid w:val="00577FB5"/>
    <w:rsid w:val="00581999"/>
    <w:rsid w:val="005852D1"/>
    <w:rsid w:val="00587A22"/>
    <w:rsid w:val="0059299D"/>
    <w:rsid w:val="00593E7D"/>
    <w:rsid w:val="00595C8C"/>
    <w:rsid w:val="00597747"/>
    <w:rsid w:val="00597E1F"/>
    <w:rsid w:val="005A4CDD"/>
    <w:rsid w:val="005B57E4"/>
    <w:rsid w:val="005B5ABD"/>
    <w:rsid w:val="005B7E45"/>
    <w:rsid w:val="005C140A"/>
    <w:rsid w:val="005C6763"/>
    <w:rsid w:val="005D3164"/>
    <w:rsid w:val="005E0344"/>
    <w:rsid w:val="005E440B"/>
    <w:rsid w:val="005F2C85"/>
    <w:rsid w:val="00605ADB"/>
    <w:rsid w:val="00611C9F"/>
    <w:rsid w:val="0061530D"/>
    <w:rsid w:val="00627555"/>
    <w:rsid w:val="006322A0"/>
    <w:rsid w:val="006361FD"/>
    <w:rsid w:val="0064226F"/>
    <w:rsid w:val="006529DB"/>
    <w:rsid w:val="00653298"/>
    <w:rsid w:val="006552CD"/>
    <w:rsid w:val="00663A7C"/>
    <w:rsid w:val="00667DF2"/>
    <w:rsid w:val="00670DF1"/>
    <w:rsid w:val="00671345"/>
    <w:rsid w:val="00672A9B"/>
    <w:rsid w:val="00675884"/>
    <w:rsid w:val="00686392"/>
    <w:rsid w:val="00696EE0"/>
    <w:rsid w:val="00697980"/>
    <w:rsid w:val="006A19EF"/>
    <w:rsid w:val="006A43D5"/>
    <w:rsid w:val="006A525B"/>
    <w:rsid w:val="006C045F"/>
    <w:rsid w:val="006C4196"/>
    <w:rsid w:val="006C63B0"/>
    <w:rsid w:val="006C76A2"/>
    <w:rsid w:val="006C792E"/>
    <w:rsid w:val="006D116C"/>
    <w:rsid w:val="006E5651"/>
    <w:rsid w:val="006E7C42"/>
    <w:rsid w:val="006F168A"/>
    <w:rsid w:val="006F5076"/>
    <w:rsid w:val="006F6009"/>
    <w:rsid w:val="0070321D"/>
    <w:rsid w:val="007068BA"/>
    <w:rsid w:val="00716AB1"/>
    <w:rsid w:val="00721D63"/>
    <w:rsid w:val="00725B2F"/>
    <w:rsid w:val="00730DB7"/>
    <w:rsid w:val="00732C7B"/>
    <w:rsid w:val="00734D2B"/>
    <w:rsid w:val="00737705"/>
    <w:rsid w:val="00737E40"/>
    <w:rsid w:val="007408D4"/>
    <w:rsid w:val="007420AC"/>
    <w:rsid w:val="00742617"/>
    <w:rsid w:val="00767C12"/>
    <w:rsid w:val="00783AFA"/>
    <w:rsid w:val="00783E22"/>
    <w:rsid w:val="00785427"/>
    <w:rsid w:val="00790540"/>
    <w:rsid w:val="00790D4A"/>
    <w:rsid w:val="007945F8"/>
    <w:rsid w:val="007968CA"/>
    <w:rsid w:val="00796996"/>
    <w:rsid w:val="007A43FF"/>
    <w:rsid w:val="007B3918"/>
    <w:rsid w:val="007C3C1D"/>
    <w:rsid w:val="007D199A"/>
    <w:rsid w:val="007D2EBE"/>
    <w:rsid w:val="007E1C07"/>
    <w:rsid w:val="007E5DC0"/>
    <w:rsid w:val="007F24B6"/>
    <w:rsid w:val="00803D94"/>
    <w:rsid w:val="008211F7"/>
    <w:rsid w:val="008229BA"/>
    <w:rsid w:val="00835EBF"/>
    <w:rsid w:val="00845390"/>
    <w:rsid w:val="00845962"/>
    <w:rsid w:val="0084601B"/>
    <w:rsid w:val="008606F0"/>
    <w:rsid w:val="00865489"/>
    <w:rsid w:val="0086553D"/>
    <w:rsid w:val="00874FEB"/>
    <w:rsid w:val="00877EC0"/>
    <w:rsid w:val="0088054B"/>
    <w:rsid w:val="00881B6F"/>
    <w:rsid w:val="00882AA4"/>
    <w:rsid w:val="00883E22"/>
    <w:rsid w:val="00884E43"/>
    <w:rsid w:val="00885739"/>
    <w:rsid w:val="00886C0C"/>
    <w:rsid w:val="00887EC6"/>
    <w:rsid w:val="0089084C"/>
    <w:rsid w:val="00893409"/>
    <w:rsid w:val="00893D9F"/>
    <w:rsid w:val="008A2379"/>
    <w:rsid w:val="008A4329"/>
    <w:rsid w:val="008A578E"/>
    <w:rsid w:val="008B7BCC"/>
    <w:rsid w:val="008C50C3"/>
    <w:rsid w:val="008C7094"/>
    <w:rsid w:val="008D2B97"/>
    <w:rsid w:val="008D49A5"/>
    <w:rsid w:val="008D6C81"/>
    <w:rsid w:val="008E6CF0"/>
    <w:rsid w:val="008F1439"/>
    <w:rsid w:val="008F38CD"/>
    <w:rsid w:val="008F7051"/>
    <w:rsid w:val="009033A9"/>
    <w:rsid w:val="0090581D"/>
    <w:rsid w:val="0091439C"/>
    <w:rsid w:val="00920572"/>
    <w:rsid w:val="00920BF2"/>
    <w:rsid w:val="009349A9"/>
    <w:rsid w:val="00936C52"/>
    <w:rsid w:val="0095489B"/>
    <w:rsid w:val="00966FB9"/>
    <w:rsid w:val="009671CD"/>
    <w:rsid w:val="009751A9"/>
    <w:rsid w:val="00980F9C"/>
    <w:rsid w:val="0098632B"/>
    <w:rsid w:val="00997BFB"/>
    <w:rsid w:val="009A7348"/>
    <w:rsid w:val="009B462C"/>
    <w:rsid w:val="009B4706"/>
    <w:rsid w:val="009C128C"/>
    <w:rsid w:val="009C15F3"/>
    <w:rsid w:val="009E07C2"/>
    <w:rsid w:val="009E0E52"/>
    <w:rsid w:val="009E17EE"/>
    <w:rsid w:val="009F3276"/>
    <w:rsid w:val="009F72F9"/>
    <w:rsid w:val="009F7D95"/>
    <w:rsid w:val="00A00205"/>
    <w:rsid w:val="00A00AF0"/>
    <w:rsid w:val="00A14B5A"/>
    <w:rsid w:val="00A3023D"/>
    <w:rsid w:val="00A3567F"/>
    <w:rsid w:val="00A37698"/>
    <w:rsid w:val="00A41ED3"/>
    <w:rsid w:val="00A45F3B"/>
    <w:rsid w:val="00A53E8C"/>
    <w:rsid w:val="00A70788"/>
    <w:rsid w:val="00A81D82"/>
    <w:rsid w:val="00A93E33"/>
    <w:rsid w:val="00AA0A49"/>
    <w:rsid w:val="00AA4601"/>
    <w:rsid w:val="00AB6758"/>
    <w:rsid w:val="00AB6970"/>
    <w:rsid w:val="00AC1939"/>
    <w:rsid w:val="00AC7C05"/>
    <w:rsid w:val="00AD167C"/>
    <w:rsid w:val="00AD17C7"/>
    <w:rsid w:val="00AD4041"/>
    <w:rsid w:val="00AE302B"/>
    <w:rsid w:val="00B14D32"/>
    <w:rsid w:val="00B15100"/>
    <w:rsid w:val="00B1793A"/>
    <w:rsid w:val="00B259DF"/>
    <w:rsid w:val="00B339A4"/>
    <w:rsid w:val="00B44B1F"/>
    <w:rsid w:val="00B55B2B"/>
    <w:rsid w:val="00B64141"/>
    <w:rsid w:val="00B64E72"/>
    <w:rsid w:val="00B74366"/>
    <w:rsid w:val="00B77913"/>
    <w:rsid w:val="00B80835"/>
    <w:rsid w:val="00B824FB"/>
    <w:rsid w:val="00B82646"/>
    <w:rsid w:val="00B949E7"/>
    <w:rsid w:val="00B968D2"/>
    <w:rsid w:val="00B97359"/>
    <w:rsid w:val="00B97A8F"/>
    <w:rsid w:val="00BA3813"/>
    <w:rsid w:val="00BA3B96"/>
    <w:rsid w:val="00BA4E58"/>
    <w:rsid w:val="00BA7074"/>
    <w:rsid w:val="00BB7829"/>
    <w:rsid w:val="00BD1457"/>
    <w:rsid w:val="00BE2AD9"/>
    <w:rsid w:val="00BE6FEC"/>
    <w:rsid w:val="00BF27FE"/>
    <w:rsid w:val="00BF3AD9"/>
    <w:rsid w:val="00C043B3"/>
    <w:rsid w:val="00C079AB"/>
    <w:rsid w:val="00C10E61"/>
    <w:rsid w:val="00C14787"/>
    <w:rsid w:val="00C14F1D"/>
    <w:rsid w:val="00C1596D"/>
    <w:rsid w:val="00C15B8D"/>
    <w:rsid w:val="00C17010"/>
    <w:rsid w:val="00C20562"/>
    <w:rsid w:val="00C215C3"/>
    <w:rsid w:val="00C23A96"/>
    <w:rsid w:val="00C249C6"/>
    <w:rsid w:val="00C3166B"/>
    <w:rsid w:val="00C32CC1"/>
    <w:rsid w:val="00C426EC"/>
    <w:rsid w:val="00C46861"/>
    <w:rsid w:val="00C6483C"/>
    <w:rsid w:val="00C64AE9"/>
    <w:rsid w:val="00C70CFF"/>
    <w:rsid w:val="00C718FE"/>
    <w:rsid w:val="00C82222"/>
    <w:rsid w:val="00C8773D"/>
    <w:rsid w:val="00C87ABB"/>
    <w:rsid w:val="00C91831"/>
    <w:rsid w:val="00C953DF"/>
    <w:rsid w:val="00C965E1"/>
    <w:rsid w:val="00CE2709"/>
    <w:rsid w:val="00CE2D64"/>
    <w:rsid w:val="00CE6198"/>
    <w:rsid w:val="00CF26E6"/>
    <w:rsid w:val="00CF2915"/>
    <w:rsid w:val="00CF6230"/>
    <w:rsid w:val="00D017FC"/>
    <w:rsid w:val="00D0226A"/>
    <w:rsid w:val="00D12925"/>
    <w:rsid w:val="00D13147"/>
    <w:rsid w:val="00D27F58"/>
    <w:rsid w:val="00D377E4"/>
    <w:rsid w:val="00D44704"/>
    <w:rsid w:val="00D5715A"/>
    <w:rsid w:val="00D64855"/>
    <w:rsid w:val="00D71687"/>
    <w:rsid w:val="00D74813"/>
    <w:rsid w:val="00DA30BC"/>
    <w:rsid w:val="00DA69C2"/>
    <w:rsid w:val="00DA6D70"/>
    <w:rsid w:val="00DB6050"/>
    <w:rsid w:val="00DC2261"/>
    <w:rsid w:val="00DC2C34"/>
    <w:rsid w:val="00DE20C9"/>
    <w:rsid w:val="00DE2C87"/>
    <w:rsid w:val="00DF27DA"/>
    <w:rsid w:val="00DF4DBE"/>
    <w:rsid w:val="00E40820"/>
    <w:rsid w:val="00E4658F"/>
    <w:rsid w:val="00E54A67"/>
    <w:rsid w:val="00E6093C"/>
    <w:rsid w:val="00E61C0D"/>
    <w:rsid w:val="00E63EB4"/>
    <w:rsid w:val="00E66160"/>
    <w:rsid w:val="00E71329"/>
    <w:rsid w:val="00E81FAA"/>
    <w:rsid w:val="00E8363B"/>
    <w:rsid w:val="00E84966"/>
    <w:rsid w:val="00E92383"/>
    <w:rsid w:val="00EA1B3A"/>
    <w:rsid w:val="00EA2109"/>
    <w:rsid w:val="00EC4F1D"/>
    <w:rsid w:val="00ED4D4E"/>
    <w:rsid w:val="00EE0C77"/>
    <w:rsid w:val="00EE4E54"/>
    <w:rsid w:val="00EE506B"/>
    <w:rsid w:val="00F0151C"/>
    <w:rsid w:val="00F424D9"/>
    <w:rsid w:val="00F436BB"/>
    <w:rsid w:val="00F47145"/>
    <w:rsid w:val="00F545BF"/>
    <w:rsid w:val="00F71B56"/>
    <w:rsid w:val="00F832C8"/>
    <w:rsid w:val="00F873B3"/>
    <w:rsid w:val="00F90628"/>
    <w:rsid w:val="00FA42B9"/>
    <w:rsid w:val="00FA755A"/>
    <w:rsid w:val="00FB1452"/>
    <w:rsid w:val="00FB2B0F"/>
    <w:rsid w:val="00FB4F6B"/>
    <w:rsid w:val="00FB5FE1"/>
    <w:rsid w:val="00FC46EF"/>
    <w:rsid w:val="00FD31B3"/>
    <w:rsid w:val="00FD4204"/>
    <w:rsid w:val="00FF3CCB"/>
    <w:rsid w:val="00FF57B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1FFB1F25-DD3A-4304-B987-5C5BF61DD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E6093C"/>
    <w:pPr>
      <w:keepNext/>
      <w:numPr>
        <w:numId w:val="38"/>
      </w:numPr>
      <w:spacing w:before="240"/>
      <w:ind w:left="851" w:hanging="851"/>
      <w:outlineLvl w:val="0"/>
    </w:pPr>
    <w:rPr>
      <w:color w:val="22413A"/>
      <w:sz w:val="48"/>
    </w:rPr>
  </w:style>
  <w:style w:type="paragraph" w:styleId="Heading2">
    <w:name w:val="heading 2"/>
    <w:basedOn w:val="Heading1"/>
    <w:next w:val="Normal"/>
    <w:link w:val="Heading2Char"/>
    <w:qFormat/>
    <w:rsid w:val="00E6093C"/>
    <w:pPr>
      <w:numPr>
        <w:ilvl w:val="1"/>
      </w:numPr>
      <w:ind w:left="851" w:hanging="851"/>
      <w:outlineLvl w:val="1"/>
    </w:pPr>
    <w:rPr>
      <w:sz w:val="36"/>
      <w:szCs w:val="16"/>
    </w:rPr>
  </w:style>
  <w:style w:type="paragraph" w:styleId="Heading3">
    <w:name w:val="heading 3"/>
    <w:basedOn w:val="Heading2"/>
    <w:next w:val="Normal"/>
    <w:link w:val="Heading3Char"/>
    <w:qFormat/>
    <w:rsid w:val="00010E06"/>
    <w:pPr>
      <w:numPr>
        <w:ilvl w:val="2"/>
      </w:numPr>
      <w:ind w:left="851" w:hanging="851"/>
      <w:outlineLvl w:val="2"/>
    </w:pPr>
    <w:rPr>
      <w:sz w:val="28"/>
      <w:szCs w:val="12"/>
    </w:rPr>
  </w:style>
  <w:style w:type="paragraph" w:styleId="Heading4">
    <w:name w:val="heading 4"/>
    <w:basedOn w:val="Normal"/>
    <w:next w:val="Normal"/>
    <w:link w:val="Heading4Char"/>
    <w:qFormat/>
    <w:rsid w:val="00F47145"/>
    <w:pPr>
      <w:keepNext/>
      <w:outlineLvl w:val="3"/>
    </w:pPr>
    <w:rPr>
      <w:b/>
      <w:color w:val="22413A"/>
    </w:rPr>
  </w:style>
  <w:style w:type="paragraph" w:styleId="Heading5">
    <w:name w:val="heading 5"/>
    <w:basedOn w:val="Normal"/>
    <w:next w:val="Normal"/>
    <w:link w:val="Heading5Char"/>
    <w:qFormat/>
    <w:rsid w:val="00F47145"/>
    <w:pPr>
      <w:keepNext/>
      <w:numPr>
        <w:ilvl w:val="4"/>
        <w:numId w:val="21"/>
      </w:numPr>
      <w:outlineLvl w:val="4"/>
    </w:pPr>
    <w:rPr>
      <w:i/>
      <w:noProof/>
      <w:color w:val="22413A"/>
    </w:rPr>
  </w:style>
  <w:style w:type="paragraph" w:styleId="Heading6">
    <w:name w:val="heading 6"/>
    <w:basedOn w:val="Normal"/>
    <w:next w:val="Normal"/>
    <w:link w:val="Heading6Char"/>
    <w:qFormat/>
    <w:rsid w:val="00F47145"/>
    <w:pPr>
      <w:keepNext/>
      <w:keepLines/>
      <w:numPr>
        <w:ilvl w:val="5"/>
        <w:numId w:val="21"/>
      </w:numPr>
      <w:outlineLvl w:val="5"/>
    </w:pPr>
    <w:rPr>
      <w:rFonts w:asciiTheme="majorHAnsi" w:eastAsiaTheme="majorEastAsia" w:hAnsiTheme="majorHAnsi" w:cstheme="majorBidi"/>
      <w:i/>
      <w:color w:val="22413A"/>
      <w:u w:val="single"/>
    </w:rPr>
  </w:style>
  <w:style w:type="paragraph" w:styleId="Heading7">
    <w:name w:val="heading 7"/>
    <w:basedOn w:val="Normal"/>
    <w:next w:val="Normal"/>
    <w:link w:val="Heading7Char"/>
    <w:qFormat/>
    <w:rsid w:val="00341EC6"/>
    <w:pPr>
      <w:numPr>
        <w:ilvl w:val="6"/>
        <w:numId w:val="21"/>
      </w:numPr>
      <w:spacing w:before="240" w:after="60" w:line="240" w:lineRule="auto"/>
      <w:outlineLvl w:val="6"/>
    </w:pPr>
    <w:rPr>
      <w:rFonts w:ascii="Times New Roman" w:eastAsia="Times New Roman" w:hAnsi="Times New Roman" w:cs="Times New Roman"/>
      <w:szCs w:val="24"/>
      <w:lang w:bidi="ar-SA"/>
    </w:rPr>
  </w:style>
  <w:style w:type="paragraph" w:styleId="Heading8">
    <w:name w:val="heading 8"/>
    <w:basedOn w:val="Normal"/>
    <w:next w:val="Normal"/>
    <w:link w:val="Heading8Char"/>
    <w:qFormat/>
    <w:rsid w:val="00341EC6"/>
    <w:pPr>
      <w:numPr>
        <w:ilvl w:val="7"/>
        <w:numId w:val="21"/>
      </w:numPr>
      <w:spacing w:before="240" w:after="60" w:line="240" w:lineRule="auto"/>
      <w:outlineLvl w:val="7"/>
    </w:pPr>
    <w:rPr>
      <w:rFonts w:ascii="Times New Roman" w:eastAsia="Times New Roman" w:hAnsi="Times New Roman" w:cs="Times New Roman"/>
      <w:i/>
      <w:iCs/>
      <w:szCs w:val="24"/>
      <w:lang w:bidi="ar-SA"/>
    </w:rPr>
  </w:style>
  <w:style w:type="paragraph" w:styleId="Heading9">
    <w:name w:val="heading 9"/>
    <w:basedOn w:val="Normal"/>
    <w:next w:val="Normal"/>
    <w:link w:val="Heading9Char"/>
    <w:qFormat/>
    <w:rsid w:val="00341EC6"/>
    <w:pPr>
      <w:numPr>
        <w:ilvl w:val="8"/>
        <w:numId w:val="21"/>
      </w:numPr>
      <w:spacing w:before="240" w:after="60" w:line="240" w:lineRule="auto"/>
      <w:outlineLvl w:val="8"/>
    </w:pPr>
    <w:rPr>
      <w:rFonts w:eastAsia="Times New Roman"/>
      <w:sz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E6093C"/>
    <w:rPr>
      <w:rFonts w:ascii="Arial" w:hAnsi="Arial"/>
      <w:color w:val="22413A"/>
      <w:sz w:val="36"/>
      <w:szCs w:val="16"/>
      <w:lang w:eastAsia="en-US" w:bidi="he-IL"/>
    </w:rPr>
  </w:style>
  <w:style w:type="character" w:customStyle="1" w:styleId="Heading3Char">
    <w:name w:val="Heading 3 Char"/>
    <w:link w:val="Heading3"/>
    <w:rsid w:val="00010E06"/>
    <w:rPr>
      <w:rFonts w:ascii="Arial" w:hAnsi="Arial"/>
      <w:color w:val="22413A"/>
      <w:sz w:val="28"/>
      <w:szCs w:val="12"/>
      <w:lang w:eastAsia="en-US" w:bidi="he-IL"/>
    </w:rPr>
  </w:style>
  <w:style w:type="character" w:customStyle="1" w:styleId="Heading4Char">
    <w:name w:val="Heading 4 Char"/>
    <w:link w:val="Heading4"/>
    <w:rsid w:val="00F47145"/>
    <w:rPr>
      <w:rFonts w:ascii="Arial" w:hAnsi="Arial"/>
      <w:b/>
      <w:color w:val="22413A"/>
      <w:sz w:val="24"/>
      <w:szCs w:val="22"/>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E6093C"/>
    <w:rPr>
      <w:rFonts w:ascii="Arial" w:hAnsi="Arial"/>
      <w:color w:val="22413A"/>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010E06"/>
    <w:pPr>
      <w:numPr>
        <w:numId w:val="12"/>
      </w:numPr>
      <w:ind w:left="1276"/>
    </w:pPr>
    <w:rPr>
      <w:noProof/>
    </w:rPr>
  </w:style>
  <w:style w:type="paragraph" w:customStyle="1" w:styleId="Bulletlist2">
    <w:name w:val="Bullet list 2"/>
    <w:basedOn w:val="Bulletlist1"/>
    <w:uiPriority w:val="1"/>
    <w:qFormat/>
    <w:rsid w:val="00C215C3"/>
    <w:pPr>
      <w:numPr>
        <w:ilvl w:val="1"/>
      </w:numPr>
      <w:ind w:left="851"/>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884E43"/>
    <w:pPr>
      <w:spacing w:before="60" w:after="60"/>
    </w:p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semiHidden/>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4A3DF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FD31B3"/>
    <w:pPr>
      <w:numPr>
        <w:numId w:val="18"/>
      </w:numPr>
    </w:pPr>
    <w:rPr>
      <w:rFonts w:asciiTheme="minorHAnsi" w:eastAsiaTheme="minorHAnsi" w:hAnsiTheme="minorHAnsi" w:cstheme="minorBidi"/>
      <w:noProof/>
      <w:lang w:bidi="ar-SA"/>
    </w:rPr>
  </w:style>
  <w:style w:type="paragraph" w:customStyle="1" w:styleId="NumList2">
    <w:name w:val="Num List 2"/>
    <w:basedOn w:val="Normal"/>
    <w:uiPriority w:val="1"/>
    <w:qFormat/>
    <w:rsid w:val="00FD31B3"/>
    <w:pPr>
      <w:numPr>
        <w:ilvl w:val="1"/>
        <w:numId w:val="18"/>
      </w:numPr>
    </w:pPr>
    <w:rPr>
      <w:rFonts w:asciiTheme="minorHAnsi" w:eastAsiaTheme="minorHAnsi" w:hAnsiTheme="minorHAnsi" w:cstheme="minorBidi"/>
      <w:lang w:bidi="ar-SA"/>
    </w:rPr>
  </w:style>
  <w:style w:type="paragraph" w:customStyle="1" w:styleId="BulletList3">
    <w:name w:val="Bullet List 3"/>
    <w:basedOn w:val="Bulletlist2"/>
    <w:uiPriority w:val="1"/>
    <w:qFormat/>
    <w:rsid w:val="00C215C3"/>
    <w:pPr>
      <w:numPr>
        <w:ilvl w:val="2"/>
      </w:numPr>
      <w:ind w:left="1418"/>
    </w:pPr>
  </w:style>
  <w:style w:type="character" w:styleId="CommentReference">
    <w:name w:val="annotation reference"/>
    <w:basedOn w:val="DefaultParagraphFont"/>
    <w:unhideWhenUsed/>
    <w:rsid w:val="00FD31B3"/>
    <w:rPr>
      <w:sz w:val="16"/>
      <w:szCs w:val="16"/>
    </w:rPr>
  </w:style>
  <w:style w:type="paragraph" w:styleId="CommentText">
    <w:name w:val="annotation text"/>
    <w:basedOn w:val="Normal"/>
    <w:link w:val="CommentTextChar"/>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rsid w:val="00FD31B3"/>
    <w:rPr>
      <w:rFonts w:asciiTheme="minorHAnsi" w:eastAsiaTheme="minorHAnsi" w:hAnsiTheme="minorHAnsi" w:cstheme="minorBidi"/>
      <w:lang w:eastAsia="en-US"/>
    </w:rPr>
  </w:style>
  <w:style w:type="paragraph" w:styleId="ListParagraph">
    <w:name w:val="List Paragraph"/>
    <w:basedOn w:val="Normal"/>
    <w:uiPriority w:val="34"/>
    <w:qFormat/>
    <w:rsid w:val="00010E06"/>
    <w:pPr>
      <w:numPr>
        <w:numId w:val="40"/>
      </w:numPr>
      <w:ind w:left="851" w:hanging="851"/>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table" w:customStyle="1" w:styleId="Style1">
    <w:name w:val="Style1"/>
    <w:basedOn w:val="TableNormal"/>
    <w:uiPriority w:val="99"/>
    <w:rsid w:val="00FB1452"/>
    <w:pPr>
      <w:spacing w:before="60" w:after="60"/>
    </w:pPr>
    <w:rPr>
      <w:rFonts w:ascii="Arial" w:eastAsia="Times New Roman" w:hAnsi="Arial" w:cs="Times New Roman"/>
      <w:sz w:val="24"/>
    </w:rPr>
    <w:tblPr>
      <w:tblBorders>
        <w:top w:val="single" w:sz="4" w:space="0" w:color="006D68"/>
        <w:left w:val="single" w:sz="4" w:space="0" w:color="006D68"/>
        <w:bottom w:val="single" w:sz="4" w:space="0" w:color="006D68"/>
        <w:right w:val="single" w:sz="4" w:space="0" w:color="006D68"/>
        <w:insideH w:val="single" w:sz="4" w:space="0" w:color="006D68"/>
        <w:insideV w:val="single" w:sz="4" w:space="0" w:color="006D68"/>
      </w:tblBorders>
    </w:tblPr>
    <w:tblStylePr w:type="firstRow">
      <w:rPr>
        <w:rFonts w:ascii="Arial" w:hAnsi="Arial"/>
        <w:b/>
        <w:i w:val="0"/>
        <w:color w:val="FFFFFF" w:themeColor="background1"/>
        <w:sz w:val="24"/>
      </w:rPr>
      <w:tblPr/>
      <w:tcPr>
        <w:shd w:val="clear" w:color="auto" w:fill="006D68"/>
      </w:tcPr>
    </w:tblStylePr>
  </w:style>
  <w:style w:type="paragraph" w:customStyle="1" w:styleId="F12-TableFigureCaptions">
    <w:name w:val="F12 - Table/Figure Captions"/>
    <w:basedOn w:val="Caption"/>
    <w:link w:val="F12-TableFigureCaptionsChar"/>
    <w:qFormat/>
    <w:rsid w:val="00FB1452"/>
    <w:pPr>
      <w:keepNext/>
      <w:spacing w:before="240" w:line="264" w:lineRule="auto"/>
    </w:pPr>
    <w:rPr>
      <w:rFonts w:eastAsia="Times New Roman"/>
      <w:color w:val="auto"/>
      <w:lang w:bidi="ar-SA"/>
    </w:rPr>
  </w:style>
  <w:style w:type="character" w:customStyle="1" w:styleId="F12-TableFigureCaptionsChar">
    <w:name w:val="F12 - Table/Figure Captions Char"/>
    <w:basedOn w:val="DefaultParagraphFont"/>
    <w:link w:val="F12-TableFigureCaptions"/>
    <w:rsid w:val="00FB1452"/>
    <w:rPr>
      <w:rFonts w:ascii="Arial" w:eastAsia="Times New Roman" w:hAnsi="Arial"/>
      <w:b/>
      <w:bCs/>
      <w:sz w:val="22"/>
      <w:szCs w:val="22"/>
      <w:lang w:eastAsia="en-US"/>
    </w:rPr>
  </w:style>
  <w:style w:type="paragraph" w:styleId="CommentSubject">
    <w:name w:val="annotation subject"/>
    <w:basedOn w:val="CommentText"/>
    <w:next w:val="CommentText"/>
    <w:link w:val="CommentSubjectChar"/>
    <w:uiPriority w:val="99"/>
    <w:semiHidden/>
    <w:unhideWhenUsed/>
    <w:rsid w:val="008211F7"/>
    <w:rPr>
      <w:rFonts w:ascii="Arial" w:eastAsia="Calibri" w:hAnsi="Arial" w:cs="Arial"/>
      <w:b/>
      <w:bCs/>
      <w:lang w:bidi="he-IL"/>
    </w:rPr>
  </w:style>
  <w:style w:type="character" w:customStyle="1" w:styleId="CommentSubjectChar">
    <w:name w:val="Comment Subject Char"/>
    <w:basedOn w:val="CommentTextChar"/>
    <w:link w:val="CommentSubject"/>
    <w:uiPriority w:val="99"/>
    <w:semiHidden/>
    <w:rsid w:val="008211F7"/>
    <w:rPr>
      <w:rFonts w:ascii="Arial" w:eastAsiaTheme="minorHAnsi" w:hAnsi="Arial" w:cstheme="minorBidi"/>
      <w:b/>
      <w:bCs/>
      <w:lang w:eastAsia="en-US" w:bidi="he-IL"/>
    </w:rPr>
  </w:style>
  <w:style w:type="character" w:customStyle="1" w:styleId="Heading7Char">
    <w:name w:val="Heading 7 Char"/>
    <w:basedOn w:val="DefaultParagraphFont"/>
    <w:link w:val="Heading7"/>
    <w:rsid w:val="00341EC6"/>
    <w:rPr>
      <w:rFonts w:ascii="Times New Roman" w:eastAsia="Times New Roman" w:hAnsi="Times New Roman" w:cs="Times New Roman"/>
      <w:sz w:val="24"/>
      <w:szCs w:val="24"/>
      <w:lang w:eastAsia="en-US"/>
    </w:rPr>
  </w:style>
  <w:style w:type="character" w:customStyle="1" w:styleId="Heading8Char">
    <w:name w:val="Heading 8 Char"/>
    <w:basedOn w:val="DefaultParagraphFont"/>
    <w:link w:val="Heading8"/>
    <w:rsid w:val="00341EC6"/>
    <w:rPr>
      <w:rFonts w:ascii="Times New Roman" w:eastAsia="Times New Roman" w:hAnsi="Times New Roman" w:cs="Times New Roman"/>
      <w:i/>
      <w:iCs/>
      <w:sz w:val="24"/>
      <w:szCs w:val="24"/>
      <w:lang w:eastAsia="en-US"/>
    </w:rPr>
  </w:style>
  <w:style w:type="character" w:customStyle="1" w:styleId="Heading9Char">
    <w:name w:val="Heading 9 Char"/>
    <w:basedOn w:val="DefaultParagraphFont"/>
    <w:link w:val="Heading9"/>
    <w:rsid w:val="00341EC6"/>
    <w:rPr>
      <w:rFonts w:ascii="Arial" w:eastAsia="Times New Roman" w:hAnsi="Arial"/>
      <w:sz w:val="22"/>
      <w:szCs w:val="22"/>
      <w:lang w:eastAsia="en-US"/>
    </w:rPr>
  </w:style>
  <w:style w:type="paragraph" w:customStyle="1" w:styleId="TSHeadingNumbered1">
    <w:name w:val="TS Heading Numbered 1"/>
    <w:basedOn w:val="Normal"/>
    <w:rsid w:val="00341EC6"/>
    <w:pPr>
      <w:tabs>
        <w:tab w:val="num" w:pos="-31680"/>
      </w:tabs>
      <w:spacing w:after="220" w:line="240" w:lineRule="auto"/>
      <w:ind w:left="720" w:hanging="720"/>
      <w:outlineLvl w:val="0"/>
    </w:pPr>
    <w:rPr>
      <w:rFonts w:ascii="Arial Bold" w:eastAsia="Times New Roman" w:hAnsi="Arial Bold" w:cs="Times New Roman"/>
      <w:b/>
      <w:caps/>
      <w:sz w:val="22"/>
      <w:szCs w:val="24"/>
      <w:lang w:bidi="ar-SA"/>
    </w:rPr>
  </w:style>
  <w:style w:type="paragraph" w:customStyle="1" w:styleId="TSHeadingNumbered11">
    <w:name w:val="TS Heading Numbered 1.1"/>
    <w:basedOn w:val="TSHeadingNumbered1"/>
    <w:rsid w:val="00341EC6"/>
  </w:style>
  <w:style w:type="paragraph" w:customStyle="1" w:styleId="TSHeadingNumbered111">
    <w:name w:val="TS Heading Numbered 1.1.1"/>
    <w:basedOn w:val="TSHeadingNumbered1"/>
    <w:rsid w:val="00341EC6"/>
  </w:style>
  <w:style w:type="paragraph" w:customStyle="1" w:styleId="TSHeadingNumbered1111">
    <w:name w:val="TS Heading Numbered 1.1.1.1"/>
    <w:basedOn w:val="TSHeadingNumbered1"/>
    <w:rsid w:val="00341EC6"/>
  </w:style>
  <w:style w:type="paragraph" w:customStyle="1" w:styleId="TSNumberedParagraph11">
    <w:name w:val="TS Numbered Paragraph 1.1"/>
    <w:basedOn w:val="TSHeadingNumbered11"/>
    <w:rsid w:val="00341EC6"/>
    <w:pPr>
      <w:numPr>
        <w:ilvl w:val="1"/>
      </w:numPr>
      <w:tabs>
        <w:tab w:val="num" w:pos="-31680"/>
      </w:tabs>
      <w:ind w:left="720" w:hanging="720"/>
    </w:pPr>
    <w:rPr>
      <w:rFonts w:ascii="Arial" w:hAnsi="Arial"/>
      <w:b w:val="0"/>
      <w:caps w:val="0"/>
    </w:rPr>
  </w:style>
  <w:style w:type="paragraph" w:customStyle="1" w:styleId="TSBullet1Square">
    <w:name w:val="TS Bullet 1 Square"/>
    <w:basedOn w:val="Normal"/>
    <w:rsid w:val="00341EC6"/>
    <w:pPr>
      <w:numPr>
        <w:numId w:val="22"/>
      </w:numPr>
      <w:spacing w:line="240" w:lineRule="auto"/>
      <w:contextualSpacing/>
    </w:pPr>
    <w:rPr>
      <w:rFonts w:eastAsia="Times New Roman" w:cs="Times New Roman"/>
      <w:sz w:val="22"/>
      <w:szCs w:val="24"/>
      <w:lang w:bidi="ar-SA"/>
    </w:rPr>
  </w:style>
  <w:style w:type="paragraph" w:customStyle="1" w:styleId="TSHeadingNumbered10">
    <w:name w:val="TS Heading Numbered 1."/>
    <w:basedOn w:val="Normal"/>
    <w:rsid w:val="00341EC6"/>
    <w:pPr>
      <w:tabs>
        <w:tab w:val="num" w:pos="-31680"/>
      </w:tabs>
      <w:spacing w:after="220" w:line="240" w:lineRule="auto"/>
      <w:ind w:left="720" w:hanging="720"/>
      <w:outlineLvl w:val="0"/>
    </w:pPr>
    <w:rPr>
      <w:rFonts w:ascii="Arial Bold" w:eastAsia="Times New Roman" w:hAnsi="Arial Bold" w:cs="Times New Roman"/>
      <w:b/>
      <w:caps/>
      <w:sz w:val="22"/>
      <w:szCs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317337">
      <w:bodyDiv w:val="1"/>
      <w:marLeft w:val="0"/>
      <w:marRight w:val="0"/>
      <w:marTop w:val="0"/>
      <w:marBottom w:val="0"/>
      <w:divBdr>
        <w:top w:val="none" w:sz="0" w:space="0" w:color="auto"/>
        <w:left w:val="none" w:sz="0" w:space="0" w:color="auto"/>
        <w:bottom w:val="none" w:sz="0" w:space="0" w:color="auto"/>
        <w:right w:val="none" w:sz="0" w:space="0" w:color="auto"/>
      </w:divBdr>
    </w:div>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104934709">
      <w:bodyDiv w:val="1"/>
      <w:marLeft w:val="0"/>
      <w:marRight w:val="0"/>
      <w:marTop w:val="0"/>
      <w:marBottom w:val="0"/>
      <w:divBdr>
        <w:top w:val="none" w:sz="0" w:space="0" w:color="auto"/>
        <w:left w:val="none" w:sz="0" w:space="0" w:color="auto"/>
        <w:bottom w:val="none" w:sz="0" w:space="0" w:color="auto"/>
        <w:right w:val="none" w:sz="0" w:space="0" w:color="auto"/>
      </w:divBdr>
    </w:div>
    <w:div w:id="125203843">
      <w:bodyDiv w:val="1"/>
      <w:marLeft w:val="0"/>
      <w:marRight w:val="0"/>
      <w:marTop w:val="0"/>
      <w:marBottom w:val="0"/>
      <w:divBdr>
        <w:top w:val="none" w:sz="0" w:space="0" w:color="auto"/>
        <w:left w:val="none" w:sz="0" w:space="0" w:color="auto"/>
        <w:bottom w:val="none" w:sz="0" w:space="0" w:color="auto"/>
        <w:right w:val="none" w:sz="0" w:space="0" w:color="auto"/>
      </w:divBdr>
    </w:div>
    <w:div w:id="125901934">
      <w:bodyDiv w:val="1"/>
      <w:marLeft w:val="0"/>
      <w:marRight w:val="0"/>
      <w:marTop w:val="0"/>
      <w:marBottom w:val="0"/>
      <w:divBdr>
        <w:top w:val="none" w:sz="0" w:space="0" w:color="auto"/>
        <w:left w:val="none" w:sz="0" w:space="0" w:color="auto"/>
        <w:bottom w:val="none" w:sz="0" w:space="0" w:color="auto"/>
        <w:right w:val="none" w:sz="0" w:space="0" w:color="auto"/>
      </w:divBdr>
    </w:div>
    <w:div w:id="126091852">
      <w:bodyDiv w:val="1"/>
      <w:marLeft w:val="0"/>
      <w:marRight w:val="0"/>
      <w:marTop w:val="0"/>
      <w:marBottom w:val="0"/>
      <w:divBdr>
        <w:top w:val="none" w:sz="0" w:space="0" w:color="auto"/>
        <w:left w:val="none" w:sz="0" w:space="0" w:color="auto"/>
        <w:bottom w:val="none" w:sz="0" w:space="0" w:color="auto"/>
        <w:right w:val="none" w:sz="0" w:space="0" w:color="auto"/>
      </w:divBdr>
    </w:div>
    <w:div w:id="145321344">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248782540">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337972170">
      <w:bodyDiv w:val="1"/>
      <w:marLeft w:val="0"/>
      <w:marRight w:val="0"/>
      <w:marTop w:val="0"/>
      <w:marBottom w:val="0"/>
      <w:divBdr>
        <w:top w:val="none" w:sz="0" w:space="0" w:color="auto"/>
        <w:left w:val="none" w:sz="0" w:space="0" w:color="auto"/>
        <w:bottom w:val="none" w:sz="0" w:space="0" w:color="auto"/>
        <w:right w:val="none" w:sz="0" w:space="0" w:color="auto"/>
      </w:divBdr>
    </w:div>
    <w:div w:id="359206945">
      <w:bodyDiv w:val="1"/>
      <w:marLeft w:val="0"/>
      <w:marRight w:val="0"/>
      <w:marTop w:val="0"/>
      <w:marBottom w:val="0"/>
      <w:divBdr>
        <w:top w:val="none" w:sz="0" w:space="0" w:color="auto"/>
        <w:left w:val="none" w:sz="0" w:space="0" w:color="auto"/>
        <w:bottom w:val="none" w:sz="0" w:space="0" w:color="auto"/>
        <w:right w:val="none" w:sz="0" w:space="0" w:color="auto"/>
      </w:divBdr>
    </w:div>
    <w:div w:id="374279303">
      <w:bodyDiv w:val="1"/>
      <w:marLeft w:val="0"/>
      <w:marRight w:val="0"/>
      <w:marTop w:val="0"/>
      <w:marBottom w:val="0"/>
      <w:divBdr>
        <w:top w:val="none" w:sz="0" w:space="0" w:color="auto"/>
        <w:left w:val="none" w:sz="0" w:space="0" w:color="auto"/>
        <w:bottom w:val="none" w:sz="0" w:space="0" w:color="auto"/>
        <w:right w:val="none" w:sz="0" w:space="0" w:color="auto"/>
      </w:divBdr>
    </w:div>
    <w:div w:id="376321167">
      <w:bodyDiv w:val="1"/>
      <w:marLeft w:val="0"/>
      <w:marRight w:val="0"/>
      <w:marTop w:val="0"/>
      <w:marBottom w:val="0"/>
      <w:divBdr>
        <w:top w:val="none" w:sz="0" w:space="0" w:color="auto"/>
        <w:left w:val="none" w:sz="0" w:space="0" w:color="auto"/>
        <w:bottom w:val="none" w:sz="0" w:space="0" w:color="auto"/>
        <w:right w:val="none" w:sz="0" w:space="0" w:color="auto"/>
      </w:divBdr>
    </w:div>
    <w:div w:id="405959248">
      <w:bodyDiv w:val="1"/>
      <w:marLeft w:val="0"/>
      <w:marRight w:val="0"/>
      <w:marTop w:val="0"/>
      <w:marBottom w:val="0"/>
      <w:divBdr>
        <w:top w:val="none" w:sz="0" w:space="0" w:color="auto"/>
        <w:left w:val="none" w:sz="0" w:space="0" w:color="auto"/>
        <w:bottom w:val="none" w:sz="0" w:space="0" w:color="auto"/>
        <w:right w:val="none" w:sz="0" w:space="0" w:color="auto"/>
      </w:divBdr>
    </w:div>
    <w:div w:id="415371538">
      <w:bodyDiv w:val="1"/>
      <w:marLeft w:val="0"/>
      <w:marRight w:val="0"/>
      <w:marTop w:val="0"/>
      <w:marBottom w:val="0"/>
      <w:divBdr>
        <w:top w:val="none" w:sz="0" w:space="0" w:color="auto"/>
        <w:left w:val="none" w:sz="0" w:space="0" w:color="auto"/>
        <w:bottom w:val="none" w:sz="0" w:space="0" w:color="auto"/>
        <w:right w:val="none" w:sz="0" w:space="0" w:color="auto"/>
      </w:divBdr>
    </w:div>
    <w:div w:id="418016898">
      <w:bodyDiv w:val="1"/>
      <w:marLeft w:val="0"/>
      <w:marRight w:val="0"/>
      <w:marTop w:val="0"/>
      <w:marBottom w:val="0"/>
      <w:divBdr>
        <w:top w:val="none" w:sz="0" w:space="0" w:color="auto"/>
        <w:left w:val="none" w:sz="0" w:space="0" w:color="auto"/>
        <w:bottom w:val="none" w:sz="0" w:space="0" w:color="auto"/>
        <w:right w:val="none" w:sz="0" w:space="0" w:color="auto"/>
      </w:divBdr>
    </w:div>
    <w:div w:id="443770639">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457142192">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570698859">
      <w:bodyDiv w:val="1"/>
      <w:marLeft w:val="0"/>
      <w:marRight w:val="0"/>
      <w:marTop w:val="0"/>
      <w:marBottom w:val="0"/>
      <w:divBdr>
        <w:top w:val="none" w:sz="0" w:space="0" w:color="auto"/>
        <w:left w:val="none" w:sz="0" w:space="0" w:color="auto"/>
        <w:bottom w:val="none" w:sz="0" w:space="0" w:color="auto"/>
        <w:right w:val="none" w:sz="0" w:space="0" w:color="auto"/>
      </w:divBdr>
    </w:div>
    <w:div w:id="576792205">
      <w:bodyDiv w:val="1"/>
      <w:marLeft w:val="0"/>
      <w:marRight w:val="0"/>
      <w:marTop w:val="0"/>
      <w:marBottom w:val="0"/>
      <w:divBdr>
        <w:top w:val="none" w:sz="0" w:space="0" w:color="auto"/>
        <w:left w:val="none" w:sz="0" w:space="0" w:color="auto"/>
        <w:bottom w:val="none" w:sz="0" w:space="0" w:color="auto"/>
        <w:right w:val="none" w:sz="0" w:space="0" w:color="auto"/>
      </w:divBdr>
    </w:div>
    <w:div w:id="637538493">
      <w:bodyDiv w:val="1"/>
      <w:marLeft w:val="0"/>
      <w:marRight w:val="0"/>
      <w:marTop w:val="0"/>
      <w:marBottom w:val="0"/>
      <w:divBdr>
        <w:top w:val="none" w:sz="0" w:space="0" w:color="auto"/>
        <w:left w:val="none" w:sz="0" w:space="0" w:color="auto"/>
        <w:bottom w:val="none" w:sz="0" w:space="0" w:color="auto"/>
        <w:right w:val="none" w:sz="0" w:space="0" w:color="auto"/>
      </w:divBdr>
    </w:div>
    <w:div w:id="640692447">
      <w:bodyDiv w:val="1"/>
      <w:marLeft w:val="0"/>
      <w:marRight w:val="0"/>
      <w:marTop w:val="0"/>
      <w:marBottom w:val="0"/>
      <w:divBdr>
        <w:top w:val="none" w:sz="0" w:space="0" w:color="auto"/>
        <w:left w:val="none" w:sz="0" w:space="0" w:color="auto"/>
        <w:bottom w:val="none" w:sz="0" w:space="0" w:color="auto"/>
        <w:right w:val="none" w:sz="0" w:space="0" w:color="auto"/>
      </w:divBdr>
    </w:div>
    <w:div w:id="642737146">
      <w:bodyDiv w:val="1"/>
      <w:marLeft w:val="0"/>
      <w:marRight w:val="0"/>
      <w:marTop w:val="0"/>
      <w:marBottom w:val="0"/>
      <w:divBdr>
        <w:top w:val="none" w:sz="0" w:space="0" w:color="auto"/>
        <w:left w:val="none" w:sz="0" w:space="0" w:color="auto"/>
        <w:bottom w:val="none" w:sz="0" w:space="0" w:color="auto"/>
        <w:right w:val="none" w:sz="0" w:space="0" w:color="auto"/>
      </w:divBdr>
    </w:div>
    <w:div w:id="681247004">
      <w:bodyDiv w:val="1"/>
      <w:marLeft w:val="0"/>
      <w:marRight w:val="0"/>
      <w:marTop w:val="0"/>
      <w:marBottom w:val="0"/>
      <w:divBdr>
        <w:top w:val="none" w:sz="0" w:space="0" w:color="auto"/>
        <w:left w:val="none" w:sz="0" w:space="0" w:color="auto"/>
        <w:bottom w:val="none" w:sz="0" w:space="0" w:color="auto"/>
        <w:right w:val="none" w:sz="0" w:space="0" w:color="auto"/>
      </w:divBdr>
    </w:div>
    <w:div w:id="712577831">
      <w:bodyDiv w:val="1"/>
      <w:marLeft w:val="0"/>
      <w:marRight w:val="0"/>
      <w:marTop w:val="0"/>
      <w:marBottom w:val="0"/>
      <w:divBdr>
        <w:top w:val="none" w:sz="0" w:space="0" w:color="auto"/>
        <w:left w:val="none" w:sz="0" w:space="0" w:color="auto"/>
        <w:bottom w:val="none" w:sz="0" w:space="0" w:color="auto"/>
        <w:right w:val="none" w:sz="0" w:space="0" w:color="auto"/>
      </w:divBdr>
    </w:div>
    <w:div w:id="734817124">
      <w:bodyDiv w:val="1"/>
      <w:marLeft w:val="0"/>
      <w:marRight w:val="0"/>
      <w:marTop w:val="0"/>
      <w:marBottom w:val="0"/>
      <w:divBdr>
        <w:top w:val="none" w:sz="0" w:space="0" w:color="auto"/>
        <w:left w:val="none" w:sz="0" w:space="0" w:color="auto"/>
        <w:bottom w:val="none" w:sz="0" w:space="0" w:color="auto"/>
        <w:right w:val="none" w:sz="0" w:space="0" w:color="auto"/>
      </w:divBdr>
    </w:div>
    <w:div w:id="739786397">
      <w:bodyDiv w:val="1"/>
      <w:marLeft w:val="0"/>
      <w:marRight w:val="0"/>
      <w:marTop w:val="0"/>
      <w:marBottom w:val="0"/>
      <w:divBdr>
        <w:top w:val="none" w:sz="0" w:space="0" w:color="auto"/>
        <w:left w:val="none" w:sz="0" w:space="0" w:color="auto"/>
        <w:bottom w:val="none" w:sz="0" w:space="0" w:color="auto"/>
        <w:right w:val="none" w:sz="0" w:space="0" w:color="auto"/>
      </w:divBdr>
    </w:div>
    <w:div w:id="751509287">
      <w:bodyDiv w:val="1"/>
      <w:marLeft w:val="0"/>
      <w:marRight w:val="0"/>
      <w:marTop w:val="0"/>
      <w:marBottom w:val="0"/>
      <w:divBdr>
        <w:top w:val="none" w:sz="0" w:space="0" w:color="auto"/>
        <w:left w:val="none" w:sz="0" w:space="0" w:color="auto"/>
        <w:bottom w:val="none" w:sz="0" w:space="0" w:color="auto"/>
        <w:right w:val="none" w:sz="0" w:space="0" w:color="auto"/>
      </w:divBdr>
    </w:div>
    <w:div w:id="775559594">
      <w:bodyDiv w:val="1"/>
      <w:marLeft w:val="0"/>
      <w:marRight w:val="0"/>
      <w:marTop w:val="0"/>
      <w:marBottom w:val="0"/>
      <w:divBdr>
        <w:top w:val="none" w:sz="0" w:space="0" w:color="auto"/>
        <w:left w:val="none" w:sz="0" w:space="0" w:color="auto"/>
        <w:bottom w:val="none" w:sz="0" w:space="0" w:color="auto"/>
        <w:right w:val="none" w:sz="0" w:space="0" w:color="auto"/>
      </w:divBdr>
    </w:div>
    <w:div w:id="796217409">
      <w:bodyDiv w:val="1"/>
      <w:marLeft w:val="0"/>
      <w:marRight w:val="0"/>
      <w:marTop w:val="0"/>
      <w:marBottom w:val="0"/>
      <w:divBdr>
        <w:top w:val="none" w:sz="0" w:space="0" w:color="auto"/>
        <w:left w:val="none" w:sz="0" w:space="0" w:color="auto"/>
        <w:bottom w:val="none" w:sz="0" w:space="0" w:color="auto"/>
        <w:right w:val="none" w:sz="0" w:space="0" w:color="auto"/>
      </w:divBdr>
    </w:div>
    <w:div w:id="824778561">
      <w:bodyDiv w:val="1"/>
      <w:marLeft w:val="0"/>
      <w:marRight w:val="0"/>
      <w:marTop w:val="0"/>
      <w:marBottom w:val="0"/>
      <w:divBdr>
        <w:top w:val="none" w:sz="0" w:space="0" w:color="auto"/>
        <w:left w:val="none" w:sz="0" w:space="0" w:color="auto"/>
        <w:bottom w:val="none" w:sz="0" w:space="0" w:color="auto"/>
        <w:right w:val="none" w:sz="0" w:space="0" w:color="auto"/>
      </w:divBdr>
    </w:div>
    <w:div w:id="854533998">
      <w:bodyDiv w:val="1"/>
      <w:marLeft w:val="0"/>
      <w:marRight w:val="0"/>
      <w:marTop w:val="0"/>
      <w:marBottom w:val="0"/>
      <w:divBdr>
        <w:top w:val="none" w:sz="0" w:space="0" w:color="auto"/>
        <w:left w:val="none" w:sz="0" w:space="0" w:color="auto"/>
        <w:bottom w:val="none" w:sz="0" w:space="0" w:color="auto"/>
        <w:right w:val="none" w:sz="0" w:space="0" w:color="auto"/>
      </w:divBdr>
    </w:div>
    <w:div w:id="868952351">
      <w:bodyDiv w:val="1"/>
      <w:marLeft w:val="0"/>
      <w:marRight w:val="0"/>
      <w:marTop w:val="0"/>
      <w:marBottom w:val="0"/>
      <w:divBdr>
        <w:top w:val="none" w:sz="0" w:space="0" w:color="auto"/>
        <w:left w:val="none" w:sz="0" w:space="0" w:color="auto"/>
        <w:bottom w:val="none" w:sz="0" w:space="0" w:color="auto"/>
        <w:right w:val="none" w:sz="0" w:space="0" w:color="auto"/>
      </w:divBdr>
    </w:div>
    <w:div w:id="883443641">
      <w:bodyDiv w:val="1"/>
      <w:marLeft w:val="0"/>
      <w:marRight w:val="0"/>
      <w:marTop w:val="0"/>
      <w:marBottom w:val="0"/>
      <w:divBdr>
        <w:top w:val="none" w:sz="0" w:space="0" w:color="auto"/>
        <w:left w:val="none" w:sz="0" w:space="0" w:color="auto"/>
        <w:bottom w:val="none" w:sz="0" w:space="0" w:color="auto"/>
        <w:right w:val="none" w:sz="0" w:space="0" w:color="auto"/>
      </w:divBdr>
    </w:div>
    <w:div w:id="915477244">
      <w:bodyDiv w:val="1"/>
      <w:marLeft w:val="0"/>
      <w:marRight w:val="0"/>
      <w:marTop w:val="0"/>
      <w:marBottom w:val="0"/>
      <w:divBdr>
        <w:top w:val="none" w:sz="0" w:space="0" w:color="auto"/>
        <w:left w:val="none" w:sz="0" w:space="0" w:color="auto"/>
        <w:bottom w:val="none" w:sz="0" w:space="0" w:color="auto"/>
        <w:right w:val="none" w:sz="0" w:space="0" w:color="auto"/>
      </w:divBdr>
    </w:div>
    <w:div w:id="945575606">
      <w:bodyDiv w:val="1"/>
      <w:marLeft w:val="0"/>
      <w:marRight w:val="0"/>
      <w:marTop w:val="0"/>
      <w:marBottom w:val="0"/>
      <w:divBdr>
        <w:top w:val="none" w:sz="0" w:space="0" w:color="auto"/>
        <w:left w:val="none" w:sz="0" w:space="0" w:color="auto"/>
        <w:bottom w:val="none" w:sz="0" w:space="0" w:color="auto"/>
        <w:right w:val="none" w:sz="0" w:space="0" w:color="auto"/>
      </w:divBdr>
    </w:div>
    <w:div w:id="960258485">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977566998">
      <w:bodyDiv w:val="1"/>
      <w:marLeft w:val="0"/>
      <w:marRight w:val="0"/>
      <w:marTop w:val="0"/>
      <w:marBottom w:val="0"/>
      <w:divBdr>
        <w:top w:val="none" w:sz="0" w:space="0" w:color="auto"/>
        <w:left w:val="none" w:sz="0" w:space="0" w:color="auto"/>
        <w:bottom w:val="none" w:sz="0" w:space="0" w:color="auto"/>
        <w:right w:val="none" w:sz="0" w:space="0" w:color="auto"/>
      </w:divBdr>
    </w:div>
    <w:div w:id="1021278048">
      <w:bodyDiv w:val="1"/>
      <w:marLeft w:val="0"/>
      <w:marRight w:val="0"/>
      <w:marTop w:val="0"/>
      <w:marBottom w:val="0"/>
      <w:divBdr>
        <w:top w:val="none" w:sz="0" w:space="0" w:color="auto"/>
        <w:left w:val="none" w:sz="0" w:space="0" w:color="auto"/>
        <w:bottom w:val="none" w:sz="0" w:space="0" w:color="auto"/>
        <w:right w:val="none" w:sz="0" w:space="0" w:color="auto"/>
      </w:divBdr>
    </w:div>
    <w:div w:id="1023945419">
      <w:bodyDiv w:val="1"/>
      <w:marLeft w:val="0"/>
      <w:marRight w:val="0"/>
      <w:marTop w:val="0"/>
      <w:marBottom w:val="0"/>
      <w:divBdr>
        <w:top w:val="none" w:sz="0" w:space="0" w:color="auto"/>
        <w:left w:val="none" w:sz="0" w:space="0" w:color="auto"/>
        <w:bottom w:val="none" w:sz="0" w:space="0" w:color="auto"/>
        <w:right w:val="none" w:sz="0" w:space="0" w:color="auto"/>
      </w:divBdr>
    </w:div>
    <w:div w:id="1115832587">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147477014">
      <w:bodyDiv w:val="1"/>
      <w:marLeft w:val="0"/>
      <w:marRight w:val="0"/>
      <w:marTop w:val="0"/>
      <w:marBottom w:val="0"/>
      <w:divBdr>
        <w:top w:val="none" w:sz="0" w:space="0" w:color="auto"/>
        <w:left w:val="none" w:sz="0" w:space="0" w:color="auto"/>
        <w:bottom w:val="none" w:sz="0" w:space="0" w:color="auto"/>
        <w:right w:val="none" w:sz="0" w:space="0" w:color="auto"/>
      </w:divBdr>
    </w:div>
    <w:div w:id="1173301118">
      <w:bodyDiv w:val="1"/>
      <w:marLeft w:val="0"/>
      <w:marRight w:val="0"/>
      <w:marTop w:val="0"/>
      <w:marBottom w:val="0"/>
      <w:divBdr>
        <w:top w:val="none" w:sz="0" w:space="0" w:color="auto"/>
        <w:left w:val="none" w:sz="0" w:space="0" w:color="auto"/>
        <w:bottom w:val="none" w:sz="0" w:space="0" w:color="auto"/>
        <w:right w:val="none" w:sz="0" w:space="0" w:color="auto"/>
      </w:divBdr>
    </w:div>
    <w:div w:id="1241134669">
      <w:bodyDiv w:val="1"/>
      <w:marLeft w:val="0"/>
      <w:marRight w:val="0"/>
      <w:marTop w:val="0"/>
      <w:marBottom w:val="0"/>
      <w:divBdr>
        <w:top w:val="none" w:sz="0" w:space="0" w:color="auto"/>
        <w:left w:val="none" w:sz="0" w:space="0" w:color="auto"/>
        <w:bottom w:val="none" w:sz="0" w:space="0" w:color="auto"/>
        <w:right w:val="none" w:sz="0" w:space="0" w:color="auto"/>
      </w:divBdr>
    </w:div>
    <w:div w:id="1352804160">
      <w:bodyDiv w:val="1"/>
      <w:marLeft w:val="0"/>
      <w:marRight w:val="0"/>
      <w:marTop w:val="0"/>
      <w:marBottom w:val="0"/>
      <w:divBdr>
        <w:top w:val="none" w:sz="0" w:space="0" w:color="auto"/>
        <w:left w:val="none" w:sz="0" w:space="0" w:color="auto"/>
        <w:bottom w:val="none" w:sz="0" w:space="0" w:color="auto"/>
        <w:right w:val="none" w:sz="0" w:space="0" w:color="auto"/>
      </w:divBdr>
    </w:div>
    <w:div w:id="1375807922">
      <w:bodyDiv w:val="1"/>
      <w:marLeft w:val="0"/>
      <w:marRight w:val="0"/>
      <w:marTop w:val="0"/>
      <w:marBottom w:val="0"/>
      <w:divBdr>
        <w:top w:val="none" w:sz="0" w:space="0" w:color="auto"/>
        <w:left w:val="none" w:sz="0" w:space="0" w:color="auto"/>
        <w:bottom w:val="none" w:sz="0" w:space="0" w:color="auto"/>
        <w:right w:val="none" w:sz="0" w:space="0" w:color="auto"/>
      </w:divBdr>
    </w:div>
    <w:div w:id="1378240040">
      <w:bodyDiv w:val="1"/>
      <w:marLeft w:val="0"/>
      <w:marRight w:val="0"/>
      <w:marTop w:val="0"/>
      <w:marBottom w:val="0"/>
      <w:divBdr>
        <w:top w:val="none" w:sz="0" w:space="0" w:color="auto"/>
        <w:left w:val="none" w:sz="0" w:space="0" w:color="auto"/>
        <w:bottom w:val="none" w:sz="0" w:space="0" w:color="auto"/>
        <w:right w:val="none" w:sz="0" w:space="0" w:color="auto"/>
      </w:divBdr>
    </w:div>
    <w:div w:id="1394965834">
      <w:bodyDiv w:val="1"/>
      <w:marLeft w:val="0"/>
      <w:marRight w:val="0"/>
      <w:marTop w:val="0"/>
      <w:marBottom w:val="0"/>
      <w:divBdr>
        <w:top w:val="none" w:sz="0" w:space="0" w:color="auto"/>
        <w:left w:val="none" w:sz="0" w:space="0" w:color="auto"/>
        <w:bottom w:val="none" w:sz="0" w:space="0" w:color="auto"/>
        <w:right w:val="none" w:sz="0" w:space="0" w:color="auto"/>
      </w:divBdr>
    </w:div>
    <w:div w:id="1404329292">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469203496">
      <w:bodyDiv w:val="1"/>
      <w:marLeft w:val="0"/>
      <w:marRight w:val="0"/>
      <w:marTop w:val="0"/>
      <w:marBottom w:val="0"/>
      <w:divBdr>
        <w:top w:val="none" w:sz="0" w:space="0" w:color="auto"/>
        <w:left w:val="none" w:sz="0" w:space="0" w:color="auto"/>
        <w:bottom w:val="none" w:sz="0" w:space="0" w:color="auto"/>
        <w:right w:val="none" w:sz="0" w:space="0" w:color="auto"/>
      </w:divBdr>
    </w:div>
    <w:div w:id="1491216138">
      <w:bodyDiv w:val="1"/>
      <w:marLeft w:val="0"/>
      <w:marRight w:val="0"/>
      <w:marTop w:val="0"/>
      <w:marBottom w:val="0"/>
      <w:divBdr>
        <w:top w:val="none" w:sz="0" w:space="0" w:color="auto"/>
        <w:left w:val="none" w:sz="0" w:space="0" w:color="auto"/>
        <w:bottom w:val="none" w:sz="0" w:space="0" w:color="auto"/>
        <w:right w:val="none" w:sz="0" w:space="0" w:color="auto"/>
      </w:divBdr>
    </w:div>
    <w:div w:id="1519544188">
      <w:bodyDiv w:val="1"/>
      <w:marLeft w:val="0"/>
      <w:marRight w:val="0"/>
      <w:marTop w:val="0"/>
      <w:marBottom w:val="0"/>
      <w:divBdr>
        <w:top w:val="none" w:sz="0" w:space="0" w:color="auto"/>
        <w:left w:val="none" w:sz="0" w:space="0" w:color="auto"/>
        <w:bottom w:val="none" w:sz="0" w:space="0" w:color="auto"/>
        <w:right w:val="none" w:sz="0" w:space="0" w:color="auto"/>
      </w:divBdr>
    </w:div>
    <w:div w:id="1571230406">
      <w:bodyDiv w:val="1"/>
      <w:marLeft w:val="0"/>
      <w:marRight w:val="0"/>
      <w:marTop w:val="0"/>
      <w:marBottom w:val="0"/>
      <w:divBdr>
        <w:top w:val="none" w:sz="0" w:space="0" w:color="auto"/>
        <w:left w:val="none" w:sz="0" w:space="0" w:color="auto"/>
        <w:bottom w:val="none" w:sz="0" w:space="0" w:color="auto"/>
        <w:right w:val="none" w:sz="0" w:space="0" w:color="auto"/>
      </w:divBdr>
    </w:div>
    <w:div w:id="1585069515">
      <w:bodyDiv w:val="1"/>
      <w:marLeft w:val="0"/>
      <w:marRight w:val="0"/>
      <w:marTop w:val="0"/>
      <w:marBottom w:val="0"/>
      <w:divBdr>
        <w:top w:val="none" w:sz="0" w:space="0" w:color="auto"/>
        <w:left w:val="none" w:sz="0" w:space="0" w:color="auto"/>
        <w:bottom w:val="none" w:sz="0" w:space="0" w:color="auto"/>
        <w:right w:val="none" w:sz="0" w:space="0" w:color="auto"/>
      </w:divBdr>
    </w:div>
    <w:div w:id="1592737908">
      <w:bodyDiv w:val="1"/>
      <w:marLeft w:val="0"/>
      <w:marRight w:val="0"/>
      <w:marTop w:val="0"/>
      <w:marBottom w:val="0"/>
      <w:divBdr>
        <w:top w:val="none" w:sz="0" w:space="0" w:color="auto"/>
        <w:left w:val="none" w:sz="0" w:space="0" w:color="auto"/>
        <w:bottom w:val="none" w:sz="0" w:space="0" w:color="auto"/>
        <w:right w:val="none" w:sz="0" w:space="0" w:color="auto"/>
      </w:divBdr>
    </w:div>
    <w:div w:id="1595939768">
      <w:bodyDiv w:val="1"/>
      <w:marLeft w:val="0"/>
      <w:marRight w:val="0"/>
      <w:marTop w:val="0"/>
      <w:marBottom w:val="0"/>
      <w:divBdr>
        <w:top w:val="none" w:sz="0" w:space="0" w:color="auto"/>
        <w:left w:val="none" w:sz="0" w:space="0" w:color="auto"/>
        <w:bottom w:val="none" w:sz="0" w:space="0" w:color="auto"/>
        <w:right w:val="none" w:sz="0" w:space="0" w:color="auto"/>
      </w:divBdr>
    </w:div>
    <w:div w:id="1603999183">
      <w:bodyDiv w:val="1"/>
      <w:marLeft w:val="0"/>
      <w:marRight w:val="0"/>
      <w:marTop w:val="0"/>
      <w:marBottom w:val="0"/>
      <w:divBdr>
        <w:top w:val="none" w:sz="0" w:space="0" w:color="auto"/>
        <w:left w:val="none" w:sz="0" w:space="0" w:color="auto"/>
        <w:bottom w:val="none" w:sz="0" w:space="0" w:color="auto"/>
        <w:right w:val="none" w:sz="0" w:space="0" w:color="auto"/>
      </w:divBdr>
    </w:div>
    <w:div w:id="1617711211">
      <w:bodyDiv w:val="1"/>
      <w:marLeft w:val="0"/>
      <w:marRight w:val="0"/>
      <w:marTop w:val="0"/>
      <w:marBottom w:val="0"/>
      <w:divBdr>
        <w:top w:val="none" w:sz="0" w:space="0" w:color="auto"/>
        <w:left w:val="none" w:sz="0" w:space="0" w:color="auto"/>
        <w:bottom w:val="none" w:sz="0" w:space="0" w:color="auto"/>
        <w:right w:val="none" w:sz="0" w:space="0" w:color="auto"/>
      </w:divBdr>
    </w:div>
    <w:div w:id="1622107169">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637493299">
      <w:bodyDiv w:val="1"/>
      <w:marLeft w:val="0"/>
      <w:marRight w:val="0"/>
      <w:marTop w:val="0"/>
      <w:marBottom w:val="0"/>
      <w:divBdr>
        <w:top w:val="none" w:sz="0" w:space="0" w:color="auto"/>
        <w:left w:val="none" w:sz="0" w:space="0" w:color="auto"/>
        <w:bottom w:val="none" w:sz="0" w:space="0" w:color="auto"/>
        <w:right w:val="none" w:sz="0" w:space="0" w:color="auto"/>
      </w:divBdr>
    </w:div>
    <w:div w:id="1668627092">
      <w:bodyDiv w:val="1"/>
      <w:marLeft w:val="0"/>
      <w:marRight w:val="0"/>
      <w:marTop w:val="0"/>
      <w:marBottom w:val="0"/>
      <w:divBdr>
        <w:top w:val="none" w:sz="0" w:space="0" w:color="auto"/>
        <w:left w:val="none" w:sz="0" w:space="0" w:color="auto"/>
        <w:bottom w:val="none" w:sz="0" w:space="0" w:color="auto"/>
        <w:right w:val="none" w:sz="0" w:space="0" w:color="auto"/>
      </w:divBdr>
    </w:div>
    <w:div w:id="1678195797">
      <w:bodyDiv w:val="1"/>
      <w:marLeft w:val="0"/>
      <w:marRight w:val="0"/>
      <w:marTop w:val="0"/>
      <w:marBottom w:val="0"/>
      <w:divBdr>
        <w:top w:val="none" w:sz="0" w:space="0" w:color="auto"/>
        <w:left w:val="none" w:sz="0" w:space="0" w:color="auto"/>
        <w:bottom w:val="none" w:sz="0" w:space="0" w:color="auto"/>
        <w:right w:val="none" w:sz="0" w:space="0" w:color="auto"/>
      </w:divBdr>
    </w:div>
    <w:div w:id="1689595748">
      <w:bodyDiv w:val="1"/>
      <w:marLeft w:val="0"/>
      <w:marRight w:val="0"/>
      <w:marTop w:val="0"/>
      <w:marBottom w:val="0"/>
      <w:divBdr>
        <w:top w:val="none" w:sz="0" w:space="0" w:color="auto"/>
        <w:left w:val="none" w:sz="0" w:space="0" w:color="auto"/>
        <w:bottom w:val="none" w:sz="0" w:space="0" w:color="auto"/>
        <w:right w:val="none" w:sz="0" w:space="0" w:color="auto"/>
      </w:divBdr>
    </w:div>
    <w:div w:id="1709406660">
      <w:bodyDiv w:val="1"/>
      <w:marLeft w:val="0"/>
      <w:marRight w:val="0"/>
      <w:marTop w:val="0"/>
      <w:marBottom w:val="0"/>
      <w:divBdr>
        <w:top w:val="none" w:sz="0" w:space="0" w:color="auto"/>
        <w:left w:val="none" w:sz="0" w:space="0" w:color="auto"/>
        <w:bottom w:val="none" w:sz="0" w:space="0" w:color="auto"/>
        <w:right w:val="none" w:sz="0" w:space="0" w:color="auto"/>
      </w:divBdr>
    </w:div>
    <w:div w:id="1714764567">
      <w:bodyDiv w:val="1"/>
      <w:marLeft w:val="0"/>
      <w:marRight w:val="0"/>
      <w:marTop w:val="0"/>
      <w:marBottom w:val="0"/>
      <w:divBdr>
        <w:top w:val="none" w:sz="0" w:space="0" w:color="auto"/>
        <w:left w:val="none" w:sz="0" w:space="0" w:color="auto"/>
        <w:bottom w:val="none" w:sz="0" w:space="0" w:color="auto"/>
        <w:right w:val="none" w:sz="0" w:space="0" w:color="auto"/>
      </w:divBdr>
    </w:div>
    <w:div w:id="1726634341">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09322043">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1824731720">
      <w:bodyDiv w:val="1"/>
      <w:marLeft w:val="0"/>
      <w:marRight w:val="0"/>
      <w:marTop w:val="0"/>
      <w:marBottom w:val="0"/>
      <w:divBdr>
        <w:top w:val="none" w:sz="0" w:space="0" w:color="auto"/>
        <w:left w:val="none" w:sz="0" w:space="0" w:color="auto"/>
        <w:bottom w:val="none" w:sz="0" w:space="0" w:color="auto"/>
        <w:right w:val="none" w:sz="0" w:space="0" w:color="auto"/>
      </w:divBdr>
    </w:div>
    <w:div w:id="1830749990">
      <w:bodyDiv w:val="1"/>
      <w:marLeft w:val="0"/>
      <w:marRight w:val="0"/>
      <w:marTop w:val="0"/>
      <w:marBottom w:val="0"/>
      <w:divBdr>
        <w:top w:val="none" w:sz="0" w:space="0" w:color="auto"/>
        <w:left w:val="none" w:sz="0" w:space="0" w:color="auto"/>
        <w:bottom w:val="none" w:sz="0" w:space="0" w:color="auto"/>
        <w:right w:val="none" w:sz="0" w:space="0" w:color="auto"/>
      </w:divBdr>
    </w:div>
    <w:div w:id="1833400586">
      <w:bodyDiv w:val="1"/>
      <w:marLeft w:val="0"/>
      <w:marRight w:val="0"/>
      <w:marTop w:val="0"/>
      <w:marBottom w:val="0"/>
      <w:divBdr>
        <w:top w:val="none" w:sz="0" w:space="0" w:color="auto"/>
        <w:left w:val="none" w:sz="0" w:space="0" w:color="auto"/>
        <w:bottom w:val="none" w:sz="0" w:space="0" w:color="auto"/>
        <w:right w:val="none" w:sz="0" w:space="0" w:color="auto"/>
      </w:divBdr>
    </w:div>
    <w:div w:id="1836604331">
      <w:bodyDiv w:val="1"/>
      <w:marLeft w:val="0"/>
      <w:marRight w:val="0"/>
      <w:marTop w:val="0"/>
      <w:marBottom w:val="0"/>
      <w:divBdr>
        <w:top w:val="none" w:sz="0" w:space="0" w:color="auto"/>
        <w:left w:val="none" w:sz="0" w:space="0" w:color="auto"/>
        <w:bottom w:val="none" w:sz="0" w:space="0" w:color="auto"/>
        <w:right w:val="none" w:sz="0" w:space="0" w:color="auto"/>
      </w:divBdr>
    </w:div>
    <w:div w:id="1837383639">
      <w:bodyDiv w:val="1"/>
      <w:marLeft w:val="0"/>
      <w:marRight w:val="0"/>
      <w:marTop w:val="0"/>
      <w:marBottom w:val="0"/>
      <w:divBdr>
        <w:top w:val="none" w:sz="0" w:space="0" w:color="auto"/>
        <w:left w:val="none" w:sz="0" w:space="0" w:color="auto"/>
        <w:bottom w:val="none" w:sz="0" w:space="0" w:color="auto"/>
        <w:right w:val="none" w:sz="0" w:space="0" w:color="auto"/>
      </w:divBdr>
    </w:div>
    <w:div w:id="1846049114">
      <w:bodyDiv w:val="1"/>
      <w:marLeft w:val="0"/>
      <w:marRight w:val="0"/>
      <w:marTop w:val="0"/>
      <w:marBottom w:val="0"/>
      <w:divBdr>
        <w:top w:val="none" w:sz="0" w:space="0" w:color="auto"/>
        <w:left w:val="none" w:sz="0" w:space="0" w:color="auto"/>
        <w:bottom w:val="none" w:sz="0" w:space="0" w:color="auto"/>
        <w:right w:val="none" w:sz="0" w:space="0" w:color="auto"/>
      </w:divBdr>
    </w:div>
    <w:div w:id="1932540604">
      <w:bodyDiv w:val="1"/>
      <w:marLeft w:val="0"/>
      <w:marRight w:val="0"/>
      <w:marTop w:val="0"/>
      <w:marBottom w:val="0"/>
      <w:divBdr>
        <w:top w:val="none" w:sz="0" w:space="0" w:color="auto"/>
        <w:left w:val="none" w:sz="0" w:space="0" w:color="auto"/>
        <w:bottom w:val="none" w:sz="0" w:space="0" w:color="auto"/>
        <w:right w:val="none" w:sz="0" w:space="0" w:color="auto"/>
      </w:divBdr>
    </w:div>
    <w:div w:id="1989088391">
      <w:bodyDiv w:val="1"/>
      <w:marLeft w:val="0"/>
      <w:marRight w:val="0"/>
      <w:marTop w:val="0"/>
      <w:marBottom w:val="0"/>
      <w:divBdr>
        <w:top w:val="none" w:sz="0" w:space="0" w:color="auto"/>
        <w:left w:val="none" w:sz="0" w:space="0" w:color="auto"/>
        <w:bottom w:val="none" w:sz="0" w:space="0" w:color="auto"/>
        <w:right w:val="none" w:sz="0" w:space="0" w:color="auto"/>
      </w:divBdr>
    </w:div>
    <w:div w:id="2036269988">
      <w:bodyDiv w:val="1"/>
      <w:marLeft w:val="0"/>
      <w:marRight w:val="0"/>
      <w:marTop w:val="0"/>
      <w:marBottom w:val="0"/>
      <w:divBdr>
        <w:top w:val="none" w:sz="0" w:space="0" w:color="auto"/>
        <w:left w:val="none" w:sz="0" w:space="0" w:color="auto"/>
        <w:bottom w:val="none" w:sz="0" w:space="0" w:color="auto"/>
        <w:right w:val="none" w:sz="0" w:space="0" w:color="auto"/>
      </w:divBdr>
    </w:div>
    <w:div w:id="2059864005">
      <w:bodyDiv w:val="1"/>
      <w:marLeft w:val="0"/>
      <w:marRight w:val="0"/>
      <w:marTop w:val="0"/>
      <w:marBottom w:val="0"/>
      <w:divBdr>
        <w:top w:val="none" w:sz="0" w:space="0" w:color="auto"/>
        <w:left w:val="none" w:sz="0" w:space="0" w:color="auto"/>
        <w:bottom w:val="none" w:sz="0" w:space="0" w:color="auto"/>
        <w:right w:val="none" w:sz="0" w:space="0" w:color="auto"/>
      </w:divBdr>
    </w:div>
    <w:div w:id="2061248214">
      <w:bodyDiv w:val="1"/>
      <w:marLeft w:val="0"/>
      <w:marRight w:val="0"/>
      <w:marTop w:val="0"/>
      <w:marBottom w:val="0"/>
      <w:divBdr>
        <w:top w:val="none" w:sz="0" w:space="0" w:color="auto"/>
        <w:left w:val="none" w:sz="0" w:space="0" w:color="auto"/>
        <w:bottom w:val="none" w:sz="0" w:space="0" w:color="auto"/>
        <w:right w:val="none" w:sz="0" w:space="0" w:color="auto"/>
      </w:divBdr>
    </w:div>
    <w:div w:id="2063824844">
      <w:bodyDiv w:val="1"/>
      <w:marLeft w:val="0"/>
      <w:marRight w:val="0"/>
      <w:marTop w:val="0"/>
      <w:marBottom w:val="0"/>
      <w:divBdr>
        <w:top w:val="none" w:sz="0" w:space="0" w:color="auto"/>
        <w:left w:val="none" w:sz="0" w:space="0" w:color="auto"/>
        <w:bottom w:val="none" w:sz="0" w:space="0" w:color="auto"/>
        <w:right w:val="none" w:sz="0" w:space="0" w:color="auto"/>
      </w:divBdr>
    </w:div>
    <w:div w:id="2081512726">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107340830">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 w:id="2127233709">
      <w:bodyDiv w:val="1"/>
      <w:marLeft w:val="0"/>
      <w:marRight w:val="0"/>
      <w:marTop w:val="0"/>
      <w:marBottom w:val="0"/>
      <w:divBdr>
        <w:top w:val="none" w:sz="0" w:space="0" w:color="auto"/>
        <w:left w:val="none" w:sz="0" w:space="0" w:color="auto"/>
        <w:bottom w:val="none" w:sz="0" w:space="0" w:color="auto"/>
        <w:right w:val="none" w:sz="0" w:space="0" w:color="auto"/>
      </w:divBdr>
    </w:div>
    <w:div w:id="2140608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eader" Target="header4.xml"/><Relationship Id="rId3" Type="http://schemas.openxmlformats.org/officeDocument/2006/relationships/customXml" Target="../customXml/item2.xml"/><Relationship Id="rId21" Type="http://schemas.openxmlformats.org/officeDocument/2006/relationships/footer" Target="footer6.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oter" Target="footer4.xml"/><Relationship Id="rId25"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oter" Target="footer3.xml"/><Relationship Id="rId20" Type="http://schemas.openxmlformats.org/officeDocument/2006/relationships/footer" Target="footer5.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eader" Target="header1.xml"/><Relationship Id="rId24" Type="http://schemas.openxmlformats.org/officeDocument/2006/relationships/glossaryDocument" Target="glossary/document.xml"/><Relationship Id="rId5" Type="http://schemas.openxmlformats.org/officeDocument/2006/relationships/styles" Target="styles.xml"/><Relationship Id="rId15" Type="http://schemas.openxmlformats.org/officeDocument/2006/relationships/header" Target="header3.xml"/><Relationship Id="rId23"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header" Target="header5.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unning\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4884182EA6147FEB1141AA6A676324E"/>
        <w:category>
          <w:name w:val="General"/>
          <w:gallery w:val="placeholder"/>
        </w:category>
        <w:types>
          <w:type w:val="bbPlcHdr"/>
        </w:types>
        <w:behaviors>
          <w:behavior w:val="content"/>
        </w:behaviors>
        <w:guid w:val="{32A6E305-BE02-4C8F-BFC9-0147FC0497BB}"/>
      </w:docPartPr>
      <w:docPartBody>
        <w:p w:rsidR="00E318CE" w:rsidRDefault="00350199">
          <w:r w:rsidRPr="0069507A">
            <w:rPr>
              <w:rStyle w:val="PlaceholderText"/>
            </w:rPr>
            <w:t>[Title]</w:t>
          </w:r>
        </w:p>
      </w:docPartBody>
    </w:docPart>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350199">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E646E1">
          <w:r w:rsidRPr="00561874">
            <w:rPr>
              <w:rStyle w:val="PlaceholderText"/>
            </w:rPr>
            <w:t>[Title]</w:t>
          </w:r>
        </w:p>
      </w:docPartBody>
    </w:docPart>
    <w:docPart>
      <w:docPartPr>
        <w:name w:val="1773E824CD9F477BB864AD976AEFC2AE"/>
        <w:category>
          <w:name w:val="General"/>
          <w:gallery w:val="placeholder"/>
        </w:category>
        <w:types>
          <w:type w:val="bbPlcHdr"/>
        </w:types>
        <w:behaviors>
          <w:behavior w:val="content"/>
        </w:behaviors>
        <w:guid w:val="{7C9FD058-D468-49CF-A926-78CF9E35620F}"/>
      </w:docPartPr>
      <w:docPartBody>
        <w:p w:rsidR="00A031C4" w:rsidRDefault="00DD7BA4">
          <w:r w:rsidRPr="00D1240B">
            <w:rPr>
              <w:rStyle w:val="PlaceholderText"/>
            </w:rPr>
            <w:t>[Status]</w:t>
          </w:r>
        </w:p>
      </w:docPartBody>
    </w:docPart>
    <w:docPart>
      <w:docPartPr>
        <w:name w:val="0F8C41C7728442EB8FE7D8DF07580346"/>
        <w:category>
          <w:name w:val="General"/>
          <w:gallery w:val="placeholder"/>
        </w:category>
        <w:types>
          <w:type w:val="bbPlcHdr"/>
        </w:types>
        <w:behaviors>
          <w:behavior w:val="content"/>
        </w:behaviors>
        <w:guid w:val="{FA312F90-1C55-4026-BDB8-1BF8DFF41BB0}"/>
      </w:docPartPr>
      <w:docPartBody>
        <w:p w:rsidR="0041719E" w:rsidRDefault="00A031C4" w:rsidP="00A031C4">
          <w:pPr>
            <w:pStyle w:val="0F8C41C7728442EB8FE7D8DF07580346"/>
          </w:pPr>
          <w:r>
            <w:rPr>
              <w:color w:val="4472C4" w:themeColor="accent1"/>
              <w:sz w:val="28"/>
              <w:szCs w:val="28"/>
            </w:rPr>
            <w:t>[Approver]</w:t>
          </w:r>
        </w:p>
      </w:docPartBody>
    </w:docPart>
    <w:docPart>
      <w:docPartPr>
        <w:name w:val="8C97365EA9D2487FBF247098DA472D4E"/>
        <w:category>
          <w:name w:val="General"/>
          <w:gallery w:val="placeholder"/>
        </w:category>
        <w:types>
          <w:type w:val="bbPlcHdr"/>
        </w:types>
        <w:behaviors>
          <w:behavior w:val="content"/>
        </w:behaviors>
        <w:guid w:val="{923FF793-61D0-43C7-AF39-CADABD0DEA02}"/>
      </w:docPartPr>
      <w:docPartBody>
        <w:p w:rsidR="0041719E" w:rsidRDefault="00A031C4" w:rsidP="00A031C4">
          <w:pPr>
            <w:pStyle w:val="8C97365EA9D2487FBF247098DA472D4E"/>
          </w:pPr>
          <w:r w:rsidRPr="00D1240B">
            <w:rPr>
              <w:rStyle w:val="PlaceholderText"/>
            </w:rPr>
            <w:t>[Status]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altName w:val="Arial"/>
    <w:panose1 w:val="020B07040202020202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151509"/>
    <w:rsid w:val="001F6129"/>
    <w:rsid w:val="002869B9"/>
    <w:rsid w:val="00350199"/>
    <w:rsid w:val="003709EE"/>
    <w:rsid w:val="00400E39"/>
    <w:rsid w:val="00414F84"/>
    <w:rsid w:val="0041719E"/>
    <w:rsid w:val="0049021F"/>
    <w:rsid w:val="004B4734"/>
    <w:rsid w:val="004C3699"/>
    <w:rsid w:val="006B61D4"/>
    <w:rsid w:val="006E7D11"/>
    <w:rsid w:val="00812788"/>
    <w:rsid w:val="00A031C4"/>
    <w:rsid w:val="00B15879"/>
    <w:rsid w:val="00BB1350"/>
    <w:rsid w:val="00C55D5F"/>
    <w:rsid w:val="00C75F75"/>
    <w:rsid w:val="00CB0473"/>
    <w:rsid w:val="00DD7BA4"/>
    <w:rsid w:val="00E26C99"/>
    <w:rsid w:val="00E318CE"/>
    <w:rsid w:val="00E646E1"/>
    <w:rsid w:val="00F41AE2"/>
    <w:rsid w:val="00F466D8"/>
    <w:rsid w:val="00F7419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C3699"/>
    <w:rPr>
      <w:color w:val="808080"/>
    </w:rPr>
  </w:style>
  <w:style w:type="paragraph" w:customStyle="1" w:styleId="0F8C41C7728442EB8FE7D8DF07580346">
    <w:name w:val="0F8C41C7728442EB8FE7D8DF07580346"/>
    <w:rsid w:val="00A031C4"/>
  </w:style>
  <w:style w:type="paragraph" w:customStyle="1" w:styleId="8C97365EA9D2487FBF247098DA472D4E">
    <w:name w:val="8C97365EA9D2487FBF247098DA472D4E"/>
    <w:rsid w:val="00A031C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IEEE2006OfficeOnline.xsl" StyleName="IEEE" Version="2006">
  <b:Source>
    <b:Tag>ONRStaffHbook</b:Tag>
    <b:SourceType>InternetSite</b:SourceType>
    <b:Guid>{81E25B81-0191-4F63-B5D1-FECEC69DE00B}</b:Guid>
    <b:Title>ONR Staff Handbook - Problems at Work</b:Title>
    <b:Author>
      <b:Author>
        <b:Corporate>ONR</b:Corporate>
      </b:Author>
    </b:Author>
    <b:URL>https://onr.kahootz.com/ONRIntranet/view?objectId=21896176</b:URL>
    <b:RefOrder>1</b:RefOrder>
  </b:Source>
  <b:Source>
    <b:Tag>ProtDisc</b:Tag>
    <b:SourceType>DocumentFromInternetSite</b:SourceType>
    <b:Guid>{0FC311E9-F475-4A06-A308-E66F5D5939C2}</b:Guid>
    <b:Title>ESO-WB-PROC-001 - Whistleblowing</b:Title>
    <b:Author>
      <b:Author>
        <b:Corporate>ONR</b:Corporate>
      </b:Author>
    </b:Author>
    <b:URL>https://how2.prod.onr.gov.uk/CtrlWebIsapi.dll/221C29994EBE4CDCAD115BF0C7B6A48F.cwl?__id=webFile.save&amp;doc=735537046A324E2C97EDEF60C976B15C&amp;dpt=1&amp;save=1</b:URL>
    <b:RefOrder>3</b:RefOrder>
  </b:Source>
  <b:Source>
    <b:Tag>ONRRegOver</b:Tag>
    <b:SourceType>DocumentFromInternetSite</b:SourceType>
    <b:Guid>{2528BCD4-B8D9-4D77-B42F-AB9CC66611C8}</b:Guid>
    <b:Title>ONR-TD-GD-001 - Regulatory Oversight Process</b:Title>
    <b:Author>
      <b:Author>
        <b:Corporate>ONR</b:Corporate>
      </b:Author>
    </b:Author>
    <b:URL>https://how2.prod.onr.gov.uk/CtrlWebIsapi.dll/C619FC5214B34A719EAFAC8F2DAE959F.cwl?__id=webFile.save&amp;doc=FC4292D5D3F24F6FA0B8E4053BAEA82E&amp;dpt=1&amp;save=1</b:URL>
    <b:RefOrder>2</b:RefOrder>
  </b:Source>
  <b:Source>
    <b:Tag>RLI</b:Tag>
    <b:SourceType>DocumentFromInternetSite</b:SourceType>
    <b:Guid>{89379883-46D8-44FD-9390-37F155D20EFA}</b:Guid>
    <b:Title>ONR-RLI-GD-001 - ONR Review-Learn-Improve Process</b:Title>
    <b:Author>
      <b:Author>
        <b:Corporate>ONR</b:Corporate>
      </b:Author>
    </b:Author>
    <b:URL>https://how2.prod.onr.gov.uk/CtrlWebIsapi.dll/4DCF79255EAE4D94A40F620CFE2D77F7.cwl?__id=webFile.save&amp;doc=EA2A9A8C905F414DACA7D58CC083B8F4&amp;dpt=1&amp;save=1</b:URL>
    <b:RefOrder>6</b:RefOrder>
  </b:Source>
  <b:Source>
    <b:Tag>IAE18</b:Tag>
    <b:SourceType>Report</b:SourceType>
    <b:Guid>{E6B06A6A-EBF1-402B-BB2D-88666136651D}</b:Guid>
    <b:Author>
      <b:Author>
        <b:Corporate>IAEA</b:Corporate>
      </b:Author>
    </b:Author>
    <b:Title>GSG-12 - Organization, Management and Staffing of the Regulatory Body for Safety</b:Title>
    <b:Year>2018</b:Year>
    <b:Publisher>International Atomic Energy Agency (IAEA)</b:Publisher>
    <b:City>Geneva</b:City>
    <b:RefOrder>5</b:RefOrder>
  </b:Source>
  <b:Source>
    <b:Tag>NEASafCulture</b:Tag>
    <b:SourceType>InternetSite</b:SourceType>
    <b:Guid>{6403B00F-1026-41A8-8CB1-3FCC3608A07A}</b:Guid>
    <b:Title>The Safety Culture of an Effective Nuclear Regulatory Body</b:Title>
    <b:Author>
      <b:Author>
        <b:Corporate>NEA</b:Corporate>
      </b:Author>
    </b:Author>
    <b:URL>https://www.oecd-nea.org/jcms/pl_14948/the-safety-culture-of-an-effective-nuclear-regulatory-body?details=true</b:URL>
    <b:RefOrder>4</b:RefOrder>
  </b:Source>
</b:Sourc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0BC5131-562E-42BF-9D3D-4D93747E56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0</TotalTime>
  <Pages>13</Pages>
  <Words>2876</Words>
  <Characters>16397</Characters>
  <Application>Microsoft Office Word</Application>
  <DocSecurity>4</DocSecurity>
  <Lines>136</Lines>
  <Paragraphs>38</Paragraphs>
  <ScaleCrop>false</ScaleCrop>
  <HeadingPairs>
    <vt:vector size="2" baseType="variant">
      <vt:variant>
        <vt:lpstr>Title</vt:lpstr>
      </vt:variant>
      <vt:variant>
        <vt:i4>1</vt:i4>
      </vt:variant>
    </vt:vector>
  </HeadingPairs>
  <TitlesOfParts>
    <vt:vector size="1" baseType="lpstr">
      <vt:lpstr>Resolving Differences of Regulatory Opinion</vt:lpstr>
    </vt:vector>
  </TitlesOfParts>
  <Manager>Office for Nuclear Regulation</Manager>
  <Company>Office for Nuclear Regulation</Company>
  <LinksUpToDate>false</LinksUpToDate>
  <CharactersWithSpaces>19235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Resolving Differences of Regulatory Opinion</dc:title>
  <dc:subject>[Subtitle or description]</dc:subject>
  <cp:keywords>[Key words separated by commas]</cp:keywords>
  <dc:description/>
  <cp:revision>2</cp:revision>
  <cp:lastPrinted>2022-10-26T13:36:00Z</cp:lastPrinted>
  <dcterms:created xsi:type="dcterms:W3CDTF">2022-12-22T08:03:00Z</dcterms:created>
  <dcterms:modified xsi:type="dcterms:W3CDTF">2022-12-22T08:03:00Z</dcterms:modified>
  <cp:contentStatus>5.1</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ies>
</file>