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83B9240" w:rsidR="00595C8C" w:rsidRPr="00595C8C" w:rsidRDefault="00595C8C" w:rsidP="00595C8C">
            <w:pPr>
              <w:pStyle w:val="InnerCoverTitle"/>
              <w:rPr>
                <w:sz w:val="36"/>
                <w:szCs w:val="36"/>
              </w:rPr>
            </w:pPr>
            <w:r w:rsidRPr="00595C8C">
              <w:rPr>
                <w:sz w:val="36"/>
                <w:szCs w:val="36"/>
              </w:rPr>
              <w:t xml:space="preserve">ONR </w:t>
            </w:r>
            <w:r w:rsidR="00FB1452">
              <w:rPr>
                <w:sz w:val="36"/>
                <w:szCs w:val="36"/>
              </w:rPr>
              <w:t>Instruction</w:t>
            </w:r>
          </w:p>
          <w:p w14:paraId="7C4EA414" w14:textId="58FDD44D" w:rsidR="00D0226A" w:rsidRPr="001E03E1" w:rsidRDefault="00C12750" w:rsidP="00A65CBC">
            <w:pPr>
              <w:pStyle w:val="CoverTitle"/>
              <w:rPr>
                <w:szCs w:val="90"/>
              </w:rPr>
            </w:pPr>
            <w:sdt>
              <w:sdtPr>
                <w:rPr>
                  <w:rFonts w:eastAsia="Times New Roman" w:cs="Times New Roman"/>
                  <w:color w:val="000000"/>
                  <w:sz w:val="40"/>
                  <w:szCs w:val="40"/>
                  <w:lang w:bidi="ar-SA"/>
                </w:rPr>
                <w:alias w:val="Title"/>
                <w:tag w:val=""/>
                <w:id w:val="-1089070423"/>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text/>
              </w:sdtPr>
              <w:sdtEndPr/>
              <w:sdtContent>
                <w:r w:rsidR="00A65CBC" w:rsidRPr="00A65CBC">
                  <w:rPr>
                    <w:rFonts w:eastAsia="Times New Roman" w:cs="Times New Roman"/>
                    <w:color w:val="000000"/>
                    <w:sz w:val="40"/>
                    <w:szCs w:val="40"/>
                    <w:lang w:bidi="ar-SA"/>
                  </w:rPr>
                  <w:t>Provision of information to the public through production and distribution of SSG/LCLC/LLC reports and attendance at SSG/LCLC/LLC meetings by ONR Inspectors</w:t>
                </w:r>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63A9BF95">
            <wp:simplePos x="685800" y="914400"/>
            <wp:positionH relativeFrom="page">
              <wp:align>left</wp:align>
            </wp:positionH>
            <wp:positionV relativeFrom="page">
              <wp:align>top</wp:align>
            </wp:positionV>
            <wp:extent cx="7568280" cy="10692360"/>
            <wp:effectExtent l="0" t="0" r="0" b="0"/>
            <wp:wrapNone/>
            <wp:docPr id="1" name="Picture 1"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e for Nuclear Regulation"/>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420A11" w14:paraId="7AB5314D" w14:textId="77777777" w:rsidTr="00F0151C">
        <w:trPr>
          <w:trHeight w:val="1134"/>
        </w:trPr>
        <w:tc>
          <w:tcPr>
            <w:tcW w:w="9751" w:type="dxa"/>
            <w:vAlign w:val="center"/>
            <w:hideMark/>
          </w:tcPr>
          <w:p w14:paraId="310B83DB" w14:textId="77777777" w:rsidR="00F0151C" w:rsidRDefault="00F0151C">
            <w:pPr>
              <w:pStyle w:val="InnerCoverTitle"/>
              <w:rPr>
                <w:sz w:val="36"/>
                <w:szCs w:val="36"/>
              </w:rPr>
            </w:pPr>
          </w:p>
          <w:p w14:paraId="1542BDD6" w14:textId="26E35110" w:rsidR="006C4196" w:rsidRPr="00B14D32" w:rsidRDefault="006C4196">
            <w:pPr>
              <w:pStyle w:val="InnerCoverTitle"/>
              <w:rPr>
                <w:sz w:val="36"/>
                <w:szCs w:val="36"/>
              </w:rPr>
            </w:pPr>
            <w:r w:rsidRPr="00B14D32">
              <w:rPr>
                <w:sz w:val="36"/>
                <w:szCs w:val="36"/>
              </w:rPr>
              <w:t xml:space="preserve">ONR </w:t>
            </w:r>
            <w:r w:rsidR="00FB1452">
              <w:rPr>
                <w:sz w:val="36"/>
                <w:szCs w:val="36"/>
              </w:rPr>
              <w:t>Instruction</w:t>
            </w:r>
          </w:p>
          <w:p w14:paraId="79FD04FC" w14:textId="071B539A" w:rsidR="00420A11" w:rsidRDefault="00C12750">
            <w:pPr>
              <w:pStyle w:val="InnerCoverTitle"/>
            </w:pPr>
            <w:sdt>
              <w:sdtPr>
                <w:alias w:val="Title"/>
                <w:tag w:val=""/>
                <w:id w:val="1068923325"/>
                <w:placeholder>
                  <w:docPart w:val="44884182EA6147FEB1141AA6A676324E"/>
                </w:placeholder>
                <w:dataBinding w:prefixMappings="xmlns:ns0='http://purl.org/dc/elements/1.1/' xmlns:ns1='http://schemas.openxmlformats.org/package/2006/metadata/core-properties' " w:xpath="/ns1:coreProperties[1]/ns0:title[1]" w:storeItemID="{6C3C8BC8-F283-45AE-878A-BAB7291924A1}"/>
                <w:text/>
              </w:sdtPr>
              <w:sdtEndPr/>
              <w:sdtContent>
                <w:r w:rsidR="00A65CBC">
                  <w:t>Provision of information to the public through production and distribution of SSG/LCLC/LLC reports and attendance at SSG/LCLC/LLC meetings by ONR Inspectors</w:t>
                </w:r>
              </w:sdtContent>
            </w:sdt>
          </w:p>
        </w:tc>
      </w:tr>
      <w:tr w:rsidR="00B14D32" w:rsidRPr="00B14D32" w14:paraId="44E15FF9" w14:textId="77777777" w:rsidTr="00F0151C">
        <w:trPr>
          <w:trHeight w:val="2098"/>
        </w:trPr>
        <w:tc>
          <w:tcPr>
            <w:tcW w:w="9751" w:type="dxa"/>
            <w:hideMark/>
          </w:tcPr>
          <w:p w14:paraId="3623CEFF" w14:textId="77777777" w:rsidR="00F0151C" w:rsidRPr="00B14D32" w:rsidRDefault="00F0151C">
            <w:pPr>
              <w:pStyle w:val="InnerCoverAuthor"/>
              <w:rPr>
                <w:color w:val="auto"/>
              </w:rPr>
            </w:pPr>
          </w:p>
          <w:p w14:paraId="01A715ED" w14:textId="0BBC7826" w:rsidR="00420A11" w:rsidRPr="00B14D32" w:rsidRDefault="004E3932">
            <w:pPr>
              <w:pStyle w:val="InnerCoverAuthor"/>
              <w:rPr>
                <w:color w:val="auto"/>
              </w:rPr>
            </w:pPr>
            <w:r w:rsidRPr="00B14D32">
              <w:rPr>
                <w:color w:val="auto"/>
              </w:rPr>
              <w:t xml:space="preserve">Authored by </w:t>
            </w:r>
            <w:r w:rsidR="00B14D32" w:rsidRPr="00B14D32">
              <w:rPr>
                <w:color w:val="auto"/>
              </w:rPr>
              <w:t>–</w:t>
            </w:r>
            <w:r w:rsidR="00C12750">
              <w:rPr>
                <w:color w:val="auto"/>
              </w:rPr>
              <w:t xml:space="preserve"> </w:t>
            </w:r>
            <w:r w:rsidR="00A65CBC">
              <w:rPr>
                <w:color w:val="auto"/>
              </w:rPr>
              <w:t>Nuclear Safety Inspector</w:t>
            </w:r>
          </w:p>
          <w:p w14:paraId="1FD1BDB5" w14:textId="10CF13E4" w:rsidR="00B14D32" w:rsidRPr="00B14D32" w:rsidRDefault="004E3932" w:rsidP="006C4196">
            <w:pPr>
              <w:rPr>
                <w:sz w:val="28"/>
                <w:szCs w:val="28"/>
              </w:rPr>
            </w:pPr>
            <w:r w:rsidRPr="00B14D32">
              <w:rPr>
                <w:sz w:val="28"/>
                <w:szCs w:val="28"/>
              </w:rPr>
              <w:t xml:space="preserve">Approved by </w:t>
            </w:r>
            <w:r w:rsidR="00B14D32" w:rsidRPr="00B14D32">
              <w:rPr>
                <w:sz w:val="28"/>
                <w:szCs w:val="28"/>
              </w:rPr>
              <w:t xml:space="preserve">– </w:t>
            </w:r>
            <w:r w:rsidR="00A65CBC">
              <w:rPr>
                <w:sz w:val="28"/>
                <w:szCs w:val="28"/>
              </w:rPr>
              <w:t>Professional Lead – Operational Inspection</w:t>
            </w:r>
            <w:r w:rsidR="006C4196" w:rsidRPr="00B14D32">
              <w:rPr>
                <w:sz w:val="28"/>
                <w:szCs w:val="28"/>
              </w:rPr>
              <w:t xml:space="preserve"> </w:t>
            </w:r>
          </w:p>
          <w:p w14:paraId="52F0C59E" w14:textId="30347892" w:rsidR="00B14D32" w:rsidRPr="00B14D32" w:rsidRDefault="00B14D32" w:rsidP="006C4196">
            <w:pPr>
              <w:rPr>
                <w:sz w:val="28"/>
                <w:szCs w:val="28"/>
              </w:rPr>
            </w:pPr>
            <w:r w:rsidRPr="00B14D32">
              <w:rPr>
                <w:sz w:val="28"/>
                <w:szCs w:val="28"/>
              </w:rPr>
              <w:t>Process Owner –</w:t>
            </w:r>
            <w:r w:rsidR="00A65CBC" w:rsidRPr="00B14D32">
              <w:rPr>
                <w:sz w:val="28"/>
                <w:szCs w:val="28"/>
              </w:rPr>
              <w:t xml:space="preserve"> </w:t>
            </w:r>
            <w:r w:rsidR="00A65CBC">
              <w:rPr>
                <w:sz w:val="28"/>
                <w:szCs w:val="28"/>
              </w:rPr>
              <w:t>Professional Lead – Operational Inspection</w:t>
            </w:r>
          </w:p>
          <w:p w14:paraId="7D32BEA0" w14:textId="77777777" w:rsidR="00F0151C" w:rsidRPr="00B14D32" w:rsidRDefault="00F0151C">
            <w:pPr>
              <w:pStyle w:val="InnerCoverAuthor"/>
              <w:rPr>
                <w:color w:val="auto"/>
              </w:rPr>
            </w:pPr>
          </w:p>
          <w:p w14:paraId="59CE03CD" w14:textId="005C24B9" w:rsidR="006A525B" w:rsidRPr="00B14D32" w:rsidRDefault="004E3932">
            <w:pPr>
              <w:pStyle w:val="InnerCoverAuthor"/>
              <w:rPr>
                <w:color w:val="auto"/>
              </w:rPr>
            </w:pPr>
            <w:r w:rsidRPr="00B14D32">
              <w:rPr>
                <w:color w:val="auto"/>
              </w:rPr>
              <w:t>Publication Date:</w:t>
            </w:r>
            <w:r w:rsidR="00FB1452">
              <w:rPr>
                <w:color w:val="auto"/>
              </w:rPr>
              <w:t xml:space="preserve"> </w:t>
            </w:r>
            <w:r w:rsidR="00A65CBC">
              <w:rPr>
                <w:color w:val="auto"/>
              </w:rPr>
              <w:t>Nov-2022</w:t>
            </w:r>
          </w:p>
          <w:p w14:paraId="41E4D303" w14:textId="5002EF6F" w:rsidR="00B14D32" w:rsidRPr="00B14D32" w:rsidRDefault="00B14D32" w:rsidP="00B14D32">
            <w:pPr>
              <w:pStyle w:val="InnerCoverAuthor"/>
              <w:rPr>
                <w:color w:val="auto"/>
              </w:rPr>
            </w:pPr>
            <w:r w:rsidRPr="00B14D32">
              <w:rPr>
                <w:color w:val="auto"/>
              </w:rPr>
              <w:t xml:space="preserve">Next Major Review Date: </w:t>
            </w:r>
            <w:r w:rsidR="00A65CBC">
              <w:rPr>
                <w:color w:val="auto"/>
              </w:rPr>
              <w:t>Nov-2025</w:t>
            </w:r>
          </w:p>
          <w:p w14:paraId="5447B948" w14:textId="6966F9E3" w:rsidR="00F0151C" w:rsidRPr="00B14D32" w:rsidRDefault="00F0151C" w:rsidP="00F0151C">
            <w:r w:rsidRPr="00B14D32">
              <w:rPr>
                <w:sz w:val="28"/>
                <w:szCs w:val="28"/>
              </w:rPr>
              <w:t xml:space="preserve">Issue No.: </w:t>
            </w:r>
            <w:sdt>
              <w:sdtPr>
                <w:rPr>
                  <w:sz w:val="28"/>
                  <w:szCs w:val="28"/>
                </w:rPr>
                <w:id w:val="1946504726"/>
                <w:placeholder>
                  <w:docPart w:val="0F8C41C7728442EB8FE7D8DF07580346"/>
                </w:placeholder>
              </w:sdtPr>
              <w:sdtEndPr/>
              <w:sdtContent>
                <w:sdt>
                  <w:sdtPr>
                    <w:rPr>
                      <w:sz w:val="28"/>
                      <w:szCs w:val="28"/>
                    </w:rPr>
                    <w:alias w:val="Status"/>
                    <w:tag w:val=""/>
                    <w:id w:val="-1487313182"/>
                    <w:placeholder>
                      <w:docPart w:val="8C97365EA9D2487FBF247098DA472D4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65CBC">
                      <w:rPr>
                        <w:sz w:val="28"/>
                        <w:szCs w:val="28"/>
                      </w:rPr>
                      <w:t>9</w:t>
                    </w:r>
                  </w:sdtContent>
                </w:sdt>
              </w:sdtContent>
            </w:sdt>
          </w:p>
          <w:p w14:paraId="5E9BE6EE" w14:textId="0880FDF9" w:rsidR="00F0151C" w:rsidRPr="00FB1452" w:rsidRDefault="00F0151C" w:rsidP="00F0151C">
            <w:r w:rsidRPr="00B14D32">
              <w:rPr>
                <w:sz w:val="28"/>
                <w:szCs w:val="28"/>
              </w:rPr>
              <w:t xml:space="preserve">Doc. Ref. No.: </w:t>
            </w:r>
            <w:r w:rsidR="00A65CBC">
              <w:rPr>
                <w:sz w:val="28"/>
                <w:szCs w:val="28"/>
              </w:rPr>
              <w:t>NS-COM-IN-001</w:t>
            </w:r>
          </w:p>
          <w:p w14:paraId="3093C635" w14:textId="6F4B9C86" w:rsidR="00F0151C" w:rsidRPr="00B14D32" w:rsidRDefault="00F0151C" w:rsidP="00F0151C">
            <w:pPr>
              <w:pStyle w:val="InnerCoverAuthor"/>
              <w:rPr>
                <w:color w:val="auto"/>
              </w:rPr>
            </w:pPr>
            <w:r w:rsidRPr="00FB1452">
              <w:rPr>
                <w:color w:val="auto"/>
              </w:rPr>
              <w:t>Record Ref. No.:</w:t>
            </w:r>
            <w:r w:rsidR="00B14D32" w:rsidRPr="00FB1452">
              <w:rPr>
                <w:color w:val="auto"/>
              </w:rPr>
              <w:t xml:space="preserve"> </w:t>
            </w:r>
            <w:r w:rsidR="00A65CBC">
              <w:rPr>
                <w:color w:val="auto"/>
              </w:rPr>
              <w:t>2019/267865</w:t>
            </w:r>
          </w:p>
          <w:p w14:paraId="14315D9F" w14:textId="13310423" w:rsidR="006C4196" w:rsidRPr="00B14D32" w:rsidRDefault="006C4196">
            <w:pPr>
              <w:pStyle w:val="InnerCoverAuthor"/>
              <w:rPr>
                <w:color w:val="auto"/>
              </w:rPr>
            </w:pPr>
          </w:p>
        </w:tc>
      </w:tr>
    </w:tbl>
    <w:p w14:paraId="39BC0EA4" w14:textId="77777777" w:rsidR="00420A11" w:rsidRDefault="00420A11" w:rsidP="00323E71"/>
    <w:p w14:paraId="153E7FBB" w14:textId="77777777" w:rsidR="00A65CBC" w:rsidRDefault="00A65CBC" w:rsidP="00A65CBC">
      <w:pPr>
        <w:pStyle w:val="Caption"/>
        <w:keepNext/>
        <w:sectPr w:rsidR="00A65CBC" w:rsidSect="004C4891">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397" w:footer="397" w:gutter="0"/>
          <w:cols w:space="312"/>
          <w:titlePg/>
          <w:docGrid w:linePitch="360"/>
        </w:sectPr>
      </w:pPr>
    </w:p>
    <w:p w14:paraId="2EBF637C" w14:textId="6E326F84" w:rsidR="00A65CBC" w:rsidRDefault="00A65CBC" w:rsidP="00A65CBC">
      <w:pPr>
        <w:pStyle w:val="Caption"/>
        <w:keepNext/>
      </w:pPr>
      <w:r>
        <w:lastRenderedPageBreak/>
        <w:t xml:space="preserve">Table </w:t>
      </w:r>
      <w:r w:rsidR="00C12750">
        <w:fldChar w:fldCharType="begin"/>
      </w:r>
      <w:r w:rsidR="00C12750">
        <w:instrText xml:space="preserve"> SEQ Table \* ARABIC </w:instrText>
      </w:r>
      <w:r w:rsidR="00C12750">
        <w:fldChar w:fldCharType="separate"/>
      </w:r>
      <w:r w:rsidR="00EF1E3D">
        <w:rPr>
          <w:noProof/>
        </w:rPr>
        <w:t>1</w:t>
      </w:r>
      <w:r w:rsidR="00C12750">
        <w:rPr>
          <w:noProof/>
        </w:rPr>
        <w:fldChar w:fldCharType="end"/>
      </w:r>
      <w:r>
        <w:t>: Revision Commentary</w:t>
      </w:r>
    </w:p>
    <w:tbl>
      <w:tblPr>
        <w:tblStyle w:val="ONRTable1"/>
        <w:tblW w:w="0" w:type="auto"/>
        <w:tblInd w:w="10" w:type="dxa"/>
        <w:tblLook w:val="04A0" w:firstRow="1" w:lastRow="0" w:firstColumn="1" w:lastColumn="0" w:noHBand="0" w:noVBand="1"/>
      </w:tblPr>
      <w:tblGrid>
        <w:gridCol w:w="1691"/>
        <w:gridCol w:w="8045"/>
      </w:tblGrid>
      <w:tr w:rsidR="00595C8C" w:rsidRPr="00A65CBC" w14:paraId="116B87DF" w14:textId="77777777" w:rsidTr="00F0151C">
        <w:trPr>
          <w:cnfStyle w:val="100000000000" w:firstRow="1" w:lastRow="0" w:firstColumn="0" w:lastColumn="0" w:oddVBand="0" w:evenVBand="0" w:oddHBand="0" w:evenHBand="0" w:firstRowFirstColumn="0" w:firstRowLastColumn="0" w:lastRowFirstColumn="0" w:lastRowLastColumn="0"/>
        </w:trPr>
        <w:tc>
          <w:tcPr>
            <w:tcW w:w="1691" w:type="dxa"/>
          </w:tcPr>
          <w:p w14:paraId="72366D01" w14:textId="5285E8FF" w:rsidR="00595C8C" w:rsidRPr="00A65CBC" w:rsidRDefault="00595C8C" w:rsidP="00595C8C">
            <w:pPr>
              <w:spacing w:before="60" w:after="60"/>
              <w:rPr>
                <w:b w:val="0"/>
                <w:bCs/>
              </w:rPr>
            </w:pPr>
            <w:r w:rsidRPr="00A65CBC">
              <w:rPr>
                <w:b w:val="0"/>
                <w:bCs/>
              </w:rPr>
              <w:t>Issue</w:t>
            </w:r>
            <w:r w:rsidR="004E3932" w:rsidRPr="00A65CBC">
              <w:rPr>
                <w:b w:val="0"/>
                <w:bCs/>
              </w:rPr>
              <w:t xml:space="preserve"> No.</w:t>
            </w:r>
          </w:p>
        </w:tc>
        <w:tc>
          <w:tcPr>
            <w:tcW w:w="8045" w:type="dxa"/>
          </w:tcPr>
          <w:p w14:paraId="2D00C3FD" w14:textId="26176D05" w:rsidR="00595C8C" w:rsidRPr="00A65CBC" w:rsidRDefault="00595C8C" w:rsidP="00595C8C">
            <w:pPr>
              <w:spacing w:before="60" w:after="60"/>
              <w:rPr>
                <w:b w:val="0"/>
                <w:bCs/>
              </w:rPr>
            </w:pPr>
            <w:r w:rsidRPr="00A65CBC">
              <w:rPr>
                <w:b w:val="0"/>
                <w:bCs/>
              </w:rPr>
              <w:t>Description of Update(s)</w:t>
            </w:r>
          </w:p>
        </w:tc>
      </w:tr>
      <w:tr w:rsidR="00595C8C" w14:paraId="0B4E4E42" w14:textId="77777777" w:rsidTr="00F0151C">
        <w:tc>
          <w:tcPr>
            <w:tcW w:w="1691" w:type="dxa"/>
          </w:tcPr>
          <w:p w14:paraId="65482A03" w14:textId="443FC0FA" w:rsidR="00595C8C" w:rsidRDefault="00A65CBC" w:rsidP="00595C8C">
            <w:pPr>
              <w:spacing w:before="60" w:after="60"/>
            </w:pPr>
            <w:r>
              <w:t>9</w:t>
            </w:r>
          </w:p>
        </w:tc>
        <w:tc>
          <w:tcPr>
            <w:tcW w:w="8045" w:type="dxa"/>
          </w:tcPr>
          <w:p w14:paraId="3A3F4528" w14:textId="1295A4CF" w:rsidR="00A65CBC" w:rsidRDefault="00A65CBC" w:rsidP="00A65CBC">
            <w:pPr>
              <w:spacing w:before="60" w:after="60"/>
            </w:pPr>
            <w:r>
              <w:t xml:space="preserve">This document has been updated to add in </w:t>
            </w:r>
            <w:r w:rsidR="00073496">
              <w:t xml:space="preserve">reference to </w:t>
            </w:r>
            <w:r>
              <w:t xml:space="preserve">ONR’s: </w:t>
            </w:r>
          </w:p>
          <w:p w14:paraId="284CF18A" w14:textId="2DE68936" w:rsidR="00A65CBC" w:rsidRDefault="00A65CBC" w:rsidP="00A65CBC">
            <w:pPr>
              <w:pStyle w:val="Bulletlist1"/>
            </w:pPr>
            <w:r>
              <w:t>Stakeholder Engagement Strategy 2020-25.</w:t>
            </w:r>
          </w:p>
          <w:p w14:paraId="2ADB0517" w14:textId="5B5857F3" w:rsidR="00A65CBC" w:rsidRDefault="00A65CBC" w:rsidP="00A65CBC">
            <w:pPr>
              <w:pStyle w:val="Bulletlist1"/>
            </w:pPr>
            <w:r>
              <w:t>ONR Style guide.</w:t>
            </w:r>
          </w:p>
          <w:p w14:paraId="2F5F018C" w14:textId="54D85D1A" w:rsidR="00A65CBC" w:rsidRDefault="00A65CBC" w:rsidP="00A65CBC">
            <w:pPr>
              <w:pStyle w:val="Bulletlist1"/>
            </w:pPr>
            <w:r>
              <w:t>ONR Policy for openness and transparency with interested stakeholders and public.</w:t>
            </w:r>
          </w:p>
          <w:p w14:paraId="679C3B7B" w14:textId="11E1A876" w:rsidR="00073496" w:rsidRDefault="00073496" w:rsidP="00073496">
            <w:pPr>
              <w:pStyle w:val="Bulletlist1"/>
              <w:numPr>
                <w:ilvl w:val="0"/>
                <w:numId w:val="0"/>
              </w:numPr>
            </w:pPr>
            <w:r>
              <w:t>Other updates include:</w:t>
            </w:r>
          </w:p>
          <w:p w14:paraId="2F6751F7" w14:textId="5FA8A938" w:rsidR="00595C8C" w:rsidRDefault="00A65CBC" w:rsidP="00A65CBC">
            <w:pPr>
              <w:pStyle w:val="Bulletlist1"/>
            </w:pPr>
            <w:r>
              <w:t xml:space="preserve">New Relevant Good Practice (RGP) </w:t>
            </w:r>
            <w:r w:rsidR="00073496">
              <w:t>added</w:t>
            </w:r>
            <w:r>
              <w:t>.</w:t>
            </w:r>
          </w:p>
          <w:p w14:paraId="3E5142A9" w14:textId="733693AC" w:rsidR="00A65CBC" w:rsidRDefault="00A65CBC" w:rsidP="00671176">
            <w:pPr>
              <w:pStyle w:val="Bulletlist1"/>
            </w:pPr>
            <w:r>
              <w:t>Updated with information for inspectors on what to do if approached by media at SSG/LCLCL/LLC meetings, and how to formally capture issues raised during an SSG/LCLC/LLC meeting.</w:t>
            </w:r>
          </w:p>
          <w:p w14:paraId="1C80912E" w14:textId="526A3A24" w:rsidR="00A65CBC" w:rsidRPr="00A65CBC" w:rsidRDefault="00A65CBC" w:rsidP="00A65CBC">
            <w:pPr>
              <w:pStyle w:val="Bulletlist1"/>
            </w:pPr>
            <w:r>
              <w:t>Removed reference ‘to ONR News’, the issue of news briefs has changed and is now referenced in ONR-DOC-TEMP-00</w:t>
            </w:r>
            <w:r w:rsidR="00073496">
              <w:t>8</w:t>
            </w:r>
            <w:r>
              <w:t>.</w:t>
            </w:r>
          </w:p>
        </w:tc>
      </w:tr>
    </w:tbl>
    <w:p w14:paraId="1FDB4B56" w14:textId="6C10B266" w:rsidR="00595C8C" w:rsidRDefault="00595C8C" w:rsidP="00323E71">
      <w:pPr>
        <w:sectPr w:rsidR="00595C8C" w:rsidSect="004C4891">
          <w:pgSz w:w="11906" w:h="16838" w:code="9"/>
          <w:pgMar w:top="1440" w:right="1080" w:bottom="1440" w:left="1080" w:header="397" w:footer="397" w:gutter="0"/>
          <w:cols w:space="312"/>
          <w:titlePg/>
          <w:docGrid w:linePitch="360"/>
        </w:sectPr>
      </w:pPr>
    </w:p>
    <w:p w14:paraId="4F6F2BFB" w14:textId="7F9C3AC6" w:rsidR="00FB1452" w:rsidRPr="00A65CBC" w:rsidRDefault="00A65CBC" w:rsidP="00A65CBC">
      <w:pPr>
        <w:pStyle w:val="Heading1"/>
      </w:pPr>
      <w:bookmarkStart w:id="1" w:name="_Toc106867902"/>
      <w:bookmarkEnd w:id="0"/>
      <w:r>
        <w:t>Purpose and Scope</w:t>
      </w:r>
    </w:p>
    <w:p w14:paraId="51552F2D" w14:textId="5F7A2374" w:rsidR="00A65CBC" w:rsidRPr="00F40085" w:rsidRDefault="00A65CBC" w:rsidP="00C266AD">
      <w:pPr>
        <w:pStyle w:val="NumList1"/>
      </w:pPr>
      <w:r w:rsidRPr="00F40085">
        <w:t xml:space="preserve">This instruction outlines the format and content to be adopted for the production of ONR’s site stakeholder reports. These reports are provided to local community groups for sites regulated by ONR (refer to </w:t>
      </w:r>
      <w:r w:rsidR="00EF1E3D">
        <w:fldChar w:fldCharType="begin"/>
      </w:r>
      <w:r w:rsidR="00EF1E3D">
        <w:instrText xml:space="preserve"> REF _Ref119313608 \h </w:instrText>
      </w:r>
      <w:r w:rsidR="00EF1E3D">
        <w:fldChar w:fldCharType="separate"/>
      </w:r>
      <w:r w:rsidR="00EF1E3D">
        <w:t xml:space="preserve">Table </w:t>
      </w:r>
      <w:r w:rsidR="00EF1E3D">
        <w:rPr>
          <w:noProof/>
        </w:rPr>
        <w:t>2</w:t>
      </w:r>
      <w:r w:rsidR="00EF1E3D">
        <w:fldChar w:fldCharType="end"/>
      </w:r>
      <w:r w:rsidR="00EF1E3D">
        <w:t xml:space="preserve"> </w:t>
      </w:r>
      <w:r w:rsidRPr="00F40085">
        <w:t xml:space="preserve">for listing). It also covers the distribution of the reports internally and externally to the </w:t>
      </w:r>
      <w:hyperlink r:id="rId17" w:history="1">
        <w:r w:rsidRPr="0066127D">
          <w:rPr>
            <w:rStyle w:val="Hyperlink"/>
          </w:rPr>
          <w:t>ONR website</w:t>
        </w:r>
      </w:hyperlink>
      <w:r w:rsidRPr="00F40085">
        <w:t>. Additionally, ONR guidance is provided to ONR inspectors attending the meetings.</w:t>
      </w:r>
    </w:p>
    <w:p w14:paraId="33D9D6AB" w14:textId="570FCC04" w:rsidR="00F40085" w:rsidRDefault="00A65CBC" w:rsidP="00C266AD">
      <w:pPr>
        <w:pStyle w:val="NumList1"/>
      </w:pPr>
      <w:r w:rsidRPr="00F40085">
        <w:t xml:space="preserve">This document assists in meeting ONR’s ambitions to build and inspire stakeholder confidence, as defined in the ONR Stakeholder Engagement Strategy 2020-25 </w:t>
      </w:r>
      <w:r w:rsidR="0066127D">
        <w:br/>
      </w:r>
      <w:r w:rsidRPr="00F40085">
        <w:t xml:space="preserve">(ref. doc. </w:t>
      </w:r>
      <w:sdt>
        <w:sdtPr>
          <w:id w:val="1272448161"/>
          <w:citation/>
        </w:sdtPr>
        <w:sdtEndPr/>
        <w:sdtContent>
          <w:r w:rsidRPr="00F40085">
            <w:fldChar w:fldCharType="begin"/>
          </w:r>
          <w:r w:rsidRPr="00F40085">
            <w:instrText xml:space="preserve"> CITATION ONR2011 \l 2057 </w:instrText>
          </w:r>
          <w:r w:rsidRPr="00F40085">
            <w:fldChar w:fldCharType="separate"/>
          </w:r>
          <w:r w:rsidR="00526BCB" w:rsidRPr="00526BCB">
            <w:rPr>
              <w:noProof/>
            </w:rPr>
            <w:t>[1]</w:t>
          </w:r>
          <w:r w:rsidRPr="00F40085">
            <w:fldChar w:fldCharType="end"/>
          </w:r>
        </w:sdtContent>
      </w:sdt>
      <w:r w:rsidRPr="00F40085">
        <w:t>). As an independent regulator working to protect society by securing safe nuclear operations, it is paramount that interested stakeholders and the public have access to how, when, and why we make the decisions we do. We also want to ensure our performance and actions are explained and understood and only by working more openly, transparently, and communicating in accessible ways will we continue to inspire public confidence, which is necessary to be an effective and trusted regulator. It is therefore essential that good public engagement is maintained and prioritised when possible.</w:t>
      </w:r>
    </w:p>
    <w:p w14:paraId="2D04E55F" w14:textId="77777777" w:rsidR="00F40085" w:rsidRDefault="00A65CBC" w:rsidP="00C266AD">
      <w:pPr>
        <w:pStyle w:val="NumList1"/>
      </w:pPr>
      <w:r>
        <w:t>We will communicate the information that we proactively disclose in a manner that sheds light on the key matters concerning the regulation of the nuclear industry in Great Britain (GB). We want to ensure that our communications are clear, so that our role, independence, responsibilities and decisions, including enforcement, are easy to understand. That means making information available about the topics that interest stakeholders and the public and communicating consistently, clearly, and, where appropriate, enhancing the information we provide and encouraging licensees and dutyholders, in line with RGP, to be more open and transparent too.</w:t>
      </w:r>
    </w:p>
    <w:p w14:paraId="5B977E3B" w14:textId="2CB456BE" w:rsidR="00A65CBC" w:rsidRDefault="00A65CBC" w:rsidP="00C266AD">
      <w:pPr>
        <w:pStyle w:val="NumList1"/>
      </w:pPr>
      <w:r>
        <w:t xml:space="preserve">This document also supports the implementation of Article 8(1)(a) and (b) of Council Directive 2014/87/Euratom </w:t>
      </w:r>
      <w:sdt>
        <w:sdtPr>
          <w:id w:val="1781610504"/>
          <w:citation/>
        </w:sdtPr>
        <w:sdtEndPr/>
        <w:sdtContent>
          <w:r w:rsidR="0066127D">
            <w:fldChar w:fldCharType="begin"/>
          </w:r>
          <w:r w:rsidR="0066127D">
            <w:instrText xml:space="preserve">CITATION HMG141 \l 2057 </w:instrText>
          </w:r>
          <w:r w:rsidR="0066127D">
            <w:fldChar w:fldCharType="separate"/>
          </w:r>
          <w:r w:rsidR="00526BCB" w:rsidRPr="00526BCB">
            <w:rPr>
              <w:noProof/>
            </w:rPr>
            <w:t>[2]</w:t>
          </w:r>
          <w:r w:rsidR="0066127D">
            <w:fldChar w:fldCharType="end"/>
          </w:r>
        </w:sdtContent>
      </w:sdt>
      <w:r w:rsidR="0066127D">
        <w:t xml:space="preserve"> (referred to herein as ‘the Directive’)</w:t>
      </w:r>
      <w:r>
        <w:t xml:space="preserve">, by highlighting ONR’s regulatory expectations concerning the provision of nuclear safety related information to the public by licensees, and by defining how ONR may meet the new legal powers granted to ONR under an associated </w:t>
      </w:r>
      <w:hyperlink r:id="rId18" w:history="1">
        <w:r w:rsidRPr="0066127D">
          <w:rPr>
            <w:rStyle w:val="Hyperlink"/>
          </w:rPr>
          <w:t>Government Direction</w:t>
        </w:r>
      </w:hyperlink>
      <w:r>
        <w:t xml:space="preserve"> covering the provision of site nuclear safety information and nuclear regulatory information</w:t>
      </w:r>
      <w:r w:rsidR="0066127D">
        <w:t xml:space="preserve"> </w:t>
      </w:r>
      <w:sdt>
        <w:sdtPr>
          <w:id w:val="1205518201"/>
          <w:citation/>
        </w:sdtPr>
        <w:sdtEndPr/>
        <w:sdtContent>
          <w:r w:rsidR="0066127D">
            <w:fldChar w:fldCharType="begin"/>
          </w:r>
          <w:r w:rsidR="0066127D">
            <w:instrText xml:space="preserve"> CITATION HMG1711 \l 2057 </w:instrText>
          </w:r>
          <w:r w:rsidR="0066127D">
            <w:fldChar w:fldCharType="separate"/>
          </w:r>
          <w:r w:rsidR="00526BCB" w:rsidRPr="00526BCB">
            <w:rPr>
              <w:noProof/>
            </w:rPr>
            <w:t>[3]</w:t>
          </w:r>
          <w:r w:rsidR="0066127D">
            <w:fldChar w:fldCharType="end"/>
          </w:r>
        </w:sdtContent>
      </w:sdt>
      <w:r w:rsidR="0066127D">
        <w:t xml:space="preserve"> (referred to herein as ‘the Direction’)</w:t>
      </w:r>
      <w:r>
        <w:t>.</w:t>
      </w:r>
      <w:r w:rsidR="00F40085">
        <w:t xml:space="preserve"> </w:t>
      </w:r>
      <w:r>
        <w:t xml:space="preserve">The Direction places a new legal requirement on ONR in that ‘ONR must, in connection with its purposes under section 68 of the Energy Act 2013, provide or make otherwise available necessary information in relation to the nuclear safety of nuclear installations and its regulation’. There are two aspects of this obligation: </w:t>
      </w:r>
    </w:p>
    <w:p w14:paraId="2563AFA3" w14:textId="074DC905" w:rsidR="00A65CBC" w:rsidRPr="00F40085" w:rsidRDefault="00A65CBC" w:rsidP="00F40085">
      <w:pPr>
        <w:pStyle w:val="NumList2"/>
      </w:pPr>
      <w:r w:rsidRPr="00F40085">
        <w:t>ONR must ensure that licensees “provide or otherwise make available” ‘necessary’ information concerning nuclear installations; and,</w:t>
      </w:r>
    </w:p>
    <w:p w14:paraId="6F2F3104" w14:textId="3EFB0CF4" w:rsidR="00A65CBC" w:rsidRPr="00F40085" w:rsidRDefault="00A65CBC" w:rsidP="00F40085">
      <w:pPr>
        <w:pStyle w:val="NumList2"/>
      </w:pPr>
      <w:r w:rsidRPr="00F40085">
        <w:t>ONR must directly “provide or otherwise make available” ‘necessary’ information covering the regulation of such installations.</w:t>
      </w:r>
      <w:r w:rsidR="00F40085" w:rsidRPr="00F40085">
        <w:t xml:space="preserve"> </w:t>
      </w:r>
      <w:r w:rsidRPr="00F40085">
        <w:t>The terms ‘provide or otherwise make available’ in this context effectively means that all such ‘necessary’ information should be put into the public domain. This should be understood to include publication of reports; posting of material on websites; or, in the context of this guidance note, the distribution of such material at stakeholder events and/or regular meetings ONR attends or participates in.</w:t>
      </w:r>
    </w:p>
    <w:p w14:paraId="4D723328" w14:textId="77777777" w:rsidR="0066127D" w:rsidRDefault="00A65CBC" w:rsidP="00C266AD">
      <w:pPr>
        <w:pStyle w:val="NumList1"/>
      </w:pPr>
      <w:r>
        <w:t xml:space="preserve">Article 8(1) of the Directive contains the following text: </w:t>
      </w:r>
    </w:p>
    <w:p w14:paraId="57EE0692" w14:textId="1469D440" w:rsidR="0066127D" w:rsidRDefault="0066127D" w:rsidP="0066127D">
      <w:pPr>
        <w:pStyle w:val="QuoteText"/>
        <w:ind w:left="851"/>
        <w:rPr>
          <w:color w:val="auto"/>
        </w:rPr>
      </w:pPr>
      <w:r>
        <w:rPr>
          <w:color w:val="auto"/>
        </w:rPr>
        <w:t>‘</w:t>
      </w:r>
      <w:r w:rsidRPr="0066127D">
        <w:rPr>
          <w:color w:val="auto"/>
        </w:rPr>
        <w:t>Member States shall ensure that necessary information in relation to the nuclear safety of nuclear installations and its regulation is made available to workers and the general public, with specific consideration to local authorities, population and stakeholders in the vicinity of a nuclear installation. That obligation includes ensuring that the competent regulatory authority and the licence holders, within their fields of responsibility, provide in the framework of their communication policy:</w:t>
      </w:r>
    </w:p>
    <w:p w14:paraId="751F0B38" w14:textId="15810DEE" w:rsidR="0066127D" w:rsidRPr="0066127D" w:rsidRDefault="0066127D" w:rsidP="0066127D">
      <w:pPr>
        <w:pStyle w:val="QuoteText"/>
        <w:ind w:left="851"/>
        <w:rPr>
          <w:color w:val="auto"/>
        </w:rPr>
      </w:pPr>
      <w:r>
        <w:rPr>
          <w:color w:val="auto"/>
        </w:rPr>
        <w:t xml:space="preserve">(a) </w:t>
      </w:r>
      <w:r w:rsidRPr="0066127D">
        <w:rPr>
          <w:color w:val="auto"/>
        </w:rPr>
        <w:t>information on normal operating conditions of nuclear installations to workers and the general public</w:t>
      </w:r>
      <w:r w:rsidR="007176D9">
        <w:rPr>
          <w:color w:val="auto"/>
        </w:rPr>
        <w:t xml:space="preserve"> </w:t>
      </w:r>
      <w:r w:rsidR="007176D9" w:rsidRPr="007176D9">
        <w:rPr>
          <w:color w:val="auto"/>
        </w:rPr>
        <w:t xml:space="preserve">[refer to Sections 2, 3, </w:t>
      </w:r>
      <w:r w:rsidR="007176D9">
        <w:rPr>
          <w:color w:val="auto"/>
        </w:rPr>
        <w:t xml:space="preserve">and </w:t>
      </w:r>
      <w:r w:rsidR="007176D9" w:rsidRPr="007176D9">
        <w:rPr>
          <w:color w:val="auto"/>
        </w:rPr>
        <w:t xml:space="preserve">Appendix A of this document, </w:t>
      </w:r>
      <w:r w:rsidR="007176D9">
        <w:rPr>
          <w:color w:val="auto"/>
        </w:rPr>
        <w:t xml:space="preserve">as well as </w:t>
      </w:r>
      <w:r w:rsidR="007176D9" w:rsidRPr="007176D9">
        <w:rPr>
          <w:color w:val="auto"/>
        </w:rPr>
        <w:t>ONRs Site Report template</w:t>
      </w:r>
      <w:r w:rsidR="007176D9">
        <w:rPr>
          <w:color w:val="auto"/>
        </w:rPr>
        <w:t xml:space="preserve"> </w:t>
      </w:r>
      <w:sdt>
        <w:sdtPr>
          <w:rPr>
            <w:color w:val="auto"/>
          </w:rPr>
          <w:id w:val="-327289144"/>
          <w:citation/>
        </w:sdtPr>
        <w:sdtEndPr/>
        <w:sdtContent>
          <w:r w:rsidR="007176D9">
            <w:rPr>
              <w:color w:val="auto"/>
            </w:rPr>
            <w:fldChar w:fldCharType="begin"/>
          </w:r>
          <w:r w:rsidR="007176D9">
            <w:rPr>
              <w:color w:val="auto"/>
            </w:rPr>
            <w:instrText xml:space="preserve"> CITATION ONR152 \l 2057 </w:instrText>
          </w:r>
          <w:r w:rsidR="007176D9">
            <w:rPr>
              <w:color w:val="auto"/>
            </w:rPr>
            <w:fldChar w:fldCharType="separate"/>
          </w:r>
          <w:r w:rsidR="00526BCB" w:rsidRPr="00526BCB">
            <w:rPr>
              <w:noProof/>
              <w:color w:val="auto"/>
            </w:rPr>
            <w:t>[4]</w:t>
          </w:r>
          <w:r w:rsidR="007176D9">
            <w:rPr>
              <w:color w:val="auto"/>
            </w:rPr>
            <w:fldChar w:fldCharType="end"/>
          </w:r>
        </w:sdtContent>
      </w:sdt>
      <w:r w:rsidR="007176D9" w:rsidRPr="007176D9">
        <w:rPr>
          <w:color w:val="auto"/>
        </w:rPr>
        <w:t xml:space="preserve"> and refs. </w:t>
      </w:r>
      <w:sdt>
        <w:sdtPr>
          <w:rPr>
            <w:color w:val="auto"/>
          </w:rPr>
          <w:id w:val="-1712716093"/>
          <w:citation/>
        </w:sdtPr>
        <w:sdtEndPr/>
        <w:sdtContent>
          <w:r w:rsidR="007176D9">
            <w:rPr>
              <w:color w:val="auto"/>
            </w:rPr>
            <w:fldChar w:fldCharType="begin"/>
          </w:r>
          <w:r w:rsidR="007176D9">
            <w:rPr>
              <w:color w:val="auto"/>
            </w:rPr>
            <w:instrText xml:space="preserve"> CITATION ONR113 \l 2057 </w:instrText>
          </w:r>
          <w:r w:rsidR="007176D9">
            <w:rPr>
              <w:color w:val="auto"/>
            </w:rPr>
            <w:fldChar w:fldCharType="separate"/>
          </w:r>
          <w:r w:rsidR="00526BCB" w:rsidRPr="00526BCB">
            <w:rPr>
              <w:noProof/>
              <w:color w:val="auto"/>
            </w:rPr>
            <w:t>[5]</w:t>
          </w:r>
          <w:r w:rsidR="007176D9">
            <w:rPr>
              <w:color w:val="auto"/>
            </w:rPr>
            <w:fldChar w:fldCharType="end"/>
          </w:r>
        </w:sdtContent>
      </w:sdt>
      <w:r w:rsidR="007176D9">
        <w:rPr>
          <w:color w:val="auto"/>
        </w:rPr>
        <w:t xml:space="preserve"> and </w:t>
      </w:r>
      <w:sdt>
        <w:sdtPr>
          <w:rPr>
            <w:color w:val="auto"/>
          </w:rPr>
          <w:id w:val="-278184166"/>
          <w:citation/>
        </w:sdtPr>
        <w:sdtEndPr/>
        <w:sdtContent>
          <w:r w:rsidR="007176D9">
            <w:rPr>
              <w:color w:val="auto"/>
            </w:rPr>
            <w:fldChar w:fldCharType="begin"/>
          </w:r>
          <w:r w:rsidR="007176D9">
            <w:rPr>
              <w:color w:val="auto"/>
            </w:rPr>
            <w:instrText xml:space="preserve"> CITATION ONR187 \l 2057 </w:instrText>
          </w:r>
          <w:r w:rsidR="007176D9">
            <w:rPr>
              <w:color w:val="auto"/>
            </w:rPr>
            <w:fldChar w:fldCharType="separate"/>
          </w:r>
          <w:r w:rsidR="00526BCB" w:rsidRPr="00526BCB">
            <w:rPr>
              <w:noProof/>
              <w:color w:val="auto"/>
            </w:rPr>
            <w:t>[6]</w:t>
          </w:r>
          <w:r w:rsidR="007176D9">
            <w:rPr>
              <w:color w:val="auto"/>
            </w:rPr>
            <w:fldChar w:fldCharType="end"/>
          </w:r>
        </w:sdtContent>
      </w:sdt>
      <w:r w:rsidR="007176D9" w:rsidRPr="007176D9">
        <w:rPr>
          <w:color w:val="auto"/>
        </w:rPr>
        <w:t xml:space="preserve"> which cover ONR inspection practices and publication of </w:t>
      </w:r>
      <w:r w:rsidR="007176D9">
        <w:rPr>
          <w:color w:val="auto"/>
        </w:rPr>
        <w:t>i</w:t>
      </w:r>
      <w:r w:rsidR="007176D9" w:rsidRPr="007176D9">
        <w:rPr>
          <w:color w:val="auto"/>
        </w:rPr>
        <w:t>ntervention record summaries, in line with ONR’s policy to apply open, transparent, and effective dialogue with stakeholders including licensees]</w:t>
      </w:r>
      <w:r w:rsidRPr="0066127D">
        <w:rPr>
          <w:color w:val="auto"/>
        </w:rPr>
        <w:t>; and</w:t>
      </w:r>
    </w:p>
    <w:p w14:paraId="1E3372C6" w14:textId="560E75CE" w:rsidR="0066127D" w:rsidRPr="0066127D" w:rsidRDefault="0066127D" w:rsidP="0066127D">
      <w:pPr>
        <w:pStyle w:val="QuoteText"/>
        <w:ind w:left="851"/>
        <w:rPr>
          <w:color w:val="auto"/>
        </w:rPr>
      </w:pPr>
      <w:r w:rsidRPr="0066127D">
        <w:rPr>
          <w:color w:val="auto"/>
        </w:rPr>
        <w:t>(b)</w:t>
      </w:r>
      <w:r>
        <w:rPr>
          <w:color w:val="auto"/>
        </w:rPr>
        <w:t xml:space="preserve"> </w:t>
      </w:r>
      <w:r w:rsidRPr="0066127D">
        <w:rPr>
          <w:color w:val="auto"/>
        </w:rPr>
        <w:t>prompt information in case of incidents and accidents to workers and the general public and to the competent regulatory authorities of other Member States in the vicinity of a nuclear installation</w:t>
      </w:r>
      <w:r w:rsidR="007176D9">
        <w:rPr>
          <w:color w:val="auto"/>
        </w:rPr>
        <w:t xml:space="preserve"> </w:t>
      </w:r>
      <w:r w:rsidR="007176D9" w:rsidRPr="007176D9">
        <w:rPr>
          <w:color w:val="auto"/>
        </w:rPr>
        <w:t>[refer to Sections 2, 3</w:t>
      </w:r>
      <w:r w:rsidR="007176D9">
        <w:rPr>
          <w:color w:val="auto"/>
        </w:rPr>
        <w:t xml:space="preserve"> and </w:t>
      </w:r>
      <w:r w:rsidR="007176D9" w:rsidRPr="007176D9">
        <w:rPr>
          <w:color w:val="auto"/>
        </w:rPr>
        <w:t xml:space="preserve">Appendix A of this document, </w:t>
      </w:r>
      <w:r w:rsidR="007176D9">
        <w:rPr>
          <w:color w:val="auto"/>
        </w:rPr>
        <w:t xml:space="preserve">as well as </w:t>
      </w:r>
      <w:r w:rsidR="007176D9" w:rsidRPr="007176D9">
        <w:rPr>
          <w:color w:val="auto"/>
        </w:rPr>
        <w:t>ONRs Site Report template</w:t>
      </w:r>
      <w:r w:rsidR="007176D9">
        <w:rPr>
          <w:color w:val="auto"/>
        </w:rPr>
        <w:t xml:space="preserve"> </w:t>
      </w:r>
      <w:sdt>
        <w:sdtPr>
          <w:rPr>
            <w:color w:val="auto"/>
          </w:rPr>
          <w:id w:val="1132214051"/>
          <w:citation/>
        </w:sdtPr>
        <w:sdtEndPr/>
        <w:sdtContent>
          <w:r w:rsidR="007176D9">
            <w:rPr>
              <w:color w:val="auto"/>
            </w:rPr>
            <w:fldChar w:fldCharType="begin"/>
          </w:r>
          <w:r w:rsidR="007176D9">
            <w:rPr>
              <w:color w:val="auto"/>
            </w:rPr>
            <w:instrText xml:space="preserve"> CITATION ONR152 \l 2057 </w:instrText>
          </w:r>
          <w:r w:rsidR="007176D9">
            <w:rPr>
              <w:color w:val="auto"/>
            </w:rPr>
            <w:fldChar w:fldCharType="separate"/>
          </w:r>
          <w:r w:rsidR="00526BCB" w:rsidRPr="00526BCB">
            <w:rPr>
              <w:noProof/>
              <w:color w:val="auto"/>
            </w:rPr>
            <w:t>[4]</w:t>
          </w:r>
          <w:r w:rsidR="007176D9">
            <w:rPr>
              <w:color w:val="auto"/>
            </w:rPr>
            <w:fldChar w:fldCharType="end"/>
          </w:r>
        </w:sdtContent>
      </w:sdt>
      <w:r w:rsidR="007176D9">
        <w:rPr>
          <w:color w:val="auto"/>
        </w:rPr>
        <w:t xml:space="preserve"> and ref. </w:t>
      </w:r>
      <w:sdt>
        <w:sdtPr>
          <w:rPr>
            <w:color w:val="auto"/>
          </w:rPr>
          <w:id w:val="-1473981415"/>
          <w:citation/>
        </w:sdtPr>
        <w:sdtEndPr/>
        <w:sdtContent>
          <w:r w:rsidR="007176D9">
            <w:rPr>
              <w:color w:val="auto"/>
            </w:rPr>
            <w:fldChar w:fldCharType="begin"/>
          </w:r>
          <w:r w:rsidR="007176D9">
            <w:rPr>
              <w:color w:val="auto"/>
            </w:rPr>
            <w:instrText xml:space="preserve"> CITATION ONR201 \l 2057 </w:instrText>
          </w:r>
          <w:r w:rsidR="007176D9">
            <w:rPr>
              <w:color w:val="auto"/>
            </w:rPr>
            <w:fldChar w:fldCharType="separate"/>
          </w:r>
          <w:r w:rsidR="00526BCB" w:rsidRPr="00526BCB">
            <w:rPr>
              <w:noProof/>
              <w:color w:val="auto"/>
            </w:rPr>
            <w:t>[7]</w:t>
          </w:r>
          <w:r w:rsidR="007176D9">
            <w:rPr>
              <w:color w:val="auto"/>
            </w:rPr>
            <w:fldChar w:fldCharType="end"/>
          </w:r>
        </w:sdtContent>
      </w:sdt>
      <w:r w:rsidR="007176D9">
        <w:rPr>
          <w:color w:val="auto"/>
        </w:rPr>
        <w:t>]</w:t>
      </w:r>
      <w:r w:rsidRPr="0066127D">
        <w:rPr>
          <w:color w:val="auto"/>
        </w:rPr>
        <w:t>.</w:t>
      </w:r>
      <w:r w:rsidR="007176D9">
        <w:rPr>
          <w:color w:val="auto"/>
        </w:rPr>
        <w:t>’</w:t>
      </w:r>
    </w:p>
    <w:p w14:paraId="2632570E" w14:textId="77777777" w:rsidR="007176D9" w:rsidRDefault="00A65CBC" w:rsidP="00C266AD">
      <w:pPr>
        <w:pStyle w:val="NumList1"/>
      </w:pPr>
      <w:r>
        <w:t xml:space="preserve">In the context of </w:t>
      </w:r>
      <w:r w:rsidR="007176D9">
        <w:t xml:space="preserve">Article 8(1)(a) of the </w:t>
      </w:r>
      <w:r>
        <w:t xml:space="preserve">Directive the term ‘necessary’ regulatory information for ‘normal operating conditions …’ is taken to be information concerning routine regulatory matters on a Nuclear Licenced site, including the outcome of ONR interventions, in particular in relation to the compliance inspections against legislation which ONR regulates to confirm safe operations, and covered under ‘routine matters’ within ONR Site Reports. </w:t>
      </w:r>
    </w:p>
    <w:p w14:paraId="2232BAA1" w14:textId="3170DEF4" w:rsidR="00A65CBC" w:rsidRDefault="00A65CBC" w:rsidP="00C266AD">
      <w:pPr>
        <w:pStyle w:val="NumList1"/>
      </w:pPr>
      <w:r>
        <w:t xml:space="preserve">In the context of </w:t>
      </w:r>
      <w:r w:rsidR="007176D9">
        <w:t xml:space="preserve">Article </w:t>
      </w:r>
      <w:r>
        <w:t xml:space="preserve">8(1)(b) ‘Incidents and accidents’ ‘necessary’ regulatory information should be covered under ‘non routine’ matters within ONR Site Reports, this includes Incidents and Accidents that meet the Ministerial Reporting Criteria as defined in </w:t>
      </w:r>
      <w:r w:rsidR="005357E8">
        <w:t xml:space="preserve">ref. </w:t>
      </w:r>
      <w:sdt>
        <w:sdtPr>
          <w:id w:val="1557666156"/>
          <w:citation/>
        </w:sdtPr>
        <w:sdtEndPr/>
        <w:sdtContent>
          <w:r w:rsidR="005357E8">
            <w:fldChar w:fldCharType="begin"/>
          </w:r>
          <w:r w:rsidR="005357E8">
            <w:instrText xml:space="preserve"> CITATION ONR201 \l 2057 </w:instrText>
          </w:r>
          <w:r w:rsidR="005357E8">
            <w:fldChar w:fldCharType="separate"/>
          </w:r>
          <w:r w:rsidR="00526BCB" w:rsidRPr="00526BCB">
            <w:rPr>
              <w:noProof/>
            </w:rPr>
            <w:t>[7]</w:t>
          </w:r>
          <w:r w:rsidR="005357E8">
            <w:fldChar w:fldCharType="end"/>
          </w:r>
        </w:sdtContent>
      </w:sdt>
      <w:r>
        <w:t xml:space="preserve"> (for examples of both </w:t>
      </w:r>
      <w:r w:rsidR="005357E8">
        <w:t xml:space="preserve">refer to Sections 2 and 3 of this document </w:t>
      </w:r>
      <w:r>
        <w:t xml:space="preserve">and </w:t>
      </w:r>
      <w:r w:rsidR="005357E8">
        <w:t xml:space="preserve">ONRs Site Report template </w:t>
      </w:r>
      <w:sdt>
        <w:sdtPr>
          <w:id w:val="1520196085"/>
          <w:citation/>
        </w:sdtPr>
        <w:sdtEndPr/>
        <w:sdtContent>
          <w:r w:rsidR="005357E8">
            <w:fldChar w:fldCharType="begin"/>
          </w:r>
          <w:r w:rsidR="005357E8">
            <w:instrText xml:space="preserve"> CITATION ONR152 \l 2057 </w:instrText>
          </w:r>
          <w:r w:rsidR="005357E8">
            <w:fldChar w:fldCharType="separate"/>
          </w:r>
          <w:r w:rsidR="00526BCB" w:rsidRPr="00526BCB">
            <w:rPr>
              <w:noProof/>
            </w:rPr>
            <w:t>[4]</w:t>
          </w:r>
          <w:r w:rsidR="005357E8">
            <w:fldChar w:fldCharType="end"/>
          </w:r>
        </w:sdtContent>
      </w:sdt>
      <w:r w:rsidR="005357E8">
        <w:t>)</w:t>
      </w:r>
      <w:r>
        <w:t>.</w:t>
      </w:r>
    </w:p>
    <w:p w14:paraId="2A523FD0" w14:textId="7E2E3D61" w:rsidR="00F40085" w:rsidRDefault="00A65CBC" w:rsidP="00C266AD">
      <w:pPr>
        <w:pStyle w:val="NumList1"/>
      </w:pPr>
      <w:r>
        <w:t>Licensees’ compliance with licence conditions, and with ONR regulatory expectations set out in relevant Technical Inspection Guides</w:t>
      </w:r>
      <w:r w:rsidR="00F40085">
        <w:t xml:space="preserve"> (TIGs)</w:t>
      </w:r>
      <w:r>
        <w:t>, is deemed sufficient to meet the requirements of the Directive.</w:t>
      </w:r>
      <w:r w:rsidR="00F40085">
        <w:t xml:space="preserve"> </w:t>
      </w:r>
      <w:r>
        <w:t xml:space="preserve">However, not all the provisions of the Directive could be met through this approach. BEIS and ONR legal advice was that nothing less than a legislative measure might be used to implement Articles 8(1)(a) and (b) of the Directive which introduce further requirements for the provision of nuclear safety information and its regulation to workers and to the public. </w:t>
      </w:r>
    </w:p>
    <w:p w14:paraId="64ED538C" w14:textId="6A7CEB03" w:rsidR="00F40085" w:rsidRDefault="007176D9" w:rsidP="00C266AD">
      <w:pPr>
        <w:pStyle w:val="NumList1"/>
      </w:pPr>
      <w:r>
        <w:t>The</w:t>
      </w:r>
      <w:r w:rsidR="00A65CBC" w:rsidRPr="007176D9">
        <w:t xml:space="preserve"> Direction</w:t>
      </w:r>
      <w:r w:rsidR="00A65CBC">
        <w:t xml:space="preserve"> </w:t>
      </w:r>
      <w:sdt>
        <w:sdtPr>
          <w:id w:val="67929025"/>
          <w:citation/>
        </w:sdtPr>
        <w:sdtEndPr/>
        <w:sdtContent>
          <w:r>
            <w:fldChar w:fldCharType="begin"/>
          </w:r>
          <w:r>
            <w:instrText xml:space="preserve"> CITATION HMG1711 \l 2057 </w:instrText>
          </w:r>
          <w:r>
            <w:fldChar w:fldCharType="separate"/>
          </w:r>
          <w:r w:rsidR="00526BCB" w:rsidRPr="00526BCB">
            <w:rPr>
              <w:noProof/>
            </w:rPr>
            <w:t>[3]</w:t>
          </w:r>
          <w:r>
            <w:fldChar w:fldCharType="end"/>
          </w:r>
        </w:sdtContent>
      </w:sdt>
      <w:r>
        <w:t xml:space="preserve"> was </w:t>
      </w:r>
      <w:r w:rsidR="00A65CBC">
        <w:t>therefore</w:t>
      </w:r>
      <w:r w:rsidR="00F40085">
        <w:t xml:space="preserve"> </w:t>
      </w:r>
      <w:r w:rsidR="00A65CBC">
        <w:t>introduced to meet the UK’s Article 8(1)(a) and (b) obligations, with specific consideration given to the provision of information by licensees (covering site operations) and by ONR (covering regulatory matters) to local authorities, population and stakeholders in the vicinity of civilian nuclear installations (</w:t>
      </w:r>
      <w:r w:rsidR="00F40085">
        <w:t xml:space="preserve">i.e., </w:t>
      </w:r>
      <w:r w:rsidR="00A65CBC">
        <w:t xml:space="preserve">Nuclear Power Plants, Nuclear Fuel Fabrication Plants, Enrichment Plants, Research Reactors, Reprocessing Plants </w:t>
      </w:r>
      <w:r w:rsidR="005357E8">
        <w:t>and</w:t>
      </w:r>
      <w:r w:rsidR="00A65CBC">
        <w:t xml:space="preserve"> Spent Fuel Plants)</w:t>
      </w:r>
      <w:r>
        <w:t>.</w:t>
      </w:r>
    </w:p>
    <w:p w14:paraId="71513851" w14:textId="5531585E" w:rsidR="00F40085" w:rsidRDefault="00A65CBC" w:rsidP="00C266AD">
      <w:pPr>
        <w:pStyle w:val="NumList1"/>
      </w:pPr>
      <w:r>
        <w:t xml:space="preserve">The </w:t>
      </w:r>
      <w:r w:rsidRPr="00F40085">
        <w:t>Direction</w:t>
      </w:r>
      <w:r w:rsidR="00F40085">
        <w:t xml:space="preserve"> </w:t>
      </w:r>
      <w:sdt>
        <w:sdtPr>
          <w:id w:val="1294338791"/>
          <w:citation/>
        </w:sdtPr>
        <w:sdtEndPr/>
        <w:sdtContent>
          <w:r w:rsidR="007176D9">
            <w:fldChar w:fldCharType="begin"/>
          </w:r>
          <w:r w:rsidR="007176D9">
            <w:instrText xml:space="preserve"> CITATION HMG1711 \l 2057 </w:instrText>
          </w:r>
          <w:r w:rsidR="007176D9">
            <w:fldChar w:fldCharType="separate"/>
          </w:r>
          <w:r w:rsidR="00526BCB" w:rsidRPr="00526BCB">
            <w:rPr>
              <w:noProof/>
            </w:rPr>
            <w:t>[3]</w:t>
          </w:r>
          <w:r w:rsidR="007176D9">
            <w:fldChar w:fldCharType="end"/>
          </w:r>
        </w:sdtContent>
      </w:sdt>
      <w:r w:rsidR="007176D9">
        <w:t xml:space="preserve"> </w:t>
      </w:r>
      <w:r>
        <w:t>closely follows the wording of Article 8(1)(a) and (b</w:t>
      </w:r>
      <w:r w:rsidR="007176D9">
        <w:t>) and makes</w:t>
      </w:r>
      <w:r w:rsidR="005357E8">
        <w:t xml:space="preserve"> </w:t>
      </w:r>
      <w:r w:rsidR="007176D9">
        <w:br/>
      </w:r>
      <w:r>
        <w:t>ONR responsible for ensuring that licensees make necessary nuclear safety information available, either published directly by licensees or published by ONR. The requirements of the Direction also make ONR directly responsible for ensuring that all ‘necessary’ information covering the regulation of each relevant site is also published.</w:t>
      </w:r>
    </w:p>
    <w:p w14:paraId="75E35482" w14:textId="711E38A4" w:rsidR="00F40085" w:rsidRDefault="00A65CBC" w:rsidP="00C266AD">
      <w:pPr>
        <w:pStyle w:val="NumList1"/>
      </w:pPr>
      <w:r>
        <w:t xml:space="preserve">Paragraph 2 of the Direction </w:t>
      </w:r>
      <w:sdt>
        <w:sdtPr>
          <w:id w:val="1186019554"/>
          <w:citation/>
        </w:sdtPr>
        <w:sdtEndPr/>
        <w:sdtContent>
          <w:r w:rsidR="007176D9">
            <w:fldChar w:fldCharType="begin"/>
          </w:r>
          <w:r w:rsidR="007176D9">
            <w:instrText xml:space="preserve"> CITATION HMG1711 \l 2057 </w:instrText>
          </w:r>
          <w:r w:rsidR="007176D9">
            <w:fldChar w:fldCharType="separate"/>
          </w:r>
          <w:r w:rsidR="00526BCB" w:rsidRPr="00526BCB">
            <w:rPr>
              <w:noProof/>
            </w:rPr>
            <w:t>[3]</w:t>
          </w:r>
          <w:r w:rsidR="007176D9">
            <w:fldChar w:fldCharType="end"/>
          </w:r>
        </w:sdtContent>
      </w:sdt>
      <w:r w:rsidR="007176D9">
        <w:t xml:space="preserve"> </w:t>
      </w:r>
      <w:r>
        <w:t>makes ONR legally responsible for ensuring that this type of information-sharing of ‘necessary’ licensee nuclear safety site information occurs.</w:t>
      </w:r>
      <w:r w:rsidR="00F40085">
        <w:t xml:space="preserve"> </w:t>
      </w:r>
      <w:r>
        <w:t>It is ONR’s expectation that this obligation will be met using existing arrangements.</w:t>
      </w:r>
      <w:r w:rsidR="00F40085">
        <w:t xml:space="preserve"> </w:t>
      </w:r>
      <w:r>
        <w:t>However, the Direction gives ONR a new legal power to publish licensee information where it determines that available necessary nuclear safety information covering ‘normal operations’ and ‘incidents and accidents’ is not being made available to the identified persons and bodies in Article 8(1) (a) and (b) of the Direction. It is the responsibility of nominated site inspectors to determine that nuclear safety information and its regulation is being made publicly available in compliance with the Direction. When assessing what nuclear safety information is being provided to the public and whether it is adequate for the purposes of the Direction, the site inspector should consider the particular unique circumstances of each licensed site, taking cognisance of any feedback received from members of the public and or organisations representing the public.</w:t>
      </w:r>
    </w:p>
    <w:p w14:paraId="1D282DAD" w14:textId="2F6FCC9D" w:rsidR="00F40085" w:rsidRDefault="00A65CBC" w:rsidP="00C266AD">
      <w:pPr>
        <w:pStyle w:val="NumList1"/>
      </w:pPr>
      <w:r>
        <w:t xml:space="preserve">If the site inspector identifies shortfalls in the necessary information being shared by the licensee, they are to write to the licensee detailing the perceived shortfalls, stating the powers allocated to ONR under the Direction and stating that under such powers ‘available necessary information’ will be published by ONR if the licensee fails to publish within a specified timescale. </w:t>
      </w:r>
    </w:p>
    <w:p w14:paraId="0DE6D9AF" w14:textId="0A850583" w:rsidR="00F40085" w:rsidRDefault="00A65CBC" w:rsidP="00C266AD">
      <w:pPr>
        <w:pStyle w:val="NumList1"/>
      </w:pPr>
      <w:r>
        <w:t xml:space="preserve">The Directive </w:t>
      </w:r>
      <w:sdt>
        <w:sdtPr>
          <w:id w:val="1443571574"/>
          <w:citation/>
        </w:sdtPr>
        <w:sdtEndPr/>
        <w:sdtContent>
          <w:r w:rsidR="007176D9">
            <w:fldChar w:fldCharType="begin"/>
          </w:r>
          <w:r w:rsidR="007176D9">
            <w:instrText xml:space="preserve"> CITATION HMG141 \l 2057 </w:instrText>
          </w:r>
          <w:r w:rsidR="007176D9">
            <w:fldChar w:fldCharType="separate"/>
          </w:r>
          <w:r w:rsidR="00526BCB" w:rsidRPr="00526BCB">
            <w:rPr>
              <w:noProof/>
            </w:rPr>
            <w:t>[2]</w:t>
          </w:r>
          <w:r w:rsidR="007176D9">
            <w:fldChar w:fldCharType="end"/>
          </w:r>
        </w:sdtContent>
      </w:sdt>
      <w:r w:rsidR="007176D9">
        <w:t xml:space="preserve"> </w:t>
      </w:r>
      <w:r>
        <w:t xml:space="preserve">and Direction </w:t>
      </w:r>
      <w:sdt>
        <w:sdtPr>
          <w:id w:val="-2050286139"/>
          <w:citation/>
        </w:sdtPr>
        <w:sdtEndPr/>
        <w:sdtContent>
          <w:r w:rsidR="007176D9">
            <w:fldChar w:fldCharType="begin"/>
          </w:r>
          <w:r w:rsidR="007176D9">
            <w:instrText xml:space="preserve"> CITATION HMG1711 \l 2057 </w:instrText>
          </w:r>
          <w:r w:rsidR="007176D9">
            <w:fldChar w:fldCharType="separate"/>
          </w:r>
          <w:r w:rsidR="00526BCB" w:rsidRPr="00526BCB">
            <w:rPr>
              <w:noProof/>
            </w:rPr>
            <w:t>[3]</w:t>
          </w:r>
          <w:r w:rsidR="007176D9">
            <w:fldChar w:fldCharType="end"/>
          </w:r>
        </w:sdtContent>
      </w:sdt>
      <w:r w:rsidR="007176D9">
        <w:t xml:space="preserve"> </w:t>
      </w:r>
      <w:r>
        <w:t>apply to civilian nuclear installations (</w:t>
      </w:r>
      <w:r w:rsidR="007176D9">
        <w:t xml:space="preserve">i.e., </w:t>
      </w:r>
      <w:r>
        <w:t xml:space="preserve">Nuclear Power Plants, Nuclear Fuel Fabrication Plants, Enrichment Plants, Research Reactors, Reprocessing Plants and Spent Fuel Plants) as defined in the Direction. </w:t>
      </w:r>
    </w:p>
    <w:p w14:paraId="5B894290" w14:textId="036F8925" w:rsidR="007176D9" w:rsidRDefault="00A65CBC" w:rsidP="00EF1E3D">
      <w:pPr>
        <w:pStyle w:val="NumList1"/>
      </w:pPr>
      <w:r>
        <w:t xml:space="preserve">Although the Directive </w:t>
      </w:r>
      <w:sdt>
        <w:sdtPr>
          <w:id w:val="2123570329"/>
          <w:citation/>
        </w:sdtPr>
        <w:sdtEndPr/>
        <w:sdtContent>
          <w:r w:rsidR="007176D9">
            <w:fldChar w:fldCharType="begin"/>
          </w:r>
          <w:r w:rsidR="007176D9">
            <w:instrText xml:space="preserve"> CITATION HMG141 \l 2057 </w:instrText>
          </w:r>
          <w:r w:rsidR="007176D9">
            <w:fldChar w:fldCharType="separate"/>
          </w:r>
          <w:r w:rsidR="00526BCB" w:rsidRPr="00526BCB">
            <w:rPr>
              <w:noProof/>
            </w:rPr>
            <w:t>[2]</w:t>
          </w:r>
          <w:r w:rsidR="007176D9">
            <w:fldChar w:fldCharType="end"/>
          </w:r>
        </w:sdtContent>
      </w:sdt>
      <w:r w:rsidR="007176D9">
        <w:t xml:space="preserve"> </w:t>
      </w:r>
      <w:r>
        <w:t xml:space="preserve">and Direction </w:t>
      </w:r>
      <w:sdt>
        <w:sdtPr>
          <w:id w:val="1028068004"/>
          <w:citation/>
        </w:sdtPr>
        <w:sdtEndPr/>
        <w:sdtContent>
          <w:r w:rsidR="007176D9">
            <w:fldChar w:fldCharType="begin"/>
          </w:r>
          <w:r w:rsidR="007176D9">
            <w:instrText xml:space="preserve"> CITATION HMG1711 \l 2057 </w:instrText>
          </w:r>
          <w:r w:rsidR="007176D9">
            <w:fldChar w:fldCharType="separate"/>
          </w:r>
          <w:r w:rsidR="00526BCB" w:rsidRPr="00526BCB">
            <w:rPr>
              <w:noProof/>
            </w:rPr>
            <w:t>[3]</w:t>
          </w:r>
          <w:r w:rsidR="007176D9">
            <w:fldChar w:fldCharType="end"/>
          </w:r>
        </w:sdtContent>
      </w:sdt>
      <w:r w:rsidR="007176D9">
        <w:t xml:space="preserve"> </w:t>
      </w:r>
      <w:r>
        <w:t>apply specifically to Civilian Nuclear Installations, ONR will seek to apply similar standard to sites used for Defence purposes, taking due cognisance of relevant Defence agreements and other National security considerations.</w:t>
      </w:r>
    </w:p>
    <w:bookmarkEnd w:id="1"/>
    <w:p w14:paraId="546293A4" w14:textId="1C8E44C1" w:rsidR="008D49A5" w:rsidRDefault="007176D9" w:rsidP="00A65CBC">
      <w:pPr>
        <w:pStyle w:val="Heading1"/>
      </w:pPr>
      <w:r>
        <w:t>Background</w:t>
      </w:r>
    </w:p>
    <w:p w14:paraId="40EC786E" w14:textId="5B8D1AC3" w:rsidR="007176D9" w:rsidRPr="00C266AD" w:rsidRDefault="007176D9" w:rsidP="00C266AD">
      <w:pPr>
        <w:pStyle w:val="NumList1"/>
      </w:pPr>
      <w:r w:rsidRPr="00C266AD">
        <w:t xml:space="preserve">Local community groups meet to discuss site matters in relation to the local population. These groups have no basis in statutes. However, as an open and transparent regulator seeking to build and maintain public confidence, ONR is committed to make information about inspection and regulatory activities relating to sites that it regulates available to the public (and to meet ONR legal obligations concerning the publication of ‘necessary’ regulatory information </w:t>
      </w:r>
      <w:sdt>
        <w:sdtPr>
          <w:id w:val="1399788980"/>
          <w:citation/>
        </w:sdtPr>
        <w:sdtEndPr/>
        <w:sdtContent>
          <w:r w:rsidR="00C266AD" w:rsidRPr="00C266AD">
            <w:fldChar w:fldCharType="begin"/>
          </w:r>
          <w:r w:rsidR="00C266AD" w:rsidRPr="00C266AD">
            <w:instrText xml:space="preserve"> CITATION HMG1711 \l 2057 </w:instrText>
          </w:r>
          <w:r w:rsidR="00C266AD" w:rsidRPr="00C266AD">
            <w:fldChar w:fldCharType="separate"/>
          </w:r>
          <w:r w:rsidR="00526BCB" w:rsidRPr="00526BCB">
            <w:rPr>
              <w:noProof/>
            </w:rPr>
            <w:t>[3]</w:t>
          </w:r>
          <w:r w:rsidR="00C266AD" w:rsidRPr="00C266AD">
            <w:fldChar w:fldCharType="end"/>
          </w:r>
        </w:sdtContent>
      </w:sdt>
      <w:r w:rsidRPr="00C266AD">
        <w:t>), reports are produced for distribution to these groups.</w:t>
      </w:r>
    </w:p>
    <w:p w14:paraId="097EDC38" w14:textId="77777777" w:rsidR="00C266AD" w:rsidRDefault="007176D9" w:rsidP="00C266AD">
      <w:pPr>
        <w:pStyle w:val="NumList1"/>
      </w:pPr>
      <w:r w:rsidRPr="007176D9">
        <w:t xml:space="preserve">ONR site or project inspectors attend the group meetings to explain ONR’s regulatory activities, the findings of this work, to provide clarification arising from information contained in their reports and to respond to questions from group members. There are currently three types of local community group: </w:t>
      </w:r>
    </w:p>
    <w:p w14:paraId="57377F14" w14:textId="77777777" w:rsidR="00C266AD" w:rsidRDefault="007176D9" w:rsidP="00C266AD">
      <w:pPr>
        <w:pStyle w:val="Bulletlist1"/>
        <w:ind w:left="1276"/>
      </w:pPr>
      <w:r w:rsidRPr="007176D9">
        <w:t xml:space="preserve">Site Stakeholder Groups (SSG); </w:t>
      </w:r>
    </w:p>
    <w:p w14:paraId="54E92FFB" w14:textId="77777777" w:rsidR="00C266AD" w:rsidRDefault="007176D9" w:rsidP="00C266AD">
      <w:pPr>
        <w:pStyle w:val="Bulletlist1"/>
        <w:ind w:left="1276"/>
      </w:pPr>
      <w:r w:rsidRPr="007176D9">
        <w:t>Local Community Liaison Councils (LCLC); and</w:t>
      </w:r>
      <w:r w:rsidR="00C266AD">
        <w:t>,</w:t>
      </w:r>
    </w:p>
    <w:p w14:paraId="5EBEAF60" w14:textId="77777777" w:rsidR="00C266AD" w:rsidRDefault="007176D9" w:rsidP="00C266AD">
      <w:pPr>
        <w:pStyle w:val="Bulletlist1"/>
        <w:ind w:left="1276"/>
      </w:pPr>
      <w:r w:rsidRPr="007176D9">
        <w:t xml:space="preserve">Local Liaison Committees (LLC). </w:t>
      </w:r>
    </w:p>
    <w:p w14:paraId="4AD4E628" w14:textId="10E29018" w:rsidR="007176D9" w:rsidRPr="007176D9" w:rsidRDefault="007176D9" w:rsidP="00C266AD">
      <w:pPr>
        <w:pStyle w:val="NumList1"/>
        <w:numPr>
          <w:ilvl w:val="0"/>
          <w:numId w:val="0"/>
        </w:numPr>
        <w:ind w:left="851"/>
      </w:pPr>
      <w:r w:rsidRPr="007176D9">
        <w:t>The different terminology is for historical reasons, and in many cases related to site ownership. There are also some constitutional differences between committees, in chairmanship, meeting venue and frequency, for instance.</w:t>
      </w:r>
    </w:p>
    <w:p w14:paraId="66BCC740" w14:textId="77777777" w:rsidR="007176D9" w:rsidRDefault="007176D9" w:rsidP="008D49A5"/>
    <w:p w14:paraId="6A26B570" w14:textId="77777777" w:rsidR="00C266AD" w:rsidRDefault="00C266AD" w:rsidP="00A65CBC">
      <w:pPr>
        <w:pStyle w:val="Heading1"/>
        <w:sectPr w:rsidR="00C266AD" w:rsidSect="00B82646">
          <w:headerReference w:type="even" r:id="rId19"/>
          <w:headerReference w:type="default" r:id="rId20"/>
          <w:footerReference w:type="even" r:id="rId21"/>
          <w:footerReference w:type="default" r:id="rId22"/>
          <w:pgSz w:w="11906" w:h="16838" w:code="9"/>
          <w:pgMar w:top="1440" w:right="1080" w:bottom="1440" w:left="1080" w:header="397" w:footer="397" w:gutter="0"/>
          <w:cols w:space="312"/>
          <w:docGrid w:linePitch="360"/>
        </w:sectPr>
      </w:pPr>
    </w:p>
    <w:p w14:paraId="02969319" w14:textId="77777777" w:rsidR="00C266AD" w:rsidRDefault="00C266AD" w:rsidP="00C266AD">
      <w:pPr>
        <w:pStyle w:val="Heading1"/>
      </w:pPr>
      <w:r>
        <w:t>Responsibilities and Procedure</w:t>
      </w:r>
    </w:p>
    <w:p w14:paraId="0FF1B04F" w14:textId="734D9694" w:rsidR="00C266AD" w:rsidRPr="00C266AD" w:rsidRDefault="00C266AD" w:rsidP="00C266AD">
      <w:pPr>
        <w:pStyle w:val="Heading2"/>
      </w:pPr>
      <w:r w:rsidRPr="00C266AD">
        <w:t>Production of the Report</w:t>
      </w:r>
    </w:p>
    <w:p w14:paraId="184E07D6" w14:textId="57465700" w:rsidR="00C266AD" w:rsidRPr="00C266AD" w:rsidRDefault="00C266AD" w:rsidP="00C266AD">
      <w:pPr>
        <w:pStyle w:val="NumList1"/>
        <w:rPr>
          <w:szCs w:val="24"/>
          <w:lang w:bidi="ar-SA"/>
        </w:rPr>
      </w:pPr>
      <w:r>
        <w:t xml:space="preserve">The periodicity for producing ONR site reports aligns with the frequency of local stakeholder group meetings. The ONR Site Inspector should familiarise themselves with the Relevant Good Practice (RGP), stated below, and produce their report in line with this RGP, Stakeholder Engagement Strategy 2020-25 </w:t>
      </w:r>
      <w:sdt>
        <w:sdtPr>
          <w:id w:val="-1020234133"/>
          <w:citation/>
        </w:sdtPr>
        <w:sdtEndPr/>
        <w:sdtContent>
          <w:r>
            <w:fldChar w:fldCharType="begin"/>
          </w:r>
          <w:r>
            <w:instrText xml:space="preserve"> CITATION ONR2011 \l 2057 </w:instrText>
          </w:r>
          <w:r>
            <w:fldChar w:fldCharType="separate"/>
          </w:r>
          <w:r w:rsidR="00526BCB" w:rsidRPr="00526BCB">
            <w:rPr>
              <w:noProof/>
            </w:rPr>
            <w:t>[1]</w:t>
          </w:r>
          <w:r>
            <w:fldChar w:fldCharType="end"/>
          </w:r>
        </w:sdtContent>
      </w:sdt>
      <w:r>
        <w:t xml:space="preserve">, </w:t>
      </w:r>
      <w:r w:rsidR="00526BCB">
        <w:t xml:space="preserve">guidance from the </w:t>
      </w:r>
      <w:r>
        <w:t xml:space="preserve">Safety Directors Forum </w:t>
      </w:r>
      <w:r w:rsidR="00526BCB">
        <w:t xml:space="preserve">(SDF) </w:t>
      </w:r>
      <w:sdt>
        <w:sdtPr>
          <w:id w:val="-499271100"/>
          <w:citation/>
        </w:sdtPr>
        <w:sdtEndPr/>
        <w:sdtContent>
          <w:r w:rsidR="00526BCB">
            <w:fldChar w:fldCharType="begin"/>
          </w:r>
          <w:r w:rsidR="00526BCB">
            <w:instrText xml:space="preserve"> CITATION SDF22 \l 2057 </w:instrText>
          </w:r>
          <w:r w:rsidR="00526BCB">
            <w:fldChar w:fldCharType="separate"/>
          </w:r>
          <w:r w:rsidR="00526BCB" w:rsidRPr="00526BCB">
            <w:rPr>
              <w:noProof/>
            </w:rPr>
            <w:t>[8]</w:t>
          </w:r>
          <w:r w:rsidR="00526BCB">
            <w:fldChar w:fldCharType="end"/>
          </w:r>
        </w:sdtContent>
      </w:sdt>
      <w:r>
        <w:t xml:space="preserve">, the ONR Style Guide </w:t>
      </w:r>
      <w:sdt>
        <w:sdtPr>
          <w:id w:val="-400285809"/>
          <w:citation/>
        </w:sdtPr>
        <w:sdtEndPr/>
        <w:sdtContent>
          <w:r>
            <w:fldChar w:fldCharType="begin"/>
          </w:r>
          <w:r>
            <w:instrText xml:space="preserve"> CITATION ONR119 \l 2057 </w:instrText>
          </w:r>
          <w:r>
            <w:fldChar w:fldCharType="separate"/>
          </w:r>
          <w:r w:rsidR="00526BCB" w:rsidRPr="00526BCB">
            <w:rPr>
              <w:noProof/>
            </w:rPr>
            <w:t>[9]</w:t>
          </w:r>
          <w:r>
            <w:fldChar w:fldCharType="end"/>
          </w:r>
        </w:sdtContent>
      </w:sdt>
      <w:r>
        <w:t xml:space="preserve"> and ONR policy for openness and transparency with interested stakeholders and public. </w:t>
      </w:r>
    </w:p>
    <w:p w14:paraId="65E84587" w14:textId="52D97558" w:rsidR="00C266AD" w:rsidRPr="00C266AD" w:rsidRDefault="00C266AD" w:rsidP="00C266AD">
      <w:pPr>
        <w:pStyle w:val="NumList1"/>
        <w:rPr>
          <w:szCs w:val="24"/>
          <w:lang w:bidi="ar-SA"/>
        </w:rPr>
      </w:pPr>
      <w:r>
        <w:t xml:space="preserve">The periodicity of producing ONR site reports aligns with the frequency of local stakeholder group meetings. The ONR site inspector, in agreement with the responsible Superintending Inspector Delivery Lead (DL) shall produce their report on a frequency that coincides with that of the particular site stakeholder meeting.  </w:t>
      </w:r>
      <w:r w:rsidRPr="00C266AD">
        <w:rPr>
          <w:b/>
          <w:bCs/>
        </w:rPr>
        <w:t>As a minimum there should be two reports produced per year in relation to each site</w:t>
      </w:r>
      <w:r>
        <w:t xml:space="preserve">. In this way ONR meets its legal obligation under the Direction </w:t>
      </w:r>
      <w:sdt>
        <w:sdtPr>
          <w:id w:val="-1398733097"/>
          <w:citation/>
        </w:sdtPr>
        <w:sdtEndPr/>
        <w:sdtContent>
          <w:r>
            <w:fldChar w:fldCharType="begin"/>
          </w:r>
          <w:r>
            <w:instrText xml:space="preserve"> CITATION HMG1711 \l 2057 </w:instrText>
          </w:r>
          <w:r>
            <w:fldChar w:fldCharType="separate"/>
          </w:r>
          <w:r w:rsidR="00526BCB" w:rsidRPr="00526BCB">
            <w:rPr>
              <w:noProof/>
            </w:rPr>
            <w:t>[3]</w:t>
          </w:r>
          <w:r>
            <w:fldChar w:fldCharType="end"/>
          </w:r>
        </w:sdtContent>
      </w:sdt>
      <w:r>
        <w:t xml:space="preserve"> to publish ‘necessary’ nuclear safety information covering the regulation of relevant sites. </w:t>
      </w:r>
    </w:p>
    <w:p w14:paraId="699480EF" w14:textId="10700E60" w:rsidR="00C266AD" w:rsidRDefault="00C266AD" w:rsidP="00C266AD">
      <w:pPr>
        <w:pStyle w:val="NumList1"/>
        <w:numPr>
          <w:ilvl w:val="0"/>
          <w:numId w:val="0"/>
        </w:numPr>
        <w:ind w:left="851"/>
        <w:rPr>
          <w:szCs w:val="24"/>
          <w:lang w:bidi="ar-SA"/>
        </w:rPr>
      </w:pPr>
      <w:r>
        <w:rPr>
          <w:b/>
          <w:bCs/>
        </w:rPr>
        <w:t xml:space="preserve">Note: </w:t>
      </w:r>
      <w:r>
        <w:t>There are some sites in the final stages of decommissioning and clean-up, prior to being de-licensed by ONR, that do not hold meetings with local stakeholders. ONR does not therefore produce specific reports on its interactions on these sites. However, as for all licensed sites, ONR publishes summaries of Project Assessment Reports (PARs) and Intervention Records (IRs) associated with permissions issued and interventions undertaken.  The publication of this information is deemed sufficient to meet ONR’s legal obligation to publish ‘necessary’ nuclear safety information covering the regulation of these sites.</w:t>
      </w:r>
    </w:p>
    <w:p w14:paraId="416CDC49" w14:textId="03820ED2" w:rsidR="00C266AD" w:rsidRDefault="00C266AD" w:rsidP="00F55658">
      <w:pPr>
        <w:pStyle w:val="NumList1"/>
      </w:pPr>
      <w:r>
        <w:t xml:space="preserve">The nominated ONR Site Inspector should ensure that </w:t>
      </w:r>
      <w:r w:rsidRPr="00C266AD">
        <w:rPr>
          <w:b/>
          <w:bCs/>
        </w:rPr>
        <w:t>the report is finalised</w:t>
      </w:r>
      <w:r>
        <w:t xml:space="preserve"> </w:t>
      </w:r>
      <w:r w:rsidRPr="00C266AD">
        <w:rPr>
          <w:b/>
          <w:bCs/>
        </w:rPr>
        <w:t>four weeks before the next SSG, LCLC or LLC meeting</w:t>
      </w:r>
      <w:r>
        <w:t xml:space="preserve">. The report shall be in line with RGP stated above, the guidance provided in </w:t>
      </w:r>
      <w:r w:rsidRPr="00526BCB">
        <w:t>Appendix A</w:t>
      </w:r>
      <w:r>
        <w:t xml:space="preserve"> of this document and the </w:t>
      </w:r>
      <w:r w:rsidRPr="00C266AD">
        <w:rPr>
          <w:bCs/>
          <w:color w:val="000000"/>
        </w:rPr>
        <w:t xml:space="preserve">ONR </w:t>
      </w:r>
      <w:r>
        <w:t xml:space="preserve">Site Report template </w:t>
      </w:r>
      <w:sdt>
        <w:sdtPr>
          <w:id w:val="2140916111"/>
          <w:citation/>
        </w:sdtPr>
        <w:sdtEndPr/>
        <w:sdtContent>
          <w:r>
            <w:fldChar w:fldCharType="begin"/>
          </w:r>
          <w:r>
            <w:instrText xml:space="preserve"> CITATION ONR152 \l 2057 </w:instrText>
          </w:r>
          <w:r>
            <w:fldChar w:fldCharType="separate"/>
          </w:r>
          <w:r w:rsidR="00526BCB" w:rsidRPr="00526BCB">
            <w:rPr>
              <w:noProof/>
            </w:rPr>
            <w:t>[4]</w:t>
          </w:r>
          <w:r>
            <w:fldChar w:fldCharType="end"/>
          </w:r>
        </w:sdtContent>
      </w:sdt>
      <w:r>
        <w:t xml:space="preserve"> which set out normal operating conditions and incident/accident reporting requirements. Further guidance on incident reporting can be found in ref. </w:t>
      </w:r>
      <w:sdt>
        <w:sdtPr>
          <w:id w:val="1378346323"/>
          <w:citation/>
        </w:sdtPr>
        <w:sdtEndPr/>
        <w:sdtContent>
          <w:r>
            <w:fldChar w:fldCharType="begin"/>
          </w:r>
          <w:r>
            <w:instrText xml:space="preserve"> CITATION ONR201 \l 2057 </w:instrText>
          </w:r>
          <w:r>
            <w:fldChar w:fldCharType="separate"/>
          </w:r>
          <w:r w:rsidR="00526BCB" w:rsidRPr="00526BCB">
            <w:rPr>
              <w:noProof/>
            </w:rPr>
            <w:t>[7]</w:t>
          </w:r>
          <w:r>
            <w:fldChar w:fldCharType="end"/>
          </w:r>
        </w:sdtContent>
      </w:sdt>
      <w:r>
        <w:t>.</w:t>
      </w:r>
    </w:p>
    <w:p w14:paraId="17E3BF5F" w14:textId="3B07BCED" w:rsidR="00C266AD" w:rsidRDefault="00C266AD" w:rsidP="00C266AD">
      <w:pPr>
        <w:pStyle w:val="NumList1"/>
      </w:pPr>
      <w:r>
        <w:t xml:space="preserve">To ensure that the UK obligations of Article 8(1) (a) and (b) of the Directive </w:t>
      </w:r>
      <w:sdt>
        <w:sdtPr>
          <w:id w:val="-364917224"/>
          <w:citation/>
        </w:sdtPr>
        <w:sdtEndPr/>
        <w:sdtContent>
          <w:r>
            <w:fldChar w:fldCharType="begin"/>
          </w:r>
          <w:r>
            <w:instrText xml:space="preserve"> CITATION HMG141 \l 2057 </w:instrText>
          </w:r>
          <w:r>
            <w:fldChar w:fldCharType="separate"/>
          </w:r>
          <w:r w:rsidR="00526BCB" w:rsidRPr="00526BCB">
            <w:rPr>
              <w:noProof/>
            </w:rPr>
            <w:t>[2]</w:t>
          </w:r>
          <w:r>
            <w:fldChar w:fldCharType="end"/>
          </w:r>
        </w:sdtContent>
      </w:sdt>
      <w:r>
        <w:t xml:space="preserve"> and associated Direction </w:t>
      </w:r>
      <w:sdt>
        <w:sdtPr>
          <w:id w:val="1619955026"/>
          <w:citation/>
        </w:sdtPr>
        <w:sdtEndPr/>
        <w:sdtContent>
          <w:r>
            <w:fldChar w:fldCharType="begin"/>
          </w:r>
          <w:r>
            <w:instrText xml:space="preserve"> CITATION HMG1711 \l 2057 </w:instrText>
          </w:r>
          <w:r>
            <w:fldChar w:fldCharType="separate"/>
          </w:r>
          <w:r w:rsidR="00526BCB" w:rsidRPr="00526BCB">
            <w:rPr>
              <w:noProof/>
            </w:rPr>
            <w:t>[3]</w:t>
          </w:r>
          <w:r>
            <w:fldChar w:fldCharType="end"/>
          </w:r>
        </w:sdtContent>
      </w:sdt>
      <w:r>
        <w:t xml:space="preserve"> are adequately met by the Licensee, ONR, through the site inspector, </w:t>
      </w:r>
      <w:r w:rsidRPr="00C266AD">
        <w:rPr>
          <w:b/>
          <w:bCs/>
        </w:rPr>
        <w:t>will</w:t>
      </w:r>
      <w:r>
        <w:t xml:space="preserve"> in the first instance review both ONR (LLC/LCLC/SSG, PARs and IRs) and Licensee’s reports to ensure the Licensee’s and ONR’s compliance with the Direction, i.e. all necessary nuclear safety information covering the site’s operation and its regulation of the site is to be published. The site inspector will undertake this task as part of routine engagement with the site and in particular through input to LLC/LCLC/SSG meetings. </w:t>
      </w:r>
    </w:p>
    <w:p w14:paraId="1E55CDA3" w14:textId="763379DD" w:rsidR="00526BCB" w:rsidRDefault="00C266AD" w:rsidP="00C266AD">
      <w:pPr>
        <w:pStyle w:val="NumList1"/>
      </w:pPr>
      <w:r>
        <w:t xml:space="preserve">Where the inspector feels that there are shortfalls in the information provided by the Licensee in complying with the Directive </w:t>
      </w:r>
      <w:sdt>
        <w:sdtPr>
          <w:id w:val="-614905567"/>
          <w:citation/>
        </w:sdtPr>
        <w:sdtEndPr/>
        <w:sdtContent>
          <w:r>
            <w:fldChar w:fldCharType="begin"/>
          </w:r>
          <w:r>
            <w:instrText xml:space="preserve"> CITATION HMG141 \l 2057 </w:instrText>
          </w:r>
          <w:r>
            <w:fldChar w:fldCharType="separate"/>
          </w:r>
          <w:r w:rsidR="00526BCB" w:rsidRPr="00526BCB">
            <w:rPr>
              <w:noProof/>
            </w:rPr>
            <w:t>[2]</w:t>
          </w:r>
          <w:r>
            <w:fldChar w:fldCharType="end"/>
          </w:r>
        </w:sdtContent>
      </w:sdt>
      <w:r>
        <w:t xml:space="preserve">, this will be recorded in either a Contact Record (CR) or Intervention Record (IR) as appropriate and confirmed in writing then escalated through the appropriate Regulatory Interface Meeting (RIM), where the inspector can provide advice and guidance on RGP e.g. SDF Guide, to the licensee. </w:t>
      </w:r>
    </w:p>
    <w:p w14:paraId="290E08B4" w14:textId="7319ABF9" w:rsidR="00526BCB" w:rsidRDefault="00C266AD" w:rsidP="00A174DA">
      <w:pPr>
        <w:pStyle w:val="NumList1"/>
      </w:pPr>
      <w:r>
        <w:t xml:space="preserve">Similarly, where a site does not produce </w:t>
      </w:r>
      <w:r w:rsidR="00526BCB">
        <w:t>an</w:t>
      </w:r>
      <w:r>
        <w:t xml:space="preserve"> LLC/LCLC/SSG report, the site inspector should escalate any such concerns they have through the relevant RIM, confirming this in writing and taking appropriate action, in consultation with their Superintending Inspector, to invoke powers under the Direction </w:t>
      </w:r>
      <w:sdt>
        <w:sdtPr>
          <w:id w:val="-440985093"/>
          <w:citation/>
        </w:sdtPr>
        <w:sdtEndPr/>
        <w:sdtContent>
          <w:r w:rsidR="00526BCB">
            <w:fldChar w:fldCharType="begin"/>
          </w:r>
          <w:r w:rsidR="00526BCB">
            <w:instrText xml:space="preserve"> CITATION HMG1711 \l 2057 </w:instrText>
          </w:r>
          <w:r w:rsidR="00526BCB">
            <w:fldChar w:fldCharType="separate"/>
          </w:r>
          <w:r w:rsidR="00526BCB" w:rsidRPr="00526BCB">
            <w:rPr>
              <w:noProof/>
            </w:rPr>
            <w:t>[3]</w:t>
          </w:r>
          <w:r w:rsidR="00526BCB">
            <w:fldChar w:fldCharType="end"/>
          </w:r>
        </w:sdtContent>
      </w:sdt>
      <w:r w:rsidR="00526BCB">
        <w:t xml:space="preserve"> </w:t>
      </w:r>
      <w:r>
        <w:t xml:space="preserve">and publish available necessary information if the Licensee fails to do so within a specified period. </w:t>
      </w:r>
      <w:r w:rsidR="00526BCB">
        <w:t xml:space="preserve">The </w:t>
      </w:r>
      <w:r>
        <w:t xml:space="preserve">Policy and Communications Directorate </w:t>
      </w:r>
      <w:r w:rsidR="00526BCB">
        <w:t xml:space="preserve">within ONR </w:t>
      </w:r>
      <w:r>
        <w:t xml:space="preserve">(via the appropriate business partners) should also be informed where this is the case. </w:t>
      </w:r>
    </w:p>
    <w:p w14:paraId="084BBCCF" w14:textId="769CE734" w:rsidR="00C266AD" w:rsidRDefault="00C266AD" w:rsidP="00A174DA">
      <w:pPr>
        <w:pStyle w:val="NumList1"/>
      </w:pPr>
      <w:r>
        <w:t xml:space="preserve">Where a site inspector is concerned that ONR has not met the requirements of the Direction </w:t>
      </w:r>
      <w:sdt>
        <w:sdtPr>
          <w:id w:val="336042289"/>
          <w:citation/>
        </w:sdtPr>
        <w:sdtEndPr/>
        <w:sdtContent>
          <w:r w:rsidR="00526BCB">
            <w:fldChar w:fldCharType="begin"/>
          </w:r>
          <w:r w:rsidR="00526BCB">
            <w:instrText xml:space="preserve"> CITATION HMG1711 \l 2057 </w:instrText>
          </w:r>
          <w:r w:rsidR="00526BCB">
            <w:fldChar w:fldCharType="separate"/>
          </w:r>
          <w:r w:rsidR="00526BCB" w:rsidRPr="00526BCB">
            <w:rPr>
              <w:noProof/>
            </w:rPr>
            <w:t>[3]</w:t>
          </w:r>
          <w:r w:rsidR="00526BCB">
            <w:fldChar w:fldCharType="end"/>
          </w:r>
        </w:sdtContent>
      </w:sdt>
      <w:r w:rsidR="00526BCB">
        <w:t xml:space="preserve"> </w:t>
      </w:r>
      <w:r>
        <w:t xml:space="preserve">to provide all ‘necessary’ information concerning nuclear safety regulation, this information should be included within the next site inspector’s LCC/LCLC/SSG report or published via some other means agreed with the DL and </w:t>
      </w:r>
      <w:r w:rsidR="00526BCB">
        <w:t>the</w:t>
      </w:r>
      <w:r>
        <w:t xml:space="preserve"> Policy and Communications Directorate. </w:t>
      </w:r>
      <w:r w:rsidRPr="00526BCB">
        <w:rPr>
          <w:bCs/>
        </w:rPr>
        <w:t xml:space="preserve">If this happens, ONR should review why this has happened and consider appropriate action to prevent a re-occurrence. </w:t>
      </w:r>
      <w:r>
        <w:t xml:space="preserve">To promote consistency of approach, the site inspector drafting the report should follow the guidance on format and content set out in </w:t>
      </w:r>
      <w:r w:rsidRPr="00526BCB">
        <w:t>Appendix A</w:t>
      </w:r>
      <w:r w:rsidR="00526BCB">
        <w:t xml:space="preserve"> of this document</w:t>
      </w:r>
      <w:r>
        <w:t>.</w:t>
      </w:r>
    </w:p>
    <w:p w14:paraId="5C96F96F" w14:textId="6BAF666F" w:rsidR="00C266AD" w:rsidRDefault="00C266AD" w:rsidP="00C266AD">
      <w:pPr>
        <w:pStyle w:val="NumList1"/>
      </w:pPr>
      <w:r>
        <w:t xml:space="preserve">The draft inspector site SSG/LCLC/LLC report should be recorded in </w:t>
      </w:r>
      <w:r w:rsidR="00526BCB">
        <w:t>Content Manager (CM)</w:t>
      </w:r>
      <w:r>
        <w:t xml:space="preserve"> and forwarded to Divisional Delivery Support (DDS) for distribution to the </w:t>
      </w:r>
      <w:r w:rsidR="00526BCB">
        <w:t>C</w:t>
      </w:r>
      <w:r>
        <w:t xml:space="preserve">ommunications team, who </w:t>
      </w:r>
      <w:r>
        <w:rPr>
          <w:bCs/>
        </w:rPr>
        <w:t>will review each report to offer a ‘non-technical’ view on the content and suggest any amendments to the text, while also identifying any potential reputational issues which might require further stakeholder briefing or external positioning (</w:t>
      </w:r>
      <w:r w:rsidR="00526BCB">
        <w:rPr>
          <w:bCs/>
        </w:rPr>
        <w:t>e.g.,</w:t>
      </w:r>
      <w:r>
        <w:rPr>
          <w:bCs/>
        </w:rPr>
        <w:t xml:space="preserve"> ‘lines to take.’).</w:t>
      </w:r>
    </w:p>
    <w:p w14:paraId="26EC05EC" w14:textId="5FEF0A61" w:rsidR="00C266AD" w:rsidRDefault="00C266AD" w:rsidP="00C266AD">
      <w:pPr>
        <w:pStyle w:val="NumList1"/>
      </w:pPr>
      <w:r>
        <w:t>DDS shall forward the draft report to the DL for review which includes ensuring formatting and use of plain English</w:t>
      </w:r>
      <w:r w:rsidR="00526BCB">
        <w:t xml:space="preserve"> (refer to the </w:t>
      </w:r>
      <w:r>
        <w:t xml:space="preserve">ONR Style Guide </w:t>
      </w:r>
      <w:sdt>
        <w:sdtPr>
          <w:id w:val="-1514598036"/>
          <w:citation/>
        </w:sdtPr>
        <w:sdtEndPr/>
        <w:sdtContent>
          <w:r w:rsidR="00526BCB">
            <w:fldChar w:fldCharType="begin"/>
          </w:r>
          <w:r w:rsidR="00526BCB">
            <w:instrText xml:space="preserve"> CITATION ONR119 \l 2057 </w:instrText>
          </w:r>
          <w:r w:rsidR="00526BCB">
            <w:fldChar w:fldCharType="separate"/>
          </w:r>
          <w:r w:rsidR="00526BCB" w:rsidRPr="00526BCB">
            <w:rPr>
              <w:noProof/>
            </w:rPr>
            <w:t>[9]</w:t>
          </w:r>
          <w:r w:rsidR="00526BCB">
            <w:fldChar w:fldCharType="end"/>
          </w:r>
        </w:sdtContent>
      </w:sdt>
      <w:r>
        <w:t xml:space="preserve"> </w:t>
      </w:r>
      <w:r w:rsidR="00526BCB">
        <w:t>for further information)</w:t>
      </w:r>
      <w:r>
        <w:t>.</w:t>
      </w:r>
    </w:p>
    <w:p w14:paraId="47ABE61B" w14:textId="77777777" w:rsidR="00C266AD" w:rsidRDefault="00C266AD" w:rsidP="00C266AD">
      <w:pPr>
        <w:pStyle w:val="NumList1"/>
      </w:pPr>
      <w:r>
        <w:t xml:space="preserve">The DL should review and discuss any significant issues contained in the draft with the Site Inspector and resolve these and when satisfied should confirm DL approval via an email to the relevant Divisional DL account.  This should be completed within one week. </w:t>
      </w:r>
    </w:p>
    <w:p w14:paraId="28A77C91" w14:textId="0D5E6058" w:rsidR="00C266AD" w:rsidRDefault="00C266AD" w:rsidP="00C266AD">
      <w:pPr>
        <w:pStyle w:val="NumList1"/>
      </w:pPr>
      <w:r>
        <w:t>The DL should email confirmation of approval and that the report can be finalised in CM to their relevant DDS account.</w:t>
      </w:r>
    </w:p>
    <w:p w14:paraId="3C628996" w14:textId="1412A6D3" w:rsidR="00C266AD" w:rsidRDefault="00C266AD" w:rsidP="00C266AD">
      <w:pPr>
        <w:pStyle w:val="NumList1"/>
      </w:pPr>
      <w:bookmarkStart w:id="2" w:name="_Toc477871912"/>
      <w:r>
        <w:rPr>
          <w:color w:val="000000"/>
        </w:rPr>
        <w:t xml:space="preserve">The process flow diagram at </w:t>
      </w:r>
      <w:r w:rsidRPr="00526BCB">
        <w:rPr>
          <w:color w:val="000000"/>
        </w:rPr>
        <w:t>Appendix B</w:t>
      </w:r>
      <w:r>
        <w:rPr>
          <w:color w:val="000000"/>
        </w:rPr>
        <w:t xml:space="preserve"> shows the process for </w:t>
      </w:r>
      <w:r>
        <w:t>drafting the report and the internal approvals process.</w:t>
      </w:r>
      <w:bookmarkEnd w:id="2"/>
    </w:p>
    <w:p w14:paraId="2A969950" w14:textId="5812883E" w:rsidR="00526BCB" w:rsidRDefault="00526BCB" w:rsidP="00526BCB">
      <w:pPr>
        <w:pStyle w:val="Heading2"/>
      </w:pPr>
      <w:r>
        <w:t>Distribution of the Report</w:t>
      </w:r>
    </w:p>
    <w:p w14:paraId="5A01A84F" w14:textId="31FADF01" w:rsidR="00526BCB" w:rsidRDefault="00526BCB" w:rsidP="00526BCB">
      <w:pPr>
        <w:pStyle w:val="NumList1"/>
      </w:pPr>
      <w:r w:rsidRPr="00526BCB">
        <w:t xml:space="preserve">The relevant Division’s DDS team is responsible for prompt distribution of the report to the relevant licensed site, other regulatory bodies and internally within ONR. </w:t>
      </w:r>
      <w:r>
        <w:br/>
      </w:r>
      <w:r w:rsidRPr="00526BCB">
        <w:t>To facilitate this, they should:</w:t>
      </w:r>
    </w:p>
    <w:p w14:paraId="2A4E746D" w14:textId="0C5F8DC0" w:rsidR="00526BCB" w:rsidRDefault="00526BCB" w:rsidP="00526BCB">
      <w:pPr>
        <w:pStyle w:val="Bulletlist1"/>
        <w:ind w:left="1134"/>
        <w:rPr>
          <w:szCs w:val="24"/>
          <w:lang w:bidi="ar-SA"/>
        </w:rPr>
      </w:pPr>
      <w:r>
        <w:t>Finalise the report in CM (unless already done by the inspector).</w:t>
      </w:r>
    </w:p>
    <w:p w14:paraId="1ED54D12" w14:textId="22B019CB" w:rsidR="00526BCB" w:rsidRDefault="00526BCB" w:rsidP="00526BCB">
      <w:pPr>
        <w:pStyle w:val="Bulletlist1"/>
        <w:ind w:left="1134"/>
      </w:pPr>
      <w:r>
        <w:t>Produce a covering letter/e-mail in the nominated site inspector’s name (refer to Appendix C of this document for text of covering letter to be used).</w:t>
      </w:r>
    </w:p>
    <w:p w14:paraId="77FA6C59" w14:textId="644D388D" w:rsidR="00526BCB" w:rsidRDefault="00526BCB" w:rsidP="00526BCB">
      <w:pPr>
        <w:pStyle w:val="Bulletlist1"/>
        <w:ind w:left="1134"/>
      </w:pPr>
      <w:r>
        <w:t>For the Welsh sites (Trawsfynydd and Wylfa), arrange for the report to be translated into Welsh, through HSE translation services.</w:t>
      </w:r>
    </w:p>
    <w:p w14:paraId="5D1B971A" w14:textId="1059D3AE" w:rsidR="00526BCB" w:rsidRDefault="00526BCB" w:rsidP="00526BCB">
      <w:pPr>
        <w:pStyle w:val="Bulletlist1"/>
        <w:ind w:left="1134"/>
      </w:pPr>
      <w:r>
        <w:t>Send a covering letter with the report attached to the site, and/or email them, if agreed with the site.</w:t>
      </w:r>
    </w:p>
    <w:p w14:paraId="0680BB8E" w14:textId="4058EA3A" w:rsidR="00526BCB" w:rsidRDefault="00526BCB" w:rsidP="00526BCB">
      <w:pPr>
        <w:pStyle w:val="Bulletlist1"/>
        <w:ind w:left="1134"/>
        <w:rPr>
          <w:color w:val="000000"/>
        </w:rPr>
      </w:pPr>
      <w:r>
        <w:rPr>
          <w:color w:val="000000"/>
        </w:rPr>
        <w:t xml:space="preserve">Distribute the report by email to the ONR email account for the ONR Communications team to publish onto the ONR website. </w:t>
      </w:r>
      <w:r>
        <w:t xml:space="preserve">The </w:t>
      </w:r>
      <w:r>
        <w:rPr>
          <w:color w:val="000000"/>
        </w:rPr>
        <w:t xml:space="preserve">Communications </w:t>
      </w:r>
      <w:r>
        <w:t>team will publish the report on the ONR website, having received it no later than one week before the next SSG, LCLC, LLC meeting and attendance at local community group meetings</w:t>
      </w:r>
      <w:r>
        <w:rPr>
          <w:color w:val="000000"/>
        </w:rPr>
        <w:t>.</w:t>
      </w:r>
    </w:p>
    <w:p w14:paraId="13A7FAC6" w14:textId="1ACACAFC" w:rsidR="00526BCB" w:rsidRDefault="00526BCB" w:rsidP="00526BCB">
      <w:pPr>
        <w:pStyle w:val="Bulletlist1"/>
        <w:ind w:left="1134"/>
      </w:pPr>
      <w:r>
        <w:t xml:space="preserve">Monitor the timings and status of each report to assist (thus meeting the requirements of the Direction </w:t>
      </w:r>
      <w:sdt>
        <w:sdtPr>
          <w:id w:val="974174321"/>
          <w:citation/>
        </w:sdtPr>
        <w:sdtEndPr/>
        <w:sdtContent>
          <w:r>
            <w:fldChar w:fldCharType="begin"/>
          </w:r>
          <w:r>
            <w:instrText xml:space="preserve"> CITATION HMG1711 \l 2057 </w:instrText>
          </w:r>
          <w:r>
            <w:fldChar w:fldCharType="separate"/>
          </w:r>
          <w:r w:rsidRPr="00526BCB">
            <w:t>[3]</w:t>
          </w:r>
          <w:r>
            <w:fldChar w:fldCharType="end"/>
          </w:r>
        </w:sdtContent>
      </w:sdt>
      <w:r>
        <w:t xml:space="preserve"> for ONR to publish all ‘necessary’ information concerning the nuclear safety regulation of relevant sites).</w:t>
      </w:r>
    </w:p>
    <w:p w14:paraId="2E4C3CA5" w14:textId="07AE9292" w:rsidR="00526BCB" w:rsidRPr="00526BCB" w:rsidRDefault="00526BCB" w:rsidP="00526BCB">
      <w:pPr>
        <w:pStyle w:val="NumList1"/>
        <w:numPr>
          <w:ilvl w:val="0"/>
          <w:numId w:val="0"/>
        </w:numPr>
        <w:ind w:left="851"/>
      </w:pPr>
      <w:r w:rsidRPr="00526BCB">
        <w:t xml:space="preserve">Refer to Appendix D regarding distribution of SSG/LCLC/LLC reports and </w:t>
      </w:r>
      <w:r w:rsidR="00EF1E3D">
        <w:fldChar w:fldCharType="begin"/>
      </w:r>
      <w:r w:rsidR="00EF1E3D">
        <w:instrText xml:space="preserve"> REF _Ref119313608 \h </w:instrText>
      </w:r>
      <w:r w:rsidR="00EF1E3D">
        <w:fldChar w:fldCharType="separate"/>
      </w:r>
      <w:r w:rsidR="00EF1E3D">
        <w:t xml:space="preserve">Table </w:t>
      </w:r>
      <w:r w:rsidR="00EF1E3D">
        <w:rPr>
          <w:noProof/>
        </w:rPr>
        <w:t>2</w:t>
      </w:r>
      <w:r w:rsidR="00EF1E3D">
        <w:fldChar w:fldCharType="end"/>
      </w:r>
      <w:r w:rsidRPr="00526BCB">
        <w:rPr>
          <w:color w:val="000000"/>
        </w:rPr>
        <w:t xml:space="preserve"> for full listing of sites and their local community groups</w:t>
      </w:r>
      <w:r w:rsidRPr="00526BCB">
        <w:t>.</w:t>
      </w:r>
    </w:p>
    <w:p w14:paraId="20B14776" w14:textId="77777777" w:rsidR="00526BCB" w:rsidRPr="00526BCB" w:rsidRDefault="00526BCB" w:rsidP="00526BCB">
      <w:pPr>
        <w:pStyle w:val="NumList1"/>
        <w:rPr>
          <w:szCs w:val="24"/>
          <w:lang w:bidi="ar-SA"/>
        </w:rPr>
      </w:pPr>
      <w:r>
        <w:t xml:space="preserve">Attendance by ONR inspectors at SSG/LCLC/LLC meetings is formally in the capacity of ‘observer’ as opposed to ‘member’, though they will usually be called upon to participate by reporting verbally in support of their report and to respond to any questions arising from members of the group, or members of the public. </w:t>
      </w:r>
    </w:p>
    <w:p w14:paraId="6F51F543" w14:textId="33CED43F" w:rsidR="00526BCB" w:rsidRDefault="00526BCB" w:rsidP="00526BCB">
      <w:pPr>
        <w:pStyle w:val="NumList1"/>
        <w:rPr>
          <w:szCs w:val="24"/>
          <w:lang w:bidi="ar-SA"/>
        </w:rPr>
      </w:pPr>
      <w:r>
        <w:t>If the ONR inspector is approached by the media, they are to direct them to the ONR Press Office for handling of any comment/response (contact details are available on the ONR website under ‘Contact ONR’).</w:t>
      </w:r>
    </w:p>
    <w:p w14:paraId="363B08FF" w14:textId="77777777" w:rsidR="00526BCB" w:rsidRDefault="00526BCB" w:rsidP="00526BCB">
      <w:pPr>
        <w:pStyle w:val="NumList1"/>
      </w:pPr>
      <w:r>
        <w:t>The points set out below are for guidance purposes for ONR attendees and those attending meetings should refer to the RGP stated above for public and licensee engagement:</w:t>
      </w:r>
    </w:p>
    <w:p w14:paraId="6D7BFD14" w14:textId="4F75E24D" w:rsidR="00526BCB" w:rsidRPr="00526BCB" w:rsidRDefault="00526BCB" w:rsidP="00526BCB">
      <w:pPr>
        <w:pStyle w:val="NumList2"/>
        <w:numPr>
          <w:ilvl w:val="1"/>
          <w:numId w:val="30"/>
        </w:numPr>
        <w:ind w:left="1276"/>
        <w:rPr>
          <w:szCs w:val="24"/>
        </w:rPr>
      </w:pPr>
      <w:r>
        <w:t xml:space="preserve">ONR attendees should not participate in the general discussion, except to intervene if the meeting would otherwise be misled on matters relating to ONR’s remit of security and safety, where ONR has a corporate position which should be represented or to provide information that they consider the licensee has not provided to meet the requirements of Article 8(1) (a) and (b) of </w:t>
      </w:r>
      <w:r w:rsidR="008872E2">
        <w:t xml:space="preserve">the </w:t>
      </w:r>
      <w:r>
        <w:t xml:space="preserve"> Directive </w:t>
      </w:r>
      <w:sdt>
        <w:sdtPr>
          <w:id w:val="-2028627383"/>
          <w:citation/>
        </w:sdtPr>
        <w:sdtEndPr/>
        <w:sdtContent>
          <w:r w:rsidR="008872E2">
            <w:fldChar w:fldCharType="begin"/>
          </w:r>
          <w:r w:rsidR="008872E2">
            <w:instrText xml:space="preserve"> CITATION HMG141 \l 2057 </w:instrText>
          </w:r>
          <w:r w:rsidR="008872E2">
            <w:fldChar w:fldCharType="separate"/>
          </w:r>
          <w:r w:rsidR="008872E2" w:rsidRPr="008872E2">
            <w:rPr>
              <w:noProof/>
            </w:rPr>
            <w:t>[2]</w:t>
          </w:r>
          <w:r w:rsidR="008872E2">
            <w:fldChar w:fldCharType="end"/>
          </w:r>
        </w:sdtContent>
      </w:sdt>
      <w:r>
        <w:t>.</w:t>
      </w:r>
    </w:p>
    <w:p w14:paraId="48A8EBD7" w14:textId="77777777" w:rsidR="00526BCB" w:rsidRDefault="00526BCB" w:rsidP="00526BCB">
      <w:pPr>
        <w:pStyle w:val="NumList2"/>
      </w:pPr>
      <w:r>
        <w:t xml:space="preserve">To emphasise ONR’s role as an independent regulator serving the public, it is mandatory that inspectors wear ONR identification and not licensee-provided identification. They should sit in an unobtrusive position, and where possible, not with licensee or other nuclear industry representatives. </w:t>
      </w:r>
    </w:p>
    <w:p w14:paraId="136C6F73" w14:textId="1A678EA5" w:rsidR="00526BCB" w:rsidRDefault="00526BCB" w:rsidP="00526BCB">
      <w:pPr>
        <w:pStyle w:val="NumList2"/>
      </w:pPr>
      <w:r>
        <w:t xml:space="preserve">At the agenda item for the ONR report, inspectors should introduce themselves and invite any questions or points of clarification on the previously circulated report. Inspectors will not routinely give formal presentations, though </w:t>
      </w:r>
      <w:r w:rsidR="008872E2">
        <w:t>were</w:t>
      </w:r>
      <w:r>
        <w:t xml:space="preserve"> invited in advance by the chair or secretariat, will consider positively any opportunity to provide information about regulatory matters to the members and the public.</w:t>
      </w:r>
    </w:p>
    <w:p w14:paraId="41FC482C" w14:textId="77777777" w:rsidR="00526BCB" w:rsidRDefault="00526BCB" w:rsidP="00526BCB">
      <w:pPr>
        <w:pStyle w:val="NumList2"/>
      </w:pPr>
      <w:r>
        <w:t>From time to time, it may be appropriate to give a brief insight into ONR’s role in relation to site matters and the legal duty for licensees to comply with the licence conditions, Nuclear Industries Security Regulation (NISR) and other legislation, such as conventional health and safety legislation, when conducting its business.</w:t>
      </w:r>
    </w:p>
    <w:p w14:paraId="06699F12" w14:textId="086B091D" w:rsidR="00526BCB" w:rsidRDefault="00526BCB" w:rsidP="00526BCB">
      <w:pPr>
        <w:pStyle w:val="NumList2"/>
      </w:pPr>
      <w:r>
        <w:t xml:space="preserve">ONR positions on any relevant ONR corporate or general issues can be found on Nucleus under “the ONR Position on…”. The </w:t>
      </w:r>
      <w:r w:rsidR="008872E2">
        <w:t xml:space="preserve">ONR </w:t>
      </w:r>
      <w:r>
        <w:t xml:space="preserve">Communications team can provide advice in advance of the meeting, via the relevant policy and communications business partners, and also welcomes feedback from inspectors following the meeting, particularly if anything contentious was discussed. Post meeting feedback of any contentious issues to share with the ONR Policy and Communications Directorate can be done via the relevant business partner, and should be formally captured </w:t>
      </w:r>
      <w:r w:rsidR="008872E2">
        <w:t>i.e.,</w:t>
      </w:r>
      <w:r>
        <w:t xml:space="preserve"> in a CR or </w:t>
      </w:r>
      <w:r w:rsidR="008872E2">
        <w:t>e</w:t>
      </w:r>
      <w:r>
        <w:t xml:space="preserve">-mail, and recorded in CM where it can be used for Regulatory Intelligence.   </w:t>
      </w:r>
    </w:p>
    <w:p w14:paraId="1D083C46" w14:textId="6A9A9932" w:rsidR="00526BCB" w:rsidRPr="008872E2" w:rsidRDefault="00526BCB" w:rsidP="00526BCB">
      <w:pPr>
        <w:pStyle w:val="NumList2"/>
      </w:pPr>
      <w:r>
        <w:t>Where appropriate, ONR attendees should encourage the effective sharing of information with interested stakeholders and the public, in line with RGP such as the SDF Guide</w:t>
      </w:r>
      <w:r w:rsidR="008872E2">
        <w:t xml:space="preserve"> </w:t>
      </w:r>
      <w:sdt>
        <w:sdtPr>
          <w:id w:val="-1585063667"/>
          <w:citation/>
        </w:sdtPr>
        <w:sdtEndPr/>
        <w:sdtContent>
          <w:r w:rsidR="008872E2">
            <w:fldChar w:fldCharType="begin"/>
          </w:r>
          <w:r w:rsidR="008872E2">
            <w:instrText xml:space="preserve"> CITATION SDF22 \l 2057 </w:instrText>
          </w:r>
          <w:r w:rsidR="008872E2">
            <w:fldChar w:fldCharType="separate"/>
          </w:r>
          <w:r w:rsidR="008872E2" w:rsidRPr="008872E2">
            <w:rPr>
              <w:noProof/>
            </w:rPr>
            <w:t>[8]</w:t>
          </w:r>
          <w:r w:rsidR="008872E2">
            <w:fldChar w:fldCharType="end"/>
          </w:r>
        </w:sdtContent>
      </w:sdt>
      <w:r>
        <w:t>.</w:t>
      </w:r>
      <w:r>
        <w:rPr>
          <w:color w:val="000000"/>
        </w:rPr>
        <w:t xml:space="preserve"> </w:t>
      </w:r>
    </w:p>
    <w:p w14:paraId="794192B2" w14:textId="77777777" w:rsidR="008872E2" w:rsidRDefault="008872E2" w:rsidP="008872E2">
      <w:pPr>
        <w:pStyle w:val="NumList2"/>
        <w:numPr>
          <w:ilvl w:val="0"/>
          <w:numId w:val="18"/>
        </w:numPr>
        <w:sectPr w:rsidR="008872E2" w:rsidSect="00B82646">
          <w:pgSz w:w="11906" w:h="16838" w:code="9"/>
          <w:pgMar w:top="1440" w:right="1080" w:bottom="1440" w:left="1080" w:header="397" w:footer="397" w:gutter="0"/>
          <w:cols w:space="312"/>
          <w:docGrid w:linePitch="360"/>
        </w:sectPr>
      </w:pPr>
    </w:p>
    <w:p w14:paraId="162E6B43" w14:textId="09C76347" w:rsidR="00EF1E3D" w:rsidRDefault="00EF1E3D" w:rsidP="00EF1E3D">
      <w:pPr>
        <w:pStyle w:val="Caption"/>
        <w:keepNext/>
      </w:pPr>
      <w:bookmarkStart w:id="3" w:name="_Ref119313608"/>
      <w:r>
        <w:t xml:space="preserve">Table </w:t>
      </w:r>
      <w:r w:rsidR="00C12750">
        <w:fldChar w:fldCharType="begin"/>
      </w:r>
      <w:r w:rsidR="00C12750">
        <w:instrText xml:space="preserve"> SEQ Table \* ARABIC </w:instrText>
      </w:r>
      <w:r w:rsidR="00C12750">
        <w:fldChar w:fldCharType="separate"/>
      </w:r>
      <w:r>
        <w:rPr>
          <w:noProof/>
        </w:rPr>
        <w:t>2</w:t>
      </w:r>
      <w:r w:rsidR="00C12750">
        <w:rPr>
          <w:noProof/>
        </w:rPr>
        <w:fldChar w:fldCharType="end"/>
      </w:r>
      <w:bookmarkEnd w:id="3"/>
      <w:r>
        <w:t xml:space="preserve">: </w:t>
      </w:r>
      <w:r w:rsidRPr="00EE7987">
        <w:t>Licensed and other Nuclear Sites – Local Community Group Designation</w:t>
      </w:r>
    </w:p>
    <w:tbl>
      <w:tblPr>
        <w:tblStyle w:val="ONRTable1"/>
        <w:tblW w:w="5000" w:type="pct"/>
        <w:tblInd w:w="0" w:type="dxa"/>
        <w:tblLook w:val="04A0" w:firstRow="1" w:lastRow="0" w:firstColumn="1" w:lastColumn="0" w:noHBand="0" w:noVBand="1"/>
      </w:tblPr>
      <w:tblGrid>
        <w:gridCol w:w="5812"/>
        <w:gridCol w:w="1702"/>
        <w:gridCol w:w="2232"/>
      </w:tblGrid>
      <w:tr w:rsidR="00EF1E3D" w14:paraId="19257642" w14:textId="77777777" w:rsidTr="00BE6240">
        <w:trPr>
          <w:cnfStyle w:val="100000000000" w:firstRow="1" w:lastRow="0" w:firstColumn="0" w:lastColumn="0" w:oddVBand="0" w:evenVBand="0" w:oddHBand="0" w:evenHBand="0" w:firstRowFirstColumn="0" w:firstRowLastColumn="0" w:lastRowFirstColumn="0" w:lastRowLastColumn="0"/>
          <w:cantSplit/>
          <w:trHeight w:val="557"/>
          <w:tblHeader/>
        </w:trPr>
        <w:tc>
          <w:tcPr>
            <w:tcW w:w="2982" w:type="pct"/>
            <w:hideMark/>
          </w:tcPr>
          <w:p w14:paraId="5DF8EA8B" w14:textId="77777777" w:rsidR="00EF1E3D" w:rsidRDefault="00EF1E3D" w:rsidP="00BE6240">
            <w:pPr>
              <w:spacing w:before="60" w:after="60"/>
              <w:jc w:val="center"/>
              <w:rPr>
                <w:szCs w:val="24"/>
                <w:lang w:bidi="ar-SA"/>
              </w:rPr>
            </w:pPr>
            <w:r>
              <w:rPr>
                <w:b w:val="0"/>
              </w:rPr>
              <w:t>Licenced and other sites</w:t>
            </w:r>
          </w:p>
        </w:tc>
        <w:tc>
          <w:tcPr>
            <w:tcW w:w="873" w:type="pct"/>
            <w:hideMark/>
          </w:tcPr>
          <w:p w14:paraId="314AAF10" w14:textId="77777777" w:rsidR="00EF1E3D" w:rsidRDefault="00EF1E3D" w:rsidP="00BE6240">
            <w:pPr>
              <w:spacing w:before="60" w:after="60"/>
              <w:jc w:val="center"/>
              <w:rPr>
                <w:b w:val="0"/>
              </w:rPr>
            </w:pPr>
            <w:r>
              <w:rPr>
                <w:b w:val="0"/>
                <w:bCs/>
                <w:color w:val="000000"/>
              </w:rPr>
              <w:t>Frequency per annum</w:t>
            </w:r>
          </w:p>
        </w:tc>
        <w:tc>
          <w:tcPr>
            <w:tcW w:w="1145" w:type="pct"/>
            <w:hideMark/>
          </w:tcPr>
          <w:p w14:paraId="192AC71E" w14:textId="77777777" w:rsidR="00EF1E3D" w:rsidRDefault="00EF1E3D" w:rsidP="00BE6240">
            <w:pPr>
              <w:spacing w:before="60" w:after="60"/>
              <w:jc w:val="center"/>
              <w:rPr>
                <w:b w:val="0"/>
              </w:rPr>
            </w:pPr>
            <w:r>
              <w:rPr>
                <w:b w:val="0"/>
              </w:rPr>
              <w:t>Type of Group</w:t>
            </w:r>
          </w:p>
        </w:tc>
      </w:tr>
      <w:tr w:rsidR="00EF1E3D" w14:paraId="405291A3" w14:textId="77777777" w:rsidTr="00BE6240">
        <w:trPr>
          <w:cantSplit/>
          <w:trHeight w:val="552"/>
        </w:trPr>
        <w:tc>
          <w:tcPr>
            <w:tcW w:w="5000" w:type="pct"/>
            <w:gridSpan w:val="3"/>
            <w:hideMark/>
          </w:tcPr>
          <w:p w14:paraId="4D3689D5" w14:textId="77777777" w:rsidR="00EF1E3D" w:rsidRDefault="00EF1E3D" w:rsidP="00BE6240">
            <w:pPr>
              <w:spacing w:before="60" w:after="60"/>
              <w:jc w:val="center"/>
              <w:rPr>
                <w:b/>
              </w:rPr>
            </w:pPr>
            <w:r>
              <w:rPr>
                <w:b/>
              </w:rPr>
              <w:t>Operating Facilities Programme</w:t>
            </w:r>
          </w:p>
        </w:tc>
      </w:tr>
      <w:tr w:rsidR="00EF1E3D" w14:paraId="0C86F7F3" w14:textId="77777777" w:rsidTr="00BE6240">
        <w:trPr>
          <w:cantSplit/>
        </w:trPr>
        <w:tc>
          <w:tcPr>
            <w:tcW w:w="2982" w:type="pct"/>
            <w:hideMark/>
          </w:tcPr>
          <w:p w14:paraId="3AA9EB37" w14:textId="77777777" w:rsidR="00EF1E3D" w:rsidRDefault="00EF1E3D" w:rsidP="00BE6240">
            <w:pPr>
              <w:spacing w:before="60" w:after="60"/>
              <w:rPr>
                <w:color w:val="000000"/>
              </w:rPr>
            </w:pPr>
            <w:r>
              <w:rPr>
                <w:color w:val="000000"/>
              </w:rPr>
              <w:t>Dungeness B (joint with Dungeness A Site)</w:t>
            </w:r>
          </w:p>
        </w:tc>
        <w:tc>
          <w:tcPr>
            <w:tcW w:w="873" w:type="pct"/>
            <w:hideMark/>
          </w:tcPr>
          <w:p w14:paraId="23B15E05" w14:textId="77777777" w:rsidR="00EF1E3D" w:rsidRDefault="00EF1E3D" w:rsidP="00BE6240">
            <w:pPr>
              <w:spacing w:before="60" w:after="60"/>
              <w:jc w:val="center"/>
              <w:rPr>
                <w:color w:val="000000"/>
              </w:rPr>
            </w:pPr>
            <w:r>
              <w:rPr>
                <w:color w:val="000000"/>
              </w:rPr>
              <w:t>3</w:t>
            </w:r>
          </w:p>
        </w:tc>
        <w:tc>
          <w:tcPr>
            <w:tcW w:w="1145" w:type="pct"/>
            <w:hideMark/>
          </w:tcPr>
          <w:p w14:paraId="6670B2C4" w14:textId="77777777" w:rsidR="00EF1E3D" w:rsidRDefault="00EF1E3D" w:rsidP="00BE6240">
            <w:pPr>
              <w:spacing w:before="60" w:after="60"/>
              <w:rPr>
                <w:color w:val="000000"/>
              </w:rPr>
            </w:pPr>
            <w:r>
              <w:rPr>
                <w:color w:val="000000"/>
              </w:rPr>
              <w:t>SSG (Joint)</w:t>
            </w:r>
          </w:p>
        </w:tc>
      </w:tr>
      <w:tr w:rsidR="00EF1E3D" w14:paraId="47F7CFA1" w14:textId="77777777" w:rsidTr="00BE6240">
        <w:trPr>
          <w:cantSplit/>
        </w:trPr>
        <w:tc>
          <w:tcPr>
            <w:tcW w:w="2982" w:type="pct"/>
            <w:hideMark/>
          </w:tcPr>
          <w:p w14:paraId="30E2EA96" w14:textId="77777777" w:rsidR="00EF1E3D" w:rsidRDefault="00EF1E3D" w:rsidP="00BE6240">
            <w:pPr>
              <w:spacing w:before="60" w:after="60"/>
              <w:rPr>
                <w:color w:val="000000"/>
              </w:rPr>
            </w:pPr>
            <w:r>
              <w:rPr>
                <w:color w:val="000000"/>
              </w:rPr>
              <w:t>Hartlepool</w:t>
            </w:r>
          </w:p>
        </w:tc>
        <w:tc>
          <w:tcPr>
            <w:tcW w:w="873" w:type="pct"/>
            <w:hideMark/>
          </w:tcPr>
          <w:p w14:paraId="0C4E5702" w14:textId="77777777" w:rsidR="00EF1E3D" w:rsidRDefault="00EF1E3D" w:rsidP="00BE6240">
            <w:pPr>
              <w:spacing w:before="60" w:after="60"/>
              <w:jc w:val="center"/>
              <w:rPr>
                <w:color w:val="000000"/>
              </w:rPr>
            </w:pPr>
            <w:r>
              <w:rPr>
                <w:color w:val="000000"/>
              </w:rPr>
              <w:t>2</w:t>
            </w:r>
          </w:p>
        </w:tc>
        <w:tc>
          <w:tcPr>
            <w:tcW w:w="1145" w:type="pct"/>
            <w:hideMark/>
          </w:tcPr>
          <w:p w14:paraId="346CAB63" w14:textId="77777777" w:rsidR="00EF1E3D" w:rsidRDefault="00EF1E3D" w:rsidP="00BE6240">
            <w:pPr>
              <w:spacing w:before="60" w:after="60"/>
              <w:rPr>
                <w:color w:val="000000"/>
              </w:rPr>
            </w:pPr>
            <w:r>
              <w:rPr>
                <w:color w:val="000000"/>
              </w:rPr>
              <w:t>LCLC</w:t>
            </w:r>
          </w:p>
        </w:tc>
      </w:tr>
      <w:tr w:rsidR="00EF1E3D" w14:paraId="6F8247EF" w14:textId="77777777" w:rsidTr="00BE6240">
        <w:trPr>
          <w:cantSplit/>
        </w:trPr>
        <w:tc>
          <w:tcPr>
            <w:tcW w:w="2982" w:type="pct"/>
            <w:hideMark/>
          </w:tcPr>
          <w:p w14:paraId="08E52517" w14:textId="77777777" w:rsidR="00EF1E3D" w:rsidRDefault="00EF1E3D" w:rsidP="00BE6240">
            <w:pPr>
              <w:spacing w:before="60" w:after="60"/>
              <w:rPr>
                <w:color w:val="000000"/>
              </w:rPr>
            </w:pPr>
            <w:r>
              <w:rPr>
                <w:color w:val="000000"/>
              </w:rPr>
              <w:t xml:space="preserve">Heysham 1 and 2 </w:t>
            </w:r>
          </w:p>
        </w:tc>
        <w:tc>
          <w:tcPr>
            <w:tcW w:w="873" w:type="pct"/>
            <w:hideMark/>
          </w:tcPr>
          <w:p w14:paraId="59CC8F69" w14:textId="77777777" w:rsidR="00EF1E3D" w:rsidRDefault="00EF1E3D" w:rsidP="00BE6240">
            <w:pPr>
              <w:spacing w:before="60" w:after="60"/>
              <w:jc w:val="center"/>
              <w:rPr>
                <w:color w:val="000000"/>
              </w:rPr>
            </w:pPr>
            <w:r>
              <w:rPr>
                <w:color w:val="000000"/>
              </w:rPr>
              <w:t>2</w:t>
            </w:r>
          </w:p>
        </w:tc>
        <w:tc>
          <w:tcPr>
            <w:tcW w:w="1145" w:type="pct"/>
            <w:hideMark/>
          </w:tcPr>
          <w:p w14:paraId="17A6A7DB" w14:textId="77777777" w:rsidR="00EF1E3D" w:rsidRDefault="00EF1E3D" w:rsidP="00BE6240">
            <w:pPr>
              <w:spacing w:before="60" w:after="60"/>
              <w:rPr>
                <w:color w:val="000000"/>
              </w:rPr>
            </w:pPr>
            <w:r>
              <w:rPr>
                <w:color w:val="000000"/>
              </w:rPr>
              <w:t>LCLC (Joint)</w:t>
            </w:r>
          </w:p>
        </w:tc>
      </w:tr>
      <w:tr w:rsidR="00EF1E3D" w14:paraId="1946CD98" w14:textId="77777777" w:rsidTr="00BE6240">
        <w:trPr>
          <w:cantSplit/>
        </w:trPr>
        <w:tc>
          <w:tcPr>
            <w:tcW w:w="2982" w:type="pct"/>
            <w:hideMark/>
          </w:tcPr>
          <w:p w14:paraId="740E91AF" w14:textId="77777777" w:rsidR="00EF1E3D" w:rsidRDefault="00EF1E3D" w:rsidP="00BE6240">
            <w:pPr>
              <w:spacing w:before="60" w:after="60"/>
              <w:rPr>
                <w:color w:val="000000"/>
              </w:rPr>
            </w:pPr>
            <w:r>
              <w:rPr>
                <w:color w:val="000000"/>
              </w:rPr>
              <w:t>Hinkley Point B (joint with Hinkley Point A)</w:t>
            </w:r>
          </w:p>
        </w:tc>
        <w:tc>
          <w:tcPr>
            <w:tcW w:w="873" w:type="pct"/>
            <w:hideMark/>
          </w:tcPr>
          <w:p w14:paraId="6DF7DC22" w14:textId="77777777" w:rsidR="00EF1E3D" w:rsidRDefault="00EF1E3D" w:rsidP="00BE6240">
            <w:pPr>
              <w:spacing w:before="60" w:after="60"/>
              <w:jc w:val="center"/>
              <w:rPr>
                <w:color w:val="000000"/>
              </w:rPr>
            </w:pPr>
            <w:r>
              <w:rPr>
                <w:color w:val="000000"/>
              </w:rPr>
              <w:t>4</w:t>
            </w:r>
          </w:p>
        </w:tc>
        <w:tc>
          <w:tcPr>
            <w:tcW w:w="1145" w:type="pct"/>
            <w:hideMark/>
          </w:tcPr>
          <w:p w14:paraId="58C50467" w14:textId="77777777" w:rsidR="00EF1E3D" w:rsidRDefault="00EF1E3D" w:rsidP="00BE6240">
            <w:pPr>
              <w:spacing w:before="60" w:after="60"/>
              <w:rPr>
                <w:color w:val="000000"/>
              </w:rPr>
            </w:pPr>
            <w:r>
              <w:rPr>
                <w:color w:val="000000"/>
              </w:rPr>
              <w:t>SSG (Joint)</w:t>
            </w:r>
          </w:p>
        </w:tc>
      </w:tr>
      <w:tr w:rsidR="00EF1E3D" w14:paraId="5771C605" w14:textId="77777777" w:rsidTr="00BE6240">
        <w:trPr>
          <w:cantSplit/>
        </w:trPr>
        <w:tc>
          <w:tcPr>
            <w:tcW w:w="2982" w:type="pct"/>
            <w:hideMark/>
          </w:tcPr>
          <w:p w14:paraId="4C4A0274" w14:textId="77777777" w:rsidR="00EF1E3D" w:rsidRDefault="00EF1E3D" w:rsidP="00BE6240">
            <w:pPr>
              <w:spacing w:before="60" w:after="60"/>
              <w:rPr>
                <w:color w:val="000000"/>
              </w:rPr>
            </w:pPr>
            <w:r>
              <w:rPr>
                <w:color w:val="000000"/>
              </w:rPr>
              <w:t>Hunterston B (joint with Hunterston A Site)</w:t>
            </w:r>
          </w:p>
        </w:tc>
        <w:tc>
          <w:tcPr>
            <w:tcW w:w="873" w:type="pct"/>
            <w:hideMark/>
          </w:tcPr>
          <w:p w14:paraId="4E4D0BDC" w14:textId="77777777" w:rsidR="00EF1E3D" w:rsidRDefault="00EF1E3D" w:rsidP="00BE6240">
            <w:pPr>
              <w:spacing w:before="60" w:after="60"/>
              <w:jc w:val="center"/>
              <w:rPr>
                <w:color w:val="000000"/>
              </w:rPr>
            </w:pPr>
            <w:r>
              <w:rPr>
                <w:color w:val="000000"/>
              </w:rPr>
              <w:t>4</w:t>
            </w:r>
          </w:p>
        </w:tc>
        <w:tc>
          <w:tcPr>
            <w:tcW w:w="1145" w:type="pct"/>
            <w:hideMark/>
          </w:tcPr>
          <w:p w14:paraId="7CCCCA17" w14:textId="77777777" w:rsidR="00EF1E3D" w:rsidRDefault="00EF1E3D" w:rsidP="00BE6240">
            <w:pPr>
              <w:spacing w:before="60" w:after="60"/>
              <w:rPr>
                <w:color w:val="000000"/>
              </w:rPr>
            </w:pPr>
            <w:r>
              <w:rPr>
                <w:color w:val="000000"/>
              </w:rPr>
              <w:t>SSG (Joint)</w:t>
            </w:r>
          </w:p>
        </w:tc>
      </w:tr>
      <w:tr w:rsidR="00EF1E3D" w14:paraId="0F917B11" w14:textId="77777777" w:rsidTr="00BE6240">
        <w:trPr>
          <w:cantSplit/>
        </w:trPr>
        <w:tc>
          <w:tcPr>
            <w:tcW w:w="2982" w:type="pct"/>
            <w:hideMark/>
          </w:tcPr>
          <w:p w14:paraId="42C69CC9" w14:textId="77777777" w:rsidR="00EF1E3D" w:rsidRDefault="00EF1E3D" w:rsidP="00BE6240">
            <w:pPr>
              <w:spacing w:before="60" w:after="60"/>
              <w:rPr>
                <w:color w:val="000000"/>
              </w:rPr>
            </w:pPr>
            <w:r>
              <w:rPr>
                <w:color w:val="000000"/>
              </w:rPr>
              <w:t>Sizewell B (joint with Sizewell A Site)</w:t>
            </w:r>
          </w:p>
        </w:tc>
        <w:tc>
          <w:tcPr>
            <w:tcW w:w="873" w:type="pct"/>
            <w:hideMark/>
          </w:tcPr>
          <w:p w14:paraId="5879A53B" w14:textId="77777777" w:rsidR="00EF1E3D" w:rsidRDefault="00EF1E3D" w:rsidP="00BE6240">
            <w:pPr>
              <w:spacing w:before="60" w:after="60"/>
              <w:jc w:val="center"/>
              <w:rPr>
                <w:color w:val="000000"/>
              </w:rPr>
            </w:pPr>
            <w:r>
              <w:rPr>
                <w:color w:val="000000"/>
              </w:rPr>
              <w:t>4</w:t>
            </w:r>
          </w:p>
        </w:tc>
        <w:tc>
          <w:tcPr>
            <w:tcW w:w="1145" w:type="pct"/>
            <w:hideMark/>
          </w:tcPr>
          <w:p w14:paraId="4DC4BCF2" w14:textId="77777777" w:rsidR="00EF1E3D" w:rsidRDefault="00EF1E3D" w:rsidP="00BE6240">
            <w:pPr>
              <w:spacing w:before="60" w:after="60"/>
              <w:rPr>
                <w:color w:val="000000"/>
              </w:rPr>
            </w:pPr>
            <w:r>
              <w:rPr>
                <w:color w:val="000000"/>
              </w:rPr>
              <w:t>SSG (Joint)</w:t>
            </w:r>
          </w:p>
        </w:tc>
      </w:tr>
      <w:tr w:rsidR="00EF1E3D" w14:paraId="035AA282" w14:textId="77777777" w:rsidTr="00BE6240">
        <w:trPr>
          <w:cantSplit/>
        </w:trPr>
        <w:tc>
          <w:tcPr>
            <w:tcW w:w="2982" w:type="pct"/>
            <w:hideMark/>
          </w:tcPr>
          <w:p w14:paraId="5B2AE4E9" w14:textId="77777777" w:rsidR="00EF1E3D" w:rsidRDefault="00EF1E3D" w:rsidP="00BE6240">
            <w:pPr>
              <w:spacing w:before="60" w:after="60"/>
              <w:rPr>
                <w:color w:val="000000"/>
              </w:rPr>
            </w:pPr>
            <w:r>
              <w:rPr>
                <w:color w:val="000000"/>
              </w:rPr>
              <w:t>Torness</w:t>
            </w:r>
          </w:p>
        </w:tc>
        <w:tc>
          <w:tcPr>
            <w:tcW w:w="873" w:type="pct"/>
            <w:hideMark/>
          </w:tcPr>
          <w:p w14:paraId="179C9F28" w14:textId="77777777" w:rsidR="00EF1E3D" w:rsidRDefault="00EF1E3D" w:rsidP="00BE6240">
            <w:pPr>
              <w:spacing w:before="60" w:after="60"/>
              <w:jc w:val="center"/>
              <w:rPr>
                <w:color w:val="000000"/>
              </w:rPr>
            </w:pPr>
            <w:r>
              <w:rPr>
                <w:color w:val="000000"/>
              </w:rPr>
              <w:t xml:space="preserve">2 </w:t>
            </w:r>
          </w:p>
        </w:tc>
        <w:tc>
          <w:tcPr>
            <w:tcW w:w="1145" w:type="pct"/>
            <w:hideMark/>
          </w:tcPr>
          <w:p w14:paraId="6E927335" w14:textId="77777777" w:rsidR="00EF1E3D" w:rsidRDefault="00EF1E3D" w:rsidP="00BE6240">
            <w:pPr>
              <w:spacing w:before="60" w:after="60"/>
              <w:rPr>
                <w:color w:val="000000"/>
              </w:rPr>
            </w:pPr>
            <w:r>
              <w:rPr>
                <w:color w:val="000000"/>
              </w:rPr>
              <w:t>LCLC</w:t>
            </w:r>
          </w:p>
        </w:tc>
      </w:tr>
      <w:tr w:rsidR="00EF1E3D" w14:paraId="0F3E1A83" w14:textId="77777777" w:rsidTr="00BE6240">
        <w:trPr>
          <w:cantSplit/>
        </w:trPr>
        <w:tc>
          <w:tcPr>
            <w:tcW w:w="2982" w:type="pct"/>
            <w:hideMark/>
          </w:tcPr>
          <w:p w14:paraId="4718F838" w14:textId="77777777" w:rsidR="00EF1E3D" w:rsidRDefault="00EF1E3D" w:rsidP="00BE6240">
            <w:pPr>
              <w:spacing w:before="60" w:after="60"/>
              <w:rPr>
                <w:color w:val="000000"/>
              </w:rPr>
            </w:pPr>
            <w:r>
              <w:rPr>
                <w:color w:val="000000"/>
              </w:rPr>
              <w:t>AWE Aldermaston &amp; Burghfield</w:t>
            </w:r>
          </w:p>
        </w:tc>
        <w:tc>
          <w:tcPr>
            <w:tcW w:w="873" w:type="pct"/>
            <w:hideMark/>
          </w:tcPr>
          <w:p w14:paraId="23F74F84" w14:textId="77777777" w:rsidR="00EF1E3D" w:rsidRDefault="00EF1E3D" w:rsidP="00BE6240">
            <w:pPr>
              <w:spacing w:before="60" w:after="60"/>
              <w:jc w:val="center"/>
              <w:rPr>
                <w:color w:val="000000"/>
              </w:rPr>
            </w:pPr>
            <w:r>
              <w:rPr>
                <w:color w:val="000000"/>
              </w:rPr>
              <w:t>4</w:t>
            </w:r>
          </w:p>
        </w:tc>
        <w:tc>
          <w:tcPr>
            <w:tcW w:w="1145" w:type="pct"/>
            <w:hideMark/>
          </w:tcPr>
          <w:p w14:paraId="61B24641" w14:textId="77777777" w:rsidR="00EF1E3D" w:rsidRDefault="00EF1E3D" w:rsidP="00BE6240">
            <w:pPr>
              <w:spacing w:before="60" w:after="60"/>
              <w:rPr>
                <w:color w:val="000000"/>
              </w:rPr>
            </w:pPr>
            <w:r>
              <w:rPr>
                <w:color w:val="000000"/>
              </w:rPr>
              <w:t>LLC (Joint)</w:t>
            </w:r>
          </w:p>
        </w:tc>
      </w:tr>
      <w:tr w:rsidR="00EF1E3D" w14:paraId="26E281FA" w14:textId="77777777" w:rsidTr="00BE6240">
        <w:trPr>
          <w:cantSplit/>
        </w:trPr>
        <w:tc>
          <w:tcPr>
            <w:tcW w:w="2982" w:type="pct"/>
            <w:hideMark/>
          </w:tcPr>
          <w:p w14:paraId="5C8BC078" w14:textId="77777777" w:rsidR="00EF1E3D" w:rsidRDefault="00EF1E3D" w:rsidP="00BE6240">
            <w:pPr>
              <w:spacing w:before="60" w:after="60"/>
              <w:rPr>
                <w:color w:val="000000"/>
              </w:rPr>
            </w:pPr>
            <w:r>
              <w:rPr>
                <w:color w:val="000000"/>
              </w:rPr>
              <w:t>HM Naval Base Clyde (incl. Coulport and</w:t>
            </w:r>
          </w:p>
          <w:p w14:paraId="7863B43A" w14:textId="77777777" w:rsidR="00EF1E3D" w:rsidRDefault="00EF1E3D" w:rsidP="00BE6240">
            <w:pPr>
              <w:spacing w:before="60" w:after="60"/>
              <w:rPr>
                <w:color w:val="000000"/>
              </w:rPr>
            </w:pPr>
            <w:r>
              <w:rPr>
                <w:color w:val="000000"/>
              </w:rPr>
              <w:t>Faslane)</w:t>
            </w:r>
          </w:p>
        </w:tc>
        <w:tc>
          <w:tcPr>
            <w:tcW w:w="873" w:type="pct"/>
            <w:hideMark/>
          </w:tcPr>
          <w:p w14:paraId="2405FFD8" w14:textId="77777777" w:rsidR="00EF1E3D" w:rsidRDefault="00EF1E3D" w:rsidP="00BE6240">
            <w:pPr>
              <w:spacing w:before="60" w:after="60"/>
              <w:jc w:val="center"/>
              <w:rPr>
                <w:color w:val="000000"/>
              </w:rPr>
            </w:pPr>
            <w:r>
              <w:rPr>
                <w:color w:val="000000"/>
              </w:rPr>
              <w:t>1</w:t>
            </w:r>
          </w:p>
        </w:tc>
        <w:tc>
          <w:tcPr>
            <w:tcW w:w="1145" w:type="pct"/>
            <w:hideMark/>
          </w:tcPr>
          <w:p w14:paraId="1534D52B" w14:textId="77777777" w:rsidR="00EF1E3D" w:rsidRDefault="00EF1E3D" w:rsidP="00BE6240">
            <w:pPr>
              <w:spacing w:before="60" w:after="60"/>
              <w:rPr>
                <w:color w:val="000000"/>
              </w:rPr>
            </w:pPr>
            <w:r>
              <w:rPr>
                <w:color w:val="000000"/>
              </w:rPr>
              <w:t>LLC</w:t>
            </w:r>
          </w:p>
        </w:tc>
      </w:tr>
      <w:tr w:rsidR="00EF1E3D" w14:paraId="3E4992E3" w14:textId="77777777" w:rsidTr="00BE6240">
        <w:trPr>
          <w:cantSplit/>
        </w:trPr>
        <w:tc>
          <w:tcPr>
            <w:tcW w:w="2982" w:type="pct"/>
            <w:hideMark/>
          </w:tcPr>
          <w:p w14:paraId="5AA125DE" w14:textId="77777777" w:rsidR="00EF1E3D" w:rsidRDefault="00EF1E3D" w:rsidP="00BE6240">
            <w:pPr>
              <w:spacing w:before="60" w:after="60"/>
              <w:rPr>
                <w:color w:val="000000"/>
              </w:rPr>
            </w:pPr>
            <w:r>
              <w:rPr>
                <w:color w:val="000000"/>
              </w:rPr>
              <w:t>Devonport Royal Dockyard and HM Naval Base</w:t>
            </w:r>
          </w:p>
        </w:tc>
        <w:tc>
          <w:tcPr>
            <w:tcW w:w="873" w:type="pct"/>
            <w:hideMark/>
          </w:tcPr>
          <w:p w14:paraId="73368B83" w14:textId="77777777" w:rsidR="00EF1E3D" w:rsidRDefault="00EF1E3D" w:rsidP="00BE6240">
            <w:pPr>
              <w:spacing w:before="60" w:after="60"/>
              <w:jc w:val="center"/>
              <w:rPr>
                <w:color w:val="000000"/>
              </w:rPr>
            </w:pPr>
            <w:r>
              <w:rPr>
                <w:color w:val="000000"/>
              </w:rPr>
              <w:t>2</w:t>
            </w:r>
          </w:p>
        </w:tc>
        <w:tc>
          <w:tcPr>
            <w:tcW w:w="1145" w:type="pct"/>
            <w:hideMark/>
          </w:tcPr>
          <w:p w14:paraId="0E9326F1" w14:textId="77777777" w:rsidR="00EF1E3D" w:rsidRDefault="00EF1E3D" w:rsidP="00BE6240">
            <w:pPr>
              <w:spacing w:before="60" w:after="60"/>
              <w:rPr>
                <w:color w:val="000000"/>
                <w:sz w:val="22"/>
              </w:rPr>
            </w:pPr>
            <w:r>
              <w:rPr>
                <w:color w:val="000000"/>
              </w:rPr>
              <w:t>LLC (Joint)</w:t>
            </w:r>
          </w:p>
        </w:tc>
      </w:tr>
      <w:tr w:rsidR="00EF1E3D" w14:paraId="7402AAA2" w14:textId="77777777" w:rsidTr="00BE6240">
        <w:trPr>
          <w:cantSplit/>
        </w:trPr>
        <w:tc>
          <w:tcPr>
            <w:tcW w:w="2982" w:type="pct"/>
            <w:hideMark/>
          </w:tcPr>
          <w:p w14:paraId="2794F62B" w14:textId="77777777" w:rsidR="00EF1E3D" w:rsidRDefault="00EF1E3D" w:rsidP="00BE6240">
            <w:pPr>
              <w:spacing w:before="60" w:after="60"/>
              <w:rPr>
                <w:color w:val="000000"/>
              </w:rPr>
            </w:pPr>
            <w:r>
              <w:rPr>
                <w:color w:val="000000"/>
              </w:rPr>
              <w:t>BAE Systems Marine (BAESML), Barrow</w:t>
            </w:r>
          </w:p>
        </w:tc>
        <w:tc>
          <w:tcPr>
            <w:tcW w:w="873" w:type="pct"/>
            <w:hideMark/>
          </w:tcPr>
          <w:p w14:paraId="18B49216" w14:textId="77777777" w:rsidR="00EF1E3D" w:rsidRDefault="00EF1E3D" w:rsidP="00BE6240">
            <w:pPr>
              <w:spacing w:before="60" w:after="60"/>
              <w:jc w:val="center"/>
              <w:rPr>
                <w:color w:val="000000"/>
              </w:rPr>
            </w:pPr>
            <w:r>
              <w:rPr>
                <w:color w:val="000000"/>
              </w:rPr>
              <w:t>1</w:t>
            </w:r>
          </w:p>
        </w:tc>
        <w:tc>
          <w:tcPr>
            <w:tcW w:w="1145" w:type="pct"/>
            <w:hideMark/>
          </w:tcPr>
          <w:p w14:paraId="62550DE3" w14:textId="77777777" w:rsidR="00EF1E3D" w:rsidRDefault="00EF1E3D" w:rsidP="00BE6240">
            <w:pPr>
              <w:spacing w:before="60" w:after="60"/>
              <w:rPr>
                <w:color w:val="000000"/>
                <w:sz w:val="22"/>
              </w:rPr>
            </w:pPr>
            <w:r>
              <w:rPr>
                <w:color w:val="000000"/>
              </w:rPr>
              <w:t>LLC</w:t>
            </w:r>
          </w:p>
        </w:tc>
      </w:tr>
      <w:tr w:rsidR="00EF1E3D" w14:paraId="702B4493" w14:textId="77777777" w:rsidTr="00BE6240">
        <w:trPr>
          <w:cantSplit/>
        </w:trPr>
        <w:tc>
          <w:tcPr>
            <w:tcW w:w="2982" w:type="pct"/>
            <w:hideMark/>
          </w:tcPr>
          <w:p w14:paraId="2558FBA5" w14:textId="77777777" w:rsidR="00EF1E3D" w:rsidRDefault="00EF1E3D" w:rsidP="00BE6240">
            <w:pPr>
              <w:spacing w:before="60" w:after="60"/>
              <w:rPr>
                <w:color w:val="000000"/>
              </w:rPr>
            </w:pPr>
            <w:r>
              <w:rPr>
                <w:color w:val="000000"/>
              </w:rPr>
              <w:t>Rolls-Royce Marine Power Operations, Derby</w:t>
            </w:r>
          </w:p>
        </w:tc>
        <w:tc>
          <w:tcPr>
            <w:tcW w:w="873" w:type="pct"/>
            <w:hideMark/>
          </w:tcPr>
          <w:p w14:paraId="61BAA6E8" w14:textId="77777777" w:rsidR="00EF1E3D" w:rsidRDefault="00EF1E3D" w:rsidP="00BE6240">
            <w:pPr>
              <w:spacing w:before="60" w:after="60"/>
              <w:jc w:val="center"/>
              <w:rPr>
                <w:color w:val="000000"/>
                <w:highlight w:val="red"/>
              </w:rPr>
            </w:pPr>
            <w:r>
              <w:rPr>
                <w:color w:val="000000"/>
              </w:rPr>
              <w:t>2</w:t>
            </w:r>
          </w:p>
        </w:tc>
        <w:tc>
          <w:tcPr>
            <w:tcW w:w="1145" w:type="pct"/>
            <w:hideMark/>
          </w:tcPr>
          <w:p w14:paraId="50A1F470" w14:textId="77777777" w:rsidR="00EF1E3D" w:rsidRDefault="00EF1E3D" w:rsidP="00BE6240">
            <w:pPr>
              <w:spacing w:before="60" w:after="60"/>
              <w:rPr>
                <w:color w:val="000000"/>
                <w:sz w:val="22"/>
              </w:rPr>
            </w:pPr>
            <w:r>
              <w:rPr>
                <w:color w:val="000000"/>
              </w:rPr>
              <w:t>LLC (Joint)</w:t>
            </w:r>
          </w:p>
        </w:tc>
      </w:tr>
      <w:tr w:rsidR="00EF1E3D" w14:paraId="2D135452" w14:textId="77777777" w:rsidTr="00BE6240">
        <w:trPr>
          <w:cantSplit/>
        </w:trPr>
        <w:tc>
          <w:tcPr>
            <w:tcW w:w="2982" w:type="pct"/>
            <w:hideMark/>
          </w:tcPr>
          <w:p w14:paraId="46F2BE14" w14:textId="77777777" w:rsidR="00EF1E3D" w:rsidRDefault="00EF1E3D" w:rsidP="00BE6240">
            <w:pPr>
              <w:spacing w:before="60" w:after="60"/>
              <w:rPr>
                <w:color w:val="000000"/>
              </w:rPr>
            </w:pPr>
            <w:r>
              <w:rPr>
                <w:color w:val="000000"/>
              </w:rPr>
              <w:t>Rosyth Royal Dockyard</w:t>
            </w:r>
          </w:p>
        </w:tc>
        <w:tc>
          <w:tcPr>
            <w:tcW w:w="873" w:type="pct"/>
            <w:hideMark/>
          </w:tcPr>
          <w:p w14:paraId="6972D6B6" w14:textId="77777777" w:rsidR="00EF1E3D" w:rsidRDefault="00EF1E3D" w:rsidP="00BE6240">
            <w:pPr>
              <w:spacing w:before="60" w:after="60"/>
              <w:jc w:val="center"/>
              <w:rPr>
                <w:color w:val="000000"/>
                <w:highlight w:val="red"/>
              </w:rPr>
            </w:pPr>
            <w:r>
              <w:rPr>
                <w:color w:val="000000"/>
              </w:rPr>
              <w:t>1</w:t>
            </w:r>
          </w:p>
        </w:tc>
        <w:tc>
          <w:tcPr>
            <w:tcW w:w="1145" w:type="pct"/>
            <w:hideMark/>
          </w:tcPr>
          <w:p w14:paraId="75A3EEF6" w14:textId="77777777" w:rsidR="00EF1E3D" w:rsidRDefault="00EF1E3D" w:rsidP="00BE6240">
            <w:pPr>
              <w:spacing w:before="60" w:after="60"/>
              <w:rPr>
                <w:color w:val="000000"/>
                <w:sz w:val="22"/>
              </w:rPr>
            </w:pPr>
            <w:r>
              <w:rPr>
                <w:color w:val="000000"/>
              </w:rPr>
              <w:t>LLC (Joint)</w:t>
            </w:r>
          </w:p>
        </w:tc>
      </w:tr>
      <w:tr w:rsidR="00EF1E3D" w14:paraId="0164F74A" w14:textId="77777777" w:rsidTr="00BE6240">
        <w:trPr>
          <w:cantSplit/>
          <w:trHeight w:val="238"/>
        </w:trPr>
        <w:tc>
          <w:tcPr>
            <w:tcW w:w="5000" w:type="pct"/>
            <w:gridSpan w:val="3"/>
            <w:hideMark/>
          </w:tcPr>
          <w:p w14:paraId="5996987E" w14:textId="77777777" w:rsidR="00EF1E3D" w:rsidRDefault="00EF1E3D" w:rsidP="00BE6240">
            <w:pPr>
              <w:spacing w:before="60" w:after="60"/>
              <w:jc w:val="center"/>
            </w:pPr>
            <w:r>
              <w:rPr>
                <w:b/>
                <w:bCs/>
                <w:color w:val="000000"/>
              </w:rPr>
              <w:t>Sellafield, Decommissioning, Fuel and Waste Programme</w:t>
            </w:r>
          </w:p>
        </w:tc>
      </w:tr>
      <w:tr w:rsidR="00EF1E3D" w14:paraId="2265D224" w14:textId="77777777" w:rsidTr="00BE6240">
        <w:trPr>
          <w:cantSplit/>
        </w:trPr>
        <w:tc>
          <w:tcPr>
            <w:tcW w:w="2982" w:type="pct"/>
            <w:hideMark/>
          </w:tcPr>
          <w:p w14:paraId="196F795F" w14:textId="77777777" w:rsidR="00EF1E3D" w:rsidRDefault="00EF1E3D" w:rsidP="00BE6240">
            <w:pPr>
              <w:spacing w:before="60" w:after="60"/>
              <w:rPr>
                <w:color w:val="000000"/>
              </w:rPr>
            </w:pPr>
            <w:r>
              <w:rPr>
                <w:color w:val="000000"/>
              </w:rPr>
              <w:t>Berkeley and Oldbury (joint meetings)</w:t>
            </w:r>
          </w:p>
        </w:tc>
        <w:tc>
          <w:tcPr>
            <w:tcW w:w="873" w:type="pct"/>
            <w:hideMark/>
          </w:tcPr>
          <w:p w14:paraId="649000C9" w14:textId="77777777" w:rsidR="00EF1E3D" w:rsidRDefault="00EF1E3D" w:rsidP="00BE6240">
            <w:pPr>
              <w:spacing w:before="60" w:after="60"/>
              <w:jc w:val="center"/>
              <w:rPr>
                <w:color w:val="000000"/>
              </w:rPr>
            </w:pPr>
            <w:r>
              <w:rPr>
                <w:color w:val="000000"/>
              </w:rPr>
              <w:t>4</w:t>
            </w:r>
          </w:p>
        </w:tc>
        <w:tc>
          <w:tcPr>
            <w:tcW w:w="1145" w:type="pct"/>
            <w:hideMark/>
          </w:tcPr>
          <w:p w14:paraId="037B0B1C" w14:textId="77777777" w:rsidR="00EF1E3D" w:rsidRDefault="00EF1E3D" w:rsidP="00BE6240">
            <w:pPr>
              <w:spacing w:before="60" w:after="60"/>
              <w:rPr>
                <w:color w:val="000000"/>
              </w:rPr>
            </w:pPr>
            <w:r>
              <w:rPr>
                <w:color w:val="000000"/>
              </w:rPr>
              <w:t>SSG</w:t>
            </w:r>
          </w:p>
        </w:tc>
      </w:tr>
      <w:tr w:rsidR="00EF1E3D" w14:paraId="4712F815" w14:textId="77777777" w:rsidTr="00BE6240">
        <w:trPr>
          <w:cantSplit/>
        </w:trPr>
        <w:tc>
          <w:tcPr>
            <w:tcW w:w="2982" w:type="pct"/>
            <w:hideMark/>
          </w:tcPr>
          <w:p w14:paraId="373B85EC" w14:textId="77777777" w:rsidR="00EF1E3D" w:rsidRDefault="00EF1E3D" w:rsidP="00BE6240">
            <w:pPr>
              <w:spacing w:before="60" w:after="60"/>
              <w:rPr>
                <w:color w:val="000000"/>
              </w:rPr>
            </w:pPr>
            <w:r>
              <w:rPr>
                <w:color w:val="000000"/>
              </w:rPr>
              <w:t xml:space="preserve">Bradwell </w:t>
            </w:r>
          </w:p>
        </w:tc>
        <w:tc>
          <w:tcPr>
            <w:tcW w:w="873" w:type="pct"/>
            <w:hideMark/>
          </w:tcPr>
          <w:p w14:paraId="018D7638" w14:textId="77777777" w:rsidR="00EF1E3D" w:rsidRDefault="00EF1E3D" w:rsidP="00BE6240">
            <w:pPr>
              <w:spacing w:before="60" w:after="60"/>
              <w:jc w:val="center"/>
              <w:rPr>
                <w:color w:val="000000"/>
              </w:rPr>
            </w:pPr>
            <w:r>
              <w:rPr>
                <w:color w:val="000000"/>
              </w:rPr>
              <w:t>2</w:t>
            </w:r>
          </w:p>
        </w:tc>
        <w:tc>
          <w:tcPr>
            <w:tcW w:w="1145" w:type="pct"/>
            <w:hideMark/>
          </w:tcPr>
          <w:p w14:paraId="2AFD00C3" w14:textId="77777777" w:rsidR="00EF1E3D" w:rsidRDefault="00EF1E3D" w:rsidP="00BE6240">
            <w:pPr>
              <w:spacing w:before="60" w:after="60"/>
              <w:rPr>
                <w:color w:val="000000"/>
              </w:rPr>
            </w:pPr>
            <w:r>
              <w:rPr>
                <w:color w:val="000000"/>
              </w:rPr>
              <w:t>SSG</w:t>
            </w:r>
          </w:p>
        </w:tc>
      </w:tr>
      <w:tr w:rsidR="00EF1E3D" w14:paraId="108534D5" w14:textId="77777777" w:rsidTr="00BE6240">
        <w:trPr>
          <w:cantSplit/>
        </w:trPr>
        <w:tc>
          <w:tcPr>
            <w:tcW w:w="2982" w:type="pct"/>
            <w:hideMark/>
          </w:tcPr>
          <w:p w14:paraId="3DC4084C" w14:textId="77777777" w:rsidR="00EF1E3D" w:rsidRDefault="00EF1E3D" w:rsidP="00BE6240">
            <w:pPr>
              <w:spacing w:before="60" w:after="60"/>
              <w:rPr>
                <w:color w:val="000000"/>
              </w:rPr>
            </w:pPr>
            <w:r>
              <w:rPr>
                <w:color w:val="000000"/>
              </w:rPr>
              <w:t>Chapelcross</w:t>
            </w:r>
          </w:p>
        </w:tc>
        <w:tc>
          <w:tcPr>
            <w:tcW w:w="873" w:type="pct"/>
            <w:hideMark/>
          </w:tcPr>
          <w:p w14:paraId="247F127E" w14:textId="77777777" w:rsidR="00EF1E3D" w:rsidRDefault="00EF1E3D" w:rsidP="00BE6240">
            <w:pPr>
              <w:spacing w:before="60" w:after="60"/>
              <w:jc w:val="center"/>
              <w:rPr>
                <w:color w:val="000000"/>
              </w:rPr>
            </w:pPr>
            <w:r>
              <w:rPr>
                <w:color w:val="000000"/>
              </w:rPr>
              <w:t>4</w:t>
            </w:r>
          </w:p>
        </w:tc>
        <w:tc>
          <w:tcPr>
            <w:tcW w:w="1145" w:type="pct"/>
            <w:hideMark/>
          </w:tcPr>
          <w:p w14:paraId="39F53F2B" w14:textId="77777777" w:rsidR="00EF1E3D" w:rsidRDefault="00EF1E3D" w:rsidP="00BE6240">
            <w:pPr>
              <w:spacing w:before="60" w:after="60"/>
              <w:rPr>
                <w:color w:val="000000"/>
              </w:rPr>
            </w:pPr>
            <w:r>
              <w:rPr>
                <w:color w:val="000000"/>
              </w:rPr>
              <w:t>SSG</w:t>
            </w:r>
          </w:p>
        </w:tc>
      </w:tr>
      <w:tr w:rsidR="00EF1E3D" w14:paraId="7FE83965" w14:textId="77777777" w:rsidTr="00BE6240">
        <w:trPr>
          <w:cantSplit/>
        </w:trPr>
        <w:tc>
          <w:tcPr>
            <w:tcW w:w="2982" w:type="pct"/>
            <w:hideMark/>
          </w:tcPr>
          <w:p w14:paraId="61488B8B" w14:textId="77777777" w:rsidR="00EF1E3D" w:rsidRDefault="00EF1E3D" w:rsidP="00BE6240">
            <w:pPr>
              <w:spacing w:before="60" w:after="60"/>
              <w:rPr>
                <w:color w:val="000000"/>
              </w:rPr>
            </w:pPr>
            <w:r>
              <w:rPr>
                <w:color w:val="000000"/>
              </w:rPr>
              <w:t>URENCO (Capenhurst)</w:t>
            </w:r>
          </w:p>
        </w:tc>
        <w:tc>
          <w:tcPr>
            <w:tcW w:w="873" w:type="pct"/>
            <w:hideMark/>
          </w:tcPr>
          <w:p w14:paraId="371E4E3B" w14:textId="77777777" w:rsidR="00EF1E3D" w:rsidRDefault="00EF1E3D" w:rsidP="00BE6240">
            <w:pPr>
              <w:spacing w:before="60" w:after="60"/>
              <w:jc w:val="center"/>
              <w:rPr>
                <w:color w:val="000000"/>
              </w:rPr>
            </w:pPr>
            <w:r>
              <w:rPr>
                <w:color w:val="000000"/>
              </w:rPr>
              <w:t>2</w:t>
            </w:r>
          </w:p>
        </w:tc>
        <w:tc>
          <w:tcPr>
            <w:tcW w:w="1145" w:type="pct"/>
            <w:hideMark/>
          </w:tcPr>
          <w:p w14:paraId="20ABF524" w14:textId="77777777" w:rsidR="00EF1E3D" w:rsidRDefault="00EF1E3D" w:rsidP="00BE6240">
            <w:pPr>
              <w:spacing w:before="60" w:after="60"/>
              <w:rPr>
                <w:color w:val="000000"/>
              </w:rPr>
            </w:pPr>
            <w:r>
              <w:rPr>
                <w:color w:val="000000"/>
              </w:rPr>
              <w:t>SSG</w:t>
            </w:r>
          </w:p>
        </w:tc>
      </w:tr>
      <w:tr w:rsidR="00EF1E3D" w14:paraId="27254358" w14:textId="77777777" w:rsidTr="00BE6240">
        <w:trPr>
          <w:cantSplit/>
        </w:trPr>
        <w:tc>
          <w:tcPr>
            <w:tcW w:w="2982" w:type="pct"/>
            <w:hideMark/>
          </w:tcPr>
          <w:p w14:paraId="0AEED74C" w14:textId="77777777" w:rsidR="00EF1E3D" w:rsidRDefault="00EF1E3D" w:rsidP="00BE6240">
            <w:pPr>
              <w:spacing w:before="60" w:after="60"/>
              <w:rPr>
                <w:color w:val="000000"/>
              </w:rPr>
            </w:pPr>
            <w:r>
              <w:rPr>
                <w:color w:val="000000"/>
              </w:rPr>
              <w:t>Dounreay (includes NRTE Vulcan)</w:t>
            </w:r>
          </w:p>
        </w:tc>
        <w:tc>
          <w:tcPr>
            <w:tcW w:w="873" w:type="pct"/>
            <w:hideMark/>
          </w:tcPr>
          <w:p w14:paraId="07C63EFA" w14:textId="77777777" w:rsidR="00EF1E3D" w:rsidRDefault="00EF1E3D" w:rsidP="00BE6240">
            <w:pPr>
              <w:spacing w:before="60" w:after="60"/>
              <w:jc w:val="center"/>
              <w:rPr>
                <w:color w:val="000000"/>
              </w:rPr>
            </w:pPr>
            <w:r>
              <w:rPr>
                <w:color w:val="000000"/>
              </w:rPr>
              <w:t>4</w:t>
            </w:r>
          </w:p>
        </w:tc>
        <w:tc>
          <w:tcPr>
            <w:tcW w:w="1145" w:type="pct"/>
            <w:hideMark/>
          </w:tcPr>
          <w:p w14:paraId="5B6AB16B" w14:textId="77777777" w:rsidR="00EF1E3D" w:rsidRDefault="00EF1E3D" w:rsidP="00BE6240">
            <w:pPr>
              <w:spacing w:before="60" w:after="60"/>
              <w:rPr>
                <w:color w:val="000000"/>
              </w:rPr>
            </w:pPr>
            <w:r>
              <w:rPr>
                <w:color w:val="000000"/>
              </w:rPr>
              <w:t>SSG (Joint)</w:t>
            </w:r>
          </w:p>
        </w:tc>
      </w:tr>
      <w:tr w:rsidR="00EF1E3D" w14:paraId="363EE6F6" w14:textId="77777777" w:rsidTr="00BE6240">
        <w:trPr>
          <w:cantSplit/>
        </w:trPr>
        <w:tc>
          <w:tcPr>
            <w:tcW w:w="2982" w:type="pct"/>
            <w:hideMark/>
          </w:tcPr>
          <w:p w14:paraId="5B9548E7" w14:textId="77777777" w:rsidR="00EF1E3D" w:rsidRDefault="00EF1E3D" w:rsidP="00BE6240">
            <w:pPr>
              <w:spacing w:before="60" w:after="60"/>
              <w:rPr>
                <w:color w:val="000000"/>
              </w:rPr>
            </w:pPr>
            <w:r>
              <w:rPr>
                <w:color w:val="000000"/>
              </w:rPr>
              <w:t xml:space="preserve">Harwell </w:t>
            </w:r>
          </w:p>
        </w:tc>
        <w:tc>
          <w:tcPr>
            <w:tcW w:w="873" w:type="pct"/>
            <w:hideMark/>
          </w:tcPr>
          <w:p w14:paraId="091AC021" w14:textId="77777777" w:rsidR="00EF1E3D" w:rsidRDefault="00EF1E3D" w:rsidP="00BE6240">
            <w:pPr>
              <w:spacing w:before="60" w:after="60"/>
              <w:jc w:val="center"/>
              <w:rPr>
                <w:color w:val="000000"/>
              </w:rPr>
            </w:pPr>
            <w:r>
              <w:rPr>
                <w:color w:val="000000"/>
              </w:rPr>
              <w:t>3</w:t>
            </w:r>
          </w:p>
        </w:tc>
        <w:tc>
          <w:tcPr>
            <w:tcW w:w="1145" w:type="pct"/>
            <w:hideMark/>
          </w:tcPr>
          <w:p w14:paraId="62496F47" w14:textId="77777777" w:rsidR="00EF1E3D" w:rsidRDefault="00EF1E3D" w:rsidP="00BE6240">
            <w:pPr>
              <w:spacing w:before="60" w:after="60"/>
              <w:rPr>
                <w:color w:val="000000"/>
              </w:rPr>
            </w:pPr>
            <w:r>
              <w:rPr>
                <w:color w:val="000000"/>
              </w:rPr>
              <w:t xml:space="preserve">SSG </w:t>
            </w:r>
          </w:p>
        </w:tc>
      </w:tr>
      <w:tr w:rsidR="00EF1E3D" w14:paraId="7C088510" w14:textId="77777777" w:rsidTr="00BE6240">
        <w:trPr>
          <w:cantSplit/>
        </w:trPr>
        <w:tc>
          <w:tcPr>
            <w:tcW w:w="2982" w:type="pct"/>
            <w:hideMark/>
          </w:tcPr>
          <w:p w14:paraId="262F41FC" w14:textId="77777777" w:rsidR="00EF1E3D" w:rsidRDefault="00EF1E3D" w:rsidP="00BE6240">
            <w:pPr>
              <w:spacing w:before="60" w:after="60"/>
              <w:rPr>
                <w:color w:val="000000"/>
              </w:rPr>
            </w:pPr>
            <w:r>
              <w:rPr>
                <w:color w:val="000000"/>
              </w:rPr>
              <w:t>GE Healthcare, Amersham</w:t>
            </w:r>
          </w:p>
        </w:tc>
        <w:tc>
          <w:tcPr>
            <w:tcW w:w="873" w:type="pct"/>
            <w:hideMark/>
          </w:tcPr>
          <w:p w14:paraId="7E03397C" w14:textId="77777777" w:rsidR="00EF1E3D" w:rsidRDefault="00EF1E3D" w:rsidP="00BE6240">
            <w:pPr>
              <w:spacing w:before="60" w:after="60"/>
              <w:jc w:val="center"/>
              <w:rPr>
                <w:color w:val="000000"/>
              </w:rPr>
            </w:pPr>
            <w:r>
              <w:rPr>
                <w:color w:val="000000"/>
              </w:rPr>
              <w:t>N/A</w:t>
            </w:r>
          </w:p>
        </w:tc>
        <w:tc>
          <w:tcPr>
            <w:tcW w:w="1145" w:type="pct"/>
            <w:hideMark/>
          </w:tcPr>
          <w:p w14:paraId="5CC13B30" w14:textId="77777777" w:rsidR="00EF1E3D" w:rsidRDefault="00EF1E3D" w:rsidP="00BE6240">
            <w:pPr>
              <w:spacing w:before="60" w:after="60"/>
              <w:rPr>
                <w:color w:val="000000"/>
              </w:rPr>
            </w:pPr>
            <w:r>
              <w:rPr>
                <w:color w:val="000000"/>
              </w:rPr>
              <w:t>None convened</w:t>
            </w:r>
          </w:p>
        </w:tc>
      </w:tr>
      <w:tr w:rsidR="00EF1E3D" w14:paraId="77DB8C72" w14:textId="77777777" w:rsidTr="00BE6240">
        <w:trPr>
          <w:cantSplit/>
        </w:trPr>
        <w:tc>
          <w:tcPr>
            <w:tcW w:w="2982" w:type="pct"/>
            <w:hideMark/>
          </w:tcPr>
          <w:p w14:paraId="6DE5B4D7" w14:textId="77777777" w:rsidR="00EF1E3D" w:rsidRDefault="00EF1E3D" w:rsidP="00BE6240">
            <w:pPr>
              <w:spacing w:before="60" w:after="60"/>
              <w:rPr>
                <w:color w:val="000000"/>
              </w:rPr>
            </w:pPr>
            <w:r>
              <w:rPr>
                <w:color w:val="000000"/>
              </w:rPr>
              <w:t>GE Healthcare, Cardiff</w:t>
            </w:r>
          </w:p>
        </w:tc>
        <w:tc>
          <w:tcPr>
            <w:tcW w:w="873" w:type="pct"/>
            <w:hideMark/>
          </w:tcPr>
          <w:p w14:paraId="20578A07" w14:textId="77777777" w:rsidR="00EF1E3D" w:rsidRDefault="00EF1E3D" w:rsidP="00BE6240">
            <w:pPr>
              <w:spacing w:before="60" w:after="60"/>
              <w:jc w:val="center"/>
              <w:rPr>
                <w:color w:val="000000"/>
              </w:rPr>
            </w:pPr>
            <w:r>
              <w:rPr>
                <w:color w:val="000000"/>
              </w:rPr>
              <w:t>N/A</w:t>
            </w:r>
          </w:p>
        </w:tc>
        <w:tc>
          <w:tcPr>
            <w:tcW w:w="1145" w:type="pct"/>
            <w:hideMark/>
          </w:tcPr>
          <w:p w14:paraId="5956F400" w14:textId="77777777" w:rsidR="00EF1E3D" w:rsidRDefault="00EF1E3D" w:rsidP="00BE6240">
            <w:pPr>
              <w:spacing w:before="60" w:after="60"/>
              <w:rPr>
                <w:color w:val="000000"/>
              </w:rPr>
            </w:pPr>
            <w:r>
              <w:rPr>
                <w:color w:val="000000"/>
              </w:rPr>
              <w:t>None convened</w:t>
            </w:r>
          </w:p>
        </w:tc>
      </w:tr>
      <w:tr w:rsidR="00EF1E3D" w14:paraId="13520313" w14:textId="77777777" w:rsidTr="00BE6240">
        <w:trPr>
          <w:cantSplit/>
        </w:trPr>
        <w:tc>
          <w:tcPr>
            <w:tcW w:w="2982" w:type="pct"/>
            <w:hideMark/>
          </w:tcPr>
          <w:p w14:paraId="3CA7F98F" w14:textId="77777777" w:rsidR="00EF1E3D" w:rsidRDefault="00EF1E3D" w:rsidP="00BE6240">
            <w:pPr>
              <w:spacing w:before="60" w:after="60"/>
              <w:rPr>
                <w:color w:val="000000"/>
              </w:rPr>
            </w:pPr>
            <w:r>
              <w:rPr>
                <w:color w:val="000000"/>
              </w:rPr>
              <w:t>Sellafield (incl. Windscale, Calder Hall)</w:t>
            </w:r>
          </w:p>
        </w:tc>
        <w:tc>
          <w:tcPr>
            <w:tcW w:w="873" w:type="pct"/>
            <w:hideMark/>
          </w:tcPr>
          <w:p w14:paraId="131DBE71" w14:textId="77777777" w:rsidR="00EF1E3D" w:rsidRDefault="00EF1E3D" w:rsidP="00BE6240">
            <w:pPr>
              <w:spacing w:before="60" w:after="60"/>
              <w:jc w:val="center"/>
              <w:rPr>
                <w:color w:val="000000"/>
              </w:rPr>
            </w:pPr>
            <w:r>
              <w:rPr>
                <w:color w:val="000000"/>
              </w:rPr>
              <w:t>4</w:t>
            </w:r>
          </w:p>
        </w:tc>
        <w:tc>
          <w:tcPr>
            <w:tcW w:w="1145" w:type="pct"/>
            <w:hideMark/>
          </w:tcPr>
          <w:p w14:paraId="771FA035" w14:textId="77777777" w:rsidR="00EF1E3D" w:rsidRDefault="00EF1E3D" w:rsidP="00BE6240">
            <w:pPr>
              <w:spacing w:before="60" w:after="60"/>
              <w:rPr>
                <w:color w:val="000000"/>
              </w:rPr>
            </w:pPr>
            <w:r>
              <w:rPr>
                <w:color w:val="000000"/>
              </w:rPr>
              <w:t>SSG (Joint)</w:t>
            </w:r>
          </w:p>
        </w:tc>
      </w:tr>
      <w:tr w:rsidR="00EF1E3D" w14:paraId="57256B92" w14:textId="77777777" w:rsidTr="00BE6240">
        <w:trPr>
          <w:cantSplit/>
        </w:trPr>
        <w:tc>
          <w:tcPr>
            <w:tcW w:w="2982" w:type="pct"/>
            <w:hideMark/>
          </w:tcPr>
          <w:p w14:paraId="4C4CA015" w14:textId="77777777" w:rsidR="00EF1E3D" w:rsidRDefault="00EF1E3D" w:rsidP="00BE6240">
            <w:pPr>
              <w:spacing w:before="60" w:after="60"/>
              <w:rPr>
                <w:color w:val="000000"/>
              </w:rPr>
            </w:pPr>
            <w:r>
              <w:rPr>
                <w:color w:val="000000"/>
              </w:rPr>
              <w:t>LLWR</w:t>
            </w:r>
          </w:p>
        </w:tc>
        <w:tc>
          <w:tcPr>
            <w:tcW w:w="873" w:type="pct"/>
            <w:hideMark/>
          </w:tcPr>
          <w:p w14:paraId="32A6179A" w14:textId="77777777" w:rsidR="00EF1E3D" w:rsidRDefault="00EF1E3D" w:rsidP="00BE6240">
            <w:pPr>
              <w:spacing w:before="60" w:after="60"/>
              <w:jc w:val="center"/>
              <w:rPr>
                <w:color w:val="000000"/>
              </w:rPr>
            </w:pPr>
            <w:r>
              <w:rPr>
                <w:color w:val="000000"/>
              </w:rPr>
              <w:t>4</w:t>
            </w:r>
          </w:p>
        </w:tc>
        <w:tc>
          <w:tcPr>
            <w:tcW w:w="1145" w:type="pct"/>
            <w:hideMark/>
          </w:tcPr>
          <w:p w14:paraId="28E43DD9" w14:textId="77777777" w:rsidR="00EF1E3D" w:rsidRDefault="00EF1E3D" w:rsidP="00BE6240">
            <w:pPr>
              <w:spacing w:before="60" w:after="60"/>
              <w:rPr>
                <w:color w:val="000000"/>
              </w:rPr>
            </w:pPr>
            <w:r>
              <w:rPr>
                <w:color w:val="000000"/>
              </w:rPr>
              <w:t>SSG</w:t>
            </w:r>
          </w:p>
        </w:tc>
      </w:tr>
      <w:tr w:rsidR="00EF1E3D" w14:paraId="1572CAC0" w14:textId="77777777" w:rsidTr="00BE6240">
        <w:trPr>
          <w:cantSplit/>
        </w:trPr>
        <w:tc>
          <w:tcPr>
            <w:tcW w:w="2982" w:type="pct"/>
            <w:hideMark/>
          </w:tcPr>
          <w:p w14:paraId="519CB3A7" w14:textId="77777777" w:rsidR="00EF1E3D" w:rsidRDefault="00EF1E3D" w:rsidP="00BE6240">
            <w:pPr>
              <w:spacing w:before="60" w:after="60"/>
              <w:rPr>
                <w:color w:val="000000"/>
              </w:rPr>
            </w:pPr>
            <w:r>
              <w:rPr>
                <w:color w:val="000000"/>
              </w:rPr>
              <w:t>Springfields</w:t>
            </w:r>
          </w:p>
        </w:tc>
        <w:tc>
          <w:tcPr>
            <w:tcW w:w="873" w:type="pct"/>
            <w:hideMark/>
          </w:tcPr>
          <w:p w14:paraId="03A4F1ED" w14:textId="77777777" w:rsidR="00EF1E3D" w:rsidRDefault="00EF1E3D" w:rsidP="00BE6240">
            <w:pPr>
              <w:spacing w:before="60" w:after="60"/>
              <w:jc w:val="center"/>
              <w:rPr>
                <w:color w:val="000000"/>
                <w:highlight w:val="red"/>
              </w:rPr>
            </w:pPr>
            <w:r>
              <w:rPr>
                <w:color w:val="000000"/>
              </w:rPr>
              <w:t>3</w:t>
            </w:r>
          </w:p>
        </w:tc>
        <w:tc>
          <w:tcPr>
            <w:tcW w:w="1145" w:type="pct"/>
            <w:hideMark/>
          </w:tcPr>
          <w:p w14:paraId="69E1C5EB" w14:textId="77777777" w:rsidR="00EF1E3D" w:rsidRDefault="00EF1E3D" w:rsidP="00BE6240">
            <w:pPr>
              <w:spacing w:before="60" w:after="60"/>
              <w:rPr>
                <w:color w:val="000000"/>
              </w:rPr>
            </w:pPr>
            <w:r>
              <w:rPr>
                <w:color w:val="000000"/>
              </w:rPr>
              <w:t>SSG</w:t>
            </w:r>
          </w:p>
        </w:tc>
      </w:tr>
      <w:tr w:rsidR="00EF1E3D" w14:paraId="35DB593A" w14:textId="77777777" w:rsidTr="00BE6240">
        <w:trPr>
          <w:cantSplit/>
        </w:trPr>
        <w:tc>
          <w:tcPr>
            <w:tcW w:w="2982" w:type="pct"/>
            <w:hideMark/>
          </w:tcPr>
          <w:p w14:paraId="6FD8DD52" w14:textId="77777777" w:rsidR="00EF1E3D" w:rsidRDefault="00EF1E3D" w:rsidP="00BE6240">
            <w:pPr>
              <w:spacing w:before="60" w:after="60"/>
              <w:rPr>
                <w:color w:val="000000"/>
              </w:rPr>
            </w:pPr>
            <w:r>
              <w:rPr>
                <w:color w:val="000000"/>
              </w:rPr>
              <w:t>Cyclife UK Ltd, Cumbria</w:t>
            </w:r>
          </w:p>
        </w:tc>
        <w:tc>
          <w:tcPr>
            <w:tcW w:w="873" w:type="pct"/>
            <w:hideMark/>
          </w:tcPr>
          <w:p w14:paraId="6DAF8E1E" w14:textId="77777777" w:rsidR="00EF1E3D" w:rsidRDefault="00EF1E3D" w:rsidP="00BE6240">
            <w:pPr>
              <w:spacing w:before="60" w:after="60"/>
              <w:jc w:val="center"/>
              <w:rPr>
                <w:color w:val="000000"/>
                <w:highlight w:val="red"/>
              </w:rPr>
            </w:pPr>
            <w:r>
              <w:rPr>
                <w:color w:val="000000"/>
              </w:rPr>
              <w:t>As Required</w:t>
            </w:r>
          </w:p>
        </w:tc>
        <w:tc>
          <w:tcPr>
            <w:tcW w:w="1145" w:type="pct"/>
            <w:hideMark/>
          </w:tcPr>
          <w:p w14:paraId="02EC1481" w14:textId="77777777" w:rsidR="00EF1E3D" w:rsidRDefault="00EF1E3D" w:rsidP="00BE6240">
            <w:pPr>
              <w:spacing w:before="60" w:after="60"/>
              <w:rPr>
                <w:color w:val="000000"/>
              </w:rPr>
            </w:pPr>
            <w:r>
              <w:rPr>
                <w:color w:val="000000"/>
              </w:rPr>
              <w:t>SSG</w:t>
            </w:r>
          </w:p>
        </w:tc>
      </w:tr>
      <w:tr w:rsidR="00EF1E3D" w14:paraId="64F652A0" w14:textId="77777777" w:rsidTr="00BE6240">
        <w:trPr>
          <w:cantSplit/>
        </w:trPr>
        <w:tc>
          <w:tcPr>
            <w:tcW w:w="2982" w:type="pct"/>
            <w:hideMark/>
          </w:tcPr>
          <w:p w14:paraId="3AFAE109" w14:textId="77777777" w:rsidR="00EF1E3D" w:rsidRDefault="00EF1E3D" w:rsidP="00BE6240">
            <w:pPr>
              <w:spacing w:before="60" w:after="60"/>
              <w:rPr>
                <w:color w:val="000000"/>
              </w:rPr>
            </w:pPr>
            <w:r>
              <w:rPr>
                <w:color w:val="000000"/>
              </w:rPr>
              <w:t>Trawsfynydd</w:t>
            </w:r>
          </w:p>
        </w:tc>
        <w:tc>
          <w:tcPr>
            <w:tcW w:w="873" w:type="pct"/>
            <w:hideMark/>
          </w:tcPr>
          <w:p w14:paraId="4597F461" w14:textId="77777777" w:rsidR="00EF1E3D" w:rsidRDefault="00EF1E3D" w:rsidP="00BE6240">
            <w:pPr>
              <w:spacing w:before="60" w:after="60"/>
              <w:jc w:val="center"/>
              <w:rPr>
                <w:color w:val="000000"/>
              </w:rPr>
            </w:pPr>
            <w:r>
              <w:rPr>
                <w:color w:val="000000"/>
              </w:rPr>
              <w:t>2</w:t>
            </w:r>
          </w:p>
        </w:tc>
        <w:tc>
          <w:tcPr>
            <w:tcW w:w="1145" w:type="pct"/>
            <w:hideMark/>
          </w:tcPr>
          <w:p w14:paraId="71870C78" w14:textId="77777777" w:rsidR="00EF1E3D" w:rsidRDefault="00EF1E3D" w:rsidP="00BE6240">
            <w:pPr>
              <w:spacing w:before="60" w:after="60"/>
              <w:rPr>
                <w:color w:val="000000"/>
              </w:rPr>
            </w:pPr>
            <w:r>
              <w:rPr>
                <w:color w:val="000000"/>
              </w:rPr>
              <w:t>SSG</w:t>
            </w:r>
          </w:p>
        </w:tc>
      </w:tr>
      <w:tr w:rsidR="00EF1E3D" w14:paraId="6783A430" w14:textId="77777777" w:rsidTr="00BE6240">
        <w:trPr>
          <w:cantSplit/>
        </w:trPr>
        <w:tc>
          <w:tcPr>
            <w:tcW w:w="2982" w:type="pct"/>
            <w:hideMark/>
          </w:tcPr>
          <w:p w14:paraId="58CCA7DA" w14:textId="77777777" w:rsidR="00EF1E3D" w:rsidRDefault="00EF1E3D" w:rsidP="00BE6240">
            <w:pPr>
              <w:spacing w:before="60" w:after="60"/>
              <w:rPr>
                <w:color w:val="000000"/>
              </w:rPr>
            </w:pPr>
            <w:r>
              <w:rPr>
                <w:color w:val="000000"/>
              </w:rPr>
              <w:t>Winfrith</w:t>
            </w:r>
          </w:p>
        </w:tc>
        <w:tc>
          <w:tcPr>
            <w:tcW w:w="873" w:type="pct"/>
            <w:hideMark/>
          </w:tcPr>
          <w:p w14:paraId="3E504D55" w14:textId="77777777" w:rsidR="00EF1E3D" w:rsidRDefault="00EF1E3D" w:rsidP="00BE6240">
            <w:pPr>
              <w:spacing w:before="60" w:after="60"/>
              <w:jc w:val="center"/>
              <w:rPr>
                <w:color w:val="000000"/>
              </w:rPr>
            </w:pPr>
            <w:r>
              <w:rPr>
                <w:color w:val="000000"/>
              </w:rPr>
              <w:t>2</w:t>
            </w:r>
          </w:p>
        </w:tc>
        <w:tc>
          <w:tcPr>
            <w:tcW w:w="1145" w:type="pct"/>
            <w:hideMark/>
          </w:tcPr>
          <w:p w14:paraId="29B38860" w14:textId="77777777" w:rsidR="00EF1E3D" w:rsidRDefault="00EF1E3D" w:rsidP="00BE6240">
            <w:pPr>
              <w:spacing w:before="60" w:after="60"/>
              <w:rPr>
                <w:color w:val="000000"/>
              </w:rPr>
            </w:pPr>
            <w:r>
              <w:rPr>
                <w:color w:val="000000"/>
              </w:rPr>
              <w:t>SSG</w:t>
            </w:r>
          </w:p>
        </w:tc>
      </w:tr>
      <w:tr w:rsidR="00EF1E3D" w14:paraId="060D8585" w14:textId="77777777" w:rsidTr="00BE6240">
        <w:trPr>
          <w:cantSplit/>
        </w:trPr>
        <w:tc>
          <w:tcPr>
            <w:tcW w:w="2982" w:type="pct"/>
            <w:hideMark/>
          </w:tcPr>
          <w:p w14:paraId="403EB30F" w14:textId="77777777" w:rsidR="00EF1E3D" w:rsidRDefault="00EF1E3D" w:rsidP="00BE6240">
            <w:pPr>
              <w:spacing w:before="60" w:after="60"/>
              <w:rPr>
                <w:color w:val="000000"/>
              </w:rPr>
            </w:pPr>
            <w:r>
              <w:rPr>
                <w:color w:val="000000"/>
              </w:rPr>
              <w:t>Wylfa</w:t>
            </w:r>
          </w:p>
        </w:tc>
        <w:tc>
          <w:tcPr>
            <w:tcW w:w="873" w:type="pct"/>
            <w:hideMark/>
          </w:tcPr>
          <w:p w14:paraId="40681653" w14:textId="77777777" w:rsidR="00EF1E3D" w:rsidRDefault="00EF1E3D" w:rsidP="00BE6240">
            <w:pPr>
              <w:spacing w:before="60" w:after="60"/>
              <w:jc w:val="center"/>
              <w:rPr>
                <w:color w:val="000000"/>
              </w:rPr>
            </w:pPr>
            <w:r>
              <w:rPr>
                <w:color w:val="000000"/>
              </w:rPr>
              <w:t>2</w:t>
            </w:r>
          </w:p>
        </w:tc>
        <w:tc>
          <w:tcPr>
            <w:tcW w:w="1145" w:type="pct"/>
            <w:hideMark/>
          </w:tcPr>
          <w:p w14:paraId="742D39C1" w14:textId="77777777" w:rsidR="00EF1E3D" w:rsidRDefault="00EF1E3D" w:rsidP="00BE6240">
            <w:pPr>
              <w:spacing w:before="60" w:after="60"/>
              <w:rPr>
                <w:color w:val="000000"/>
              </w:rPr>
            </w:pPr>
            <w:r>
              <w:rPr>
                <w:color w:val="000000"/>
              </w:rPr>
              <w:t>SSG</w:t>
            </w:r>
          </w:p>
        </w:tc>
      </w:tr>
      <w:tr w:rsidR="00EF1E3D" w14:paraId="5CE47AEE" w14:textId="77777777" w:rsidTr="00BE6240">
        <w:trPr>
          <w:cantSplit/>
        </w:trPr>
        <w:tc>
          <w:tcPr>
            <w:tcW w:w="2982" w:type="pct"/>
            <w:hideMark/>
          </w:tcPr>
          <w:p w14:paraId="4FC80214" w14:textId="77777777" w:rsidR="00EF1E3D" w:rsidRDefault="00EF1E3D" w:rsidP="00BE6240">
            <w:pPr>
              <w:spacing w:before="60" w:after="60"/>
              <w:rPr>
                <w:color w:val="000000"/>
              </w:rPr>
            </w:pPr>
            <w:r>
              <w:rPr>
                <w:color w:val="000000"/>
              </w:rPr>
              <w:t>Imperial College, Research Reactor, Ascot</w:t>
            </w:r>
          </w:p>
        </w:tc>
        <w:tc>
          <w:tcPr>
            <w:tcW w:w="873" w:type="pct"/>
            <w:hideMark/>
          </w:tcPr>
          <w:p w14:paraId="47048D09" w14:textId="77777777" w:rsidR="00EF1E3D" w:rsidRDefault="00EF1E3D" w:rsidP="00BE6240">
            <w:pPr>
              <w:spacing w:before="60" w:after="60"/>
              <w:jc w:val="center"/>
              <w:rPr>
                <w:color w:val="000000"/>
              </w:rPr>
            </w:pPr>
            <w:r>
              <w:rPr>
                <w:color w:val="000000"/>
              </w:rPr>
              <w:t>N/A</w:t>
            </w:r>
          </w:p>
        </w:tc>
        <w:tc>
          <w:tcPr>
            <w:tcW w:w="1145" w:type="pct"/>
            <w:hideMark/>
          </w:tcPr>
          <w:p w14:paraId="14A36EF5" w14:textId="77777777" w:rsidR="00EF1E3D" w:rsidRDefault="00EF1E3D" w:rsidP="00BE6240">
            <w:pPr>
              <w:spacing w:before="60" w:after="60"/>
              <w:rPr>
                <w:color w:val="000000"/>
              </w:rPr>
            </w:pPr>
            <w:r>
              <w:rPr>
                <w:color w:val="000000"/>
              </w:rPr>
              <w:t>None convened</w:t>
            </w:r>
          </w:p>
        </w:tc>
      </w:tr>
      <w:tr w:rsidR="00EF1E3D" w14:paraId="523C1FDA" w14:textId="77777777" w:rsidTr="00BE6240">
        <w:trPr>
          <w:cantSplit/>
        </w:trPr>
        <w:tc>
          <w:tcPr>
            <w:tcW w:w="5000" w:type="pct"/>
            <w:gridSpan w:val="3"/>
            <w:hideMark/>
          </w:tcPr>
          <w:p w14:paraId="444CD2B4" w14:textId="77777777" w:rsidR="00EF1E3D" w:rsidRDefault="00EF1E3D" w:rsidP="00BE6240">
            <w:pPr>
              <w:spacing w:before="60" w:after="60"/>
              <w:jc w:val="center"/>
              <w:rPr>
                <w:color w:val="000000"/>
              </w:rPr>
            </w:pPr>
            <w:r>
              <w:rPr>
                <w:b/>
                <w:bCs/>
                <w:color w:val="000000"/>
              </w:rPr>
              <w:t>New Reactors</w:t>
            </w:r>
          </w:p>
        </w:tc>
      </w:tr>
      <w:tr w:rsidR="00EF1E3D" w14:paraId="28085AC8" w14:textId="77777777" w:rsidTr="00BE6240">
        <w:trPr>
          <w:cantSplit/>
        </w:trPr>
        <w:tc>
          <w:tcPr>
            <w:tcW w:w="2982" w:type="pct"/>
            <w:hideMark/>
          </w:tcPr>
          <w:p w14:paraId="679ECD94" w14:textId="77777777" w:rsidR="00EF1E3D" w:rsidRDefault="00EF1E3D" w:rsidP="00BE6240">
            <w:pPr>
              <w:spacing w:before="60" w:after="60"/>
              <w:rPr>
                <w:color w:val="000000"/>
              </w:rPr>
            </w:pPr>
            <w:r>
              <w:rPr>
                <w:color w:val="000000"/>
              </w:rPr>
              <w:t xml:space="preserve">Hinkley Point C (Will become joint with Hinkley Point A &amp; B </w:t>
            </w:r>
          </w:p>
        </w:tc>
        <w:tc>
          <w:tcPr>
            <w:tcW w:w="873" w:type="pct"/>
            <w:hideMark/>
          </w:tcPr>
          <w:p w14:paraId="5241895F" w14:textId="77777777" w:rsidR="00EF1E3D" w:rsidRDefault="00EF1E3D" w:rsidP="00BE6240">
            <w:pPr>
              <w:spacing w:before="60" w:after="60"/>
              <w:jc w:val="center"/>
              <w:rPr>
                <w:color w:val="000000"/>
              </w:rPr>
            </w:pPr>
            <w:r>
              <w:rPr>
                <w:color w:val="000000"/>
              </w:rPr>
              <w:t>4</w:t>
            </w:r>
          </w:p>
        </w:tc>
        <w:tc>
          <w:tcPr>
            <w:tcW w:w="1145" w:type="pct"/>
            <w:hideMark/>
          </w:tcPr>
          <w:p w14:paraId="373FDCDA" w14:textId="77777777" w:rsidR="00EF1E3D" w:rsidRDefault="00EF1E3D" w:rsidP="00BE6240">
            <w:pPr>
              <w:spacing w:before="60" w:after="60"/>
              <w:rPr>
                <w:color w:val="000000"/>
              </w:rPr>
            </w:pPr>
            <w:r>
              <w:rPr>
                <w:color w:val="000000"/>
              </w:rPr>
              <w:t>SSG (Joint)</w:t>
            </w:r>
          </w:p>
        </w:tc>
      </w:tr>
    </w:tbl>
    <w:p w14:paraId="039DF627" w14:textId="77777777" w:rsidR="00EF1E3D" w:rsidRDefault="00EF1E3D" w:rsidP="008872E2">
      <w:pPr>
        <w:pStyle w:val="Heading1"/>
        <w:numPr>
          <w:ilvl w:val="0"/>
          <w:numId w:val="0"/>
        </w:numPr>
        <w:rPr>
          <w:lang w:val="fr-FR"/>
        </w:rPr>
        <w:sectPr w:rsidR="00EF1E3D" w:rsidSect="00B82646">
          <w:pgSz w:w="11906" w:h="16838" w:code="9"/>
          <w:pgMar w:top="1440" w:right="1080" w:bottom="1440" w:left="1080" w:header="397" w:footer="397" w:gutter="0"/>
          <w:cols w:space="312"/>
          <w:docGrid w:linePitch="360"/>
        </w:sectPr>
      </w:pPr>
    </w:p>
    <w:p w14:paraId="6492D8C8" w14:textId="075ABD7E" w:rsidR="008872E2" w:rsidRPr="008872E2" w:rsidRDefault="008872E2" w:rsidP="008872E2">
      <w:pPr>
        <w:pStyle w:val="Heading1"/>
        <w:numPr>
          <w:ilvl w:val="0"/>
          <w:numId w:val="0"/>
        </w:numPr>
        <w:rPr>
          <w:lang w:val="fr-FR"/>
        </w:rPr>
      </w:pPr>
      <w:r>
        <w:rPr>
          <w:lang w:val="fr-FR"/>
        </w:rPr>
        <w:t>Appendix</w:t>
      </w:r>
      <w:r w:rsidRPr="008872E2">
        <w:rPr>
          <w:lang w:val="fr-FR"/>
        </w:rPr>
        <w:t xml:space="preserve"> A : </w:t>
      </w:r>
      <w:r w:rsidRPr="008872E2">
        <w:t xml:space="preserve">Format and </w:t>
      </w:r>
      <w:r>
        <w:t>C</w:t>
      </w:r>
      <w:r w:rsidRPr="008872E2">
        <w:t xml:space="preserve">ontent of SSG/LCLC/LLC </w:t>
      </w:r>
      <w:r>
        <w:t>R</w:t>
      </w:r>
      <w:r w:rsidRPr="008872E2">
        <w:t>eports</w:t>
      </w:r>
      <w:r w:rsidRPr="008872E2">
        <w:rPr>
          <w:lang w:val="fr-FR"/>
        </w:rPr>
        <w:t xml:space="preserve">  </w:t>
      </w:r>
    </w:p>
    <w:p w14:paraId="70934B64" w14:textId="3AAD871C" w:rsidR="008872E2" w:rsidRPr="008872E2" w:rsidRDefault="008872E2" w:rsidP="008872E2">
      <w:pPr>
        <w:rPr>
          <w:rStyle w:val="Strong"/>
          <w:b w:val="0"/>
          <w:bCs w:val="0"/>
          <w:sz w:val="24"/>
          <w:szCs w:val="24"/>
        </w:rPr>
      </w:pPr>
      <w:r w:rsidRPr="008872E2">
        <w:rPr>
          <w:rStyle w:val="Strong"/>
          <w:b w:val="0"/>
          <w:bCs w:val="0"/>
          <w:color w:val="000000"/>
          <w:sz w:val="24"/>
          <w:szCs w:val="24"/>
        </w:rPr>
        <w:t xml:space="preserve">RGP stated in section 3 of this </w:t>
      </w:r>
      <w:r>
        <w:rPr>
          <w:rStyle w:val="Strong"/>
          <w:b w:val="0"/>
          <w:bCs w:val="0"/>
          <w:color w:val="000000"/>
          <w:sz w:val="24"/>
          <w:szCs w:val="24"/>
        </w:rPr>
        <w:t>document</w:t>
      </w:r>
      <w:r w:rsidRPr="008872E2">
        <w:rPr>
          <w:rStyle w:val="Strong"/>
          <w:b w:val="0"/>
          <w:bCs w:val="0"/>
          <w:color w:val="000000"/>
          <w:sz w:val="24"/>
          <w:szCs w:val="24"/>
        </w:rPr>
        <w:t xml:space="preserve"> and this appendix provides guidance for those inspectors involved in producing the above reports. It specifies the use of standard format and content to promote a consistent approach across all sites and </w:t>
      </w:r>
      <w:r w:rsidRPr="008872E2">
        <w:t xml:space="preserve">ensures that the UK obligations of Article 8(1) (a) and (b) of the Directive </w:t>
      </w:r>
      <w:sdt>
        <w:sdtPr>
          <w:id w:val="-1790040417"/>
          <w:citation/>
        </w:sdtPr>
        <w:sdtEndPr/>
        <w:sdtContent>
          <w:r>
            <w:fldChar w:fldCharType="begin"/>
          </w:r>
          <w:r>
            <w:instrText xml:space="preserve"> CITATION HMG141 \l 2057 </w:instrText>
          </w:r>
          <w:r>
            <w:fldChar w:fldCharType="separate"/>
          </w:r>
          <w:r w:rsidRPr="008872E2">
            <w:rPr>
              <w:noProof/>
            </w:rPr>
            <w:t>[2]</w:t>
          </w:r>
          <w:r>
            <w:fldChar w:fldCharType="end"/>
          </w:r>
        </w:sdtContent>
      </w:sdt>
      <w:r>
        <w:t xml:space="preserve"> </w:t>
      </w:r>
      <w:r w:rsidRPr="008872E2">
        <w:t xml:space="preserve">and associated Direction under Section 92(1) of the Energy Act 2013 </w:t>
      </w:r>
      <w:sdt>
        <w:sdtPr>
          <w:id w:val="2114705671"/>
          <w:citation/>
        </w:sdtPr>
        <w:sdtEndPr/>
        <w:sdtContent>
          <w:r>
            <w:fldChar w:fldCharType="begin"/>
          </w:r>
          <w:r>
            <w:instrText xml:space="preserve"> CITATION HMG1711 \l 2057 </w:instrText>
          </w:r>
          <w:r>
            <w:fldChar w:fldCharType="separate"/>
          </w:r>
          <w:r w:rsidRPr="008872E2">
            <w:rPr>
              <w:noProof/>
            </w:rPr>
            <w:t>[3]</w:t>
          </w:r>
          <w:r>
            <w:fldChar w:fldCharType="end"/>
          </w:r>
        </w:sdtContent>
      </w:sdt>
      <w:r>
        <w:t xml:space="preserve"> </w:t>
      </w:r>
      <w:r w:rsidRPr="008872E2">
        <w:t>are met.</w:t>
      </w:r>
    </w:p>
    <w:p w14:paraId="5DC03A41" w14:textId="77777777" w:rsidR="008872E2" w:rsidRPr="008872E2" w:rsidRDefault="008872E2" w:rsidP="008872E2">
      <w:r w:rsidRPr="008872E2">
        <w:rPr>
          <w:rStyle w:val="Strong"/>
          <w:color w:val="000000"/>
          <w:sz w:val="24"/>
          <w:szCs w:val="24"/>
        </w:rPr>
        <w:t xml:space="preserve">General guidance for inspectors: </w:t>
      </w:r>
    </w:p>
    <w:p w14:paraId="3287C46D" w14:textId="1ABF1511" w:rsidR="008872E2" w:rsidRDefault="008872E2" w:rsidP="008872E2">
      <w:r>
        <w:t xml:space="preserve">The purpose of the report is to give an indication to the public of ONR's activities and interests on the licensed/regulated site(s) during the period of the report. It should cover licensee-specific responsibilities and should not seek to justify, excuse or otherwise account for any actions taken by the licensee. The licensee submits its own report to the local stakeholder group. For complex multi-facility sites, an overall Executive summary may be helpful to readers and can be provided if appropriate. </w:t>
      </w:r>
    </w:p>
    <w:p w14:paraId="1D876A42" w14:textId="79F0BE93" w:rsidR="008872E2" w:rsidRDefault="008872E2" w:rsidP="008872E2">
      <w:r>
        <w:t>The report should be confined, as far as is possible, to statements about ONR activities in relation to the site (which includes regulatory action, a summary of all compliance inspections and when appropriate significant events that require ministerial reporting) and should be based on statements of fact supported by evidence as appropriate. It should not include subjective matters, for example thoughts, opinions or beliefs. Readers may infer ONR views from the action we took in each case; e.g., issued a licence instrument, a formal enforcement notice or an enforcement letter. When required the Nominated site inspector should add in relevant information that covers conventional health and safety and security activities (adding security information to this report will be dependent on its classification).</w:t>
      </w:r>
    </w:p>
    <w:p w14:paraId="6F042597" w14:textId="1FC4B15B" w:rsidR="008872E2" w:rsidRDefault="008872E2" w:rsidP="008872E2">
      <w:r>
        <w:t xml:space="preserve">The style is important to the purpose of the report and should be suited to the intended reader, i.e., the layperson, not a scientist or engineer. It should be written in clear English, be factual, informative and avoid jargon and unexplained abbreviations.  The nominated site inspector should consider the language used in the report and the potential for it to be misinterpreted or cause public concern.  The communications team can provide advice and support if necessary.  </w:t>
      </w:r>
    </w:p>
    <w:p w14:paraId="0D22F3DD" w14:textId="0493B06F" w:rsidR="008872E2" w:rsidRDefault="008872E2" w:rsidP="008872E2">
      <w:r>
        <w:t>The report should not include information that may pre-empt or compromise any investigation or associated enforcement action. However, a preliminary statement may be made in relation to incidents where an investigation is in-hand.</w:t>
      </w:r>
    </w:p>
    <w:p w14:paraId="10F22F3E" w14:textId="30E45217" w:rsidR="008872E2" w:rsidRDefault="008872E2" w:rsidP="008872E2">
      <w:r>
        <w:t xml:space="preserve">This is ONR’s independent report and regulatory independence must be maintained. However, the inspector may share a draft of the report with the licensee as a check only on matters of factual accuracy. It might be necessary to withhold information in the interests of security, and inspectors should obtain appropriate advice where necessary. </w:t>
      </w:r>
    </w:p>
    <w:p w14:paraId="360B1BB7" w14:textId="3F6436AA" w:rsidR="008872E2" w:rsidRDefault="008872E2" w:rsidP="008872E2">
      <w:r>
        <w:t>Where significant security considerations apply at a site, e.g., Aldermaston, Sellafield etc. building identifiers, numbers and descriptions should not be used in the text. The preference should be to use generalised descriptions of the facilities.</w:t>
      </w:r>
    </w:p>
    <w:p w14:paraId="63330C2D" w14:textId="20807B3A" w:rsidR="008872E2" w:rsidRDefault="008872E2" w:rsidP="008872E2">
      <w:r>
        <w:t>The reports are Crown Copyright and as such licensees and local stakeholder groups should be asked, where necessary, to include a link to the ONR website rather than copy the reports onto its own websites.</w:t>
      </w:r>
    </w:p>
    <w:p w14:paraId="38670C3D" w14:textId="74623480" w:rsidR="008872E2" w:rsidRPr="008872E2" w:rsidRDefault="008872E2" w:rsidP="008872E2">
      <w:r>
        <w:t xml:space="preserve">For the report format, refer to the ONR Style Guide </w:t>
      </w:r>
      <w:sdt>
        <w:sdtPr>
          <w:id w:val="-2128377277"/>
          <w:citation/>
        </w:sdtPr>
        <w:sdtEndPr/>
        <w:sdtContent>
          <w:r>
            <w:fldChar w:fldCharType="begin"/>
          </w:r>
          <w:r>
            <w:instrText xml:space="preserve"> CITATION ONR119 \l 2057 </w:instrText>
          </w:r>
          <w:r>
            <w:fldChar w:fldCharType="separate"/>
          </w:r>
          <w:r w:rsidRPr="008872E2">
            <w:rPr>
              <w:noProof/>
            </w:rPr>
            <w:t>[9]</w:t>
          </w:r>
          <w:r>
            <w:fldChar w:fldCharType="end"/>
          </w:r>
        </w:sdtContent>
      </w:sdt>
      <w:r>
        <w:t xml:space="preserve">; this allows easier publishing on the ONR website. </w:t>
      </w:r>
    </w:p>
    <w:p w14:paraId="2680A226" w14:textId="77777777" w:rsidR="008872E2" w:rsidRDefault="008872E2" w:rsidP="008872E2">
      <w:r>
        <w:t xml:space="preserve">The site inspector should complete Sections 1 – 4 of the ONR Site Report template </w:t>
      </w:r>
      <w:sdt>
        <w:sdtPr>
          <w:id w:val="1817139607"/>
          <w:citation/>
        </w:sdtPr>
        <w:sdtEndPr/>
        <w:sdtContent>
          <w:r>
            <w:fldChar w:fldCharType="begin"/>
          </w:r>
          <w:r>
            <w:instrText xml:space="preserve"> CITATION ONR152 \l 2057 </w:instrText>
          </w:r>
          <w:r>
            <w:fldChar w:fldCharType="separate"/>
          </w:r>
          <w:r w:rsidRPr="008872E2">
            <w:rPr>
              <w:noProof/>
            </w:rPr>
            <w:t>[4]</w:t>
          </w:r>
          <w:r>
            <w:fldChar w:fldCharType="end"/>
          </w:r>
        </w:sdtContent>
      </w:sdt>
      <w:r>
        <w:t xml:space="preserve">, this ensures that the UK </w:t>
      </w:r>
      <w:r w:rsidRPr="008872E2">
        <w:t xml:space="preserve">obligations of Article 8(1) (a) and (b) of the Directive </w:t>
      </w:r>
      <w:sdt>
        <w:sdtPr>
          <w:id w:val="-872695419"/>
          <w:citation/>
        </w:sdtPr>
        <w:sdtEndPr/>
        <w:sdtContent>
          <w:r>
            <w:fldChar w:fldCharType="begin"/>
          </w:r>
          <w:r>
            <w:instrText xml:space="preserve"> CITATION HMG141 \l 2057 </w:instrText>
          </w:r>
          <w:r>
            <w:fldChar w:fldCharType="separate"/>
          </w:r>
          <w:r w:rsidRPr="008872E2">
            <w:rPr>
              <w:noProof/>
            </w:rPr>
            <w:t>[2]</w:t>
          </w:r>
          <w:r>
            <w:fldChar w:fldCharType="end"/>
          </w:r>
        </w:sdtContent>
      </w:sdt>
      <w:r>
        <w:t xml:space="preserve"> </w:t>
      </w:r>
      <w:r w:rsidRPr="008872E2">
        <w:t xml:space="preserve">and associated Direction under Section 92(1) of the Energy Act 2013 </w:t>
      </w:r>
      <w:sdt>
        <w:sdtPr>
          <w:id w:val="-2021455555"/>
          <w:citation/>
        </w:sdtPr>
        <w:sdtEndPr/>
        <w:sdtContent>
          <w:r>
            <w:fldChar w:fldCharType="begin"/>
          </w:r>
          <w:r>
            <w:instrText xml:space="preserve"> CITATION HMG1711 \l 2057 </w:instrText>
          </w:r>
          <w:r>
            <w:fldChar w:fldCharType="separate"/>
          </w:r>
          <w:r w:rsidRPr="008872E2">
            <w:rPr>
              <w:noProof/>
            </w:rPr>
            <w:t>[3]</w:t>
          </w:r>
          <w:r>
            <w:fldChar w:fldCharType="end"/>
          </w:r>
        </w:sdtContent>
      </w:sdt>
      <w:r>
        <w:t xml:space="preserve"> </w:t>
      </w:r>
      <w:r w:rsidRPr="008872E2">
        <w:t>are met.</w:t>
      </w:r>
    </w:p>
    <w:p w14:paraId="413746F6" w14:textId="77777777" w:rsidR="00EF1E3D" w:rsidRDefault="00EF1E3D" w:rsidP="008872E2"/>
    <w:sdt>
      <w:sdtPr>
        <w:rPr>
          <w:color w:val="auto"/>
          <w:sz w:val="24"/>
        </w:rPr>
        <w:id w:val="-1510979428"/>
        <w:docPartObj>
          <w:docPartGallery w:val="Bibliographies"/>
          <w:docPartUnique/>
        </w:docPartObj>
      </w:sdtPr>
      <w:sdtEndPr/>
      <w:sdtContent>
        <w:p w14:paraId="28B75810" w14:textId="3D4D2105" w:rsidR="00EF1E3D" w:rsidRDefault="00EF1E3D" w:rsidP="00EF1E3D">
          <w:pPr>
            <w:pStyle w:val="Heading1"/>
            <w:numPr>
              <w:ilvl w:val="0"/>
              <w:numId w:val="0"/>
            </w:numPr>
            <w:ind w:left="851" w:hanging="851"/>
          </w:pPr>
          <w:r>
            <w:t>References</w:t>
          </w:r>
        </w:p>
        <w:sdt>
          <w:sdtPr>
            <w:id w:val="-573587230"/>
            <w:bibliography/>
          </w:sdtPr>
          <w:sdtEndPr/>
          <w:sdtContent>
            <w:p w14:paraId="34079984" w14:textId="77777777" w:rsidR="00EF1E3D" w:rsidRDefault="00EF1E3D">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6"/>
                <w:gridCol w:w="9180"/>
              </w:tblGrid>
              <w:tr w:rsidR="00EF1E3D" w14:paraId="0DD41433" w14:textId="77777777" w:rsidTr="00EF1E3D">
                <w:trPr>
                  <w:divId w:val="169874020"/>
                  <w:tblCellSpacing w:w="15" w:type="dxa"/>
                </w:trPr>
                <w:tc>
                  <w:tcPr>
                    <w:tcW w:w="268" w:type="pct"/>
                    <w:hideMark/>
                  </w:tcPr>
                  <w:p w14:paraId="014B618E" w14:textId="10C0158E" w:rsidR="00EF1E3D" w:rsidRDefault="00EF1E3D">
                    <w:pPr>
                      <w:pStyle w:val="Bibliography"/>
                      <w:rPr>
                        <w:noProof/>
                        <w:szCs w:val="24"/>
                      </w:rPr>
                    </w:pPr>
                    <w:r>
                      <w:rPr>
                        <w:noProof/>
                      </w:rPr>
                      <w:t xml:space="preserve">[1] </w:t>
                    </w:r>
                  </w:p>
                </w:tc>
                <w:tc>
                  <w:tcPr>
                    <w:tcW w:w="4686" w:type="pct"/>
                    <w:hideMark/>
                  </w:tcPr>
                  <w:p w14:paraId="43EA47DF" w14:textId="77777777" w:rsidR="00EF1E3D" w:rsidRDefault="00EF1E3D">
                    <w:pPr>
                      <w:pStyle w:val="Bibliography"/>
                      <w:rPr>
                        <w:noProof/>
                      </w:rPr>
                    </w:pPr>
                    <w:r>
                      <w:rPr>
                        <w:noProof/>
                      </w:rPr>
                      <w:t>ONR, “Stakeholder Engagement Strategy 2020-2025,” 2020.</w:t>
                    </w:r>
                  </w:p>
                </w:tc>
              </w:tr>
              <w:tr w:rsidR="00EF1E3D" w14:paraId="37C14FE4" w14:textId="77777777" w:rsidTr="00EF1E3D">
                <w:trPr>
                  <w:divId w:val="169874020"/>
                  <w:tblCellSpacing w:w="15" w:type="dxa"/>
                </w:trPr>
                <w:tc>
                  <w:tcPr>
                    <w:tcW w:w="268" w:type="pct"/>
                    <w:hideMark/>
                  </w:tcPr>
                  <w:p w14:paraId="1C17B3D5" w14:textId="77777777" w:rsidR="00EF1E3D" w:rsidRDefault="00EF1E3D">
                    <w:pPr>
                      <w:pStyle w:val="Bibliography"/>
                      <w:rPr>
                        <w:noProof/>
                      </w:rPr>
                    </w:pPr>
                    <w:r>
                      <w:rPr>
                        <w:noProof/>
                      </w:rPr>
                      <w:t xml:space="preserve">[2] </w:t>
                    </w:r>
                  </w:p>
                </w:tc>
                <w:tc>
                  <w:tcPr>
                    <w:tcW w:w="4686" w:type="pct"/>
                    <w:hideMark/>
                  </w:tcPr>
                  <w:p w14:paraId="545ABAE9" w14:textId="77777777" w:rsidR="00EF1E3D" w:rsidRDefault="00EF1E3D">
                    <w:pPr>
                      <w:pStyle w:val="Bibliography"/>
                      <w:rPr>
                        <w:noProof/>
                      </w:rPr>
                    </w:pPr>
                    <w:r>
                      <w:rPr>
                        <w:noProof/>
                      </w:rPr>
                      <w:t>H.M Government, “Council Directive 2014/87/Euratom of 8 July 2014 amending Directive 2009/71/Euratom establishing a Community framework for the nuclear safety of nuclear installations,” 2014. [Online]. Available: https://www.legislation.gov.uk/eudr/2014/87.</w:t>
                    </w:r>
                  </w:p>
                </w:tc>
              </w:tr>
              <w:tr w:rsidR="00EF1E3D" w14:paraId="6E7D3A2D" w14:textId="77777777" w:rsidTr="00EF1E3D">
                <w:trPr>
                  <w:divId w:val="169874020"/>
                  <w:tblCellSpacing w:w="15" w:type="dxa"/>
                </w:trPr>
                <w:tc>
                  <w:tcPr>
                    <w:tcW w:w="268" w:type="pct"/>
                    <w:hideMark/>
                  </w:tcPr>
                  <w:p w14:paraId="0E22B01A" w14:textId="77777777" w:rsidR="00EF1E3D" w:rsidRDefault="00EF1E3D">
                    <w:pPr>
                      <w:pStyle w:val="Bibliography"/>
                      <w:rPr>
                        <w:noProof/>
                      </w:rPr>
                    </w:pPr>
                    <w:r>
                      <w:rPr>
                        <w:noProof/>
                      </w:rPr>
                      <w:t xml:space="preserve">[3] </w:t>
                    </w:r>
                  </w:p>
                </w:tc>
                <w:tc>
                  <w:tcPr>
                    <w:tcW w:w="4686" w:type="pct"/>
                    <w:hideMark/>
                  </w:tcPr>
                  <w:p w14:paraId="63CA99DA" w14:textId="77777777" w:rsidR="00EF1E3D" w:rsidRDefault="00EF1E3D">
                    <w:pPr>
                      <w:pStyle w:val="Bibliography"/>
                      <w:rPr>
                        <w:noProof/>
                      </w:rPr>
                    </w:pPr>
                    <w:r>
                      <w:rPr>
                        <w:noProof/>
                      </w:rPr>
                      <w:t>H.M Government, “Direction to the ONR regarding the supply of information in relation to the nuclear safety of civilian nuclear installations,” 2017. [Online]. Available: https://www.onr.org.uk/documents/2017/direction-supply-of-information.pdf.</w:t>
                    </w:r>
                  </w:p>
                </w:tc>
              </w:tr>
              <w:tr w:rsidR="00EF1E3D" w14:paraId="23460CA3" w14:textId="77777777" w:rsidTr="00EF1E3D">
                <w:trPr>
                  <w:divId w:val="169874020"/>
                  <w:tblCellSpacing w:w="15" w:type="dxa"/>
                </w:trPr>
                <w:tc>
                  <w:tcPr>
                    <w:tcW w:w="268" w:type="pct"/>
                    <w:hideMark/>
                  </w:tcPr>
                  <w:p w14:paraId="552DC576" w14:textId="77777777" w:rsidR="00EF1E3D" w:rsidRDefault="00EF1E3D">
                    <w:pPr>
                      <w:pStyle w:val="Bibliography"/>
                      <w:rPr>
                        <w:noProof/>
                      </w:rPr>
                    </w:pPr>
                    <w:r>
                      <w:rPr>
                        <w:noProof/>
                      </w:rPr>
                      <w:t xml:space="preserve">[4] </w:t>
                    </w:r>
                  </w:p>
                </w:tc>
                <w:tc>
                  <w:tcPr>
                    <w:tcW w:w="4686" w:type="pct"/>
                    <w:hideMark/>
                  </w:tcPr>
                  <w:p w14:paraId="57FD161C" w14:textId="77777777" w:rsidR="00EF1E3D" w:rsidRDefault="00EF1E3D">
                    <w:pPr>
                      <w:pStyle w:val="Bibliography"/>
                      <w:rPr>
                        <w:noProof/>
                      </w:rPr>
                    </w:pPr>
                    <w:r>
                      <w:rPr>
                        <w:noProof/>
                      </w:rPr>
                      <w:t>ONR, “ONR-DOC-TEMP-008 - Site Report Template”.</w:t>
                    </w:r>
                  </w:p>
                </w:tc>
              </w:tr>
              <w:tr w:rsidR="00EF1E3D" w14:paraId="1645BCC2" w14:textId="77777777" w:rsidTr="00EF1E3D">
                <w:trPr>
                  <w:divId w:val="169874020"/>
                  <w:tblCellSpacing w:w="15" w:type="dxa"/>
                </w:trPr>
                <w:tc>
                  <w:tcPr>
                    <w:tcW w:w="268" w:type="pct"/>
                    <w:hideMark/>
                  </w:tcPr>
                  <w:p w14:paraId="515F823C" w14:textId="77777777" w:rsidR="00EF1E3D" w:rsidRDefault="00EF1E3D">
                    <w:pPr>
                      <w:pStyle w:val="Bibliography"/>
                      <w:rPr>
                        <w:noProof/>
                      </w:rPr>
                    </w:pPr>
                    <w:r>
                      <w:rPr>
                        <w:noProof/>
                      </w:rPr>
                      <w:t xml:space="preserve">[5] </w:t>
                    </w:r>
                  </w:p>
                </w:tc>
                <w:tc>
                  <w:tcPr>
                    <w:tcW w:w="4686" w:type="pct"/>
                    <w:hideMark/>
                  </w:tcPr>
                  <w:p w14:paraId="58141A67" w14:textId="77777777" w:rsidR="00EF1E3D" w:rsidRDefault="00EF1E3D">
                    <w:pPr>
                      <w:pStyle w:val="Bibliography"/>
                      <w:rPr>
                        <w:noProof/>
                      </w:rPr>
                    </w:pPr>
                    <w:r>
                      <w:rPr>
                        <w:noProof/>
                      </w:rPr>
                      <w:t>ONR, “ONR-INSP-GD-059 - Guidance for Inspection Strategy Planning and Recording”.</w:t>
                    </w:r>
                  </w:p>
                </w:tc>
              </w:tr>
              <w:tr w:rsidR="00EF1E3D" w14:paraId="7131B7F1" w14:textId="77777777" w:rsidTr="00EF1E3D">
                <w:trPr>
                  <w:divId w:val="169874020"/>
                  <w:tblCellSpacing w:w="15" w:type="dxa"/>
                </w:trPr>
                <w:tc>
                  <w:tcPr>
                    <w:tcW w:w="268" w:type="pct"/>
                    <w:hideMark/>
                  </w:tcPr>
                  <w:p w14:paraId="0C672211" w14:textId="77777777" w:rsidR="00EF1E3D" w:rsidRDefault="00EF1E3D">
                    <w:pPr>
                      <w:pStyle w:val="Bibliography"/>
                      <w:rPr>
                        <w:noProof/>
                      </w:rPr>
                    </w:pPr>
                    <w:r>
                      <w:rPr>
                        <w:noProof/>
                      </w:rPr>
                      <w:t xml:space="preserve">[6] </w:t>
                    </w:r>
                  </w:p>
                </w:tc>
                <w:tc>
                  <w:tcPr>
                    <w:tcW w:w="4686" w:type="pct"/>
                    <w:hideMark/>
                  </w:tcPr>
                  <w:p w14:paraId="6B929381" w14:textId="77777777" w:rsidR="00EF1E3D" w:rsidRDefault="00EF1E3D">
                    <w:pPr>
                      <w:pStyle w:val="Bibliography"/>
                      <w:rPr>
                        <w:noProof/>
                      </w:rPr>
                    </w:pPr>
                    <w:r>
                      <w:rPr>
                        <w:noProof/>
                      </w:rPr>
                      <w:t>ONR, “ONR-INSP-GD-064 - General Inspection Guide”.</w:t>
                    </w:r>
                  </w:p>
                </w:tc>
              </w:tr>
              <w:tr w:rsidR="00EF1E3D" w14:paraId="7FB3D4A6" w14:textId="77777777" w:rsidTr="00EF1E3D">
                <w:trPr>
                  <w:divId w:val="169874020"/>
                  <w:tblCellSpacing w:w="15" w:type="dxa"/>
                </w:trPr>
                <w:tc>
                  <w:tcPr>
                    <w:tcW w:w="268" w:type="pct"/>
                    <w:hideMark/>
                  </w:tcPr>
                  <w:p w14:paraId="1B6A90F7" w14:textId="77777777" w:rsidR="00EF1E3D" w:rsidRDefault="00EF1E3D">
                    <w:pPr>
                      <w:pStyle w:val="Bibliography"/>
                      <w:rPr>
                        <w:noProof/>
                      </w:rPr>
                    </w:pPr>
                    <w:r>
                      <w:rPr>
                        <w:noProof/>
                      </w:rPr>
                      <w:t xml:space="preserve">[7] </w:t>
                    </w:r>
                  </w:p>
                </w:tc>
                <w:tc>
                  <w:tcPr>
                    <w:tcW w:w="4686" w:type="pct"/>
                    <w:hideMark/>
                  </w:tcPr>
                  <w:p w14:paraId="6248034F" w14:textId="77777777" w:rsidR="00EF1E3D" w:rsidRDefault="00EF1E3D">
                    <w:pPr>
                      <w:pStyle w:val="Bibliography"/>
                      <w:rPr>
                        <w:noProof/>
                      </w:rPr>
                    </w:pPr>
                    <w:r>
                      <w:rPr>
                        <w:noProof/>
                      </w:rPr>
                      <w:t>ONR, “ONR-OPEX-GD-001 - Notifying and Reporting Incidents and Event to ONR”.</w:t>
                    </w:r>
                  </w:p>
                </w:tc>
              </w:tr>
              <w:tr w:rsidR="00EF1E3D" w14:paraId="787FA4A6" w14:textId="77777777" w:rsidTr="00EF1E3D">
                <w:trPr>
                  <w:divId w:val="169874020"/>
                  <w:tblCellSpacing w:w="15" w:type="dxa"/>
                </w:trPr>
                <w:tc>
                  <w:tcPr>
                    <w:tcW w:w="268" w:type="pct"/>
                    <w:hideMark/>
                  </w:tcPr>
                  <w:p w14:paraId="30F1D42D" w14:textId="77777777" w:rsidR="00EF1E3D" w:rsidRDefault="00EF1E3D">
                    <w:pPr>
                      <w:pStyle w:val="Bibliography"/>
                      <w:rPr>
                        <w:noProof/>
                      </w:rPr>
                    </w:pPr>
                    <w:r>
                      <w:rPr>
                        <w:noProof/>
                      </w:rPr>
                      <w:t xml:space="preserve">[8] </w:t>
                    </w:r>
                  </w:p>
                </w:tc>
                <w:tc>
                  <w:tcPr>
                    <w:tcW w:w="4686" w:type="pct"/>
                    <w:hideMark/>
                  </w:tcPr>
                  <w:p w14:paraId="48657D2B" w14:textId="77777777" w:rsidR="00EF1E3D" w:rsidRDefault="00EF1E3D">
                    <w:pPr>
                      <w:pStyle w:val="Bibliography"/>
                      <w:rPr>
                        <w:noProof/>
                      </w:rPr>
                    </w:pPr>
                    <w:r>
                      <w:rPr>
                        <w:noProof/>
                      </w:rPr>
                      <w:t>SDF, “Good Practice Guidelines for Site Stakeholder Groups (SSGs) and Local Liaison Committees (LLCs),” May 2022. [Online]. Available: https://www.nuclearinst.com/write/MediaUploads/SDF%20documents/Good_Practice_Guidelines_for_SSGs_and_LLCs.pdf.</w:t>
                    </w:r>
                  </w:p>
                </w:tc>
              </w:tr>
              <w:tr w:rsidR="00EF1E3D" w14:paraId="0306B6FF" w14:textId="77777777" w:rsidTr="00EF1E3D">
                <w:trPr>
                  <w:divId w:val="169874020"/>
                  <w:tblCellSpacing w:w="15" w:type="dxa"/>
                </w:trPr>
                <w:tc>
                  <w:tcPr>
                    <w:tcW w:w="268" w:type="pct"/>
                    <w:hideMark/>
                  </w:tcPr>
                  <w:p w14:paraId="53DC5FD3" w14:textId="77777777" w:rsidR="00EF1E3D" w:rsidRDefault="00EF1E3D">
                    <w:pPr>
                      <w:pStyle w:val="Bibliography"/>
                      <w:rPr>
                        <w:noProof/>
                      </w:rPr>
                    </w:pPr>
                    <w:r>
                      <w:rPr>
                        <w:noProof/>
                      </w:rPr>
                      <w:t xml:space="preserve">[9] </w:t>
                    </w:r>
                  </w:p>
                </w:tc>
                <w:tc>
                  <w:tcPr>
                    <w:tcW w:w="4686" w:type="pct"/>
                    <w:hideMark/>
                  </w:tcPr>
                  <w:p w14:paraId="485514AB" w14:textId="77777777" w:rsidR="00EF1E3D" w:rsidRDefault="00EF1E3D">
                    <w:pPr>
                      <w:pStyle w:val="Bibliography"/>
                      <w:rPr>
                        <w:noProof/>
                      </w:rPr>
                    </w:pPr>
                    <w:r>
                      <w:rPr>
                        <w:noProof/>
                      </w:rPr>
                      <w:t>ONR, “ONR-COM-GD-001 - ONR Style Guide”.</w:t>
                    </w:r>
                  </w:p>
                </w:tc>
              </w:tr>
            </w:tbl>
            <w:p w14:paraId="33A70411" w14:textId="77777777" w:rsidR="00EF1E3D" w:rsidRDefault="00EF1E3D">
              <w:pPr>
                <w:divId w:val="169874020"/>
                <w:rPr>
                  <w:rFonts w:eastAsia="Times New Roman"/>
                  <w:noProof/>
                </w:rPr>
              </w:pPr>
            </w:p>
            <w:p w14:paraId="1CBA17BC" w14:textId="689BD527" w:rsidR="00EF1E3D" w:rsidRDefault="00EF1E3D">
              <w:r>
                <w:rPr>
                  <w:b/>
                  <w:bCs/>
                  <w:noProof/>
                </w:rPr>
                <w:fldChar w:fldCharType="end"/>
              </w:r>
            </w:p>
          </w:sdtContent>
        </w:sdt>
      </w:sdtContent>
    </w:sdt>
    <w:p w14:paraId="4AA9E6DA" w14:textId="00AA152D" w:rsidR="00EF1E3D" w:rsidRDefault="00EF1E3D" w:rsidP="008872E2">
      <w:pPr>
        <w:sectPr w:rsidR="00EF1E3D" w:rsidSect="00B82646">
          <w:pgSz w:w="11906" w:h="16838" w:code="9"/>
          <w:pgMar w:top="1440" w:right="1080" w:bottom="1440" w:left="1080" w:header="397" w:footer="397" w:gutter="0"/>
          <w:cols w:space="312"/>
          <w:docGrid w:linePitch="360"/>
        </w:sectPr>
      </w:pPr>
    </w:p>
    <w:p w14:paraId="47F4111E" w14:textId="23FF9CB2" w:rsidR="008872E2" w:rsidRDefault="008872E2" w:rsidP="008872E2">
      <w:pPr>
        <w:pStyle w:val="Heading1"/>
        <w:numPr>
          <w:ilvl w:val="0"/>
          <w:numId w:val="0"/>
        </w:numPr>
      </w:pPr>
      <w:r>
        <w:t>Appendix B: Production of SSG/LCLC/LLC Reports</w:t>
      </w:r>
    </w:p>
    <w:p w14:paraId="71B9156E" w14:textId="77777777" w:rsidR="008872E2" w:rsidRDefault="008872E2" w:rsidP="008872E2">
      <w:pPr>
        <w:keepNext/>
        <w:jc w:val="center"/>
      </w:pPr>
      <w:r>
        <w:rPr>
          <w:noProof/>
        </w:rPr>
        <w:drawing>
          <wp:inline distT="0" distB="0" distL="0" distR="0" wp14:anchorId="6B1354AC" wp14:editId="5FA440CB">
            <wp:extent cx="5831840" cy="37103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3"/>
                    <a:stretch>
                      <a:fillRect/>
                    </a:stretch>
                  </pic:blipFill>
                  <pic:spPr>
                    <a:xfrm>
                      <a:off x="0" y="0"/>
                      <a:ext cx="5831840" cy="3710305"/>
                    </a:xfrm>
                    <a:prstGeom prst="rect">
                      <a:avLst/>
                    </a:prstGeom>
                  </pic:spPr>
                </pic:pic>
              </a:graphicData>
            </a:graphic>
          </wp:inline>
        </w:drawing>
      </w:r>
    </w:p>
    <w:p w14:paraId="261584E7" w14:textId="77777777" w:rsidR="008872E2" w:rsidRDefault="008872E2" w:rsidP="008872E2">
      <w:pPr>
        <w:pStyle w:val="Caption"/>
        <w:jc w:val="center"/>
        <w:sectPr w:rsidR="008872E2" w:rsidSect="00B82646">
          <w:pgSz w:w="11906" w:h="16838" w:code="9"/>
          <w:pgMar w:top="1440" w:right="1080" w:bottom="1440" w:left="1080" w:header="397" w:footer="397" w:gutter="0"/>
          <w:cols w:space="312"/>
          <w:docGrid w:linePitch="360"/>
        </w:sectPr>
      </w:pPr>
      <w:r>
        <w:t xml:space="preserve">Figure </w:t>
      </w:r>
      <w:r w:rsidR="00C12750">
        <w:fldChar w:fldCharType="begin"/>
      </w:r>
      <w:r w:rsidR="00C12750">
        <w:instrText xml:space="preserve"> SEQ Figure \* ARABIC </w:instrText>
      </w:r>
      <w:r w:rsidR="00C12750">
        <w:fldChar w:fldCharType="separate"/>
      </w:r>
      <w:r>
        <w:rPr>
          <w:noProof/>
        </w:rPr>
        <w:t>1</w:t>
      </w:r>
      <w:r w:rsidR="00C12750">
        <w:rPr>
          <w:noProof/>
        </w:rPr>
        <w:fldChar w:fldCharType="end"/>
      </w:r>
      <w:r>
        <w:t xml:space="preserve"> - Process for the production of SSG/LCLC/LLC reports</w:t>
      </w:r>
    </w:p>
    <w:p w14:paraId="593083D7" w14:textId="1CEA7EBA" w:rsidR="008872E2" w:rsidRDefault="008872E2" w:rsidP="008872E2">
      <w:pPr>
        <w:pStyle w:val="Heading1"/>
        <w:numPr>
          <w:ilvl w:val="0"/>
          <w:numId w:val="0"/>
        </w:numPr>
      </w:pPr>
      <w:r>
        <w:t>Appendix C: Format and Content of Covering Letter to Site</w:t>
      </w:r>
    </w:p>
    <w:p w14:paraId="353EB23D" w14:textId="77777777" w:rsidR="008872E2" w:rsidRDefault="008872E2" w:rsidP="008872E2">
      <w:r>
        <w:t>The standard text below should be used in a covering letter to site with the ONR report, in some case’s agreements could be made with sites to email the report, if so use the text below in the body of the email message with the report attached as a word document.</w:t>
      </w:r>
    </w:p>
    <w:p w14:paraId="41488D8D" w14:textId="77777777" w:rsidR="008872E2" w:rsidRPr="00EF1E3D" w:rsidRDefault="008872E2" w:rsidP="008872E2">
      <w:pPr>
        <w:rPr>
          <w:b/>
          <w:bCs/>
        </w:rPr>
      </w:pPr>
      <w:r w:rsidRPr="00EF1E3D">
        <w:rPr>
          <w:b/>
          <w:bCs/>
        </w:rPr>
        <w:t>ONR letter headed paper</w:t>
      </w:r>
    </w:p>
    <w:p w14:paraId="176B2754" w14:textId="77777777" w:rsidR="008872E2" w:rsidRDefault="008872E2" w:rsidP="008872E2">
      <w:r>
        <w:t>Dear Site Manager/Director/nominated people</w:t>
      </w:r>
    </w:p>
    <w:p w14:paraId="04D07179" w14:textId="77777777" w:rsidR="008872E2" w:rsidRPr="00EF1E3D" w:rsidRDefault="008872E2" w:rsidP="008872E2">
      <w:pPr>
        <w:rPr>
          <w:b/>
          <w:bCs/>
        </w:rPr>
      </w:pPr>
      <w:r w:rsidRPr="00EF1E3D">
        <w:rPr>
          <w:b/>
          <w:bCs/>
        </w:rPr>
        <w:t>Licensed Site Name – ONR Site Inspector’s SSG/LCLC/LLC Report</w:t>
      </w:r>
    </w:p>
    <w:p w14:paraId="4B9DEC06" w14:textId="6FD92548" w:rsidR="008872E2" w:rsidRDefault="008872E2" w:rsidP="008872E2">
      <w:r>
        <w:t xml:space="preserve">Please find enclosed a copy of the ONR site inspector’s report for the period (day/month/year </w:t>
      </w:r>
      <w:r w:rsidR="00EF1E3D">
        <w:t>to day</w:t>
      </w:r>
      <w:r>
        <w:t>/month/year).</w:t>
      </w:r>
    </w:p>
    <w:p w14:paraId="04747D72" w14:textId="77777777" w:rsidR="008872E2" w:rsidRDefault="008872E2" w:rsidP="008872E2">
      <w:r>
        <w:t>I should be grateful if you would arrange for it to be copied and sent to all full members of the (site name and committee) and to the site’s safety representatives.</w:t>
      </w:r>
    </w:p>
    <w:p w14:paraId="03FD3B09" w14:textId="77777777" w:rsidR="008872E2" w:rsidRDefault="008872E2" w:rsidP="008872E2">
      <w:r>
        <w:t>A copy of the report will be placed on the ONR web site, the address of which is provided in the report.</w:t>
      </w:r>
    </w:p>
    <w:p w14:paraId="24CE79B9" w14:textId="77777777" w:rsidR="008872E2" w:rsidRDefault="008872E2" w:rsidP="008872E2">
      <w:r>
        <w:t>Yours sincerely</w:t>
      </w:r>
    </w:p>
    <w:p w14:paraId="2020838D" w14:textId="77777777" w:rsidR="008872E2" w:rsidRDefault="008872E2" w:rsidP="008872E2">
      <w:r>
        <w:t>PP by Divisional Delivery Support</w:t>
      </w:r>
    </w:p>
    <w:p w14:paraId="1A638DCB" w14:textId="77777777" w:rsidR="008872E2" w:rsidRDefault="008872E2" w:rsidP="008872E2">
      <w:r>
        <w:t>[Inspector’s name]</w:t>
      </w:r>
    </w:p>
    <w:p w14:paraId="202B2338" w14:textId="78783489" w:rsidR="008872E2" w:rsidRDefault="008872E2" w:rsidP="008872E2">
      <w:r>
        <w:t>(Principal) Inspector of Nuclear Safety</w:t>
      </w:r>
    </w:p>
    <w:p w14:paraId="368475DD" w14:textId="12AA7023" w:rsidR="00EF1E3D" w:rsidRDefault="00EF1E3D" w:rsidP="008872E2"/>
    <w:p w14:paraId="5EFA67F7" w14:textId="77777777" w:rsidR="00EF1E3D" w:rsidRDefault="00EF1E3D" w:rsidP="00EF1E3D">
      <w:pPr>
        <w:pStyle w:val="Heading1"/>
        <w:numPr>
          <w:ilvl w:val="0"/>
          <w:numId w:val="0"/>
        </w:numPr>
        <w:rPr>
          <w:lang w:val="fr-FR"/>
        </w:rPr>
        <w:sectPr w:rsidR="00EF1E3D" w:rsidSect="00B82646">
          <w:pgSz w:w="11906" w:h="16838" w:code="9"/>
          <w:pgMar w:top="1440" w:right="1080" w:bottom="1440" w:left="1080" w:header="397" w:footer="397" w:gutter="0"/>
          <w:cols w:space="312"/>
          <w:docGrid w:linePitch="360"/>
        </w:sectPr>
      </w:pPr>
    </w:p>
    <w:p w14:paraId="360F510D" w14:textId="7B9CAAB3" w:rsidR="00EF1E3D" w:rsidRDefault="00EF1E3D" w:rsidP="00EF1E3D">
      <w:pPr>
        <w:pStyle w:val="Heading1"/>
        <w:numPr>
          <w:ilvl w:val="0"/>
          <w:numId w:val="0"/>
        </w:numPr>
        <w:rPr>
          <w:lang w:bidi="ar-SA"/>
        </w:rPr>
      </w:pPr>
      <w:r>
        <w:rPr>
          <w:lang w:val="fr-FR"/>
        </w:rPr>
        <w:t xml:space="preserve">Appendix D: </w:t>
      </w:r>
      <w:r>
        <w:t>Distribution List for ONR SSG/LCLC/LLC Reports</w:t>
      </w:r>
    </w:p>
    <w:p w14:paraId="04A52962" w14:textId="08D7EF0C" w:rsidR="00EF1E3D" w:rsidRDefault="00EF1E3D" w:rsidP="00EF1E3D">
      <w:r>
        <w:t xml:space="preserve">The DDS teams are responsible for distributing the reports to the following organisations/people. Internal distribution, as appropriate, will be by electronic means. If arrangements can be made with external recipients, then distribution should also be by email attachments. </w:t>
      </w:r>
    </w:p>
    <w:p w14:paraId="4F3136EB" w14:textId="77777777" w:rsidR="00EF1E3D" w:rsidRPr="00EF1E3D" w:rsidRDefault="00EF1E3D" w:rsidP="00EF1E3D">
      <w:pPr>
        <w:rPr>
          <w:b/>
          <w:bCs/>
        </w:rPr>
      </w:pPr>
      <w:r w:rsidRPr="00EF1E3D">
        <w:rPr>
          <w:b/>
          <w:bCs/>
        </w:rPr>
        <w:t>External Recipients</w:t>
      </w:r>
    </w:p>
    <w:p w14:paraId="2E14B68E" w14:textId="77777777" w:rsidR="00EF1E3D" w:rsidRDefault="00EF1E3D" w:rsidP="00EF1E3D">
      <w:r>
        <w:t>Site Licensee (for distribution to all members of SSG/LCLC/LLC and the Site Safety Representatives)</w:t>
      </w:r>
    </w:p>
    <w:p w14:paraId="2F9CA1D1" w14:textId="6346D9A0" w:rsidR="00EF1E3D" w:rsidRPr="00EF1E3D" w:rsidRDefault="00EF1E3D" w:rsidP="008872E2">
      <w:pPr>
        <w:rPr>
          <w:b/>
          <w:bCs/>
        </w:rPr>
      </w:pPr>
      <w:r>
        <w:t>Defence Nuclear Programme Sites and appropriate Ministry of Defence departments e.g. The Defence Nuclear Safety Regulator.</w:t>
      </w:r>
    </w:p>
    <w:sectPr w:rsidR="00EF1E3D" w:rsidRPr="00EF1E3D"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7143" w14:textId="77777777" w:rsidR="002A1A36" w:rsidRDefault="002A1A36" w:rsidP="007D199A">
      <w:pPr>
        <w:spacing w:after="0"/>
      </w:pPr>
      <w:r>
        <w:separator/>
      </w:r>
    </w:p>
    <w:p w14:paraId="0EEBF7ED" w14:textId="77777777" w:rsidR="002A1A36" w:rsidRDefault="002A1A36"/>
  </w:endnote>
  <w:endnote w:type="continuationSeparator" w:id="0">
    <w:p w14:paraId="5A371A26" w14:textId="77777777" w:rsidR="002A1A36" w:rsidRDefault="002A1A36" w:rsidP="007D199A">
      <w:pPr>
        <w:spacing w:after="0"/>
      </w:pPr>
      <w:r>
        <w:continuationSeparator/>
      </w:r>
    </w:p>
    <w:p w14:paraId="0EF313C0" w14:textId="77777777" w:rsidR="002A1A36" w:rsidRDefault="002A1A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FA65" w14:textId="77777777" w:rsidR="00D64855" w:rsidRDefault="00D64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9BCCF5F" w:rsidR="007C3C1D" w:rsidRPr="006A525B" w:rsidRDefault="006A525B" w:rsidP="007C3C1D">
    <w:pPr>
      <w:pStyle w:val="Footer"/>
      <w:jc w:val="left"/>
      <w:rPr>
        <w:szCs w:val="24"/>
      </w:rPr>
    </w:pPr>
    <w:r w:rsidRPr="006A525B">
      <w:rPr>
        <w:szCs w:val="24"/>
      </w:rPr>
      <w:t>ONR-DOC-TEMP-</w:t>
    </w:r>
    <w:r w:rsidR="00FB1452">
      <w:rPr>
        <w:szCs w:val="24"/>
      </w:rPr>
      <w:t>182</w:t>
    </w:r>
    <w:r w:rsidRPr="006A525B">
      <w:rPr>
        <w:szCs w:val="24"/>
      </w:rPr>
      <w:t xml:space="preserve"> (Issue </w:t>
    </w:r>
    <w:r w:rsidR="001D0FA7">
      <w:rPr>
        <w:szCs w:val="24"/>
      </w:rPr>
      <w:t>2</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3A8B" w14:textId="77777777" w:rsidR="00D64855" w:rsidRDefault="00D648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30F2" w14:textId="77777777" w:rsidR="000D7A42" w:rsidRPr="008C50C3" w:rsidRDefault="000D7A42"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7424" w14:textId="77777777" w:rsidR="000D7A42" w:rsidRPr="008229BA" w:rsidRDefault="000D7A42" w:rsidP="008229BA">
    <w:pPr>
      <w:pStyle w:val="Footer"/>
      <w:rPr>
        <w:rStyle w:val="PageNumber"/>
        <w:color w:val="22413A"/>
        <w:sz w:val="24"/>
      </w:rPr>
    </w:pPr>
    <w:r w:rsidRPr="008229BA">
      <w:t xml:space="preserve">Page </w:t>
    </w:r>
    <w:r w:rsidRPr="008229BA">
      <w:fldChar w:fldCharType="begin"/>
    </w:r>
    <w:r w:rsidRPr="008229BA">
      <w:instrText xml:space="preserve"> PAGE   \* MERGEFORMAT </w:instrText>
    </w:r>
    <w:r w:rsidRPr="008229BA">
      <w:fldChar w:fldCharType="separate"/>
    </w:r>
    <w:r w:rsidRPr="008229BA">
      <w:t>5</w:t>
    </w:r>
    <w:r w:rsidRPr="008229B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3C6A9" w14:textId="77777777" w:rsidR="002A1A36" w:rsidRPr="005E0344" w:rsidRDefault="002A1A36" w:rsidP="005E0344">
      <w:pPr>
        <w:spacing w:after="120"/>
        <w:rPr>
          <w:color w:val="000000" w:themeColor="text2"/>
        </w:rPr>
      </w:pPr>
      <w:r w:rsidRPr="005E0344">
        <w:rPr>
          <w:color w:val="000000" w:themeColor="text2"/>
        </w:rPr>
        <w:separator/>
      </w:r>
    </w:p>
  </w:footnote>
  <w:footnote w:type="continuationSeparator" w:id="0">
    <w:p w14:paraId="00BA2C62" w14:textId="77777777" w:rsidR="002A1A36" w:rsidRPr="005E0344" w:rsidRDefault="002A1A36" w:rsidP="0090581D">
      <w:pPr>
        <w:spacing w:after="120"/>
        <w:rPr>
          <w:color w:val="000000" w:themeColor="text2"/>
        </w:rPr>
      </w:pPr>
      <w:r w:rsidRPr="005E0344">
        <w:rPr>
          <w:color w:val="000000" w:themeColor="text2"/>
        </w:rPr>
        <w:continuationSeparator/>
      </w:r>
    </w:p>
    <w:p w14:paraId="014563CD" w14:textId="77777777" w:rsidR="002A1A36" w:rsidRDefault="002A1A36"/>
  </w:footnote>
  <w:footnote w:type="continuationNotice" w:id="1">
    <w:p w14:paraId="03BE1231" w14:textId="77777777" w:rsidR="002A1A36" w:rsidRDefault="002A1A36">
      <w:pPr>
        <w:spacing w:after="0"/>
      </w:pPr>
    </w:p>
    <w:p w14:paraId="2DCC98F3" w14:textId="77777777" w:rsidR="002A1A36" w:rsidRDefault="002A1A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27C5" w14:textId="77777777" w:rsidR="00D64855" w:rsidRDefault="00D64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2512" w14:textId="77777777" w:rsidR="00D64855" w:rsidRDefault="00D648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F767" w14:textId="77777777" w:rsidR="000D7A42" w:rsidRPr="008C50C3" w:rsidRDefault="000D7A42"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5B40" w14:textId="018A88F0" w:rsidR="000D7A42" w:rsidRPr="009E0E52" w:rsidRDefault="00C12750" w:rsidP="009E0E52">
    <w:pPr>
      <w:pStyle w:val="Header"/>
    </w:pPr>
    <w:sdt>
      <w:sdtPr>
        <w:alias w:val="Title"/>
        <w:tag w:val=""/>
        <w:id w:val="1816293802"/>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A65CBC">
          <w:t>Provision of information to the public through production and distribution of SSG/LCLC/LLC reports and attendance at SSG/LCLC/LLC meetings by ONR Inspectors</w:t>
        </w:r>
      </w:sdtContent>
    </w:sdt>
    <w:r w:rsidR="000D7A42">
      <w:t xml:space="preserve"> | Issue No.: </w:t>
    </w:r>
    <w:sdt>
      <w:sdtPr>
        <w:alias w:val="Status"/>
        <w:tag w:val=""/>
        <w:id w:val="1679921422"/>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65CBC">
          <w:t>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pStyle w:val="TSNumberedParagraph11"/>
      <w:lvlText w:val=""/>
      <w:lvlJc w:val="left"/>
      <w:pPr>
        <w:tabs>
          <w:tab w:val="num" w:pos="360"/>
        </w:tabs>
        <w:ind w:left="360" w:hanging="360"/>
      </w:pPr>
      <w:rPr>
        <w:rFonts w:ascii="Symbol" w:hAnsi="Symbol" w:hint="default"/>
      </w:rPr>
    </w:lvl>
  </w:abstractNum>
  <w:abstractNum w:abstractNumId="10" w15:restartNumberingAfterBreak="0">
    <w:nsid w:val="00166EE0"/>
    <w:multiLevelType w:val="multilevel"/>
    <w:tmpl w:val="ABDA5A72"/>
    <w:lvl w:ilvl="0">
      <w:start w:val="1"/>
      <w:numFmt w:val="lowerLetter"/>
      <w:lvlText w:val="%1."/>
      <w:lvlJc w:val="left"/>
      <w:pPr>
        <w:tabs>
          <w:tab w:val="num" w:pos="1860"/>
        </w:tabs>
        <w:ind w:left="1860" w:hanging="360"/>
      </w:pPr>
    </w:lvl>
    <w:lvl w:ilvl="1">
      <w:start w:val="1"/>
      <w:numFmt w:val="lowerLetter"/>
      <w:lvlText w:val="%2."/>
      <w:lvlJc w:val="left"/>
      <w:pPr>
        <w:tabs>
          <w:tab w:val="num" w:pos="2580"/>
        </w:tabs>
        <w:ind w:left="2580" w:hanging="360"/>
      </w:pPr>
    </w:lvl>
    <w:lvl w:ilvl="2">
      <w:start w:val="1"/>
      <w:numFmt w:val="lowerLetter"/>
      <w:lvlText w:val="%3."/>
      <w:lvlJc w:val="left"/>
      <w:pPr>
        <w:tabs>
          <w:tab w:val="num" w:pos="3300"/>
        </w:tabs>
        <w:ind w:left="3300" w:hanging="360"/>
      </w:pPr>
    </w:lvl>
    <w:lvl w:ilvl="3">
      <w:start w:val="1"/>
      <w:numFmt w:val="lowerLetter"/>
      <w:lvlText w:val="%4."/>
      <w:lvlJc w:val="left"/>
      <w:pPr>
        <w:tabs>
          <w:tab w:val="num" w:pos="4020"/>
        </w:tabs>
        <w:ind w:left="4020" w:hanging="360"/>
      </w:pPr>
    </w:lvl>
    <w:lvl w:ilvl="4">
      <w:start w:val="1"/>
      <w:numFmt w:val="lowerLetter"/>
      <w:lvlText w:val="%5."/>
      <w:lvlJc w:val="left"/>
      <w:pPr>
        <w:tabs>
          <w:tab w:val="num" w:pos="4740"/>
        </w:tabs>
        <w:ind w:left="4740" w:hanging="360"/>
      </w:pPr>
    </w:lvl>
    <w:lvl w:ilvl="5">
      <w:start w:val="1"/>
      <w:numFmt w:val="lowerLetter"/>
      <w:lvlText w:val="%6."/>
      <w:lvlJc w:val="left"/>
      <w:pPr>
        <w:tabs>
          <w:tab w:val="num" w:pos="5460"/>
        </w:tabs>
        <w:ind w:left="5460" w:hanging="360"/>
      </w:pPr>
    </w:lvl>
    <w:lvl w:ilvl="6">
      <w:start w:val="1"/>
      <w:numFmt w:val="lowerLetter"/>
      <w:lvlText w:val="%7."/>
      <w:lvlJc w:val="left"/>
      <w:pPr>
        <w:tabs>
          <w:tab w:val="num" w:pos="6180"/>
        </w:tabs>
        <w:ind w:left="6180" w:hanging="360"/>
      </w:pPr>
    </w:lvl>
    <w:lvl w:ilvl="7">
      <w:start w:val="1"/>
      <w:numFmt w:val="lowerLetter"/>
      <w:lvlText w:val="%8."/>
      <w:lvlJc w:val="left"/>
      <w:pPr>
        <w:tabs>
          <w:tab w:val="num" w:pos="6900"/>
        </w:tabs>
        <w:ind w:left="6900" w:hanging="360"/>
      </w:pPr>
    </w:lvl>
    <w:lvl w:ilvl="8">
      <w:start w:val="1"/>
      <w:numFmt w:val="lowerLetter"/>
      <w:lvlText w:val="%9."/>
      <w:lvlJc w:val="left"/>
      <w:pPr>
        <w:tabs>
          <w:tab w:val="num" w:pos="7620"/>
        </w:tabs>
        <w:ind w:left="7620" w:hanging="36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D6AB8"/>
    <w:multiLevelType w:val="hybridMultilevel"/>
    <w:tmpl w:val="4F4EFB78"/>
    <w:lvl w:ilvl="0" w:tplc="C0D660E6">
      <w:start w:val="1"/>
      <w:numFmt w:val="decimal"/>
      <w:pStyle w:val="NumList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6331B5"/>
    <w:multiLevelType w:val="multilevel"/>
    <w:tmpl w:val="862472C4"/>
    <w:lvl w:ilvl="0">
      <w:start w:val="1"/>
      <w:numFmt w:val="decimal"/>
      <w:pStyle w:val="Heading1"/>
      <w:lvlText w:val="%1."/>
      <w:lvlJc w:val="left"/>
      <w:pPr>
        <w:ind w:left="360" w:hanging="360"/>
      </w:pPr>
    </w:lvl>
    <w:lvl w:ilvl="1">
      <w:start w:val="1"/>
      <w:numFmt w:val="decimal"/>
      <w:pStyle w:val="Heading2"/>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706A39"/>
    <w:multiLevelType w:val="multilevel"/>
    <w:tmpl w:val="0C9E8EEA"/>
    <w:lvl w:ilvl="0">
      <w:start w:val="1"/>
      <w:numFmt w:val="decimal"/>
      <w:lvlText w:val="%1."/>
      <w:lvlJc w:val="left"/>
      <w:pPr>
        <w:ind w:left="720" w:hanging="720"/>
      </w:pPr>
      <w:rPr>
        <w:b/>
        <w:bCs/>
        <w:sz w:val="22"/>
      </w:rPr>
    </w:lvl>
    <w:lvl w:ilvl="1">
      <w:start w:val="1"/>
      <w:numFmt w:val="decimal"/>
      <w:lvlText w:val="%1.%2"/>
      <w:lvlJc w:val="left"/>
      <w:pPr>
        <w:tabs>
          <w:tab w:val="num" w:pos="-31396"/>
        </w:tabs>
        <w:ind w:left="1004" w:hanging="720"/>
      </w:pPr>
      <w:rPr>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D607EA"/>
    <w:multiLevelType w:val="multilevel"/>
    <w:tmpl w:val="E6B2FC6C"/>
    <w:lvl w:ilvl="0">
      <w:start w:val="1"/>
      <w:numFmt w:val="decimal"/>
      <w:lvlText w:val="%1."/>
      <w:lvlJc w:val="left"/>
      <w:pPr>
        <w:ind w:left="720" w:hanging="360"/>
      </w:pPr>
    </w:lvl>
    <w:lvl w:ilvl="1">
      <w:start w:val="4"/>
      <w:numFmt w:val="decimal"/>
      <w:isLgl/>
      <w:lvlText w:val="%1.%2"/>
      <w:lvlJc w:val="left"/>
      <w:pPr>
        <w:ind w:left="720" w:hanging="360"/>
      </w:pPr>
      <w:rPr>
        <w:sz w:val="22"/>
        <w:szCs w:val="22"/>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9" w15:restartNumberingAfterBreak="0">
    <w:nsid w:val="718A0F99"/>
    <w:multiLevelType w:val="multilevel"/>
    <w:tmpl w:val="64B4E7D0"/>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AD3252"/>
    <w:multiLevelType w:val="multilevel"/>
    <w:tmpl w:val="5F6AFFBE"/>
    <w:lvl w:ilvl="0">
      <w:start w:val="1"/>
      <w:numFmt w:val="bullet"/>
      <w:lvlText w:val=""/>
      <w:lvlJc w:val="left"/>
      <w:pPr>
        <w:tabs>
          <w:tab w:val="num" w:pos="1800"/>
        </w:tabs>
        <w:ind w:left="1800" w:hanging="360"/>
      </w:pPr>
      <w:rPr>
        <w:rFonts w:ascii="Symbol" w:hAnsi="Symbol" w:hint="default"/>
      </w:rPr>
    </w:lvl>
    <w:lvl w:ilvl="1">
      <w:start w:val="1"/>
      <w:numFmt w:val="lowerLetter"/>
      <w:lvlText w:val="%2."/>
      <w:lvlJc w:val="left"/>
      <w:pPr>
        <w:tabs>
          <w:tab w:val="num" w:pos="2520"/>
        </w:tabs>
        <w:ind w:left="2520" w:hanging="360"/>
      </w:pPr>
    </w:lvl>
    <w:lvl w:ilvl="2">
      <w:start w:val="1"/>
      <w:numFmt w:val="lowerLetter"/>
      <w:lvlText w:val="%3."/>
      <w:lvlJc w:val="left"/>
      <w:pPr>
        <w:tabs>
          <w:tab w:val="num" w:pos="3240"/>
        </w:tabs>
        <w:ind w:left="3240" w:hanging="360"/>
      </w:pPr>
    </w:lvl>
    <w:lvl w:ilvl="3">
      <w:start w:val="1"/>
      <w:numFmt w:val="lowerLetter"/>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Letter"/>
      <w:lvlText w:val="%6."/>
      <w:lvlJc w:val="left"/>
      <w:pPr>
        <w:tabs>
          <w:tab w:val="num" w:pos="5400"/>
        </w:tabs>
        <w:ind w:left="5400" w:hanging="360"/>
      </w:pPr>
    </w:lvl>
    <w:lvl w:ilvl="6">
      <w:start w:val="1"/>
      <w:numFmt w:val="lowerLetter"/>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Letter"/>
      <w:lvlText w:val="%9."/>
      <w:lvlJc w:val="left"/>
      <w:pPr>
        <w:tabs>
          <w:tab w:val="num" w:pos="7560"/>
        </w:tabs>
        <w:ind w:left="7560" w:hanging="360"/>
      </w:p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21"/>
  </w:num>
  <w:num w:numId="13">
    <w:abstractNumId w:val="16"/>
  </w:num>
  <w:num w:numId="14">
    <w:abstractNumId w:val="13"/>
  </w:num>
  <w:num w:numId="15">
    <w:abstractNumId w:val="21"/>
    <w:lvlOverride w:ilvl="0">
      <w:startOverride w:val="1"/>
    </w:lvlOverride>
  </w:num>
  <w:num w:numId="16">
    <w:abstractNumId w:val="16"/>
    <w:lvlOverride w:ilvl="0">
      <w:startOverride w:val="1"/>
    </w:lvlOverride>
  </w:num>
  <w:num w:numId="17">
    <w:abstractNumId w:val="13"/>
    <w:lvlOverride w:ilvl="0">
      <w:startOverride w:val="1"/>
    </w:lvlOverride>
  </w:num>
  <w:num w:numId="18">
    <w:abstractNumId w:val="19"/>
  </w:num>
  <w:num w:numId="19">
    <w:abstractNumId w:val="17"/>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2"/>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mailMerge>
    <w:mainDocumentType w:val="catalog"/>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11177"/>
    <w:rsid w:val="00014814"/>
    <w:rsid w:val="00022C0F"/>
    <w:rsid w:val="00024522"/>
    <w:rsid w:val="00024B2E"/>
    <w:rsid w:val="00027F4F"/>
    <w:rsid w:val="00030430"/>
    <w:rsid w:val="0003078E"/>
    <w:rsid w:val="00031B89"/>
    <w:rsid w:val="0003693D"/>
    <w:rsid w:val="0004440F"/>
    <w:rsid w:val="00052C8A"/>
    <w:rsid w:val="000548C8"/>
    <w:rsid w:val="00073496"/>
    <w:rsid w:val="00075605"/>
    <w:rsid w:val="00082879"/>
    <w:rsid w:val="00091EEA"/>
    <w:rsid w:val="000C2DDC"/>
    <w:rsid w:val="000D2FD4"/>
    <w:rsid w:val="000D7A42"/>
    <w:rsid w:val="000F1B7B"/>
    <w:rsid w:val="000F2ED4"/>
    <w:rsid w:val="001028E8"/>
    <w:rsid w:val="00122FCC"/>
    <w:rsid w:val="00126752"/>
    <w:rsid w:val="00130B30"/>
    <w:rsid w:val="00140E1C"/>
    <w:rsid w:val="00147AE4"/>
    <w:rsid w:val="001571E5"/>
    <w:rsid w:val="00177666"/>
    <w:rsid w:val="001849CA"/>
    <w:rsid w:val="00185410"/>
    <w:rsid w:val="00192352"/>
    <w:rsid w:val="001C4D63"/>
    <w:rsid w:val="001D0DE0"/>
    <w:rsid w:val="001D0FA7"/>
    <w:rsid w:val="001D5AFF"/>
    <w:rsid w:val="001D74B4"/>
    <w:rsid w:val="001E03E1"/>
    <w:rsid w:val="001F059F"/>
    <w:rsid w:val="00200811"/>
    <w:rsid w:val="00200CA1"/>
    <w:rsid w:val="0021338D"/>
    <w:rsid w:val="00214D43"/>
    <w:rsid w:val="002238B4"/>
    <w:rsid w:val="002319AB"/>
    <w:rsid w:val="002319AC"/>
    <w:rsid w:val="00234342"/>
    <w:rsid w:val="0024040D"/>
    <w:rsid w:val="00255FA3"/>
    <w:rsid w:val="00257288"/>
    <w:rsid w:val="002629F8"/>
    <w:rsid w:val="00263396"/>
    <w:rsid w:val="002659FA"/>
    <w:rsid w:val="00267815"/>
    <w:rsid w:val="00280DDF"/>
    <w:rsid w:val="00286A0C"/>
    <w:rsid w:val="002917FF"/>
    <w:rsid w:val="00292ADF"/>
    <w:rsid w:val="002A0DEC"/>
    <w:rsid w:val="002A1A36"/>
    <w:rsid w:val="002B1C53"/>
    <w:rsid w:val="002E0BE4"/>
    <w:rsid w:val="002E3E8A"/>
    <w:rsid w:val="002E6A6A"/>
    <w:rsid w:val="002F3397"/>
    <w:rsid w:val="0030380D"/>
    <w:rsid w:val="00312411"/>
    <w:rsid w:val="00323E71"/>
    <w:rsid w:val="003341FC"/>
    <w:rsid w:val="00346C8E"/>
    <w:rsid w:val="00367BD5"/>
    <w:rsid w:val="00375CA8"/>
    <w:rsid w:val="00390327"/>
    <w:rsid w:val="00393B78"/>
    <w:rsid w:val="003A01E9"/>
    <w:rsid w:val="003C0306"/>
    <w:rsid w:val="003C114C"/>
    <w:rsid w:val="003C465D"/>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2C89"/>
    <w:rsid w:val="004E3932"/>
    <w:rsid w:val="004E6CB0"/>
    <w:rsid w:val="004F1E79"/>
    <w:rsid w:val="004F5F33"/>
    <w:rsid w:val="0050103A"/>
    <w:rsid w:val="00511B0F"/>
    <w:rsid w:val="00526BCB"/>
    <w:rsid w:val="005357E8"/>
    <w:rsid w:val="0055388E"/>
    <w:rsid w:val="005754AE"/>
    <w:rsid w:val="00577FB5"/>
    <w:rsid w:val="005852D1"/>
    <w:rsid w:val="00587A22"/>
    <w:rsid w:val="0059299D"/>
    <w:rsid w:val="00595C8C"/>
    <w:rsid w:val="00597747"/>
    <w:rsid w:val="005A4CDD"/>
    <w:rsid w:val="005B57E4"/>
    <w:rsid w:val="005B5ABD"/>
    <w:rsid w:val="005C140A"/>
    <w:rsid w:val="005C6763"/>
    <w:rsid w:val="005D3164"/>
    <w:rsid w:val="005E0344"/>
    <w:rsid w:val="005E440B"/>
    <w:rsid w:val="005F2C85"/>
    <w:rsid w:val="00605ADB"/>
    <w:rsid w:val="00611C9F"/>
    <w:rsid w:val="00627555"/>
    <w:rsid w:val="006322A0"/>
    <w:rsid w:val="006361FD"/>
    <w:rsid w:val="0064226F"/>
    <w:rsid w:val="006529DB"/>
    <w:rsid w:val="00653298"/>
    <w:rsid w:val="0066127D"/>
    <w:rsid w:val="00663A7C"/>
    <w:rsid w:val="00667DF2"/>
    <w:rsid w:val="00670DF1"/>
    <w:rsid w:val="00671345"/>
    <w:rsid w:val="00672A9B"/>
    <w:rsid w:val="00675884"/>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70321D"/>
    <w:rsid w:val="007068BA"/>
    <w:rsid w:val="00716AB1"/>
    <w:rsid w:val="007176D9"/>
    <w:rsid w:val="00721D63"/>
    <w:rsid w:val="00732C7B"/>
    <w:rsid w:val="00734D2B"/>
    <w:rsid w:val="00737705"/>
    <w:rsid w:val="007408D4"/>
    <w:rsid w:val="007420AC"/>
    <w:rsid w:val="00742617"/>
    <w:rsid w:val="00767C12"/>
    <w:rsid w:val="00783AFA"/>
    <w:rsid w:val="00785427"/>
    <w:rsid w:val="00790540"/>
    <w:rsid w:val="007968CA"/>
    <w:rsid w:val="007A43FF"/>
    <w:rsid w:val="007B3918"/>
    <w:rsid w:val="007C3C1D"/>
    <w:rsid w:val="007D199A"/>
    <w:rsid w:val="007D2EBE"/>
    <w:rsid w:val="007E1C07"/>
    <w:rsid w:val="007F24B6"/>
    <w:rsid w:val="00803D94"/>
    <w:rsid w:val="008229BA"/>
    <w:rsid w:val="00845390"/>
    <w:rsid w:val="0084601B"/>
    <w:rsid w:val="008606F0"/>
    <w:rsid w:val="00865489"/>
    <w:rsid w:val="0086553D"/>
    <w:rsid w:val="00874FEB"/>
    <w:rsid w:val="0088054B"/>
    <w:rsid w:val="00881B6F"/>
    <w:rsid w:val="00882AA4"/>
    <w:rsid w:val="00883E22"/>
    <w:rsid w:val="00884E43"/>
    <w:rsid w:val="008872E2"/>
    <w:rsid w:val="00887EC6"/>
    <w:rsid w:val="0089084C"/>
    <w:rsid w:val="00893409"/>
    <w:rsid w:val="00893D9F"/>
    <w:rsid w:val="008A2379"/>
    <w:rsid w:val="008A4329"/>
    <w:rsid w:val="008A578E"/>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49A9"/>
    <w:rsid w:val="00936C52"/>
    <w:rsid w:val="0095489B"/>
    <w:rsid w:val="00966FB9"/>
    <w:rsid w:val="009671CD"/>
    <w:rsid w:val="009751A9"/>
    <w:rsid w:val="00980F9C"/>
    <w:rsid w:val="0098632B"/>
    <w:rsid w:val="00997BFB"/>
    <w:rsid w:val="009A7348"/>
    <w:rsid w:val="009B462C"/>
    <w:rsid w:val="009C15F3"/>
    <w:rsid w:val="009E07C2"/>
    <w:rsid w:val="009E0E52"/>
    <w:rsid w:val="009F72F9"/>
    <w:rsid w:val="00A00205"/>
    <w:rsid w:val="00A00AF0"/>
    <w:rsid w:val="00A14B5A"/>
    <w:rsid w:val="00A3567F"/>
    <w:rsid w:val="00A37698"/>
    <w:rsid w:val="00A41ED3"/>
    <w:rsid w:val="00A65CBC"/>
    <w:rsid w:val="00A81D82"/>
    <w:rsid w:val="00A93E33"/>
    <w:rsid w:val="00AB6758"/>
    <w:rsid w:val="00AB6970"/>
    <w:rsid w:val="00AC1939"/>
    <w:rsid w:val="00AC7C05"/>
    <w:rsid w:val="00AD167C"/>
    <w:rsid w:val="00AD17C7"/>
    <w:rsid w:val="00AD4041"/>
    <w:rsid w:val="00AE302B"/>
    <w:rsid w:val="00B14D32"/>
    <w:rsid w:val="00B259DF"/>
    <w:rsid w:val="00B44B1F"/>
    <w:rsid w:val="00B64141"/>
    <w:rsid w:val="00B64E72"/>
    <w:rsid w:val="00B77913"/>
    <w:rsid w:val="00B824FB"/>
    <w:rsid w:val="00B82646"/>
    <w:rsid w:val="00B968D2"/>
    <w:rsid w:val="00B97359"/>
    <w:rsid w:val="00B97A8F"/>
    <w:rsid w:val="00BA4E58"/>
    <w:rsid w:val="00BA7074"/>
    <w:rsid w:val="00BB7829"/>
    <w:rsid w:val="00BD1457"/>
    <w:rsid w:val="00BE2319"/>
    <w:rsid w:val="00BE2AD9"/>
    <w:rsid w:val="00BF27FE"/>
    <w:rsid w:val="00C043B3"/>
    <w:rsid w:val="00C079AB"/>
    <w:rsid w:val="00C10E61"/>
    <w:rsid w:val="00C12750"/>
    <w:rsid w:val="00C14787"/>
    <w:rsid w:val="00C1596D"/>
    <w:rsid w:val="00C15B8D"/>
    <w:rsid w:val="00C17010"/>
    <w:rsid w:val="00C20562"/>
    <w:rsid w:val="00C215C3"/>
    <w:rsid w:val="00C23A96"/>
    <w:rsid w:val="00C249C6"/>
    <w:rsid w:val="00C266AD"/>
    <w:rsid w:val="00C32CC1"/>
    <w:rsid w:val="00C426EC"/>
    <w:rsid w:val="00C6483C"/>
    <w:rsid w:val="00C64AE9"/>
    <w:rsid w:val="00C70CFF"/>
    <w:rsid w:val="00C718FE"/>
    <w:rsid w:val="00C8773D"/>
    <w:rsid w:val="00C87ABB"/>
    <w:rsid w:val="00C91831"/>
    <w:rsid w:val="00C953DF"/>
    <w:rsid w:val="00CE2709"/>
    <w:rsid w:val="00CE2D64"/>
    <w:rsid w:val="00CE6198"/>
    <w:rsid w:val="00CF6230"/>
    <w:rsid w:val="00D017FC"/>
    <w:rsid w:val="00D0226A"/>
    <w:rsid w:val="00D13147"/>
    <w:rsid w:val="00D5715A"/>
    <w:rsid w:val="00D64855"/>
    <w:rsid w:val="00D71687"/>
    <w:rsid w:val="00D74813"/>
    <w:rsid w:val="00DA30BC"/>
    <w:rsid w:val="00DA69C2"/>
    <w:rsid w:val="00DA6D70"/>
    <w:rsid w:val="00DB6050"/>
    <w:rsid w:val="00DC2261"/>
    <w:rsid w:val="00DC2C34"/>
    <w:rsid w:val="00DE2C87"/>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1E3D"/>
    <w:rsid w:val="00F0151C"/>
    <w:rsid w:val="00F40085"/>
    <w:rsid w:val="00F424D9"/>
    <w:rsid w:val="00F436BB"/>
    <w:rsid w:val="00F47145"/>
    <w:rsid w:val="00F545BF"/>
    <w:rsid w:val="00F71B56"/>
    <w:rsid w:val="00F832C8"/>
    <w:rsid w:val="00F873B3"/>
    <w:rsid w:val="00FA42B9"/>
    <w:rsid w:val="00FA755A"/>
    <w:rsid w:val="00FB1452"/>
    <w:rsid w:val="00FB2B0F"/>
    <w:rsid w:val="00FB4F6B"/>
    <w:rsid w:val="00FB5FE1"/>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A65CBC"/>
    <w:pPr>
      <w:keepNext/>
      <w:numPr>
        <w:numId w:val="21"/>
      </w:numPr>
      <w:spacing w:before="240"/>
      <w:ind w:left="851" w:hanging="851"/>
      <w:outlineLvl w:val="0"/>
    </w:pPr>
    <w:rPr>
      <w:color w:val="22413A"/>
      <w:sz w:val="48"/>
    </w:rPr>
  </w:style>
  <w:style w:type="paragraph" w:styleId="Heading2">
    <w:name w:val="heading 2"/>
    <w:basedOn w:val="Heading1"/>
    <w:next w:val="Normal"/>
    <w:link w:val="Heading2Char"/>
    <w:qFormat/>
    <w:rsid w:val="00C266AD"/>
    <w:pPr>
      <w:numPr>
        <w:ilvl w:val="1"/>
      </w:numPr>
      <w:ind w:left="851" w:hanging="851"/>
      <w:outlineLvl w:val="1"/>
    </w:pPr>
    <w:rPr>
      <w:sz w:val="36"/>
      <w:szCs w:val="16"/>
    </w:rPr>
  </w:style>
  <w:style w:type="paragraph" w:styleId="Heading3">
    <w:name w:val="heading 3"/>
    <w:basedOn w:val="Normal"/>
    <w:next w:val="Normal"/>
    <w:link w:val="Heading3Char"/>
    <w:qFormat/>
    <w:rsid w:val="00C215C3"/>
    <w:pPr>
      <w:keepNext/>
      <w:outlineLvl w:val="2"/>
    </w:pPr>
    <w:rPr>
      <w:iCs/>
      <w:color w:val="22413A"/>
      <w:sz w:val="28"/>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semiHidden/>
    <w:unhideWhenUsed/>
    <w:qFormat/>
    <w:rsid w:val="007176D9"/>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semiHidden/>
    <w:unhideWhenUsed/>
    <w:qFormat/>
    <w:rsid w:val="007176D9"/>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semiHidden/>
    <w:unhideWhenUsed/>
    <w:qFormat/>
    <w:rsid w:val="007176D9"/>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C266AD"/>
    <w:rPr>
      <w:rFonts w:ascii="Arial" w:hAnsi="Arial"/>
      <w:color w:val="22413A"/>
      <w:sz w:val="36"/>
      <w:szCs w:val="16"/>
      <w:lang w:eastAsia="en-US" w:bidi="he-IL"/>
    </w:rPr>
  </w:style>
  <w:style w:type="character" w:customStyle="1" w:styleId="Heading3Char">
    <w:name w:val="Heading 3 Char"/>
    <w:link w:val="Heading3"/>
    <w:rsid w:val="00C215C3"/>
    <w:rPr>
      <w:rFonts w:ascii="Arial" w:hAnsi="Arial"/>
      <w:iCs/>
      <w:color w:val="22413A"/>
      <w:sz w:val="28"/>
      <w:szCs w:val="2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A65CBC"/>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ListParagraph"/>
    <w:uiPriority w:val="1"/>
    <w:qFormat/>
    <w:rsid w:val="00C266AD"/>
    <w:pPr>
      <w:numPr>
        <w:numId w:val="23"/>
      </w:numPr>
      <w:ind w:left="851" w:hanging="851"/>
      <w:contextualSpacing w:val="0"/>
    </w:pPr>
  </w:style>
  <w:style w:type="paragraph" w:customStyle="1" w:styleId="NumList2">
    <w:name w:val="Num List 2"/>
    <w:basedOn w:val="Normal"/>
    <w:uiPriority w:val="1"/>
    <w:qFormat/>
    <w:rsid w:val="00F40085"/>
    <w:pPr>
      <w:numPr>
        <w:ilvl w:val="1"/>
        <w:numId w:val="18"/>
      </w:numPr>
      <w:ind w:left="1276"/>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table" w:customStyle="1" w:styleId="Style1">
    <w:name w:val="Style1"/>
    <w:basedOn w:val="TableNormal"/>
    <w:uiPriority w:val="99"/>
    <w:rsid w:val="00FB1452"/>
    <w:pPr>
      <w:spacing w:before="60" w:after="60"/>
    </w:pPr>
    <w:rPr>
      <w:rFonts w:ascii="Arial" w:eastAsia="Times New Roman" w:hAnsi="Arial" w:cs="Times New Roman"/>
      <w:sz w:val="24"/>
    </w:rPr>
    <w:tblPr>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Pr>
    <w:tblStylePr w:type="firstRow">
      <w:rPr>
        <w:rFonts w:ascii="Arial" w:hAnsi="Arial"/>
        <w:b/>
        <w:i w:val="0"/>
        <w:color w:val="FFFFFF" w:themeColor="background1"/>
        <w:sz w:val="24"/>
      </w:rPr>
      <w:tblPr/>
      <w:tcPr>
        <w:shd w:val="clear" w:color="auto" w:fill="006D68"/>
      </w:tcPr>
    </w:tblStylePr>
  </w:style>
  <w:style w:type="paragraph" w:customStyle="1" w:styleId="F12-TableFigureCaptions">
    <w:name w:val="F12 - Table/Figure Captions"/>
    <w:basedOn w:val="Caption"/>
    <w:link w:val="F12-TableFigureCaptionsChar"/>
    <w:qFormat/>
    <w:rsid w:val="00FB1452"/>
    <w:pPr>
      <w:keepNext/>
      <w:spacing w:before="240" w:line="264" w:lineRule="auto"/>
    </w:pPr>
    <w:rPr>
      <w:rFonts w:eastAsia="Times New Roman"/>
      <w:color w:val="auto"/>
      <w:lang w:bidi="ar-SA"/>
    </w:rPr>
  </w:style>
  <w:style w:type="character" w:customStyle="1" w:styleId="F12-TableFigureCaptionsChar">
    <w:name w:val="F12 - Table/Figure Captions Char"/>
    <w:basedOn w:val="DefaultParagraphFont"/>
    <w:link w:val="F12-TableFigureCaptions"/>
    <w:rsid w:val="00FB1452"/>
    <w:rPr>
      <w:rFonts w:ascii="Arial" w:eastAsia="Times New Roman" w:hAnsi="Arial"/>
      <w:b/>
      <w:bCs/>
      <w:sz w:val="22"/>
      <w:szCs w:val="22"/>
      <w:lang w:eastAsia="en-US"/>
    </w:rPr>
  </w:style>
  <w:style w:type="character" w:customStyle="1" w:styleId="Heading7Char">
    <w:name w:val="Heading 7 Char"/>
    <w:basedOn w:val="DefaultParagraphFont"/>
    <w:link w:val="Heading7"/>
    <w:semiHidden/>
    <w:rsid w:val="007176D9"/>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semiHidden/>
    <w:rsid w:val="007176D9"/>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semiHidden/>
    <w:rsid w:val="007176D9"/>
    <w:rPr>
      <w:rFonts w:ascii="Arial" w:eastAsia="Times New Roman" w:hAnsi="Arial"/>
      <w:sz w:val="22"/>
      <w:szCs w:val="22"/>
      <w:lang w:eastAsia="en-US"/>
    </w:rPr>
  </w:style>
  <w:style w:type="paragraph" w:customStyle="1" w:styleId="TSHeadingNumbered1">
    <w:name w:val="TS Heading Numbered 1"/>
    <w:basedOn w:val="Normal"/>
    <w:rsid w:val="007176D9"/>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176D9"/>
    <w:pPr>
      <w:tabs>
        <w:tab w:val="num" w:pos="-31396"/>
      </w:tabs>
    </w:pPr>
  </w:style>
  <w:style w:type="paragraph" w:customStyle="1" w:styleId="TSHeadingNumbered111">
    <w:name w:val="TS Heading Numbered 1.1.1"/>
    <w:basedOn w:val="TSHeadingNumbered1"/>
    <w:rsid w:val="007176D9"/>
  </w:style>
  <w:style w:type="paragraph" w:customStyle="1" w:styleId="TSHeadingNumbered1111">
    <w:name w:val="TS Heading Numbered 1.1.1.1"/>
    <w:basedOn w:val="TSHeadingNumbered1"/>
    <w:rsid w:val="007176D9"/>
  </w:style>
  <w:style w:type="paragraph" w:customStyle="1" w:styleId="TSNumberedParagraph11">
    <w:name w:val="TS Numbered Paragraph 1.1"/>
    <w:basedOn w:val="TSHeadingNumbered11"/>
    <w:rsid w:val="00C266AD"/>
    <w:pPr>
      <w:numPr>
        <w:ilvl w:val="1"/>
        <w:numId w:val="1"/>
      </w:numPr>
      <w:tabs>
        <w:tab w:val="num" w:pos="-31680"/>
      </w:tabs>
      <w:ind w:left="720"/>
    </w:pPr>
    <w:rPr>
      <w:rFonts w:ascii="Arial" w:hAnsi="Arial"/>
      <w:b w:val="0"/>
      <w:caps w:val="0"/>
    </w:rPr>
  </w:style>
  <w:style w:type="character" w:styleId="Strong">
    <w:name w:val="Strong"/>
    <w:qFormat/>
    <w:rsid w:val="008872E2"/>
    <w:rPr>
      <w:rFonts w:ascii="Arial" w:hAnsi="Arial" w:cs="Arial" w:hint="default"/>
      <w:b/>
      <w:bCs/>
      <w:sz w:val="22"/>
    </w:rPr>
  </w:style>
  <w:style w:type="paragraph" w:styleId="NormalWeb">
    <w:name w:val="Normal (Web)"/>
    <w:basedOn w:val="Normal"/>
    <w:semiHidden/>
    <w:unhideWhenUsed/>
    <w:rsid w:val="008872E2"/>
    <w:pPr>
      <w:spacing w:after="120" w:line="240" w:lineRule="auto"/>
    </w:pPr>
    <w:rPr>
      <w:rFonts w:eastAsia="Times New Roman"/>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22510">
      <w:bodyDiv w:val="1"/>
      <w:marLeft w:val="0"/>
      <w:marRight w:val="0"/>
      <w:marTop w:val="0"/>
      <w:marBottom w:val="0"/>
      <w:divBdr>
        <w:top w:val="none" w:sz="0" w:space="0" w:color="auto"/>
        <w:left w:val="none" w:sz="0" w:space="0" w:color="auto"/>
        <w:bottom w:val="none" w:sz="0" w:space="0" w:color="auto"/>
        <w:right w:val="none" w:sz="0" w:space="0" w:color="auto"/>
      </w:divBdr>
    </w:div>
    <w:div w:id="38404191">
      <w:bodyDiv w:val="1"/>
      <w:marLeft w:val="0"/>
      <w:marRight w:val="0"/>
      <w:marTop w:val="0"/>
      <w:marBottom w:val="0"/>
      <w:divBdr>
        <w:top w:val="none" w:sz="0" w:space="0" w:color="auto"/>
        <w:left w:val="none" w:sz="0" w:space="0" w:color="auto"/>
        <w:bottom w:val="none" w:sz="0" w:space="0" w:color="auto"/>
        <w:right w:val="none" w:sz="0" w:space="0" w:color="auto"/>
      </w:divBdr>
    </w:div>
    <w:div w:id="59835041">
      <w:bodyDiv w:val="1"/>
      <w:marLeft w:val="0"/>
      <w:marRight w:val="0"/>
      <w:marTop w:val="0"/>
      <w:marBottom w:val="0"/>
      <w:divBdr>
        <w:top w:val="none" w:sz="0" w:space="0" w:color="auto"/>
        <w:left w:val="none" w:sz="0" w:space="0" w:color="auto"/>
        <w:bottom w:val="none" w:sz="0" w:space="0" w:color="auto"/>
        <w:right w:val="none" w:sz="0" w:space="0" w:color="auto"/>
      </w:divBdr>
    </w:div>
    <w:div w:id="7563906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5564521">
      <w:bodyDiv w:val="1"/>
      <w:marLeft w:val="0"/>
      <w:marRight w:val="0"/>
      <w:marTop w:val="0"/>
      <w:marBottom w:val="0"/>
      <w:divBdr>
        <w:top w:val="none" w:sz="0" w:space="0" w:color="auto"/>
        <w:left w:val="none" w:sz="0" w:space="0" w:color="auto"/>
        <w:bottom w:val="none" w:sz="0" w:space="0" w:color="auto"/>
        <w:right w:val="none" w:sz="0" w:space="0" w:color="auto"/>
      </w:divBdr>
    </w:div>
    <w:div w:id="100612461">
      <w:bodyDiv w:val="1"/>
      <w:marLeft w:val="0"/>
      <w:marRight w:val="0"/>
      <w:marTop w:val="0"/>
      <w:marBottom w:val="0"/>
      <w:divBdr>
        <w:top w:val="none" w:sz="0" w:space="0" w:color="auto"/>
        <w:left w:val="none" w:sz="0" w:space="0" w:color="auto"/>
        <w:bottom w:val="none" w:sz="0" w:space="0" w:color="auto"/>
        <w:right w:val="none" w:sz="0" w:space="0" w:color="auto"/>
      </w:divBdr>
    </w:div>
    <w:div w:id="103698835">
      <w:bodyDiv w:val="1"/>
      <w:marLeft w:val="0"/>
      <w:marRight w:val="0"/>
      <w:marTop w:val="0"/>
      <w:marBottom w:val="0"/>
      <w:divBdr>
        <w:top w:val="none" w:sz="0" w:space="0" w:color="auto"/>
        <w:left w:val="none" w:sz="0" w:space="0" w:color="auto"/>
        <w:bottom w:val="none" w:sz="0" w:space="0" w:color="auto"/>
        <w:right w:val="none" w:sz="0" w:space="0" w:color="auto"/>
      </w:divBdr>
    </w:div>
    <w:div w:id="108858335">
      <w:bodyDiv w:val="1"/>
      <w:marLeft w:val="0"/>
      <w:marRight w:val="0"/>
      <w:marTop w:val="0"/>
      <w:marBottom w:val="0"/>
      <w:divBdr>
        <w:top w:val="none" w:sz="0" w:space="0" w:color="auto"/>
        <w:left w:val="none" w:sz="0" w:space="0" w:color="auto"/>
        <w:bottom w:val="none" w:sz="0" w:space="0" w:color="auto"/>
        <w:right w:val="none" w:sz="0" w:space="0" w:color="auto"/>
      </w:divBdr>
    </w:div>
    <w:div w:id="115881059">
      <w:bodyDiv w:val="1"/>
      <w:marLeft w:val="0"/>
      <w:marRight w:val="0"/>
      <w:marTop w:val="0"/>
      <w:marBottom w:val="0"/>
      <w:divBdr>
        <w:top w:val="none" w:sz="0" w:space="0" w:color="auto"/>
        <w:left w:val="none" w:sz="0" w:space="0" w:color="auto"/>
        <w:bottom w:val="none" w:sz="0" w:space="0" w:color="auto"/>
        <w:right w:val="none" w:sz="0" w:space="0" w:color="auto"/>
      </w:divBdr>
    </w:div>
    <w:div w:id="169874020">
      <w:bodyDiv w:val="1"/>
      <w:marLeft w:val="0"/>
      <w:marRight w:val="0"/>
      <w:marTop w:val="0"/>
      <w:marBottom w:val="0"/>
      <w:divBdr>
        <w:top w:val="none" w:sz="0" w:space="0" w:color="auto"/>
        <w:left w:val="none" w:sz="0" w:space="0" w:color="auto"/>
        <w:bottom w:val="none" w:sz="0" w:space="0" w:color="auto"/>
        <w:right w:val="none" w:sz="0" w:space="0" w:color="auto"/>
      </w:divBdr>
    </w:div>
    <w:div w:id="18475115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4657939">
      <w:bodyDiv w:val="1"/>
      <w:marLeft w:val="0"/>
      <w:marRight w:val="0"/>
      <w:marTop w:val="0"/>
      <w:marBottom w:val="0"/>
      <w:divBdr>
        <w:top w:val="none" w:sz="0" w:space="0" w:color="auto"/>
        <w:left w:val="none" w:sz="0" w:space="0" w:color="auto"/>
        <w:bottom w:val="none" w:sz="0" w:space="0" w:color="auto"/>
        <w:right w:val="none" w:sz="0" w:space="0" w:color="auto"/>
      </w:divBdr>
    </w:div>
    <w:div w:id="215505394">
      <w:bodyDiv w:val="1"/>
      <w:marLeft w:val="0"/>
      <w:marRight w:val="0"/>
      <w:marTop w:val="0"/>
      <w:marBottom w:val="0"/>
      <w:divBdr>
        <w:top w:val="none" w:sz="0" w:space="0" w:color="auto"/>
        <w:left w:val="none" w:sz="0" w:space="0" w:color="auto"/>
        <w:bottom w:val="none" w:sz="0" w:space="0" w:color="auto"/>
        <w:right w:val="none" w:sz="0" w:space="0" w:color="auto"/>
      </w:divBdr>
    </w:div>
    <w:div w:id="221646940">
      <w:bodyDiv w:val="1"/>
      <w:marLeft w:val="0"/>
      <w:marRight w:val="0"/>
      <w:marTop w:val="0"/>
      <w:marBottom w:val="0"/>
      <w:divBdr>
        <w:top w:val="none" w:sz="0" w:space="0" w:color="auto"/>
        <w:left w:val="none" w:sz="0" w:space="0" w:color="auto"/>
        <w:bottom w:val="none" w:sz="0" w:space="0" w:color="auto"/>
        <w:right w:val="none" w:sz="0" w:space="0" w:color="auto"/>
      </w:divBdr>
    </w:div>
    <w:div w:id="286788283">
      <w:bodyDiv w:val="1"/>
      <w:marLeft w:val="0"/>
      <w:marRight w:val="0"/>
      <w:marTop w:val="0"/>
      <w:marBottom w:val="0"/>
      <w:divBdr>
        <w:top w:val="none" w:sz="0" w:space="0" w:color="auto"/>
        <w:left w:val="none" w:sz="0" w:space="0" w:color="auto"/>
        <w:bottom w:val="none" w:sz="0" w:space="0" w:color="auto"/>
        <w:right w:val="none" w:sz="0" w:space="0" w:color="auto"/>
      </w:divBdr>
    </w:div>
    <w:div w:id="315767002">
      <w:bodyDiv w:val="1"/>
      <w:marLeft w:val="0"/>
      <w:marRight w:val="0"/>
      <w:marTop w:val="0"/>
      <w:marBottom w:val="0"/>
      <w:divBdr>
        <w:top w:val="none" w:sz="0" w:space="0" w:color="auto"/>
        <w:left w:val="none" w:sz="0" w:space="0" w:color="auto"/>
        <w:bottom w:val="none" w:sz="0" w:space="0" w:color="auto"/>
        <w:right w:val="none" w:sz="0" w:space="0" w:color="auto"/>
      </w:divBdr>
    </w:div>
    <w:div w:id="32817102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8796591">
      <w:bodyDiv w:val="1"/>
      <w:marLeft w:val="0"/>
      <w:marRight w:val="0"/>
      <w:marTop w:val="0"/>
      <w:marBottom w:val="0"/>
      <w:divBdr>
        <w:top w:val="none" w:sz="0" w:space="0" w:color="auto"/>
        <w:left w:val="none" w:sz="0" w:space="0" w:color="auto"/>
        <w:bottom w:val="none" w:sz="0" w:space="0" w:color="auto"/>
        <w:right w:val="none" w:sz="0" w:space="0" w:color="auto"/>
      </w:divBdr>
    </w:div>
    <w:div w:id="367487938">
      <w:bodyDiv w:val="1"/>
      <w:marLeft w:val="0"/>
      <w:marRight w:val="0"/>
      <w:marTop w:val="0"/>
      <w:marBottom w:val="0"/>
      <w:divBdr>
        <w:top w:val="none" w:sz="0" w:space="0" w:color="auto"/>
        <w:left w:val="none" w:sz="0" w:space="0" w:color="auto"/>
        <w:bottom w:val="none" w:sz="0" w:space="0" w:color="auto"/>
        <w:right w:val="none" w:sz="0" w:space="0" w:color="auto"/>
      </w:divBdr>
    </w:div>
    <w:div w:id="41393732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30810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2078163">
      <w:bodyDiv w:val="1"/>
      <w:marLeft w:val="0"/>
      <w:marRight w:val="0"/>
      <w:marTop w:val="0"/>
      <w:marBottom w:val="0"/>
      <w:divBdr>
        <w:top w:val="none" w:sz="0" w:space="0" w:color="auto"/>
        <w:left w:val="none" w:sz="0" w:space="0" w:color="auto"/>
        <w:bottom w:val="none" w:sz="0" w:space="0" w:color="auto"/>
        <w:right w:val="none" w:sz="0" w:space="0" w:color="auto"/>
      </w:divBdr>
    </w:div>
    <w:div w:id="559560046">
      <w:bodyDiv w:val="1"/>
      <w:marLeft w:val="0"/>
      <w:marRight w:val="0"/>
      <w:marTop w:val="0"/>
      <w:marBottom w:val="0"/>
      <w:divBdr>
        <w:top w:val="none" w:sz="0" w:space="0" w:color="auto"/>
        <w:left w:val="none" w:sz="0" w:space="0" w:color="auto"/>
        <w:bottom w:val="none" w:sz="0" w:space="0" w:color="auto"/>
        <w:right w:val="none" w:sz="0" w:space="0" w:color="auto"/>
      </w:divBdr>
    </w:div>
    <w:div w:id="574363496">
      <w:bodyDiv w:val="1"/>
      <w:marLeft w:val="0"/>
      <w:marRight w:val="0"/>
      <w:marTop w:val="0"/>
      <w:marBottom w:val="0"/>
      <w:divBdr>
        <w:top w:val="none" w:sz="0" w:space="0" w:color="auto"/>
        <w:left w:val="none" w:sz="0" w:space="0" w:color="auto"/>
        <w:bottom w:val="none" w:sz="0" w:space="0" w:color="auto"/>
        <w:right w:val="none" w:sz="0" w:space="0" w:color="auto"/>
      </w:divBdr>
    </w:div>
    <w:div w:id="585042557">
      <w:bodyDiv w:val="1"/>
      <w:marLeft w:val="0"/>
      <w:marRight w:val="0"/>
      <w:marTop w:val="0"/>
      <w:marBottom w:val="0"/>
      <w:divBdr>
        <w:top w:val="none" w:sz="0" w:space="0" w:color="auto"/>
        <w:left w:val="none" w:sz="0" w:space="0" w:color="auto"/>
        <w:bottom w:val="none" w:sz="0" w:space="0" w:color="auto"/>
        <w:right w:val="none" w:sz="0" w:space="0" w:color="auto"/>
      </w:divBdr>
    </w:div>
    <w:div w:id="620844838">
      <w:bodyDiv w:val="1"/>
      <w:marLeft w:val="0"/>
      <w:marRight w:val="0"/>
      <w:marTop w:val="0"/>
      <w:marBottom w:val="0"/>
      <w:divBdr>
        <w:top w:val="none" w:sz="0" w:space="0" w:color="auto"/>
        <w:left w:val="none" w:sz="0" w:space="0" w:color="auto"/>
        <w:bottom w:val="none" w:sz="0" w:space="0" w:color="auto"/>
        <w:right w:val="none" w:sz="0" w:space="0" w:color="auto"/>
      </w:divBdr>
    </w:div>
    <w:div w:id="663246712">
      <w:bodyDiv w:val="1"/>
      <w:marLeft w:val="0"/>
      <w:marRight w:val="0"/>
      <w:marTop w:val="0"/>
      <w:marBottom w:val="0"/>
      <w:divBdr>
        <w:top w:val="none" w:sz="0" w:space="0" w:color="auto"/>
        <w:left w:val="none" w:sz="0" w:space="0" w:color="auto"/>
        <w:bottom w:val="none" w:sz="0" w:space="0" w:color="auto"/>
        <w:right w:val="none" w:sz="0" w:space="0" w:color="auto"/>
      </w:divBdr>
    </w:div>
    <w:div w:id="680280906">
      <w:bodyDiv w:val="1"/>
      <w:marLeft w:val="0"/>
      <w:marRight w:val="0"/>
      <w:marTop w:val="0"/>
      <w:marBottom w:val="0"/>
      <w:divBdr>
        <w:top w:val="none" w:sz="0" w:space="0" w:color="auto"/>
        <w:left w:val="none" w:sz="0" w:space="0" w:color="auto"/>
        <w:bottom w:val="none" w:sz="0" w:space="0" w:color="auto"/>
        <w:right w:val="none" w:sz="0" w:space="0" w:color="auto"/>
      </w:divBdr>
    </w:div>
    <w:div w:id="683212970">
      <w:bodyDiv w:val="1"/>
      <w:marLeft w:val="0"/>
      <w:marRight w:val="0"/>
      <w:marTop w:val="0"/>
      <w:marBottom w:val="0"/>
      <w:divBdr>
        <w:top w:val="none" w:sz="0" w:space="0" w:color="auto"/>
        <w:left w:val="none" w:sz="0" w:space="0" w:color="auto"/>
        <w:bottom w:val="none" w:sz="0" w:space="0" w:color="auto"/>
        <w:right w:val="none" w:sz="0" w:space="0" w:color="auto"/>
      </w:divBdr>
    </w:div>
    <w:div w:id="691876270">
      <w:bodyDiv w:val="1"/>
      <w:marLeft w:val="0"/>
      <w:marRight w:val="0"/>
      <w:marTop w:val="0"/>
      <w:marBottom w:val="0"/>
      <w:divBdr>
        <w:top w:val="none" w:sz="0" w:space="0" w:color="auto"/>
        <w:left w:val="none" w:sz="0" w:space="0" w:color="auto"/>
        <w:bottom w:val="none" w:sz="0" w:space="0" w:color="auto"/>
        <w:right w:val="none" w:sz="0" w:space="0" w:color="auto"/>
      </w:divBdr>
    </w:div>
    <w:div w:id="717172016">
      <w:bodyDiv w:val="1"/>
      <w:marLeft w:val="0"/>
      <w:marRight w:val="0"/>
      <w:marTop w:val="0"/>
      <w:marBottom w:val="0"/>
      <w:divBdr>
        <w:top w:val="none" w:sz="0" w:space="0" w:color="auto"/>
        <w:left w:val="none" w:sz="0" w:space="0" w:color="auto"/>
        <w:bottom w:val="none" w:sz="0" w:space="0" w:color="auto"/>
        <w:right w:val="none" w:sz="0" w:space="0" w:color="auto"/>
      </w:divBdr>
    </w:div>
    <w:div w:id="728189817">
      <w:bodyDiv w:val="1"/>
      <w:marLeft w:val="0"/>
      <w:marRight w:val="0"/>
      <w:marTop w:val="0"/>
      <w:marBottom w:val="0"/>
      <w:divBdr>
        <w:top w:val="none" w:sz="0" w:space="0" w:color="auto"/>
        <w:left w:val="none" w:sz="0" w:space="0" w:color="auto"/>
        <w:bottom w:val="none" w:sz="0" w:space="0" w:color="auto"/>
        <w:right w:val="none" w:sz="0" w:space="0" w:color="auto"/>
      </w:divBdr>
    </w:div>
    <w:div w:id="771437687">
      <w:bodyDiv w:val="1"/>
      <w:marLeft w:val="0"/>
      <w:marRight w:val="0"/>
      <w:marTop w:val="0"/>
      <w:marBottom w:val="0"/>
      <w:divBdr>
        <w:top w:val="none" w:sz="0" w:space="0" w:color="auto"/>
        <w:left w:val="none" w:sz="0" w:space="0" w:color="auto"/>
        <w:bottom w:val="none" w:sz="0" w:space="0" w:color="auto"/>
        <w:right w:val="none" w:sz="0" w:space="0" w:color="auto"/>
      </w:divBdr>
    </w:div>
    <w:div w:id="774667684">
      <w:bodyDiv w:val="1"/>
      <w:marLeft w:val="0"/>
      <w:marRight w:val="0"/>
      <w:marTop w:val="0"/>
      <w:marBottom w:val="0"/>
      <w:divBdr>
        <w:top w:val="none" w:sz="0" w:space="0" w:color="auto"/>
        <w:left w:val="none" w:sz="0" w:space="0" w:color="auto"/>
        <w:bottom w:val="none" w:sz="0" w:space="0" w:color="auto"/>
        <w:right w:val="none" w:sz="0" w:space="0" w:color="auto"/>
      </w:divBdr>
    </w:div>
    <w:div w:id="796994122">
      <w:bodyDiv w:val="1"/>
      <w:marLeft w:val="0"/>
      <w:marRight w:val="0"/>
      <w:marTop w:val="0"/>
      <w:marBottom w:val="0"/>
      <w:divBdr>
        <w:top w:val="none" w:sz="0" w:space="0" w:color="auto"/>
        <w:left w:val="none" w:sz="0" w:space="0" w:color="auto"/>
        <w:bottom w:val="none" w:sz="0" w:space="0" w:color="auto"/>
        <w:right w:val="none" w:sz="0" w:space="0" w:color="auto"/>
      </w:divBdr>
    </w:div>
    <w:div w:id="806777661">
      <w:bodyDiv w:val="1"/>
      <w:marLeft w:val="0"/>
      <w:marRight w:val="0"/>
      <w:marTop w:val="0"/>
      <w:marBottom w:val="0"/>
      <w:divBdr>
        <w:top w:val="none" w:sz="0" w:space="0" w:color="auto"/>
        <w:left w:val="none" w:sz="0" w:space="0" w:color="auto"/>
        <w:bottom w:val="none" w:sz="0" w:space="0" w:color="auto"/>
        <w:right w:val="none" w:sz="0" w:space="0" w:color="auto"/>
      </w:divBdr>
    </w:div>
    <w:div w:id="915361046">
      <w:bodyDiv w:val="1"/>
      <w:marLeft w:val="0"/>
      <w:marRight w:val="0"/>
      <w:marTop w:val="0"/>
      <w:marBottom w:val="0"/>
      <w:divBdr>
        <w:top w:val="none" w:sz="0" w:space="0" w:color="auto"/>
        <w:left w:val="none" w:sz="0" w:space="0" w:color="auto"/>
        <w:bottom w:val="none" w:sz="0" w:space="0" w:color="auto"/>
        <w:right w:val="none" w:sz="0" w:space="0" w:color="auto"/>
      </w:divBdr>
    </w:div>
    <w:div w:id="925915945">
      <w:bodyDiv w:val="1"/>
      <w:marLeft w:val="0"/>
      <w:marRight w:val="0"/>
      <w:marTop w:val="0"/>
      <w:marBottom w:val="0"/>
      <w:divBdr>
        <w:top w:val="none" w:sz="0" w:space="0" w:color="auto"/>
        <w:left w:val="none" w:sz="0" w:space="0" w:color="auto"/>
        <w:bottom w:val="none" w:sz="0" w:space="0" w:color="auto"/>
        <w:right w:val="none" w:sz="0" w:space="0" w:color="auto"/>
      </w:divBdr>
    </w:div>
    <w:div w:id="93574712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00162688">
      <w:bodyDiv w:val="1"/>
      <w:marLeft w:val="0"/>
      <w:marRight w:val="0"/>
      <w:marTop w:val="0"/>
      <w:marBottom w:val="0"/>
      <w:divBdr>
        <w:top w:val="none" w:sz="0" w:space="0" w:color="auto"/>
        <w:left w:val="none" w:sz="0" w:space="0" w:color="auto"/>
        <w:bottom w:val="none" w:sz="0" w:space="0" w:color="auto"/>
        <w:right w:val="none" w:sz="0" w:space="0" w:color="auto"/>
      </w:divBdr>
    </w:div>
    <w:div w:id="1012149071">
      <w:bodyDiv w:val="1"/>
      <w:marLeft w:val="0"/>
      <w:marRight w:val="0"/>
      <w:marTop w:val="0"/>
      <w:marBottom w:val="0"/>
      <w:divBdr>
        <w:top w:val="none" w:sz="0" w:space="0" w:color="auto"/>
        <w:left w:val="none" w:sz="0" w:space="0" w:color="auto"/>
        <w:bottom w:val="none" w:sz="0" w:space="0" w:color="auto"/>
        <w:right w:val="none" w:sz="0" w:space="0" w:color="auto"/>
      </w:divBdr>
    </w:div>
    <w:div w:id="1014573524">
      <w:bodyDiv w:val="1"/>
      <w:marLeft w:val="0"/>
      <w:marRight w:val="0"/>
      <w:marTop w:val="0"/>
      <w:marBottom w:val="0"/>
      <w:divBdr>
        <w:top w:val="none" w:sz="0" w:space="0" w:color="auto"/>
        <w:left w:val="none" w:sz="0" w:space="0" w:color="auto"/>
        <w:bottom w:val="none" w:sz="0" w:space="0" w:color="auto"/>
        <w:right w:val="none" w:sz="0" w:space="0" w:color="auto"/>
      </w:divBdr>
    </w:div>
    <w:div w:id="1024163539">
      <w:bodyDiv w:val="1"/>
      <w:marLeft w:val="0"/>
      <w:marRight w:val="0"/>
      <w:marTop w:val="0"/>
      <w:marBottom w:val="0"/>
      <w:divBdr>
        <w:top w:val="none" w:sz="0" w:space="0" w:color="auto"/>
        <w:left w:val="none" w:sz="0" w:space="0" w:color="auto"/>
        <w:bottom w:val="none" w:sz="0" w:space="0" w:color="auto"/>
        <w:right w:val="none" w:sz="0" w:space="0" w:color="auto"/>
      </w:divBdr>
    </w:div>
    <w:div w:id="1024289704">
      <w:bodyDiv w:val="1"/>
      <w:marLeft w:val="0"/>
      <w:marRight w:val="0"/>
      <w:marTop w:val="0"/>
      <w:marBottom w:val="0"/>
      <w:divBdr>
        <w:top w:val="none" w:sz="0" w:space="0" w:color="auto"/>
        <w:left w:val="none" w:sz="0" w:space="0" w:color="auto"/>
        <w:bottom w:val="none" w:sz="0" w:space="0" w:color="auto"/>
        <w:right w:val="none" w:sz="0" w:space="0" w:color="auto"/>
      </w:divBdr>
    </w:div>
    <w:div w:id="1041125927">
      <w:bodyDiv w:val="1"/>
      <w:marLeft w:val="0"/>
      <w:marRight w:val="0"/>
      <w:marTop w:val="0"/>
      <w:marBottom w:val="0"/>
      <w:divBdr>
        <w:top w:val="none" w:sz="0" w:space="0" w:color="auto"/>
        <w:left w:val="none" w:sz="0" w:space="0" w:color="auto"/>
        <w:bottom w:val="none" w:sz="0" w:space="0" w:color="auto"/>
        <w:right w:val="none" w:sz="0" w:space="0" w:color="auto"/>
      </w:divBdr>
    </w:div>
    <w:div w:id="1048991339">
      <w:bodyDiv w:val="1"/>
      <w:marLeft w:val="0"/>
      <w:marRight w:val="0"/>
      <w:marTop w:val="0"/>
      <w:marBottom w:val="0"/>
      <w:divBdr>
        <w:top w:val="none" w:sz="0" w:space="0" w:color="auto"/>
        <w:left w:val="none" w:sz="0" w:space="0" w:color="auto"/>
        <w:bottom w:val="none" w:sz="0" w:space="0" w:color="auto"/>
        <w:right w:val="none" w:sz="0" w:space="0" w:color="auto"/>
      </w:divBdr>
    </w:div>
    <w:div w:id="1056662235">
      <w:bodyDiv w:val="1"/>
      <w:marLeft w:val="0"/>
      <w:marRight w:val="0"/>
      <w:marTop w:val="0"/>
      <w:marBottom w:val="0"/>
      <w:divBdr>
        <w:top w:val="none" w:sz="0" w:space="0" w:color="auto"/>
        <w:left w:val="none" w:sz="0" w:space="0" w:color="auto"/>
        <w:bottom w:val="none" w:sz="0" w:space="0" w:color="auto"/>
        <w:right w:val="none" w:sz="0" w:space="0" w:color="auto"/>
      </w:divBdr>
    </w:div>
    <w:div w:id="1075207112">
      <w:bodyDiv w:val="1"/>
      <w:marLeft w:val="0"/>
      <w:marRight w:val="0"/>
      <w:marTop w:val="0"/>
      <w:marBottom w:val="0"/>
      <w:divBdr>
        <w:top w:val="none" w:sz="0" w:space="0" w:color="auto"/>
        <w:left w:val="none" w:sz="0" w:space="0" w:color="auto"/>
        <w:bottom w:val="none" w:sz="0" w:space="0" w:color="auto"/>
        <w:right w:val="none" w:sz="0" w:space="0" w:color="auto"/>
      </w:divBdr>
    </w:div>
    <w:div w:id="112469139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4830540">
      <w:bodyDiv w:val="1"/>
      <w:marLeft w:val="0"/>
      <w:marRight w:val="0"/>
      <w:marTop w:val="0"/>
      <w:marBottom w:val="0"/>
      <w:divBdr>
        <w:top w:val="none" w:sz="0" w:space="0" w:color="auto"/>
        <w:left w:val="none" w:sz="0" w:space="0" w:color="auto"/>
        <w:bottom w:val="none" w:sz="0" w:space="0" w:color="auto"/>
        <w:right w:val="none" w:sz="0" w:space="0" w:color="auto"/>
      </w:divBdr>
    </w:div>
    <w:div w:id="1190265399">
      <w:bodyDiv w:val="1"/>
      <w:marLeft w:val="0"/>
      <w:marRight w:val="0"/>
      <w:marTop w:val="0"/>
      <w:marBottom w:val="0"/>
      <w:divBdr>
        <w:top w:val="none" w:sz="0" w:space="0" w:color="auto"/>
        <w:left w:val="none" w:sz="0" w:space="0" w:color="auto"/>
        <w:bottom w:val="none" w:sz="0" w:space="0" w:color="auto"/>
        <w:right w:val="none" w:sz="0" w:space="0" w:color="auto"/>
      </w:divBdr>
    </w:div>
    <w:div w:id="1243611486">
      <w:bodyDiv w:val="1"/>
      <w:marLeft w:val="0"/>
      <w:marRight w:val="0"/>
      <w:marTop w:val="0"/>
      <w:marBottom w:val="0"/>
      <w:divBdr>
        <w:top w:val="none" w:sz="0" w:space="0" w:color="auto"/>
        <w:left w:val="none" w:sz="0" w:space="0" w:color="auto"/>
        <w:bottom w:val="none" w:sz="0" w:space="0" w:color="auto"/>
        <w:right w:val="none" w:sz="0" w:space="0" w:color="auto"/>
      </w:divBdr>
    </w:div>
    <w:div w:id="1248922793">
      <w:bodyDiv w:val="1"/>
      <w:marLeft w:val="0"/>
      <w:marRight w:val="0"/>
      <w:marTop w:val="0"/>
      <w:marBottom w:val="0"/>
      <w:divBdr>
        <w:top w:val="none" w:sz="0" w:space="0" w:color="auto"/>
        <w:left w:val="none" w:sz="0" w:space="0" w:color="auto"/>
        <w:bottom w:val="none" w:sz="0" w:space="0" w:color="auto"/>
        <w:right w:val="none" w:sz="0" w:space="0" w:color="auto"/>
      </w:divBdr>
    </w:div>
    <w:div w:id="1313414902">
      <w:bodyDiv w:val="1"/>
      <w:marLeft w:val="0"/>
      <w:marRight w:val="0"/>
      <w:marTop w:val="0"/>
      <w:marBottom w:val="0"/>
      <w:divBdr>
        <w:top w:val="none" w:sz="0" w:space="0" w:color="auto"/>
        <w:left w:val="none" w:sz="0" w:space="0" w:color="auto"/>
        <w:bottom w:val="none" w:sz="0" w:space="0" w:color="auto"/>
        <w:right w:val="none" w:sz="0" w:space="0" w:color="auto"/>
      </w:divBdr>
    </w:div>
    <w:div w:id="1315069187">
      <w:bodyDiv w:val="1"/>
      <w:marLeft w:val="0"/>
      <w:marRight w:val="0"/>
      <w:marTop w:val="0"/>
      <w:marBottom w:val="0"/>
      <w:divBdr>
        <w:top w:val="none" w:sz="0" w:space="0" w:color="auto"/>
        <w:left w:val="none" w:sz="0" w:space="0" w:color="auto"/>
        <w:bottom w:val="none" w:sz="0" w:space="0" w:color="auto"/>
        <w:right w:val="none" w:sz="0" w:space="0" w:color="auto"/>
      </w:divBdr>
    </w:div>
    <w:div w:id="1361853057">
      <w:bodyDiv w:val="1"/>
      <w:marLeft w:val="0"/>
      <w:marRight w:val="0"/>
      <w:marTop w:val="0"/>
      <w:marBottom w:val="0"/>
      <w:divBdr>
        <w:top w:val="none" w:sz="0" w:space="0" w:color="auto"/>
        <w:left w:val="none" w:sz="0" w:space="0" w:color="auto"/>
        <w:bottom w:val="none" w:sz="0" w:space="0" w:color="auto"/>
        <w:right w:val="none" w:sz="0" w:space="0" w:color="auto"/>
      </w:divBdr>
    </w:div>
    <w:div w:id="1376393754">
      <w:bodyDiv w:val="1"/>
      <w:marLeft w:val="0"/>
      <w:marRight w:val="0"/>
      <w:marTop w:val="0"/>
      <w:marBottom w:val="0"/>
      <w:divBdr>
        <w:top w:val="none" w:sz="0" w:space="0" w:color="auto"/>
        <w:left w:val="none" w:sz="0" w:space="0" w:color="auto"/>
        <w:bottom w:val="none" w:sz="0" w:space="0" w:color="auto"/>
        <w:right w:val="none" w:sz="0" w:space="0" w:color="auto"/>
      </w:divBdr>
    </w:div>
    <w:div w:id="140865398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05973641">
      <w:bodyDiv w:val="1"/>
      <w:marLeft w:val="0"/>
      <w:marRight w:val="0"/>
      <w:marTop w:val="0"/>
      <w:marBottom w:val="0"/>
      <w:divBdr>
        <w:top w:val="none" w:sz="0" w:space="0" w:color="auto"/>
        <w:left w:val="none" w:sz="0" w:space="0" w:color="auto"/>
        <w:bottom w:val="none" w:sz="0" w:space="0" w:color="auto"/>
        <w:right w:val="none" w:sz="0" w:space="0" w:color="auto"/>
      </w:divBdr>
    </w:div>
    <w:div w:id="1512527611">
      <w:bodyDiv w:val="1"/>
      <w:marLeft w:val="0"/>
      <w:marRight w:val="0"/>
      <w:marTop w:val="0"/>
      <w:marBottom w:val="0"/>
      <w:divBdr>
        <w:top w:val="none" w:sz="0" w:space="0" w:color="auto"/>
        <w:left w:val="none" w:sz="0" w:space="0" w:color="auto"/>
        <w:bottom w:val="none" w:sz="0" w:space="0" w:color="auto"/>
        <w:right w:val="none" w:sz="0" w:space="0" w:color="auto"/>
      </w:divBdr>
    </w:div>
    <w:div w:id="1537548523">
      <w:bodyDiv w:val="1"/>
      <w:marLeft w:val="0"/>
      <w:marRight w:val="0"/>
      <w:marTop w:val="0"/>
      <w:marBottom w:val="0"/>
      <w:divBdr>
        <w:top w:val="none" w:sz="0" w:space="0" w:color="auto"/>
        <w:left w:val="none" w:sz="0" w:space="0" w:color="auto"/>
        <w:bottom w:val="none" w:sz="0" w:space="0" w:color="auto"/>
        <w:right w:val="none" w:sz="0" w:space="0" w:color="auto"/>
      </w:divBdr>
    </w:div>
    <w:div w:id="1540970682">
      <w:bodyDiv w:val="1"/>
      <w:marLeft w:val="0"/>
      <w:marRight w:val="0"/>
      <w:marTop w:val="0"/>
      <w:marBottom w:val="0"/>
      <w:divBdr>
        <w:top w:val="none" w:sz="0" w:space="0" w:color="auto"/>
        <w:left w:val="none" w:sz="0" w:space="0" w:color="auto"/>
        <w:bottom w:val="none" w:sz="0" w:space="0" w:color="auto"/>
        <w:right w:val="none" w:sz="0" w:space="0" w:color="auto"/>
      </w:divBdr>
    </w:div>
    <w:div w:id="1564485616">
      <w:bodyDiv w:val="1"/>
      <w:marLeft w:val="0"/>
      <w:marRight w:val="0"/>
      <w:marTop w:val="0"/>
      <w:marBottom w:val="0"/>
      <w:divBdr>
        <w:top w:val="none" w:sz="0" w:space="0" w:color="auto"/>
        <w:left w:val="none" w:sz="0" w:space="0" w:color="auto"/>
        <w:bottom w:val="none" w:sz="0" w:space="0" w:color="auto"/>
        <w:right w:val="none" w:sz="0" w:space="0" w:color="auto"/>
      </w:divBdr>
    </w:div>
    <w:div w:id="160769122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71643480">
      <w:bodyDiv w:val="1"/>
      <w:marLeft w:val="0"/>
      <w:marRight w:val="0"/>
      <w:marTop w:val="0"/>
      <w:marBottom w:val="0"/>
      <w:divBdr>
        <w:top w:val="none" w:sz="0" w:space="0" w:color="auto"/>
        <w:left w:val="none" w:sz="0" w:space="0" w:color="auto"/>
        <w:bottom w:val="none" w:sz="0" w:space="0" w:color="auto"/>
        <w:right w:val="none" w:sz="0" w:space="0" w:color="auto"/>
      </w:divBdr>
    </w:div>
    <w:div w:id="1672024486">
      <w:bodyDiv w:val="1"/>
      <w:marLeft w:val="0"/>
      <w:marRight w:val="0"/>
      <w:marTop w:val="0"/>
      <w:marBottom w:val="0"/>
      <w:divBdr>
        <w:top w:val="none" w:sz="0" w:space="0" w:color="auto"/>
        <w:left w:val="none" w:sz="0" w:space="0" w:color="auto"/>
        <w:bottom w:val="none" w:sz="0" w:space="0" w:color="auto"/>
        <w:right w:val="none" w:sz="0" w:space="0" w:color="auto"/>
      </w:divBdr>
    </w:div>
    <w:div w:id="1685285043">
      <w:bodyDiv w:val="1"/>
      <w:marLeft w:val="0"/>
      <w:marRight w:val="0"/>
      <w:marTop w:val="0"/>
      <w:marBottom w:val="0"/>
      <w:divBdr>
        <w:top w:val="none" w:sz="0" w:space="0" w:color="auto"/>
        <w:left w:val="none" w:sz="0" w:space="0" w:color="auto"/>
        <w:bottom w:val="none" w:sz="0" w:space="0" w:color="auto"/>
        <w:right w:val="none" w:sz="0" w:space="0" w:color="auto"/>
      </w:divBdr>
    </w:div>
    <w:div w:id="1690254841">
      <w:bodyDiv w:val="1"/>
      <w:marLeft w:val="0"/>
      <w:marRight w:val="0"/>
      <w:marTop w:val="0"/>
      <w:marBottom w:val="0"/>
      <w:divBdr>
        <w:top w:val="none" w:sz="0" w:space="0" w:color="auto"/>
        <w:left w:val="none" w:sz="0" w:space="0" w:color="auto"/>
        <w:bottom w:val="none" w:sz="0" w:space="0" w:color="auto"/>
        <w:right w:val="none" w:sz="0" w:space="0" w:color="auto"/>
      </w:divBdr>
    </w:div>
    <w:div w:id="1721400126">
      <w:bodyDiv w:val="1"/>
      <w:marLeft w:val="0"/>
      <w:marRight w:val="0"/>
      <w:marTop w:val="0"/>
      <w:marBottom w:val="0"/>
      <w:divBdr>
        <w:top w:val="none" w:sz="0" w:space="0" w:color="auto"/>
        <w:left w:val="none" w:sz="0" w:space="0" w:color="auto"/>
        <w:bottom w:val="none" w:sz="0" w:space="0" w:color="auto"/>
        <w:right w:val="none" w:sz="0" w:space="0" w:color="auto"/>
      </w:divBdr>
    </w:div>
    <w:div w:id="1764034085">
      <w:bodyDiv w:val="1"/>
      <w:marLeft w:val="0"/>
      <w:marRight w:val="0"/>
      <w:marTop w:val="0"/>
      <w:marBottom w:val="0"/>
      <w:divBdr>
        <w:top w:val="none" w:sz="0" w:space="0" w:color="auto"/>
        <w:left w:val="none" w:sz="0" w:space="0" w:color="auto"/>
        <w:bottom w:val="none" w:sz="0" w:space="0" w:color="auto"/>
        <w:right w:val="none" w:sz="0" w:space="0" w:color="auto"/>
      </w:divBdr>
    </w:div>
    <w:div w:id="1779183223">
      <w:bodyDiv w:val="1"/>
      <w:marLeft w:val="0"/>
      <w:marRight w:val="0"/>
      <w:marTop w:val="0"/>
      <w:marBottom w:val="0"/>
      <w:divBdr>
        <w:top w:val="none" w:sz="0" w:space="0" w:color="auto"/>
        <w:left w:val="none" w:sz="0" w:space="0" w:color="auto"/>
        <w:bottom w:val="none" w:sz="0" w:space="0" w:color="auto"/>
        <w:right w:val="none" w:sz="0" w:space="0" w:color="auto"/>
      </w:divBdr>
    </w:div>
    <w:div w:id="1784769291">
      <w:bodyDiv w:val="1"/>
      <w:marLeft w:val="0"/>
      <w:marRight w:val="0"/>
      <w:marTop w:val="0"/>
      <w:marBottom w:val="0"/>
      <w:divBdr>
        <w:top w:val="none" w:sz="0" w:space="0" w:color="auto"/>
        <w:left w:val="none" w:sz="0" w:space="0" w:color="auto"/>
        <w:bottom w:val="none" w:sz="0" w:space="0" w:color="auto"/>
        <w:right w:val="none" w:sz="0" w:space="0" w:color="auto"/>
      </w:divBdr>
    </w:div>
    <w:div w:id="1795443838">
      <w:bodyDiv w:val="1"/>
      <w:marLeft w:val="0"/>
      <w:marRight w:val="0"/>
      <w:marTop w:val="0"/>
      <w:marBottom w:val="0"/>
      <w:divBdr>
        <w:top w:val="none" w:sz="0" w:space="0" w:color="auto"/>
        <w:left w:val="none" w:sz="0" w:space="0" w:color="auto"/>
        <w:bottom w:val="none" w:sz="0" w:space="0" w:color="auto"/>
        <w:right w:val="none" w:sz="0" w:space="0" w:color="auto"/>
      </w:divBdr>
    </w:div>
    <w:div w:id="179787480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1604021">
      <w:bodyDiv w:val="1"/>
      <w:marLeft w:val="0"/>
      <w:marRight w:val="0"/>
      <w:marTop w:val="0"/>
      <w:marBottom w:val="0"/>
      <w:divBdr>
        <w:top w:val="none" w:sz="0" w:space="0" w:color="auto"/>
        <w:left w:val="none" w:sz="0" w:space="0" w:color="auto"/>
        <w:bottom w:val="none" w:sz="0" w:space="0" w:color="auto"/>
        <w:right w:val="none" w:sz="0" w:space="0" w:color="auto"/>
      </w:divBdr>
    </w:div>
    <w:div w:id="1846049114">
      <w:bodyDiv w:val="1"/>
      <w:marLeft w:val="0"/>
      <w:marRight w:val="0"/>
      <w:marTop w:val="0"/>
      <w:marBottom w:val="0"/>
      <w:divBdr>
        <w:top w:val="none" w:sz="0" w:space="0" w:color="auto"/>
        <w:left w:val="none" w:sz="0" w:space="0" w:color="auto"/>
        <w:bottom w:val="none" w:sz="0" w:space="0" w:color="auto"/>
        <w:right w:val="none" w:sz="0" w:space="0" w:color="auto"/>
      </w:divBdr>
    </w:div>
    <w:div w:id="1853757115">
      <w:bodyDiv w:val="1"/>
      <w:marLeft w:val="0"/>
      <w:marRight w:val="0"/>
      <w:marTop w:val="0"/>
      <w:marBottom w:val="0"/>
      <w:divBdr>
        <w:top w:val="none" w:sz="0" w:space="0" w:color="auto"/>
        <w:left w:val="none" w:sz="0" w:space="0" w:color="auto"/>
        <w:bottom w:val="none" w:sz="0" w:space="0" w:color="auto"/>
        <w:right w:val="none" w:sz="0" w:space="0" w:color="auto"/>
      </w:divBdr>
    </w:div>
    <w:div w:id="1857956684">
      <w:bodyDiv w:val="1"/>
      <w:marLeft w:val="0"/>
      <w:marRight w:val="0"/>
      <w:marTop w:val="0"/>
      <w:marBottom w:val="0"/>
      <w:divBdr>
        <w:top w:val="none" w:sz="0" w:space="0" w:color="auto"/>
        <w:left w:val="none" w:sz="0" w:space="0" w:color="auto"/>
        <w:bottom w:val="none" w:sz="0" w:space="0" w:color="auto"/>
        <w:right w:val="none" w:sz="0" w:space="0" w:color="auto"/>
      </w:divBdr>
    </w:div>
    <w:div w:id="1865170456">
      <w:bodyDiv w:val="1"/>
      <w:marLeft w:val="0"/>
      <w:marRight w:val="0"/>
      <w:marTop w:val="0"/>
      <w:marBottom w:val="0"/>
      <w:divBdr>
        <w:top w:val="none" w:sz="0" w:space="0" w:color="auto"/>
        <w:left w:val="none" w:sz="0" w:space="0" w:color="auto"/>
        <w:bottom w:val="none" w:sz="0" w:space="0" w:color="auto"/>
        <w:right w:val="none" w:sz="0" w:space="0" w:color="auto"/>
      </w:divBdr>
    </w:div>
    <w:div w:id="1884248045">
      <w:bodyDiv w:val="1"/>
      <w:marLeft w:val="0"/>
      <w:marRight w:val="0"/>
      <w:marTop w:val="0"/>
      <w:marBottom w:val="0"/>
      <w:divBdr>
        <w:top w:val="none" w:sz="0" w:space="0" w:color="auto"/>
        <w:left w:val="none" w:sz="0" w:space="0" w:color="auto"/>
        <w:bottom w:val="none" w:sz="0" w:space="0" w:color="auto"/>
        <w:right w:val="none" w:sz="0" w:space="0" w:color="auto"/>
      </w:divBdr>
    </w:div>
    <w:div w:id="1889411920">
      <w:bodyDiv w:val="1"/>
      <w:marLeft w:val="0"/>
      <w:marRight w:val="0"/>
      <w:marTop w:val="0"/>
      <w:marBottom w:val="0"/>
      <w:divBdr>
        <w:top w:val="none" w:sz="0" w:space="0" w:color="auto"/>
        <w:left w:val="none" w:sz="0" w:space="0" w:color="auto"/>
        <w:bottom w:val="none" w:sz="0" w:space="0" w:color="auto"/>
        <w:right w:val="none" w:sz="0" w:space="0" w:color="auto"/>
      </w:divBdr>
    </w:div>
    <w:div w:id="1894462308">
      <w:bodyDiv w:val="1"/>
      <w:marLeft w:val="0"/>
      <w:marRight w:val="0"/>
      <w:marTop w:val="0"/>
      <w:marBottom w:val="0"/>
      <w:divBdr>
        <w:top w:val="none" w:sz="0" w:space="0" w:color="auto"/>
        <w:left w:val="none" w:sz="0" w:space="0" w:color="auto"/>
        <w:bottom w:val="none" w:sz="0" w:space="0" w:color="auto"/>
        <w:right w:val="none" w:sz="0" w:space="0" w:color="auto"/>
      </w:divBdr>
    </w:div>
    <w:div w:id="1904559988">
      <w:bodyDiv w:val="1"/>
      <w:marLeft w:val="0"/>
      <w:marRight w:val="0"/>
      <w:marTop w:val="0"/>
      <w:marBottom w:val="0"/>
      <w:divBdr>
        <w:top w:val="none" w:sz="0" w:space="0" w:color="auto"/>
        <w:left w:val="none" w:sz="0" w:space="0" w:color="auto"/>
        <w:bottom w:val="none" w:sz="0" w:space="0" w:color="auto"/>
        <w:right w:val="none" w:sz="0" w:space="0" w:color="auto"/>
      </w:divBdr>
    </w:div>
    <w:div w:id="1941990763">
      <w:bodyDiv w:val="1"/>
      <w:marLeft w:val="0"/>
      <w:marRight w:val="0"/>
      <w:marTop w:val="0"/>
      <w:marBottom w:val="0"/>
      <w:divBdr>
        <w:top w:val="none" w:sz="0" w:space="0" w:color="auto"/>
        <w:left w:val="none" w:sz="0" w:space="0" w:color="auto"/>
        <w:bottom w:val="none" w:sz="0" w:space="0" w:color="auto"/>
        <w:right w:val="none" w:sz="0" w:space="0" w:color="auto"/>
      </w:divBdr>
    </w:div>
    <w:div w:id="1954819958">
      <w:bodyDiv w:val="1"/>
      <w:marLeft w:val="0"/>
      <w:marRight w:val="0"/>
      <w:marTop w:val="0"/>
      <w:marBottom w:val="0"/>
      <w:divBdr>
        <w:top w:val="none" w:sz="0" w:space="0" w:color="auto"/>
        <w:left w:val="none" w:sz="0" w:space="0" w:color="auto"/>
        <w:bottom w:val="none" w:sz="0" w:space="0" w:color="auto"/>
        <w:right w:val="none" w:sz="0" w:space="0" w:color="auto"/>
      </w:divBdr>
    </w:div>
    <w:div w:id="1999141420">
      <w:bodyDiv w:val="1"/>
      <w:marLeft w:val="0"/>
      <w:marRight w:val="0"/>
      <w:marTop w:val="0"/>
      <w:marBottom w:val="0"/>
      <w:divBdr>
        <w:top w:val="none" w:sz="0" w:space="0" w:color="auto"/>
        <w:left w:val="none" w:sz="0" w:space="0" w:color="auto"/>
        <w:bottom w:val="none" w:sz="0" w:space="0" w:color="auto"/>
        <w:right w:val="none" w:sz="0" w:space="0" w:color="auto"/>
      </w:divBdr>
    </w:div>
    <w:div w:id="2008897246">
      <w:bodyDiv w:val="1"/>
      <w:marLeft w:val="0"/>
      <w:marRight w:val="0"/>
      <w:marTop w:val="0"/>
      <w:marBottom w:val="0"/>
      <w:divBdr>
        <w:top w:val="none" w:sz="0" w:space="0" w:color="auto"/>
        <w:left w:val="none" w:sz="0" w:space="0" w:color="auto"/>
        <w:bottom w:val="none" w:sz="0" w:space="0" w:color="auto"/>
        <w:right w:val="none" w:sz="0" w:space="0" w:color="auto"/>
      </w:divBdr>
    </w:div>
    <w:div w:id="2011521366">
      <w:bodyDiv w:val="1"/>
      <w:marLeft w:val="0"/>
      <w:marRight w:val="0"/>
      <w:marTop w:val="0"/>
      <w:marBottom w:val="0"/>
      <w:divBdr>
        <w:top w:val="none" w:sz="0" w:space="0" w:color="auto"/>
        <w:left w:val="none" w:sz="0" w:space="0" w:color="auto"/>
        <w:bottom w:val="none" w:sz="0" w:space="0" w:color="auto"/>
        <w:right w:val="none" w:sz="0" w:space="0" w:color="auto"/>
      </w:divBdr>
    </w:div>
    <w:div w:id="2017419692">
      <w:bodyDiv w:val="1"/>
      <w:marLeft w:val="0"/>
      <w:marRight w:val="0"/>
      <w:marTop w:val="0"/>
      <w:marBottom w:val="0"/>
      <w:divBdr>
        <w:top w:val="none" w:sz="0" w:space="0" w:color="auto"/>
        <w:left w:val="none" w:sz="0" w:space="0" w:color="auto"/>
        <w:bottom w:val="none" w:sz="0" w:space="0" w:color="auto"/>
        <w:right w:val="none" w:sz="0" w:space="0" w:color="auto"/>
      </w:divBdr>
    </w:div>
    <w:div w:id="2041278833">
      <w:bodyDiv w:val="1"/>
      <w:marLeft w:val="0"/>
      <w:marRight w:val="0"/>
      <w:marTop w:val="0"/>
      <w:marBottom w:val="0"/>
      <w:divBdr>
        <w:top w:val="none" w:sz="0" w:space="0" w:color="auto"/>
        <w:left w:val="none" w:sz="0" w:space="0" w:color="auto"/>
        <w:bottom w:val="none" w:sz="0" w:space="0" w:color="auto"/>
        <w:right w:val="none" w:sz="0" w:space="0" w:color="auto"/>
      </w:divBdr>
    </w:div>
    <w:div w:id="208151272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7457680">
      <w:bodyDiv w:val="1"/>
      <w:marLeft w:val="0"/>
      <w:marRight w:val="0"/>
      <w:marTop w:val="0"/>
      <w:marBottom w:val="0"/>
      <w:divBdr>
        <w:top w:val="none" w:sz="0" w:space="0" w:color="auto"/>
        <w:left w:val="none" w:sz="0" w:space="0" w:color="auto"/>
        <w:bottom w:val="none" w:sz="0" w:space="0" w:color="auto"/>
        <w:right w:val="none" w:sz="0" w:space="0" w:color="auto"/>
      </w:divBdr>
    </w:div>
    <w:div w:id="2108236622">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677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onr.org.uk/documents/2017/direction-supply-of-information.pdf"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onr.org.uk/" TargetMode="Externa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eader" Target="head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884182EA6147FEB1141AA6A676324E"/>
        <w:category>
          <w:name w:val="General"/>
          <w:gallery w:val="placeholder"/>
        </w:category>
        <w:types>
          <w:type w:val="bbPlcHdr"/>
        </w:types>
        <w:behaviors>
          <w:behavior w:val="content"/>
        </w:behaviors>
        <w:guid w:val="{32A6E305-BE02-4C8F-BFC9-0147FC0497BB}"/>
      </w:docPartPr>
      <w:docPartBody>
        <w:p w:rsidR="00E318CE" w:rsidRDefault="00350199">
          <w:r w:rsidRPr="0069507A">
            <w:rPr>
              <w:rStyle w:val="PlaceholderText"/>
            </w:rPr>
            <w:t>[Title]</w:t>
          </w:r>
        </w:p>
      </w:docPartBody>
    </w:docPart>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350199">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E646E1">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A031C4" w:rsidRDefault="00DD7BA4">
          <w:r w:rsidRPr="00D1240B">
            <w:rPr>
              <w:rStyle w:val="PlaceholderText"/>
            </w:rPr>
            <w:t>[Status]</w:t>
          </w:r>
        </w:p>
      </w:docPartBody>
    </w:docPart>
    <w:docPart>
      <w:docPartPr>
        <w:name w:val="0F8C41C7728442EB8FE7D8DF07580346"/>
        <w:category>
          <w:name w:val="General"/>
          <w:gallery w:val="placeholder"/>
        </w:category>
        <w:types>
          <w:type w:val="bbPlcHdr"/>
        </w:types>
        <w:behaviors>
          <w:behavior w:val="content"/>
        </w:behaviors>
        <w:guid w:val="{FA312F90-1C55-4026-BDB8-1BF8DFF41BB0}"/>
      </w:docPartPr>
      <w:docPartBody>
        <w:p w:rsidR="0041719E" w:rsidRDefault="00A031C4" w:rsidP="00A031C4">
          <w:pPr>
            <w:pStyle w:val="0F8C41C7728442EB8FE7D8DF07580346"/>
          </w:pPr>
          <w:r>
            <w:rPr>
              <w:color w:val="4472C4" w:themeColor="accent1"/>
              <w:sz w:val="28"/>
              <w:szCs w:val="28"/>
            </w:rPr>
            <w:t>[Approver]</w:t>
          </w:r>
        </w:p>
      </w:docPartBody>
    </w:docPart>
    <w:docPart>
      <w:docPartPr>
        <w:name w:val="8C97365EA9D2487FBF247098DA472D4E"/>
        <w:category>
          <w:name w:val="General"/>
          <w:gallery w:val="placeholder"/>
        </w:category>
        <w:types>
          <w:type w:val="bbPlcHdr"/>
        </w:types>
        <w:behaviors>
          <w:behavior w:val="content"/>
        </w:behaviors>
        <w:guid w:val="{923FF793-61D0-43C7-AF39-CADABD0DEA02}"/>
      </w:docPartPr>
      <w:docPartBody>
        <w:p w:rsidR="0041719E" w:rsidRDefault="00A031C4" w:rsidP="00A031C4">
          <w:pPr>
            <w:pStyle w:val="8C97365EA9D2487FBF247098DA472D4E"/>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350199"/>
    <w:rsid w:val="00414F84"/>
    <w:rsid w:val="0041719E"/>
    <w:rsid w:val="0049021F"/>
    <w:rsid w:val="004C3699"/>
    <w:rsid w:val="007A1954"/>
    <w:rsid w:val="00A031C4"/>
    <w:rsid w:val="00B15879"/>
    <w:rsid w:val="00C75F75"/>
    <w:rsid w:val="00CB0473"/>
    <w:rsid w:val="00DD7BA4"/>
    <w:rsid w:val="00E318CE"/>
    <w:rsid w:val="00E646E1"/>
    <w:rsid w:val="00F41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3699"/>
    <w:rPr>
      <w:color w:val="808080"/>
    </w:rPr>
  </w:style>
  <w:style w:type="paragraph" w:customStyle="1" w:styleId="0F8C41C7728442EB8FE7D8DF07580346">
    <w:name w:val="0F8C41C7728442EB8FE7D8DF07580346"/>
    <w:rsid w:val="00A031C4"/>
  </w:style>
  <w:style w:type="paragraph" w:customStyle="1" w:styleId="8C97365EA9D2487FBF247098DA472D4E">
    <w:name w:val="8C97365EA9D2487FBF247098DA472D4E"/>
    <w:rsid w:val="00A03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ONR2011</b:Tag>
    <b:SourceType>ElectronicSource</b:SourceType>
    <b:Guid>{E2CDE1CB-3D43-447E-8D44-8BA12FD0ABCC}</b:Guid>
    <b:Author>
      <b:Author>
        <b:Corporate>ONR</b:Corporate>
      </b:Author>
    </b:Author>
    <b:Title>Stakeholder Engagement Strategy 2020-2025</b:Title>
    <b:Year>2020</b:Year>
    <b:RefOrder>1</b:RefOrder>
  </b:Source>
  <b:Source>
    <b:Tag>ONR152</b:Tag>
    <b:SourceType>ElectronicSource</b:SourceType>
    <b:Guid>{197BB8EB-0A25-42DE-BE70-1C815EF33BA6}</b:Guid>
    <b:Author>
      <b:Author>
        <b:Corporate>ONR</b:Corporate>
      </b:Author>
    </b:Author>
    <b:Title>ONR-DOC-TEMP-008 - Site Report Template</b:Title>
    <b:RefOrder>4</b:RefOrder>
  </b:Source>
  <b:Source>
    <b:Tag>ONR113</b:Tag>
    <b:SourceType>ElectronicSource</b:SourceType>
    <b:Guid>{4F882024-E6C0-4B70-B5E5-2F02B3DD4008}</b:Guid>
    <b:Author>
      <b:Author>
        <b:Corporate>ONR</b:Corporate>
      </b:Author>
    </b:Author>
    <b:Title>ONR-INSP-GD-059 - Guidance for Inspection Strategy Planning and Recording</b:Title>
    <b:RefOrder>5</b:RefOrder>
  </b:Source>
  <b:Source>
    <b:Tag>ONR187</b:Tag>
    <b:SourceType>ElectronicSource</b:SourceType>
    <b:Guid>{CDEC0512-5785-41B9-8D2D-33DEE0F97A83}</b:Guid>
    <b:Author>
      <b:Author>
        <b:Corporate>ONR</b:Corporate>
      </b:Author>
    </b:Author>
    <b:Title>ONR-INSP-GD-064 - General Inspection Guide</b:Title>
    <b:RefOrder>6</b:RefOrder>
  </b:Source>
  <b:Source>
    <b:Tag>ONR201</b:Tag>
    <b:SourceType>Report</b:SourceType>
    <b:Guid>{9789A581-7D39-471D-84B0-EF4DACEC15A6}</b:Guid>
    <b:Author>
      <b:Author>
        <b:Corporate>ONR</b:Corporate>
      </b:Author>
    </b:Author>
    <b:Title>ONR-OPEX-GD-001 - Notifying and Reporting Incidents and Event to ONR </b:Title>
    <b:RefOrder>7</b:RefOrder>
  </b:Source>
  <b:Source>
    <b:Tag>HMG1711</b:Tag>
    <b:SourceType>DocumentFromInternetSite</b:SourceType>
    <b:Guid>{A7252575-2D6D-4665-8022-7B34ED64B311}</b:Guid>
    <b:Title>Direction to the ONR regarding the supply of information in relation to the nuclear safety of civilian nuclear installations</b:Title>
    <b:Year>2017</b:Year>
    <b:Author>
      <b:Author>
        <b:Corporate>H.M Government</b:Corporate>
      </b:Author>
    </b:Author>
    <b:URL>https://www.onr.org.uk/documents/2017/direction-supply-of-information.pdf</b:URL>
    <b:RefOrder>3</b:RefOrder>
  </b:Source>
  <b:Source>
    <b:Tag>HMG141</b:Tag>
    <b:SourceType>InternetSite</b:SourceType>
    <b:Guid>{8875FCAE-BC39-4D99-A8AA-AE0D6619DB86}</b:Guid>
    <b:Title>Council Directive 2014/87/Euratom of 8 July 2014 amending Directive 2009/71/Euratom establishing a Community framework for the nuclear safety of nuclear installations</b:Title>
    <b:Year>2014</b:Year>
    <b:URL>https://www.legislation.gov.uk/eudr/2014/87</b:URL>
    <b:Author>
      <b:Author>
        <b:Corporate>H.M Government</b:Corporate>
      </b:Author>
    </b:Author>
    <b:RefOrder>2</b:RefOrder>
  </b:Source>
  <b:Source>
    <b:Tag>ONR119</b:Tag>
    <b:SourceType>ElectronicSource</b:SourceType>
    <b:Guid>{05FE4E0D-2D0F-41FA-9B12-F620677A4668}</b:Guid>
    <b:Author>
      <b:Author>
        <b:Corporate>ONR</b:Corporate>
      </b:Author>
    </b:Author>
    <b:Title>ONR-COM-GD-001 - ONR Style Guide</b:Title>
    <b:RefOrder>9</b:RefOrder>
  </b:Source>
  <b:Source>
    <b:Tag>SDF22</b:Tag>
    <b:SourceType>DocumentFromInternetSite</b:SourceType>
    <b:Guid>{38400521-47E6-4E68-9B50-78D4C79B9556}</b:Guid>
    <b:Title>Good Practice Guidelines for Site Stakeholder Groups (SSGs) and Local Liaison Committees (LLCs)</b:Title>
    <b:Year>2022</b:Year>
    <b:Month>May</b:Month>
    <b:URL>https://www.nuclearinst.com/write/MediaUploads/SDF%20documents/Good_Practice_Guidelines_for_SSGs_and_LLCs.pdf</b:URL>
    <b:Author>
      <b:Author>
        <b:Corporate>SDF</b:Corporate>
      </b:Author>
    </b:Author>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B557F8-7C08-446E-8B45-E606E879A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18</Pages>
  <Words>4576</Words>
  <Characters>26088</Characters>
  <Application>Microsoft Office Word</Application>
  <DocSecurity>4</DocSecurity>
  <Lines>217</Lines>
  <Paragraphs>61</Paragraphs>
  <ScaleCrop>false</ScaleCrop>
  <HeadingPairs>
    <vt:vector size="2" baseType="variant">
      <vt:variant>
        <vt:lpstr>Title</vt:lpstr>
      </vt:variant>
      <vt:variant>
        <vt:i4>1</vt:i4>
      </vt:variant>
    </vt:vector>
  </HeadingPairs>
  <TitlesOfParts>
    <vt:vector size="1" baseType="lpstr">
      <vt:lpstr>Provision of information to the public through production and distribution of SSG/LCLC/LLC reports and attendance at SSG/LCLC/LLC meetings by ONR Inspectors</vt:lpstr>
    </vt:vector>
  </TitlesOfParts>
  <Manager>Office for Nuclear Regulation</Manager>
  <Company>Office for Nuclear Regulation</Company>
  <LinksUpToDate>false</LinksUpToDate>
  <CharactersWithSpaces>30603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Provision of information to the public through production and distribution of SSG/LCLC/LLC reports and attendance at SSG/LCLC/LLC meetings by ONR Inspectors</dc:title>
  <dc:subject>[Subtitle or description]</dc:subject>
  <cp:keywords>[Key words separated by commas]</cp:keywords>
  <dc:description/>
  <cp:revision>2</cp:revision>
  <cp:lastPrinted>2016-11-28T11:35:00Z</cp:lastPrinted>
  <dcterms:created xsi:type="dcterms:W3CDTF">2022-12-22T07:55:00Z</dcterms:created>
  <dcterms:modified xsi:type="dcterms:W3CDTF">2022-12-22T07:55:00Z</dcterms:modified>
  <cp:contentStatus>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