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5D666B4B"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75583333" w:rsidR="00D0226A" w:rsidRPr="001E03E1" w:rsidRDefault="00000000" w:rsidP="001E03E1">
            <w:pPr>
              <w:pStyle w:val="CoverTitle"/>
              <w:rPr>
                <w:szCs w:val="90"/>
              </w:rPr>
            </w:pPr>
            <w:sdt>
              <w:sdtPr>
                <w:rPr>
                  <w:sz w:val="48"/>
                  <w:szCs w:val="48"/>
                </w:rPr>
                <w:id w:val="1228188510"/>
                <w:placeholder>
                  <w:docPart w:val="DefaultPlaceholder_-1854013440"/>
                </w:placeholder>
              </w:sdtPr>
              <w:sdtEndPr>
                <w:rPr>
                  <w:sz w:val="56"/>
                  <w:szCs w:val="56"/>
                </w:rPr>
              </w:sdtEndPr>
              <w:sdtContent>
                <w:sdt>
                  <w:sdtPr>
                    <w:rPr>
                      <w:color w:val="000000"/>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B53847" w:rsidRPr="00FE03D8">
                      <w:rPr>
                        <w:color w:val="000000"/>
                        <w:sz w:val="72"/>
                        <w:szCs w:val="72"/>
                      </w:rPr>
                      <w:t xml:space="preserve">Assurance of </w:t>
                    </w:r>
                    <w:r w:rsidR="00FE03D8" w:rsidRPr="00FE03D8">
                      <w:rPr>
                        <w:color w:val="000000"/>
                        <w:sz w:val="72"/>
                        <w:szCs w:val="72"/>
                      </w:rPr>
                      <w:t>v</w:t>
                    </w:r>
                    <w:r w:rsidR="00B53847" w:rsidRPr="00FE03D8">
                      <w:rPr>
                        <w:color w:val="000000"/>
                        <w:sz w:val="72"/>
                        <w:szCs w:val="72"/>
                      </w:rPr>
                      <w:t xml:space="preserve">alidity of </w:t>
                    </w:r>
                    <w:r w:rsidR="00FE03D8" w:rsidRPr="00FE03D8">
                      <w:rPr>
                        <w:color w:val="000000"/>
                        <w:sz w:val="72"/>
                        <w:szCs w:val="72"/>
                      </w:rPr>
                      <w:t>d</w:t>
                    </w:r>
                    <w:r w:rsidR="00B53847" w:rsidRPr="00FE03D8">
                      <w:rPr>
                        <w:color w:val="000000"/>
                        <w:sz w:val="72"/>
                        <w:szCs w:val="72"/>
                      </w:rPr>
                      <w:t xml:space="preserve">ata and </w:t>
                    </w:r>
                    <w:r w:rsidR="00FE03D8" w:rsidRPr="00FE03D8">
                      <w:rPr>
                        <w:color w:val="000000"/>
                        <w:sz w:val="72"/>
                        <w:szCs w:val="72"/>
                      </w:rPr>
                      <w:t>m</w:t>
                    </w:r>
                    <w:r w:rsidR="00B53847" w:rsidRPr="00FE03D8">
                      <w:rPr>
                        <w:color w:val="000000"/>
                        <w:sz w:val="72"/>
                        <w:szCs w:val="72"/>
                      </w:rPr>
                      <w:t>odels</w:t>
                    </w:r>
                  </w:sdtContent>
                </w:sdt>
              </w:sdtContent>
            </w:sdt>
          </w:p>
        </w:tc>
      </w:tr>
    </w:tbl>
    <w:p w14:paraId="56A09D10" w14:textId="77777777" w:rsidR="00D0226A" w:rsidRDefault="00D0226A">
      <w:pPr>
        <w:spacing w:after="0"/>
      </w:pPr>
    </w:p>
    <w:p w14:paraId="6AB6425B" w14:textId="3159CEFC" w:rsidR="00D0226A" w:rsidRDefault="00881B6F">
      <w:pPr>
        <w:spacing w:after="0"/>
      </w:pPr>
      <w:r>
        <w:rPr>
          <w:noProof/>
        </w:rPr>
        <w:drawing>
          <wp:anchor distT="0" distB="0" distL="114300" distR="114300" simplePos="0" relativeHeight="251657216" behindDoc="1" locked="0" layoutInCell="1" allowOverlap="1" wp14:anchorId="10B0A4AA" wp14:editId="4E9D906A">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6E7A76C3" w14:textId="5474BF1D" w:rsidR="006D53B3" w:rsidRDefault="00404B0C">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"1-1" \h \z \u </w:instrText>
      </w:r>
      <w:r>
        <w:fldChar w:fldCharType="separate"/>
      </w:r>
      <w:hyperlink w:anchor="_Toc227739356" w:history="1">
        <w:r w:rsidR="006D53B3" w:rsidRPr="00911022">
          <w:rPr>
            <w:rStyle w:val="Hyperlink"/>
          </w:rPr>
          <w:t>1.</w:t>
        </w:r>
        <w:r w:rsidR="006D53B3">
          <w:rPr>
            <w:rFonts w:asciiTheme="minorHAnsi" w:eastAsiaTheme="minorEastAsia" w:hAnsiTheme="minorHAnsi" w:cstheme="minorBidi"/>
            <w:kern w:val="2"/>
            <w:szCs w:val="24"/>
            <w:lang w:eastAsia="en-GB" w:bidi="ar-SA"/>
            <w14:ligatures w14:val="standardContextual"/>
          </w:rPr>
          <w:tab/>
        </w:r>
        <w:r w:rsidR="006D53B3" w:rsidRPr="00911022">
          <w:rPr>
            <w:rStyle w:val="Hyperlink"/>
          </w:rPr>
          <w:t>Introduction</w:t>
        </w:r>
        <w:r w:rsidR="006D53B3">
          <w:rPr>
            <w:webHidden/>
          </w:rPr>
          <w:tab/>
        </w:r>
        <w:r w:rsidR="006D53B3">
          <w:rPr>
            <w:webHidden/>
          </w:rPr>
          <w:fldChar w:fldCharType="begin"/>
        </w:r>
        <w:r w:rsidR="006D53B3">
          <w:rPr>
            <w:webHidden/>
          </w:rPr>
          <w:instrText xml:space="preserve"> PAGEREF _Toc227739356 \h </w:instrText>
        </w:r>
        <w:r w:rsidR="006D53B3">
          <w:rPr>
            <w:webHidden/>
          </w:rPr>
        </w:r>
        <w:r w:rsidR="006D53B3">
          <w:rPr>
            <w:webHidden/>
          </w:rPr>
          <w:fldChar w:fldCharType="separate"/>
        </w:r>
        <w:r w:rsidR="006D53B3">
          <w:rPr>
            <w:webHidden/>
          </w:rPr>
          <w:t>3</w:t>
        </w:r>
        <w:r w:rsidR="006D53B3">
          <w:rPr>
            <w:webHidden/>
          </w:rPr>
          <w:fldChar w:fldCharType="end"/>
        </w:r>
      </w:hyperlink>
    </w:p>
    <w:p w14:paraId="6B2B183D" w14:textId="7EDDDC45" w:rsidR="006D53B3" w:rsidRDefault="006D53B3">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7739357" w:history="1">
        <w:r w:rsidRPr="00911022">
          <w:rPr>
            <w:rStyle w:val="Hyperlink"/>
          </w:rPr>
          <w:t>2.</w:t>
        </w:r>
        <w:r>
          <w:rPr>
            <w:rFonts w:asciiTheme="minorHAnsi" w:eastAsiaTheme="minorEastAsia" w:hAnsiTheme="minorHAnsi" w:cstheme="minorBidi"/>
            <w:kern w:val="2"/>
            <w:szCs w:val="24"/>
            <w:lang w:eastAsia="en-GB" w:bidi="ar-SA"/>
            <w14:ligatures w14:val="standardContextual"/>
          </w:rPr>
          <w:tab/>
        </w:r>
        <w:r w:rsidRPr="00911022">
          <w:rPr>
            <w:rStyle w:val="Hyperlink"/>
          </w:rPr>
          <w:t>Purpose and scope</w:t>
        </w:r>
        <w:r>
          <w:rPr>
            <w:webHidden/>
          </w:rPr>
          <w:tab/>
        </w:r>
        <w:r>
          <w:rPr>
            <w:webHidden/>
          </w:rPr>
          <w:fldChar w:fldCharType="begin"/>
        </w:r>
        <w:r>
          <w:rPr>
            <w:webHidden/>
          </w:rPr>
          <w:instrText xml:space="preserve"> PAGEREF _Toc227739357 \h </w:instrText>
        </w:r>
        <w:r>
          <w:rPr>
            <w:webHidden/>
          </w:rPr>
        </w:r>
        <w:r>
          <w:rPr>
            <w:webHidden/>
          </w:rPr>
          <w:fldChar w:fldCharType="separate"/>
        </w:r>
        <w:r>
          <w:rPr>
            <w:webHidden/>
          </w:rPr>
          <w:t>4</w:t>
        </w:r>
        <w:r>
          <w:rPr>
            <w:webHidden/>
          </w:rPr>
          <w:fldChar w:fldCharType="end"/>
        </w:r>
      </w:hyperlink>
    </w:p>
    <w:p w14:paraId="6F4DD0AC" w14:textId="72A6DC01" w:rsidR="006D53B3" w:rsidRDefault="006D53B3">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7739358" w:history="1">
        <w:r w:rsidRPr="00911022">
          <w:rPr>
            <w:rStyle w:val="Hyperlink"/>
          </w:rPr>
          <w:t>3.</w:t>
        </w:r>
        <w:r>
          <w:rPr>
            <w:rFonts w:asciiTheme="minorHAnsi" w:eastAsiaTheme="minorEastAsia" w:hAnsiTheme="minorHAnsi" w:cstheme="minorBidi"/>
            <w:kern w:val="2"/>
            <w:szCs w:val="24"/>
            <w:lang w:eastAsia="en-GB" w:bidi="ar-SA"/>
            <w14:ligatures w14:val="standardContextual"/>
          </w:rPr>
          <w:tab/>
        </w:r>
        <w:r w:rsidRPr="00911022">
          <w:rPr>
            <w:rStyle w:val="Hyperlink"/>
          </w:rPr>
          <w:t>Relationship to licence conditions and other relevant legislation</w:t>
        </w:r>
        <w:r>
          <w:rPr>
            <w:webHidden/>
          </w:rPr>
          <w:tab/>
        </w:r>
        <w:r>
          <w:rPr>
            <w:webHidden/>
          </w:rPr>
          <w:fldChar w:fldCharType="begin"/>
        </w:r>
        <w:r>
          <w:rPr>
            <w:webHidden/>
          </w:rPr>
          <w:instrText xml:space="preserve"> PAGEREF _Toc227739358 \h </w:instrText>
        </w:r>
        <w:r>
          <w:rPr>
            <w:webHidden/>
          </w:rPr>
        </w:r>
        <w:r>
          <w:rPr>
            <w:webHidden/>
          </w:rPr>
          <w:fldChar w:fldCharType="separate"/>
        </w:r>
        <w:r>
          <w:rPr>
            <w:webHidden/>
          </w:rPr>
          <w:t>6</w:t>
        </w:r>
        <w:r>
          <w:rPr>
            <w:webHidden/>
          </w:rPr>
          <w:fldChar w:fldCharType="end"/>
        </w:r>
      </w:hyperlink>
    </w:p>
    <w:p w14:paraId="174B41B6" w14:textId="399D91A3" w:rsidR="006D53B3" w:rsidRDefault="006D53B3">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7739359" w:history="1">
        <w:r w:rsidRPr="00911022">
          <w:rPr>
            <w:rStyle w:val="Hyperlink"/>
          </w:rPr>
          <w:t>4.</w:t>
        </w:r>
        <w:r>
          <w:rPr>
            <w:rFonts w:asciiTheme="minorHAnsi" w:eastAsiaTheme="minorEastAsia" w:hAnsiTheme="minorHAnsi" w:cstheme="minorBidi"/>
            <w:kern w:val="2"/>
            <w:szCs w:val="24"/>
            <w:lang w:eastAsia="en-GB" w:bidi="ar-SA"/>
            <w14:ligatures w14:val="standardContextual"/>
          </w:rPr>
          <w:tab/>
        </w:r>
        <w:r w:rsidRPr="00911022">
          <w:rPr>
            <w:rStyle w:val="Hyperlink"/>
          </w:rPr>
          <w:t>Relationship to Safety Assessment Principles, WENRA Reference Levels and IAEA Safety Standards</w:t>
        </w:r>
        <w:r>
          <w:rPr>
            <w:webHidden/>
          </w:rPr>
          <w:tab/>
        </w:r>
        <w:r>
          <w:rPr>
            <w:webHidden/>
          </w:rPr>
          <w:fldChar w:fldCharType="begin"/>
        </w:r>
        <w:r>
          <w:rPr>
            <w:webHidden/>
          </w:rPr>
          <w:instrText xml:space="preserve"> PAGEREF _Toc227739359 \h </w:instrText>
        </w:r>
        <w:r>
          <w:rPr>
            <w:webHidden/>
          </w:rPr>
        </w:r>
        <w:r>
          <w:rPr>
            <w:webHidden/>
          </w:rPr>
          <w:fldChar w:fldCharType="separate"/>
        </w:r>
        <w:r>
          <w:rPr>
            <w:webHidden/>
          </w:rPr>
          <w:t>7</w:t>
        </w:r>
        <w:r>
          <w:rPr>
            <w:webHidden/>
          </w:rPr>
          <w:fldChar w:fldCharType="end"/>
        </w:r>
      </w:hyperlink>
    </w:p>
    <w:p w14:paraId="3D2493E5" w14:textId="3DEAC5A6" w:rsidR="006D53B3" w:rsidRDefault="006D53B3">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7739360" w:history="1">
        <w:r w:rsidRPr="00911022">
          <w:rPr>
            <w:rStyle w:val="Hyperlink"/>
          </w:rPr>
          <w:t>5.</w:t>
        </w:r>
        <w:r>
          <w:rPr>
            <w:rFonts w:asciiTheme="minorHAnsi" w:eastAsiaTheme="minorEastAsia" w:hAnsiTheme="minorHAnsi" w:cstheme="minorBidi"/>
            <w:kern w:val="2"/>
            <w:szCs w:val="24"/>
            <w:lang w:eastAsia="en-GB" w:bidi="ar-SA"/>
            <w14:ligatures w14:val="standardContextual"/>
          </w:rPr>
          <w:tab/>
        </w:r>
        <w:r w:rsidRPr="00911022">
          <w:rPr>
            <w:rStyle w:val="Hyperlink"/>
          </w:rPr>
          <w:t>Advice to inspectors</w:t>
        </w:r>
        <w:r>
          <w:rPr>
            <w:webHidden/>
          </w:rPr>
          <w:tab/>
        </w:r>
        <w:r>
          <w:rPr>
            <w:webHidden/>
          </w:rPr>
          <w:fldChar w:fldCharType="begin"/>
        </w:r>
        <w:r>
          <w:rPr>
            <w:webHidden/>
          </w:rPr>
          <w:instrText xml:space="preserve"> PAGEREF _Toc227739360 \h </w:instrText>
        </w:r>
        <w:r>
          <w:rPr>
            <w:webHidden/>
          </w:rPr>
        </w:r>
        <w:r>
          <w:rPr>
            <w:webHidden/>
          </w:rPr>
          <w:fldChar w:fldCharType="separate"/>
        </w:r>
        <w:r>
          <w:rPr>
            <w:webHidden/>
          </w:rPr>
          <w:t>8</w:t>
        </w:r>
        <w:r>
          <w:rPr>
            <w:webHidden/>
          </w:rPr>
          <w:fldChar w:fldCharType="end"/>
        </w:r>
      </w:hyperlink>
    </w:p>
    <w:p w14:paraId="3F4A9B8C" w14:textId="7D2E5BDA" w:rsidR="006D53B3" w:rsidRDefault="006D53B3">
      <w:pPr>
        <w:pStyle w:val="TOC1"/>
        <w:rPr>
          <w:rFonts w:asciiTheme="minorHAnsi" w:eastAsiaTheme="minorEastAsia" w:hAnsiTheme="minorHAnsi" w:cstheme="minorBidi"/>
          <w:kern w:val="2"/>
          <w:szCs w:val="24"/>
          <w:lang w:eastAsia="en-GB" w:bidi="ar-SA"/>
          <w14:ligatures w14:val="standardContextual"/>
        </w:rPr>
      </w:pPr>
      <w:hyperlink w:anchor="_Toc227739361" w:history="1">
        <w:r w:rsidRPr="00911022">
          <w:rPr>
            <w:rStyle w:val="Hyperlink"/>
          </w:rPr>
          <w:t>References</w:t>
        </w:r>
        <w:r>
          <w:rPr>
            <w:webHidden/>
          </w:rPr>
          <w:tab/>
        </w:r>
        <w:r>
          <w:rPr>
            <w:webHidden/>
          </w:rPr>
          <w:fldChar w:fldCharType="begin"/>
        </w:r>
        <w:r>
          <w:rPr>
            <w:webHidden/>
          </w:rPr>
          <w:instrText xml:space="preserve"> PAGEREF _Toc227739361 \h </w:instrText>
        </w:r>
        <w:r>
          <w:rPr>
            <w:webHidden/>
          </w:rPr>
        </w:r>
        <w:r>
          <w:rPr>
            <w:webHidden/>
          </w:rPr>
          <w:fldChar w:fldCharType="separate"/>
        </w:r>
        <w:r>
          <w:rPr>
            <w:webHidden/>
          </w:rPr>
          <w:t>24</w:t>
        </w:r>
        <w:r>
          <w:rPr>
            <w:webHidden/>
          </w:rPr>
          <w:fldChar w:fldCharType="end"/>
        </w:r>
      </w:hyperlink>
    </w:p>
    <w:p w14:paraId="2C3E1E28" w14:textId="285C3BCE" w:rsidR="006D53B3" w:rsidRDefault="006D53B3">
      <w:pPr>
        <w:pStyle w:val="TOC1"/>
        <w:rPr>
          <w:rFonts w:asciiTheme="minorHAnsi" w:eastAsiaTheme="minorEastAsia" w:hAnsiTheme="minorHAnsi" w:cstheme="minorBidi"/>
          <w:kern w:val="2"/>
          <w:szCs w:val="24"/>
          <w:lang w:eastAsia="en-GB" w:bidi="ar-SA"/>
          <w14:ligatures w14:val="standardContextual"/>
        </w:rPr>
      </w:pPr>
      <w:hyperlink w:anchor="_Toc227739362" w:history="1">
        <w:r w:rsidRPr="00911022">
          <w:rPr>
            <w:rStyle w:val="Hyperlink"/>
          </w:rPr>
          <w:t>List of acronyms, abbreviations and initialisms</w:t>
        </w:r>
        <w:r>
          <w:rPr>
            <w:webHidden/>
          </w:rPr>
          <w:tab/>
        </w:r>
        <w:r>
          <w:rPr>
            <w:webHidden/>
          </w:rPr>
          <w:fldChar w:fldCharType="begin"/>
        </w:r>
        <w:r>
          <w:rPr>
            <w:webHidden/>
          </w:rPr>
          <w:instrText xml:space="preserve"> PAGEREF _Toc227739362 \h </w:instrText>
        </w:r>
        <w:r>
          <w:rPr>
            <w:webHidden/>
          </w:rPr>
        </w:r>
        <w:r>
          <w:rPr>
            <w:webHidden/>
          </w:rPr>
          <w:fldChar w:fldCharType="separate"/>
        </w:r>
        <w:r>
          <w:rPr>
            <w:webHidden/>
          </w:rPr>
          <w:t>25</w:t>
        </w:r>
        <w:r>
          <w:rPr>
            <w:webHidden/>
          </w:rPr>
          <w:fldChar w:fldCharType="end"/>
        </w:r>
      </w:hyperlink>
    </w:p>
    <w:p w14:paraId="6617A544" w14:textId="423581D5" w:rsidR="006D53B3" w:rsidRDefault="006D53B3">
      <w:pPr>
        <w:pStyle w:val="TOC1"/>
        <w:rPr>
          <w:rFonts w:asciiTheme="minorHAnsi" w:eastAsiaTheme="minorEastAsia" w:hAnsiTheme="minorHAnsi" w:cstheme="minorBidi"/>
          <w:kern w:val="2"/>
          <w:szCs w:val="24"/>
          <w:lang w:eastAsia="en-GB" w:bidi="ar-SA"/>
          <w14:ligatures w14:val="standardContextual"/>
        </w:rPr>
      </w:pPr>
      <w:hyperlink w:anchor="_Toc227739363" w:history="1">
        <w:r w:rsidRPr="00911022">
          <w:rPr>
            <w:rStyle w:val="Hyperlink"/>
          </w:rPr>
          <w:t>Document control</w:t>
        </w:r>
        <w:r>
          <w:rPr>
            <w:webHidden/>
          </w:rPr>
          <w:tab/>
        </w:r>
        <w:r>
          <w:rPr>
            <w:webHidden/>
          </w:rPr>
          <w:fldChar w:fldCharType="begin"/>
        </w:r>
        <w:r>
          <w:rPr>
            <w:webHidden/>
          </w:rPr>
          <w:instrText xml:space="preserve"> PAGEREF _Toc227739363 \h </w:instrText>
        </w:r>
        <w:r>
          <w:rPr>
            <w:webHidden/>
          </w:rPr>
        </w:r>
        <w:r>
          <w:rPr>
            <w:webHidden/>
          </w:rPr>
          <w:fldChar w:fldCharType="separate"/>
        </w:r>
        <w:r>
          <w:rPr>
            <w:webHidden/>
          </w:rPr>
          <w:t>26</w:t>
        </w:r>
        <w:r>
          <w:rPr>
            <w:webHidden/>
          </w:rPr>
          <w:fldChar w:fldCharType="end"/>
        </w:r>
      </w:hyperlink>
    </w:p>
    <w:p w14:paraId="0CC4B54A" w14:textId="342C1F82"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default" r:id="rId15"/>
          <w:footerReference w:type="default" r:id="rId16"/>
          <w:pgSz w:w="11906" w:h="16838" w:code="9"/>
          <w:pgMar w:top="1440" w:right="1440" w:bottom="1440" w:left="1440" w:header="397" w:footer="397" w:gutter="0"/>
          <w:cols w:space="312"/>
          <w:docGrid w:linePitch="360"/>
        </w:sectPr>
      </w:pPr>
    </w:p>
    <w:p w14:paraId="184916F2" w14:textId="0AD15829" w:rsidR="00B9646A" w:rsidRDefault="00B9646A" w:rsidP="00B9646A">
      <w:pPr>
        <w:pStyle w:val="Heading1"/>
      </w:pPr>
      <w:bookmarkStart w:id="1" w:name="_Toc227739356"/>
      <w:bookmarkEnd w:id="0"/>
      <w:r>
        <w:lastRenderedPageBreak/>
        <w:t>Introduction</w:t>
      </w:r>
      <w:bookmarkEnd w:id="1"/>
    </w:p>
    <w:p w14:paraId="0BACF865" w14:textId="72C9B66D" w:rsidR="00EF618B" w:rsidRDefault="00057D2A" w:rsidP="005C2E05">
      <w:pPr>
        <w:pStyle w:val="F9-Paragraph"/>
      </w:pPr>
      <w:r>
        <w:t>This Technical Assessment Guide (TAG) is part of a suite of guidance available to ONR inspectors to assist in their application of the Safe</w:t>
      </w:r>
      <w:r w:rsidR="0069629F">
        <w:t>t</w:t>
      </w:r>
      <w:r>
        <w:t xml:space="preserve">y Assessment Principles (SAPs) </w:t>
      </w:r>
      <w:r w:rsidR="00346669">
        <w:t>(</w:t>
      </w:r>
      <w:r w:rsidR="00E92170">
        <w:t>ref.</w:t>
      </w:r>
      <w:r w:rsidR="000F00B4">
        <w:t xml:space="preserve"> </w:t>
      </w:r>
      <w:sdt>
        <w:sdtPr>
          <w:id w:val="1304885524"/>
          <w:citation/>
        </w:sdtPr>
        <w:sdtContent>
          <w:r w:rsidR="00C705E6">
            <w:fldChar w:fldCharType="begin"/>
          </w:r>
          <w:r w:rsidR="00C705E6">
            <w:instrText xml:space="preserve"> CITATION ONR2013 \l 2057 </w:instrText>
          </w:r>
          <w:r w:rsidR="00C705E6">
            <w:fldChar w:fldCharType="separate"/>
          </w:r>
          <w:r w:rsidR="00EF26D2">
            <w:rPr>
              <w:noProof/>
            </w:rPr>
            <w:t>[1]</w:t>
          </w:r>
          <w:r w:rsidR="00C705E6">
            <w:fldChar w:fldCharType="end"/>
          </w:r>
        </w:sdtContent>
      </w:sdt>
      <w:r w:rsidR="00346669">
        <w:t>)</w:t>
      </w:r>
      <w:r>
        <w:t xml:space="preserve"> which are used in the technical assessment of the safety cases for nuclear facilities and in the formation of regulatory judgements.</w:t>
      </w:r>
    </w:p>
    <w:p w14:paraId="114FE583" w14:textId="30C11FC8" w:rsidR="00B9646A" w:rsidRDefault="00057D2A" w:rsidP="005C2E05">
      <w:pPr>
        <w:pStyle w:val="F9-Paragraph"/>
      </w:pPr>
      <w:r>
        <w:t>This TAG has been written with due regard for relevant legislation, license conditions and international guidance. The overarching relationships between the TAGs and these areas of legislation and guidance are discussed further in “</w:t>
      </w:r>
      <w:hyperlink r:id="rId17">
        <w:r w:rsidRPr="364C8C61">
          <w:rPr>
            <w:rStyle w:val="Hyperlink"/>
          </w:rPr>
          <w:t>An Introduction to ONR's technical assessment and inspection guides</w:t>
        </w:r>
      </w:hyperlink>
      <w:r>
        <w:t xml:space="preserve">” </w:t>
      </w:r>
      <w:r w:rsidR="001E5756">
        <w:t xml:space="preserve">(ref. </w:t>
      </w:r>
      <w:sdt>
        <w:sdtPr>
          <w:id w:val="-1838684607"/>
          <w:citation/>
        </w:sdtPr>
        <w:sdtContent>
          <w:r>
            <w:fldChar w:fldCharType="begin"/>
          </w:r>
          <w:r w:rsidR="00AF1A6B">
            <w:instrText xml:space="preserve">CITATION ONR25 \l 2057 </w:instrText>
          </w:r>
          <w:r>
            <w:fldChar w:fldCharType="separate"/>
          </w:r>
          <w:r w:rsidR="00EF26D2">
            <w:rPr>
              <w:noProof/>
            </w:rPr>
            <w:t>[2]</w:t>
          </w:r>
          <w:r>
            <w:fldChar w:fldCharType="end"/>
          </w:r>
        </w:sdtContent>
      </w:sdt>
      <w:r w:rsidR="001E5756">
        <w:t>)</w:t>
      </w:r>
      <w:r>
        <w:t xml:space="preserve">. </w:t>
      </w:r>
    </w:p>
    <w:p w14:paraId="23EE8A2A" w14:textId="77777777" w:rsidR="00B9646A" w:rsidRDefault="00B9646A" w:rsidP="00D83BF2">
      <w:pPr>
        <w:pStyle w:val="Heading1"/>
        <w:numPr>
          <w:ilvl w:val="0"/>
          <w:numId w:val="0"/>
        </w:numPr>
        <w:ind w:left="851"/>
        <w:sectPr w:rsidR="00B9646A" w:rsidSect="000B2BCD">
          <w:headerReference w:type="default" r:id="rId18"/>
          <w:footerReference w:type="default" r:id="rId19"/>
          <w:pgSz w:w="11906" w:h="16838" w:code="9"/>
          <w:pgMar w:top="1440" w:right="1440" w:bottom="1440" w:left="1440" w:header="397" w:footer="397" w:gutter="0"/>
          <w:cols w:space="312"/>
          <w:docGrid w:linePitch="360"/>
        </w:sectPr>
      </w:pPr>
      <w:bookmarkStart w:id="2" w:name="_Toc524357613"/>
    </w:p>
    <w:p w14:paraId="3477293D" w14:textId="345E3DC7" w:rsidR="00B9646A" w:rsidRDefault="00B9646A" w:rsidP="006272EF">
      <w:pPr>
        <w:pStyle w:val="Heading1"/>
        <w:ind w:left="851" w:hanging="851"/>
      </w:pPr>
      <w:bookmarkStart w:id="3" w:name="_Toc227739357"/>
      <w:r>
        <w:lastRenderedPageBreak/>
        <w:t xml:space="preserve">Purpose and </w:t>
      </w:r>
      <w:r w:rsidR="00385E4D">
        <w:t>s</w:t>
      </w:r>
      <w:r>
        <w:t>cope</w:t>
      </w:r>
      <w:bookmarkEnd w:id="2"/>
      <w:bookmarkEnd w:id="3"/>
    </w:p>
    <w:p w14:paraId="348876F0" w14:textId="237CB8E7" w:rsidR="009013C5" w:rsidRDefault="00EF618B" w:rsidP="009013C5">
      <w:pPr>
        <w:pStyle w:val="F9-Paragraph"/>
      </w:pPr>
      <w:r w:rsidRPr="00656B3E">
        <w:t>This</w:t>
      </w:r>
      <w:r>
        <w:t xml:space="preserve"> TAG</w:t>
      </w:r>
      <w:r w:rsidRPr="00656B3E">
        <w:t xml:space="preserve"> provides advice to </w:t>
      </w:r>
      <w:r>
        <w:t>ONR inspectors</w:t>
      </w:r>
      <w:r w:rsidRPr="00656B3E">
        <w:t xml:space="preserve"> on the interpretation of the </w:t>
      </w:r>
      <w:r>
        <w:t xml:space="preserve">SAPs </w:t>
      </w:r>
      <w:r w:rsidRPr="00656B3E">
        <w:t xml:space="preserve">covering the </w:t>
      </w:r>
      <w:r>
        <w:t xml:space="preserve">assurance of validity of data and models </w:t>
      </w:r>
      <w:r w:rsidRPr="00656B3E">
        <w:t xml:space="preserve">used to perform analysis in </w:t>
      </w:r>
      <w:r>
        <w:t>support of</w:t>
      </w:r>
      <w:r w:rsidR="007D626C">
        <w:t xml:space="preserve"> </w:t>
      </w:r>
      <w:r>
        <w:t xml:space="preserve">safety cases. </w:t>
      </w:r>
      <w:r w:rsidR="009013C5">
        <w:t xml:space="preserve">ONR does not </w:t>
      </w:r>
      <w:r w:rsidR="00821A27">
        <w:t>‘</w:t>
      </w:r>
      <w:r w:rsidR="009013C5">
        <w:t>approve</w:t>
      </w:r>
      <w:r w:rsidR="00821A27">
        <w:t>’</w:t>
      </w:r>
      <w:r w:rsidR="009013C5">
        <w:t xml:space="preserve"> calculation methods</w:t>
      </w:r>
      <w:r w:rsidR="00D00E1A">
        <w:rPr>
          <w:rStyle w:val="FootnoteReference"/>
        </w:rPr>
        <w:footnoteReference w:id="2"/>
      </w:r>
      <w:r w:rsidR="009013C5">
        <w:t xml:space="preserve">; instead, it assesses their application on a case-by-case basis. This TAG assists ONR inspectors in their assessment of </w:t>
      </w:r>
      <w:r w:rsidR="00C75E71">
        <w:t>a dutyholder’s</w:t>
      </w:r>
      <w:r w:rsidR="00A34996">
        <w:rPr>
          <w:rStyle w:val="FootnoteReference"/>
        </w:rPr>
        <w:footnoteReference w:id="3"/>
      </w:r>
      <w:r w:rsidR="009013C5">
        <w:t xml:space="preserve"> application of calculation methods.</w:t>
      </w:r>
    </w:p>
    <w:p w14:paraId="4DEC343F" w14:textId="114E138C" w:rsidR="005C317F" w:rsidRDefault="005C317F" w:rsidP="00641509">
      <w:pPr>
        <w:pStyle w:val="F9-Paragraph"/>
      </w:pPr>
      <w:r w:rsidRPr="00CB4F65">
        <w:t xml:space="preserve">This TAG is intended to apply primarily to the assessment of the validation of </w:t>
      </w:r>
      <w:r>
        <w:t xml:space="preserve">calculation methods </w:t>
      </w:r>
      <w:r w:rsidRPr="00CB4F65">
        <w:t xml:space="preserve">used </w:t>
      </w:r>
      <w:r w:rsidR="00CE44B6">
        <w:t xml:space="preserve">for deterministic analysis in </w:t>
      </w:r>
      <w:r>
        <w:t xml:space="preserve">support </w:t>
      </w:r>
      <w:r w:rsidR="00CE44B6">
        <w:t xml:space="preserve">of </w:t>
      </w:r>
      <w:r>
        <w:t xml:space="preserve">a safety case. This includes, but is not limited to, </w:t>
      </w:r>
      <w:r w:rsidRPr="00CB4F65">
        <w:t>physics, thermal</w:t>
      </w:r>
      <w:r>
        <w:t>-hydraulics</w:t>
      </w:r>
      <w:r w:rsidR="00007522">
        <w:t xml:space="preserve">, radiological consequence assessment </w:t>
      </w:r>
      <w:r>
        <w:t>and</w:t>
      </w:r>
      <w:r w:rsidRPr="00CB4F65">
        <w:t xml:space="preserve"> structural analysis </w:t>
      </w:r>
      <w:r w:rsidR="00641509">
        <w:t>calculation</w:t>
      </w:r>
      <w:r w:rsidRPr="00CB4F65">
        <w:t xml:space="preserve"> methods.</w:t>
      </w:r>
      <w:r>
        <w:t xml:space="preserve"> Whilst this TAG is largely focussed on deterministic </w:t>
      </w:r>
      <w:r w:rsidR="00641509">
        <w:t xml:space="preserve">calculation </w:t>
      </w:r>
      <w:r>
        <w:t xml:space="preserve">methods, the principles outlined here could generally be applied with judgement to probabilistic methods, </w:t>
      </w:r>
      <w:r w:rsidRPr="00CB4F65">
        <w:t xml:space="preserve">other analyses forming part of fault analysis and other areas of the safety case underpinned by analysis and/or data, </w:t>
      </w:r>
      <w:r>
        <w:t>such as</w:t>
      </w:r>
      <w:r w:rsidRPr="00CB4F65">
        <w:t xml:space="preserve"> engineering substantiation.</w:t>
      </w:r>
      <w:r w:rsidR="002B109C">
        <w:t xml:space="preserve"> </w:t>
      </w:r>
      <w:r w:rsidR="00E1761F">
        <w:t>In add</w:t>
      </w:r>
      <w:r w:rsidR="00D9146D">
        <w:t xml:space="preserve">ition, the expectations included here </w:t>
      </w:r>
      <w:r w:rsidR="009133E5">
        <w:t>may</w:t>
      </w:r>
      <w:r w:rsidR="00D9146D">
        <w:t xml:space="preserve"> also be applied </w:t>
      </w:r>
      <w:r w:rsidR="00A37B04">
        <w:t>to</w:t>
      </w:r>
      <w:r w:rsidR="00D9146D">
        <w:t xml:space="preserve"> ONR’s other purposes, such as </w:t>
      </w:r>
      <w:r w:rsidR="002B109C">
        <w:t>safeguards and security</w:t>
      </w:r>
      <w:r w:rsidR="00A37B04">
        <w:t>, where calculation methods are used to represent physical and chemical phenomena</w:t>
      </w:r>
      <w:r w:rsidR="009133E5">
        <w:t>.</w:t>
      </w:r>
    </w:p>
    <w:p w14:paraId="6B2875B9" w14:textId="265E1BE2" w:rsidR="00641509" w:rsidRDefault="00641509" w:rsidP="00641509">
      <w:pPr>
        <w:pStyle w:val="F9-Paragraph"/>
      </w:pPr>
      <w:r>
        <w:t>The guidance is applicable to design basis and beyond design basis analysis techniques</w:t>
      </w:r>
      <w:r w:rsidR="002960B9">
        <w:t>, including codes for severe accident analysis</w:t>
      </w:r>
      <w:r>
        <w:t>; however, this should be applied using a graded approach. This TAG provides guidance on how to apply the graded approach</w:t>
      </w:r>
      <w:r w:rsidRPr="00CB4F65">
        <w:t>.</w:t>
      </w:r>
    </w:p>
    <w:p w14:paraId="5637BA1C" w14:textId="7D3F14E3" w:rsidR="001F0648" w:rsidRPr="003D6F6C" w:rsidRDefault="001F0648" w:rsidP="00322423">
      <w:pPr>
        <w:pStyle w:val="F9-Paragraph"/>
        <w:rPr>
          <w:lang w:eastAsia="en-GB"/>
        </w:rPr>
      </w:pPr>
      <w:r w:rsidRPr="62708CE5">
        <w:rPr>
          <w:lang w:eastAsia="en-GB"/>
        </w:rPr>
        <w:t xml:space="preserve">The </w:t>
      </w:r>
      <w:r w:rsidR="00B75CCE">
        <w:rPr>
          <w:lang w:eastAsia="en-GB"/>
        </w:rPr>
        <w:t>terms</w:t>
      </w:r>
      <w:r w:rsidRPr="62708CE5">
        <w:rPr>
          <w:lang w:eastAsia="en-GB"/>
        </w:rPr>
        <w:t xml:space="preserve"> ‘verification</w:t>
      </w:r>
      <w:r w:rsidR="00B75CCE">
        <w:rPr>
          <w:lang w:eastAsia="en-GB"/>
        </w:rPr>
        <w:t>’</w:t>
      </w:r>
      <w:r w:rsidRPr="62708CE5">
        <w:rPr>
          <w:lang w:eastAsia="en-GB"/>
        </w:rPr>
        <w:t xml:space="preserve"> and </w:t>
      </w:r>
      <w:r w:rsidR="00B75CCE">
        <w:rPr>
          <w:lang w:eastAsia="en-GB"/>
        </w:rPr>
        <w:t>‘</w:t>
      </w:r>
      <w:r w:rsidRPr="62708CE5">
        <w:rPr>
          <w:lang w:eastAsia="en-GB"/>
        </w:rPr>
        <w:t xml:space="preserve">validation’ </w:t>
      </w:r>
      <w:r w:rsidR="00B75CCE">
        <w:rPr>
          <w:lang w:eastAsia="en-GB"/>
        </w:rPr>
        <w:t>are</w:t>
      </w:r>
      <w:r w:rsidRPr="62708CE5">
        <w:rPr>
          <w:lang w:eastAsia="en-GB"/>
        </w:rPr>
        <w:t xml:space="preserve"> commonly used to refer to the process of confirming that a </w:t>
      </w:r>
      <w:r w:rsidR="00641509" w:rsidRPr="62708CE5">
        <w:rPr>
          <w:lang w:eastAsia="en-GB"/>
        </w:rPr>
        <w:t xml:space="preserve">calculation </w:t>
      </w:r>
      <w:r w:rsidRPr="62708CE5">
        <w:rPr>
          <w:lang w:eastAsia="en-GB"/>
        </w:rPr>
        <w:t xml:space="preserve">method is suitable for its intended application. Verification </w:t>
      </w:r>
      <w:r w:rsidR="0000509C" w:rsidRPr="62708CE5">
        <w:rPr>
          <w:lang w:eastAsia="en-GB"/>
        </w:rPr>
        <w:t xml:space="preserve">provides confidence </w:t>
      </w:r>
      <w:r w:rsidRPr="62708CE5">
        <w:rPr>
          <w:lang w:eastAsia="en-GB"/>
        </w:rPr>
        <w:t xml:space="preserve">that the </w:t>
      </w:r>
      <w:r w:rsidR="00D74B19" w:rsidRPr="62708CE5">
        <w:rPr>
          <w:lang w:eastAsia="en-GB"/>
        </w:rPr>
        <w:t>models</w:t>
      </w:r>
      <w:r w:rsidRPr="62708CE5">
        <w:rPr>
          <w:lang w:eastAsia="en-GB"/>
        </w:rPr>
        <w:t xml:space="preserve"> </w:t>
      </w:r>
      <w:r w:rsidR="00D74B19" w:rsidRPr="62708CE5">
        <w:rPr>
          <w:lang w:eastAsia="en-GB"/>
        </w:rPr>
        <w:t>a</w:t>
      </w:r>
      <w:r w:rsidRPr="62708CE5">
        <w:rPr>
          <w:lang w:eastAsia="en-GB"/>
        </w:rPr>
        <w:t xml:space="preserve">re accurately reflected in the </w:t>
      </w:r>
      <w:r w:rsidR="00D74B19" w:rsidRPr="62708CE5">
        <w:rPr>
          <w:lang w:eastAsia="en-GB"/>
        </w:rPr>
        <w:t xml:space="preserve">calculation </w:t>
      </w:r>
      <w:r w:rsidRPr="62708CE5">
        <w:rPr>
          <w:lang w:eastAsia="en-GB"/>
        </w:rPr>
        <w:t xml:space="preserve">method, while validation </w:t>
      </w:r>
      <w:r w:rsidR="001235DA" w:rsidRPr="62708CE5">
        <w:rPr>
          <w:lang w:eastAsia="en-GB"/>
        </w:rPr>
        <w:t xml:space="preserve">provides confidence </w:t>
      </w:r>
      <w:r w:rsidRPr="62708CE5">
        <w:rPr>
          <w:lang w:eastAsia="en-GB"/>
        </w:rPr>
        <w:t>that the method is appropriate for modelling the facility and the processes occurring within it.</w:t>
      </w:r>
      <w:r w:rsidR="001324AA" w:rsidRPr="62708CE5">
        <w:rPr>
          <w:lang w:eastAsia="en-GB"/>
        </w:rPr>
        <w:t xml:space="preserve"> </w:t>
      </w:r>
      <w:r w:rsidR="002A52F2">
        <w:rPr>
          <w:lang w:eastAsia="en-GB"/>
        </w:rPr>
        <w:t>V</w:t>
      </w:r>
      <w:r w:rsidR="00322423" w:rsidRPr="62708CE5">
        <w:rPr>
          <w:lang w:eastAsia="en-GB"/>
        </w:rPr>
        <w:t xml:space="preserve">erification is typically more straightforward and internal to the method development process. In contrast, validation requires demonstrating that the method can accurately reproduce </w:t>
      </w:r>
      <w:r w:rsidR="00C60D48" w:rsidRPr="62708CE5">
        <w:rPr>
          <w:lang w:eastAsia="en-GB"/>
        </w:rPr>
        <w:t>a facili</w:t>
      </w:r>
      <w:r w:rsidR="000B4D70">
        <w:rPr>
          <w:lang w:eastAsia="en-GB"/>
        </w:rPr>
        <w:t>ty’s</w:t>
      </w:r>
      <w:r w:rsidR="00322423" w:rsidRPr="62708CE5">
        <w:rPr>
          <w:lang w:eastAsia="en-GB"/>
        </w:rPr>
        <w:t xml:space="preserve"> behaviour under relevant conditions, which is more complex. </w:t>
      </w:r>
      <w:r w:rsidR="00EF043C">
        <w:rPr>
          <w:lang w:eastAsia="en-GB"/>
        </w:rPr>
        <w:t xml:space="preserve">Due to the complexity and </w:t>
      </w:r>
      <w:r w:rsidR="00DD7E0D">
        <w:rPr>
          <w:lang w:eastAsia="en-GB"/>
        </w:rPr>
        <w:t xml:space="preserve">substantial effort </w:t>
      </w:r>
      <w:r w:rsidR="00D03159">
        <w:rPr>
          <w:lang w:eastAsia="en-GB"/>
        </w:rPr>
        <w:t xml:space="preserve">involved, ONR typically focusses on validation of </w:t>
      </w:r>
      <w:r w:rsidR="00391872">
        <w:rPr>
          <w:lang w:eastAsia="en-GB"/>
        </w:rPr>
        <w:t>calculation methods</w:t>
      </w:r>
      <w:r w:rsidR="006E0F83" w:rsidRPr="62708CE5">
        <w:rPr>
          <w:lang w:eastAsia="en-GB"/>
        </w:rPr>
        <w:t>.</w:t>
      </w:r>
    </w:p>
    <w:p w14:paraId="09FAD20D" w14:textId="418BCEB3" w:rsidR="00B9646A" w:rsidRDefault="00B9646A" w:rsidP="00B9646A">
      <w:pPr>
        <w:pStyle w:val="F9-Paragraph"/>
      </w:pPr>
      <w:r w:rsidRPr="00CB4F65">
        <w:lastRenderedPageBreak/>
        <w:t xml:space="preserve">This TAG is not directly applicable to the assessment of the validity of software used for control and protection of operational nuclear plant and processes. These are covered in ONR’s </w:t>
      </w:r>
      <w:r w:rsidR="00DE36C6">
        <w:t>TAG on c</w:t>
      </w:r>
      <w:r w:rsidRPr="00CB4F65">
        <w:t>omputer</w:t>
      </w:r>
      <w:r w:rsidR="00953728">
        <w:t>-</w:t>
      </w:r>
      <w:r w:rsidR="00DE36C6">
        <w:t>b</w:t>
      </w:r>
      <w:r w:rsidRPr="00CB4F65">
        <w:t xml:space="preserve">ased </w:t>
      </w:r>
      <w:r w:rsidR="00DE36C6">
        <w:t>s</w:t>
      </w:r>
      <w:r w:rsidRPr="00CB4F65">
        <w:t xml:space="preserve">afety </w:t>
      </w:r>
      <w:r w:rsidR="00DE36C6">
        <w:t>s</w:t>
      </w:r>
      <w:r w:rsidRPr="00CB4F65">
        <w:t>ystems</w:t>
      </w:r>
      <w:r w:rsidR="00DE36C6">
        <w:t xml:space="preserve"> </w:t>
      </w:r>
      <w:r w:rsidR="001E5756">
        <w:t xml:space="preserve">(ref. </w:t>
      </w:r>
      <w:sdt>
        <w:sdtPr>
          <w:id w:val="1496838177"/>
          <w:citation/>
        </w:sdtPr>
        <w:sdtContent>
          <w:r w:rsidR="00DE36C6">
            <w:fldChar w:fldCharType="begin"/>
          </w:r>
          <w:r w:rsidR="0053667D">
            <w:instrText xml:space="preserve">CITATION ONR141 \l 2057 </w:instrText>
          </w:r>
          <w:r w:rsidR="00DE36C6">
            <w:fldChar w:fldCharType="separate"/>
          </w:r>
          <w:r w:rsidR="00EF26D2">
            <w:rPr>
              <w:noProof/>
            </w:rPr>
            <w:t>[3]</w:t>
          </w:r>
          <w:r w:rsidR="00DE36C6">
            <w:fldChar w:fldCharType="end"/>
          </w:r>
        </w:sdtContent>
      </w:sdt>
      <w:r w:rsidR="001E5756">
        <w:t>)</w:t>
      </w:r>
      <w:r w:rsidR="005C01A0">
        <w:t>.</w:t>
      </w:r>
    </w:p>
    <w:p w14:paraId="78E1C3FA" w14:textId="0305068A" w:rsidR="00980BCD" w:rsidRPr="00CB4F65" w:rsidRDefault="00CF42D5" w:rsidP="00B9646A">
      <w:pPr>
        <w:pStyle w:val="F9-Paragraph"/>
      </w:pPr>
      <w:r>
        <w:t>T</w:t>
      </w:r>
      <w:r w:rsidR="00980BCD">
        <w:t>h</w:t>
      </w:r>
      <w:r w:rsidR="005C01A0">
        <w:t>e</w:t>
      </w:r>
      <w:r>
        <w:t xml:space="preserve"> majority of the</w:t>
      </w:r>
      <w:r w:rsidR="00980BCD">
        <w:t xml:space="preserve"> </w:t>
      </w:r>
      <w:r w:rsidR="00EB79B1">
        <w:t xml:space="preserve">expectations </w:t>
      </w:r>
      <w:r w:rsidR="0095217F">
        <w:t xml:space="preserve">laid out in this TAG are applicable to </w:t>
      </w:r>
      <w:r w:rsidR="00B76E2A">
        <w:t>calculation methods</w:t>
      </w:r>
      <w:r w:rsidR="0095217F">
        <w:t xml:space="preserve">. </w:t>
      </w:r>
      <w:r w:rsidR="003D22FA">
        <w:t xml:space="preserve">Expectations related to </w:t>
      </w:r>
      <w:r w:rsidR="00980BCD">
        <w:t xml:space="preserve">codes/scripts used for verification of </w:t>
      </w:r>
      <w:r w:rsidR="00B76E2A">
        <w:t xml:space="preserve">calculation methods </w:t>
      </w:r>
      <w:r w:rsidR="00AA0A46">
        <w:t xml:space="preserve">(such as regression testing codes) or </w:t>
      </w:r>
      <w:r w:rsidR="00CA6DD3">
        <w:t>other codes</w:t>
      </w:r>
      <w:r w:rsidR="00EB79B1">
        <w:t xml:space="preserve"> used</w:t>
      </w:r>
      <w:r w:rsidR="00AF5580">
        <w:t xml:space="preserve"> only</w:t>
      </w:r>
      <w:r w:rsidR="00EB79B1">
        <w:t xml:space="preserve"> for quality assurance purposes</w:t>
      </w:r>
      <w:r w:rsidR="003D22FA">
        <w:t xml:space="preserve"> are </w:t>
      </w:r>
      <w:r w:rsidR="006B7356">
        <w:t>covered at a high level in s</w:t>
      </w:r>
      <w:r w:rsidR="006E18C4">
        <w:t>ection 5.4</w:t>
      </w:r>
      <w:r w:rsidR="00F52ACC">
        <w:t>, and are not the focus of this TAG</w:t>
      </w:r>
      <w:r w:rsidR="00EB79B1">
        <w:t>.</w:t>
      </w:r>
    </w:p>
    <w:p w14:paraId="612FE7C1" w14:textId="77777777" w:rsidR="00BC0898" w:rsidRDefault="00BC0898">
      <w:pPr>
        <w:spacing w:after="0" w:line="240" w:lineRule="auto"/>
        <w:rPr>
          <w:color w:val="22413A"/>
          <w:sz w:val="48"/>
        </w:rPr>
      </w:pPr>
      <w:bookmarkStart w:id="4" w:name="_Toc524357614"/>
      <w:r>
        <w:br w:type="page"/>
      </w:r>
    </w:p>
    <w:p w14:paraId="4B6898B1" w14:textId="19C8F6DB" w:rsidR="00B9646A" w:rsidRDefault="00B9646A" w:rsidP="006272EF">
      <w:pPr>
        <w:pStyle w:val="Heading1"/>
        <w:ind w:left="851" w:hanging="851"/>
      </w:pPr>
      <w:bookmarkStart w:id="5" w:name="_Toc227739358"/>
      <w:r>
        <w:lastRenderedPageBreak/>
        <w:t xml:space="preserve">Relationship to licence </w:t>
      </w:r>
      <w:r w:rsidR="00C236E1">
        <w:t>c</w:t>
      </w:r>
      <w:r w:rsidR="00C236E1" w:rsidRPr="00D43199">
        <w:t>onditions</w:t>
      </w:r>
      <w:bookmarkEnd w:id="4"/>
      <w:r w:rsidR="009A3662">
        <w:t xml:space="preserve"> and other relevant legislation</w:t>
      </w:r>
      <w:bookmarkEnd w:id="5"/>
    </w:p>
    <w:p w14:paraId="517DE460" w14:textId="7FB0E82A" w:rsidR="000A7D6B" w:rsidRPr="000A7D6B" w:rsidRDefault="00D43199" w:rsidP="00D43199">
      <w:pPr>
        <w:pStyle w:val="F9-Paragraph"/>
      </w:pPr>
      <w:r w:rsidRPr="00D43199">
        <w:t>The nuclear site Licence Conditions (LC</w:t>
      </w:r>
      <w:r w:rsidRPr="00D43199" w:rsidDel="00872C6B">
        <w:t>s</w:t>
      </w:r>
      <w:r w:rsidRPr="00D43199">
        <w:t xml:space="preserve">) place legal requirements on the licensee </w:t>
      </w:r>
      <w:r w:rsidR="00B81D55">
        <w:t xml:space="preserve">and </w:t>
      </w:r>
      <w:r w:rsidRPr="00D43199">
        <w:t xml:space="preserve">provide a legal framework which can be drawn on in assessment. The following </w:t>
      </w:r>
      <w:r w:rsidR="00B81D55">
        <w:t xml:space="preserve">LCs </w:t>
      </w:r>
      <w:r w:rsidRPr="00D43199">
        <w:t xml:space="preserve">are of particular relevance in the context of </w:t>
      </w:r>
      <w:r w:rsidR="00D24A0C">
        <w:t>a</w:t>
      </w:r>
      <w:r w:rsidR="00D24A0C" w:rsidRPr="00D24A0C">
        <w:t>ssurance of validity of data and models</w:t>
      </w:r>
      <w:r w:rsidR="00D24A0C">
        <w:t>:</w:t>
      </w:r>
    </w:p>
    <w:p w14:paraId="27FCD779" w14:textId="1F7231F3" w:rsidR="00B9646A" w:rsidRPr="00CB4F65" w:rsidRDefault="00B9646A" w:rsidP="00D24A0C">
      <w:pPr>
        <w:pStyle w:val="Bulletlist1"/>
      </w:pPr>
      <w:r w:rsidRPr="00DE36C6">
        <w:rPr>
          <w:b/>
        </w:rPr>
        <w:t>Licence Condition 19</w:t>
      </w:r>
      <w:r w:rsidR="00792659">
        <w:rPr>
          <w:b/>
        </w:rPr>
        <w:t>(4)</w:t>
      </w:r>
      <w:r w:rsidRPr="00CB4F65">
        <w:t xml:space="preserve"> - Installation of new plant </w:t>
      </w:r>
      <w:r w:rsidRPr="00656B3E">
        <w:t xml:space="preserve">requires </w:t>
      </w:r>
      <w:r>
        <w:t>“</w:t>
      </w:r>
      <w:r w:rsidRPr="00CB4F65">
        <w:t>adequate documentation to justify the safety of the proposed construction or installation</w:t>
      </w:r>
      <w:r>
        <w:t xml:space="preserve">”. </w:t>
      </w:r>
    </w:p>
    <w:p w14:paraId="29E30976" w14:textId="41A4F3B8" w:rsidR="00B9646A" w:rsidRDefault="00B9646A" w:rsidP="00D24A0C">
      <w:pPr>
        <w:pStyle w:val="Bulletlist1"/>
      </w:pPr>
      <w:r w:rsidRPr="00DE36C6">
        <w:rPr>
          <w:b/>
        </w:rPr>
        <w:t>Licence Condition 22</w:t>
      </w:r>
      <w:r w:rsidR="005A1382">
        <w:rPr>
          <w:b/>
        </w:rPr>
        <w:t>(4)</w:t>
      </w:r>
      <w:r w:rsidRPr="00CB4F65">
        <w:t xml:space="preserve"> </w:t>
      </w:r>
      <w:r w:rsidR="00514F4B">
        <w:t xml:space="preserve">- </w:t>
      </w:r>
      <w:r w:rsidRPr="00CB4F65">
        <w:t xml:space="preserve">Modification or experiment on existing plant </w:t>
      </w:r>
      <w:r w:rsidRPr="00656B3E">
        <w:t xml:space="preserve">requires </w:t>
      </w:r>
      <w:r w:rsidR="00641509">
        <w:t>“</w:t>
      </w:r>
      <w:r w:rsidR="005A1382">
        <w:t xml:space="preserve">adequate documentation to </w:t>
      </w:r>
      <w:r w:rsidR="002523A1">
        <w:t>justify the safety of the proposed modification or experiment”.</w:t>
      </w:r>
      <w:r w:rsidRPr="00656B3E">
        <w:t xml:space="preserve"> </w:t>
      </w:r>
    </w:p>
    <w:p w14:paraId="0BBB1DDA" w14:textId="7026B9F9" w:rsidR="00B9646A" w:rsidRDefault="00B9646A" w:rsidP="00D24A0C">
      <w:pPr>
        <w:pStyle w:val="Bulletlist1"/>
      </w:pPr>
      <w:r w:rsidRPr="00DE36C6">
        <w:rPr>
          <w:b/>
        </w:rPr>
        <w:t>Licence Condition 23</w:t>
      </w:r>
      <w:r w:rsidR="006F6AB1">
        <w:rPr>
          <w:b/>
        </w:rPr>
        <w:t>(</w:t>
      </w:r>
      <w:r w:rsidR="004C1096">
        <w:rPr>
          <w:b/>
        </w:rPr>
        <w:t>1</w:t>
      </w:r>
      <w:r w:rsidR="006F6AB1">
        <w:rPr>
          <w:b/>
        </w:rPr>
        <w:t>)</w:t>
      </w:r>
      <w:r w:rsidRPr="00CB4F65">
        <w:t xml:space="preserve"> </w:t>
      </w:r>
      <w:r w:rsidR="00514F4B">
        <w:t xml:space="preserve">- </w:t>
      </w:r>
      <w:r w:rsidRPr="00CB4F65">
        <w:t>Operating Rules requires</w:t>
      </w:r>
      <w:r w:rsidRPr="00367A29">
        <w:t xml:space="preserve"> </w:t>
      </w:r>
      <w:r w:rsidR="006F6AB1">
        <w:t>a licensee to “produce</w:t>
      </w:r>
      <w:r w:rsidR="008A3135">
        <w:t xml:space="preserve"> an adequate safety case to demonstrate the safety of that operation and to identify the conditions and limits necessary in the interests of safety”</w:t>
      </w:r>
      <w:r w:rsidRPr="00367A29">
        <w:t xml:space="preserve">. </w:t>
      </w:r>
      <w:bookmarkStart w:id="6" w:name="_Toc524357615"/>
    </w:p>
    <w:p w14:paraId="79473A35" w14:textId="64B45C95" w:rsidR="00B40065" w:rsidRPr="00E47A9B" w:rsidRDefault="00641509" w:rsidP="00E47A9B">
      <w:pPr>
        <w:pStyle w:val="F9-Paragraph"/>
      </w:pPr>
      <w:r>
        <w:t xml:space="preserve">Depending on the complexity of a facility, an adequate safety case is likely to be based on safety analysis carried out by various calculation methods. </w:t>
      </w:r>
      <w:r w:rsidRPr="00656B3E">
        <w:t xml:space="preserve">The </w:t>
      </w:r>
      <w:r>
        <w:t xml:space="preserve">calculation methods </w:t>
      </w:r>
      <w:r w:rsidRPr="00656B3E">
        <w:t>should be validated prior to their use in the production of safety</w:t>
      </w:r>
      <w:r>
        <w:t xml:space="preserve"> cases.</w:t>
      </w:r>
      <w:r w:rsidR="00B40065">
        <w:br w:type="page"/>
      </w:r>
    </w:p>
    <w:p w14:paraId="32346E82" w14:textId="15A7CE37" w:rsidR="00B9646A" w:rsidRDefault="00B9646A" w:rsidP="006272EF">
      <w:pPr>
        <w:pStyle w:val="Heading1"/>
        <w:ind w:left="851" w:hanging="851"/>
      </w:pPr>
      <w:bookmarkStart w:id="7" w:name="_Toc227739359"/>
      <w:r>
        <w:lastRenderedPageBreak/>
        <w:t>Relationship to S</w:t>
      </w:r>
      <w:r w:rsidR="002D53A6">
        <w:t>afety Assessment Principles</w:t>
      </w:r>
      <w:r>
        <w:t>, WENRA Reference Levels and IAEA Safety Standards</w:t>
      </w:r>
      <w:bookmarkEnd w:id="6"/>
      <w:bookmarkEnd w:id="7"/>
    </w:p>
    <w:p w14:paraId="2080497F" w14:textId="2A64231A" w:rsidR="00B9646A" w:rsidRDefault="00DE36C6" w:rsidP="00B9646A">
      <w:pPr>
        <w:pStyle w:val="F9-Paragraph"/>
      </w:pPr>
      <w:r>
        <w:t>ONR’s</w:t>
      </w:r>
      <w:r w:rsidR="00B9646A">
        <w:t xml:space="preserve"> SAPs</w:t>
      </w:r>
      <w:r>
        <w:t xml:space="preserve"> </w:t>
      </w:r>
      <w:sdt>
        <w:sdtPr>
          <w:id w:val="376436504"/>
          <w:citation/>
        </w:sdtPr>
        <w:sdtContent>
          <w:r>
            <w:fldChar w:fldCharType="begin"/>
          </w:r>
          <w:r w:rsidR="0053667D">
            <w:instrText xml:space="preserve">CITATION ONR2013 \l 2057 </w:instrText>
          </w:r>
          <w:r>
            <w:fldChar w:fldCharType="separate"/>
          </w:r>
          <w:r w:rsidR="00EF26D2">
            <w:rPr>
              <w:noProof/>
            </w:rPr>
            <w:t>[1]</w:t>
          </w:r>
          <w:r>
            <w:fldChar w:fldCharType="end"/>
          </w:r>
        </w:sdtContent>
      </w:sdt>
      <w:r w:rsidR="00B9646A">
        <w:t xml:space="preserve"> are benchmarked against the WENRA </w:t>
      </w:r>
      <w:r>
        <w:t>R</w:t>
      </w:r>
      <w:r w:rsidR="00B9646A">
        <w:t xml:space="preserve">eference </w:t>
      </w:r>
      <w:r>
        <w:t>L</w:t>
      </w:r>
      <w:r w:rsidR="00B9646A">
        <w:t xml:space="preserve">evels </w:t>
      </w:r>
      <w:sdt>
        <w:sdtPr>
          <w:id w:val="-640187926"/>
          <w:citation/>
        </w:sdtPr>
        <w:sdtContent>
          <w:r>
            <w:fldChar w:fldCharType="begin"/>
          </w:r>
          <w:r w:rsidR="0053667D">
            <w:instrText xml:space="preserve">CITATION WEN20 \l 2057 </w:instrText>
          </w:r>
          <w:r>
            <w:fldChar w:fldCharType="separate"/>
          </w:r>
          <w:r w:rsidR="00EF26D2">
            <w:rPr>
              <w:noProof/>
            </w:rPr>
            <w:t>[4]</w:t>
          </w:r>
          <w:r>
            <w:fldChar w:fldCharType="end"/>
          </w:r>
        </w:sdtContent>
      </w:sdt>
      <w:r>
        <w:t xml:space="preserve"> </w:t>
      </w:r>
      <w:r w:rsidR="00B9646A">
        <w:t xml:space="preserve">and against applicable IAEA </w:t>
      </w:r>
      <w:r>
        <w:t>S</w:t>
      </w:r>
      <w:r w:rsidR="00B9646A">
        <w:t xml:space="preserve">afety </w:t>
      </w:r>
      <w:r>
        <w:t>S</w:t>
      </w:r>
      <w:r w:rsidR="00B9646A">
        <w:t xml:space="preserve">tandards. </w:t>
      </w:r>
      <w:r w:rsidR="00396185">
        <w:t xml:space="preserve">Assurance of validity of </w:t>
      </w:r>
      <w:r w:rsidR="00B76E2A">
        <w:t xml:space="preserve">data </w:t>
      </w:r>
      <w:r w:rsidR="00396185">
        <w:t xml:space="preserve">and </w:t>
      </w:r>
      <w:r w:rsidR="00945A8C">
        <w:t>models</w:t>
      </w:r>
      <w:r w:rsidR="00B9646A" w:rsidRPr="00656B3E">
        <w:t xml:space="preserve"> </w:t>
      </w:r>
      <w:r w:rsidR="00B9646A">
        <w:t xml:space="preserve">is addressed </w:t>
      </w:r>
      <w:r w:rsidR="00B9646A" w:rsidRPr="00656B3E">
        <w:t xml:space="preserve">in SAPs </w:t>
      </w:r>
      <w:r w:rsidR="00B9646A">
        <w:t>AV.1</w:t>
      </w:r>
      <w:r w:rsidR="00B9646A" w:rsidRPr="00656B3E">
        <w:t xml:space="preserve"> to </w:t>
      </w:r>
      <w:r w:rsidR="00B9646A" w:rsidRPr="00CB4F65">
        <w:t>AV.8</w:t>
      </w:r>
      <w:r w:rsidR="00643386">
        <w:t xml:space="preserve"> (</w:t>
      </w:r>
      <w:r w:rsidR="00E92170">
        <w:t>ref.</w:t>
      </w:r>
      <w:r w:rsidR="00643386">
        <w:t xml:space="preserve"> </w:t>
      </w:r>
      <w:sdt>
        <w:sdtPr>
          <w:id w:val="-1632711461"/>
          <w:citation/>
        </w:sdtPr>
        <w:sdtContent>
          <w:r>
            <w:fldChar w:fldCharType="begin"/>
          </w:r>
          <w:r w:rsidR="0053667D">
            <w:instrText xml:space="preserve">CITATION ONR2013 \l 2057 </w:instrText>
          </w:r>
          <w:r>
            <w:fldChar w:fldCharType="separate"/>
          </w:r>
          <w:r w:rsidR="00EF26D2">
            <w:rPr>
              <w:noProof/>
            </w:rPr>
            <w:t>[1]</w:t>
          </w:r>
          <w:r>
            <w:fldChar w:fldCharType="end"/>
          </w:r>
        </w:sdtContent>
      </w:sdt>
      <w:r w:rsidR="00643386">
        <w:t>)</w:t>
      </w:r>
      <w:r w:rsidR="00B9646A">
        <w:t>.</w:t>
      </w:r>
      <w:r w:rsidR="00082E71">
        <w:t xml:space="preserve"> This TAG expands on </w:t>
      </w:r>
      <w:r w:rsidR="00871172">
        <w:t>the</w:t>
      </w:r>
      <w:r w:rsidR="00082E71">
        <w:t xml:space="preserve"> expectations</w:t>
      </w:r>
      <w:r w:rsidR="00871172">
        <w:t xml:space="preserve"> embodied in these SAPs</w:t>
      </w:r>
      <w:r w:rsidR="00082E71">
        <w:t>.</w:t>
      </w:r>
      <w:r w:rsidR="00AD68A5">
        <w:t xml:space="preserve"> Other related SAPs and their relevance is also explained.</w:t>
      </w:r>
    </w:p>
    <w:p w14:paraId="6E9C9F9B" w14:textId="5272B8B8" w:rsidR="002B4CA5" w:rsidRDefault="002B4CA5" w:rsidP="00CD47C7">
      <w:pPr>
        <w:pStyle w:val="F9-Paragraph"/>
      </w:pPr>
      <w:bookmarkStart w:id="8" w:name="_Toc524357616"/>
      <w:r>
        <w:t xml:space="preserve">There are no specific WENRA </w:t>
      </w:r>
      <w:r w:rsidR="00C6667B">
        <w:t xml:space="preserve">Safety </w:t>
      </w:r>
      <w:r>
        <w:t>Reference Le</w:t>
      </w:r>
      <w:r w:rsidR="00EC7677">
        <w:t>vels which require verification and validation of calculation methods.</w:t>
      </w:r>
      <w:r w:rsidR="00C6667B">
        <w:t xml:space="preserve"> However, E8.7 and F3.1 </w:t>
      </w:r>
      <w:r w:rsidR="002206D4">
        <w:t xml:space="preserve">set </w:t>
      </w:r>
      <w:r w:rsidR="00864209">
        <w:t xml:space="preserve">an </w:t>
      </w:r>
      <w:r w:rsidR="002206D4">
        <w:t xml:space="preserve">expectation that the </w:t>
      </w:r>
      <w:r w:rsidR="00641509">
        <w:t xml:space="preserve">calculation </w:t>
      </w:r>
      <w:r w:rsidR="002206D4">
        <w:t>methods should be justified, and</w:t>
      </w:r>
      <w:r w:rsidR="003F6E31">
        <w:t xml:space="preserve"> set</w:t>
      </w:r>
      <w:r w:rsidR="002206D4">
        <w:t xml:space="preserve"> expectations </w:t>
      </w:r>
      <w:r w:rsidR="00C2489C">
        <w:t>associated with</w:t>
      </w:r>
      <w:r w:rsidR="002206D4">
        <w:t xml:space="preserve"> conservatism in the analysis. </w:t>
      </w:r>
      <w:r w:rsidR="00EC7677">
        <w:t xml:space="preserve"> </w:t>
      </w:r>
    </w:p>
    <w:p w14:paraId="140E8C6F" w14:textId="10E5C06C" w:rsidR="0049179D" w:rsidRDefault="002206D4" w:rsidP="00500911">
      <w:pPr>
        <w:pStyle w:val="F9-Paragraph"/>
      </w:pPr>
      <w:r>
        <w:t xml:space="preserve">There are several IAEA </w:t>
      </w:r>
      <w:r w:rsidR="0049179D">
        <w:t xml:space="preserve">standards and guides applicable to the </w:t>
      </w:r>
      <w:r w:rsidR="005C317F">
        <w:t xml:space="preserve">assurance </w:t>
      </w:r>
      <w:r w:rsidR="0049179D">
        <w:t xml:space="preserve">and validity of </w:t>
      </w:r>
      <w:r w:rsidR="005C317F">
        <w:t xml:space="preserve">data </w:t>
      </w:r>
      <w:r w:rsidR="0049179D">
        <w:t xml:space="preserve">and models. The most pertinent </w:t>
      </w:r>
      <w:r w:rsidR="00F255E8">
        <w:t xml:space="preserve">standard </w:t>
      </w:r>
      <w:r w:rsidR="00601B7B">
        <w:t>is</w:t>
      </w:r>
      <w:r w:rsidR="0049179D">
        <w:t>:</w:t>
      </w:r>
    </w:p>
    <w:p w14:paraId="027B5512" w14:textId="08B4FEE3" w:rsidR="00EC7677" w:rsidRDefault="00EC7677" w:rsidP="0049179D">
      <w:pPr>
        <w:pStyle w:val="Bulletlist1"/>
      </w:pPr>
      <w:r>
        <w:t xml:space="preserve">IAEA’s </w:t>
      </w:r>
      <w:r w:rsidR="009A0438">
        <w:t xml:space="preserve">General Safety Requirements Part 4 – Safety Assessment for </w:t>
      </w:r>
      <w:r w:rsidR="006E00A2">
        <w:t>Facilities and Activities</w:t>
      </w:r>
      <w:r w:rsidR="00C97B9F">
        <w:t xml:space="preserve"> (</w:t>
      </w:r>
      <w:r w:rsidR="00E92170">
        <w:t>ref.</w:t>
      </w:r>
      <w:r w:rsidR="00C97B9F">
        <w:t xml:space="preserve"> </w:t>
      </w:r>
      <w:sdt>
        <w:sdtPr>
          <w:id w:val="-1039740968"/>
          <w:citation/>
        </w:sdtPr>
        <w:sdtContent>
          <w:r w:rsidR="00C97B9F">
            <w:fldChar w:fldCharType="begin"/>
          </w:r>
          <w:r w:rsidR="00C97B9F">
            <w:instrText xml:space="preserve"> CITATION GSR4 \l 2057 </w:instrText>
          </w:r>
          <w:r w:rsidR="00C97B9F">
            <w:fldChar w:fldCharType="separate"/>
          </w:r>
          <w:r w:rsidR="00EF26D2" w:rsidRPr="00EF26D2">
            <w:rPr>
              <w:noProof/>
            </w:rPr>
            <w:t>[5]</w:t>
          </w:r>
          <w:r w:rsidR="00C97B9F">
            <w:fldChar w:fldCharType="end"/>
          </w:r>
        </w:sdtContent>
      </w:sdt>
      <w:r w:rsidR="00C97B9F">
        <w:t>)</w:t>
      </w:r>
      <w:r w:rsidR="006E00A2">
        <w:t xml:space="preserve"> – Requirement </w:t>
      </w:r>
      <w:r w:rsidR="00500911">
        <w:t xml:space="preserve">18: Use of Computer Codes: </w:t>
      </w:r>
      <w:r w:rsidR="00500911" w:rsidRPr="00500911">
        <w:t>Any calculational methods and computer codes used in the safety analysis shall undergo verification and validation</w:t>
      </w:r>
      <w:r w:rsidR="00FC29A8">
        <w:t>.</w:t>
      </w:r>
    </w:p>
    <w:p w14:paraId="6371BAD8" w14:textId="6C46321F" w:rsidR="005C317F" w:rsidRDefault="005C317F" w:rsidP="005C317F">
      <w:pPr>
        <w:pStyle w:val="F9-Paragraph"/>
      </w:pPr>
      <w:r>
        <w:t xml:space="preserve">In addition, high-level guidance for the validation of </w:t>
      </w:r>
      <w:r w:rsidR="00A95B0A">
        <w:t xml:space="preserve">deterministic </w:t>
      </w:r>
      <w:r w:rsidR="00641509">
        <w:t xml:space="preserve">calculation </w:t>
      </w:r>
      <w:r>
        <w:t>methods can be found in:</w:t>
      </w:r>
    </w:p>
    <w:p w14:paraId="2DC95B47" w14:textId="6123B1CE" w:rsidR="00C9703C" w:rsidRDefault="00C9703C" w:rsidP="00C9703C">
      <w:pPr>
        <w:pStyle w:val="Bulletlist1"/>
      </w:pPr>
      <w:r w:rsidRPr="00CD47C7">
        <w:t xml:space="preserve">IAEA’s </w:t>
      </w:r>
      <w:r>
        <w:t xml:space="preserve">Specific Safety Guide 2 – Deterministic Safety Analysis for Nuclear Power Plants </w:t>
      </w:r>
      <w:r w:rsidRPr="005E464E">
        <w:t>(</w:t>
      </w:r>
      <w:r w:rsidR="00E92170">
        <w:t>ref.</w:t>
      </w:r>
      <w:r w:rsidRPr="005E464E">
        <w:t xml:space="preserve"> </w:t>
      </w:r>
      <w:sdt>
        <w:sdtPr>
          <w:id w:val="42956838"/>
          <w:citation/>
        </w:sdtPr>
        <w:sdtContent>
          <w:r w:rsidRPr="005E464E">
            <w:fldChar w:fldCharType="begin"/>
          </w:r>
          <w:r w:rsidRPr="005E464E">
            <w:instrText xml:space="preserve"> CITATION SSG2 \l 2057 </w:instrText>
          </w:r>
          <w:r w:rsidRPr="005E464E">
            <w:fldChar w:fldCharType="separate"/>
          </w:r>
          <w:r w:rsidR="00EF26D2" w:rsidRPr="00EF26D2">
            <w:rPr>
              <w:noProof/>
            </w:rPr>
            <w:t>[6]</w:t>
          </w:r>
          <w:r w:rsidRPr="005E464E">
            <w:fldChar w:fldCharType="end"/>
          </w:r>
        </w:sdtContent>
      </w:sdt>
      <w:r w:rsidRPr="005E464E">
        <w:t>).</w:t>
      </w:r>
    </w:p>
    <w:p w14:paraId="4C3E9F6C" w14:textId="15B34CA1" w:rsidR="00424BF2" w:rsidRDefault="00424BF2" w:rsidP="0049179D">
      <w:pPr>
        <w:pStyle w:val="Bulletlist1"/>
      </w:pPr>
      <w:r>
        <w:t xml:space="preserve">IAEA’s </w:t>
      </w:r>
      <w:r w:rsidRPr="005E464E">
        <w:t>Specific</w:t>
      </w:r>
      <w:r>
        <w:t xml:space="preserve"> Safety Guide 3 </w:t>
      </w:r>
      <w:r w:rsidR="00B4517B">
        <w:t>–</w:t>
      </w:r>
      <w:r>
        <w:t xml:space="preserve"> </w:t>
      </w:r>
      <w:r w:rsidRPr="00497C6A">
        <w:t>Development and Application of Level</w:t>
      </w:r>
      <w:r w:rsidR="007C69DE">
        <w:t> </w:t>
      </w:r>
      <w:r w:rsidRPr="00497C6A">
        <w:t>1 Probabilistic Safety Assessment for Nuclear Power Plants</w:t>
      </w:r>
      <w:r w:rsidR="00C97B9F">
        <w:t xml:space="preserve"> </w:t>
      </w:r>
      <w:r w:rsidR="00B4517B" w:rsidRPr="005E464E">
        <w:t>(</w:t>
      </w:r>
      <w:r w:rsidR="00E92170">
        <w:t>ref.</w:t>
      </w:r>
      <w:r w:rsidR="00B4517B" w:rsidRPr="005E464E">
        <w:t xml:space="preserve"> </w:t>
      </w:r>
      <w:sdt>
        <w:sdtPr>
          <w:id w:val="1708832815"/>
          <w:citation/>
        </w:sdtPr>
        <w:sdtContent>
          <w:r w:rsidR="00B4517B" w:rsidRPr="005E464E">
            <w:fldChar w:fldCharType="begin"/>
          </w:r>
          <w:r w:rsidR="00B4517B" w:rsidRPr="005E464E">
            <w:instrText xml:space="preserve"> CITATION SSG3 \l 2057 </w:instrText>
          </w:r>
          <w:r w:rsidR="00B4517B" w:rsidRPr="005E464E">
            <w:fldChar w:fldCharType="separate"/>
          </w:r>
          <w:r w:rsidR="00EF26D2" w:rsidRPr="00EF26D2">
            <w:rPr>
              <w:noProof/>
            </w:rPr>
            <w:t>[7]</w:t>
          </w:r>
          <w:r w:rsidR="00B4517B" w:rsidRPr="005E464E">
            <w:fldChar w:fldCharType="end"/>
          </w:r>
        </w:sdtContent>
      </w:sdt>
      <w:r w:rsidR="00B4517B" w:rsidRPr="005E464E">
        <w:t>)</w:t>
      </w:r>
      <w:r w:rsidR="005C317F" w:rsidRPr="005E464E">
        <w:t>.</w:t>
      </w:r>
    </w:p>
    <w:p w14:paraId="0E488753" w14:textId="60183B08" w:rsidR="00E479F2" w:rsidRDefault="005B11DE" w:rsidP="0049179D">
      <w:pPr>
        <w:pStyle w:val="Bulletlist1"/>
      </w:pPr>
      <w:r>
        <w:t xml:space="preserve">IAEA’s </w:t>
      </w:r>
      <w:r w:rsidRPr="005E464E">
        <w:t>Specific</w:t>
      </w:r>
      <w:r>
        <w:t xml:space="preserve"> Safety Guide 4 </w:t>
      </w:r>
      <w:r w:rsidR="00B4517B">
        <w:t>–</w:t>
      </w:r>
      <w:r w:rsidR="00965333">
        <w:t xml:space="preserve"> </w:t>
      </w:r>
      <w:r w:rsidR="00965333" w:rsidRPr="00965333">
        <w:t>Development</w:t>
      </w:r>
      <w:r w:rsidR="00B4517B">
        <w:t xml:space="preserve"> </w:t>
      </w:r>
      <w:r w:rsidR="00965333" w:rsidRPr="00965333">
        <w:t>and Application of Level</w:t>
      </w:r>
      <w:r w:rsidR="007C69DE">
        <w:t> </w:t>
      </w:r>
      <w:r w:rsidR="00965333" w:rsidRPr="00965333">
        <w:t>2 Probabilistic Safety Assessment for Nuclear Power Plants</w:t>
      </w:r>
      <w:r w:rsidR="00B4517B">
        <w:t xml:space="preserve"> </w:t>
      </w:r>
      <w:r w:rsidR="00551887">
        <w:br/>
        <w:t>(</w:t>
      </w:r>
      <w:r w:rsidR="00E92170">
        <w:t>ref.</w:t>
      </w:r>
      <w:r w:rsidR="00B4517B">
        <w:t xml:space="preserve"> </w:t>
      </w:r>
      <w:sdt>
        <w:sdtPr>
          <w:id w:val="-1411922462"/>
          <w:citation/>
        </w:sdtPr>
        <w:sdtContent>
          <w:r w:rsidR="00B4517B">
            <w:fldChar w:fldCharType="begin"/>
          </w:r>
          <w:r w:rsidR="00B4517B">
            <w:instrText xml:space="preserve"> CITATION SSG4 \l 2057 </w:instrText>
          </w:r>
          <w:r w:rsidR="00B4517B">
            <w:fldChar w:fldCharType="separate"/>
          </w:r>
          <w:r w:rsidR="00EF26D2" w:rsidRPr="00EF26D2">
            <w:rPr>
              <w:noProof/>
            </w:rPr>
            <w:t>[8]</w:t>
          </w:r>
          <w:r w:rsidR="00B4517B">
            <w:fldChar w:fldCharType="end"/>
          </w:r>
        </w:sdtContent>
      </w:sdt>
      <w:r w:rsidR="00551887">
        <w:t>)</w:t>
      </w:r>
      <w:r w:rsidR="005C317F">
        <w:t>.</w:t>
      </w:r>
    </w:p>
    <w:p w14:paraId="34879C5A" w14:textId="77777777" w:rsidR="00E479F2" w:rsidRDefault="00E479F2">
      <w:pPr>
        <w:spacing w:after="0" w:line="240" w:lineRule="auto"/>
        <w:rPr>
          <w:rFonts w:eastAsia="Times New Roman"/>
          <w:szCs w:val="24"/>
          <w:lang w:bidi="ar-SA"/>
        </w:rPr>
      </w:pPr>
      <w:r>
        <w:br w:type="page"/>
      </w:r>
    </w:p>
    <w:p w14:paraId="74903F90" w14:textId="4D02567C" w:rsidR="00B9646A" w:rsidRDefault="00B9646A" w:rsidP="006272EF">
      <w:pPr>
        <w:pStyle w:val="Heading1"/>
        <w:ind w:left="851" w:hanging="851"/>
      </w:pPr>
      <w:bookmarkStart w:id="9" w:name="_Toc227739360"/>
      <w:r>
        <w:lastRenderedPageBreak/>
        <w:t>Advice to inspectors</w:t>
      </w:r>
      <w:bookmarkEnd w:id="8"/>
      <w:bookmarkEnd w:id="9"/>
    </w:p>
    <w:p w14:paraId="7F3D8D9D" w14:textId="5A1572AC" w:rsidR="00CD47C7" w:rsidRDefault="00CD47C7" w:rsidP="00CD47C7">
      <w:pPr>
        <w:pStyle w:val="F9-Paragraph"/>
      </w:pPr>
      <w:r>
        <w:t xml:space="preserve">This TAG </w:t>
      </w:r>
      <w:r w:rsidR="005757E4">
        <w:t>expands</w:t>
      </w:r>
      <w:r>
        <w:t xml:space="preserve"> on the advice provided </w:t>
      </w:r>
      <w:r w:rsidR="00C81F38">
        <w:t>i</w:t>
      </w:r>
      <w:r>
        <w:t xml:space="preserve">n ONR’s SAPs. It is primarily focused on the </w:t>
      </w:r>
      <w:r w:rsidR="0044481F">
        <w:t xml:space="preserve">assurance of validity of </w:t>
      </w:r>
      <w:r w:rsidR="00B76E2A">
        <w:t xml:space="preserve">data </w:t>
      </w:r>
      <w:r w:rsidR="0044481F">
        <w:t>and models</w:t>
      </w:r>
      <w:r>
        <w:t xml:space="preserve"> series of the SAPs, and is therefore structured around those SAPs.</w:t>
      </w:r>
    </w:p>
    <w:p w14:paraId="67B6C548" w14:textId="253DB3F9" w:rsidR="001F4977" w:rsidRDefault="001F4977" w:rsidP="008B7411">
      <w:pPr>
        <w:pStyle w:val="F9-Paragraph"/>
      </w:pPr>
      <w:r>
        <w:t xml:space="preserve">As stated, this TAG is primarily focused on the validation of </w:t>
      </w:r>
      <w:r w:rsidR="00641509">
        <w:t xml:space="preserve">calculation </w:t>
      </w:r>
      <w:r>
        <w:t xml:space="preserve">methods. </w:t>
      </w:r>
      <w:r w:rsidR="00CB24AC" w:rsidRPr="00CB24AC">
        <w:t xml:space="preserve">Verification remains a necessary underpinning activity; however, ONR regulatory </w:t>
      </w:r>
      <w:r w:rsidR="007E4456">
        <w:t xml:space="preserve">assessment </w:t>
      </w:r>
      <w:r w:rsidR="00CB24AC" w:rsidRPr="00CB24AC">
        <w:t>focus is typically directed at validation evidence relevant to the safety claim</w:t>
      </w:r>
      <w:r w:rsidR="00CB24AC">
        <w:t>.</w:t>
      </w:r>
      <w:r w:rsidR="006F4BFF">
        <w:t xml:space="preserve"> </w:t>
      </w:r>
      <w:r>
        <w:t xml:space="preserve">For further guidance on the verification of </w:t>
      </w:r>
      <w:r w:rsidR="00641509">
        <w:t>calculation methods</w:t>
      </w:r>
      <w:r>
        <w:t>, the inspector is directed towards IAEA’s SSG-2</w:t>
      </w:r>
      <w:r w:rsidR="00605EED">
        <w:t xml:space="preserve"> (</w:t>
      </w:r>
      <w:r w:rsidR="00E92170">
        <w:t>ref.</w:t>
      </w:r>
      <w:r>
        <w:t xml:space="preserve"> </w:t>
      </w:r>
      <w:sdt>
        <w:sdtPr>
          <w:id w:val="380290183"/>
          <w:citation/>
        </w:sdtPr>
        <w:sdtContent>
          <w:r w:rsidR="00605EED">
            <w:fldChar w:fldCharType="begin"/>
          </w:r>
          <w:r w:rsidR="00605EED">
            <w:instrText xml:space="preserve"> CITATION SSG2 \l 2057 </w:instrText>
          </w:r>
          <w:r w:rsidR="00605EED">
            <w:fldChar w:fldCharType="separate"/>
          </w:r>
          <w:r w:rsidR="00EF26D2">
            <w:rPr>
              <w:noProof/>
            </w:rPr>
            <w:t>[6]</w:t>
          </w:r>
          <w:r w:rsidR="00605EED">
            <w:fldChar w:fldCharType="end"/>
          </w:r>
        </w:sdtContent>
      </w:sdt>
      <w:r w:rsidR="00605EED">
        <w:t>).</w:t>
      </w:r>
    </w:p>
    <w:p w14:paraId="163442DC" w14:textId="77777777" w:rsidR="00A16F8F" w:rsidRDefault="00770CA2">
      <w:pPr>
        <w:pStyle w:val="F9-Paragraph"/>
      </w:pPr>
      <w:r>
        <w:t xml:space="preserve">This TAG provides advice </w:t>
      </w:r>
      <w:r w:rsidR="000218F4">
        <w:t xml:space="preserve">related to expectations for </w:t>
      </w:r>
      <w:r w:rsidR="00641509">
        <w:t>calculation</w:t>
      </w:r>
      <w:r w:rsidR="000218F4">
        <w:t xml:space="preserve"> methods which are applied across a range of </w:t>
      </w:r>
      <w:r w:rsidR="00282015">
        <w:t>applications</w:t>
      </w:r>
      <w:r w:rsidR="000218F4">
        <w:t xml:space="preserve">, </w:t>
      </w:r>
      <w:r w:rsidR="117E4285">
        <w:t xml:space="preserve">complexity, </w:t>
      </w:r>
      <w:r w:rsidR="000218F4">
        <w:t>safety significance</w:t>
      </w:r>
      <w:r w:rsidR="000A4DD8">
        <w:t>,</w:t>
      </w:r>
      <w:r w:rsidR="000218F4">
        <w:t xml:space="preserve"> </w:t>
      </w:r>
      <w:r w:rsidR="003C4BD1">
        <w:t xml:space="preserve">design </w:t>
      </w:r>
      <w:r w:rsidR="00282015">
        <w:t>maturity</w:t>
      </w:r>
      <w:r w:rsidR="00607DAB">
        <w:t xml:space="preserve"> and safety case</w:t>
      </w:r>
      <w:r w:rsidR="003C4BD1">
        <w:t xml:space="preserve"> </w:t>
      </w:r>
      <w:r w:rsidR="00282015">
        <w:t>maturity</w:t>
      </w:r>
      <w:r w:rsidR="00EF5527">
        <w:t xml:space="preserve">. </w:t>
      </w:r>
      <w:r w:rsidR="00076275">
        <w:t>A crucial aspect of this TAG</w:t>
      </w:r>
      <w:r w:rsidR="00EF5527">
        <w:t xml:space="preserve">, therefore, </w:t>
      </w:r>
      <w:r w:rsidR="00076275">
        <w:t>is</w:t>
      </w:r>
      <w:r w:rsidR="001B48D7">
        <w:t xml:space="preserve"> not all expectations apply equally for all </w:t>
      </w:r>
      <w:r w:rsidR="00B76E2A">
        <w:t>calculation method</w:t>
      </w:r>
      <w:r w:rsidR="001B48D7">
        <w:t xml:space="preserve">s and all applications. </w:t>
      </w:r>
      <w:r w:rsidR="001402CA">
        <w:t xml:space="preserve">The inspector should pay special attention to </w:t>
      </w:r>
      <w:r w:rsidR="0090226C">
        <w:t xml:space="preserve">Section </w:t>
      </w:r>
      <w:r w:rsidR="00CE2781">
        <w:t>5.10</w:t>
      </w:r>
      <w:r w:rsidR="00CE4833">
        <w:t>, which provides guidance on applying a graded approach,</w:t>
      </w:r>
      <w:r w:rsidR="0090226C">
        <w:t xml:space="preserve"> when </w:t>
      </w:r>
      <w:r w:rsidR="00CE4833">
        <w:t>establishing expectations for a safety case.</w:t>
      </w:r>
    </w:p>
    <w:p w14:paraId="0D03CC77" w14:textId="44C5CDDF" w:rsidR="00076275" w:rsidRPr="00CB4F65" w:rsidRDefault="00A16F8F">
      <w:pPr>
        <w:pStyle w:val="F9-Paragraph"/>
      </w:pPr>
      <w:r>
        <w:t xml:space="preserve">In the following </w:t>
      </w:r>
      <w:r w:rsidR="00FD3699">
        <w:t>sub-</w:t>
      </w:r>
      <w:r>
        <w:t xml:space="preserve">sections, each </w:t>
      </w:r>
      <w:r w:rsidR="00FD3699">
        <w:t xml:space="preserve">SAP of the AV series is addressed in turn. </w:t>
      </w:r>
      <w:r w:rsidR="000B7217">
        <w:t xml:space="preserve">Whilst each section addresses uncertainties arising from different sources, </w:t>
      </w:r>
      <w:r w:rsidR="00F776FE">
        <w:t>separate guidance addressing uncertainty holistically is provided in Section 5.9.</w:t>
      </w:r>
    </w:p>
    <w:p w14:paraId="069D2274" w14:textId="11B5D6A3" w:rsidR="00485BAD" w:rsidRPr="00D83BF2" w:rsidRDefault="00485BAD" w:rsidP="06A5330E">
      <w:pPr>
        <w:pStyle w:val="Heading2"/>
        <w:rPr>
          <w:szCs w:val="36"/>
        </w:rPr>
      </w:pPr>
      <w:r>
        <w:t xml:space="preserve">AV.1 – Theoretical </w:t>
      </w:r>
      <w:r w:rsidR="00FE03D8">
        <w:t>m</w:t>
      </w:r>
      <w:r>
        <w:t>odels</w:t>
      </w:r>
    </w:p>
    <w:p w14:paraId="327412A9" w14:textId="1526E12B" w:rsidR="00FB09F5" w:rsidRPr="00957F4D" w:rsidRDefault="002054FE" w:rsidP="00FB09F5">
      <w:pPr>
        <w:pStyle w:val="QuoteText"/>
        <w:rPr>
          <w:i/>
          <w:iCs/>
        </w:rPr>
      </w:pPr>
      <w:r w:rsidRPr="00957F4D">
        <w:rPr>
          <w:i/>
          <w:iCs/>
        </w:rPr>
        <w:t>Theoretical models should adequately represent the facility</w:t>
      </w:r>
      <w:r w:rsidR="00DE05D3">
        <w:rPr>
          <w:i/>
          <w:iCs/>
        </w:rPr>
        <w:t xml:space="preserve"> and site</w:t>
      </w:r>
      <w:r w:rsidRPr="00957F4D">
        <w:rPr>
          <w:i/>
          <w:iCs/>
        </w:rPr>
        <w:t>.</w:t>
      </w:r>
    </w:p>
    <w:p w14:paraId="4DBF1417" w14:textId="00DA678D" w:rsidR="00AD44A1" w:rsidRDefault="00AD44A1" w:rsidP="00485BAD">
      <w:pPr>
        <w:pStyle w:val="F9-Paragraph"/>
      </w:pPr>
      <w:r>
        <w:t xml:space="preserve">For the purpose of this TAG, the term </w:t>
      </w:r>
      <w:r w:rsidR="00DD120C">
        <w:t xml:space="preserve">‘theoretical model’ refers to the geometric representation of a facility and/or site. </w:t>
      </w:r>
    </w:p>
    <w:p w14:paraId="4B70CF27" w14:textId="35A31DE8" w:rsidR="004716C7" w:rsidRDefault="004716C7" w:rsidP="00485BAD">
      <w:pPr>
        <w:pStyle w:val="F9-Paragraph"/>
      </w:pPr>
      <w:r>
        <w:t xml:space="preserve">A dutyholder may </w:t>
      </w:r>
      <w:r w:rsidR="00CE4833">
        <w:t>employ</w:t>
      </w:r>
      <w:r>
        <w:t xml:space="preserve"> a variety of calculation</w:t>
      </w:r>
      <w:r w:rsidR="00CE4833">
        <w:t xml:space="preserve"> methods </w:t>
      </w:r>
      <w:r>
        <w:t xml:space="preserve">to simulate </w:t>
      </w:r>
      <w:r w:rsidR="00E67A9E">
        <w:t>physical</w:t>
      </w:r>
      <w:r w:rsidR="00DF62B2">
        <w:t xml:space="preserve"> or chemical processes </w:t>
      </w:r>
      <w:r>
        <w:t xml:space="preserve">within a facility. The complexity of the </w:t>
      </w:r>
      <w:r w:rsidR="00641509">
        <w:t xml:space="preserve">calculation </w:t>
      </w:r>
      <w:r>
        <w:t xml:space="preserve">method employed will be dependent on the complexity of the </w:t>
      </w:r>
      <w:r w:rsidR="00F80BF0">
        <w:t xml:space="preserve">facility and </w:t>
      </w:r>
      <w:r w:rsidR="00DF62B2">
        <w:t>those processes</w:t>
      </w:r>
      <w:r>
        <w:t>.</w:t>
      </w:r>
      <w:r w:rsidR="00F80BF0">
        <w:t xml:space="preserve"> For example, a </w:t>
      </w:r>
      <w:r w:rsidR="00234B4F">
        <w:t xml:space="preserve">thermal hydraulics </w:t>
      </w:r>
      <w:r w:rsidR="0073509A">
        <w:t xml:space="preserve">system code may be used to model a </w:t>
      </w:r>
      <w:r w:rsidR="00EC3190">
        <w:t xml:space="preserve">nuclear reactor and </w:t>
      </w:r>
      <w:r w:rsidR="00AA1EB3">
        <w:t xml:space="preserve">‘hand calculations’ may be used to </w:t>
      </w:r>
      <w:r w:rsidR="00BE3EAC">
        <w:t xml:space="preserve">represent </w:t>
      </w:r>
      <w:r w:rsidR="00C97422">
        <w:t xml:space="preserve">system performance or </w:t>
      </w:r>
      <w:r w:rsidR="00471B35">
        <w:t xml:space="preserve">simple </w:t>
      </w:r>
      <w:r w:rsidR="00C97422">
        <w:t>transient analysis</w:t>
      </w:r>
      <w:r w:rsidR="00BE3EAC" w:rsidRPr="003D6F6C">
        <w:t>.</w:t>
      </w:r>
      <w:r w:rsidRPr="003D6F6C">
        <w:t xml:space="preserve"> Regardless of the chosen </w:t>
      </w:r>
      <w:r w:rsidR="00641509">
        <w:t xml:space="preserve">calculation </w:t>
      </w:r>
      <w:r w:rsidRPr="003D6F6C">
        <w:t xml:space="preserve">method, the models employed should </w:t>
      </w:r>
      <w:r w:rsidR="009022CA" w:rsidRPr="003D6F6C">
        <w:t>adequately</w:t>
      </w:r>
      <w:r w:rsidR="009022CA">
        <w:t xml:space="preserve"> </w:t>
      </w:r>
      <w:r>
        <w:t xml:space="preserve">represent the facility to an appropriate level </w:t>
      </w:r>
      <w:r w:rsidR="009C1A1E">
        <w:t xml:space="preserve">of detail </w:t>
      </w:r>
      <w:r>
        <w:t xml:space="preserve">for </w:t>
      </w:r>
      <w:r w:rsidR="00BF02F4">
        <w:t>their</w:t>
      </w:r>
      <w:r>
        <w:t xml:space="preserve"> intended purpose.</w:t>
      </w:r>
    </w:p>
    <w:p w14:paraId="748EEDF6" w14:textId="07308F05" w:rsidR="00485BAD" w:rsidRDefault="004716C7" w:rsidP="00485BAD">
      <w:pPr>
        <w:pStyle w:val="F9-Paragraph"/>
      </w:pPr>
      <w:r>
        <w:t xml:space="preserve">When considering whether </w:t>
      </w:r>
      <w:r w:rsidR="00E439CA">
        <w:t>a</w:t>
      </w:r>
      <w:r>
        <w:t xml:space="preserve"> theoretical model adequately represents the facility, the inspector should seek to understand the</w:t>
      </w:r>
      <w:r w:rsidR="00921950">
        <w:t xml:space="preserve"> purpose of calculations </w:t>
      </w:r>
      <w:r w:rsidR="00443F58">
        <w:t>for which</w:t>
      </w:r>
      <w:r w:rsidR="00921950">
        <w:t xml:space="preserve"> the theoretical model </w:t>
      </w:r>
      <w:r w:rsidR="009C40FE">
        <w:t>is</w:t>
      </w:r>
      <w:r w:rsidR="00921950">
        <w:t xml:space="preserve"> employed, and what safety case claims it underpins.</w:t>
      </w:r>
      <w:r w:rsidR="00011669">
        <w:t xml:space="preserve"> The inspector should be </w:t>
      </w:r>
      <w:r w:rsidR="00577AF8">
        <w:t>outcome</w:t>
      </w:r>
      <w:r w:rsidR="00443F58">
        <w:t>-</w:t>
      </w:r>
      <w:r w:rsidR="00577AF8">
        <w:t>focused, and be open-minded to simplistic representations of facilities</w:t>
      </w:r>
      <w:r w:rsidR="009C498E">
        <w:t>,</w:t>
      </w:r>
      <w:r w:rsidR="0094767D">
        <w:t xml:space="preserve"> where appropriate.</w:t>
      </w:r>
      <w:r w:rsidR="00921950">
        <w:t xml:space="preserve"> </w:t>
      </w:r>
    </w:p>
    <w:p w14:paraId="357F8580" w14:textId="42C49062" w:rsidR="004F2231" w:rsidRDefault="0094767D" w:rsidP="00485BAD">
      <w:pPr>
        <w:pStyle w:val="F9-Paragraph"/>
      </w:pPr>
      <w:r>
        <w:lastRenderedPageBreak/>
        <w:t xml:space="preserve">Even with more complex </w:t>
      </w:r>
      <w:r w:rsidR="00641509">
        <w:t>calculation method</w:t>
      </w:r>
      <w:r w:rsidR="00D231FF">
        <w:t>s</w:t>
      </w:r>
      <w:r>
        <w:t>, d</w:t>
      </w:r>
      <w:r w:rsidR="004F2231">
        <w:t>utyholders will often introduce simplifications</w:t>
      </w:r>
      <w:r w:rsidR="00B60A9D">
        <w:t xml:space="preserve"> to represent a facility. This may be related to </w:t>
      </w:r>
      <w:r w:rsidR="00D8643A">
        <w:t>omitting safety features, represent</w:t>
      </w:r>
      <w:r w:rsidR="00B9466C">
        <w:t>ing</w:t>
      </w:r>
      <w:r w:rsidR="00D8643A">
        <w:t xml:space="preserve"> </w:t>
      </w:r>
      <w:r w:rsidR="00EB3772">
        <w:t>facilities with a very simplified nodalisation</w:t>
      </w:r>
      <w:r w:rsidR="00B9466C">
        <w:t xml:space="preserve">, or reducing the </w:t>
      </w:r>
      <w:r w:rsidR="00175467">
        <w:t>dimensions in a system</w:t>
      </w:r>
      <w:r w:rsidR="0037421F">
        <w:t xml:space="preserve"> (e.g. from 3D to 2D)</w:t>
      </w:r>
      <w:r w:rsidR="00EB3772">
        <w:t>. This</w:t>
      </w:r>
      <w:r w:rsidR="00FC3D69">
        <w:t xml:space="preserve"> is common practice – however, the inspector should </w:t>
      </w:r>
      <w:r w:rsidR="00976716">
        <w:t>gain</w:t>
      </w:r>
      <w:r w:rsidR="00FC3D69">
        <w:t xml:space="preserve"> confidence that </w:t>
      </w:r>
      <w:r w:rsidR="00BB4443">
        <w:t xml:space="preserve">the simplifications </w:t>
      </w:r>
      <w:r w:rsidR="00FF541B">
        <w:t xml:space="preserve">still </w:t>
      </w:r>
      <w:r w:rsidR="00BB4443">
        <w:t xml:space="preserve">result in </w:t>
      </w:r>
      <w:r w:rsidR="0037421F">
        <w:t xml:space="preserve">an adequate </w:t>
      </w:r>
      <w:r w:rsidR="00BB4443">
        <w:t>representation of</w:t>
      </w:r>
      <w:r w:rsidR="00A539D3">
        <w:t xml:space="preserve"> the physical and chemical processes</w:t>
      </w:r>
      <w:r w:rsidR="007928E9">
        <w:t>, lead to conservative results</w:t>
      </w:r>
      <w:r w:rsidR="009F40E3">
        <w:t xml:space="preserve"> where appropriate</w:t>
      </w:r>
      <w:r w:rsidR="007E2B99">
        <w:t xml:space="preserve">, or that the </w:t>
      </w:r>
      <w:r w:rsidR="00975E21">
        <w:t xml:space="preserve">calculation is not sensitive to the </w:t>
      </w:r>
      <w:r w:rsidR="007E2B99">
        <w:t>simplifications</w:t>
      </w:r>
      <w:r w:rsidR="00BB4443">
        <w:t xml:space="preserve">. </w:t>
      </w:r>
      <w:r w:rsidR="00221067">
        <w:t>This is particularly important for reactor physics and</w:t>
      </w:r>
      <w:r w:rsidR="00BA73AD">
        <w:t xml:space="preserve"> computational fluid dynamics (CFD) analys</w:t>
      </w:r>
      <w:r w:rsidR="00221067">
        <w:t>e</w:t>
      </w:r>
      <w:r w:rsidR="00BA73AD">
        <w:t>s</w:t>
      </w:r>
      <w:r w:rsidR="006279D8">
        <w:t xml:space="preserve">, where too simple a nodalisation can </w:t>
      </w:r>
      <w:r w:rsidR="003B1222">
        <w:t>mask phenomena</w:t>
      </w:r>
      <w:r w:rsidR="00C15B1A">
        <w:t>, impacting safety</w:t>
      </w:r>
      <w:r w:rsidR="0062026D">
        <w:t>.</w:t>
      </w:r>
    </w:p>
    <w:p w14:paraId="32CEC22B" w14:textId="43BB91C9" w:rsidR="005C317F" w:rsidRDefault="005C317F" w:rsidP="00485BAD">
      <w:pPr>
        <w:pStyle w:val="F9-Paragraph"/>
      </w:pPr>
      <w:r>
        <w:t xml:space="preserve">When general purpose </w:t>
      </w:r>
      <w:r w:rsidR="00B76E2A">
        <w:t xml:space="preserve">computer </w:t>
      </w:r>
      <w:r>
        <w:t xml:space="preserve">codes are employed </w:t>
      </w:r>
      <w:r w:rsidR="006D53B3">
        <w:t>(refer to</w:t>
      </w:r>
      <w:r>
        <w:t xml:space="preserve"> below), the inspector </w:t>
      </w:r>
      <w:r w:rsidR="00F50655">
        <w:t>may</w:t>
      </w:r>
      <w:r>
        <w:t xml:space="preserve"> gain confidence that the dutyholder has considered advice from the code user manuals and/or the code vendor in building its models. </w:t>
      </w:r>
    </w:p>
    <w:p w14:paraId="3BBEF9E3" w14:textId="12DEC08D" w:rsidR="0062026D" w:rsidRDefault="0062026D" w:rsidP="0062026D">
      <w:pPr>
        <w:pStyle w:val="Heading2"/>
      </w:pPr>
      <w:r>
        <w:t xml:space="preserve">AV.2 – </w:t>
      </w:r>
      <w:r w:rsidR="007D4D26">
        <w:t xml:space="preserve">Calculation </w:t>
      </w:r>
      <w:r w:rsidR="006D53B3">
        <w:t>m</w:t>
      </w:r>
      <w:r w:rsidR="007D4D26">
        <w:t>ethods</w:t>
      </w:r>
    </w:p>
    <w:p w14:paraId="06766813" w14:textId="53F0CB69" w:rsidR="002054FE" w:rsidRPr="001657B8" w:rsidRDefault="002054FE" w:rsidP="002054FE">
      <w:pPr>
        <w:pStyle w:val="QuoteText"/>
        <w:rPr>
          <w:i/>
          <w:iCs/>
        </w:rPr>
      </w:pPr>
      <w:r w:rsidRPr="001657B8">
        <w:rPr>
          <w:i/>
          <w:iCs/>
        </w:rPr>
        <w:t>Calculation methods used for the analyses should adequately represent the physical and chemical processes taking place.</w:t>
      </w:r>
    </w:p>
    <w:p w14:paraId="55DD1DFD" w14:textId="3540A72D" w:rsidR="002E0EC4" w:rsidRDefault="002E0EC4" w:rsidP="00A14DF8">
      <w:pPr>
        <w:pStyle w:val="F9-Paragraph"/>
      </w:pPr>
      <w:r>
        <w:t xml:space="preserve">Computational </w:t>
      </w:r>
      <w:r w:rsidR="00641509">
        <w:t>calculation method</w:t>
      </w:r>
      <w:r>
        <w:t xml:space="preserve">s often </w:t>
      </w:r>
      <w:r w:rsidR="005E1C94">
        <w:t xml:space="preserve">simulate </w:t>
      </w:r>
      <w:r w:rsidR="004F20B5">
        <w:t>a wide range of chemical and physical processes in a facility</w:t>
      </w:r>
      <w:r w:rsidR="005350A7">
        <w:t xml:space="preserve">, whether that be for fault progression, normal operation or </w:t>
      </w:r>
      <w:r w:rsidR="00A36BBF">
        <w:t>for design purposes</w:t>
      </w:r>
      <w:r w:rsidR="004F20B5">
        <w:t xml:space="preserve">. The </w:t>
      </w:r>
      <w:r w:rsidR="00641509">
        <w:t>calculation method</w:t>
      </w:r>
      <w:r w:rsidR="004F20B5">
        <w:t xml:space="preserve">s are </w:t>
      </w:r>
      <w:r w:rsidR="00520563">
        <w:t xml:space="preserve">usually </w:t>
      </w:r>
      <w:r w:rsidR="004F20B5">
        <w:t xml:space="preserve">based on </w:t>
      </w:r>
      <w:r w:rsidR="003763E9">
        <w:t>the</w:t>
      </w:r>
      <w:r w:rsidR="0077659E">
        <w:t xml:space="preserve"> understanding of </w:t>
      </w:r>
      <w:r w:rsidR="00C33D06">
        <w:t>phenomena</w:t>
      </w:r>
      <w:r w:rsidR="00D86A69">
        <w:t xml:space="preserve"> or processes</w:t>
      </w:r>
      <w:r w:rsidR="00310BF9">
        <w:t>, impl</w:t>
      </w:r>
      <w:r w:rsidR="0045573D">
        <w:t>eme</w:t>
      </w:r>
      <w:r w:rsidR="00310BF9">
        <w:t xml:space="preserve">nted in </w:t>
      </w:r>
      <w:r w:rsidR="00B76E2A">
        <w:t xml:space="preserve">computer </w:t>
      </w:r>
      <w:r w:rsidR="00310BF9">
        <w:t xml:space="preserve">codes using </w:t>
      </w:r>
      <w:r w:rsidR="0045573D">
        <w:t>constitu</w:t>
      </w:r>
      <w:r w:rsidR="003A4165">
        <w:t>tive mode</w:t>
      </w:r>
      <w:r w:rsidR="00D86A69">
        <w:t>ls and closure models</w:t>
      </w:r>
      <w:r w:rsidR="0077659E">
        <w:t xml:space="preserve">. </w:t>
      </w:r>
      <w:r w:rsidR="00950B22">
        <w:t xml:space="preserve">Many </w:t>
      </w:r>
      <w:r w:rsidR="00B76E2A">
        <w:t xml:space="preserve">computer </w:t>
      </w:r>
      <w:r w:rsidR="00950B22">
        <w:t>codes have generic applicability</w:t>
      </w:r>
      <w:r w:rsidR="007A2B95">
        <w:t>, and</w:t>
      </w:r>
      <w:r w:rsidR="007D14C7">
        <w:t xml:space="preserve"> models can </w:t>
      </w:r>
      <w:r w:rsidR="008C0FF0">
        <w:t xml:space="preserve">be </w:t>
      </w:r>
      <w:r w:rsidR="007D14C7">
        <w:t>b</w:t>
      </w:r>
      <w:r w:rsidR="00AB6C80">
        <w:t xml:space="preserve">uilt in many different ways. Other </w:t>
      </w:r>
      <w:r w:rsidR="00B76E2A">
        <w:t xml:space="preserve">computer </w:t>
      </w:r>
      <w:r w:rsidR="00AB6C80">
        <w:t xml:space="preserve">codes are more </w:t>
      </w:r>
      <w:r w:rsidR="0024416F">
        <w:t xml:space="preserve">bespoke to their application and </w:t>
      </w:r>
      <w:r w:rsidR="00C659E8">
        <w:t>offer less flexibility</w:t>
      </w:r>
      <w:r w:rsidR="0024416F">
        <w:t>. Regardless, i</w:t>
      </w:r>
      <w:r w:rsidR="00E4133C">
        <w:t xml:space="preserve">t is ONR’s expectation that </w:t>
      </w:r>
      <w:r w:rsidR="00B76E2A">
        <w:t>codes and models</w:t>
      </w:r>
      <w:r w:rsidR="00577830">
        <w:t xml:space="preserve"> are validated</w:t>
      </w:r>
      <w:r w:rsidR="00ED6C9B">
        <w:t xml:space="preserve"> and/or justified</w:t>
      </w:r>
      <w:r w:rsidR="00577830">
        <w:t xml:space="preserve"> for use in</w:t>
      </w:r>
      <w:r w:rsidR="00ED6C9B">
        <w:t xml:space="preserve"> their</w:t>
      </w:r>
      <w:r w:rsidR="00577830">
        <w:t xml:space="preserve"> specific application</w:t>
      </w:r>
      <w:r w:rsidR="00052E76">
        <w:t>s</w:t>
      </w:r>
      <w:r w:rsidR="00577830">
        <w:t>.</w:t>
      </w:r>
      <w:r w:rsidR="00B169CF">
        <w:t xml:space="preserve"> </w:t>
      </w:r>
      <w:r w:rsidR="00DD3B66">
        <w:t xml:space="preserve">For general application </w:t>
      </w:r>
      <w:r w:rsidR="00B76E2A">
        <w:t xml:space="preserve">computer </w:t>
      </w:r>
      <w:r w:rsidR="00DD3B66">
        <w:t xml:space="preserve">codes, there may be several models and capabilities not invoked in the analysis; </w:t>
      </w:r>
      <w:r w:rsidR="00B76E2A">
        <w:t>i</w:t>
      </w:r>
      <w:r w:rsidR="00B169CF">
        <w:t xml:space="preserve">nspectors should only target </w:t>
      </w:r>
      <w:r w:rsidR="0072398A">
        <w:t xml:space="preserve">aspects </w:t>
      </w:r>
      <w:r w:rsidR="00B169CF">
        <w:t xml:space="preserve">of the </w:t>
      </w:r>
      <w:r w:rsidR="00641509">
        <w:t>calculation method</w:t>
      </w:r>
      <w:r w:rsidR="002B485B">
        <w:t xml:space="preserve"> </w:t>
      </w:r>
      <w:r w:rsidR="0072398A">
        <w:t xml:space="preserve">that are significant to </w:t>
      </w:r>
      <w:r w:rsidR="003D6F6C">
        <w:t xml:space="preserve">the </w:t>
      </w:r>
      <w:r w:rsidR="0072398A">
        <w:t>safety</w:t>
      </w:r>
      <w:r w:rsidR="003D6F6C">
        <w:t xml:space="preserve"> cas</w:t>
      </w:r>
      <w:r w:rsidR="00DD3B66">
        <w:t>e</w:t>
      </w:r>
      <w:r w:rsidR="002B485B">
        <w:t>.</w:t>
      </w:r>
      <w:r w:rsidR="00C720B4">
        <w:t xml:space="preserve"> For example, a code may</w:t>
      </w:r>
      <w:r w:rsidR="00CC6595">
        <w:t xml:space="preserve"> </w:t>
      </w:r>
      <w:r w:rsidR="00C720B4">
        <w:t xml:space="preserve">be capable of </w:t>
      </w:r>
      <w:r w:rsidR="000D326C">
        <w:t xml:space="preserve">modelling </w:t>
      </w:r>
      <w:r w:rsidR="00F47BA1">
        <w:t xml:space="preserve">both </w:t>
      </w:r>
      <w:r w:rsidR="0082588B">
        <w:t xml:space="preserve">light water reactors and </w:t>
      </w:r>
      <w:r w:rsidR="0009190D">
        <w:t>heavy water reactors</w:t>
      </w:r>
      <w:r w:rsidR="009758C9">
        <w:t>. If the saf</w:t>
      </w:r>
      <w:r w:rsidR="009C3034">
        <w:t xml:space="preserve">ety case is for </w:t>
      </w:r>
      <w:r w:rsidR="000E0484">
        <w:t>a</w:t>
      </w:r>
      <w:r w:rsidR="009C3034">
        <w:t xml:space="preserve"> </w:t>
      </w:r>
      <w:r w:rsidR="00182618">
        <w:t>light water reactor, the inspector should only focus</w:t>
      </w:r>
      <w:r w:rsidR="005631CE">
        <w:t xml:space="preserve"> on the relevant aspects.</w:t>
      </w:r>
    </w:p>
    <w:p w14:paraId="46BDB23C" w14:textId="0DD425A0" w:rsidR="00B00696" w:rsidRDefault="00847695" w:rsidP="00A14DF8">
      <w:pPr>
        <w:pStyle w:val="F9-Paragraph"/>
      </w:pPr>
      <w:r>
        <w:t xml:space="preserve">Inspectors should seek to gain confidence that the </w:t>
      </w:r>
      <w:r w:rsidR="006E1B18">
        <w:t xml:space="preserve">dutyholder has </w:t>
      </w:r>
      <w:r w:rsidR="00127337">
        <w:t xml:space="preserve">undertaken </w:t>
      </w:r>
      <w:r w:rsidR="006E1B18">
        <w:t xml:space="preserve">an adequate process to identify the most </w:t>
      </w:r>
      <w:r w:rsidR="00540A51">
        <w:t xml:space="preserve">significant </w:t>
      </w:r>
      <w:r w:rsidR="006E1B18">
        <w:t>physical and chemical processes</w:t>
      </w:r>
      <w:r w:rsidR="00540A51">
        <w:t xml:space="preserve"> relevant to the application</w:t>
      </w:r>
      <w:r w:rsidR="00EC1639">
        <w:t xml:space="preserve"> of a calculation method</w:t>
      </w:r>
      <w:r w:rsidR="006E1B18">
        <w:t xml:space="preserve">. </w:t>
      </w:r>
      <w:r w:rsidR="006455EA">
        <w:t>A common approach to this is</w:t>
      </w:r>
      <w:r w:rsidR="00AC6E95">
        <w:t xml:space="preserve"> the</w:t>
      </w:r>
      <w:r w:rsidR="006455EA">
        <w:t xml:space="preserve"> </w:t>
      </w:r>
      <w:r w:rsidR="001279EC">
        <w:t>ad</w:t>
      </w:r>
      <w:r w:rsidR="00A6247B">
        <w:t>o</w:t>
      </w:r>
      <w:r w:rsidR="001279EC">
        <w:t xml:space="preserve">ption of </w:t>
      </w:r>
      <w:r w:rsidR="00D17DD6">
        <w:t>p</w:t>
      </w:r>
      <w:r w:rsidR="00B00696">
        <w:t xml:space="preserve">henomena </w:t>
      </w:r>
      <w:r w:rsidR="00D17DD6">
        <w:t>i</w:t>
      </w:r>
      <w:r w:rsidR="00B00696">
        <w:t xml:space="preserve">dentification and </w:t>
      </w:r>
      <w:r w:rsidR="00D17DD6">
        <w:t>r</w:t>
      </w:r>
      <w:r w:rsidR="00B00696">
        <w:t xml:space="preserve">anking </w:t>
      </w:r>
      <w:r w:rsidR="00D17DD6">
        <w:t>t</w:t>
      </w:r>
      <w:r w:rsidR="00B00696">
        <w:t>able (PIRT) technique</w:t>
      </w:r>
      <w:r w:rsidR="006455EA">
        <w:t>.</w:t>
      </w:r>
      <w:r w:rsidR="00421205">
        <w:t xml:space="preserve"> Inspectors should </w:t>
      </w:r>
      <w:r w:rsidR="009E7282">
        <w:t xml:space="preserve">consider </w:t>
      </w:r>
      <w:r w:rsidR="00421205">
        <w:t>review</w:t>
      </w:r>
      <w:r w:rsidR="009E7282">
        <w:t>ing</w:t>
      </w:r>
      <w:r w:rsidR="00421205">
        <w:t xml:space="preserve"> these to gain confidence in the </w:t>
      </w:r>
      <w:r w:rsidR="00776EB1">
        <w:t>dutyholder</w:t>
      </w:r>
      <w:r w:rsidR="00BF24DD">
        <w:t>’</w:t>
      </w:r>
      <w:r w:rsidR="00776EB1">
        <w:t>s</w:t>
      </w:r>
      <w:r w:rsidR="00421205">
        <w:t xml:space="preserve"> approach</w:t>
      </w:r>
      <w:r w:rsidR="005A2720">
        <w:t>, and to inform their own targeting</w:t>
      </w:r>
      <w:r w:rsidR="00421205">
        <w:t>.</w:t>
      </w:r>
      <w:r w:rsidR="006455EA">
        <w:t xml:space="preserve"> </w:t>
      </w:r>
      <w:r w:rsidR="00B00696">
        <w:t xml:space="preserve"> </w:t>
      </w:r>
    </w:p>
    <w:p w14:paraId="2E519DB7" w14:textId="270B16AC" w:rsidR="00F6783B" w:rsidRPr="003D6F6C" w:rsidRDefault="00F32619" w:rsidP="006E55E8">
      <w:pPr>
        <w:pStyle w:val="F9-Paragraph"/>
      </w:pPr>
      <w:r w:rsidRPr="003D6F6C">
        <w:t xml:space="preserve">Dutyholders </w:t>
      </w:r>
      <w:r w:rsidR="00076275" w:rsidRPr="003D6F6C">
        <w:t>should</w:t>
      </w:r>
      <w:r w:rsidRPr="003D6F6C">
        <w:t xml:space="preserve"> demonstrate the validity of the </w:t>
      </w:r>
      <w:r w:rsidR="00641509">
        <w:t>calculation method</w:t>
      </w:r>
      <w:r w:rsidRPr="003D6F6C">
        <w:t xml:space="preserve"> using a variety of approaches. This</w:t>
      </w:r>
      <w:r w:rsidR="00A22FCB" w:rsidRPr="003D6F6C">
        <w:t xml:space="preserve"> may include: benchmarking</w:t>
      </w:r>
      <w:r w:rsidR="003705F5" w:rsidRPr="003D6F6C">
        <w:t xml:space="preserve"> </w:t>
      </w:r>
      <w:r w:rsidR="00A916D7" w:rsidRPr="003D6F6C">
        <w:t>exercises</w:t>
      </w:r>
      <w:r w:rsidR="00A22FCB" w:rsidRPr="003D6F6C">
        <w:t xml:space="preserve">, comparisons against </w:t>
      </w:r>
      <w:r w:rsidR="00E10299">
        <w:t xml:space="preserve">other </w:t>
      </w:r>
      <w:r w:rsidR="00A22FCB" w:rsidRPr="003D6F6C">
        <w:t xml:space="preserve">analytical solutions, </w:t>
      </w:r>
      <w:r w:rsidR="003705F5" w:rsidRPr="003D6F6C">
        <w:t xml:space="preserve">comparisons with other </w:t>
      </w:r>
      <w:r w:rsidR="00B76E2A">
        <w:t>calculation methods</w:t>
      </w:r>
      <w:r w:rsidR="00A069A0" w:rsidRPr="003D6F6C">
        <w:t>, experimental data and plant data</w:t>
      </w:r>
      <w:r w:rsidR="00A13F9A">
        <w:t>,</w:t>
      </w:r>
      <w:r w:rsidR="00763D40" w:rsidRPr="003D6F6C">
        <w:t xml:space="preserve"> etc</w:t>
      </w:r>
      <w:r w:rsidR="00A069A0" w:rsidRPr="003D6F6C">
        <w:t xml:space="preserve">. </w:t>
      </w:r>
    </w:p>
    <w:p w14:paraId="74E5B883" w14:textId="7F3E17D4" w:rsidR="00AC053A" w:rsidRDefault="00AC053A" w:rsidP="006D53B3">
      <w:pPr>
        <w:pStyle w:val="Heading3"/>
      </w:pPr>
      <w:r>
        <w:lastRenderedPageBreak/>
        <w:t xml:space="preserve">Experimental </w:t>
      </w:r>
      <w:r w:rsidR="006D53B3">
        <w:t>d</w:t>
      </w:r>
      <w:r>
        <w:t>at</w:t>
      </w:r>
      <w:r w:rsidR="00743126">
        <w:t>a</w:t>
      </w:r>
    </w:p>
    <w:p w14:paraId="7727C411" w14:textId="78114811" w:rsidR="00F6783B" w:rsidRPr="002773A1" w:rsidRDefault="00F6783B" w:rsidP="00F6783B">
      <w:pPr>
        <w:pStyle w:val="F9-Paragraph"/>
      </w:pPr>
      <w:r w:rsidRPr="002773A1">
        <w:t xml:space="preserve">Where possible, the </w:t>
      </w:r>
      <w:r w:rsidR="009C0302" w:rsidRPr="002773A1">
        <w:t>calculation methods and</w:t>
      </w:r>
      <w:r w:rsidRPr="002773A1">
        <w:t xml:space="preserve"> models should be validated by comparison with actual experience, appropriate experiments or </w:t>
      </w:r>
      <w:r w:rsidR="00B77410">
        <w:t>other real-world data, to a degree and depth proportionate to the safety significan</w:t>
      </w:r>
      <w:r w:rsidR="00AB1B7B">
        <w:t>ce of the calculations</w:t>
      </w:r>
      <w:r w:rsidRPr="002773A1">
        <w:t>.</w:t>
      </w:r>
    </w:p>
    <w:p w14:paraId="6FC7B901" w14:textId="70A72C60" w:rsidR="00CD4FBA" w:rsidRPr="002773A1" w:rsidRDefault="009C0302" w:rsidP="00CD4FBA">
      <w:pPr>
        <w:pStyle w:val="F9-Paragraph"/>
      </w:pPr>
      <w:r w:rsidRPr="002773A1">
        <w:t>Calculation methods and models</w:t>
      </w:r>
      <w:r w:rsidR="00CD4FBA" w:rsidRPr="002773A1">
        <w:t xml:space="preserve"> should be validated for </w:t>
      </w:r>
      <w:r w:rsidR="00330E4F">
        <w:t>each</w:t>
      </w:r>
      <w:r w:rsidR="00CD4FBA" w:rsidRPr="002773A1">
        <w:t xml:space="preserve"> application made in the safety analysis</w:t>
      </w:r>
      <w:r w:rsidR="00C20C8D">
        <w:t xml:space="preserve"> (i.e. </w:t>
      </w:r>
      <w:r w:rsidR="003565EC">
        <w:t xml:space="preserve">the </w:t>
      </w:r>
      <w:r w:rsidR="008574D6">
        <w:t xml:space="preserve">validation basis should cover </w:t>
      </w:r>
      <w:r w:rsidR="0003272F">
        <w:t>the</w:t>
      </w:r>
      <w:r w:rsidR="004F2D66">
        <w:t xml:space="preserve"> entirety of the range of analysis in which a calculation method and model is used)</w:t>
      </w:r>
      <w:r w:rsidR="00CD4FBA" w:rsidRPr="002773A1">
        <w:t xml:space="preserve">. The validation should be of the </w:t>
      </w:r>
      <w:r w:rsidR="00E864D4" w:rsidRPr="002773A1">
        <w:t xml:space="preserve">calculation methods and </w:t>
      </w:r>
      <w:r w:rsidR="00CD4FBA" w:rsidRPr="002773A1">
        <w:t>model</w:t>
      </w:r>
      <w:r w:rsidR="00E864D4" w:rsidRPr="002773A1">
        <w:t>s</w:t>
      </w:r>
      <w:r w:rsidR="00CD4FBA" w:rsidRPr="002773A1">
        <w:t xml:space="preserve"> as a whole or, where this is not practicable, on a module basis, against experiments that replicate as closely as possible the expected plant condition.</w:t>
      </w:r>
    </w:p>
    <w:p w14:paraId="3E08B31D" w14:textId="77777777" w:rsidR="00143A06" w:rsidRPr="00143A06" w:rsidRDefault="00143A06" w:rsidP="00143A06">
      <w:pPr>
        <w:pStyle w:val="F9-Paragraph"/>
        <w:rPr>
          <w:lang w:eastAsia="en-GB"/>
        </w:rPr>
      </w:pPr>
      <w:r w:rsidRPr="00143A06">
        <w:rPr>
          <w:lang w:eastAsia="en-GB"/>
        </w:rPr>
        <w:t>Inspectors should also consider evidence from top</w:t>
      </w:r>
      <w:r w:rsidRPr="00143A06">
        <w:rPr>
          <w:lang w:eastAsia="en-GB"/>
        </w:rPr>
        <w:noBreakHyphen/>
        <w:t>down or integral validation activities, which assess whether the calculation method, when applied as a whole, is capable of reproducing key aspects of overall plant or system behaviour relevant to the safety claim. Such evidence may include comparisons against integral experiments, plant commissioning tests, operational data, or well</w:t>
      </w:r>
      <w:r w:rsidRPr="00143A06">
        <w:rPr>
          <w:lang w:eastAsia="en-GB"/>
        </w:rPr>
        <w:noBreakHyphen/>
        <w:t>established reference cases, and should focus on the ability of the combined model to predict important figures of merit, trends and system interactions. While good agreement at an integral level does not remove the need for adequate bottom</w:t>
      </w:r>
      <w:r w:rsidRPr="00143A06">
        <w:rPr>
          <w:lang w:eastAsia="en-GB"/>
        </w:rPr>
        <w:noBreakHyphen/>
        <w:t>up validation of important phenomena, it can provide additional confidence that the interactions between models, assumptions and numerical implementation are appropriate for the intended application.</w:t>
      </w:r>
    </w:p>
    <w:p w14:paraId="43CE1CF9" w14:textId="43C435FA" w:rsidR="00410273" w:rsidRDefault="006A506E" w:rsidP="00872B13">
      <w:pPr>
        <w:pStyle w:val="F9-Paragraph"/>
      </w:pPr>
      <w:r>
        <w:t xml:space="preserve">In reality, </w:t>
      </w:r>
      <w:r w:rsidR="00F92217">
        <w:t xml:space="preserve">it is </w:t>
      </w:r>
      <w:r>
        <w:t>ofte</w:t>
      </w:r>
      <w:r w:rsidR="00466C35">
        <w:t>n not practicable</w:t>
      </w:r>
      <w:r w:rsidR="00EA73FD">
        <w:t xml:space="preserve"> to validate the model as a whole</w:t>
      </w:r>
      <w:r w:rsidR="00127F26">
        <w:t xml:space="preserve">; therefore </w:t>
      </w:r>
      <w:r w:rsidR="00466C35">
        <w:t xml:space="preserve">dutyholders </w:t>
      </w:r>
      <w:r w:rsidR="00EC763D">
        <w:t xml:space="preserve">choose </w:t>
      </w:r>
      <w:r w:rsidR="00466C35">
        <w:t xml:space="preserve">to </w:t>
      </w:r>
      <w:r w:rsidR="00E20948">
        <w:t xml:space="preserve">segregate phenomena and </w:t>
      </w:r>
      <w:r w:rsidR="00C64644">
        <w:t xml:space="preserve">whole </w:t>
      </w:r>
      <w:r w:rsidR="00E20948">
        <w:t xml:space="preserve">system performance. </w:t>
      </w:r>
      <w:r w:rsidR="00481D7A">
        <w:t xml:space="preserve">A common approach is to </w:t>
      </w:r>
      <w:r w:rsidR="00C94F18">
        <w:t xml:space="preserve">make comparisons of the models with </w:t>
      </w:r>
      <w:r w:rsidR="00DB3754">
        <w:t xml:space="preserve">data from </w:t>
      </w:r>
      <w:r w:rsidR="00EE5265">
        <w:t xml:space="preserve">separate effects tests </w:t>
      </w:r>
      <w:r w:rsidR="009F376D">
        <w:t xml:space="preserve">and integral effects tests </w:t>
      </w:r>
      <w:r w:rsidR="00EE5265">
        <w:t>to</w:t>
      </w:r>
      <w:r w:rsidR="009F376D">
        <w:t xml:space="preserve"> validate </w:t>
      </w:r>
      <w:r w:rsidR="003E15AB">
        <w:t xml:space="preserve">individual modules of codes and </w:t>
      </w:r>
      <w:r w:rsidR="00D2117B">
        <w:t>systems as a whole</w:t>
      </w:r>
      <w:r w:rsidR="00645FCD">
        <w:t>, respectively</w:t>
      </w:r>
      <w:r w:rsidR="00D2117B">
        <w:t xml:space="preserve">. </w:t>
      </w:r>
      <w:r w:rsidR="006A022A">
        <w:t>The dutyholder</w:t>
      </w:r>
      <w:r w:rsidR="00B83B46">
        <w:t xml:space="preserve"> should justify the appropriateness of the experimental data</w:t>
      </w:r>
      <w:r w:rsidR="00DE5868">
        <w:t xml:space="preserve"> for the application</w:t>
      </w:r>
      <w:r w:rsidR="00872B13">
        <w:t>,</w:t>
      </w:r>
      <w:r w:rsidR="00124646">
        <w:t xml:space="preserve"> considering factors including </w:t>
      </w:r>
      <w:r w:rsidR="00114AD7">
        <w:t xml:space="preserve">key design features, </w:t>
      </w:r>
      <w:r w:rsidR="0023606A">
        <w:t xml:space="preserve">geometrical simplification, </w:t>
      </w:r>
      <w:r w:rsidR="00832022">
        <w:t>scaling effects, boundary conditions</w:t>
      </w:r>
      <w:r w:rsidR="00653E1E">
        <w:t xml:space="preserve"> and</w:t>
      </w:r>
      <w:r w:rsidR="00DE5868">
        <w:t xml:space="preserve"> </w:t>
      </w:r>
      <w:r w:rsidR="00C15982">
        <w:t xml:space="preserve">conservation of </w:t>
      </w:r>
      <w:r w:rsidR="00F31EAB">
        <w:t>pertinent parameters</w:t>
      </w:r>
      <w:r w:rsidR="006A022A">
        <w:t>.</w:t>
      </w:r>
      <w:r w:rsidR="00207C08">
        <w:t xml:space="preserve"> </w:t>
      </w:r>
    </w:p>
    <w:p w14:paraId="44A79086" w14:textId="57E45C9E" w:rsidR="00B64BBC" w:rsidRPr="002773A1" w:rsidRDefault="00A67532" w:rsidP="00A14DF8">
      <w:pPr>
        <w:pStyle w:val="F9-Paragraph"/>
      </w:pPr>
      <w:r>
        <w:t xml:space="preserve">Where </w:t>
      </w:r>
      <w:r w:rsidR="00CB6F45">
        <w:t>d</w:t>
      </w:r>
      <w:r w:rsidR="0098053F">
        <w:t>utyholders have access to real</w:t>
      </w:r>
      <w:r w:rsidR="0010598F">
        <w:t>, relevant</w:t>
      </w:r>
      <w:r w:rsidR="0098053F">
        <w:t xml:space="preserve"> plant data </w:t>
      </w:r>
      <w:r w:rsidR="00E408A5">
        <w:t xml:space="preserve">from commissioning tests </w:t>
      </w:r>
      <w:r w:rsidR="00E408A5" w:rsidRPr="003D6F6C">
        <w:t xml:space="preserve">or </w:t>
      </w:r>
      <w:r w:rsidR="00CB6F45" w:rsidRPr="003D6F6C">
        <w:t xml:space="preserve">operation of </w:t>
      </w:r>
      <w:r w:rsidR="00E408A5" w:rsidRPr="003D6F6C">
        <w:t xml:space="preserve">existing facilities, </w:t>
      </w:r>
      <w:r w:rsidR="00CB6F45" w:rsidRPr="003D6F6C">
        <w:t>th</w:t>
      </w:r>
      <w:r w:rsidR="00FE06F2" w:rsidRPr="003D6F6C">
        <w:t xml:space="preserve">ese should also be </w:t>
      </w:r>
      <w:r w:rsidR="00FE06F2" w:rsidRPr="002773A1">
        <w:t xml:space="preserve">used for validation of </w:t>
      </w:r>
      <w:r w:rsidR="00B76E2A" w:rsidRPr="002773A1">
        <w:t>calculation methods</w:t>
      </w:r>
      <w:r w:rsidR="00FE06F2" w:rsidRPr="002773A1">
        <w:t>.</w:t>
      </w:r>
      <w:r w:rsidR="00C778BF" w:rsidRPr="002773A1">
        <w:t xml:space="preserve"> </w:t>
      </w:r>
    </w:p>
    <w:p w14:paraId="63DF0F93" w14:textId="6C383AA7" w:rsidR="00471BB7" w:rsidRPr="002773A1" w:rsidRDefault="00471BB7" w:rsidP="00471BB7">
      <w:pPr>
        <w:pStyle w:val="F9-Paragraph"/>
      </w:pPr>
      <w:r w:rsidRPr="002773A1">
        <w:t xml:space="preserve">Care should be exercised in the interpretation of experiments to take account of uncertainties in replicating the range of anticipated plant conditions. The limits of applicability of </w:t>
      </w:r>
      <w:r w:rsidR="00E864D4" w:rsidRPr="002773A1">
        <w:t>calculation methods</w:t>
      </w:r>
      <w:r w:rsidRPr="002773A1">
        <w:t xml:space="preserve"> should be identified.</w:t>
      </w:r>
    </w:p>
    <w:p w14:paraId="0C250F36" w14:textId="77777777" w:rsidR="006D53B3" w:rsidRDefault="006D53B3" w:rsidP="00B3529D">
      <w:pPr>
        <w:pStyle w:val="F9-Paragraph"/>
        <w:sectPr w:rsidR="006D53B3" w:rsidSect="000B2BCD">
          <w:pgSz w:w="11906" w:h="16838" w:code="9"/>
          <w:pgMar w:top="1440" w:right="1440" w:bottom="1440" w:left="1440" w:header="397" w:footer="397" w:gutter="0"/>
          <w:cols w:space="312"/>
          <w:docGrid w:linePitch="360"/>
        </w:sectPr>
      </w:pPr>
    </w:p>
    <w:p w14:paraId="217AF74B" w14:textId="799CEEA0" w:rsidR="00EE0D71" w:rsidRDefault="00A36BBF" w:rsidP="00B3529D">
      <w:pPr>
        <w:pStyle w:val="F9-Paragraph"/>
      </w:pPr>
      <w:r>
        <w:lastRenderedPageBreak/>
        <w:t>When modelling fault progression, o</w:t>
      </w:r>
      <w:r w:rsidR="00810FDF" w:rsidRPr="002773A1">
        <w:t xml:space="preserve">ver the course of </w:t>
      </w:r>
      <w:r w:rsidR="004F3B5A" w:rsidRPr="002773A1">
        <w:t>a fault</w:t>
      </w:r>
      <w:r w:rsidR="00810FDF" w:rsidRPr="002773A1">
        <w:t xml:space="preserve"> transient, d</w:t>
      </w:r>
      <w:r w:rsidR="00181213" w:rsidRPr="002773A1">
        <w:t xml:space="preserve">ifferent </w:t>
      </w:r>
      <w:r w:rsidR="003929FE" w:rsidRPr="002773A1">
        <w:t xml:space="preserve">models </w:t>
      </w:r>
      <w:r w:rsidR="00933785" w:rsidRPr="002773A1">
        <w:t xml:space="preserve">and correlations </w:t>
      </w:r>
      <w:r w:rsidR="00BA0F6C" w:rsidRPr="002773A1">
        <w:t>could</w:t>
      </w:r>
      <w:r w:rsidR="003929FE" w:rsidRPr="002773A1">
        <w:t xml:space="preserve"> be applied over different ranges of </w:t>
      </w:r>
      <w:r w:rsidR="00BA34E2" w:rsidRPr="002773A1">
        <w:t xml:space="preserve">conditions </w:t>
      </w:r>
      <w:r w:rsidR="00D96DA3" w:rsidRPr="002773A1">
        <w:t>that a system will experience</w:t>
      </w:r>
      <w:r w:rsidR="00BA34E2" w:rsidRPr="002773A1">
        <w:t>.</w:t>
      </w:r>
      <w:r w:rsidR="00410273" w:rsidRPr="002773A1">
        <w:t xml:space="preserve"> </w:t>
      </w:r>
      <w:r w:rsidR="004F3B5A" w:rsidRPr="002773A1">
        <w:t>Where appropriate, t</w:t>
      </w:r>
      <w:r w:rsidR="00AE7F70" w:rsidRPr="002773A1">
        <w:t xml:space="preserve">he PIRT should </w:t>
      </w:r>
      <w:r w:rsidR="00AE7F70">
        <w:t>subdivide transients into d</w:t>
      </w:r>
      <w:r w:rsidR="00652D97">
        <w:t>ifferent phases</w:t>
      </w:r>
      <w:r w:rsidR="002B4825">
        <w:t xml:space="preserve"> </w:t>
      </w:r>
      <w:r w:rsidR="00AE7F70">
        <w:t xml:space="preserve">to determine the most important phenomena </w:t>
      </w:r>
      <w:r w:rsidR="00546992">
        <w:t>at a given time</w:t>
      </w:r>
      <w:r w:rsidR="00F339EC">
        <w:t>. I</w:t>
      </w:r>
      <w:r w:rsidR="000162C4">
        <w:t xml:space="preserve">nspectors should seek to gain confidence that the validation range </w:t>
      </w:r>
      <w:r w:rsidR="00EE7EF0">
        <w:t>for a</w:t>
      </w:r>
      <w:r w:rsidR="000162C4">
        <w:t xml:space="preserve"> c</w:t>
      </w:r>
      <w:r w:rsidR="00B76E2A">
        <w:t>alculation method</w:t>
      </w:r>
      <w:r w:rsidR="000162C4">
        <w:t xml:space="preserve"> (or modules within a code) </w:t>
      </w:r>
      <w:r w:rsidR="005A4E9B">
        <w:t>bounds the range of application</w:t>
      </w:r>
      <w:r w:rsidR="000162C4">
        <w:t>.</w:t>
      </w:r>
    </w:p>
    <w:p w14:paraId="65F4E527" w14:textId="338C87D8" w:rsidR="003A3299" w:rsidRDefault="003A3299" w:rsidP="00B3529D">
      <w:pPr>
        <w:pStyle w:val="F9-Paragraph"/>
      </w:pPr>
      <w:r>
        <w:t xml:space="preserve">Where dutyholders make extrapolations of data to extend the claimed validation range of a </w:t>
      </w:r>
      <w:r w:rsidR="00B76E2A">
        <w:t>calculation method</w:t>
      </w:r>
      <w:r>
        <w:t>, this should be justified.</w:t>
      </w:r>
      <w:r w:rsidR="002E5F7C" w:rsidRPr="002E5F7C">
        <w:t xml:space="preserve"> Inspectors should consider these arguments and whether further testing</w:t>
      </w:r>
      <w:r w:rsidR="000954BA">
        <w:t xml:space="preserve">, </w:t>
      </w:r>
      <w:r w:rsidR="002E5F7C" w:rsidRPr="002E5F7C">
        <w:t>sensitivity</w:t>
      </w:r>
      <w:r w:rsidR="00E22398">
        <w:t xml:space="preserve"> or uncertainty</w:t>
      </w:r>
      <w:r w:rsidR="002E5F7C" w:rsidRPr="002E5F7C">
        <w:t xml:space="preserve"> analysis</w:t>
      </w:r>
      <w:r w:rsidR="000954BA">
        <w:t>,</w:t>
      </w:r>
      <w:r w:rsidR="002E5F7C" w:rsidRPr="002E5F7C">
        <w:t xml:space="preserve"> </w:t>
      </w:r>
      <w:r w:rsidR="00BF34F5">
        <w:t>is necessary</w:t>
      </w:r>
      <w:r w:rsidR="002E5F7C" w:rsidRPr="002E5F7C">
        <w:t xml:space="preserve">. In coming to a judgment, inspectors should consider the </w:t>
      </w:r>
      <w:r w:rsidR="009442E1">
        <w:t>risk significance of the analysis,</w:t>
      </w:r>
      <w:r w:rsidR="002E5F7C" w:rsidRPr="002E5F7C">
        <w:t xml:space="preserve"> </w:t>
      </w:r>
      <w:r w:rsidR="00A7331B">
        <w:t xml:space="preserve">the </w:t>
      </w:r>
      <w:r w:rsidR="002E5F7C" w:rsidRPr="002E5F7C">
        <w:t xml:space="preserve">conservatism in the analysis which </w:t>
      </w:r>
      <w:r w:rsidR="00BD4B84">
        <w:t xml:space="preserve">may have </w:t>
      </w:r>
      <w:r w:rsidR="002E5F7C" w:rsidRPr="002E5F7C">
        <w:t>pushed the model predictions outside of the validation range</w:t>
      </w:r>
      <w:r w:rsidR="00A7331B">
        <w:t xml:space="preserve">, and the uncertainties </w:t>
      </w:r>
      <w:r w:rsidR="000238B8">
        <w:t xml:space="preserve">associated with the </w:t>
      </w:r>
      <w:r w:rsidR="00726F51">
        <w:t>analysis</w:t>
      </w:r>
      <w:r w:rsidR="002E5F7C" w:rsidRPr="002E5F7C">
        <w:t>.</w:t>
      </w:r>
      <w:r w:rsidR="00BD4B84" w:rsidRPr="00BD4B84">
        <w:t xml:space="preserve"> </w:t>
      </w:r>
      <w:r w:rsidR="00BD4B84" w:rsidRPr="000427D6">
        <w:t>Inspectors</w:t>
      </w:r>
      <w:r w:rsidR="00BD4B84">
        <w:t xml:space="preserve"> can</w:t>
      </w:r>
      <w:r w:rsidR="00BD4B84" w:rsidRPr="000427D6">
        <w:t xml:space="preserve"> also gain confidence </w:t>
      </w:r>
      <w:r w:rsidR="0054626C">
        <w:t>in</w:t>
      </w:r>
      <w:r w:rsidR="00BD4B84" w:rsidRPr="000427D6">
        <w:t xml:space="preserve"> the robustness of the case if dutyholders have clearly identified and justified any gaps or limitations in validation </w:t>
      </w:r>
      <w:r w:rsidR="006D53B3">
        <w:t>(refer to</w:t>
      </w:r>
      <w:r w:rsidR="00BD4B84" w:rsidRPr="000427D6">
        <w:t xml:space="preserve"> Section </w:t>
      </w:r>
      <w:r w:rsidR="00BD4B84" w:rsidRPr="000427D6">
        <w:fldChar w:fldCharType="begin"/>
      </w:r>
      <w:r w:rsidR="00BD4B84" w:rsidRPr="000427D6">
        <w:instrText xml:space="preserve"> REF _Ref204076081 \r \h  \* MERGEFORMAT </w:instrText>
      </w:r>
      <w:r w:rsidR="00BD4B84" w:rsidRPr="000427D6">
        <w:fldChar w:fldCharType="separate"/>
      </w:r>
      <w:r w:rsidR="00EF26D2">
        <w:rPr>
          <w:cs/>
        </w:rPr>
        <w:t>‎</w:t>
      </w:r>
      <w:r w:rsidR="00EF26D2">
        <w:t>5.5</w:t>
      </w:r>
      <w:r w:rsidR="00BD4B84" w:rsidRPr="000427D6">
        <w:fldChar w:fldCharType="end"/>
      </w:r>
      <w:r w:rsidR="00BD4B84" w:rsidRPr="000427D6">
        <w:t>).</w:t>
      </w:r>
    </w:p>
    <w:p w14:paraId="31BACDEF" w14:textId="1628781F" w:rsidR="00871652" w:rsidRDefault="003E1A10" w:rsidP="00F67E53">
      <w:pPr>
        <w:pStyle w:val="F9-Paragraph"/>
      </w:pPr>
      <w:r>
        <w:t xml:space="preserve">Inspectors should be aware of human influence and biases when performing </w:t>
      </w:r>
      <w:r w:rsidR="00DF1641">
        <w:t xml:space="preserve">validation of </w:t>
      </w:r>
      <w:r w:rsidR="00B76E2A">
        <w:t>calculation method</w:t>
      </w:r>
      <w:r w:rsidR="00DF1641">
        <w:t xml:space="preserve">s or analysis. </w:t>
      </w:r>
      <w:r w:rsidR="00871652">
        <w:t xml:space="preserve">When reviewing </w:t>
      </w:r>
      <w:r w:rsidR="0058428C">
        <w:t xml:space="preserve">comparisons against experimental data, </w:t>
      </w:r>
      <w:r w:rsidR="003B60FD">
        <w:t>i</w:t>
      </w:r>
      <w:r w:rsidR="00871652">
        <w:t xml:space="preserve">nspectors should be aware of the </w:t>
      </w:r>
      <w:r w:rsidR="003B60FD">
        <w:t xml:space="preserve">potential for </w:t>
      </w:r>
      <w:r w:rsidR="00871652">
        <w:t>tuning</w:t>
      </w:r>
      <w:r w:rsidR="0058428C">
        <w:t xml:space="preserve"> of </w:t>
      </w:r>
      <w:r w:rsidR="00641509">
        <w:t>calculation method</w:t>
      </w:r>
      <w:r w:rsidR="0058428C">
        <w:t xml:space="preserve">s </w:t>
      </w:r>
      <w:r w:rsidR="00BD6C5E">
        <w:t xml:space="preserve">or </w:t>
      </w:r>
      <w:r w:rsidR="0058428C">
        <w:t>cherry</w:t>
      </w:r>
      <w:r w:rsidR="00BD6C5E" w:rsidRPr="004C1096">
        <w:t>-</w:t>
      </w:r>
      <w:r w:rsidR="0058428C" w:rsidRPr="004C1096">
        <w:t xml:space="preserve">picking </w:t>
      </w:r>
      <w:r w:rsidR="003B60FD" w:rsidRPr="004C1096">
        <w:t xml:space="preserve">of </w:t>
      </w:r>
      <w:r w:rsidR="0058428C" w:rsidRPr="004C1096">
        <w:t>data</w:t>
      </w:r>
      <w:r w:rsidR="00871652" w:rsidRPr="004C1096">
        <w:t>.</w:t>
      </w:r>
      <w:r w:rsidR="00F67E53">
        <w:t xml:space="preserve"> It may be necessary</w:t>
      </w:r>
      <w:r w:rsidR="004435C2">
        <w:t xml:space="preserve"> and reasonable</w:t>
      </w:r>
      <w:r w:rsidR="00F67E53">
        <w:t xml:space="preserve"> for a dutyholder to disregard some experimental data or tune a </w:t>
      </w:r>
      <w:r w:rsidR="00641509">
        <w:t>calculation method</w:t>
      </w:r>
      <w:r w:rsidR="00F67E53">
        <w:t xml:space="preserve"> for various justifiable reasons; however, this reasoning should be provided in documentation. </w:t>
      </w:r>
      <w:r w:rsidR="008D15F7" w:rsidRPr="004C1096">
        <w:t xml:space="preserve">Dutyholders should </w:t>
      </w:r>
      <w:r w:rsidR="00352F64" w:rsidRPr="004C1096">
        <w:t xml:space="preserve">aim to </w:t>
      </w:r>
      <w:r w:rsidR="00750128">
        <w:t>minimise biases</w:t>
      </w:r>
      <w:r w:rsidR="00352F64" w:rsidRPr="004C1096">
        <w:t xml:space="preserve"> </w:t>
      </w:r>
      <w:r w:rsidR="00750128">
        <w:t>when validating</w:t>
      </w:r>
      <w:r w:rsidR="00352F64" w:rsidRPr="004C1096">
        <w:t xml:space="preserve"> </w:t>
      </w:r>
      <w:r w:rsidR="00B76E2A">
        <w:t>calculation method</w:t>
      </w:r>
      <w:r w:rsidR="00352F64" w:rsidRPr="004C1096">
        <w:t xml:space="preserve">s </w:t>
      </w:r>
      <w:r w:rsidR="001929E6" w:rsidRPr="004C1096">
        <w:t xml:space="preserve">so far as reasonably practicable. </w:t>
      </w:r>
      <w:r w:rsidR="003F1891" w:rsidRPr="004C1096">
        <w:t>Blind and double</w:t>
      </w:r>
      <w:r w:rsidR="003B60FD" w:rsidRPr="004C1096">
        <w:t>-</w:t>
      </w:r>
      <w:r w:rsidR="003F1891" w:rsidRPr="004C1096">
        <w:t>blind testing</w:t>
      </w:r>
      <w:r w:rsidR="000C25C5">
        <w:t>/analysis</w:t>
      </w:r>
      <w:r w:rsidR="003F1891" w:rsidRPr="004C1096">
        <w:t xml:space="preserve"> is favourable</w:t>
      </w:r>
      <w:r w:rsidR="00D95A51" w:rsidRPr="004C1096">
        <w:t>, but r</w:t>
      </w:r>
      <w:r w:rsidR="00545B7B" w:rsidRPr="004C1096">
        <w:t>arely performed in practice</w:t>
      </w:r>
      <w:r w:rsidR="00FF1B3B" w:rsidRPr="004C1096">
        <w:t>. With regards</w:t>
      </w:r>
      <w:r w:rsidR="00FF1B3B">
        <w:t xml:space="preserve"> to </w:t>
      </w:r>
      <w:r w:rsidR="00AF58C2">
        <w:t>best estimate plus uncertainty (</w:t>
      </w:r>
      <w:r w:rsidR="00FF1B3B">
        <w:t>BEPU</w:t>
      </w:r>
      <w:r w:rsidR="00AF58C2">
        <w:t>)</w:t>
      </w:r>
      <w:r w:rsidR="00FF1B3B">
        <w:t xml:space="preserve"> analysis, inspectors should </w:t>
      </w:r>
      <w:r w:rsidR="00EE38F7">
        <w:t>be aware that analysis can be performed multiple times in order to achieve a favourable outcome.</w:t>
      </w:r>
      <w:r w:rsidR="00DF1641">
        <w:t xml:space="preserve"> Inspectors should </w:t>
      </w:r>
      <w:r w:rsidR="00FA1E6F">
        <w:t>consider assessing</w:t>
      </w:r>
      <w:r w:rsidR="00DF1641">
        <w:t xml:space="preserve"> the dutyholder</w:t>
      </w:r>
      <w:r w:rsidR="00FA1E6F">
        <w:t>’</w:t>
      </w:r>
      <w:r w:rsidR="00DF1641">
        <w:t xml:space="preserve">s arrangements </w:t>
      </w:r>
      <w:r w:rsidR="00AF58C2">
        <w:t>for</w:t>
      </w:r>
      <w:r w:rsidR="00C021AD">
        <w:t xml:space="preserve"> </w:t>
      </w:r>
      <w:r w:rsidR="00DF1641">
        <w:t>minimising biases</w:t>
      </w:r>
      <w:r w:rsidR="00C021AD">
        <w:t xml:space="preserve">. </w:t>
      </w:r>
    </w:p>
    <w:p w14:paraId="187AE05D" w14:textId="539E6FAA" w:rsidR="00AC053A" w:rsidRPr="00AC053A" w:rsidRDefault="00AC053A" w:rsidP="006D53B3">
      <w:pPr>
        <w:pStyle w:val="Heading3"/>
      </w:pPr>
      <w:r w:rsidRPr="00AC053A">
        <w:t>Other methods</w:t>
      </w:r>
      <w:r w:rsidR="00641509">
        <w:t xml:space="preserve"> of validation</w:t>
      </w:r>
    </w:p>
    <w:p w14:paraId="19F5B915" w14:textId="6C210714" w:rsidR="00B470E6" w:rsidRDefault="00947F05" w:rsidP="00947F05">
      <w:pPr>
        <w:pStyle w:val="F9-Paragraph"/>
      </w:pPr>
      <w:r w:rsidRPr="00947F05">
        <w:t xml:space="preserve">Where validation against real-world experience or experiments in not possible or is </w:t>
      </w:r>
      <w:r>
        <w:t>not reasonably practicable,</w:t>
      </w:r>
      <w:r w:rsidR="00B470E6" w:rsidRPr="002773A1">
        <w:t xml:space="preserve"> a comparison with other, different, calculation methods may be acceptable.</w:t>
      </w:r>
      <w:r w:rsidR="000841A8" w:rsidRPr="002773A1">
        <w:t xml:space="preserve"> A dutyholder should also use these methods </w:t>
      </w:r>
      <w:r w:rsidR="001D61FC" w:rsidRPr="002773A1">
        <w:t xml:space="preserve">as supplementary </w:t>
      </w:r>
      <w:r w:rsidR="00131EA8" w:rsidRPr="002773A1">
        <w:t xml:space="preserve">evidence </w:t>
      </w:r>
      <w:r w:rsidR="001D61FC" w:rsidRPr="002773A1">
        <w:t>to relatively weak experimental evidence.</w:t>
      </w:r>
      <w:r w:rsidR="00A22A25" w:rsidRPr="002773A1">
        <w:t xml:space="preserve"> The comparison calculation method should have been developed independently of that used in the safety case</w:t>
      </w:r>
      <w:r w:rsidR="00960DEF" w:rsidRPr="002773A1">
        <w:t xml:space="preserve"> calculations</w:t>
      </w:r>
      <w:r w:rsidR="00A22A25" w:rsidRPr="002773A1">
        <w:t xml:space="preserve"> and should be sufficiently different from it in either numerical </w:t>
      </w:r>
      <w:r w:rsidR="00A22A25" w:rsidRPr="001969DA">
        <w:t>methods or physical modelling to make the comparison worthwhile. Clearly, comparison with a calculation method which is a derivative of</w:t>
      </w:r>
      <w:r w:rsidR="00B377BE">
        <w:t>,</w:t>
      </w:r>
      <w:r w:rsidR="00A22A25" w:rsidRPr="001969DA">
        <w:t xml:space="preserve"> or very similar to</w:t>
      </w:r>
      <w:r w:rsidR="00B377BE">
        <w:t>,</w:t>
      </w:r>
      <w:r w:rsidR="00A22A25" w:rsidRPr="001969DA">
        <w:t xml:space="preserve"> that used in the safety case would not necessarily yield useful results</w:t>
      </w:r>
      <w:r w:rsidR="00A636DD">
        <w:t xml:space="preserve"> for validation purposes</w:t>
      </w:r>
      <w:r w:rsidR="00F0659C">
        <w:t>;</w:t>
      </w:r>
      <w:r w:rsidR="00FB4A70">
        <w:t xml:space="preserve"> </w:t>
      </w:r>
      <w:r w:rsidR="00F0659C">
        <w:t>however, even these</w:t>
      </w:r>
      <w:r w:rsidR="00FB4A70">
        <w:t xml:space="preserve"> code-to-code comparisons may be useful for verification of </w:t>
      </w:r>
      <w:r w:rsidR="00F0659C">
        <w:t>a code</w:t>
      </w:r>
      <w:r w:rsidR="00A22A25" w:rsidRPr="001969DA">
        <w:t>.</w:t>
      </w:r>
    </w:p>
    <w:p w14:paraId="090C3699" w14:textId="77777777" w:rsidR="006D53B3" w:rsidRDefault="006D53B3" w:rsidP="006524FA">
      <w:pPr>
        <w:pStyle w:val="F9-Paragraph"/>
        <w:sectPr w:rsidR="006D53B3" w:rsidSect="000B2BCD">
          <w:pgSz w:w="11906" w:h="16838" w:code="9"/>
          <w:pgMar w:top="1440" w:right="1440" w:bottom="1440" w:left="1440" w:header="397" w:footer="397" w:gutter="0"/>
          <w:cols w:space="312"/>
          <w:docGrid w:linePitch="360"/>
        </w:sectPr>
      </w:pPr>
    </w:p>
    <w:p w14:paraId="5B955A97" w14:textId="018F1AAE" w:rsidR="006524FA" w:rsidRPr="0074775A" w:rsidRDefault="006524FA" w:rsidP="006524FA">
      <w:pPr>
        <w:pStyle w:val="F9-Paragraph"/>
      </w:pPr>
      <w:r w:rsidRPr="00A3451F">
        <w:lastRenderedPageBreak/>
        <w:t xml:space="preserve">For some </w:t>
      </w:r>
      <w:r w:rsidR="00641509">
        <w:t>calculation method</w:t>
      </w:r>
      <w:r w:rsidR="00084815">
        <w:t>s</w:t>
      </w:r>
      <w:r w:rsidRPr="00A3451F">
        <w:t>, analytical benchmarks with well-</w:t>
      </w:r>
      <w:r w:rsidRPr="006524FA">
        <w:t xml:space="preserve">defined solutions are available that can be used as part of the validation evidence </w:t>
      </w:r>
      <w:r>
        <w:t xml:space="preserve">base. </w:t>
      </w:r>
      <w:r w:rsidR="00BB14D2">
        <w:t xml:space="preserve">Analytical methods can also be used to identify upper and lower bounds of a fault condition. </w:t>
      </w:r>
      <w:r>
        <w:t xml:space="preserve">However, </w:t>
      </w:r>
      <w:r w:rsidR="00E96796">
        <w:t xml:space="preserve">analytical methods </w:t>
      </w:r>
      <w:r>
        <w:t xml:space="preserve">generally only act as an additional test of the calculation method and do not assess the physical modelling used in a safety case calculation. An inspector should expect </w:t>
      </w:r>
      <w:r w:rsidR="0068274C">
        <w:t xml:space="preserve">the use of </w:t>
      </w:r>
      <w:r>
        <w:t>such benchmarks to be supplemented with other evidence.</w:t>
      </w:r>
    </w:p>
    <w:p w14:paraId="767F5F06" w14:textId="4CB49F73" w:rsidR="002848A0" w:rsidRPr="002773A1" w:rsidRDefault="002848A0" w:rsidP="001969DA">
      <w:pPr>
        <w:pStyle w:val="F9-Paragraph"/>
      </w:pPr>
      <w:r w:rsidRPr="002773A1">
        <w:t xml:space="preserve">Where </w:t>
      </w:r>
      <w:r w:rsidR="000E23F9">
        <w:t>appropriate</w:t>
      </w:r>
      <w:r w:rsidRPr="002773A1">
        <w:t xml:space="preserve">, independent checks using diverse methods or models should be carried out to supplement </w:t>
      </w:r>
      <w:r w:rsidR="00F73232" w:rsidRPr="002773A1">
        <w:t>safety case analyses</w:t>
      </w:r>
      <w:r w:rsidRPr="002773A1">
        <w:t xml:space="preserve">. However, the inspector should not expect to see two whole sets of analysis with the same purpose. Instead, a dutyholder </w:t>
      </w:r>
      <w:r w:rsidR="008C11A8" w:rsidRPr="002773A1">
        <w:t xml:space="preserve">should perform independent checks </w:t>
      </w:r>
      <w:r w:rsidRPr="002773A1">
        <w:t xml:space="preserve">for aspects of the analysis that are not well validated for </w:t>
      </w:r>
      <w:r w:rsidR="00E4012C" w:rsidRPr="002773A1">
        <w:t xml:space="preserve">a </w:t>
      </w:r>
      <w:r w:rsidRPr="002773A1">
        <w:t xml:space="preserve">specific </w:t>
      </w:r>
      <w:r w:rsidR="00790483" w:rsidRPr="002773A1">
        <w:t>application</w:t>
      </w:r>
      <w:r w:rsidRPr="002773A1">
        <w:t xml:space="preserve"> or have large uncertainties associated with them. </w:t>
      </w:r>
    </w:p>
    <w:p w14:paraId="064265C2" w14:textId="211C4BAA" w:rsidR="009941C2" w:rsidRPr="009941C2" w:rsidRDefault="009941C2" w:rsidP="006D53B3">
      <w:pPr>
        <w:pStyle w:val="Heading3"/>
      </w:pPr>
      <w:r w:rsidRPr="009941C2">
        <w:t xml:space="preserve">General </w:t>
      </w:r>
      <w:r w:rsidR="006D53B3">
        <w:t>a</w:t>
      </w:r>
      <w:r w:rsidR="00A842AF">
        <w:t>dvice</w:t>
      </w:r>
    </w:p>
    <w:p w14:paraId="342E313B" w14:textId="57178B54" w:rsidR="0011068C" w:rsidRDefault="00F76F51" w:rsidP="00AA0BBE">
      <w:pPr>
        <w:pStyle w:val="F9-Paragraph"/>
      </w:pPr>
      <w:r>
        <w:t xml:space="preserve">The </w:t>
      </w:r>
      <w:r w:rsidR="009D5101">
        <w:t xml:space="preserve">validation evidence of the </w:t>
      </w:r>
      <w:r w:rsidR="00B76E2A">
        <w:t>calculation method</w:t>
      </w:r>
      <w:r w:rsidR="009D5101">
        <w:t xml:space="preserve"> should be summarised in the safety case (</w:t>
      </w:r>
      <w:r w:rsidR="006D53B3">
        <w:t>refer to</w:t>
      </w:r>
      <w:r w:rsidR="009D5101">
        <w:t xml:space="preserve"> Section </w:t>
      </w:r>
      <w:r w:rsidR="009D5101">
        <w:fldChar w:fldCharType="begin"/>
      </w:r>
      <w:r w:rsidR="009D5101">
        <w:instrText xml:space="preserve"> REF _Ref204076081 \r \h </w:instrText>
      </w:r>
      <w:r w:rsidR="009D5101">
        <w:fldChar w:fldCharType="separate"/>
      </w:r>
      <w:r w:rsidR="00EF26D2">
        <w:rPr>
          <w:cs/>
        </w:rPr>
        <w:t>‎</w:t>
      </w:r>
      <w:r w:rsidR="00EF26D2">
        <w:t>5.5</w:t>
      </w:r>
      <w:r w:rsidR="009D5101">
        <w:fldChar w:fldCharType="end"/>
      </w:r>
      <w:r w:rsidR="009D5101">
        <w:t xml:space="preserve">). This is often represented by matrices in which the phenomena identified in the PIRT are </w:t>
      </w:r>
      <w:r w:rsidR="00F56299">
        <w:t>evaluated against the available test data</w:t>
      </w:r>
      <w:r w:rsidR="00084815">
        <w:t>, supported by substantiation for each claim</w:t>
      </w:r>
      <w:r w:rsidR="00F56299">
        <w:t>. An inspector should assess the</w:t>
      </w:r>
      <w:r w:rsidR="0045553B">
        <w:t xml:space="preserve"> credibility and</w:t>
      </w:r>
      <w:r w:rsidR="00F56299">
        <w:t xml:space="preserve"> completeness of such matrices,</w:t>
      </w:r>
      <w:r w:rsidR="00573C6C">
        <w:t xml:space="preserve"> along with the narrative provided. </w:t>
      </w:r>
      <w:r w:rsidR="00384760">
        <w:t xml:space="preserve">The dutyholder </w:t>
      </w:r>
      <w:r w:rsidR="00B45403">
        <w:t xml:space="preserve">may use a scoring system to summarise how well validated different aspects of the </w:t>
      </w:r>
      <w:r w:rsidR="00B76E2A">
        <w:t>calculation method</w:t>
      </w:r>
      <w:r w:rsidR="00B45403">
        <w:t xml:space="preserve"> are</w:t>
      </w:r>
      <w:r w:rsidR="00C05A4B">
        <w:t xml:space="preserve">. </w:t>
      </w:r>
      <w:r w:rsidR="008533F1">
        <w:t>This</w:t>
      </w:r>
      <w:r w:rsidR="00C05A4B">
        <w:t xml:space="preserve"> can be helpful to </w:t>
      </w:r>
      <w:r w:rsidR="0097206A">
        <w:t xml:space="preserve">the inspector </w:t>
      </w:r>
      <w:r w:rsidR="008533F1">
        <w:t>when</w:t>
      </w:r>
      <w:r w:rsidR="0097206A">
        <w:t xml:space="preserve"> </w:t>
      </w:r>
      <w:r w:rsidR="00C05A4B">
        <w:t>identif</w:t>
      </w:r>
      <w:r w:rsidR="00392812">
        <w:t>y</w:t>
      </w:r>
      <w:r w:rsidR="0097206A">
        <w:t>ing</w:t>
      </w:r>
      <w:r w:rsidR="00C05A4B">
        <w:t xml:space="preserve"> areas to target, but the inspector should be mindful that this scoring </w:t>
      </w:r>
      <w:r w:rsidR="0097206A">
        <w:t>is judgement based and somewhat subjective</w:t>
      </w:r>
      <w:r w:rsidR="00C05A4B">
        <w:t>.</w:t>
      </w:r>
    </w:p>
    <w:p w14:paraId="2996C752" w14:textId="5FC631C3" w:rsidR="00F76F51" w:rsidRPr="00547CA1" w:rsidRDefault="00547CA1" w:rsidP="00547CA1">
      <w:pPr>
        <w:pStyle w:val="F9-Paragraph"/>
      </w:pPr>
      <w:r w:rsidRPr="00E856E0">
        <w:t>When assessing the credibility of a PIRT or test matrix, inspectors should consider the expertise and diversity of the participants involved. While a broad range of backgrounds can contribute to a more comprehensive perspective, the depth of expertise—particularly in niche or highly specialised areas—may be equally or more important. Inspectors should exercise careful judgement, weighing both the breadth and depth of experience to determine the robustness of the process.</w:t>
      </w:r>
      <w:r w:rsidRPr="00547CA1" w:rsidDel="00547CA1">
        <w:t xml:space="preserve"> </w:t>
      </w:r>
    </w:p>
    <w:p w14:paraId="28D4C136" w14:textId="2D856B32" w:rsidR="00684C71" w:rsidRDefault="00684C71" w:rsidP="00684C71">
      <w:pPr>
        <w:pStyle w:val="F9-Paragraph"/>
      </w:pPr>
      <w:r>
        <w:t>Uncertainties</w:t>
      </w:r>
      <w:r w:rsidR="000435BD">
        <w:t xml:space="preserve"> arising from validation methods should be </w:t>
      </w:r>
      <w:r>
        <w:t xml:space="preserve">recorded in order to make a judgment on the </w:t>
      </w:r>
      <w:r w:rsidR="00576DF7">
        <w:t xml:space="preserve">efficacy of a </w:t>
      </w:r>
      <w:r w:rsidR="00F12949">
        <w:t>calculation method</w:t>
      </w:r>
      <w:r>
        <w:t xml:space="preserve">. However, </w:t>
      </w:r>
      <w:r w:rsidR="001E2010">
        <w:t xml:space="preserve">inspectors should be aware that </w:t>
      </w:r>
      <w:r>
        <w:t>when performing conservative analysis, a detailed quantification of uncertainty may not be practicable</w:t>
      </w:r>
      <w:r w:rsidR="0097796B">
        <w:t xml:space="preserve">. In these cases, </w:t>
      </w:r>
      <w:r w:rsidR="00F37E68">
        <w:t>qualitative evidence that the calculation method and analysis is sufficiently conservative may be appropriate.</w:t>
      </w:r>
    </w:p>
    <w:p w14:paraId="2ED4EC98" w14:textId="77777777" w:rsidR="006D53B3" w:rsidRDefault="006D53B3" w:rsidP="00AA0BBE">
      <w:pPr>
        <w:pStyle w:val="F9-Paragraph"/>
        <w:sectPr w:rsidR="006D53B3" w:rsidSect="000B2BCD">
          <w:pgSz w:w="11906" w:h="16838" w:code="9"/>
          <w:pgMar w:top="1440" w:right="1440" w:bottom="1440" w:left="1440" w:header="397" w:footer="397" w:gutter="0"/>
          <w:cols w:space="312"/>
          <w:docGrid w:linePitch="360"/>
        </w:sectPr>
      </w:pPr>
    </w:p>
    <w:p w14:paraId="7A026620" w14:textId="7FBD30AC" w:rsidR="00CD677D" w:rsidRPr="000A03F4" w:rsidRDefault="006F295F" w:rsidP="00AA0BBE">
      <w:pPr>
        <w:pStyle w:val="F9-Paragraph"/>
      </w:pPr>
      <w:r>
        <w:lastRenderedPageBreak/>
        <w:t xml:space="preserve">Inspectors should be </w:t>
      </w:r>
      <w:r w:rsidR="00355EB0">
        <w:t>cognisant of the</w:t>
      </w:r>
      <w:r w:rsidR="00185B8B">
        <w:t xml:space="preserve"> potential</w:t>
      </w:r>
      <w:r w:rsidR="00227F92">
        <w:t xml:space="preserve"> </w:t>
      </w:r>
      <w:r w:rsidR="007A7586">
        <w:t xml:space="preserve">introduction of errors in </w:t>
      </w:r>
      <w:r w:rsidR="00660306">
        <w:t>m</w:t>
      </w:r>
      <w:r w:rsidR="007A7586">
        <w:t xml:space="preserve">ultiphysics codes or where </w:t>
      </w:r>
      <w:r w:rsidR="00F12949">
        <w:t xml:space="preserve">computer </w:t>
      </w:r>
      <w:r w:rsidR="007A7586">
        <w:t xml:space="preserve">codes have been coupled. </w:t>
      </w:r>
      <w:r w:rsidR="006D53B3">
        <w:br/>
      </w:r>
      <w:r w:rsidR="00AF5E8C">
        <w:t xml:space="preserve">Often, </w:t>
      </w:r>
      <w:r w:rsidR="00641509">
        <w:t>calculation method</w:t>
      </w:r>
      <w:r w:rsidR="00AF5E8C">
        <w:t>s will</w:t>
      </w:r>
      <w:r w:rsidR="00555759">
        <w:t xml:space="preserve"> use outputs from one code or module as boundary conditions</w:t>
      </w:r>
      <w:r w:rsidR="00660306">
        <w:t xml:space="preserve"> </w:t>
      </w:r>
      <w:r w:rsidR="00185B8B">
        <w:t>for the next</w:t>
      </w:r>
      <w:r w:rsidR="00C3786A">
        <w:t xml:space="preserve">. </w:t>
      </w:r>
      <w:r w:rsidR="00933656">
        <w:t>These interfaces</w:t>
      </w:r>
      <w:r w:rsidR="00007505">
        <w:t xml:space="preserve"> can</w:t>
      </w:r>
      <w:r w:rsidR="00CD7F98">
        <w:t xml:space="preserve"> potentially</w:t>
      </w:r>
      <w:r w:rsidR="00933656">
        <w:t xml:space="preserve"> introduce errors. </w:t>
      </w:r>
      <w:r w:rsidR="00C3786A">
        <w:t xml:space="preserve">In some </w:t>
      </w:r>
      <w:r w:rsidR="00077877">
        <w:t>instances</w:t>
      </w:r>
      <w:r w:rsidR="00C3786A">
        <w:t xml:space="preserve">, the coupling will be </w:t>
      </w:r>
      <w:r w:rsidR="00077877">
        <w:t xml:space="preserve">softer, and feedback mechanisms will be ignored to simplify analysis. Where this is done, inspectors should be aware of the non-physical nature of the analysis. </w:t>
      </w:r>
      <w:r w:rsidR="000000ED">
        <w:t>Depending on the use</w:t>
      </w:r>
      <w:r w:rsidR="0064285C">
        <w:t xml:space="preserve"> of the </w:t>
      </w:r>
      <w:r w:rsidR="00840359">
        <w:t>analysis</w:t>
      </w:r>
      <w:r w:rsidR="000000ED">
        <w:t xml:space="preserve">, </w:t>
      </w:r>
      <w:r w:rsidR="00B45B9F">
        <w:t xml:space="preserve">the inspector </w:t>
      </w:r>
      <w:r w:rsidR="00B976B6">
        <w:t xml:space="preserve">may find </w:t>
      </w:r>
      <w:r w:rsidR="00BC25D7">
        <w:t>confidence in the approach</w:t>
      </w:r>
      <w:r w:rsidR="00B976B6">
        <w:t xml:space="preserve"> if</w:t>
      </w:r>
      <w:r w:rsidR="009F3AC9">
        <w:t xml:space="preserve"> the output is demonstrably conservative.</w:t>
      </w:r>
    </w:p>
    <w:p w14:paraId="466F8C1D" w14:textId="4989DA10" w:rsidR="00AA0BBE" w:rsidRDefault="00AA0BBE" w:rsidP="00B9646A">
      <w:pPr>
        <w:pStyle w:val="Heading2"/>
      </w:pPr>
      <w:r>
        <w:t xml:space="preserve">AV.3 </w:t>
      </w:r>
      <w:r w:rsidR="009F37F0">
        <w:t xml:space="preserve">– Use of </w:t>
      </w:r>
      <w:r w:rsidR="006D53B3">
        <w:t>d</w:t>
      </w:r>
      <w:r w:rsidR="009F37F0">
        <w:t>ata</w:t>
      </w:r>
    </w:p>
    <w:p w14:paraId="03A3A5C0" w14:textId="3306E07F" w:rsidR="00B864CC" w:rsidRPr="001657B8" w:rsidRDefault="00B864CC" w:rsidP="00B864CC">
      <w:pPr>
        <w:pStyle w:val="QuoteText"/>
        <w:rPr>
          <w:i/>
          <w:iCs/>
        </w:rPr>
      </w:pPr>
      <w:r w:rsidRPr="001657B8">
        <w:rPr>
          <w:i/>
          <w:iCs/>
        </w:rPr>
        <w:t>The data used in the analysis of aspects of plant performance with safety significance should be shown to be valid for the circumstances by reference to established physical data, experiment or other appropriate means.</w:t>
      </w:r>
    </w:p>
    <w:p w14:paraId="5C389F74" w14:textId="623AAAF4" w:rsidR="00AF7A86" w:rsidRDefault="00446D21" w:rsidP="00AF7A86">
      <w:pPr>
        <w:pStyle w:val="F9-Paragraph"/>
      </w:pPr>
      <w:r>
        <w:t xml:space="preserve">Calculation methods </w:t>
      </w:r>
      <w:r w:rsidR="00330BF1">
        <w:t>often</w:t>
      </w:r>
      <w:r w:rsidR="004B423C">
        <w:t xml:space="preserve"> employ data </w:t>
      </w:r>
      <w:r w:rsidR="004A75C8">
        <w:t xml:space="preserve">taken from other databases. </w:t>
      </w:r>
      <w:r w:rsidR="006D53B3">
        <w:br/>
      </w:r>
      <w:r w:rsidR="004A75C8">
        <w:t>This may include</w:t>
      </w:r>
      <w:r w:rsidR="009A4066">
        <w:t>, for example</w:t>
      </w:r>
      <w:r w:rsidR="004A75C8">
        <w:t xml:space="preserve">: </w:t>
      </w:r>
      <w:r w:rsidR="00CA48ED">
        <w:t xml:space="preserve">as-built plant specifications, </w:t>
      </w:r>
      <w:r w:rsidR="004A75C8">
        <w:t xml:space="preserve">pump curves, materials data, </w:t>
      </w:r>
      <w:r w:rsidR="000761C6">
        <w:t>discharge coefficient</w:t>
      </w:r>
      <w:r w:rsidR="000F5D60">
        <w:t>s</w:t>
      </w:r>
      <w:r w:rsidR="000761C6">
        <w:t xml:space="preserve">, </w:t>
      </w:r>
      <w:r w:rsidR="004A75C8">
        <w:t xml:space="preserve">neutronics </w:t>
      </w:r>
      <w:r w:rsidR="00A70897">
        <w:t xml:space="preserve">data, thermal hydraulics properties, </w:t>
      </w:r>
      <w:r w:rsidR="00220B23">
        <w:t>heat transfer properties</w:t>
      </w:r>
      <w:r w:rsidR="00CA48ED">
        <w:t>, etc.</w:t>
      </w:r>
      <w:r w:rsidR="00FB788D">
        <w:t xml:space="preserve"> </w:t>
      </w:r>
    </w:p>
    <w:p w14:paraId="445BAE1F" w14:textId="7408C875" w:rsidR="00FB788D" w:rsidRDefault="00F621FC" w:rsidP="00FE0373">
      <w:pPr>
        <w:pStyle w:val="F9-Paragraph"/>
      </w:pPr>
      <w:r>
        <w:t>P</w:t>
      </w:r>
      <w:r w:rsidR="00FB788D">
        <w:t xml:space="preserve">lant </w:t>
      </w:r>
      <w:r w:rsidDel="00FB788D">
        <w:t xml:space="preserve">performance </w:t>
      </w:r>
      <w:r w:rsidR="00FB788D">
        <w:t xml:space="preserve">data </w:t>
      </w:r>
      <w:r w:rsidR="005455E7">
        <w:t xml:space="preserve">will </w:t>
      </w:r>
      <w:r>
        <w:t xml:space="preserve">often </w:t>
      </w:r>
      <w:r w:rsidR="005455E7">
        <w:t>be an input to the analysis</w:t>
      </w:r>
      <w:r w:rsidR="00D32ABA">
        <w:t xml:space="preserve"> </w:t>
      </w:r>
      <w:r>
        <w:t>and</w:t>
      </w:r>
      <w:r w:rsidR="00994772">
        <w:t xml:space="preserve"> the data used in analyses will inform</w:t>
      </w:r>
      <w:r w:rsidR="005455E7">
        <w:t xml:space="preserve"> </w:t>
      </w:r>
      <w:r w:rsidR="00024E34">
        <w:t xml:space="preserve">minimum </w:t>
      </w:r>
      <w:r w:rsidR="005455E7">
        <w:t xml:space="preserve">requirements for design specification. </w:t>
      </w:r>
      <w:r w:rsidR="00955865">
        <w:t>In the design phase</w:t>
      </w:r>
      <w:r w:rsidR="003949A7">
        <w:t xml:space="preserve"> of a facility, the plant </w:t>
      </w:r>
      <w:r w:rsidDel="003949A7">
        <w:t xml:space="preserve">performance </w:t>
      </w:r>
      <w:r w:rsidR="003949A7">
        <w:t xml:space="preserve">data </w:t>
      </w:r>
      <w:r w:rsidR="00E136BA">
        <w:t>may</w:t>
      </w:r>
      <w:r w:rsidR="003949A7">
        <w:t xml:space="preserve"> evolve. </w:t>
      </w:r>
      <w:r w:rsidR="007B235B">
        <w:t xml:space="preserve">Inspectors should </w:t>
      </w:r>
      <w:r w:rsidR="00955865">
        <w:t xml:space="preserve">seek to </w:t>
      </w:r>
      <w:r w:rsidR="00CF4659">
        <w:t>gain confidence that the data used is either valid at the time of use</w:t>
      </w:r>
      <w:r w:rsidR="004F2DD0">
        <w:t xml:space="preserve">, or the </w:t>
      </w:r>
      <w:r w:rsidR="001B7B76">
        <w:t xml:space="preserve">performance </w:t>
      </w:r>
      <w:r w:rsidR="00B40FB7">
        <w:t xml:space="preserve">assumed in the analysis conservatively bounds the </w:t>
      </w:r>
      <w:r w:rsidR="007D5066">
        <w:t>requirements</w:t>
      </w:r>
      <w:r w:rsidR="00B40FB7">
        <w:t xml:space="preserve"> captured in equipment specification</w:t>
      </w:r>
      <w:r w:rsidR="007D5066">
        <w:t>.</w:t>
      </w:r>
      <w:r w:rsidR="00B57D6C">
        <w:t xml:space="preserve"> In any case, the dutyholder should present a justification for differences </w:t>
      </w:r>
      <w:r w:rsidR="00AE454E">
        <w:t xml:space="preserve">in representation of equipment performance with the design reference. </w:t>
      </w:r>
      <w:r w:rsidR="00F16328">
        <w:t xml:space="preserve">In most cases, the implications of the gap in </w:t>
      </w:r>
      <w:r w:rsidR="0086461B">
        <w:t>representation</w:t>
      </w:r>
      <w:r w:rsidR="00F16328">
        <w:t xml:space="preserve"> will be relatively straightforward to justify</w:t>
      </w:r>
      <w:r w:rsidR="00901D9F">
        <w:t xml:space="preserve">. However, in other cases, the gap in representation might be apparently conservative for one </w:t>
      </w:r>
      <w:r w:rsidR="00F45416">
        <w:t>set of conditions</w:t>
      </w:r>
      <w:r w:rsidR="00901D9F">
        <w:t xml:space="preserve"> and not another. The inspector should </w:t>
      </w:r>
      <w:r w:rsidR="00445973">
        <w:t xml:space="preserve">be </w:t>
      </w:r>
      <w:r w:rsidR="00AA6002">
        <w:t>cautious</w:t>
      </w:r>
      <w:r w:rsidR="00445973">
        <w:t xml:space="preserve"> of blanket statements regarding the conservatism in plant </w:t>
      </w:r>
      <w:r w:rsidDel="00445973">
        <w:t>performance</w:t>
      </w:r>
      <w:r w:rsidR="00445973">
        <w:t>.</w:t>
      </w:r>
    </w:p>
    <w:p w14:paraId="428604A0" w14:textId="731B5995" w:rsidR="00EB42A2" w:rsidRPr="002773A1" w:rsidRDefault="00F31DED" w:rsidP="00E60495">
      <w:pPr>
        <w:pStyle w:val="F9-Paragraph"/>
      </w:pPr>
      <w:r w:rsidRPr="002773A1">
        <w:t xml:space="preserve">Where uncertainty in the data exists, an appropriate safety margin should be provided. </w:t>
      </w:r>
      <w:r w:rsidR="00EB42A2" w:rsidRPr="002773A1">
        <w:t>The limits of applicability of the available data should be identified and extrapolation beyond these limits should not be used unless justified.</w:t>
      </w:r>
    </w:p>
    <w:p w14:paraId="7F68B11E" w14:textId="1801351E" w:rsidR="001A408D" w:rsidRDefault="00A67ECF" w:rsidP="00AF7A86">
      <w:pPr>
        <w:pStyle w:val="F9-Paragraph"/>
      </w:pPr>
      <w:r w:rsidRPr="002773A1">
        <w:t>Dutyholder</w:t>
      </w:r>
      <w:r w:rsidR="001A408D" w:rsidRPr="002773A1">
        <w:t xml:space="preserve">s </w:t>
      </w:r>
      <w:r w:rsidR="00107194" w:rsidRPr="002773A1">
        <w:t>may</w:t>
      </w:r>
      <w:r w:rsidR="001A408D" w:rsidRPr="002773A1">
        <w:t xml:space="preserve"> employ empirical correlati</w:t>
      </w:r>
      <w:r w:rsidR="00107194" w:rsidRPr="002773A1">
        <w:t xml:space="preserve">ons </w:t>
      </w:r>
      <w:r w:rsidR="00823D11" w:rsidRPr="002773A1">
        <w:t>when perfo</w:t>
      </w:r>
      <w:r w:rsidR="0017577E" w:rsidRPr="002773A1">
        <w:t>r</w:t>
      </w:r>
      <w:r w:rsidR="00823D11" w:rsidRPr="002773A1">
        <w:t xml:space="preserve">ming analysis. </w:t>
      </w:r>
      <w:r w:rsidR="006D53B3">
        <w:br/>
      </w:r>
      <w:r w:rsidR="00823D11" w:rsidRPr="002773A1">
        <w:t>A</w:t>
      </w:r>
      <w:r w:rsidR="0017577E" w:rsidRPr="002773A1">
        <w:t xml:space="preserve"> common</w:t>
      </w:r>
      <w:r w:rsidR="00823D11" w:rsidRPr="002773A1">
        <w:t xml:space="preserve"> example of this </w:t>
      </w:r>
      <w:r w:rsidR="0017577E" w:rsidRPr="002773A1">
        <w:t>is departure from nucleate boiling correlations</w:t>
      </w:r>
      <w:r w:rsidR="00E848A3" w:rsidRPr="002773A1">
        <w:t xml:space="preserve"> employed in deterministic analysis of </w:t>
      </w:r>
      <w:r w:rsidR="009C10B0" w:rsidRPr="002773A1">
        <w:t>pressurised water reactors.</w:t>
      </w:r>
      <w:r w:rsidR="00EE4125" w:rsidRPr="002773A1">
        <w:t xml:space="preserve"> </w:t>
      </w:r>
      <w:r w:rsidR="006D53B3">
        <w:br/>
      </w:r>
      <w:r w:rsidR="00EE4125" w:rsidRPr="002773A1">
        <w:t>Where existing correlations are used, the inspector should gain confidence that the</w:t>
      </w:r>
      <w:r w:rsidR="00103445" w:rsidRPr="002773A1">
        <w:t>y are being used within the</w:t>
      </w:r>
      <w:r w:rsidR="00EE4125" w:rsidRPr="002773A1">
        <w:t xml:space="preserve"> validity domain</w:t>
      </w:r>
      <w:r w:rsidR="00103445">
        <w:t>. The inspector should target areas where they are potentially being used outside of the validity domain.</w:t>
      </w:r>
      <w:r w:rsidR="00EE4125">
        <w:t xml:space="preserve"> </w:t>
      </w:r>
      <w:r w:rsidR="0017577E">
        <w:t xml:space="preserve"> </w:t>
      </w:r>
    </w:p>
    <w:p w14:paraId="3211E4B2" w14:textId="77777777" w:rsidR="006D53B3" w:rsidRDefault="006D53B3" w:rsidP="00AF7A86">
      <w:pPr>
        <w:pStyle w:val="F9-Paragraph"/>
        <w:sectPr w:rsidR="006D53B3" w:rsidSect="000B2BCD">
          <w:pgSz w:w="11906" w:h="16838" w:code="9"/>
          <w:pgMar w:top="1440" w:right="1440" w:bottom="1440" w:left="1440" w:header="397" w:footer="397" w:gutter="0"/>
          <w:cols w:space="312"/>
          <w:docGrid w:linePitch="360"/>
        </w:sectPr>
      </w:pPr>
    </w:p>
    <w:p w14:paraId="7B297BE6" w14:textId="1F75C64D" w:rsidR="0007178A" w:rsidRDefault="00741C89" w:rsidP="00AF7A86">
      <w:pPr>
        <w:pStyle w:val="F9-Paragraph"/>
      </w:pPr>
      <w:r>
        <w:lastRenderedPageBreak/>
        <w:t xml:space="preserve">Where third-party data is </w:t>
      </w:r>
      <w:r w:rsidR="0089364D">
        <w:t>employed</w:t>
      </w:r>
      <w:r>
        <w:t xml:space="preserve"> (for example </w:t>
      </w:r>
      <w:r w:rsidR="002F3525">
        <w:t>nuclear data libraries</w:t>
      </w:r>
      <w:r>
        <w:t>)</w:t>
      </w:r>
      <w:r w:rsidR="004432AB">
        <w:t xml:space="preserve">, the inspector should consider the pedigree of the source. </w:t>
      </w:r>
      <w:r w:rsidR="003F6DB5">
        <w:t xml:space="preserve">Where the data is limited or not well understood, </w:t>
      </w:r>
      <w:r w:rsidR="00391078">
        <w:t>more evidence may be required to demonstrate its validity</w:t>
      </w:r>
      <w:r w:rsidR="00E5330A">
        <w:t xml:space="preserve">, </w:t>
      </w:r>
      <w:r w:rsidR="00E06963">
        <w:t>and</w:t>
      </w:r>
      <w:r w:rsidR="00E5330A">
        <w:t xml:space="preserve"> </w:t>
      </w:r>
      <w:r w:rsidR="00DE5A51">
        <w:t xml:space="preserve">a demonstration </w:t>
      </w:r>
      <w:r w:rsidR="002B37CB">
        <w:t>of</w:t>
      </w:r>
      <w:r w:rsidR="00DE5A51">
        <w:t xml:space="preserve"> low sensitivity to the data may be required</w:t>
      </w:r>
      <w:r w:rsidR="00C625EA">
        <w:t xml:space="preserve"> </w:t>
      </w:r>
      <w:r w:rsidR="006D53B3">
        <w:t>(refer to</w:t>
      </w:r>
      <w:r w:rsidR="00C625EA">
        <w:t xml:space="preserve"> Section 5.6)</w:t>
      </w:r>
      <w:r w:rsidR="009944EA">
        <w:t>.</w:t>
      </w:r>
    </w:p>
    <w:p w14:paraId="2A6D0A21" w14:textId="7ADB74CB" w:rsidR="00741C89" w:rsidRPr="00AF7A86" w:rsidRDefault="0007178A" w:rsidP="00455845">
      <w:pPr>
        <w:pStyle w:val="F9-Paragraph"/>
      </w:pPr>
      <w:r>
        <w:t xml:space="preserve">BEPU analysis requires </w:t>
      </w:r>
      <w:r w:rsidR="002109DF">
        <w:t>an understanding of physical parameters and their related uncertainty</w:t>
      </w:r>
      <w:r w:rsidR="00C16D46">
        <w:t xml:space="preserve">. </w:t>
      </w:r>
      <w:r w:rsidR="00A01F9E">
        <w:t xml:space="preserve">Inspectors should </w:t>
      </w:r>
      <w:r w:rsidR="002C11AD">
        <w:t>seek to gain confidence in the underpinning of these parameters, targeting those that give rise to the largest sensitivity.</w:t>
      </w:r>
      <w:r w:rsidR="00A55F9B">
        <w:t xml:space="preserve"> In some cases, limited data may be available </w:t>
      </w:r>
      <w:r w:rsidR="00E45B5E">
        <w:t>for</w:t>
      </w:r>
      <w:r w:rsidR="00A55F9B">
        <w:t xml:space="preserve"> a parameter and its uncertainty profile.</w:t>
      </w:r>
      <w:r w:rsidR="001865BC">
        <w:t xml:space="preserve"> Arguments may be of a more qualitative nature based on engineering judgement. </w:t>
      </w:r>
      <w:r w:rsidR="009C0DA7">
        <w:t xml:space="preserve">Inspectors should bear in mind the </w:t>
      </w:r>
      <w:r w:rsidR="005C2276">
        <w:t>overall sensitivity to the parameter</w:t>
      </w:r>
      <w:r w:rsidR="009C0DA7">
        <w:t xml:space="preserve"> when assessing the </w:t>
      </w:r>
      <w:r w:rsidR="009C5181">
        <w:t xml:space="preserve">substantiation of </w:t>
      </w:r>
      <w:r w:rsidR="005E225A">
        <w:t>probability distributions</w:t>
      </w:r>
      <w:r w:rsidR="005C2276">
        <w:t>.</w:t>
      </w:r>
      <w:r w:rsidR="00F17AF4">
        <w:t xml:space="preserve"> </w:t>
      </w:r>
    </w:p>
    <w:p w14:paraId="30D5BFBA" w14:textId="34143FE8" w:rsidR="00B77311" w:rsidRPr="00AB3E01" w:rsidRDefault="00B77311" w:rsidP="00B77311">
      <w:pPr>
        <w:pStyle w:val="Heading2"/>
      </w:pPr>
      <w:r w:rsidRPr="00AB3E01">
        <w:t>AV.4 –</w:t>
      </w:r>
      <w:r w:rsidR="00AB3E01" w:rsidRPr="00AB3E01">
        <w:t xml:space="preserve"> </w:t>
      </w:r>
      <w:r w:rsidR="005563B1" w:rsidRPr="00AB3E01">
        <w:t xml:space="preserve">Quality </w:t>
      </w:r>
      <w:r w:rsidR="006D53B3">
        <w:t>a</w:t>
      </w:r>
      <w:r w:rsidR="005563B1" w:rsidRPr="00AB3E01">
        <w:t>ssurance</w:t>
      </w:r>
      <w:r w:rsidR="00AB3E01" w:rsidRPr="00AB3E01">
        <w:t xml:space="preserve"> of </w:t>
      </w:r>
      <w:r w:rsidR="006D53B3">
        <w:t>c</w:t>
      </w:r>
      <w:r w:rsidR="00AB3E01" w:rsidRPr="00AB3E01">
        <w:t xml:space="preserve">alculation </w:t>
      </w:r>
      <w:r w:rsidR="006D53B3">
        <w:t>m</w:t>
      </w:r>
      <w:r w:rsidR="00AB3E01" w:rsidRPr="00AB3E01">
        <w:t>ethods</w:t>
      </w:r>
    </w:p>
    <w:p w14:paraId="5446B041" w14:textId="3E2DB64D" w:rsidR="00F35189" w:rsidRPr="001657B8" w:rsidRDefault="00F35189" w:rsidP="00F35189">
      <w:pPr>
        <w:pStyle w:val="QuoteText"/>
        <w:rPr>
          <w:i/>
          <w:iCs/>
        </w:rPr>
      </w:pPr>
      <w:r w:rsidRPr="001657B8">
        <w:rPr>
          <w:i/>
          <w:iCs/>
        </w:rPr>
        <w:t>Calculation methods, models and datasets used in support of the safety analysis should be developed, maintained and applied in accordance with quality management procedures.</w:t>
      </w:r>
    </w:p>
    <w:p w14:paraId="5A46333F" w14:textId="2B470C90" w:rsidR="00370E66" w:rsidRPr="002773A1" w:rsidRDefault="00F35189" w:rsidP="00E31B42">
      <w:pPr>
        <w:pStyle w:val="F9-Paragraph"/>
      </w:pPr>
      <w:r>
        <w:t>Ad</w:t>
      </w:r>
      <w:r w:rsidR="00394D60" w:rsidRPr="002773A1">
        <w:t>equate q</w:t>
      </w:r>
      <w:r w:rsidR="001E2723" w:rsidRPr="002773A1">
        <w:t xml:space="preserve">uality management of </w:t>
      </w:r>
      <w:r w:rsidR="00641509" w:rsidRPr="002773A1">
        <w:t>calculation method</w:t>
      </w:r>
      <w:r w:rsidR="001E2723" w:rsidRPr="002773A1">
        <w:t>s</w:t>
      </w:r>
      <w:r w:rsidR="00394D60" w:rsidRPr="002773A1">
        <w:t xml:space="preserve">, and </w:t>
      </w:r>
      <w:r w:rsidR="002F561B" w:rsidRPr="002773A1">
        <w:t xml:space="preserve">training for </w:t>
      </w:r>
      <w:r w:rsidR="00B76E2A" w:rsidRPr="002773A1">
        <w:t xml:space="preserve">calculation </w:t>
      </w:r>
      <w:r w:rsidR="002F561B" w:rsidRPr="002773A1">
        <w:t>method users and developers</w:t>
      </w:r>
      <w:r w:rsidR="0088390A" w:rsidRPr="002773A1">
        <w:t>,</w:t>
      </w:r>
      <w:r w:rsidR="008336A4" w:rsidRPr="002773A1">
        <w:t xml:space="preserve"> </w:t>
      </w:r>
      <w:r w:rsidR="00023269" w:rsidRPr="002773A1">
        <w:t>contributes to minimising errors</w:t>
      </w:r>
      <w:r w:rsidR="0098112D" w:rsidRPr="002773A1">
        <w:t xml:space="preserve"> and increases confidence in the </w:t>
      </w:r>
      <w:r w:rsidR="00F57892" w:rsidRPr="002773A1">
        <w:t>calculations.</w:t>
      </w:r>
      <w:r w:rsidR="00204833" w:rsidRPr="002773A1">
        <w:t xml:space="preserve"> </w:t>
      </w:r>
      <w:r w:rsidR="00A67ECF" w:rsidRPr="002773A1">
        <w:t>Dutyholder</w:t>
      </w:r>
      <w:r w:rsidR="00204833" w:rsidRPr="002773A1">
        <w:t>s should have arrangements for ensuring adequate quality management.</w:t>
      </w:r>
      <w:r w:rsidR="00E31B42" w:rsidRPr="002773A1">
        <w:t xml:space="preserve"> </w:t>
      </w:r>
      <w:r w:rsidR="006D53B3">
        <w:br/>
      </w:r>
      <w:r w:rsidR="00E31B42" w:rsidRPr="002773A1">
        <w:t xml:space="preserve">These </w:t>
      </w:r>
      <w:r w:rsidR="00482240">
        <w:t>arrangements</w:t>
      </w:r>
      <w:r w:rsidR="00E31B42" w:rsidRPr="002773A1">
        <w:t xml:space="preserve"> should identify measures and controls to provide confidence that calculations are undertaken without error, to a level commensurate with the importance to safety of the analysis being performed.</w:t>
      </w:r>
    </w:p>
    <w:p w14:paraId="712CF2C0" w14:textId="45B77D19" w:rsidR="009F4E8D" w:rsidRPr="002773A1" w:rsidRDefault="00370E66" w:rsidP="009F4E8D">
      <w:pPr>
        <w:pStyle w:val="F9-Paragraph"/>
      </w:pPr>
      <w:r w:rsidRPr="002773A1">
        <w:t xml:space="preserve">The </w:t>
      </w:r>
      <w:r w:rsidR="00482240">
        <w:t>arrangements</w:t>
      </w:r>
      <w:r w:rsidRPr="002773A1">
        <w:t xml:space="preserve"> should, where appropriate, address code and dataset verification, version control, testing, documentation, user qualification requirements and training, peer review and endorsement. The </w:t>
      </w:r>
      <w:r w:rsidR="001F76CC">
        <w:t>arrangements</w:t>
      </w:r>
      <w:r w:rsidRPr="002773A1">
        <w:t xml:space="preserve"> should specify independent verification of </w:t>
      </w:r>
      <w:r w:rsidR="00F12949" w:rsidRPr="002773A1">
        <w:t>calculation methods</w:t>
      </w:r>
      <w:r w:rsidRPr="002773A1">
        <w:t xml:space="preserve"> and datasets to confirm consistency with the supporting documentation</w:t>
      </w:r>
      <w:r w:rsidR="001C1F1B" w:rsidRPr="002773A1">
        <w:t>, as appropriate</w:t>
      </w:r>
      <w:r w:rsidRPr="002773A1">
        <w:t xml:space="preserve">. </w:t>
      </w:r>
      <w:r w:rsidR="006D53B3">
        <w:br/>
      </w:r>
      <w:r w:rsidR="00A009EE" w:rsidRPr="002773A1">
        <w:t>In addition, t</w:t>
      </w:r>
      <w:r w:rsidRPr="002773A1">
        <w:t>he process of inputting data into a model should be independently verified.</w:t>
      </w:r>
    </w:p>
    <w:p w14:paraId="0F1A449B" w14:textId="5C7E8D2D" w:rsidR="00CC24FF" w:rsidRDefault="00CC24FF" w:rsidP="00CC24FF">
      <w:pPr>
        <w:pStyle w:val="F9-Paragraph"/>
      </w:pPr>
      <w:r w:rsidRPr="002773A1">
        <w:t>Software tools and automated scripts used for processing input data to</w:t>
      </w:r>
      <w:r w:rsidR="00235B85" w:rsidRPr="002773A1">
        <w:t xml:space="preserve"> safety analysis</w:t>
      </w:r>
      <w:r w:rsidRPr="002773A1">
        <w:t xml:space="preserve"> codes, transferring data between codes or processing code output data before use </w:t>
      </w:r>
      <w:r>
        <w:t xml:space="preserve">in a safety case </w:t>
      </w:r>
      <w:r w:rsidRPr="000B61EA">
        <w:t xml:space="preserve">should </w:t>
      </w:r>
      <w:r w:rsidR="00235B85">
        <w:t xml:space="preserve">also </w:t>
      </w:r>
      <w:r w:rsidRPr="000B61EA">
        <w:t>be subject to adequate quality management procedures</w:t>
      </w:r>
      <w:r>
        <w:t>.</w:t>
      </w:r>
      <w:r w:rsidR="00616DFC">
        <w:t xml:space="preserve"> The potential impact of using different hardware </w:t>
      </w:r>
      <w:r w:rsidR="0038408D">
        <w:t>should also be addressed by quality management procedures.</w:t>
      </w:r>
    </w:p>
    <w:p w14:paraId="6E71F94B" w14:textId="77777777" w:rsidR="006D53B3" w:rsidRDefault="006D53B3" w:rsidP="00615C63">
      <w:pPr>
        <w:pStyle w:val="F9-Paragraph"/>
        <w:sectPr w:rsidR="006D53B3" w:rsidSect="000B2BCD">
          <w:pgSz w:w="11906" w:h="16838" w:code="9"/>
          <w:pgMar w:top="1440" w:right="1440" w:bottom="1440" w:left="1440" w:header="397" w:footer="397" w:gutter="0"/>
          <w:cols w:space="312"/>
          <w:docGrid w:linePitch="360"/>
        </w:sectPr>
      </w:pPr>
    </w:p>
    <w:p w14:paraId="15E890B0" w14:textId="5FB9C581" w:rsidR="00B82460" w:rsidRPr="00242BAC" w:rsidRDefault="00AB5314" w:rsidP="00615C63">
      <w:pPr>
        <w:pStyle w:val="F9-Paragraph"/>
      </w:pPr>
      <w:r w:rsidRPr="00242BAC">
        <w:lastRenderedPageBreak/>
        <w:t xml:space="preserve">In complex facilities and projects, </w:t>
      </w:r>
      <w:r w:rsidR="00E22736" w:rsidRPr="00242BAC">
        <w:t>analys</w:t>
      </w:r>
      <w:r w:rsidR="00472948">
        <w:t>i</w:t>
      </w:r>
      <w:r w:rsidR="00E22736" w:rsidRPr="00242BAC">
        <w:t xml:space="preserve">s techniques might be at differing levels of maturity and </w:t>
      </w:r>
      <w:r w:rsidR="000D4914" w:rsidRPr="00242BAC">
        <w:t xml:space="preserve">represent different design references. </w:t>
      </w:r>
      <w:r w:rsidR="006D53B3">
        <w:br/>
      </w:r>
      <w:r w:rsidR="00B82460" w:rsidRPr="00242BAC">
        <w:t xml:space="preserve">Adequate procedures for configuration control of </w:t>
      </w:r>
      <w:r w:rsidR="009E5EFB" w:rsidRPr="00242BAC">
        <w:t>models and design iteration should be in place</w:t>
      </w:r>
      <w:r w:rsidR="00266989" w:rsidRPr="00242BAC">
        <w:t>, which should include independent checks of input data</w:t>
      </w:r>
      <w:r w:rsidR="006B5199" w:rsidRPr="00242BAC">
        <w:t>.</w:t>
      </w:r>
      <w:r w:rsidR="00AF2487" w:rsidRPr="00242BAC">
        <w:t xml:space="preserve"> </w:t>
      </w:r>
      <w:r w:rsidR="006D53B3">
        <w:br/>
      </w:r>
      <w:r w:rsidR="00AF2487" w:rsidRPr="00242BAC">
        <w:t>It is important that the safety case clearly explains the model reference and the design reference against which it is representing.</w:t>
      </w:r>
    </w:p>
    <w:p w14:paraId="2F9EBBF5" w14:textId="6539D223" w:rsidR="00593B61" w:rsidRDefault="00593B61" w:rsidP="001377D4">
      <w:pPr>
        <w:pStyle w:val="F9-Paragraph"/>
      </w:pPr>
      <w:r>
        <w:t>For third-party</w:t>
      </w:r>
      <w:r w:rsidR="00535EDC">
        <w:t xml:space="preserve"> computer</w:t>
      </w:r>
      <w:r>
        <w:t xml:space="preserve"> codes, the </w:t>
      </w:r>
      <w:r w:rsidR="00467258">
        <w:t>code developer will</w:t>
      </w:r>
      <w:r w:rsidR="001E32BC">
        <w:t xml:space="preserve"> be in control of </w:t>
      </w:r>
      <w:r w:rsidR="00C41CF1">
        <w:t xml:space="preserve">quality assurance </w:t>
      </w:r>
      <w:r w:rsidR="004204B2">
        <w:t xml:space="preserve">and code developer proficiency. In addition, where </w:t>
      </w:r>
      <w:r w:rsidR="00922598">
        <w:t xml:space="preserve">analysis has been performed by an external supplier, the dutyholder may not have direct access to user training records. </w:t>
      </w:r>
      <w:r w:rsidR="00616F5F">
        <w:t xml:space="preserve">However, the dutyholder is still responsible </w:t>
      </w:r>
      <w:r w:rsidR="00F66DE9">
        <w:t xml:space="preserve">for how the code and output is being used in the safety case, and </w:t>
      </w:r>
      <w:r w:rsidR="007E7B1A">
        <w:t xml:space="preserve">as an intelligent customer </w:t>
      </w:r>
      <w:r w:rsidR="00F66DE9">
        <w:t xml:space="preserve">should carry out due diligence to ensure adequate quality assurance </w:t>
      </w:r>
      <w:r w:rsidR="007E7B1A">
        <w:t>has been carried out</w:t>
      </w:r>
      <w:r w:rsidR="0044719B">
        <w:t xml:space="preserve">. </w:t>
      </w:r>
      <w:r w:rsidR="00A53CF3">
        <w:t xml:space="preserve">The dutyholder should </w:t>
      </w:r>
      <w:r w:rsidR="00922598">
        <w:t>have arrangements for carrying out that due diligence.</w:t>
      </w:r>
    </w:p>
    <w:p w14:paraId="5952CA9B" w14:textId="35C30AD6" w:rsidR="00C96D94" w:rsidRDefault="00F12949" w:rsidP="00455845">
      <w:pPr>
        <w:pStyle w:val="F9-Paragraph"/>
      </w:pPr>
      <w:r>
        <w:t>In addition, f</w:t>
      </w:r>
      <w:r w:rsidR="00F22E1A">
        <w:t xml:space="preserve">or </w:t>
      </w:r>
      <w:r w:rsidR="002D3BBA">
        <w:t>third</w:t>
      </w:r>
      <w:r w:rsidR="00535EDC">
        <w:t>-</w:t>
      </w:r>
      <w:r w:rsidR="002D3BBA">
        <w:t xml:space="preserve">party </w:t>
      </w:r>
      <w:r w:rsidR="00F22E1A">
        <w:t xml:space="preserve">computer codes, the standard of code and user manuals </w:t>
      </w:r>
      <w:r w:rsidR="00033086">
        <w:t>may</w:t>
      </w:r>
      <w:r w:rsidR="00F22E1A">
        <w:t xml:space="preserve"> vary depending on the institution that developed the </w:t>
      </w:r>
      <w:r>
        <w:t xml:space="preserve">computer </w:t>
      </w:r>
      <w:r w:rsidR="00F22E1A">
        <w:t xml:space="preserve">code. </w:t>
      </w:r>
      <w:r w:rsidR="006B1639">
        <w:t xml:space="preserve">Where the standard is lower, this will place higher reliance on the </w:t>
      </w:r>
      <w:r w:rsidR="00615C63">
        <w:t xml:space="preserve">expertise of the code user. </w:t>
      </w:r>
      <w:r w:rsidR="00A8314B">
        <w:t xml:space="preserve">This is of particular importance for </w:t>
      </w:r>
      <w:r w:rsidR="00A75490">
        <w:t>CFD codes</w:t>
      </w:r>
      <w:r w:rsidR="00A8314B">
        <w:t xml:space="preserve">, which require a good </w:t>
      </w:r>
      <w:r w:rsidR="00CF57E3">
        <w:t xml:space="preserve">user </w:t>
      </w:r>
      <w:r w:rsidR="00A8314B">
        <w:t xml:space="preserve">understanding of the code internals, limitations and the physical processes </w:t>
      </w:r>
      <w:r w:rsidR="00CF57E3">
        <w:t>represented</w:t>
      </w:r>
      <w:r w:rsidR="00A8314B">
        <w:t xml:space="preserve">. </w:t>
      </w:r>
      <w:r w:rsidR="00A5138E">
        <w:t xml:space="preserve">An inspector may choose to sample </w:t>
      </w:r>
      <w:r w:rsidR="00B76E2A">
        <w:t>calculation method</w:t>
      </w:r>
      <w:r w:rsidR="00CE1F82">
        <w:t xml:space="preserve"> users</w:t>
      </w:r>
      <w:r w:rsidR="002826B6">
        <w:t>’</w:t>
      </w:r>
      <w:r w:rsidR="00CE1F82">
        <w:t xml:space="preserve"> qualifications and training records to gain confidence in t</w:t>
      </w:r>
      <w:r w:rsidR="002826B6">
        <w:t>heir proficiency</w:t>
      </w:r>
      <w:r w:rsidR="00CE1F82">
        <w:t xml:space="preserve">. </w:t>
      </w:r>
      <w:r w:rsidR="00A954B2">
        <w:t xml:space="preserve">In addition, </w:t>
      </w:r>
      <w:r w:rsidR="00DF43D3">
        <w:t xml:space="preserve">confidence can be gained in the use of such codes if the dutyholder is </w:t>
      </w:r>
      <w:r w:rsidR="00495B0C">
        <w:t xml:space="preserve">receiving adequate </w:t>
      </w:r>
      <w:r w:rsidR="00BA4432">
        <w:t xml:space="preserve">and direct </w:t>
      </w:r>
      <w:r w:rsidR="00495B0C">
        <w:t xml:space="preserve">support from the code vendor. </w:t>
      </w:r>
    </w:p>
    <w:p w14:paraId="14EE757C" w14:textId="484DD2CF" w:rsidR="00334FB1" w:rsidRDefault="00CD409B" w:rsidP="00B9646A">
      <w:pPr>
        <w:pStyle w:val="Heading2"/>
      </w:pPr>
      <w:bookmarkStart w:id="10" w:name="_Ref204076081"/>
      <w:r>
        <w:t xml:space="preserve">AV.5 – </w:t>
      </w:r>
      <w:r w:rsidR="00334FB1">
        <w:t>Documentation</w:t>
      </w:r>
      <w:bookmarkEnd w:id="10"/>
    </w:p>
    <w:p w14:paraId="702C7DB1" w14:textId="4E42AC3A" w:rsidR="00F35189" w:rsidRPr="001657B8" w:rsidRDefault="00F35189" w:rsidP="00F35189">
      <w:pPr>
        <w:pStyle w:val="QuoteText"/>
        <w:rPr>
          <w:i/>
          <w:iCs/>
        </w:rPr>
      </w:pPr>
      <w:r w:rsidRPr="001657B8">
        <w:rPr>
          <w:i/>
          <w:iCs/>
        </w:rPr>
        <w:t>Documentation should be provided to facilitate review of the adequacy of the calculation methods, models and data.</w:t>
      </w:r>
    </w:p>
    <w:p w14:paraId="089C8231" w14:textId="641D94EB" w:rsidR="008C299C" w:rsidRDefault="00334FB1" w:rsidP="00334FB1">
      <w:pPr>
        <w:pStyle w:val="F9-Paragraph"/>
      </w:pPr>
      <w:r>
        <w:t xml:space="preserve">ONR expects that </w:t>
      </w:r>
      <w:r w:rsidR="00F62755">
        <w:t xml:space="preserve">dutyholders </w:t>
      </w:r>
      <w:r w:rsidR="00133291">
        <w:t>record</w:t>
      </w:r>
      <w:r w:rsidR="00F62755">
        <w:t xml:space="preserve"> all aspects related to validation</w:t>
      </w:r>
      <w:r w:rsidR="00133291">
        <w:t xml:space="preserve"> in appropriate documentation</w:t>
      </w:r>
      <w:r w:rsidR="00F62755">
        <w:t xml:space="preserve">. </w:t>
      </w:r>
      <w:r w:rsidR="008C299C">
        <w:t xml:space="preserve">The safety case should justify the use of calculation methods </w:t>
      </w:r>
      <w:r w:rsidR="00862BBC">
        <w:t>for its application within the safety case.</w:t>
      </w:r>
    </w:p>
    <w:p w14:paraId="285AB0D6" w14:textId="7CE5FAF1" w:rsidR="00334FB1" w:rsidRDefault="009B30C7" w:rsidP="008C299C">
      <w:pPr>
        <w:pStyle w:val="F9-Paragraph"/>
      </w:pPr>
      <w:r>
        <w:t>D</w:t>
      </w:r>
      <w:r w:rsidR="004621F2">
        <w:t>ocumentation</w:t>
      </w:r>
      <w:r w:rsidR="00AD6903">
        <w:t xml:space="preserve"> should be readily available</w:t>
      </w:r>
      <w:r w:rsidR="00505464">
        <w:t xml:space="preserve"> and accessible throughout the </w:t>
      </w:r>
      <w:r w:rsidR="00BA2DF9">
        <w:t>lifecycle</w:t>
      </w:r>
      <w:r w:rsidR="00505464">
        <w:t xml:space="preserve"> of the facility</w:t>
      </w:r>
      <w:r w:rsidR="00BA2DF9">
        <w:t xml:space="preserve">. </w:t>
      </w:r>
      <w:r w:rsidR="00537ADB">
        <w:t>Below is a non-exhaustive list of t</w:t>
      </w:r>
      <w:r w:rsidR="00BA2DF9">
        <w:t>he documentation</w:t>
      </w:r>
      <w:r w:rsidR="00537ADB">
        <w:t xml:space="preserve"> that</w:t>
      </w:r>
      <w:r w:rsidR="00BA2DF9">
        <w:t xml:space="preserve"> should </w:t>
      </w:r>
      <w:r w:rsidR="004621F2">
        <w:t>include</w:t>
      </w:r>
      <w:r w:rsidR="00537ADB">
        <w:t>d</w:t>
      </w:r>
      <w:r w:rsidR="00026CC1">
        <w:t>, as appropriate</w:t>
      </w:r>
      <w:r w:rsidR="004621F2">
        <w:t>:</w:t>
      </w:r>
    </w:p>
    <w:p w14:paraId="3F07A1F4" w14:textId="48A711E3" w:rsidR="0054197E" w:rsidRPr="008F44AE" w:rsidRDefault="0054197E" w:rsidP="004621F2">
      <w:pPr>
        <w:pStyle w:val="NumList1"/>
        <w:numPr>
          <w:ilvl w:val="0"/>
          <w:numId w:val="7"/>
        </w:numPr>
      </w:pPr>
      <w:r w:rsidRPr="008F44AE">
        <w:t xml:space="preserve">Validation </w:t>
      </w:r>
      <w:r w:rsidR="00EE1539">
        <w:t>methodologies</w:t>
      </w:r>
      <w:r w:rsidRPr="008F44AE">
        <w:t xml:space="preserve"> – larger </w:t>
      </w:r>
      <w:r w:rsidR="008F44AE" w:rsidRPr="008F44AE">
        <w:t>dutyholders ma</w:t>
      </w:r>
      <w:r w:rsidR="008F44AE" w:rsidRPr="00455845">
        <w:t>y h</w:t>
      </w:r>
      <w:r w:rsidR="008F44AE">
        <w:t>ave standard approaches</w:t>
      </w:r>
      <w:r w:rsidR="00EE1539">
        <w:t>.</w:t>
      </w:r>
    </w:p>
    <w:p w14:paraId="504B1692" w14:textId="21537AC6" w:rsidR="004621F2" w:rsidRPr="00A132E9" w:rsidRDefault="00DD4A91" w:rsidP="004621F2">
      <w:pPr>
        <w:pStyle w:val="NumList1"/>
        <w:numPr>
          <w:ilvl w:val="0"/>
          <w:numId w:val="7"/>
        </w:numPr>
      </w:pPr>
      <w:r w:rsidRPr="00455845">
        <w:t xml:space="preserve">PIRT </w:t>
      </w:r>
      <w:r w:rsidR="00350872" w:rsidRPr="00455845">
        <w:t xml:space="preserve">– </w:t>
      </w:r>
      <w:r w:rsidR="00F551F6">
        <w:t>this</w:t>
      </w:r>
      <w:r w:rsidR="00350872" w:rsidRPr="00455845">
        <w:t xml:space="preserve"> </w:t>
      </w:r>
      <w:r w:rsidRPr="00455845">
        <w:t xml:space="preserve">should identify the dominant phenomena for a given </w:t>
      </w:r>
      <w:r w:rsidR="00376CEC">
        <w:t>set of conditions (which may progress over time)</w:t>
      </w:r>
      <w:r w:rsidRPr="00455845">
        <w:t>, and the documentation should seek to identify that the processes are validated.</w:t>
      </w:r>
    </w:p>
    <w:p w14:paraId="1F26984C" w14:textId="3B41240A" w:rsidR="00F24D3B" w:rsidRDefault="00F24D3B" w:rsidP="00F24D3B">
      <w:pPr>
        <w:pStyle w:val="NumList1"/>
        <w:numPr>
          <w:ilvl w:val="0"/>
          <w:numId w:val="7"/>
        </w:numPr>
      </w:pPr>
      <w:r>
        <w:lastRenderedPageBreak/>
        <w:t xml:space="preserve">Validation basis – details of comparisons to experimental data, analytical solutions, benchmarking, code-to-code comparisons etc. An evaluation of code biases and </w:t>
      </w:r>
      <w:r w:rsidR="00250157">
        <w:t>error should be included.</w:t>
      </w:r>
    </w:p>
    <w:p w14:paraId="4E39F4E7" w14:textId="26C04E63" w:rsidR="00250157" w:rsidRDefault="00F12949" w:rsidP="00250157">
      <w:pPr>
        <w:pStyle w:val="NumList1"/>
      </w:pPr>
      <w:r>
        <w:t xml:space="preserve">Calculation methods </w:t>
      </w:r>
      <w:r w:rsidR="00275D03">
        <w:t xml:space="preserve">manual – </w:t>
      </w:r>
      <w:r w:rsidR="000023AE">
        <w:t>d</w:t>
      </w:r>
      <w:r w:rsidR="00275D03">
        <w:t xml:space="preserve">etails of </w:t>
      </w:r>
      <w:r w:rsidR="000E45B8">
        <w:t>governing equations, assumptions, numerical methods</w:t>
      </w:r>
      <w:r w:rsidR="0015798A">
        <w:t xml:space="preserve">, </w:t>
      </w:r>
      <w:r w:rsidR="000E45B8">
        <w:t>physical models</w:t>
      </w:r>
      <w:r w:rsidR="0015798A">
        <w:t xml:space="preserve"> and correlations</w:t>
      </w:r>
      <w:r w:rsidR="000E45B8">
        <w:t>.</w:t>
      </w:r>
      <w:r w:rsidR="00CD1505">
        <w:t xml:space="preserve"> </w:t>
      </w:r>
    </w:p>
    <w:p w14:paraId="784A9B94" w14:textId="57BC7CAC" w:rsidR="00943D13" w:rsidRDefault="00943D13" w:rsidP="00455845">
      <w:pPr>
        <w:pStyle w:val="NumList1"/>
      </w:pPr>
      <w:r>
        <w:t xml:space="preserve">User manual – guidance for users on constructing models using the </w:t>
      </w:r>
      <w:r w:rsidR="00F12949">
        <w:t>calculation method</w:t>
      </w:r>
      <w:r w:rsidR="0033008A">
        <w:t xml:space="preserve"> and </w:t>
      </w:r>
      <w:r w:rsidR="00310CC9">
        <w:t>performing</w:t>
      </w:r>
      <w:r w:rsidR="0033008A">
        <w:t xml:space="preserve"> the analysis</w:t>
      </w:r>
      <w:r>
        <w:t>.</w:t>
      </w:r>
    </w:p>
    <w:p w14:paraId="657F8493" w14:textId="7095FB0A" w:rsidR="000E45B8" w:rsidRPr="00455845" w:rsidRDefault="000E45B8" w:rsidP="000E45B8">
      <w:pPr>
        <w:pStyle w:val="NumList1"/>
        <w:numPr>
          <w:ilvl w:val="0"/>
          <w:numId w:val="7"/>
        </w:numPr>
      </w:pPr>
      <w:r>
        <w:t>L</w:t>
      </w:r>
      <w:r w:rsidRPr="00863AF5">
        <w:t xml:space="preserve">imits of </w:t>
      </w:r>
      <w:r w:rsidRPr="00A132E9">
        <w:t xml:space="preserve">application - </w:t>
      </w:r>
      <w:r w:rsidRPr="00455845">
        <w:t xml:space="preserve">the limits for application of the calculation method </w:t>
      </w:r>
      <w:r w:rsidR="00066341">
        <w:t>for particular conditions/phenomena.</w:t>
      </w:r>
    </w:p>
    <w:p w14:paraId="04095C05" w14:textId="29E43F0D" w:rsidR="00250157" w:rsidRPr="00455845" w:rsidRDefault="00250157" w:rsidP="000E45B8">
      <w:pPr>
        <w:pStyle w:val="NumList1"/>
        <w:numPr>
          <w:ilvl w:val="0"/>
          <w:numId w:val="7"/>
        </w:numPr>
      </w:pPr>
      <w:r w:rsidRPr="00455845">
        <w:t>Additional correlations – any correlations</w:t>
      </w:r>
      <w:r w:rsidR="005D1F44" w:rsidRPr="00455845">
        <w:t xml:space="preserve"> not included in an ‘off-the-shelf’ </w:t>
      </w:r>
      <w:r w:rsidR="00F12949">
        <w:t xml:space="preserve">computer </w:t>
      </w:r>
      <w:r w:rsidR="005D1F44" w:rsidRPr="00455845">
        <w:t>code that are required for the analysis.</w:t>
      </w:r>
    </w:p>
    <w:p w14:paraId="6BADC23E" w14:textId="697824D8" w:rsidR="004621F2" w:rsidRPr="00863AF5" w:rsidRDefault="003E369F" w:rsidP="004621F2">
      <w:pPr>
        <w:pStyle w:val="NumList1"/>
      </w:pPr>
      <w:r>
        <w:t>E</w:t>
      </w:r>
      <w:r w:rsidR="00B253A0">
        <w:t>valuation</w:t>
      </w:r>
      <w:r w:rsidR="004621F2" w:rsidRPr="00863AF5">
        <w:t xml:space="preserve"> models</w:t>
      </w:r>
      <w:r w:rsidR="00B253A0">
        <w:t xml:space="preserve"> – </w:t>
      </w:r>
      <w:r w:rsidR="00C031F1">
        <w:t xml:space="preserve">details of </w:t>
      </w:r>
      <w:r>
        <w:t xml:space="preserve">the </w:t>
      </w:r>
      <w:r w:rsidR="00C031F1">
        <w:t xml:space="preserve">models constructed using the </w:t>
      </w:r>
      <w:r w:rsidR="00F12949">
        <w:t xml:space="preserve">computer </w:t>
      </w:r>
      <w:r w:rsidR="00C031F1">
        <w:t>codes</w:t>
      </w:r>
      <w:r w:rsidR="00F12949">
        <w:t>;</w:t>
      </w:r>
      <w:r w:rsidR="009F401A">
        <w:t xml:space="preserve"> </w:t>
      </w:r>
      <w:r w:rsidR="00F12949">
        <w:t>i</w:t>
      </w:r>
      <w:r w:rsidR="009F401A">
        <w:t xml:space="preserve">ncluding nodalisation schemes, </w:t>
      </w:r>
      <w:r w:rsidR="0075612D">
        <w:t>correlations employed, heat transfer objects</w:t>
      </w:r>
      <w:r w:rsidR="001B4676">
        <w:t>, user inputs</w:t>
      </w:r>
      <w:r w:rsidR="0075612D">
        <w:t xml:space="preserve"> etc</w:t>
      </w:r>
      <w:r w:rsidR="00C031F1">
        <w:t>.</w:t>
      </w:r>
    </w:p>
    <w:p w14:paraId="46690DB0" w14:textId="509D1BB7" w:rsidR="004621F2" w:rsidRPr="00863AF5" w:rsidRDefault="00592323" w:rsidP="004621F2">
      <w:pPr>
        <w:pStyle w:val="NumList1"/>
      </w:pPr>
      <w:r>
        <w:t>U</w:t>
      </w:r>
      <w:r w:rsidR="004621F2" w:rsidRPr="00863AF5">
        <w:t>ncertainty</w:t>
      </w:r>
      <w:r>
        <w:t xml:space="preserve"> evaluation </w:t>
      </w:r>
      <w:r w:rsidR="001B4676">
        <w:t>–</w:t>
      </w:r>
      <w:r>
        <w:t xml:space="preserve"> </w:t>
      </w:r>
      <w:r w:rsidR="008E3AA3">
        <w:t xml:space="preserve">particularly for </w:t>
      </w:r>
      <w:r w:rsidR="00F052B5">
        <w:t>BEPU calculations</w:t>
      </w:r>
      <w:r w:rsidR="00292F2E">
        <w:t>,</w:t>
      </w:r>
      <w:r w:rsidR="00C143EC">
        <w:t xml:space="preserve"> details of all </w:t>
      </w:r>
      <w:r w:rsidR="002A616D">
        <w:t xml:space="preserve">parameters to be varied in the analysis and substantiation of the uncertainty profiles should be provided. </w:t>
      </w:r>
    </w:p>
    <w:p w14:paraId="473EF001" w14:textId="46A088B3" w:rsidR="004621F2" w:rsidRPr="00863AF5" w:rsidRDefault="00817965" w:rsidP="000958F9">
      <w:pPr>
        <w:pStyle w:val="NumList1"/>
      </w:pPr>
      <w:r>
        <w:t>U</w:t>
      </w:r>
      <w:r w:rsidR="004621F2" w:rsidRPr="00863AF5">
        <w:t>ser proficiency</w:t>
      </w:r>
      <w:r>
        <w:t xml:space="preserve"> </w:t>
      </w:r>
      <w:r w:rsidR="000C5F45">
        <w:t xml:space="preserve">records </w:t>
      </w:r>
      <w:r>
        <w:t>– training records and qualifications of c</w:t>
      </w:r>
      <w:r w:rsidR="00F12949">
        <w:t>alculation methods</w:t>
      </w:r>
      <w:r>
        <w:t xml:space="preserve"> </w:t>
      </w:r>
      <w:r w:rsidR="000C5F45">
        <w:t>developers and/or users</w:t>
      </w:r>
      <w:r>
        <w:t>.</w:t>
      </w:r>
    </w:p>
    <w:p w14:paraId="548A32C0" w14:textId="2208799E" w:rsidR="004621F2" w:rsidRPr="00863AF5" w:rsidRDefault="00FD5421" w:rsidP="004621F2">
      <w:pPr>
        <w:pStyle w:val="NumList1"/>
      </w:pPr>
      <w:r>
        <w:t>Q</w:t>
      </w:r>
      <w:r w:rsidR="004621F2" w:rsidRPr="00863AF5">
        <w:t>uality assurance</w:t>
      </w:r>
      <w:r>
        <w:t xml:space="preserve"> – </w:t>
      </w:r>
      <w:r w:rsidR="00A67ECF">
        <w:t>dutyholder</w:t>
      </w:r>
      <w:r>
        <w:t xml:space="preserve">s should document all processes </w:t>
      </w:r>
      <w:r w:rsidR="00E02DD0">
        <w:t xml:space="preserve">and how those processes are adhered to, as appropriate. </w:t>
      </w:r>
      <w:r>
        <w:t>This includes</w:t>
      </w:r>
      <w:r w:rsidR="00F6296B">
        <w:t xml:space="preserve"> details of model testing, and any automated scripts employed. </w:t>
      </w:r>
    </w:p>
    <w:p w14:paraId="710AA849" w14:textId="11C2DA63" w:rsidR="00A76996" w:rsidRDefault="00A76996" w:rsidP="00334FB1">
      <w:pPr>
        <w:pStyle w:val="F9-Paragraph"/>
      </w:pPr>
      <w:r>
        <w:t xml:space="preserve">Wherever third-party codes or </w:t>
      </w:r>
      <w:r w:rsidR="002A68C6">
        <w:t>external suppliers of analysis</w:t>
      </w:r>
      <w:r>
        <w:t xml:space="preserve"> have been used</w:t>
      </w:r>
      <w:r w:rsidR="00664E56">
        <w:t xml:space="preserve">, and dutyholders </w:t>
      </w:r>
      <w:r w:rsidR="00A103C6">
        <w:t>may</w:t>
      </w:r>
      <w:r w:rsidR="00664E56">
        <w:t xml:space="preserve"> not have full access to </w:t>
      </w:r>
      <w:r w:rsidR="00E31A44">
        <w:t xml:space="preserve">all of </w:t>
      </w:r>
      <w:r w:rsidR="00664E56">
        <w:t>the above</w:t>
      </w:r>
      <w:r w:rsidR="00A103C6">
        <w:t>;</w:t>
      </w:r>
      <w:r w:rsidR="00664E56">
        <w:t xml:space="preserve"> the dutyholder should </w:t>
      </w:r>
      <w:r w:rsidR="00E31A44">
        <w:t xml:space="preserve">nevertheless </w:t>
      </w:r>
      <w:r w:rsidR="00316278">
        <w:t xml:space="preserve">carry out due diligence and </w:t>
      </w:r>
      <w:r w:rsidR="00446A7A">
        <w:t>retain</w:t>
      </w:r>
      <w:r w:rsidR="00316278">
        <w:t xml:space="preserve"> a record of that due diligence </w:t>
      </w:r>
      <w:r w:rsidR="00E9134F">
        <w:t xml:space="preserve">in </w:t>
      </w:r>
      <w:r w:rsidR="00A103C6">
        <w:t xml:space="preserve">determining </w:t>
      </w:r>
      <w:r w:rsidR="00E9134F">
        <w:t>the adequacy of the above.</w:t>
      </w:r>
      <w:r w:rsidR="00D85451">
        <w:t xml:space="preserve"> Further details related to ONR’s expectations </w:t>
      </w:r>
      <w:r w:rsidR="00F17B6F">
        <w:t xml:space="preserve">for being an intelligent customer can be found in NS-TAST-GD-049 (Ref. </w:t>
      </w:r>
      <w:sdt>
        <w:sdtPr>
          <w:id w:val="-208425780"/>
          <w:citation/>
        </w:sdtPr>
        <w:sdtContent>
          <w:r w:rsidR="00F17B6F">
            <w:fldChar w:fldCharType="begin"/>
          </w:r>
          <w:r w:rsidR="00F17B6F">
            <w:instrText xml:space="preserve"> CITATION TAG49 \l 2057 </w:instrText>
          </w:r>
          <w:r w:rsidR="00F17B6F">
            <w:fldChar w:fldCharType="separate"/>
          </w:r>
          <w:r w:rsidR="00EF26D2">
            <w:rPr>
              <w:noProof/>
            </w:rPr>
            <w:t>[9]</w:t>
          </w:r>
          <w:r w:rsidR="00F17B6F">
            <w:fldChar w:fldCharType="end"/>
          </w:r>
        </w:sdtContent>
      </w:sdt>
      <w:r w:rsidR="00F17B6F">
        <w:t>)</w:t>
      </w:r>
    </w:p>
    <w:p w14:paraId="192B10C5" w14:textId="2FE6F08B" w:rsidR="00122CAF" w:rsidRDefault="00DA5091" w:rsidP="00334FB1">
      <w:pPr>
        <w:pStyle w:val="F9-Paragraph"/>
      </w:pPr>
      <w:r>
        <w:t>T</w:t>
      </w:r>
      <w:r w:rsidR="00122CAF">
        <w:t xml:space="preserve">he inspector should not expect </w:t>
      </w:r>
      <w:r w:rsidR="45342F0F">
        <w:t xml:space="preserve">the </w:t>
      </w:r>
      <w:r w:rsidR="00122CAF">
        <w:t>above list to be submitted wholesale to the ONR</w:t>
      </w:r>
      <w:r w:rsidR="002C4939">
        <w:t xml:space="preserve"> for every </w:t>
      </w:r>
      <w:r w:rsidR="00F12949">
        <w:t xml:space="preserve">calculation </w:t>
      </w:r>
      <w:r w:rsidR="001A3A37">
        <w:t xml:space="preserve">method </w:t>
      </w:r>
      <w:r w:rsidR="002C4939">
        <w:t xml:space="preserve">employed. </w:t>
      </w:r>
      <w:r w:rsidR="00AD0857">
        <w:t xml:space="preserve">It is more likely that a dutyholder will submit higher-level documentation to summarise </w:t>
      </w:r>
      <w:r w:rsidR="00290D28">
        <w:t xml:space="preserve">the validation basis. </w:t>
      </w:r>
      <w:r w:rsidR="002C4939">
        <w:t>Inspectors should use</w:t>
      </w:r>
      <w:r w:rsidR="00553652">
        <w:t xml:space="preserve"> a graded approach</w:t>
      </w:r>
      <w:r w:rsidR="00C77639">
        <w:t xml:space="preserve"> </w:t>
      </w:r>
      <w:r w:rsidR="006D53B3">
        <w:t>(refer to</w:t>
      </w:r>
      <w:r w:rsidR="00C77639">
        <w:t xml:space="preserve"> Section 5.9)</w:t>
      </w:r>
      <w:r w:rsidR="00553652">
        <w:t xml:space="preserve"> when determining what </w:t>
      </w:r>
      <w:r w:rsidR="00C77639">
        <w:t xml:space="preserve">aspects </w:t>
      </w:r>
      <w:r w:rsidR="00553652">
        <w:t>to target</w:t>
      </w:r>
      <w:r w:rsidR="00C77639">
        <w:t xml:space="preserve"> and which documentation to sample.</w:t>
      </w:r>
    </w:p>
    <w:p w14:paraId="07D298C6" w14:textId="6E7AF71C" w:rsidR="00026CC1" w:rsidRDefault="00026CC1" w:rsidP="00334FB1">
      <w:pPr>
        <w:pStyle w:val="F9-Paragraph"/>
      </w:pPr>
      <w:r>
        <w:t xml:space="preserve">The above list typically applies to </w:t>
      </w:r>
      <w:r w:rsidR="00D62667">
        <w:t xml:space="preserve">complex computer codes. </w:t>
      </w:r>
      <w:r w:rsidR="006D53B3">
        <w:br/>
      </w:r>
      <w:r w:rsidR="00D62667">
        <w:t xml:space="preserve">Simpler </w:t>
      </w:r>
      <w:r w:rsidR="00B76E2A">
        <w:t>calculation method</w:t>
      </w:r>
      <w:r w:rsidR="00D62667">
        <w:t>s</w:t>
      </w:r>
      <w:r w:rsidR="00B77D57">
        <w:t xml:space="preserve"> may not require the same level of robustness. </w:t>
      </w:r>
      <w:r w:rsidR="006D53B3">
        <w:br/>
      </w:r>
      <w:r w:rsidR="00B77D57">
        <w:t xml:space="preserve">For example, if a dutyholder uses </w:t>
      </w:r>
      <w:r w:rsidR="00216F79">
        <w:t xml:space="preserve">simple number processing tools to calculate the progression of </w:t>
      </w:r>
      <w:r w:rsidR="0009053F">
        <w:t>fault</w:t>
      </w:r>
      <w:r w:rsidR="00216F79">
        <w:t>s in</w:t>
      </w:r>
      <w:r w:rsidR="006731CD">
        <w:t xml:space="preserve"> a</w:t>
      </w:r>
      <w:r w:rsidR="00216F79">
        <w:t xml:space="preserve"> spent fuel pool,</w:t>
      </w:r>
      <w:r w:rsidR="006731CD">
        <w:t xml:space="preserve"> the inspector should not expect </w:t>
      </w:r>
      <w:r w:rsidR="00A132E9">
        <w:t>a robust set of documentation as set out above.</w:t>
      </w:r>
    </w:p>
    <w:p w14:paraId="745FD339" w14:textId="7E66D11F" w:rsidR="000427D6" w:rsidRDefault="002B38AC">
      <w:pPr>
        <w:pStyle w:val="F9-Paragraph"/>
      </w:pPr>
      <w:r>
        <w:lastRenderedPageBreak/>
        <w:t>ONR expects that a balance</w:t>
      </w:r>
      <w:r w:rsidR="00D40392">
        <w:t>d</w:t>
      </w:r>
      <w:r>
        <w:t xml:space="preserve"> safety case is </w:t>
      </w:r>
      <w:r w:rsidR="00E814F0">
        <w:t>provided, presenting both positive and negative aspects of supporting evidence (SAPs SC.</w:t>
      </w:r>
      <w:r w:rsidR="003A5BD6">
        <w:t>4</w:t>
      </w:r>
      <w:r w:rsidR="00E814F0">
        <w:t xml:space="preserve">). </w:t>
      </w:r>
      <w:r w:rsidR="006D53B3">
        <w:br/>
      </w:r>
      <w:r w:rsidR="002C7D33">
        <w:t>Any gaps</w:t>
      </w:r>
      <w:r w:rsidR="008D7CF3">
        <w:t>/</w:t>
      </w:r>
      <w:r w:rsidR="002C7D33">
        <w:t xml:space="preserve">limitations </w:t>
      </w:r>
      <w:r w:rsidR="008D7CF3">
        <w:t xml:space="preserve">or detrimental evidence </w:t>
      </w:r>
      <w:r w:rsidR="002C7D33">
        <w:t xml:space="preserve">should be clearly identified in the validation </w:t>
      </w:r>
      <w:r w:rsidR="00FD5B3F">
        <w:t xml:space="preserve">documentation. </w:t>
      </w:r>
      <w:r w:rsidR="000427D6">
        <w:t xml:space="preserve">If this is presented, confidence can be gained </w:t>
      </w:r>
      <w:r w:rsidR="00FD5B3F">
        <w:t xml:space="preserve">in the completeness </w:t>
      </w:r>
      <w:r w:rsidR="000427D6">
        <w:t xml:space="preserve">and transparency </w:t>
      </w:r>
      <w:r w:rsidR="00FD5B3F">
        <w:t>of the dutyholder</w:t>
      </w:r>
      <w:r w:rsidR="005144B9">
        <w:t>’</w:t>
      </w:r>
      <w:r w:rsidR="00FD5B3F">
        <w:t>s</w:t>
      </w:r>
      <w:r w:rsidR="000D3685">
        <w:t xml:space="preserve"> safety case</w:t>
      </w:r>
      <w:r w:rsidR="000427D6">
        <w:t>.</w:t>
      </w:r>
    </w:p>
    <w:p w14:paraId="3C2AEE17" w14:textId="26D89C49" w:rsidR="007D65A3" w:rsidRDefault="00CD409B" w:rsidP="00B9646A">
      <w:pPr>
        <w:pStyle w:val="Heading2"/>
      </w:pPr>
      <w:r>
        <w:t xml:space="preserve">AV.6 – </w:t>
      </w:r>
      <w:r w:rsidR="007D65A3">
        <w:t>Sensitivity</w:t>
      </w:r>
      <w:r>
        <w:t xml:space="preserve"> </w:t>
      </w:r>
      <w:r w:rsidR="006D53B3">
        <w:t>s</w:t>
      </w:r>
      <w:r w:rsidR="007D65A3">
        <w:t>tudies</w:t>
      </w:r>
      <w:r>
        <w:t xml:space="preserve"> </w:t>
      </w:r>
    </w:p>
    <w:p w14:paraId="68D8B514" w14:textId="6B1A668D" w:rsidR="00957F4D" w:rsidRPr="001657B8" w:rsidRDefault="00957F4D" w:rsidP="00957F4D">
      <w:pPr>
        <w:pStyle w:val="QuoteText"/>
        <w:rPr>
          <w:i/>
          <w:iCs/>
        </w:rPr>
      </w:pPr>
      <w:r w:rsidRPr="00957F4D">
        <w:rPr>
          <w:i/>
          <w:iCs/>
        </w:rPr>
        <w:t>Studies should be carried out to determine the sensitivity of the analysis (and the conclusions drawn from it) to the assumptions made, the data used and the methods of calculation.</w:t>
      </w:r>
    </w:p>
    <w:p w14:paraId="6DECFC19" w14:textId="57B59D71" w:rsidR="000257D6" w:rsidRDefault="005204C4" w:rsidP="000257D6">
      <w:pPr>
        <w:pStyle w:val="F9-Paragraph"/>
      </w:pPr>
      <w:r>
        <w:t xml:space="preserve">A dutyholder </w:t>
      </w:r>
      <w:r w:rsidR="002279E1" w:rsidRPr="00066341">
        <w:t>should</w:t>
      </w:r>
      <w:r>
        <w:t xml:space="preserve"> perform sensitivity analyses to provide additional confidence in </w:t>
      </w:r>
      <w:r w:rsidR="002A1729">
        <w:t>its</w:t>
      </w:r>
      <w:r>
        <w:t xml:space="preserve"> </w:t>
      </w:r>
      <w:r w:rsidR="00B76E2A">
        <w:t>calculation method</w:t>
      </w:r>
      <w:r>
        <w:t xml:space="preserve">s. </w:t>
      </w:r>
      <w:r w:rsidR="00B40597">
        <w:t xml:space="preserve">There are </w:t>
      </w:r>
      <w:r w:rsidR="007D3694">
        <w:t>many</w:t>
      </w:r>
      <w:r w:rsidR="00EA4048">
        <w:t xml:space="preserve"> </w:t>
      </w:r>
      <w:r w:rsidR="00766D1A">
        <w:t xml:space="preserve">applications for </w:t>
      </w:r>
      <w:r w:rsidR="00B40597">
        <w:t>sensitivity analyses</w:t>
      </w:r>
      <w:r w:rsidR="00766D1A">
        <w:t xml:space="preserve">. </w:t>
      </w:r>
      <w:r w:rsidR="00E32364">
        <w:t>Inspectors should expect to see, as appropriate, the following types of sensitivity studies in support of deterministic safety analysis</w:t>
      </w:r>
      <w:r w:rsidR="00B40597">
        <w:t>: input assumptions,</w:t>
      </w:r>
      <w:r w:rsidR="001D31AD">
        <w:t xml:space="preserve"> </w:t>
      </w:r>
      <w:r w:rsidR="00A55FC2">
        <w:t xml:space="preserve">initial conditions, </w:t>
      </w:r>
      <w:r w:rsidR="00766D1A">
        <w:t xml:space="preserve">system </w:t>
      </w:r>
      <w:r w:rsidR="00A55FC2">
        <w:t>availability, plant state</w:t>
      </w:r>
      <w:r w:rsidR="00EA4048">
        <w:t>s</w:t>
      </w:r>
      <w:r w:rsidR="00090B8E">
        <w:t>, data sets</w:t>
      </w:r>
      <w:r w:rsidR="00B40597">
        <w:t xml:space="preserve"> and</w:t>
      </w:r>
      <w:r w:rsidR="00750214">
        <w:t xml:space="preserve"> </w:t>
      </w:r>
      <w:r w:rsidR="00B76E2A">
        <w:t>method</w:t>
      </w:r>
      <w:r w:rsidR="00750214">
        <w:t>s of modelling</w:t>
      </w:r>
      <w:r w:rsidR="00B40597">
        <w:t xml:space="preserve"> </w:t>
      </w:r>
      <w:r w:rsidR="0049414F">
        <w:t xml:space="preserve">physical or chemical processes. </w:t>
      </w:r>
    </w:p>
    <w:p w14:paraId="780F8159" w14:textId="44C9A3C8" w:rsidR="00B54B2F" w:rsidRDefault="003753FE" w:rsidP="002B37CB">
      <w:pPr>
        <w:pStyle w:val="F9-Paragraph"/>
      </w:pPr>
      <w:r>
        <w:t>Calculation</w:t>
      </w:r>
      <w:r w:rsidR="00017EF1">
        <w:t xml:space="preserve">s are </w:t>
      </w:r>
      <w:r w:rsidR="00EE78FE">
        <w:t xml:space="preserve">commonly performed with conservatism </w:t>
      </w:r>
      <w:r w:rsidR="009841E3">
        <w:t xml:space="preserve">embedded to various degrees. </w:t>
      </w:r>
      <w:r w:rsidR="008D5B3A">
        <w:t xml:space="preserve">Where </w:t>
      </w:r>
      <w:r w:rsidR="00B76E2A">
        <w:t>calculation method</w:t>
      </w:r>
      <w:r w:rsidR="00C22DC3">
        <w:t>s</w:t>
      </w:r>
      <w:r w:rsidR="008D5B3A">
        <w:t xml:space="preserve"> are used to simulate complex processes, </w:t>
      </w:r>
      <w:r w:rsidR="00C22DC3">
        <w:t>it is not always</w:t>
      </w:r>
      <w:r w:rsidR="00646437">
        <w:t xml:space="preserve"> clear which </w:t>
      </w:r>
      <w:r w:rsidR="00230AB0">
        <w:t xml:space="preserve">input </w:t>
      </w:r>
      <w:r w:rsidR="00646437">
        <w:t xml:space="preserve">parameters will lead to the </w:t>
      </w:r>
      <w:r w:rsidR="009B3A04">
        <w:t xml:space="preserve">most challenging outcome for a particular success criterion. </w:t>
      </w:r>
      <w:r w:rsidR="006703D0">
        <w:t>In addition, t</w:t>
      </w:r>
      <w:r w:rsidR="002A78DD">
        <w:t xml:space="preserve">he choice of </w:t>
      </w:r>
      <w:r w:rsidR="006703D0">
        <w:t xml:space="preserve">extremes of </w:t>
      </w:r>
      <w:r w:rsidR="008E4F3C">
        <w:t xml:space="preserve">the error band of a particular </w:t>
      </w:r>
      <w:r w:rsidR="002A78DD">
        <w:t>parameter may have competing effect</w:t>
      </w:r>
      <w:r w:rsidR="005C7642">
        <w:t>s.</w:t>
      </w:r>
      <w:r w:rsidR="008F52CD">
        <w:t xml:space="preserve"> </w:t>
      </w:r>
      <w:r w:rsidR="00036ED4">
        <w:t>A</w:t>
      </w:r>
      <w:r w:rsidR="008F52CD">
        <w:t xml:space="preserve"> dutyholder </w:t>
      </w:r>
      <w:r w:rsidR="00036ED4">
        <w:t>should justify the</w:t>
      </w:r>
      <w:r w:rsidR="00F95299">
        <w:t xml:space="preserve"> </w:t>
      </w:r>
      <w:r w:rsidR="00146E8E">
        <w:t xml:space="preserve">values used for the </w:t>
      </w:r>
      <w:r w:rsidR="00F95299">
        <w:t xml:space="preserve">most important input parameters, and make available any sensitivity studies that underpin those </w:t>
      </w:r>
      <w:r w:rsidR="00146E8E">
        <w:t>values</w:t>
      </w:r>
      <w:r w:rsidR="00F95299">
        <w:t xml:space="preserve">. </w:t>
      </w:r>
      <w:r w:rsidR="001B30BD">
        <w:t>The inspector should</w:t>
      </w:r>
      <w:r w:rsidR="00EF5552">
        <w:t xml:space="preserve"> not</w:t>
      </w:r>
      <w:r w:rsidR="001B30BD">
        <w:t xml:space="preserve"> expect to </w:t>
      </w:r>
      <w:r w:rsidR="00F04678">
        <w:t xml:space="preserve">be presented with </w:t>
      </w:r>
      <w:r w:rsidR="001B30BD">
        <w:t xml:space="preserve">sensitivity analyses for every single parameter. Instead, judgement should be used on whether </w:t>
      </w:r>
      <w:r w:rsidR="00362D1B">
        <w:t>the input parameter justification is reasonable and target parameters that figure</w:t>
      </w:r>
      <w:r w:rsidR="00066341">
        <w:t>s</w:t>
      </w:r>
      <w:r w:rsidR="00362D1B">
        <w:t xml:space="preserve"> of merit may be sen</w:t>
      </w:r>
      <w:r w:rsidR="00AE2361">
        <w:t>sitive to.</w:t>
      </w:r>
    </w:p>
    <w:p w14:paraId="11FCFCF0" w14:textId="5EF075AF" w:rsidR="00582B8B" w:rsidRDefault="00582B8B" w:rsidP="000257D6">
      <w:pPr>
        <w:pStyle w:val="F9-Paragraph"/>
      </w:pPr>
      <w:r>
        <w:t xml:space="preserve">ONR </w:t>
      </w:r>
      <w:r w:rsidR="000955B5">
        <w:t xml:space="preserve">also </w:t>
      </w:r>
      <w:r>
        <w:t>expect</w:t>
      </w:r>
      <w:r w:rsidR="000955B5">
        <w:t>s that</w:t>
      </w:r>
      <w:r w:rsidR="00F04678">
        <w:t>,</w:t>
      </w:r>
      <w:r w:rsidR="000955B5">
        <w:t xml:space="preserve"> </w:t>
      </w:r>
      <w:r>
        <w:t>for design basis analysis</w:t>
      </w:r>
      <w:r w:rsidR="000955B5">
        <w:t xml:space="preserve">, the </w:t>
      </w:r>
      <w:r w:rsidR="008C27C5">
        <w:t>most challenging</w:t>
      </w:r>
      <w:r w:rsidR="007F2E79">
        <w:t xml:space="preserve"> or bounding </w:t>
      </w:r>
      <w:r w:rsidR="00C81C45">
        <w:t xml:space="preserve">plant </w:t>
      </w:r>
      <w:r w:rsidR="00676047">
        <w:t>state</w:t>
      </w:r>
      <w:r w:rsidR="00C81C45">
        <w:t xml:space="preserve"> is </w:t>
      </w:r>
      <w:r w:rsidR="007F2E79">
        <w:t>identified and justified (SAPs FA.6)</w:t>
      </w:r>
      <w:r w:rsidR="00C81C45">
        <w:t xml:space="preserve">. </w:t>
      </w:r>
      <w:r w:rsidR="00676047">
        <w:t xml:space="preserve">Different plant states </w:t>
      </w:r>
      <w:r w:rsidR="00635E11">
        <w:t>may have unique</w:t>
      </w:r>
      <w:r w:rsidR="00676047">
        <w:t xml:space="preserve"> initial conditions, </w:t>
      </w:r>
      <w:r w:rsidR="00635E11">
        <w:t>which</w:t>
      </w:r>
      <w:r w:rsidR="00676047">
        <w:t xml:space="preserve"> </w:t>
      </w:r>
      <w:r w:rsidR="0033550F">
        <w:t xml:space="preserve">may have a significant impact on a transient. </w:t>
      </w:r>
      <w:r w:rsidR="00361D9B">
        <w:t xml:space="preserve">In most cases, </w:t>
      </w:r>
      <w:r w:rsidR="00294EC3">
        <w:t xml:space="preserve">qualitative </w:t>
      </w:r>
      <w:r w:rsidR="007C6A62">
        <w:t xml:space="preserve">justification for a bounding case may be </w:t>
      </w:r>
      <w:r w:rsidR="00294EC3">
        <w:t>sufficient</w:t>
      </w:r>
      <w:r w:rsidR="007C6A62">
        <w:t xml:space="preserve">. In others, sensitivity studies may be required. </w:t>
      </w:r>
      <w:r w:rsidR="006D53B3">
        <w:br/>
      </w:r>
      <w:r w:rsidR="0033550F">
        <w:t xml:space="preserve">Again, the inspector should not expect to see analysis of all plant states. </w:t>
      </w:r>
      <w:r w:rsidR="00290E7A">
        <w:t>Inspectors should target areas where the bounding case</w:t>
      </w:r>
      <w:r w:rsidR="00361D9B">
        <w:t xml:space="preserve"> or fault progression</w:t>
      </w:r>
      <w:r w:rsidR="00290E7A">
        <w:t xml:space="preserve"> is not apparent</w:t>
      </w:r>
      <w:r w:rsidR="00361D9B">
        <w:t xml:space="preserve">. </w:t>
      </w:r>
    </w:p>
    <w:p w14:paraId="1A2646E0" w14:textId="77777777" w:rsidR="006D53B3" w:rsidRDefault="006D53B3" w:rsidP="000257D6">
      <w:pPr>
        <w:pStyle w:val="F9-Paragraph"/>
        <w:sectPr w:rsidR="006D53B3" w:rsidSect="000B2BCD">
          <w:pgSz w:w="11906" w:h="16838" w:code="9"/>
          <w:pgMar w:top="1440" w:right="1440" w:bottom="1440" w:left="1440" w:header="397" w:footer="397" w:gutter="0"/>
          <w:cols w:space="312"/>
          <w:docGrid w:linePitch="360"/>
        </w:sectPr>
      </w:pPr>
    </w:p>
    <w:p w14:paraId="3DB84E6E" w14:textId="49DF9A42" w:rsidR="003A16C7" w:rsidRDefault="00230AB0" w:rsidP="000257D6">
      <w:pPr>
        <w:pStyle w:val="F9-Paragraph"/>
      </w:pPr>
      <w:r w:rsidRPr="00230AB0">
        <w:lastRenderedPageBreak/>
        <w:t xml:space="preserve">Some </w:t>
      </w:r>
      <w:r w:rsidR="00F12949">
        <w:t xml:space="preserve">computer </w:t>
      </w:r>
      <w:r w:rsidRPr="00230AB0">
        <w:t>codes include multiple mode</w:t>
      </w:r>
      <w:r w:rsidRPr="00455845">
        <w:t>ls to</w:t>
      </w:r>
      <w:r>
        <w:t xml:space="preserve"> simulate similar </w:t>
      </w:r>
      <w:r w:rsidR="00D941AE">
        <w:t>physical or chemical processes, or multiple datasets</w:t>
      </w:r>
      <w:r>
        <w:t xml:space="preserve">. </w:t>
      </w:r>
      <w:r w:rsidR="003D5D71">
        <w:t>For the base case, t</w:t>
      </w:r>
      <w:r>
        <w:t xml:space="preserve">he </w:t>
      </w:r>
      <w:r w:rsidR="004A0752">
        <w:t xml:space="preserve">dutyholder should choose </w:t>
      </w:r>
      <w:r w:rsidR="00090B8E">
        <w:t>those</w:t>
      </w:r>
      <w:r w:rsidR="004A0752">
        <w:t xml:space="preserve"> which </w:t>
      </w:r>
      <w:r w:rsidR="003D5D71">
        <w:t>are</w:t>
      </w:r>
      <w:r w:rsidR="004A0752">
        <w:t xml:space="preserve"> </w:t>
      </w:r>
      <w:r w:rsidR="00660C7A">
        <w:t>most validated for the</w:t>
      </w:r>
      <w:r w:rsidR="008422D0">
        <w:t xml:space="preserve"> specific </w:t>
      </w:r>
      <w:r w:rsidR="00660C7A">
        <w:t>scenario. However, where uncertainty exists</w:t>
      </w:r>
      <w:r w:rsidR="002F78DE">
        <w:t xml:space="preserve"> on the most appropriate model</w:t>
      </w:r>
      <w:r w:rsidR="00660C7A">
        <w:t>,</w:t>
      </w:r>
      <w:r w:rsidR="002F78DE">
        <w:t xml:space="preserve"> </w:t>
      </w:r>
      <w:r w:rsidR="002F78DE" w:rsidRPr="00066341">
        <w:t>the dutyholder should</w:t>
      </w:r>
      <w:r w:rsidR="00660C7A">
        <w:t xml:space="preserve"> </w:t>
      </w:r>
      <w:r w:rsidR="000B533A">
        <w:t xml:space="preserve">perform sensitivity analysis using multiple models. </w:t>
      </w:r>
      <w:r w:rsidR="006D53B3">
        <w:br/>
      </w:r>
      <w:r w:rsidR="00697B36">
        <w:t xml:space="preserve">A dutyholder may argue </w:t>
      </w:r>
      <w:r w:rsidR="002821BB">
        <w:t>that</w:t>
      </w:r>
      <w:r w:rsidR="00697B36">
        <w:t xml:space="preserve"> one model/data</w:t>
      </w:r>
      <w:r w:rsidR="00E14FF7">
        <w:t xml:space="preserve"> set</w:t>
      </w:r>
      <w:r w:rsidR="002821BB">
        <w:t xml:space="preserve"> is most appropriate</w:t>
      </w:r>
      <w:r w:rsidR="00E471B0">
        <w:t xml:space="preserve">, but another may </w:t>
      </w:r>
      <w:r w:rsidR="00E14FF7">
        <w:t xml:space="preserve">lead to </w:t>
      </w:r>
      <w:r w:rsidR="00DF4F63">
        <w:t xml:space="preserve">worse </w:t>
      </w:r>
      <w:r w:rsidR="00E14FF7">
        <w:t xml:space="preserve">results. </w:t>
      </w:r>
      <w:r w:rsidR="00DF4F63">
        <w:t xml:space="preserve">The aim is not to pessimise the analysis </w:t>
      </w:r>
      <w:r w:rsidR="00461C03">
        <w:t xml:space="preserve">to the point where inappropriate models are used. </w:t>
      </w:r>
      <w:r w:rsidR="00E64831">
        <w:t>However, where it</w:t>
      </w:r>
      <w:r w:rsidR="00724A9F">
        <w:t xml:space="preserve"> is not apparent </w:t>
      </w:r>
      <w:r w:rsidR="00E64831">
        <w:t xml:space="preserve">which is the most appropriate model, </w:t>
      </w:r>
      <w:r w:rsidR="000E3891">
        <w:t>th</w:t>
      </w:r>
      <w:r w:rsidR="00545A1E">
        <w:t>e use of a less conservative approach for the base case may be justifiable</w:t>
      </w:r>
      <w:r w:rsidR="00B82603">
        <w:t xml:space="preserve"> so long as no cliff-edge effects are observed</w:t>
      </w:r>
      <w:r w:rsidR="00545A1E">
        <w:t>.</w:t>
      </w:r>
      <w:r w:rsidR="007C2031">
        <w:t xml:space="preserve"> If cliff-edge effects are </w:t>
      </w:r>
      <w:r w:rsidR="00470C5E">
        <w:t xml:space="preserve">observed, a more robust justification should be provided. </w:t>
      </w:r>
      <w:r w:rsidR="0013052F">
        <w:t xml:space="preserve">For third-party </w:t>
      </w:r>
      <w:r w:rsidR="00F12949">
        <w:t xml:space="preserve">computer </w:t>
      </w:r>
      <w:r w:rsidR="0013052F">
        <w:t xml:space="preserve">codes, the dutyholder will likely refer to user manuals and vendor recommendations. </w:t>
      </w:r>
      <w:r w:rsidR="002A75AC">
        <w:t xml:space="preserve">This is appropriate, but the dutyholder should demonstrate an understanding of each of the models and </w:t>
      </w:r>
      <w:r w:rsidR="0084633D">
        <w:t xml:space="preserve">the </w:t>
      </w:r>
      <w:r w:rsidR="002A75AC">
        <w:t>implications of using them.</w:t>
      </w:r>
    </w:p>
    <w:p w14:paraId="1EB7EB37" w14:textId="276A176A" w:rsidR="00A17A4A" w:rsidRDefault="002A75AC" w:rsidP="00A17A4A">
      <w:pPr>
        <w:pStyle w:val="F9-Paragraph"/>
      </w:pPr>
      <w:r>
        <w:t>ONR expects that d</w:t>
      </w:r>
      <w:r w:rsidR="00B3221C">
        <w:t xml:space="preserve">esign basis analysis should include </w:t>
      </w:r>
      <w:r w:rsidR="00F859BA">
        <w:t>appropriate conservatism</w:t>
      </w:r>
      <w:r w:rsidR="00C95852">
        <w:t xml:space="preserve">. </w:t>
      </w:r>
      <w:r w:rsidR="00370E49">
        <w:t xml:space="preserve">As part of this, </w:t>
      </w:r>
      <w:r w:rsidR="00856808">
        <w:t xml:space="preserve">ONR expect that </w:t>
      </w:r>
      <w:r w:rsidR="007E7177">
        <w:t xml:space="preserve">system availability assumptions are made </w:t>
      </w:r>
      <w:r w:rsidR="00A97250">
        <w:t xml:space="preserve">appropriately </w:t>
      </w:r>
      <w:r w:rsidR="007E7177">
        <w:t xml:space="preserve">conservative. This typically </w:t>
      </w:r>
      <w:r w:rsidR="004E2A57">
        <w:t xml:space="preserve">leads to assuming the worst single failure in a safety system design to respond to a fault, and </w:t>
      </w:r>
      <w:r w:rsidR="00B206ED">
        <w:t xml:space="preserve">penalising </w:t>
      </w:r>
      <w:r w:rsidR="00C24932">
        <w:t>assumptions around safety-related equipment which exacerbate fault progression</w:t>
      </w:r>
      <w:r>
        <w:t xml:space="preserve"> (SAPs FA.6)</w:t>
      </w:r>
      <w:r w:rsidR="00C24932">
        <w:t xml:space="preserve">. </w:t>
      </w:r>
      <w:r w:rsidR="00F1260A">
        <w:t>S</w:t>
      </w:r>
      <w:r w:rsidR="00C24932">
        <w:t xml:space="preserve">ensitivity analysis </w:t>
      </w:r>
      <w:r w:rsidR="00F1260A">
        <w:t>should</w:t>
      </w:r>
      <w:r w:rsidR="00C24932">
        <w:t xml:space="preserve"> be </w:t>
      </w:r>
      <w:r w:rsidR="00E1787F">
        <w:t xml:space="preserve">considered </w:t>
      </w:r>
      <w:r w:rsidR="00C24932">
        <w:t>to determine the worst</w:t>
      </w:r>
      <w:r w:rsidR="00D45B13">
        <w:t>-</w:t>
      </w:r>
      <w:r w:rsidR="00C24932">
        <w:t xml:space="preserve">case </w:t>
      </w:r>
      <w:r w:rsidR="00C76629">
        <w:t xml:space="preserve">system </w:t>
      </w:r>
      <w:r w:rsidR="0023276B">
        <w:t>assumptions</w:t>
      </w:r>
      <w:r w:rsidR="00F1260A">
        <w:t xml:space="preserve"> where they are not apparent</w:t>
      </w:r>
      <w:r w:rsidR="00C24932">
        <w:t xml:space="preserve">. </w:t>
      </w:r>
      <w:r w:rsidR="00F84EC1">
        <w:t>In many cases</w:t>
      </w:r>
      <w:r w:rsidR="004F75BC">
        <w:t>, the qualitative justification may be provided in higher</w:t>
      </w:r>
      <w:r>
        <w:t>-</w:t>
      </w:r>
      <w:r w:rsidR="004F75BC">
        <w:t>tier documents</w:t>
      </w:r>
      <w:r w:rsidR="0023276B">
        <w:t>, with more detailed analysis in lower</w:t>
      </w:r>
      <w:r>
        <w:t>-</w:t>
      </w:r>
      <w:r w:rsidR="0023276B">
        <w:t xml:space="preserve">tier documents. </w:t>
      </w:r>
      <w:r w:rsidR="00802F40">
        <w:t xml:space="preserve">When considering whether detailed assessment of </w:t>
      </w:r>
      <w:r w:rsidR="006256C6">
        <w:t>these sensitivity studies is required, t</w:t>
      </w:r>
      <w:r w:rsidR="0023276B">
        <w:t xml:space="preserve">he inspector </w:t>
      </w:r>
      <w:r w:rsidR="00B560FF">
        <w:t xml:space="preserve">should target areas which are known to have </w:t>
      </w:r>
      <w:r w:rsidR="00802F40">
        <w:t xml:space="preserve">significant impact on </w:t>
      </w:r>
      <w:r w:rsidR="0009053F">
        <w:t xml:space="preserve">fault </w:t>
      </w:r>
      <w:r w:rsidR="00802F40">
        <w:t>progression, or faults which have a low margin to acceptance criteria</w:t>
      </w:r>
      <w:r w:rsidR="004F75BC">
        <w:t>.</w:t>
      </w:r>
    </w:p>
    <w:p w14:paraId="271736E9" w14:textId="4979CF66" w:rsidR="00A17A4A" w:rsidRDefault="00A17A4A" w:rsidP="00A17A4A">
      <w:pPr>
        <w:pStyle w:val="F9-Paragraph"/>
      </w:pPr>
      <w:r>
        <w:t xml:space="preserve">An additional use of sensitivity studies on system availability may be to </w:t>
      </w:r>
      <w:r w:rsidR="006B2EAB">
        <w:t xml:space="preserve">demonstrate that other uncertainties are </w:t>
      </w:r>
      <w:r w:rsidR="000F444F">
        <w:t>of relatively low s</w:t>
      </w:r>
      <w:r w:rsidR="006B2EAB">
        <w:t>ignifican</w:t>
      </w:r>
      <w:r w:rsidR="000F444F">
        <w:t>ce</w:t>
      </w:r>
      <w:r w:rsidR="006B2EAB">
        <w:t>.</w:t>
      </w:r>
      <w:r w:rsidR="00DB64F3">
        <w:t xml:space="preserve"> </w:t>
      </w:r>
      <w:r w:rsidR="006D53B3">
        <w:br/>
      </w:r>
      <w:r w:rsidR="00DB64F3">
        <w:t>For example, a dutyholder may demonstrate that even when important safety measures are</w:t>
      </w:r>
      <w:r w:rsidR="00DD1605">
        <w:t xml:space="preserve"> not</w:t>
      </w:r>
      <w:r w:rsidR="00DB64F3">
        <w:t xml:space="preserve"> credited, the </w:t>
      </w:r>
      <w:r w:rsidR="004144E5">
        <w:t xml:space="preserve">safety criteria are still met. This </w:t>
      </w:r>
      <w:r w:rsidR="00362809">
        <w:t xml:space="preserve">can be a compelling </w:t>
      </w:r>
      <w:r w:rsidR="004144E5">
        <w:t xml:space="preserve">argument which </w:t>
      </w:r>
      <w:r w:rsidR="00BF7A34">
        <w:t xml:space="preserve">inspectors should consider when targeting their assessment. </w:t>
      </w:r>
      <w:r w:rsidR="004144E5">
        <w:t xml:space="preserve"> </w:t>
      </w:r>
    </w:p>
    <w:p w14:paraId="0546A5C3" w14:textId="3DE99B7E" w:rsidR="004C0AA6" w:rsidRPr="00230AB0" w:rsidRDefault="0050321C" w:rsidP="00455845">
      <w:pPr>
        <w:pStyle w:val="F9-Paragraph"/>
      </w:pPr>
      <w:r>
        <w:t xml:space="preserve">For many </w:t>
      </w:r>
      <w:r w:rsidR="00776FCC">
        <w:t>general-purpose</w:t>
      </w:r>
      <w:r>
        <w:t xml:space="preserve"> </w:t>
      </w:r>
      <w:r w:rsidR="00F12949">
        <w:t xml:space="preserve">computer </w:t>
      </w:r>
      <w:r>
        <w:t>codes, t</w:t>
      </w:r>
      <w:r w:rsidR="003D0CC3">
        <w:t>he dut</w:t>
      </w:r>
      <w:r>
        <w:t xml:space="preserve">yholder </w:t>
      </w:r>
      <w:r w:rsidR="00674FCA">
        <w:t xml:space="preserve">has flexibility in how they represent a facility. The </w:t>
      </w:r>
      <w:r w:rsidR="00C206B6">
        <w:t xml:space="preserve">fidelity of the simulation will depend on the nodalisation or meshing. However, there is a limitation on the gains achieved by improving nodalisation. </w:t>
      </w:r>
      <w:r w:rsidR="00D03849">
        <w:t xml:space="preserve">Moreover, over-nodalisation may introduce non-physical results. The </w:t>
      </w:r>
      <w:r w:rsidR="000C2025" w:rsidRPr="00066341">
        <w:t xml:space="preserve">dutyholder will likely take advice from the code vendor or user manuals. </w:t>
      </w:r>
      <w:r w:rsidR="00495DA2" w:rsidRPr="00066341">
        <w:t>Where</w:t>
      </w:r>
      <w:r w:rsidR="008136B3" w:rsidRPr="00066341">
        <w:t xml:space="preserve"> the appropriate nodalisation is not apparent</w:t>
      </w:r>
      <w:r w:rsidR="000C2025" w:rsidRPr="00066341">
        <w:t xml:space="preserve">, the dutyholder </w:t>
      </w:r>
      <w:r w:rsidR="003571A2" w:rsidRPr="00066341">
        <w:t>should</w:t>
      </w:r>
      <w:r w:rsidR="000C2025" w:rsidRPr="00066341">
        <w:t xml:space="preserve"> perform sensitivity studies</w:t>
      </w:r>
      <w:r w:rsidR="003571A2">
        <w:t xml:space="preserve"> to determine the </w:t>
      </w:r>
      <w:r w:rsidR="00FD72E5">
        <w:t xml:space="preserve">most appropriate approach. </w:t>
      </w:r>
      <w:r w:rsidR="000C2025">
        <w:t xml:space="preserve">This is of particular importance for CFD </w:t>
      </w:r>
      <w:r w:rsidR="006E5602">
        <w:t xml:space="preserve">and some reactor physics </w:t>
      </w:r>
      <w:r w:rsidR="000C2025">
        <w:t xml:space="preserve">calculations where the </w:t>
      </w:r>
      <w:r w:rsidR="005D692A">
        <w:t>results can be very</w:t>
      </w:r>
      <w:r w:rsidR="009A574B">
        <w:t xml:space="preserve"> sensitive to the </w:t>
      </w:r>
      <w:r w:rsidR="00FE015A">
        <w:t>nodalisation</w:t>
      </w:r>
      <w:r w:rsidR="009A574B">
        <w:t>. The inspector should seek to gain confidence that</w:t>
      </w:r>
      <w:r w:rsidR="006767FC">
        <w:t>, where appropriate,</w:t>
      </w:r>
      <w:r w:rsidR="006E5602">
        <w:t xml:space="preserve"> </w:t>
      </w:r>
      <w:r w:rsidR="009A574B">
        <w:t xml:space="preserve">analysis has been performed </w:t>
      </w:r>
      <w:r w:rsidR="00A57EE1">
        <w:t xml:space="preserve">to determine an </w:t>
      </w:r>
      <w:r w:rsidR="006767FC">
        <w:t>adequate</w:t>
      </w:r>
      <w:r w:rsidR="00A57EE1">
        <w:t xml:space="preserve"> nodalisation.</w:t>
      </w:r>
      <w:r w:rsidR="009A574B">
        <w:t xml:space="preserve"> </w:t>
      </w:r>
    </w:p>
    <w:p w14:paraId="11972266" w14:textId="30DE8462" w:rsidR="004B5317" w:rsidRDefault="00CD409B" w:rsidP="00B9646A">
      <w:pPr>
        <w:pStyle w:val="Heading2"/>
      </w:pPr>
      <w:r>
        <w:lastRenderedPageBreak/>
        <w:t xml:space="preserve">AV.7 – </w:t>
      </w:r>
      <w:r w:rsidR="00945F97">
        <w:t>Data</w:t>
      </w:r>
      <w:r>
        <w:t xml:space="preserve"> </w:t>
      </w:r>
      <w:r w:rsidR="006D53B3">
        <w:t>c</w:t>
      </w:r>
      <w:r w:rsidR="00945F97">
        <w:t>ollection</w:t>
      </w:r>
    </w:p>
    <w:p w14:paraId="2286F29F" w14:textId="39AF68A1" w:rsidR="000A2C46" w:rsidRPr="001657B8" w:rsidRDefault="000A2C46" w:rsidP="000A2C46">
      <w:pPr>
        <w:pStyle w:val="QuoteText"/>
        <w:rPr>
          <w:i/>
          <w:iCs/>
        </w:rPr>
      </w:pPr>
      <w:r w:rsidRPr="000A2C46">
        <w:rPr>
          <w:i/>
          <w:iCs/>
        </w:rPr>
        <w:t>Data should be collected throughout the operating life of the facility to check or update the safety analysis.</w:t>
      </w:r>
    </w:p>
    <w:p w14:paraId="215FDC58" w14:textId="0B2A9A63" w:rsidR="00945F97" w:rsidRDefault="004A1DF6">
      <w:pPr>
        <w:pStyle w:val="F9-Paragraph"/>
      </w:pPr>
      <w:r>
        <w:t>A</w:t>
      </w:r>
      <w:r w:rsidR="00773801" w:rsidRPr="002773A1">
        <w:t xml:space="preserve">nalysis </w:t>
      </w:r>
      <w:r>
        <w:t xml:space="preserve">performed </w:t>
      </w:r>
      <w:r w:rsidR="00D814B9" w:rsidRPr="002773A1">
        <w:t>in the</w:t>
      </w:r>
      <w:r w:rsidR="007A4E85" w:rsidRPr="002773A1">
        <w:t xml:space="preserve"> design</w:t>
      </w:r>
      <w:r w:rsidR="00D814B9" w:rsidRPr="002773A1">
        <w:t xml:space="preserve"> </w:t>
      </w:r>
      <w:r w:rsidR="00D814B9">
        <w:t>phase</w:t>
      </w:r>
      <w:r w:rsidR="007A4E85">
        <w:t xml:space="preserve"> of a facility </w:t>
      </w:r>
      <w:r w:rsidR="001E0AD0">
        <w:t xml:space="preserve">may be </w:t>
      </w:r>
      <w:r w:rsidR="00EC7D57">
        <w:t>reliant upon</w:t>
      </w:r>
      <w:r w:rsidR="001E0AD0" w:rsidDel="005501F4">
        <w:t xml:space="preserve"> </w:t>
      </w:r>
      <w:r w:rsidR="00D91D52">
        <w:t>operational experience</w:t>
      </w:r>
      <w:r w:rsidR="00692AA7">
        <w:t xml:space="preserve">, </w:t>
      </w:r>
      <w:r w:rsidR="00AA25E3">
        <w:t xml:space="preserve">experimental data, </w:t>
      </w:r>
      <w:r w:rsidR="00692AA7">
        <w:t>read-across data, extrapol</w:t>
      </w:r>
      <w:r w:rsidR="00524C35">
        <w:t>ations, assumptions and engineering judgement</w:t>
      </w:r>
      <w:r w:rsidR="00AF10C5">
        <w:t xml:space="preserve">. </w:t>
      </w:r>
      <w:r w:rsidR="007E40D1">
        <w:t>During th</w:t>
      </w:r>
      <w:r w:rsidR="00640992">
        <w:t>is p</w:t>
      </w:r>
      <w:r w:rsidR="007E40D1">
        <w:t>hase</w:t>
      </w:r>
      <w:r w:rsidR="00640992">
        <w:t>,</w:t>
      </w:r>
      <w:r w:rsidR="007E40D1">
        <w:t xml:space="preserve"> </w:t>
      </w:r>
      <w:r w:rsidR="00E72B45">
        <w:t xml:space="preserve">it is often not possible </w:t>
      </w:r>
      <w:r w:rsidR="00C244D4">
        <w:t xml:space="preserve">to meet </w:t>
      </w:r>
      <w:r w:rsidR="00EF0FD5">
        <w:t xml:space="preserve">the expectation of </w:t>
      </w:r>
      <w:r w:rsidR="00E72B45">
        <w:t xml:space="preserve">this </w:t>
      </w:r>
      <w:r w:rsidR="00CB377C">
        <w:t>SAP</w:t>
      </w:r>
      <w:r w:rsidR="00C244D4">
        <w:t xml:space="preserve">. </w:t>
      </w:r>
      <w:r w:rsidR="0059240D">
        <w:t>An inspector is most likely to encounter t</w:t>
      </w:r>
      <w:r w:rsidR="00567082">
        <w:t xml:space="preserve">his during </w:t>
      </w:r>
      <w:r w:rsidR="004C1096">
        <w:t>GDA</w:t>
      </w:r>
      <w:r w:rsidR="00567082">
        <w:t xml:space="preserve"> (or other early engagement). </w:t>
      </w:r>
      <w:r w:rsidR="00C244D4">
        <w:t>Wh</w:t>
      </w:r>
      <w:r w:rsidR="00CD2962">
        <w:t>ilst it may be possible</w:t>
      </w:r>
      <w:r w:rsidR="00567082">
        <w:t xml:space="preserve"> for the dutyholder</w:t>
      </w:r>
      <w:r w:rsidR="00CD2962">
        <w:t xml:space="preserve"> to set out arrangement</w:t>
      </w:r>
      <w:r w:rsidR="00C244D4">
        <w:t>s</w:t>
      </w:r>
      <w:r w:rsidR="008B1AE7">
        <w:t xml:space="preserve"> to validate assumptions</w:t>
      </w:r>
      <w:r w:rsidR="006D53B3">
        <w:t xml:space="preserve"> </w:t>
      </w:r>
      <w:r w:rsidR="008A596B">
        <w:t>/</w:t>
      </w:r>
      <w:r w:rsidR="006D53B3">
        <w:t xml:space="preserve"> </w:t>
      </w:r>
      <w:r w:rsidR="008A596B">
        <w:t>analysis</w:t>
      </w:r>
      <w:r w:rsidR="008B1AE7">
        <w:t xml:space="preserve"> </w:t>
      </w:r>
      <w:r w:rsidR="008A596B">
        <w:t>at a later stage</w:t>
      </w:r>
      <w:r w:rsidR="008B1AE7">
        <w:t xml:space="preserve">, </w:t>
      </w:r>
      <w:r w:rsidR="00765478">
        <w:t>the</w:t>
      </w:r>
      <w:r w:rsidR="008A596B">
        <w:t xml:space="preserve"> inspector should target other areas</w:t>
      </w:r>
      <w:r w:rsidR="00565153">
        <w:t xml:space="preserve"> </w:t>
      </w:r>
      <w:r w:rsidR="007748C1">
        <w:t>for</w:t>
      </w:r>
      <w:r w:rsidR="00565153">
        <w:t xml:space="preserve"> assessment</w:t>
      </w:r>
      <w:r w:rsidR="007748C1">
        <w:t xml:space="preserve"> during the design phase</w:t>
      </w:r>
      <w:r w:rsidR="00565153">
        <w:t>.</w:t>
      </w:r>
    </w:p>
    <w:p w14:paraId="2C9B9087" w14:textId="3B702C8B" w:rsidR="00F41A9F" w:rsidRPr="00066341" w:rsidRDefault="00F41A9F">
      <w:pPr>
        <w:pStyle w:val="F9-Paragraph"/>
      </w:pPr>
      <w:r w:rsidRPr="00066341">
        <w:t xml:space="preserve">During commissioning, and through the life of the facility, operational data </w:t>
      </w:r>
      <w:r w:rsidRPr="00A3451F">
        <w:t>should</w:t>
      </w:r>
      <w:r w:rsidRPr="00066341">
        <w:t xml:space="preserve"> be used to confirm that the analysis inputs</w:t>
      </w:r>
      <w:r w:rsidR="00227DE9">
        <w:t>, assumptions</w:t>
      </w:r>
      <w:r w:rsidRPr="00066341">
        <w:t xml:space="preserve"> and models remain valid. Common examples of this are core physics </w:t>
      </w:r>
      <w:r w:rsidR="00F13682">
        <w:t xml:space="preserve">tests </w:t>
      </w:r>
      <w:r w:rsidRPr="00066341">
        <w:t>and rod drop times.</w:t>
      </w:r>
      <w:r w:rsidR="00E222C4" w:rsidRPr="00066341">
        <w:t xml:space="preserve"> However, there may be other commissioning tests that the safety case is heavily reliant upon</w:t>
      </w:r>
      <w:r w:rsidR="00C9437A" w:rsidRPr="00066341">
        <w:t xml:space="preserve"> for underpinning </w:t>
      </w:r>
      <w:r w:rsidR="009B39C9" w:rsidRPr="00066341">
        <w:t xml:space="preserve">the analysis, such as </w:t>
      </w:r>
      <w:r w:rsidR="007D2A04">
        <w:t xml:space="preserve">the </w:t>
      </w:r>
      <w:r w:rsidR="009B39C9" w:rsidRPr="00066341">
        <w:t xml:space="preserve">performance of natural circulation systems. The inspector should be mindful of </w:t>
      </w:r>
      <w:r w:rsidR="008751B9" w:rsidRPr="00066341">
        <w:t xml:space="preserve">the importance of </w:t>
      </w:r>
      <w:r w:rsidR="009B39C9" w:rsidRPr="00066341">
        <w:t>first of a kind testing</w:t>
      </w:r>
      <w:r w:rsidR="00410149">
        <w:t xml:space="preserve">, </w:t>
      </w:r>
      <w:r w:rsidR="004C5C82">
        <w:t>its application</w:t>
      </w:r>
      <w:r w:rsidR="00410149">
        <w:t xml:space="preserve"> and how this </w:t>
      </w:r>
      <w:r w:rsidR="00DA6F34">
        <w:t xml:space="preserve">is </w:t>
      </w:r>
      <w:r w:rsidR="003630FF">
        <w:t>taken credit for in the safety case</w:t>
      </w:r>
      <w:r w:rsidR="00A43F45" w:rsidRPr="00066341">
        <w:t>.</w:t>
      </w:r>
      <w:r w:rsidR="009B39C9" w:rsidRPr="00066341">
        <w:t xml:space="preserve"> </w:t>
      </w:r>
      <w:r w:rsidR="00E222C4" w:rsidRPr="00066341">
        <w:t xml:space="preserve"> </w:t>
      </w:r>
    </w:p>
    <w:p w14:paraId="2F072887" w14:textId="439FE050" w:rsidR="004716B4" w:rsidRPr="00945F97" w:rsidRDefault="003042A7" w:rsidP="00455845">
      <w:pPr>
        <w:pStyle w:val="F9-Paragraph"/>
      </w:pPr>
      <w:r>
        <w:t>Once</w:t>
      </w:r>
      <w:r w:rsidR="004716B4">
        <w:t xml:space="preserve"> operational,</w:t>
      </w:r>
      <w:r>
        <w:t xml:space="preserve"> arrangements </w:t>
      </w:r>
      <w:r w:rsidRPr="00A3451F">
        <w:t>should</w:t>
      </w:r>
      <w:r>
        <w:t xml:space="preserve"> be in place for the </w:t>
      </w:r>
      <w:r w:rsidR="00226E4E">
        <w:t>recording of</w:t>
      </w:r>
      <w:r w:rsidR="00D33FD3">
        <w:t xml:space="preserve"> data and updating safety case assumption</w:t>
      </w:r>
      <w:r w:rsidR="00954CD1">
        <w:t>s</w:t>
      </w:r>
      <w:r w:rsidR="00D33FD3">
        <w:t>. This includes, but is not limited to</w:t>
      </w:r>
      <w:r w:rsidR="00724F9F">
        <w:t>,</w:t>
      </w:r>
      <w:r w:rsidR="00226E4E">
        <w:t xml:space="preserve"> performance </w:t>
      </w:r>
      <w:r w:rsidR="000A6FBE">
        <w:t>a</w:t>
      </w:r>
      <w:r w:rsidR="00226E4E" w:rsidRPr="00226E4E">
        <w:t>nd failure data such as statistical data on initiating fault frequencies, component failure rates and plant unavailability during periods of maintenance or test, and data on external hazards</w:t>
      </w:r>
      <w:r w:rsidR="000A6FBE">
        <w:t>.</w:t>
      </w:r>
    </w:p>
    <w:p w14:paraId="34481AE2" w14:textId="29459043" w:rsidR="00AF2C3D" w:rsidRPr="00AF2C3D" w:rsidRDefault="00AF2C3D" w:rsidP="00AF2C3D">
      <w:pPr>
        <w:pStyle w:val="Heading2"/>
      </w:pPr>
      <w:r>
        <w:t xml:space="preserve">AV.8 – </w:t>
      </w:r>
      <w:r w:rsidR="008B78F8">
        <w:t xml:space="preserve">Update and </w:t>
      </w:r>
      <w:r w:rsidR="006D53B3">
        <w:t>r</w:t>
      </w:r>
      <w:r w:rsidR="008B78F8">
        <w:t>eview</w:t>
      </w:r>
    </w:p>
    <w:p w14:paraId="7E012E38" w14:textId="5E5325E5" w:rsidR="007159C9" w:rsidRPr="001657B8" w:rsidRDefault="007159C9" w:rsidP="007159C9">
      <w:pPr>
        <w:pStyle w:val="QuoteText"/>
        <w:rPr>
          <w:i/>
          <w:iCs/>
        </w:rPr>
      </w:pPr>
      <w:r w:rsidRPr="007159C9">
        <w:rPr>
          <w:i/>
          <w:iCs/>
        </w:rPr>
        <w:t>The safety analysis should be updated where necessary, and reviewed periodically.</w:t>
      </w:r>
    </w:p>
    <w:p w14:paraId="7F74B91F" w14:textId="77777777" w:rsidR="000017FB" w:rsidRPr="002773A1" w:rsidRDefault="000017FB" w:rsidP="000017FB">
      <w:pPr>
        <w:pStyle w:val="F9-Paragraph"/>
      </w:pPr>
      <w:r w:rsidRPr="002773A1">
        <w:t xml:space="preserve">The updates and reviews should take into account: </w:t>
      </w:r>
    </w:p>
    <w:p w14:paraId="3BEECF13" w14:textId="77777777" w:rsidR="000017FB" w:rsidRPr="002773A1" w:rsidRDefault="000017FB" w:rsidP="000017FB">
      <w:pPr>
        <w:pStyle w:val="Bulletlist1"/>
      </w:pPr>
      <w:r w:rsidRPr="002773A1">
        <w:t xml:space="preserve">changes to the facility or its operation since the design or construction stage and throughout its operating life; </w:t>
      </w:r>
    </w:p>
    <w:p w14:paraId="538AECA2" w14:textId="77777777" w:rsidR="000017FB" w:rsidRPr="002773A1" w:rsidRDefault="000017FB" w:rsidP="000017FB">
      <w:pPr>
        <w:pStyle w:val="Bulletlist1"/>
      </w:pPr>
      <w:r w:rsidRPr="002773A1">
        <w:t xml:space="preserve">any new relevant technical and scientific knowledge, and operational experience, concerning plant behaviour and fault potential, including incidents occurring at other facilities; </w:t>
      </w:r>
    </w:p>
    <w:p w14:paraId="13A4EFCD" w14:textId="77777777" w:rsidR="000017FB" w:rsidRPr="002773A1" w:rsidRDefault="000017FB" w:rsidP="000017FB">
      <w:pPr>
        <w:pStyle w:val="Bulletlist1"/>
      </w:pPr>
      <w:r w:rsidRPr="002773A1">
        <w:t xml:space="preserve">any material property changes and deterioration due to ageing not previously taken into account; and </w:t>
      </w:r>
    </w:p>
    <w:p w14:paraId="399042FF" w14:textId="77777777" w:rsidR="000017FB" w:rsidRPr="002773A1" w:rsidRDefault="000017FB" w:rsidP="000017FB">
      <w:pPr>
        <w:pStyle w:val="Bulletlist1"/>
      </w:pPr>
      <w:r w:rsidRPr="002773A1">
        <w:t>advances in analysis or modelling techniques.</w:t>
      </w:r>
    </w:p>
    <w:p w14:paraId="78834539" w14:textId="3BA382F5" w:rsidR="004614AB" w:rsidRDefault="00D11A39" w:rsidP="00D11A39">
      <w:pPr>
        <w:pStyle w:val="F9-Paragraph"/>
      </w:pPr>
      <w:r w:rsidRPr="002773A1">
        <w:lastRenderedPageBreak/>
        <w:t>Through the lifecycle of the facility</w:t>
      </w:r>
      <w:r w:rsidR="0065798E" w:rsidRPr="002773A1">
        <w:t xml:space="preserve">, changes </w:t>
      </w:r>
      <w:r w:rsidR="00C7218F" w:rsidRPr="002773A1">
        <w:t>to</w:t>
      </w:r>
      <w:r w:rsidR="0065798E" w:rsidRPr="002773A1">
        <w:t xml:space="preserve"> knowledge, techniques</w:t>
      </w:r>
      <w:r w:rsidR="00F875D4" w:rsidRPr="002773A1">
        <w:t>, plant health, plant configuration</w:t>
      </w:r>
      <w:r w:rsidR="00C7218F" w:rsidRPr="002773A1">
        <w:t xml:space="preserve"> and</w:t>
      </w:r>
      <w:r w:rsidR="001B76E3" w:rsidRPr="002773A1">
        <w:t xml:space="preserve"> operability</w:t>
      </w:r>
      <w:r w:rsidR="00C7218F" w:rsidRPr="002773A1">
        <w:t xml:space="preserve"> may necessitate </w:t>
      </w:r>
      <w:r w:rsidR="001262EC" w:rsidRPr="002773A1">
        <w:t xml:space="preserve">an update to the safety analysis. In addition, </w:t>
      </w:r>
      <w:r w:rsidR="000F7259" w:rsidRPr="002773A1">
        <w:t xml:space="preserve">incidents may occur which </w:t>
      </w:r>
      <w:r w:rsidR="00AB1651" w:rsidRPr="002773A1">
        <w:t xml:space="preserve">require the safety analysis to be revisited. </w:t>
      </w:r>
      <w:r w:rsidR="00775931" w:rsidRPr="002773A1">
        <w:t>Dutyholders should have arrangements that enable the safety analysis to be revisited. For the most part, this will form normal business under periodic safety review</w:t>
      </w:r>
      <w:r w:rsidR="00F74C48">
        <w:t>, if applicable</w:t>
      </w:r>
      <w:r w:rsidR="00EF59DF">
        <w:t>. However, there may</w:t>
      </w:r>
      <w:r w:rsidR="00B2254F">
        <w:t xml:space="preserve"> </w:t>
      </w:r>
      <w:r w:rsidR="00EF59DF">
        <w:t>be occurrences which warrant a revisiting of the safety analysis</w:t>
      </w:r>
      <w:r w:rsidR="007D316C">
        <w:t xml:space="preserve"> outside of this process</w:t>
      </w:r>
      <w:r w:rsidR="00EF59DF">
        <w:t>.</w:t>
      </w:r>
    </w:p>
    <w:p w14:paraId="4BC14BE4" w14:textId="736794ED" w:rsidR="00EB14E4" w:rsidRDefault="00650DEE" w:rsidP="00D11A39">
      <w:pPr>
        <w:pStyle w:val="F9-Paragraph"/>
      </w:pPr>
      <w:r>
        <w:t xml:space="preserve">Over the </w:t>
      </w:r>
      <w:r w:rsidR="000017FB">
        <w:t xml:space="preserve">operational </w:t>
      </w:r>
      <w:r>
        <w:t>lifetime of a facility,</w:t>
      </w:r>
      <w:r w:rsidR="00BA76C8">
        <w:t xml:space="preserve"> equipment and plant configuration </w:t>
      </w:r>
      <w:r w:rsidR="00434BC4">
        <w:t xml:space="preserve">may </w:t>
      </w:r>
      <w:r w:rsidR="00BA76C8">
        <w:t xml:space="preserve">change. </w:t>
      </w:r>
      <w:r w:rsidR="008E4116">
        <w:t>Arrangements for design modification may capture the necessity to update the analysis. However, more subtle changes that occur over time</w:t>
      </w:r>
      <w:r w:rsidR="005F5AB4">
        <w:t xml:space="preserve"> may be missed. </w:t>
      </w:r>
      <w:r w:rsidR="00F17F37">
        <w:t xml:space="preserve">When assessing a safety case, the inspector should </w:t>
      </w:r>
      <w:r w:rsidR="00F67CFF">
        <w:t xml:space="preserve">expect to </w:t>
      </w:r>
      <w:r w:rsidR="00C67474">
        <w:t>see justification for any differences in assumptions made in the analysis</w:t>
      </w:r>
      <w:r w:rsidR="002B16CB">
        <w:t xml:space="preserve">. Depending on the </w:t>
      </w:r>
      <w:r w:rsidR="00D67C4C">
        <w:t xml:space="preserve">significance of the differences (either individually or cumulatively) it may be necessary for the dutyholder to revise assumptions made </w:t>
      </w:r>
      <w:r w:rsidR="00AF092A">
        <w:t xml:space="preserve">in historical safety analysis. </w:t>
      </w:r>
      <w:r w:rsidR="00041234">
        <w:t>For temporary changes to plant configuration</w:t>
      </w:r>
      <w:r w:rsidR="006C7BAD">
        <w:t xml:space="preserve"> or degradations</w:t>
      </w:r>
      <w:r w:rsidR="00041234">
        <w:t xml:space="preserve">, the </w:t>
      </w:r>
      <w:r w:rsidR="00757DFB">
        <w:t>dutyholder may present an interim safety case</w:t>
      </w:r>
      <w:r w:rsidR="006C7BAD">
        <w:t xml:space="preserve"> to justify continued operation</w:t>
      </w:r>
      <w:r w:rsidR="00C81DDA">
        <w:t>. The inspector should consider the significance of the impact to safety and carefully consider the</w:t>
      </w:r>
      <w:r w:rsidR="009F3E4A">
        <w:t xml:space="preserve"> areas to target in their assessment. </w:t>
      </w:r>
      <w:r w:rsidR="00D220E0">
        <w:t xml:space="preserve">The inspector should be mindful of the sometimes long history associated with </w:t>
      </w:r>
      <w:r w:rsidR="00F12949">
        <w:t>calculation methods</w:t>
      </w:r>
      <w:r w:rsidR="00857F67">
        <w:t xml:space="preserve"> and operation of the plant, and seek advice where necessary.</w:t>
      </w:r>
      <w:r w:rsidR="002B16CB">
        <w:t xml:space="preserve"> </w:t>
      </w:r>
    </w:p>
    <w:p w14:paraId="56FBE192" w14:textId="0A98DE3A" w:rsidR="008B78F8" w:rsidRDefault="002249F0" w:rsidP="007A75E6">
      <w:pPr>
        <w:pStyle w:val="F9-Paragraph"/>
      </w:pPr>
      <w:r>
        <w:t>Whilst ONR expects ag</w:t>
      </w:r>
      <w:r w:rsidR="00F64C5C">
        <w:t>e</w:t>
      </w:r>
      <w:r>
        <w:t xml:space="preserve">ing and degradation to be accounted for in </w:t>
      </w:r>
      <w:r w:rsidR="00C1731A">
        <w:t>its</w:t>
      </w:r>
      <w:r w:rsidR="00935202">
        <w:t xml:space="preserve"> analysis, in some instances, a</w:t>
      </w:r>
      <w:r w:rsidR="00AD63D9">
        <w:t xml:space="preserve"> dutyholder </w:t>
      </w:r>
      <w:r w:rsidR="00904CA2">
        <w:t>may</w:t>
      </w:r>
      <w:r w:rsidR="00AD63D9">
        <w:t xml:space="preserve"> find unexpected degradation</w:t>
      </w:r>
      <w:r w:rsidR="00AF39BA">
        <w:t xml:space="preserve"> that requires continuous monitoring and updating of models. </w:t>
      </w:r>
      <w:r w:rsidR="00904CA2">
        <w:t>This may</w:t>
      </w:r>
      <w:r w:rsidR="008A61DA">
        <w:t>, for example,</w:t>
      </w:r>
      <w:r w:rsidR="00904CA2">
        <w:t xml:space="preserve"> </w:t>
      </w:r>
      <w:r w:rsidR="000E2225">
        <w:t xml:space="preserve">introduce new failure modes, reduce the reliability of safety measures, reduce the effectiveness </w:t>
      </w:r>
      <w:r w:rsidR="00EC1BBB">
        <w:t xml:space="preserve">or performance </w:t>
      </w:r>
      <w:r w:rsidR="000E2225">
        <w:t>of safety measures,</w:t>
      </w:r>
      <w:r w:rsidR="008A61DA">
        <w:t xml:space="preserve"> increase the likelihood of initiating events</w:t>
      </w:r>
      <w:r w:rsidR="00FE15FB">
        <w:t xml:space="preserve"> etc</w:t>
      </w:r>
      <w:r w:rsidR="008A61DA">
        <w:t>.</w:t>
      </w:r>
      <w:r w:rsidR="00754583">
        <w:t xml:space="preserve"> A dutyholder is likely to </w:t>
      </w:r>
      <w:r w:rsidR="00A518B4">
        <w:t>attempt</w:t>
      </w:r>
      <w:r w:rsidR="00754583">
        <w:t xml:space="preserve"> to justify continued operation on </w:t>
      </w:r>
      <w:r w:rsidR="009417E5">
        <w:t>the basis that risks have been reduced As Low As Reasonably Practicable</w:t>
      </w:r>
      <w:r w:rsidR="00AF26EB">
        <w:t xml:space="preserve"> (ALARP)</w:t>
      </w:r>
      <w:r w:rsidR="00754583">
        <w:t>.</w:t>
      </w:r>
      <w:r w:rsidR="000E2225">
        <w:t xml:space="preserve"> </w:t>
      </w:r>
      <w:r w:rsidR="00AF39BA">
        <w:t xml:space="preserve">In such cases, inspectors should </w:t>
      </w:r>
      <w:r w:rsidR="006F087F">
        <w:t>consider</w:t>
      </w:r>
      <w:r w:rsidR="00455FBB">
        <w:t xml:space="preserve"> longer</w:t>
      </w:r>
      <w:r w:rsidR="009417E5">
        <w:t>-</w:t>
      </w:r>
      <w:r w:rsidR="00455FBB">
        <w:t>term predictions of behaviou</w:t>
      </w:r>
      <w:r w:rsidR="00182B1F">
        <w:t>r</w:t>
      </w:r>
      <w:r w:rsidR="00455FBB">
        <w:t xml:space="preserve">. </w:t>
      </w:r>
      <w:r w:rsidR="00440D7E">
        <w:t xml:space="preserve">Where a dutyholder is </w:t>
      </w:r>
      <w:r w:rsidR="00E6567E">
        <w:t>revisiting input assumptions</w:t>
      </w:r>
      <w:r w:rsidR="00034E5A">
        <w:t xml:space="preserve"> and</w:t>
      </w:r>
      <w:r w:rsidR="00E6567E">
        <w:t xml:space="preserve"> reducing conservatism</w:t>
      </w:r>
      <w:r w:rsidR="00034E5A">
        <w:t xml:space="preserve"> repeatedly, this may be an indicator that </w:t>
      </w:r>
      <w:r w:rsidR="00CE32C7">
        <w:t>its</w:t>
      </w:r>
      <w:r w:rsidR="00034E5A">
        <w:t xml:space="preserve"> understanding of the </w:t>
      </w:r>
      <w:r w:rsidR="00966ACC">
        <w:t>progression of degradation mechanism is not comprehensive</w:t>
      </w:r>
      <w:r w:rsidR="00BE1558">
        <w:t>; the inspector may, in such circumstances, wish to perfo</w:t>
      </w:r>
      <w:r w:rsidR="00980686">
        <w:t>r</w:t>
      </w:r>
      <w:r w:rsidR="00BE1558">
        <w:t xml:space="preserve">m a deeper dive into the </w:t>
      </w:r>
      <w:r w:rsidR="00C4171C">
        <w:t>models employed</w:t>
      </w:r>
      <w:r w:rsidR="004045E5">
        <w:t>, supporting assumptions</w:t>
      </w:r>
      <w:r w:rsidR="00980686">
        <w:t xml:space="preserve"> and any </w:t>
      </w:r>
      <w:r w:rsidR="003E1960">
        <w:t xml:space="preserve">experimental test </w:t>
      </w:r>
      <w:r w:rsidR="00886ACE">
        <w:t>facilities</w:t>
      </w:r>
      <w:r w:rsidR="003E1960">
        <w:t xml:space="preserve"> which support the safety case</w:t>
      </w:r>
      <w:r w:rsidR="00C4171C">
        <w:t xml:space="preserve">. It may be necessary to engage with specialist </w:t>
      </w:r>
      <w:r w:rsidR="00021FD3">
        <w:t>T</w:t>
      </w:r>
      <w:r w:rsidR="00C4171C">
        <w:t xml:space="preserve">echnical </w:t>
      </w:r>
      <w:r w:rsidR="00021FD3">
        <w:t>S</w:t>
      </w:r>
      <w:r w:rsidR="00C4171C">
        <w:t xml:space="preserve">upport </w:t>
      </w:r>
      <w:r w:rsidR="00021FD3">
        <w:t>C</w:t>
      </w:r>
      <w:r w:rsidR="00980686">
        <w:t>ontractors</w:t>
      </w:r>
      <w:r w:rsidR="00021FD3">
        <w:t xml:space="preserve"> (TSC)</w:t>
      </w:r>
      <w:r w:rsidR="00980686">
        <w:t>.</w:t>
      </w:r>
    </w:p>
    <w:p w14:paraId="059BE755" w14:textId="1C031212" w:rsidR="00A3451F" w:rsidRDefault="00A3451F" w:rsidP="007A75E6">
      <w:pPr>
        <w:pStyle w:val="F9-Paragraph"/>
      </w:pPr>
      <w:r>
        <w:t>Where computer codes</w:t>
      </w:r>
      <w:r w:rsidR="00F12949">
        <w:t>, or the hardware that the computer codes run on,</w:t>
      </w:r>
      <w:r>
        <w:t xml:space="preserve"> become obsolete or no longer supported by the developer</w:t>
      </w:r>
      <w:r w:rsidR="00D95E20">
        <w:t xml:space="preserve"> or operating systems</w:t>
      </w:r>
      <w:r>
        <w:t>, the dutyholder should either justify continued use or move to a new methodology and update the safety analysis accordingly.</w:t>
      </w:r>
    </w:p>
    <w:p w14:paraId="3F832388" w14:textId="77777777" w:rsidR="006D53B3" w:rsidRDefault="006D53B3" w:rsidP="00F924B5">
      <w:pPr>
        <w:pStyle w:val="Heading2"/>
        <w:sectPr w:rsidR="006D53B3" w:rsidSect="000B2BCD">
          <w:pgSz w:w="11906" w:h="16838" w:code="9"/>
          <w:pgMar w:top="1440" w:right="1440" w:bottom="1440" w:left="1440" w:header="397" w:footer="397" w:gutter="0"/>
          <w:cols w:space="312"/>
          <w:docGrid w:linePitch="360"/>
        </w:sectPr>
      </w:pPr>
      <w:bookmarkStart w:id="11" w:name="_Ref204073192"/>
    </w:p>
    <w:p w14:paraId="2446C6B2" w14:textId="693FC50D" w:rsidR="00B86AD7" w:rsidRDefault="00355927" w:rsidP="00F924B5">
      <w:pPr>
        <w:pStyle w:val="Heading2"/>
      </w:pPr>
      <w:r>
        <w:lastRenderedPageBreak/>
        <w:t xml:space="preserve">Sources of uncertainty in </w:t>
      </w:r>
      <w:r w:rsidR="00013372">
        <w:t>data and models</w:t>
      </w:r>
    </w:p>
    <w:p w14:paraId="2B360C28" w14:textId="3D1872D8" w:rsidR="00970D41" w:rsidRDefault="00970D41" w:rsidP="00BB5C49">
      <w:pPr>
        <w:pStyle w:val="F9-Paragraph"/>
      </w:pPr>
      <w:r>
        <w:t xml:space="preserve">When assessing the validity of data and models, inspectors should recognise that uncertainty arises from multiple sources throughout the development, validation and application of safety analysis methods, and is not limited to uncertainty in numerical input parameters. </w:t>
      </w:r>
      <w:r w:rsidR="007C6D5C">
        <w:t>S</w:t>
      </w:r>
      <w:r>
        <w:t>ources of uncertainty may include the identification and representation of relevant phenomena, the form and applicability of models and correlations, numerical and discretisation choices, limitations in experimental or plant data, and the extent to which available validation evidence is representative of the specific facility, operating state or fault sequence under consideration. Uncertainty may also arise from assumptions regarding plant configuration and system availability, from the coupling of models or codes, and from human or organisational factors associated with model development and use. Inspectors should therefore take a holistic view of uncertainty, rather than focusing solely on whether uncertainties have been formally quantified.</w:t>
      </w:r>
    </w:p>
    <w:p w14:paraId="537D144D" w14:textId="77777777" w:rsidR="00970D41" w:rsidRDefault="00970D41" w:rsidP="00BB5C49">
      <w:pPr>
        <w:pStyle w:val="F9-Paragraph"/>
      </w:pPr>
      <w:r>
        <w:t>Inspectors should consider whether the dutyholder has demonstrated an appropriate understanding of the key sources of uncertainty that could materially affect the safety claim being made, and whether these have been acknowledged and addressed in a transparent manner. This includes consideration of the limits of applicability of models and data, the relevance and coverage of validation evidence, and any important assumptions or simplifications on which the analysis relies. Confidence may be gained where the dutyholder has clearly articulated the limitations of the analysis and shown how these have been taken into account when drawing safety conclusions.</w:t>
      </w:r>
    </w:p>
    <w:p w14:paraId="524C443B" w14:textId="24B9DA07" w:rsidR="00355927" w:rsidRPr="00355927" w:rsidRDefault="00370E49" w:rsidP="00370E49">
      <w:pPr>
        <w:pStyle w:val="F9-Paragraph"/>
      </w:pPr>
      <w:r w:rsidRPr="00370E49">
        <w:t>In applying a graded approach, inspectors should judge whether the treatment of uncertainty is commensurate with the risk. This includes consideration of the safety significance of the analysis, the degree of novelty and complexity, the level of uncertainty and the margin to acceptance criteria</w:t>
      </w:r>
      <w:r w:rsidR="00970D41">
        <w:t>. Where uncertainty is large, poorly characterised or has the potential to give rise to cliff</w:t>
      </w:r>
      <w:r w:rsidR="00970D41">
        <w:rPr>
          <w:rFonts w:ascii="Cambria Math" w:hAnsi="Cambria Math" w:cs="Cambria Math"/>
        </w:rPr>
        <w:t>‑</w:t>
      </w:r>
      <w:r w:rsidR="00970D41">
        <w:t>edge behaviour, inspectors should expect this to be reflected in the level of scrutiny applied and in the weight placed on the analysis within the safety case. Conversely, for well</w:t>
      </w:r>
      <w:r w:rsidR="00970D41">
        <w:rPr>
          <w:rFonts w:ascii="Cambria Math" w:hAnsi="Cambria Math" w:cs="Cambria Math"/>
        </w:rPr>
        <w:t>‑</w:t>
      </w:r>
      <w:r w:rsidR="00970D41">
        <w:t>established methods applied within a well</w:t>
      </w:r>
      <w:r w:rsidR="00970D41">
        <w:rPr>
          <w:rFonts w:ascii="Cambria Math" w:hAnsi="Cambria Math" w:cs="Cambria Math"/>
        </w:rPr>
        <w:t>‑</w:t>
      </w:r>
      <w:r w:rsidR="00970D41">
        <w:t>understood regime, a proportionate and primarily qualitative treatment of uncertainty may be sufficient, provided that residual uncertainties are recognised and appropriately accounted for in the overall safety argument.</w:t>
      </w:r>
    </w:p>
    <w:p w14:paraId="6CCEC1C9" w14:textId="77777777" w:rsidR="006D53B3" w:rsidRDefault="006D53B3" w:rsidP="00F924B5">
      <w:pPr>
        <w:pStyle w:val="Heading2"/>
        <w:sectPr w:rsidR="006D53B3" w:rsidSect="000B2BCD">
          <w:pgSz w:w="11906" w:h="16838" w:code="9"/>
          <w:pgMar w:top="1440" w:right="1440" w:bottom="1440" w:left="1440" w:header="397" w:footer="397" w:gutter="0"/>
          <w:cols w:space="312"/>
          <w:docGrid w:linePitch="360"/>
        </w:sectPr>
      </w:pPr>
    </w:p>
    <w:p w14:paraId="03D2556D" w14:textId="3142265A" w:rsidR="00F924B5" w:rsidRPr="00F924B5" w:rsidRDefault="00B9646A" w:rsidP="00F924B5">
      <w:pPr>
        <w:pStyle w:val="Heading2"/>
      </w:pPr>
      <w:r>
        <w:lastRenderedPageBreak/>
        <w:t>G</w:t>
      </w:r>
      <w:r w:rsidRPr="00054795">
        <w:t xml:space="preserve">raded </w:t>
      </w:r>
      <w:r w:rsidR="006D53B3">
        <w:t>a</w:t>
      </w:r>
      <w:r w:rsidRPr="00054795">
        <w:t>pproach</w:t>
      </w:r>
      <w:bookmarkEnd w:id="11"/>
    </w:p>
    <w:p w14:paraId="75AA5E4C" w14:textId="77777777" w:rsidR="009F2BFC" w:rsidRDefault="009F2BFC" w:rsidP="009F2BFC">
      <w:pPr>
        <w:pStyle w:val="Heading3"/>
      </w:pPr>
      <w:r>
        <w:t>Graded approach to conservatism</w:t>
      </w:r>
    </w:p>
    <w:p w14:paraId="5AC3CB59" w14:textId="6313BDE4" w:rsidR="00117739" w:rsidRDefault="00117739" w:rsidP="00117739">
      <w:pPr>
        <w:pStyle w:val="F9-Paragraph"/>
      </w:pPr>
      <w:r>
        <w:t xml:space="preserve">Dutyholders use a wide range of approaches for simulation of nuclear facilities. These approaches range from conservative models, with conservative system availability and conservative input parameters, through to a completely best-estimate approach. </w:t>
      </w:r>
      <w:r w:rsidRPr="00A94FD6">
        <w:t>IAEA’s SSG-2</w:t>
      </w:r>
      <w:r w:rsidR="009F1540" w:rsidRPr="00A94FD6">
        <w:t xml:space="preserve"> </w:t>
      </w:r>
      <w:r w:rsidR="00E92170" w:rsidRPr="00A94FD6">
        <w:t xml:space="preserve">(ref. </w:t>
      </w:r>
      <w:sdt>
        <w:sdtPr>
          <w:id w:val="1700817887"/>
          <w:citation/>
        </w:sdtPr>
        <w:sdtContent>
          <w:r w:rsidR="009F1540" w:rsidRPr="00A94FD6">
            <w:fldChar w:fldCharType="begin"/>
          </w:r>
          <w:r w:rsidR="009F1540" w:rsidRPr="00A94FD6">
            <w:instrText xml:space="preserve"> CITATION SSG2 \l 2057 </w:instrText>
          </w:r>
          <w:r w:rsidR="009F1540" w:rsidRPr="00A94FD6">
            <w:fldChar w:fldCharType="separate"/>
          </w:r>
          <w:r w:rsidR="00EF26D2">
            <w:rPr>
              <w:noProof/>
            </w:rPr>
            <w:t>[6]</w:t>
          </w:r>
          <w:r w:rsidR="009F1540" w:rsidRPr="00A94FD6">
            <w:fldChar w:fldCharType="end"/>
          </w:r>
        </w:sdtContent>
      </w:sdt>
      <w:r w:rsidR="00E92170" w:rsidRPr="00A94FD6">
        <w:t>)</w:t>
      </w:r>
      <w:r w:rsidR="009F1540" w:rsidRPr="00A94FD6">
        <w:t xml:space="preserve"> </w:t>
      </w:r>
      <w:r w:rsidRPr="00A94FD6">
        <w:t>sets out the different options available for approach to deterministic analysis and explains where each approach may be applicable</w:t>
      </w:r>
      <w:r>
        <w:t xml:space="preserve">. </w:t>
      </w:r>
      <w:r w:rsidR="00C00711">
        <w:t>In general, it is</w:t>
      </w:r>
      <w:r w:rsidR="00C97245">
        <w:t xml:space="preserve"> ONR’s expectation that conservatism </w:t>
      </w:r>
      <w:r w:rsidR="000A4E18">
        <w:t xml:space="preserve">is graded based on safety significance, gradually reducing as the </w:t>
      </w:r>
      <w:r w:rsidR="00F31B37">
        <w:t xml:space="preserve">risk </w:t>
      </w:r>
      <w:r w:rsidR="0061239A">
        <w:t xml:space="preserve">associated with the calculations </w:t>
      </w:r>
      <w:r w:rsidR="00F31B37">
        <w:t xml:space="preserve">decreases. </w:t>
      </w:r>
      <w:r w:rsidR="00F34EBD">
        <w:t xml:space="preserve">For further guidance on the </w:t>
      </w:r>
      <w:r w:rsidR="00BD2CE3">
        <w:t xml:space="preserve">types of approaches and level of conservatism that should be included in </w:t>
      </w:r>
      <w:r w:rsidR="000F17D9">
        <w:t>safety analysis</w:t>
      </w:r>
      <w:r w:rsidR="006D53B3">
        <w:t>, refer to</w:t>
      </w:r>
      <w:r w:rsidR="00BD2CE3">
        <w:t xml:space="preserve"> </w:t>
      </w:r>
      <w:r w:rsidR="00BD2CE3" w:rsidRPr="0054403D">
        <w:t>NS-TAST-GD-006 (</w:t>
      </w:r>
      <w:r w:rsidR="00E92170" w:rsidRPr="0054403D">
        <w:t>ref.</w:t>
      </w:r>
      <w:r w:rsidR="00BD2CE3" w:rsidRPr="0054403D">
        <w:t xml:space="preserve"> </w:t>
      </w:r>
      <w:sdt>
        <w:sdtPr>
          <w:id w:val="-1987615418"/>
          <w:citation/>
        </w:sdtPr>
        <w:sdtContent>
          <w:r w:rsidR="00BA34B0" w:rsidRPr="0054403D">
            <w:fldChar w:fldCharType="begin"/>
          </w:r>
          <w:r w:rsidR="00BA34B0" w:rsidRPr="0054403D">
            <w:instrText xml:space="preserve">CITATION TAG6 \l 2057 </w:instrText>
          </w:r>
          <w:r w:rsidR="00BA34B0" w:rsidRPr="0054403D">
            <w:fldChar w:fldCharType="separate"/>
          </w:r>
          <w:r w:rsidR="00EF26D2">
            <w:rPr>
              <w:noProof/>
            </w:rPr>
            <w:t>[10]</w:t>
          </w:r>
          <w:r w:rsidR="00BA34B0" w:rsidRPr="0054403D">
            <w:fldChar w:fldCharType="end"/>
          </w:r>
        </w:sdtContent>
      </w:sdt>
      <w:r w:rsidR="00BA34B0" w:rsidRPr="0054403D">
        <w:t xml:space="preserve">) and NS-TAST-GD-007 </w:t>
      </w:r>
      <w:r w:rsidR="00E4089E" w:rsidRPr="0054403D">
        <w:t>(</w:t>
      </w:r>
      <w:r w:rsidR="00E92170" w:rsidRPr="0054403D">
        <w:t>ref.</w:t>
      </w:r>
      <w:r w:rsidR="00E4089E" w:rsidRPr="0054403D">
        <w:t xml:space="preserve"> </w:t>
      </w:r>
      <w:sdt>
        <w:sdtPr>
          <w:id w:val="-480692375"/>
          <w:citation/>
        </w:sdtPr>
        <w:sdtContent>
          <w:r w:rsidR="00380B8D" w:rsidRPr="0054403D">
            <w:fldChar w:fldCharType="begin"/>
          </w:r>
          <w:r w:rsidR="00380B8D" w:rsidRPr="0054403D">
            <w:instrText xml:space="preserve"> CITATION TAG7 \l 2057 </w:instrText>
          </w:r>
          <w:r w:rsidR="00380B8D" w:rsidRPr="0054403D">
            <w:fldChar w:fldCharType="separate"/>
          </w:r>
          <w:r w:rsidR="00EF26D2">
            <w:rPr>
              <w:noProof/>
            </w:rPr>
            <w:t>[11]</w:t>
          </w:r>
          <w:r w:rsidR="00380B8D" w:rsidRPr="0054403D">
            <w:fldChar w:fldCharType="end"/>
          </w:r>
        </w:sdtContent>
      </w:sdt>
      <w:r w:rsidR="00E92170">
        <w:t>)</w:t>
      </w:r>
      <w:r w:rsidR="00380B8D">
        <w:t>.</w:t>
      </w:r>
      <w:r w:rsidR="00BA34B0">
        <w:t xml:space="preserve"> </w:t>
      </w:r>
      <w:r w:rsidR="00BD2CE3">
        <w:t xml:space="preserve"> </w:t>
      </w:r>
    </w:p>
    <w:p w14:paraId="1D271762" w14:textId="0768B1CB" w:rsidR="004C2292" w:rsidRDefault="004C2292" w:rsidP="004C2292">
      <w:pPr>
        <w:pStyle w:val="F9-Paragraph"/>
      </w:pPr>
      <w:r>
        <w:t xml:space="preserve">In general, the </w:t>
      </w:r>
      <w:r w:rsidR="001108FB">
        <w:t>safety case</w:t>
      </w:r>
      <w:r>
        <w:t xml:space="preserve"> should ideally </w:t>
      </w:r>
      <w:r w:rsidR="00C80AE4">
        <w:t>provide</w:t>
      </w:r>
      <w:r>
        <w:t xml:space="preserve"> and substantiate confidence levels and uncertainties for its calculations. However, it may not be practical to quantify the uncertainty of </w:t>
      </w:r>
      <w:r w:rsidR="27D3F77C">
        <w:t xml:space="preserve">a </w:t>
      </w:r>
      <w:r>
        <w:t xml:space="preserve">code or a figure of merit calculated. This is particularly true where conservatism has been applied in calculations and input assumptions. In these cases, the inspector will be required to judge whether there is suitable conservatism in the analysis. </w:t>
      </w:r>
      <w:r w:rsidR="006D53B3">
        <w:br/>
      </w:r>
      <w:r>
        <w:t>Th</w:t>
      </w:r>
      <w:r w:rsidR="00154C29">
        <w:t>e dutyholder’s arguments should be aided by</w:t>
      </w:r>
      <w:r>
        <w:t xml:space="preserve"> sensitivity studies and/or qualitative arguments</w:t>
      </w:r>
      <w:r w:rsidR="00154C29">
        <w:t>, as appropriate</w:t>
      </w:r>
      <w:r>
        <w:t>.</w:t>
      </w:r>
    </w:p>
    <w:p w14:paraId="1CDA0163" w14:textId="70158081" w:rsidR="009F2BFC" w:rsidRPr="009F2BFC" w:rsidRDefault="007E3C2A" w:rsidP="009F2BFC">
      <w:pPr>
        <w:pStyle w:val="Heading3"/>
      </w:pPr>
      <w:r>
        <w:t xml:space="preserve">Proportionality and </w:t>
      </w:r>
      <w:r w:rsidR="006D53B3">
        <w:t>t</w:t>
      </w:r>
      <w:r>
        <w:t>argeting</w:t>
      </w:r>
    </w:p>
    <w:p w14:paraId="6332BD36" w14:textId="03EFDAD7" w:rsidR="00742A5C" w:rsidRDefault="009A1B67" w:rsidP="009A1B67">
      <w:pPr>
        <w:pStyle w:val="F9-Paragraph"/>
      </w:pPr>
      <w:r>
        <w:t>A</w:t>
      </w:r>
      <w:r w:rsidRPr="00CB4F65">
        <w:t xml:space="preserve"> </w:t>
      </w:r>
      <w:r w:rsidR="00B9646A" w:rsidRPr="00CB4F65">
        <w:t xml:space="preserve">graded approach to </w:t>
      </w:r>
      <w:r>
        <w:t xml:space="preserve">ONR’s </w:t>
      </w:r>
      <w:r w:rsidR="00B9646A" w:rsidRPr="00CB4F65">
        <w:t xml:space="preserve">assessment of computer calculations </w:t>
      </w:r>
      <w:r>
        <w:t xml:space="preserve">should be </w:t>
      </w:r>
      <w:r w:rsidR="00B9646A" w:rsidRPr="00CB4F65">
        <w:t>applied in line with the principle</w:t>
      </w:r>
      <w:r w:rsidR="00824C25">
        <w:t>s</w:t>
      </w:r>
      <w:r w:rsidR="00B9646A" w:rsidRPr="00CB4F65">
        <w:t xml:space="preserve"> of proportionality</w:t>
      </w:r>
      <w:r>
        <w:t xml:space="preserve"> and targeting.</w:t>
      </w:r>
      <w:r w:rsidR="00FF0FC8">
        <w:t xml:space="preserve"> </w:t>
      </w:r>
      <w:r w:rsidR="006D53B3">
        <w:br/>
      </w:r>
      <w:r w:rsidR="00FF0FC8">
        <w:t>This TAG is not intended to be applied wholly</w:t>
      </w:r>
      <w:r w:rsidR="00824C25">
        <w:t xml:space="preserve"> by an inspector as a recipe for assessment.</w:t>
      </w:r>
      <w:r>
        <w:t xml:space="preserve"> </w:t>
      </w:r>
      <w:r w:rsidR="00742A5C">
        <w:t xml:space="preserve">Inspectors should be mindful of </w:t>
      </w:r>
      <w:r w:rsidR="00961A56">
        <w:t xml:space="preserve">the </w:t>
      </w:r>
      <w:r w:rsidR="00EB103D">
        <w:t xml:space="preserve">ONR policy on </w:t>
      </w:r>
      <w:r w:rsidR="00961A56" w:rsidRPr="00584119">
        <w:t xml:space="preserve">Risk Informed </w:t>
      </w:r>
      <w:r w:rsidR="00DC028C" w:rsidRPr="00584119">
        <w:t>Target</w:t>
      </w:r>
      <w:r w:rsidR="00EB103D" w:rsidRPr="00584119">
        <w:t>ed</w:t>
      </w:r>
      <w:r w:rsidR="00961A56" w:rsidRPr="00584119">
        <w:t xml:space="preserve"> Engag</w:t>
      </w:r>
      <w:r w:rsidR="005E0019" w:rsidRPr="00584119">
        <w:t>e</w:t>
      </w:r>
      <w:r w:rsidR="00961A56" w:rsidRPr="00584119">
        <w:t>ment</w:t>
      </w:r>
      <w:r w:rsidR="00EB103D" w:rsidRPr="00584119">
        <w:t>s</w:t>
      </w:r>
      <w:r w:rsidR="00DC028C" w:rsidRPr="00584119">
        <w:t xml:space="preserve"> (</w:t>
      </w:r>
      <w:r w:rsidR="00E92170" w:rsidRPr="00584119">
        <w:t>ref.</w:t>
      </w:r>
      <w:r w:rsidR="00DC028C" w:rsidRPr="00584119">
        <w:t xml:space="preserve"> </w:t>
      </w:r>
      <w:sdt>
        <w:sdtPr>
          <w:id w:val="-996954094"/>
          <w:citation/>
        </w:sdtPr>
        <w:sdtContent>
          <w:r w:rsidR="00856793" w:rsidRPr="00584119">
            <w:fldChar w:fldCharType="begin"/>
          </w:r>
          <w:r w:rsidR="00856793" w:rsidRPr="00584119">
            <w:instrText xml:space="preserve"> CITATION RITE \l 2057 </w:instrText>
          </w:r>
          <w:r w:rsidR="00856793" w:rsidRPr="00584119">
            <w:fldChar w:fldCharType="separate"/>
          </w:r>
          <w:r w:rsidR="00EF26D2">
            <w:rPr>
              <w:noProof/>
            </w:rPr>
            <w:t>[12]</w:t>
          </w:r>
          <w:r w:rsidR="00856793" w:rsidRPr="00584119">
            <w:fldChar w:fldCharType="end"/>
          </w:r>
        </w:sdtContent>
      </w:sdt>
      <w:r w:rsidR="00DC028C" w:rsidRPr="00584119">
        <w:t>)</w:t>
      </w:r>
      <w:r w:rsidR="001621D2">
        <w:t xml:space="preserve"> </w:t>
      </w:r>
      <w:r w:rsidR="007159C9">
        <w:t xml:space="preserve">when assessing the validity </w:t>
      </w:r>
      <w:r w:rsidR="002B4A07">
        <w:t xml:space="preserve">of calculation methods. </w:t>
      </w:r>
      <w:r w:rsidR="001621D2">
        <w:t xml:space="preserve">The level of novelty, understanding of </w:t>
      </w:r>
      <w:r w:rsidR="00496C9F">
        <w:t xml:space="preserve">the </w:t>
      </w:r>
      <w:r w:rsidR="00AA60A6">
        <w:t xml:space="preserve">facility and </w:t>
      </w:r>
      <w:r w:rsidR="001621D2">
        <w:t>phenomena</w:t>
      </w:r>
      <w:r w:rsidR="00A410F0">
        <w:t xml:space="preserve"> of interest</w:t>
      </w:r>
      <w:r w:rsidR="001621D2">
        <w:t xml:space="preserve">, and </w:t>
      </w:r>
      <w:r w:rsidR="005E0019">
        <w:t xml:space="preserve">margin to acceptance criteria should be taken into account. </w:t>
      </w:r>
    </w:p>
    <w:p w14:paraId="1C0B1244" w14:textId="1F529DA2" w:rsidR="00900387" w:rsidRDefault="00E9006E" w:rsidP="00E9006E">
      <w:pPr>
        <w:pStyle w:val="F9-Paragraph"/>
      </w:pPr>
      <w:r w:rsidRPr="00E9006E">
        <w:t>The inspector should be aware of how significant a calculation method and its use is to the safety claims made by the safety case</w:t>
      </w:r>
      <w:r w:rsidR="00ED7D92">
        <w:t xml:space="preserve">. </w:t>
      </w:r>
      <w:r w:rsidR="00A80756">
        <w:t xml:space="preserve">More regulatory effort is likely required to be spent on </w:t>
      </w:r>
      <w:r w:rsidR="007B19D3">
        <w:t xml:space="preserve">the assessment of </w:t>
      </w:r>
      <w:r w:rsidR="00A80756">
        <w:t xml:space="preserve">design basis </w:t>
      </w:r>
      <w:r w:rsidR="007B19D3">
        <w:t>analysis than severe accident analysis</w:t>
      </w:r>
      <w:r w:rsidR="00707920">
        <w:t xml:space="preserve"> – </w:t>
      </w:r>
      <w:r w:rsidR="00D341EF">
        <w:t>including</w:t>
      </w:r>
      <w:r w:rsidR="00707920">
        <w:t xml:space="preserve"> the assessment of validation of </w:t>
      </w:r>
      <w:r w:rsidR="00C32906">
        <w:t>calculation methods</w:t>
      </w:r>
      <w:r w:rsidR="00880FDA">
        <w:t>.</w:t>
      </w:r>
      <w:r w:rsidR="0002564A">
        <w:t xml:space="preserve"> This may also be true for the degree in which a dut</w:t>
      </w:r>
      <w:r w:rsidR="00D85493">
        <w:t>yholder validates its codes</w:t>
      </w:r>
      <w:r w:rsidR="00557FAB">
        <w:t xml:space="preserve"> – for example, for </w:t>
      </w:r>
      <w:r w:rsidR="0013110F">
        <w:t>simple or low safety significant calculation methods, a dutyholder will likely</w:t>
      </w:r>
      <w:r w:rsidR="00EA772D">
        <w:t xml:space="preserve"> exert less effort in validating these methods</w:t>
      </w:r>
      <w:r w:rsidR="00D85493">
        <w:t xml:space="preserve">. </w:t>
      </w:r>
    </w:p>
    <w:p w14:paraId="7943A63F" w14:textId="60853B61" w:rsidR="00880FDA" w:rsidRDefault="00880FDA" w:rsidP="00880FDA">
      <w:pPr>
        <w:pStyle w:val="F9-Paragraph"/>
      </w:pPr>
      <w:r>
        <w:t xml:space="preserve">The inspector should also be aware of the historical application and context surrounding the </w:t>
      </w:r>
      <w:r w:rsidR="00C32906">
        <w:t>calculation methods</w:t>
      </w:r>
      <w:r>
        <w:t xml:space="preserve">. </w:t>
      </w:r>
      <w:r w:rsidR="005658BD">
        <w:t xml:space="preserve">Cognisance should be taken of </w:t>
      </w:r>
      <w:r w:rsidR="00070F63">
        <w:t>previous application and assessment</w:t>
      </w:r>
      <w:r>
        <w:t>.</w:t>
      </w:r>
      <w:r w:rsidR="00C530DB">
        <w:t xml:space="preserve"> </w:t>
      </w:r>
      <w:r w:rsidR="004220B2">
        <w:t>In such occurrences, it may be appropriate to target any novel applications</w:t>
      </w:r>
      <w:r w:rsidR="00DA14CC">
        <w:t xml:space="preserve"> or modifications to the calculation method.</w:t>
      </w:r>
      <w:r>
        <w:t xml:space="preserve">  </w:t>
      </w:r>
    </w:p>
    <w:p w14:paraId="706BEF34" w14:textId="42FDF789" w:rsidR="0033590D" w:rsidRDefault="0033590D" w:rsidP="0033590D">
      <w:pPr>
        <w:pStyle w:val="F9-Paragraph"/>
      </w:pPr>
      <w:r>
        <w:lastRenderedPageBreak/>
        <w:t>Where well-established codes (usually third-party) are used for the first time in a UK safety case, the inspector should be cognisant of international recognition and target their attention accordingly</w:t>
      </w:r>
      <w:r w:rsidR="00CE3003">
        <w:t xml:space="preserve">, for example </w:t>
      </w:r>
      <w:r w:rsidR="00542EBA">
        <w:t>at areas of novelty in application</w:t>
      </w:r>
      <w:r>
        <w:t>.</w:t>
      </w:r>
    </w:p>
    <w:p w14:paraId="67DAB982" w14:textId="3CB92CB1" w:rsidR="00F96716" w:rsidRDefault="00F96716" w:rsidP="00F96716">
      <w:pPr>
        <w:pStyle w:val="F9-Paragraph"/>
      </w:pPr>
      <w:r>
        <w:t xml:space="preserve">For severe accident analysis, the experimental data available to support validation of codes are subject to considerable uncertainty. The exotic and large-scale nature of the experiments required for validation limits the ability of individual dutyholders to independently validate these codes. As a result, dutyholders generally rely on internationally developed and established severe accident integral codes, where validation is being advanced through coordinated international efforts. Accordingly, </w:t>
      </w:r>
      <w:r w:rsidR="00E75B79">
        <w:t>the</w:t>
      </w:r>
      <w:r>
        <w:t xml:space="preserve"> inspector should take cognisance of these international </w:t>
      </w:r>
      <w:r w:rsidR="00F16DDD">
        <w:t xml:space="preserve">experimental and </w:t>
      </w:r>
      <w:r>
        <w:t>validation activities</w:t>
      </w:r>
      <w:r w:rsidR="00E75B79">
        <w:t xml:space="preserve"> when considering </w:t>
      </w:r>
      <w:r w:rsidR="00711F03">
        <w:t xml:space="preserve">what is proportionate for an individual dutyholder to achieve </w:t>
      </w:r>
      <w:r w:rsidR="001964A4">
        <w:t xml:space="preserve">in its validation and the level of </w:t>
      </w:r>
      <w:r w:rsidR="00E75B79">
        <w:t>assessment effort required</w:t>
      </w:r>
      <w:r>
        <w:t xml:space="preserve">. Inspectors should </w:t>
      </w:r>
      <w:r w:rsidR="001964A4">
        <w:t>also</w:t>
      </w:r>
      <w:r>
        <w:t xml:space="preserve"> seek to understand how the uncertainties are addressed through other means, for example through the use of conservative or bounding assumptions in the analyses. In addition, inspectors should consider whether uncertainty and sensitivity analyses have been used to explore the potential for cliff-edge effects or identify parameters that have a significant influence on the outcomes</w:t>
      </w:r>
      <w:r w:rsidR="0007363C">
        <w:t xml:space="preserve"> and plant response</w:t>
      </w:r>
      <w:r>
        <w:t>.</w:t>
      </w:r>
    </w:p>
    <w:p w14:paraId="41AEB981" w14:textId="6255D707" w:rsidR="00984440" w:rsidRDefault="00D45249" w:rsidP="00984440">
      <w:pPr>
        <w:pStyle w:val="F9-Paragraph"/>
      </w:pPr>
      <w:r>
        <w:t>In general</w:t>
      </w:r>
      <w:r w:rsidR="00984440">
        <w:t xml:space="preserve">, the inspector should consider </w:t>
      </w:r>
      <w:r w:rsidR="00D73319">
        <w:t xml:space="preserve">proportionality when assessing </w:t>
      </w:r>
      <w:r w:rsidR="00A92BCE">
        <w:t>calculation methods. T</w:t>
      </w:r>
      <w:r w:rsidR="006B67DD">
        <w:t xml:space="preserve">he </w:t>
      </w:r>
      <w:r w:rsidR="00984440">
        <w:t xml:space="preserve">inspector should consider the time, trouble and money </w:t>
      </w:r>
      <w:r w:rsidR="002C0E77">
        <w:t xml:space="preserve">required to produce </w:t>
      </w:r>
      <w:r w:rsidR="00E76C66">
        <w:t xml:space="preserve">additional validation evidence </w:t>
      </w:r>
      <w:r w:rsidR="006B67DD">
        <w:t xml:space="preserve">weighed up against the </w:t>
      </w:r>
      <w:r w:rsidR="00DE79C7">
        <w:t>additional confidence</w:t>
      </w:r>
      <w:r w:rsidR="006B67DD">
        <w:t xml:space="preserve"> </w:t>
      </w:r>
      <w:r w:rsidR="00E76C66">
        <w:t xml:space="preserve">it could provide </w:t>
      </w:r>
      <w:r w:rsidR="006B67DD">
        <w:t xml:space="preserve">when making a judgement </w:t>
      </w:r>
      <w:r w:rsidR="00211BBB">
        <w:t>as to</w:t>
      </w:r>
      <w:r w:rsidR="006B67DD">
        <w:t xml:space="preserve"> whether </w:t>
      </w:r>
      <w:r w:rsidR="00211BBB">
        <w:t>the presented evidence is adequate</w:t>
      </w:r>
      <w:r w:rsidR="00F96716">
        <w:t>.</w:t>
      </w:r>
    </w:p>
    <w:p w14:paraId="54338315" w14:textId="4A539645" w:rsidR="00DD55B8" w:rsidRDefault="00E85BB8" w:rsidP="00455845">
      <w:pPr>
        <w:pStyle w:val="Heading2"/>
      </w:pPr>
      <w:bookmarkStart w:id="12" w:name="_Ref204076184"/>
      <w:r>
        <w:t>Technical Support Contractor</w:t>
      </w:r>
      <w:r w:rsidR="00076275">
        <w:t>s</w:t>
      </w:r>
      <w:bookmarkEnd w:id="12"/>
    </w:p>
    <w:p w14:paraId="70993EF0" w14:textId="3BFC554D" w:rsidR="00DD55B8" w:rsidRDefault="00F65DE9" w:rsidP="00810CF6">
      <w:pPr>
        <w:pStyle w:val="F9-Paragraph"/>
      </w:pPr>
      <w:r>
        <w:t xml:space="preserve">In many cases, the dutyholder may employ complex </w:t>
      </w:r>
      <w:r w:rsidR="00B76E2A">
        <w:t>calculation method</w:t>
      </w:r>
      <w:r>
        <w:t xml:space="preserve">s or </w:t>
      </w:r>
      <w:r w:rsidR="00756938">
        <w:t xml:space="preserve">experimental techniques to underpin its safety case. </w:t>
      </w:r>
      <w:r w:rsidR="00C32FB5">
        <w:t>Where ONR do</w:t>
      </w:r>
      <w:r w:rsidR="00B77A24">
        <w:t>es</w:t>
      </w:r>
      <w:r w:rsidR="00C32FB5">
        <w:t xml:space="preserve"> not have the in-house capability </w:t>
      </w:r>
      <w:r w:rsidR="00F54340">
        <w:t xml:space="preserve">or tools </w:t>
      </w:r>
      <w:r w:rsidR="00C32FB5">
        <w:t>to assess the safety case</w:t>
      </w:r>
      <w:r w:rsidR="00967144">
        <w:t xml:space="preserve">, </w:t>
      </w:r>
      <w:r w:rsidR="00366074">
        <w:t xml:space="preserve">or where </w:t>
      </w:r>
      <w:r w:rsidR="00780BA2">
        <w:t xml:space="preserve">the knowledge and skills required for </w:t>
      </w:r>
      <w:r w:rsidR="0098138E">
        <w:t xml:space="preserve">an </w:t>
      </w:r>
      <w:r w:rsidR="00780BA2">
        <w:t>assessment</w:t>
      </w:r>
      <w:r w:rsidR="0098138E">
        <w:t xml:space="preserve"> are limited</w:t>
      </w:r>
      <w:r w:rsidR="00780BA2">
        <w:t xml:space="preserve">, </w:t>
      </w:r>
      <w:r w:rsidR="00967144">
        <w:t xml:space="preserve">it may </w:t>
      </w:r>
      <w:r w:rsidR="00366074">
        <w:t xml:space="preserve">not be practical to perform the </w:t>
      </w:r>
      <w:r w:rsidR="00780BA2">
        <w:t>work</w:t>
      </w:r>
      <w:r w:rsidR="00366074">
        <w:t xml:space="preserve"> in-house. </w:t>
      </w:r>
    </w:p>
    <w:p w14:paraId="1FADCEDD" w14:textId="09BE6A38" w:rsidR="00A27BBD" w:rsidRPr="00527217" w:rsidRDefault="00E81CAB" w:rsidP="00B25479">
      <w:pPr>
        <w:pStyle w:val="F9-Paragraph"/>
        <w:spacing w:after="0"/>
      </w:pPr>
      <w:r>
        <w:t xml:space="preserve">In addition to the work that the dutyholder performs to provide confidence in the </w:t>
      </w:r>
      <w:r w:rsidR="00E47B14">
        <w:t xml:space="preserve">validation of a code, it is common practice, particularly in the review of new reactor designs, for ONR to employ </w:t>
      </w:r>
      <w:r w:rsidR="009423F4">
        <w:t>a TSC</w:t>
      </w:r>
      <w:r w:rsidR="00E47B14">
        <w:t xml:space="preserve"> to perform independent analysis</w:t>
      </w:r>
      <w:r w:rsidR="004D4192">
        <w:t xml:space="preserve"> </w:t>
      </w:r>
      <w:r w:rsidR="0030200A">
        <w:t>or review of</w:t>
      </w:r>
      <w:r w:rsidR="004D4192">
        <w:t xml:space="preserve"> validation documentation</w:t>
      </w:r>
      <w:r w:rsidR="00E47B14">
        <w:t xml:space="preserve">. </w:t>
      </w:r>
      <w:r w:rsidR="002220AB">
        <w:t>This can reveal strengths and weaknesses of the dutyholder</w:t>
      </w:r>
      <w:r w:rsidR="00970D7B">
        <w:t>’</w:t>
      </w:r>
      <w:r w:rsidR="002220AB">
        <w:t xml:space="preserve">s </w:t>
      </w:r>
      <w:r w:rsidR="00B76E2A">
        <w:t>calculation methods</w:t>
      </w:r>
      <w:r w:rsidR="002220AB">
        <w:t>, and assist the inspector in targeting areas of greatest significance.</w:t>
      </w:r>
      <w:r w:rsidR="00BB07E2">
        <w:t xml:space="preserve"> When considering </w:t>
      </w:r>
      <w:r w:rsidR="0030200A">
        <w:t>use of</w:t>
      </w:r>
      <w:r w:rsidR="00BB07E2">
        <w:t xml:space="preserve"> a TSC for such purposes, the inspector should consider in-house understanding</w:t>
      </w:r>
      <w:r w:rsidR="00810DEB">
        <w:t xml:space="preserve"> of the technology, and previous work performed. It is not appropriate to justify TSC</w:t>
      </w:r>
      <w:r w:rsidR="0068338A">
        <w:t xml:space="preserve"> work </w:t>
      </w:r>
      <w:r w:rsidR="00987433">
        <w:t xml:space="preserve">only </w:t>
      </w:r>
      <w:r w:rsidR="0068338A">
        <w:t xml:space="preserve">on the basis </w:t>
      </w:r>
      <w:r w:rsidR="00603F52">
        <w:t xml:space="preserve">of what </w:t>
      </w:r>
      <w:r w:rsidR="006E18BF">
        <w:t xml:space="preserve">ONR </w:t>
      </w:r>
      <w:r w:rsidR="00603F52">
        <w:t xml:space="preserve">has done </w:t>
      </w:r>
      <w:r w:rsidR="006E18BF">
        <w:t>in previous assessments</w:t>
      </w:r>
      <w:r w:rsidR="00603F52">
        <w:t>.</w:t>
      </w:r>
      <w:r w:rsidR="00A27BBD">
        <w:br w:type="page"/>
      </w:r>
    </w:p>
    <w:bookmarkStart w:id="13" w:name="_Toc227739361" w:displacedByCustomXml="next"/>
    <w:sdt>
      <w:sdtPr>
        <w:rPr>
          <w:color w:val="auto"/>
          <w:sz w:val="24"/>
          <w:szCs w:val="24"/>
        </w:rPr>
        <w:id w:val="1075240365"/>
        <w:docPartObj>
          <w:docPartGallery w:val="Bibliographies"/>
          <w:docPartUnique/>
        </w:docPartObj>
      </w:sdtPr>
      <w:sdtContent>
        <w:p w14:paraId="3C0558F5" w14:textId="7B1CEF0A" w:rsidR="00F167EA" w:rsidRDefault="00F167EA" w:rsidP="00C65F24">
          <w:pPr>
            <w:pStyle w:val="Heading1"/>
            <w:numPr>
              <w:ilvl w:val="0"/>
              <w:numId w:val="0"/>
            </w:numPr>
            <w:ind w:left="360" w:hanging="360"/>
          </w:pPr>
          <w:r>
            <w:t>References</w:t>
          </w:r>
          <w:bookmarkEnd w:id="13"/>
        </w:p>
        <w:sdt>
          <w:sdtPr>
            <w:id w:val="-573587230"/>
            <w:bibliography/>
          </w:sdtPr>
          <w:sdtContent>
            <w:p w14:paraId="253586DA" w14:textId="77777777" w:rsidR="00EF26D2" w:rsidRDefault="00F167EA">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EF26D2" w14:paraId="13396271" w14:textId="77777777">
                <w:trPr>
                  <w:divId w:val="1243296233"/>
                  <w:tblCellSpacing w:w="15" w:type="dxa"/>
                </w:trPr>
                <w:tc>
                  <w:tcPr>
                    <w:tcW w:w="50" w:type="pct"/>
                    <w:hideMark/>
                  </w:tcPr>
                  <w:p w14:paraId="51FEA8DF" w14:textId="65F93A11" w:rsidR="00EF26D2" w:rsidRDefault="00EF26D2">
                    <w:pPr>
                      <w:pStyle w:val="Bibliography"/>
                      <w:rPr>
                        <w:noProof/>
                        <w:szCs w:val="24"/>
                      </w:rPr>
                    </w:pPr>
                    <w:r>
                      <w:rPr>
                        <w:noProof/>
                      </w:rPr>
                      <w:t xml:space="preserve">[1] </w:t>
                    </w:r>
                  </w:p>
                </w:tc>
                <w:tc>
                  <w:tcPr>
                    <w:tcW w:w="0" w:type="auto"/>
                    <w:hideMark/>
                  </w:tcPr>
                  <w:p w14:paraId="31A1474F" w14:textId="77777777" w:rsidR="00EF26D2" w:rsidRPr="00776AAE" w:rsidRDefault="00EF26D2">
                    <w:pPr>
                      <w:pStyle w:val="Bibliography"/>
                      <w:rPr>
                        <w:noProof/>
                      </w:rPr>
                    </w:pPr>
                    <w:r w:rsidRPr="00776AAE">
                      <w:rPr>
                        <w:noProof/>
                      </w:rPr>
                      <w:t xml:space="preserve">Safety Assessment Principles (SAPs) for Nuclear Facilities - 2014 Edition (Revision 1), ONR, 2020. </w:t>
                    </w:r>
                  </w:p>
                </w:tc>
              </w:tr>
              <w:tr w:rsidR="00EF26D2" w14:paraId="18B1815F" w14:textId="77777777">
                <w:trPr>
                  <w:divId w:val="1243296233"/>
                  <w:tblCellSpacing w:w="15" w:type="dxa"/>
                </w:trPr>
                <w:tc>
                  <w:tcPr>
                    <w:tcW w:w="50" w:type="pct"/>
                    <w:hideMark/>
                  </w:tcPr>
                  <w:p w14:paraId="1B823A22" w14:textId="77777777" w:rsidR="00EF26D2" w:rsidRDefault="00EF26D2">
                    <w:pPr>
                      <w:pStyle w:val="Bibliography"/>
                      <w:rPr>
                        <w:noProof/>
                      </w:rPr>
                    </w:pPr>
                    <w:r>
                      <w:rPr>
                        <w:noProof/>
                      </w:rPr>
                      <w:t xml:space="preserve">[2] </w:t>
                    </w:r>
                  </w:p>
                </w:tc>
                <w:tc>
                  <w:tcPr>
                    <w:tcW w:w="0" w:type="auto"/>
                    <w:hideMark/>
                  </w:tcPr>
                  <w:p w14:paraId="6DFCDCDA" w14:textId="77777777" w:rsidR="00EF26D2" w:rsidRPr="00776AAE" w:rsidRDefault="00EF26D2">
                    <w:pPr>
                      <w:pStyle w:val="Bibliography"/>
                      <w:rPr>
                        <w:noProof/>
                      </w:rPr>
                    </w:pPr>
                    <w:r w:rsidRPr="00776AAE">
                      <w:rPr>
                        <w:noProof/>
                      </w:rPr>
                      <w:t xml:space="preserve">ONR, ONR-RD-REF-001 - An introduction to ONR’s technical assessment and inspection guides, Revision 1, ONR, 2025. </w:t>
                    </w:r>
                  </w:p>
                </w:tc>
              </w:tr>
              <w:tr w:rsidR="00EF26D2" w14:paraId="45A12EDF" w14:textId="77777777">
                <w:trPr>
                  <w:divId w:val="1243296233"/>
                  <w:tblCellSpacing w:w="15" w:type="dxa"/>
                </w:trPr>
                <w:tc>
                  <w:tcPr>
                    <w:tcW w:w="50" w:type="pct"/>
                    <w:hideMark/>
                  </w:tcPr>
                  <w:p w14:paraId="6CBCDBD2" w14:textId="77777777" w:rsidR="00EF26D2" w:rsidRDefault="00EF26D2">
                    <w:pPr>
                      <w:pStyle w:val="Bibliography"/>
                      <w:rPr>
                        <w:noProof/>
                      </w:rPr>
                    </w:pPr>
                    <w:r>
                      <w:rPr>
                        <w:noProof/>
                      </w:rPr>
                      <w:t xml:space="preserve">[3] </w:t>
                    </w:r>
                  </w:p>
                </w:tc>
                <w:tc>
                  <w:tcPr>
                    <w:tcW w:w="0" w:type="auto"/>
                    <w:hideMark/>
                  </w:tcPr>
                  <w:p w14:paraId="2449FDFA" w14:textId="77777777" w:rsidR="00EF26D2" w:rsidRPr="00776AAE" w:rsidRDefault="00EF26D2">
                    <w:pPr>
                      <w:pStyle w:val="Bibliography"/>
                      <w:rPr>
                        <w:noProof/>
                      </w:rPr>
                    </w:pPr>
                    <w:r w:rsidRPr="00776AAE">
                      <w:rPr>
                        <w:noProof/>
                      </w:rPr>
                      <w:t xml:space="preserve">Computer Based Safety Systems, NS-TAST-GD-046, Issue 7, ONR, 2023. </w:t>
                    </w:r>
                  </w:p>
                </w:tc>
              </w:tr>
              <w:tr w:rsidR="00EF26D2" w14:paraId="3EBD46B4" w14:textId="77777777">
                <w:trPr>
                  <w:divId w:val="1243296233"/>
                  <w:tblCellSpacing w:w="15" w:type="dxa"/>
                </w:trPr>
                <w:tc>
                  <w:tcPr>
                    <w:tcW w:w="50" w:type="pct"/>
                    <w:hideMark/>
                  </w:tcPr>
                  <w:p w14:paraId="538FECB0" w14:textId="77777777" w:rsidR="00EF26D2" w:rsidRDefault="00EF26D2">
                    <w:pPr>
                      <w:pStyle w:val="Bibliography"/>
                      <w:rPr>
                        <w:noProof/>
                      </w:rPr>
                    </w:pPr>
                    <w:r>
                      <w:rPr>
                        <w:noProof/>
                      </w:rPr>
                      <w:t xml:space="preserve">[4] </w:t>
                    </w:r>
                  </w:p>
                </w:tc>
                <w:tc>
                  <w:tcPr>
                    <w:tcW w:w="0" w:type="auto"/>
                    <w:hideMark/>
                  </w:tcPr>
                  <w:p w14:paraId="5378074F" w14:textId="77777777" w:rsidR="00EF26D2" w:rsidRPr="00776AAE" w:rsidRDefault="00EF26D2">
                    <w:pPr>
                      <w:pStyle w:val="Bibliography"/>
                      <w:rPr>
                        <w:noProof/>
                      </w:rPr>
                    </w:pPr>
                    <w:r w:rsidRPr="00776AAE">
                      <w:rPr>
                        <w:noProof/>
                      </w:rPr>
                      <w:t xml:space="preserve">WENRA Safety Reference Levels for Existing Reactors, WENRA, 2020. </w:t>
                    </w:r>
                  </w:p>
                </w:tc>
              </w:tr>
              <w:tr w:rsidR="00EF26D2" w14:paraId="5C8BE3A8" w14:textId="77777777">
                <w:trPr>
                  <w:divId w:val="1243296233"/>
                  <w:tblCellSpacing w:w="15" w:type="dxa"/>
                </w:trPr>
                <w:tc>
                  <w:tcPr>
                    <w:tcW w:w="50" w:type="pct"/>
                    <w:hideMark/>
                  </w:tcPr>
                  <w:p w14:paraId="7E4E3B88" w14:textId="77777777" w:rsidR="00EF26D2" w:rsidRDefault="00EF26D2">
                    <w:pPr>
                      <w:pStyle w:val="Bibliography"/>
                      <w:rPr>
                        <w:noProof/>
                      </w:rPr>
                    </w:pPr>
                    <w:r>
                      <w:rPr>
                        <w:noProof/>
                      </w:rPr>
                      <w:t xml:space="preserve">[5] </w:t>
                    </w:r>
                  </w:p>
                </w:tc>
                <w:tc>
                  <w:tcPr>
                    <w:tcW w:w="0" w:type="auto"/>
                    <w:hideMark/>
                  </w:tcPr>
                  <w:p w14:paraId="1A4ECFF0" w14:textId="77777777" w:rsidR="00EF26D2" w:rsidRPr="00776AAE" w:rsidRDefault="00EF26D2">
                    <w:pPr>
                      <w:pStyle w:val="Bibliography"/>
                      <w:rPr>
                        <w:noProof/>
                      </w:rPr>
                    </w:pPr>
                    <w:r w:rsidRPr="00776AAE">
                      <w:rPr>
                        <w:noProof/>
                      </w:rPr>
                      <w:t xml:space="preserve">Safety Assessment for Facilities and Activities, General Safety Requirements Part 4, Rev. 1, IAEA, 2016. </w:t>
                    </w:r>
                  </w:p>
                </w:tc>
              </w:tr>
              <w:tr w:rsidR="00EF26D2" w14:paraId="1D0C7038" w14:textId="77777777">
                <w:trPr>
                  <w:divId w:val="1243296233"/>
                  <w:tblCellSpacing w:w="15" w:type="dxa"/>
                </w:trPr>
                <w:tc>
                  <w:tcPr>
                    <w:tcW w:w="50" w:type="pct"/>
                    <w:hideMark/>
                  </w:tcPr>
                  <w:p w14:paraId="7DA98A15" w14:textId="77777777" w:rsidR="00EF26D2" w:rsidRDefault="00EF26D2">
                    <w:pPr>
                      <w:pStyle w:val="Bibliography"/>
                      <w:rPr>
                        <w:noProof/>
                      </w:rPr>
                    </w:pPr>
                    <w:r>
                      <w:rPr>
                        <w:noProof/>
                      </w:rPr>
                      <w:t xml:space="preserve">[6] </w:t>
                    </w:r>
                  </w:p>
                </w:tc>
                <w:tc>
                  <w:tcPr>
                    <w:tcW w:w="0" w:type="auto"/>
                    <w:hideMark/>
                  </w:tcPr>
                  <w:p w14:paraId="6C23309A" w14:textId="77777777" w:rsidR="00EF26D2" w:rsidRPr="00776AAE" w:rsidRDefault="00EF26D2">
                    <w:pPr>
                      <w:pStyle w:val="Bibliography"/>
                      <w:rPr>
                        <w:noProof/>
                      </w:rPr>
                    </w:pPr>
                    <w:r w:rsidRPr="00776AAE">
                      <w:rPr>
                        <w:noProof/>
                      </w:rPr>
                      <w:t xml:space="preserve">Deterministic Safety Analysis for Nuclear Power Plants, Specific Safety Guide 2, Rev. 1, IAEA, 2019. </w:t>
                    </w:r>
                  </w:p>
                </w:tc>
              </w:tr>
              <w:tr w:rsidR="00EF26D2" w14:paraId="62F6944C" w14:textId="77777777">
                <w:trPr>
                  <w:divId w:val="1243296233"/>
                  <w:tblCellSpacing w:w="15" w:type="dxa"/>
                </w:trPr>
                <w:tc>
                  <w:tcPr>
                    <w:tcW w:w="50" w:type="pct"/>
                    <w:hideMark/>
                  </w:tcPr>
                  <w:p w14:paraId="0139D9F5" w14:textId="77777777" w:rsidR="00EF26D2" w:rsidRDefault="00EF26D2">
                    <w:pPr>
                      <w:pStyle w:val="Bibliography"/>
                      <w:rPr>
                        <w:noProof/>
                      </w:rPr>
                    </w:pPr>
                    <w:r>
                      <w:rPr>
                        <w:noProof/>
                      </w:rPr>
                      <w:t xml:space="preserve">[7] </w:t>
                    </w:r>
                  </w:p>
                </w:tc>
                <w:tc>
                  <w:tcPr>
                    <w:tcW w:w="0" w:type="auto"/>
                    <w:hideMark/>
                  </w:tcPr>
                  <w:p w14:paraId="236B35AB" w14:textId="77777777" w:rsidR="00EF26D2" w:rsidRPr="00776AAE" w:rsidRDefault="00EF26D2">
                    <w:pPr>
                      <w:pStyle w:val="Bibliography"/>
                      <w:rPr>
                        <w:noProof/>
                      </w:rPr>
                    </w:pPr>
                    <w:r w:rsidRPr="00776AAE">
                      <w:rPr>
                        <w:noProof/>
                      </w:rPr>
                      <w:t xml:space="preserve">Development and Application of Level 1 Probabilistic Safety Assessment for Nuclear Power Plants, Specific Safety Guide 3, Rev. 1, IAEA, 2024. </w:t>
                    </w:r>
                  </w:p>
                </w:tc>
              </w:tr>
              <w:tr w:rsidR="00EF26D2" w14:paraId="21367810" w14:textId="77777777">
                <w:trPr>
                  <w:divId w:val="1243296233"/>
                  <w:tblCellSpacing w:w="15" w:type="dxa"/>
                </w:trPr>
                <w:tc>
                  <w:tcPr>
                    <w:tcW w:w="50" w:type="pct"/>
                    <w:hideMark/>
                  </w:tcPr>
                  <w:p w14:paraId="28A40F46" w14:textId="77777777" w:rsidR="00EF26D2" w:rsidRDefault="00EF26D2">
                    <w:pPr>
                      <w:pStyle w:val="Bibliography"/>
                      <w:rPr>
                        <w:noProof/>
                      </w:rPr>
                    </w:pPr>
                    <w:r>
                      <w:rPr>
                        <w:noProof/>
                      </w:rPr>
                      <w:t xml:space="preserve">[8] </w:t>
                    </w:r>
                  </w:p>
                </w:tc>
                <w:tc>
                  <w:tcPr>
                    <w:tcW w:w="0" w:type="auto"/>
                    <w:hideMark/>
                  </w:tcPr>
                  <w:p w14:paraId="38EAC28D" w14:textId="77777777" w:rsidR="00EF26D2" w:rsidRPr="00776AAE" w:rsidRDefault="00EF26D2">
                    <w:pPr>
                      <w:pStyle w:val="Bibliography"/>
                      <w:rPr>
                        <w:noProof/>
                      </w:rPr>
                    </w:pPr>
                    <w:r w:rsidRPr="00776AAE">
                      <w:rPr>
                        <w:noProof/>
                      </w:rPr>
                      <w:t xml:space="preserve">Development and Application of Level 2 Probabilistic Safety Assessment for Nuclear Power Plants, Specific Safety Guide 4, IAEA, 2010. </w:t>
                    </w:r>
                  </w:p>
                </w:tc>
              </w:tr>
              <w:tr w:rsidR="00EF26D2" w14:paraId="47CE8D06" w14:textId="77777777">
                <w:trPr>
                  <w:divId w:val="1243296233"/>
                  <w:tblCellSpacing w:w="15" w:type="dxa"/>
                </w:trPr>
                <w:tc>
                  <w:tcPr>
                    <w:tcW w:w="50" w:type="pct"/>
                    <w:hideMark/>
                  </w:tcPr>
                  <w:p w14:paraId="41A8B350" w14:textId="77777777" w:rsidR="00EF26D2" w:rsidRDefault="00EF26D2">
                    <w:pPr>
                      <w:pStyle w:val="Bibliography"/>
                      <w:rPr>
                        <w:noProof/>
                      </w:rPr>
                    </w:pPr>
                    <w:r>
                      <w:rPr>
                        <w:noProof/>
                      </w:rPr>
                      <w:t xml:space="preserve">[9] </w:t>
                    </w:r>
                  </w:p>
                </w:tc>
                <w:tc>
                  <w:tcPr>
                    <w:tcW w:w="0" w:type="auto"/>
                    <w:hideMark/>
                  </w:tcPr>
                  <w:p w14:paraId="7FF3D20F" w14:textId="77777777" w:rsidR="00EF26D2" w:rsidRPr="00776AAE" w:rsidRDefault="00EF26D2">
                    <w:pPr>
                      <w:pStyle w:val="Bibliography"/>
                      <w:rPr>
                        <w:noProof/>
                      </w:rPr>
                    </w:pPr>
                    <w:r w:rsidRPr="00776AAE">
                      <w:rPr>
                        <w:noProof/>
                      </w:rPr>
                      <w:t xml:space="preserve">Licensee Core Safety and Inelligent Customer Capabilities, NS-TAST-GD-049, Issue 7.2, ONR, July 2024. </w:t>
                    </w:r>
                  </w:p>
                </w:tc>
              </w:tr>
              <w:tr w:rsidR="00EF26D2" w14:paraId="75CF7CFC" w14:textId="77777777">
                <w:trPr>
                  <w:divId w:val="1243296233"/>
                  <w:tblCellSpacing w:w="15" w:type="dxa"/>
                </w:trPr>
                <w:tc>
                  <w:tcPr>
                    <w:tcW w:w="50" w:type="pct"/>
                    <w:hideMark/>
                  </w:tcPr>
                  <w:p w14:paraId="5A04F785" w14:textId="77777777" w:rsidR="00EF26D2" w:rsidRDefault="00EF26D2">
                    <w:pPr>
                      <w:pStyle w:val="Bibliography"/>
                      <w:rPr>
                        <w:noProof/>
                      </w:rPr>
                    </w:pPr>
                    <w:r>
                      <w:rPr>
                        <w:noProof/>
                      </w:rPr>
                      <w:t xml:space="preserve">[10] </w:t>
                    </w:r>
                  </w:p>
                </w:tc>
                <w:tc>
                  <w:tcPr>
                    <w:tcW w:w="0" w:type="auto"/>
                    <w:hideMark/>
                  </w:tcPr>
                  <w:p w14:paraId="0B988914" w14:textId="77777777" w:rsidR="00EF26D2" w:rsidRPr="00776AAE" w:rsidRDefault="00EF26D2">
                    <w:pPr>
                      <w:pStyle w:val="Bibliography"/>
                      <w:rPr>
                        <w:noProof/>
                      </w:rPr>
                    </w:pPr>
                    <w:r w:rsidRPr="00776AAE">
                      <w:rPr>
                        <w:noProof/>
                      </w:rPr>
                      <w:t xml:space="preserve">Design Basis Analysis, NS-TAST-GD-006, Issue 5.1, ONR, 2020. </w:t>
                    </w:r>
                  </w:p>
                </w:tc>
              </w:tr>
              <w:tr w:rsidR="00EF26D2" w14:paraId="393EF081" w14:textId="77777777">
                <w:trPr>
                  <w:divId w:val="1243296233"/>
                  <w:tblCellSpacing w:w="15" w:type="dxa"/>
                </w:trPr>
                <w:tc>
                  <w:tcPr>
                    <w:tcW w:w="50" w:type="pct"/>
                    <w:hideMark/>
                  </w:tcPr>
                  <w:p w14:paraId="33FABCA5" w14:textId="77777777" w:rsidR="00EF26D2" w:rsidRDefault="00EF26D2">
                    <w:pPr>
                      <w:pStyle w:val="Bibliography"/>
                      <w:rPr>
                        <w:noProof/>
                      </w:rPr>
                    </w:pPr>
                    <w:r>
                      <w:rPr>
                        <w:noProof/>
                      </w:rPr>
                      <w:t xml:space="preserve">[11] </w:t>
                    </w:r>
                  </w:p>
                </w:tc>
                <w:tc>
                  <w:tcPr>
                    <w:tcW w:w="0" w:type="auto"/>
                    <w:hideMark/>
                  </w:tcPr>
                  <w:p w14:paraId="3523CB67" w14:textId="77777777" w:rsidR="00EF26D2" w:rsidRPr="00776AAE" w:rsidRDefault="00EF26D2">
                    <w:pPr>
                      <w:pStyle w:val="Bibliography"/>
                      <w:rPr>
                        <w:noProof/>
                      </w:rPr>
                    </w:pPr>
                    <w:r w:rsidRPr="00776AAE">
                      <w:rPr>
                        <w:noProof/>
                      </w:rPr>
                      <w:t xml:space="preserve">Severe Accident Analysis, NS-TAST-GD-007, Issue 5.1, ONR, 2022. </w:t>
                    </w:r>
                  </w:p>
                </w:tc>
              </w:tr>
              <w:tr w:rsidR="00EF26D2" w14:paraId="03C2A49E" w14:textId="77777777">
                <w:trPr>
                  <w:divId w:val="1243296233"/>
                  <w:tblCellSpacing w:w="15" w:type="dxa"/>
                </w:trPr>
                <w:tc>
                  <w:tcPr>
                    <w:tcW w:w="50" w:type="pct"/>
                    <w:hideMark/>
                  </w:tcPr>
                  <w:p w14:paraId="3E9D66A5" w14:textId="77777777" w:rsidR="00EF26D2" w:rsidRDefault="00EF26D2">
                    <w:pPr>
                      <w:pStyle w:val="Bibliography"/>
                      <w:rPr>
                        <w:noProof/>
                      </w:rPr>
                    </w:pPr>
                    <w:r>
                      <w:rPr>
                        <w:noProof/>
                      </w:rPr>
                      <w:t xml:space="preserve">[12] </w:t>
                    </w:r>
                  </w:p>
                </w:tc>
                <w:tc>
                  <w:tcPr>
                    <w:tcW w:w="0" w:type="auto"/>
                    <w:hideMark/>
                  </w:tcPr>
                  <w:p w14:paraId="3777A35B" w14:textId="77777777" w:rsidR="00EF26D2" w:rsidRPr="00776AAE" w:rsidRDefault="00EF26D2">
                    <w:pPr>
                      <w:pStyle w:val="Bibliography"/>
                      <w:rPr>
                        <w:noProof/>
                      </w:rPr>
                    </w:pPr>
                    <w:r w:rsidRPr="00776AAE">
                      <w:rPr>
                        <w:noProof/>
                      </w:rPr>
                      <w:t xml:space="preserve">Risk-informed and targeted engagements, ONR-RD-POL-002, Issue 2, ONR, May 2024. </w:t>
                    </w:r>
                  </w:p>
                </w:tc>
              </w:tr>
              <w:tr w:rsidR="00EF26D2" w14:paraId="734885BA" w14:textId="77777777">
                <w:trPr>
                  <w:divId w:val="1243296233"/>
                  <w:tblCellSpacing w:w="15" w:type="dxa"/>
                </w:trPr>
                <w:tc>
                  <w:tcPr>
                    <w:tcW w:w="50" w:type="pct"/>
                    <w:hideMark/>
                  </w:tcPr>
                  <w:p w14:paraId="5D31EA9C" w14:textId="77777777" w:rsidR="00EF26D2" w:rsidRDefault="00EF26D2">
                    <w:pPr>
                      <w:pStyle w:val="Bibliography"/>
                      <w:rPr>
                        <w:noProof/>
                      </w:rPr>
                    </w:pPr>
                    <w:r>
                      <w:rPr>
                        <w:noProof/>
                      </w:rPr>
                      <w:t xml:space="preserve">[13] </w:t>
                    </w:r>
                  </w:p>
                </w:tc>
                <w:tc>
                  <w:tcPr>
                    <w:tcW w:w="0" w:type="auto"/>
                    <w:hideMark/>
                  </w:tcPr>
                  <w:p w14:paraId="5F0238C3" w14:textId="77777777" w:rsidR="00EF26D2" w:rsidRPr="00776AAE" w:rsidRDefault="00EF26D2">
                    <w:pPr>
                      <w:pStyle w:val="Bibliography"/>
                      <w:rPr>
                        <w:noProof/>
                      </w:rPr>
                    </w:pPr>
                    <w:r w:rsidRPr="00776AAE">
                      <w:rPr>
                        <w:noProof/>
                      </w:rPr>
                      <w:t xml:space="preserve">ONR, “ONR-RD-REF-002 - List of regulatory acronyms, abbreviations and initialisms,” [Online]. </w:t>
                    </w:r>
                  </w:p>
                </w:tc>
              </w:tr>
            </w:tbl>
            <w:p w14:paraId="403F1832" w14:textId="77777777" w:rsidR="00EF26D2" w:rsidRDefault="00EF26D2">
              <w:pPr>
                <w:divId w:val="1243296233"/>
                <w:rPr>
                  <w:rFonts w:eastAsia="Times New Roman"/>
                  <w:noProof/>
                </w:rPr>
              </w:pPr>
            </w:p>
            <w:p w14:paraId="3432853F" w14:textId="2E688757" w:rsidR="00F167EA" w:rsidRDefault="00F167EA">
              <w:r>
                <w:rPr>
                  <w:b/>
                  <w:bCs/>
                </w:rPr>
                <w:fldChar w:fldCharType="end"/>
              </w:r>
            </w:p>
          </w:sdtContent>
        </w:sdt>
      </w:sdtContent>
    </w:sdt>
    <w:p w14:paraId="5CB59E1A" w14:textId="77777777" w:rsidR="00915ED8" w:rsidRDefault="00915ED8" w:rsidP="00E62FB1">
      <w:pPr>
        <w:pStyle w:val="Heading1"/>
        <w:numPr>
          <w:ilvl w:val="0"/>
          <w:numId w:val="0"/>
        </w:numPr>
        <w:ind w:left="851" w:hanging="851"/>
        <w:sectPr w:rsidR="00915ED8" w:rsidSect="000B2BCD">
          <w:pgSz w:w="11906" w:h="16838" w:code="9"/>
          <w:pgMar w:top="1440" w:right="1440" w:bottom="1440" w:left="1440" w:header="397" w:footer="397" w:gutter="0"/>
          <w:cols w:space="312"/>
          <w:docGrid w:linePitch="360"/>
        </w:sectPr>
      </w:pPr>
    </w:p>
    <w:p w14:paraId="13E6FF1B" w14:textId="77777777" w:rsidR="007B558C" w:rsidRPr="00136064" w:rsidRDefault="007B558C" w:rsidP="007B558C">
      <w:pPr>
        <w:pStyle w:val="Heading1"/>
        <w:numPr>
          <w:ilvl w:val="0"/>
          <w:numId w:val="0"/>
        </w:numPr>
      </w:pPr>
      <w:bookmarkStart w:id="14" w:name="_Toc227739362"/>
      <w:bookmarkStart w:id="15" w:name="_Toc208907990"/>
      <w:r>
        <w:lastRenderedPageBreak/>
        <w:t>List of acronyms, abbreviations and initialisms</w:t>
      </w:r>
      <w:bookmarkEnd w:id="14"/>
      <w:r>
        <w:t xml:space="preserve"> </w:t>
      </w:r>
    </w:p>
    <w:p w14:paraId="6E63FA4F" w14:textId="77777777" w:rsidR="007B558C" w:rsidRDefault="007B558C" w:rsidP="00FF6B97">
      <w:pPr>
        <w:pStyle w:val="ONRFloatingHeadingBold"/>
        <w:keepNext w:val="0"/>
        <w:keepLines w:val="0"/>
        <w:tabs>
          <w:tab w:val="left" w:pos="1134"/>
        </w:tabs>
        <w:spacing w:before="0" w:after="0" w:line="252" w:lineRule="auto"/>
        <w:ind w:left="0"/>
        <w:rPr>
          <w:b w:val="0"/>
          <w:sz w:val="24"/>
          <w:szCs w:val="24"/>
        </w:rPr>
      </w:pPr>
      <w:r>
        <w:rPr>
          <w:b w:val="0"/>
          <w:sz w:val="24"/>
          <w:szCs w:val="24"/>
        </w:rPr>
        <w:t>ALARP</w:t>
      </w:r>
      <w:r>
        <w:rPr>
          <w:b w:val="0"/>
          <w:sz w:val="24"/>
          <w:szCs w:val="24"/>
        </w:rPr>
        <w:tab/>
        <w:t>As Low As Reasonably Practicable</w:t>
      </w:r>
    </w:p>
    <w:p w14:paraId="0C8696B3" w14:textId="77777777" w:rsidR="007B558C" w:rsidRPr="00E62FB1" w:rsidRDefault="007B558C" w:rsidP="00FF6B97">
      <w:pPr>
        <w:pStyle w:val="ONRFloatingHeadingBold"/>
        <w:keepNext w:val="0"/>
        <w:keepLines w:val="0"/>
        <w:tabs>
          <w:tab w:val="left" w:pos="1134"/>
        </w:tabs>
        <w:spacing w:before="0" w:after="0" w:line="252" w:lineRule="auto"/>
        <w:ind w:left="0"/>
        <w:rPr>
          <w:b w:val="0"/>
          <w:sz w:val="24"/>
          <w:szCs w:val="24"/>
        </w:rPr>
      </w:pPr>
      <w:r w:rsidRPr="00E62FB1">
        <w:rPr>
          <w:b w:val="0"/>
          <w:sz w:val="24"/>
          <w:szCs w:val="24"/>
        </w:rPr>
        <w:t>BEPU</w:t>
      </w:r>
      <w:r w:rsidRPr="00E62FB1">
        <w:rPr>
          <w:b w:val="0"/>
          <w:sz w:val="24"/>
          <w:szCs w:val="24"/>
        </w:rPr>
        <w:tab/>
        <w:t>Best Estimate Plus Uncertainty</w:t>
      </w:r>
    </w:p>
    <w:p w14:paraId="224FF705" w14:textId="77777777" w:rsidR="007B558C" w:rsidRPr="00E62FB1" w:rsidRDefault="007B558C" w:rsidP="00FF6B97">
      <w:pPr>
        <w:pStyle w:val="ONRFloatingHeadingBold"/>
        <w:keepNext w:val="0"/>
        <w:keepLines w:val="0"/>
        <w:tabs>
          <w:tab w:val="left" w:pos="1134"/>
        </w:tabs>
        <w:spacing w:before="0" w:after="0" w:line="252" w:lineRule="auto"/>
        <w:ind w:left="0"/>
        <w:rPr>
          <w:b w:val="0"/>
          <w:sz w:val="24"/>
          <w:szCs w:val="24"/>
        </w:rPr>
      </w:pPr>
      <w:r w:rsidRPr="00E62FB1">
        <w:rPr>
          <w:b w:val="0"/>
          <w:sz w:val="24"/>
          <w:szCs w:val="24"/>
        </w:rPr>
        <w:t>CFD</w:t>
      </w:r>
      <w:r w:rsidRPr="00E62FB1">
        <w:rPr>
          <w:b w:val="0"/>
          <w:sz w:val="24"/>
          <w:szCs w:val="24"/>
        </w:rPr>
        <w:tab/>
        <w:t>Computational Fluid Dynamics</w:t>
      </w:r>
    </w:p>
    <w:p w14:paraId="70C431D0" w14:textId="77777777" w:rsidR="007B558C" w:rsidRPr="00E62FB1" w:rsidRDefault="007B558C" w:rsidP="00FF6B97">
      <w:pPr>
        <w:pStyle w:val="ONRFloatingHeadingBold"/>
        <w:keepNext w:val="0"/>
        <w:keepLines w:val="0"/>
        <w:tabs>
          <w:tab w:val="left" w:pos="1134"/>
        </w:tabs>
        <w:spacing w:before="0" w:after="0" w:line="252" w:lineRule="auto"/>
        <w:ind w:left="0"/>
        <w:rPr>
          <w:b w:val="0"/>
          <w:sz w:val="24"/>
          <w:szCs w:val="24"/>
        </w:rPr>
      </w:pPr>
      <w:r w:rsidRPr="00E62FB1">
        <w:rPr>
          <w:b w:val="0"/>
          <w:sz w:val="24"/>
          <w:szCs w:val="24"/>
        </w:rPr>
        <w:t>GDA</w:t>
      </w:r>
      <w:r w:rsidRPr="00E62FB1">
        <w:rPr>
          <w:b w:val="0"/>
          <w:sz w:val="24"/>
          <w:szCs w:val="24"/>
        </w:rPr>
        <w:tab/>
        <w:t>Generic Design Assessment</w:t>
      </w:r>
    </w:p>
    <w:p w14:paraId="31B7DED7" w14:textId="77777777" w:rsidR="007B558C" w:rsidRPr="00E62FB1" w:rsidRDefault="007B558C" w:rsidP="00FF6B97">
      <w:pPr>
        <w:pStyle w:val="ONRFloatingHeadingBold"/>
        <w:keepNext w:val="0"/>
        <w:keepLines w:val="0"/>
        <w:tabs>
          <w:tab w:val="left" w:pos="1134"/>
        </w:tabs>
        <w:spacing w:before="0" w:after="0" w:line="252" w:lineRule="auto"/>
        <w:ind w:left="0"/>
        <w:rPr>
          <w:b w:val="0"/>
          <w:sz w:val="24"/>
          <w:szCs w:val="24"/>
        </w:rPr>
      </w:pPr>
      <w:r w:rsidRPr="00E62FB1">
        <w:rPr>
          <w:b w:val="0"/>
          <w:sz w:val="24"/>
          <w:szCs w:val="24"/>
        </w:rPr>
        <w:t>IAEA</w:t>
      </w:r>
      <w:r w:rsidRPr="00E62FB1">
        <w:rPr>
          <w:b w:val="0"/>
          <w:sz w:val="24"/>
          <w:szCs w:val="24"/>
        </w:rPr>
        <w:tab/>
        <w:t>International Atomic Energy Agency</w:t>
      </w:r>
    </w:p>
    <w:p w14:paraId="75ECB5B2" w14:textId="77777777" w:rsidR="007B558C" w:rsidRPr="00E62FB1" w:rsidRDefault="007B558C" w:rsidP="00FF6B97">
      <w:pPr>
        <w:pStyle w:val="ONRFloatingHeadingBold"/>
        <w:keepNext w:val="0"/>
        <w:keepLines w:val="0"/>
        <w:tabs>
          <w:tab w:val="left" w:pos="1134"/>
        </w:tabs>
        <w:spacing w:before="0" w:after="0" w:line="252" w:lineRule="auto"/>
        <w:ind w:left="0"/>
        <w:rPr>
          <w:b w:val="0"/>
          <w:sz w:val="24"/>
          <w:szCs w:val="24"/>
        </w:rPr>
      </w:pPr>
      <w:r w:rsidRPr="00E62FB1">
        <w:rPr>
          <w:b w:val="0"/>
          <w:sz w:val="24"/>
          <w:szCs w:val="24"/>
        </w:rPr>
        <w:t>ONR</w:t>
      </w:r>
      <w:r w:rsidRPr="00E62FB1">
        <w:rPr>
          <w:b w:val="0"/>
          <w:sz w:val="24"/>
          <w:szCs w:val="24"/>
        </w:rPr>
        <w:tab/>
        <w:t>Office for Nuclear Regulation</w:t>
      </w:r>
    </w:p>
    <w:p w14:paraId="15035478" w14:textId="77777777" w:rsidR="007B558C" w:rsidRPr="00E62FB1" w:rsidRDefault="007B558C" w:rsidP="00FF6B97">
      <w:pPr>
        <w:pStyle w:val="ONRFloatingHeadingBold"/>
        <w:keepNext w:val="0"/>
        <w:keepLines w:val="0"/>
        <w:tabs>
          <w:tab w:val="left" w:pos="1134"/>
        </w:tabs>
        <w:spacing w:before="0" w:after="0" w:line="252" w:lineRule="auto"/>
        <w:ind w:left="0"/>
        <w:rPr>
          <w:b w:val="0"/>
          <w:sz w:val="24"/>
          <w:szCs w:val="24"/>
        </w:rPr>
      </w:pPr>
      <w:r w:rsidRPr="00E62FB1">
        <w:rPr>
          <w:b w:val="0"/>
          <w:sz w:val="24"/>
          <w:szCs w:val="24"/>
        </w:rPr>
        <w:t>TAG</w:t>
      </w:r>
      <w:r w:rsidRPr="00E62FB1">
        <w:rPr>
          <w:b w:val="0"/>
          <w:sz w:val="24"/>
          <w:szCs w:val="24"/>
        </w:rPr>
        <w:tab/>
        <w:t>Technical Assessment Guide</w:t>
      </w:r>
    </w:p>
    <w:p w14:paraId="3BCC3B2A" w14:textId="77777777" w:rsidR="007B558C" w:rsidRPr="00E62FB1" w:rsidRDefault="007B558C" w:rsidP="00FF6B97">
      <w:pPr>
        <w:pStyle w:val="ONRFloatingHeadingBold"/>
        <w:keepNext w:val="0"/>
        <w:keepLines w:val="0"/>
        <w:tabs>
          <w:tab w:val="left" w:pos="1134"/>
        </w:tabs>
        <w:spacing w:before="0" w:after="0" w:line="252" w:lineRule="auto"/>
        <w:ind w:left="0"/>
        <w:rPr>
          <w:b w:val="0"/>
          <w:sz w:val="24"/>
          <w:szCs w:val="24"/>
        </w:rPr>
      </w:pPr>
      <w:r>
        <w:rPr>
          <w:b w:val="0"/>
          <w:sz w:val="24"/>
          <w:szCs w:val="24"/>
        </w:rPr>
        <w:t>TSC</w:t>
      </w:r>
      <w:r>
        <w:rPr>
          <w:b w:val="0"/>
          <w:sz w:val="24"/>
          <w:szCs w:val="24"/>
        </w:rPr>
        <w:tab/>
      </w:r>
      <w:r w:rsidRPr="00CA22F1">
        <w:rPr>
          <w:b w:val="0"/>
          <w:sz w:val="24"/>
          <w:szCs w:val="24"/>
        </w:rPr>
        <w:t>Technical Support Contractor</w:t>
      </w:r>
    </w:p>
    <w:p w14:paraId="25067D3F" w14:textId="77777777" w:rsidR="007B558C" w:rsidRPr="00E62FB1" w:rsidRDefault="007B558C" w:rsidP="00FF6B97">
      <w:pPr>
        <w:pStyle w:val="ONRFloatingHeadingBold"/>
        <w:keepNext w:val="0"/>
        <w:keepLines w:val="0"/>
        <w:tabs>
          <w:tab w:val="left" w:pos="1134"/>
        </w:tabs>
        <w:spacing w:before="0" w:after="0" w:line="252" w:lineRule="auto"/>
        <w:ind w:left="0"/>
        <w:rPr>
          <w:b w:val="0"/>
          <w:sz w:val="24"/>
          <w:szCs w:val="24"/>
        </w:rPr>
      </w:pPr>
      <w:r w:rsidRPr="00E62FB1">
        <w:rPr>
          <w:b w:val="0"/>
          <w:sz w:val="24"/>
          <w:szCs w:val="24"/>
        </w:rPr>
        <w:t>PIRT</w:t>
      </w:r>
      <w:r w:rsidRPr="00E62FB1">
        <w:rPr>
          <w:b w:val="0"/>
          <w:sz w:val="24"/>
          <w:szCs w:val="24"/>
        </w:rPr>
        <w:tab/>
        <w:t xml:space="preserve">Phenomena Identification and Ranking Table </w:t>
      </w:r>
    </w:p>
    <w:p w14:paraId="04FF9C34" w14:textId="77777777" w:rsidR="007B558C" w:rsidRPr="00E62FB1" w:rsidRDefault="007B558C" w:rsidP="00FF6B97">
      <w:pPr>
        <w:pStyle w:val="ONRFloatingHeadingBold"/>
        <w:keepNext w:val="0"/>
        <w:keepLines w:val="0"/>
        <w:tabs>
          <w:tab w:val="left" w:pos="1134"/>
        </w:tabs>
        <w:spacing w:before="0" w:after="0" w:line="252" w:lineRule="auto"/>
        <w:ind w:left="0"/>
        <w:rPr>
          <w:b w:val="0"/>
          <w:sz w:val="24"/>
          <w:szCs w:val="24"/>
        </w:rPr>
      </w:pPr>
      <w:r w:rsidRPr="00E62FB1">
        <w:rPr>
          <w:b w:val="0"/>
          <w:sz w:val="24"/>
          <w:szCs w:val="24"/>
        </w:rPr>
        <w:t>SAPs</w:t>
      </w:r>
      <w:r w:rsidRPr="00E62FB1">
        <w:rPr>
          <w:b w:val="0"/>
          <w:sz w:val="24"/>
          <w:szCs w:val="24"/>
        </w:rPr>
        <w:tab/>
        <w:t>Safety Assessment Principles</w:t>
      </w:r>
    </w:p>
    <w:p w14:paraId="5D1820D9" w14:textId="77777777" w:rsidR="007B558C" w:rsidRPr="00E62FB1" w:rsidRDefault="007B558C" w:rsidP="00FF6B97">
      <w:pPr>
        <w:pStyle w:val="ONRFloatingHeadingBold"/>
        <w:keepNext w:val="0"/>
        <w:keepLines w:val="0"/>
        <w:tabs>
          <w:tab w:val="left" w:pos="1134"/>
        </w:tabs>
        <w:spacing w:before="0" w:after="0" w:line="252" w:lineRule="auto"/>
        <w:ind w:left="0"/>
        <w:rPr>
          <w:b w:val="0"/>
          <w:sz w:val="24"/>
          <w:szCs w:val="24"/>
        </w:rPr>
      </w:pPr>
      <w:r w:rsidRPr="00E62FB1">
        <w:rPr>
          <w:b w:val="0"/>
          <w:sz w:val="24"/>
          <w:szCs w:val="24"/>
        </w:rPr>
        <w:t>WENRA</w:t>
      </w:r>
      <w:r w:rsidRPr="00E62FB1">
        <w:rPr>
          <w:b w:val="0"/>
          <w:sz w:val="24"/>
          <w:szCs w:val="24"/>
        </w:rPr>
        <w:tab/>
        <w:t>West European Nuclear Regulators’ Association</w:t>
      </w:r>
    </w:p>
    <w:p w14:paraId="203C7318" w14:textId="77777777" w:rsidR="006D53B3" w:rsidRDefault="006D53B3" w:rsidP="00166610">
      <w:pPr>
        <w:pStyle w:val="Heading1"/>
        <w:numPr>
          <w:ilvl w:val="0"/>
          <w:numId w:val="0"/>
        </w:numPr>
        <w:ind w:left="851" w:hanging="851"/>
        <w:sectPr w:rsidR="006D53B3" w:rsidSect="000B2BCD">
          <w:pgSz w:w="11906" w:h="16838" w:code="9"/>
          <w:pgMar w:top="1440" w:right="1440" w:bottom="1440" w:left="1440" w:header="397" w:footer="397" w:gutter="0"/>
          <w:cols w:space="312"/>
          <w:docGrid w:linePitch="360"/>
        </w:sectPr>
      </w:pPr>
    </w:p>
    <w:p w14:paraId="48114F25" w14:textId="5D85CC94" w:rsidR="00166610" w:rsidRPr="00136064" w:rsidRDefault="00166610" w:rsidP="00166610">
      <w:pPr>
        <w:pStyle w:val="Heading1"/>
        <w:numPr>
          <w:ilvl w:val="0"/>
          <w:numId w:val="0"/>
        </w:numPr>
        <w:ind w:left="851" w:hanging="851"/>
      </w:pPr>
      <w:bookmarkStart w:id="16" w:name="_Toc227739363"/>
      <w:r>
        <w:lastRenderedPageBreak/>
        <w:t>Document control</w:t>
      </w:r>
      <w:bookmarkEnd w:id="15"/>
      <w:bookmarkEnd w:id="16"/>
      <w:r>
        <w:t xml:space="preserve"> </w:t>
      </w:r>
    </w:p>
    <w:p w14:paraId="4EFBB511" w14:textId="4A182999" w:rsidR="00166610" w:rsidRPr="00B01A35" w:rsidRDefault="00166610" w:rsidP="00F948DC">
      <w:pPr>
        <w:spacing w:after="120"/>
        <w:rPr>
          <w:szCs w:val="24"/>
        </w:rPr>
      </w:pPr>
      <w:r w:rsidRPr="00B01A35">
        <w:rPr>
          <w:b/>
          <w:bCs/>
          <w:szCs w:val="24"/>
        </w:rPr>
        <w:t>Authored by</w:t>
      </w:r>
      <w:r w:rsidRPr="00B01A35">
        <w:rPr>
          <w:szCs w:val="24"/>
        </w:rPr>
        <w:t>: Nuclear Safety Inspector</w:t>
      </w:r>
    </w:p>
    <w:p w14:paraId="295E3ACC" w14:textId="1175762B" w:rsidR="00166610" w:rsidRPr="002D5F2E" w:rsidRDefault="00166610" w:rsidP="00F948DC">
      <w:pPr>
        <w:spacing w:after="120"/>
        <w:rPr>
          <w:szCs w:val="24"/>
        </w:rPr>
      </w:pPr>
      <w:r w:rsidRPr="00B01A35">
        <w:rPr>
          <w:b/>
          <w:bCs/>
          <w:szCs w:val="24"/>
        </w:rPr>
        <w:t>Approved by</w:t>
      </w:r>
      <w:r w:rsidRPr="00B01A35">
        <w:rPr>
          <w:szCs w:val="24"/>
        </w:rPr>
        <w:t>: Head of</w:t>
      </w:r>
      <w:r>
        <w:rPr>
          <w:szCs w:val="24"/>
        </w:rPr>
        <w:t xml:space="preserve"> Profession</w:t>
      </w:r>
      <w:r w:rsidR="006D53B3">
        <w:rPr>
          <w:szCs w:val="24"/>
        </w:rPr>
        <w:t xml:space="preserve"> for Fault </w:t>
      </w:r>
      <w:r w:rsidR="006B6524">
        <w:rPr>
          <w:szCs w:val="24"/>
        </w:rPr>
        <w:t>Analysis</w:t>
      </w:r>
    </w:p>
    <w:p w14:paraId="1F0273FC" w14:textId="5C42680C" w:rsidR="00166610" w:rsidRPr="002D5F2E" w:rsidRDefault="00166610" w:rsidP="00F948DC">
      <w:pPr>
        <w:spacing w:after="120"/>
        <w:rPr>
          <w:szCs w:val="24"/>
        </w:rPr>
      </w:pPr>
      <w:r w:rsidRPr="002D5F2E">
        <w:rPr>
          <w:b/>
          <w:bCs/>
          <w:szCs w:val="24"/>
        </w:rPr>
        <w:t>Issue</w:t>
      </w:r>
      <w:r w:rsidRPr="002D5F2E">
        <w:rPr>
          <w:szCs w:val="24"/>
        </w:rPr>
        <w:t xml:space="preserve">: </w:t>
      </w:r>
      <w:sdt>
        <w:sdtPr>
          <w:alias w:val="Issue No."/>
          <w:tag w:val=""/>
          <w:id w:val="-1193693483"/>
          <w:placeholder>
            <w:docPart w:val="F5AB315F71AF4D3CB6D7ECE4596F20C4"/>
          </w:placeholder>
          <w:dataBinding w:prefixMappings="xmlns:ns0='http://purl.org/dc/elements/1.1/' xmlns:ns1='http://schemas.openxmlformats.org/package/2006/metadata/core-properties' " w:xpath="/ns1:coreProperties[1]/ns1:contentStatus[1]" w:storeItemID="{6C3C8BC8-F283-45AE-878A-BAB7291924A1}"/>
          <w:text/>
        </w:sdtPr>
        <w:sdtContent>
          <w:r w:rsidR="00512A0F">
            <w:t>6</w:t>
          </w:r>
        </w:sdtContent>
      </w:sdt>
    </w:p>
    <w:p w14:paraId="3C285626" w14:textId="6F08FEE5" w:rsidR="00166610" w:rsidRPr="002D5F2E" w:rsidRDefault="00166610" w:rsidP="00F948DC">
      <w:pPr>
        <w:spacing w:after="120"/>
        <w:rPr>
          <w:szCs w:val="24"/>
        </w:rPr>
      </w:pPr>
      <w:r>
        <w:rPr>
          <w:b/>
          <w:bCs/>
          <w:szCs w:val="24"/>
        </w:rPr>
        <w:t>Published</w:t>
      </w:r>
      <w:r w:rsidRPr="002D5F2E">
        <w:rPr>
          <w:szCs w:val="24"/>
        </w:rPr>
        <w:t xml:space="preserve">: </w:t>
      </w:r>
      <w:r w:rsidR="00FF2557" w:rsidRPr="00776AAE">
        <w:rPr>
          <w:szCs w:val="24"/>
        </w:rPr>
        <w:t>April</w:t>
      </w:r>
      <w:r w:rsidRPr="00776AAE">
        <w:rPr>
          <w:szCs w:val="24"/>
        </w:rPr>
        <w:t xml:space="preserve"> </w:t>
      </w:r>
      <w:r w:rsidR="00FF2557" w:rsidRPr="00776AAE">
        <w:rPr>
          <w:szCs w:val="24"/>
        </w:rPr>
        <w:t>2026</w:t>
      </w:r>
    </w:p>
    <w:p w14:paraId="02DE1814" w14:textId="541EDBE6" w:rsidR="00FF2557" w:rsidRDefault="00166610" w:rsidP="00F948DC">
      <w:pPr>
        <w:spacing w:after="120"/>
        <w:rPr>
          <w:szCs w:val="24"/>
        </w:rPr>
      </w:pPr>
      <w:r w:rsidRPr="002D5F2E">
        <w:rPr>
          <w:b/>
          <w:bCs/>
          <w:szCs w:val="24"/>
        </w:rPr>
        <w:t xml:space="preserve">Next </w:t>
      </w:r>
      <w:r>
        <w:rPr>
          <w:b/>
          <w:bCs/>
          <w:szCs w:val="24"/>
        </w:rPr>
        <w:t>scheduled review</w:t>
      </w:r>
      <w:r w:rsidRPr="002D5F2E">
        <w:rPr>
          <w:szCs w:val="24"/>
        </w:rPr>
        <w:t xml:space="preserve">: </w:t>
      </w:r>
      <w:r w:rsidR="00FF2557" w:rsidRPr="00776AAE">
        <w:rPr>
          <w:szCs w:val="24"/>
        </w:rPr>
        <w:t>April</w:t>
      </w:r>
      <w:r w:rsidRPr="00776AAE">
        <w:rPr>
          <w:szCs w:val="24"/>
        </w:rPr>
        <w:t xml:space="preserve"> </w:t>
      </w:r>
      <w:r w:rsidR="00FF2557" w:rsidRPr="00776AAE">
        <w:rPr>
          <w:szCs w:val="24"/>
        </w:rPr>
        <w:t>2031</w:t>
      </w:r>
    </w:p>
    <w:p w14:paraId="6042DE60" w14:textId="3BADD2A7" w:rsidR="00166610" w:rsidRPr="002D5F2E" w:rsidRDefault="00166610" w:rsidP="00F948DC">
      <w:pPr>
        <w:spacing w:after="120"/>
        <w:rPr>
          <w:szCs w:val="24"/>
        </w:rPr>
      </w:pPr>
      <w:r w:rsidRPr="002D5F2E">
        <w:rPr>
          <w:b/>
          <w:bCs/>
          <w:szCs w:val="24"/>
        </w:rPr>
        <w:t>Doc</w:t>
      </w:r>
      <w:r>
        <w:rPr>
          <w:b/>
          <w:bCs/>
          <w:szCs w:val="24"/>
        </w:rPr>
        <w:t>ument reference</w:t>
      </w:r>
      <w:r w:rsidRPr="002D5F2E">
        <w:rPr>
          <w:szCs w:val="24"/>
        </w:rPr>
        <w:t xml:space="preserve">: </w:t>
      </w:r>
      <w:r w:rsidR="00F948DC">
        <w:rPr>
          <w:szCs w:val="24"/>
        </w:rPr>
        <w:t>NS-TAST-GD-042</w:t>
      </w:r>
    </w:p>
    <w:p w14:paraId="62328129" w14:textId="77777777" w:rsidR="006D53B3" w:rsidRPr="002D5F2E" w:rsidRDefault="006D53B3" w:rsidP="00776AAE">
      <w:pPr>
        <w:spacing w:after="120"/>
        <w:rPr>
          <w:szCs w:val="24"/>
        </w:rPr>
      </w:pPr>
    </w:p>
    <w:p w14:paraId="49245A53" w14:textId="77777777" w:rsidR="00166610" w:rsidRDefault="00166610" w:rsidP="00166610">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166610" w:rsidRPr="002D5F2E" w14:paraId="0842AC83" w14:textId="77777777" w:rsidTr="007840CB">
        <w:trPr>
          <w:cnfStyle w:val="100000000000" w:firstRow="1" w:lastRow="0" w:firstColumn="0" w:lastColumn="0" w:oddVBand="0" w:evenVBand="0" w:oddHBand="0" w:evenHBand="0" w:firstRowFirstColumn="0" w:firstRowLastColumn="0" w:lastRowFirstColumn="0" w:lastRowLastColumn="0"/>
        </w:trPr>
        <w:tc>
          <w:tcPr>
            <w:tcW w:w="1550" w:type="dxa"/>
          </w:tcPr>
          <w:p w14:paraId="12AA0724" w14:textId="77777777" w:rsidR="00166610" w:rsidRPr="002D5F2E" w:rsidRDefault="00166610" w:rsidP="007840CB">
            <w:pPr>
              <w:spacing w:before="60" w:after="60"/>
              <w:rPr>
                <w:b w:val="0"/>
                <w:bCs/>
                <w:szCs w:val="24"/>
              </w:rPr>
            </w:pPr>
            <w:r w:rsidRPr="002D5F2E">
              <w:rPr>
                <w:b w:val="0"/>
                <w:bCs/>
                <w:szCs w:val="24"/>
              </w:rPr>
              <w:t>Issue</w:t>
            </w:r>
          </w:p>
        </w:tc>
        <w:tc>
          <w:tcPr>
            <w:tcW w:w="7466" w:type="dxa"/>
          </w:tcPr>
          <w:p w14:paraId="1FE0A5BB" w14:textId="77777777" w:rsidR="00166610" w:rsidRPr="002D5F2E" w:rsidRDefault="00166610" w:rsidP="007840CB">
            <w:pPr>
              <w:spacing w:before="60" w:after="60"/>
              <w:rPr>
                <w:b w:val="0"/>
                <w:bCs/>
                <w:szCs w:val="24"/>
              </w:rPr>
            </w:pPr>
            <w:r w:rsidRPr="002D5F2E">
              <w:rPr>
                <w:b w:val="0"/>
                <w:bCs/>
                <w:szCs w:val="24"/>
              </w:rPr>
              <w:t xml:space="preserve">Description of </w:t>
            </w:r>
            <w:r>
              <w:rPr>
                <w:b w:val="0"/>
                <w:bCs/>
                <w:szCs w:val="24"/>
              </w:rPr>
              <w:t>u</w:t>
            </w:r>
            <w:r w:rsidRPr="002D5F2E">
              <w:rPr>
                <w:b w:val="0"/>
                <w:bCs/>
                <w:szCs w:val="24"/>
              </w:rPr>
              <w:t>pdate(s)</w:t>
            </w:r>
          </w:p>
        </w:tc>
      </w:tr>
      <w:tr w:rsidR="00B01A35" w:rsidRPr="002D5F2E" w14:paraId="44894737" w14:textId="77777777" w:rsidTr="007840CB">
        <w:tc>
          <w:tcPr>
            <w:tcW w:w="1550" w:type="dxa"/>
          </w:tcPr>
          <w:p w14:paraId="00E0CC33" w14:textId="31A800A4" w:rsidR="00B01A35" w:rsidRPr="002D5F2E" w:rsidRDefault="00B01A35" w:rsidP="00B01A35">
            <w:pPr>
              <w:spacing w:before="60" w:after="60"/>
              <w:rPr>
                <w:szCs w:val="24"/>
              </w:rPr>
            </w:pPr>
            <w:r>
              <w:rPr>
                <w:szCs w:val="24"/>
              </w:rPr>
              <w:t>5.2</w:t>
            </w:r>
          </w:p>
        </w:tc>
        <w:tc>
          <w:tcPr>
            <w:tcW w:w="7466" w:type="dxa"/>
          </w:tcPr>
          <w:p w14:paraId="51805D54" w14:textId="0EF04092" w:rsidR="00B01A35" w:rsidRPr="002D5F2E" w:rsidRDefault="00B01A35" w:rsidP="00B01A35">
            <w:pPr>
              <w:spacing w:before="60" w:after="60"/>
              <w:rPr>
                <w:szCs w:val="24"/>
              </w:rPr>
            </w:pPr>
            <w:r>
              <w:rPr>
                <w:szCs w:val="24"/>
              </w:rPr>
              <w:t>Minor update to extend review date to allow time for major review in 2025. Format of document updated into latest TAG template. References to withdrawn documents/standards updated, where applicable.</w:t>
            </w:r>
          </w:p>
        </w:tc>
      </w:tr>
      <w:tr w:rsidR="00B01A35" w:rsidRPr="002D5F2E" w14:paraId="311B3302" w14:textId="77777777" w:rsidTr="007840CB">
        <w:tc>
          <w:tcPr>
            <w:tcW w:w="1550" w:type="dxa"/>
          </w:tcPr>
          <w:p w14:paraId="62B8933E" w14:textId="152D5CDC" w:rsidR="00B01A35" w:rsidRPr="002D5F2E" w:rsidRDefault="00B01A35" w:rsidP="00B01A35">
            <w:pPr>
              <w:spacing w:before="60" w:after="60"/>
              <w:rPr>
                <w:szCs w:val="24"/>
              </w:rPr>
            </w:pPr>
            <w:r>
              <w:rPr>
                <w:szCs w:val="24"/>
              </w:rPr>
              <w:t>6</w:t>
            </w:r>
          </w:p>
        </w:tc>
        <w:tc>
          <w:tcPr>
            <w:tcW w:w="7466" w:type="dxa"/>
          </w:tcPr>
          <w:p w14:paraId="7B80A685" w14:textId="77777777" w:rsidR="00B01A35" w:rsidRDefault="00B01A35" w:rsidP="00B01A35">
            <w:pPr>
              <w:spacing w:before="60" w:after="60"/>
              <w:rPr>
                <w:szCs w:val="24"/>
              </w:rPr>
            </w:pPr>
            <w:r>
              <w:rPr>
                <w:szCs w:val="24"/>
              </w:rPr>
              <w:t>Title change – from “</w:t>
            </w:r>
            <w:r w:rsidRPr="00C13F19">
              <w:rPr>
                <w:szCs w:val="24"/>
              </w:rPr>
              <w:t>Validation of computer codes</w:t>
            </w:r>
            <w:r>
              <w:rPr>
                <w:szCs w:val="24"/>
              </w:rPr>
              <w:t xml:space="preserve"> </w:t>
            </w:r>
            <w:r w:rsidRPr="00C13F19">
              <w:rPr>
                <w:szCs w:val="24"/>
              </w:rPr>
              <w:t>and calculation methods</w:t>
            </w:r>
            <w:r>
              <w:rPr>
                <w:szCs w:val="24"/>
              </w:rPr>
              <w:t>” to “Assurance of validity of data and models”.</w:t>
            </w:r>
          </w:p>
          <w:p w14:paraId="5DF59327" w14:textId="55FFFE12" w:rsidR="00B01A35" w:rsidRDefault="00B01A35" w:rsidP="00B01A35">
            <w:pPr>
              <w:spacing w:before="60" w:after="60"/>
              <w:rPr>
                <w:szCs w:val="24"/>
              </w:rPr>
            </w:pPr>
            <w:r>
              <w:rPr>
                <w:szCs w:val="24"/>
              </w:rPr>
              <w:t xml:space="preserve">Significant update to TAG. Clearer alignment of expectations against the SAPs. Expansion of advice to inspectors. Removal of appendices related to computational fluid dynamics, </w:t>
            </w:r>
            <w:r w:rsidR="00AE1B47">
              <w:rPr>
                <w:szCs w:val="24"/>
              </w:rPr>
              <w:t>c</w:t>
            </w:r>
            <w:r>
              <w:rPr>
                <w:szCs w:val="24"/>
              </w:rPr>
              <w:t xml:space="preserve">ode </w:t>
            </w:r>
            <w:r w:rsidR="00AE1B47">
              <w:rPr>
                <w:szCs w:val="24"/>
              </w:rPr>
              <w:t>s</w:t>
            </w:r>
            <w:r>
              <w:rPr>
                <w:szCs w:val="24"/>
              </w:rPr>
              <w:t xml:space="preserve">caling, </w:t>
            </w:r>
            <w:r w:rsidR="00AE1B47">
              <w:rPr>
                <w:szCs w:val="24"/>
              </w:rPr>
              <w:t>a</w:t>
            </w:r>
            <w:r>
              <w:rPr>
                <w:szCs w:val="24"/>
              </w:rPr>
              <w:t xml:space="preserve">pplicability and </w:t>
            </w:r>
            <w:r w:rsidR="00AE1B47">
              <w:rPr>
                <w:szCs w:val="24"/>
              </w:rPr>
              <w:t>u</w:t>
            </w:r>
            <w:r>
              <w:rPr>
                <w:szCs w:val="24"/>
              </w:rPr>
              <w:t>ncertainty and finite element modelling. Removal of definitions.</w:t>
            </w:r>
          </w:p>
        </w:tc>
      </w:tr>
    </w:tbl>
    <w:p w14:paraId="617DF1CE" w14:textId="77777777" w:rsidR="00166610" w:rsidRDefault="00166610" w:rsidP="00166610"/>
    <w:p w14:paraId="37B24A19" w14:textId="77777777" w:rsidR="00166610" w:rsidRPr="00F32B6F" w:rsidRDefault="00166610" w:rsidP="00166610">
      <w:pPr>
        <w:rPr>
          <w:sz w:val="20"/>
          <w:szCs w:val="18"/>
        </w:rPr>
      </w:pPr>
      <w:r w:rsidRPr="00F32B6F">
        <w:rPr>
          <w:b/>
          <w:bCs/>
          <w:sz w:val="20"/>
          <w:szCs w:val="18"/>
        </w:rPr>
        <w:t>Template reference</w:t>
      </w:r>
      <w:r w:rsidRPr="00F32B6F">
        <w:rPr>
          <w:sz w:val="20"/>
          <w:szCs w:val="18"/>
        </w:rPr>
        <w:t>: ONR-DOC-TEMP-002 (Issue 6)</w:t>
      </w:r>
    </w:p>
    <w:p w14:paraId="5FD814DC" w14:textId="77777777" w:rsidR="00E62FB1" w:rsidRPr="00E62FB1" w:rsidRDefault="00E62FB1" w:rsidP="00E62FB1">
      <w:pPr>
        <w:pStyle w:val="ONRFloatingHeadingBold"/>
        <w:keepNext w:val="0"/>
        <w:keepLines w:val="0"/>
        <w:tabs>
          <w:tab w:val="left" w:pos="1134"/>
        </w:tabs>
        <w:spacing w:before="0" w:after="120" w:line="252" w:lineRule="auto"/>
        <w:ind w:left="0"/>
        <w:rPr>
          <w:b w:val="0"/>
          <w:sz w:val="24"/>
          <w:szCs w:val="24"/>
        </w:rPr>
      </w:pPr>
    </w:p>
    <w:sectPr w:rsidR="00E62FB1" w:rsidRPr="00E62FB1" w:rsidSect="000B2BCD">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1D0EF" w14:textId="77777777" w:rsidR="00DC04AB" w:rsidRDefault="00DC04AB" w:rsidP="007D199A">
      <w:pPr>
        <w:spacing w:after="0"/>
      </w:pPr>
      <w:r>
        <w:separator/>
      </w:r>
    </w:p>
    <w:p w14:paraId="3B9942E8" w14:textId="77777777" w:rsidR="00DC04AB" w:rsidRDefault="00DC04AB"/>
    <w:p w14:paraId="01A88F35" w14:textId="77777777" w:rsidR="00DC04AB" w:rsidRDefault="00DC04AB"/>
  </w:endnote>
  <w:endnote w:type="continuationSeparator" w:id="0">
    <w:p w14:paraId="72E8A739" w14:textId="77777777" w:rsidR="00DC04AB" w:rsidRDefault="00DC04AB" w:rsidP="007D199A">
      <w:pPr>
        <w:spacing w:after="0"/>
      </w:pPr>
      <w:r>
        <w:continuationSeparator/>
      </w:r>
    </w:p>
    <w:p w14:paraId="62642F8A" w14:textId="77777777" w:rsidR="00DC04AB" w:rsidRDefault="00DC04AB"/>
    <w:p w14:paraId="3880A876" w14:textId="77777777" w:rsidR="00DC04AB" w:rsidRDefault="00DC04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08BD" w14:textId="56CE48E5" w:rsidR="00CE6198" w:rsidRPr="000B2BCD" w:rsidRDefault="002D5F2E" w:rsidP="000B2BCD">
    <w:pPr>
      <w:pStyle w:val="Footer"/>
      <w:spacing w:before="240" w:after="0" w:line="240" w:lineRule="auto"/>
      <w:rPr>
        <w:rStyle w:val="PageNumber"/>
        <w:color w:val="22413A"/>
        <w:sz w:val="24"/>
      </w:rPr>
    </w:pPr>
    <w:r w:rsidRPr="002D5F2E">
      <w:rPr>
        <w:rStyle w:val="PageNumber"/>
        <w:color w:val="22413A"/>
        <w:sz w:val="24"/>
      </w:rPr>
      <w:t xml:space="preserve">Page | </w:t>
    </w:r>
    <w:r w:rsidRPr="002D5F2E">
      <w:rPr>
        <w:rStyle w:val="PageNumber"/>
        <w:color w:val="22413A"/>
        <w:sz w:val="24"/>
      </w:rPr>
      <w:fldChar w:fldCharType="begin"/>
    </w:r>
    <w:r w:rsidRPr="002D5F2E">
      <w:rPr>
        <w:rStyle w:val="PageNumber"/>
        <w:color w:val="22413A"/>
        <w:sz w:val="24"/>
      </w:rPr>
      <w:instrText xml:space="preserve"> PAGE   \* MERGEFORMAT </w:instrText>
    </w:r>
    <w:r w:rsidRPr="002D5F2E">
      <w:rPr>
        <w:rStyle w:val="PageNumber"/>
        <w:color w:val="22413A"/>
        <w:sz w:val="24"/>
      </w:rPr>
      <w:fldChar w:fldCharType="separate"/>
    </w:r>
    <w:r w:rsidRPr="002D5F2E">
      <w:rPr>
        <w:rStyle w:val="PageNumber"/>
        <w:noProof/>
        <w:color w:val="22413A"/>
        <w:sz w:val="24"/>
      </w:rPr>
      <w:t>1</w:t>
    </w:r>
    <w:r w:rsidRPr="002D5F2E">
      <w:rPr>
        <w:rStyle w:val="PageNumber"/>
        <w:noProof/>
        <w:color w:val="22413A"/>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E74BC" w14:textId="77777777" w:rsidR="00DC04AB" w:rsidRPr="005E0344" w:rsidRDefault="00DC04AB" w:rsidP="005E0344">
      <w:pPr>
        <w:spacing w:after="120"/>
        <w:rPr>
          <w:color w:val="000000" w:themeColor="text2"/>
        </w:rPr>
      </w:pPr>
      <w:r w:rsidRPr="005E0344">
        <w:rPr>
          <w:color w:val="000000" w:themeColor="text2"/>
        </w:rPr>
        <w:separator/>
      </w:r>
    </w:p>
    <w:p w14:paraId="2341189B" w14:textId="77777777" w:rsidR="00DC04AB" w:rsidRDefault="00DC04AB"/>
  </w:footnote>
  <w:footnote w:type="continuationSeparator" w:id="0">
    <w:p w14:paraId="72DAAEF0" w14:textId="77777777" w:rsidR="00DC04AB" w:rsidRPr="005E0344" w:rsidRDefault="00DC04AB" w:rsidP="0090581D">
      <w:pPr>
        <w:spacing w:after="120"/>
        <w:rPr>
          <w:color w:val="000000" w:themeColor="text2"/>
        </w:rPr>
      </w:pPr>
      <w:r w:rsidRPr="005E0344">
        <w:rPr>
          <w:color w:val="000000" w:themeColor="text2"/>
        </w:rPr>
        <w:continuationSeparator/>
      </w:r>
    </w:p>
    <w:p w14:paraId="4A7616D6" w14:textId="77777777" w:rsidR="00DC04AB" w:rsidRDefault="00DC04AB"/>
    <w:p w14:paraId="2F56EE14" w14:textId="77777777" w:rsidR="00DC04AB" w:rsidRDefault="00DC04AB"/>
  </w:footnote>
  <w:footnote w:type="continuationNotice" w:id="1">
    <w:p w14:paraId="3330C54E" w14:textId="77777777" w:rsidR="00DC04AB" w:rsidRDefault="00DC04AB">
      <w:pPr>
        <w:spacing w:after="0"/>
      </w:pPr>
    </w:p>
    <w:p w14:paraId="710DFFAC" w14:textId="77777777" w:rsidR="00DC04AB" w:rsidRDefault="00DC04AB"/>
    <w:p w14:paraId="41166E7B" w14:textId="77777777" w:rsidR="00DC04AB" w:rsidRDefault="00DC04AB"/>
  </w:footnote>
  <w:footnote w:id="2">
    <w:p w14:paraId="4BD7CFB6" w14:textId="12343412" w:rsidR="00D00E1A" w:rsidRDefault="00D00E1A" w:rsidP="00FE03D8">
      <w:pPr>
        <w:pStyle w:val="FootnoteText"/>
        <w:ind w:left="0" w:firstLine="0"/>
      </w:pPr>
      <w:r>
        <w:rPr>
          <w:rStyle w:val="FootnoteReference"/>
        </w:rPr>
        <w:footnoteRef/>
      </w:r>
      <w:r>
        <w:t xml:space="preserve"> </w:t>
      </w:r>
      <w:r w:rsidR="00A34996" w:rsidRPr="00A34996">
        <w:t xml:space="preserve">Throughout this TAG, the term ‘calculation methods’ is used as a collective term for any method that is used to represent facilities, </w:t>
      </w:r>
      <w:r w:rsidR="00B3612A">
        <w:t xml:space="preserve">physical or chemical </w:t>
      </w:r>
      <w:r w:rsidR="00A34996" w:rsidRPr="00A34996">
        <w:t>processes and/or phenomena. It includes complex computer codes, computer scripts, hand calculations, spreadsheet calculations etc.</w:t>
      </w:r>
      <w:r w:rsidR="006C2A26">
        <w:t>,</w:t>
      </w:r>
      <w:r w:rsidR="00A34996" w:rsidRPr="00A34996">
        <w:t xml:space="preserve"> or a combination of th</w:t>
      </w:r>
      <w:r w:rsidR="006C2A26">
        <w:t>e</w:t>
      </w:r>
      <w:r w:rsidR="00A34996" w:rsidRPr="00A34996">
        <w:t>se.</w:t>
      </w:r>
    </w:p>
  </w:footnote>
  <w:footnote w:id="3">
    <w:p w14:paraId="3FF503FE" w14:textId="2E69DC9E" w:rsidR="00A34996" w:rsidRDefault="00A34996" w:rsidP="00FE03D8">
      <w:pPr>
        <w:pStyle w:val="FootnoteText"/>
        <w:ind w:left="0" w:firstLine="0"/>
      </w:pPr>
      <w:r>
        <w:rPr>
          <w:rStyle w:val="FootnoteReference"/>
        </w:rPr>
        <w:footnoteRef/>
      </w:r>
      <w:r>
        <w:t xml:space="preserve"> </w:t>
      </w:r>
      <w:r w:rsidR="007062CD" w:rsidRPr="007062CD">
        <w:t>The expectations set out in this TAG refer to ‘dutyholders’; however, the expectations are largely applicable for assessment of non-dutyholder submissions, such as a ‘requesting party’ undergoing Generic Design Assessment (GDA).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77777777" w:rsidR="00CE6198" w:rsidRDefault="00CE6198"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65B1" w14:textId="4E91517D" w:rsidR="000B2BCD" w:rsidRPr="00046936" w:rsidRDefault="00000000"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Content>
        <w:r w:rsidR="00FE03D8">
          <w:rPr>
            <w:sz w:val="20"/>
            <w:szCs w:val="24"/>
          </w:rPr>
          <w:t>Assurance of validity of data and models</w:t>
        </w:r>
      </w:sdtContent>
    </w:sdt>
    <w:r w:rsidR="000B2BCD" w:rsidRPr="00046936">
      <w:rPr>
        <w:sz w:val="20"/>
        <w:szCs w:val="24"/>
      </w:rPr>
      <w:t xml:space="preserve"> | Issue: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Content>
        <w:r w:rsidR="00512A0F">
          <w:rPr>
            <w:sz w:val="20"/>
            <w:szCs w:val="24"/>
          </w:rPr>
          <w:t>6</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2D6C50DD"/>
    <w:multiLevelType w:val="multilevel"/>
    <w:tmpl w:val="0C28B4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A131EFE"/>
    <w:multiLevelType w:val="multilevel"/>
    <w:tmpl w:val="1298B756"/>
    <w:lvl w:ilvl="0">
      <w:start w:val="1"/>
      <w:numFmt w:val="decimal"/>
      <w:pStyle w:val="Number"/>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Text w:val="(%5)"/>
      <w:lvlJc w:val="left"/>
      <w:pPr>
        <w:tabs>
          <w:tab w:val="num" w:pos="-31680"/>
        </w:tabs>
        <w:ind w:left="1440" w:hanging="720"/>
      </w:pPr>
      <w:rPr>
        <w:rFonts w:hint="default"/>
      </w:rPr>
    </w:lvl>
    <w:lvl w:ilvl="5">
      <w:start w:val="1"/>
      <w:numFmt w:val="lowerRoman"/>
      <w:lvlText w:val="(%6)"/>
      <w:lvlJc w:val="left"/>
      <w:pPr>
        <w:tabs>
          <w:tab w:val="num" w:pos="-31680"/>
        </w:tabs>
        <w:ind w:left="2160" w:hanging="720"/>
      </w:pPr>
      <w:rPr>
        <w:rFonts w:hint="default"/>
      </w:rPr>
    </w:lvl>
    <w:lvl w:ilvl="6">
      <w:start w:val="1"/>
      <w:numFmt w:val="bullet"/>
      <w:lvlText w:val=""/>
      <w:lvlJc w:val="left"/>
      <w:pPr>
        <w:tabs>
          <w:tab w:val="num" w:pos="720"/>
        </w:tabs>
        <w:ind w:left="720" w:hanging="720"/>
      </w:pPr>
      <w:rPr>
        <w:rFonts w:ascii="Symbol" w:hAnsi="Symbol" w:hint="default"/>
        <w:sz w:val="24"/>
      </w:rPr>
    </w:lvl>
    <w:lvl w:ilvl="7">
      <w:start w:val="1"/>
      <w:numFmt w:val="bullet"/>
      <w:lvlText w:val=""/>
      <w:lvlJc w:val="left"/>
      <w:pPr>
        <w:tabs>
          <w:tab w:val="num" w:pos="1440"/>
        </w:tabs>
        <w:ind w:left="1440" w:hanging="720"/>
      </w:pPr>
      <w:rPr>
        <w:rFonts w:ascii="Symbol" w:hAnsi="Symbol" w:hint="default"/>
        <w:sz w:val="28"/>
      </w:rPr>
    </w:lvl>
    <w:lvl w:ilvl="8">
      <w:start w:val="1"/>
      <w:numFmt w:val="bullet"/>
      <w:lvlText w:val=""/>
      <w:lvlJc w:val="left"/>
      <w:pPr>
        <w:tabs>
          <w:tab w:val="num" w:pos="2041"/>
        </w:tabs>
        <w:ind w:left="2041" w:hanging="601"/>
      </w:pPr>
      <w:rPr>
        <w:rFonts w:ascii="Symbol" w:hAnsi="Symbol" w:hint="default"/>
        <w:sz w:val="28"/>
      </w:rPr>
    </w:lvl>
  </w:abstractNum>
  <w:abstractNum w:abstractNumId="3" w15:restartNumberingAfterBreak="0">
    <w:nsid w:val="513B7A79"/>
    <w:multiLevelType w:val="multilevel"/>
    <w:tmpl w:val="E5FA2E3C"/>
    <w:lvl w:ilvl="0">
      <w:start w:val="1"/>
      <w:numFmt w:val="decimal"/>
      <w:pStyle w:val="NumberedHeading"/>
      <w:lvlText w:val="%1."/>
      <w:lvlJc w:val="left"/>
      <w:pPr>
        <w:tabs>
          <w:tab w:val="num" w:pos="-31680"/>
        </w:tabs>
        <w:ind w:left="720" w:hanging="720"/>
      </w:pPr>
      <w:rPr>
        <w:rFonts w:hint="default"/>
      </w:rPr>
    </w:lvl>
    <w:lvl w:ilvl="1">
      <w:start w:val="1"/>
      <w:numFmt w:val="decimal"/>
      <w:pStyle w:val="NumberedParagraph"/>
      <w:lvlText w:val="%1.%2."/>
      <w:lvlJc w:val="left"/>
      <w:pPr>
        <w:tabs>
          <w:tab w:val="num" w:pos="-31680"/>
        </w:tabs>
        <w:ind w:left="720" w:hanging="720"/>
      </w:pPr>
      <w:rPr>
        <w:rFonts w:hint="default"/>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F420E26"/>
    <w:multiLevelType w:val="hybridMultilevel"/>
    <w:tmpl w:val="009A9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7"/>
  </w:num>
  <w:num w:numId="2" w16cid:durableId="399718409">
    <w:abstractNumId w:val="8"/>
  </w:num>
  <w:num w:numId="3" w16cid:durableId="999388671">
    <w:abstractNumId w:val="4"/>
  </w:num>
  <w:num w:numId="4" w16cid:durableId="1293636562">
    <w:abstractNumId w:val="9"/>
  </w:num>
  <w:num w:numId="5" w16cid:durableId="391512796">
    <w:abstractNumId w:val="0"/>
  </w:num>
  <w:num w:numId="6" w16cid:durableId="810757507">
    <w:abstractNumId w:val="6"/>
  </w:num>
  <w:num w:numId="7" w16cid:durableId="2975391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275111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83034299">
    <w:abstractNumId w:val="3"/>
  </w:num>
  <w:num w:numId="10" w16cid:durableId="17778656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902474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207075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732742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750777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723730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94491647">
    <w:abstractNumId w:val="2"/>
  </w:num>
  <w:num w:numId="17" w16cid:durableId="639000724">
    <w:abstractNumId w:val="1"/>
  </w:num>
  <w:num w:numId="18" w16cid:durableId="1376193599">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0ED"/>
    <w:rsid w:val="000004B2"/>
    <w:rsid w:val="00000AE9"/>
    <w:rsid w:val="00001296"/>
    <w:rsid w:val="00001496"/>
    <w:rsid w:val="000017FB"/>
    <w:rsid w:val="00002040"/>
    <w:rsid w:val="000023AE"/>
    <w:rsid w:val="0000298B"/>
    <w:rsid w:val="00002F03"/>
    <w:rsid w:val="000032C9"/>
    <w:rsid w:val="00004A69"/>
    <w:rsid w:val="00004C16"/>
    <w:rsid w:val="0000509C"/>
    <w:rsid w:val="00006C6E"/>
    <w:rsid w:val="00007423"/>
    <w:rsid w:val="00007505"/>
    <w:rsid w:val="00007522"/>
    <w:rsid w:val="00010726"/>
    <w:rsid w:val="00011177"/>
    <w:rsid w:val="00011669"/>
    <w:rsid w:val="00012D6E"/>
    <w:rsid w:val="00013372"/>
    <w:rsid w:val="0001347B"/>
    <w:rsid w:val="00013DB8"/>
    <w:rsid w:val="00014814"/>
    <w:rsid w:val="000162C4"/>
    <w:rsid w:val="00017EF1"/>
    <w:rsid w:val="00020241"/>
    <w:rsid w:val="000207F3"/>
    <w:rsid w:val="000218F4"/>
    <w:rsid w:val="00021FD3"/>
    <w:rsid w:val="00022372"/>
    <w:rsid w:val="00022395"/>
    <w:rsid w:val="00022E62"/>
    <w:rsid w:val="00023269"/>
    <w:rsid w:val="000238B8"/>
    <w:rsid w:val="00024522"/>
    <w:rsid w:val="00024B21"/>
    <w:rsid w:val="00024B2E"/>
    <w:rsid w:val="00024E34"/>
    <w:rsid w:val="0002564A"/>
    <w:rsid w:val="000257D6"/>
    <w:rsid w:val="00026BE9"/>
    <w:rsid w:val="00026CC1"/>
    <w:rsid w:val="00027F4F"/>
    <w:rsid w:val="00030430"/>
    <w:rsid w:val="0003078E"/>
    <w:rsid w:val="00031B89"/>
    <w:rsid w:val="00031E0B"/>
    <w:rsid w:val="0003272F"/>
    <w:rsid w:val="000327FB"/>
    <w:rsid w:val="00032872"/>
    <w:rsid w:val="00033086"/>
    <w:rsid w:val="000330D3"/>
    <w:rsid w:val="000342D8"/>
    <w:rsid w:val="00034E5A"/>
    <w:rsid w:val="00035E00"/>
    <w:rsid w:val="00035FB6"/>
    <w:rsid w:val="0003693D"/>
    <w:rsid w:val="00036ED4"/>
    <w:rsid w:val="00037548"/>
    <w:rsid w:val="00037EE2"/>
    <w:rsid w:val="000406D5"/>
    <w:rsid w:val="00041234"/>
    <w:rsid w:val="000427D6"/>
    <w:rsid w:val="000435BD"/>
    <w:rsid w:val="0004440F"/>
    <w:rsid w:val="00046454"/>
    <w:rsid w:val="00046773"/>
    <w:rsid w:val="00046936"/>
    <w:rsid w:val="0005086F"/>
    <w:rsid w:val="000514E4"/>
    <w:rsid w:val="000518EB"/>
    <w:rsid w:val="00052C8A"/>
    <w:rsid w:val="00052E76"/>
    <w:rsid w:val="00053207"/>
    <w:rsid w:val="000548C8"/>
    <w:rsid w:val="00055898"/>
    <w:rsid w:val="00056216"/>
    <w:rsid w:val="000565E9"/>
    <w:rsid w:val="00057D2A"/>
    <w:rsid w:val="00061162"/>
    <w:rsid w:val="00063097"/>
    <w:rsid w:val="0006583E"/>
    <w:rsid w:val="00066341"/>
    <w:rsid w:val="00070F63"/>
    <w:rsid w:val="0007178A"/>
    <w:rsid w:val="00071D4C"/>
    <w:rsid w:val="000724F7"/>
    <w:rsid w:val="0007363C"/>
    <w:rsid w:val="00073EC1"/>
    <w:rsid w:val="00075605"/>
    <w:rsid w:val="00075C66"/>
    <w:rsid w:val="000761C6"/>
    <w:rsid w:val="00076275"/>
    <w:rsid w:val="00077877"/>
    <w:rsid w:val="00081114"/>
    <w:rsid w:val="00081151"/>
    <w:rsid w:val="00082879"/>
    <w:rsid w:val="00082E71"/>
    <w:rsid w:val="000841A8"/>
    <w:rsid w:val="0008427D"/>
    <w:rsid w:val="00084815"/>
    <w:rsid w:val="00086434"/>
    <w:rsid w:val="0008667C"/>
    <w:rsid w:val="0009053F"/>
    <w:rsid w:val="00090B8E"/>
    <w:rsid w:val="0009190D"/>
    <w:rsid w:val="00091EEA"/>
    <w:rsid w:val="00092D36"/>
    <w:rsid w:val="00092EAF"/>
    <w:rsid w:val="00094372"/>
    <w:rsid w:val="000950B3"/>
    <w:rsid w:val="00095187"/>
    <w:rsid w:val="000954BA"/>
    <w:rsid w:val="000955B5"/>
    <w:rsid w:val="000958F9"/>
    <w:rsid w:val="000A23C5"/>
    <w:rsid w:val="000A2C46"/>
    <w:rsid w:val="000A3BA5"/>
    <w:rsid w:val="000A4DD8"/>
    <w:rsid w:val="000A4E18"/>
    <w:rsid w:val="000A4F42"/>
    <w:rsid w:val="000A51C3"/>
    <w:rsid w:val="000A5D7E"/>
    <w:rsid w:val="000A69CC"/>
    <w:rsid w:val="000A6FBE"/>
    <w:rsid w:val="000A76CE"/>
    <w:rsid w:val="000A7D6B"/>
    <w:rsid w:val="000A7EB4"/>
    <w:rsid w:val="000B0686"/>
    <w:rsid w:val="000B126C"/>
    <w:rsid w:val="000B19DF"/>
    <w:rsid w:val="000B2915"/>
    <w:rsid w:val="000B2BCD"/>
    <w:rsid w:val="000B3B23"/>
    <w:rsid w:val="000B4019"/>
    <w:rsid w:val="000B49FE"/>
    <w:rsid w:val="000B4D70"/>
    <w:rsid w:val="000B533A"/>
    <w:rsid w:val="000B61EA"/>
    <w:rsid w:val="000B7217"/>
    <w:rsid w:val="000B7968"/>
    <w:rsid w:val="000B7CC7"/>
    <w:rsid w:val="000C063E"/>
    <w:rsid w:val="000C0E4C"/>
    <w:rsid w:val="000C10F5"/>
    <w:rsid w:val="000C1BD7"/>
    <w:rsid w:val="000C1C65"/>
    <w:rsid w:val="000C2025"/>
    <w:rsid w:val="000C25C5"/>
    <w:rsid w:val="000C2976"/>
    <w:rsid w:val="000C2DDC"/>
    <w:rsid w:val="000C48C5"/>
    <w:rsid w:val="000C50B1"/>
    <w:rsid w:val="000C55BF"/>
    <w:rsid w:val="000C5F45"/>
    <w:rsid w:val="000C773B"/>
    <w:rsid w:val="000D1FCA"/>
    <w:rsid w:val="000D2EBC"/>
    <w:rsid w:val="000D2FD4"/>
    <w:rsid w:val="000D326C"/>
    <w:rsid w:val="000D3685"/>
    <w:rsid w:val="000D4914"/>
    <w:rsid w:val="000D4D30"/>
    <w:rsid w:val="000D6B85"/>
    <w:rsid w:val="000D76E8"/>
    <w:rsid w:val="000E0484"/>
    <w:rsid w:val="000E2225"/>
    <w:rsid w:val="000E23F9"/>
    <w:rsid w:val="000E3891"/>
    <w:rsid w:val="000E45B8"/>
    <w:rsid w:val="000E7FDC"/>
    <w:rsid w:val="000F00B4"/>
    <w:rsid w:val="000F0876"/>
    <w:rsid w:val="000F170F"/>
    <w:rsid w:val="000F17D9"/>
    <w:rsid w:val="000F1B7B"/>
    <w:rsid w:val="000F2ED4"/>
    <w:rsid w:val="000F3406"/>
    <w:rsid w:val="000F3932"/>
    <w:rsid w:val="000F444F"/>
    <w:rsid w:val="000F47D0"/>
    <w:rsid w:val="000F4FD7"/>
    <w:rsid w:val="000F504D"/>
    <w:rsid w:val="000F5D60"/>
    <w:rsid w:val="000F7259"/>
    <w:rsid w:val="001006A0"/>
    <w:rsid w:val="001028E8"/>
    <w:rsid w:val="00103445"/>
    <w:rsid w:val="00104287"/>
    <w:rsid w:val="0010598F"/>
    <w:rsid w:val="00105E21"/>
    <w:rsid w:val="00106453"/>
    <w:rsid w:val="001066E8"/>
    <w:rsid w:val="00106EA3"/>
    <w:rsid w:val="00107194"/>
    <w:rsid w:val="001073A1"/>
    <w:rsid w:val="001103EE"/>
    <w:rsid w:val="0011068C"/>
    <w:rsid w:val="001108FB"/>
    <w:rsid w:val="00113E63"/>
    <w:rsid w:val="00114113"/>
    <w:rsid w:val="001146AD"/>
    <w:rsid w:val="00114AD7"/>
    <w:rsid w:val="001158AF"/>
    <w:rsid w:val="0011653B"/>
    <w:rsid w:val="001167D1"/>
    <w:rsid w:val="00116C40"/>
    <w:rsid w:val="00117739"/>
    <w:rsid w:val="001179F7"/>
    <w:rsid w:val="001213BA"/>
    <w:rsid w:val="00122C56"/>
    <w:rsid w:val="00122CAF"/>
    <w:rsid w:val="00122FCC"/>
    <w:rsid w:val="00123304"/>
    <w:rsid w:val="001235DA"/>
    <w:rsid w:val="001242D5"/>
    <w:rsid w:val="00124456"/>
    <w:rsid w:val="001245A7"/>
    <w:rsid w:val="00124646"/>
    <w:rsid w:val="00125891"/>
    <w:rsid w:val="001262EC"/>
    <w:rsid w:val="00126752"/>
    <w:rsid w:val="00127337"/>
    <w:rsid w:val="001279EC"/>
    <w:rsid w:val="00127F26"/>
    <w:rsid w:val="0013052F"/>
    <w:rsid w:val="00130B30"/>
    <w:rsid w:val="00130FAA"/>
    <w:rsid w:val="0013110F"/>
    <w:rsid w:val="00131E06"/>
    <w:rsid w:val="00131EA8"/>
    <w:rsid w:val="001321E2"/>
    <w:rsid w:val="001324AA"/>
    <w:rsid w:val="001328F4"/>
    <w:rsid w:val="00132CF8"/>
    <w:rsid w:val="00132EB8"/>
    <w:rsid w:val="00133291"/>
    <w:rsid w:val="00134D56"/>
    <w:rsid w:val="00135002"/>
    <w:rsid w:val="00136064"/>
    <w:rsid w:val="001370C7"/>
    <w:rsid w:val="001371A7"/>
    <w:rsid w:val="00137442"/>
    <w:rsid w:val="00137622"/>
    <w:rsid w:val="001377D4"/>
    <w:rsid w:val="001402CA"/>
    <w:rsid w:val="00140E1C"/>
    <w:rsid w:val="00142C7A"/>
    <w:rsid w:val="00143A06"/>
    <w:rsid w:val="001447A9"/>
    <w:rsid w:val="001456BA"/>
    <w:rsid w:val="001458D5"/>
    <w:rsid w:val="00145D63"/>
    <w:rsid w:val="00146E8E"/>
    <w:rsid w:val="00147AE4"/>
    <w:rsid w:val="00150A4C"/>
    <w:rsid w:val="00152733"/>
    <w:rsid w:val="00153649"/>
    <w:rsid w:val="00153CE1"/>
    <w:rsid w:val="0015407B"/>
    <w:rsid w:val="0015407C"/>
    <w:rsid w:val="001546F1"/>
    <w:rsid w:val="00154C29"/>
    <w:rsid w:val="0015549C"/>
    <w:rsid w:val="00155D37"/>
    <w:rsid w:val="00155D53"/>
    <w:rsid w:val="00155F88"/>
    <w:rsid w:val="0015650A"/>
    <w:rsid w:val="001566DB"/>
    <w:rsid w:val="001571E5"/>
    <w:rsid w:val="0015751F"/>
    <w:rsid w:val="0015798A"/>
    <w:rsid w:val="00157E19"/>
    <w:rsid w:val="001601B6"/>
    <w:rsid w:val="0016029F"/>
    <w:rsid w:val="001606C3"/>
    <w:rsid w:val="001621D2"/>
    <w:rsid w:val="00162C3C"/>
    <w:rsid w:val="00162DDD"/>
    <w:rsid w:val="001638A9"/>
    <w:rsid w:val="00163AB7"/>
    <w:rsid w:val="00164A3E"/>
    <w:rsid w:val="001657B8"/>
    <w:rsid w:val="00166610"/>
    <w:rsid w:val="0016667F"/>
    <w:rsid w:val="0017018E"/>
    <w:rsid w:val="00171CDA"/>
    <w:rsid w:val="00175467"/>
    <w:rsid w:val="00175623"/>
    <w:rsid w:val="0017577E"/>
    <w:rsid w:val="00177666"/>
    <w:rsid w:val="001804C5"/>
    <w:rsid w:val="00181213"/>
    <w:rsid w:val="00182618"/>
    <w:rsid w:val="00182B1F"/>
    <w:rsid w:val="0018317C"/>
    <w:rsid w:val="00183A5A"/>
    <w:rsid w:val="001849CA"/>
    <w:rsid w:val="00185410"/>
    <w:rsid w:val="00185B8B"/>
    <w:rsid w:val="001865BC"/>
    <w:rsid w:val="001875C5"/>
    <w:rsid w:val="001900B2"/>
    <w:rsid w:val="00192352"/>
    <w:rsid w:val="001929E6"/>
    <w:rsid w:val="0019301C"/>
    <w:rsid w:val="00193585"/>
    <w:rsid w:val="0019427C"/>
    <w:rsid w:val="0019580C"/>
    <w:rsid w:val="001964A4"/>
    <w:rsid w:val="001969DA"/>
    <w:rsid w:val="00197B46"/>
    <w:rsid w:val="001A0905"/>
    <w:rsid w:val="001A0907"/>
    <w:rsid w:val="001A34D9"/>
    <w:rsid w:val="001A3A37"/>
    <w:rsid w:val="001A408D"/>
    <w:rsid w:val="001A48A0"/>
    <w:rsid w:val="001A621D"/>
    <w:rsid w:val="001A6707"/>
    <w:rsid w:val="001A7A68"/>
    <w:rsid w:val="001B1922"/>
    <w:rsid w:val="001B205B"/>
    <w:rsid w:val="001B2453"/>
    <w:rsid w:val="001B30BD"/>
    <w:rsid w:val="001B371D"/>
    <w:rsid w:val="001B4676"/>
    <w:rsid w:val="001B48D7"/>
    <w:rsid w:val="001B563C"/>
    <w:rsid w:val="001B72AE"/>
    <w:rsid w:val="001B7532"/>
    <w:rsid w:val="001B76E3"/>
    <w:rsid w:val="001B7B76"/>
    <w:rsid w:val="001B7EA6"/>
    <w:rsid w:val="001C19DE"/>
    <w:rsid w:val="001C1CE7"/>
    <w:rsid w:val="001C1D17"/>
    <w:rsid w:val="001C1F1B"/>
    <w:rsid w:val="001C1F1C"/>
    <w:rsid w:val="001C3A29"/>
    <w:rsid w:val="001C3D05"/>
    <w:rsid w:val="001C3F2D"/>
    <w:rsid w:val="001C4BB5"/>
    <w:rsid w:val="001C4D63"/>
    <w:rsid w:val="001C5341"/>
    <w:rsid w:val="001C7366"/>
    <w:rsid w:val="001C7C46"/>
    <w:rsid w:val="001D0DE0"/>
    <w:rsid w:val="001D1E1E"/>
    <w:rsid w:val="001D23A5"/>
    <w:rsid w:val="001D2860"/>
    <w:rsid w:val="001D31AD"/>
    <w:rsid w:val="001D3723"/>
    <w:rsid w:val="001D37C6"/>
    <w:rsid w:val="001D4E9C"/>
    <w:rsid w:val="001D5AFF"/>
    <w:rsid w:val="001D5B4F"/>
    <w:rsid w:val="001D61FC"/>
    <w:rsid w:val="001D74B4"/>
    <w:rsid w:val="001D7A26"/>
    <w:rsid w:val="001E03E1"/>
    <w:rsid w:val="001E05F1"/>
    <w:rsid w:val="001E0AD0"/>
    <w:rsid w:val="001E0D2F"/>
    <w:rsid w:val="001E0E2A"/>
    <w:rsid w:val="001E10C2"/>
    <w:rsid w:val="001E2010"/>
    <w:rsid w:val="001E2723"/>
    <w:rsid w:val="001E32BC"/>
    <w:rsid w:val="001E3E1E"/>
    <w:rsid w:val="001E4BBA"/>
    <w:rsid w:val="001E5756"/>
    <w:rsid w:val="001E5F6A"/>
    <w:rsid w:val="001E7779"/>
    <w:rsid w:val="001F059F"/>
    <w:rsid w:val="001F0648"/>
    <w:rsid w:val="001F1C4E"/>
    <w:rsid w:val="001F28BB"/>
    <w:rsid w:val="001F43DF"/>
    <w:rsid w:val="001F4977"/>
    <w:rsid w:val="001F4E56"/>
    <w:rsid w:val="001F60CC"/>
    <w:rsid w:val="001F6147"/>
    <w:rsid w:val="001F76CC"/>
    <w:rsid w:val="001F77EC"/>
    <w:rsid w:val="001F7CC9"/>
    <w:rsid w:val="00200811"/>
    <w:rsid w:val="00200CA1"/>
    <w:rsid w:val="00201583"/>
    <w:rsid w:val="0020230A"/>
    <w:rsid w:val="00203A7B"/>
    <w:rsid w:val="00204833"/>
    <w:rsid w:val="002054FE"/>
    <w:rsid w:val="00205AD0"/>
    <w:rsid w:val="00205B9F"/>
    <w:rsid w:val="00207C08"/>
    <w:rsid w:val="002109DF"/>
    <w:rsid w:val="00211586"/>
    <w:rsid w:val="00211BBB"/>
    <w:rsid w:val="002120F3"/>
    <w:rsid w:val="0021338D"/>
    <w:rsid w:val="0021411C"/>
    <w:rsid w:val="00214D43"/>
    <w:rsid w:val="0021672A"/>
    <w:rsid w:val="00216807"/>
    <w:rsid w:val="00216F79"/>
    <w:rsid w:val="002206D4"/>
    <w:rsid w:val="00220B23"/>
    <w:rsid w:val="00221067"/>
    <w:rsid w:val="00221ED0"/>
    <w:rsid w:val="002220AB"/>
    <w:rsid w:val="0022338C"/>
    <w:rsid w:val="002235EE"/>
    <w:rsid w:val="002238B4"/>
    <w:rsid w:val="002249B6"/>
    <w:rsid w:val="002249F0"/>
    <w:rsid w:val="00224F38"/>
    <w:rsid w:val="00225171"/>
    <w:rsid w:val="00226E4E"/>
    <w:rsid w:val="002279E1"/>
    <w:rsid w:val="00227DE9"/>
    <w:rsid w:val="00227F92"/>
    <w:rsid w:val="00230AB0"/>
    <w:rsid w:val="002319AB"/>
    <w:rsid w:val="002319AC"/>
    <w:rsid w:val="0023276B"/>
    <w:rsid w:val="00233E03"/>
    <w:rsid w:val="00234342"/>
    <w:rsid w:val="00234A81"/>
    <w:rsid w:val="00234B4F"/>
    <w:rsid w:val="00234D54"/>
    <w:rsid w:val="002354B5"/>
    <w:rsid w:val="00235B85"/>
    <w:rsid w:val="0023606A"/>
    <w:rsid w:val="00236722"/>
    <w:rsid w:val="0024040D"/>
    <w:rsid w:val="00240FA0"/>
    <w:rsid w:val="00242BAC"/>
    <w:rsid w:val="0024416F"/>
    <w:rsid w:val="00245A0D"/>
    <w:rsid w:val="00250157"/>
    <w:rsid w:val="00250508"/>
    <w:rsid w:val="00250CA8"/>
    <w:rsid w:val="0025149B"/>
    <w:rsid w:val="002523A1"/>
    <w:rsid w:val="0025358F"/>
    <w:rsid w:val="00255ECB"/>
    <w:rsid w:val="00255FA3"/>
    <w:rsid w:val="0025601B"/>
    <w:rsid w:val="002562E9"/>
    <w:rsid w:val="00257288"/>
    <w:rsid w:val="00261D9A"/>
    <w:rsid w:val="00261E48"/>
    <w:rsid w:val="00261FB6"/>
    <w:rsid w:val="002629F8"/>
    <w:rsid w:val="00263396"/>
    <w:rsid w:val="00263ED8"/>
    <w:rsid w:val="00264277"/>
    <w:rsid w:val="00264AD9"/>
    <w:rsid w:val="00264C23"/>
    <w:rsid w:val="002659FA"/>
    <w:rsid w:val="00266989"/>
    <w:rsid w:val="00267815"/>
    <w:rsid w:val="0027088E"/>
    <w:rsid w:val="00270ABD"/>
    <w:rsid w:val="00273BBB"/>
    <w:rsid w:val="0027480A"/>
    <w:rsid w:val="00274A08"/>
    <w:rsid w:val="00275D03"/>
    <w:rsid w:val="00276810"/>
    <w:rsid w:val="002773A1"/>
    <w:rsid w:val="00280A84"/>
    <w:rsid w:val="00280DDF"/>
    <w:rsid w:val="00282015"/>
    <w:rsid w:val="002821BB"/>
    <w:rsid w:val="002826B6"/>
    <w:rsid w:val="0028288B"/>
    <w:rsid w:val="00283FEB"/>
    <w:rsid w:val="002848A0"/>
    <w:rsid w:val="0028544F"/>
    <w:rsid w:val="002868C6"/>
    <w:rsid w:val="00287C97"/>
    <w:rsid w:val="00290D28"/>
    <w:rsid w:val="00290E7A"/>
    <w:rsid w:val="002917FF"/>
    <w:rsid w:val="00292441"/>
    <w:rsid w:val="00292ADF"/>
    <w:rsid w:val="00292F2E"/>
    <w:rsid w:val="00293564"/>
    <w:rsid w:val="002941EF"/>
    <w:rsid w:val="00294EC3"/>
    <w:rsid w:val="002953E6"/>
    <w:rsid w:val="0029590E"/>
    <w:rsid w:val="002960B9"/>
    <w:rsid w:val="002A0DEC"/>
    <w:rsid w:val="002A125A"/>
    <w:rsid w:val="002A1729"/>
    <w:rsid w:val="002A1EC4"/>
    <w:rsid w:val="002A2B20"/>
    <w:rsid w:val="002A52F2"/>
    <w:rsid w:val="002A5A88"/>
    <w:rsid w:val="002A616D"/>
    <w:rsid w:val="002A68C6"/>
    <w:rsid w:val="002A75AC"/>
    <w:rsid w:val="002A78DD"/>
    <w:rsid w:val="002B109C"/>
    <w:rsid w:val="002B16CB"/>
    <w:rsid w:val="002B1C53"/>
    <w:rsid w:val="002B2FBA"/>
    <w:rsid w:val="002B37CB"/>
    <w:rsid w:val="002B38AC"/>
    <w:rsid w:val="002B3A05"/>
    <w:rsid w:val="002B440E"/>
    <w:rsid w:val="002B44F8"/>
    <w:rsid w:val="002B4825"/>
    <w:rsid w:val="002B485B"/>
    <w:rsid w:val="002B4A07"/>
    <w:rsid w:val="002B4CA5"/>
    <w:rsid w:val="002B6094"/>
    <w:rsid w:val="002B7AB0"/>
    <w:rsid w:val="002C0E77"/>
    <w:rsid w:val="002C117B"/>
    <w:rsid w:val="002C11AD"/>
    <w:rsid w:val="002C2D9F"/>
    <w:rsid w:val="002C31FE"/>
    <w:rsid w:val="002C34EF"/>
    <w:rsid w:val="002C43C8"/>
    <w:rsid w:val="002C4939"/>
    <w:rsid w:val="002C6086"/>
    <w:rsid w:val="002C668A"/>
    <w:rsid w:val="002C7D33"/>
    <w:rsid w:val="002D06A8"/>
    <w:rsid w:val="002D0EDB"/>
    <w:rsid w:val="002D1A7A"/>
    <w:rsid w:val="002D1DA2"/>
    <w:rsid w:val="002D2B1D"/>
    <w:rsid w:val="002D3BBA"/>
    <w:rsid w:val="002D3BD8"/>
    <w:rsid w:val="002D42A8"/>
    <w:rsid w:val="002D53A6"/>
    <w:rsid w:val="002D5753"/>
    <w:rsid w:val="002D5B80"/>
    <w:rsid w:val="002D5DD5"/>
    <w:rsid w:val="002D5F2E"/>
    <w:rsid w:val="002D6301"/>
    <w:rsid w:val="002D7EC7"/>
    <w:rsid w:val="002E0068"/>
    <w:rsid w:val="002E04DA"/>
    <w:rsid w:val="002E0BE4"/>
    <w:rsid w:val="002E0EC4"/>
    <w:rsid w:val="002E285E"/>
    <w:rsid w:val="002E3B58"/>
    <w:rsid w:val="002E3E8A"/>
    <w:rsid w:val="002E5F7C"/>
    <w:rsid w:val="002E657A"/>
    <w:rsid w:val="002E69F7"/>
    <w:rsid w:val="002E6A6A"/>
    <w:rsid w:val="002E75E7"/>
    <w:rsid w:val="002F10D9"/>
    <w:rsid w:val="002F2D78"/>
    <w:rsid w:val="002F3397"/>
    <w:rsid w:val="002F3525"/>
    <w:rsid w:val="002F4123"/>
    <w:rsid w:val="002F561B"/>
    <w:rsid w:val="002F644B"/>
    <w:rsid w:val="002F6AB4"/>
    <w:rsid w:val="002F78DE"/>
    <w:rsid w:val="002F7B6D"/>
    <w:rsid w:val="003000B9"/>
    <w:rsid w:val="00301326"/>
    <w:rsid w:val="0030200A"/>
    <w:rsid w:val="0030380D"/>
    <w:rsid w:val="003040C8"/>
    <w:rsid w:val="003042A7"/>
    <w:rsid w:val="003047E5"/>
    <w:rsid w:val="00304FAB"/>
    <w:rsid w:val="003060CE"/>
    <w:rsid w:val="0030788D"/>
    <w:rsid w:val="00310BF9"/>
    <w:rsid w:val="00310CC9"/>
    <w:rsid w:val="003111B9"/>
    <w:rsid w:val="00312411"/>
    <w:rsid w:val="00312AA5"/>
    <w:rsid w:val="0031325B"/>
    <w:rsid w:val="00313F03"/>
    <w:rsid w:val="00314038"/>
    <w:rsid w:val="003141D0"/>
    <w:rsid w:val="00314F6B"/>
    <w:rsid w:val="00316278"/>
    <w:rsid w:val="00316A6A"/>
    <w:rsid w:val="00320829"/>
    <w:rsid w:val="00321503"/>
    <w:rsid w:val="003215DA"/>
    <w:rsid w:val="003219D5"/>
    <w:rsid w:val="00322423"/>
    <w:rsid w:val="00322FEE"/>
    <w:rsid w:val="003233DB"/>
    <w:rsid w:val="003233EB"/>
    <w:rsid w:val="00323E71"/>
    <w:rsid w:val="00325C3C"/>
    <w:rsid w:val="0033008A"/>
    <w:rsid w:val="00330BF1"/>
    <w:rsid w:val="00330D5B"/>
    <w:rsid w:val="00330E4F"/>
    <w:rsid w:val="00330E9A"/>
    <w:rsid w:val="00331B04"/>
    <w:rsid w:val="00331DAA"/>
    <w:rsid w:val="00332200"/>
    <w:rsid w:val="0033297A"/>
    <w:rsid w:val="00332AA9"/>
    <w:rsid w:val="00332BDF"/>
    <w:rsid w:val="00332E89"/>
    <w:rsid w:val="00333DA0"/>
    <w:rsid w:val="00334FB1"/>
    <w:rsid w:val="0033550F"/>
    <w:rsid w:val="003358EF"/>
    <w:rsid w:val="0033590D"/>
    <w:rsid w:val="003361A7"/>
    <w:rsid w:val="00336BB5"/>
    <w:rsid w:val="00337D66"/>
    <w:rsid w:val="00341BEE"/>
    <w:rsid w:val="00342E36"/>
    <w:rsid w:val="00345B20"/>
    <w:rsid w:val="00346669"/>
    <w:rsid w:val="00346A43"/>
    <w:rsid w:val="00346C8E"/>
    <w:rsid w:val="00346E8B"/>
    <w:rsid w:val="00347A57"/>
    <w:rsid w:val="00347CA8"/>
    <w:rsid w:val="00350800"/>
    <w:rsid w:val="00350872"/>
    <w:rsid w:val="00350FD1"/>
    <w:rsid w:val="00352480"/>
    <w:rsid w:val="00352F64"/>
    <w:rsid w:val="00354421"/>
    <w:rsid w:val="0035467E"/>
    <w:rsid w:val="00354AA1"/>
    <w:rsid w:val="003552C5"/>
    <w:rsid w:val="00355927"/>
    <w:rsid w:val="00355EB0"/>
    <w:rsid w:val="003565EC"/>
    <w:rsid w:val="00356849"/>
    <w:rsid w:val="00356986"/>
    <w:rsid w:val="003571A2"/>
    <w:rsid w:val="00357A80"/>
    <w:rsid w:val="00361459"/>
    <w:rsid w:val="00361A6B"/>
    <w:rsid w:val="00361D9B"/>
    <w:rsid w:val="00362809"/>
    <w:rsid w:val="00362D1B"/>
    <w:rsid w:val="003630FF"/>
    <w:rsid w:val="0036311F"/>
    <w:rsid w:val="00365763"/>
    <w:rsid w:val="00365BD6"/>
    <w:rsid w:val="00366074"/>
    <w:rsid w:val="0036621F"/>
    <w:rsid w:val="00366AAA"/>
    <w:rsid w:val="00367BD5"/>
    <w:rsid w:val="003705F5"/>
    <w:rsid w:val="00370E49"/>
    <w:rsid w:val="00370E66"/>
    <w:rsid w:val="0037176F"/>
    <w:rsid w:val="00371A05"/>
    <w:rsid w:val="00371A71"/>
    <w:rsid w:val="00371C13"/>
    <w:rsid w:val="00371C1D"/>
    <w:rsid w:val="003727B2"/>
    <w:rsid w:val="003729C9"/>
    <w:rsid w:val="003736AB"/>
    <w:rsid w:val="0037421F"/>
    <w:rsid w:val="003753FE"/>
    <w:rsid w:val="00375FAD"/>
    <w:rsid w:val="003761A0"/>
    <w:rsid w:val="00376231"/>
    <w:rsid w:val="003763E9"/>
    <w:rsid w:val="00376CEC"/>
    <w:rsid w:val="00376E69"/>
    <w:rsid w:val="00377ED8"/>
    <w:rsid w:val="00380B8D"/>
    <w:rsid w:val="00382726"/>
    <w:rsid w:val="00382E5C"/>
    <w:rsid w:val="0038408D"/>
    <w:rsid w:val="00384760"/>
    <w:rsid w:val="00384C2F"/>
    <w:rsid w:val="00384E5E"/>
    <w:rsid w:val="00384FD2"/>
    <w:rsid w:val="00385E4D"/>
    <w:rsid w:val="00386680"/>
    <w:rsid w:val="0038761F"/>
    <w:rsid w:val="00390327"/>
    <w:rsid w:val="003909A5"/>
    <w:rsid w:val="00390B2D"/>
    <w:rsid w:val="00391078"/>
    <w:rsid w:val="00391872"/>
    <w:rsid w:val="00391AF8"/>
    <w:rsid w:val="003926CA"/>
    <w:rsid w:val="00392812"/>
    <w:rsid w:val="003929FE"/>
    <w:rsid w:val="00393735"/>
    <w:rsid w:val="00393B78"/>
    <w:rsid w:val="00394408"/>
    <w:rsid w:val="003949A7"/>
    <w:rsid w:val="00394D60"/>
    <w:rsid w:val="00396108"/>
    <w:rsid w:val="00396185"/>
    <w:rsid w:val="003962B3"/>
    <w:rsid w:val="003970B0"/>
    <w:rsid w:val="003A01E9"/>
    <w:rsid w:val="003A16C7"/>
    <w:rsid w:val="003A3299"/>
    <w:rsid w:val="003A4165"/>
    <w:rsid w:val="003A56A4"/>
    <w:rsid w:val="003A5BD6"/>
    <w:rsid w:val="003A6E2D"/>
    <w:rsid w:val="003B1222"/>
    <w:rsid w:val="003B1BEC"/>
    <w:rsid w:val="003B3C0A"/>
    <w:rsid w:val="003B4C44"/>
    <w:rsid w:val="003B4CBB"/>
    <w:rsid w:val="003B60FD"/>
    <w:rsid w:val="003B6CC2"/>
    <w:rsid w:val="003C0306"/>
    <w:rsid w:val="003C0DD8"/>
    <w:rsid w:val="003C114C"/>
    <w:rsid w:val="003C18C4"/>
    <w:rsid w:val="003C2137"/>
    <w:rsid w:val="003C25D1"/>
    <w:rsid w:val="003C34B0"/>
    <w:rsid w:val="003C35BA"/>
    <w:rsid w:val="003C465D"/>
    <w:rsid w:val="003C4BD1"/>
    <w:rsid w:val="003C7B46"/>
    <w:rsid w:val="003D0B36"/>
    <w:rsid w:val="003D0CC3"/>
    <w:rsid w:val="003D19DC"/>
    <w:rsid w:val="003D1E51"/>
    <w:rsid w:val="003D22FA"/>
    <w:rsid w:val="003D495D"/>
    <w:rsid w:val="003D4DF5"/>
    <w:rsid w:val="003D5D71"/>
    <w:rsid w:val="003D5FA4"/>
    <w:rsid w:val="003D5FE8"/>
    <w:rsid w:val="003D6F6C"/>
    <w:rsid w:val="003E0784"/>
    <w:rsid w:val="003E0884"/>
    <w:rsid w:val="003E098E"/>
    <w:rsid w:val="003E15AB"/>
    <w:rsid w:val="003E1960"/>
    <w:rsid w:val="003E1A10"/>
    <w:rsid w:val="003E2BDE"/>
    <w:rsid w:val="003E2F1A"/>
    <w:rsid w:val="003E2FAE"/>
    <w:rsid w:val="003E369F"/>
    <w:rsid w:val="003E48C4"/>
    <w:rsid w:val="003E6FB8"/>
    <w:rsid w:val="003E7120"/>
    <w:rsid w:val="003E7DBA"/>
    <w:rsid w:val="003E7E49"/>
    <w:rsid w:val="003F03D4"/>
    <w:rsid w:val="003F06B0"/>
    <w:rsid w:val="003F06C9"/>
    <w:rsid w:val="003F0F7A"/>
    <w:rsid w:val="003F1891"/>
    <w:rsid w:val="003F1BCA"/>
    <w:rsid w:val="003F2AA3"/>
    <w:rsid w:val="003F5E28"/>
    <w:rsid w:val="003F6DB5"/>
    <w:rsid w:val="003F6E31"/>
    <w:rsid w:val="003F7821"/>
    <w:rsid w:val="00400810"/>
    <w:rsid w:val="00400D16"/>
    <w:rsid w:val="00400FD0"/>
    <w:rsid w:val="004022FF"/>
    <w:rsid w:val="00403726"/>
    <w:rsid w:val="00403AE0"/>
    <w:rsid w:val="004045E5"/>
    <w:rsid w:val="00404B0C"/>
    <w:rsid w:val="00404E6C"/>
    <w:rsid w:val="00405E9C"/>
    <w:rsid w:val="00407CF7"/>
    <w:rsid w:val="00410149"/>
    <w:rsid w:val="00410273"/>
    <w:rsid w:val="00412214"/>
    <w:rsid w:val="00412D27"/>
    <w:rsid w:val="0041407F"/>
    <w:rsid w:val="004144E5"/>
    <w:rsid w:val="0041519C"/>
    <w:rsid w:val="00415C09"/>
    <w:rsid w:val="00415DF7"/>
    <w:rsid w:val="00415ED6"/>
    <w:rsid w:val="00417CAF"/>
    <w:rsid w:val="004204B2"/>
    <w:rsid w:val="00420A11"/>
    <w:rsid w:val="00421205"/>
    <w:rsid w:val="00421843"/>
    <w:rsid w:val="004220B2"/>
    <w:rsid w:val="00422265"/>
    <w:rsid w:val="00423BC0"/>
    <w:rsid w:val="00424BF2"/>
    <w:rsid w:val="0042657E"/>
    <w:rsid w:val="00426A43"/>
    <w:rsid w:val="00433B1B"/>
    <w:rsid w:val="00433BF5"/>
    <w:rsid w:val="00433C29"/>
    <w:rsid w:val="00434BC4"/>
    <w:rsid w:val="00434D1B"/>
    <w:rsid w:val="00436BAF"/>
    <w:rsid w:val="00436E9A"/>
    <w:rsid w:val="004370E8"/>
    <w:rsid w:val="004373A7"/>
    <w:rsid w:val="00437D94"/>
    <w:rsid w:val="0044030C"/>
    <w:rsid w:val="00440C18"/>
    <w:rsid w:val="00440D7E"/>
    <w:rsid w:val="00442468"/>
    <w:rsid w:val="00442995"/>
    <w:rsid w:val="00442D63"/>
    <w:rsid w:val="0044309B"/>
    <w:rsid w:val="004432AB"/>
    <w:rsid w:val="004435C2"/>
    <w:rsid w:val="00443F58"/>
    <w:rsid w:val="0044481F"/>
    <w:rsid w:val="00445973"/>
    <w:rsid w:val="0044653A"/>
    <w:rsid w:val="00446A7A"/>
    <w:rsid w:val="00446B8F"/>
    <w:rsid w:val="00446D21"/>
    <w:rsid w:val="0044719B"/>
    <w:rsid w:val="0045058C"/>
    <w:rsid w:val="00450AD2"/>
    <w:rsid w:val="00450EC0"/>
    <w:rsid w:val="00452C80"/>
    <w:rsid w:val="00452CD3"/>
    <w:rsid w:val="00454E0E"/>
    <w:rsid w:val="0045553B"/>
    <w:rsid w:val="0045573D"/>
    <w:rsid w:val="00455845"/>
    <w:rsid w:val="00455FBB"/>
    <w:rsid w:val="004614AB"/>
    <w:rsid w:val="00461C03"/>
    <w:rsid w:val="004621F2"/>
    <w:rsid w:val="004638C7"/>
    <w:rsid w:val="004648A4"/>
    <w:rsid w:val="00465421"/>
    <w:rsid w:val="004667D1"/>
    <w:rsid w:val="00466C35"/>
    <w:rsid w:val="00467258"/>
    <w:rsid w:val="00467F1B"/>
    <w:rsid w:val="0047022A"/>
    <w:rsid w:val="00470C5E"/>
    <w:rsid w:val="0047122C"/>
    <w:rsid w:val="00471380"/>
    <w:rsid w:val="004716B4"/>
    <w:rsid w:val="004716C7"/>
    <w:rsid w:val="00471B35"/>
    <w:rsid w:val="00471BB7"/>
    <w:rsid w:val="00472948"/>
    <w:rsid w:val="00473159"/>
    <w:rsid w:val="00474D61"/>
    <w:rsid w:val="0047504D"/>
    <w:rsid w:val="004768E2"/>
    <w:rsid w:val="00477FC8"/>
    <w:rsid w:val="00481562"/>
    <w:rsid w:val="00481B1D"/>
    <w:rsid w:val="00481D7A"/>
    <w:rsid w:val="00482240"/>
    <w:rsid w:val="00482BF6"/>
    <w:rsid w:val="00483EE1"/>
    <w:rsid w:val="00485013"/>
    <w:rsid w:val="00485199"/>
    <w:rsid w:val="00485BAD"/>
    <w:rsid w:val="00486022"/>
    <w:rsid w:val="004868CB"/>
    <w:rsid w:val="00490DFE"/>
    <w:rsid w:val="004914F6"/>
    <w:rsid w:val="0049179D"/>
    <w:rsid w:val="00493FB1"/>
    <w:rsid w:val="0049414F"/>
    <w:rsid w:val="00494F0D"/>
    <w:rsid w:val="00495B0C"/>
    <w:rsid w:val="00495DA2"/>
    <w:rsid w:val="004964FA"/>
    <w:rsid w:val="00496BFD"/>
    <w:rsid w:val="00496C9F"/>
    <w:rsid w:val="004970EF"/>
    <w:rsid w:val="00497C69"/>
    <w:rsid w:val="00497C6A"/>
    <w:rsid w:val="00497D78"/>
    <w:rsid w:val="004A0752"/>
    <w:rsid w:val="004A1DF6"/>
    <w:rsid w:val="004A2243"/>
    <w:rsid w:val="004A3654"/>
    <w:rsid w:val="004A3DF2"/>
    <w:rsid w:val="004A48F9"/>
    <w:rsid w:val="004A4BB3"/>
    <w:rsid w:val="004A529E"/>
    <w:rsid w:val="004A66EA"/>
    <w:rsid w:val="004A75C8"/>
    <w:rsid w:val="004B0843"/>
    <w:rsid w:val="004B10BD"/>
    <w:rsid w:val="004B1764"/>
    <w:rsid w:val="004B27F4"/>
    <w:rsid w:val="004B2A71"/>
    <w:rsid w:val="004B2C17"/>
    <w:rsid w:val="004B313C"/>
    <w:rsid w:val="004B423C"/>
    <w:rsid w:val="004B5317"/>
    <w:rsid w:val="004B7BD1"/>
    <w:rsid w:val="004C0AA6"/>
    <w:rsid w:val="004C1096"/>
    <w:rsid w:val="004C1C3E"/>
    <w:rsid w:val="004C2292"/>
    <w:rsid w:val="004C361D"/>
    <w:rsid w:val="004C4891"/>
    <w:rsid w:val="004C5C82"/>
    <w:rsid w:val="004C7E97"/>
    <w:rsid w:val="004D25D4"/>
    <w:rsid w:val="004D275D"/>
    <w:rsid w:val="004D27C8"/>
    <w:rsid w:val="004D2C89"/>
    <w:rsid w:val="004D4192"/>
    <w:rsid w:val="004D43F7"/>
    <w:rsid w:val="004E0B17"/>
    <w:rsid w:val="004E25D6"/>
    <w:rsid w:val="004E2A57"/>
    <w:rsid w:val="004E2F73"/>
    <w:rsid w:val="004E3932"/>
    <w:rsid w:val="004F0749"/>
    <w:rsid w:val="004F07D6"/>
    <w:rsid w:val="004F1E79"/>
    <w:rsid w:val="004F20B5"/>
    <w:rsid w:val="004F2231"/>
    <w:rsid w:val="004F2D66"/>
    <w:rsid w:val="004F2DD0"/>
    <w:rsid w:val="004F3B5A"/>
    <w:rsid w:val="004F4A78"/>
    <w:rsid w:val="004F59C1"/>
    <w:rsid w:val="004F5F33"/>
    <w:rsid w:val="004F6839"/>
    <w:rsid w:val="004F7515"/>
    <w:rsid w:val="004F75BC"/>
    <w:rsid w:val="004F773C"/>
    <w:rsid w:val="00500911"/>
    <w:rsid w:val="0050103A"/>
    <w:rsid w:val="00502F4A"/>
    <w:rsid w:val="0050321C"/>
    <w:rsid w:val="005032BC"/>
    <w:rsid w:val="005036E4"/>
    <w:rsid w:val="005039A9"/>
    <w:rsid w:val="00504C2A"/>
    <w:rsid w:val="00505040"/>
    <w:rsid w:val="005052BD"/>
    <w:rsid w:val="00505464"/>
    <w:rsid w:val="00511B0F"/>
    <w:rsid w:val="00512A0F"/>
    <w:rsid w:val="00512BDD"/>
    <w:rsid w:val="00512E34"/>
    <w:rsid w:val="00513F81"/>
    <w:rsid w:val="005144B9"/>
    <w:rsid w:val="00514F4B"/>
    <w:rsid w:val="005151DD"/>
    <w:rsid w:val="00515542"/>
    <w:rsid w:val="00515C33"/>
    <w:rsid w:val="005204C4"/>
    <w:rsid w:val="00520563"/>
    <w:rsid w:val="00522103"/>
    <w:rsid w:val="005241CF"/>
    <w:rsid w:val="00524C35"/>
    <w:rsid w:val="00524F15"/>
    <w:rsid w:val="00525D2E"/>
    <w:rsid w:val="0052608C"/>
    <w:rsid w:val="00526109"/>
    <w:rsid w:val="00527217"/>
    <w:rsid w:val="005305E4"/>
    <w:rsid w:val="00530806"/>
    <w:rsid w:val="005312F2"/>
    <w:rsid w:val="00532869"/>
    <w:rsid w:val="00533D69"/>
    <w:rsid w:val="005350A7"/>
    <w:rsid w:val="00535E1A"/>
    <w:rsid w:val="00535EDC"/>
    <w:rsid w:val="00536063"/>
    <w:rsid w:val="0053667D"/>
    <w:rsid w:val="00536721"/>
    <w:rsid w:val="00536F2C"/>
    <w:rsid w:val="00536F60"/>
    <w:rsid w:val="00537ADB"/>
    <w:rsid w:val="00537D92"/>
    <w:rsid w:val="00540A51"/>
    <w:rsid w:val="0054197E"/>
    <w:rsid w:val="00542318"/>
    <w:rsid w:val="00542EBA"/>
    <w:rsid w:val="0054403D"/>
    <w:rsid w:val="005447E4"/>
    <w:rsid w:val="00544CFB"/>
    <w:rsid w:val="005455E7"/>
    <w:rsid w:val="00545A1E"/>
    <w:rsid w:val="00545B7B"/>
    <w:rsid w:val="0054626C"/>
    <w:rsid w:val="00546992"/>
    <w:rsid w:val="00546F0A"/>
    <w:rsid w:val="00547CA1"/>
    <w:rsid w:val="005501F4"/>
    <w:rsid w:val="005504C2"/>
    <w:rsid w:val="00551887"/>
    <w:rsid w:val="005518D6"/>
    <w:rsid w:val="00553652"/>
    <w:rsid w:val="0055388E"/>
    <w:rsid w:val="00553B2E"/>
    <w:rsid w:val="00555759"/>
    <w:rsid w:val="00555C05"/>
    <w:rsid w:val="00556379"/>
    <w:rsid w:val="005563B1"/>
    <w:rsid w:val="005566A3"/>
    <w:rsid w:val="00557ED7"/>
    <w:rsid w:val="00557FAB"/>
    <w:rsid w:val="00561801"/>
    <w:rsid w:val="005631CE"/>
    <w:rsid w:val="00564D31"/>
    <w:rsid w:val="00565153"/>
    <w:rsid w:val="005658BD"/>
    <w:rsid w:val="0056611B"/>
    <w:rsid w:val="005661C1"/>
    <w:rsid w:val="005665F3"/>
    <w:rsid w:val="00567082"/>
    <w:rsid w:val="0057123D"/>
    <w:rsid w:val="00571C14"/>
    <w:rsid w:val="0057202B"/>
    <w:rsid w:val="00573C6C"/>
    <w:rsid w:val="005742EE"/>
    <w:rsid w:val="00574D1C"/>
    <w:rsid w:val="005754AE"/>
    <w:rsid w:val="005757E4"/>
    <w:rsid w:val="00575A51"/>
    <w:rsid w:val="00575E0B"/>
    <w:rsid w:val="005763D7"/>
    <w:rsid w:val="00576DF7"/>
    <w:rsid w:val="00577830"/>
    <w:rsid w:val="00577AF8"/>
    <w:rsid w:val="00577EE7"/>
    <w:rsid w:val="00577FB5"/>
    <w:rsid w:val="00581881"/>
    <w:rsid w:val="00582431"/>
    <w:rsid w:val="00582B8B"/>
    <w:rsid w:val="00584119"/>
    <w:rsid w:val="0058428C"/>
    <w:rsid w:val="005852D1"/>
    <w:rsid w:val="00585FAC"/>
    <w:rsid w:val="0058743B"/>
    <w:rsid w:val="00587A22"/>
    <w:rsid w:val="00587E35"/>
    <w:rsid w:val="00587E69"/>
    <w:rsid w:val="00590999"/>
    <w:rsid w:val="00590AC6"/>
    <w:rsid w:val="005912CD"/>
    <w:rsid w:val="005915FF"/>
    <w:rsid w:val="00592323"/>
    <w:rsid w:val="0059240D"/>
    <w:rsid w:val="0059299D"/>
    <w:rsid w:val="00593B61"/>
    <w:rsid w:val="00595C8C"/>
    <w:rsid w:val="00596985"/>
    <w:rsid w:val="00597747"/>
    <w:rsid w:val="005A06D7"/>
    <w:rsid w:val="005A1382"/>
    <w:rsid w:val="005A187B"/>
    <w:rsid w:val="005A2720"/>
    <w:rsid w:val="005A4217"/>
    <w:rsid w:val="005A4CDD"/>
    <w:rsid w:val="005A4E9B"/>
    <w:rsid w:val="005A51D1"/>
    <w:rsid w:val="005A6CC7"/>
    <w:rsid w:val="005B11DE"/>
    <w:rsid w:val="005B2BFA"/>
    <w:rsid w:val="005B2C28"/>
    <w:rsid w:val="005B2E32"/>
    <w:rsid w:val="005B3BCC"/>
    <w:rsid w:val="005B3F3F"/>
    <w:rsid w:val="005B3F57"/>
    <w:rsid w:val="005B4F47"/>
    <w:rsid w:val="005B57E4"/>
    <w:rsid w:val="005B5ABD"/>
    <w:rsid w:val="005B5DD1"/>
    <w:rsid w:val="005B7798"/>
    <w:rsid w:val="005B7A1F"/>
    <w:rsid w:val="005B7FC8"/>
    <w:rsid w:val="005C01A0"/>
    <w:rsid w:val="005C07D4"/>
    <w:rsid w:val="005C140A"/>
    <w:rsid w:val="005C2276"/>
    <w:rsid w:val="005C2E05"/>
    <w:rsid w:val="005C2F49"/>
    <w:rsid w:val="005C2F92"/>
    <w:rsid w:val="005C317F"/>
    <w:rsid w:val="005C4648"/>
    <w:rsid w:val="005C46E8"/>
    <w:rsid w:val="005C605A"/>
    <w:rsid w:val="005C6763"/>
    <w:rsid w:val="005C7642"/>
    <w:rsid w:val="005D0421"/>
    <w:rsid w:val="005D1EF1"/>
    <w:rsid w:val="005D1F44"/>
    <w:rsid w:val="005D25CE"/>
    <w:rsid w:val="005D3164"/>
    <w:rsid w:val="005D4BF1"/>
    <w:rsid w:val="005D692A"/>
    <w:rsid w:val="005D753E"/>
    <w:rsid w:val="005D7556"/>
    <w:rsid w:val="005E0019"/>
    <w:rsid w:val="005E0344"/>
    <w:rsid w:val="005E1365"/>
    <w:rsid w:val="005E17B4"/>
    <w:rsid w:val="005E1C94"/>
    <w:rsid w:val="005E1EE2"/>
    <w:rsid w:val="005E211F"/>
    <w:rsid w:val="005E225A"/>
    <w:rsid w:val="005E252F"/>
    <w:rsid w:val="005E42AB"/>
    <w:rsid w:val="005E440B"/>
    <w:rsid w:val="005E464E"/>
    <w:rsid w:val="005E541A"/>
    <w:rsid w:val="005E5DB8"/>
    <w:rsid w:val="005E70B8"/>
    <w:rsid w:val="005E7D94"/>
    <w:rsid w:val="005F0BD5"/>
    <w:rsid w:val="005F1294"/>
    <w:rsid w:val="005F1440"/>
    <w:rsid w:val="005F1794"/>
    <w:rsid w:val="005F2C85"/>
    <w:rsid w:val="005F33C5"/>
    <w:rsid w:val="005F341C"/>
    <w:rsid w:val="005F3C68"/>
    <w:rsid w:val="005F57F7"/>
    <w:rsid w:val="005F5AB4"/>
    <w:rsid w:val="005F5EF7"/>
    <w:rsid w:val="005F77A6"/>
    <w:rsid w:val="00600606"/>
    <w:rsid w:val="00601B7B"/>
    <w:rsid w:val="00601D00"/>
    <w:rsid w:val="00602075"/>
    <w:rsid w:val="00602232"/>
    <w:rsid w:val="0060381B"/>
    <w:rsid w:val="00603F52"/>
    <w:rsid w:val="006045C9"/>
    <w:rsid w:val="00604C47"/>
    <w:rsid w:val="00604D2D"/>
    <w:rsid w:val="0060553D"/>
    <w:rsid w:val="00605ADB"/>
    <w:rsid w:val="00605EED"/>
    <w:rsid w:val="00606699"/>
    <w:rsid w:val="00606A09"/>
    <w:rsid w:val="00607DAB"/>
    <w:rsid w:val="00611C9F"/>
    <w:rsid w:val="0061239A"/>
    <w:rsid w:val="0061261D"/>
    <w:rsid w:val="00612AEE"/>
    <w:rsid w:val="00612B14"/>
    <w:rsid w:val="00615C63"/>
    <w:rsid w:val="00616DFC"/>
    <w:rsid w:val="00616F5F"/>
    <w:rsid w:val="00617CEE"/>
    <w:rsid w:val="0062026D"/>
    <w:rsid w:val="00620C08"/>
    <w:rsid w:val="00621596"/>
    <w:rsid w:val="00621BF6"/>
    <w:rsid w:val="006226E8"/>
    <w:rsid w:val="0062297D"/>
    <w:rsid w:val="006230DE"/>
    <w:rsid w:val="00625231"/>
    <w:rsid w:val="006256C6"/>
    <w:rsid w:val="0062692A"/>
    <w:rsid w:val="006270A3"/>
    <w:rsid w:val="006272EF"/>
    <w:rsid w:val="00627555"/>
    <w:rsid w:val="006279D8"/>
    <w:rsid w:val="00627B76"/>
    <w:rsid w:val="006316C4"/>
    <w:rsid w:val="00631808"/>
    <w:rsid w:val="006322A0"/>
    <w:rsid w:val="00633773"/>
    <w:rsid w:val="006338DC"/>
    <w:rsid w:val="00633B14"/>
    <w:rsid w:val="00635508"/>
    <w:rsid w:val="00635E11"/>
    <w:rsid w:val="006361FD"/>
    <w:rsid w:val="00636C25"/>
    <w:rsid w:val="00637B24"/>
    <w:rsid w:val="00640992"/>
    <w:rsid w:val="00640A7E"/>
    <w:rsid w:val="00640FC2"/>
    <w:rsid w:val="00641509"/>
    <w:rsid w:val="0064226F"/>
    <w:rsid w:val="0064285C"/>
    <w:rsid w:val="0064312B"/>
    <w:rsid w:val="00643386"/>
    <w:rsid w:val="00644F56"/>
    <w:rsid w:val="006455EA"/>
    <w:rsid w:val="00645C01"/>
    <w:rsid w:val="00645FCD"/>
    <w:rsid w:val="006462DD"/>
    <w:rsid w:val="00646437"/>
    <w:rsid w:val="006469C7"/>
    <w:rsid w:val="00650DEE"/>
    <w:rsid w:val="00651397"/>
    <w:rsid w:val="006518A6"/>
    <w:rsid w:val="00652205"/>
    <w:rsid w:val="006524FA"/>
    <w:rsid w:val="00652D97"/>
    <w:rsid w:val="00653298"/>
    <w:rsid w:val="00653775"/>
    <w:rsid w:val="00653A19"/>
    <w:rsid w:val="00653E1E"/>
    <w:rsid w:val="00655603"/>
    <w:rsid w:val="006561DD"/>
    <w:rsid w:val="0065798E"/>
    <w:rsid w:val="00660306"/>
    <w:rsid w:val="006603A2"/>
    <w:rsid w:val="00660C7A"/>
    <w:rsid w:val="00662286"/>
    <w:rsid w:val="00663519"/>
    <w:rsid w:val="006636A0"/>
    <w:rsid w:val="00663A7C"/>
    <w:rsid w:val="00663BE6"/>
    <w:rsid w:val="00664949"/>
    <w:rsid w:val="00664956"/>
    <w:rsid w:val="00664973"/>
    <w:rsid w:val="00664DBB"/>
    <w:rsid w:val="00664E56"/>
    <w:rsid w:val="00664F81"/>
    <w:rsid w:val="0066730A"/>
    <w:rsid w:val="00667CC1"/>
    <w:rsid w:val="00667DE8"/>
    <w:rsid w:val="00667DF2"/>
    <w:rsid w:val="00667F70"/>
    <w:rsid w:val="006703D0"/>
    <w:rsid w:val="00670DF1"/>
    <w:rsid w:val="00670EAF"/>
    <w:rsid w:val="00671345"/>
    <w:rsid w:val="00672A9B"/>
    <w:rsid w:val="006731CD"/>
    <w:rsid w:val="00673CD4"/>
    <w:rsid w:val="00674646"/>
    <w:rsid w:val="00674698"/>
    <w:rsid w:val="00674FCA"/>
    <w:rsid w:val="00675884"/>
    <w:rsid w:val="00676047"/>
    <w:rsid w:val="006767FC"/>
    <w:rsid w:val="00676E88"/>
    <w:rsid w:val="00676FFB"/>
    <w:rsid w:val="006807B5"/>
    <w:rsid w:val="00680831"/>
    <w:rsid w:val="00681283"/>
    <w:rsid w:val="0068274C"/>
    <w:rsid w:val="00682E52"/>
    <w:rsid w:val="0068338A"/>
    <w:rsid w:val="0068385E"/>
    <w:rsid w:val="00684C71"/>
    <w:rsid w:val="00684DCE"/>
    <w:rsid w:val="00684FB0"/>
    <w:rsid w:val="0068609F"/>
    <w:rsid w:val="006911FF"/>
    <w:rsid w:val="00691843"/>
    <w:rsid w:val="00692AA7"/>
    <w:rsid w:val="006930CA"/>
    <w:rsid w:val="00693A91"/>
    <w:rsid w:val="00693FAB"/>
    <w:rsid w:val="00694235"/>
    <w:rsid w:val="006948F6"/>
    <w:rsid w:val="00694976"/>
    <w:rsid w:val="0069629F"/>
    <w:rsid w:val="006966CA"/>
    <w:rsid w:val="00696D09"/>
    <w:rsid w:val="00696EE0"/>
    <w:rsid w:val="00697980"/>
    <w:rsid w:val="00697B36"/>
    <w:rsid w:val="006A022A"/>
    <w:rsid w:val="006A0307"/>
    <w:rsid w:val="006A0BFA"/>
    <w:rsid w:val="006A1753"/>
    <w:rsid w:val="006A19EF"/>
    <w:rsid w:val="006A43D5"/>
    <w:rsid w:val="006A506E"/>
    <w:rsid w:val="006A5073"/>
    <w:rsid w:val="006A525B"/>
    <w:rsid w:val="006A5480"/>
    <w:rsid w:val="006B0D55"/>
    <w:rsid w:val="006B1639"/>
    <w:rsid w:val="006B2EAB"/>
    <w:rsid w:val="006B3D4F"/>
    <w:rsid w:val="006B5199"/>
    <w:rsid w:val="006B62D7"/>
    <w:rsid w:val="006B64D9"/>
    <w:rsid w:val="006B6524"/>
    <w:rsid w:val="006B67DD"/>
    <w:rsid w:val="006B7356"/>
    <w:rsid w:val="006B7D8C"/>
    <w:rsid w:val="006C045F"/>
    <w:rsid w:val="006C2A26"/>
    <w:rsid w:val="006C2B2D"/>
    <w:rsid w:val="006C36D7"/>
    <w:rsid w:val="006C4196"/>
    <w:rsid w:val="006C4738"/>
    <w:rsid w:val="006C4891"/>
    <w:rsid w:val="006C4908"/>
    <w:rsid w:val="006C5188"/>
    <w:rsid w:val="006C618A"/>
    <w:rsid w:val="006C63B0"/>
    <w:rsid w:val="006C6C1A"/>
    <w:rsid w:val="006C75F8"/>
    <w:rsid w:val="006C76A2"/>
    <w:rsid w:val="006C792E"/>
    <w:rsid w:val="006C7BAD"/>
    <w:rsid w:val="006C7C80"/>
    <w:rsid w:val="006D116C"/>
    <w:rsid w:val="006D1288"/>
    <w:rsid w:val="006D1910"/>
    <w:rsid w:val="006D4D48"/>
    <w:rsid w:val="006D53B3"/>
    <w:rsid w:val="006D551F"/>
    <w:rsid w:val="006D7FE1"/>
    <w:rsid w:val="006E00A2"/>
    <w:rsid w:val="006E0F83"/>
    <w:rsid w:val="006E18BF"/>
    <w:rsid w:val="006E18C4"/>
    <w:rsid w:val="006E1B18"/>
    <w:rsid w:val="006E200C"/>
    <w:rsid w:val="006E20A5"/>
    <w:rsid w:val="006E22C1"/>
    <w:rsid w:val="006E276A"/>
    <w:rsid w:val="006E55E8"/>
    <w:rsid w:val="006E5602"/>
    <w:rsid w:val="006E5AD6"/>
    <w:rsid w:val="006E5F1C"/>
    <w:rsid w:val="006E7C42"/>
    <w:rsid w:val="006E7FF0"/>
    <w:rsid w:val="006F0844"/>
    <w:rsid w:val="006F087F"/>
    <w:rsid w:val="006F154A"/>
    <w:rsid w:val="006F168A"/>
    <w:rsid w:val="006F295F"/>
    <w:rsid w:val="006F43FD"/>
    <w:rsid w:val="006F4BFF"/>
    <w:rsid w:val="006F5076"/>
    <w:rsid w:val="006F6009"/>
    <w:rsid w:val="006F6AB1"/>
    <w:rsid w:val="00700806"/>
    <w:rsid w:val="0070092E"/>
    <w:rsid w:val="00700C6D"/>
    <w:rsid w:val="00700DC6"/>
    <w:rsid w:val="00702C0C"/>
    <w:rsid w:val="00702D43"/>
    <w:rsid w:val="0070321D"/>
    <w:rsid w:val="0070374D"/>
    <w:rsid w:val="00703B6A"/>
    <w:rsid w:val="00704432"/>
    <w:rsid w:val="007062CD"/>
    <w:rsid w:val="007068BA"/>
    <w:rsid w:val="0070786A"/>
    <w:rsid w:val="00707920"/>
    <w:rsid w:val="00710C7E"/>
    <w:rsid w:val="00711F03"/>
    <w:rsid w:val="0071542B"/>
    <w:rsid w:val="007154C5"/>
    <w:rsid w:val="007159C9"/>
    <w:rsid w:val="00716AB1"/>
    <w:rsid w:val="00716AF1"/>
    <w:rsid w:val="0071728C"/>
    <w:rsid w:val="00717CD0"/>
    <w:rsid w:val="00720414"/>
    <w:rsid w:val="00720972"/>
    <w:rsid w:val="00721A9D"/>
    <w:rsid w:val="00721D63"/>
    <w:rsid w:val="0072398A"/>
    <w:rsid w:val="00723A0C"/>
    <w:rsid w:val="00724394"/>
    <w:rsid w:val="00724A9F"/>
    <w:rsid w:val="00724F9F"/>
    <w:rsid w:val="00725C80"/>
    <w:rsid w:val="00726F51"/>
    <w:rsid w:val="00727834"/>
    <w:rsid w:val="00731940"/>
    <w:rsid w:val="00732C7B"/>
    <w:rsid w:val="007338F3"/>
    <w:rsid w:val="00734D2B"/>
    <w:rsid w:val="0073509A"/>
    <w:rsid w:val="00735B37"/>
    <w:rsid w:val="00737705"/>
    <w:rsid w:val="007405B2"/>
    <w:rsid w:val="007408D4"/>
    <w:rsid w:val="00741C89"/>
    <w:rsid w:val="007420AC"/>
    <w:rsid w:val="00742617"/>
    <w:rsid w:val="00742997"/>
    <w:rsid w:val="00742A5C"/>
    <w:rsid w:val="00743126"/>
    <w:rsid w:val="00743777"/>
    <w:rsid w:val="00745758"/>
    <w:rsid w:val="00747901"/>
    <w:rsid w:val="00750128"/>
    <w:rsid w:val="00750214"/>
    <w:rsid w:val="007508FD"/>
    <w:rsid w:val="00750AE5"/>
    <w:rsid w:val="00750ED3"/>
    <w:rsid w:val="00751F6B"/>
    <w:rsid w:val="00752A97"/>
    <w:rsid w:val="0075395E"/>
    <w:rsid w:val="00754583"/>
    <w:rsid w:val="007546FC"/>
    <w:rsid w:val="00755D8C"/>
    <w:rsid w:val="0075612D"/>
    <w:rsid w:val="00756938"/>
    <w:rsid w:val="00757D84"/>
    <w:rsid w:val="00757DFB"/>
    <w:rsid w:val="0076061C"/>
    <w:rsid w:val="00762E39"/>
    <w:rsid w:val="00763D40"/>
    <w:rsid w:val="00764046"/>
    <w:rsid w:val="00765478"/>
    <w:rsid w:val="00765ED3"/>
    <w:rsid w:val="00766D1A"/>
    <w:rsid w:val="00767CAF"/>
    <w:rsid w:val="00767FEA"/>
    <w:rsid w:val="00770CA2"/>
    <w:rsid w:val="00773055"/>
    <w:rsid w:val="00773801"/>
    <w:rsid w:val="007748C1"/>
    <w:rsid w:val="00775931"/>
    <w:rsid w:val="00775E44"/>
    <w:rsid w:val="0077659E"/>
    <w:rsid w:val="00776AAE"/>
    <w:rsid w:val="00776AE6"/>
    <w:rsid w:val="00776EB1"/>
    <w:rsid w:val="00776FCC"/>
    <w:rsid w:val="0077703D"/>
    <w:rsid w:val="00777D41"/>
    <w:rsid w:val="00780BA2"/>
    <w:rsid w:val="007818A3"/>
    <w:rsid w:val="00781C71"/>
    <w:rsid w:val="0078229B"/>
    <w:rsid w:val="00782492"/>
    <w:rsid w:val="00782522"/>
    <w:rsid w:val="00783AFA"/>
    <w:rsid w:val="00783D81"/>
    <w:rsid w:val="00784456"/>
    <w:rsid w:val="00785029"/>
    <w:rsid w:val="007850B0"/>
    <w:rsid w:val="00785427"/>
    <w:rsid w:val="0078556D"/>
    <w:rsid w:val="00785959"/>
    <w:rsid w:val="007868B6"/>
    <w:rsid w:val="00790483"/>
    <w:rsid w:val="00790540"/>
    <w:rsid w:val="00792659"/>
    <w:rsid w:val="007928E9"/>
    <w:rsid w:val="00792E90"/>
    <w:rsid w:val="007937C6"/>
    <w:rsid w:val="007939D6"/>
    <w:rsid w:val="007940C7"/>
    <w:rsid w:val="00794D27"/>
    <w:rsid w:val="00795133"/>
    <w:rsid w:val="00795F8E"/>
    <w:rsid w:val="00796044"/>
    <w:rsid w:val="007968CA"/>
    <w:rsid w:val="00796BEE"/>
    <w:rsid w:val="00797286"/>
    <w:rsid w:val="00797646"/>
    <w:rsid w:val="007A01BA"/>
    <w:rsid w:val="007A2B95"/>
    <w:rsid w:val="007A2F1B"/>
    <w:rsid w:val="007A43FF"/>
    <w:rsid w:val="007A4692"/>
    <w:rsid w:val="007A4E85"/>
    <w:rsid w:val="007A6C56"/>
    <w:rsid w:val="007A7586"/>
    <w:rsid w:val="007A75E6"/>
    <w:rsid w:val="007B0AC6"/>
    <w:rsid w:val="007B19D3"/>
    <w:rsid w:val="007B235B"/>
    <w:rsid w:val="007B3918"/>
    <w:rsid w:val="007B558C"/>
    <w:rsid w:val="007B67F7"/>
    <w:rsid w:val="007B68D9"/>
    <w:rsid w:val="007B7409"/>
    <w:rsid w:val="007C08E8"/>
    <w:rsid w:val="007C09A9"/>
    <w:rsid w:val="007C0AD9"/>
    <w:rsid w:val="007C2031"/>
    <w:rsid w:val="007C3C1D"/>
    <w:rsid w:val="007C545D"/>
    <w:rsid w:val="007C5FE7"/>
    <w:rsid w:val="007C6216"/>
    <w:rsid w:val="007C69DE"/>
    <w:rsid w:val="007C6A62"/>
    <w:rsid w:val="007C6D5C"/>
    <w:rsid w:val="007C6F76"/>
    <w:rsid w:val="007C7DD2"/>
    <w:rsid w:val="007D00F3"/>
    <w:rsid w:val="007D14C7"/>
    <w:rsid w:val="007D199A"/>
    <w:rsid w:val="007D2A04"/>
    <w:rsid w:val="007D2EBE"/>
    <w:rsid w:val="007D316C"/>
    <w:rsid w:val="007D331C"/>
    <w:rsid w:val="007D3694"/>
    <w:rsid w:val="007D3D17"/>
    <w:rsid w:val="007D4D26"/>
    <w:rsid w:val="007D5066"/>
    <w:rsid w:val="007D5101"/>
    <w:rsid w:val="007D513E"/>
    <w:rsid w:val="007D5609"/>
    <w:rsid w:val="007D5C04"/>
    <w:rsid w:val="007D626C"/>
    <w:rsid w:val="007D65A3"/>
    <w:rsid w:val="007E1A31"/>
    <w:rsid w:val="007E1C07"/>
    <w:rsid w:val="007E2498"/>
    <w:rsid w:val="007E2B99"/>
    <w:rsid w:val="007E2DC6"/>
    <w:rsid w:val="007E2E66"/>
    <w:rsid w:val="007E3717"/>
    <w:rsid w:val="007E3C2A"/>
    <w:rsid w:val="007E40D1"/>
    <w:rsid w:val="007E4456"/>
    <w:rsid w:val="007E54A5"/>
    <w:rsid w:val="007E56F3"/>
    <w:rsid w:val="007E5887"/>
    <w:rsid w:val="007E7177"/>
    <w:rsid w:val="007E723F"/>
    <w:rsid w:val="007E7B1A"/>
    <w:rsid w:val="007F1060"/>
    <w:rsid w:val="007F1167"/>
    <w:rsid w:val="007F14BC"/>
    <w:rsid w:val="007F174F"/>
    <w:rsid w:val="007F17EA"/>
    <w:rsid w:val="007F24B6"/>
    <w:rsid w:val="007F2A70"/>
    <w:rsid w:val="007F2B8F"/>
    <w:rsid w:val="007F2E79"/>
    <w:rsid w:val="007F31C8"/>
    <w:rsid w:val="007F3C00"/>
    <w:rsid w:val="007F3E7C"/>
    <w:rsid w:val="007F5EFE"/>
    <w:rsid w:val="007F5F7A"/>
    <w:rsid w:val="007F6460"/>
    <w:rsid w:val="007F6F99"/>
    <w:rsid w:val="007F76E3"/>
    <w:rsid w:val="008011B0"/>
    <w:rsid w:val="00802F40"/>
    <w:rsid w:val="008035BB"/>
    <w:rsid w:val="00803A1A"/>
    <w:rsid w:val="00803B38"/>
    <w:rsid w:val="00803D94"/>
    <w:rsid w:val="008047A8"/>
    <w:rsid w:val="00804F22"/>
    <w:rsid w:val="008066C2"/>
    <w:rsid w:val="0080678B"/>
    <w:rsid w:val="00806D68"/>
    <w:rsid w:val="00807B66"/>
    <w:rsid w:val="00807E68"/>
    <w:rsid w:val="00810CF6"/>
    <w:rsid w:val="00810DEB"/>
    <w:rsid w:val="00810FDF"/>
    <w:rsid w:val="0081150C"/>
    <w:rsid w:val="008118BC"/>
    <w:rsid w:val="008118E8"/>
    <w:rsid w:val="00811A27"/>
    <w:rsid w:val="00811F4C"/>
    <w:rsid w:val="00812DFE"/>
    <w:rsid w:val="008136B3"/>
    <w:rsid w:val="00813CF8"/>
    <w:rsid w:val="008147A4"/>
    <w:rsid w:val="00815813"/>
    <w:rsid w:val="00817965"/>
    <w:rsid w:val="008209D8"/>
    <w:rsid w:val="008216E4"/>
    <w:rsid w:val="00821A27"/>
    <w:rsid w:val="008229BA"/>
    <w:rsid w:val="00823D11"/>
    <w:rsid w:val="008249EF"/>
    <w:rsid w:val="00824C25"/>
    <w:rsid w:val="0082588B"/>
    <w:rsid w:val="00826724"/>
    <w:rsid w:val="0082746B"/>
    <w:rsid w:val="00827793"/>
    <w:rsid w:val="00827FC2"/>
    <w:rsid w:val="00830FC6"/>
    <w:rsid w:val="00831135"/>
    <w:rsid w:val="00832022"/>
    <w:rsid w:val="0083368F"/>
    <w:rsid w:val="008336A4"/>
    <w:rsid w:val="00834460"/>
    <w:rsid w:val="00834579"/>
    <w:rsid w:val="00834703"/>
    <w:rsid w:val="00834D7A"/>
    <w:rsid w:val="00835DB4"/>
    <w:rsid w:val="00836DC4"/>
    <w:rsid w:val="008370B9"/>
    <w:rsid w:val="00840359"/>
    <w:rsid w:val="00840782"/>
    <w:rsid w:val="00840996"/>
    <w:rsid w:val="008422D0"/>
    <w:rsid w:val="00845390"/>
    <w:rsid w:val="0084601B"/>
    <w:rsid w:val="0084633D"/>
    <w:rsid w:val="00846AAF"/>
    <w:rsid w:val="00847695"/>
    <w:rsid w:val="008511E6"/>
    <w:rsid w:val="008533F1"/>
    <w:rsid w:val="008543C6"/>
    <w:rsid w:val="00856793"/>
    <w:rsid w:val="00856808"/>
    <w:rsid w:val="008574D6"/>
    <w:rsid w:val="0085780F"/>
    <w:rsid w:val="0085792A"/>
    <w:rsid w:val="00857F67"/>
    <w:rsid w:val="008606F0"/>
    <w:rsid w:val="00862BBC"/>
    <w:rsid w:val="00862F63"/>
    <w:rsid w:val="008636D3"/>
    <w:rsid w:val="00863F01"/>
    <w:rsid w:val="0086413E"/>
    <w:rsid w:val="00864209"/>
    <w:rsid w:val="0086461B"/>
    <w:rsid w:val="00864D2E"/>
    <w:rsid w:val="00864DCB"/>
    <w:rsid w:val="00865489"/>
    <w:rsid w:val="00865524"/>
    <w:rsid w:val="0086553D"/>
    <w:rsid w:val="00867FE5"/>
    <w:rsid w:val="00871172"/>
    <w:rsid w:val="00871652"/>
    <w:rsid w:val="00872B13"/>
    <w:rsid w:val="00872C6B"/>
    <w:rsid w:val="00873D7E"/>
    <w:rsid w:val="008747A5"/>
    <w:rsid w:val="008747BC"/>
    <w:rsid w:val="00874FEB"/>
    <w:rsid w:val="008751B9"/>
    <w:rsid w:val="008772A4"/>
    <w:rsid w:val="00880FDA"/>
    <w:rsid w:val="00881B6F"/>
    <w:rsid w:val="00882AA4"/>
    <w:rsid w:val="008831EE"/>
    <w:rsid w:val="0088383A"/>
    <w:rsid w:val="0088390A"/>
    <w:rsid w:val="00883E22"/>
    <w:rsid w:val="00884E43"/>
    <w:rsid w:val="008854BA"/>
    <w:rsid w:val="0088556C"/>
    <w:rsid w:val="00885D55"/>
    <w:rsid w:val="0088670C"/>
    <w:rsid w:val="00886ACE"/>
    <w:rsid w:val="00887EC6"/>
    <w:rsid w:val="00890395"/>
    <w:rsid w:val="008906A0"/>
    <w:rsid w:val="0089084C"/>
    <w:rsid w:val="00891729"/>
    <w:rsid w:val="00891ADA"/>
    <w:rsid w:val="00891CC3"/>
    <w:rsid w:val="00892149"/>
    <w:rsid w:val="00892671"/>
    <w:rsid w:val="00893409"/>
    <w:rsid w:val="0089364D"/>
    <w:rsid w:val="00893D9F"/>
    <w:rsid w:val="00893F20"/>
    <w:rsid w:val="00896359"/>
    <w:rsid w:val="00896455"/>
    <w:rsid w:val="008964FE"/>
    <w:rsid w:val="00897473"/>
    <w:rsid w:val="00897628"/>
    <w:rsid w:val="008A0FAD"/>
    <w:rsid w:val="008A158B"/>
    <w:rsid w:val="008A2379"/>
    <w:rsid w:val="008A3135"/>
    <w:rsid w:val="008A4329"/>
    <w:rsid w:val="008A53AD"/>
    <w:rsid w:val="008A5429"/>
    <w:rsid w:val="008A578E"/>
    <w:rsid w:val="008A596B"/>
    <w:rsid w:val="008A61DA"/>
    <w:rsid w:val="008A677B"/>
    <w:rsid w:val="008A76D0"/>
    <w:rsid w:val="008B05AD"/>
    <w:rsid w:val="008B1519"/>
    <w:rsid w:val="008B1AE7"/>
    <w:rsid w:val="008B4486"/>
    <w:rsid w:val="008B52B6"/>
    <w:rsid w:val="008B69E3"/>
    <w:rsid w:val="008B78F8"/>
    <w:rsid w:val="008B7BCC"/>
    <w:rsid w:val="008C0FF0"/>
    <w:rsid w:val="008C103E"/>
    <w:rsid w:val="008C11A8"/>
    <w:rsid w:val="008C27C5"/>
    <w:rsid w:val="008C299C"/>
    <w:rsid w:val="008C50C3"/>
    <w:rsid w:val="008C7094"/>
    <w:rsid w:val="008D00D3"/>
    <w:rsid w:val="008D02FD"/>
    <w:rsid w:val="008D0C28"/>
    <w:rsid w:val="008D10AB"/>
    <w:rsid w:val="008D15F7"/>
    <w:rsid w:val="008D1968"/>
    <w:rsid w:val="008D1B63"/>
    <w:rsid w:val="008D1C30"/>
    <w:rsid w:val="008D2B97"/>
    <w:rsid w:val="008D3C52"/>
    <w:rsid w:val="008D3EE2"/>
    <w:rsid w:val="008D49A5"/>
    <w:rsid w:val="008D4ED6"/>
    <w:rsid w:val="008D54BE"/>
    <w:rsid w:val="008D5B3A"/>
    <w:rsid w:val="008D6A36"/>
    <w:rsid w:val="008D6C81"/>
    <w:rsid w:val="008D789C"/>
    <w:rsid w:val="008D7CF3"/>
    <w:rsid w:val="008E242D"/>
    <w:rsid w:val="008E2FFF"/>
    <w:rsid w:val="008E3AA3"/>
    <w:rsid w:val="008E4116"/>
    <w:rsid w:val="008E4BB3"/>
    <w:rsid w:val="008E4F3C"/>
    <w:rsid w:val="008E6CF0"/>
    <w:rsid w:val="008E77E7"/>
    <w:rsid w:val="008F1439"/>
    <w:rsid w:val="008F3C88"/>
    <w:rsid w:val="008F3DB7"/>
    <w:rsid w:val="008F44AE"/>
    <w:rsid w:val="008F52CD"/>
    <w:rsid w:val="008F660E"/>
    <w:rsid w:val="008F6E07"/>
    <w:rsid w:val="008F7051"/>
    <w:rsid w:val="008F75EF"/>
    <w:rsid w:val="00900387"/>
    <w:rsid w:val="009013C5"/>
    <w:rsid w:val="0090141D"/>
    <w:rsid w:val="00901BFA"/>
    <w:rsid w:val="00901D9F"/>
    <w:rsid w:val="0090226C"/>
    <w:rsid w:val="009022CA"/>
    <w:rsid w:val="009033A9"/>
    <w:rsid w:val="00904152"/>
    <w:rsid w:val="00904318"/>
    <w:rsid w:val="00904CA2"/>
    <w:rsid w:val="0090581D"/>
    <w:rsid w:val="009061EE"/>
    <w:rsid w:val="00907400"/>
    <w:rsid w:val="00907B68"/>
    <w:rsid w:val="009105E5"/>
    <w:rsid w:val="00910ABE"/>
    <w:rsid w:val="009114EC"/>
    <w:rsid w:val="009133E5"/>
    <w:rsid w:val="0091439C"/>
    <w:rsid w:val="00914F73"/>
    <w:rsid w:val="00914FC2"/>
    <w:rsid w:val="00915204"/>
    <w:rsid w:val="00915C0B"/>
    <w:rsid w:val="00915ED8"/>
    <w:rsid w:val="00920572"/>
    <w:rsid w:val="00920BF2"/>
    <w:rsid w:val="00920DAD"/>
    <w:rsid w:val="00921950"/>
    <w:rsid w:val="00921A88"/>
    <w:rsid w:val="00922598"/>
    <w:rsid w:val="00922CB4"/>
    <w:rsid w:val="00924C47"/>
    <w:rsid w:val="009266F0"/>
    <w:rsid w:val="00926DE4"/>
    <w:rsid w:val="00927D64"/>
    <w:rsid w:val="00930CCE"/>
    <w:rsid w:val="009318CB"/>
    <w:rsid w:val="00932353"/>
    <w:rsid w:val="009331B0"/>
    <w:rsid w:val="00933656"/>
    <w:rsid w:val="00933785"/>
    <w:rsid w:val="00933AC7"/>
    <w:rsid w:val="009342C9"/>
    <w:rsid w:val="009343D5"/>
    <w:rsid w:val="00934556"/>
    <w:rsid w:val="009349A9"/>
    <w:rsid w:val="00935202"/>
    <w:rsid w:val="00936C52"/>
    <w:rsid w:val="0093790B"/>
    <w:rsid w:val="009417E5"/>
    <w:rsid w:val="009423F4"/>
    <w:rsid w:val="00943D13"/>
    <w:rsid w:val="009442E1"/>
    <w:rsid w:val="009443CD"/>
    <w:rsid w:val="009444EB"/>
    <w:rsid w:val="00945A8C"/>
    <w:rsid w:val="00945F97"/>
    <w:rsid w:val="00947236"/>
    <w:rsid w:val="0094767D"/>
    <w:rsid w:val="00947F05"/>
    <w:rsid w:val="009503F0"/>
    <w:rsid w:val="00950B22"/>
    <w:rsid w:val="0095217F"/>
    <w:rsid w:val="00952E8A"/>
    <w:rsid w:val="00953728"/>
    <w:rsid w:val="00953EAB"/>
    <w:rsid w:val="0095489B"/>
    <w:rsid w:val="00954CD1"/>
    <w:rsid w:val="009557A5"/>
    <w:rsid w:val="00955865"/>
    <w:rsid w:val="009564AE"/>
    <w:rsid w:val="00956B1D"/>
    <w:rsid w:val="009573CA"/>
    <w:rsid w:val="00957F4D"/>
    <w:rsid w:val="009607B8"/>
    <w:rsid w:val="00960DEF"/>
    <w:rsid w:val="009619A5"/>
    <w:rsid w:val="00961A56"/>
    <w:rsid w:val="009644C6"/>
    <w:rsid w:val="00965333"/>
    <w:rsid w:val="00966660"/>
    <w:rsid w:val="00966ACC"/>
    <w:rsid w:val="00966FB9"/>
    <w:rsid w:val="00967144"/>
    <w:rsid w:val="009671CD"/>
    <w:rsid w:val="00967721"/>
    <w:rsid w:val="009702FE"/>
    <w:rsid w:val="009705D1"/>
    <w:rsid w:val="00970D41"/>
    <w:rsid w:val="00970D7B"/>
    <w:rsid w:val="00970F7D"/>
    <w:rsid w:val="00971262"/>
    <w:rsid w:val="0097206A"/>
    <w:rsid w:val="00972B41"/>
    <w:rsid w:val="009751A9"/>
    <w:rsid w:val="00975517"/>
    <w:rsid w:val="009758C9"/>
    <w:rsid w:val="00975E21"/>
    <w:rsid w:val="009763E5"/>
    <w:rsid w:val="00976716"/>
    <w:rsid w:val="00976AE2"/>
    <w:rsid w:val="0097766B"/>
    <w:rsid w:val="0097796B"/>
    <w:rsid w:val="0098053F"/>
    <w:rsid w:val="00980686"/>
    <w:rsid w:val="00980BCD"/>
    <w:rsid w:val="00980DF8"/>
    <w:rsid w:val="00980F9C"/>
    <w:rsid w:val="0098112D"/>
    <w:rsid w:val="0098138E"/>
    <w:rsid w:val="009841E3"/>
    <w:rsid w:val="00984440"/>
    <w:rsid w:val="0098632B"/>
    <w:rsid w:val="00986411"/>
    <w:rsid w:val="00986EE3"/>
    <w:rsid w:val="00987433"/>
    <w:rsid w:val="00991BD5"/>
    <w:rsid w:val="009941C2"/>
    <w:rsid w:val="009944EA"/>
    <w:rsid w:val="00994772"/>
    <w:rsid w:val="00994A4B"/>
    <w:rsid w:val="00995D33"/>
    <w:rsid w:val="00996C5C"/>
    <w:rsid w:val="00997299"/>
    <w:rsid w:val="00997BFB"/>
    <w:rsid w:val="009A0438"/>
    <w:rsid w:val="009A0B28"/>
    <w:rsid w:val="009A1B67"/>
    <w:rsid w:val="009A3643"/>
    <w:rsid w:val="009A3662"/>
    <w:rsid w:val="009A3BDE"/>
    <w:rsid w:val="009A4066"/>
    <w:rsid w:val="009A574B"/>
    <w:rsid w:val="009A6AE9"/>
    <w:rsid w:val="009A7104"/>
    <w:rsid w:val="009A7348"/>
    <w:rsid w:val="009B258A"/>
    <w:rsid w:val="009B29E7"/>
    <w:rsid w:val="009B2A40"/>
    <w:rsid w:val="009B30C7"/>
    <w:rsid w:val="009B39C9"/>
    <w:rsid w:val="009B3A04"/>
    <w:rsid w:val="009B462C"/>
    <w:rsid w:val="009B4B97"/>
    <w:rsid w:val="009B719A"/>
    <w:rsid w:val="009B7713"/>
    <w:rsid w:val="009C0302"/>
    <w:rsid w:val="009C06AE"/>
    <w:rsid w:val="009C0DA7"/>
    <w:rsid w:val="009C10B0"/>
    <w:rsid w:val="009C15F3"/>
    <w:rsid w:val="009C1A1E"/>
    <w:rsid w:val="009C3034"/>
    <w:rsid w:val="009C40FE"/>
    <w:rsid w:val="009C498E"/>
    <w:rsid w:val="009C5181"/>
    <w:rsid w:val="009C5654"/>
    <w:rsid w:val="009C5A78"/>
    <w:rsid w:val="009C6424"/>
    <w:rsid w:val="009D1C97"/>
    <w:rsid w:val="009D1DEE"/>
    <w:rsid w:val="009D408E"/>
    <w:rsid w:val="009D5101"/>
    <w:rsid w:val="009D5914"/>
    <w:rsid w:val="009D6701"/>
    <w:rsid w:val="009D777E"/>
    <w:rsid w:val="009E023B"/>
    <w:rsid w:val="009E07C2"/>
    <w:rsid w:val="009E0E52"/>
    <w:rsid w:val="009E2BD6"/>
    <w:rsid w:val="009E32DC"/>
    <w:rsid w:val="009E502C"/>
    <w:rsid w:val="009E5EFB"/>
    <w:rsid w:val="009E62CB"/>
    <w:rsid w:val="009E6E5A"/>
    <w:rsid w:val="009E7282"/>
    <w:rsid w:val="009F0CEE"/>
    <w:rsid w:val="009F1540"/>
    <w:rsid w:val="009F2BFC"/>
    <w:rsid w:val="009F376D"/>
    <w:rsid w:val="009F37F0"/>
    <w:rsid w:val="009F3AC9"/>
    <w:rsid w:val="009F3E4A"/>
    <w:rsid w:val="009F401A"/>
    <w:rsid w:val="009F40E3"/>
    <w:rsid w:val="009F4E8D"/>
    <w:rsid w:val="009F562F"/>
    <w:rsid w:val="009F609A"/>
    <w:rsid w:val="009F72F9"/>
    <w:rsid w:val="00A00205"/>
    <w:rsid w:val="00A0090A"/>
    <w:rsid w:val="00A009EE"/>
    <w:rsid w:val="00A00AF0"/>
    <w:rsid w:val="00A0128D"/>
    <w:rsid w:val="00A01F9E"/>
    <w:rsid w:val="00A023EA"/>
    <w:rsid w:val="00A02DA3"/>
    <w:rsid w:val="00A03261"/>
    <w:rsid w:val="00A06114"/>
    <w:rsid w:val="00A069A0"/>
    <w:rsid w:val="00A103C6"/>
    <w:rsid w:val="00A11646"/>
    <w:rsid w:val="00A132E9"/>
    <w:rsid w:val="00A13385"/>
    <w:rsid w:val="00A13F9A"/>
    <w:rsid w:val="00A14B5A"/>
    <w:rsid w:val="00A14DF8"/>
    <w:rsid w:val="00A14E1F"/>
    <w:rsid w:val="00A16F8F"/>
    <w:rsid w:val="00A17A4A"/>
    <w:rsid w:val="00A17EBC"/>
    <w:rsid w:val="00A212F2"/>
    <w:rsid w:val="00A2165A"/>
    <w:rsid w:val="00A22A25"/>
    <w:rsid w:val="00A22B4F"/>
    <w:rsid w:val="00A22FCB"/>
    <w:rsid w:val="00A23EFD"/>
    <w:rsid w:val="00A2460C"/>
    <w:rsid w:val="00A248CB"/>
    <w:rsid w:val="00A24968"/>
    <w:rsid w:val="00A25054"/>
    <w:rsid w:val="00A2721C"/>
    <w:rsid w:val="00A27BBD"/>
    <w:rsid w:val="00A3177A"/>
    <w:rsid w:val="00A31E50"/>
    <w:rsid w:val="00A32290"/>
    <w:rsid w:val="00A32B0F"/>
    <w:rsid w:val="00A32DB3"/>
    <w:rsid w:val="00A33965"/>
    <w:rsid w:val="00A3451F"/>
    <w:rsid w:val="00A34996"/>
    <w:rsid w:val="00A34D1D"/>
    <w:rsid w:val="00A34D5E"/>
    <w:rsid w:val="00A34EEC"/>
    <w:rsid w:val="00A352AD"/>
    <w:rsid w:val="00A3567F"/>
    <w:rsid w:val="00A36BBF"/>
    <w:rsid w:val="00A37698"/>
    <w:rsid w:val="00A376A3"/>
    <w:rsid w:val="00A379BA"/>
    <w:rsid w:val="00A37B04"/>
    <w:rsid w:val="00A37EC7"/>
    <w:rsid w:val="00A410F0"/>
    <w:rsid w:val="00A41ED3"/>
    <w:rsid w:val="00A425D4"/>
    <w:rsid w:val="00A43F3C"/>
    <w:rsid w:val="00A43F45"/>
    <w:rsid w:val="00A44AC7"/>
    <w:rsid w:val="00A462DB"/>
    <w:rsid w:val="00A4636C"/>
    <w:rsid w:val="00A46846"/>
    <w:rsid w:val="00A46D91"/>
    <w:rsid w:val="00A47274"/>
    <w:rsid w:val="00A50615"/>
    <w:rsid w:val="00A5138E"/>
    <w:rsid w:val="00A518B4"/>
    <w:rsid w:val="00A5284E"/>
    <w:rsid w:val="00A539D3"/>
    <w:rsid w:val="00A53CF3"/>
    <w:rsid w:val="00A55F9B"/>
    <w:rsid w:val="00A55FC2"/>
    <w:rsid w:val="00A56C01"/>
    <w:rsid w:val="00A5701E"/>
    <w:rsid w:val="00A57EE1"/>
    <w:rsid w:val="00A6011F"/>
    <w:rsid w:val="00A60D17"/>
    <w:rsid w:val="00A6141D"/>
    <w:rsid w:val="00A623BF"/>
    <w:rsid w:val="00A6247B"/>
    <w:rsid w:val="00A62A7A"/>
    <w:rsid w:val="00A636DD"/>
    <w:rsid w:val="00A64191"/>
    <w:rsid w:val="00A65988"/>
    <w:rsid w:val="00A65C4C"/>
    <w:rsid w:val="00A6624D"/>
    <w:rsid w:val="00A66852"/>
    <w:rsid w:val="00A66F71"/>
    <w:rsid w:val="00A67532"/>
    <w:rsid w:val="00A67ECF"/>
    <w:rsid w:val="00A70897"/>
    <w:rsid w:val="00A71765"/>
    <w:rsid w:val="00A722B0"/>
    <w:rsid w:val="00A7258D"/>
    <w:rsid w:val="00A7331B"/>
    <w:rsid w:val="00A73434"/>
    <w:rsid w:val="00A74812"/>
    <w:rsid w:val="00A750BE"/>
    <w:rsid w:val="00A75490"/>
    <w:rsid w:val="00A7581A"/>
    <w:rsid w:val="00A7584D"/>
    <w:rsid w:val="00A7618E"/>
    <w:rsid w:val="00A76996"/>
    <w:rsid w:val="00A771D3"/>
    <w:rsid w:val="00A80756"/>
    <w:rsid w:val="00A81D82"/>
    <w:rsid w:val="00A82AED"/>
    <w:rsid w:val="00A8314B"/>
    <w:rsid w:val="00A8342A"/>
    <w:rsid w:val="00A83B95"/>
    <w:rsid w:val="00A83FCC"/>
    <w:rsid w:val="00A842AF"/>
    <w:rsid w:val="00A84C55"/>
    <w:rsid w:val="00A8606E"/>
    <w:rsid w:val="00A874F5"/>
    <w:rsid w:val="00A901C1"/>
    <w:rsid w:val="00A916D7"/>
    <w:rsid w:val="00A91E36"/>
    <w:rsid w:val="00A928B9"/>
    <w:rsid w:val="00A92BCE"/>
    <w:rsid w:val="00A93018"/>
    <w:rsid w:val="00A93601"/>
    <w:rsid w:val="00A93E06"/>
    <w:rsid w:val="00A93E33"/>
    <w:rsid w:val="00A94FD6"/>
    <w:rsid w:val="00A954B2"/>
    <w:rsid w:val="00A95597"/>
    <w:rsid w:val="00A95B0A"/>
    <w:rsid w:val="00A96D0B"/>
    <w:rsid w:val="00A97250"/>
    <w:rsid w:val="00AA0A46"/>
    <w:rsid w:val="00AA0BBE"/>
    <w:rsid w:val="00AA1EB3"/>
    <w:rsid w:val="00AA25E3"/>
    <w:rsid w:val="00AA33F5"/>
    <w:rsid w:val="00AA6002"/>
    <w:rsid w:val="00AA60A6"/>
    <w:rsid w:val="00AA62FA"/>
    <w:rsid w:val="00AA6384"/>
    <w:rsid w:val="00AA6784"/>
    <w:rsid w:val="00AA6D10"/>
    <w:rsid w:val="00AA6DA2"/>
    <w:rsid w:val="00AB1651"/>
    <w:rsid w:val="00AB195E"/>
    <w:rsid w:val="00AB1B7B"/>
    <w:rsid w:val="00AB1CEB"/>
    <w:rsid w:val="00AB3944"/>
    <w:rsid w:val="00AB3E01"/>
    <w:rsid w:val="00AB4246"/>
    <w:rsid w:val="00AB4683"/>
    <w:rsid w:val="00AB5314"/>
    <w:rsid w:val="00AB5728"/>
    <w:rsid w:val="00AB5A32"/>
    <w:rsid w:val="00AB6970"/>
    <w:rsid w:val="00AB6C80"/>
    <w:rsid w:val="00AC01A5"/>
    <w:rsid w:val="00AC0476"/>
    <w:rsid w:val="00AC053A"/>
    <w:rsid w:val="00AC1939"/>
    <w:rsid w:val="00AC208F"/>
    <w:rsid w:val="00AC2A4A"/>
    <w:rsid w:val="00AC38A6"/>
    <w:rsid w:val="00AC3E65"/>
    <w:rsid w:val="00AC3F10"/>
    <w:rsid w:val="00AC4514"/>
    <w:rsid w:val="00AC4C25"/>
    <w:rsid w:val="00AC6E95"/>
    <w:rsid w:val="00AC7C05"/>
    <w:rsid w:val="00AD0224"/>
    <w:rsid w:val="00AD0317"/>
    <w:rsid w:val="00AD0857"/>
    <w:rsid w:val="00AD11BD"/>
    <w:rsid w:val="00AD167C"/>
    <w:rsid w:val="00AD17C7"/>
    <w:rsid w:val="00AD234F"/>
    <w:rsid w:val="00AD298F"/>
    <w:rsid w:val="00AD3393"/>
    <w:rsid w:val="00AD4041"/>
    <w:rsid w:val="00AD44A1"/>
    <w:rsid w:val="00AD5BDE"/>
    <w:rsid w:val="00AD63D9"/>
    <w:rsid w:val="00AD6603"/>
    <w:rsid w:val="00AD68A5"/>
    <w:rsid w:val="00AD6903"/>
    <w:rsid w:val="00AD77E0"/>
    <w:rsid w:val="00AD78FC"/>
    <w:rsid w:val="00AD7976"/>
    <w:rsid w:val="00AE1B47"/>
    <w:rsid w:val="00AE2176"/>
    <w:rsid w:val="00AE2361"/>
    <w:rsid w:val="00AE29AA"/>
    <w:rsid w:val="00AE302B"/>
    <w:rsid w:val="00AE454E"/>
    <w:rsid w:val="00AE4F54"/>
    <w:rsid w:val="00AE55AA"/>
    <w:rsid w:val="00AE5735"/>
    <w:rsid w:val="00AE66FF"/>
    <w:rsid w:val="00AE701F"/>
    <w:rsid w:val="00AE764A"/>
    <w:rsid w:val="00AE7F70"/>
    <w:rsid w:val="00AF092A"/>
    <w:rsid w:val="00AF10C5"/>
    <w:rsid w:val="00AF1898"/>
    <w:rsid w:val="00AF1A6B"/>
    <w:rsid w:val="00AF1E35"/>
    <w:rsid w:val="00AF2487"/>
    <w:rsid w:val="00AF26EB"/>
    <w:rsid w:val="00AF2C3D"/>
    <w:rsid w:val="00AF31F0"/>
    <w:rsid w:val="00AF3353"/>
    <w:rsid w:val="00AF39BA"/>
    <w:rsid w:val="00AF3BAE"/>
    <w:rsid w:val="00AF5324"/>
    <w:rsid w:val="00AF5580"/>
    <w:rsid w:val="00AF58C2"/>
    <w:rsid w:val="00AF5E8C"/>
    <w:rsid w:val="00AF72A1"/>
    <w:rsid w:val="00AF7463"/>
    <w:rsid w:val="00AF7A36"/>
    <w:rsid w:val="00AF7A86"/>
    <w:rsid w:val="00B00696"/>
    <w:rsid w:val="00B01913"/>
    <w:rsid w:val="00B01A35"/>
    <w:rsid w:val="00B025B1"/>
    <w:rsid w:val="00B0304A"/>
    <w:rsid w:val="00B031D4"/>
    <w:rsid w:val="00B0433B"/>
    <w:rsid w:val="00B05AC5"/>
    <w:rsid w:val="00B06378"/>
    <w:rsid w:val="00B12E44"/>
    <w:rsid w:val="00B14D0D"/>
    <w:rsid w:val="00B14FB6"/>
    <w:rsid w:val="00B15951"/>
    <w:rsid w:val="00B169CF"/>
    <w:rsid w:val="00B20600"/>
    <w:rsid w:val="00B206ED"/>
    <w:rsid w:val="00B208E2"/>
    <w:rsid w:val="00B216E1"/>
    <w:rsid w:val="00B222C0"/>
    <w:rsid w:val="00B2254F"/>
    <w:rsid w:val="00B22CA8"/>
    <w:rsid w:val="00B23DBF"/>
    <w:rsid w:val="00B25195"/>
    <w:rsid w:val="00B253A0"/>
    <w:rsid w:val="00B259DF"/>
    <w:rsid w:val="00B26BD1"/>
    <w:rsid w:val="00B2730C"/>
    <w:rsid w:val="00B30D56"/>
    <w:rsid w:val="00B31487"/>
    <w:rsid w:val="00B3221C"/>
    <w:rsid w:val="00B32CE5"/>
    <w:rsid w:val="00B337CF"/>
    <w:rsid w:val="00B3529D"/>
    <w:rsid w:val="00B3612A"/>
    <w:rsid w:val="00B36EF7"/>
    <w:rsid w:val="00B3703F"/>
    <w:rsid w:val="00B377BE"/>
    <w:rsid w:val="00B37A61"/>
    <w:rsid w:val="00B40065"/>
    <w:rsid w:val="00B40543"/>
    <w:rsid w:val="00B40597"/>
    <w:rsid w:val="00B40FB7"/>
    <w:rsid w:val="00B424FB"/>
    <w:rsid w:val="00B433CC"/>
    <w:rsid w:val="00B44B1F"/>
    <w:rsid w:val="00B4517B"/>
    <w:rsid w:val="00B4523A"/>
    <w:rsid w:val="00B45403"/>
    <w:rsid w:val="00B45B9F"/>
    <w:rsid w:val="00B470E6"/>
    <w:rsid w:val="00B47625"/>
    <w:rsid w:val="00B50450"/>
    <w:rsid w:val="00B50738"/>
    <w:rsid w:val="00B533EE"/>
    <w:rsid w:val="00B53847"/>
    <w:rsid w:val="00B54B2F"/>
    <w:rsid w:val="00B560FF"/>
    <w:rsid w:val="00B57D6C"/>
    <w:rsid w:val="00B60451"/>
    <w:rsid w:val="00B60A9D"/>
    <w:rsid w:val="00B616C6"/>
    <w:rsid w:val="00B64141"/>
    <w:rsid w:val="00B6477D"/>
    <w:rsid w:val="00B64BBC"/>
    <w:rsid w:val="00B64E72"/>
    <w:rsid w:val="00B66F62"/>
    <w:rsid w:val="00B67AF5"/>
    <w:rsid w:val="00B70628"/>
    <w:rsid w:val="00B71592"/>
    <w:rsid w:val="00B72121"/>
    <w:rsid w:val="00B73194"/>
    <w:rsid w:val="00B73600"/>
    <w:rsid w:val="00B73FFF"/>
    <w:rsid w:val="00B742D0"/>
    <w:rsid w:val="00B743DA"/>
    <w:rsid w:val="00B746E1"/>
    <w:rsid w:val="00B75CCE"/>
    <w:rsid w:val="00B76013"/>
    <w:rsid w:val="00B76E2A"/>
    <w:rsid w:val="00B77311"/>
    <w:rsid w:val="00B77410"/>
    <w:rsid w:val="00B77913"/>
    <w:rsid w:val="00B77A24"/>
    <w:rsid w:val="00B77ABC"/>
    <w:rsid w:val="00B77B00"/>
    <w:rsid w:val="00B77D57"/>
    <w:rsid w:val="00B77ED8"/>
    <w:rsid w:val="00B80471"/>
    <w:rsid w:val="00B810AF"/>
    <w:rsid w:val="00B816CD"/>
    <w:rsid w:val="00B81D55"/>
    <w:rsid w:val="00B82460"/>
    <w:rsid w:val="00B824FB"/>
    <w:rsid w:val="00B82603"/>
    <w:rsid w:val="00B82646"/>
    <w:rsid w:val="00B83581"/>
    <w:rsid w:val="00B83ADC"/>
    <w:rsid w:val="00B83B46"/>
    <w:rsid w:val="00B83E39"/>
    <w:rsid w:val="00B84F9A"/>
    <w:rsid w:val="00B85A4D"/>
    <w:rsid w:val="00B8613E"/>
    <w:rsid w:val="00B864CC"/>
    <w:rsid w:val="00B86636"/>
    <w:rsid w:val="00B8686C"/>
    <w:rsid w:val="00B86AD7"/>
    <w:rsid w:val="00B90D80"/>
    <w:rsid w:val="00B92E1A"/>
    <w:rsid w:val="00B92FD9"/>
    <w:rsid w:val="00B9466C"/>
    <w:rsid w:val="00B94F90"/>
    <w:rsid w:val="00B9646A"/>
    <w:rsid w:val="00B964C3"/>
    <w:rsid w:val="00B96CC4"/>
    <w:rsid w:val="00B97359"/>
    <w:rsid w:val="00B9755A"/>
    <w:rsid w:val="00B976B6"/>
    <w:rsid w:val="00B97A8F"/>
    <w:rsid w:val="00BA0AA9"/>
    <w:rsid w:val="00BA0F25"/>
    <w:rsid w:val="00BA0F6C"/>
    <w:rsid w:val="00BA2BB7"/>
    <w:rsid w:val="00BA2D3C"/>
    <w:rsid w:val="00BA2DF9"/>
    <w:rsid w:val="00BA34B0"/>
    <w:rsid w:val="00BA34E2"/>
    <w:rsid w:val="00BA34F1"/>
    <w:rsid w:val="00BA4432"/>
    <w:rsid w:val="00BA4E58"/>
    <w:rsid w:val="00BA7074"/>
    <w:rsid w:val="00BA73AD"/>
    <w:rsid w:val="00BA76C8"/>
    <w:rsid w:val="00BB07E2"/>
    <w:rsid w:val="00BB0A51"/>
    <w:rsid w:val="00BB14D2"/>
    <w:rsid w:val="00BB2458"/>
    <w:rsid w:val="00BB43B7"/>
    <w:rsid w:val="00BB4443"/>
    <w:rsid w:val="00BB4A1F"/>
    <w:rsid w:val="00BB4C1A"/>
    <w:rsid w:val="00BB4DED"/>
    <w:rsid w:val="00BB5C49"/>
    <w:rsid w:val="00BB5EBA"/>
    <w:rsid w:val="00BB7251"/>
    <w:rsid w:val="00BB7829"/>
    <w:rsid w:val="00BC0898"/>
    <w:rsid w:val="00BC09B5"/>
    <w:rsid w:val="00BC1695"/>
    <w:rsid w:val="00BC20DC"/>
    <w:rsid w:val="00BC25D7"/>
    <w:rsid w:val="00BC2CAE"/>
    <w:rsid w:val="00BC3959"/>
    <w:rsid w:val="00BC5675"/>
    <w:rsid w:val="00BC5AE7"/>
    <w:rsid w:val="00BC647B"/>
    <w:rsid w:val="00BC6B36"/>
    <w:rsid w:val="00BC6C61"/>
    <w:rsid w:val="00BD1457"/>
    <w:rsid w:val="00BD2A1A"/>
    <w:rsid w:val="00BD2CE3"/>
    <w:rsid w:val="00BD3825"/>
    <w:rsid w:val="00BD384F"/>
    <w:rsid w:val="00BD4B84"/>
    <w:rsid w:val="00BD5F8C"/>
    <w:rsid w:val="00BD65F5"/>
    <w:rsid w:val="00BD6C5E"/>
    <w:rsid w:val="00BE1558"/>
    <w:rsid w:val="00BE2AD9"/>
    <w:rsid w:val="00BE2DE3"/>
    <w:rsid w:val="00BE3100"/>
    <w:rsid w:val="00BE3EAC"/>
    <w:rsid w:val="00BE4C57"/>
    <w:rsid w:val="00BF02F4"/>
    <w:rsid w:val="00BF057C"/>
    <w:rsid w:val="00BF0597"/>
    <w:rsid w:val="00BF093A"/>
    <w:rsid w:val="00BF21D5"/>
    <w:rsid w:val="00BF24DD"/>
    <w:rsid w:val="00BF27FE"/>
    <w:rsid w:val="00BF34F5"/>
    <w:rsid w:val="00BF3B1B"/>
    <w:rsid w:val="00BF3B3C"/>
    <w:rsid w:val="00BF4526"/>
    <w:rsid w:val="00BF4986"/>
    <w:rsid w:val="00BF7A34"/>
    <w:rsid w:val="00BF7BA6"/>
    <w:rsid w:val="00C005FB"/>
    <w:rsid w:val="00C00711"/>
    <w:rsid w:val="00C0125A"/>
    <w:rsid w:val="00C021AD"/>
    <w:rsid w:val="00C02408"/>
    <w:rsid w:val="00C025AA"/>
    <w:rsid w:val="00C031F1"/>
    <w:rsid w:val="00C043B3"/>
    <w:rsid w:val="00C04605"/>
    <w:rsid w:val="00C05A4B"/>
    <w:rsid w:val="00C05F72"/>
    <w:rsid w:val="00C077C7"/>
    <w:rsid w:val="00C07897"/>
    <w:rsid w:val="00C079AB"/>
    <w:rsid w:val="00C07E37"/>
    <w:rsid w:val="00C10E61"/>
    <w:rsid w:val="00C12FD6"/>
    <w:rsid w:val="00C132D6"/>
    <w:rsid w:val="00C13F19"/>
    <w:rsid w:val="00C143EC"/>
    <w:rsid w:val="00C14787"/>
    <w:rsid w:val="00C150F5"/>
    <w:rsid w:val="00C1596D"/>
    <w:rsid w:val="00C15982"/>
    <w:rsid w:val="00C15B1A"/>
    <w:rsid w:val="00C15B8D"/>
    <w:rsid w:val="00C16D46"/>
    <w:rsid w:val="00C17010"/>
    <w:rsid w:val="00C1731A"/>
    <w:rsid w:val="00C17390"/>
    <w:rsid w:val="00C17983"/>
    <w:rsid w:val="00C20422"/>
    <w:rsid w:val="00C20562"/>
    <w:rsid w:val="00C206B6"/>
    <w:rsid w:val="00C20C8D"/>
    <w:rsid w:val="00C215C3"/>
    <w:rsid w:val="00C21682"/>
    <w:rsid w:val="00C220E5"/>
    <w:rsid w:val="00C22DC3"/>
    <w:rsid w:val="00C236E1"/>
    <w:rsid w:val="00C23A96"/>
    <w:rsid w:val="00C244D4"/>
    <w:rsid w:val="00C2489C"/>
    <w:rsid w:val="00C24932"/>
    <w:rsid w:val="00C249C6"/>
    <w:rsid w:val="00C2728F"/>
    <w:rsid w:val="00C3028E"/>
    <w:rsid w:val="00C3040D"/>
    <w:rsid w:val="00C3058B"/>
    <w:rsid w:val="00C31EDC"/>
    <w:rsid w:val="00C328DA"/>
    <w:rsid w:val="00C32906"/>
    <w:rsid w:val="00C32AD7"/>
    <w:rsid w:val="00C32CC1"/>
    <w:rsid w:val="00C32FB5"/>
    <w:rsid w:val="00C33487"/>
    <w:rsid w:val="00C33D06"/>
    <w:rsid w:val="00C35D86"/>
    <w:rsid w:val="00C3786A"/>
    <w:rsid w:val="00C37DE7"/>
    <w:rsid w:val="00C4171C"/>
    <w:rsid w:val="00C419F7"/>
    <w:rsid w:val="00C41B17"/>
    <w:rsid w:val="00C41CF1"/>
    <w:rsid w:val="00C42356"/>
    <w:rsid w:val="00C426EC"/>
    <w:rsid w:val="00C42803"/>
    <w:rsid w:val="00C42B34"/>
    <w:rsid w:val="00C435C0"/>
    <w:rsid w:val="00C465BD"/>
    <w:rsid w:val="00C47F3E"/>
    <w:rsid w:val="00C502CA"/>
    <w:rsid w:val="00C530DB"/>
    <w:rsid w:val="00C53B86"/>
    <w:rsid w:val="00C5445A"/>
    <w:rsid w:val="00C552B5"/>
    <w:rsid w:val="00C56C26"/>
    <w:rsid w:val="00C56F3B"/>
    <w:rsid w:val="00C571F4"/>
    <w:rsid w:val="00C57DA8"/>
    <w:rsid w:val="00C60B06"/>
    <w:rsid w:val="00C60D48"/>
    <w:rsid w:val="00C61434"/>
    <w:rsid w:val="00C625EA"/>
    <w:rsid w:val="00C63484"/>
    <w:rsid w:val="00C64644"/>
    <w:rsid w:val="00C6483C"/>
    <w:rsid w:val="00C64AE9"/>
    <w:rsid w:val="00C659E8"/>
    <w:rsid w:val="00C65F24"/>
    <w:rsid w:val="00C6667B"/>
    <w:rsid w:val="00C66720"/>
    <w:rsid w:val="00C67474"/>
    <w:rsid w:val="00C67ECC"/>
    <w:rsid w:val="00C7000E"/>
    <w:rsid w:val="00C705E6"/>
    <w:rsid w:val="00C70CFF"/>
    <w:rsid w:val="00C710D9"/>
    <w:rsid w:val="00C718FE"/>
    <w:rsid w:val="00C720B4"/>
    <w:rsid w:val="00C7218F"/>
    <w:rsid w:val="00C7490B"/>
    <w:rsid w:val="00C75035"/>
    <w:rsid w:val="00C75E71"/>
    <w:rsid w:val="00C75E8D"/>
    <w:rsid w:val="00C76629"/>
    <w:rsid w:val="00C77639"/>
    <w:rsid w:val="00C77684"/>
    <w:rsid w:val="00C7778A"/>
    <w:rsid w:val="00C778BF"/>
    <w:rsid w:val="00C8068A"/>
    <w:rsid w:val="00C80AE4"/>
    <w:rsid w:val="00C80B04"/>
    <w:rsid w:val="00C81C45"/>
    <w:rsid w:val="00C81DDA"/>
    <w:rsid w:val="00C81F38"/>
    <w:rsid w:val="00C824E7"/>
    <w:rsid w:val="00C832A7"/>
    <w:rsid w:val="00C83BCE"/>
    <w:rsid w:val="00C8489D"/>
    <w:rsid w:val="00C84D98"/>
    <w:rsid w:val="00C85FF0"/>
    <w:rsid w:val="00C8773D"/>
    <w:rsid w:val="00C87ABB"/>
    <w:rsid w:val="00C91177"/>
    <w:rsid w:val="00C91831"/>
    <w:rsid w:val="00C92C69"/>
    <w:rsid w:val="00C9437A"/>
    <w:rsid w:val="00C94F18"/>
    <w:rsid w:val="00C953DF"/>
    <w:rsid w:val="00C95852"/>
    <w:rsid w:val="00C96D94"/>
    <w:rsid w:val="00C9703C"/>
    <w:rsid w:val="00C97245"/>
    <w:rsid w:val="00C97422"/>
    <w:rsid w:val="00C97B9F"/>
    <w:rsid w:val="00CA1643"/>
    <w:rsid w:val="00CA1883"/>
    <w:rsid w:val="00CA1EDD"/>
    <w:rsid w:val="00CA22F1"/>
    <w:rsid w:val="00CA2905"/>
    <w:rsid w:val="00CA2F8B"/>
    <w:rsid w:val="00CA3800"/>
    <w:rsid w:val="00CA468D"/>
    <w:rsid w:val="00CA48ED"/>
    <w:rsid w:val="00CA6186"/>
    <w:rsid w:val="00CA6433"/>
    <w:rsid w:val="00CA6AA5"/>
    <w:rsid w:val="00CA6DD3"/>
    <w:rsid w:val="00CA7B44"/>
    <w:rsid w:val="00CB1FA5"/>
    <w:rsid w:val="00CB24AC"/>
    <w:rsid w:val="00CB2673"/>
    <w:rsid w:val="00CB31E4"/>
    <w:rsid w:val="00CB36D6"/>
    <w:rsid w:val="00CB377C"/>
    <w:rsid w:val="00CB61CA"/>
    <w:rsid w:val="00CB6C9A"/>
    <w:rsid w:val="00CB6F45"/>
    <w:rsid w:val="00CC02DA"/>
    <w:rsid w:val="00CC036C"/>
    <w:rsid w:val="00CC24FF"/>
    <w:rsid w:val="00CC4319"/>
    <w:rsid w:val="00CC450C"/>
    <w:rsid w:val="00CC633F"/>
    <w:rsid w:val="00CC6595"/>
    <w:rsid w:val="00CC739C"/>
    <w:rsid w:val="00CD0641"/>
    <w:rsid w:val="00CD1505"/>
    <w:rsid w:val="00CD1E45"/>
    <w:rsid w:val="00CD2962"/>
    <w:rsid w:val="00CD2F3B"/>
    <w:rsid w:val="00CD3289"/>
    <w:rsid w:val="00CD409B"/>
    <w:rsid w:val="00CD47C7"/>
    <w:rsid w:val="00CD48E3"/>
    <w:rsid w:val="00CD4FBA"/>
    <w:rsid w:val="00CD5C7C"/>
    <w:rsid w:val="00CD5D2A"/>
    <w:rsid w:val="00CD677D"/>
    <w:rsid w:val="00CD7F98"/>
    <w:rsid w:val="00CE03C7"/>
    <w:rsid w:val="00CE0580"/>
    <w:rsid w:val="00CE1DB2"/>
    <w:rsid w:val="00CE1F82"/>
    <w:rsid w:val="00CE2709"/>
    <w:rsid w:val="00CE2781"/>
    <w:rsid w:val="00CE28C7"/>
    <w:rsid w:val="00CE2CDD"/>
    <w:rsid w:val="00CE2D64"/>
    <w:rsid w:val="00CE3003"/>
    <w:rsid w:val="00CE32C7"/>
    <w:rsid w:val="00CE44B6"/>
    <w:rsid w:val="00CE4833"/>
    <w:rsid w:val="00CE52A2"/>
    <w:rsid w:val="00CE5F24"/>
    <w:rsid w:val="00CE6198"/>
    <w:rsid w:val="00CE721B"/>
    <w:rsid w:val="00CE7538"/>
    <w:rsid w:val="00CE7870"/>
    <w:rsid w:val="00CE7ACE"/>
    <w:rsid w:val="00CF20EB"/>
    <w:rsid w:val="00CF3823"/>
    <w:rsid w:val="00CF42D5"/>
    <w:rsid w:val="00CF4659"/>
    <w:rsid w:val="00CF4A93"/>
    <w:rsid w:val="00CF57E3"/>
    <w:rsid w:val="00CF5888"/>
    <w:rsid w:val="00CF6230"/>
    <w:rsid w:val="00D00A0C"/>
    <w:rsid w:val="00D00E1A"/>
    <w:rsid w:val="00D017FC"/>
    <w:rsid w:val="00D020CF"/>
    <w:rsid w:val="00D0226A"/>
    <w:rsid w:val="00D03159"/>
    <w:rsid w:val="00D0368C"/>
    <w:rsid w:val="00D03849"/>
    <w:rsid w:val="00D049E7"/>
    <w:rsid w:val="00D04A7B"/>
    <w:rsid w:val="00D05454"/>
    <w:rsid w:val="00D055B1"/>
    <w:rsid w:val="00D06A60"/>
    <w:rsid w:val="00D0734E"/>
    <w:rsid w:val="00D11A39"/>
    <w:rsid w:val="00D11F27"/>
    <w:rsid w:val="00D121C5"/>
    <w:rsid w:val="00D1256B"/>
    <w:rsid w:val="00D125C1"/>
    <w:rsid w:val="00D13147"/>
    <w:rsid w:val="00D15163"/>
    <w:rsid w:val="00D17DD6"/>
    <w:rsid w:val="00D17F17"/>
    <w:rsid w:val="00D20791"/>
    <w:rsid w:val="00D2117B"/>
    <w:rsid w:val="00D21CB0"/>
    <w:rsid w:val="00D220E0"/>
    <w:rsid w:val="00D231FF"/>
    <w:rsid w:val="00D23A44"/>
    <w:rsid w:val="00D24A0C"/>
    <w:rsid w:val="00D24F84"/>
    <w:rsid w:val="00D25005"/>
    <w:rsid w:val="00D270FC"/>
    <w:rsid w:val="00D32ABA"/>
    <w:rsid w:val="00D335E9"/>
    <w:rsid w:val="00D33FD3"/>
    <w:rsid w:val="00D341EF"/>
    <w:rsid w:val="00D35AD5"/>
    <w:rsid w:val="00D3759C"/>
    <w:rsid w:val="00D40392"/>
    <w:rsid w:val="00D43199"/>
    <w:rsid w:val="00D44610"/>
    <w:rsid w:val="00D45249"/>
    <w:rsid w:val="00D45B13"/>
    <w:rsid w:val="00D45CC8"/>
    <w:rsid w:val="00D460E1"/>
    <w:rsid w:val="00D46A57"/>
    <w:rsid w:val="00D473B0"/>
    <w:rsid w:val="00D5033D"/>
    <w:rsid w:val="00D506C2"/>
    <w:rsid w:val="00D52347"/>
    <w:rsid w:val="00D54DAB"/>
    <w:rsid w:val="00D564C9"/>
    <w:rsid w:val="00D56E96"/>
    <w:rsid w:val="00D570CC"/>
    <w:rsid w:val="00D5715A"/>
    <w:rsid w:val="00D61C70"/>
    <w:rsid w:val="00D62667"/>
    <w:rsid w:val="00D62E4F"/>
    <w:rsid w:val="00D6330B"/>
    <w:rsid w:val="00D634DB"/>
    <w:rsid w:val="00D64E7C"/>
    <w:rsid w:val="00D675C3"/>
    <w:rsid w:val="00D67C4C"/>
    <w:rsid w:val="00D7142F"/>
    <w:rsid w:val="00D71687"/>
    <w:rsid w:val="00D71B62"/>
    <w:rsid w:val="00D72282"/>
    <w:rsid w:val="00D73319"/>
    <w:rsid w:val="00D7395E"/>
    <w:rsid w:val="00D74813"/>
    <w:rsid w:val="00D74AAC"/>
    <w:rsid w:val="00D74B19"/>
    <w:rsid w:val="00D75F84"/>
    <w:rsid w:val="00D778D8"/>
    <w:rsid w:val="00D80A06"/>
    <w:rsid w:val="00D80E51"/>
    <w:rsid w:val="00D814B9"/>
    <w:rsid w:val="00D817C0"/>
    <w:rsid w:val="00D83BF2"/>
    <w:rsid w:val="00D8457F"/>
    <w:rsid w:val="00D85007"/>
    <w:rsid w:val="00D85451"/>
    <w:rsid w:val="00D85493"/>
    <w:rsid w:val="00D8643A"/>
    <w:rsid w:val="00D86A69"/>
    <w:rsid w:val="00D86E2A"/>
    <w:rsid w:val="00D872F0"/>
    <w:rsid w:val="00D9146D"/>
    <w:rsid w:val="00D9194D"/>
    <w:rsid w:val="00D91D52"/>
    <w:rsid w:val="00D941AE"/>
    <w:rsid w:val="00D95A51"/>
    <w:rsid w:val="00D95E20"/>
    <w:rsid w:val="00D96771"/>
    <w:rsid w:val="00D96DA3"/>
    <w:rsid w:val="00D97104"/>
    <w:rsid w:val="00D97C5B"/>
    <w:rsid w:val="00D97C88"/>
    <w:rsid w:val="00DA14CC"/>
    <w:rsid w:val="00DA1CDB"/>
    <w:rsid w:val="00DA2336"/>
    <w:rsid w:val="00DA30BC"/>
    <w:rsid w:val="00DA3D5C"/>
    <w:rsid w:val="00DA5091"/>
    <w:rsid w:val="00DA5184"/>
    <w:rsid w:val="00DA60BE"/>
    <w:rsid w:val="00DA6731"/>
    <w:rsid w:val="00DA69C2"/>
    <w:rsid w:val="00DA6D70"/>
    <w:rsid w:val="00DA6F34"/>
    <w:rsid w:val="00DB1750"/>
    <w:rsid w:val="00DB3754"/>
    <w:rsid w:val="00DB4F21"/>
    <w:rsid w:val="00DB51FE"/>
    <w:rsid w:val="00DB6050"/>
    <w:rsid w:val="00DB64F3"/>
    <w:rsid w:val="00DC009A"/>
    <w:rsid w:val="00DC028C"/>
    <w:rsid w:val="00DC04AB"/>
    <w:rsid w:val="00DC101B"/>
    <w:rsid w:val="00DC2249"/>
    <w:rsid w:val="00DC2C34"/>
    <w:rsid w:val="00DC2FB8"/>
    <w:rsid w:val="00DC4909"/>
    <w:rsid w:val="00DC57F3"/>
    <w:rsid w:val="00DC64AF"/>
    <w:rsid w:val="00DC6F65"/>
    <w:rsid w:val="00DC702E"/>
    <w:rsid w:val="00DC7682"/>
    <w:rsid w:val="00DD120C"/>
    <w:rsid w:val="00DD1605"/>
    <w:rsid w:val="00DD209B"/>
    <w:rsid w:val="00DD36E8"/>
    <w:rsid w:val="00DD38C5"/>
    <w:rsid w:val="00DD3B66"/>
    <w:rsid w:val="00DD3E6F"/>
    <w:rsid w:val="00DD4A91"/>
    <w:rsid w:val="00DD5555"/>
    <w:rsid w:val="00DD55B8"/>
    <w:rsid w:val="00DD6C4A"/>
    <w:rsid w:val="00DD7E0D"/>
    <w:rsid w:val="00DE05D3"/>
    <w:rsid w:val="00DE138A"/>
    <w:rsid w:val="00DE1E47"/>
    <w:rsid w:val="00DE2C87"/>
    <w:rsid w:val="00DE36C6"/>
    <w:rsid w:val="00DE3EE1"/>
    <w:rsid w:val="00DE459A"/>
    <w:rsid w:val="00DE5868"/>
    <w:rsid w:val="00DE5A51"/>
    <w:rsid w:val="00DE5E16"/>
    <w:rsid w:val="00DE79C7"/>
    <w:rsid w:val="00DF10F1"/>
    <w:rsid w:val="00DF1641"/>
    <w:rsid w:val="00DF19FE"/>
    <w:rsid w:val="00DF27DA"/>
    <w:rsid w:val="00DF43D3"/>
    <w:rsid w:val="00DF4DBE"/>
    <w:rsid w:val="00DF4F63"/>
    <w:rsid w:val="00DF62B2"/>
    <w:rsid w:val="00DF6996"/>
    <w:rsid w:val="00DF6C90"/>
    <w:rsid w:val="00DF7037"/>
    <w:rsid w:val="00E01077"/>
    <w:rsid w:val="00E01423"/>
    <w:rsid w:val="00E02DD0"/>
    <w:rsid w:val="00E04217"/>
    <w:rsid w:val="00E04B0F"/>
    <w:rsid w:val="00E0509E"/>
    <w:rsid w:val="00E05204"/>
    <w:rsid w:val="00E06963"/>
    <w:rsid w:val="00E0714E"/>
    <w:rsid w:val="00E10299"/>
    <w:rsid w:val="00E109CC"/>
    <w:rsid w:val="00E10B23"/>
    <w:rsid w:val="00E112CD"/>
    <w:rsid w:val="00E1149B"/>
    <w:rsid w:val="00E12815"/>
    <w:rsid w:val="00E129DF"/>
    <w:rsid w:val="00E12B03"/>
    <w:rsid w:val="00E136BA"/>
    <w:rsid w:val="00E14FF7"/>
    <w:rsid w:val="00E1577B"/>
    <w:rsid w:val="00E16996"/>
    <w:rsid w:val="00E1761F"/>
    <w:rsid w:val="00E1787F"/>
    <w:rsid w:val="00E20948"/>
    <w:rsid w:val="00E20B32"/>
    <w:rsid w:val="00E21084"/>
    <w:rsid w:val="00E221DC"/>
    <w:rsid w:val="00E222C4"/>
    <w:rsid w:val="00E22398"/>
    <w:rsid w:val="00E22736"/>
    <w:rsid w:val="00E246A7"/>
    <w:rsid w:val="00E24C02"/>
    <w:rsid w:val="00E26122"/>
    <w:rsid w:val="00E265F7"/>
    <w:rsid w:val="00E2712E"/>
    <w:rsid w:val="00E27AEB"/>
    <w:rsid w:val="00E31A44"/>
    <w:rsid w:val="00E31B42"/>
    <w:rsid w:val="00E3207E"/>
    <w:rsid w:val="00E32364"/>
    <w:rsid w:val="00E34607"/>
    <w:rsid w:val="00E361C6"/>
    <w:rsid w:val="00E364F2"/>
    <w:rsid w:val="00E4012C"/>
    <w:rsid w:val="00E40820"/>
    <w:rsid w:val="00E4089E"/>
    <w:rsid w:val="00E408A5"/>
    <w:rsid w:val="00E412A7"/>
    <w:rsid w:val="00E4133C"/>
    <w:rsid w:val="00E439CA"/>
    <w:rsid w:val="00E43A05"/>
    <w:rsid w:val="00E43EA9"/>
    <w:rsid w:val="00E45430"/>
    <w:rsid w:val="00E45B5E"/>
    <w:rsid w:val="00E45EDB"/>
    <w:rsid w:val="00E4658F"/>
    <w:rsid w:val="00E46977"/>
    <w:rsid w:val="00E471B0"/>
    <w:rsid w:val="00E47897"/>
    <w:rsid w:val="00E479F2"/>
    <w:rsid w:val="00E47A9B"/>
    <w:rsid w:val="00E47B14"/>
    <w:rsid w:val="00E5330A"/>
    <w:rsid w:val="00E544B2"/>
    <w:rsid w:val="00E54A67"/>
    <w:rsid w:val="00E55C60"/>
    <w:rsid w:val="00E55DA6"/>
    <w:rsid w:val="00E56D3B"/>
    <w:rsid w:val="00E570CB"/>
    <w:rsid w:val="00E57144"/>
    <w:rsid w:val="00E57DB9"/>
    <w:rsid w:val="00E60495"/>
    <w:rsid w:val="00E6143C"/>
    <w:rsid w:val="00E61C0D"/>
    <w:rsid w:val="00E61F47"/>
    <w:rsid w:val="00E6204E"/>
    <w:rsid w:val="00E628D0"/>
    <w:rsid w:val="00E62FB1"/>
    <w:rsid w:val="00E63EB4"/>
    <w:rsid w:val="00E64831"/>
    <w:rsid w:val="00E64912"/>
    <w:rsid w:val="00E65467"/>
    <w:rsid w:val="00E6567E"/>
    <w:rsid w:val="00E66031"/>
    <w:rsid w:val="00E66160"/>
    <w:rsid w:val="00E66CF5"/>
    <w:rsid w:val="00E67022"/>
    <w:rsid w:val="00E6703C"/>
    <w:rsid w:val="00E67A9E"/>
    <w:rsid w:val="00E70184"/>
    <w:rsid w:val="00E7061A"/>
    <w:rsid w:val="00E70BB7"/>
    <w:rsid w:val="00E71329"/>
    <w:rsid w:val="00E71607"/>
    <w:rsid w:val="00E716EC"/>
    <w:rsid w:val="00E72B45"/>
    <w:rsid w:val="00E72C6E"/>
    <w:rsid w:val="00E73A18"/>
    <w:rsid w:val="00E753B5"/>
    <w:rsid w:val="00E75A15"/>
    <w:rsid w:val="00E75B79"/>
    <w:rsid w:val="00E76C66"/>
    <w:rsid w:val="00E77ABA"/>
    <w:rsid w:val="00E80985"/>
    <w:rsid w:val="00E814F0"/>
    <w:rsid w:val="00E81CAB"/>
    <w:rsid w:val="00E82952"/>
    <w:rsid w:val="00E83629"/>
    <w:rsid w:val="00E8363B"/>
    <w:rsid w:val="00E848A3"/>
    <w:rsid w:val="00E84966"/>
    <w:rsid w:val="00E84CBE"/>
    <w:rsid w:val="00E856E0"/>
    <w:rsid w:val="00E85BB8"/>
    <w:rsid w:val="00E864D4"/>
    <w:rsid w:val="00E86950"/>
    <w:rsid w:val="00E87F8A"/>
    <w:rsid w:val="00E9006E"/>
    <w:rsid w:val="00E90780"/>
    <w:rsid w:val="00E9134F"/>
    <w:rsid w:val="00E9135F"/>
    <w:rsid w:val="00E92170"/>
    <w:rsid w:val="00E92383"/>
    <w:rsid w:val="00E92E14"/>
    <w:rsid w:val="00E9489D"/>
    <w:rsid w:val="00E9618A"/>
    <w:rsid w:val="00E96631"/>
    <w:rsid w:val="00E96777"/>
    <w:rsid w:val="00E96796"/>
    <w:rsid w:val="00EA1605"/>
    <w:rsid w:val="00EA1B3A"/>
    <w:rsid w:val="00EA2109"/>
    <w:rsid w:val="00EA2172"/>
    <w:rsid w:val="00EA3437"/>
    <w:rsid w:val="00EA4048"/>
    <w:rsid w:val="00EA4926"/>
    <w:rsid w:val="00EA5AA6"/>
    <w:rsid w:val="00EA73FD"/>
    <w:rsid w:val="00EA772D"/>
    <w:rsid w:val="00EB103D"/>
    <w:rsid w:val="00EB14E4"/>
    <w:rsid w:val="00EB1A68"/>
    <w:rsid w:val="00EB1B1C"/>
    <w:rsid w:val="00EB23CE"/>
    <w:rsid w:val="00EB2A10"/>
    <w:rsid w:val="00EB326E"/>
    <w:rsid w:val="00EB3772"/>
    <w:rsid w:val="00EB42A2"/>
    <w:rsid w:val="00EB5515"/>
    <w:rsid w:val="00EB55C7"/>
    <w:rsid w:val="00EB5A2C"/>
    <w:rsid w:val="00EB5BDD"/>
    <w:rsid w:val="00EB724D"/>
    <w:rsid w:val="00EB79B1"/>
    <w:rsid w:val="00EB7FBF"/>
    <w:rsid w:val="00EC02C1"/>
    <w:rsid w:val="00EC0F90"/>
    <w:rsid w:val="00EC1573"/>
    <w:rsid w:val="00EC1639"/>
    <w:rsid w:val="00EC1700"/>
    <w:rsid w:val="00EC1BBB"/>
    <w:rsid w:val="00EC22E3"/>
    <w:rsid w:val="00EC2C8C"/>
    <w:rsid w:val="00EC3190"/>
    <w:rsid w:val="00EC444D"/>
    <w:rsid w:val="00EC5405"/>
    <w:rsid w:val="00EC58AC"/>
    <w:rsid w:val="00EC6363"/>
    <w:rsid w:val="00EC6EC4"/>
    <w:rsid w:val="00EC6FDB"/>
    <w:rsid w:val="00EC763D"/>
    <w:rsid w:val="00EC7677"/>
    <w:rsid w:val="00EC77C9"/>
    <w:rsid w:val="00EC7D57"/>
    <w:rsid w:val="00ED1B96"/>
    <w:rsid w:val="00ED3F6E"/>
    <w:rsid w:val="00ED4D4E"/>
    <w:rsid w:val="00ED5ED9"/>
    <w:rsid w:val="00ED6C9B"/>
    <w:rsid w:val="00ED7D92"/>
    <w:rsid w:val="00EE0C77"/>
    <w:rsid w:val="00EE0D71"/>
    <w:rsid w:val="00EE1539"/>
    <w:rsid w:val="00EE1DDD"/>
    <w:rsid w:val="00EE2A60"/>
    <w:rsid w:val="00EE3591"/>
    <w:rsid w:val="00EE38F7"/>
    <w:rsid w:val="00EE4125"/>
    <w:rsid w:val="00EE4E54"/>
    <w:rsid w:val="00EE5265"/>
    <w:rsid w:val="00EE78FE"/>
    <w:rsid w:val="00EE7EF0"/>
    <w:rsid w:val="00EF0180"/>
    <w:rsid w:val="00EF019E"/>
    <w:rsid w:val="00EF043C"/>
    <w:rsid w:val="00EF09FB"/>
    <w:rsid w:val="00EF0FD5"/>
    <w:rsid w:val="00EF1960"/>
    <w:rsid w:val="00EF26D2"/>
    <w:rsid w:val="00EF27E3"/>
    <w:rsid w:val="00EF46A9"/>
    <w:rsid w:val="00EF5527"/>
    <w:rsid w:val="00EF5552"/>
    <w:rsid w:val="00EF59DF"/>
    <w:rsid w:val="00EF618B"/>
    <w:rsid w:val="00EF68F3"/>
    <w:rsid w:val="00EF6AE0"/>
    <w:rsid w:val="00F01CB6"/>
    <w:rsid w:val="00F04678"/>
    <w:rsid w:val="00F052B5"/>
    <w:rsid w:val="00F06082"/>
    <w:rsid w:val="00F060CA"/>
    <w:rsid w:val="00F0659C"/>
    <w:rsid w:val="00F10990"/>
    <w:rsid w:val="00F118FF"/>
    <w:rsid w:val="00F11A19"/>
    <w:rsid w:val="00F1260A"/>
    <w:rsid w:val="00F12949"/>
    <w:rsid w:val="00F13682"/>
    <w:rsid w:val="00F16328"/>
    <w:rsid w:val="00F167EA"/>
    <w:rsid w:val="00F16DDD"/>
    <w:rsid w:val="00F16E84"/>
    <w:rsid w:val="00F17AF4"/>
    <w:rsid w:val="00F17B6F"/>
    <w:rsid w:val="00F17F37"/>
    <w:rsid w:val="00F20AD4"/>
    <w:rsid w:val="00F22ADD"/>
    <w:rsid w:val="00F22E1A"/>
    <w:rsid w:val="00F23366"/>
    <w:rsid w:val="00F23705"/>
    <w:rsid w:val="00F23973"/>
    <w:rsid w:val="00F24D3B"/>
    <w:rsid w:val="00F255E8"/>
    <w:rsid w:val="00F25B0A"/>
    <w:rsid w:val="00F2659C"/>
    <w:rsid w:val="00F30100"/>
    <w:rsid w:val="00F3014C"/>
    <w:rsid w:val="00F31B37"/>
    <w:rsid w:val="00F31DED"/>
    <w:rsid w:val="00F31EAB"/>
    <w:rsid w:val="00F32619"/>
    <w:rsid w:val="00F3284E"/>
    <w:rsid w:val="00F339EC"/>
    <w:rsid w:val="00F34EBD"/>
    <w:rsid w:val="00F35189"/>
    <w:rsid w:val="00F360E4"/>
    <w:rsid w:val="00F366FE"/>
    <w:rsid w:val="00F368E7"/>
    <w:rsid w:val="00F37740"/>
    <w:rsid w:val="00F37E68"/>
    <w:rsid w:val="00F41A9F"/>
    <w:rsid w:val="00F4206E"/>
    <w:rsid w:val="00F42E13"/>
    <w:rsid w:val="00F436BB"/>
    <w:rsid w:val="00F43C88"/>
    <w:rsid w:val="00F43FC6"/>
    <w:rsid w:val="00F4409B"/>
    <w:rsid w:val="00F44BEF"/>
    <w:rsid w:val="00F45416"/>
    <w:rsid w:val="00F4619F"/>
    <w:rsid w:val="00F46A7F"/>
    <w:rsid w:val="00F47145"/>
    <w:rsid w:val="00F4784F"/>
    <w:rsid w:val="00F47BA1"/>
    <w:rsid w:val="00F47FC9"/>
    <w:rsid w:val="00F50655"/>
    <w:rsid w:val="00F5147B"/>
    <w:rsid w:val="00F52223"/>
    <w:rsid w:val="00F52ACC"/>
    <w:rsid w:val="00F53E19"/>
    <w:rsid w:val="00F54340"/>
    <w:rsid w:val="00F545BF"/>
    <w:rsid w:val="00F551F6"/>
    <w:rsid w:val="00F55A17"/>
    <w:rsid w:val="00F56152"/>
    <w:rsid w:val="00F56299"/>
    <w:rsid w:val="00F568DD"/>
    <w:rsid w:val="00F57892"/>
    <w:rsid w:val="00F61420"/>
    <w:rsid w:val="00F61B86"/>
    <w:rsid w:val="00F621FC"/>
    <w:rsid w:val="00F6250D"/>
    <w:rsid w:val="00F62755"/>
    <w:rsid w:val="00F6296B"/>
    <w:rsid w:val="00F62B7E"/>
    <w:rsid w:val="00F63AA5"/>
    <w:rsid w:val="00F64768"/>
    <w:rsid w:val="00F64C5C"/>
    <w:rsid w:val="00F65DE9"/>
    <w:rsid w:val="00F66DE9"/>
    <w:rsid w:val="00F6783B"/>
    <w:rsid w:val="00F67CFF"/>
    <w:rsid w:val="00F67E53"/>
    <w:rsid w:val="00F71B56"/>
    <w:rsid w:val="00F73205"/>
    <w:rsid w:val="00F73232"/>
    <w:rsid w:val="00F736E0"/>
    <w:rsid w:val="00F73A8C"/>
    <w:rsid w:val="00F7406F"/>
    <w:rsid w:val="00F744E8"/>
    <w:rsid w:val="00F746A2"/>
    <w:rsid w:val="00F74850"/>
    <w:rsid w:val="00F74C48"/>
    <w:rsid w:val="00F7687C"/>
    <w:rsid w:val="00F76F51"/>
    <w:rsid w:val="00F776FE"/>
    <w:rsid w:val="00F802FF"/>
    <w:rsid w:val="00F809BE"/>
    <w:rsid w:val="00F80BF0"/>
    <w:rsid w:val="00F832C8"/>
    <w:rsid w:val="00F84EC1"/>
    <w:rsid w:val="00F85664"/>
    <w:rsid w:val="00F859BA"/>
    <w:rsid w:val="00F860BF"/>
    <w:rsid w:val="00F86CF0"/>
    <w:rsid w:val="00F86FB3"/>
    <w:rsid w:val="00F873B3"/>
    <w:rsid w:val="00F875D4"/>
    <w:rsid w:val="00F9040A"/>
    <w:rsid w:val="00F921AA"/>
    <w:rsid w:val="00F92217"/>
    <w:rsid w:val="00F924B5"/>
    <w:rsid w:val="00F946C3"/>
    <w:rsid w:val="00F948DC"/>
    <w:rsid w:val="00F95299"/>
    <w:rsid w:val="00F95C46"/>
    <w:rsid w:val="00F95C5C"/>
    <w:rsid w:val="00F96716"/>
    <w:rsid w:val="00FA1E6F"/>
    <w:rsid w:val="00FA26D6"/>
    <w:rsid w:val="00FA42B9"/>
    <w:rsid w:val="00FA586C"/>
    <w:rsid w:val="00FA685C"/>
    <w:rsid w:val="00FA69C5"/>
    <w:rsid w:val="00FA6CE3"/>
    <w:rsid w:val="00FA7306"/>
    <w:rsid w:val="00FA755A"/>
    <w:rsid w:val="00FB09F5"/>
    <w:rsid w:val="00FB2448"/>
    <w:rsid w:val="00FB2B0F"/>
    <w:rsid w:val="00FB2E14"/>
    <w:rsid w:val="00FB394B"/>
    <w:rsid w:val="00FB3F53"/>
    <w:rsid w:val="00FB4A70"/>
    <w:rsid w:val="00FB4F6B"/>
    <w:rsid w:val="00FB5D39"/>
    <w:rsid w:val="00FB5FE1"/>
    <w:rsid w:val="00FB788D"/>
    <w:rsid w:val="00FC02BC"/>
    <w:rsid w:val="00FC0E8D"/>
    <w:rsid w:val="00FC1D7E"/>
    <w:rsid w:val="00FC1F0C"/>
    <w:rsid w:val="00FC2630"/>
    <w:rsid w:val="00FC29A8"/>
    <w:rsid w:val="00FC3A5E"/>
    <w:rsid w:val="00FC3D69"/>
    <w:rsid w:val="00FC46EF"/>
    <w:rsid w:val="00FC49D1"/>
    <w:rsid w:val="00FC7DEA"/>
    <w:rsid w:val="00FD058B"/>
    <w:rsid w:val="00FD07DE"/>
    <w:rsid w:val="00FD150D"/>
    <w:rsid w:val="00FD31B3"/>
    <w:rsid w:val="00FD3699"/>
    <w:rsid w:val="00FD418B"/>
    <w:rsid w:val="00FD4204"/>
    <w:rsid w:val="00FD4221"/>
    <w:rsid w:val="00FD5421"/>
    <w:rsid w:val="00FD5B3F"/>
    <w:rsid w:val="00FD620B"/>
    <w:rsid w:val="00FD634E"/>
    <w:rsid w:val="00FD7109"/>
    <w:rsid w:val="00FD72E5"/>
    <w:rsid w:val="00FE015A"/>
    <w:rsid w:val="00FE0373"/>
    <w:rsid w:val="00FE03D8"/>
    <w:rsid w:val="00FE06F2"/>
    <w:rsid w:val="00FE0D7E"/>
    <w:rsid w:val="00FE15FB"/>
    <w:rsid w:val="00FE1DCF"/>
    <w:rsid w:val="00FE4F03"/>
    <w:rsid w:val="00FE619F"/>
    <w:rsid w:val="00FE6EB4"/>
    <w:rsid w:val="00FE75EC"/>
    <w:rsid w:val="00FF0FC8"/>
    <w:rsid w:val="00FF1B3B"/>
    <w:rsid w:val="00FF2557"/>
    <w:rsid w:val="00FF2C97"/>
    <w:rsid w:val="00FF3356"/>
    <w:rsid w:val="00FF3401"/>
    <w:rsid w:val="00FF3CCB"/>
    <w:rsid w:val="00FF4C93"/>
    <w:rsid w:val="00FF541B"/>
    <w:rsid w:val="00FF5547"/>
    <w:rsid w:val="00FF57B5"/>
    <w:rsid w:val="00FF6B97"/>
    <w:rsid w:val="00FF7F53"/>
    <w:rsid w:val="024E18B8"/>
    <w:rsid w:val="02BA17C4"/>
    <w:rsid w:val="05089B78"/>
    <w:rsid w:val="05835234"/>
    <w:rsid w:val="06A5330E"/>
    <w:rsid w:val="117E4285"/>
    <w:rsid w:val="194EA853"/>
    <w:rsid w:val="1FDA3565"/>
    <w:rsid w:val="22EE7AAC"/>
    <w:rsid w:val="24574443"/>
    <w:rsid w:val="2580828D"/>
    <w:rsid w:val="27D3F77C"/>
    <w:rsid w:val="2C19E783"/>
    <w:rsid w:val="32C41CD3"/>
    <w:rsid w:val="34427539"/>
    <w:rsid w:val="3999EED5"/>
    <w:rsid w:val="3A5E4C34"/>
    <w:rsid w:val="446CC8B6"/>
    <w:rsid w:val="45342F0F"/>
    <w:rsid w:val="47CEF978"/>
    <w:rsid w:val="485CA5D7"/>
    <w:rsid w:val="494B4CDF"/>
    <w:rsid w:val="4FB17CF8"/>
    <w:rsid w:val="532F8C80"/>
    <w:rsid w:val="54952D0E"/>
    <w:rsid w:val="5AC27322"/>
    <w:rsid w:val="5BEDF4B7"/>
    <w:rsid w:val="5CBFBA3C"/>
    <w:rsid w:val="62708CE5"/>
    <w:rsid w:val="66CE6FF3"/>
    <w:rsid w:val="6824AD20"/>
    <w:rsid w:val="6C1A3E69"/>
    <w:rsid w:val="6FD7E32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F72C6862-676E-46F3-8146-544DB4F80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3"/>
      </w:numPr>
      <w:spacing w:before="240"/>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B9646A"/>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B9646A"/>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B9646A"/>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557A5"/>
    <w:pPr>
      <w:numPr>
        <w:numId w:val="1"/>
      </w:numPr>
      <w:spacing w:before="240" w:after="120" w:line="240" w:lineRule="auto"/>
      <w:ind w:left="1418" w:hanging="357"/>
    </w:pPr>
    <w:rPr>
      <w:bCs/>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C19DE"/>
    <w:pPr>
      <w:pBdr>
        <w:top w:val="single" w:sz="4" w:space="6" w:color="22413A"/>
        <w:bottom w:val="single" w:sz="4" w:space="6" w:color="22413A"/>
      </w:pBdr>
      <w:spacing w:before="240"/>
      <w:ind w:left="851"/>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0A51C3"/>
    <w:pPr>
      <w:numPr>
        <w:numId w:val="5"/>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4"/>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rsid w:val="00B9646A"/>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B9646A"/>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B9646A"/>
    <w:rPr>
      <w:rFonts w:ascii="Arial" w:eastAsia="Times New Roman" w:hAnsi="Arial"/>
      <w:sz w:val="22"/>
      <w:szCs w:val="22"/>
      <w:lang w:eastAsia="en-US"/>
    </w:rPr>
  </w:style>
  <w:style w:type="paragraph" w:customStyle="1" w:styleId="TSHeadingNumbered1">
    <w:name w:val="TS Heading Numbered 1"/>
    <w:basedOn w:val="Normal"/>
    <w:rsid w:val="00B9646A"/>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B9646A"/>
  </w:style>
  <w:style w:type="paragraph" w:customStyle="1" w:styleId="TSHeadingNumbered111">
    <w:name w:val="TS Heading Numbered 1.1.1"/>
    <w:basedOn w:val="TSHeadingNumbered1"/>
    <w:rsid w:val="00B9646A"/>
  </w:style>
  <w:style w:type="paragraph" w:customStyle="1" w:styleId="TSHeadingNumbered1111">
    <w:name w:val="TS Heading Numbered 1.1.1.1"/>
    <w:basedOn w:val="TSHeadingNumbered1"/>
    <w:rsid w:val="00B9646A"/>
  </w:style>
  <w:style w:type="paragraph" w:customStyle="1" w:styleId="TSNumberedParagraph11">
    <w:name w:val="TS Numbered Paragraph 1.1"/>
    <w:basedOn w:val="TSHeadingNumbered11"/>
    <w:rsid w:val="00B9646A"/>
    <w:pPr>
      <w:numPr>
        <w:ilvl w:val="1"/>
      </w:numPr>
      <w:tabs>
        <w:tab w:val="num" w:pos="-31680"/>
      </w:tabs>
      <w:ind w:left="720" w:hanging="720"/>
    </w:pPr>
    <w:rPr>
      <w:rFonts w:ascii="Arial" w:hAnsi="Arial"/>
      <w:b w:val="0"/>
      <w:caps w:val="0"/>
    </w:rPr>
  </w:style>
  <w:style w:type="paragraph" w:customStyle="1" w:styleId="TSBullet1Square">
    <w:name w:val="TS Bullet 1 Square"/>
    <w:basedOn w:val="Normal"/>
    <w:rsid w:val="00B9646A"/>
    <w:pPr>
      <w:numPr>
        <w:numId w:val="6"/>
      </w:numPr>
      <w:spacing w:line="240" w:lineRule="auto"/>
      <w:contextualSpacing/>
    </w:pPr>
    <w:rPr>
      <w:rFonts w:eastAsia="Times New Roman" w:cs="Times New Roman"/>
      <w:sz w:val="22"/>
      <w:szCs w:val="24"/>
      <w:lang w:bidi="ar-SA"/>
    </w:rPr>
  </w:style>
  <w:style w:type="character" w:styleId="Emphasis">
    <w:name w:val="Emphasis"/>
    <w:qFormat/>
    <w:rsid w:val="00B9646A"/>
    <w:rPr>
      <w:i/>
      <w:iCs/>
    </w:rPr>
  </w:style>
  <w:style w:type="character" w:customStyle="1" w:styleId="TSExampleText">
    <w:name w:val="TS Example Text"/>
    <w:rsid w:val="00E62FB1"/>
    <w:rPr>
      <w:i/>
      <w:iCs/>
      <w:color w:val="006D68"/>
    </w:rPr>
  </w:style>
  <w:style w:type="paragraph" w:customStyle="1" w:styleId="NumberedHeading">
    <w:name w:val="Numbered Heading"/>
    <w:basedOn w:val="Normal"/>
    <w:rsid w:val="00E62FB1"/>
    <w:pPr>
      <w:keepNext/>
      <w:numPr>
        <w:numId w:val="9"/>
      </w:numPr>
      <w:overflowPunct w:val="0"/>
      <w:autoSpaceDE w:val="0"/>
      <w:autoSpaceDN w:val="0"/>
      <w:adjustRightInd w:val="0"/>
      <w:spacing w:before="120" w:line="276" w:lineRule="auto"/>
      <w:textAlignment w:val="baseline"/>
    </w:pPr>
    <w:rPr>
      <w:rFonts w:ascii="Arial Bold" w:eastAsia="Times New Roman" w:hAnsi="Arial Bold"/>
      <w:b/>
      <w:bCs/>
      <w:caps/>
      <w:color w:val="000000"/>
      <w:sz w:val="22"/>
      <w:szCs w:val="20"/>
      <w:lang w:bidi="ar-SA"/>
    </w:rPr>
  </w:style>
  <w:style w:type="paragraph" w:customStyle="1" w:styleId="NumberedParagraph">
    <w:name w:val="Numbered Paragraph"/>
    <w:basedOn w:val="Normal"/>
    <w:rsid w:val="00E62FB1"/>
    <w:pPr>
      <w:numPr>
        <w:ilvl w:val="1"/>
        <w:numId w:val="9"/>
      </w:numPr>
      <w:spacing w:before="120" w:line="276" w:lineRule="auto"/>
    </w:pPr>
    <w:rPr>
      <w:rFonts w:eastAsia="Times New Roman"/>
      <w:sz w:val="22"/>
      <w:lang w:bidi="ar-SA"/>
    </w:rPr>
  </w:style>
  <w:style w:type="paragraph" w:customStyle="1" w:styleId="ONRFloatingHeadingBold">
    <w:name w:val="ONR Floating Heading Bold"/>
    <w:basedOn w:val="Normal"/>
    <w:rsid w:val="00E62FB1"/>
    <w:pPr>
      <w:keepNext/>
      <w:keepLines/>
      <w:spacing w:before="120" w:after="60" w:line="276" w:lineRule="auto"/>
      <w:ind w:left="720"/>
    </w:pPr>
    <w:rPr>
      <w:rFonts w:eastAsia="Times New Roman"/>
      <w:b/>
      <w:sz w:val="22"/>
      <w:lang w:bidi="ar-SA"/>
    </w:rPr>
  </w:style>
  <w:style w:type="paragraph" w:styleId="Revision">
    <w:name w:val="Revision"/>
    <w:hidden/>
    <w:uiPriority w:val="99"/>
    <w:semiHidden/>
    <w:rsid w:val="00485BAD"/>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4F07D6"/>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4F07D6"/>
    <w:rPr>
      <w:rFonts w:ascii="Arial" w:eastAsiaTheme="minorHAnsi" w:hAnsi="Arial" w:cstheme="minorBidi"/>
      <w:b/>
      <w:bCs/>
      <w:lang w:eastAsia="en-US" w:bidi="he-IL"/>
    </w:rPr>
  </w:style>
  <w:style w:type="paragraph" w:customStyle="1" w:styleId="Number">
    <w:name w:val="Number"/>
    <w:basedOn w:val="Normal"/>
    <w:rsid w:val="00F6783B"/>
    <w:pPr>
      <w:numPr>
        <w:numId w:val="16"/>
      </w:numPr>
      <w:spacing w:after="220" w:line="240" w:lineRule="auto"/>
    </w:pPr>
    <w:rPr>
      <w:rFonts w:eastAsia="Times New Roman" w:cs="Times New Roman"/>
      <w:sz w:val="22"/>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9306">
      <w:bodyDiv w:val="1"/>
      <w:marLeft w:val="0"/>
      <w:marRight w:val="0"/>
      <w:marTop w:val="0"/>
      <w:marBottom w:val="0"/>
      <w:divBdr>
        <w:top w:val="none" w:sz="0" w:space="0" w:color="auto"/>
        <w:left w:val="none" w:sz="0" w:space="0" w:color="auto"/>
        <w:bottom w:val="none" w:sz="0" w:space="0" w:color="auto"/>
        <w:right w:val="none" w:sz="0" w:space="0" w:color="auto"/>
      </w:divBdr>
    </w:div>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21053143">
      <w:bodyDiv w:val="1"/>
      <w:marLeft w:val="0"/>
      <w:marRight w:val="0"/>
      <w:marTop w:val="0"/>
      <w:marBottom w:val="0"/>
      <w:divBdr>
        <w:top w:val="none" w:sz="0" w:space="0" w:color="auto"/>
        <w:left w:val="none" w:sz="0" w:space="0" w:color="auto"/>
        <w:bottom w:val="none" w:sz="0" w:space="0" w:color="auto"/>
        <w:right w:val="none" w:sz="0" w:space="0" w:color="auto"/>
      </w:divBdr>
    </w:div>
    <w:div w:id="45879281">
      <w:bodyDiv w:val="1"/>
      <w:marLeft w:val="0"/>
      <w:marRight w:val="0"/>
      <w:marTop w:val="0"/>
      <w:marBottom w:val="0"/>
      <w:divBdr>
        <w:top w:val="none" w:sz="0" w:space="0" w:color="auto"/>
        <w:left w:val="none" w:sz="0" w:space="0" w:color="auto"/>
        <w:bottom w:val="none" w:sz="0" w:space="0" w:color="auto"/>
        <w:right w:val="none" w:sz="0" w:space="0" w:color="auto"/>
      </w:divBdr>
    </w:div>
    <w:div w:id="49808225">
      <w:bodyDiv w:val="1"/>
      <w:marLeft w:val="0"/>
      <w:marRight w:val="0"/>
      <w:marTop w:val="0"/>
      <w:marBottom w:val="0"/>
      <w:divBdr>
        <w:top w:val="none" w:sz="0" w:space="0" w:color="auto"/>
        <w:left w:val="none" w:sz="0" w:space="0" w:color="auto"/>
        <w:bottom w:val="none" w:sz="0" w:space="0" w:color="auto"/>
        <w:right w:val="none" w:sz="0" w:space="0" w:color="auto"/>
      </w:divBdr>
    </w:div>
    <w:div w:id="51662108">
      <w:bodyDiv w:val="1"/>
      <w:marLeft w:val="0"/>
      <w:marRight w:val="0"/>
      <w:marTop w:val="0"/>
      <w:marBottom w:val="0"/>
      <w:divBdr>
        <w:top w:val="none" w:sz="0" w:space="0" w:color="auto"/>
        <w:left w:val="none" w:sz="0" w:space="0" w:color="auto"/>
        <w:bottom w:val="none" w:sz="0" w:space="0" w:color="auto"/>
        <w:right w:val="none" w:sz="0" w:space="0" w:color="auto"/>
      </w:divBdr>
    </w:div>
    <w:div w:id="55981568">
      <w:bodyDiv w:val="1"/>
      <w:marLeft w:val="0"/>
      <w:marRight w:val="0"/>
      <w:marTop w:val="0"/>
      <w:marBottom w:val="0"/>
      <w:divBdr>
        <w:top w:val="none" w:sz="0" w:space="0" w:color="auto"/>
        <w:left w:val="none" w:sz="0" w:space="0" w:color="auto"/>
        <w:bottom w:val="none" w:sz="0" w:space="0" w:color="auto"/>
        <w:right w:val="none" w:sz="0" w:space="0" w:color="auto"/>
      </w:divBdr>
    </w:div>
    <w:div w:id="64768511">
      <w:bodyDiv w:val="1"/>
      <w:marLeft w:val="0"/>
      <w:marRight w:val="0"/>
      <w:marTop w:val="0"/>
      <w:marBottom w:val="0"/>
      <w:divBdr>
        <w:top w:val="none" w:sz="0" w:space="0" w:color="auto"/>
        <w:left w:val="none" w:sz="0" w:space="0" w:color="auto"/>
        <w:bottom w:val="none" w:sz="0" w:space="0" w:color="auto"/>
        <w:right w:val="none" w:sz="0" w:space="0" w:color="auto"/>
      </w:divBdr>
    </w:div>
    <w:div w:id="69540898">
      <w:bodyDiv w:val="1"/>
      <w:marLeft w:val="0"/>
      <w:marRight w:val="0"/>
      <w:marTop w:val="0"/>
      <w:marBottom w:val="0"/>
      <w:divBdr>
        <w:top w:val="none" w:sz="0" w:space="0" w:color="auto"/>
        <w:left w:val="none" w:sz="0" w:space="0" w:color="auto"/>
        <w:bottom w:val="none" w:sz="0" w:space="0" w:color="auto"/>
        <w:right w:val="none" w:sz="0" w:space="0" w:color="auto"/>
      </w:divBdr>
    </w:div>
    <w:div w:id="71128221">
      <w:bodyDiv w:val="1"/>
      <w:marLeft w:val="0"/>
      <w:marRight w:val="0"/>
      <w:marTop w:val="0"/>
      <w:marBottom w:val="0"/>
      <w:divBdr>
        <w:top w:val="none" w:sz="0" w:space="0" w:color="auto"/>
        <w:left w:val="none" w:sz="0" w:space="0" w:color="auto"/>
        <w:bottom w:val="none" w:sz="0" w:space="0" w:color="auto"/>
        <w:right w:val="none" w:sz="0" w:space="0" w:color="auto"/>
      </w:divBdr>
    </w:div>
    <w:div w:id="75707452">
      <w:bodyDiv w:val="1"/>
      <w:marLeft w:val="0"/>
      <w:marRight w:val="0"/>
      <w:marTop w:val="0"/>
      <w:marBottom w:val="0"/>
      <w:divBdr>
        <w:top w:val="none" w:sz="0" w:space="0" w:color="auto"/>
        <w:left w:val="none" w:sz="0" w:space="0" w:color="auto"/>
        <w:bottom w:val="none" w:sz="0" w:space="0" w:color="auto"/>
        <w:right w:val="none" w:sz="0" w:space="0" w:color="auto"/>
      </w:divBdr>
    </w:div>
    <w:div w:id="78451438">
      <w:bodyDiv w:val="1"/>
      <w:marLeft w:val="0"/>
      <w:marRight w:val="0"/>
      <w:marTop w:val="0"/>
      <w:marBottom w:val="0"/>
      <w:divBdr>
        <w:top w:val="none" w:sz="0" w:space="0" w:color="auto"/>
        <w:left w:val="none" w:sz="0" w:space="0" w:color="auto"/>
        <w:bottom w:val="none" w:sz="0" w:space="0" w:color="auto"/>
        <w:right w:val="none" w:sz="0" w:space="0" w:color="auto"/>
      </w:divBdr>
    </w:div>
    <w:div w:id="8422543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6482933">
      <w:bodyDiv w:val="1"/>
      <w:marLeft w:val="0"/>
      <w:marRight w:val="0"/>
      <w:marTop w:val="0"/>
      <w:marBottom w:val="0"/>
      <w:divBdr>
        <w:top w:val="none" w:sz="0" w:space="0" w:color="auto"/>
        <w:left w:val="none" w:sz="0" w:space="0" w:color="auto"/>
        <w:bottom w:val="none" w:sz="0" w:space="0" w:color="auto"/>
        <w:right w:val="none" w:sz="0" w:space="0" w:color="auto"/>
      </w:divBdr>
    </w:div>
    <w:div w:id="99226142">
      <w:bodyDiv w:val="1"/>
      <w:marLeft w:val="0"/>
      <w:marRight w:val="0"/>
      <w:marTop w:val="0"/>
      <w:marBottom w:val="0"/>
      <w:divBdr>
        <w:top w:val="none" w:sz="0" w:space="0" w:color="auto"/>
        <w:left w:val="none" w:sz="0" w:space="0" w:color="auto"/>
        <w:bottom w:val="none" w:sz="0" w:space="0" w:color="auto"/>
        <w:right w:val="none" w:sz="0" w:space="0" w:color="auto"/>
      </w:divBdr>
    </w:div>
    <w:div w:id="115487955">
      <w:bodyDiv w:val="1"/>
      <w:marLeft w:val="0"/>
      <w:marRight w:val="0"/>
      <w:marTop w:val="0"/>
      <w:marBottom w:val="0"/>
      <w:divBdr>
        <w:top w:val="none" w:sz="0" w:space="0" w:color="auto"/>
        <w:left w:val="none" w:sz="0" w:space="0" w:color="auto"/>
        <w:bottom w:val="none" w:sz="0" w:space="0" w:color="auto"/>
        <w:right w:val="none" w:sz="0" w:space="0" w:color="auto"/>
      </w:divBdr>
    </w:div>
    <w:div w:id="126319280">
      <w:bodyDiv w:val="1"/>
      <w:marLeft w:val="0"/>
      <w:marRight w:val="0"/>
      <w:marTop w:val="0"/>
      <w:marBottom w:val="0"/>
      <w:divBdr>
        <w:top w:val="none" w:sz="0" w:space="0" w:color="auto"/>
        <w:left w:val="none" w:sz="0" w:space="0" w:color="auto"/>
        <w:bottom w:val="none" w:sz="0" w:space="0" w:color="auto"/>
        <w:right w:val="none" w:sz="0" w:space="0" w:color="auto"/>
      </w:divBdr>
    </w:div>
    <w:div w:id="135145065">
      <w:bodyDiv w:val="1"/>
      <w:marLeft w:val="0"/>
      <w:marRight w:val="0"/>
      <w:marTop w:val="0"/>
      <w:marBottom w:val="0"/>
      <w:divBdr>
        <w:top w:val="none" w:sz="0" w:space="0" w:color="auto"/>
        <w:left w:val="none" w:sz="0" w:space="0" w:color="auto"/>
        <w:bottom w:val="none" w:sz="0" w:space="0" w:color="auto"/>
        <w:right w:val="none" w:sz="0" w:space="0" w:color="auto"/>
      </w:divBdr>
    </w:div>
    <w:div w:id="139349555">
      <w:bodyDiv w:val="1"/>
      <w:marLeft w:val="0"/>
      <w:marRight w:val="0"/>
      <w:marTop w:val="0"/>
      <w:marBottom w:val="0"/>
      <w:divBdr>
        <w:top w:val="none" w:sz="0" w:space="0" w:color="auto"/>
        <w:left w:val="none" w:sz="0" w:space="0" w:color="auto"/>
        <w:bottom w:val="none" w:sz="0" w:space="0" w:color="auto"/>
        <w:right w:val="none" w:sz="0" w:space="0" w:color="auto"/>
      </w:divBdr>
    </w:div>
    <w:div w:id="143932706">
      <w:bodyDiv w:val="1"/>
      <w:marLeft w:val="0"/>
      <w:marRight w:val="0"/>
      <w:marTop w:val="0"/>
      <w:marBottom w:val="0"/>
      <w:divBdr>
        <w:top w:val="none" w:sz="0" w:space="0" w:color="auto"/>
        <w:left w:val="none" w:sz="0" w:space="0" w:color="auto"/>
        <w:bottom w:val="none" w:sz="0" w:space="0" w:color="auto"/>
        <w:right w:val="none" w:sz="0" w:space="0" w:color="auto"/>
      </w:divBdr>
    </w:div>
    <w:div w:id="144666080">
      <w:bodyDiv w:val="1"/>
      <w:marLeft w:val="0"/>
      <w:marRight w:val="0"/>
      <w:marTop w:val="0"/>
      <w:marBottom w:val="0"/>
      <w:divBdr>
        <w:top w:val="none" w:sz="0" w:space="0" w:color="auto"/>
        <w:left w:val="none" w:sz="0" w:space="0" w:color="auto"/>
        <w:bottom w:val="none" w:sz="0" w:space="0" w:color="auto"/>
        <w:right w:val="none" w:sz="0" w:space="0" w:color="auto"/>
      </w:divBdr>
    </w:div>
    <w:div w:id="145322768">
      <w:bodyDiv w:val="1"/>
      <w:marLeft w:val="0"/>
      <w:marRight w:val="0"/>
      <w:marTop w:val="0"/>
      <w:marBottom w:val="0"/>
      <w:divBdr>
        <w:top w:val="none" w:sz="0" w:space="0" w:color="auto"/>
        <w:left w:val="none" w:sz="0" w:space="0" w:color="auto"/>
        <w:bottom w:val="none" w:sz="0" w:space="0" w:color="auto"/>
        <w:right w:val="none" w:sz="0" w:space="0" w:color="auto"/>
      </w:divBdr>
    </w:div>
    <w:div w:id="154424332">
      <w:bodyDiv w:val="1"/>
      <w:marLeft w:val="0"/>
      <w:marRight w:val="0"/>
      <w:marTop w:val="0"/>
      <w:marBottom w:val="0"/>
      <w:divBdr>
        <w:top w:val="none" w:sz="0" w:space="0" w:color="auto"/>
        <w:left w:val="none" w:sz="0" w:space="0" w:color="auto"/>
        <w:bottom w:val="none" w:sz="0" w:space="0" w:color="auto"/>
        <w:right w:val="none" w:sz="0" w:space="0" w:color="auto"/>
      </w:divBdr>
    </w:div>
    <w:div w:id="160708105">
      <w:bodyDiv w:val="1"/>
      <w:marLeft w:val="0"/>
      <w:marRight w:val="0"/>
      <w:marTop w:val="0"/>
      <w:marBottom w:val="0"/>
      <w:divBdr>
        <w:top w:val="none" w:sz="0" w:space="0" w:color="auto"/>
        <w:left w:val="none" w:sz="0" w:space="0" w:color="auto"/>
        <w:bottom w:val="none" w:sz="0" w:space="0" w:color="auto"/>
        <w:right w:val="none" w:sz="0" w:space="0" w:color="auto"/>
      </w:divBdr>
    </w:div>
    <w:div w:id="162356123">
      <w:bodyDiv w:val="1"/>
      <w:marLeft w:val="0"/>
      <w:marRight w:val="0"/>
      <w:marTop w:val="0"/>
      <w:marBottom w:val="0"/>
      <w:divBdr>
        <w:top w:val="none" w:sz="0" w:space="0" w:color="auto"/>
        <w:left w:val="none" w:sz="0" w:space="0" w:color="auto"/>
        <w:bottom w:val="none" w:sz="0" w:space="0" w:color="auto"/>
        <w:right w:val="none" w:sz="0" w:space="0" w:color="auto"/>
      </w:divBdr>
    </w:div>
    <w:div w:id="168105926">
      <w:bodyDiv w:val="1"/>
      <w:marLeft w:val="0"/>
      <w:marRight w:val="0"/>
      <w:marTop w:val="0"/>
      <w:marBottom w:val="0"/>
      <w:divBdr>
        <w:top w:val="none" w:sz="0" w:space="0" w:color="auto"/>
        <w:left w:val="none" w:sz="0" w:space="0" w:color="auto"/>
        <w:bottom w:val="none" w:sz="0" w:space="0" w:color="auto"/>
        <w:right w:val="none" w:sz="0" w:space="0" w:color="auto"/>
      </w:divBdr>
    </w:div>
    <w:div w:id="172961261">
      <w:bodyDiv w:val="1"/>
      <w:marLeft w:val="0"/>
      <w:marRight w:val="0"/>
      <w:marTop w:val="0"/>
      <w:marBottom w:val="0"/>
      <w:divBdr>
        <w:top w:val="none" w:sz="0" w:space="0" w:color="auto"/>
        <w:left w:val="none" w:sz="0" w:space="0" w:color="auto"/>
        <w:bottom w:val="none" w:sz="0" w:space="0" w:color="auto"/>
        <w:right w:val="none" w:sz="0" w:space="0" w:color="auto"/>
      </w:divBdr>
    </w:div>
    <w:div w:id="173960888">
      <w:bodyDiv w:val="1"/>
      <w:marLeft w:val="0"/>
      <w:marRight w:val="0"/>
      <w:marTop w:val="0"/>
      <w:marBottom w:val="0"/>
      <w:divBdr>
        <w:top w:val="none" w:sz="0" w:space="0" w:color="auto"/>
        <w:left w:val="none" w:sz="0" w:space="0" w:color="auto"/>
        <w:bottom w:val="none" w:sz="0" w:space="0" w:color="auto"/>
        <w:right w:val="none" w:sz="0" w:space="0" w:color="auto"/>
      </w:divBdr>
    </w:div>
    <w:div w:id="176627780">
      <w:bodyDiv w:val="1"/>
      <w:marLeft w:val="0"/>
      <w:marRight w:val="0"/>
      <w:marTop w:val="0"/>
      <w:marBottom w:val="0"/>
      <w:divBdr>
        <w:top w:val="none" w:sz="0" w:space="0" w:color="auto"/>
        <w:left w:val="none" w:sz="0" w:space="0" w:color="auto"/>
        <w:bottom w:val="none" w:sz="0" w:space="0" w:color="auto"/>
        <w:right w:val="none" w:sz="0" w:space="0" w:color="auto"/>
      </w:divBdr>
    </w:div>
    <w:div w:id="184953123">
      <w:bodyDiv w:val="1"/>
      <w:marLeft w:val="0"/>
      <w:marRight w:val="0"/>
      <w:marTop w:val="0"/>
      <w:marBottom w:val="0"/>
      <w:divBdr>
        <w:top w:val="none" w:sz="0" w:space="0" w:color="auto"/>
        <w:left w:val="none" w:sz="0" w:space="0" w:color="auto"/>
        <w:bottom w:val="none" w:sz="0" w:space="0" w:color="auto"/>
        <w:right w:val="none" w:sz="0" w:space="0" w:color="auto"/>
      </w:divBdr>
    </w:div>
    <w:div w:id="193349389">
      <w:bodyDiv w:val="1"/>
      <w:marLeft w:val="0"/>
      <w:marRight w:val="0"/>
      <w:marTop w:val="0"/>
      <w:marBottom w:val="0"/>
      <w:divBdr>
        <w:top w:val="none" w:sz="0" w:space="0" w:color="auto"/>
        <w:left w:val="none" w:sz="0" w:space="0" w:color="auto"/>
        <w:bottom w:val="none" w:sz="0" w:space="0" w:color="auto"/>
        <w:right w:val="none" w:sz="0" w:space="0" w:color="auto"/>
      </w:divBdr>
    </w:div>
    <w:div w:id="20002364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3248523">
      <w:bodyDiv w:val="1"/>
      <w:marLeft w:val="0"/>
      <w:marRight w:val="0"/>
      <w:marTop w:val="0"/>
      <w:marBottom w:val="0"/>
      <w:divBdr>
        <w:top w:val="none" w:sz="0" w:space="0" w:color="auto"/>
        <w:left w:val="none" w:sz="0" w:space="0" w:color="auto"/>
        <w:bottom w:val="none" w:sz="0" w:space="0" w:color="auto"/>
        <w:right w:val="none" w:sz="0" w:space="0" w:color="auto"/>
      </w:divBdr>
    </w:div>
    <w:div w:id="204103374">
      <w:bodyDiv w:val="1"/>
      <w:marLeft w:val="0"/>
      <w:marRight w:val="0"/>
      <w:marTop w:val="0"/>
      <w:marBottom w:val="0"/>
      <w:divBdr>
        <w:top w:val="none" w:sz="0" w:space="0" w:color="auto"/>
        <w:left w:val="none" w:sz="0" w:space="0" w:color="auto"/>
        <w:bottom w:val="none" w:sz="0" w:space="0" w:color="auto"/>
        <w:right w:val="none" w:sz="0" w:space="0" w:color="auto"/>
      </w:divBdr>
    </w:div>
    <w:div w:id="206992519">
      <w:bodyDiv w:val="1"/>
      <w:marLeft w:val="0"/>
      <w:marRight w:val="0"/>
      <w:marTop w:val="0"/>
      <w:marBottom w:val="0"/>
      <w:divBdr>
        <w:top w:val="none" w:sz="0" w:space="0" w:color="auto"/>
        <w:left w:val="none" w:sz="0" w:space="0" w:color="auto"/>
        <w:bottom w:val="none" w:sz="0" w:space="0" w:color="auto"/>
        <w:right w:val="none" w:sz="0" w:space="0" w:color="auto"/>
      </w:divBdr>
    </w:div>
    <w:div w:id="207650677">
      <w:bodyDiv w:val="1"/>
      <w:marLeft w:val="0"/>
      <w:marRight w:val="0"/>
      <w:marTop w:val="0"/>
      <w:marBottom w:val="0"/>
      <w:divBdr>
        <w:top w:val="none" w:sz="0" w:space="0" w:color="auto"/>
        <w:left w:val="none" w:sz="0" w:space="0" w:color="auto"/>
        <w:bottom w:val="none" w:sz="0" w:space="0" w:color="auto"/>
        <w:right w:val="none" w:sz="0" w:space="0" w:color="auto"/>
      </w:divBdr>
    </w:div>
    <w:div w:id="207881860">
      <w:bodyDiv w:val="1"/>
      <w:marLeft w:val="0"/>
      <w:marRight w:val="0"/>
      <w:marTop w:val="0"/>
      <w:marBottom w:val="0"/>
      <w:divBdr>
        <w:top w:val="none" w:sz="0" w:space="0" w:color="auto"/>
        <w:left w:val="none" w:sz="0" w:space="0" w:color="auto"/>
        <w:bottom w:val="none" w:sz="0" w:space="0" w:color="auto"/>
        <w:right w:val="none" w:sz="0" w:space="0" w:color="auto"/>
      </w:divBdr>
    </w:div>
    <w:div w:id="210728594">
      <w:bodyDiv w:val="1"/>
      <w:marLeft w:val="0"/>
      <w:marRight w:val="0"/>
      <w:marTop w:val="0"/>
      <w:marBottom w:val="0"/>
      <w:divBdr>
        <w:top w:val="none" w:sz="0" w:space="0" w:color="auto"/>
        <w:left w:val="none" w:sz="0" w:space="0" w:color="auto"/>
        <w:bottom w:val="none" w:sz="0" w:space="0" w:color="auto"/>
        <w:right w:val="none" w:sz="0" w:space="0" w:color="auto"/>
      </w:divBdr>
    </w:div>
    <w:div w:id="214128051">
      <w:bodyDiv w:val="1"/>
      <w:marLeft w:val="0"/>
      <w:marRight w:val="0"/>
      <w:marTop w:val="0"/>
      <w:marBottom w:val="0"/>
      <w:divBdr>
        <w:top w:val="none" w:sz="0" w:space="0" w:color="auto"/>
        <w:left w:val="none" w:sz="0" w:space="0" w:color="auto"/>
        <w:bottom w:val="none" w:sz="0" w:space="0" w:color="auto"/>
        <w:right w:val="none" w:sz="0" w:space="0" w:color="auto"/>
      </w:divBdr>
    </w:div>
    <w:div w:id="217471781">
      <w:bodyDiv w:val="1"/>
      <w:marLeft w:val="0"/>
      <w:marRight w:val="0"/>
      <w:marTop w:val="0"/>
      <w:marBottom w:val="0"/>
      <w:divBdr>
        <w:top w:val="none" w:sz="0" w:space="0" w:color="auto"/>
        <w:left w:val="none" w:sz="0" w:space="0" w:color="auto"/>
        <w:bottom w:val="none" w:sz="0" w:space="0" w:color="auto"/>
        <w:right w:val="none" w:sz="0" w:space="0" w:color="auto"/>
      </w:divBdr>
    </w:div>
    <w:div w:id="219367343">
      <w:bodyDiv w:val="1"/>
      <w:marLeft w:val="0"/>
      <w:marRight w:val="0"/>
      <w:marTop w:val="0"/>
      <w:marBottom w:val="0"/>
      <w:divBdr>
        <w:top w:val="none" w:sz="0" w:space="0" w:color="auto"/>
        <w:left w:val="none" w:sz="0" w:space="0" w:color="auto"/>
        <w:bottom w:val="none" w:sz="0" w:space="0" w:color="auto"/>
        <w:right w:val="none" w:sz="0" w:space="0" w:color="auto"/>
      </w:divBdr>
    </w:div>
    <w:div w:id="228418993">
      <w:bodyDiv w:val="1"/>
      <w:marLeft w:val="0"/>
      <w:marRight w:val="0"/>
      <w:marTop w:val="0"/>
      <w:marBottom w:val="0"/>
      <w:divBdr>
        <w:top w:val="none" w:sz="0" w:space="0" w:color="auto"/>
        <w:left w:val="none" w:sz="0" w:space="0" w:color="auto"/>
        <w:bottom w:val="none" w:sz="0" w:space="0" w:color="auto"/>
        <w:right w:val="none" w:sz="0" w:space="0" w:color="auto"/>
      </w:divBdr>
    </w:div>
    <w:div w:id="242764772">
      <w:bodyDiv w:val="1"/>
      <w:marLeft w:val="0"/>
      <w:marRight w:val="0"/>
      <w:marTop w:val="0"/>
      <w:marBottom w:val="0"/>
      <w:divBdr>
        <w:top w:val="none" w:sz="0" w:space="0" w:color="auto"/>
        <w:left w:val="none" w:sz="0" w:space="0" w:color="auto"/>
        <w:bottom w:val="none" w:sz="0" w:space="0" w:color="auto"/>
        <w:right w:val="none" w:sz="0" w:space="0" w:color="auto"/>
      </w:divBdr>
    </w:div>
    <w:div w:id="243417056">
      <w:bodyDiv w:val="1"/>
      <w:marLeft w:val="0"/>
      <w:marRight w:val="0"/>
      <w:marTop w:val="0"/>
      <w:marBottom w:val="0"/>
      <w:divBdr>
        <w:top w:val="none" w:sz="0" w:space="0" w:color="auto"/>
        <w:left w:val="none" w:sz="0" w:space="0" w:color="auto"/>
        <w:bottom w:val="none" w:sz="0" w:space="0" w:color="auto"/>
        <w:right w:val="none" w:sz="0" w:space="0" w:color="auto"/>
      </w:divBdr>
    </w:div>
    <w:div w:id="246119148">
      <w:bodyDiv w:val="1"/>
      <w:marLeft w:val="0"/>
      <w:marRight w:val="0"/>
      <w:marTop w:val="0"/>
      <w:marBottom w:val="0"/>
      <w:divBdr>
        <w:top w:val="none" w:sz="0" w:space="0" w:color="auto"/>
        <w:left w:val="none" w:sz="0" w:space="0" w:color="auto"/>
        <w:bottom w:val="none" w:sz="0" w:space="0" w:color="auto"/>
        <w:right w:val="none" w:sz="0" w:space="0" w:color="auto"/>
      </w:divBdr>
    </w:div>
    <w:div w:id="248463656">
      <w:bodyDiv w:val="1"/>
      <w:marLeft w:val="0"/>
      <w:marRight w:val="0"/>
      <w:marTop w:val="0"/>
      <w:marBottom w:val="0"/>
      <w:divBdr>
        <w:top w:val="none" w:sz="0" w:space="0" w:color="auto"/>
        <w:left w:val="none" w:sz="0" w:space="0" w:color="auto"/>
        <w:bottom w:val="none" w:sz="0" w:space="0" w:color="auto"/>
        <w:right w:val="none" w:sz="0" w:space="0" w:color="auto"/>
      </w:divBdr>
    </w:div>
    <w:div w:id="251745115">
      <w:bodyDiv w:val="1"/>
      <w:marLeft w:val="0"/>
      <w:marRight w:val="0"/>
      <w:marTop w:val="0"/>
      <w:marBottom w:val="0"/>
      <w:divBdr>
        <w:top w:val="none" w:sz="0" w:space="0" w:color="auto"/>
        <w:left w:val="none" w:sz="0" w:space="0" w:color="auto"/>
        <w:bottom w:val="none" w:sz="0" w:space="0" w:color="auto"/>
        <w:right w:val="none" w:sz="0" w:space="0" w:color="auto"/>
      </w:divBdr>
    </w:div>
    <w:div w:id="254899576">
      <w:bodyDiv w:val="1"/>
      <w:marLeft w:val="0"/>
      <w:marRight w:val="0"/>
      <w:marTop w:val="0"/>
      <w:marBottom w:val="0"/>
      <w:divBdr>
        <w:top w:val="none" w:sz="0" w:space="0" w:color="auto"/>
        <w:left w:val="none" w:sz="0" w:space="0" w:color="auto"/>
        <w:bottom w:val="none" w:sz="0" w:space="0" w:color="auto"/>
        <w:right w:val="none" w:sz="0" w:space="0" w:color="auto"/>
      </w:divBdr>
    </w:div>
    <w:div w:id="257326206">
      <w:bodyDiv w:val="1"/>
      <w:marLeft w:val="0"/>
      <w:marRight w:val="0"/>
      <w:marTop w:val="0"/>
      <w:marBottom w:val="0"/>
      <w:divBdr>
        <w:top w:val="none" w:sz="0" w:space="0" w:color="auto"/>
        <w:left w:val="none" w:sz="0" w:space="0" w:color="auto"/>
        <w:bottom w:val="none" w:sz="0" w:space="0" w:color="auto"/>
        <w:right w:val="none" w:sz="0" w:space="0" w:color="auto"/>
      </w:divBdr>
    </w:div>
    <w:div w:id="262416936">
      <w:bodyDiv w:val="1"/>
      <w:marLeft w:val="0"/>
      <w:marRight w:val="0"/>
      <w:marTop w:val="0"/>
      <w:marBottom w:val="0"/>
      <w:divBdr>
        <w:top w:val="none" w:sz="0" w:space="0" w:color="auto"/>
        <w:left w:val="none" w:sz="0" w:space="0" w:color="auto"/>
        <w:bottom w:val="none" w:sz="0" w:space="0" w:color="auto"/>
        <w:right w:val="none" w:sz="0" w:space="0" w:color="auto"/>
      </w:divBdr>
    </w:div>
    <w:div w:id="264385450">
      <w:bodyDiv w:val="1"/>
      <w:marLeft w:val="0"/>
      <w:marRight w:val="0"/>
      <w:marTop w:val="0"/>
      <w:marBottom w:val="0"/>
      <w:divBdr>
        <w:top w:val="none" w:sz="0" w:space="0" w:color="auto"/>
        <w:left w:val="none" w:sz="0" w:space="0" w:color="auto"/>
        <w:bottom w:val="none" w:sz="0" w:space="0" w:color="auto"/>
        <w:right w:val="none" w:sz="0" w:space="0" w:color="auto"/>
      </w:divBdr>
    </w:div>
    <w:div w:id="273833771">
      <w:bodyDiv w:val="1"/>
      <w:marLeft w:val="0"/>
      <w:marRight w:val="0"/>
      <w:marTop w:val="0"/>
      <w:marBottom w:val="0"/>
      <w:divBdr>
        <w:top w:val="none" w:sz="0" w:space="0" w:color="auto"/>
        <w:left w:val="none" w:sz="0" w:space="0" w:color="auto"/>
        <w:bottom w:val="none" w:sz="0" w:space="0" w:color="auto"/>
        <w:right w:val="none" w:sz="0" w:space="0" w:color="auto"/>
      </w:divBdr>
    </w:div>
    <w:div w:id="278687321">
      <w:bodyDiv w:val="1"/>
      <w:marLeft w:val="0"/>
      <w:marRight w:val="0"/>
      <w:marTop w:val="0"/>
      <w:marBottom w:val="0"/>
      <w:divBdr>
        <w:top w:val="none" w:sz="0" w:space="0" w:color="auto"/>
        <w:left w:val="none" w:sz="0" w:space="0" w:color="auto"/>
        <w:bottom w:val="none" w:sz="0" w:space="0" w:color="auto"/>
        <w:right w:val="none" w:sz="0" w:space="0" w:color="auto"/>
      </w:divBdr>
    </w:div>
    <w:div w:id="284238224">
      <w:bodyDiv w:val="1"/>
      <w:marLeft w:val="0"/>
      <w:marRight w:val="0"/>
      <w:marTop w:val="0"/>
      <w:marBottom w:val="0"/>
      <w:divBdr>
        <w:top w:val="none" w:sz="0" w:space="0" w:color="auto"/>
        <w:left w:val="none" w:sz="0" w:space="0" w:color="auto"/>
        <w:bottom w:val="none" w:sz="0" w:space="0" w:color="auto"/>
        <w:right w:val="none" w:sz="0" w:space="0" w:color="auto"/>
      </w:divBdr>
    </w:div>
    <w:div w:id="289944988">
      <w:bodyDiv w:val="1"/>
      <w:marLeft w:val="0"/>
      <w:marRight w:val="0"/>
      <w:marTop w:val="0"/>
      <w:marBottom w:val="0"/>
      <w:divBdr>
        <w:top w:val="none" w:sz="0" w:space="0" w:color="auto"/>
        <w:left w:val="none" w:sz="0" w:space="0" w:color="auto"/>
        <w:bottom w:val="none" w:sz="0" w:space="0" w:color="auto"/>
        <w:right w:val="none" w:sz="0" w:space="0" w:color="auto"/>
      </w:divBdr>
    </w:div>
    <w:div w:id="304314868">
      <w:bodyDiv w:val="1"/>
      <w:marLeft w:val="0"/>
      <w:marRight w:val="0"/>
      <w:marTop w:val="0"/>
      <w:marBottom w:val="0"/>
      <w:divBdr>
        <w:top w:val="none" w:sz="0" w:space="0" w:color="auto"/>
        <w:left w:val="none" w:sz="0" w:space="0" w:color="auto"/>
        <w:bottom w:val="none" w:sz="0" w:space="0" w:color="auto"/>
        <w:right w:val="none" w:sz="0" w:space="0" w:color="auto"/>
      </w:divBdr>
    </w:div>
    <w:div w:id="311108544">
      <w:bodyDiv w:val="1"/>
      <w:marLeft w:val="0"/>
      <w:marRight w:val="0"/>
      <w:marTop w:val="0"/>
      <w:marBottom w:val="0"/>
      <w:divBdr>
        <w:top w:val="none" w:sz="0" w:space="0" w:color="auto"/>
        <w:left w:val="none" w:sz="0" w:space="0" w:color="auto"/>
        <w:bottom w:val="none" w:sz="0" w:space="0" w:color="auto"/>
        <w:right w:val="none" w:sz="0" w:space="0" w:color="auto"/>
      </w:divBdr>
    </w:div>
    <w:div w:id="318266831">
      <w:bodyDiv w:val="1"/>
      <w:marLeft w:val="0"/>
      <w:marRight w:val="0"/>
      <w:marTop w:val="0"/>
      <w:marBottom w:val="0"/>
      <w:divBdr>
        <w:top w:val="none" w:sz="0" w:space="0" w:color="auto"/>
        <w:left w:val="none" w:sz="0" w:space="0" w:color="auto"/>
        <w:bottom w:val="none" w:sz="0" w:space="0" w:color="auto"/>
        <w:right w:val="none" w:sz="0" w:space="0" w:color="auto"/>
      </w:divBdr>
    </w:div>
    <w:div w:id="318967717">
      <w:bodyDiv w:val="1"/>
      <w:marLeft w:val="0"/>
      <w:marRight w:val="0"/>
      <w:marTop w:val="0"/>
      <w:marBottom w:val="0"/>
      <w:divBdr>
        <w:top w:val="none" w:sz="0" w:space="0" w:color="auto"/>
        <w:left w:val="none" w:sz="0" w:space="0" w:color="auto"/>
        <w:bottom w:val="none" w:sz="0" w:space="0" w:color="auto"/>
        <w:right w:val="none" w:sz="0" w:space="0" w:color="auto"/>
      </w:divBdr>
    </w:div>
    <w:div w:id="322121197">
      <w:bodyDiv w:val="1"/>
      <w:marLeft w:val="0"/>
      <w:marRight w:val="0"/>
      <w:marTop w:val="0"/>
      <w:marBottom w:val="0"/>
      <w:divBdr>
        <w:top w:val="none" w:sz="0" w:space="0" w:color="auto"/>
        <w:left w:val="none" w:sz="0" w:space="0" w:color="auto"/>
        <w:bottom w:val="none" w:sz="0" w:space="0" w:color="auto"/>
        <w:right w:val="none" w:sz="0" w:space="0" w:color="auto"/>
      </w:divBdr>
    </w:div>
    <w:div w:id="324164610">
      <w:bodyDiv w:val="1"/>
      <w:marLeft w:val="0"/>
      <w:marRight w:val="0"/>
      <w:marTop w:val="0"/>
      <w:marBottom w:val="0"/>
      <w:divBdr>
        <w:top w:val="none" w:sz="0" w:space="0" w:color="auto"/>
        <w:left w:val="none" w:sz="0" w:space="0" w:color="auto"/>
        <w:bottom w:val="none" w:sz="0" w:space="0" w:color="auto"/>
        <w:right w:val="none" w:sz="0" w:space="0" w:color="auto"/>
      </w:divBdr>
    </w:div>
    <w:div w:id="325279660">
      <w:bodyDiv w:val="1"/>
      <w:marLeft w:val="0"/>
      <w:marRight w:val="0"/>
      <w:marTop w:val="0"/>
      <w:marBottom w:val="0"/>
      <w:divBdr>
        <w:top w:val="none" w:sz="0" w:space="0" w:color="auto"/>
        <w:left w:val="none" w:sz="0" w:space="0" w:color="auto"/>
        <w:bottom w:val="none" w:sz="0" w:space="0" w:color="auto"/>
        <w:right w:val="none" w:sz="0" w:space="0" w:color="auto"/>
      </w:divBdr>
    </w:div>
    <w:div w:id="326638658">
      <w:bodyDiv w:val="1"/>
      <w:marLeft w:val="0"/>
      <w:marRight w:val="0"/>
      <w:marTop w:val="0"/>
      <w:marBottom w:val="0"/>
      <w:divBdr>
        <w:top w:val="none" w:sz="0" w:space="0" w:color="auto"/>
        <w:left w:val="none" w:sz="0" w:space="0" w:color="auto"/>
        <w:bottom w:val="none" w:sz="0" w:space="0" w:color="auto"/>
        <w:right w:val="none" w:sz="0" w:space="0" w:color="auto"/>
      </w:divBdr>
    </w:div>
    <w:div w:id="33045178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0015213">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5325941">
      <w:bodyDiv w:val="1"/>
      <w:marLeft w:val="0"/>
      <w:marRight w:val="0"/>
      <w:marTop w:val="0"/>
      <w:marBottom w:val="0"/>
      <w:divBdr>
        <w:top w:val="none" w:sz="0" w:space="0" w:color="auto"/>
        <w:left w:val="none" w:sz="0" w:space="0" w:color="auto"/>
        <w:bottom w:val="none" w:sz="0" w:space="0" w:color="auto"/>
        <w:right w:val="none" w:sz="0" w:space="0" w:color="auto"/>
      </w:divBdr>
    </w:div>
    <w:div w:id="366486198">
      <w:bodyDiv w:val="1"/>
      <w:marLeft w:val="0"/>
      <w:marRight w:val="0"/>
      <w:marTop w:val="0"/>
      <w:marBottom w:val="0"/>
      <w:divBdr>
        <w:top w:val="none" w:sz="0" w:space="0" w:color="auto"/>
        <w:left w:val="none" w:sz="0" w:space="0" w:color="auto"/>
        <w:bottom w:val="none" w:sz="0" w:space="0" w:color="auto"/>
        <w:right w:val="none" w:sz="0" w:space="0" w:color="auto"/>
      </w:divBdr>
    </w:div>
    <w:div w:id="367031554">
      <w:bodyDiv w:val="1"/>
      <w:marLeft w:val="0"/>
      <w:marRight w:val="0"/>
      <w:marTop w:val="0"/>
      <w:marBottom w:val="0"/>
      <w:divBdr>
        <w:top w:val="none" w:sz="0" w:space="0" w:color="auto"/>
        <w:left w:val="none" w:sz="0" w:space="0" w:color="auto"/>
        <w:bottom w:val="none" w:sz="0" w:space="0" w:color="auto"/>
        <w:right w:val="none" w:sz="0" w:space="0" w:color="auto"/>
      </w:divBdr>
    </w:div>
    <w:div w:id="368996350">
      <w:bodyDiv w:val="1"/>
      <w:marLeft w:val="0"/>
      <w:marRight w:val="0"/>
      <w:marTop w:val="0"/>
      <w:marBottom w:val="0"/>
      <w:divBdr>
        <w:top w:val="none" w:sz="0" w:space="0" w:color="auto"/>
        <w:left w:val="none" w:sz="0" w:space="0" w:color="auto"/>
        <w:bottom w:val="none" w:sz="0" w:space="0" w:color="auto"/>
        <w:right w:val="none" w:sz="0" w:space="0" w:color="auto"/>
      </w:divBdr>
    </w:div>
    <w:div w:id="386031411">
      <w:bodyDiv w:val="1"/>
      <w:marLeft w:val="0"/>
      <w:marRight w:val="0"/>
      <w:marTop w:val="0"/>
      <w:marBottom w:val="0"/>
      <w:divBdr>
        <w:top w:val="none" w:sz="0" w:space="0" w:color="auto"/>
        <w:left w:val="none" w:sz="0" w:space="0" w:color="auto"/>
        <w:bottom w:val="none" w:sz="0" w:space="0" w:color="auto"/>
        <w:right w:val="none" w:sz="0" w:space="0" w:color="auto"/>
      </w:divBdr>
    </w:div>
    <w:div w:id="388773162">
      <w:bodyDiv w:val="1"/>
      <w:marLeft w:val="0"/>
      <w:marRight w:val="0"/>
      <w:marTop w:val="0"/>
      <w:marBottom w:val="0"/>
      <w:divBdr>
        <w:top w:val="none" w:sz="0" w:space="0" w:color="auto"/>
        <w:left w:val="none" w:sz="0" w:space="0" w:color="auto"/>
        <w:bottom w:val="none" w:sz="0" w:space="0" w:color="auto"/>
        <w:right w:val="none" w:sz="0" w:space="0" w:color="auto"/>
      </w:divBdr>
    </w:div>
    <w:div w:id="403643331">
      <w:bodyDiv w:val="1"/>
      <w:marLeft w:val="0"/>
      <w:marRight w:val="0"/>
      <w:marTop w:val="0"/>
      <w:marBottom w:val="0"/>
      <w:divBdr>
        <w:top w:val="none" w:sz="0" w:space="0" w:color="auto"/>
        <w:left w:val="none" w:sz="0" w:space="0" w:color="auto"/>
        <w:bottom w:val="none" w:sz="0" w:space="0" w:color="auto"/>
        <w:right w:val="none" w:sz="0" w:space="0" w:color="auto"/>
      </w:divBdr>
    </w:div>
    <w:div w:id="403726967">
      <w:bodyDiv w:val="1"/>
      <w:marLeft w:val="0"/>
      <w:marRight w:val="0"/>
      <w:marTop w:val="0"/>
      <w:marBottom w:val="0"/>
      <w:divBdr>
        <w:top w:val="none" w:sz="0" w:space="0" w:color="auto"/>
        <w:left w:val="none" w:sz="0" w:space="0" w:color="auto"/>
        <w:bottom w:val="none" w:sz="0" w:space="0" w:color="auto"/>
        <w:right w:val="none" w:sz="0" w:space="0" w:color="auto"/>
      </w:divBdr>
    </w:div>
    <w:div w:id="407968612">
      <w:bodyDiv w:val="1"/>
      <w:marLeft w:val="0"/>
      <w:marRight w:val="0"/>
      <w:marTop w:val="0"/>
      <w:marBottom w:val="0"/>
      <w:divBdr>
        <w:top w:val="none" w:sz="0" w:space="0" w:color="auto"/>
        <w:left w:val="none" w:sz="0" w:space="0" w:color="auto"/>
        <w:bottom w:val="none" w:sz="0" w:space="0" w:color="auto"/>
        <w:right w:val="none" w:sz="0" w:space="0" w:color="auto"/>
      </w:divBdr>
    </w:div>
    <w:div w:id="411320695">
      <w:bodyDiv w:val="1"/>
      <w:marLeft w:val="0"/>
      <w:marRight w:val="0"/>
      <w:marTop w:val="0"/>
      <w:marBottom w:val="0"/>
      <w:divBdr>
        <w:top w:val="none" w:sz="0" w:space="0" w:color="auto"/>
        <w:left w:val="none" w:sz="0" w:space="0" w:color="auto"/>
        <w:bottom w:val="none" w:sz="0" w:space="0" w:color="auto"/>
        <w:right w:val="none" w:sz="0" w:space="0" w:color="auto"/>
      </w:divBdr>
    </w:div>
    <w:div w:id="414670718">
      <w:bodyDiv w:val="1"/>
      <w:marLeft w:val="0"/>
      <w:marRight w:val="0"/>
      <w:marTop w:val="0"/>
      <w:marBottom w:val="0"/>
      <w:divBdr>
        <w:top w:val="none" w:sz="0" w:space="0" w:color="auto"/>
        <w:left w:val="none" w:sz="0" w:space="0" w:color="auto"/>
        <w:bottom w:val="none" w:sz="0" w:space="0" w:color="auto"/>
        <w:right w:val="none" w:sz="0" w:space="0" w:color="auto"/>
      </w:divBdr>
    </w:div>
    <w:div w:id="432672327">
      <w:bodyDiv w:val="1"/>
      <w:marLeft w:val="0"/>
      <w:marRight w:val="0"/>
      <w:marTop w:val="0"/>
      <w:marBottom w:val="0"/>
      <w:divBdr>
        <w:top w:val="none" w:sz="0" w:space="0" w:color="auto"/>
        <w:left w:val="none" w:sz="0" w:space="0" w:color="auto"/>
        <w:bottom w:val="none" w:sz="0" w:space="0" w:color="auto"/>
        <w:right w:val="none" w:sz="0" w:space="0" w:color="auto"/>
      </w:divBdr>
    </w:div>
    <w:div w:id="433285753">
      <w:bodyDiv w:val="1"/>
      <w:marLeft w:val="0"/>
      <w:marRight w:val="0"/>
      <w:marTop w:val="0"/>
      <w:marBottom w:val="0"/>
      <w:divBdr>
        <w:top w:val="none" w:sz="0" w:space="0" w:color="auto"/>
        <w:left w:val="none" w:sz="0" w:space="0" w:color="auto"/>
        <w:bottom w:val="none" w:sz="0" w:space="0" w:color="auto"/>
        <w:right w:val="none" w:sz="0" w:space="0" w:color="auto"/>
      </w:divBdr>
    </w:div>
    <w:div w:id="435518287">
      <w:bodyDiv w:val="1"/>
      <w:marLeft w:val="0"/>
      <w:marRight w:val="0"/>
      <w:marTop w:val="0"/>
      <w:marBottom w:val="0"/>
      <w:divBdr>
        <w:top w:val="none" w:sz="0" w:space="0" w:color="auto"/>
        <w:left w:val="none" w:sz="0" w:space="0" w:color="auto"/>
        <w:bottom w:val="none" w:sz="0" w:space="0" w:color="auto"/>
        <w:right w:val="none" w:sz="0" w:space="0" w:color="auto"/>
      </w:divBdr>
    </w:div>
    <w:div w:id="436607684">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38992644">
      <w:bodyDiv w:val="1"/>
      <w:marLeft w:val="0"/>
      <w:marRight w:val="0"/>
      <w:marTop w:val="0"/>
      <w:marBottom w:val="0"/>
      <w:divBdr>
        <w:top w:val="none" w:sz="0" w:space="0" w:color="auto"/>
        <w:left w:val="none" w:sz="0" w:space="0" w:color="auto"/>
        <w:bottom w:val="none" w:sz="0" w:space="0" w:color="auto"/>
        <w:right w:val="none" w:sz="0" w:space="0" w:color="auto"/>
      </w:divBdr>
    </w:div>
    <w:div w:id="440224289">
      <w:bodyDiv w:val="1"/>
      <w:marLeft w:val="0"/>
      <w:marRight w:val="0"/>
      <w:marTop w:val="0"/>
      <w:marBottom w:val="0"/>
      <w:divBdr>
        <w:top w:val="none" w:sz="0" w:space="0" w:color="auto"/>
        <w:left w:val="none" w:sz="0" w:space="0" w:color="auto"/>
        <w:bottom w:val="none" w:sz="0" w:space="0" w:color="auto"/>
        <w:right w:val="none" w:sz="0" w:space="0" w:color="auto"/>
      </w:divBdr>
    </w:div>
    <w:div w:id="441389416">
      <w:bodyDiv w:val="1"/>
      <w:marLeft w:val="0"/>
      <w:marRight w:val="0"/>
      <w:marTop w:val="0"/>
      <w:marBottom w:val="0"/>
      <w:divBdr>
        <w:top w:val="none" w:sz="0" w:space="0" w:color="auto"/>
        <w:left w:val="none" w:sz="0" w:space="0" w:color="auto"/>
        <w:bottom w:val="none" w:sz="0" w:space="0" w:color="auto"/>
        <w:right w:val="none" w:sz="0" w:space="0" w:color="auto"/>
      </w:divBdr>
    </w:div>
    <w:div w:id="444153113">
      <w:bodyDiv w:val="1"/>
      <w:marLeft w:val="0"/>
      <w:marRight w:val="0"/>
      <w:marTop w:val="0"/>
      <w:marBottom w:val="0"/>
      <w:divBdr>
        <w:top w:val="none" w:sz="0" w:space="0" w:color="auto"/>
        <w:left w:val="none" w:sz="0" w:space="0" w:color="auto"/>
        <w:bottom w:val="none" w:sz="0" w:space="0" w:color="auto"/>
        <w:right w:val="none" w:sz="0" w:space="0" w:color="auto"/>
      </w:divBdr>
    </w:div>
    <w:div w:id="44546584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376179">
      <w:bodyDiv w:val="1"/>
      <w:marLeft w:val="0"/>
      <w:marRight w:val="0"/>
      <w:marTop w:val="0"/>
      <w:marBottom w:val="0"/>
      <w:divBdr>
        <w:top w:val="none" w:sz="0" w:space="0" w:color="auto"/>
        <w:left w:val="none" w:sz="0" w:space="0" w:color="auto"/>
        <w:bottom w:val="none" w:sz="0" w:space="0" w:color="auto"/>
        <w:right w:val="none" w:sz="0" w:space="0" w:color="auto"/>
      </w:divBdr>
    </w:div>
    <w:div w:id="460153318">
      <w:bodyDiv w:val="1"/>
      <w:marLeft w:val="0"/>
      <w:marRight w:val="0"/>
      <w:marTop w:val="0"/>
      <w:marBottom w:val="0"/>
      <w:divBdr>
        <w:top w:val="none" w:sz="0" w:space="0" w:color="auto"/>
        <w:left w:val="none" w:sz="0" w:space="0" w:color="auto"/>
        <w:bottom w:val="none" w:sz="0" w:space="0" w:color="auto"/>
        <w:right w:val="none" w:sz="0" w:space="0" w:color="auto"/>
      </w:divBdr>
    </w:div>
    <w:div w:id="467624451">
      <w:bodyDiv w:val="1"/>
      <w:marLeft w:val="0"/>
      <w:marRight w:val="0"/>
      <w:marTop w:val="0"/>
      <w:marBottom w:val="0"/>
      <w:divBdr>
        <w:top w:val="none" w:sz="0" w:space="0" w:color="auto"/>
        <w:left w:val="none" w:sz="0" w:space="0" w:color="auto"/>
        <w:bottom w:val="none" w:sz="0" w:space="0" w:color="auto"/>
        <w:right w:val="none" w:sz="0" w:space="0" w:color="auto"/>
      </w:divBdr>
    </w:div>
    <w:div w:id="474614964">
      <w:bodyDiv w:val="1"/>
      <w:marLeft w:val="0"/>
      <w:marRight w:val="0"/>
      <w:marTop w:val="0"/>
      <w:marBottom w:val="0"/>
      <w:divBdr>
        <w:top w:val="none" w:sz="0" w:space="0" w:color="auto"/>
        <w:left w:val="none" w:sz="0" w:space="0" w:color="auto"/>
        <w:bottom w:val="none" w:sz="0" w:space="0" w:color="auto"/>
        <w:right w:val="none" w:sz="0" w:space="0" w:color="auto"/>
      </w:divBdr>
    </w:div>
    <w:div w:id="476918733">
      <w:bodyDiv w:val="1"/>
      <w:marLeft w:val="0"/>
      <w:marRight w:val="0"/>
      <w:marTop w:val="0"/>
      <w:marBottom w:val="0"/>
      <w:divBdr>
        <w:top w:val="none" w:sz="0" w:space="0" w:color="auto"/>
        <w:left w:val="none" w:sz="0" w:space="0" w:color="auto"/>
        <w:bottom w:val="none" w:sz="0" w:space="0" w:color="auto"/>
        <w:right w:val="none" w:sz="0" w:space="0" w:color="auto"/>
      </w:divBdr>
    </w:div>
    <w:div w:id="495265962">
      <w:bodyDiv w:val="1"/>
      <w:marLeft w:val="0"/>
      <w:marRight w:val="0"/>
      <w:marTop w:val="0"/>
      <w:marBottom w:val="0"/>
      <w:divBdr>
        <w:top w:val="none" w:sz="0" w:space="0" w:color="auto"/>
        <w:left w:val="none" w:sz="0" w:space="0" w:color="auto"/>
        <w:bottom w:val="none" w:sz="0" w:space="0" w:color="auto"/>
        <w:right w:val="none" w:sz="0" w:space="0" w:color="auto"/>
      </w:divBdr>
    </w:div>
    <w:div w:id="495998964">
      <w:bodyDiv w:val="1"/>
      <w:marLeft w:val="0"/>
      <w:marRight w:val="0"/>
      <w:marTop w:val="0"/>
      <w:marBottom w:val="0"/>
      <w:divBdr>
        <w:top w:val="none" w:sz="0" w:space="0" w:color="auto"/>
        <w:left w:val="none" w:sz="0" w:space="0" w:color="auto"/>
        <w:bottom w:val="none" w:sz="0" w:space="0" w:color="auto"/>
        <w:right w:val="none" w:sz="0" w:space="0" w:color="auto"/>
      </w:divBdr>
    </w:div>
    <w:div w:id="497187189">
      <w:bodyDiv w:val="1"/>
      <w:marLeft w:val="0"/>
      <w:marRight w:val="0"/>
      <w:marTop w:val="0"/>
      <w:marBottom w:val="0"/>
      <w:divBdr>
        <w:top w:val="none" w:sz="0" w:space="0" w:color="auto"/>
        <w:left w:val="none" w:sz="0" w:space="0" w:color="auto"/>
        <w:bottom w:val="none" w:sz="0" w:space="0" w:color="auto"/>
        <w:right w:val="none" w:sz="0" w:space="0" w:color="auto"/>
      </w:divBdr>
    </w:div>
    <w:div w:id="507520972">
      <w:bodyDiv w:val="1"/>
      <w:marLeft w:val="0"/>
      <w:marRight w:val="0"/>
      <w:marTop w:val="0"/>
      <w:marBottom w:val="0"/>
      <w:divBdr>
        <w:top w:val="none" w:sz="0" w:space="0" w:color="auto"/>
        <w:left w:val="none" w:sz="0" w:space="0" w:color="auto"/>
        <w:bottom w:val="none" w:sz="0" w:space="0" w:color="auto"/>
        <w:right w:val="none" w:sz="0" w:space="0" w:color="auto"/>
      </w:divBdr>
    </w:div>
    <w:div w:id="518468877">
      <w:bodyDiv w:val="1"/>
      <w:marLeft w:val="0"/>
      <w:marRight w:val="0"/>
      <w:marTop w:val="0"/>
      <w:marBottom w:val="0"/>
      <w:divBdr>
        <w:top w:val="none" w:sz="0" w:space="0" w:color="auto"/>
        <w:left w:val="none" w:sz="0" w:space="0" w:color="auto"/>
        <w:bottom w:val="none" w:sz="0" w:space="0" w:color="auto"/>
        <w:right w:val="none" w:sz="0" w:space="0" w:color="auto"/>
      </w:divBdr>
    </w:div>
    <w:div w:id="529495709">
      <w:bodyDiv w:val="1"/>
      <w:marLeft w:val="0"/>
      <w:marRight w:val="0"/>
      <w:marTop w:val="0"/>
      <w:marBottom w:val="0"/>
      <w:divBdr>
        <w:top w:val="none" w:sz="0" w:space="0" w:color="auto"/>
        <w:left w:val="none" w:sz="0" w:space="0" w:color="auto"/>
        <w:bottom w:val="none" w:sz="0" w:space="0" w:color="auto"/>
        <w:right w:val="none" w:sz="0" w:space="0" w:color="auto"/>
      </w:divBdr>
    </w:div>
    <w:div w:id="53354420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7397615">
      <w:bodyDiv w:val="1"/>
      <w:marLeft w:val="0"/>
      <w:marRight w:val="0"/>
      <w:marTop w:val="0"/>
      <w:marBottom w:val="0"/>
      <w:divBdr>
        <w:top w:val="none" w:sz="0" w:space="0" w:color="auto"/>
        <w:left w:val="none" w:sz="0" w:space="0" w:color="auto"/>
        <w:bottom w:val="none" w:sz="0" w:space="0" w:color="auto"/>
        <w:right w:val="none" w:sz="0" w:space="0" w:color="auto"/>
      </w:divBdr>
    </w:div>
    <w:div w:id="541597155">
      <w:bodyDiv w:val="1"/>
      <w:marLeft w:val="0"/>
      <w:marRight w:val="0"/>
      <w:marTop w:val="0"/>
      <w:marBottom w:val="0"/>
      <w:divBdr>
        <w:top w:val="none" w:sz="0" w:space="0" w:color="auto"/>
        <w:left w:val="none" w:sz="0" w:space="0" w:color="auto"/>
        <w:bottom w:val="none" w:sz="0" w:space="0" w:color="auto"/>
        <w:right w:val="none" w:sz="0" w:space="0" w:color="auto"/>
      </w:divBdr>
    </w:div>
    <w:div w:id="549266249">
      <w:bodyDiv w:val="1"/>
      <w:marLeft w:val="0"/>
      <w:marRight w:val="0"/>
      <w:marTop w:val="0"/>
      <w:marBottom w:val="0"/>
      <w:divBdr>
        <w:top w:val="none" w:sz="0" w:space="0" w:color="auto"/>
        <w:left w:val="none" w:sz="0" w:space="0" w:color="auto"/>
        <w:bottom w:val="none" w:sz="0" w:space="0" w:color="auto"/>
        <w:right w:val="none" w:sz="0" w:space="0" w:color="auto"/>
      </w:divBdr>
    </w:div>
    <w:div w:id="552815456">
      <w:bodyDiv w:val="1"/>
      <w:marLeft w:val="0"/>
      <w:marRight w:val="0"/>
      <w:marTop w:val="0"/>
      <w:marBottom w:val="0"/>
      <w:divBdr>
        <w:top w:val="none" w:sz="0" w:space="0" w:color="auto"/>
        <w:left w:val="none" w:sz="0" w:space="0" w:color="auto"/>
        <w:bottom w:val="none" w:sz="0" w:space="0" w:color="auto"/>
        <w:right w:val="none" w:sz="0" w:space="0" w:color="auto"/>
      </w:divBdr>
    </w:div>
    <w:div w:id="565843097">
      <w:bodyDiv w:val="1"/>
      <w:marLeft w:val="0"/>
      <w:marRight w:val="0"/>
      <w:marTop w:val="0"/>
      <w:marBottom w:val="0"/>
      <w:divBdr>
        <w:top w:val="none" w:sz="0" w:space="0" w:color="auto"/>
        <w:left w:val="none" w:sz="0" w:space="0" w:color="auto"/>
        <w:bottom w:val="none" w:sz="0" w:space="0" w:color="auto"/>
        <w:right w:val="none" w:sz="0" w:space="0" w:color="auto"/>
      </w:divBdr>
    </w:div>
    <w:div w:id="568269597">
      <w:bodyDiv w:val="1"/>
      <w:marLeft w:val="0"/>
      <w:marRight w:val="0"/>
      <w:marTop w:val="0"/>
      <w:marBottom w:val="0"/>
      <w:divBdr>
        <w:top w:val="none" w:sz="0" w:space="0" w:color="auto"/>
        <w:left w:val="none" w:sz="0" w:space="0" w:color="auto"/>
        <w:bottom w:val="none" w:sz="0" w:space="0" w:color="auto"/>
        <w:right w:val="none" w:sz="0" w:space="0" w:color="auto"/>
      </w:divBdr>
    </w:div>
    <w:div w:id="570964484">
      <w:bodyDiv w:val="1"/>
      <w:marLeft w:val="0"/>
      <w:marRight w:val="0"/>
      <w:marTop w:val="0"/>
      <w:marBottom w:val="0"/>
      <w:divBdr>
        <w:top w:val="none" w:sz="0" w:space="0" w:color="auto"/>
        <w:left w:val="none" w:sz="0" w:space="0" w:color="auto"/>
        <w:bottom w:val="none" w:sz="0" w:space="0" w:color="auto"/>
        <w:right w:val="none" w:sz="0" w:space="0" w:color="auto"/>
      </w:divBdr>
    </w:div>
    <w:div w:id="574241312">
      <w:bodyDiv w:val="1"/>
      <w:marLeft w:val="0"/>
      <w:marRight w:val="0"/>
      <w:marTop w:val="0"/>
      <w:marBottom w:val="0"/>
      <w:divBdr>
        <w:top w:val="none" w:sz="0" w:space="0" w:color="auto"/>
        <w:left w:val="none" w:sz="0" w:space="0" w:color="auto"/>
        <w:bottom w:val="none" w:sz="0" w:space="0" w:color="auto"/>
        <w:right w:val="none" w:sz="0" w:space="0" w:color="auto"/>
      </w:divBdr>
    </w:div>
    <w:div w:id="590047031">
      <w:bodyDiv w:val="1"/>
      <w:marLeft w:val="0"/>
      <w:marRight w:val="0"/>
      <w:marTop w:val="0"/>
      <w:marBottom w:val="0"/>
      <w:divBdr>
        <w:top w:val="none" w:sz="0" w:space="0" w:color="auto"/>
        <w:left w:val="none" w:sz="0" w:space="0" w:color="auto"/>
        <w:bottom w:val="none" w:sz="0" w:space="0" w:color="auto"/>
        <w:right w:val="none" w:sz="0" w:space="0" w:color="auto"/>
      </w:divBdr>
    </w:div>
    <w:div w:id="605696493">
      <w:bodyDiv w:val="1"/>
      <w:marLeft w:val="0"/>
      <w:marRight w:val="0"/>
      <w:marTop w:val="0"/>
      <w:marBottom w:val="0"/>
      <w:divBdr>
        <w:top w:val="none" w:sz="0" w:space="0" w:color="auto"/>
        <w:left w:val="none" w:sz="0" w:space="0" w:color="auto"/>
        <w:bottom w:val="none" w:sz="0" w:space="0" w:color="auto"/>
        <w:right w:val="none" w:sz="0" w:space="0" w:color="auto"/>
      </w:divBdr>
    </w:div>
    <w:div w:id="613514087">
      <w:bodyDiv w:val="1"/>
      <w:marLeft w:val="0"/>
      <w:marRight w:val="0"/>
      <w:marTop w:val="0"/>
      <w:marBottom w:val="0"/>
      <w:divBdr>
        <w:top w:val="none" w:sz="0" w:space="0" w:color="auto"/>
        <w:left w:val="none" w:sz="0" w:space="0" w:color="auto"/>
        <w:bottom w:val="none" w:sz="0" w:space="0" w:color="auto"/>
        <w:right w:val="none" w:sz="0" w:space="0" w:color="auto"/>
      </w:divBdr>
    </w:div>
    <w:div w:id="614991222">
      <w:bodyDiv w:val="1"/>
      <w:marLeft w:val="0"/>
      <w:marRight w:val="0"/>
      <w:marTop w:val="0"/>
      <w:marBottom w:val="0"/>
      <w:divBdr>
        <w:top w:val="none" w:sz="0" w:space="0" w:color="auto"/>
        <w:left w:val="none" w:sz="0" w:space="0" w:color="auto"/>
        <w:bottom w:val="none" w:sz="0" w:space="0" w:color="auto"/>
        <w:right w:val="none" w:sz="0" w:space="0" w:color="auto"/>
      </w:divBdr>
    </w:div>
    <w:div w:id="636883888">
      <w:bodyDiv w:val="1"/>
      <w:marLeft w:val="0"/>
      <w:marRight w:val="0"/>
      <w:marTop w:val="0"/>
      <w:marBottom w:val="0"/>
      <w:divBdr>
        <w:top w:val="none" w:sz="0" w:space="0" w:color="auto"/>
        <w:left w:val="none" w:sz="0" w:space="0" w:color="auto"/>
        <w:bottom w:val="none" w:sz="0" w:space="0" w:color="auto"/>
        <w:right w:val="none" w:sz="0" w:space="0" w:color="auto"/>
      </w:divBdr>
    </w:div>
    <w:div w:id="639456202">
      <w:bodyDiv w:val="1"/>
      <w:marLeft w:val="0"/>
      <w:marRight w:val="0"/>
      <w:marTop w:val="0"/>
      <w:marBottom w:val="0"/>
      <w:divBdr>
        <w:top w:val="none" w:sz="0" w:space="0" w:color="auto"/>
        <w:left w:val="none" w:sz="0" w:space="0" w:color="auto"/>
        <w:bottom w:val="none" w:sz="0" w:space="0" w:color="auto"/>
        <w:right w:val="none" w:sz="0" w:space="0" w:color="auto"/>
      </w:divBdr>
    </w:div>
    <w:div w:id="639575065">
      <w:bodyDiv w:val="1"/>
      <w:marLeft w:val="0"/>
      <w:marRight w:val="0"/>
      <w:marTop w:val="0"/>
      <w:marBottom w:val="0"/>
      <w:divBdr>
        <w:top w:val="none" w:sz="0" w:space="0" w:color="auto"/>
        <w:left w:val="none" w:sz="0" w:space="0" w:color="auto"/>
        <w:bottom w:val="none" w:sz="0" w:space="0" w:color="auto"/>
        <w:right w:val="none" w:sz="0" w:space="0" w:color="auto"/>
      </w:divBdr>
    </w:div>
    <w:div w:id="642732529">
      <w:bodyDiv w:val="1"/>
      <w:marLeft w:val="0"/>
      <w:marRight w:val="0"/>
      <w:marTop w:val="0"/>
      <w:marBottom w:val="0"/>
      <w:divBdr>
        <w:top w:val="none" w:sz="0" w:space="0" w:color="auto"/>
        <w:left w:val="none" w:sz="0" w:space="0" w:color="auto"/>
        <w:bottom w:val="none" w:sz="0" w:space="0" w:color="auto"/>
        <w:right w:val="none" w:sz="0" w:space="0" w:color="auto"/>
      </w:divBdr>
    </w:div>
    <w:div w:id="652027485">
      <w:bodyDiv w:val="1"/>
      <w:marLeft w:val="0"/>
      <w:marRight w:val="0"/>
      <w:marTop w:val="0"/>
      <w:marBottom w:val="0"/>
      <w:divBdr>
        <w:top w:val="none" w:sz="0" w:space="0" w:color="auto"/>
        <w:left w:val="none" w:sz="0" w:space="0" w:color="auto"/>
        <w:bottom w:val="none" w:sz="0" w:space="0" w:color="auto"/>
        <w:right w:val="none" w:sz="0" w:space="0" w:color="auto"/>
      </w:divBdr>
    </w:div>
    <w:div w:id="654067919">
      <w:bodyDiv w:val="1"/>
      <w:marLeft w:val="0"/>
      <w:marRight w:val="0"/>
      <w:marTop w:val="0"/>
      <w:marBottom w:val="0"/>
      <w:divBdr>
        <w:top w:val="none" w:sz="0" w:space="0" w:color="auto"/>
        <w:left w:val="none" w:sz="0" w:space="0" w:color="auto"/>
        <w:bottom w:val="none" w:sz="0" w:space="0" w:color="auto"/>
        <w:right w:val="none" w:sz="0" w:space="0" w:color="auto"/>
      </w:divBdr>
    </w:div>
    <w:div w:id="662202765">
      <w:bodyDiv w:val="1"/>
      <w:marLeft w:val="0"/>
      <w:marRight w:val="0"/>
      <w:marTop w:val="0"/>
      <w:marBottom w:val="0"/>
      <w:divBdr>
        <w:top w:val="none" w:sz="0" w:space="0" w:color="auto"/>
        <w:left w:val="none" w:sz="0" w:space="0" w:color="auto"/>
        <w:bottom w:val="none" w:sz="0" w:space="0" w:color="auto"/>
        <w:right w:val="none" w:sz="0" w:space="0" w:color="auto"/>
      </w:divBdr>
    </w:div>
    <w:div w:id="665937603">
      <w:bodyDiv w:val="1"/>
      <w:marLeft w:val="0"/>
      <w:marRight w:val="0"/>
      <w:marTop w:val="0"/>
      <w:marBottom w:val="0"/>
      <w:divBdr>
        <w:top w:val="none" w:sz="0" w:space="0" w:color="auto"/>
        <w:left w:val="none" w:sz="0" w:space="0" w:color="auto"/>
        <w:bottom w:val="none" w:sz="0" w:space="0" w:color="auto"/>
        <w:right w:val="none" w:sz="0" w:space="0" w:color="auto"/>
      </w:divBdr>
    </w:div>
    <w:div w:id="670068059">
      <w:bodyDiv w:val="1"/>
      <w:marLeft w:val="0"/>
      <w:marRight w:val="0"/>
      <w:marTop w:val="0"/>
      <w:marBottom w:val="0"/>
      <w:divBdr>
        <w:top w:val="none" w:sz="0" w:space="0" w:color="auto"/>
        <w:left w:val="none" w:sz="0" w:space="0" w:color="auto"/>
        <w:bottom w:val="none" w:sz="0" w:space="0" w:color="auto"/>
        <w:right w:val="none" w:sz="0" w:space="0" w:color="auto"/>
      </w:divBdr>
    </w:div>
    <w:div w:id="672299931">
      <w:bodyDiv w:val="1"/>
      <w:marLeft w:val="0"/>
      <w:marRight w:val="0"/>
      <w:marTop w:val="0"/>
      <w:marBottom w:val="0"/>
      <w:divBdr>
        <w:top w:val="none" w:sz="0" w:space="0" w:color="auto"/>
        <w:left w:val="none" w:sz="0" w:space="0" w:color="auto"/>
        <w:bottom w:val="none" w:sz="0" w:space="0" w:color="auto"/>
        <w:right w:val="none" w:sz="0" w:space="0" w:color="auto"/>
      </w:divBdr>
    </w:div>
    <w:div w:id="675808815">
      <w:bodyDiv w:val="1"/>
      <w:marLeft w:val="0"/>
      <w:marRight w:val="0"/>
      <w:marTop w:val="0"/>
      <w:marBottom w:val="0"/>
      <w:divBdr>
        <w:top w:val="none" w:sz="0" w:space="0" w:color="auto"/>
        <w:left w:val="none" w:sz="0" w:space="0" w:color="auto"/>
        <w:bottom w:val="none" w:sz="0" w:space="0" w:color="auto"/>
        <w:right w:val="none" w:sz="0" w:space="0" w:color="auto"/>
      </w:divBdr>
    </w:div>
    <w:div w:id="679505526">
      <w:bodyDiv w:val="1"/>
      <w:marLeft w:val="0"/>
      <w:marRight w:val="0"/>
      <w:marTop w:val="0"/>
      <w:marBottom w:val="0"/>
      <w:divBdr>
        <w:top w:val="none" w:sz="0" w:space="0" w:color="auto"/>
        <w:left w:val="none" w:sz="0" w:space="0" w:color="auto"/>
        <w:bottom w:val="none" w:sz="0" w:space="0" w:color="auto"/>
        <w:right w:val="none" w:sz="0" w:space="0" w:color="auto"/>
      </w:divBdr>
    </w:div>
    <w:div w:id="680743620">
      <w:bodyDiv w:val="1"/>
      <w:marLeft w:val="0"/>
      <w:marRight w:val="0"/>
      <w:marTop w:val="0"/>
      <w:marBottom w:val="0"/>
      <w:divBdr>
        <w:top w:val="none" w:sz="0" w:space="0" w:color="auto"/>
        <w:left w:val="none" w:sz="0" w:space="0" w:color="auto"/>
        <w:bottom w:val="none" w:sz="0" w:space="0" w:color="auto"/>
        <w:right w:val="none" w:sz="0" w:space="0" w:color="auto"/>
      </w:divBdr>
    </w:div>
    <w:div w:id="686910609">
      <w:bodyDiv w:val="1"/>
      <w:marLeft w:val="0"/>
      <w:marRight w:val="0"/>
      <w:marTop w:val="0"/>
      <w:marBottom w:val="0"/>
      <w:divBdr>
        <w:top w:val="none" w:sz="0" w:space="0" w:color="auto"/>
        <w:left w:val="none" w:sz="0" w:space="0" w:color="auto"/>
        <w:bottom w:val="none" w:sz="0" w:space="0" w:color="auto"/>
        <w:right w:val="none" w:sz="0" w:space="0" w:color="auto"/>
      </w:divBdr>
    </w:div>
    <w:div w:id="688259629">
      <w:bodyDiv w:val="1"/>
      <w:marLeft w:val="0"/>
      <w:marRight w:val="0"/>
      <w:marTop w:val="0"/>
      <w:marBottom w:val="0"/>
      <w:divBdr>
        <w:top w:val="none" w:sz="0" w:space="0" w:color="auto"/>
        <w:left w:val="none" w:sz="0" w:space="0" w:color="auto"/>
        <w:bottom w:val="none" w:sz="0" w:space="0" w:color="auto"/>
        <w:right w:val="none" w:sz="0" w:space="0" w:color="auto"/>
      </w:divBdr>
    </w:div>
    <w:div w:id="697240984">
      <w:bodyDiv w:val="1"/>
      <w:marLeft w:val="0"/>
      <w:marRight w:val="0"/>
      <w:marTop w:val="0"/>
      <w:marBottom w:val="0"/>
      <w:divBdr>
        <w:top w:val="none" w:sz="0" w:space="0" w:color="auto"/>
        <w:left w:val="none" w:sz="0" w:space="0" w:color="auto"/>
        <w:bottom w:val="none" w:sz="0" w:space="0" w:color="auto"/>
        <w:right w:val="none" w:sz="0" w:space="0" w:color="auto"/>
      </w:divBdr>
    </w:div>
    <w:div w:id="697268863">
      <w:bodyDiv w:val="1"/>
      <w:marLeft w:val="0"/>
      <w:marRight w:val="0"/>
      <w:marTop w:val="0"/>
      <w:marBottom w:val="0"/>
      <w:divBdr>
        <w:top w:val="none" w:sz="0" w:space="0" w:color="auto"/>
        <w:left w:val="none" w:sz="0" w:space="0" w:color="auto"/>
        <w:bottom w:val="none" w:sz="0" w:space="0" w:color="auto"/>
        <w:right w:val="none" w:sz="0" w:space="0" w:color="auto"/>
      </w:divBdr>
    </w:div>
    <w:div w:id="698238974">
      <w:bodyDiv w:val="1"/>
      <w:marLeft w:val="0"/>
      <w:marRight w:val="0"/>
      <w:marTop w:val="0"/>
      <w:marBottom w:val="0"/>
      <w:divBdr>
        <w:top w:val="none" w:sz="0" w:space="0" w:color="auto"/>
        <w:left w:val="none" w:sz="0" w:space="0" w:color="auto"/>
        <w:bottom w:val="none" w:sz="0" w:space="0" w:color="auto"/>
        <w:right w:val="none" w:sz="0" w:space="0" w:color="auto"/>
      </w:divBdr>
    </w:div>
    <w:div w:id="701782079">
      <w:bodyDiv w:val="1"/>
      <w:marLeft w:val="0"/>
      <w:marRight w:val="0"/>
      <w:marTop w:val="0"/>
      <w:marBottom w:val="0"/>
      <w:divBdr>
        <w:top w:val="none" w:sz="0" w:space="0" w:color="auto"/>
        <w:left w:val="none" w:sz="0" w:space="0" w:color="auto"/>
        <w:bottom w:val="none" w:sz="0" w:space="0" w:color="auto"/>
        <w:right w:val="none" w:sz="0" w:space="0" w:color="auto"/>
      </w:divBdr>
    </w:div>
    <w:div w:id="702023962">
      <w:bodyDiv w:val="1"/>
      <w:marLeft w:val="0"/>
      <w:marRight w:val="0"/>
      <w:marTop w:val="0"/>
      <w:marBottom w:val="0"/>
      <w:divBdr>
        <w:top w:val="none" w:sz="0" w:space="0" w:color="auto"/>
        <w:left w:val="none" w:sz="0" w:space="0" w:color="auto"/>
        <w:bottom w:val="none" w:sz="0" w:space="0" w:color="auto"/>
        <w:right w:val="none" w:sz="0" w:space="0" w:color="auto"/>
      </w:divBdr>
    </w:div>
    <w:div w:id="706217816">
      <w:bodyDiv w:val="1"/>
      <w:marLeft w:val="0"/>
      <w:marRight w:val="0"/>
      <w:marTop w:val="0"/>
      <w:marBottom w:val="0"/>
      <w:divBdr>
        <w:top w:val="none" w:sz="0" w:space="0" w:color="auto"/>
        <w:left w:val="none" w:sz="0" w:space="0" w:color="auto"/>
        <w:bottom w:val="none" w:sz="0" w:space="0" w:color="auto"/>
        <w:right w:val="none" w:sz="0" w:space="0" w:color="auto"/>
      </w:divBdr>
    </w:div>
    <w:div w:id="711349989">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42488927">
      <w:bodyDiv w:val="1"/>
      <w:marLeft w:val="0"/>
      <w:marRight w:val="0"/>
      <w:marTop w:val="0"/>
      <w:marBottom w:val="0"/>
      <w:divBdr>
        <w:top w:val="none" w:sz="0" w:space="0" w:color="auto"/>
        <w:left w:val="none" w:sz="0" w:space="0" w:color="auto"/>
        <w:bottom w:val="none" w:sz="0" w:space="0" w:color="auto"/>
        <w:right w:val="none" w:sz="0" w:space="0" w:color="auto"/>
      </w:divBdr>
    </w:div>
    <w:div w:id="744455912">
      <w:bodyDiv w:val="1"/>
      <w:marLeft w:val="0"/>
      <w:marRight w:val="0"/>
      <w:marTop w:val="0"/>
      <w:marBottom w:val="0"/>
      <w:divBdr>
        <w:top w:val="none" w:sz="0" w:space="0" w:color="auto"/>
        <w:left w:val="none" w:sz="0" w:space="0" w:color="auto"/>
        <w:bottom w:val="none" w:sz="0" w:space="0" w:color="auto"/>
        <w:right w:val="none" w:sz="0" w:space="0" w:color="auto"/>
      </w:divBdr>
    </w:div>
    <w:div w:id="762260733">
      <w:bodyDiv w:val="1"/>
      <w:marLeft w:val="0"/>
      <w:marRight w:val="0"/>
      <w:marTop w:val="0"/>
      <w:marBottom w:val="0"/>
      <w:divBdr>
        <w:top w:val="none" w:sz="0" w:space="0" w:color="auto"/>
        <w:left w:val="none" w:sz="0" w:space="0" w:color="auto"/>
        <w:bottom w:val="none" w:sz="0" w:space="0" w:color="auto"/>
        <w:right w:val="none" w:sz="0" w:space="0" w:color="auto"/>
      </w:divBdr>
    </w:div>
    <w:div w:id="777874215">
      <w:bodyDiv w:val="1"/>
      <w:marLeft w:val="0"/>
      <w:marRight w:val="0"/>
      <w:marTop w:val="0"/>
      <w:marBottom w:val="0"/>
      <w:divBdr>
        <w:top w:val="none" w:sz="0" w:space="0" w:color="auto"/>
        <w:left w:val="none" w:sz="0" w:space="0" w:color="auto"/>
        <w:bottom w:val="none" w:sz="0" w:space="0" w:color="auto"/>
        <w:right w:val="none" w:sz="0" w:space="0" w:color="auto"/>
      </w:divBdr>
    </w:div>
    <w:div w:id="814105982">
      <w:bodyDiv w:val="1"/>
      <w:marLeft w:val="0"/>
      <w:marRight w:val="0"/>
      <w:marTop w:val="0"/>
      <w:marBottom w:val="0"/>
      <w:divBdr>
        <w:top w:val="none" w:sz="0" w:space="0" w:color="auto"/>
        <w:left w:val="none" w:sz="0" w:space="0" w:color="auto"/>
        <w:bottom w:val="none" w:sz="0" w:space="0" w:color="auto"/>
        <w:right w:val="none" w:sz="0" w:space="0" w:color="auto"/>
      </w:divBdr>
    </w:div>
    <w:div w:id="815335992">
      <w:bodyDiv w:val="1"/>
      <w:marLeft w:val="0"/>
      <w:marRight w:val="0"/>
      <w:marTop w:val="0"/>
      <w:marBottom w:val="0"/>
      <w:divBdr>
        <w:top w:val="none" w:sz="0" w:space="0" w:color="auto"/>
        <w:left w:val="none" w:sz="0" w:space="0" w:color="auto"/>
        <w:bottom w:val="none" w:sz="0" w:space="0" w:color="auto"/>
        <w:right w:val="none" w:sz="0" w:space="0" w:color="auto"/>
      </w:divBdr>
    </w:div>
    <w:div w:id="823355958">
      <w:bodyDiv w:val="1"/>
      <w:marLeft w:val="0"/>
      <w:marRight w:val="0"/>
      <w:marTop w:val="0"/>
      <w:marBottom w:val="0"/>
      <w:divBdr>
        <w:top w:val="none" w:sz="0" w:space="0" w:color="auto"/>
        <w:left w:val="none" w:sz="0" w:space="0" w:color="auto"/>
        <w:bottom w:val="none" w:sz="0" w:space="0" w:color="auto"/>
        <w:right w:val="none" w:sz="0" w:space="0" w:color="auto"/>
      </w:divBdr>
    </w:div>
    <w:div w:id="823857269">
      <w:bodyDiv w:val="1"/>
      <w:marLeft w:val="0"/>
      <w:marRight w:val="0"/>
      <w:marTop w:val="0"/>
      <w:marBottom w:val="0"/>
      <w:divBdr>
        <w:top w:val="none" w:sz="0" w:space="0" w:color="auto"/>
        <w:left w:val="none" w:sz="0" w:space="0" w:color="auto"/>
        <w:bottom w:val="none" w:sz="0" w:space="0" w:color="auto"/>
        <w:right w:val="none" w:sz="0" w:space="0" w:color="auto"/>
      </w:divBdr>
    </w:div>
    <w:div w:id="826213754">
      <w:bodyDiv w:val="1"/>
      <w:marLeft w:val="0"/>
      <w:marRight w:val="0"/>
      <w:marTop w:val="0"/>
      <w:marBottom w:val="0"/>
      <w:divBdr>
        <w:top w:val="none" w:sz="0" w:space="0" w:color="auto"/>
        <w:left w:val="none" w:sz="0" w:space="0" w:color="auto"/>
        <w:bottom w:val="none" w:sz="0" w:space="0" w:color="auto"/>
        <w:right w:val="none" w:sz="0" w:space="0" w:color="auto"/>
      </w:divBdr>
    </w:div>
    <w:div w:id="846480666">
      <w:bodyDiv w:val="1"/>
      <w:marLeft w:val="0"/>
      <w:marRight w:val="0"/>
      <w:marTop w:val="0"/>
      <w:marBottom w:val="0"/>
      <w:divBdr>
        <w:top w:val="none" w:sz="0" w:space="0" w:color="auto"/>
        <w:left w:val="none" w:sz="0" w:space="0" w:color="auto"/>
        <w:bottom w:val="none" w:sz="0" w:space="0" w:color="auto"/>
        <w:right w:val="none" w:sz="0" w:space="0" w:color="auto"/>
      </w:divBdr>
    </w:div>
    <w:div w:id="847527968">
      <w:bodyDiv w:val="1"/>
      <w:marLeft w:val="0"/>
      <w:marRight w:val="0"/>
      <w:marTop w:val="0"/>
      <w:marBottom w:val="0"/>
      <w:divBdr>
        <w:top w:val="none" w:sz="0" w:space="0" w:color="auto"/>
        <w:left w:val="none" w:sz="0" w:space="0" w:color="auto"/>
        <w:bottom w:val="none" w:sz="0" w:space="0" w:color="auto"/>
        <w:right w:val="none" w:sz="0" w:space="0" w:color="auto"/>
      </w:divBdr>
    </w:div>
    <w:div w:id="861089314">
      <w:bodyDiv w:val="1"/>
      <w:marLeft w:val="0"/>
      <w:marRight w:val="0"/>
      <w:marTop w:val="0"/>
      <w:marBottom w:val="0"/>
      <w:divBdr>
        <w:top w:val="none" w:sz="0" w:space="0" w:color="auto"/>
        <w:left w:val="none" w:sz="0" w:space="0" w:color="auto"/>
        <w:bottom w:val="none" w:sz="0" w:space="0" w:color="auto"/>
        <w:right w:val="none" w:sz="0" w:space="0" w:color="auto"/>
      </w:divBdr>
    </w:div>
    <w:div w:id="870844958">
      <w:bodyDiv w:val="1"/>
      <w:marLeft w:val="0"/>
      <w:marRight w:val="0"/>
      <w:marTop w:val="0"/>
      <w:marBottom w:val="0"/>
      <w:divBdr>
        <w:top w:val="none" w:sz="0" w:space="0" w:color="auto"/>
        <w:left w:val="none" w:sz="0" w:space="0" w:color="auto"/>
        <w:bottom w:val="none" w:sz="0" w:space="0" w:color="auto"/>
        <w:right w:val="none" w:sz="0" w:space="0" w:color="auto"/>
      </w:divBdr>
    </w:div>
    <w:div w:id="879435990">
      <w:bodyDiv w:val="1"/>
      <w:marLeft w:val="0"/>
      <w:marRight w:val="0"/>
      <w:marTop w:val="0"/>
      <w:marBottom w:val="0"/>
      <w:divBdr>
        <w:top w:val="none" w:sz="0" w:space="0" w:color="auto"/>
        <w:left w:val="none" w:sz="0" w:space="0" w:color="auto"/>
        <w:bottom w:val="none" w:sz="0" w:space="0" w:color="auto"/>
        <w:right w:val="none" w:sz="0" w:space="0" w:color="auto"/>
      </w:divBdr>
    </w:div>
    <w:div w:id="879973357">
      <w:bodyDiv w:val="1"/>
      <w:marLeft w:val="0"/>
      <w:marRight w:val="0"/>
      <w:marTop w:val="0"/>
      <w:marBottom w:val="0"/>
      <w:divBdr>
        <w:top w:val="none" w:sz="0" w:space="0" w:color="auto"/>
        <w:left w:val="none" w:sz="0" w:space="0" w:color="auto"/>
        <w:bottom w:val="none" w:sz="0" w:space="0" w:color="auto"/>
        <w:right w:val="none" w:sz="0" w:space="0" w:color="auto"/>
      </w:divBdr>
    </w:div>
    <w:div w:id="880943255">
      <w:bodyDiv w:val="1"/>
      <w:marLeft w:val="0"/>
      <w:marRight w:val="0"/>
      <w:marTop w:val="0"/>
      <w:marBottom w:val="0"/>
      <w:divBdr>
        <w:top w:val="none" w:sz="0" w:space="0" w:color="auto"/>
        <w:left w:val="none" w:sz="0" w:space="0" w:color="auto"/>
        <w:bottom w:val="none" w:sz="0" w:space="0" w:color="auto"/>
        <w:right w:val="none" w:sz="0" w:space="0" w:color="auto"/>
      </w:divBdr>
    </w:div>
    <w:div w:id="883177271">
      <w:bodyDiv w:val="1"/>
      <w:marLeft w:val="0"/>
      <w:marRight w:val="0"/>
      <w:marTop w:val="0"/>
      <w:marBottom w:val="0"/>
      <w:divBdr>
        <w:top w:val="none" w:sz="0" w:space="0" w:color="auto"/>
        <w:left w:val="none" w:sz="0" w:space="0" w:color="auto"/>
        <w:bottom w:val="none" w:sz="0" w:space="0" w:color="auto"/>
        <w:right w:val="none" w:sz="0" w:space="0" w:color="auto"/>
      </w:divBdr>
    </w:div>
    <w:div w:id="883981281">
      <w:bodyDiv w:val="1"/>
      <w:marLeft w:val="0"/>
      <w:marRight w:val="0"/>
      <w:marTop w:val="0"/>
      <w:marBottom w:val="0"/>
      <w:divBdr>
        <w:top w:val="none" w:sz="0" w:space="0" w:color="auto"/>
        <w:left w:val="none" w:sz="0" w:space="0" w:color="auto"/>
        <w:bottom w:val="none" w:sz="0" w:space="0" w:color="auto"/>
        <w:right w:val="none" w:sz="0" w:space="0" w:color="auto"/>
      </w:divBdr>
    </w:div>
    <w:div w:id="885264107">
      <w:bodyDiv w:val="1"/>
      <w:marLeft w:val="0"/>
      <w:marRight w:val="0"/>
      <w:marTop w:val="0"/>
      <w:marBottom w:val="0"/>
      <w:divBdr>
        <w:top w:val="none" w:sz="0" w:space="0" w:color="auto"/>
        <w:left w:val="none" w:sz="0" w:space="0" w:color="auto"/>
        <w:bottom w:val="none" w:sz="0" w:space="0" w:color="auto"/>
        <w:right w:val="none" w:sz="0" w:space="0" w:color="auto"/>
      </w:divBdr>
    </w:div>
    <w:div w:id="890581636">
      <w:bodyDiv w:val="1"/>
      <w:marLeft w:val="0"/>
      <w:marRight w:val="0"/>
      <w:marTop w:val="0"/>
      <w:marBottom w:val="0"/>
      <w:divBdr>
        <w:top w:val="none" w:sz="0" w:space="0" w:color="auto"/>
        <w:left w:val="none" w:sz="0" w:space="0" w:color="auto"/>
        <w:bottom w:val="none" w:sz="0" w:space="0" w:color="auto"/>
        <w:right w:val="none" w:sz="0" w:space="0" w:color="auto"/>
      </w:divBdr>
    </w:div>
    <w:div w:id="897477961">
      <w:bodyDiv w:val="1"/>
      <w:marLeft w:val="0"/>
      <w:marRight w:val="0"/>
      <w:marTop w:val="0"/>
      <w:marBottom w:val="0"/>
      <w:divBdr>
        <w:top w:val="none" w:sz="0" w:space="0" w:color="auto"/>
        <w:left w:val="none" w:sz="0" w:space="0" w:color="auto"/>
        <w:bottom w:val="none" w:sz="0" w:space="0" w:color="auto"/>
        <w:right w:val="none" w:sz="0" w:space="0" w:color="auto"/>
      </w:divBdr>
    </w:div>
    <w:div w:id="898327892">
      <w:bodyDiv w:val="1"/>
      <w:marLeft w:val="0"/>
      <w:marRight w:val="0"/>
      <w:marTop w:val="0"/>
      <w:marBottom w:val="0"/>
      <w:divBdr>
        <w:top w:val="none" w:sz="0" w:space="0" w:color="auto"/>
        <w:left w:val="none" w:sz="0" w:space="0" w:color="auto"/>
        <w:bottom w:val="none" w:sz="0" w:space="0" w:color="auto"/>
        <w:right w:val="none" w:sz="0" w:space="0" w:color="auto"/>
      </w:divBdr>
    </w:div>
    <w:div w:id="898829532">
      <w:bodyDiv w:val="1"/>
      <w:marLeft w:val="0"/>
      <w:marRight w:val="0"/>
      <w:marTop w:val="0"/>
      <w:marBottom w:val="0"/>
      <w:divBdr>
        <w:top w:val="none" w:sz="0" w:space="0" w:color="auto"/>
        <w:left w:val="none" w:sz="0" w:space="0" w:color="auto"/>
        <w:bottom w:val="none" w:sz="0" w:space="0" w:color="auto"/>
        <w:right w:val="none" w:sz="0" w:space="0" w:color="auto"/>
      </w:divBdr>
    </w:div>
    <w:div w:id="902833029">
      <w:bodyDiv w:val="1"/>
      <w:marLeft w:val="0"/>
      <w:marRight w:val="0"/>
      <w:marTop w:val="0"/>
      <w:marBottom w:val="0"/>
      <w:divBdr>
        <w:top w:val="none" w:sz="0" w:space="0" w:color="auto"/>
        <w:left w:val="none" w:sz="0" w:space="0" w:color="auto"/>
        <w:bottom w:val="none" w:sz="0" w:space="0" w:color="auto"/>
        <w:right w:val="none" w:sz="0" w:space="0" w:color="auto"/>
      </w:divBdr>
    </w:div>
    <w:div w:id="903485711">
      <w:bodyDiv w:val="1"/>
      <w:marLeft w:val="0"/>
      <w:marRight w:val="0"/>
      <w:marTop w:val="0"/>
      <w:marBottom w:val="0"/>
      <w:divBdr>
        <w:top w:val="none" w:sz="0" w:space="0" w:color="auto"/>
        <w:left w:val="none" w:sz="0" w:space="0" w:color="auto"/>
        <w:bottom w:val="none" w:sz="0" w:space="0" w:color="auto"/>
        <w:right w:val="none" w:sz="0" w:space="0" w:color="auto"/>
      </w:divBdr>
    </w:div>
    <w:div w:id="907881959">
      <w:bodyDiv w:val="1"/>
      <w:marLeft w:val="0"/>
      <w:marRight w:val="0"/>
      <w:marTop w:val="0"/>
      <w:marBottom w:val="0"/>
      <w:divBdr>
        <w:top w:val="none" w:sz="0" w:space="0" w:color="auto"/>
        <w:left w:val="none" w:sz="0" w:space="0" w:color="auto"/>
        <w:bottom w:val="none" w:sz="0" w:space="0" w:color="auto"/>
        <w:right w:val="none" w:sz="0" w:space="0" w:color="auto"/>
      </w:divBdr>
    </w:div>
    <w:div w:id="909271418">
      <w:bodyDiv w:val="1"/>
      <w:marLeft w:val="0"/>
      <w:marRight w:val="0"/>
      <w:marTop w:val="0"/>
      <w:marBottom w:val="0"/>
      <w:divBdr>
        <w:top w:val="none" w:sz="0" w:space="0" w:color="auto"/>
        <w:left w:val="none" w:sz="0" w:space="0" w:color="auto"/>
        <w:bottom w:val="none" w:sz="0" w:space="0" w:color="auto"/>
        <w:right w:val="none" w:sz="0" w:space="0" w:color="auto"/>
      </w:divBdr>
    </w:div>
    <w:div w:id="909579548">
      <w:bodyDiv w:val="1"/>
      <w:marLeft w:val="0"/>
      <w:marRight w:val="0"/>
      <w:marTop w:val="0"/>
      <w:marBottom w:val="0"/>
      <w:divBdr>
        <w:top w:val="none" w:sz="0" w:space="0" w:color="auto"/>
        <w:left w:val="none" w:sz="0" w:space="0" w:color="auto"/>
        <w:bottom w:val="none" w:sz="0" w:space="0" w:color="auto"/>
        <w:right w:val="none" w:sz="0" w:space="0" w:color="auto"/>
      </w:divBdr>
    </w:div>
    <w:div w:id="922447185">
      <w:bodyDiv w:val="1"/>
      <w:marLeft w:val="0"/>
      <w:marRight w:val="0"/>
      <w:marTop w:val="0"/>
      <w:marBottom w:val="0"/>
      <w:divBdr>
        <w:top w:val="none" w:sz="0" w:space="0" w:color="auto"/>
        <w:left w:val="none" w:sz="0" w:space="0" w:color="auto"/>
        <w:bottom w:val="none" w:sz="0" w:space="0" w:color="auto"/>
        <w:right w:val="none" w:sz="0" w:space="0" w:color="auto"/>
      </w:divBdr>
    </w:div>
    <w:div w:id="924728507">
      <w:bodyDiv w:val="1"/>
      <w:marLeft w:val="0"/>
      <w:marRight w:val="0"/>
      <w:marTop w:val="0"/>
      <w:marBottom w:val="0"/>
      <w:divBdr>
        <w:top w:val="none" w:sz="0" w:space="0" w:color="auto"/>
        <w:left w:val="none" w:sz="0" w:space="0" w:color="auto"/>
        <w:bottom w:val="none" w:sz="0" w:space="0" w:color="auto"/>
        <w:right w:val="none" w:sz="0" w:space="0" w:color="auto"/>
      </w:divBdr>
    </w:div>
    <w:div w:id="926697215">
      <w:bodyDiv w:val="1"/>
      <w:marLeft w:val="0"/>
      <w:marRight w:val="0"/>
      <w:marTop w:val="0"/>
      <w:marBottom w:val="0"/>
      <w:divBdr>
        <w:top w:val="none" w:sz="0" w:space="0" w:color="auto"/>
        <w:left w:val="none" w:sz="0" w:space="0" w:color="auto"/>
        <w:bottom w:val="none" w:sz="0" w:space="0" w:color="auto"/>
        <w:right w:val="none" w:sz="0" w:space="0" w:color="auto"/>
      </w:divBdr>
    </w:div>
    <w:div w:id="931205481">
      <w:bodyDiv w:val="1"/>
      <w:marLeft w:val="0"/>
      <w:marRight w:val="0"/>
      <w:marTop w:val="0"/>
      <w:marBottom w:val="0"/>
      <w:divBdr>
        <w:top w:val="none" w:sz="0" w:space="0" w:color="auto"/>
        <w:left w:val="none" w:sz="0" w:space="0" w:color="auto"/>
        <w:bottom w:val="none" w:sz="0" w:space="0" w:color="auto"/>
        <w:right w:val="none" w:sz="0" w:space="0" w:color="auto"/>
      </w:divBdr>
    </w:div>
    <w:div w:id="932978316">
      <w:bodyDiv w:val="1"/>
      <w:marLeft w:val="0"/>
      <w:marRight w:val="0"/>
      <w:marTop w:val="0"/>
      <w:marBottom w:val="0"/>
      <w:divBdr>
        <w:top w:val="none" w:sz="0" w:space="0" w:color="auto"/>
        <w:left w:val="none" w:sz="0" w:space="0" w:color="auto"/>
        <w:bottom w:val="none" w:sz="0" w:space="0" w:color="auto"/>
        <w:right w:val="none" w:sz="0" w:space="0" w:color="auto"/>
      </w:divBdr>
    </w:div>
    <w:div w:id="936642480">
      <w:bodyDiv w:val="1"/>
      <w:marLeft w:val="0"/>
      <w:marRight w:val="0"/>
      <w:marTop w:val="0"/>
      <w:marBottom w:val="0"/>
      <w:divBdr>
        <w:top w:val="none" w:sz="0" w:space="0" w:color="auto"/>
        <w:left w:val="none" w:sz="0" w:space="0" w:color="auto"/>
        <w:bottom w:val="none" w:sz="0" w:space="0" w:color="auto"/>
        <w:right w:val="none" w:sz="0" w:space="0" w:color="auto"/>
      </w:divBdr>
    </w:div>
    <w:div w:id="939070198">
      <w:bodyDiv w:val="1"/>
      <w:marLeft w:val="0"/>
      <w:marRight w:val="0"/>
      <w:marTop w:val="0"/>
      <w:marBottom w:val="0"/>
      <w:divBdr>
        <w:top w:val="none" w:sz="0" w:space="0" w:color="auto"/>
        <w:left w:val="none" w:sz="0" w:space="0" w:color="auto"/>
        <w:bottom w:val="none" w:sz="0" w:space="0" w:color="auto"/>
        <w:right w:val="none" w:sz="0" w:space="0" w:color="auto"/>
      </w:divBdr>
    </w:div>
    <w:div w:id="941448707">
      <w:bodyDiv w:val="1"/>
      <w:marLeft w:val="0"/>
      <w:marRight w:val="0"/>
      <w:marTop w:val="0"/>
      <w:marBottom w:val="0"/>
      <w:divBdr>
        <w:top w:val="none" w:sz="0" w:space="0" w:color="auto"/>
        <w:left w:val="none" w:sz="0" w:space="0" w:color="auto"/>
        <w:bottom w:val="none" w:sz="0" w:space="0" w:color="auto"/>
        <w:right w:val="none" w:sz="0" w:space="0" w:color="auto"/>
      </w:divBdr>
    </w:div>
    <w:div w:id="941455807">
      <w:bodyDiv w:val="1"/>
      <w:marLeft w:val="0"/>
      <w:marRight w:val="0"/>
      <w:marTop w:val="0"/>
      <w:marBottom w:val="0"/>
      <w:divBdr>
        <w:top w:val="none" w:sz="0" w:space="0" w:color="auto"/>
        <w:left w:val="none" w:sz="0" w:space="0" w:color="auto"/>
        <w:bottom w:val="none" w:sz="0" w:space="0" w:color="auto"/>
        <w:right w:val="none" w:sz="0" w:space="0" w:color="auto"/>
      </w:divBdr>
    </w:div>
    <w:div w:id="942493387">
      <w:bodyDiv w:val="1"/>
      <w:marLeft w:val="0"/>
      <w:marRight w:val="0"/>
      <w:marTop w:val="0"/>
      <w:marBottom w:val="0"/>
      <w:divBdr>
        <w:top w:val="none" w:sz="0" w:space="0" w:color="auto"/>
        <w:left w:val="none" w:sz="0" w:space="0" w:color="auto"/>
        <w:bottom w:val="none" w:sz="0" w:space="0" w:color="auto"/>
        <w:right w:val="none" w:sz="0" w:space="0" w:color="auto"/>
      </w:divBdr>
    </w:div>
    <w:div w:id="947078191">
      <w:bodyDiv w:val="1"/>
      <w:marLeft w:val="0"/>
      <w:marRight w:val="0"/>
      <w:marTop w:val="0"/>
      <w:marBottom w:val="0"/>
      <w:divBdr>
        <w:top w:val="none" w:sz="0" w:space="0" w:color="auto"/>
        <w:left w:val="none" w:sz="0" w:space="0" w:color="auto"/>
        <w:bottom w:val="none" w:sz="0" w:space="0" w:color="auto"/>
        <w:right w:val="none" w:sz="0" w:space="0" w:color="auto"/>
      </w:divBdr>
    </w:div>
    <w:div w:id="949245383">
      <w:bodyDiv w:val="1"/>
      <w:marLeft w:val="0"/>
      <w:marRight w:val="0"/>
      <w:marTop w:val="0"/>
      <w:marBottom w:val="0"/>
      <w:divBdr>
        <w:top w:val="none" w:sz="0" w:space="0" w:color="auto"/>
        <w:left w:val="none" w:sz="0" w:space="0" w:color="auto"/>
        <w:bottom w:val="none" w:sz="0" w:space="0" w:color="auto"/>
        <w:right w:val="none" w:sz="0" w:space="0" w:color="auto"/>
      </w:divBdr>
    </w:div>
    <w:div w:id="953902659">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8146938">
      <w:bodyDiv w:val="1"/>
      <w:marLeft w:val="0"/>
      <w:marRight w:val="0"/>
      <w:marTop w:val="0"/>
      <w:marBottom w:val="0"/>
      <w:divBdr>
        <w:top w:val="none" w:sz="0" w:space="0" w:color="auto"/>
        <w:left w:val="none" w:sz="0" w:space="0" w:color="auto"/>
        <w:bottom w:val="none" w:sz="0" w:space="0" w:color="auto"/>
        <w:right w:val="none" w:sz="0" w:space="0" w:color="auto"/>
      </w:divBdr>
    </w:div>
    <w:div w:id="986788858">
      <w:bodyDiv w:val="1"/>
      <w:marLeft w:val="0"/>
      <w:marRight w:val="0"/>
      <w:marTop w:val="0"/>
      <w:marBottom w:val="0"/>
      <w:divBdr>
        <w:top w:val="none" w:sz="0" w:space="0" w:color="auto"/>
        <w:left w:val="none" w:sz="0" w:space="0" w:color="auto"/>
        <w:bottom w:val="none" w:sz="0" w:space="0" w:color="auto"/>
        <w:right w:val="none" w:sz="0" w:space="0" w:color="auto"/>
      </w:divBdr>
    </w:div>
    <w:div w:id="993289953">
      <w:bodyDiv w:val="1"/>
      <w:marLeft w:val="0"/>
      <w:marRight w:val="0"/>
      <w:marTop w:val="0"/>
      <w:marBottom w:val="0"/>
      <w:divBdr>
        <w:top w:val="none" w:sz="0" w:space="0" w:color="auto"/>
        <w:left w:val="none" w:sz="0" w:space="0" w:color="auto"/>
        <w:bottom w:val="none" w:sz="0" w:space="0" w:color="auto"/>
        <w:right w:val="none" w:sz="0" w:space="0" w:color="auto"/>
      </w:divBdr>
    </w:div>
    <w:div w:id="997078353">
      <w:bodyDiv w:val="1"/>
      <w:marLeft w:val="0"/>
      <w:marRight w:val="0"/>
      <w:marTop w:val="0"/>
      <w:marBottom w:val="0"/>
      <w:divBdr>
        <w:top w:val="none" w:sz="0" w:space="0" w:color="auto"/>
        <w:left w:val="none" w:sz="0" w:space="0" w:color="auto"/>
        <w:bottom w:val="none" w:sz="0" w:space="0" w:color="auto"/>
        <w:right w:val="none" w:sz="0" w:space="0" w:color="auto"/>
      </w:divBdr>
    </w:div>
    <w:div w:id="1000230391">
      <w:bodyDiv w:val="1"/>
      <w:marLeft w:val="0"/>
      <w:marRight w:val="0"/>
      <w:marTop w:val="0"/>
      <w:marBottom w:val="0"/>
      <w:divBdr>
        <w:top w:val="none" w:sz="0" w:space="0" w:color="auto"/>
        <w:left w:val="none" w:sz="0" w:space="0" w:color="auto"/>
        <w:bottom w:val="none" w:sz="0" w:space="0" w:color="auto"/>
        <w:right w:val="none" w:sz="0" w:space="0" w:color="auto"/>
      </w:divBdr>
    </w:div>
    <w:div w:id="1005522255">
      <w:bodyDiv w:val="1"/>
      <w:marLeft w:val="0"/>
      <w:marRight w:val="0"/>
      <w:marTop w:val="0"/>
      <w:marBottom w:val="0"/>
      <w:divBdr>
        <w:top w:val="none" w:sz="0" w:space="0" w:color="auto"/>
        <w:left w:val="none" w:sz="0" w:space="0" w:color="auto"/>
        <w:bottom w:val="none" w:sz="0" w:space="0" w:color="auto"/>
        <w:right w:val="none" w:sz="0" w:space="0" w:color="auto"/>
      </w:divBdr>
    </w:div>
    <w:div w:id="1014379339">
      <w:bodyDiv w:val="1"/>
      <w:marLeft w:val="0"/>
      <w:marRight w:val="0"/>
      <w:marTop w:val="0"/>
      <w:marBottom w:val="0"/>
      <w:divBdr>
        <w:top w:val="none" w:sz="0" w:space="0" w:color="auto"/>
        <w:left w:val="none" w:sz="0" w:space="0" w:color="auto"/>
        <w:bottom w:val="none" w:sz="0" w:space="0" w:color="auto"/>
        <w:right w:val="none" w:sz="0" w:space="0" w:color="auto"/>
      </w:divBdr>
    </w:div>
    <w:div w:id="1025059084">
      <w:bodyDiv w:val="1"/>
      <w:marLeft w:val="0"/>
      <w:marRight w:val="0"/>
      <w:marTop w:val="0"/>
      <w:marBottom w:val="0"/>
      <w:divBdr>
        <w:top w:val="none" w:sz="0" w:space="0" w:color="auto"/>
        <w:left w:val="none" w:sz="0" w:space="0" w:color="auto"/>
        <w:bottom w:val="none" w:sz="0" w:space="0" w:color="auto"/>
        <w:right w:val="none" w:sz="0" w:space="0" w:color="auto"/>
      </w:divBdr>
    </w:div>
    <w:div w:id="1031346361">
      <w:bodyDiv w:val="1"/>
      <w:marLeft w:val="0"/>
      <w:marRight w:val="0"/>
      <w:marTop w:val="0"/>
      <w:marBottom w:val="0"/>
      <w:divBdr>
        <w:top w:val="none" w:sz="0" w:space="0" w:color="auto"/>
        <w:left w:val="none" w:sz="0" w:space="0" w:color="auto"/>
        <w:bottom w:val="none" w:sz="0" w:space="0" w:color="auto"/>
        <w:right w:val="none" w:sz="0" w:space="0" w:color="auto"/>
      </w:divBdr>
    </w:div>
    <w:div w:id="1044983089">
      <w:bodyDiv w:val="1"/>
      <w:marLeft w:val="0"/>
      <w:marRight w:val="0"/>
      <w:marTop w:val="0"/>
      <w:marBottom w:val="0"/>
      <w:divBdr>
        <w:top w:val="none" w:sz="0" w:space="0" w:color="auto"/>
        <w:left w:val="none" w:sz="0" w:space="0" w:color="auto"/>
        <w:bottom w:val="none" w:sz="0" w:space="0" w:color="auto"/>
        <w:right w:val="none" w:sz="0" w:space="0" w:color="auto"/>
      </w:divBdr>
    </w:div>
    <w:div w:id="1056389554">
      <w:bodyDiv w:val="1"/>
      <w:marLeft w:val="0"/>
      <w:marRight w:val="0"/>
      <w:marTop w:val="0"/>
      <w:marBottom w:val="0"/>
      <w:divBdr>
        <w:top w:val="none" w:sz="0" w:space="0" w:color="auto"/>
        <w:left w:val="none" w:sz="0" w:space="0" w:color="auto"/>
        <w:bottom w:val="none" w:sz="0" w:space="0" w:color="auto"/>
        <w:right w:val="none" w:sz="0" w:space="0" w:color="auto"/>
      </w:divBdr>
    </w:div>
    <w:div w:id="1064447498">
      <w:bodyDiv w:val="1"/>
      <w:marLeft w:val="0"/>
      <w:marRight w:val="0"/>
      <w:marTop w:val="0"/>
      <w:marBottom w:val="0"/>
      <w:divBdr>
        <w:top w:val="none" w:sz="0" w:space="0" w:color="auto"/>
        <w:left w:val="none" w:sz="0" w:space="0" w:color="auto"/>
        <w:bottom w:val="none" w:sz="0" w:space="0" w:color="auto"/>
        <w:right w:val="none" w:sz="0" w:space="0" w:color="auto"/>
      </w:divBdr>
    </w:div>
    <w:div w:id="1065489294">
      <w:bodyDiv w:val="1"/>
      <w:marLeft w:val="0"/>
      <w:marRight w:val="0"/>
      <w:marTop w:val="0"/>
      <w:marBottom w:val="0"/>
      <w:divBdr>
        <w:top w:val="none" w:sz="0" w:space="0" w:color="auto"/>
        <w:left w:val="none" w:sz="0" w:space="0" w:color="auto"/>
        <w:bottom w:val="none" w:sz="0" w:space="0" w:color="auto"/>
        <w:right w:val="none" w:sz="0" w:space="0" w:color="auto"/>
      </w:divBdr>
    </w:div>
    <w:div w:id="1076394190">
      <w:bodyDiv w:val="1"/>
      <w:marLeft w:val="0"/>
      <w:marRight w:val="0"/>
      <w:marTop w:val="0"/>
      <w:marBottom w:val="0"/>
      <w:divBdr>
        <w:top w:val="none" w:sz="0" w:space="0" w:color="auto"/>
        <w:left w:val="none" w:sz="0" w:space="0" w:color="auto"/>
        <w:bottom w:val="none" w:sz="0" w:space="0" w:color="auto"/>
        <w:right w:val="none" w:sz="0" w:space="0" w:color="auto"/>
      </w:divBdr>
    </w:div>
    <w:div w:id="1084108667">
      <w:bodyDiv w:val="1"/>
      <w:marLeft w:val="0"/>
      <w:marRight w:val="0"/>
      <w:marTop w:val="0"/>
      <w:marBottom w:val="0"/>
      <w:divBdr>
        <w:top w:val="none" w:sz="0" w:space="0" w:color="auto"/>
        <w:left w:val="none" w:sz="0" w:space="0" w:color="auto"/>
        <w:bottom w:val="none" w:sz="0" w:space="0" w:color="auto"/>
        <w:right w:val="none" w:sz="0" w:space="0" w:color="auto"/>
      </w:divBdr>
    </w:div>
    <w:div w:id="1103917020">
      <w:bodyDiv w:val="1"/>
      <w:marLeft w:val="0"/>
      <w:marRight w:val="0"/>
      <w:marTop w:val="0"/>
      <w:marBottom w:val="0"/>
      <w:divBdr>
        <w:top w:val="none" w:sz="0" w:space="0" w:color="auto"/>
        <w:left w:val="none" w:sz="0" w:space="0" w:color="auto"/>
        <w:bottom w:val="none" w:sz="0" w:space="0" w:color="auto"/>
        <w:right w:val="none" w:sz="0" w:space="0" w:color="auto"/>
      </w:divBdr>
    </w:div>
    <w:div w:id="1115949349">
      <w:bodyDiv w:val="1"/>
      <w:marLeft w:val="0"/>
      <w:marRight w:val="0"/>
      <w:marTop w:val="0"/>
      <w:marBottom w:val="0"/>
      <w:divBdr>
        <w:top w:val="none" w:sz="0" w:space="0" w:color="auto"/>
        <w:left w:val="none" w:sz="0" w:space="0" w:color="auto"/>
        <w:bottom w:val="none" w:sz="0" w:space="0" w:color="auto"/>
        <w:right w:val="none" w:sz="0" w:space="0" w:color="auto"/>
      </w:divBdr>
    </w:div>
    <w:div w:id="1118989155">
      <w:bodyDiv w:val="1"/>
      <w:marLeft w:val="0"/>
      <w:marRight w:val="0"/>
      <w:marTop w:val="0"/>
      <w:marBottom w:val="0"/>
      <w:divBdr>
        <w:top w:val="none" w:sz="0" w:space="0" w:color="auto"/>
        <w:left w:val="none" w:sz="0" w:space="0" w:color="auto"/>
        <w:bottom w:val="none" w:sz="0" w:space="0" w:color="auto"/>
        <w:right w:val="none" w:sz="0" w:space="0" w:color="auto"/>
      </w:divBdr>
    </w:div>
    <w:div w:id="1120757007">
      <w:bodyDiv w:val="1"/>
      <w:marLeft w:val="0"/>
      <w:marRight w:val="0"/>
      <w:marTop w:val="0"/>
      <w:marBottom w:val="0"/>
      <w:divBdr>
        <w:top w:val="none" w:sz="0" w:space="0" w:color="auto"/>
        <w:left w:val="none" w:sz="0" w:space="0" w:color="auto"/>
        <w:bottom w:val="none" w:sz="0" w:space="0" w:color="auto"/>
        <w:right w:val="none" w:sz="0" w:space="0" w:color="auto"/>
      </w:divBdr>
    </w:div>
    <w:div w:id="1122267277">
      <w:bodyDiv w:val="1"/>
      <w:marLeft w:val="0"/>
      <w:marRight w:val="0"/>
      <w:marTop w:val="0"/>
      <w:marBottom w:val="0"/>
      <w:divBdr>
        <w:top w:val="none" w:sz="0" w:space="0" w:color="auto"/>
        <w:left w:val="none" w:sz="0" w:space="0" w:color="auto"/>
        <w:bottom w:val="none" w:sz="0" w:space="0" w:color="auto"/>
        <w:right w:val="none" w:sz="0" w:space="0" w:color="auto"/>
      </w:divBdr>
    </w:div>
    <w:div w:id="1124497076">
      <w:bodyDiv w:val="1"/>
      <w:marLeft w:val="0"/>
      <w:marRight w:val="0"/>
      <w:marTop w:val="0"/>
      <w:marBottom w:val="0"/>
      <w:divBdr>
        <w:top w:val="none" w:sz="0" w:space="0" w:color="auto"/>
        <w:left w:val="none" w:sz="0" w:space="0" w:color="auto"/>
        <w:bottom w:val="none" w:sz="0" w:space="0" w:color="auto"/>
        <w:right w:val="none" w:sz="0" w:space="0" w:color="auto"/>
      </w:divBdr>
    </w:div>
    <w:div w:id="113463847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0271838">
      <w:bodyDiv w:val="1"/>
      <w:marLeft w:val="0"/>
      <w:marRight w:val="0"/>
      <w:marTop w:val="0"/>
      <w:marBottom w:val="0"/>
      <w:divBdr>
        <w:top w:val="none" w:sz="0" w:space="0" w:color="auto"/>
        <w:left w:val="none" w:sz="0" w:space="0" w:color="auto"/>
        <w:bottom w:val="none" w:sz="0" w:space="0" w:color="auto"/>
        <w:right w:val="none" w:sz="0" w:space="0" w:color="auto"/>
      </w:divBdr>
    </w:div>
    <w:div w:id="1144850772">
      <w:bodyDiv w:val="1"/>
      <w:marLeft w:val="0"/>
      <w:marRight w:val="0"/>
      <w:marTop w:val="0"/>
      <w:marBottom w:val="0"/>
      <w:divBdr>
        <w:top w:val="none" w:sz="0" w:space="0" w:color="auto"/>
        <w:left w:val="none" w:sz="0" w:space="0" w:color="auto"/>
        <w:bottom w:val="none" w:sz="0" w:space="0" w:color="auto"/>
        <w:right w:val="none" w:sz="0" w:space="0" w:color="auto"/>
      </w:divBdr>
    </w:div>
    <w:div w:id="1145198316">
      <w:bodyDiv w:val="1"/>
      <w:marLeft w:val="0"/>
      <w:marRight w:val="0"/>
      <w:marTop w:val="0"/>
      <w:marBottom w:val="0"/>
      <w:divBdr>
        <w:top w:val="none" w:sz="0" w:space="0" w:color="auto"/>
        <w:left w:val="none" w:sz="0" w:space="0" w:color="auto"/>
        <w:bottom w:val="none" w:sz="0" w:space="0" w:color="auto"/>
        <w:right w:val="none" w:sz="0" w:space="0" w:color="auto"/>
      </w:divBdr>
    </w:div>
    <w:div w:id="1151874509">
      <w:bodyDiv w:val="1"/>
      <w:marLeft w:val="0"/>
      <w:marRight w:val="0"/>
      <w:marTop w:val="0"/>
      <w:marBottom w:val="0"/>
      <w:divBdr>
        <w:top w:val="none" w:sz="0" w:space="0" w:color="auto"/>
        <w:left w:val="none" w:sz="0" w:space="0" w:color="auto"/>
        <w:bottom w:val="none" w:sz="0" w:space="0" w:color="auto"/>
        <w:right w:val="none" w:sz="0" w:space="0" w:color="auto"/>
      </w:divBdr>
    </w:div>
    <w:div w:id="1161850232">
      <w:bodyDiv w:val="1"/>
      <w:marLeft w:val="0"/>
      <w:marRight w:val="0"/>
      <w:marTop w:val="0"/>
      <w:marBottom w:val="0"/>
      <w:divBdr>
        <w:top w:val="none" w:sz="0" w:space="0" w:color="auto"/>
        <w:left w:val="none" w:sz="0" w:space="0" w:color="auto"/>
        <w:bottom w:val="none" w:sz="0" w:space="0" w:color="auto"/>
        <w:right w:val="none" w:sz="0" w:space="0" w:color="auto"/>
      </w:divBdr>
    </w:div>
    <w:div w:id="1163351722">
      <w:bodyDiv w:val="1"/>
      <w:marLeft w:val="0"/>
      <w:marRight w:val="0"/>
      <w:marTop w:val="0"/>
      <w:marBottom w:val="0"/>
      <w:divBdr>
        <w:top w:val="none" w:sz="0" w:space="0" w:color="auto"/>
        <w:left w:val="none" w:sz="0" w:space="0" w:color="auto"/>
        <w:bottom w:val="none" w:sz="0" w:space="0" w:color="auto"/>
        <w:right w:val="none" w:sz="0" w:space="0" w:color="auto"/>
      </w:divBdr>
    </w:div>
    <w:div w:id="1166895372">
      <w:bodyDiv w:val="1"/>
      <w:marLeft w:val="0"/>
      <w:marRight w:val="0"/>
      <w:marTop w:val="0"/>
      <w:marBottom w:val="0"/>
      <w:divBdr>
        <w:top w:val="none" w:sz="0" w:space="0" w:color="auto"/>
        <w:left w:val="none" w:sz="0" w:space="0" w:color="auto"/>
        <w:bottom w:val="none" w:sz="0" w:space="0" w:color="auto"/>
        <w:right w:val="none" w:sz="0" w:space="0" w:color="auto"/>
      </w:divBdr>
    </w:div>
    <w:div w:id="1169373014">
      <w:bodyDiv w:val="1"/>
      <w:marLeft w:val="0"/>
      <w:marRight w:val="0"/>
      <w:marTop w:val="0"/>
      <w:marBottom w:val="0"/>
      <w:divBdr>
        <w:top w:val="none" w:sz="0" w:space="0" w:color="auto"/>
        <w:left w:val="none" w:sz="0" w:space="0" w:color="auto"/>
        <w:bottom w:val="none" w:sz="0" w:space="0" w:color="auto"/>
        <w:right w:val="none" w:sz="0" w:space="0" w:color="auto"/>
      </w:divBdr>
    </w:div>
    <w:div w:id="1170872525">
      <w:bodyDiv w:val="1"/>
      <w:marLeft w:val="0"/>
      <w:marRight w:val="0"/>
      <w:marTop w:val="0"/>
      <w:marBottom w:val="0"/>
      <w:divBdr>
        <w:top w:val="none" w:sz="0" w:space="0" w:color="auto"/>
        <w:left w:val="none" w:sz="0" w:space="0" w:color="auto"/>
        <w:bottom w:val="none" w:sz="0" w:space="0" w:color="auto"/>
        <w:right w:val="none" w:sz="0" w:space="0" w:color="auto"/>
      </w:divBdr>
    </w:div>
    <w:div w:id="1173034506">
      <w:bodyDiv w:val="1"/>
      <w:marLeft w:val="0"/>
      <w:marRight w:val="0"/>
      <w:marTop w:val="0"/>
      <w:marBottom w:val="0"/>
      <w:divBdr>
        <w:top w:val="none" w:sz="0" w:space="0" w:color="auto"/>
        <w:left w:val="none" w:sz="0" w:space="0" w:color="auto"/>
        <w:bottom w:val="none" w:sz="0" w:space="0" w:color="auto"/>
        <w:right w:val="none" w:sz="0" w:space="0" w:color="auto"/>
      </w:divBdr>
    </w:div>
    <w:div w:id="1175608225">
      <w:bodyDiv w:val="1"/>
      <w:marLeft w:val="0"/>
      <w:marRight w:val="0"/>
      <w:marTop w:val="0"/>
      <w:marBottom w:val="0"/>
      <w:divBdr>
        <w:top w:val="none" w:sz="0" w:space="0" w:color="auto"/>
        <w:left w:val="none" w:sz="0" w:space="0" w:color="auto"/>
        <w:bottom w:val="none" w:sz="0" w:space="0" w:color="auto"/>
        <w:right w:val="none" w:sz="0" w:space="0" w:color="auto"/>
      </w:divBdr>
    </w:div>
    <w:div w:id="1175850484">
      <w:bodyDiv w:val="1"/>
      <w:marLeft w:val="0"/>
      <w:marRight w:val="0"/>
      <w:marTop w:val="0"/>
      <w:marBottom w:val="0"/>
      <w:divBdr>
        <w:top w:val="none" w:sz="0" w:space="0" w:color="auto"/>
        <w:left w:val="none" w:sz="0" w:space="0" w:color="auto"/>
        <w:bottom w:val="none" w:sz="0" w:space="0" w:color="auto"/>
        <w:right w:val="none" w:sz="0" w:space="0" w:color="auto"/>
      </w:divBdr>
    </w:div>
    <w:div w:id="1177891133">
      <w:bodyDiv w:val="1"/>
      <w:marLeft w:val="0"/>
      <w:marRight w:val="0"/>
      <w:marTop w:val="0"/>
      <w:marBottom w:val="0"/>
      <w:divBdr>
        <w:top w:val="none" w:sz="0" w:space="0" w:color="auto"/>
        <w:left w:val="none" w:sz="0" w:space="0" w:color="auto"/>
        <w:bottom w:val="none" w:sz="0" w:space="0" w:color="auto"/>
        <w:right w:val="none" w:sz="0" w:space="0" w:color="auto"/>
      </w:divBdr>
    </w:div>
    <w:div w:id="1178010006">
      <w:bodyDiv w:val="1"/>
      <w:marLeft w:val="0"/>
      <w:marRight w:val="0"/>
      <w:marTop w:val="0"/>
      <w:marBottom w:val="0"/>
      <w:divBdr>
        <w:top w:val="none" w:sz="0" w:space="0" w:color="auto"/>
        <w:left w:val="none" w:sz="0" w:space="0" w:color="auto"/>
        <w:bottom w:val="none" w:sz="0" w:space="0" w:color="auto"/>
        <w:right w:val="none" w:sz="0" w:space="0" w:color="auto"/>
      </w:divBdr>
    </w:div>
    <w:div w:id="1187140051">
      <w:bodyDiv w:val="1"/>
      <w:marLeft w:val="0"/>
      <w:marRight w:val="0"/>
      <w:marTop w:val="0"/>
      <w:marBottom w:val="0"/>
      <w:divBdr>
        <w:top w:val="none" w:sz="0" w:space="0" w:color="auto"/>
        <w:left w:val="none" w:sz="0" w:space="0" w:color="auto"/>
        <w:bottom w:val="none" w:sz="0" w:space="0" w:color="auto"/>
        <w:right w:val="none" w:sz="0" w:space="0" w:color="auto"/>
      </w:divBdr>
    </w:div>
    <w:div w:id="1191531288">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20439105">
      <w:bodyDiv w:val="1"/>
      <w:marLeft w:val="0"/>
      <w:marRight w:val="0"/>
      <w:marTop w:val="0"/>
      <w:marBottom w:val="0"/>
      <w:divBdr>
        <w:top w:val="none" w:sz="0" w:space="0" w:color="auto"/>
        <w:left w:val="none" w:sz="0" w:space="0" w:color="auto"/>
        <w:bottom w:val="none" w:sz="0" w:space="0" w:color="auto"/>
        <w:right w:val="none" w:sz="0" w:space="0" w:color="auto"/>
      </w:divBdr>
    </w:div>
    <w:div w:id="1224025830">
      <w:bodyDiv w:val="1"/>
      <w:marLeft w:val="0"/>
      <w:marRight w:val="0"/>
      <w:marTop w:val="0"/>
      <w:marBottom w:val="0"/>
      <w:divBdr>
        <w:top w:val="none" w:sz="0" w:space="0" w:color="auto"/>
        <w:left w:val="none" w:sz="0" w:space="0" w:color="auto"/>
        <w:bottom w:val="none" w:sz="0" w:space="0" w:color="auto"/>
        <w:right w:val="none" w:sz="0" w:space="0" w:color="auto"/>
      </w:divBdr>
    </w:div>
    <w:div w:id="1227762818">
      <w:bodyDiv w:val="1"/>
      <w:marLeft w:val="0"/>
      <w:marRight w:val="0"/>
      <w:marTop w:val="0"/>
      <w:marBottom w:val="0"/>
      <w:divBdr>
        <w:top w:val="none" w:sz="0" w:space="0" w:color="auto"/>
        <w:left w:val="none" w:sz="0" w:space="0" w:color="auto"/>
        <w:bottom w:val="none" w:sz="0" w:space="0" w:color="auto"/>
        <w:right w:val="none" w:sz="0" w:space="0" w:color="auto"/>
      </w:divBdr>
    </w:div>
    <w:div w:id="1242369668">
      <w:bodyDiv w:val="1"/>
      <w:marLeft w:val="0"/>
      <w:marRight w:val="0"/>
      <w:marTop w:val="0"/>
      <w:marBottom w:val="0"/>
      <w:divBdr>
        <w:top w:val="none" w:sz="0" w:space="0" w:color="auto"/>
        <w:left w:val="none" w:sz="0" w:space="0" w:color="auto"/>
        <w:bottom w:val="none" w:sz="0" w:space="0" w:color="auto"/>
        <w:right w:val="none" w:sz="0" w:space="0" w:color="auto"/>
      </w:divBdr>
    </w:div>
    <w:div w:id="1243296233">
      <w:bodyDiv w:val="1"/>
      <w:marLeft w:val="0"/>
      <w:marRight w:val="0"/>
      <w:marTop w:val="0"/>
      <w:marBottom w:val="0"/>
      <w:divBdr>
        <w:top w:val="none" w:sz="0" w:space="0" w:color="auto"/>
        <w:left w:val="none" w:sz="0" w:space="0" w:color="auto"/>
        <w:bottom w:val="none" w:sz="0" w:space="0" w:color="auto"/>
        <w:right w:val="none" w:sz="0" w:space="0" w:color="auto"/>
      </w:divBdr>
    </w:div>
    <w:div w:id="1245535181">
      <w:bodyDiv w:val="1"/>
      <w:marLeft w:val="0"/>
      <w:marRight w:val="0"/>
      <w:marTop w:val="0"/>
      <w:marBottom w:val="0"/>
      <w:divBdr>
        <w:top w:val="none" w:sz="0" w:space="0" w:color="auto"/>
        <w:left w:val="none" w:sz="0" w:space="0" w:color="auto"/>
        <w:bottom w:val="none" w:sz="0" w:space="0" w:color="auto"/>
        <w:right w:val="none" w:sz="0" w:space="0" w:color="auto"/>
      </w:divBdr>
    </w:div>
    <w:div w:id="1251087438">
      <w:bodyDiv w:val="1"/>
      <w:marLeft w:val="0"/>
      <w:marRight w:val="0"/>
      <w:marTop w:val="0"/>
      <w:marBottom w:val="0"/>
      <w:divBdr>
        <w:top w:val="none" w:sz="0" w:space="0" w:color="auto"/>
        <w:left w:val="none" w:sz="0" w:space="0" w:color="auto"/>
        <w:bottom w:val="none" w:sz="0" w:space="0" w:color="auto"/>
        <w:right w:val="none" w:sz="0" w:space="0" w:color="auto"/>
      </w:divBdr>
    </w:div>
    <w:div w:id="1253972927">
      <w:bodyDiv w:val="1"/>
      <w:marLeft w:val="0"/>
      <w:marRight w:val="0"/>
      <w:marTop w:val="0"/>
      <w:marBottom w:val="0"/>
      <w:divBdr>
        <w:top w:val="none" w:sz="0" w:space="0" w:color="auto"/>
        <w:left w:val="none" w:sz="0" w:space="0" w:color="auto"/>
        <w:bottom w:val="none" w:sz="0" w:space="0" w:color="auto"/>
        <w:right w:val="none" w:sz="0" w:space="0" w:color="auto"/>
      </w:divBdr>
    </w:div>
    <w:div w:id="1255554912">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82613704">
      <w:bodyDiv w:val="1"/>
      <w:marLeft w:val="0"/>
      <w:marRight w:val="0"/>
      <w:marTop w:val="0"/>
      <w:marBottom w:val="0"/>
      <w:divBdr>
        <w:top w:val="none" w:sz="0" w:space="0" w:color="auto"/>
        <w:left w:val="none" w:sz="0" w:space="0" w:color="auto"/>
        <w:bottom w:val="none" w:sz="0" w:space="0" w:color="auto"/>
        <w:right w:val="none" w:sz="0" w:space="0" w:color="auto"/>
      </w:divBdr>
    </w:div>
    <w:div w:id="1284774426">
      <w:bodyDiv w:val="1"/>
      <w:marLeft w:val="0"/>
      <w:marRight w:val="0"/>
      <w:marTop w:val="0"/>
      <w:marBottom w:val="0"/>
      <w:divBdr>
        <w:top w:val="none" w:sz="0" w:space="0" w:color="auto"/>
        <w:left w:val="none" w:sz="0" w:space="0" w:color="auto"/>
        <w:bottom w:val="none" w:sz="0" w:space="0" w:color="auto"/>
        <w:right w:val="none" w:sz="0" w:space="0" w:color="auto"/>
      </w:divBdr>
    </w:div>
    <w:div w:id="1287391698">
      <w:bodyDiv w:val="1"/>
      <w:marLeft w:val="0"/>
      <w:marRight w:val="0"/>
      <w:marTop w:val="0"/>
      <w:marBottom w:val="0"/>
      <w:divBdr>
        <w:top w:val="none" w:sz="0" w:space="0" w:color="auto"/>
        <w:left w:val="none" w:sz="0" w:space="0" w:color="auto"/>
        <w:bottom w:val="none" w:sz="0" w:space="0" w:color="auto"/>
        <w:right w:val="none" w:sz="0" w:space="0" w:color="auto"/>
      </w:divBdr>
    </w:div>
    <w:div w:id="1289311021">
      <w:bodyDiv w:val="1"/>
      <w:marLeft w:val="0"/>
      <w:marRight w:val="0"/>
      <w:marTop w:val="0"/>
      <w:marBottom w:val="0"/>
      <w:divBdr>
        <w:top w:val="none" w:sz="0" w:space="0" w:color="auto"/>
        <w:left w:val="none" w:sz="0" w:space="0" w:color="auto"/>
        <w:bottom w:val="none" w:sz="0" w:space="0" w:color="auto"/>
        <w:right w:val="none" w:sz="0" w:space="0" w:color="auto"/>
      </w:divBdr>
    </w:div>
    <w:div w:id="1295066537">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06812291">
      <w:bodyDiv w:val="1"/>
      <w:marLeft w:val="0"/>
      <w:marRight w:val="0"/>
      <w:marTop w:val="0"/>
      <w:marBottom w:val="0"/>
      <w:divBdr>
        <w:top w:val="none" w:sz="0" w:space="0" w:color="auto"/>
        <w:left w:val="none" w:sz="0" w:space="0" w:color="auto"/>
        <w:bottom w:val="none" w:sz="0" w:space="0" w:color="auto"/>
        <w:right w:val="none" w:sz="0" w:space="0" w:color="auto"/>
      </w:divBdr>
    </w:div>
    <w:div w:id="1309090546">
      <w:bodyDiv w:val="1"/>
      <w:marLeft w:val="0"/>
      <w:marRight w:val="0"/>
      <w:marTop w:val="0"/>
      <w:marBottom w:val="0"/>
      <w:divBdr>
        <w:top w:val="none" w:sz="0" w:space="0" w:color="auto"/>
        <w:left w:val="none" w:sz="0" w:space="0" w:color="auto"/>
        <w:bottom w:val="none" w:sz="0" w:space="0" w:color="auto"/>
        <w:right w:val="none" w:sz="0" w:space="0" w:color="auto"/>
      </w:divBdr>
    </w:div>
    <w:div w:id="1309672907">
      <w:bodyDiv w:val="1"/>
      <w:marLeft w:val="0"/>
      <w:marRight w:val="0"/>
      <w:marTop w:val="0"/>
      <w:marBottom w:val="0"/>
      <w:divBdr>
        <w:top w:val="none" w:sz="0" w:space="0" w:color="auto"/>
        <w:left w:val="none" w:sz="0" w:space="0" w:color="auto"/>
        <w:bottom w:val="none" w:sz="0" w:space="0" w:color="auto"/>
        <w:right w:val="none" w:sz="0" w:space="0" w:color="auto"/>
      </w:divBdr>
    </w:div>
    <w:div w:id="1313217085">
      <w:bodyDiv w:val="1"/>
      <w:marLeft w:val="0"/>
      <w:marRight w:val="0"/>
      <w:marTop w:val="0"/>
      <w:marBottom w:val="0"/>
      <w:divBdr>
        <w:top w:val="none" w:sz="0" w:space="0" w:color="auto"/>
        <w:left w:val="none" w:sz="0" w:space="0" w:color="auto"/>
        <w:bottom w:val="none" w:sz="0" w:space="0" w:color="auto"/>
        <w:right w:val="none" w:sz="0" w:space="0" w:color="auto"/>
      </w:divBdr>
    </w:div>
    <w:div w:id="1332297118">
      <w:bodyDiv w:val="1"/>
      <w:marLeft w:val="0"/>
      <w:marRight w:val="0"/>
      <w:marTop w:val="0"/>
      <w:marBottom w:val="0"/>
      <w:divBdr>
        <w:top w:val="none" w:sz="0" w:space="0" w:color="auto"/>
        <w:left w:val="none" w:sz="0" w:space="0" w:color="auto"/>
        <w:bottom w:val="none" w:sz="0" w:space="0" w:color="auto"/>
        <w:right w:val="none" w:sz="0" w:space="0" w:color="auto"/>
      </w:divBdr>
    </w:div>
    <w:div w:id="1341157488">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6975156">
      <w:bodyDiv w:val="1"/>
      <w:marLeft w:val="0"/>
      <w:marRight w:val="0"/>
      <w:marTop w:val="0"/>
      <w:marBottom w:val="0"/>
      <w:divBdr>
        <w:top w:val="none" w:sz="0" w:space="0" w:color="auto"/>
        <w:left w:val="none" w:sz="0" w:space="0" w:color="auto"/>
        <w:bottom w:val="none" w:sz="0" w:space="0" w:color="auto"/>
        <w:right w:val="none" w:sz="0" w:space="0" w:color="auto"/>
      </w:divBdr>
    </w:div>
    <w:div w:id="1349722084">
      <w:bodyDiv w:val="1"/>
      <w:marLeft w:val="0"/>
      <w:marRight w:val="0"/>
      <w:marTop w:val="0"/>
      <w:marBottom w:val="0"/>
      <w:divBdr>
        <w:top w:val="none" w:sz="0" w:space="0" w:color="auto"/>
        <w:left w:val="none" w:sz="0" w:space="0" w:color="auto"/>
        <w:bottom w:val="none" w:sz="0" w:space="0" w:color="auto"/>
        <w:right w:val="none" w:sz="0" w:space="0" w:color="auto"/>
      </w:divBdr>
    </w:div>
    <w:div w:id="1361972529">
      <w:bodyDiv w:val="1"/>
      <w:marLeft w:val="0"/>
      <w:marRight w:val="0"/>
      <w:marTop w:val="0"/>
      <w:marBottom w:val="0"/>
      <w:divBdr>
        <w:top w:val="none" w:sz="0" w:space="0" w:color="auto"/>
        <w:left w:val="none" w:sz="0" w:space="0" w:color="auto"/>
        <w:bottom w:val="none" w:sz="0" w:space="0" w:color="auto"/>
        <w:right w:val="none" w:sz="0" w:space="0" w:color="auto"/>
      </w:divBdr>
    </w:div>
    <w:div w:id="1364289600">
      <w:bodyDiv w:val="1"/>
      <w:marLeft w:val="0"/>
      <w:marRight w:val="0"/>
      <w:marTop w:val="0"/>
      <w:marBottom w:val="0"/>
      <w:divBdr>
        <w:top w:val="none" w:sz="0" w:space="0" w:color="auto"/>
        <w:left w:val="none" w:sz="0" w:space="0" w:color="auto"/>
        <w:bottom w:val="none" w:sz="0" w:space="0" w:color="auto"/>
        <w:right w:val="none" w:sz="0" w:space="0" w:color="auto"/>
      </w:divBdr>
    </w:div>
    <w:div w:id="1367606048">
      <w:bodyDiv w:val="1"/>
      <w:marLeft w:val="0"/>
      <w:marRight w:val="0"/>
      <w:marTop w:val="0"/>
      <w:marBottom w:val="0"/>
      <w:divBdr>
        <w:top w:val="none" w:sz="0" w:space="0" w:color="auto"/>
        <w:left w:val="none" w:sz="0" w:space="0" w:color="auto"/>
        <w:bottom w:val="none" w:sz="0" w:space="0" w:color="auto"/>
        <w:right w:val="none" w:sz="0" w:space="0" w:color="auto"/>
      </w:divBdr>
    </w:div>
    <w:div w:id="1388336479">
      <w:bodyDiv w:val="1"/>
      <w:marLeft w:val="0"/>
      <w:marRight w:val="0"/>
      <w:marTop w:val="0"/>
      <w:marBottom w:val="0"/>
      <w:divBdr>
        <w:top w:val="none" w:sz="0" w:space="0" w:color="auto"/>
        <w:left w:val="none" w:sz="0" w:space="0" w:color="auto"/>
        <w:bottom w:val="none" w:sz="0" w:space="0" w:color="auto"/>
        <w:right w:val="none" w:sz="0" w:space="0" w:color="auto"/>
      </w:divBdr>
    </w:div>
    <w:div w:id="1391422413">
      <w:bodyDiv w:val="1"/>
      <w:marLeft w:val="0"/>
      <w:marRight w:val="0"/>
      <w:marTop w:val="0"/>
      <w:marBottom w:val="0"/>
      <w:divBdr>
        <w:top w:val="none" w:sz="0" w:space="0" w:color="auto"/>
        <w:left w:val="none" w:sz="0" w:space="0" w:color="auto"/>
        <w:bottom w:val="none" w:sz="0" w:space="0" w:color="auto"/>
        <w:right w:val="none" w:sz="0" w:space="0" w:color="auto"/>
      </w:divBdr>
    </w:div>
    <w:div w:id="140059357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7163958">
      <w:bodyDiv w:val="1"/>
      <w:marLeft w:val="0"/>
      <w:marRight w:val="0"/>
      <w:marTop w:val="0"/>
      <w:marBottom w:val="0"/>
      <w:divBdr>
        <w:top w:val="none" w:sz="0" w:space="0" w:color="auto"/>
        <w:left w:val="none" w:sz="0" w:space="0" w:color="auto"/>
        <w:bottom w:val="none" w:sz="0" w:space="0" w:color="auto"/>
        <w:right w:val="none" w:sz="0" w:space="0" w:color="auto"/>
      </w:divBdr>
    </w:div>
    <w:div w:id="1426608960">
      <w:bodyDiv w:val="1"/>
      <w:marLeft w:val="0"/>
      <w:marRight w:val="0"/>
      <w:marTop w:val="0"/>
      <w:marBottom w:val="0"/>
      <w:divBdr>
        <w:top w:val="none" w:sz="0" w:space="0" w:color="auto"/>
        <w:left w:val="none" w:sz="0" w:space="0" w:color="auto"/>
        <w:bottom w:val="none" w:sz="0" w:space="0" w:color="auto"/>
        <w:right w:val="none" w:sz="0" w:space="0" w:color="auto"/>
      </w:divBdr>
    </w:div>
    <w:div w:id="1428692441">
      <w:bodyDiv w:val="1"/>
      <w:marLeft w:val="0"/>
      <w:marRight w:val="0"/>
      <w:marTop w:val="0"/>
      <w:marBottom w:val="0"/>
      <w:divBdr>
        <w:top w:val="none" w:sz="0" w:space="0" w:color="auto"/>
        <w:left w:val="none" w:sz="0" w:space="0" w:color="auto"/>
        <w:bottom w:val="none" w:sz="0" w:space="0" w:color="auto"/>
        <w:right w:val="none" w:sz="0" w:space="0" w:color="auto"/>
      </w:divBdr>
    </w:div>
    <w:div w:id="1438140960">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7844905">
      <w:bodyDiv w:val="1"/>
      <w:marLeft w:val="0"/>
      <w:marRight w:val="0"/>
      <w:marTop w:val="0"/>
      <w:marBottom w:val="0"/>
      <w:divBdr>
        <w:top w:val="none" w:sz="0" w:space="0" w:color="auto"/>
        <w:left w:val="none" w:sz="0" w:space="0" w:color="auto"/>
        <w:bottom w:val="none" w:sz="0" w:space="0" w:color="auto"/>
        <w:right w:val="none" w:sz="0" w:space="0" w:color="auto"/>
      </w:divBdr>
    </w:div>
    <w:div w:id="1449156817">
      <w:bodyDiv w:val="1"/>
      <w:marLeft w:val="0"/>
      <w:marRight w:val="0"/>
      <w:marTop w:val="0"/>
      <w:marBottom w:val="0"/>
      <w:divBdr>
        <w:top w:val="none" w:sz="0" w:space="0" w:color="auto"/>
        <w:left w:val="none" w:sz="0" w:space="0" w:color="auto"/>
        <w:bottom w:val="none" w:sz="0" w:space="0" w:color="auto"/>
        <w:right w:val="none" w:sz="0" w:space="0" w:color="auto"/>
      </w:divBdr>
    </w:div>
    <w:div w:id="1453551245">
      <w:bodyDiv w:val="1"/>
      <w:marLeft w:val="0"/>
      <w:marRight w:val="0"/>
      <w:marTop w:val="0"/>
      <w:marBottom w:val="0"/>
      <w:divBdr>
        <w:top w:val="none" w:sz="0" w:space="0" w:color="auto"/>
        <w:left w:val="none" w:sz="0" w:space="0" w:color="auto"/>
        <w:bottom w:val="none" w:sz="0" w:space="0" w:color="auto"/>
        <w:right w:val="none" w:sz="0" w:space="0" w:color="auto"/>
      </w:divBdr>
    </w:div>
    <w:div w:id="1458060353">
      <w:bodyDiv w:val="1"/>
      <w:marLeft w:val="0"/>
      <w:marRight w:val="0"/>
      <w:marTop w:val="0"/>
      <w:marBottom w:val="0"/>
      <w:divBdr>
        <w:top w:val="none" w:sz="0" w:space="0" w:color="auto"/>
        <w:left w:val="none" w:sz="0" w:space="0" w:color="auto"/>
        <w:bottom w:val="none" w:sz="0" w:space="0" w:color="auto"/>
        <w:right w:val="none" w:sz="0" w:space="0" w:color="auto"/>
      </w:divBdr>
    </w:div>
    <w:div w:id="1458722810">
      <w:bodyDiv w:val="1"/>
      <w:marLeft w:val="0"/>
      <w:marRight w:val="0"/>
      <w:marTop w:val="0"/>
      <w:marBottom w:val="0"/>
      <w:divBdr>
        <w:top w:val="none" w:sz="0" w:space="0" w:color="auto"/>
        <w:left w:val="none" w:sz="0" w:space="0" w:color="auto"/>
        <w:bottom w:val="none" w:sz="0" w:space="0" w:color="auto"/>
        <w:right w:val="none" w:sz="0" w:space="0" w:color="auto"/>
      </w:divBdr>
    </w:div>
    <w:div w:id="1459690453">
      <w:bodyDiv w:val="1"/>
      <w:marLeft w:val="0"/>
      <w:marRight w:val="0"/>
      <w:marTop w:val="0"/>
      <w:marBottom w:val="0"/>
      <w:divBdr>
        <w:top w:val="none" w:sz="0" w:space="0" w:color="auto"/>
        <w:left w:val="none" w:sz="0" w:space="0" w:color="auto"/>
        <w:bottom w:val="none" w:sz="0" w:space="0" w:color="auto"/>
        <w:right w:val="none" w:sz="0" w:space="0" w:color="auto"/>
      </w:divBdr>
    </w:div>
    <w:div w:id="1473864603">
      <w:bodyDiv w:val="1"/>
      <w:marLeft w:val="0"/>
      <w:marRight w:val="0"/>
      <w:marTop w:val="0"/>
      <w:marBottom w:val="0"/>
      <w:divBdr>
        <w:top w:val="none" w:sz="0" w:space="0" w:color="auto"/>
        <w:left w:val="none" w:sz="0" w:space="0" w:color="auto"/>
        <w:bottom w:val="none" w:sz="0" w:space="0" w:color="auto"/>
        <w:right w:val="none" w:sz="0" w:space="0" w:color="auto"/>
      </w:divBdr>
    </w:div>
    <w:div w:id="1473869383">
      <w:bodyDiv w:val="1"/>
      <w:marLeft w:val="0"/>
      <w:marRight w:val="0"/>
      <w:marTop w:val="0"/>
      <w:marBottom w:val="0"/>
      <w:divBdr>
        <w:top w:val="none" w:sz="0" w:space="0" w:color="auto"/>
        <w:left w:val="none" w:sz="0" w:space="0" w:color="auto"/>
        <w:bottom w:val="none" w:sz="0" w:space="0" w:color="auto"/>
        <w:right w:val="none" w:sz="0" w:space="0" w:color="auto"/>
      </w:divBdr>
    </w:div>
    <w:div w:id="1476095666">
      <w:bodyDiv w:val="1"/>
      <w:marLeft w:val="0"/>
      <w:marRight w:val="0"/>
      <w:marTop w:val="0"/>
      <w:marBottom w:val="0"/>
      <w:divBdr>
        <w:top w:val="none" w:sz="0" w:space="0" w:color="auto"/>
        <w:left w:val="none" w:sz="0" w:space="0" w:color="auto"/>
        <w:bottom w:val="none" w:sz="0" w:space="0" w:color="auto"/>
        <w:right w:val="none" w:sz="0" w:space="0" w:color="auto"/>
      </w:divBdr>
    </w:div>
    <w:div w:id="1476947283">
      <w:bodyDiv w:val="1"/>
      <w:marLeft w:val="0"/>
      <w:marRight w:val="0"/>
      <w:marTop w:val="0"/>
      <w:marBottom w:val="0"/>
      <w:divBdr>
        <w:top w:val="none" w:sz="0" w:space="0" w:color="auto"/>
        <w:left w:val="none" w:sz="0" w:space="0" w:color="auto"/>
        <w:bottom w:val="none" w:sz="0" w:space="0" w:color="auto"/>
        <w:right w:val="none" w:sz="0" w:space="0" w:color="auto"/>
      </w:divBdr>
    </w:div>
    <w:div w:id="1491600733">
      <w:bodyDiv w:val="1"/>
      <w:marLeft w:val="0"/>
      <w:marRight w:val="0"/>
      <w:marTop w:val="0"/>
      <w:marBottom w:val="0"/>
      <w:divBdr>
        <w:top w:val="none" w:sz="0" w:space="0" w:color="auto"/>
        <w:left w:val="none" w:sz="0" w:space="0" w:color="auto"/>
        <w:bottom w:val="none" w:sz="0" w:space="0" w:color="auto"/>
        <w:right w:val="none" w:sz="0" w:space="0" w:color="auto"/>
      </w:divBdr>
    </w:div>
    <w:div w:id="1501896409">
      <w:bodyDiv w:val="1"/>
      <w:marLeft w:val="0"/>
      <w:marRight w:val="0"/>
      <w:marTop w:val="0"/>
      <w:marBottom w:val="0"/>
      <w:divBdr>
        <w:top w:val="none" w:sz="0" w:space="0" w:color="auto"/>
        <w:left w:val="none" w:sz="0" w:space="0" w:color="auto"/>
        <w:bottom w:val="none" w:sz="0" w:space="0" w:color="auto"/>
        <w:right w:val="none" w:sz="0" w:space="0" w:color="auto"/>
      </w:divBdr>
    </w:div>
    <w:div w:id="1507019878">
      <w:bodyDiv w:val="1"/>
      <w:marLeft w:val="0"/>
      <w:marRight w:val="0"/>
      <w:marTop w:val="0"/>
      <w:marBottom w:val="0"/>
      <w:divBdr>
        <w:top w:val="none" w:sz="0" w:space="0" w:color="auto"/>
        <w:left w:val="none" w:sz="0" w:space="0" w:color="auto"/>
        <w:bottom w:val="none" w:sz="0" w:space="0" w:color="auto"/>
        <w:right w:val="none" w:sz="0" w:space="0" w:color="auto"/>
      </w:divBdr>
    </w:div>
    <w:div w:id="1507669476">
      <w:bodyDiv w:val="1"/>
      <w:marLeft w:val="0"/>
      <w:marRight w:val="0"/>
      <w:marTop w:val="0"/>
      <w:marBottom w:val="0"/>
      <w:divBdr>
        <w:top w:val="none" w:sz="0" w:space="0" w:color="auto"/>
        <w:left w:val="none" w:sz="0" w:space="0" w:color="auto"/>
        <w:bottom w:val="none" w:sz="0" w:space="0" w:color="auto"/>
        <w:right w:val="none" w:sz="0" w:space="0" w:color="auto"/>
      </w:divBdr>
    </w:div>
    <w:div w:id="1509907581">
      <w:bodyDiv w:val="1"/>
      <w:marLeft w:val="0"/>
      <w:marRight w:val="0"/>
      <w:marTop w:val="0"/>
      <w:marBottom w:val="0"/>
      <w:divBdr>
        <w:top w:val="none" w:sz="0" w:space="0" w:color="auto"/>
        <w:left w:val="none" w:sz="0" w:space="0" w:color="auto"/>
        <w:bottom w:val="none" w:sz="0" w:space="0" w:color="auto"/>
        <w:right w:val="none" w:sz="0" w:space="0" w:color="auto"/>
      </w:divBdr>
    </w:div>
    <w:div w:id="1511791943">
      <w:bodyDiv w:val="1"/>
      <w:marLeft w:val="0"/>
      <w:marRight w:val="0"/>
      <w:marTop w:val="0"/>
      <w:marBottom w:val="0"/>
      <w:divBdr>
        <w:top w:val="none" w:sz="0" w:space="0" w:color="auto"/>
        <w:left w:val="none" w:sz="0" w:space="0" w:color="auto"/>
        <w:bottom w:val="none" w:sz="0" w:space="0" w:color="auto"/>
        <w:right w:val="none" w:sz="0" w:space="0" w:color="auto"/>
      </w:divBdr>
    </w:div>
    <w:div w:id="1512064463">
      <w:bodyDiv w:val="1"/>
      <w:marLeft w:val="0"/>
      <w:marRight w:val="0"/>
      <w:marTop w:val="0"/>
      <w:marBottom w:val="0"/>
      <w:divBdr>
        <w:top w:val="none" w:sz="0" w:space="0" w:color="auto"/>
        <w:left w:val="none" w:sz="0" w:space="0" w:color="auto"/>
        <w:bottom w:val="none" w:sz="0" w:space="0" w:color="auto"/>
        <w:right w:val="none" w:sz="0" w:space="0" w:color="auto"/>
      </w:divBdr>
    </w:div>
    <w:div w:id="1514102920">
      <w:bodyDiv w:val="1"/>
      <w:marLeft w:val="0"/>
      <w:marRight w:val="0"/>
      <w:marTop w:val="0"/>
      <w:marBottom w:val="0"/>
      <w:divBdr>
        <w:top w:val="none" w:sz="0" w:space="0" w:color="auto"/>
        <w:left w:val="none" w:sz="0" w:space="0" w:color="auto"/>
        <w:bottom w:val="none" w:sz="0" w:space="0" w:color="auto"/>
        <w:right w:val="none" w:sz="0" w:space="0" w:color="auto"/>
      </w:divBdr>
    </w:div>
    <w:div w:id="1518542950">
      <w:bodyDiv w:val="1"/>
      <w:marLeft w:val="0"/>
      <w:marRight w:val="0"/>
      <w:marTop w:val="0"/>
      <w:marBottom w:val="0"/>
      <w:divBdr>
        <w:top w:val="none" w:sz="0" w:space="0" w:color="auto"/>
        <w:left w:val="none" w:sz="0" w:space="0" w:color="auto"/>
        <w:bottom w:val="none" w:sz="0" w:space="0" w:color="auto"/>
        <w:right w:val="none" w:sz="0" w:space="0" w:color="auto"/>
      </w:divBdr>
    </w:div>
    <w:div w:id="1519394830">
      <w:bodyDiv w:val="1"/>
      <w:marLeft w:val="0"/>
      <w:marRight w:val="0"/>
      <w:marTop w:val="0"/>
      <w:marBottom w:val="0"/>
      <w:divBdr>
        <w:top w:val="none" w:sz="0" w:space="0" w:color="auto"/>
        <w:left w:val="none" w:sz="0" w:space="0" w:color="auto"/>
        <w:bottom w:val="none" w:sz="0" w:space="0" w:color="auto"/>
        <w:right w:val="none" w:sz="0" w:space="0" w:color="auto"/>
      </w:divBdr>
    </w:div>
    <w:div w:id="1544752782">
      <w:bodyDiv w:val="1"/>
      <w:marLeft w:val="0"/>
      <w:marRight w:val="0"/>
      <w:marTop w:val="0"/>
      <w:marBottom w:val="0"/>
      <w:divBdr>
        <w:top w:val="none" w:sz="0" w:space="0" w:color="auto"/>
        <w:left w:val="none" w:sz="0" w:space="0" w:color="auto"/>
        <w:bottom w:val="none" w:sz="0" w:space="0" w:color="auto"/>
        <w:right w:val="none" w:sz="0" w:space="0" w:color="auto"/>
      </w:divBdr>
    </w:div>
    <w:div w:id="1559167629">
      <w:bodyDiv w:val="1"/>
      <w:marLeft w:val="0"/>
      <w:marRight w:val="0"/>
      <w:marTop w:val="0"/>
      <w:marBottom w:val="0"/>
      <w:divBdr>
        <w:top w:val="none" w:sz="0" w:space="0" w:color="auto"/>
        <w:left w:val="none" w:sz="0" w:space="0" w:color="auto"/>
        <w:bottom w:val="none" w:sz="0" w:space="0" w:color="auto"/>
        <w:right w:val="none" w:sz="0" w:space="0" w:color="auto"/>
      </w:divBdr>
    </w:div>
    <w:div w:id="1566332590">
      <w:bodyDiv w:val="1"/>
      <w:marLeft w:val="0"/>
      <w:marRight w:val="0"/>
      <w:marTop w:val="0"/>
      <w:marBottom w:val="0"/>
      <w:divBdr>
        <w:top w:val="none" w:sz="0" w:space="0" w:color="auto"/>
        <w:left w:val="none" w:sz="0" w:space="0" w:color="auto"/>
        <w:bottom w:val="none" w:sz="0" w:space="0" w:color="auto"/>
        <w:right w:val="none" w:sz="0" w:space="0" w:color="auto"/>
      </w:divBdr>
    </w:div>
    <w:div w:id="1585070354">
      <w:bodyDiv w:val="1"/>
      <w:marLeft w:val="0"/>
      <w:marRight w:val="0"/>
      <w:marTop w:val="0"/>
      <w:marBottom w:val="0"/>
      <w:divBdr>
        <w:top w:val="none" w:sz="0" w:space="0" w:color="auto"/>
        <w:left w:val="none" w:sz="0" w:space="0" w:color="auto"/>
        <w:bottom w:val="none" w:sz="0" w:space="0" w:color="auto"/>
        <w:right w:val="none" w:sz="0" w:space="0" w:color="auto"/>
      </w:divBdr>
    </w:div>
    <w:div w:id="1597666664">
      <w:bodyDiv w:val="1"/>
      <w:marLeft w:val="0"/>
      <w:marRight w:val="0"/>
      <w:marTop w:val="0"/>
      <w:marBottom w:val="0"/>
      <w:divBdr>
        <w:top w:val="none" w:sz="0" w:space="0" w:color="auto"/>
        <w:left w:val="none" w:sz="0" w:space="0" w:color="auto"/>
        <w:bottom w:val="none" w:sz="0" w:space="0" w:color="auto"/>
        <w:right w:val="none" w:sz="0" w:space="0" w:color="auto"/>
      </w:divBdr>
    </w:div>
    <w:div w:id="1600219380">
      <w:bodyDiv w:val="1"/>
      <w:marLeft w:val="0"/>
      <w:marRight w:val="0"/>
      <w:marTop w:val="0"/>
      <w:marBottom w:val="0"/>
      <w:divBdr>
        <w:top w:val="none" w:sz="0" w:space="0" w:color="auto"/>
        <w:left w:val="none" w:sz="0" w:space="0" w:color="auto"/>
        <w:bottom w:val="none" w:sz="0" w:space="0" w:color="auto"/>
        <w:right w:val="none" w:sz="0" w:space="0" w:color="auto"/>
      </w:divBdr>
    </w:div>
    <w:div w:id="1601253343">
      <w:bodyDiv w:val="1"/>
      <w:marLeft w:val="0"/>
      <w:marRight w:val="0"/>
      <w:marTop w:val="0"/>
      <w:marBottom w:val="0"/>
      <w:divBdr>
        <w:top w:val="none" w:sz="0" w:space="0" w:color="auto"/>
        <w:left w:val="none" w:sz="0" w:space="0" w:color="auto"/>
        <w:bottom w:val="none" w:sz="0" w:space="0" w:color="auto"/>
        <w:right w:val="none" w:sz="0" w:space="0" w:color="auto"/>
      </w:divBdr>
    </w:div>
    <w:div w:id="1611859405">
      <w:bodyDiv w:val="1"/>
      <w:marLeft w:val="0"/>
      <w:marRight w:val="0"/>
      <w:marTop w:val="0"/>
      <w:marBottom w:val="0"/>
      <w:divBdr>
        <w:top w:val="none" w:sz="0" w:space="0" w:color="auto"/>
        <w:left w:val="none" w:sz="0" w:space="0" w:color="auto"/>
        <w:bottom w:val="none" w:sz="0" w:space="0" w:color="auto"/>
        <w:right w:val="none" w:sz="0" w:space="0" w:color="auto"/>
      </w:divBdr>
    </w:div>
    <w:div w:id="1615593527">
      <w:bodyDiv w:val="1"/>
      <w:marLeft w:val="0"/>
      <w:marRight w:val="0"/>
      <w:marTop w:val="0"/>
      <w:marBottom w:val="0"/>
      <w:divBdr>
        <w:top w:val="none" w:sz="0" w:space="0" w:color="auto"/>
        <w:left w:val="none" w:sz="0" w:space="0" w:color="auto"/>
        <w:bottom w:val="none" w:sz="0" w:space="0" w:color="auto"/>
        <w:right w:val="none" w:sz="0" w:space="0" w:color="auto"/>
      </w:divBdr>
    </w:div>
    <w:div w:id="1620601738">
      <w:bodyDiv w:val="1"/>
      <w:marLeft w:val="0"/>
      <w:marRight w:val="0"/>
      <w:marTop w:val="0"/>
      <w:marBottom w:val="0"/>
      <w:divBdr>
        <w:top w:val="none" w:sz="0" w:space="0" w:color="auto"/>
        <w:left w:val="none" w:sz="0" w:space="0" w:color="auto"/>
        <w:bottom w:val="none" w:sz="0" w:space="0" w:color="auto"/>
        <w:right w:val="none" w:sz="0" w:space="0" w:color="auto"/>
      </w:divBdr>
    </w:div>
    <w:div w:id="1626614368">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318918">
      <w:bodyDiv w:val="1"/>
      <w:marLeft w:val="0"/>
      <w:marRight w:val="0"/>
      <w:marTop w:val="0"/>
      <w:marBottom w:val="0"/>
      <w:divBdr>
        <w:top w:val="none" w:sz="0" w:space="0" w:color="auto"/>
        <w:left w:val="none" w:sz="0" w:space="0" w:color="auto"/>
        <w:bottom w:val="none" w:sz="0" w:space="0" w:color="auto"/>
        <w:right w:val="none" w:sz="0" w:space="0" w:color="auto"/>
      </w:divBdr>
    </w:div>
    <w:div w:id="1634748552">
      <w:bodyDiv w:val="1"/>
      <w:marLeft w:val="0"/>
      <w:marRight w:val="0"/>
      <w:marTop w:val="0"/>
      <w:marBottom w:val="0"/>
      <w:divBdr>
        <w:top w:val="none" w:sz="0" w:space="0" w:color="auto"/>
        <w:left w:val="none" w:sz="0" w:space="0" w:color="auto"/>
        <w:bottom w:val="none" w:sz="0" w:space="0" w:color="auto"/>
        <w:right w:val="none" w:sz="0" w:space="0" w:color="auto"/>
      </w:divBdr>
    </w:div>
    <w:div w:id="1635867862">
      <w:bodyDiv w:val="1"/>
      <w:marLeft w:val="0"/>
      <w:marRight w:val="0"/>
      <w:marTop w:val="0"/>
      <w:marBottom w:val="0"/>
      <w:divBdr>
        <w:top w:val="none" w:sz="0" w:space="0" w:color="auto"/>
        <w:left w:val="none" w:sz="0" w:space="0" w:color="auto"/>
        <w:bottom w:val="none" w:sz="0" w:space="0" w:color="auto"/>
        <w:right w:val="none" w:sz="0" w:space="0" w:color="auto"/>
      </w:divBdr>
    </w:div>
    <w:div w:id="1637222069">
      <w:bodyDiv w:val="1"/>
      <w:marLeft w:val="0"/>
      <w:marRight w:val="0"/>
      <w:marTop w:val="0"/>
      <w:marBottom w:val="0"/>
      <w:divBdr>
        <w:top w:val="none" w:sz="0" w:space="0" w:color="auto"/>
        <w:left w:val="none" w:sz="0" w:space="0" w:color="auto"/>
        <w:bottom w:val="none" w:sz="0" w:space="0" w:color="auto"/>
        <w:right w:val="none" w:sz="0" w:space="0" w:color="auto"/>
      </w:divBdr>
    </w:div>
    <w:div w:id="1637710996">
      <w:bodyDiv w:val="1"/>
      <w:marLeft w:val="0"/>
      <w:marRight w:val="0"/>
      <w:marTop w:val="0"/>
      <w:marBottom w:val="0"/>
      <w:divBdr>
        <w:top w:val="none" w:sz="0" w:space="0" w:color="auto"/>
        <w:left w:val="none" w:sz="0" w:space="0" w:color="auto"/>
        <w:bottom w:val="none" w:sz="0" w:space="0" w:color="auto"/>
        <w:right w:val="none" w:sz="0" w:space="0" w:color="auto"/>
      </w:divBdr>
    </w:div>
    <w:div w:id="1638680986">
      <w:bodyDiv w:val="1"/>
      <w:marLeft w:val="0"/>
      <w:marRight w:val="0"/>
      <w:marTop w:val="0"/>
      <w:marBottom w:val="0"/>
      <w:divBdr>
        <w:top w:val="none" w:sz="0" w:space="0" w:color="auto"/>
        <w:left w:val="none" w:sz="0" w:space="0" w:color="auto"/>
        <w:bottom w:val="none" w:sz="0" w:space="0" w:color="auto"/>
        <w:right w:val="none" w:sz="0" w:space="0" w:color="auto"/>
      </w:divBdr>
    </w:div>
    <w:div w:id="1639335940">
      <w:bodyDiv w:val="1"/>
      <w:marLeft w:val="0"/>
      <w:marRight w:val="0"/>
      <w:marTop w:val="0"/>
      <w:marBottom w:val="0"/>
      <w:divBdr>
        <w:top w:val="none" w:sz="0" w:space="0" w:color="auto"/>
        <w:left w:val="none" w:sz="0" w:space="0" w:color="auto"/>
        <w:bottom w:val="none" w:sz="0" w:space="0" w:color="auto"/>
        <w:right w:val="none" w:sz="0" w:space="0" w:color="auto"/>
      </w:divBdr>
    </w:div>
    <w:div w:id="1646427089">
      <w:bodyDiv w:val="1"/>
      <w:marLeft w:val="0"/>
      <w:marRight w:val="0"/>
      <w:marTop w:val="0"/>
      <w:marBottom w:val="0"/>
      <w:divBdr>
        <w:top w:val="none" w:sz="0" w:space="0" w:color="auto"/>
        <w:left w:val="none" w:sz="0" w:space="0" w:color="auto"/>
        <w:bottom w:val="none" w:sz="0" w:space="0" w:color="auto"/>
        <w:right w:val="none" w:sz="0" w:space="0" w:color="auto"/>
      </w:divBdr>
    </w:div>
    <w:div w:id="1650749930">
      <w:bodyDiv w:val="1"/>
      <w:marLeft w:val="0"/>
      <w:marRight w:val="0"/>
      <w:marTop w:val="0"/>
      <w:marBottom w:val="0"/>
      <w:divBdr>
        <w:top w:val="none" w:sz="0" w:space="0" w:color="auto"/>
        <w:left w:val="none" w:sz="0" w:space="0" w:color="auto"/>
        <w:bottom w:val="none" w:sz="0" w:space="0" w:color="auto"/>
        <w:right w:val="none" w:sz="0" w:space="0" w:color="auto"/>
      </w:divBdr>
    </w:div>
    <w:div w:id="1652320908">
      <w:bodyDiv w:val="1"/>
      <w:marLeft w:val="0"/>
      <w:marRight w:val="0"/>
      <w:marTop w:val="0"/>
      <w:marBottom w:val="0"/>
      <w:divBdr>
        <w:top w:val="none" w:sz="0" w:space="0" w:color="auto"/>
        <w:left w:val="none" w:sz="0" w:space="0" w:color="auto"/>
        <w:bottom w:val="none" w:sz="0" w:space="0" w:color="auto"/>
        <w:right w:val="none" w:sz="0" w:space="0" w:color="auto"/>
      </w:divBdr>
    </w:div>
    <w:div w:id="1657610571">
      <w:bodyDiv w:val="1"/>
      <w:marLeft w:val="0"/>
      <w:marRight w:val="0"/>
      <w:marTop w:val="0"/>
      <w:marBottom w:val="0"/>
      <w:divBdr>
        <w:top w:val="none" w:sz="0" w:space="0" w:color="auto"/>
        <w:left w:val="none" w:sz="0" w:space="0" w:color="auto"/>
        <w:bottom w:val="none" w:sz="0" w:space="0" w:color="auto"/>
        <w:right w:val="none" w:sz="0" w:space="0" w:color="auto"/>
      </w:divBdr>
    </w:div>
    <w:div w:id="1662585635">
      <w:bodyDiv w:val="1"/>
      <w:marLeft w:val="0"/>
      <w:marRight w:val="0"/>
      <w:marTop w:val="0"/>
      <w:marBottom w:val="0"/>
      <w:divBdr>
        <w:top w:val="none" w:sz="0" w:space="0" w:color="auto"/>
        <w:left w:val="none" w:sz="0" w:space="0" w:color="auto"/>
        <w:bottom w:val="none" w:sz="0" w:space="0" w:color="auto"/>
        <w:right w:val="none" w:sz="0" w:space="0" w:color="auto"/>
      </w:divBdr>
    </w:div>
    <w:div w:id="1681424227">
      <w:bodyDiv w:val="1"/>
      <w:marLeft w:val="0"/>
      <w:marRight w:val="0"/>
      <w:marTop w:val="0"/>
      <w:marBottom w:val="0"/>
      <w:divBdr>
        <w:top w:val="none" w:sz="0" w:space="0" w:color="auto"/>
        <w:left w:val="none" w:sz="0" w:space="0" w:color="auto"/>
        <w:bottom w:val="none" w:sz="0" w:space="0" w:color="auto"/>
        <w:right w:val="none" w:sz="0" w:space="0" w:color="auto"/>
      </w:divBdr>
    </w:div>
    <w:div w:id="1682781070">
      <w:bodyDiv w:val="1"/>
      <w:marLeft w:val="0"/>
      <w:marRight w:val="0"/>
      <w:marTop w:val="0"/>
      <w:marBottom w:val="0"/>
      <w:divBdr>
        <w:top w:val="none" w:sz="0" w:space="0" w:color="auto"/>
        <w:left w:val="none" w:sz="0" w:space="0" w:color="auto"/>
        <w:bottom w:val="none" w:sz="0" w:space="0" w:color="auto"/>
        <w:right w:val="none" w:sz="0" w:space="0" w:color="auto"/>
      </w:divBdr>
    </w:div>
    <w:div w:id="1692025210">
      <w:bodyDiv w:val="1"/>
      <w:marLeft w:val="0"/>
      <w:marRight w:val="0"/>
      <w:marTop w:val="0"/>
      <w:marBottom w:val="0"/>
      <w:divBdr>
        <w:top w:val="none" w:sz="0" w:space="0" w:color="auto"/>
        <w:left w:val="none" w:sz="0" w:space="0" w:color="auto"/>
        <w:bottom w:val="none" w:sz="0" w:space="0" w:color="auto"/>
        <w:right w:val="none" w:sz="0" w:space="0" w:color="auto"/>
      </w:divBdr>
    </w:div>
    <w:div w:id="1697609236">
      <w:bodyDiv w:val="1"/>
      <w:marLeft w:val="0"/>
      <w:marRight w:val="0"/>
      <w:marTop w:val="0"/>
      <w:marBottom w:val="0"/>
      <w:divBdr>
        <w:top w:val="none" w:sz="0" w:space="0" w:color="auto"/>
        <w:left w:val="none" w:sz="0" w:space="0" w:color="auto"/>
        <w:bottom w:val="none" w:sz="0" w:space="0" w:color="auto"/>
        <w:right w:val="none" w:sz="0" w:space="0" w:color="auto"/>
      </w:divBdr>
    </w:div>
    <w:div w:id="1706634204">
      <w:bodyDiv w:val="1"/>
      <w:marLeft w:val="0"/>
      <w:marRight w:val="0"/>
      <w:marTop w:val="0"/>
      <w:marBottom w:val="0"/>
      <w:divBdr>
        <w:top w:val="none" w:sz="0" w:space="0" w:color="auto"/>
        <w:left w:val="none" w:sz="0" w:space="0" w:color="auto"/>
        <w:bottom w:val="none" w:sz="0" w:space="0" w:color="auto"/>
        <w:right w:val="none" w:sz="0" w:space="0" w:color="auto"/>
      </w:divBdr>
    </w:div>
    <w:div w:id="1710182251">
      <w:bodyDiv w:val="1"/>
      <w:marLeft w:val="0"/>
      <w:marRight w:val="0"/>
      <w:marTop w:val="0"/>
      <w:marBottom w:val="0"/>
      <w:divBdr>
        <w:top w:val="none" w:sz="0" w:space="0" w:color="auto"/>
        <w:left w:val="none" w:sz="0" w:space="0" w:color="auto"/>
        <w:bottom w:val="none" w:sz="0" w:space="0" w:color="auto"/>
        <w:right w:val="none" w:sz="0" w:space="0" w:color="auto"/>
      </w:divBdr>
    </w:div>
    <w:div w:id="1715739391">
      <w:bodyDiv w:val="1"/>
      <w:marLeft w:val="0"/>
      <w:marRight w:val="0"/>
      <w:marTop w:val="0"/>
      <w:marBottom w:val="0"/>
      <w:divBdr>
        <w:top w:val="none" w:sz="0" w:space="0" w:color="auto"/>
        <w:left w:val="none" w:sz="0" w:space="0" w:color="auto"/>
        <w:bottom w:val="none" w:sz="0" w:space="0" w:color="auto"/>
        <w:right w:val="none" w:sz="0" w:space="0" w:color="auto"/>
      </w:divBdr>
    </w:div>
    <w:div w:id="1716273057">
      <w:bodyDiv w:val="1"/>
      <w:marLeft w:val="0"/>
      <w:marRight w:val="0"/>
      <w:marTop w:val="0"/>
      <w:marBottom w:val="0"/>
      <w:divBdr>
        <w:top w:val="none" w:sz="0" w:space="0" w:color="auto"/>
        <w:left w:val="none" w:sz="0" w:space="0" w:color="auto"/>
        <w:bottom w:val="none" w:sz="0" w:space="0" w:color="auto"/>
        <w:right w:val="none" w:sz="0" w:space="0" w:color="auto"/>
      </w:divBdr>
    </w:div>
    <w:div w:id="1720590603">
      <w:bodyDiv w:val="1"/>
      <w:marLeft w:val="0"/>
      <w:marRight w:val="0"/>
      <w:marTop w:val="0"/>
      <w:marBottom w:val="0"/>
      <w:divBdr>
        <w:top w:val="none" w:sz="0" w:space="0" w:color="auto"/>
        <w:left w:val="none" w:sz="0" w:space="0" w:color="auto"/>
        <w:bottom w:val="none" w:sz="0" w:space="0" w:color="auto"/>
        <w:right w:val="none" w:sz="0" w:space="0" w:color="auto"/>
      </w:divBdr>
    </w:div>
    <w:div w:id="1726483583">
      <w:bodyDiv w:val="1"/>
      <w:marLeft w:val="0"/>
      <w:marRight w:val="0"/>
      <w:marTop w:val="0"/>
      <w:marBottom w:val="0"/>
      <w:divBdr>
        <w:top w:val="none" w:sz="0" w:space="0" w:color="auto"/>
        <w:left w:val="none" w:sz="0" w:space="0" w:color="auto"/>
        <w:bottom w:val="none" w:sz="0" w:space="0" w:color="auto"/>
        <w:right w:val="none" w:sz="0" w:space="0" w:color="auto"/>
      </w:divBdr>
    </w:div>
    <w:div w:id="1731880305">
      <w:bodyDiv w:val="1"/>
      <w:marLeft w:val="0"/>
      <w:marRight w:val="0"/>
      <w:marTop w:val="0"/>
      <w:marBottom w:val="0"/>
      <w:divBdr>
        <w:top w:val="none" w:sz="0" w:space="0" w:color="auto"/>
        <w:left w:val="none" w:sz="0" w:space="0" w:color="auto"/>
        <w:bottom w:val="none" w:sz="0" w:space="0" w:color="auto"/>
        <w:right w:val="none" w:sz="0" w:space="0" w:color="auto"/>
      </w:divBdr>
    </w:div>
    <w:div w:id="1742945152">
      <w:bodyDiv w:val="1"/>
      <w:marLeft w:val="0"/>
      <w:marRight w:val="0"/>
      <w:marTop w:val="0"/>
      <w:marBottom w:val="0"/>
      <w:divBdr>
        <w:top w:val="none" w:sz="0" w:space="0" w:color="auto"/>
        <w:left w:val="none" w:sz="0" w:space="0" w:color="auto"/>
        <w:bottom w:val="none" w:sz="0" w:space="0" w:color="auto"/>
        <w:right w:val="none" w:sz="0" w:space="0" w:color="auto"/>
      </w:divBdr>
    </w:div>
    <w:div w:id="1750535257">
      <w:bodyDiv w:val="1"/>
      <w:marLeft w:val="0"/>
      <w:marRight w:val="0"/>
      <w:marTop w:val="0"/>
      <w:marBottom w:val="0"/>
      <w:divBdr>
        <w:top w:val="none" w:sz="0" w:space="0" w:color="auto"/>
        <w:left w:val="none" w:sz="0" w:space="0" w:color="auto"/>
        <w:bottom w:val="none" w:sz="0" w:space="0" w:color="auto"/>
        <w:right w:val="none" w:sz="0" w:space="0" w:color="auto"/>
      </w:divBdr>
    </w:div>
    <w:div w:id="1751734684">
      <w:bodyDiv w:val="1"/>
      <w:marLeft w:val="0"/>
      <w:marRight w:val="0"/>
      <w:marTop w:val="0"/>
      <w:marBottom w:val="0"/>
      <w:divBdr>
        <w:top w:val="none" w:sz="0" w:space="0" w:color="auto"/>
        <w:left w:val="none" w:sz="0" w:space="0" w:color="auto"/>
        <w:bottom w:val="none" w:sz="0" w:space="0" w:color="auto"/>
        <w:right w:val="none" w:sz="0" w:space="0" w:color="auto"/>
      </w:divBdr>
    </w:div>
    <w:div w:id="1752316098">
      <w:bodyDiv w:val="1"/>
      <w:marLeft w:val="0"/>
      <w:marRight w:val="0"/>
      <w:marTop w:val="0"/>
      <w:marBottom w:val="0"/>
      <w:divBdr>
        <w:top w:val="none" w:sz="0" w:space="0" w:color="auto"/>
        <w:left w:val="none" w:sz="0" w:space="0" w:color="auto"/>
        <w:bottom w:val="none" w:sz="0" w:space="0" w:color="auto"/>
        <w:right w:val="none" w:sz="0" w:space="0" w:color="auto"/>
      </w:divBdr>
    </w:div>
    <w:div w:id="1760100589">
      <w:bodyDiv w:val="1"/>
      <w:marLeft w:val="0"/>
      <w:marRight w:val="0"/>
      <w:marTop w:val="0"/>
      <w:marBottom w:val="0"/>
      <w:divBdr>
        <w:top w:val="none" w:sz="0" w:space="0" w:color="auto"/>
        <w:left w:val="none" w:sz="0" w:space="0" w:color="auto"/>
        <w:bottom w:val="none" w:sz="0" w:space="0" w:color="auto"/>
        <w:right w:val="none" w:sz="0" w:space="0" w:color="auto"/>
      </w:divBdr>
    </w:div>
    <w:div w:id="1765299779">
      <w:bodyDiv w:val="1"/>
      <w:marLeft w:val="0"/>
      <w:marRight w:val="0"/>
      <w:marTop w:val="0"/>
      <w:marBottom w:val="0"/>
      <w:divBdr>
        <w:top w:val="none" w:sz="0" w:space="0" w:color="auto"/>
        <w:left w:val="none" w:sz="0" w:space="0" w:color="auto"/>
        <w:bottom w:val="none" w:sz="0" w:space="0" w:color="auto"/>
        <w:right w:val="none" w:sz="0" w:space="0" w:color="auto"/>
      </w:divBdr>
    </w:div>
    <w:div w:id="1766415657">
      <w:bodyDiv w:val="1"/>
      <w:marLeft w:val="0"/>
      <w:marRight w:val="0"/>
      <w:marTop w:val="0"/>
      <w:marBottom w:val="0"/>
      <w:divBdr>
        <w:top w:val="none" w:sz="0" w:space="0" w:color="auto"/>
        <w:left w:val="none" w:sz="0" w:space="0" w:color="auto"/>
        <w:bottom w:val="none" w:sz="0" w:space="0" w:color="auto"/>
        <w:right w:val="none" w:sz="0" w:space="0" w:color="auto"/>
      </w:divBdr>
    </w:div>
    <w:div w:id="1769083785">
      <w:bodyDiv w:val="1"/>
      <w:marLeft w:val="0"/>
      <w:marRight w:val="0"/>
      <w:marTop w:val="0"/>
      <w:marBottom w:val="0"/>
      <w:divBdr>
        <w:top w:val="none" w:sz="0" w:space="0" w:color="auto"/>
        <w:left w:val="none" w:sz="0" w:space="0" w:color="auto"/>
        <w:bottom w:val="none" w:sz="0" w:space="0" w:color="auto"/>
        <w:right w:val="none" w:sz="0" w:space="0" w:color="auto"/>
      </w:divBdr>
    </w:div>
    <w:div w:id="1781992520">
      <w:bodyDiv w:val="1"/>
      <w:marLeft w:val="0"/>
      <w:marRight w:val="0"/>
      <w:marTop w:val="0"/>
      <w:marBottom w:val="0"/>
      <w:divBdr>
        <w:top w:val="none" w:sz="0" w:space="0" w:color="auto"/>
        <w:left w:val="none" w:sz="0" w:space="0" w:color="auto"/>
        <w:bottom w:val="none" w:sz="0" w:space="0" w:color="auto"/>
        <w:right w:val="none" w:sz="0" w:space="0" w:color="auto"/>
      </w:divBdr>
    </w:div>
    <w:div w:id="1789004566">
      <w:bodyDiv w:val="1"/>
      <w:marLeft w:val="0"/>
      <w:marRight w:val="0"/>
      <w:marTop w:val="0"/>
      <w:marBottom w:val="0"/>
      <w:divBdr>
        <w:top w:val="none" w:sz="0" w:space="0" w:color="auto"/>
        <w:left w:val="none" w:sz="0" w:space="0" w:color="auto"/>
        <w:bottom w:val="none" w:sz="0" w:space="0" w:color="auto"/>
        <w:right w:val="none" w:sz="0" w:space="0" w:color="auto"/>
      </w:divBdr>
    </w:div>
    <w:div w:id="1791315758">
      <w:bodyDiv w:val="1"/>
      <w:marLeft w:val="0"/>
      <w:marRight w:val="0"/>
      <w:marTop w:val="0"/>
      <w:marBottom w:val="0"/>
      <w:divBdr>
        <w:top w:val="none" w:sz="0" w:space="0" w:color="auto"/>
        <w:left w:val="none" w:sz="0" w:space="0" w:color="auto"/>
        <w:bottom w:val="none" w:sz="0" w:space="0" w:color="auto"/>
        <w:right w:val="none" w:sz="0" w:space="0" w:color="auto"/>
      </w:divBdr>
    </w:div>
    <w:div w:id="179621570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378249">
      <w:bodyDiv w:val="1"/>
      <w:marLeft w:val="0"/>
      <w:marRight w:val="0"/>
      <w:marTop w:val="0"/>
      <w:marBottom w:val="0"/>
      <w:divBdr>
        <w:top w:val="none" w:sz="0" w:space="0" w:color="auto"/>
        <w:left w:val="none" w:sz="0" w:space="0" w:color="auto"/>
        <w:bottom w:val="none" w:sz="0" w:space="0" w:color="auto"/>
        <w:right w:val="none" w:sz="0" w:space="0" w:color="auto"/>
      </w:divBdr>
    </w:div>
    <w:div w:id="1803688936">
      <w:bodyDiv w:val="1"/>
      <w:marLeft w:val="0"/>
      <w:marRight w:val="0"/>
      <w:marTop w:val="0"/>
      <w:marBottom w:val="0"/>
      <w:divBdr>
        <w:top w:val="none" w:sz="0" w:space="0" w:color="auto"/>
        <w:left w:val="none" w:sz="0" w:space="0" w:color="auto"/>
        <w:bottom w:val="none" w:sz="0" w:space="0" w:color="auto"/>
        <w:right w:val="none" w:sz="0" w:space="0" w:color="auto"/>
      </w:divBdr>
    </w:div>
    <w:div w:id="1806972826">
      <w:bodyDiv w:val="1"/>
      <w:marLeft w:val="0"/>
      <w:marRight w:val="0"/>
      <w:marTop w:val="0"/>
      <w:marBottom w:val="0"/>
      <w:divBdr>
        <w:top w:val="none" w:sz="0" w:space="0" w:color="auto"/>
        <w:left w:val="none" w:sz="0" w:space="0" w:color="auto"/>
        <w:bottom w:val="none" w:sz="0" w:space="0" w:color="auto"/>
        <w:right w:val="none" w:sz="0" w:space="0" w:color="auto"/>
      </w:divBdr>
    </w:div>
    <w:div w:id="1807818926">
      <w:bodyDiv w:val="1"/>
      <w:marLeft w:val="0"/>
      <w:marRight w:val="0"/>
      <w:marTop w:val="0"/>
      <w:marBottom w:val="0"/>
      <w:divBdr>
        <w:top w:val="none" w:sz="0" w:space="0" w:color="auto"/>
        <w:left w:val="none" w:sz="0" w:space="0" w:color="auto"/>
        <w:bottom w:val="none" w:sz="0" w:space="0" w:color="auto"/>
        <w:right w:val="none" w:sz="0" w:space="0" w:color="auto"/>
      </w:divBdr>
    </w:div>
    <w:div w:id="1809980883">
      <w:bodyDiv w:val="1"/>
      <w:marLeft w:val="0"/>
      <w:marRight w:val="0"/>
      <w:marTop w:val="0"/>
      <w:marBottom w:val="0"/>
      <w:divBdr>
        <w:top w:val="none" w:sz="0" w:space="0" w:color="auto"/>
        <w:left w:val="none" w:sz="0" w:space="0" w:color="auto"/>
        <w:bottom w:val="none" w:sz="0" w:space="0" w:color="auto"/>
        <w:right w:val="none" w:sz="0" w:space="0" w:color="auto"/>
      </w:divBdr>
    </w:div>
    <w:div w:id="1818499218">
      <w:bodyDiv w:val="1"/>
      <w:marLeft w:val="0"/>
      <w:marRight w:val="0"/>
      <w:marTop w:val="0"/>
      <w:marBottom w:val="0"/>
      <w:divBdr>
        <w:top w:val="none" w:sz="0" w:space="0" w:color="auto"/>
        <w:left w:val="none" w:sz="0" w:space="0" w:color="auto"/>
        <w:bottom w:val="none" w:sz="0" w:space="0" w:color="auto"/>
        <w:right w:val="none" w:sz="0" w:space="0" w:color="auto"/>
      </w:divBdr>
    </w:div>
    <w:div w:id="1819103801">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384545">
      <w:bodyDiv w:val="1"/>
      <w:marLeft w:val="0"/>
      <w:marRight w:val="0"/>
      <w:marTop w:val="0"/>
      <w:marBottom w:val="0"/>
      <w:divBdr>
        <w:top w:val="none" w:sz="0" w:space="0" w:color="auto"/>
        <w:left w:val="none" w:sz="0" w:space="0" w:color="auto"/>
        <w:bottom w:val="none" w:sz="0" w:space="0" w:color="auto"/>
        <w:right w:val="none" w:sz="0" w:space="0" w:color="auto"/>
      </w:divBdr>
    </w:div>
    <w:div w:id="1827041112">
      <w:bodyDiv w:val="1"/>
      <w:marLeft w:val="0"/>
      <w:marRight w:val="0"/>
      <w:marTop w:val="0"/>
      <w:marBottom w:val="0"/>
      <w:divBdr>
        <w:top w:val="none" w:sz="0" w:space="0" w:color="auto"/>
        <w:left w:val="none" w:sz="0" w:space="0" w:color="auto"/>
        <w:bottom w:val="none" w:sz="0" w:space="0" w:color="auto"/>
        <w:right w:val="none" w:sz="0" w:space="0" w:color="auto"/>
      </w:divBdr>
    </w:div>
    <w:div w:id="1828283009">
      <w:bodyDiv w:val="1"/>
      <w:marLeft w:val="0"/>
      <w:marRight w:val="0"/>
      <w:marTop w:val="0"/>
      <w:marBottom w:val="0"/>
      <w:divBdr>
        <w:top w:val="none" w:sz="0" w:space="0" w:color="auto"/>
        <w:left w:val="none" w:sz="0" w:space="0" w:color="auto"/>
        <w:bottom w:val="none" w:sz="0" w:space="0" w:color="auto"/>
        <w:right w:val="none" w:sz="0" w:space="0" w:color="auto"/>
      </w:divBdr>
    </w:div>
    <w:div w:id="1839536092">
      <w:bodyDiv w:val="1"/>
      <w:marLeft w:val="0"/>
      <w:marRight w:val="0"/>
      <w:marTop w:val="0"/>
      <w:marBottom w:val="0"/>
      <w:divBdr>
        <w:top w:val="none" w:sz="0" w:space="0" w:color="auto"/>
        <w:left w:val="none" w:sz="0" w:space="0" w:color="auto"/>
        <w:bottom w:val="none" w:sz="0" w:space="0" w:color="auto"/>
        <w:right w:val="none" w:sz="0" w:space="0" w:color="auto"/>
      </w:divBdr>
    </w:div>
    <w:div w:id="1839614016">
      <w:bodyDiv w:val="1"/>
      <w:marLeft w:val="0"/>
      <w:marRight w:val="0"/>
      <w:marTop w:val="0"/>
      <w:marBottom w:val="0"/>
      <w:divBdr>
        <w:top w:val="none" w:sz="0" w:space="0" w:color="auto"/>
        <w:left w:val="none" w:sz="0" w:space="0" w:color="auto"/>
        <w:bottom w:val="none" w:sz="0" w:space="0" w:color="auto"/>
        <w:right w:val="none" w:sz="0" w:space="0" w:color="auto"/>
      </w:divBdr>
    </w:div>
    <w:div w:id="1841192334">
      <w:bodyDiv w:val="1"/>
      <w:marLeft w:val="0"/>
      <w:marRight w:val="0"/>
      <w:marTop w:val="0"/>
      <w:marBottom w:val="0"/>
      <w:divBdr>
        <w:top w:val="none" w:sz="0" w:space="0" w:color="auto"/>
        <w:left w:val="none" w:sz="0" w:space="0" w:color="auto"/>
        <w:bottom w:val="none" w:sz="0" w:space="0" w:color="auto"/>
        <w:right w:val="none" w:sz="0" w:space="0" w:color="auto"/>
      </w:divBdr>
    </w:div>
    <w:div w:id="1843163559">
      <w:bodyDiv w:val="1"/>
      <w:marLeft w:val="0"/>
      <w:marRight w:val="0"/>
      <w:marTop w:val="0"/>
      <w:marBottom w:val="0"/>
      <w:divBdr>
        <w:top w:val="none" w:sz="0" w:space="0" w:color="auto"/>
        <w:left w:val="none" w:sz="0" w:space="0" w:color="auto"/>
        <w:bottom w:val="none" w:sz="0" w:space="0" w:color="auto"/>
        <w:right w:val="none" w:sz="0" w:space="0" w:color="auto"/>
      </w:divBdr>
    </w:div>
    <w:div w:id="1846240391">
      <w:bodyDiv w:val="1"/>
      <w:marLeft w:val="0"/>
      <w:marRight w:val="0"/>
      <w:marTop w:val="0"/>
      <w:marBottom w:val="0"/>
      <w:divBdr>
        <w:top w:val="none" w:sz="0" w:space="0" w:color="auto"/>
        <w:left w:val="none" w:sz="0" w:space="0" w:color="auto"/>
        <w:bottom w:val="none" w:sz="0" w:space="0" w:color="auto"/>
        <w:right w:val="none" w:sz="0" w:space="0" w:color="auto"/>
      </w:divBdr>
    </w:div>
    <w:div w:id="1847790621">
      <w:bodyDiv w:val="1"/>
      <w:marLeft w:val="0"/>
      <w:marRight w:val="0"/>
      <w:marTop w:val="0"/>
      <w:marBottom w:val="0"/>
      <w:divBdr>
        <w:top w:val="none" w:sz="0" w:space="0" w:color="auto"/>
        <w:left w:val="none" w:sz="0" w:space="0" w:color="auto"/>
        <w:bottom w:val="none" w:sz="0" w:space="0" w:color="auto"/>
        <w:right w:val="none" w:sz="0" w:space="0" w:color="auto"/>
      </w:divBdr>
    </w:div>
    <w:div w:id="1849367213">
      <w:bodyDiv w:val="1"/>
      <w:marLeft w:val="0"/>
      <w:marRight w:val="0"/>
      <w:marTop w:val="0"/>
      <w:marBottom w:val="0"/>
      <w:divBdr>
        <w:top w:val="none" w:sz="0" w:space="0" w:color="auto"/>
        <w:left w:val="none" w:sz="0" w:space="0" w:color="auto"/>
        <w:bottom w:val="none" w:sz="0" w:space="0" w:color="auto"/>
        <w:right w:val="none" w:sz="0" w:space="0" w:color="auto"/>
      </w:divBdr>
    </w:div>
    <w:div w:id="1852719624">
      <w:bodyDiv w:val="1"/>
      <w:marLeft w:val="0"/>
      <w:marRight w:val="0"/>
      <w:marTop w:val="0"/>
      <w:marBottom w:val="0"/>
      <w:divBdr>
        <w:top w:val="none" w:sz="0" w:space="0" w:color="auto"/>
        <w:left w:val="none" w:sz="0" w:space="0" w:color="auto"/>
        <w:bottom w:val="none" w:sz="0" w:space="0" w:color="auto"/>
        <w:right w:val="none" w:sz="0" w:space="0" w:color="auto"/>
      </w:divBdr>
    </w:div>
    <w:div w:id="1860586120">
      <w:bodyDiv w:val="1"/>
      <w:marLeft w:val="0"/>
      <w:marRight w:val="0"/>
      <w:marTop w:val="0"/>
      <w:marBottom w:val="0"/>
      <w:divBdr>
        <w:top w:val="none" w:sz="0" w:space="0" w:color="auto"/>
        <w:left w:val="none" w:sz="0" w:space="0" w:color="auto"/>
        <w:bottom w:val="none" w:sz="0" w:space="0" w:color="auto"/>
        <w:right w:val="none" w:sz="0" w:space="0" w:color="auto"/>
      </w:divBdr>
    </w:div>
    <w:div w:id="1865051477">
      <w:bodyDiv w:val="1"/>
      <w:marLeft w:val="0"/>
      <w:marRight w:val="0"/>
      <w:marTop w:val="0"/>
      <w:marBottom w:val="0"/>
      <w:divBdr>
        <w:top w:val="none" w:sz="0" w:space="0" w:color="auto"/>
        <w:left w:val="none" w:sz="0" w:space="0" w:color="auto"/>
        <w:bottom w:val="none" w:sz="0" w:space="0" w:color="auto"/>
        <w:right w:val="none" w:sz="0" w:space="0" w:color="auto"/>
      </w:divBdr>
    </w:div>
    <w:div w:id="1866937637">
      <w:bodyDiv w:val="1"/>
      <w:marLeft w:val="0"/>
      <w:marRight w:val="0"/>
      <w:marTop w:val="0"/>
      <w:marBottom w:val="0"/>
      <w:divBdr>
        <w:top w:val="none" w:sz="0" w:space="0" w:color="auto"/>
        <w:left w:val="none" w:sz="0" w:space="0" w:color="auto"/>
        <w:bottom w:val="none" w:sz="0" w:space="0" w:color="auto"/>
        <w:right w:val="none" w:sz="0" w:space="0" w:color="auto"/>
      </w:divBdr>
    </w:div>
    <w:div w:id="1867714367">
      <w:bodyDiv w:val="1"/>
      <w:marLeft w:val="0"/>
      <w:marRight w:val="0"/>
      <w:marTop w:val="0"/>
      <w:marBottom w:val="0"/>
      <w:divBdr>
        <w:top w:val="none" w:sz="0" w:space="0" w:color="auto"/>
        <w:left w:val="none" w:sz="0" w:space="0" w:color="auto"/>
        <w:bottom w:val="none" w:sz="0" w:space="0" w:color="auto"/>
        <w:right w:val="none" w:sz="0" w:space="0" w:color="auto"/>
      </w:divBdr>
    </w:div>
    <w:div w:id="1876235615">
      <w:bodyDiv w:val="1"/>
      <w:marLeft w:val="0"/>
      <w:marRight w:val="0"/>
      <w:marTop w:val="0"/>
      <w:marBottom w:val="0"/>
      <w:divBdr>
        <w:top w:val="none" w:sz="0" w:space="0" w:color="auto"/>
        <w:left w:val="none" w:sz="0" w:space="0" w:color="auto"/>
        <w:bottom w:val="none" w:sz="0" w:space="0" w:color="auto"/>
        <w:right w:val="none" w:sz="0" w:space="0" w:color="auto"/>
      </w:divBdr>
    </w:div>
    <w:div w:id="1885822700">
      <w:bodyDiv w:val="1"/>
      <w:marLeft w:val="0"/>
      <w:marRight w:val="0"/>
      <w:marTop w:val="0"/>
      <w:marBottom w:val="0"/>
      <w:divBdr>
        <w:top w:val="none" w:sz="0" w:space="0" w:color="auto"/>
        <w:left w:val="none" w:sz="0" w:space="0" w:color="auto"/>
        <w:bottom w:val="none" w:sz="0" w:space="0" w:color="auto"/>
        <w:right w:val="none" w:sz="0" w:space="0" w:color="auto"/>
      </w:divBdr>
    </w:div>
    <w:div w:id="1886746721">
      <w:bodyDiv w:val="1"/>
      <w:marLeft w:val="0"/>
      <w:marRight w:val="0"/>
      <w:marTop w:val="0"/>
      <w:marBottom w:val="0"/>
      <w:divBdr>
        <w:top w:val="none" w:sz="0" w:space="0" w:color="auto"/>
        <w:left w:val="none" w:sz="0" w:space="0" w:color="auto"/>
        <w:bottom w:val="none" w:sz="0" w:space="0" w:color="auto"/>
        <w:right w:val="none" w:sz="0" w:space="0" w:color="auto"/>
      </w:divBdr>
    </w:div>
    <w:div w:id="1886913656">
      <w:bodyDiv w:val="1"/>
      <w:marLeft w:val="0"/>
      <w:marRight w:val="0"/>
      <w:marTop w:val="0"/>
      <w:marBottom w:val="0"/>
      <w:divBdr>
        <w:top w:val="none" w:sz="0" w:space="0" w:color="auto"/>
        <w:left w:val="none" w:sz="0" w:space="0" w:color="auto"/>
        <w:bottom w:val="none" w:sz="0" w:space="0" w:color="auto"/>
        <w:right w:val="none" w:sz="0" w:space="0" w:color="auto"/>
      </w:divBdr>
    </w:div>
    <w:div w:id="1894728558">
      <w:bodyDiv w:val="1"/>
      <w:marLeft w:val="0"/>
      <w:marRight w:val="0"/>
      <w:marTop w:val="0"/>
      <w:marBottom w:val="0"/>
      <w:divBdr>
        <w:top w:val="none" w:sz="0" w:space="0" w:color="auto"/>
        <w:left w:val="none" w:sz="0" w:space="0" w:color="auto"/>
        <w:bottom w:val="none" w:sz="0" w:space="0" w:color="auto"/>
        <w:right w:val="none" w:sz="0" w:space="0" w:color="auto"/>
      </w:divBdr>
    </w:div>
    <w:div w:id="1900752196">
      <w:bodyDiv w:val="1"/>
      <w:marLeft w:val="0"/>
      <w:marRight w:val="0"/>
      <w:marTop w:val="0"/>
      <w:marBottom w:val="0"/>
      <w:divBdr>
        <w:top w:val="none" w:sz="0" w:space="0" w:color="auto"/>
        <w:left w:val="none" w:sz="0" w:space="0" w:color="auto"/>
        <w:bottom w:val="none" w:sz="0" w:space="0" w:color="auto"/>
        <w:right w:val="none" w:sz="0" w:space="0" w:color="auto"/>
      </w:divBdr>
    </w:div>
    <w:div w:id="1901357109">
      <w:bodyDiv w:val="1"/>
      <w:marLeft w:val="0"/>
      <w:marRight w:val="0"/>
      <w:marTop w:val="0"/>
      <w:marBottom w:val="0"/>
      <w:divBdr>
        <w:top w:val="none" w:sz="0" w:space="0" w:color="auto"/>
        <w:left w:val="none" w:sz="0" w:space="0" w:color="auto"/>
        <w:bottom w:val="none" w:sz="0" w:space="0" w:color="auto"/>
        <w:right w:val="none" w:sz="0" w:space="0" w:color="auto"/>
      </w:divBdr>
    </w:div>
    <w:div w:id="1905527770">
      <w:bodyDiv w:val="1"/>
      <w:marLeft w:val="0"/>
      <w:marRight w:val="0"/>
      <w:marTop w:val="0"/>
      <w:marBottom w:val="0"/>
      <w:divBdr>
        <w:top w:val="none" w:sz="0" w:space="0" w:color="auto"/>
        <w:left w:val="none" w:sz="0" w:space="0" w:color="auto"/>
        <w:bottom w:val="none" w:sz="0" w:space="0" w:color="auto"/>
        <w:right w:val="none" w:sz="0" w:space="0" w:color="auto"/>
      </w:divBdr>
    </w:div>
    <w:div w:id="1906724299">
      <w:bodyDiv w:val="1"/>
      <w:marLeft w:val="0"/>
      <w:marRight w:val="0"/>
      <w:marTop w:val="0"/>
      <w:marBottom w:val="0"/>
      <w:divBdr>
        <w:top w:val="none" w:sz="0" w:space="0" w:color="auto"/>
        <w:left w:val="none" w:sz="0" w:space="0" w:color="auto"/>
        <w:bottom w:val="none" w:sz="0" w:space="0" w:color="auto"/>
        <w:right w:val="none" w:sz="0" w:space="0" w:color="auto"/>
      </w:divBdr>
    </w:div>
    <w:div w:id="1918663192">
      <w:bodyDiv w:val="1"/>
      <w:marLeft w:val="0"/>
      <w:marRight w:val="0"/>
      <w:marTop w:val="0"/>
      <w:marBottom w:val="0"/>
      <w:divBdr>
        <w:top w:val="none" w:sz="0" w:space="0" w:color="auto"/>
        <w:left w:val="none" w:sz="0" w:space="0" w:color="auto"/>
        <w:bottom w:val="none" w:sz="0" w:space="0" w:color="auto"/>
        <w:right w:val="none" w:sz="0" w:space="0" w:color="auto"/>
      </w:divBdr>
    </w:div>
    <w:div w:id="1920671702">
      <w:bodyDiv w:val="1"/>
      <w:marLeft w:val="0"/>
      <w:marRight w:val="0"/>
      <w:marTop w:val="0"/>
      <w:marBottom w:val="0"/>
      <w:divBdr>
        <w:top w:val="none" w:sz="0" w:space="0" w:color="auto"/>
        <w:left w:val="none" w:sz="0" w:space="0" w:color="auto"/>
        <w:bottom w:val="none" w:sz="0" w:space="0" w:color="auto"/>
        <w:right w:val="none" w:sz="0" w:space="0" w:color="auto"/>
      </w:divBdr>
    </w:div>
    <w:div w:id="1928880230">
      <w:bodyDiv w:val="1"/>
      <w:marLeft w:val="0"/>
      <w:marRight w:val="0"/>
      <w:marTop w:val="0"/>
      <w:marBottom w:val="0"/>
      <w:divBdr>
        <w:top w:val="none" w:sz="0" w:space="0" w:color="auto"/>
        <w:left w:val="none" w:sz="0" w:space="0" w:color="auto"/>
        <w:bottom w:val="none" w:sz="0" w:space="0" w:color="auto"/>
        <w:right w:val="none" w:sz="0" w:space="0" w:color="auto"/>
      </w:divBdr>
    </w:div>
    <w:div w:id="1935935260">
      <w:bodyDiv w:val="1"/>
      <w:marLeft w:val="0"/>
      <w:marRight w:val="0"/>
      <w:marTop w:val="0"/>
      <w:marBottom w:val="0"/>
      <w:divBdr>
        <w:top w:val="none" w:sz="0" w:space="0" w:color="auto"/>
        <w:left w:val="none" w:sz="0" w:space="0" w:color="auto"/>
        <w:bottom w:val="none" w:sz="0" w:space="0" w:color="auto"/>
        <w:right w:val="none" w:sz="0" w:space="0" w:color="auto"/>
      </w:divBdr>
    </w:div>
    <w:div w:id="1939747395">
      <w:bodyDiv w:val="1"/>
      <w:marLeft w:val="0"/>
      <w:marRight w:val="0"/>
      <w:marTop w:val="0"/>
      <w:marBottom w:val="0"/>
      <w:divBdr>
        <w:top w:val="none" w:sz="0" w:space="0" w:color="auto"/>
        <w:left w:val="none" w:sz="0" w:space="0" w:color="auto"/>
        <w:bottom w:val="none" w:sz="0" w:space="0" w:color="auto"/>
        <w:right w:val="none" w:sz="0" w:space="0" w:color="auto"/>
      </w:divBdr>
    </w:div>
    <w:div w:id="1953435312">
      <w:bodyDiv w:val="1"/>
      <w:marLeft w:val="0"/>
      <w:marRight w:val="0"/>
      <w:marTop w:val="0"/>
      <w:marBottom w:val="0"/>
      <w:divBdr>
        <w:top w:val="none" w:sz="0" w:space="0" w:color="auto"/>
        <w:left w:val="none" w:sz="0" w:space="0" w:color="auto"/>
        <w:bottom w:val="none" w:sz="0" w:space="0" w:color="auto"/>
        <w:right w:val="none" w:sz="0" w:space="0" w:color="auto"/>
      </w:divBdr>
    </w:div>
    <w:div w:id="1976642239">
      <w:bodyDiv w:val="1"/>
      <w:marLeft w:val="0"/>
      <w:marRight w:val="0"/>
      <w:marTop w:val="0"/>
      <w:marBottom w:val="0"/>
      <w:divBdr>
        <w:top w:val="none" w:sz="0" w:space="0" w:color="auto"/>
        <w:left w:val="none" w:sz="0" w:space="0" w:color="auto"/>
        <w:bottom w:val="none" w:sz="0" w:space="0" w:color="auto"/>
        <w:right w:val="none" w:sz="0" w:space="0" w:color="auto"/>
      </w:divBdr>
    </w:div>
    <w:div w:id="1979333385">
      <w:bodyDiv w:val="1"/>
      <w:marLeft w:val="0"/>
      <w:marRight w:val="0"/>
      <w:marTop w:val="0"/>
      <w:marBottom w:val="0"/>
      <w:divBdr>
        <w:top w:val="none" w:sz="0" w:space="0" w:color="auto"/>
        <w:left w:val="none" w:sz="0" w:space="0" w:color="auto"/>
        <w:bottom w:val="none" w:sz="0" w:space="0" w:color="auto"/>
        <w:right w:val="none" w:sz="0" w:space="0" w:color="auto"/>
      </w:divBdr>
    </w:div>
    <w:div w:id="1983540520">
      <w:bodyDiv w:val="1"/>
      <w:marLeft w:val="0"/>
      <w:marRight w:val="0"/>
      <w:marTop w:val="0"/>
      <w:marBottom w:val="0"/>
      <w:divBdr>
        <w:top w:val="none" w:sz="0" w:space="0" w:color="auto"/>
        <w:left w:val="none" w:sz="0" w:space="0" w:color="auto"/>
        <w:bottom w:val="none" w:sz="0" w:space="0" w:color="auto"/>
        <w:right w:val="none" w:sz="0" w:space="0" w:color="auto"/>
      </w:divBdr>
    </w:div>
    <w:div w:id="1985574804">
      <w:bodyDiv w:val="1"/>
      <w:marLeft w:val="0"/>
      <w:marRight w:val="0"/>
      <w:marTop w:val="0"/>
      <w:marBottom w:val="0"/>
      <w:divBdr>
        <w:top w:val="none" w:sz="0" w:space="0" w:color="auto"/>
        <w:left w:val="none" w:sz="0" w:space="0" w:color="auto"/>
        <w:bottom w:val="none" w:sz="0" w:space="0" w:color="auto"/>
        <w:right w:val="none" w:sz="0" w:space="0" w:color="auto"/>
      </w:divBdr>
    </w:div>
    <w:div w:id="1991670264">
      <w:bodyDiv w:val="1"/>
      <w:marLeft w:val="0"/>
      <w:marRight w:val="0"/>
      <w:marTop w:val="0"/>
      <w:marBottom w:val="0"/>
      <w:divBdr>
        <w:top w:val="none" w:sz="0" w:space="0" w:color="auto"/>
        <w:left w:val="none" w:sz="0" w:space="0" w:color="auto"/>
        <w:bottom w:val="none" w:sz="0" w:space="0" w:color="auto"/>
        <w:right w:val="none" w:sz="0" w:space="0" w:color="auto"/>
      </w:divBdr>
    </w:div>
    <w:div w:id="2001807291">
      <w:bodyDiv w:val="1"/>
      <w:marLeft w:val="0"/>
      <w:marRight w:val="0"/>
      <w:marTop w:val="0"/>
      <w:marBottom w:val="0"/>
      <w:divBdr>
        <w:top w:val="none" w:sz="0" w:space="0" w:color="auto"/>
        <w:left w:val="none" w:sz="0" w:space="0" w:color="auto"/>
        <w:bottom w:val="none" w:sz="0" w:space="0" w:color="auto"/>
        <w:right w:val="none" w:sz="0" w:space="0" w:color="auto"/>
      </w:divBdr>
    </w:div>
    <w:div w:id="2002464811">
      <w:bodyDiv w:val="1"/>
      <w:marLeft w:val="0"/>
      <w:marRight w:val="0"/>
      <w:marTop w:val="0"/>
      <w:marBottom w:val="0"/>
      <w:divBdr>
        <w:top w:val="none" w:sz="0" w:space="0" w:color="auto"/>
        <w:left w:val="none" w:sz="0" w:space="0" w:color="auto"/>
        <w:bottom w:val="none" w:sz="0" w:space="0" w:color="auto"/>
        <w:right w:val="none" w:sz="0" w:space="0" w:color="auto"/>
      </w:divBdr>
    </w:div>
    <w:div w:id="2002657464">
      <w:bodyDiv w:val="1"/>
      <w:marLeft w:val="0"/>
      <w:marRight w:val="0"/>
      <w:marTop w:val="0"/>
      <w:marBottom w:val="0"/>
      <w:divBdr>
        <w:top w:val="none" w:sz="0" w:space="0" w:color="auto"/>
        <w:left w:val="none" w:sz="0" w:space="0" w:color="auto"/>
        <w:bottom w:val="none" w:sz="0" w:space="0" w:color="auto"/>
        <w:right w:val="none" w:sz="0" w:space="0" w:color="auto"/>
      </w:divBdr>
    </w:div>
    <w:div w:id="2010139469">
      <w:bodyDiv w:val="1"/>
      <w:marLeft w:val="0"/>
      <w:marRight w:val="0"/>
      <w:marTop w:val="0"/>
      <w:marBottom w:val="0"/>
      <w:divBdr>
        <w:top w:val="none" w:sz="0" w:space="0" w:color="auto"/>
        <w:left w:val="none" w:sz="0" w:space="0" w:color="auto"/>
        <w:bottom w:val="none" w:sz="0" w:space="0" w:color="auto"/>
        <w:right w:val="none" w:sz="0" w:space="0" w:color="auto"/>
      </w:divBdr>
    </w:div>
    <w:div w:id="2010475427">
      <w:bodyDiv w:val="1"/>
      <w:marLeft w:val="0"/>
      <w:marRight w:val="0"/>
      <w:marTop w:val="0"/>
      <w:marBottom w:val="0"/>
      <w:divBdr>
        <w:top w:val="none" w:sz="0" w:space="0" w:color="auto"/>
        <w:left w:val="none" w:sz="0" w:space="0" w:color="auto"/>
        <w:bottom w:val="none" w:sz="0" w:space="0" w:color="auto"/>
        <w:right w:val="none" w:sz="0" w:space="0" w:color="auto"/>
      </w:divBdr>
    </w:div>
    <w:div w:id="2014067774">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32874295">
      <w:bodyDiv w:val="1"/>
      <w:marLeft w:val="0"/>
      <w:marRight w:val="0"/>
      <w:marTop w:val="0"/>
      <w:marBottom w:val="0"/>
      <w:divBdr>
        <w:top w:val="none" w:sz="0" w:space="0" w:color="auto"/>
        <w:left w:val="none" w:sz="0" w:space="0" w:color="auto"/>
        <w:bottom w:val="none" w:sz="0" w:space="0" w:color="auto"/>
        <w:right w:val="none" w:sz="0" w:space="0" w:color="auto"/>
      </w:divBdr>
    </w:div>
    <w:div w:id="2033677189">
      <w:bodyDiv w:val="1"/>
      <w:marLeft w:val="0"/>
      <w:marRight w:val="0"/>
      <w:marTop w:val="0"/>
      <w:marBottom w:val="0"/>
      <w:divBdr>
        <w:top w:val="none" w:sz="0" w:space="0" w:color="auto"/>
        <w:left w:val="none" w:sz="0" w:space="0" w:color="auto"/>
        <w:bottom w:val="none" w:sz="0" w:space="0" w:color="auto"/>
        <w:right w:val="none" w:sz="0" w:space="0" w:color="auto"/>
      </w:divBdr>
    </w:div>
    <w:div w:id="2034577147">
      <w:bodyDiv w:val="1"/>
      <w:marLeft w:val="0"/>
      <w:marRight w:val="0"/>
      <w:marTop w:val="0"/>
      <w:marBottom w:val="0"/>
      <w:divBdr>
        <w:top w:val="none" w:sz="0" w:space="0" w:color="auto"/>
        <w:left w:val="none" w:sz="0" w:space="0" w:color="auto"/>
        <w:bottom w:val="none" w:sz="0" w:space="0" w:color="auto"/>
        <w:right w:val="none" w:sz="0" w:space="0" w:color="auto"/>
      </w:divBdr>
    </w:div>
    <w:div w:id="2039622983">
      <w:bodyDiv w:val="1"/>
      <w:marLeft w:val="0"/>
      <w:marRight w:val="0"/>
      <w:marTop w:val="0"/>
      <w:marBottom w:val="0"/>
      <w:divBdr>
        <w:top w:val="none" w:sz="0" w:space="0" w:color="auto"/>
        <w:left w:val="none" w:sz="0" w:space="0" w:color="auto"/>
        <w:bottom w:val="none" w:sz="0" w:space="0" w:color="auto"/>
        <w:right w:val="none" w:sz="0" w:space="0" w:color="auto"/>
      </w:divBdr>
    </w:div>
    <w:div w:id="2041663953">
      <w:bodyDiv w:val="1"/>
      <w:marLeft w:val="0"/>
      <w:marRight w:val="0"/>
      <w:marTop w:val="0"/>
      <w:marBottom w:val="0"/>
      <w:divBdr>
        <w:top w:val="none" w:sz="0" w:space="0" w:color="auto"/>
        <w:left w:val="none" w:sz="0" w:space="0" w:color="auto"/>
        <w:bottom w:val="none" w:sz="0" w:space="0" w:color="auto"/>
        <w:right w:val="none" w:sz="0" w:space="0" w:color="auto"/>
      </w:divBdr>
    </w:div>
    <w:div w:id="2047410918">
      <w:bodyDiv w:val="1"/>
      <w:marLeft w:val="0"/>
      <w:marRight w:val="0"/>
      <w:marTop w:val="0"/>
      <w:marBottom w:val="0"/>
      <w:divBdr>
        <w:top w:val="none" w:sz="0" w:space="0" w:color="auto"/>
        <w:left w:val="none" w:sz="0" w:space="0" w:color="auto"/>
        <w:bottom w:val="none" w:sz="0" w:space="0" w:color="auto"/>
        <w:right w:val="none" w:sz="0" w:space="0" w:color="auto"/>
      </w:divBdr>
    </w:div>
    <w:div w:id="2066567410">
      <w:bodyDiv w:val="1"/>
      <w:marLeft w:val="0"/>
      <w:marRight w:val="0"/>
      <w:marTop w:val="0"/>
      <w:marBottom w:val="0"/>
      <w:divBdr>
        <w:top w:val="none" w:sz="0" w:space="0" w:color="auto"/>
        <w:left w:val="none" w:sz="0" w:space="0" w:color="auto"/>
        <w:bottom w:val="none" w:sz="0" w:space="0" w:color="auto"/>
        <w:right w:val="none" w:sz="0" w:space="0" w:color="auto"/>
      </w:divBdr>
    </w:div>
    <w:div w:id="2066831727">
      <w:bodyDiv w:val="1"/>
      <w:marLeft w:val="0"/>
      <w:marRight w:val="0"/>
      <w:marTop w:val="0"/>
      <w:marBottom w:val="0"/>
      <w:divBdr>
        <w:top w:val="none" w:sz="0" w:space="0" w:color="auto"/>
        <w:left w:val="none" w:sz="0" w:space="0" w:color="auto"/>
        <w:bottom w:val="none" w:sz="0" w:space="0" w:color="auto"/>
        <w:right w:val="none" w:sz="0" w:space="0" w:color="auto"/>
      </w:divBdr>
    </w:div>
    <w:div w:id="2080589150">
      <w:bodyDiv w:val="1"/>
      <w:marLeft w:val="0"/>
      <w:marRight w:val="0"/>
      <w:marTop w:val="0"/>
      <w:marBottom w:val="0"/>
      <w:divBdr>
        <w:top w:val="none" w:sz="0" w:space="0" w:color="auto"/>
        <w:left w:val="none" w:sz="0" w:space="0" w:color="auto"/>
        <w:bottom w:val="none" w:sz="0" w:space="0" w:color="auto"/>
        <w:right w:val="none" w:sz="0" w:space="0" w:color="auto"/>
      </w:divBdr>
    </w:div>
    <w:div w:id="208171300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8989073">
      <w:bodyDiv w:val="1"/>
      <w:marLeft w:val="0"/>
      <w:marRight w:val="0"/>
      <w:marTop w:val="0"/>
      <w:marBottom w:val="0"/>
      <w:divBdr>
        <w:top w:val="none" w:sz="0" w:space="0" w:color="auto"/>
        <w:left w:val="none" w:sz="0" w:space="0" w:color="auto"/>
        <w:bottom w:val="none" w:sz="0" w:space="0" w:color="auto"/>
        <w:right w:val="none" w:sz="0" w:space="0" w:color="auto"/>
      </w:divBdr>
    </w:div>
    <w:div w:id="210228953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4789154">
      <w:bodyDiv w:val="1"/>
      <w:marLeft w:val="0"/>
      <w:marRight w:val="0"/>
      <w:marTop w:val="0"/>
      <w:marBottom w:val="0"/>
      <w:divBdr>
        <w:top w:val="none" w:sz="0" w:space="0" w:color="auto"/>
        <w:left w:val="none" w:sz="0" w:space="0" w:color="auto"/>
        <w:bottom w:val="none" w:sz="0" w:space="0" w:color="auto"/>
        <w:right w:val="none" w:sz="0" w:space="0" w:color="auto"/>
      </w:divBdr>
    </w:div>
    <w:div w:id="2124765878">
      <w:bodyDiv w:val="1"/>
      <w:marLeft w:val="0"/>
      <w:marRight w:val="0"/>
      <w:marTop w:val="0"/>
      <w:marBottom w:val="0"/>
      <w:divBdr>
        <w:top w:val="none" w:sz="0" w:space="0" w:color="auto"/>
        <w:left w:val="none" w:sz="0" w:space="0" w:color="auto"/>
        <w:bottom w:val="none" w:sz="0" w:space="0" w:color="auto"/>
        <w:right w:val="none" w:sz="0" w:space="0" w:color="auto"/>
      </w:divBdr>
    </w:div>
    <w:div w:id="2134932949">
      <w:bodyDiv w:val="1"/>
      <w:marLeft w:val="0"/>
      <w:marRight w:val="0"/>
      <w:marTop w:val="0"/>
      <w:marBottom w:val="0"/>
      <w:divBdr>
        <w:top w:val="none" w:sz="0" w:space="0" w:color="auto"/>
        <w:left w:val="none" w:sz="0" w:space="0" w:color="auto"/>
        <w:bottom w:val="none" w:sz="0" w:space="0" w:color="auto"/>
        <w:right w:val="none" w:sz="0" w:space="0" w:color="auto"/>
      </w:divBdr>
    </w:div>
    <w:div w:id="2135824443">
      <w:bodyDiv w:val="1"/>
      <w:marLeft w:val="0"/>
      <w:marRight w:val="0"/>
      <w:marTop w:val="0"/>
      <w:marBottom w:val="0"/>
      <w:divBdr>
        <w:top w:val="none" w:sz="0" w:space="0" w:color="auto"/>
        <w:left w:val="none" w:sz="0" w:space="0" w:color="auto"/>
        <w:bottom w:val="none" w:sz="0" w:space="0" w:color="auto"/>
        <w:right w:val="none" w:sz="0" w:space="0" w:color="auto"/>
      </w:divBdr>
    </w:div>
    <w:div w:id="214624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prodonrgov.sharepoint.com/:w:/r/sites/HOW2Hub/Shared%20Documents/ONR-RD-REF-001%20-%20An%20introduction%20to%20ONR%E2%80%99s%20technical%20assessment%20and%20inspection%20guides.docx?d=w8e4e9ed1281f4385a2f4bc4f180102b9&amp;csf=1&amp;web=1&amp;e=9mAXbn&amp;xsdata=MDV8MDJ8QW50aG9ueS5NY0ZhZGRlbkBvbnIuZ292LnVrfGRhNmExNzc2Y2Y1MjRiZTBiN2I3MDhkZGYxZjEwN2VlfDc0Mjc3NWRmODA3NzQ4ZDY4MWQwMWU4MmExZjUyY2I4fDB8MHw2Mzg5MzI3Mzk3MDM3ODY5Mjd8VW5rbm93bnxUV0ZwYkdac2IzZDhleUpGYlhCMGVVMWhjR2tpT25SeWRXVXNJbFlpT2lJd0xqQXVNREF3TUNJc0lsQWlPaUpYYVc0ek1pSXNJa0ZPSWpvaVRXRnBiQ0lzSWxkVUlqb3lmUT09fDB8fHw%3d&amp;sdata=cHVBQmlzdnpxR3ZEL1MwejN0WHpkbjNrRlJBZHlzT2hQeGpCc1gvWmhkcz0%3d"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F5AB315F71AF4D3CB6D7ECE4596F20C4"/>
        <w:category>
          <w:name w:val="General"/>
          <w:gallery w:val="placeholder"/>
        </w:category>
        <w:types>
          <w:type w:val="bbPlcHdr"/>
        </w:types>
        <w:behaviors>
          <w:behavior w:val="content"/>
        </w:behaviors>
        <w:guid w:val="{D37BC545-6D7E-45D4-B83B-CA591101F8A6}"/>
      </w:docPartPr>
      <w:docPartBody>
        <w:p w:rsidR="00C72286" w:rsidRDefault="00ED308E" w:rsidP="00ED308E">
          <w:pPr>
            <w:pStyle w:val="F5AB315F71AF4D3CB6D7ECE4596F20C4"/>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50678"/>
    <w:rsid w:val="000A0C3B"/>
    <w:rsid w:val="000D1EB8"/>
    <w:rsid w:val="000F0B7E"/>
    <w:rsid w:val="001066E8"/>
    <w:rsid w:val="00131404"/>
    <w:rsid w:val="00164B5A"/>
    <w:rsid w:val="0017018E"/>
    <w:rsid w:val="001B72AE"/>
    <w:rsid w:val="001D23A5"/>
    <w:rsid w:val="001F6EFF"/>
    <w:rsid w:val="00252452"/>
    <w:rsid w:val="002550FD"/>
    <w:rsid w:val="002A1EC4"/>
    <w:rsid w:val="002F4123"/>
    <w:rsid w:val="002F648F"/>
    <w:rsid w:val="00320829"/>
    <w:rsid w:val="00337416"/>
    <w:rsid w:val="00350199"/>
    <w:rsid w:val="00384E5E"/>
    <w:rsid w:val="003D0B36"/>
    <w:rsid w:val="004543FE"/>
    <w:rsid w:val="004C2BEE"/>
    <w:rsid w:val="004F59C1"/>
    <w:rsid w:val="00560590"/>
    <w:rsid w:val="00570493"/>
    <w:rsid w:val="005802B5"/>
    <w:rsid w:val="005C2F49"/>
    <w:rsid w:val="005E541A"/>
    <w:rsid w:val="005F2840"/>
    <w:rsid w:val="00631F05"/>
    <w:rsid w:val="0068106B"/>
    <w:rsid w:val="00681283"/>
    <w:rsid w:val="00694976"/>
    <w:rsid w:val="006C2B2D"/>
    <w:rsid w:val="006C6C1A"/>
    <w:rsid w:val="00700DC6"/>
    <w:rsid w:val="0071376C"/>
    <w:rsid w:val="007154C5"/>
    <w:rsid w:val="00720B10"/>
    <w:rsid w:val="00744F35"/>
    <w:rsid w:val="00780C80"/>
    <w:rsid w:val="007E3717"/>
    <w:rsid w:val="007E6090"/>
    <w:rsid w:val="0082164B"/>
    <w:rsid w:val="00835E07"/>
    <w:rsid w:val="00900F0F"/>
    <w:rsid w:val="0091194E"/>
    <w:rsid w:val="00972B41"/>
    <w:rsid w:val="00980DF8"/>
    <w:rsid w:val="009A10A5"/>
    <w:rsid w:val="009E5E89"/>
    <w:rsid w:val="00A46846"/>
    <w:rsid w:val="00A64FCC"/>
    <w:rsid w:val="00AB3944"/>
    <w:rsid w:val="00AC38A6"/>
    <w:rsid w:val="00B20600"/>
    <w:rsid w:val="00B43D91"/>
    <w:rsid w:val="00BA0F25"/>
    <w:rsid w:val="00C07897"/>
    <w:rsid w:val="00C66A31"/>
    <w:rsid w:val="00C72286"/>
    <w:rsid w:val="00CA10A9"/>
    <w:rsid w:val="00CA3CB1"/>
    <w:rsid w:val="00CB31E4"/>
    <w:rsid w:val="00CD10A9"/>
    <w:rsid w:val="00D75606"/>
    <w:rsid w:val="00D87F89"/>
    <w:rsid w:val="00D92F40"/>
    <w:rsid w:val="00DB4022"/>
    <w:rsid w:val="00DD6884"/>
    <w:rsid w:val="00DD7BA4"/>
    <w:rsid w:val="00DF11F7"/>
    <w:rsid w:val="00E24D23"/>
    <w:rsid w:val="00E318CE"/>
    <w:rsid w:val="00E609F2"/>
    <w:rsid w:val="00E646E1"/>
    <w:rsid w:val="00E7061A"/>
    <w:rsid w:val="00E7461C"/>
    <w:rsid w:val="00E7757D"/>
    <w:rsid w:val="00EA2172"/>
    <w:rsid w:val="00ED1B96"/>
    <w:rsid w:val="00ED308E"/>
    <w:rsid w:val="00EE1DDD"/>
    <w:rsid w:val="00F4206E"/>
    <w:rsid w:val="00F925AB"/>
    <w:rsid w:val="00FC661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F5AB315F71AF4D3CB6D7ECE4596F20C4">
    <w:name w:val="F5AB315F71AF4D3CB6D7ECE4596F20C4"/>
    <w:rsid w:val="00ED308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Misc</b:SourceType>
    <b:Guid>{5DCE6FF6-B73B-4AF2-AE5C-90003723B25A}</b:Guid>
    <b:Title>Safety Assessment Principles (SAPs) for Nuclear Facilities - 2014 Edition (Revision 1), ONR, 2020</b:Title>
    <b:Month>January</b:Month>
    <b:RefOrder>1</b:RefOrder>
  </b:Source>
  <b:Source>
    <b:Tag>WEN20</b:Tag>
    <b:SourceType>Misc</b:SourceType>
    <b:Guid>{CA60BE8F-2952-47DD-9D8F-9794F4A7A888}</b:Guid>
    <b:Title>WENRA Safety Reference Levels for Existing Reactors, WENRA, 2020</b:Title>
    <b:RefOrder>4</b:RefOrder>
  </b:Source>
  <b:Source>
    <b:Tag>SSG2</b:Tag>
    <b:SourceType>Misc</b:SourceType>
    <b:Guid>{78615EF0-CFE2-411F-9F1F-901BD517C700}</b:Guid>
    <b:Title>Deterministic Safety Analysis for Nuclear Power Plants, Specific Safety Guide 2, Rev. 1, IAEA, 2019</b:Title>
    <b:RefOrder>6</b:RefOrder>
  </b:Source>
  <b:Source>
    <b:Tag>SSG3</b:Tag>
    <b:SourceType>Misc</b:SourceType>
    <b:Guid>{8831DC83-9FA4-40BD-905C-390ADC21BE9A}</b:Guid>
    <b:Title>Development and Application of Level 1 Probabilistic Safety Assessment for Nuclear Power Plants, Specific Safety Guide 3, Rev. 1, IAEA, 2024</b:Title>
    <b:RefOrder>7</b:RefOrder>
  </b:Source>
  <b:Source>
    <b:Tag>SSG4</b:Tag>
    <b:SourceType>Misc</b:SourceType>
    <b:Guid>{F59E08C1-7FC3-412D-97AC-60D0C054BC35}</b:Guid>
    <b:Title>Development and Application of Level 2 Probabilistic Safety Assessment for Nuclear Power Plants, Specific Safety Guide 4, IAEA, 2010</b:Title>
    <b:RefOrder>8</b:RefOrder>
  </b:Source>
  <b:Source>
    <b:Tag>GSR4</b:Tag>
    <b:SourceType>Misc</b:SourceType>
    <b:Guid>{ED29F3C2-B7BA-41D1-9220-374D742622D3}</b:Guid>
    <b:Title>Safety Assessment for Facilities and Activities, General Safety Requirements Part 4, Rev. 1, IAEA, 2016</b:Title>
    <b:RefOrder>5</b:RefOrder>
  </b:Source>
  <b:Source>
    <b:Tag>RITE</b:Tag>
    <b:SourceType>Misc</b:SourceType>
    <b:Guid>{139679A4-E916-46E9-8C8B-01664B43E7F8}</b:Guid>
    <b:Title>Risk-informed and targeted engagements, ONR-RD-POL-002, Issue 2, ONR, May 2024</b:Title>
    <b:RefOrder>12</b:RefOrder>
  </b:Source>
  <b:Source>
    <b:Tag>ONR141</b:Tag>
    <b:SourceType>Misc</b:SourceType>
    <b:Guid>{71C160A0-DA64-4964-B7D2-BAAC9233CA15}</b:Guid>
    <b:Title>Computer Based Safety Systems, NS-TAST-GD-046, Issue 7, ONR, 2023</b:Title>
    <b:RefOrder>3</b:RefOrder>
  </b:Source>
  <b:Source>
    <b:Tag>TAG6</b:Tag>
    <b:SourceType>Misc</b:SourceType>
    <b:Guid>{24DECE8D-9631-4E47-BD07-8D9C92B2D726}</b:Guid>
    <b:Title>Design Basis Analysis, NS-TAST-GD-006, Issue 5.1, ONR, 2020</b:Title>
    <b:RefOrder>10</b:RefOrder>
  </b:Source>
  <b:Source>
    <b:Tag>TAG7</b:Tag>
    <b:SourceType>Misc</b:SourceType>
    <b:Guid>{20FAF5C2-2D71-4648-8554-B1039CDE69B0}</b:Guid>
    <b:Title>Severe Accident Analysis, NS-TAST-GD-007, Issue 5.1, ONR, 2022</b:Title>
    <b:RefOrder>11</b:RefOrder>
  </b:Source>
  <b:Source>
    <b:Tag>ONR25</b:Tag>
    <b:SourceType>Misc</b:SourceType>
    <b:Guid>{B0BA6A45-A8C8-4542-B32B-7AABE976F75E}</b:Guid>
    <b:Author>
      <b:Author>
        <b:Corporate>ONR</b:Corporate>
      </b:Author>
    </b:Author>
    <b:Title>ONR-RD-REF-001 - An introduction to ONR’s technical assessment and inspection guides, Revision 1, ONR, 2025</b:Title>
    <b:RefOrder>2</b:RefOrder>
  </b:Source>
  <b:Source>
    <b:Tag>ONR548</b:Tag>
    <b:SourceType>DocumentFromInternetSite</b:SourceType>
    <b:Guid>{B28165F0-F5C2-489F-9979-9B122F0A60FE}</b:Guid>
    <b:Author>
      <b:Author>
        <b:Corporate>ONR</b:Corporate>
      </b:Author>
    </b:Author>
    <b:Title>ONR-RD-REF-002 - List of regulatory acronyms, abbreviations and initialisms</b:Title>
    <b:RefOrder>13</b:RefOrder>
  </b:Source>
  <b:Source>
    <b:Tag>TAG49</b:Tag>
    <b:SourceType>Misc</b:SourceType>
    <b:Guid>{C93C2688-3645-44C4-AE19-0ADE27528C4D}</b:Guid>
    <b:Title>Licensee Core Safety and Inelligent Customer Capabilities, NS-TAST-GD-049, Issue 7.2, ONR, July 2024</b:Title>
    <b:RefOrder>9</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TaxKeywordTaxHTField xmlns="05350e14-297a-489c-ad04-faf6563b232c">
      <Terms xmlns="http://schemas.microsoft.com/office/infopath/2007/PartnerControls">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TaxCatchAll xmlns="05350e14-297a-489c-ad04-faf6563b232c"/>
    <dd2817321d504f1caee75a1112d299d4 xmlns="fbd4c4c3-96d4-4265-b68e-6a383a5dca66">
      <Terms xmlns="http://schemas.microsoft.com/office/infopath/2007/PartnerControls"/>
    </dd2817321d504f1caee75a1112d299d4>
    <PolicyPortalReviewDate xmlns="8c4e2855-9588-4bc9-9890-af639bd565eb" xsi:nil="true"/>
    <PCR_x003f_ xmlns="fbd4c4c3-96d4-4265-b68e-6a383a5dca66">false</PCR_x003f_>
    <PolicyPortalIssueHistoryComments xmlns="8c4e2855-9588-4bc9-9890-af639bd565eb"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66693000-3e12-4b44-a742-9a2ba35b7d28" ContentTypeId="0x0101000C70A82DFAAC384DB9F6EBA2C8B87C57" PreviousValue="false"/>
</file>

<file path=customXml/item7.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20" ma:contentTypeDescription="" ma:contentTypeScope="" ma:versionID="5b57e419ffb840abb95ac6618f3e3a8b">
  <xsd:schema xmlns:xsd="http://www.w3.org/2001/XMLSchema" xmlns:xs="http://www.w3.org/2001/XMLSchema" xmlns:p="http://schemas.microsoft.com/office/2006/metadata/properties" xmlns:ns2="8c4e2855-9588-4bc9-9890-af639bd565eb" xmlns:ns3="05350e14-297a-489c-ad04-faf6563b232c" xmlns:ns4="fbd4c4c3-96d4-4265-b68e-6a383a5dca66" targetNamespace="http://schemas.microsoft.com/office/2006/metadata/properties" ma:root="true" ma:fieldsID="f04dd8d70902c340475265b30303215b" ns2:_="" ns3:_="" ns4:_="">
    <xsd:import namespace="8c4e2855-9588-4bc9-9890-af639bd565eb"/>
    <xsd:import namespace="05350e14-297a-489c-ad04-faf6563b232c"/>
    <xsd:import namespace="fbd4c4c3-96d4-4265-b68e-6a383a5dca66"/>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element ref="ns3:TaxKeywordTaxHTField" minOccurs="0"/>
                <xsd:element ref="ns3:TaxCatchAll" minOccurs="0"/>
                <xsd:element ref="ns4:dd2817321d504f1caee75a1112d299d4" minOccurs="0"/>
                <xsd:element ref="ns4:PC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union memberTypes="dms:Text">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un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union memberTypes="dms:Text">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un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rporate Security Manager"/>
              <xsd:enumeration value="Data Protection Compliance Lead"/>
              <xsd:enumeration value="Deputy Director of Regulation (TD)"/>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Privat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ory Policy and Standards"/>
              <xsd:enumeration value="Head of Risk and Assurance"/>
              <xsd:enumeration value="HoR - Advanced Nuclear Technologies (ANTs) and Holtec SMR-300 GDA"/>
              <xsd:enumeration value="HoR - Emergency Preparedness and Response"/>
              <xsd:enumeration value="HoR - Rolls-Royce SMR (GDA)"/>
              <xsd:enumeration value="HoR - Transport Competent Authority (TCA)"/>
              <xsd:enumeration value="HoR - Sellafield Compliance Intelligence and Enforcement"/>
              <xsd:enumeration value="HoR - Sellafield Project Delivery"/>
              <xsd:enumeration value="HoR - Sellafield Decommissioning"/>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SW Manager"/>
              <xsd:enumeration value="Information Management Manage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TaxKeywordTaxHTField" ma:index="30"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31" nillable="true" ma:displayName="Taxonomy Catch All Column" ma:hidden="true" ma:list="{85a4ca9d-4aea-456d-868e-8e20a97dbaed}" ma:internalName="TaxCatchAll" ma:showField="CatchAllData" ma:web="05350e14-297a-489c-ad04-faf6563b23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d4c4c3-96d4-4265-b68e-6a383a5dca66" elementFormDefault="qualified">
    <xsd:import namespace="http://schemas.microsoft.com/office/2006/documentManagement/types"/>
    <xsd:import namespace="http://schemas.microsoft.com/office/infopath/2007/PartnerControls"/>
    <xsd:element name="dd2817321d504f1caee75a1112d299d4" ma:index="33" nillable="true" ma:taxonomy="true" ma:internalName="dd2817321d504f1caee75a1112d299d4" ma:taxonomyFieldName="Topic" ma:displayName="Topic" ma:default="" ma:fieldId="{dd281732-1d50-4f1c-aee7-5a1112d299d4}" ma:taxonomyMulti="true" ma:sspId="66693000-3e12-4b44-a742-9a2ba35b7d28" ma:termSetId="7b4e1cbc-bd02-4183-9474-8a15f7a1216f" ma:anchorId="00000000-0000-0000-0000-000000000000" ma:open="false" ma:isKeyword="false">
      <xsd:complexType>
        <xsd:sequence>
          <xsd:element ref="pc:Terms" minOccurs="0" maxOccurs="1"/>
        </xsd:sequence>
      </xsd:complexType>
    </xsd:element>
    <xsd:element name="PCR_x003f_" ma:index="34" nillable="true" ma:displayName="PCR?" ma:default="0" ma:description="Document forms part of the Policy Compliance Report for ARAC." ma:format="Dropdown" ma:internalName="PCR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06F8AC-CDBA-41C0-98C5-EDA8DD8978BA}">
  <ds:schemaRefs>
    <ds:schemaRef ds:uri="http://schemas.openxmlformats.org/officeDocument/2006/bibliography"/>
  </ds:schemaRefs>
</ds:datastoreItem>
</file>

<file path=customXml/itemProps3.xml><?xml version="1.0" encoding="utf-8"?>
<ds:datastoreItem xmlns:ds="http://schemas.openxmlformats.org/officeDocument/2006/customXml" ds:itemID="{EEAB2BEE-E491-45DF-938C-0C3477E037ED}">
  <ds:schemaRefs>
    <ds:schemaRef ds:uri="http://schemas.microsoft.com/office/2006/metadata/properties"/>
    <ds:schemaRef ds:uri="http://schemas.microsoft.com/office/infopath/2007/PartnerControls"/>
    <ds:schemaRef ds:uri="8c4e2855-9588-4bc9-9890-af639bd565eb"/>
    <ds:schemaRef ds:uri="05350e14-297a-489c-ad04-faf6563b232c"/>
    <ds:schemaRef ds:uri="fbd4c4c3-96d4-4265-b68e-6a383a5dca66"/>
  </ds:schemaRefs>
</ds:datastoreItem>
</file>

<file path=customXml/itemProps4.xml><?xml version="1.0" encoding="utf-8"?>
<ds:datastoreItem xmlns:ds="http://schemas.openxmlformats.org/officeDocument/2006/customXml" ds:itemID="{539CC588-B68E-437F-8457-E8E8FA58BA81}">
  <ds:schemaRefs>
    <ds:schemaRef ds:uri="http://schemas.microsoft.com/sharepoint/events"/>
  </ds:schemaRefs>
</ds:datastoreItem>
</file>

<file path=customXml/itemProps5.xml><?xml version="1.0" encoding="utf-8"?>
<ds:datastoreItem xmlns:ds="http://schemas.openxmlformats.org/officeDocument/2006/customXml" ds:itemID="{F29FFEDF-DBFE-4EFA-90F3-08523C4F5E17}">
  <ds:schemaRefs>
    <ds:schemaRef ds:uri="http://schemas.microsoft.com/sharepoint/v3/contenttype/forms"/>
  </ds:schemaRefs>
</ds:datastoreItem>
</file>

<file path=customXml/itemProps6.xml><?xml version="1.0" encoding="utf-8"?>
<ds:datastoreItem xmlns:ds="http://schemas.openxmlformats.org/officeDocument/2006/customXml" ds:itemID="{7B2BA55B-3C34-4CB0-821B-A65EAC3C3DEC}">
  <ds:schemaRefs>
    <ds:schemaRef ds:uri="Microsoft.SharePoint.Taxonomy.ContentTypeSync"/>
  </ds:schemaRefs>
</ds:datastoreItem>
</file>

<file path=customXml/itemProps7.xml><?xml version="1.0" encoding="utf-8"?>
<ds:datastoreItem xmlns:ds="http://schemas.openxmlformats.org/officeDocument/2006/customXml" ds:itemID="{6B28D9EA-F992-4148-A497-C0686ED04C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fbd4c4c3-96d4-4265-b68e-6a383a5dc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26</Pages>
  <Words>7984</Words>
  <Characters>45511</Characters>
  <Application>Microsoft Office Word</Application>
  <DocSecurity>0</DocSecurity>
  <Lines>379</Lines>
  <Paragraphs>106</Paragraphs>
  <ScaleCrop>false</ScaleCrop>
  <Manager>Office for Nuclear Regulation</Manager>
  <Company>Office for Nuclear Regulation</Company>
  <LinksUpToDate>false</LinksUpToDate>
  <CharactersWithSpaces>53389</CharactersWithSpaces>
  <SharedDoc>false</SharedDoc>
  <HLinks>
    <vt:vector size="42" baseType="variant">
      <vt:variant>
        <vt:i4>1376304</vt:i4>
      </vt:variant>
      <vt:variant>
        <vt:i4>38</vt:i4>
      </vt:variant>
      <vt:variant>
        <vt:i4>0</vt:i4>
      </vt:variant>
      <vt:variant>
        <vt:i4>5</vt:i4>
      </vt:variant>
      <vt:variant>
        <vt:lpwstr/>
      </vt:variant>
      <vt:variant>
        <vt:lpwstr>_Toc207207579</vt:lpwstr>
      </vt:variant>
      <vt:variant>
        <vt:i4>1376304</vt:i4>
      </vt:variant>
      <vt:variant>
        <vt:i4>32</vt:i4>
      </vt:variant>
      <vt:variant>
        <vt:i4>0</vt:i4>
      </vt:variant>
      <vt:variant>
        <vt:i4>5</vt:i4>
      </vt:variant>
      <vt:variant>
        <vt:lpwstr/>
      </vt:variant>
      <vt:variant>
        <vt:lpwstr>_Toc207207578</vt:lpwstr>
      </vt:variant>
      <vt:variant>
        <vt:i4>1376304</vt:i4>
      </vt:variant>
      <vt:variant>
        <vt:i4>26</vt:i4>
      </vt:variant>
      <vt:variant>
        <vt:i4>0</vt:i4>
      </vt:variant>
      <vt:variant>
        <vt:i4>5</vt:i4>
      </vt:variant>
      <vt:variant>
        <vt:lpwstr/>
      </vt:variant>
      <vt:variant>
        <vt:lpwstr>_Toc207207577</vt:lpwstr>
      </vt:variant>
      <vt:variant>
        <vt:i4>1376304</vt:i4>
      </vt:variant>
      <vt:variant>
        <vt:i4>20</vt:i4>
      </vt:variant>
      <vt:variant>
        <vt:i4>0</vt:i4>
      </vt:variant>
      <vt:variant>
        <vt:i4>5</vt:i4>
      </vt:variant>
      <vt:variant>
        <vt:lpwstr/>
      </vt:variant>
      <vt:variant>
        <vt:lpwstr>_Toc207207576</vt:lpwstr>
      </vt:variant>
      <vt:variant>
        <vt:i4>1376304</vt:i4>
      </vt:variant>
      <vt:variant>
        <vt:i4>14</vt:i4>
      </vt:variant>
      <vt:variant>
        <vt:i4>0</vt:i4>
      </vt:variant>
      <vt:variant>
        <vt:i4>5</vt:i4>
      </vt:variant>
      <vt:variant>
        <vt:lpwstr/>
      </vt:variant>
      <vt:variant>
        <vt:lpwstr>_Toc207207575</vt:lpwstr>
      </vt:variant>
      <vt:variant>
        <vt:i4>1376304</vt:i4>
      </vt:variant>
      <vt:variant>
        <vt:i4>8</vt:i4>
      </vt:variant>
      <vt:variant>
        <vt:i4>0</vt:i4>
      </vt:variant>
      <vt:variant>
        <vt:i4>5</vt:i4>
      </vt:variant>
      <vt:variant>
        <vt:lpwstr/>
      </vt:variant>
      <vt:variant>
        <vt:lpwstr>_Toc207207574</vt:lpwstr>
      </vt:variant>
      <vt:variant>
        <vt:i4>1376304</vt:i4>
      </vt:variant>
      <vt:variant>
        <vt:i4>2</vt:i4>
      </vt:variant>
      <vt:variant>
        <vt:i4>0</vt:i4>
      </vt:variant>
      <vt:variant>
        <vt:i4>5</vt:i4>
      </vt:variant>
      <vt:variant>
        <vt:lpwstr/>
      </vt:variant>
      <vt:variant>
        <vt:lpwstr>_Toc207207573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Assurance of validity of data and models</dc:title>
  <dc:subject>[Subtitle or description]</dc:subject>
  <cp:keywords>[Key words separated by commas]</cp:keywords>
  <dc:description/>
  <cp:revision>7</cp:revision>
  <cp:lastPrinted>2025-09-22T15:49:00Z</cp:lastPrinted>
  <dcterms:created xsi:type="dcterms:W3CDTF">2026-04-21T12:48:00Z</dcterms:created>
  <dcterms:modified xsi:type="dcterms:W3CDTF">2026-04-22T07:37:00Z</dcterms:modified>
  <cp:contentStatus>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ies>
</file>