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5141CA">
        <w:trPr>
          <w:trHeight w:hRule="exact" w:val="3609"/>
        </w:trPr>
        <w:tc>
          <w:tcPr>
            <w:tcW w:w="9156" w:type="dxa"/>
            <w:tcBorders>
              <w:top w:val="single" w:sz="24" w:space="0" w:color="22413A"/>
              <w:left w:val="single" w:sz="24" w:space="0" w:color="22413A"/>
              <w:bottom w:val="single" w:sz="24" w:space="0" w:color="22413A"/>
              <w:right w:val="single" w:sz="24" w:space="0" w:color="22413A"/>
            </w:tcBorders>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4DFF2735" w:rsidR="00D0226A" w:rsidRPr="001E03E1" w:rsidRDefault="00000000" w:rsidP="001E03E1">
            <w:pPr>
              <w:pStyle w:val="CoverTitle"/>
              <w:rPr>
                <w:szCs w:val="90"/>
              </w:rPr>
            </w:pPr>
            <w:sdt>
              <w:sdtPr>
                <w:rPr>
                  <w:sz w:val="56"/>
                  <w:szCs w:val="56"/>
                </w:rPr>
                <w:id w:val="1228188510"/>
                <w:placeholder>
                  <w:docPart w:val="DefaultPlaceholder_-1854013440"/>
                </w:placeholder>
              </w:sdtPr>
              <w:sdtEndPr>
                <w:rPr>
                  <w:sz w:val="96"/>
                  <w:szCs w:val="96"/>
                </w:rPr>
              </w:sdtEndPr>
              <w:sdtContent>
                <w:r w:rsidR="00B419F8" w:rsidRPr="007335E8">
                  <w:rPr>
                    <w:sz w:val="56"/>
                    <w:szCs w:val="56"/>
                  </w:rPr>
                  <w:t xml:space="preserve">Examination, Inspection, Maintenance and Testing of items important to </w:t>
                </w:r>
                <w:r w:rsidR="007335E8" w:rsidRPr="007335E8">
                  <w:rPr>
                    <w:sz w:val="56"/>
                    <w:szCs w:val="56"/>
                  </w:rPr>
                  <w:t>s</w:t>
                </w:r>
                <w:r w:rsidR="00B419F8" w:rsidRPr="007335E8">
                  <w:rPr>
                    <w:sz w:val="56"/>
                    <w:szCs w:val="56"/>
                  </w:rPr>
                  <w:t>afety</w:t>
                </w:r>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FDB4B56" w14:textId="6C10B266" w:rsidR="00595C8C" w:rsidRDefault="00595C8C" w:rsidP="00323E71">
      <w:pPr>
        <w:sectPr w:rsidR="00595C8C" w:rsidSect="000B2BCD">
          <w:headerReference w:type="default" r:id="rId16"/>
          <w:footerReference w:type="default" r:id="rId17"/>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7DA6811B" w14:textId="7BD2756B" w:rsidR="007335E8" w:rsidRDefault="00404B0C">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instrText xml:space="preserve"> TOC \o "1-1" \h \z \u </w:instrText>
      </w:r>
      <w:r>
        <w:fldChar w:fldCharType="separate"/>
      </w:r>
      <w:hyperlink w:anchor="_Toc224840099" w:history="1">
        <w:r w:rsidR="007335E8" w:rsidRPr="00185BF7">
          <w:rPr>
            <w:rStyle w:val="Hyperlink"/>
          </w:rPr>
          <w:t>1.</w:t>
        </w:r>
        <w:r w:rsidR="007335E8">
          <w:rPr>
            <w:rFonts w:asciiTheme="minorHAnsi" w:eastAsiaTheme="minorEastAsia" w:hAnsiTheme="minorHAnsi" w:cstheme="minorBidi"/>
            <w:kern w:val="2"/>
            <w:szCs w:val="24"/>
            <w:lang w:eastAsia="en-GB" w:bidi="ar-SA"/>
            <w14:ligatures w14:val="standardContextual"/>
          </w:rPr>
          <w:tab/>
        </w:r>
        <w:r w:rsidR="007335E8" w:rsidRPr="00185BF7">
          <w:rPr>
            <w:rStyle w:val="Hyperlink"/>
          </w:rPr>
          <w:t>Introduction</w:t>
        </w:r>
        <w:r w:rsidR="007335E8">
          <w:rPr>
            <w:webHidden/>
          </w:rPr>
          <w:tab/>
        </w:r>
        <w:r w:rsidR="007335E8">
          <w:rPr>
            <w:webHidden/>
          </w:rPr>
          <w:fldChar w:fldCharType="begin"/>
        </w:r>
        <w:r w:rsidR="007335E8">
          <w:rPr>
            <w:webHidden/>
          </w:rPr>
          <w:instrText xml:space="preserve"> PAGEREF _Toc224840099 \h </w:instrText>
        </w:r>
        <w:r w:rsidR="007335E8">
          <w:rPr>
            <w:webHidden/>
          </w:rPr>
        </w:r>
        <w:r w:rsidR="007335E8">
          <w:rPr>
            <w:webHidden/>
          </w:rPr>
          <w:fldChar w:fldCharType="separate"/>
        </w:r>
        <w:r w:rsidR="007335E8">
          <w:rPr>
            <w:webHidden/>
          </w:rPr>
          <w:t>3</w:t>
        </w:r>
        <w:r w:rsidR="007335E8">
          <w:rPr>
            <w:webHidden/>
          </w:rPr>
          <w:fldChar w:fldCharType="end"/>
        </w:r>
      </w:hyperlink>
    </w:p>
    <w:p w14:paraId="77B3F67F" w14:textId="24B6AD80" w:rsidR="007335E8" w:rsidRDefault="007335E8">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4840100" w:history="1">
        <w:r w:rsidRPr="00185BF7">
          <w:rPr>
            <w:rStyle w:val="Hyperlink"/>
          </w:rPr>
          <w:t>2.</w:t>
        </w:r>
        <w:r>
          <w:rPr>
            <w:rFonts w:asciiTheme="minorHAnsi" w:eastAsiaTheme="minorEastAsia" w:hAnsiTheme="minorHAnsi" w:cstheme="minorBidi"/>
            <w:kern w:val="2"/>
            <w:szCs w:val="24"/>
            <w:lang w:eastAsia="en-GB" w:bidi="ar-SA"/>
            <w14:ligatures w14:val="standardContextual"/>
          </w:rPr>
          <w:tab/>
        </w:r>
        <w:r w:rsidRPr="00185BF7">
          <w:rPr>
            <w:rStyle w:val="Hyperlink"/>
          </w:rPr>
          <w:t>Purpose and scope</w:t>
        </w:r>
        <w:r>
          <w:rPr>
            <w:webHidden/>
          </w:rPr>
          <w:tab/>
        </w:r>
        <w:r>
          <w:rPr>
            <w:webHidden/>
          </w:rPr>
          <w:fldChar w:fldCharType="begin"/>
        </w:r>
        <w:r>
          <w:rPr>
            <w:webHidden/>
          </w:rPr>
          <w:instrText xml:space="preserve"> PAGEREF _Toc224840100 \h </w:instrText>
        </w:r>
        <w:r>
          <w:rPr>
            <w:webHidden/>
          </w:rPr>
        </w:r>
        <w:r>
          <w:rPr>
            <w:webHidden/>
          </w:rPr>
          <w:fldChar w:fldCharType="separate"/>
        </w:r>
        <w:r>
          <w:rPr>
            <w:webHidden/>
          </w:rPr>
          <w:t>3</w:t>
        </w:r>
        <w:r>
          <w:rPr>
            <w:webHidden/>
          </w:rPr>
          <w:fldChar w:fldCharType="end"/>
        </w:r>
      </w:hyperlink>
    </w:p>
    <w:p w14:paraId="4E04528F" w14:textId="77F19C5B" w:rsidR="007335E8" w:rsidRDefault="007335E8">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4840101" w:history="1">
        <w:r w:rsidRPr="00185BF7">
          <w:rPr>
            <w:rStyle w:val="Hyperlink"/>
          </w:rPr>
          <w:t>3.</w:t>
        </w:r>
        <w:r>
          <w:rPr>
            <w:rFonts w:asciiTheme="minorHAnsi" w:eastAsiaTheme="minorEastAsia" w:hAnsiTheme="minorHAnsi" w:cstheme="minorBidi"/>
            <w:kern w:val="2"/>
            <w:szCs w:val="24"/>
            <w:lang w:eastAsia="en-GB" w:bidi="ar-SA"/>
            <w14:ligatures w14:val="standardContextual"/>
          </w:rPr>
          <w:tab/>
        </w:r>
        <w:r w:rsidRPr="00185BF7">
          <w:rPr>
            <w:rStyle w:val="Hyperlink"/>
          </w:rPr>
          <w:t>Relationship to licence and other relevant legislation</w:t>
        </w:r>
        <w:r>
          <w:rPr>
            <w:webHidden/>
          </w:rPr>
          <w:tab/>
        </w:r>
        <w:r>
          <w:rPr>
            <w:webHidden/>
          </w:rPr>
          <w:fldChar w:fldCharType="begin"/>
        </w:r>
        <w:r>
          <w:rPr>
            <w:webHidden/>
          </w:rPr>
          <w:instrText xml:space="preserve"> PAGEREF _Toc224840101 \h </w:instrText>
        </w:r>
        <w:r>
          <w:rPr>
            <w:webHidden/>
          </w:rPr>
        </w:r>
        <w:r>
          <w:rPr>
            <w:webHidden/>
          </w:rPr>
          <w:fldChar w:fldCharType="separate"/>
        </w:r>
        <w:r>
          <w:rPr>
            <w:webHidden/>
          </w:rPr>
          <w:t>4</w:t>
        </w:r>
        <w:r>
          <w:rPr>
            <w:webHidden/>
          </w:rPr>
          <w:fldChar w:fldCharType="end"/>
        </w:r>
      </w:hyperlink>
    </w:p>
    <w:p w14:paraId="16E00B7F" w14:textId="589931E0" w:rsidR="007335E8" w:rsidRDefault="007335E8">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4840102" w:history="1">
        <w:r w:rsidRPr="00185BF7">
          <w:rPr>
            <w:rStyle w:val="Hyperlink"/>
          </w:rPr>
          <w:t>4.</w:t>
        </w:r>
        <w:r>
          <w:rPr>
            <w:rFonts w:asciiTheme="minorHAnsi" w:eastAsiaTheme="minorEastAsia" w:hAnsiTheme="minorHAnsi" w:cstheme="minorBidi"/>
            <w:kern w:val="2"/>
            <w:szCs w:val="24"/>
            <w:lang w:eastAsia="en-GB" w:bidi="ar-SA"/>
            <w14:ligatures w14:val="standardContextual"/>
          </w:rPr>
          <w:tab/>
        </w:r>
        <w:r w:rsidRPr="00185BF7">
          <w:rPr>
            <w:rStyle w:val="Hyperlink"/>
          </w:rPr>
          <w:t>Relationship to Safety Assessment Principles, WENRA Reference Levels, and IAEA Safety Standards and Guides</w:t>
        </w:r>
        <w:r>
          <w:rPr>
            <w:webHidden/>
          </w:rPr>
          <w:tab/>
        </w:r>
        <w:r>
          <w:rPr>
            <w:webHidden/>
          </w:rPr>
          <w:fldChar w:fldCharType="begin"/>
        </w:r>
        <w:r>
          <w:rPr>
            <w:webHidden/>
          </w:rPr>
          <w:instrText xml:space="preserve"> PAGEREF _Toc224840102 \h </w:instrText>
        </w:r>
        <w:r>
          <w:rPr>
            <w:webHidden/>
          </w:rPr>
        </w:r>
        <w:r>
          <w:rPr>
            <w:webHidden/>
          </w:rPr>
          <w:fldChar w:fldCharType="separate"/>
        </w:r>
        <w:r>
          <w:rPr>
            <w:webHidden/>
          </w:rPr>
          <w:t>6</w:t>
        </w:r>
        <w:r>
          <w:rPr>
            <w:webHidden/>
          </w:rPr>
          <w:fldChar w:fldCharType="end"/>
        </w:r>
      </w:hyperlink>
    </w:p>
    <w:p w14:paraId="2C25CEEB" w14:textId="1AC65F6F" w:rsidR="007335E8" w:rsidRDefault="007335E8">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4840103" w:history="1">
        <w:r w:rsidRPr="00185BF7">
          <w:rPr>
            <w:rStyle w:val="Hyperlink"/>
          </w:rPr>
          <w:t>5.</w:t>
        </w:r>
        <w:r>
          <w:rPr>
            <w:rFonts w:asciiTheme="minorHAnsi" w:eastAsiaTheme="minorEastAsia" w:hAnsiTheme="minorHAnsi" w:cstheme="minorBidi"/>
            <w:kern w:val="2"/>
            <w:szCs w:val="24"/>
            <w:lang w:eastAsia="en-GB" w:bidi="ar-SA"/>
            <w14:ligatures w14:val="standardContextual"/>
          </w:rPr>
          <w:tab/>
        </w:r>
        <w:r w:rsidRPr="00185BF7">
          <w:rPr>
            <w:rStyle w:val="Hyperlink"/>
          </w:rPr>
          <w:t>Advice to inspectors</w:t>
        </w:r>
        <w:r>
          <w:rPr>
            <w:webHidden/>
          </w:rPr>
          <w:tab/>
        </w:r>
        <w:r>
          <w:rPr>
            <w:webHidden/>
          </w:rPr>
          <w:fldChar w:fldCharType="begin"/>
        </w:r>
        <w:r>
          <w:rPr>
            <w:webHidden/>
          </w:rPr>
          <w:instrText xml:space="preserve"> PAGEREF _Toc224840103 \h </w:instrText>
        </w:r>
        <w:r>
          <w:rPr>
            <w:webHidden/>
          </w:rPr>
        </w:r>
        <w:r>
          <w:rPr>
            <w:webHidden/>
          </w:rPr>
          <w:fldChar w:fldCharType="separate"/>
        </w:r>
        <w:r>
          <w:rPr>
            <w:webHidden/>
          </w:rPr>
          <w:t>10</w:t>
        </w:r>
        <w:r>
          <w:rPr>
            <w:webHidden/>
          </w:rPr>
          <w:fldChar w:fldCharType="end"/>
        </w:r>
      </w:hyperlink>
    </w:p>
    <w:p w14:paraId="417FE7A9" w14:textId="2DAABBBC" w:rsidR="007335E8" w:rsidRDefault="007335E8">
      <w:pPr>
        <w:pStyle w:val="TOC1"/>
        <w:rPr>
          <w:rFonts w:asciiTheme="minorHAnsi" w:eastAsiaTheme="minorEastAsia" w:hAnsiTheme="minorHAnsi" w:cstheme="minorBidi"/>
          <w:kern w:val="2"/>
          <w:szCs w:val="24"/>
          <w:lang w:eastAsia="en-GB" w:bidi="ar-SA"/>
          <w14:ligatures w14:val="standardContextual"/>
        </w:rPr>
      </w:pPr>
      <w:hyperlink w:anchor="_Toc224840104" w:history="1">
        <w:r w:rsidRPr="00185BF7">
          <w:rPr>
            <w:rStyle w:val="Hyperlink"/>
          </w:rPr>
          <w:t>Appendix 1 – Site Licence Conditions</w:t>
        </w:r>
        <w:r>
          <w:rPr>
            <w:webHidden/>
          </w:rPr>
          <w:tab/>
        </w:r>
        <w:r>
          <w:rPr>
            <w:webHidden/>
          </w:rPr>
          <w:fldChar w:fldCharType="begin"/>
        </w:r>
        <w:r>
          <w:rPr>
            <w:webHidden/>
          </w:rPr>
          <w:instrText xml:space="preserve"> PAGEREF _Toc224840104 \h </w:instrText>
        </w:r>
        <w:r>
          <w:rPr>
            <w:webHidden/>
          </w:rPr>
        </w:r>
        <w:r>
          <w:rPr>
            <w:webHidden/>
          </w:rPr>
          <w:fldChar w:fldCharType="separate"/>
        </w:r>
        <w:r>
          <w:rPr>
            <w:webHidden/>
          </w:rPr>
          <w:t>17</w:t>
        </w:r>
        <w:r>
          <w:rPr>
            <w:webHidden/>
          </w:rPr>
          <w:fldChar w:fldCharType="end"/>
        </w:r>
      </w:hyperlink>
    </w:p>
    <w:p w14:paraId="62E71383" w14:textId="7C74ABD3" w:rsidR="007335E8" w:rsidRDefault="007335E8">
      <w:pPr>
        <w:pStyle w:val="TOC1"/>
        <w:rPr>
          <w:rFonts w:asciiTheme="minorHAnsi" w:eastAsiaTheme="minorEastAsia" w:hAnsiTheme="minorHAnsi" w:cstheme="minorBidi"/>
          <w:kern w:val="2"/>
          <w:szCs w:val="24"/>
          <w:lang w:eastAsia="en-GB" w:bidi="ar-SA"/>
          <w14:ligatures w14:val="standardContextual"/>
        </w:rPr>
      </w:pPr>
      <w:hyperlink w:anchor="_Toc224840105" w:history="1">
        <w:r w:rsidRPr="00185BF7">
          <w:rPr>
            <w:rStyle w:val="Hyperlink"/>
          </w:rPr>
          <w:t>Appendix 2 – Safety Assessment Principles</w:t>
        </w:r>
        <w:r>
          <w:rPr>
            <w:webHidden/>
          </w:rPr>
          <w:tab/>
        </w:r>
        <w:r>
          <w:rPr>
            <w:webHidden/>
          </w:rPr>
          <w:fldChar w:fldCharType="begin"/>
        </w:r>
        <w:r>
          <w:rPr>
            <w:webHidden/>
          </w:rPr>
          <w:instrText xml:space="preserve"> PAGEREF _Toc224840105 \h </w:instrText>
        </w:r>
        <w:r>
          <w:rPr>
            <w:webHidden/>
          </w:rPr>
        </w:r>
        <w:r>
          <w:rPr>
            <w:webHidden/>
          </w:rPr>
          <w:fldChar w:fldCharType="separate"/>
        </w:r>
        <w:r>
          <w:rPr>
            <w:webHidden/>
          </w:rPr>
          <w:t>19</w:t>
        </w:r>
        <w:r>
          <w:rPr>
            <w:webHidden/>
          </w:rPr>
          <w:fldChar w:fldCharType="end"/>
        </w:r>
      </w:hyperlink>
    </w:p>
    <w:p w14:paraId="55E46F9D" w14:textId="050FD602" w:rsidR="007335E8" w:rsidRDefault="007335E8">
      <w:pPr>
        <w:pStyle w:val="TOC1"/>
        <w:rPr>
          <w:rFonts w:asciiTheme="minorHAnsi" w:eastAsiaTheme="minorEastAsia" w:hAnsiTheme="minorHAnsi" w:cstheme="minorBidi"/>
          <w:kern w:val="2"/>
          <w:szCs w:val="24"/>
          <w:lang w:eastAsia="en-GB" w:bidi="ar-SA"/>
          <w14:ligatures w14:val="standardContextual"/>
        </w:rPr>
      </w:pPr>
      <w:hyperlink w:anchor="_Toc224840106" w:history="1">
        <w:r w:rsidRPr="00185BF7">
          <w:rPr>
            <w:rStyle w:val="Hyperlink"/>
          </w:rPr>
          <w:t>List of acronyms and initialisms</w:t>
        </w:r>
        <w:r>
          <w:rPr>
            <w:webHidden/>
          </w:rPr>
          <w:tab/>
        </w:r>
        <w:r>
          <w:rPr>
            <w:webHidden/>
          </w:rPr>
          <w:fldChar w:fldCharType="begin"/>
        </w:r>
        <w:r>
          <w:rPr>
            <w:webHidden/>
          </w:rPr>
          <w:instrText xml:space="preserve"> PAGEREF _Toc224840106 \h </w:instrText>
        </w:r>
        <w:r>
          <w:rPr>
            <w:webHidden/>
          </w:rPr>
        </w:r>
        <w:r>
          <w:rPr>
            <w:webHidden/>
          </w:rPr>
          <w:fldChar w:fldCharType="separate"/>
        </w:r>
        <w:r>
          <w:rPr>
            <w:webHidden/>
          </w:rPr>
          <w:t>21</w:t>
        </w:r>
        <w:r>
          <w:rPr>
            <w:webHidden/>
          </w:rPr>
          <w:fldChar w:fldCharType="end"/>
        </w:r>
      </w:hyperlink>
    </w:p>
    <w:p w14:paraId="379AD0DF" w14:textId="2F6BD763" w:rsidR="007335E8" w:rsidRDefault="007335E8">
      <w:pPr>
        <w:pStyle w:val="TOC1"/>
        <w:rPr>
          <w:rFonts w:asciiTheme="minorHAnsi" w:eastAsiaTheme="minorEastAsia" w:hAnsiTheme="minorHAnsi" w:cstheme="minorBidi"/>
          <w:kern w:val="2"/>
          <w:szCs w:val="24"/>
          <w:lang w:eastAsia="en-GB" w:bidi="ar-SA"/>
          <w14:ligatures w14:val="standardContextual"/>
        </w:rPr>
      </w:pPr>
      <w:hyperlink w:anchor="_Toc224840107" w:history="1">
        <w:r w:rsidRPr="00185BF7">
          <w:rPr>
            <w:rStyle w:val="Hyperlink"/>
          </w:rPr>
          <w:t>References</w:t>
        </w:r>
        <w:r>
          <w:rPr>
            <w:webHidden/>
          </w:rPr>
          <w:tab/>
        </w:r>
        <w:r>
          <w:rPr>
            <w:webHidden/>
          </w:rPr>
          <w:fldChar w:fldCharType="begin"/>
        </w:r>
        <w:r>
          <w:rPr>
            <w:webHidden/>
          </w:rPr>
          <w:instrText xml:space="preserve"> PAGEREF _Toc224840107 \h </w:instrText>
        </w:r>
        <w:r>
          <w:rPr>
            <w:webHidden/>
          </w:rPr>
        </w:r>
        <w:r>
          <w:rPr>
            <w:webHidden/>
          </w:rPr>
          <w:fldChar w:fldCharType="separate"/>
        </w:r>
        <w:r>
          <w:rPr>
            <w:webHidden/>
          </w:rPr>
          <w:t>22</w:t>
        </w:r>
        <w:r>
          <w:rPr>
            <w:webHidden/>
          </w:rPr>
          <w:fldChar w:fldCharType="end"/>
        </w:r>
      </w:hyperlink>
    </w:p>
    <w:p w14:paraId="494BD7FF" w14:textId="4E7C21F8" w:rsidR="007335E8" w:rsidRDefault="007335E8">
      <w:pPr>
        <w:pStyle w:val="TOC1"/>
        <w:rPr>
          <w:rFonts w:asciiTheme="minorHAnsi" w:eastAsiaTheme="minorEastAsia" w:hAnsiTheme="minorHAnsi" w:cstheme="minorBidi"/>
          <w:kern w:val="2"/>
          <w:szCs w:val="24"/>
          <w:lang w:eastAsia="en-GB" w:bidi="ar-SA"/>
          <w14:ligatures w14:val="standardContextual"/>
        </w:rPr>
      </w:pPr>
      <w:hyperlink w:anchor="_Toc224840108" w:history="1">
        <w:r w:rsidRPr="00185BF7">
          <w:rPr>
            <w:rStyle w:val="Hyperlink"/>
          </w:rPr>
          <w:t>Document control information</w:t>
        </w:r>
        <w:r>
          <w:rPr>
            <w:webHidden/>
          </w:rPr>
          <w:tab/>
        </w:r>
        <w:r>
          <w:rPr>
            <w:webHidden/>
          </w:rPr>
          <w:fldChar w:fldCharType="begin"/>
        </w:r>
        <w:r>
          <w:rPr>
            <w:webHidden/>
          </w:rPr>
          <w:instrText xml:space="preserve"> PAGEREF _Toc224840108 \h </w:instrText>
        </w:r>
        <w:r>
          <w:rPr>
            <w:webHidden/>
          </w:rPr>
        </w:r>
        <w:r>
          <w:rPr>
            <w:webHidden/>
          </w:rPr>
          <w:fldChar w:fldCharType="separate"/>
        </w:r>
        <w:r>
          <w:rPr>
            <w:webHidden/>
          </w:rPr>
          <w:t>23</w:t>
        </w:r>
        <w:r>
          <w:rPr>
            <w:webHidden/>
          </w:rPr>
          <w:fldChar w:fldCharType="end"/>
        </w:r>
      </w:hyperlink>
    </w:p>
    <w:p w14:paraId="0CC4B54A" w14:textId="7DAA3B6F" w:rsidR="00267815" w:rsidRDefault="00404B0C" w:rsidP="00267815">
      <w:r>
        <w:fldChar w:fldCharType="end"/>
      </w:r>
    </w:p>
    <w:p w14:paraId="13337A65" w14:textId="77777777" w:rsidR="004034C8" w:rsidRDefault="004034C8">
      <w:pPr>
        <w:spacing w:after="0" w:line="240" w:lineRule="auto"/>
        <w:rPr>
          <w:color w:val="22413A"/>
          <w:sz w:val="48"/>
        </w:rPr>
      </w:pPr>
      <w:bookmarkStart w:id="1" w:name="_Toc149137926"/>
      <w:bookmarkStart w:id="2" w:name="_Toc149215662"/>
      <w:bookmarkStart w:id="3" w:name="_Toc149226638"/>
      <w:bookmarkStart w:id="4" w:name="_Toc149137927"/>
      <w:bookmarkStart w:id="5" w:name="_Toc149215663"/>
      <w:bookmarkStart w:id="6" w:name="_Toc149226639"/>
      <w:bookmarkStart w:id="7" w:name="_Toc149137928"/>
      <w:bookmarkStart w:id="8" w:name="_Toc149215664"/>
      <w:bookmarkStart w:id="9" w:name="_Toc149226640"/>
      <w:bookmarkStart w:id="10" w:name="_Toc149137929"/>
      <w:bookmarkStart w:id="11" w:name="_Toc149215665"/>
      <w:bookmarkStart w:id="12" w:name="_Toc149226641"/>
      <w:bookmarkStart w:id="13" w:name="_Toc149137930"/>
      <w:bookmarkStart w:id="14" w:name="_Toc149215666"/>
      <w:bookmarkStart w:id="15" w:name="_Toc149226642"/>
      <w:bookmarkStart w:id="16" w:name="_Toc149137931"/>
      <w:bookmarkStart w:id="17" w:name="_Toc149215667"/>
      <w:bookmarkStart w:id="18" w:name="_Toc149226643"/>
      <w:bookmarkStart w:id="19" w:name="_Toc149137932"/>
      <w:bookmarkStart w:id="20" w:name="_Toc149215668"/>
      <w:bookmarkStart w:id="21" w:name="_Toc149226644"/>
      <w:bookmarkStart w:id="22" w:name="_Toc149137933"/>
      <w:bookmarkStart w:id="23" w:name="_Toc149215669"/>
      <w:bookmarkStart w:id="24" w:name="_Toc149226645"/>
      <w:bookmarkStart w:id="25" w:name="_Toc149137934"/>
      <w:bookmarkStart w:id="26" w:name="_Toc149215670"/>
      <w:bookmarkStart w:id="27" w:name="_Toc149226646"/>
      <w:bookmarkStart w:id="28" w:name="_Toc149137935"/>
      <w:bookmarkStart w:id="29" w:name="_Toc149215671"/>
      <w:bookmarkStart w:id="30" w:name="_Toc149226647"/>
      <w:bookmarkStart w:id="31" w:name="_Toc149137936"/>
      <w:bookmarkStart w:id="32" w:name="_Toc149215672"/>
      <w:bookmarkStart w:id="33" w:name="_Toc149226648"/>
      <w:bookmarkStart w:id="34" w:name="_Toc149137937"/>
      <w:bookmarkStart w:id="35" w:name="_Toc149215673"/>
      <w:bookmarkStart w:id="36" w:name="_Toc149226649"/>
      <w:bookmarkStart w:id="37" w:name="_Toc149137938"/>
      <w:bookmarkStart w:id="38" w:name="_Toc149215674"/>
      <w:bookmarkStart w:id="39" w:name="_Toc149226650"/>
      <w:bookmarkStart w:id="40" w:name="_Toc149137939"/>
      <w:bookmarkStart w:id="41" w:name="_Toc149215675"/>
      <w:bookmarkStart w:id="42" w:name="_Toc149226651"/>
      <w:bookmarkStart w:id="43" w:name="_Toc149137940"/>
      <w:bookmarkStart w:id="44" w:name="_Toc149215676"/>
      <w:bookmarkStart w:id="45" w:name="_Toc149226652"/>
      <w:bookmarkStart w:id="46" w:name="_Toc149137941"/>
      <w:bookmarkStart w:id="47" w:name="_Toc149215677"/>
      <w:bookmarkStart w:id="48" w:name="_Toc149226653"/>
      <w:bookmarkStart w:id="49" w:name="_Toc149137942"/>
      <w:bookmarkStart w:id="50" w:name="_Toc149215678"/>
      <w:bookmarkStart w:id="51" w:name="_Toc149226654"/>
      <w:bookmarkStart w:id="52" w:name="_Toc149137943"/>
      <w:bookmarkStart w:id="53" w:name="_Toc149215679"/>
      <w:bookmarkStart w:id="54" w:name="_Toc149226655"/>
      <w:bookmarkStart w:id="55" w:name="_Toc149137944"/>
      <w:bookmarkStart w:id="56" w:name="_Toc149215680"/>
      <w:bookmarkStart w:id="57" w:name="_Toc149226656"/>
      <w:bookmarkStart w:id="58" w:name="_Toc149137945"/>
      <w:bookmarkStart w:id="59" w:name="_Toc149215681"/>
      <w:bookmarkStart w:id="60" w:name="_Toc149226657"/>
      <w:bookmarkStart w:id="61" w:name="_Toc149137946"/>
      <w:bookmarkStart w:id="62" w:name="_Toc149215682"/>
      <w:bookmarkStart w:id="63" w:name="_Toc149226658"/>
      <w:bookmarkStart w:id="64" w:name="_Toc149137947"/>
      <w:bookmarkStart w:id="65" w:name="_Toc149215683"/>
      <w:bookmarkStart w:id="66" w:name="_Toc149226659"/>
      <w:bookmarkStart w:id="67" w:name="_Toc149137948"/>
      <w:bookmarkStart w:id="68" w:name="_Toc149215684"/>
      <w:bookmarkStart w:id="69" w:name="_Toc149226660"/>
      <w:bookmarkStart w:id="70" w:name="_Toc149137949"/>
      <w:bookmarkStart w:id="71" w:name="_Toc149215685"/>
      <w:bookmarkStart w:id="72" w:name="_Toc149226661"/>
      <w:bookmarkStart w:id="73" w:name="_Toc149137950"/>
      <w:bookmarkStart w:id="74" w:name="_Toc149215686"/>
      <w:bookmarkStart w:id="75" w:name="_Toc149226662"/>
      <w:bookmarkStart w:id="76" w:name="_Toc149137951"/>
      <w:bookmarkStart w:id="77" w:name="_Toc149215687"/>
      <w:bookmarkStart w:id="78" w:name="_Toc149226663"/>
      <w:bookmarkStart w:id="79" w:name="_Toc149137952"/>
      <w:bookmarkStart w:id="80" w:name="_Toc149215688"/>
      <w:bookmarkStart w:id="81" w:name="_Toc149226664"/>
      <w:bookmarkStart w:id="82" w:name="_Toc149137953"/>
      <w:bookmarkStart w:id="83" w:name="_Toc149215689"/>
      <w:bookmarkStart w:id="84" w:name="_Toc149226665"/>
      <w:bookmarkStart w:id="85" w:name="_Toc149137954"/>
      <w:bookmarkStart w:id="86" w:name="_Toc149215690"/>
      <w:bookmarkStart w:id="87" w:name="_Toc149226666"/>
      <w:bookmarkStart w:id="88" w:name="_Toc149137955"/>
      <w:bookmarkStart w:id="89" w:name="_Toc149215691"/>
      <w:bookmarkStart w:id="90" w:name="_Toc149226667"/>
      <w:bookmarkStart w:id="91" w:name="_Toc149137956"/>
      <w:bookmarkStart w:id="92" w:name="_Toc149215692"/>
      <w:bookmarkStart w:id="93" w:name="_Toc149226668"/>
      <w:bookmarkStart w:id="94" w:name="_Toc149137957"/>
      <w:bookmarkStart w:id="95" w:name="_Toc149215693"/>
      <w:bookmarkStart w:id="96" w:name="_Toc149226669"/>
      <w:bookmarkStart w:id="97" w:name="_Toc149137958"/>
      <w:bookmarkStart w:id="98" w:name="_Toc149215694"/>
      <w:bookmarkStart w:id="99" w:name="_Toc149226670"/>
      <w:bookmarkStart w:id="100" w:name="_Toc149137959"/>
      <w:bookmarkStart w:id="101" w:name="_Toc149215695"/>
      <w:bookmarkStart w:id="102" w:name="_Toc149226671"/>
      <w:bookmarkStart w:id="103" w:name="_Toc149137960"/>
      <w:bookmarkStart w:id="104" w:name="_Toc149215696"/>
      <w:bookmarkStart w:id="105" w:name="_Toc149226672"/>
      <w:bookmarkStart w:id="106" w:name="_Toc149137961"/>
      <w:bookmarkStart w:id="107" w:name="_Toc149215697"/>
      <w:bookmarkStart w:id="108" w:name="_Toc149226673"/>
      <w:bookmarkStart w:id="109" w:name="_Toc149137962"/>
      <w:bookmarkStart w:id="110" w:name="_Toc149215698"/>
      <w:bookmarkStart w:id="111" w:name="_Toc149226674"/>
      <w:bookmarkStart w:id="112" w:name="_Toc149137963"/>
      <w:bookmarkStart w:id="113" w:name="_Toc149215699"/>
      <w:bookmarkStart w:id="114" w:name="_Toc149226675"/>
      <w:bookmarkStart w:id="115" w:name="_Toc149137964"/>
      <w:bookmarkStart w:id="116" w:name="_Toc149215700"/>
      <w:bookmarkStart w:id="117" w:name="_Toc149226676"/>
      <w:bookmarkStart w:id="118" w:name="_Toc149137965"/>
      <w:bookmarkStart w:id="119" w:name="_Toc149215701"/>
      <w:bookmarkStart w:id="120" w:name="_Toc149226677"/>
      <w:bookmarkStart w:id="121" w:name="_Toc149137966"/>
      <w:bookmarkStart w:id="122" w:name="_Toc149215702"/>
      <w:bookmarkStart w:id="123" w:name="_Toc149226678"/>
      <w:bookmarkStart w:id="124" w:name="_Toc149137967"/>
      <w:bookmarkStart w:id="125" w:name="_Toc149215703"/>
      <w:bookmarkStart w:id="126" w:name="_Toc149226679"/>
      <w:bookmarkStart w:id="127" w:name="_Toc149137968"/>
      <w:bookmarkStart w:id="128" w:name="_Toc149215704"/>
      <w:bookmarkStart w:id="129" w:name="_Toc149226680"/>
      <w:bookmarkStart w:id="130" w:name="_Toc149137969"/>
      <w:bookmarkStart w:id="131" w:name="_Toc149215705"/>
      <w:bookmarkStart w:id="132" w:name="_Toc149226681"/>
      <w:bookmarkStart w:id="133" w:name="_Toc149137970"/>
      <w:bookmarkStart w:id="134" w:name="_Toc149215706"/>
      <w:bookmarkStart w:id="135" w:name="_Toc149226682"/>
      <w:bookmarkStart w:id="136" w:name="_Toc149137971"/>
      <w:bookmarkStart w:id="137" w:name="_Toc149215707"/>
      <w:bookmarkStart w:id="138" w:name="_Toc149226683"/>
      <w:bookmarkStart w:id="139" w:name="_Toc149137972"/>
      <w:bookmarkStart w:id="140" w:name="_Toc149215708"/>
      <w:bookmarkStart w:id="141" w:name="_Toc149226684"/>
      <w:bookmarkStart w:id="142" w:name="_Toc149137973"/>
      <w:bookmarkStart w:id="143" w:name="_Toc149215709"/>
      <w:bookmarkStart w:id="144" w:name="_Toc149226685"/>
      <w:bookmarkStart w:id="145" w:name="_Toc149137974"/>
      <w:bookmarkStart w:id="146" w:name="_Toc149215710"/>
      <w:bookmarkStart w:id="147" w:name="_Toc149226686"/>
      <w:bookmarkStart w:id="148" w:name="_Toc149137975"/>
      <w:bookmarkStart w:id="149" w:name="_Toc149215711"/>
      <w:bookmarkStart w:id="150" w:name="_Toc149226687"/>
      <w:bookmarkStart w:id="151" w:name="_Toc149137976"/>
      <w:bookmarkStart w:id="152" w:name="_Toc149215712"/>
      <w:bookmarkStart w:id="153" w:name="_Toc149226688"/>
      <w:bookmarkStart w:id="154" w:name="_Toc149137977"/>
      <w:bookmarkStart w:id="155" w:name="_Toc149215713"/>
      <w:bookmarkStart w:id="156" w:name="_Toc149226689"/>
      <w:bookmarkStart w:id="157" w:name="_Toc149137978"/>
      <w:bookmarkStart w:id="158" w:name="_Toc149215714"/>
      <w:bookmarkStart w:id="159" w:name="_Toc149226690"/>
      <w:bookmarkStart w:id="160" w:name="_Toc149137979"/>
      <w:bookmarkStart w:id="161" w:name="_Toc149215715"/>
      <w:bookmarkStart w:id="162" w:name="_Toc149226691"/>
      <w:bookmarkStart w:id="163" w:name="_Toc149137980"/>
      <w:bookmarkStart w:id="164" w:name="_Toc149215716"/>
      <w:bookmarkStart w:id="165" w:name="_Toc149226692"/>
      <w:bookmarkStart w:id="166" w:name="_Toc149137981"/>
      <w:bookmarkStart w:id="167" w:name="_Toc149215717"/>
      <w:bookmarkStart w:id="168" w:name="_Toc149226693"/>
      <w:bookmarkStart w:id="169" w:name="_Toc149137982"/>
      <w:bookmarkStart w:id="170" w:name="_Toc149215718"/>
      <w:bookmarkStart w:id="171" w:name="_Toc149226694"/>
      <w:bookmarkStart w:id="172" w:name="_Toc149137983"/>
      <w:bookmarkStart w:id="173" w:name="_Toc149215719"/>
      <w:bookmarkStart w:id="174" w:name="_Toc149226695"/>
      <w:bookmarkStart w:id="175" w:name="_Toc149137984"/>
      <w:bookmarkStart w:id="176" w:name="_Toc149215720"/>
      <w:bookmarkStart w:id="177" w:name="_Toc149226696"/>
      <w:bookmarkStart w:id="178" w:name="_Toc149137985"/>
      <w:bookmarkStart w:id="179" w:name="_Toc149215721"/>
      <w:bookmarkStart w:id="180" w:name="_Toc149226697"/>
      <w:bookmarkStart w:id="181" w:name="_Toc149137986"/>
      <w:bookmarkStart w:id="182" w:name="_Toc149215722"/>
      <w:bookmarkStart w:id="183" w:name="_Toc149226698"/>
      <w:bookmarkStart w:id="184" w:name="_Toc149137987"/>
      <w:bookmarkStart w:id="185" w:name="_Toc149215723"/>
      <w:bookmarkStart w:id="186" w:name="_Toc149226699"/>
      <w:bookmarkStart w:id="187" w:name="_Toc149137988"/>
      <w:bookmarkStart w:id="188" w:name="_Toc149215724"/>
      <w:bookmarkStart w:id="189" w:name="_Toc149226700"/>
      <w:bookmarkStart w:id="190" w:name="_Toc149137989"/>
      <w:bookmarkStart w:id="191" w:name="_Toc149215725"/>
      <w:bookmarkStart w:id="192" w:name="_Toc149226701"/>
      <w:bookmarkStart w:id="193" w:name="_Toc149137990"/>
      <w:bookmarkStart w:id="194" w:name="_Toc149215726"/>
      <w:bookmarkStart w:id="195" w:name="_Toc149226702"/>
      <w:bookmarkStart w:id="196" w:name="_Toc149137991"/>
      <w:bookmarkStart w:id="197" w:name="_Toc149215727"/>
      <w:bookmarkStart w:id="198" w:name="_Toc149226703"/>
      <w:bookmarkStart w:id="199" w:name="_Toc149137992"/>
      <w:bookmarkStart w:id="200" w:name="_Toc149215728"/>
      <w:bookmarkStart w:id="201" w:name="_Toc149226704"/>
      <w:bookmarkStart w:id="202" w:name="_Toc149137993"/>
      <w:bookmarkStart w:id="203" w:name="_Toc149215729"/>
      <w:bookmarkStart w:id="204" w:name="_Toc149226705"/>
      <w:bookmarkStart w:id="205" w:name="_Toc149137994"/>
      <w:bookmarkStart w:id="206" w:name="_Toc149215730"/>
      <w:bookmarkStart w:id="207" w:name="_Toc149226706"/>
      <w:bookmarkStart w:id="208" w:name="_Toc149137995"/>
      <w:bookmarkStart w:id="209" w:name="_Toc149215731"/>
      <w:bookmarkStart w:id="210" w:name="_Toc149226707"/>
      <w:bookmarkStart w:id="211" w:name="_Toc149137996"/>
      <w:bookmarkStart w:id="212" w:name="_Toc149215732"/>
      <w:bookmarkStart w:id="213" w:name="_Toc149226708"/>
      <w:bookmarkStart w:id="214" w:name="_Toc149137997"/>
      <w:bookmarkStart w:id="215" w:name="_Toc149215733"/>
      <w:bookmarkStart w:id="216" w:name="_Toc149226709"/>
      <w:bookmarkStart w:id="217" w:name="_Toc149137998"/>
      <w:bookmarkStart w:id="218" w:name="_Toc149215734"/>
      <w:bookmarkStart w:id="219" w:name="_Toc149226710"/>
      <w:bookmarkStart w:id="220" w:name="_Toc149137999"/>
      <w:bookmarkStart w:id="221" w:name="_Toc149215735"/>
      <w:bookmarkStart w:id="222" w:name="_Toc149226711"/>
      <w:bookmarkStart w:id="223" w:name="_Toc149138000"/>
      <w:bookmarkStart w:id="224" w:name="_Toc149215736"/>
      <w:bookmarkStart w:id="225" w:name="_Toc149226712"/>
      <w:bookmarkStart w:id="226" w:name="_Toc149138001"/>
      <w:bookmarkStart w:id="227" w:name="_Toc149215737"/>
      <w:bookmarkStart w:id="228" w:name="_Toc149226713"/>
      <w:bookmarkStart w:id="229" w:name="_Toc149138002"/>
      <w:bookmarkStart w:id="230" w:name="_Toc149215738"/>
      <w:bookmarkStart w:id="231" w:name="_Toc149226714"/>
      <w:bookmarkStart w:id="232" w:name="_Toc149138003"/>
      <w:bookmarkStart w:id="233" w:name="_Toc149215739"/>
      <w:bookmarkStart w:id="234" w:name="_Toc149226715"/>
      <w:bookmarkStart w:id="235" w:name="_Toc149138004"/>
      <w:bookmarkStart w:id="236" w:name="_Toc149215740"/>
      <w:bookmarkStart w:id="237" w:name="_Toc149226716"/>
      <w:bookmarkStart w:id="238" w:name="_Toc149138005"/>
      <w:bookmarkStart w:id="239" w:name="_Toc149215741"/>
      <w:bookmarkStart w:id="240" w:name="_Toc149226717"/>
      <w:bookmarkStart w:id="241" w:name="_Toc149138006"/>
      <w:bookmarkStart w:id="242" w:name="_Toc149215742"/>
      <w:bookmarkStart w:id="243" w:name="_Toc149226718"/>
      <w:bookmarkStart w:id="244" w:name="_Toc149138007"/>
      <w:bookmarkStart w:id="245" w:name="_Toc149215743"/>
      <w:bookmarkStart w:id="246" w:name="_Toc149226719"/>
      <w:bookmarkStart w:id="247" w:name="_Toc149138008"/>
      <w:bookmarkStart w:id="248" w:name="_Toc149215744"/>
      <w:bookmarkStart w:id="249" w:name="_Toc149226720"/>
      <w:bookmarkStart w:id="250" w:name="_Toc149138009"/>
      <w:bookmarkStart w:id="251" w:name="_Toc149215745"/>
      <w:bookmarkStart w:id="252" w:name="_Toc149226721"/>
      <w:bookmarkStart w:id="253" w:name="_Toc149138010"/>
      <w:bookmarkStart w:id="254" w:name="_Toc149215746"/>
      <w:bookmarkStart w:id="255" w:name="_Toc149226722"/>
      <w:bookmarkStart w:id="256" w:name="_Toc149138011"/>
      <w:bookmarkStart w:id="257" w:name="_Toc149215747"/>
      <w:bookmarkStart w:id="258" w:name="_Toc149226723"/>
      <w:bookmarkStart w:id="259" w:name="_Toc149138012"/>
      <w:bookmarkStart w:id="260" w:name="_Toc149215748"/>
      <w:bookmarkStart w:id="261" w:name="_Toc149226724"/>
      <w:bookmarkStart w:id="262" w:name="_Toc149138013"/>
      <w:bookmarkStart w:id="263" w:name="_Toc149215749"/>
      <w:bookmarkStart w:id="264" w:name="_Toc149226725"/>
      <w:bookmarkStart w:id="265" w:name="_Toc149138014"/>
      <w:bookmarkStart w:id="266" w:name="_Toc149215750"/>
      <w:bookmarkStart w:id="267" w:name="_Toc149226726"/>
      <w:bookmarkStart w:id="268" w:name="_Toc149138015"/>
      <w:bookmarkStart w:id="269" w:name="_Toc149215751"/>
      <w:bookmarkStart w:id="270" w:name="_Toc149226727"/>
      <w:bookmarkStart w:id="271" w:name="_Toc149138016"/>
      <w:bookmarkStart w:id="272" w:name="_Toc149215752"/>
      <w:bookmarkStart w:id="273" w:name="_Toc149226728"/>
      <w:bookmarkStart w:id="274" w:name="_Toc149138017"/>
      <w:bookmarkStart w:id="275" w:name="_Toc149215753"/>
      <w:bookmarkStart w:id="276" w:name="_Toc149226729"/>
      <w:bookmarkStart w:id="277" w:name="_Toc149138018"/>
      <w:bookmarkStart w:id="278" w:name="_Toc149215754"/>
      <w:bookmarkStart w:id="279" w:name="_Toc149226730"/>
      <w:bookmarkStart w:id="280" w:name="_Toc149138019"/>
      <w:bookmarkStart w:id="281" w:name="_Toc149215755"/>
      <w:bookmarkStart w:id="282" w:name="_Toc149226731"/>
      <w:bookmarkStart w:id="283" w:name="_Toc149138020"/>
      <w:bookmarkStart w:id="284" w:name="_Toc149215756"/>
      <w:bookmarkStart w:id="285" w:name="_Toc149226732"/>
      <w:bookmarkStart w:id="286" w:name="_Toc149138021"/>
      <w:bookmarkStart w:id="287" w:name="_Toc149215757"/>
      <w:bookmarkStart w:id="288" w:name="_Toc149226733"/>
      <w:bookmarkStart w:id="289" w:name="_Toc149138022"/>
      <w:bookmarkStart w:id="290" w:name="_Toc149215758"/>
      <w:bookmarkStart w:id="291" w:name="_Toc149226734"/>
      <w:bookmarkStart w:id="292" w:name="_Toc149138023"/>
      <w:bookmarkStart w:id="293" w:name="_Toc149215759"/>
      <w:bookmarkStart w:id="294" w:name="_Toc149226735"/>
      <w:bookmarkStart w:id="295" w:name="_Toc149138024"/>
      <w:bookmarkStart w:id="296" w:name="_Toc149215760"/>
      <w:bookmarkStart w:id="297" w:name="_Toc149226736"/>
      <w:bookmarkStart w:id="298" w:name="_Toc149138025"/>
      <w:bookmarkStart w:id="299" w:name="_Toc149215761"/>
      <w:bookmarkStart w:id="300" w:name="_Toc149226737"/>
      <w:bookmarkStart w:id="301" w:name="_Toc149138026"/>
      <w:bookmarkStart w:id="302" w:name="_Toc149215762"/>
      <w:bookmarkStart w:id="303" w:name="_Toc149226738"/>
      <w:bookmarkStart w:id="304" w:name="_Toc149138027"/>
      <w:bookmarkStart w:id="305" w:name="_Toc149215763"/>
      <w:bookmarkStart w:id="306" w:name="_Toc149226739"/>
      <w:bookmarkStart w:id="307" w:name="_Toc149138028"/>
      <w:bookmarkStart w:id="308" w:name="_Toc149215764"/>
      <w:bookmarkStart w:id="309" w:name="_Toc149226740"/>
      <w:bookmarkStart w:id="310" w:name="_Toc149138029"/>
      <w:bookmarkStart w:id="311" w:name="_Toc149215765"/>
      <w:bookmarkStart w:id="312" w:name="_Toc149226741"/>
      <w:bookmarkStart w:id="313" w:name="_Toc149138030"/>
      <w:bookmarkStart w:id="314" w:name="_Toc149215766"/>
      <w:bookmarkStart w:id="315" w:name="_Toc149226742"/>
      <w:bookmarkStart w:id="316" w:name="_Toc149138031"/>
      <w:bookmarkStart w:id="317" w:name="_Toc149215767"/>
      <w:bookmarkStart w:id="318" w:name="_Toc149226743"/>
      <w:bookmarkStart w:id="319" w:name="_Toc149138032"/>
      <w:bookmarkStart w:id="320" w:name="_Toc149215768"/>
      <w:bookmarkStart w:id="321" w:name="_Toc149226744"/>
      <w:bookmarkStart w:id="322" w:name="_Toc149138033"/>
      <w:bookmarkStart w:id="323" w:name="_Toc149215769"/>
      <w:bookmarkStart w:id="324" w:name="_Toc149226745"/>
      <w:bookmarkStart w:id="325" w:name="_Toc149138034"/>
      <w:bookmarkStart w:id="326" w:name="_Toc149215770"/>
      <w:bookmarkStart w:id="327" w:name="_Toc149226746"/>
      <w:bookmarkStart w:id="328" w:name="_Toc149138035"/>
      <w:bookmarkStart w:id="329" w:name="_Toc149215771"/>
      <w:bookmarkStart w:id="330" w:name="_Toc149226747"/>
      <w:bookmarkStart w:id="331" w:name="_Toc149138036"/>
      <w:bookmarkStart w:id="332" w:name="_Toc149215772"/>
      <w:bookmarkStart w:id="333" w:name="_Toc149226748"/>
      <w:bookmarkStart w:id="334" w:name="_Toc149138037"/>
      <w:bookmarkStart w:id="335" w:name="_Toc149215773"/>
      <w:bookmarkStart w:id="336" w:name="_Toc149226749"/>
      <w:bookmarkStart w:id="337" w:name="_Toc149138038"/>
      <w:bookmarkStart w:id="338" w:name="_Toc149215774"/>
      <w:bookmarkStart w:id="339" w:name="_Toc149226750"/>
      <w:bookmarkStart w:id="340" w:name="_Toc149138039"/>
      <w:bookmarkStart w:id="341" w:name="_Toc149215775"/>
      <w:bookmarkStart w:id="342" w:name="_Toc149226751"/>
      <w:bookmarkStart w:id="343" w:name="_Toc149138040"/>
      <w:bookmarkStart w:id="344" w:name="_Toc149215776"/>
      <w:bookmarkStart w:id="345" w:name="_Toc149226752"/>
      <w:bookmarkStart w:id="346" w:name="_Toc149138041"/>
      <w:bookmarkStart w:id="347" w:name="_Toc149215777"/>
      <w:bookmarkStart w:id="348" w:name="_Toc149226753"/>
      <w:bookmarkStart w:id="349" w:name="_Toc149138054"/>
      <w:bookmarkStart w:id="350" w:name="_Toc149215790"/>
      <w:bookmarkStart w:id="351" w:name="_Toc149226766"/>
      <w:bookmarkStart w:id="352" w:name="_Toc149138060"/>
      <w:bookmarkStart w:id="353" w:name="_Toc149215796"/>
      <w:bookmarkStart w:id="354" w:name="_Toc149226772"/>
      <w:bookmarkStart w:id="355" w:name="_Toc149138066"/>
      <w:bookmarkStart w:id="356" w:name="_Toc149215802"/>
      <w:bookmarkStart w:id="357" w:name="_Toc149226778"/>
      <w:bookmarkStart w:id="358" w:name="_Toc149138067"/>
      <w:bookmarkStart w:id="359" w:name="_Toc149215803"/>
      <w:bookmarkStart w:id="360" w:name="_Toc149226779"/>
      <w:bookmarkStart w:id="361" w:name="_Toc149138068"/>
      <w:bookmarkStart w:id="362" w:name="_Toc149215804"/>
      <w:bookmarkStart w:id="363" w:name="_Toc14922678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br w:type="page"/>
      </w:r>
    </w:p>
    <w:p w14:paraId="43A875A4" w14:textId="64831117" w:rsidR="008D49A5" w:rsidRDefault="008D49A5" w:rsidP="005141CA">
      <w:pPr>
        <w:pStyle w:val="Heading1"/>
      </w:pPr>
      <w:bookmarkStart w:id="364" w:name="_Toc224840099"/>
      <w:r w:rsidRPr="00E90780">
        <w:lastRenderedPageBreak/>
        <w:t>Introduction</w:t>
      </w:r>
      <w:bookmarkEnd w:id="364"/>
    </w:p>
    <w:p w14:paraId="52AB8090" w14:textId="676545EF" w:rsidR="00AB5C2F" w:rsidRDefault="00AB5C2F" w:rsidP="009E5D1E">
      <w:pPr>
        <w:pStyle w:val="F9-Paragraph"/>
      </w:pPr>
      <w:r w:rsidRPr="00AB5C2F">
        <w:t>ONRs Safety Assessment Principles (SAPs) guide inspectors reviewing safety cases for nuclear facilities</w:t>
      </w:r>
      <w:r w:rsidR="00601F3F">
        <w:t xml:space="preserve"> </w:t>
      </w:r>
      <w:r w:rsidR="009E5D1E">
        <w:t>subject to</w:t>
      </w:r>
      <w:r w:rsidR="00601F3F">
        <w:t xml:space="preserve"> ONRs purposes</w:t>
      </w:r>
      <w:r w:rsidRPr="00AB5C2F">
        <w:t xml:space="preserve">. </w:t>
      </w:r>
      <w:r w:rsidR="00ED6F53">
        <w:br/>
      </w:r>
      <w:r w:rsidRPr="00AB5C2F">
        <w:t xml:space="preserve">Regular maintenance, including refurbishing or replacing </w:t>
      </w:r>
      <w:r w:rsidR="004D0C8E">
        <w:t>S</w:t>
      </w:r>
      <w:r w:rsidRPr="00AB5C2F">
        <w:t xml:space="preserve">tructures, </w:t>
      </w:r>
      <w:r w:rsidR="004D0C8E">
        <w:t>S</w:t>
      </w:r>
      <w:r w:rsidRPr="00AB5C2F">
        <w:t xml:space="preserve">ystems, and </w:t>
      </w:r>
      <w:r w:rsidR="004D0C8E">
        <w:t>C</w:t>
      </w:r>
      <w:r w:rsidRPr="00AB5C2F">
        <w:t xml:space="preserve">omponents (SSCs), is essential to ensure reliability and keep risks </w:t>
      </w:r>
      <w:r w:rsidR="003F2448">
        <w:t>As L</w:t>
      </w:r>
      <w:r w:rsidRPr="00AB5C2F">
        <w:t>ow</w:t>
      </w:r>
      <w:r w:rsidR="003F2448">
        <w:t xml:space="preserve"> As Reasonably Practicable</w:t>
      </w:r>
      <w:r w:rsidR="00601F3F">
        <w:t xml:space="preserve"> (ALARP)</w:t>
      </w:r>
      <w:r w:rsidRPr="00AB5C2F">
        <w:t xml:space="preserve">. This depends on understanding the facility, identifying safety-critical SSCs, and supporting them with a robust programme of </w:t>
      </w:r>
      <w:r w:rsidR="00601F3F">
        <w:t>E</w:t>
      </w:r>
      <w:r w:rsidRPr="00AB5C2F">
        <w:t xml:space="preserve">xamination, </w:t>
      </w:r>
      <w:r w:rsidR="00601F3F">
        <w:t>I</w:t>
      </w:r>
      <w:r w:rsidRPr="00AB5C2F">
        <w:t xml:space="preserve">nspection, </w:t>
      </w:r>
      <w:r w:rsidR="00601F3F">
        <w:t>M</w:t>
      </w:r>
      <w:r w:rsidRPr="00AB5C2F">
        <w:t xml:space="preserve">aintenance and </w:t>
      </w:r>
      <w:r w:rsidR="00601F3F">
        <w:t>T</w:t>
      </w:r>
      <w:r w:rsidRPr="00AB5C2F">
        <w:t>esting (EIMT).</w:t>
      </w:r>
    </w:p>
    <w:p w14:paraId="37BE7CAD" w14:textId="77777777" w:rsidR="002D3397" w:rsidRPr="00AB5C2F" w:rsidRDefault="002D3397" w:rsidP="002D3397">
      <w:pPr>
        <w:pStyle w:val="F9-Paragraph"/>
        <w:numPr>
          <w:ilvl w:val="0"/>
          <w:numId w:val="0"/>
        </w:numPr>
        <w:ind w:left="851"/>
      </w:pPr>
    </w:p>
    <w:p w14:paraId="05AAE39A" w14:textId="3D2ED65E" w:rsidR="008D49A5" w:rsidRDefault="000950B3" w:rsidP="000D3F35">
      <w:pPr>
        <w:pStyle w:val="Heading1"/>
      </w:pPr>
      <w:bookmarkStart w:id="365" w:name="_Toc224840100"/>
      <w:r>
        <w:t xml:space="preserve">Purpose and </w:t>
      </w:r>
      <w:r w:rsidR="002D3397">
        <w:t>s</w:t>
      </w:r>
      <w:r>
        <w:t>cope</w:t>
      </w:r>
      <w:bookmarkEnd w:id="365"/>
    </w:p>
    <w:p w14:paraId="09022139" w14:textId="60795741" w:rsidR="008A65B7" w:rsidRDefault="008A65B7" w:rsidP="009E5D1E">
      <w:pPr>
        <w:pStyle w:val="F9-Paragraph"/>
      </w:pPr>
      <w:r w:rsidRPr="008A65B7">
        <w:rPr>
          <w:rFonts w:eastAsia="Calibri"/>
        </w:rPr>
        <w:t xml:space="preserve">This guide focuses on ONRs SAPs </w:t>
      </w:r>
      <w:sdt>
        <w:sdtPr>
          <w:rPr>
            <w:rFonts w:eastAsia="Calibri"/>
          </w:rPr>
          <w:id w:val="192804790"/>
          <w:citation/>
        </w:sdtPr>
        <w:sdtContent>
          <w:r w:rsidR="004C493D">
            <w:rPr>
              <w:rFonts w:eastAsia="Calibri"/>
            </w:rPr>
            <w:fldChar w:fldCharType="begin"/>
          </w:r>
          <w:r w:rsidR="004C493D">
            <w:rPr>
              <w:rFonts w:eastAsia="Calibri"/>
            </w:rPr>
            <w:instrText xml:space="preserve"> CITATION ONR2013 \l 2057 </w:instrText>
          </w:r>
          <w:r w:rsidR="004C493D">
            <w:rPr>
              <w:rFonts w:eastAsia="Calibri"/>
            </w:rPr>
            <w:fldChar w:fldCharType="separate"/>
          </w:r>
          <w:r w:rsidR="0045054A" w:rsidRPr="0045054A">
            <w:rPr>
              <w:rFonts w:eastAsia="Calibri"/>
              <w:noProof/>
            </w:rPr>
            <w:t>[1]</w:t>
          </w:r>
          <w:r w:rsidR="004C493D">
            <w:rPr>
              <w:rFonts w:eastAsia="Calibri"/>
            </w:rPr>
            <w:fldChar w:fldCharType="end"/>
          </w:r>
        </w:sdtContent>
      </w:sdt>
      <w:r w:rsidRPr="008A65B7">
        <w:rPr>
          <w:rFonts w:eastAsia="Calibri"/>
        </w:rPr>
        <w:t xml:space="preserve"> related to </w:t>
      </w:r>
      <w:r w:rsidR="00601F3F">
        <w:rPr>
          <w:rFonts w:eastAsia="Calibri"/>
        </w:rPr>
        <w:t>EIMT</w:t>
      </w:r>
      <w:r w:rsidRPr="008A65B7">
        <w:rPr>
          <w:rFonts w:eastAsia="Calibri"/>
        </w:rPr>
        <w:t>, specifically SAPs EMT.1 to EMT.8. It is written in general terms to be relevant across all engineering disciplines. EIMT is a key part of running a nuclear facility.</w:t>
      </w:r>
    </w:p>
    <w:p w14:paraId="5C64DA2A" w14:textId="4E66F614" w:rsidR="008A65B7" w:rsidRDefault="008A65B7" w:rsidP="009E5D1E">
      <w:pPr>
        <w:pStyle w:val="F9-Paragraph"/>
      </w:pPr>
      <w:r w:rsidRPr="008A65B7">
        <w:t xml:space="preserve">Both the SAPs and this guide stress the importance of having proper arrangements in place for EIMT on safety-critical items. These arrangements should cover planning, specifying, </w:t>
      </w:r>
      <w:r w:rsidR="00FA5112" w:rsidRPr="008A65B7">
        <w:t>conducting</w:t>
      </w:r>
      <w:r w:rsidRPr="008A65B7">
        <w:t>, monitoring and</w:t>
      </w:r>
      <w:r w:rsidR="00FA5112">
        <w:t>,</w:t>
      </w:r>
      <w:r w:rsidRPr="008A65B7">
        <w:t xml:space="preserve"> reviewing EIMT work. Any changes to the facility, equipment or EIMT must not reduce the safety levels set out in the safety case.</w:t>
      </w:r>
    </w:p>
    <w:p w14:paraId="6D0B899A" w14:textId="1B09A753" w:rsidR="00496582" w:rsidRPr="00F57645" w:rsidRDefault="008A65B7" w:rsidP="008B1C1E">
      <w:pPr>
        <w:pStyle w:val="F9-Paragraph"/>
        <w:rPr>
          <w:rFonts w:eastAsia="Calibri"/>
        </w:rPr>
      </w:pPr>
      <w:r w:rsidRPr="008A65B7">
        <w:t>This guide offers advice to ONR inspectors to help them make sound regulatory decisions.</w:t>
      </w:r>
    </w:p>
    <w:p w14:paraId="44C058DC" w14:textId="77777777" w:rsidR="002D3397" w:rsidRDefault="002D3397" w:rsidP="00E90780">
      <w:pPr>
        <w:pStyle w:val="Heading1"/>
        <w:sectPr w:rsidR="002D3397" w:rsidSect="000B2BCD">
          <w:headerReference w:type="default" r:id="rId18"/>
          <w:footerReference w:type="default" r:id="rId19"/>
          <w:pgSz w:w="11906" w:h="16838" w:code="9"/>
          <w:pgMar w:top="1440" w:right="1440" w:bottom="1440" w:left="1440" w:header="397" w:footer="397" w:gutter="0"/>
          <w:cols w:space="312"/>
          <w:docGrid w:linePitch="360"/>
        </w:sectPr>
      </w:pPr>
      <w:bookmarkStart w:id="366" w:name="_Toc131084143"/>
      <w:bookmarkStart w:id="367" w:name="_Toc133310811"/>
      <w:bookmarkStart w:id="368" w:name="_Toc133312422"/>
      <w:bookmarkStart w:id="369" w:name="_Toc133312436"/>
      <w:bookmarkStart w:id="370" w:name="_Toc133312484"/>
      <w:bookmarkStart w:id="371" w:name="_Toc133312514"/>
      <w:bookmarkStart w:id="372" w:name="_Toc149138071"/>
      <w:bookmarkStart w:id="373" w:name="_Toc149215807"/>
      <w:bookmarkStart w:id="374" w:name="_Toc149226783"/>
      <w:bookmarkEnd w:id="366"/>
      <w:bookmarkEnd w:id="367"/>
      <w:bookmarkEnd w:id="368"/>
      <w:bookmarkEnd w:id="369"/>
      <w:bookmarkEnd w:id="370"/>
      <w:bookmarkEnd w:id="371"/>
      <w:bookmarkEnd w:id="372"/>
      <w:bookmarkEnd w:id="373"/>
      <w:bookmarkEnd w:id="374"/>
    </w:p>
    <w:p w14:paraId="6E712D03" w14:textId="7A5ADA7B" w:rsidR="009E0E52" w:rsidRDefault="000950B3" w:rsidP="00E90780">
      <w:pPr>
        <w:pStyle w:val="Heading1"/>
      </w:pPr>
      <w:bookmarkStart w:id="375" w:name="_Toc224840101"/>
      <w:r>
        <w:lastRenderedPageBreak/>
        <w:t xml:space="preserve">Relationship to </w:t>
      </w:r>
      <w:r w:rsidR="002D3397">
        <w:t>l</w:t>
      </w:r>
      <w:r>
        <w:t xml:space="preserve">icence and other </w:t>
      </w:r>
      <w:r w:rsidR="002D3397">
        <w:t>r</w:t>
      </w:r>
      <w:r>
        <w:t xml:space="preserve">elevant </w:t>
      </w:r>
      <w:r w:rsidR="002D3397">
        <w:t>l</w:t>
      </w:r>
      <w:r>
        <w:t>egislation</w:t>
      </w:r>
      <w:bookmarkEnd w:id="375"/>
      <w:r>
        <w:t xml:space="preserve"> </w:t>
      </w:r>
    </w:p>
    <w:p w14:paraId="2F178D86" w14:textId="29316945" w:rsidR="006B1237" w:rsidRDefault="006B1237" w:rsidP="00F57645">
      <w:pPr>
        <w:pStyle w:val="F9-Paragraph"/>
      </w:pPr>
      <w:r w:rsidRPr="006B1237">
        <w:rPr>
          <w:rFonts w:eastAsia="Calibri"/>
        </w:rPr>
        <w:t>Site Licence Condition (LC) 28: Examination, Inspection, Maintenance and Testing (EIMT) requires licensees to set up and follow suitable arrangements for regular checks and maintenance on all plant that could impact safety.</w:t>
      </w:r>
    </w:p>
    <w:p w14:paraId="6A64A5B9" w14:textId="659D7D8E" w:rsidR="006B1237" w:rsidRDefault="006B1237" w:rsidP="00F57645">
      <w:pPr>
        <w:pStyle w:val="F9-Paragraph"/>
      </w:pPr>
      <w:r w:rsidRPr="006B1237">
        <w:t xml:space="preserve">EIMT is a key part of a nuclear facility’s life-cycle, so other </w:t>
      </w:r>
      <w:r w:rsidR="004C493D">
        <w:t>LCs</w:t>
      </w:r>
      <w:r w:rsidRPr="006B1237">
        <w:t xml:space="preserve"> may also apply. </w:t>
      </w:r>
      <w:hyperlink w:anchor="_Appendix_1_–" w:history="1">
        <w:r w:rsidRPr="002D3397">
          <w:rPr>
            <w:rStyle w:val="Hyperlink"/>
          </w:rPr>
          <w:t>Appendix 1</w:t>
        </w:r>
      </w:hyperlink>
      <w:r w:rsidRPr="006B1237">
        <w:t xml:space="preserve"> includes a table of relevant </w:t>
      </w:r>
      <w:r w:rsidR="004C493D">
        <w:t>LCs</w:t>
      </w:r>
      <w:r w:rsidRPr="006B1237">
        <w:t>.</w:t>
      </w:r>
    </w:p>
    <w:p w14:paraId="0F2B584C" w14:textId="74B24451" w:rsidR="00AB5C2F" w:rsidRPr="002D3397" w:rsidRDefault="006B1237" w:rsidP="002D3397">
      <w:pPr>
        <w:pStyle w:val="F9-Paragraph"/>
        <w:rPr>
          <w:rFonts w:eastAsia="Calibri"/>
        </w:rPr>
      </w:pPr>
      <w:r w:rsidRPr="006B1237">
        <w:t xml:space="preserve">There are other </w:t>
      </w:r>
      <w:r w:rsidR="00601F3F">
        <w:t>provisions</w:t>
      </w:r>
      <w:r w:rsidRPr="006B1237">
        <w:t xml:space="preserve"> that require EIMT to be </w:t>
      </w:r>
      <w:r w:rsidR="00FA5112" w:rsidRPr="006B1237">
        <w:t>conducted</w:t>
      </w:r>
      <w:r w:rsidRPr="006B1237">
        <w:t xml:space="preserve"> or ensure it is done safely</w:t>
      </w:r>
      <w:r w:rsidR="003F2448">
        <w:t xml:space="preserve"> and at the appropriate intervals</w:t>
      </w:r>
      <w:r w:rsidR="00601F3F">
        <w:t xml:space="preserve"> </w:t>
      </w:r>
      <w:r w:rsidR="004C493D">
        <w:t>and</w:t>
      </w:r>
      <w:r w:rsidR="00601F3F">
        <w:t xml:space="preserve"> standards</w:t>
      </w:r>
      <w:r w:rsidRPr="006B1237">
        <w:t xml:space="preserve">. ONR enforces these </w:t>
      </w:r>
      <w:r w:rsidR="00601F3F">
        <w:t>provisions</w:t>
      </w:r>
      <w:r w:rsidRPr="006B1237">
        <w:t xml:space="preserve"> on nuclear sites in Great Britain. </w:t>
      </w:r>
      <w:r w:rsidR="002D3397">
        <w:fldChar w:fldCharType="begin"/>
      </w:r>
      <w:r w:rsidR="002D3397">
        <w:instrText xml:space="preserve"> REF _Ref224836899 \h </w:instrText>
      </w:r>
      <w:r w:rsidR="002D3397">
        <w:fldChar w:fldCharType="separate"/>
      </w:r>
      <w:r w:rsidR="002D3397">
        <w:t xml:space="preserve">Table </w:t>
      </w:r>
      <w:r w:rsidR="002D3397">
        <w:rPr>
          <w:noProof/>
        </w:rPr>
        <w:t>1</w:t>
      </w:r>
      <w:r w:rsidR="002D3397">
        <w:fldChar w:fldCharType="end"/>
      </w:r>
      <w:r w:rsidR="002D3397">
        <w:t xml:space="preserve"> </w:t>
      </w:r>
      <w:r w:rsidRPr="006B1237">
        <w:t>lists examples of these legal requirements for EIMT.</w:t>
      </w:r>
    </w:p>
    <w:p w14:paraId="2E7FD699" w14:textId="4E7EFCD1" w:rsidR="002D3397" w:rsidRDefault="002D3397" w:rsidP="004C493D">
      <w:pPr>
        <w:pStyle w:val="Caption"/>
        <w:keepNext/>
        <w:spacing w:before="240" w:after="120"/>
        <w:ind w:left="851"/>
      </w:pPr>
      <w:bookmarkStart w:id="376" w:name="_Ref224836899"/>
      <w:r>
        <w:t xml:space="preserve">Table </w:t>
      </w:r>
      <w:r>
        <w:fldChar w:fldCharType="begin"/>
      </w:r>
      <w:r>
        <w:instrText xml:space="preserve"> SEQ Table \* ARABIC </w:instrText>
      </w:r>
      <w:r>
        <w:fldChar w:fldCharType="separate"/>
      </w:r>
      <w:r>
        <w:rPr>
          <w:noProof/>
        </w:rPr>
        <w:t>1</w:t>
      </w:r>
      <w:r>
        <w:fldChar w:fldCharType="end"/>
      </w:r>
      <w:bookmarkEnd w:id="376"/>
      <w:r>
        <w:t xml:space="preserve"> - </w:t>
      </w:r>
      <w:r w:rsidRPr="007D484E">
        <w:t>Examples of relevant statutory provisions relating to EIMT (this is not an exhaustive list).</w:t>
      </w:r>
    </w:p>
    <w:tbl>
      <w:tblPr>
        <w:tblStyle w:val="ONRTable1"/>
        <w:tblW w:w="8547" w:type="dxa"/>
        <w:tblInd w:w="856" w:type="dxa"/>
        <w:tblLook w:val="04A0" w:firstRow="1" w:lastRow="0" w:firstColumn="1" w:lastColumn="0" w:noHBand="0" w:noVBand="1"/>
      </w:tblPr>
      <w:tblGrid>
        <w:gridCol w:w="2405"/>
        <w:gridCol w:w="6142"/>
      </w:tblGrid>
      <w:tr w:rsidR="00776FA1" w:rsidRPr="002D3397" w14:paraId="6B31A280" w14:textId="77777777" w:rsidTr="002D3397">
        <w:trPr>
          <w:cnfStyle w:val="100000000000" w:firstRow="1" w:lastRow="0" w:firstColumn="0" w:lastColumn="0" w:oddVBand="0" w:evenVBand="0" w:oddHBand="0" w:evenHBand="0" w:firstRowFirstColumn="0" w:firstRowLastColumn="0" w:lastRowFirstColumn="0" w:lastRowLastColumn="0"/>
          <w:cantSplit/>
          <w:tblHeader/>
        </w:trPr>
        <w:tc>
          <w:tcPr>
            <w:tcW w:w="2405" w:type="dxa"/>
          </w:tcPr>
          <w:p w14:paraId="110A972F" w14:textId="0525A25C" w:rsidR="00776FA1" w:rsidRPr="002D3397" w:rsidRDefault="002B638E" w:rsidP="002D3397">
            <w:pPr>
              <w:spacing w:before="60" w:after="60" w:line="259" w:lineRule="auto"/>
              <w:ind w:left="851" w:hanging="851"/>
              <w:rPr>
                <w:rFonts w:asciiTheme="minorHAnsi" w:eastAsia="Times New Roman" w:hAnsiTheme="minorHAnsi" w:cstheme="minorHAnsi"/>
                <w:szCs w:val="24"/>
                <w:lang w:eastAsia="en-GB" w:bidi="ar-SA"/>
              </w:rPr>
            </w:pPr>
            <w:r w:rsidRPr="002D3397">
              <w:rPr>
                <w:rFonts w:asciiTheme="minorHAnsi" w:eastAsia="Times New Roman" w:hAnsiTheme="minorHAnsi" w:cstheme="minorHAnsi"/>
                <w:szCs w:val="24"/>
                <w:lang w:bidi="ar-SA"/>
              </w:rPr>
              <w:t>Provision</w:t>
            </w:r>
            <w:r w:rsidR="00776FA1" w:rsidRPr="002D3397">
              <w:rPr>
                <w:rFonts w:asciiTheme="minorHAnsi" w:eastAsia="Times New Roman" w:hAnsiTheme="minorHAnsi" w:cstheme="minorHAnsi"/>
                <w:szCs w:val="24"/>
                <w:lang w:bidi="ar-SA"/>
              </w:rPr>
              <w:t>:</w:t>
            </w:r>
          </w:p>
        </w:tc>
        <w:tc>
          <w:tcPr>
            <w:tcW w:w="6142" w:type="dxa"/>
          </w:tcPr>
          <w:p w14:paraId="5E569846" w14:textId="77777777" w:rsidR="00776FA1" w:rsidRPr="002D3397" w:rsidRDefault="00776FA1" w:rsidP="002D3397">
            <w:pPr>
              <w:spacing w:before="60" w:after="60" w:line="259" w:lineRule="auto"/>
              <w:ind w:left="851" w:hanging="851"/>
              <w:rPr>
                <w:rFonts w:asciiTheme="minorHAnsi" w:eastAsia="Times New Roman" w:hAnsiTheme="minorHAnsi" w:cstheme="minorHAnsi"/>
                <w:szCs w:val="24"/>
                <w:lang w:eastAsia="en-GB" w:bidi="ar-SA"/>
              </w:rPr>
            </w:pPr>
            <w:r w:rsidRPr="002D3397">
              <w:rPr>
                <w:rFonts w:asciiTheme="minorHAnsi" w:eastAsia="Times New Roman" w:hAnsiTheme="minorHAnsi" w:cstheme="minorHAnsi"/>
                <w:szCs w:val="24"/>
                <w:lang w:bidi="ar-SA"/>
              </w:rPr>
              <w:t>Notes:</w:t>
            </w:r>
          </w:p>
        </w:tc>
      </w:tr>
      <w:tr w:rsidR="008D0469" w:rsidRPr="002D3397" w14:paraId="0DC475CC" w14:textId="77777777" w:rsidTr="002D3397">
        <w:trPr>
          <w:cantSplit/>
        </w:trPr>
        <w:tc>
          <w:tcPr>
            <w:tcW w:w="2405" w:type="dxa"/>
          </w:tcPr>
          <w:p w14:paraId="54339C1B" w14:textId="5DB64960" w:rsidR="008D0469" w:rsidRPr="002D3397" w:rsidRDefault="004C493D" w:rsidP="002D3397">
            <w:pPr>
              <w:spacing w:before="60" w:after="60" w:line="259" w:lineRule="auto"/>
              <w:rPr>
                <w:rFonts w:asciiTheme="minorHAnsi" w:eastAsia="Times New Roman" w:hAnsiTheme="minorHAnsi" w:cstheme="minorHAnsi"/>
                <w:color w:val="000000"/>
                <w:szCs w:val="24"/>
                <w:lang w:bidi="ar-SA"/>
              </w:rPr>
            </w:pPr>
            <w:r>
              <w:rPr>
                <w:rFonts w:asciiTheme="minorHAnsi" w:eastAsia="Times New Roman" w:hAnsiTheme="minorHAnsi" w:cstheme="minorHAnsi"/>
                <w:color w:val="000000"/>
                <w:szCs w:val="24"/>
                <w:lang w:bidi="ar-SA"/>
              </w:rPr>
              <w:t xml:space="preserve">The </w:t>
            </w:r>
            <w:r w:rsidR="008D0469" w:rsidRPr="002D3397">
              <w:rPr>
                <w:rFonts w:asciiTheme="minorHAnsi" w:eastAsia="Times New Roman" w:hAnsiTheme="minorHAnsi" w:cstheme="minorHAnsi"/>
                <w:color w:val="000000"/>
                <w:szCs w:val="24"/>
                <w:lang w:bidi="ar-SA"/>
              </w:rPr>
              <w:t>Provision and Use of Work Equipment Regulations 1998 (PUWER)</w:t>
            </w:r>
          </w:p>
        </w:tc>
        <w:tc>
          <w:tcPr>
            <w:tcW w:w="6142" w:type="dxa"/>
          </w:tcPr>
          <w:p w14:paraId="2834F9F5" w14:textId="11764A23" w:rsidR="008D0469" w:rsidRPr="002D3397" w:rsidRDefault="008D0469" w:rsidP="002D3397">
            <w:pPr>
              <w:spacing w:before="60" w:after="60" w:line="259" w:lineRule="auto"/>
              <w:rPr>
                <w:rFonts w:asciiTheme="minorHAnsi" w:eastAsia="Times New Roman" w:hAnsiTheme="minorHAnsi" w:cstheme="minorHAnsi"/>
                <w:color w:val="000000"/>
                <w:szCs w:val="24"/>
                <w:lang w:bidi="ar-SA"/>
              </w:rPr>
            </w:pPr>
            <w:r w:rsidRPr="002D3397">
              <w:rPr>
                <w:szCs w:val="24"/>
              </w:rPr>
              <w:t xml:space="preserve">The scope of ‘work equipment’ is extremely wide. It means any machinery, appliance, apparatus, </w:t>
            </w:r>
            <w:r w:rsidR="00FA5112" w:rsidRPr="002D3397">
              <w:rPr>
                <w:szCs w:val="24"/>
              </w:rPr>
              <w:t>tool,</w:t>
            </w:r>
            <w:r w:rsidRPr="002D3397">
              <w:rPr>
                <w:szCs w:val="24"/>
              </w:rPr>
              <w:t xml:space="preserve"> or installation for use at work.</w:t>
            </w:r>
          </w:p>
          <w:p w14:paraId="1365FFA0" w14:textId="77777777" w:rsidR="008D0469" w:rsidRPr="002D3397" w:rsidRDefault="008D0469" w:rsidP="002D3397">
            <w:pPr>
              <w:spacing w:before="60" w:after="60" w:line="259" w:lineRule="auto"/>
              <w:rPr>
                <w:rFonts w:asciiTheme="minorHAnsi" w:eastAsia="Times New Roman" w:hAnsiTheme="minorHAnsi" w:cstheme="minorHAnsi"/>
                <w:color w:val="000000"/>
                <w:szCs w:val="24"/>
                <w:lang w:bidi="ar-SA"/>
              </w:rPr>
            </w:pPr>
            <w:r w:rsidRPr="002D3397">
              <w:rPr>
                <w:rFonts w:asciiTheme="minorHAnsi" w:eastAsia="Times New Roman" w:hAnsiTheme="minorHAnsi" w:cstheme="minorHAnsi"/>
                <w:color w:val="000000"/>
                <w:szCs w:val="24"/>
                <w:lang w:bidi="ar-SA"/>
              </w:rPr>
              <w:t>Reg 5 requires work equipment to be maintained in an efficient state, in efficient working order and in good repair.</w:t>
            </w:r>
          </w:p>
          <w:p w14:paraId="4B0C6BE0" w14:textId="5C79FCCA" w:rsidR="008D0469" w:rsidRPr="002D3397" w:rsidRDefault="008D0469" w:rsidP="002D3397">
            <w:pPr>
              <w:spacing w:before="60" w:after="60" w:line="259" w:lineRule="auto"/>
              <w:rPr>
                <w:rFonts w:asciiTheme="minorHAnsi" w:hAnsiTheme="minorHAnsi" w:cstheme="minorHAnsi"/>
                <w:bCs/>
                <w:noProof/>
                <w:szCs w:val="24"/>
              </w:rPr>
            </w:pPr>
            <w:r w:rsidRPr="002D3397">
              <w:rPr>
                <w:rFonts w:asciiTheme="minorHAnsi" w:eastAsia="Times New Roman" w:hAnsiTheme="minorHAnsi" w:cstheme="minorHAnsi"/>
                <w:color w:val="000000"/>
                <w:szCs w:val="24"/>
                <w:lang w:bidi="ar-SA"/>
              </w:rPr>
              <w:t>Reg 6 – When work equipment is first installed, and when it is moved or relocated, it must be inspected to make sure that it has been correctly installed and is operating safely</w:t>
            </w:r>
            <w:r w:rsidR="00FA5112" w:rsidRPr="002D3397">
              <w:rPr>
                <w:rFonts w:asciiTheme="minorHAnsi" w:eastAsia="Times New Roman" w:hAnsiTheme="minorHAnsi" w:cstheme="minorHAnsi"/>
                <w:color w:val="000000"/>
                <w:szCs w:val="24"/>
                <w:lang w:bidi="ar-SA"/>
              </w:rPr>
              <w:t xml:space="preserve">. </w:t>
            </w:r>
            <w:r w:rsidRPr="002D3397">
              <w:rPr>
                <w:rFonts w:asciiTheme="minorHAnsi" w:eastAsia="Times New Roman" w:hAnsiTheme="minorHAnsi" w:cstheme="minorHAnsi"/>
                <w:color w:val="000000"/>
                <w:szCs w:val="24"/>
                <w:lang w:bidi="ar-SA"/>
              </w:rPr>
              <w:t>Where it is possible that the equipment is exposed to conditions that could cause it to deteriorate, it must be inspected regularly.</w:t>
            </w:r>
          </w:p>
          <w:p w14:paraId="3693468B" w14:textId="57431DC9" w:rsidR="008D0469" w:rsidRPr="002D3397" w:rsidRDefault="008D0469" w:rsidP="002D3397">
            <w:pPr>
              <w:spacing w:before="60" w:after="60" w:line="259" w:lineRule="auto"/>
              <w:rPr>
                <w:szCs w:val="24"/>
              </w:rPr>
            </w:pPr>
            <w:r w:rsidRPr="002D3397">
              <w:rPr>
                <w:szCs w:val="24"/>
              </w:rPr>
              <w:t xml:space="preserve">The purpose of an inspection is to identify whether the equipment can be operated, </w:t>
            </w:r>
            <w:r w:rsidR="00FA5112" w:rsidRPr="002D3397">
              <w:rPr>
                <w:szCs w:val="24"/>
              </w:rPr>
              <w:t>adjusted,</w:t>
            </w:r>
            <w:r w:rsidRPr="002D3397">
              <w:rPr>
                <w:szCs w:val="24"/>
              </w:rPr>
              <w:t xml:space="preserve"> and maintained safely and that any deterioration (for example, any defect, </w:t>
            </w:r>
            <w:r w:rsidR="00FA5112" w:rsidRPr="002D3397">
              <w:rPr>
                <w:szCs w:val="24"/>
              </w:rPr>
              <w:t>damage,</w:t>
            </w:r>
            <w:r w:rsidRPr="002D3397">
              <w:rPr>
                <w:szCs w:val="24"/>
              </w:rPr>
              <w:t xml:space="preserve"> or wear) can be detected and remedied before it results in unacceptable risks.</w:t>
            </w:r>
          </w:p>
          <w:p w14:paraId="5AF896F7" w14:textId="17884E4A" w:rsidR="008D0469" w:rsidRPr="002D3397" w:rsidRDefault="004C493D" w:rsidP="002D3397">
            <w:pPr>
              <w:spacing w:before="60" w:after="60" w:line="259" w:lineRule="auto"/>
              <w:rPr>
                <w:rFonts w:asciiTheme="minorHAnsi" w:eastAsia="Times New Roman" w:hAnsiTheme="minorHAnsi" w:cstheme="minorHAnsi"/>
                <w:color w:val="000000"/>
                <w:szCs w:val="24"/>
                <w:lang w:val="pt-PT" w:bidi="ar-SA"/>
              </w:rPr>
            </w:pPr>
            <w:r>
              <w:rPr>
                <w:rFonts w:asciiTheme="minorHAnsi" w:eastAsia="Times New Roman" w:hAnsiTheme="minorHAnsi" w:cstheme="minorHAnsi"/>
                <w:color w:val="000000"/>
                <w:szCs w:val="24"/>
                <w:lang w:bidi="ar-SA"/>
              </w:rPr>
              <w:t xml:space="preserve">For further guidance, refer to HSE’s </w:t>
            </w:r>
            <w:hyperlink r:id="rId20" w:history="1">
              <w:r w:rsidRPr="004C493D">
                <w:rPr>
                  <w:rStyle w:val="Hyperlink"/>
                  <w:rFonts w:asciiTheme="minorHAnsi" w:eastAsia="Times New Roman" w:hAnsiTheme="minorHAnsi" w:cstheme="minorHAnsi"/>
                  <w:szCs w:val="24"/>
                  <w:lang w:bidi="ar-SA"/>
                </w:rPr>
                <w:t>Approved Code of Practice</w:t>
              </w:r>
            </w:hyperlink>
            <w:r w:rsidRPr="004C493D">
              <w:rPr>
                <w:rFonts w:asciiTheme="minorHAnsi" w:eastAsia="Times New Roman" w:hAnsiTheme="minorHAnsi" w:cstheme="minorHAnsi"/>
                <w:color w:val="000000"/>
                <w:szCs w:val="24"/>
                <w:lang w:bidi="ar-SA"/>
              </w:rPr>
              <w:t xml:space="preserve"> (ACoP)</w:t>
            </w:r>
            <w:r>
              <w:rPr>
                <w:rFonts w:asciiTheme="minorHAnsi" w:eastAsia="Times New Roman" w:hAnsiTheme="minorHAnsi" w:cstheme="minorHAnsi"/>
                <w:color w:val="000000"/>
                <w:szCs w:val="24"/>
                <w:lang w:bidi="ar-SA"/>
              </w:rPr>
              <w:t xml:space="preserve"> (L22)</w:t>
            </w:r>
            <w:r w:rsidR="008D0469" w:rsidRPr="004C493D">
              <w:rPr>
                <w:rFonts w:asciiTheme="minorHAnsi" w:eastAsia="Times New Roman" w:hAnsiTheme="minorHAnsi" w:cstheme="minorHAnsi"/>
                <w:color w:val="000000"/>
                <w:szCs w:val="24"/>
                <w:lang w:bidi="ar-SA"/>
              </w:rPr>
              <w:t xml:space="preserve"> </w:t>
            </w:r>
            <w:sdt>
              <w:sdtPr>
                <w:rPr>
                  <w:rFonts w:asciiTheme="minorHAnsi" w:eastAsia="Times New Roman" w:hAnsiTheme="minorHAnsi" w:cstheme="minorHAnsi"/>
                  <w:color w:val="000000"/>
                  <w:szCs w:val="24"/>
                  <w:lang w:bidi="ar-SA"/>
                </w:rPr>
                <w:id w:val="541264577"/>
                <w:citation/>
              </w:sdtPr>
              <w:sdtContent>
                <w:r>
                  <w:rPr>
                    <w:rFonts w:asciiTheme="minorHAnsi" w:eastAsia="Times New Roman" w:hAnsiTheme="minorHAnsi" w:cstheme="minorHAnsi"/>
                    <w:color w:val="000000"/>
                    <w:szCs w:val="24"/>
                    <w:lang w:bidi="ar-SA"/>
                  </w:rPr>
                  <w:fldChar w:fldCharType="begin"/>
                </w:r>
                <w:r w:rsidR="0045054A">
                  <w:rPr>
                    <w:rFonts w:asciiTheme="minorHAnsi" w:eastAsia="Times New Roman" w:hAnsiTheme="minorHAnsi" w:cstheme="minorHAnsi"/>
                    <w:color w:val="000000"/>
                    <w:szCs w:val="24"/>
                    <w:lang w:bidi="ar-SA"/>
                  </w:rPr>
                  <w:instrText xml:space="preserve">CITATION HSE147 \l 2057 </w:instrText>
                </w:r>
                <w:r>
                  <w:rPr>
                    <w:rFonts w:asciiTheme="minorHAnsi" w:eastAsia="Times New Roman" w:hAnsiTheme="minorHAnsi" w:cstheme="minorHAnsi"/>
                    <w:color w:val="000000"/>
                    <w:szCs w:val="24"/>
                    <w:lang w:bidi="ar-SA"/>
                  </w:rPr>
                  <w:fldChar w:fldCharType="separate"/>
                </w:r>
                <w:r w:rsidR="0045054A" w:rsidRPr="0045054A">
                  <w:rPr>
                    <w:rFonts w:asciiTheme="minorHAnsi" w:eastAsia="Times New Roman" w:hAnsiTheme="minorHAnsi" w:cstheme="minorHAnsi"/>
                    <w:noProof/>
                    <w:color w:val="000000"/>
                    <w:szCs w:val="24"/>
                    <w:lang w:bidi="ar-SA"/>
                  </w:rPr>
                  <w:t>[2]</w:t>
                </w:r>
                <w:r>
                  <w:rPr>
                    <w:rFonts w:asciiTheme="minorHAnsi" w:eastAsia="Times New Roman" w:hAnsiTheme="minorHAnsi" w:cstheme="minorHAnsi"/>
                    <w:color w:val="000000"/>
                    <w:szCs w:val="24"/>
                    <w:lang w:bidi="ar-SA"/>
                  </w:rPr>
                  <w:fldChar w:fldCharType="end"/>
                </w:r>
              </w:sdtContent>
            </w:sdt>
            <w:r>
              <w:rPr>
                <w:rFonts w:asciiTheme="minorHAnsi" w:eastAsia="Times New Roman" w:hAnsiTheme="minorHAnsi" w:cstheme="minorHAnsi"/>
                <w:color w:val="000000"/>
                <w:szCs w:val="24"/>
                <w:lang w:bidi="ar-SA"/>
              </w:rPr>
              <w:t>.</w:t>
            </w:r>
          </w:p>
        </w:tc>
      </w:tr>
      <w:tr w:rsidR="008D0469" w:rsidRPr="002D3397" w14:paraId="25481958" w14:textId="77777777" w:rsidTr="002D3397">
        <w:trPr>
          <w:cantSplit/>
        </w:trPr>
        <w:tc>
          <w:tcPr>
            <w:tcW w:w="2405" w:type="dxa"/>
          </w:tcPr>
          <w:p w14:paraId="34EAD464" w14:textId="185AAEAA" w:rsidR="008D0469" w:rsidRPr="002D3397" w:rsidRDefault="0045054A" w:rsidP="002D3397">
            <w:pPr>
              <w:spacing w:before="60" w:after="60" w:line="259" w:lineRule="auto"/>
              <w:rPr>
                <w:rFonts w:asciiTheme="minorHAnsi" w:eastAsia="Times New Roman" w:hAnsiTheme="minorHAnsi" w:cstheme="minorHAnsi"/>
                <w:szCs w:val="24"/>
                <w:lang w:eastAsia="en-GB" w:bidi="ar-SA"/>
              </w:rPr>
            </w:pPr>
            <w:r>
              <w:rPr>
                <w:rFonts w:asciiTheme="minorHAnsi" w:eastAsia="Times New Roman" w:hAnsiTheme="minorHAnsi" w:cstheme="minorHAnsi"/>
                <w:color w:val="000000"/>
                <w:szCs w:val="24"/>
                <w:lang w:bidi="ar-SA"/>
              </w:rPr>
              <w:lastRenderedPageBreak/>
              <w:t xml:space="preserve">The </w:t>
            </w:r>
            <w:r w:rsidR="008D0469" w:rsidRPr="002D3397">
              <w:rPr>
                <w:rFonts w:asciiTheme="minorHAnsi" w:eastAsia="Times New Roman" w:hAnsiTheme="minorHAnsi" w:cstheme="minorHAnsi"/>
                <w:color w:val="000000"/>
                <w:szCs w:val="24"/>
                <w:lang w:bidi="ar-SA"/>
              </w:rPr>
              <w:t>Construction (Design and Management) Regulations 2015 (CDM)</w:t>
            </w:r>
          </w:p>
        </w:tc>
        <w:tc>
          <w:tcPr>
            <w:tcW w:w="6142" w:type="dxa"/>
          </w:tcPr>
          <w:p w14:paraId="2FE2CD48" w14:textId="5B5D6D3F" w:rsidR="008D0469" w:rsidRPr="002D3397" w:rsidRDefault="008D0469" w:rsidP="002D3397">
            <w:pPr>
              <w:spacing w:before="60" w:after="60" w:line="259" w:lineRule="auto"/>
              <w:rPr>
                <w:rFonts w:asciiTheme="minorHAnsi" w:eastAsia="Times New Roman" w:hAnsiTheme="minorHAnsi" w:cstheme="minorHAnsi"/>
                <w:color w:val="000000"/>
                <w:szCs w:val="24"/>
                <w:lang w:bidi="ar-SA"/>
              </w:rPr>
            </w:pPr>
            <w:r w:rsidRPr="002D3397">
              <w:rPr>
                <w:rFonts w:asciiTheme="minorHAnsi" w:eastAsia="Times New Roman" w:hAnsiTheme="minorHAnsi" w:cstheme="minorHAnsi"/>
                <w:color w:val="000000"/>
                <w:szCs w:val="24"/>
                <w:lang w:bidi="ar-SA"/>
              </w:rPr>
              <w:t>Many EIMT activities are included within the definition of ‘construction work’.</w:t>
            </w:r>
          </w:p>
          <w:p w14:paraId="26B83825" w14:textId="611C9D36" w:rsidR="008D0469" w:rsidRPr="002D3397" w:rsidRDefault="008D0469" w:rsidP="002D3397">
            <w:pPr>
              <w:spacing w:before="60" w:after="60" w:line="259" w:lineRule="auto"/>
              <w:rPr>
                <w:rFonts w:asciiTheme="minorHAnsi" w:eastAsia="Times New Roman" w:hAnsiTheme="minorHAnsi" w:cstheme="minorHAnsi"/>
                <w:color w:val="000000"/>
                <w:szCs w:val="24"/>
                <w:lang w:bidi="ar-SA"/>
              </w:rPr>
            </w:pPr>
            <w:r w:rsidRPr="002D3397">
              <w:rPr>
                <w:rFonts w:asciiTheme="minorHAnsi" w:eastAsia="Times New Roman" w:hAnsiTheme="minorHAnsi" w:cstheme="minorHAnsi"/>
                <w:color w:val="000000"/>
                <w:szCs w:val="24"/>
                <w:lang w:bidi="ar-SA"/>
              </w:rPr>
              <w:t xml:space="preserve">Reg </w:t>
            </w:r>
            <w:r w:rsidR="00B419F8" w:rsidRPr="002D3397">
              <w:rPr>
                <w:rFonts w:asciiTheme="minorHAnsi" w:eastAsia="Times New Roman" w:hAnsiTheme="minorHAnsi" w:cstheme="minorHAnsi"/>
                <w:color w:val="000000"/>
                <w:szCs w:val="24"/>
                <w:lang w:bidi="ar-SA"/>
              </w:rPr>
              <w:t>9 requires</w:t>
            </w:r>
            <w:r w:rsidRPr="002D3397">
              <w:rPr>
                <w:rFonts w:asciiTheme="minorHAnsi" w:eastAsia="Times New Roman" w:hAnsiTheme="minorHAnsi" w:cstheme="minorHAnsi"/>
                <w:color w:val="000000"/>
                <w:szCs w:val="24"/>
                <w:lang w:bidi="ar-SA"/>
              </w:rPr>
              <w:t xml:space="preserve"> designers to eliminate, reduce or control foreseeable risks through design</w:t>
            </w:r>
            <w:r w:rsidR="008C407B" w:rsidRPr="002D3397">
              <w:rPr>
                <w:rFonts w:asciiTheme="minorHAnsi" w:eastAsia="Times New Roman" w:hAnsiTheme="minorHAnsi" w:cstheme="minorHAnsi"/>
                <w:color w:val="000000"/>
                <w:szCs w:val="24"/>
                <w:lang w:bidi="ar-SA"/>
              </w:rPr>
              <w:t xml:space="preserve">. </w:t>
            </w:r>
            <w:r w:rsidRPr="002D3397">
              <w:rPr>
                <w:rFonts w:asciiTheme="minorHAnsi" w:eastAsia="Times New Roman" w:hAnsiTheme="minorHAnsi" w:cstheme="minorHAnsi"/>
                <w:color w:val="000000"/>
                <w:szCs w:val="24"/>
                <w:lang w:bidi="ar-SA"/>
              </w:rPr>
              <w:t>This includes risks to people carrying out maintenance.</w:t>
            </w:r>
          </w:p>
          <w:p w14:paraId="2AEA0B8A" w14:textId="36F77CD6" w:rsidR="008D0469" w:rsidRPr="002D3397" w:rsidRDefault="0045054A" w:rsidP="002D3397">
            <w:pPr>
              <w:spacing w:before="60" w:after="60" w:line="259" w:lineRule="auto"/>
              <w:rPr>
                <w:rFonts w:asciiTheme="minorHAnsi" w:eastAsia="Times New Roman" w:hAnsiTheme="minorHAnsi" w:cstheme="minorHAnsi"/>
                <w:szCs w:val="24"/>
                <w:lang w:eastAsia="en-GB" w:bidi="ar-SA"/>
              </w:rPr>
            </w:pPr>
            <w:r>
              <w:rPr>
                <w:rFonts w:asciiTheme="minorHAnsi" w:eastAsia="Times New Roman" w:hAnsiTheme="minorHAnsi" w:cstheme="minorHAnsi"/>
                <w:color w:val="000000"/>
                <w:szCs w:val="24"/>
                <w:lang w:bidi="ar-SA"/>
              </w:rPr>
              <w:t>H</w:t>
            </w:r>
            <w:r>
              <w:rPr>
                <w:color w:val="000000"/>
              </w:rPr>
              <w:t>SE g</w:t>
            </w:r>
            <w:r w:rsidR="008D0469" w:rsidRPr="002D3397">
              <w:rPr>
                <w:rFonts w:asciiTheme="minorHAnsi" w:eastAsia="Times New Roman" w:hAnsiTheme="minorHAnsi" w:cstheme="minorHAnsi"/>
                <w:color w:val="000000"/>
                <w:szCs w:val="24"/>
                <w:lang w:bidi="ar-SA"/>
              </w:rPr>
              <w:t xml:space="preserve">uidance: </w:t>
            </w:r>
            <w:hyperlink r:id="rId21" w:history="1">
              <w:r>
                <w:rPr>
                  <w:rStyle w:val="Hyperlink"/>
                  <w:rFonts w:asciiTheme="minorHAnsi" w:eastAsia="Times New Roman" w:hAnsiTheme="minorHAnsi" w:cstheme="minorHAnsi"/>
                  <w:szCs w:val="24"/>
                  <w:lang w:bidi="ar-SA"/>
                </w:rPr>
                <w:t>L153 - Managing health and safety in construction</w:t>
              </w:r>
            </w:hyperlink>
            <w:r>
              <w:rPr>
                <w:rFonts w:asciiTheme="minorHAnsi" w:eastAsia="Times New Roman" w:hAnsiTheme="minorHAnsi" w:cstheme="minorHAnsi"/>
                <w:color w:val="000000"/>
                <w:szCs w:val="24"/>
                <w:lang w:bidi="ar-SA"/>
              </w:rPr>
              <w:t xml:space="preserve"> </w:t>
            </w:r>
            <w:sdt>
              <w:sdtPr>
                <w:rPr>
                  <w:rFonts w:asciiTheme="minorHAnsi" w:eastAsia="Times New Roman" w:hAnsiTheme="minorHAnsi" w:cstheme="minorHAnsi"/>
                  <w:color w:val="000000"/>
                  <w:szCs w:val="24"/>
                  <w:lang w:bidi="ar-SA"/>
                </w:rPr>
                <w:id w:val="1844427008"/>
                <w:citation/>
              </w:sdtPr>
              <w:sdtContent>
                <w:r>
                  <w:rPr>
                    <w:rFonts w:asciiTheme="minorHAnsi" w:eastAsia="Times New Roman" w:hAnsiTheme="minorHAnsi" w:cstheme="minorHAnsi"/>
                    <w:color w:val="000000"/>
                    <w:szCs w:val="24"/>
                    <w:lang w:bidi="ar-SA"/>
                  </w:rPr>
                  <w:fldChar w:fldCharType="begin"/>
                </w:r>
                <w:r>
                  <w:rPr>
                    <w:rFonts w:asciiTheme="minorHAnsi" w:eastAsia="Times New Roman" w:hAnsiTheme="minorHAnsi" w:cstheme="minorHAnsi"/>
                    <w:color w:val="000000"/>
                    <w:szCs w:val="24"/>
                    <w:lang w:bidi="ar-SA"/>
                  </w:rPr>
                  <w:instrText xml:space="preserve">CITATION HSE8 \l 2057 </w:instrText>
                </w:r>
                <w:r>
                  <w:rPr>
                    <w:rFonts w:asciiTheme="minorHAnsi" w:eastAsia="Times New Roman" w:hAnsiTheme="minorHAnsi" w:cstheme="minorHAnsi"/>
                    <w:color w:val="000000"/>
                    <w:szCs w:val="24"/>
                    <w:lang w:bidi="ar-SA"/>
                  </w:rPr>
                  <w:fldChar w:fldCharType="separate"/>
                </w:r>
                <w:r w:rsidRPr="0045054A">
                  <w:rPr>
                    <w:rFonts w:asciiTheme="minorHAnsi" w:eastAsia="Times New Roman" w:hAnsiTheme="minorHAnsi" w:cstheme="minorHAnsi"/>
                    <w:noProof/>
                    <w:color w:val="000000"/>
                    <w:szCs w:val="24"/>
                    <w:lang w:bidi="ar-SA"/>
                  </w:rPr>
                  <w:t>[3]</w:t>
                </w:r>
                <w:r>
                  <w:rPr>
                    <w:rFonts w:asciiTheme="minorHAnsi" w:eastAsia="Times New Roman" w:hAnsiTheme="minorHAnsi" w:cstheme="minorHAnsi"/>
                    <w:color w:val="000000"/>
                    <w:szCs w:val="24"/>
                    <w:lang w:bidi="ar-SA"/>
                  </w:rPr>
                  <w:fldChar w:fldCharType="end"/>
                </w:r>
              </w:sdtContent>
            </w:sdt>
          </w:p>
        </w:tc>
      </w:tr>
      <w:tr w:rsidR="008D0469" w:rsidRPr="002D3397" w14:paraId="78F0CA09" w14:textId="77777777" w:rsidTr="002D3397">
        <w:trPr>
          <w:cantSplit/>
        </w:trPr>
        <w:tc>
          <w:tcPr>
            <w:tcW w:w="2405" w:type="dxa"/>
          </w:tcPr>
          <w:p w14:paraId="4370A24F" w14:textId="3FD6D803" w:rsidR="008D0469" w:rsidRPr="002D3397" w:rsidRDefault="0045054A" w:rsidP="002D3397">
            <w:pPr>
              <w:spacing w:before="60" w:after="60" w:line="259" w:lineRule="auto"/>
              <w:rPr>
                <w:rFonts w:asciiTheme="minorHAnsi" w:eastAsia="Times New Roman" w:hAnsiTheme="minorHAnsi" w:cstheme="minorHAnsi"/>
                <w:color w:val="000000"/>
                <w:szCs w:val="24"/>
                <w:lang w:bidi="ar-SA"/>
              </w:rPr>
            </w:pPr>
            <w:r>
              <w:rPr>
                <w:rFonts w:asciiTheme="minorHAnsi" w:eastAsia="Times New Roman" w:hAnsiTheme="minorHAnsi" w:cstheme="minorHAnsi"/>
                <w:color w:val="000000"/>
                <w:szCs w:val="24"/>
                <w:lang w:bidi="ar-SA"/>
              </w:rPr>
              <w:t xml:space="preserve">The </w:t>
            </w:r>
            <w:r w:rsidR="008D0469" w:rsidRPr="002D3397">
              <w:rPr>
                <w:rFonts w:asciiTheme="minorHAnsi" w:eastAsia="Times New Roman" w:hAnsiTheme="minorHAnsi" w:cstheme="minorHAnsi"/>
                <w:color w:val="000000"/>
                <w:szCs w:val="24"/>
                <w:lang w:bidi="ar-SA"/>
              </w:rPr>
              <w:t>Control of Major Accident Hazards Regulations 2015 (COMAH)</w:t>
            </w:r>
          </w:p>
        </w:tc>
        <w:tc>
          <w:tcPr>
            <w:tcW w:w="6142" w:type="dxa"/>
          </w:tcPr>
          <w:p w14:paraId="530F7927" w14:textId="7C7B00CF" w:rsidR="008D0469" w:rsidRPr="002D3397" w:rsidRDefault="008D0469" w:rsidP="002D3397">
            <w:pPr>
              <w:spacing w:before="60" w:after="60" w:line="259" w:lineRule="auto"/>
              <w:rPr>
                <w:rFonts w:asciiTheme="minorHAnsi" w:eastAsia="Times New Roman" w:hAnsiTheme="minorHAnsi" w:cstheme="minorHAnsi"/>
                <w:color w:val="000000"/>
                <w:szCs w:val="24"/>
                <w:lang w:bidi="ar-SA"/>
              </w:rPr>
            </w:pPr>
            <w:r w:rsidRPr="002D3397">
              <w:rPr>
                <w:rFonts w:asciiTheme="minorHAnsi" w:eastAsia="Times New Roman" w:hAnsiTheme="minorHAnsi" w:cstheme="minorHAnsi"/>
                <w:color w:val="000000"/>
                <w:szCs w:val="24"/>
                <w:lang w:bidi="ar-SA"/>
              </w:rPr>
              <w:t>Reg 5 requires operators to take all measures necessary to prevent major accidents and to limit their consequences for human health and the environment.</w:t>
            </w:r>
          </w:p>
          <w:p w14:paraId="13A7BFD0" w14:textId="0C6B6930" w:rsidR="008D0469" w:rsidRPr="002D3397" w:rsidRDefault="008D0469" w:rsidP="002D3397">
            <w:pPr>
              <w:spacing w:before="60" w:after="60" w:line="259" w:lineRule="auto"/>
              <w:rPr>
                <w:rFonts w:asciiTheme="minorHAnsi" w:eastAsia="Times New Roman" w:hAnsiTheme="minorHAnsi" w:cstheme="minorHAnsi"/>
                <w:color w:val="000000"/>
                <w:szCs w:val="24"/>
                <w:lang w:bidi="ar-SA"/>
              </w:rPr>
            </w:pPr>
            <w:r w:rsidRPr="002D3397">
              <w:rPr>
                <w:rFonts w:asciiTheme="minorHAnsi" w:eastAsia="Times New Roman" w:hAnsiTheme="minorHAnsi" w:cstheme="minorHAnsi"/>
                <w:color w:val="000000"/>
                <w:szCs w:val="24"/>
                <w:lang w:bidi="ar-SA"/>
              </w:rPr>
              <w:t>Reg 8 – Safety reports for upper tier establishments should demonstrate that adequate safety and reliability has been taken into account in maintenance.</w:t>
            </w:r>
          </w:p>
          <w:p w14:paraId="444C1141" w14:textId="120E89F4" w:rsidR="008D0469" w:rsidRPr="002D3397" w:rsidRDefault="0045054A" w:rsidP="0045054A">
            <w:pPr>
              <w:spacing w:before="60" w:after="60" w:line="259" w:lineRule="auto"/>
              <w:rPr>
                <w:rFonts w:asciiTheme="minorHAnsi" w:eastAsia="Times New Roman" w:hAnsiTheme="minorHAnsi" w:cstheme="minorHAnsi"/>
                <w:color w:val="000000"/>
                <w:szCs w:val="24"/>
                <w:lang w:bidi="ar-SA"/>
              </w:rPr>
            </w:pPr>
            <w:r>
              <w:rPr>
                <w:rFonts w:asciiTheme="minorHAnsi" w:eastAsia="Times New Roman" w:hAnsiTheme="minorHAnsi" w:cstheme="minorHAnsi"/>
                <w:color w:val="000000"/>
                <w:szCs w:val="24"/>
                <w:lang w:bidi="ar-SA"/>
              </w:rPr>
              <w:t>H</w:t>
            </w:r>
            <w:r>
              <w:rPr>
                <w:color w:val="000000"/>
              </w:rPr>
              <w:t>SE g</w:t>
            </w:r>
            <w:r w:rsidR="008D0469" w:rsidRPr="002D3397">
              <w:rPr>
                <w:rFonts w:asciiTheme="minorHAnsi" w:eastAsia="Times New Roman" w:hAnsiTheme="minorHAnsi" w:cstheme="minorHAnsi"/>
                <w:color w:val="000000"/>
                <w:szCs w:val="24"/>
                <w:lang w:bidi="ar-SA"/>
              </w:rPr>
              <w:t xml:space="preserve">uidance: </w:t>
            </w:r>
            <w:hyperlink r:id="rId22" w:history="1">
              <w:r w:rsidRPr="0045054A">
                <w:rPr>
                  <w:rStyle w:val="Hyperlink"/>
                  <w:rFonts w:asciiTheme="minorHAnsi" w:eastAsia="Times New Roman" w:hAnsiTheme="minorHAnsi" w:cstheme="minorHAnsi"/>
                  <w:szCs w:val="24"/>
                  <w:lang w:bidi="ar-SA"/>
                </w:rPr>
                <w:t>L111 -</w:t>
              </w:r>
              <w:r w:rsidRPr="0045054A">
                <w:rPr>
                  <w:rStyle w:val="Hyperlink"/>
                </w:rPr>
                <w:t xml:space="preserve"> The Control of Major Accident Hazards Regulations 2015</w:t>
              </w:r>
            </w:hyperlink>
            <w:r>
              <w:rPr>
                <w:color w:val="000000"/>
              </w:rPr>
              <w:t xml:space="preserve"> </w:t>
            </w:r>
            <w:sdt>
              <w:sdtPr>
                <w:rPr>
                  <w:color w:val="000000"/>
                </w:rPr>
                <w:id w:val="1432170272"/>
                <w:citation/>
              </w:sdtPr>
              <w:sdtContent>
                <w:r>
                  <w:rPr>
                    <w:color w:val="000000"/>
                  </w:rPr>
                  <w:fldChar w:fldCharType="begin"/>
                </w:r>
                <w:r>
                  <w:rPr>
                    <w:color w:val="000000"/>
                  </w:rPr>
                  <w:instrText xml:space="preserve"> CITATION HSE159 \l 2057 </w:instrText>
                </w:r>
                <w:r>
                  <w:rPr>
                    <w:color w:val="000000"/>
                  </w:rPr>
                  <w:fldChar w:fldCharType="separate"/>
                </w:r>
                <w:r w:rsidRPr="0045054A">
                  <w:rPr>
                    <w:noProof/>
                    <w:color w:val="000000"/>
                  </w:rPr>
                  <w:t>[4]</w:t>
                </w:r>
                <w:r>
                  <w:rPr>
                    <w:color w:val="000000"/>
                  </w:rPr>
                  <w:fldChar w:fldCharType="end"/>
                </w:r>
              </w:sdtContent>
            </w:sdt>
          </w:p>
        </w:tc>
      </w:tr>
      <w:tr w:rsidR="008D0469" w:rsidRPr="002D3397" w14:paraId="7933EEDA" w14:textId="77777777" w:rsidTr="002D3397">
        <w:trPr>
          <w:cantSplit/>
        </w:trPr>
        <w:tc>
          <w:tcPr>
            <w:tcW w:w="2405" w:type="dxa"/>
          </w:tcPr>
          <w:p w14:paraId="437E0F20" w14:textId="26E4D06B" w:rsidR="008D0469" w:rsidRPr="002D3397" w:rsidRDefault="0045054A" w:rsidP="002D3397">
            <w:pPr>
              <w:spacing w:before="60" w:after="60" w:line="259" w:lineRule="auto"/>
              <w:rPr>
                <w:rFonts w:asciiTheme="minorHAnsi" w:eastAsia="Times New Roman" w:hAnsiTheme="minorHAnsi" w:cstheme="minorHAnsi"/>
                <w:color w:val="000000"/>
                <w:szCs w:val="24"/>
                <w:lang w:bidi="ar-SA"/>
              </w:rPr>
            </w:pPr>
            <w:r>
              <w:rPr>
                <w:rFonts w:asciiTheme="minorHAnsi" w:eastAsia="Times New Roman" w:hAnsiTheme="minorHAnsi" w:cstheme="minorHAnsi"/>
                <w:color w:val="000000"/>
                <w:szCs w:val="24"/>
                <w:lang w:bidi="ar-SA"/>
              </w:rPr>
              <w:t xml:space="preserve">The </w:t>
            </w:r>
            <w:r w:rsidR="008D0469" w:rsidRPr="002D3397">
              <w:rPr>
                <w:rFonts w:asciiTheme="minorHAnsi" w:eastAsia="Times New Roman" w:hAnsiTheme="minorHAnsi" w:cstheme="minorHAnsi"/>
                <w:color w:val="000000"/>
                <w:szCs w:val="24"/>
                <w:lang w:bidi="ar-SA"/>
              </w:rPr>
              <w:t>Electricity at Work Regulations 1989</w:t>
            </w:r>
          </w:p>
        </w:tc>
        <w:tc>
          <w:tcPr>
            <w:tcW w:w="6142" w:type="dxa"/>
          </w:tcPr>
          <w:p w14:paraId="548BB298" w14:textId="245ED11A" w:rsidR="008D0469" w:rsidRPr="002D3397" w:rsidRDefault="008D0469" w:rsidP="002D3397">
            <w:pPr>
              <w:spacing w:before="60" w:after="60" w:line="259" w:lineRule="auto"/>
              <w:rPr>
                <w:szCs w:val="24"/>
              </w:rPr>
            </w:pPr>
            <w:r w:rsidRPr="002D3397">
              <w:rPr>
                <w:szCs w:val="24"/>
              </w:rPr>
              <w:t>Reg 4(2) requires electrical systems to be maintained so as to prevent danger.</w:t>
            </w:r>
          </w:p>
          <w:p w14:paraId="12D1700C" w14:textId="517ADB93" w:rsidR="008D0469" w:rsidRPr="002D3397" w:rsidRDefault="008D0469" w:rsidP="002D3397">
            <w:pPr>
              <w:spacing w:before="60" w:after="60" w:line="259" w:lineRule="auto"/>
              <w:rPr>
                <w:rFonts w:asciiTheme="minorHAnsi" w:eastAsia="Times New Roman" w:hAnsiTheme="minorHAnsi" w:cstheme="minorHAnsi"/>
                <w:color w:val="000000"/>
                <w:szCs w:val="24"/>
                <w:lang w:bidi="ar-SA"/>
              </w:rPr>
            </w:pPr>
            <w:r w:rsidRPr="002D3397">
              <w:rPr>
                <w:szCs w:val="24"/>
              </w:rPr>
              <w:t>Reg 4(3) requires that work activities associated with an electrical system (including maintenance), should be carried out in a way which does not give rise to danger</w:t>
            </w:r>
            <w:r w:rsidRPr="002D3397">
              <w:rPr>
                <w:rFonts w:asciiTheme="minorHAnsi" w:eastAsia="Times New Roman" w:hAnsiTheme="minorHAnsi" w:cstheme="minorHAnsi"/>
                <w:color w:val="000000"/>
                <w:szCs w:val="24"/>
                <w:lang w:bidi="ar-SA"/>
              </w:rPr>
              <w:t>.</w:t>
            </w:r>
          </w:p>
          <w:p w14:paraId="4D3DD3FB" w14:textId="060D7F29" w:rsidR="008D0469" w:rsidRPr="002D3397" w:rsidRDefault="0045054A" w:rsidP="002D3397">
            <w:pPr>
              <w:spacing w:before="60" w:after="60" w:line="259" w:lineRule="auto"/>
              <w:rPr>
                <w:rFonts w:asciiTheme="minorHAnsi" w:eastAsia="Times New Roman" w:hAnsiTheme="minorHAnsi" w:cstheme="minorHAnsi"/>
                <w:color w:val="000000"/>
                <w:szCs w:val="24"/>
                <w:lang w:val="it-IT" w:bidi="ar-SA"/>
              </w:rPr>
            </w:pPr>
            <w:r w:rsidRPr="0045054A">
              <w:rPr>
                <w:rFonts w:asciiTheme="minorHAnsi" w:eastAsia="Times New Roman" w:hAnsiTheme="minorHAnsi" w:cstheme="minorHAnsi"/>
                <w:color w:val="000000"/>
                <w:szCs w:val="24"/>
                <w:lang w:bidi="ar-SA"/>
              </w:rPr>
              <w:t>H</w:t>
            </w:r>
            <w:r w:rsidRPr="0045054A">
              <w:rPr>
                <w:color w:val="000000"/>
              </w:rPr>
              <w:t>SE g</w:t>
            </w:r>
            <w:r w:rsidR="008D0469" w:rsidRPr="0045054A">
              <w:rPr>
                <w:rFonts w:asciiTheme="minorHAnsi" w:eastAsia="Times New Roman" w:hAnsiTheme="minorHAnsi" w:cstheme="minorHAnsi"/>
                <w:color w:val="000000"/>
                <w:szCs w:val="24"/>
                <w:lang w:bidi="ar-SA"/>
              </w:rPr>
              <w:t xml:space="preserve">uidance: </w:t>
            </w:r>
            <w:hyperlink r:id="rId23" w:history="1">
              <w:r w:rsidRPr="0045054A">
                <w:rPr>
                  <w:rStyle w:val="Hyperlink"/>
                  <w:rFonts w:asciiTheme="minorHAnsi" w:eastAsia="Times New Roman" w:hAnsiTheme="minorHAnsi" w:cstheme="minorHAnsi"/>
                  <w:szCs w:val="24"/>
                  <w:lang w:bidi="ar-SA"/>
                </w:rPr>
                <w:t>HSR25 - The Electricity at Work Regulations 198</w:t>
              </w:r>
              <w:r w:rsidRPr="0045054A">
                <w:rPr>
                  <w:rStyle w:val="Hyperlink"/>
                  <w:rFonts w:asciiTheme="minorHAnsi" w:eastAsia="Times New Roman" w:hAnsiTheme="minorHAnsi" w:cstheme="minorHAnsi"/>
                  <w:szCs w:val="24"/>
                  <w:lang w:val="it-IT" w:bidi="ar-SA"/>
                </w:rPr>
                <w:t>9</w:t>
              </w:r>
            </w:hyperlink>
            <w:r>
              <w:rPr>
                <w:rFonts w:asciiTheme="minorHAnsi" w:eastAsia="Times New Roman" w:hAnsiTheme="minorHAnsi" w:cstheme="minorHAnsi"/>
                <w:color w:val="000000"/>
                <w:szCs w:val="24"/>
                <w:lang w:val="it-IT" w:bidi="ar-SA"/>
              </w:rPr>
              <w:t xml:space="preserve"> </w:t>
            </w:r>
            <w:sdt>
              <w:sdtPr>
                <w:rPr>
                  <w:rFonts w:asciiTheme="minorHAnsi" w:eastAsia="Times New Roman" w:hAnsiTheme="minorHAnsi" w:cstheme="minorHAnsi"/>
                  <w:color w:val="000000"/>
                  <w:szCs w:val="24"/>
                  <w:lang w:val="it-IT" w:bidi="ar-SA"/>
                </w:rPr>
                <w:id w:val="-685364829"/>
                <w:citation/>
              </w:sdtPr>
              <w:sdtContent>
                <w:r>
                  <w:rPr>
                    <w:rFonts w:asciiTheme="minorHAnsi" w:eastAsia="Times New Roman" w:hAnsiTheme="minorHAnsi" w:cstheme="minorHAnsi"/>
                    <w:color w:val="000000"/>
                    <w:szCs w:val="24"/>
                    <w:lang w:val="it-IT" w:bidi="ar-SA"/>
                  </w:rPr>
                  <w:fldChar w:fldCharType="begin"/>
                </w:r>
                <w:r>
                  <w:rPr>
                    <w:rFonts w:asciiTheme="minorHAnsi" w:eastAsia="Times New Roman" w:hAnsiTheme="minorHAnsi" w:cstheme="minorHAnsi"/>
                    <w:color w:val="000000"/>
                    <w:szCs w:val="24"/>
                    <w:lang w:bidi="ar-SA"/>
                  </w:rPr>
                  <w:instrText xml:space="preserve">CITATION HSE158 \l 2057 </w:instrText>
                </w:r>
                <w:r>
                  <w:rPr>
                    <w:rFonts w:asciiTheme="minorHAnsi" w:eastAsia="Times New Roman" w:hAnsiTheme="minorHAnsi" w:cstheme="minorHAnsi"/>
                    <w:color w:val="000000"/>
                    <w:szCs w:val="24"/>
                    <w:lang w:val="it-IT" w:bidi="ar-SA"/>
                  </w:rPr>
                  <w:fldChar w:fldCharType="separate"/>
                </w:r>
                <w:r w:rsidRPr="0045054A">
                  <w:rPr>
                    <w:rFonts w:asciiTheme="minorHAnsi" w:eastAsia="Times New Roman" w:hAnsiTheme="minorHAnsi" w:cstheme="minorHAnsi"/>
                    <w:noProof/>
                    <w:color w:val="000000"/>
                    <w:szCs w:val="24"/>
                    <w:lang w:val="it-IT" w:bidi="ar-SA"/>
                  </w:rPr>
                  <w:t>[5]</w:t>
                </w:r>
                <w:r>
                  <w:rPr>
                    <w:rFonts w:asciiTheme="minorHAnsi" w:eastAsia="Times New Roman" w:hAnsiTheme="minorHAnsi" w:cstheme="minorHAnsi"/>
                    <w:color w:val="000000"/>
                    <w:szCs w:val="24"/>
                    <w:lang w:val="it-IT" w:bidi="ar-SA"/>
                  </w:rPr>
                  <w:fldChar w:fldCharType="end"/>
                </w:r>
              </w:sdtContent>
            </w:sdt>
            <w:r>
              <w:rPr>
                <w:rFonts w:asciiTheme="minorHAnsi" w:eastAsia="Times New Roman" w:hAnsiTheme="minorHAnsi" w:cstheme="minorHAnsi"/>
                <w:color w:val="000000"/>
                <w:szCs w:val="24"/>
                <w:lang w:val="it-IT" w:bidi="ar-SA"/>
              </w:rPr>
              <w:t xml:space="preserve"> </w:t>
            </w:r>
          </w:p>
        </w:tc>
      </w:tr>
      <w:tr w:rsidR="008D0469" w:rsidRPr="002D3397" w14:paraId="5D7E773C" w14:textId="77777777" w:rsidTr="002D3397">
        <w:trPr>
          <w:cantSplit/>
        </w:trPr>
        <w:tc>
          <w:tcPr>
            <w:tcW w:w="2405" w:type="dxa"/>
          </w:tcPr>
          <w:p w14:paraId="64B4A81B" w14:textId="5DCF4E50" w:rsidR="008D0469" w:rsidRPr="002D3397" w:rsidRDefault="0045054A" w:rsidP="002D3397">
            <w:pPr>
              <w:spacing w:before="60" w:after="60" w:line="259" w:lineRule="auto"/>
              <w:rPr>
                <w:rFonts w:asciiTheme="minorHAnsi" w:eastAsia="Times New Roman" w:hAnsiTheme="minorHAnsi" w:cstheme="minorHAnsi"/>
                <w:szCs w:val="24"/>
                <w:lang w:eastAsia="en-GB" w:bidi="ar-SA"/>
              </w:rPr>
            </w:pPr>
            <w:r>
              <w:rPr>
                <w:rFonts w:asciiTheme="minorHAnsi" w:eastAsia="Times New Roman" w:hAnsiTheme="minorHAnsi" w:cstheme="minorHAnsi"/>
                <w:color w:val="000000"/>
                <w:szCs w:val="24"/>
                <w:lang w:bidi="ar-SA"/>
              </w:rPr>
              <w:t xml:space="preserve">The </w:t>
            </w:r>
            <w:r w:rsidR="008D0469" w:rsidRPr="002D3397">
              <w:rPr>
                <w:rFonts w:asciiTheme="minorHAnsi" w:eastAsia="Times New Roman" w:hAnsiTheme="minorHAnsi" w:cstheme="minorHAnsi"/>
                <w:color w:val="000000"/>
                <w:szCs w:val="24"/>
                <w:lang w:bidi="ar-SA"/>
              </w:rPr>
              <w:t>Lifting Operating and Lifting Equipment Regulations 1998 (LOLER)</w:t>
            </w:r>
          </w:p>
        </w:tc>
        <w:tc>
          <w:tcPr>
            <w:tcW w:w="6142" w:type="dxa"/>
          </w:tcPr>
          <w:p w14:paraId="40EC7403" w14:textId="73AC58CC" w:rsidR="008D0469" w:rsidRPr="002D3397" w:rsidRDefault="008D0469" w:rsidP="002D3397">
            <w:pPr>
              <w:spacing w:before="60" w:after="60" w:line="259" w:lineRule="auto"/>
              <w:rPr>
                <w:szCs w:val="24"/>
              </w:rPr>
            </w:pPr>
            <w:r w:rsidRPr="002D3397">
              <w:rPr>
                <w:szCs w:val="24"/>
              </w:rPr>
              <w:t>Regulation 9 puts in place requirements for all lifting equipment to be subject to ‘thorough examination’ at various points.</w:t>
            </w:r>
          </w:p>
          <w:p w14:paraId="42EEB663" w14:textId="0B344C07" w:rsidR="00601F3F" w:rsidRPr="002D3397" w:rsidRDefault="00601F3F" w:rsidP="002D3397">
            <w:pPr>
              <w:spacing w:before="60" w:after="60" w:line="259" w:lineRule="auto"/>
              <w:rPr>
                <w:rFonts w:asciiTheme="minorHAnsi" w:eastAsia="Times New Roman" w:hAnsiTheme="minorHAnsi" w:cstheme="minorHAnsi"/>
                <w:color w:val="000000"/>
                <w:szCs w:val="24"/>
                <w:lang w:bidi="ar-SA"/>
              </w:rPr>
            </w:pPr>
            <w:r w:rsidRPr="002D3397">
              <w:rPr>
                <w:color w:val="000000"/>
                <w:szCs w:val="24"/>
              </w:rPr>
              <w:t xml:space="preserve">Note: ONR does not consider a ‘Thorough Examination’ to be a replacement for EIMT activities. </w:t>
            </w:r>
          </w:p>
          <w:p w14:paraId="4A2B7DBE" w14:textId="02BB75EF" w:rsidR="008D0469" w:rsidRPr="002D3397" w:rsidRDefault="0045054A" w:rsidP="002D3397">
            <w:pPr>
              <w:spacing w:before="60" w:after="60" w:line="259" w:lineRule="auto"/>
              <w:rPr>
                <w:rFonts w:asciiTheme="minorHAnsi" w:eastAsia="Times New Roman" w:hAnsiTheme="minorHAnsi" w:cstheme="minorHAnsi"/>
                <w:szCs w:val="24"/>
                <w:lang w:val="pt-PT" w:eastAsia="en-GB" w:bidi="ar-SA"/>
              </w:rPr>
            </w:pPr>
            <w:r>
              <w:rPr>
                <w:rFonts w:asciiTheme="minorHAnsi" w:eastAsia="Times New Roman" w:hAnsiTheme="minorHAnsi" w:cstheme="minorHAnsi"/>
                <w:color w:val="000000"/>
                <w:szCs w:val="24"/>
                <w:lang w:val="pt-PT" w:bidi="ar-SA"/>
              </w:rPr>
              <w:t>H</w:t>
            </w:r>
            <w:r>
              <w:rPr>
                <w:color w:val="000000"/>
                <w:lang w:val="pt-PT"/>
              </w:rPr>
              <w:t xml:space="preserve">SE </w:t>
            </w:r>
            <w:hyperlink r:id="rId24" w:history="1">
              <w:r w:rsidR="008D0469" w:rsidRPr="0045054A">
                <w:rPr>
                  <w:rStyle w:val="Hyperlink"/>
                  <w:rFonts w:asciiTheme="minorHAnsi" w:eastAsia="Times New Roman" w:hAnsiTheme="minorHAnsi" w:cstheme="minorHAnsi"/>
                  <w:szCs w:val="24"/>
                  <w:lang w:val="pt-PT" w:bidi="ar-SA"/>
                </w:rPr>
                <w:t>AC</w:t>
              </w:r>
              <w:r w:rsidRPr="0045054A">
                <w:rPr>
                  <w:rStyle w:val="Hyperlink"/>
                  <w:rFonts w:asciiTheme="minorHAnsi" w:eastAsia="Times New Roman" w:hAnsiTheme="minorHAnsi" w:cstheme="minorHAnsi"/>
                  <w:szCs w:val="24"/>
                  <w:lang w:val="pt-PT" w:bidi="ar-SA"/>
                </w:rPr>
                <w:t>o</w:t>
              </w:r>
              <w:r w:rsidR="008D0469" w:rsidRPr="0045054A">
                <w:rPr>
                  <w:rStyle w:val="Hyperlink"/>
                  <w:rFonts w:asciiTheme="minorHAnsi" w:eastAsia="Times New Roman" w:hAnsiTheme="minorHAnsi" w:cstheme="minorHAnsi"/>
                  <w:szCs w:val="24"/>
                  <w:lang w:val="pt-PT" w:bidi="ar-SA"/>
                </w:rPr>
                <w:t>P</w:t>
              </w:r>
              <w:r w:rsidRPr="0045054A">
                <w:rPr>
                  <w:rStyle w:val="Hyperlink"/>
                  <w:rFonts w:asciiTheme="minorHAnsi" w:eastAsia="Times New Roman" w:hAnsiTheme="minorHAnsi" w:cstheme="minorHAnsi"/>
                  <w:szCs w:val="24"/>
                  <w:lang w:val="pt-PT" w:bidi="ar-SA"/>
                </w:rPr>
                <w:t xml:space="preserve"> L113</w:t>
              </w:r>
            </w:hyperlink>
            <w:r>
              <w:rPr>
                <w:rFonts w:asciiTheme="minorHAnsi" w:eastAsia="Times New Roman" w:hAnsiTheme="minorHAnsi" w:cstheme="minorHAnsi"/>
                <w:color w:val="000000"/>
                <w:szCs w:val="24"/>
                <w:lang w:val="pt-PT" w:bidi="ar-SA"/>
              </w:rPr>
              <w:t xml:space="preserve"> </w:t>
            </w:r>
            <w:sdt>
              <w:sdtPr>
                <w:rPr>
                  <w:rFonts w:asciiTheme="minorHAnsi" w:eastAsia="Times New Roman" w:hAnsiTheme="minorHAnsi" w:cstheme="minorHAnsi"/>
                  <w:color w:val="000000"/>
                  <w:szCs w:val="24"/>
                  <w:lang w:val="pt-PT" w:bidi="ar-SA"/>
                </w:rPr>
                <w:id w:val="-808790024"/>
                <w:citation/>
              </w:sdtPr>
              <w:sdtContent>
                <w:r>
                  <w:rPr>
                    <w:rFonts w:asciiTheme="minorHAnsi" w:eastAsia="Times New Roman" w:hAnsiTheme="minorHAnsi" w:cstheme="minorHAnsi"/>
                    <w:color w:val="000000"/>
                    <w:szCs w:val="24"/>
                    <w:lang w:val="pt-PT" w:bidi="ar-SA"/>
                  </w:rPr>
                  <w:fldChar w:fldCharType="begin"/>
                </w:r>
                <w:r>
                  <w:rPr>
                    <w:rFonts w:asciiTheme="minorHAnsi" w:eastAsia="Times New Roman" w:hAnsiTheme="minorHAnsi" w:cstheme="minorHAnsi"/>
                    <w:color w:val="000000"/>
                    <w:szCs w:val="24"/>
                    <w:lang w:bidi="ar-SA"/>
                  </w:rPr>
                  <w:instrText xml:space="preserve"> CITATION HSE141 \l 2057 </w:instrText>
                </w:r>
                <w:r>
                  <w:rPr>
                    <w:rFonts w:asciiTheme="minorHAnsi" w:eastAsia="Times New Roman" w:hAnsiTheme="minorHAnsi" w:cstheme="minorHAnsi"/>
                    <w:color w:val="000000"/>
                    <w:szCs w:val="24"/>
                    <w:lang w:val="pt-PT" w:bidi="ar-SA"/>
                  </w:rPr>
                  <w:fldChar w:fldCharType="separate"/>
                </w:r>
                <w:r w:rsidRPr="0045054A">
                  <w:rPr>
                    <w:rFonts w:asciiTheme="minorHAnsi" w:eastAsia="Times New Roman" w:hAnsiTheme="minorHAnsi" w:cstheme="minorHAnsi"/>
                    <w:noProof/>
                    <w:color w:val="000000"/>
                    <w:szCs w:val="24"/>
                    <w:lang w:bidi="ar-SA"/>
                  </w:rPr>
                  <w:t>[6]</w:t>
                </w:r>
                <w:r>
                  <w:rPr>
                    <w:rFonts w:asciiTheme="minorHAnsi" w:eastAsia="Times New Roman" w:hAnsiTheme="minorHAnsi" w:cstheme="minorHAnsi"/>
                    <w:color w:val="000000"/>
                    <w:szCs w:val="24"/>
                    <w:lang w:val="pt-PT" w:bidi="ar-SA"/>
                  </w:rPr>
                  <w:fldChar w:fldCharType="end"/>
                </w:r>
              </w:sdtContent>
            </w:sdt>
            <w:r>
              <w:rPr>
                <w:rFonts w:asciiTheme="minorHAnsi" w:eastAsia="Times New Roman" w:hAnsiTheme="minorHAnsi" w:cstheme="minorHAnsi"/>
                <w:color w:val="000000"/>
                <w:szCs w:val="24"/>
                <w:lang w:val="pt-PT" w:bidi="ar-SA"/>
              </w:rPr>
              <w:t xml:space="preserve"> </w:t>
            </w:r>
          </w:p>
        </w:tc>
      </w:tr>
      <w:tr w:rsidR="008D0469" w:rsidRPr="002D3397" w14:paraId="24F3ECC2" w14:textId="77777777" w:rsidTr="002D3397">
        <w:trPr>
          <w:cantSplit/>
        </w:trPr>
        <w:tc>
          <w:tcPr>
            <w:tcW w:w="2405" w:type="dxa"/>
          </w:tcPr>
          <w:p w14:paraId="36A27542" w14:textId="7842E286" w:rsidR="008D0469" w:rsidRPr="002D3397" w:rsidRDefault="0045054A" w:rsidP="002D3397">
            <w:pPr>
              <w:spacing w:before="60" w:after="60" w:line="259" w:lineRule="auto"/>
              <w:rPr>
                <w:rFonts w:asciiTheme="minorHAnsi" w:eastAsia="Times New Roman" w:hAnsiTheme="minorHAnsi" w:cstheme="minorHAnsi"/>
                <w:szCs w:val="24"/>
                <w:lang w:eastAsia="en-GB" w:bidi="ar-SA"/>
              </w:rPr>
            </w:pPr>
            <w:r>
              <w:rPr>
                <w:rFonts w:asciiTheme="minorHAnsi" w:eastAsia="Times New Roman" w:hAnsiTheme="minorHAnsi" w:cstheme="minorHAnsi"/>
                <w:color w:val="000000"/>
                <w:szCs w:val="24"/>
                <w:lang w:bidi="ar-SA"/>
              </w:rPr>
              <w:t xml:space="preserve">The </w:t>
            </w:r>
            <w:r w:rsidR="008D0469" w:rsidRPr="002D3397">
              <w:rPr>
                <w:rFonts w:asciiTheme="minorHAnsi" w:eastAsia="Times New Roman" w:hAnsiTheme="minorHAnsi" w:cstheme="minorHAnsi"/>
                <w:color w:val="000000"/>
                <w:szCs w:val="24"/>
                <w:lang w:bidi="ar-SA"/>
              </w:rPr>
              <w:t>Pressure Systems Safety Regulations 2000 (PSSR)</w:t>
            </w:r>
          </w:p>
        </w:tc>
        <w:tc>
          <w:tcPr>
            <w:tcW w:w="6142" w:type="dxa"/>
          </w:tcPr>
          <w:p w14:paraId="11793C33" w14:textId="65C56B0C" w:rsidR="008D0469" w:rsidRPr="002D3397" w:rsidRDefault="008D0469" w:rsidP="002D3397">
            <w:pPr>
              <w:spacing w:before="60" w:after="60" w:line="259" w:lineRule="auto"/>
              <w:rPr>
                <w:rFonts w:asciiTheme="minorHAnsi" w:eastAsia="Times New Roman" w:hAnsiTheme="minorHAnsi" w:cstheme="minorHAnsi"/>
                <w:color w:val="000000"/>
                <w:szCs w:val="24"/>
                <w:lang w:bidi="ar-SA"/>
              </w:rPr>
            </w:pPr>
            <w:r w:rsidRPr="002D3397">
              <w:rPr>
                <w:rFonts w:asciiTheme="minorHAnsi" w:eastAsia="Times New Roman" w:hAnsiTheme="minorHAnsi" w:cstheme="minorHAnsi"/>
                <w:color w:val="000000"/>
                <w:szCs w:val="24"/>
                <w:lang w:bidi="ar-SA"/>
              </w:rPr>
              <w:t>Reg 8 – Requirement for Written Scheme of Examination</w:t>
            </w:r>
            <w:r w:rsidR="00F32091" w:rsidRPr="002D3397">
              <w:rPr>
                <w:rFonts w:asciiTheme="minorHAnsi" w:eastAsia="Times New Roman" w:hAnsiTheme="minorHAnsi" w:cstheme="minorHAnsi"/>
                <w:color w:val="000000"/>
                <w:szCs w:val="24"/>
                <w:lang w:bidi="ar-SA"/>
              </w:rPr>
              <w:t xml:space="preserve">. </w:t>
            </w:r>
          </w:p>
          <w:p w14:paraId="73071996" w14:textId="29690ACF" w:rsidR="008D0469" w:rsidRPr="002D3397" w:rsidRDefault="008D0469" w:rsidP="002D3397">
            <w:pPr>
              <w:spacing w:before="60" w:after="60" w:line="259" w:lineRule="auto"/>
              <w:rPr>
                <w:rFonts w:asciiTheme="minorHAnsi" w:eastAsia="Times New Roman" w:hAnsiTheme="minorHAnsi" w:cstheme="minorHAnsi"/>
                <w:color w:val="000000"/>
                <w:szCs w:val="24"/>
                <w:lang w:bidi="ar-SA"/>
              </w:rPr>
            </w:pPr>
            <w:r w:rsidRPr="002D3397">
              <w:rPr>
                <w:rFonts w:asciiTheme="minorHAnsi" w:eastAsia="Times New Roman" w:hAnsiTheme="minorHAnsi" w:cstheme="minorHAnsi"/>
                <w:color w:val="000000"/>
                <w:szCs w:val="24"/>
                <w:lang w:bidi="ar-SA"/>
              </w:rPr>
              <w:t>Reg 9 – Examination in accordance with written scheme.</w:t>
            </w:r>
          </w:p>
          <w:p w14:paraId="726D7E02" w14:textId="7EF0FC78" w:rsidR="008D0469" w:rsidRPr="002D3397" w:rsidRDefault="008D0469" w:rsidP="002D3397">
            <w:pPr>
              <w:spacing w:before="60" w:after="60" w:line="259" w:lineRule="auto"/>
              <w:rPr>
                <w:rFonts w:asciiTheme="minorHAnsi" w:eastAsia="Times New Roman" w:hAnsiTheme="minorHAnsi" w:cstheme="minorHAnsi"/>
                <w:color w:val="000000"/>
                <w:szCs w:val="24"/>
                <w:lang w:bidi="ar-SA"/>
              </w:rPr>
            </w:pPr>
            <w:r w:rsidRPr="002D3397">
              <w:rPr>
                <w:rFonts w:asciiTheme="minorHAnsi" w:eastAsia="Times New Roman" w:hAnsiTheme="minorHAnsi" w:cstheme="minorHAnsi"/>
                <w:color w:val="000000"/>
                <w:szCs w:val="24"/>
                <w:lang w:bidi="ar-SA"/>
              </w:rPr>
              <w:t xml:space="preserve">Reg 12 </w:t>
            </w:r>
            <w:r w:rsidRPr="002D3397">
              <w:rPr>
                <w:szCs w:val="24"/>
              </w:rPr>
              <w:t>requires pressure systems to be properly maintained in good repair, so as to prevent danger</w:t>
            </w:r>
          </w:p>
          <w:p w14:paraId="6D880FEE" w14:textId="01CD10E4" w:rsidR="008D0469" w:rsidRPr="002D3397" w:rsidRDefault="0045054A" w:rsidP="002D3397">
            <w:pPr>
              <w:spacing w:before="60" w:after="60" w:line="259" w:lineRule="auto"/>
              <w:ind w:left="851" w:hanging="851"/>
              <w:rPr>
                <w:rFonts w:asciiTheme="minorHAnsi" w:eastAsia="Times New Roman" w:hAnsiTheme="minorHAnsi" w:cstheme="minorHAnsi"/>
                <w:color w:val="000000"/>
                <w:szCs w:val="24"/>
                <w:lang w:val="pt-PT" w:bidi="ar-SA"/>
              </w:rPr>
            </w:pPr>
            <w:r>
              <w:rPr>
                <w:rFonts w:asciiTheme="minorHAnsi" w:eastAsia="Times New Roman" w:hAnsiTheme="minorHAnsi" w:cstheme="minorHAnsi"/>
                <w:color w:val="000000"/>
                <w:szCs w:val="24"/>
                <w:lang w:val="pt-PT" w:bidi="ar-SA"/>
              </w:rPr>
              <w:t xml:space="preserve">HSE </w:t>
            </w:r>
            <w:hyperlink r:id="rId25" w:history="1">
              <w:r w:rsidR="008D0469" w:rsidRPr="0045054A">
                <w:rPr>
                  <w:rStyle w:val="Hyperlink"/>
                  <w:rFonts w:asciiTheme="minorHAnsi" w:eastAsia="Times New Roman" w:hAnsiTheme="minorHAnsi" w:cstheme="minorHAnsi"/>
                  <w:szCs w:val="24"/>
                  <w:lang w:val="pt-PT" w:bidi="ar-SA"/>
                </w:rPr>
                <w:t>AC</w:t>
              </w:r>
              <w:r w:rsidRPr="0045054A">
                <w:rPr>
                  <w:rStyle w:val="Hyperlink"/>
                  <w:rFonts w:asciiTheme="minorHAnsi" w:eastAsia="Times New Roman" w:hAnsiTheme="minorHAnsi" w:cstheme="minorHAnsi"/>
                  <w:szCs w:val="24"/>
                  <w:lang w:val="pt-PT" w:bidi="ar-SA"/>
                </w:rPr>
                <w:t>o</w:t>
              </w:r>
              <w:r w:rsidR="008D0469" w:rsidRPr="0045054A">
                <w:rPr>
                  <w:rStyle w:val="Hyperlink"/>
                  <w:rFonts w:asciiTheme="minorHAnsi" w:eastAsia="Times New Roman" w:hAnsiTheme="minorHAnsi" w:cstheme="minorHAnsi"/>
                  <w:szCs w:val="24"/>
                  <w:lang w:val="pt-PT" w:bidi="ar-SA"/>
                </w:rPr>
                <w:t>P</w:t>
              </w:r>
              <w:r w:rsidRPr="0045054A">
                <w:rPr>
                  <w:rStyle w:val="Hyperlink"/>
                  <w:rFonts w:asciiTheme="minorHAnsi" w:eastAsia="Times New Roman" w:hAnsiTheme="minorHAnsi" w:cstheme="minorHAnsi"/>
                  <w:szCs w:val="24"/>
                  <w:lang w:val="pt-PT" w:bidi="ar-SA"/>
                </w:rPr>
                <w:t xml:space="preserve"> L122</w:t>
              </w:r>
            </w:hyperlink>
            <w:r>
              <w:rPr>
                <w:rFonts w:asciiTheme="minorHAnsi" w:eastAsia="Times New Roman" w:hAnsiTheme="minorHAnsi" w:cstheme="minorHAnsi"/>
                <w:color w:val="000000"/>
                <w:szCs w:val="24"/>
                <w:lang w:val="pt-PT" w:bidi="ar-SA"/>
              </w:rPr>
              <w:t xml:space="preserve"> </w:t>
            </w:r>
            <w:sdt>
              <w:sdtPr>
                <w:rPr>
                  <w:rFonts w:asciiTheme="minorHAnsi" w:eastAsia="Times New Roman" w:hAnsiTheme="minorHAnsi" w:cstheme="minorHAnsi"/>
                  <w:color w:val="000000"/>
                  <w:szCs w:val="24"/>
                  <w:lang w:val="pt-PT" w:bidi="ar-SA"/>
                </w:rPr>
                <w:id w:val="-34267970"/>
                <w:citation/>
              </w:sdtPr>
              <w:sdtContent>
                <w:r>
                  <w:rPr>
                    <w:rFonts w:asciiTheme="minorHAnsi" w:eastAsia="Times New Roman" w:hAnsiTheme="minorHAnsi" w:cstheme="minorHAnsi"/>
                    <w:color w:val="000000"/>
                    <w:szCs w:val="24"/>
                    <w:lang w:val="pt-PT" w:bidi="ar-SA"/>
                  </w:rPr>
                  <w:fldChar w:fldCharType="begin"/>
                </w:r>
                <w:r>
                  <w:rPr>
                    <w:rFonts w:asciiTheme="minorHAnsi" w:eastAsia="Times New Roman" w:hAnsiTheme="minorHAnsi" w:cstheme="minorHAnsi"/>
                    <w:color w:val="000000"/>
                    <w:szCs w:val="24"/>
                    <w:lang w:bidi="ar-SA"/>
                  </w:rPr>
                  <w:instrText xml:space="preserve"> CITATION HSE143 \l 2057 </w:instrText>
                </w:r>
                <w:r>
                  <w:rPr>
                    <w:rFonts w:asciiTheme="minorHAnsi" w:eastAsia="Times New Roman" w:hAnsiTheme="minorHAnsi" w:cstheme="minorHAnsi"/>
                    <w:color w:val="000000"/>
                    <w:szCs w:val="24"/>
                    <w:lang w:val="pt-PT" w:bidi="ar-SA"/>
                  </w:rPr>
                  <w:fldChar w:fldCharType="separate"/>
                </w:r>
                <w:r w:rsidRPr="0045054A">
                  <w:rPr>
                    <w:rFonts w:asciiTheme="minorHAnsi" w:eastAsia="Times New Roman" w:hAnsiTheme="minorHAnsi" w:cstheme="minorHAnsi"/>
                    <w:noProof/>
                    <w:color w:val="000000"/>
                    <w:szCs w:val="24"/>
                    <w:lang w:bidi="ar-SA"/>
                  </w:rPr>
                  <w:t>[7]</w:t>
                </w:r>
                <w:r>
                  <w:rPr>
                    <w:rFonts w:asciiTheme="minorHAnsi" w:eastAsia="Times New Roman" w:hAnsiTheme="minorHAnsi" w:cstheme="minorHAnsi"/>
                    <w:color w:val="000000"/>
                    <w:szCs w:val="24"/>
                    <w:lang w:val="pt-PT" w:bidi="ar-SA"/>
                  </w:rPr>
                  <w:fldChar w:fldCharType="end"/>
                </w:r>
              </w:sdtContent>
            </w:sdt>
            <w:r w:rsidR="008D0469" w:rsidRPr="002D3397">
              <w:rPr>
                <w:rFonts w:asciiTheme="minorHAnsi" w:eastAsia="Times New Roman" w:hAnsiTheme="minorHAnsi" w:cstheme="minorHAnsi"/>
                <w:color w:val="000000"/>
                <w:szCs w:val="24"/>
                <w:lang w:val="pt-PT" w:bidi="ar-SA"/>
              </w:rPr>
              <w:t xml:space="preserve"> </w:t>
            </w:r>
          </w:p>
        </w:tc>
      </w:tr>
    </w:tbl>
    <w:p w14:paraId="61743AA0" w14:textId="77777777" w:rsidR="000950B3" w:rsidRPr="005141CA" w:rsidRDefault="000950B3" w:rsidP="00E90780">
      <w:pPr>
        <w:pStyle w:val="Heading3"/>
        <w:rPr>
          <w:lang w:val="pt-PT"/>
        </w:rPr>
        <w:sectPr w:rsidR="000950B3" w:rsidRPr="005141CA" w:rsidSect="000B2BCD">
          <w:pgSz w:w="11906" w:h="16838" w:code="9"/>
          <w:pgMar w:top="1440" w:right="1440" w:bottom="1440" w:left="1440" w:header="397" w:footer="397" w:gutter="0"/>
          <w:cols w:space="312"/>
          <w:docGrid w:linePitch="360"/>
        </w:sectPr>
      </w:pPr>
    </w:p>
    <w:p w14:paraId="219A98D5" w14:textId="2B54B0D3" w:rsidR="00140E1C" w:rsidRDefault="000950B3" w:rsidP="00E90780">
      <w:pPr>
        <w:pStyle w:val="Heading1"/>
      </w:pPr>
      <w:bookmarkStart w:id="377" w:name="_Toc224840102"/>
      <w:r w:rsidRPr="000950B3">
        <w:lastRenderedPageBreak/>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r w:rsidR="00F7687C">
        <w:t xml:space="preserve"> and Guides</w:t>
      </w:r>
      <w:bookmarkEnd w:id="377"/>
    </w:p>
    <w:p w14:paraId="4AE30213" w14:textId="771EDCED" w:rsidR="005B4063" w:rsidRPr="005B4063" w:rsidRDefault="005B4063" w:rsidP="008360BF">
      <w:pPr>
        <w:pStyle w:val="F9-Paragraph"/>
        <w:rPr>
          <w:lang w:eastAsia="en-GB"/>
        </w:rPr>
      </w:pPr>
      <w:r w:rsidRPr="005B4063">
        <w:rPr>
          <w:lang w:eastAsia="en-GB"/>
        </w:rPr>
        <w:t xml:space="preserve">The </w:t>
      </w:r>
      <w:r w:rsidR="00F86A7E">
        <w:rPr>
          <w:lang w:eastAsia="en-GB"/>
        </w:rPr>
        <w:t>‘</w:t>
      </w:r>
      <w:r w:rsidR="00CB03DD">
        <w:rPr>
          <w:lang w:eastAsia="en-GB"/>
        </w:rPr>
        <w:t>Engineering Principles</w:t>
      </w:r>
      <w:r w:rsidR="00F86A7E">
        <w:rPr>
          <w:lang w:eastAsia="en-GB"/>
        </w:rPr>
        <w:t xml:space="preserve">: </w:t>
      </w:r>
      <w:r w:rsidR="00CB03DD">
        <w:rPr>
          <w:lang w:eastAsia="en-GB"/>
        </w:rPr>
        <w:t>Maintenance, Inspection and Testing (EMT) 1-8</w:t>
      </w:r>
      <w:r w:rsidR="00F86A7E">
        <w:rPr>
          <w:lang w:eastAsia="en-GB"/>
        </w:rPr>
        <w:t>’</w:t>
      </w:r>
      <w:r w:rsidR="00B275BB">
        <w:rPr>
          <w:lang w:eastAsia="en-GB"/>
        </w:rPr>
        <w:t xml:space="preserve"> are the key </w:t>
      </w:r>
      <w:r w:rsidR="00B275BB" w:rsidRPr="005B4063">
        <w:rPr>
          <w:lang w:eastAsia="en-GB"/>
        </w:rPr>
        <w:t>SAPs directly addressed by this TAG</w:t>
      </w:r>
      <w:r w:rsidR="00E25644">
        <w:rPr>
          <w:lang w:eastAsia="en-GB"/>
        </w:rPr>
        <w:t>.</w:t>
      </w:r>
    </w:p>
    <w:p w14:paraId="562213E8" w14:textId="29525CD9" w:rsidR="000B540B" w:rsidRPr="005B4063" w:rsidRDefault="00BF091F" w:rsidP="000B540B">
      <w:pPr>
        <w:pStyle w:val="F9-Paragraph"/>
        <w:rPr>
          <w:lang w:eastAsia="en-GB"/>
        </w:rPr>
      </w:pPr>
      <w:hyperlink w:anchor="_Appendix_2_–" w:history="1">
        <w:r w:rsidRPr="0045054A">
          <w:rPr>
            <w:rStyle w:val="Hyperlink"/>
            <w:lang w:eastAsia="en-GB"/>
          </w:rPr>
          <w:t>Appendix 2</w:t>
        </w:r>
      </w:hyperlink>
      <w:r w:rsidR="005B4063" w:rsidRPr="005B4063">
        <w:rPr>
          <w:lang w:eastAsia="en-GB"/>
        </w:rPr>
        <w:t xml:space="preserve"> provides </w:t>
      </w:r>
      <w:r w:rsidR="000B540B">
        <w:rPr>
          <w:lang w:eastAsia="en-GB"/>
        </w:rPr>
        <w:t>reference to</w:t>
      </w:r>
      <w:r w:rsidR="000B540B" w:rsidRPr="005B4063">
        <w:rPr>
          <w:lang w:eastAsia="en-GB"/>
        </w:rPr>
        <w:t xml:space="preserve"> other SAPs that are relevant to the assessment of EIM</w:t>
      </w:r>
      <w:r w:rsidR="000B540B">
        <w:rPr>
          <w:lang w:eastAsia="en-GB"/>
        </w:rPr>
        <w:t>T.</w:t>
      </w:r>
    </w:p>
    <w:p w14:paraId="2D8DE285" w14:textId="61686A5E" w:rsidR="005B4063" w:rsidRPr="005B4063" w:rsidRDefault="004478E7" w:rsidP="000B540B">
      <w:pPr>
        <w:pStyle w:val="F9-Paragraph"/>
        <w:rPr>
          <w:lang w:eastAsia="en-GB"/>
        </w:rPr>
      </w:pPr>
      <w:r>
        <w:rPr>
          <w:lang w:eastAsia="en-GB"/>
        </w:rPr>
        <w:t>T</w:t>
      </w:r>
      <w:r w:rsidR="005B4063" w:rsidRPr="005B4063">
        <w:rPr>
          <w:lang w:eastAsia="en-GB"/>
        </w:rPr>
        <w:t xml:space="preserve">he following TAGs </w:t>
      </w:r>
      <w:r w:rsidR="00345706">
        <w:rPr>
          <w:lang w:eastAsia="en-GB"/>
        </w:rPr>
        <w:t>may be</w:t>
      </w:r>
      <w:r w:rsidR="00707B98">
        <w:rPr>
          <w:lang w:eastAsia="en-GB"/>
        </w:rPr>
        <w:t xml:space="preserve"> relevant</w:t>
      </w:r>
      <w:r w:rsidR="00345706">
        <w:rPr>
          <w:lang w:eastAsia="en-GB"/>
        </w:rPr>
        <w:t xml:space="preserve"> to inspectors considering EIMT</w:t>
      </w:r>
      <w:r w:rsidR="005B4063" w:rsidRPr="005B4063">
        <w:rPr>
          <w:lang w:eastAsia="en-GB"/>
        </w:rPr>
        <w:t>:</w:t>
      </w:r>
    </w:p>
    <w:p w14:paraId="3737E441" w14:textId="15CAEC99" w:rsidR="005B4063" w:rsidRDefault="005B4063">
      <w:pPr>
        <w:pStyle w:val="Bulletlist1"/>
        <w:rPr>
          <w:lang w:eastAsia="en-GB"/>
        </w:rPr>
      </w:pPr>
      <w:r w:rsidRPr="005B4063">
        <w:rPr>
          <w:lang w:eastAsia="en-GB"/>
        </w:rPr>
        <w:t xml:space="preserve">NS-TAST-GD-005 </w:t>
      </w:r>
      <w:r w:rsidR="0045054A">
        <w:rPr>
          <w:lang w:eastAsia="en-GB"/>
        </w:rPr>
        <w:t xml:space="preserve">- </w:t>
      </w:r>
      <w:r w:rsidRPr="005B4063">
        <w:rPr>
          <w:lang w:eastAsia="en-GB"/>
        </w:rPr>
        <w:t>Demonstration of ALARP</w:t>
      </w:r>
    </w:p>
    <w:p w14:paraId="742180E4" w14:textId="40C961E2" w:rsidR="002F4FE3" w:rsidRDefault="002F4FE3">
      <w:pPr>
        <w:pStyle w:val="Bulletlist1"/>
        <w:rPr>
          <w:lang w:eastAsia="en-GB"/>
        </w:rPr>
      </w:pPr>
      <w:r>
        <w:rPr>
          <w:lang w:eastAsia="en-GB"/>
        </w:rPr>
        <w:t xml:space="preserve">NS-TAST-GD-016 </w:t>
      </w:r>
      <w:r w:rsidR="0045054A">
        <w:rPr>
          <w:lang w:eastAsia="en-GB"/>
        </w:rPr>
        <w:t xml:space="preserve">- </w:t>
      </w:r>
      <w:r>
        <w:rPr>
          <w:lang w:eastAsia="en-GB"/>
        </w:rPr>
        <w:t>Integrity of Metal</w:t>
      </w:r>
      <w:r w:rsidR="00E077A0">
        <w:rPr>
          <w:lang w:eastAsia="en-GB"/>
        </w:rPr>
        <w:t xml:space="preserve"> Structures, Systems and Components</w:t>
      </w:r>
    </w:p>
    <w:p w14:paraId="21C2DA4A" w14:textId="50CBF8BA" w:rsidR="00E077A0" w:rsidRPr="005B4063" w:rsidRDefault="00E077A0" w:rsidP="005141CA">
      <w:pPr>
        <w:pStyle w:val="Bulletlist1"/>
        <w:rPr>
          <w:lang w:eastAsia="en-GB"/>
        </w:rPr>
      </w:pPr>
      <w:r>
        <w:rPr>
          <w:lang w:eastAsia="en-GB"/>
        </w:rPr>
        <w:t>NS-TASD-GD-017</w:t>
      </w:r>
      <w:r w:rsidR="00345706">
        <w:rPr>
          <w:lang w:eastAsia="en-GB"/>
        </w:rPr>
        <w:t xml:space="preserve"> </w:t>
      </w:r>
      <w:r w:rsidR="0045054A">
        <w:rPr>
          <w:lang w:eastAsia="en-GB"/>
        </w:rPr>
        <w:t xml:space="preserve">- </w:t>
      </w:r>
      <w:r w:rsidR="00345706">
        <w:rPr>
          <w:lang w:eastAsia="en-GB"/>
        </w:rPr>
        <w:t>Civil Engineering</w:t>
      </w:r>
    </w:p>
    <w:p w14:paraId="763C6694" w14:textId="136A7182" w:rsidR="005B4063" w:rsidRPr="005B4063" w:rsidRDefault="005B4063" w:rsidP="005141CA">
      <w:pPr>
        <w:pStyle w:val="Bulletlist1"/>
        <w:rPr>
          <w:lang w:eastAsia="en-GB"/>
        </w:rPr>
      </w:pPr>
      <w:r w:rsidRPr="005B4063">
        <w:rPr>
          <w:lang w:eastAsia="en-GB"/>
        </w:rPr>
        <w:t xml:space="preserve">NS-TAST-GD-026 </w:t>
      </w:r>
      <w:r w:rsidR="0045054A">
        <w:rPr>
          <w:lang w:eastAsia="en-GB"/>
        </w:rPr>
        <w:t xml:space="preserve">- </w:t>
      </w:r>
      <w:r w:rsidRPr="005B4063">
        <w:rPr>
          <w:lang w:eastAsia="en-GB"/>
        </w:rPr>
        <w:t>Decommissioning</w:t>
      </w:r>
    </w:p>
    <w:p w14:paraId="06383B39" w14:textId="6121E940" w:rsidR="005B4063" w:rsidRPr="005B4063" w:rsidRDefault="005B4063" w:rsidP="005141CA">
      <w:pPr>
        <w:pStyle w:val="Bulletlist1"/>
        <w:rPr>
          <w:lang w:eastAsia="en-GB"/>
        </w:rPr>
      </w:pPr>
      <w:r w:rsidRPr="005B4063">
        <w:rPr>
          <w:lang w:eastAsia="en-GB"/>
        </w:rPr>
        <w:t xml:space="preserve">NS-TAST-GD-030 </w:t>
      </w:r>
      <w:r w:rsidR="0045054A">
        <w:rPr>
          <w:lang w:eastAsia="en-GB"/>
        </w:rPr>
        <w:t xml:space="preserve">- </w:t>
      </w:r>
      <w:r w:rsidRPr="005B4063">
        <w:rPr>
          <w:lang w:eastAsia="en-GB"/>
        </w:rPr>
        <w:t>Probabilistic Safety Analysis</w:t>
      </w:r>
    </w:p>
    <w:p w14:paraId="3644AC22" w14:textId="6AC4C079" w:rsidR="005B4063" w:rsidRDefault="005B4063">
      <w:pPr>
        <w:pStyle w:val="Bulletlist1"/>
        <w:rPr>
          <w:lang w:eastAsia="en-GB"/>
        </w:rPr>
      </w:pPr>
      <w:r w:rsidRPr="005B4063">
        <w:rPr>
          <w:lang w:eastAsia="en-GB"/>
        </w:rPr>
        <w:t xml:space="preserve">NS-TAST-GD-050 </w:t>
      </w:r>
      <w:r w:rsidR="0045054A">
        <w:rPr>
          <w:lang w:eastAsia="en-GB"/>
        </w:rPr>
        <w:t xml:space="preserve">- </w:t>
      </w:r>
      <w:r w:rsidRPr="005B4063">
        <w:rPr>
          <w:lang w:eastAsia="en-GB"/>
        </w:rPr>
        <w:t>Periodic Safety Reviews</w:t>
      </w:r>
    </w:p>
    <w:p w14:paraId="752BC081" w14:textId="68F4244C" w:rsidR="00BF091F" w:rsidRDefault="00BF091F">
      <w:pPr>
        <w:pStyle w:val="Bulletlist1"/>
        <w:rPr>
          <w:lang w:eastAsia="en-GB"/>
        </w:rPr>
      </w:pPr>
      <w:r w:rsidRPr="005B4063">
        <w:rPr>
          <w:lang w:eastAsia="en-GB"/>
        </w:rPr>
        <w:t>NS-TAST-GD-051</w:t>
      </w:r>
      <w:r w:rsidR="00C944B2">
        <w:rPr>
          <w:lang w:eastAsia="en-GB"/>
        </w:rPr>
        <w:t xml:space="preserve"> </w:t>
      </w:r>
      <w:r w:rsidR="0045054A">
        <w:rPr>
          <w:lang w:eastAsia="en-GB"/>
        </w:rPr>
        <w:t xml:space="preserve">- </w:t>
      </w:r>
      <w:r w:rsidR="00C944B2">
        <w:rPr>
          <w:lang w:eastAsia="en-GB"/>
        </w:rPr>
        <w:t xml:space="preserve">The </w:t>
      </w:r>
      <w:r w:rsidR="004478E7">
        <w:rPr>
          <w:lang w:eastAsia="en-GB"/>
        </w:rPr>
        <w:t>P</w:t>
      </w:r>
      <w:r w:rsidR="00C944B2">
        <w:rPr>
          <w:lang w:eastAsia="en-GB"/>
        </w:rPr>
        <w:t xml:space="preserve">urpose, </w:t>
      </w:r>
      <w:r w:rsidR="004478E7">
        <w:rPr>
          <w:lang w:eastAsia="en-GB"/>
        </w:rPr>
        <w:t>S</w:t>
      </w:r>
      <w:r w:rsidR="00C944B2">
        <w:rPr>
          <w:lang w:eastAsia="en-GB"/>
        </w:rPr>
        <w:t xml:space="preserve">cope and </w:t>
      </w:r>
      <w:r w:rsidR="004478E7">
        <w:rPr>
          <w:lang w:eastAsia="en-GB"/>
        </w:rPr>
        <w:t>C</w:t>
      </w:r>
      <w:r w:rsidR="00C944B2">
        <w:rPr>
          <w:lang w:eastAsia="en-GB"/>
        </w:rPr>
        <w:t xml:space="preserve">ontent of </w:t>
      </w:r>
      <w:r w:rsidR="004478E7">
        <w:rPr>
          <w:lang w:eastAsia="en-GB"/>
        </w:rPr>
        <w:t>S</w:t>
      </w:r>
      <w:r w:rsidR="00C944B2">
        <w:rPr>
          <w:lang w:eastAsia="en-GB"/>
        </w:rPr>
        <w:t xml:space="preserve">afety </w:t>
      </w:r>
      <w:r w:rsidR="004478E7">
        <w:rPr>
          <w:lang w:eastAsia="en-GB"/>
        </w:rPr>
        <w:t>C</w:t>
      </w:r>
      <w:r w:rsidR="00C944B2">
        <w:rPr>
          <w:lang w:eastAsia="en-GB"/>
        </w:rPr>
        <w:t>ases</w:t>
      </w:r>
    </w:p>
    <w:p w14:paraId="27043384" w14:textId="0A456E6D" w:rsidR="00191006" w:rsidRPr="005B4063" w:rsidRDefault="00191006" w:rsidP="00191006">
      <w:pPr>
        <w:pStyle w:val="Bulletlist1"/>
        <w:rPr>
          <w:lang w:eastAsia="en-GB"/>
        </w:rPr>
      </w:pPr>
      <w:r w:rsidRPr="005B4063">
        <w:rPr>
          <w:lang w:eastAsia="en-GB"/>
        </w:rPr>
        <w:t xml:space="preserve">NS-TAST-GD-057 </w:t>
      </w:r>
      <w:r w:rsidR="0045054A">
        <w:rPr>
          <w:lang w:eastAsia="en-GB"/>
        </w:rPr>
        <w:t xml:space="preserve">- </w:t>
      </w:r>
      <w:r w:rsidRPr="005B4063">
        <w:rPr>
          <w:lang w:eastAsia="en-GB"/>
        </w:rPr>
        <w:t>Design Safety Assurance</w:t>
      </w:r>
    </w:p>
    <w:p w14:paraId="7F6F0B47" w14:textId="2957C5D1" w:rsidR="00203AFA" w:rsidRPr="005B4063" w:rsidRDefault="00203AFA" w:rsidP="005141CA">
      <w:pPr>
        <w:pStyle w:val="Bulletlist1"/>
        <w:rPr>
          <w:lang w:eastAsia="en-GB"/>
        </w:rPr>
      </w:pPr>
      <w:r>
        <w:rPr>
          <w:lang w:eastAsia="en-GB"/>
        </w:rPr>
        <w:t xml:space="preserve">NS-TAST-GD-067 </w:t>
      </w:r>
      <w:r w:rsidR="0045054A">
        <w:rPr>
          <w:lang w:eastAsia="en-GB"/>
        </w:rPr>
        <w:t xml:space="preserve">- </w:t>
      </w:r>
      <w:r>
        <w:rPr>
          <w:lang w:eastAsia="en-GB"/>
        </w:rPr>
        <w:t>Pressure Systems Safety</w:t>
      </w:r>
    </w:p>
    <w:p w14:paraId="3ED36F4F" w14:textId="4351DB23" w:rsidR="005B4063" w:rsidRDefault="005B4063">
      <w:pPr>
        <w:pStyle w:val="Bulletlist1"/>
        <w:rPr>
          <w:lang w:eastAsia="en-GB"/>
        </w:rPr>
      </w:pPr>
      <w:r w:rsidRPr="005B4063">
        <w:rPr>
          <w:lang w:eastAsia="en-GB"/>
        </w:rPr>
        <w:t xml:space="preserve">NS-TAST-GD-094 </w:t>
      </w:r>
      <w:r w:rsidR="0045054A">
        <w:rPr>
          <w:lang w:eastAsia="en-GB"/>
        </w:rPr>
        <w:t xml:space="preserve">- </w:t>
      </w:r>
      <w:r w:rsidRPr="005B4063">
        <w:rPr>
          <w:lang w:eastAsia="en-GB"/>
        </w:rPr>
        <w:t>Categorisation of Safety Functions and Classifications of Structures, Systems and Components</w:t>
      </w:r>
    </w:p>
    <w:p w14:paraId="3F93CCAD" w14:textId="4FF0BBFB" w:rsidR="00203AFA" w:rsidRPr="005B4063" w:rsidRDefault="00203AFA" w:rsidP="005141CA">
      <w:pPr>
        <w:pStyle w:val="Bulletlist1"/>
        <w:rPr>
          <w:lang w:eastAsia="en-GB"/>
        </w:rPr>
      </w:pPr>
      <w:r>
        <w:rPr>
          <w:lang w:eastAsia="en-GB"/>
        </w:rPr>
        <w:t xml:space="preserve">NS-TAST-GD-109 </w:t>
      </w:r>
      <w:r w:rsidR="0045054A">
        <w:rPr>
          <w:lang w:eastAsia="en-GB"/>
        </w:rPr>
        <w:t xml:space="preserve">- </w:t>
      </w:r>
      <w:r>
        <w:rPr>
          <w:lang w:eastAsia="en-GB"/>
        </w:rPr>
        <w:t>Ageing and Degradation Management</w:t>
      </w:r>
    </w:p>
    <w:p w14:paraId="05E98887" w14:textId="77777777" w:rsidR="002D3397" w:rsidRDefault="002D3397" w:rsidP="005141CA">
      <w:pPr>
        <w:pStyle w:val="Heading2"/>
        <w:rPr>
          <w:lang w:eastAsia="en-GB"/>
        </w:rPr>
        <w:sectPr w:rsidR="002D3397" w:rsidSect="000B2BCD">
          <w:pgSz w:w="11906" w:h="16838" w:code="9"/>
          <w:pgMar w:top="1440" w:right="1440" w:bottom="1440" w:left="1440" w:header="397" w:footer="397" w:gutter="0"/>
          <w:cols w:space="312"/>
          <w:docGrid w:linePitch="360"/>
        </w:sectPr>
      </w:pPr>
    </w:p>
    <w:p w14:paraId="58A7D3E7" w14:textId="5A088357" w:rsidR="005B4063" w:rsidRPr="005B4063" w:rsidRDefault="005B4063" w:rsidP="005141CA">
      <w:pPr>
        <w:pStyle w:val="Heading2"/>
        <w:rPr>
          <w:lang w:eastAsia="en-GB"/>
        </w:rPr>
      </w:pPr>
      <w:r w:rsidRPr="005B4063">
        <w:rPr>
          <w:lang w:eastAsia="en-GB"/>
        </w:rPr>
        <w:lastRenderedPageBreak/>
        <w:t>WENRA Reference Levels (RLs) and IAEA Safety Standards and Guide</w:t>
      </w:r>
    </w:p>
    <w:p w14:paraId="2C6A4308" w14:textId="6F464316" w:rsidR="006B1237" w:rsidRDefault="006B1237" w:rsidP="00EA01BD">
      <w:pPr>
        <w:pStyle w:val="F9-Paragraph"/>
      </w:pPr>
      <w:r w:rsidRPr="00EA01BD">
        <w:t xml:space="preserve">This TAG takes into account relevant publications from the Western European Nuclear Regulators’ Association (WENRA) and the International Atomic Energy Agency (IAEA). The SAPs are designed for both current and new facilities, while the WENRA Reactor Safety Reference Levels focus on existing reactors. However, both sets of requirements are generally similar. WENRA and IAEA documents mainly address nuclear reactor power plants, so their scope is narrower than that of the SAPs and this TAG. </w:t>
      </w:r>
      <w:r w:rsidR="0045054A">
        <w:t>ONRs TAG on ALARP</w:t>
      </w:r>
      <w:r w:rsidRPr="00EA01BD">
        <w:t xml:space="preserve"> identifies the WENRA Reference Levels as good practice for existing civil nuclear reactors</w:t>
      </w:r>
      <w:r w:rsidR="0045054A">
        <w:t xml:space="preserve"> </w:t>
      </w:r>
      <w:sdt>
        <w:sdtPr>
          <w:id w:val="-664467982"/>
          <w:citation/>
        </w:sdtPr>
        <w:sdtContent>
          <w:r w:rsidR="0045054A">
            <w:fldChar w:fldCharType="begin"/>
          </w:r>
          <w:r w:rsidR="0045054A">
            <w:instrText xml:space="preserve"> CITATION ONR100 \l 2057 </w:instrText>
          </w:r>
          <w:r w:rsidR="0045054A">
            <w:fldChar w:fldCharType="separate"/>
          </w:r>
          <w:r w:rsidR="0045054A">
            <w:rPr>
              <w:noProof/>
            </w:rPr>
            <w:t>[8]</w:t>
          </w:r>
          <w:r w:rsidR="0045054A">
            <w:fldChar w:fldCharType="end"/>
          </w:r>
        </w:sdtContent>
      </w:sdt>
      <w:r w:rsidRPr="00EA01BD">
        <w:t>.</w:t>
      </w:r>
    </w:p>
    <w:p w14:paraId="6EA4F24A" w14:textId="44CA8413" w:rsidR="006B1237" w:rsidRDefault="006B1237" w:rsidP="00EA01BD">
      <w:pPr>
        <w:pStyle w:val="F9-Paragraph"/>
      </w:pPr>
      <w:r w:rsidRPr="006B1237">
        <w:t>WENRA Reference Level Issue K covers maintenance, in-service inspection, and functional testing. Key points for assessing Licensees’ EIMT arrangements include:</w:t>
      </w:r>
    </w:p>
    <w:p w14:paraId="1725DE87" w14:textId="0B0847DA" w:rsidR="006B1237" w:rsidRDefault="006B1237" w:rsidP="00EA01BD">
      <w:pPr>
        <w:pStyle w:val="Bulletlist1"/>
      </w:pPr>
      <w:r w:rsidRPr="006B1237">
        <w:t>Documented programmes for EIMT are needed to keep SSCs reliable and functional throughout the plant’s life.</w:t>
      </w:r>
    </w:p>
    <w:p w14:paraId="55DF8B53" w14:textId="77777777" w:rsidR="006B1237" w:rsidRDefault="006B1237" w:rsidP="00EA01BD">
      <w:pPr>
        <w:pStyle w:val="Bulletlist1"/>
      </w:pPr>
      <w:r w:rsidRPr="006B1237">
        <w:t>Regular inspections and tests should confirm SSCs remain safe, or identify if action is needed.</w:t>
      </w:r>
    </w:p>
    <w:p w14:paraId="09104840" w14:textId="77777777" w:rsidR="006B1237" w:rsidRDefault="006B1237" w:rsidP="00EA01BD">
      <w:pPr>
        <w:pStyle w:val="Bulletlist1"/>
      </w:pPr>
      <w:r w:rsidRPr="006B1237">
        <w:t>The scope and frequency of preventative EIMT should follow a systematic approach.</w:t>
      </w:r>
    </w:p>
    <w:p w14:paraId="078C5796" w14:textId="77777777" w:rsidR="006B1237" w:rsidRDefault="006B1237" w:rsidP="00EA01BD">
      <w:pPr>
        <w:pStyle w:val="Bulletlist1"/>
      </w:pPr>
      <w:r w:rsidRPr="006B1237">
        <w:t>Maintenance data should be used to assess its impact on plant safety.</w:t>
      </w:r>
    </w:p>
    <w:p w14:paraId="05A7AF82" w14:textId="77777777" w:rsidR="006B1237" w:rsidRDefault="006B1237" w:rsidP="00EA01BD">
      <w:pPr>
        <w:pStyle w:val="Bulletlist1"/>
      </w:pPr>
      <w:r w:rsidRPr="006B1237">
        <w:t>SSCs should be designed to allow straightforward EIMT, ensuring integrity and function over the plant’s life.</w:t>
      </w:r>
    </w:p>
    <w:p w14:paraId="56C9C712" w14:textId="77777777" w:rsidR="006B1237" w:rsidRDefault="006B1237" w:rsidP="00EA01BD">
      <w:pPr>
        <w:pStyle w:val="Bulletlist1"/>
      </w:pPr>
      <w:r w:rsidRPr="006B1237">
        <w:t>When EIMT is not fully possible, other proven methods and safety measures should be used to reduce the risk of undetected failures.</w:t>
      </w:r>
    </w:p>
    <w:p w14:paraId="18E06ACB" w14:textId="77777777" w:rsidR="006B1237" w:rsidRDefault="006B1237" w:rsidP="00EA01BD">
      <w:pPr>
        <w:pStyle w:val="Bulletlist1"/>
      </w:pPr>
      <w:r w:rsidRPr="006B1237">
        <w:t>Configuration control is important, so the plant can be safely taken out of service for testing and returned after work is complete.</w:t>
      </w:r>
    </w:p>
    <w:p w14:paraId="294004AD" w14:textId="77777777" w:rsidR="006B1237" w:rsidRDefault="006B1237" w:rsidP="00EA01BD">
      <w:pPr>
        <w:pStyle w:val="F9-Paragraph"/>
      </w:pPr>
      <w:r w:rsidRPr="006B1237">
        <w:t>The comprehensive EIMT requirements in ONR SAPs show that WENRA Issue K is addressed in UK regulation. Many other WENRA Reference Level Issues also highlight the importance of EIMT in a similar way to SAPs.</w:t>
      </w:r>
    </w:p>
    <w:p w14:paraId="56259445" w14:textId="61D0FB27" w:rsidR="00CF15DB" w:rsidRDefault="006B1237" w:rsidP="008B1C1E">
      <w:pPr>
        <w:pStyle w:val="F9-Paragraph"/>
      </w:pPr>
      <w:r w:rsidRPr="006B1237">
        <w:t>IAEA Safety Standards and Guides also stress that EIMT is needed to ensure the original design intent is maintained across all areas of nuclear engineering and safety assurance.</w:t>
      </w:r>
    </w:p>
    <w:p w14:paraId="4F16F3EA" w14:textId="326F1A6D" w:rsidR="002D3397" w:rsidRDefault="002D3397" w:rsidP="002D3397">
      <w:pPr>
        <w:pStyle w:val="F9-Paragraph"/>
        <w:rPr>
          <w:lang w:eastAsia="en-GB"/>
        </w:rPr>
      </w:pPr>
      <w:r w:rsidRPr="005B4063">
        <w:rPr>
          <w:lang w:eastAsia="en-GB"/>
        </w:rPr>
        <w:t>The guidance for EIMT contained in the IAEA documents</w:t>
      </w:r>
      <w:r>
        <w:rPr>
          <w:lang w:eastAsia="en-GB"/>
        </w:rPr>
        <w:t xml:space="preserve">, listed in </w:t>
      </w:r>
      <w:r>
        <w:rPr>
          <w:lang w:eastAsia="en-GB"/>
        </w:rPr>
        <w:fldChar w:fldCharType="begin"/>
      </w:r>
      <w:r>
        <w:rPr>
          <w:lang w:eastAsia="en-GB"/>
        </w:rPr>
        <w:instrText xml:space="preserve"> REF _Ref224837102 \h </w:instrText>
      </w:r>
      <w:r>
        <w:rPr>
          <w:lang w:eastAsia="en-GB"/>
        </w:rPr>
      </w:r>
      <w:r>
        <w:rPr>
          <w:lang w:eastAsia="en-GB"/>
        </w:rPr>
        <w:fldChar w:fldCharType="separate"/>
      </w:r>
      <w:r>
        <w:t xml:space="preserve">Table </w:t>
      </w:r>
      <w:r>
        <w:rPr>
          <w:noProof/>
        </w:rPr>
        <w:t>2</w:t>
      </w:r>
      <w:r>
        <w:rPr>
          <w:lang w:eastAsia="en-GB"/>
        </w:rPr>
        <w:fldChar w:fldCharType="end"/>
      </w:r>
      <w:r>
        <w:rPr>
          <w:lang w:eastAsia="en-GB"/>
        </w:rPr>
        <w:t xml:space="preserve">, </w:t>
      </w:r>
      <w:r w:rsidRPr="005B4063">
        <w:rPr>
          <w:lang w:eastAsia="en-GB"/>
        </w:rPr>
        <w:t xml:space="preserve"> is addressed in the UK approach to regulation of nuclear facilities.</w:t>
      </w:r>
    </w:p>
    <w:p w14:paraId="0B7F44F7" w14:textId="77777777" w:rsidR="00AB5C2F" w:rsidRPr="00EA01BD" w:rsidRDefault="00AB5C2F" w:rsidP="00EA01BD">
      <w:pPr>
        <w:pStyle w:val="F9-Paragraph"/>
        <w:numPr>
          <w:ilvl w:val="0"/>
          <w:numId w:val="0"/>
        </w:numPr>
        <w:ind w:left="851"/>
      </w:pPr>
    </w:p>
    <w:p w14:paraId="44883809" w14:textId="77777777" w:rsidR="002D3397" w:rsidRDefault="002D3397" w:rsidP="005141CA">
      <w:pPr>
        <w:pStyle w:val="Bulletlist1"/>
        <w:numPr>
          <w:ilvl w:val="0"/>
          <w:numId w:val="0"/>
        </w:numPr>
        <w:spacing w:before="0"/>
        <w:rPr>
          <w:b/>
          <w:lang w:eastAsia="en-GB"/>
        </w:rPr>
        <w:sectPr w:rsidR="002D3397" w:rsidSect="000B2BCD">
          <w:pgSz w:w="11906" w:h="16838" w:code="9"/>
          <w:pgMar w:top="1440" w:right="1440" w:bottom="1440" w:left="1440" w:header="397" w:footer="397" w:gutter="0"/>
          <w:cols w:space="312"/>
          <w:docGrid w:linePitch="360"/>
        </w:sectPr>
      </w:pPr>
    </w:p>
    <w:p w14:paraId="3D29CE79" w14:textId="5C6ADB47" w:rsidR="002D3397" w:rsidRDefault="002D3397" w:rsidP="002D3397">
      <w:pPr>
        <w:pStyle w:val="Caption"/>
        <w:keepNext/>
        <w:ind w:left="851"/>
      </w:pPr>
      <w:bookmarkStart w:id="378" w:name="_Ref224837102"/>
      <w:r>
        <w:lastRenderedPageBreak/>
        <w:t xml:space="preserve">Table </w:t>
      </w:r>
      <w:r>
        <w:fldChar w:fldCharType="begin"/>
      </w:r>
      <w:r>
        <w:instrText xml:space="preserve"> SEQ Table \* ARABIC </w:instrText>
      </w:r>
      <w:r>
        <w:fldChar w:fldCharType="separate"/>
      </w:r>
      <w:r>
        <w:rPr>
          <w:noProof/>
        </w:rPr>
        <w:t>2</w:t>
      </w:r>
      <w:r>
        <w:fldChar w:fldCharType="end"/>
      </w:r>
      <w:bookmarkEnd w:id="378"/>
      <w:r>
        <w:t xml:space="preserve"> - IAEA requirements relating to EIMT.</w:t>
      </w:r>
    </w:p>
    <w:tbl>
      <w:tblPr>
        <w:tblStyle w:val="ONRTable1"/>
        <w:tblW w:w="8363" w:type="dxa"/>
        <w:tblInd w:w="851" w:type="dxa"/>
        <w:tblLook w:val="04A0" w:firstRow="1" w:lastRow="0" w:firstColumn="1" w:lastColumn="0" w:noHBand="0" w:noVBand="1"/>
      </w:tblPr>
      <w:tblGrid>
        <w:gridCol w:w="2268"/>
        <w:gridCol w:w="6095"/>
      </w:tblGrid>
      <w:tr w:rsidR="00FA7F38" w:rsidRPr="002D3397" w14:paraId="2E83FA58" w14:textId="77777777" w:rsidTr="0045054A">
        <w:trPr>
          <w:cnfStyle w:val="100000000000" w:firstRow="1" w:lastRow="0" w:firstColumn="0" w:lastColumn="0" w:oddVBand="0" w:evenVBand="0" w:oddHBand="0" w:evenHBand="0" w:firstRowFirstColumn="0" w:firstRowLastColumn="0" w:lastRowFirstColumn="0" w:lastRowLastColumn="0"/>
          <w:cantSplit/>
          <w:tblHeader/>
        </w:trPr>
        <w:tc>
          <w:tcPr>
            <w:tcW w:w="2268" w:type="dxa"/>
          </w:tcPr>
          <w:p w14:paraId="4A6668B0" w14:textId="109656C2" w:rsidR="00FA7F38" w:rsidRPr="002D3397" w:rsidRDefault="00E6051C" w:rsidP="002D3397">
            <w:pPr>
              <w:pStyle w:val="Bulletlist1"/>
              <w:numPr>
                <w:ilvl w:val="0"/>
                <w:numId w:val="0"/>
              </w:numPr>
              <w:spacing w:before="60" w:after="60" w:line="259" w:lineRule="auto"/>
              <w:rPr>
                <w:szCs w:val="24"/>
                <w:lang w:eastAsia="en-GB"/>
              </w:rPr>
            </w:pPr>
            <w:r w:rsidRPr="002D3397">
              <w:rPr>
                <w:szCs w:val="24"/>
                <w:lang w:eastAsia="en-GB"/>
              </w:rPr>
              <w:t>IAEA Guidance</w:t>
            </w:r>
          </w:p>
        </w:tc>
        <w:tc>
          <w:tcPr>
            <w:tcW w:w="6095" w:type="dxa"/>
          </w:tcPr>
          <w:p w14:paraId="4A5EB649" w14:textId="6CD0AC7B" w:rsidR="00FA7F38" w:rsidRPr="002D3397" w:rsidRDefault="00E6051C" w:rsidP="002D3397">
            <w:pPr>
              <w:pStyle w:val="Bulletlist1"/>
              <w:numPr>
                <w:ilvl w:val="0"/>
                <w:numId w:val="0"/>
              </w:numPr>
              <w:spacing w:before="60" w:after="60" w:line="259" w:lineRule="auto"/>
              <w:rPr>
                <w:szCs w:val="24"/>
                <w:lang w:eastAsia="en-GB"/>
              </w:rPr>
            </w:pPr>
            <w:r w:rsidRPr="002D3397">
              <w:rPr>
                <w:szCs w:val="24"/>
                <w:lang w:eastAsia="en-GB"/>
              </w:rPr>
              <w:t>Notes:</w:t>
            </w:r>
          </w:p>
        </w:tc>
      </w:tr>
      <w:tr w:rsidR="00A72B9F" w:rsidRPr="002D3397" w14:paraId="48992EDE" w14:textId="77777777" w:rsidTr="0045054A">
        <w:trPr>
          <w:cantSplit/>
          <w:trHeight w:val="3766"/>
        </w:trPr>
        <w:tc>
          <w:tcPr>
            <w:tcW w:w="2268" w:type="dxa"/>
          </w:tcPr>
          <w:p w14:paraId="6E9A5C22" w14:textId="127B9DCB" w:rsidR="00A72B9F" w:rsidRPr="002D3397" w:rsidRDefault="00A72B9F" w:rsidP="0045054A">
            <w:pPr>
              <w:pStyle w:val="Bulletlist2"/>
              <w:numPr>
                <w:ilvl w:val="0"/>
                <w:numId w:val="0"/>
              </w:numPr>
              <w:spacing w:before="60" w:after="60" w:line="259" w:lineRule="auto"/>
              <w:rPr>
                <w:b/>
                <w:bCs/>
                <w:szCs w:val="24"/>
              </w:rPr>
            </w:pPr>
            <w:r w:rsidRPr="002D3397">
              <w:rPr>
                <w:szCs w:val="24"/>
                <w:lang w:eastAsia="en-GB"/>
              </w:rPr>
              <w:t>SSR-2/1</w:t>
            </w:r>
            <w:r w:rsidR="00653CC7" w:rsidRPr="002D3397">
              <w:rPr>
                <w:szCs w:val="24"/>
                <w:lang w:eastAsia="en-GB"/>
              </w:rPr>
              <w:t xml:space="preserve"> -</w:t>
            </w:r>
            <w:r w:rsidRPr="002D3397">
              <w:rPr>
                <w:szCs w:val="24"/>
                <w:lang w:eastAsia="en-GB"/>
              </w:rPr>
              <w:t xml:space="preserve"> Safety of Nuclear Power Plants: Design</w:t>
            </w:r>
            <w:r w:rsidR="0045054A">
              <w:rPr>
                <w:szCs w:val="24"/>
                <w:lang w:eastAsia="en-GB"/>
              </w:rPr>
              <w:t xml:space="preserve"> </w:t>
            </w:r>
            <w:sdt>
              <w:sdtPr>
                <w:rPr>
                  <w:szCs w:val="24"/>
                  <w:lang w:eastAsia="en-GB"/>
                </w:rPr>
                <w:id w:val="-929655382"/>
                <w:citation/>
              </w:sdtPr>
              <w:sdtContent>
                <w:r w:rsidR="00557C28" w:rsidRPr="002D3397">
                  <w:rPr>
                    <w:szCs w:val="24"/>
                    <w:lang w:eastAsia="en-GB"/>
                  </w:rPr>
                  <w:fldChar w:fldCharType="begin"/>
                </w:r>
                <w:r w:rsidR="0045054A">
                  <w:rPr>
                    <w:szCs w:val="24"/>
                    <w:lang w:eastAsia="en-GB"/>
                  </w:rPr>
                  <w:instrText xml:space="preserve">CITATION IAE \l 2057 </w:instrText>
                </w:r>
                <w:r w:rsidR="00557C28" w:rsidRPr="002D3397">
                  <w:rPr>
                    <w:szCs w:val="24"/>
                    <w:lang w:eastAsia="en-GB"/>
                  </w:rPr>
                  <w:fldChar w:fldCharType="separate"/>
                </w:r>
                <w:r w:rsidR="0045054A" w:rsidRPr="0045054A">
                  <w:rPr>
                    <w:szCs w:val="24"/>
                    <w:lang w:eastAsia="en-GB"/>
                  </w:rPr>
                  <w:t>[9]</w:t>
                </w:r>
                <w:r w:rsidR="00557C28" w:rsidRPr="002D3397">
                  <w:rPr>
                    <w:szCs w:val="24"/>
                    <w:lang w:eastAsia="en-GB"/>
                  </w:rPr>
                  <w:fldChar w:fldCharType="end"/>
                </w:r>
              </w:sdtContent>
            </w:sdt>
          </w:p>
        </w:tc>
        <w:tc>
          <w:tcPr>
            <w:tcW w:w="6095" w:type="dxa"/>
          </w:tcPr>
          <w:p w14:paraId="561A0557" w14:textId="37DDA049" w:rsidR="00A72B9F" w:rsidRPr="002D3397" w:rsidRDefault="00A72B9F" w:rsidP="002D3397">
            <w:pPr>
              <w:pStyle w:val="Bulletlist2"/>
              <w:numPr>
                <w:ilvl w:val="0"/>
                <w:numId w:val="0"/>
              </w:numPr>
              <w:spacing w:before="60" w:after="60" w:line="259" w:lineRule="auto"/>
              <w:rPr>
                <w:szCs w:val="24"/>
              </w:rPr>
            </w:pPr>
            <w:r w:rsidRPr="002D3397">
              <w:rPr>
                <w:b/>
                <w:bCs/>
                <w:szCs w:val="24"/>
              </w:rPr>
              <w:t>Requirement 29: Calibration, testing, maintenance, repair, replacement, inspection and monitoring of items important to safety:</w:t>
            </w:r>
            <w:r w:rsidRPr="002D3397">
              <w:rPr>
                <w:b/>
                <w:bCs/>
                <w:szCs w:val="24"/>
              </w:rPr>
              <w:br/>
            </w:r>
            <w:r w:rsidRPr="002D3397">
              <w:rPr>
                <w:szCs w:val="24"/>
              </w:rPr>
              <w:t>Items important to safety shall be designed to be calibrated, tested, maintained, repaired or replaced, inspected and monitored as required to ensure their capability of performing their functions and to maintain their integrity in all conditions specified in their design basis.</w:t>
            </w:r>
          </w:p>
          <w:p w14:paraId="1827C40F" w14:textId="5EAD433F" w:rsidR="00A72B9F" w:rsidRPr="002D3397" w:rsidRDefault="00A72B9F" w:rsidP="002D3397">
            <w:pPr>
              <w:pStyle w:val="Bulletlist2"/>
              <w:numPr>
                <w:ilvl w:val="0"/>
                <w:numId w:val="0"/>
              </w:numPr>
              <w:spacing w:before="60" w:after="60" w:line="259" w:lineRule="auto"/>
              <w:rPr>
                <w:szCs w:val="24"/>
              </w:rPr>
            </w:pPr>
            <w:r w:rsidRPr="002D3397">
              <w:rPr>
                <w:b/>
                <w:szCs w:val="24"/>
              </w:rPr>
              <w:t>Requirement 31: Ageing management:</w:t>
            </w:r>
            <w:r w:rsidRPr="002D3397">
              <w:rPr>
                <w:szCs w:val="24"/>
              </w:rPr>
              <w:t xml:space="preserve"> </w:t>
            </w:r>
            <w:r w:rsidRPr="002D3397">
              <w:rPr>
                <w:szCs w:val="24"/>
              </w:rPr>
              <w:br/>
              <w:t>The design life of items important to safety shall be determined. Appropriate margins shall be provided in the design to take due account of relevant mechanisms of ageing, neutron embrittlement and wearout and of the potential for age related degradation, to ensure the capability of items important to safety to perform their necessary safety functions throughout their design life</w:t>
            </w:r>
          </w:p>
        </w:tc>
      </w:tr>
      <w:tr w:rsidR="00653CC7" w:rsidRPr="002D3397" w14:paraId="754A56D7" w14:textId="77777777" w:rsidTr="0045054A">
        <w:trPr>
          <w:cantSplit/>
          <w:trHeight w:val="3254"/>
        </w:trPr>
        <w:tc>
          <w:tcPr>
            <w:tcW w:w="2268" w:type="dxa"/>
          </w:tcPr>
          <w:p w14:paraId="71D651F8" w14:textId="54E53AED" w:rsidR="00653CC7" w:rsidRPr="002D3397" w:rsidRDefault="00653CC7" w:rsidP="0045054A">
            <w:pPr>
              <w:pStyle w:val="Bulletlist1"/>
              <w:numPr>
                <w:ilvl w:val="0"/>
                <w:numId w:val="0"/>
              </w:numPr>
              <w:spacing w:before="60" w:after="60" w:line="259" w:lineRule="auto"/>
              <w:rPr>
                <w:szCs w:val="24"/>
                <w:lang w:eastAsia="en-GB"/>
              </w:rPr>
            </w:pPr>
            <w:r w:rsidRPr="002D3397">
              <w:rPr>
                <w:szCs w:val="24"/>
                <w:lang w:eastAsia="en-GB"/>
              </w:rPr>
              <w:t xml:space="preserve">SSR-2/2 - </w:t>
            </w:r>
            <w:r w:rsidRPr="002D3397">
              <w:rPr>
                <w:szCs w:val="24"/>
              </w:rPr>
              <w:t>Safety of Nuclear Power Plants: Commissioning and Operation</w:t>
            </w:r>
            <w:r w:rsidR="0045054A">
              <w:rPr>
                <w:szCs w:val="24"/>
              </w:rPr>
              <w:t xml:space="preserve"> </w:t>
            </w:r>
            <w:sdt>
              <w:sdtPr>
                <w:rPr>
                  <w:szCs w:val="24"/>
                </w:rPr>
                <w:id w:val="-380092856"/>
                <w:citation/>
              </w:sdtPr>
              <w:sdtContent>
                <w:r w:rsidR="00557C28" w:rsidRPr="002D3397">
                  <w:rPr>
                    <w:szCs w:val="24"/>
                  </w:rPr>
                  <w:fldChar w:fldCharType="begin"/>
                </w:r>
                <w:r w:rsidR="0045054A">
                  <w:rPr>
                    <w:szCs w:val="24"/>
                  </w:rPr>
                  <w:instrText xml:space="preserve">CITATION IAE1 \l 2057 </w:instrText>
                </w:r>
                <w:r w:rsidR="00557C28" w:rsidRPr="002D3397">
                  <w:rPr>
                    <w:szCs w:val="24"/>
                  </w:rPr>
                  <w:fldChar w:fldCharType="separate"/>
                </w:r>
                <w:r w:rsidR="0045054A" w:rsidRPr="0045054A">
                  <w:rPr>
                    <w:szCs w:val="24"/>
                  </w:rPr>
                  <w:t>[10]</w:t>
                </w:r>
                <w:r w:rsidR="00557C28" w:rsidRPr="002D3397">
                  <w:rPr>
                    <w:szCs w:val="24"/>
                  </w:rPr>
                  <w:fldChar w:fldCharType="end"/>
                </w:r>
              </w:sdtContent>
            </w:sdt>
          </w:p>
        </w:tc>
        <w:tc>
          <w:tcPr>
            <w:tcW w:w="6095" w:type="dxa"/>
          </w:tcPr>
          <w:p w14:paraId="58C9FC3A" w14:textId="77777777" w:rsidR="00653CC7" w:rsidRPr="002D3397" w:rsidRDefault="00653CC7" w:rsidP="002D3397">
            <w:pPr>
              <w:pStyle w:val="Bulletlist1"/>
              <w:numPr>
                <w:ilvl w:val="0"/>
                <w:numId w:val="0"/>
              </w:numPr>
              <w:spacing w:before="60" w:after="60" w:line="259" w:lineRule="auto"/>
              <w:rPr>
                <w:szCs w:val="24"/>
              </w:rPr>
            </w:pPr>
            <w:r w:rsidRPr="002D3397">
              <w:rPr>
                <w:b/>
                <w:bCs w:val="0"/>
                <w:szCs w:val="24"/>
              </w:rPr>
              <w:t>Requirement 13: Equipment qualification</w:t>
            </w:r>
            <w:r w:rsidRPr="002D3397">
              <w:rPr>
                <w:szCs w:val="24"/>
              </w:rPr>
              <w:t xml:space="preserve"> </w:t>
            </w:r>
            <w:r w:rsidRPr="002D3397">
              <w:rPr>
                <w:szCs w:val="24"/>
              </w:rPr>
              <w:br/>
              <w:t>The operating organization shall ensure that a systematic assessment is carried out to provide reliable confirmation that safety related items are capable of the required performance for all operational states and for accident conditions.</w:t>
            </w:r>
          </w:p>
          <w:p w14:paraId="4613810B" w14:textId="57DE1B8E" w:rsidR="00653CC7" w:rsidRPr="002D3397" w:rsidRDefault="00653CC7" w:rsidP="002D3397">
            <w:pPr>
              <w:pStyle w:val="Bulletlist2"/>
              <w:numPr>
                <w:ilvl w:val="0"/>
                <w:numId w:val="0"/>
              </w:numPr>
              <w:spacing w:before="60" w:after="60" w:line="259" w:lineRule="auto"/>
              <w:rPr>
                <w:b/>
                <w:bCs/>
                <w:szCs w:val="24"/>
              </w:rPr>
            </w:pPr>
            <w:r w:rsidRPr="002D3397">
              <w:rPr>
                <w:b/>
                <w:szCs w:val="24"/>
              </w:rPr>
              <w:t>Requirement 31: Maintenance, testing, surveillance and inspection programmes</w:t>
            </w:r>
            <w:r w:rsidRPr="002D3397">
              <w:rPr>
                <w:szCs w:val="24"/>
              </w:rPr>
              <w:t xml:space="preserve"> </w:t>
            </w:r>
            <w:r w:rsidRPr="002D3397">
              <w:rPr>
                <w:b/>
                <w:bCs/>
                <w:szCs w:val="24"/>
              </w:rPr>
              <w:br/>
            </w:r>
            <w:r w:rsidRPr="002D3397">
              <w:rPr>
                <w:szCs w:val="24"/>
              </w:rPr>
              <w:t>The operating organization shall ensure that effective programmes for maintenance, testing, surveillance and inspection are established and implemented</w:t>
            </w:r>
          </w:p>
        </w:tc>
      </w:tr>
      <w:tr w:rsidR="00F73049" w:rsidRPr="002D3397" w14:paraId="70A1B72F" w14:textId="77777777" w:rsidTr="0045054A">
        <w:trPr>
          <w:cantSplit/>
        </w:trPr>
        <w:tc>
          <w:tcPr>
            <w:tcW w:w="2268" w:type="dxa"/>
          </w:tcPr>
          <w:p w14:paraId="63FDBD90" w14:textId="1AB1FA29" w:rsidR="00F73049" w:rsidRPr="002D3397" w:rsidRDefault="00F73049" w:rsidP="002D3397">
            <w:pPr>
              <w:pStyle w:val="Bulletlist1"/>
              <w:numPr>
                <w:ilvl w:val="0"/>
                <w:numId w:val="0"/>
              </w:numPr>
              <w:spacing w:before="60" w:after="60" w:line="259" w:lineRule="auto"/>
              <w:rPr>
                <w:szCs w:val="24"/>
                <w:lang w:eastAsia="en-GB"/>
              </w:rPr>
            </w:pPr>
            <w:r w:rsidRPr="002D3397">
              <w:rPr>
                <w:szCs w:val="24"/>
                <w:lang w:eastAsia="en-GB"/>
              </w:rPr>
              <w:t>SSG-28 – Commissioning for Nuclear Power Plants</w:t>
            </w:r>
            <w:sdt>
              <w:sdtPr>
                <w:rPr>
                  <w:szCs w:val="24"/>
                  <w:lang w:eastAsia="en-GB"/>
                </w:rPr>
                <w:id w:val="-709487509"/>
                <w:citation/>
              </w:sdtPr>
              <w:sdtContent>
                <w:r w:rsidRPr="002D3397">
                  <w:rPr>
                    <w:szCs w:val="24"/>
                    <w:lang w:eastAsia="en-GB"/>
                  </w:rPr>
                  <w:fldChar w:fldCharType="begin"/>
                </w:r>
                <w:r w:rsidR="0045054A">
                  <w:rPr>
                    <w:szCs w:val="24"/>
                    <w:lang w:eastAsia="en-GB"/>
                  </w:rPr>
                  <w:instrText xml:space="preserve">CITATION IAE3 \l 2057 </w:instrText>
                </w:r>
                <w:r w:rsidRPr="002D3397">
                  <w:rPr>
                    <w:szCs w:val="24"/>
                    <w:lang w:eastAsia="en-GB"/>
                  </w:rPr>
                  <w:fldChar w:fldCharType="separate"/>
                </w:r>
                <w:r w:rsidR="0045054A">
                  <w:rPr>
                    <w:szCs w:val="24"/>
                    <w:lang w:eastAsia="en-GB"/>
                  </w:rPr>
                  <w:t xml:space="preserve"> </w:t>
                </w:r>
                <w:r w:rsidR="0045054A" w:rsidRPr="0045054A">
                  <w:rPr>
                    <w:szCs w:val="24"/>
                    <w:lang w:eastAsia="en-GB"/>
                  </w:rPr>
                  <w:t>[11]</w:t>
                </w:r>
                <w:r w:rsidRPr="002D3397">
                  <w:rPr>
                    <w:szCs w:val="24"/>
                    <w:lang w:eastAsia="en-GB"/>
                  </w:rPr>
                  <w:fldChar w:fldCharType="end"/>
                </w:r>
              </w:sdtContent>
            </w:sdt>
          </w:p>
        </w:tc>
        <w:tc>
          <w:tcPr>
            <w:tcW w:w="6095" w:type="dxa"/>
          </w:tcPr>
          <w:p w14:paraId="185E319B" w14:textId="751D4945" w:rsidR="00F73049" w:rsidRPr="002D3397" w:rsidRDefault="00F73049" w:rsidP="002D3397">
            <w:pPr>
              <w:pStyle w:val="Bulletlist1"/>
              <w:numPr>
                <w:ilvl w:val="0"/>
                <w:numId w:val="0"/>
              </w:numPr>
              <w:spacing w:before="60" w:after="60" w:line="259" w:lineRule="auto"/>
              <w:rPr>
                <w:szCs w:val="24"/>
              </w:rPr>
            </w:pPr>
            <w:r w:rsidRPr="002D3397">
              <w:rPr>
                <w:szCs w:val="24"/>
              </w:rPr>
              <w:t>From construction to commissioning and finally to operation, the plant should be adequately monitored and maintained. The plant should be subject to the required inspection and periodic testing in order to protect equipment, to support the testing stage and to continue to comply with the safety analysis report and operational limits and conditions.</w:t>
            </w:r>
          </w:p>
        </w:tc>
      </w:tr>
      <w:tr w:rsidR="00FA7F38" w:rsidRPr="002D3397" w14:paraId="4EBF9E4D" w14:textId="77777777" w:rsidTr="0045054A">
        <w:trPr>
          <w:cantSplit/>
        </w:trPr>
        <w:tc>
          <w:tcPr>
            <w:tcW w:w="2268" w:type="dxa"/>
          </w:tcPr>
          <w:p w14:paraId="060FA030" w14:textId="546BA3F6" w:rsidR="00F73049" w:rsidRPr="002D3397" w:rsidRDefault="000A4B2D" w:rsidP="002D3397">
            <w:pPr>
              <w:pStyle w:val="Bulletlist1"/>
              <w:numPr>
                <w:ilvl w:val="0"/>
                <w:numId w:val="0"/>
              </w:numPr>
              <w:spacing w:before="60" w:after="60" w:line="259" w:lineRule="auto"/>
              <w:rPr>
                <w:szCs w:val="24"/>
                <w:lang w:eastAsia="en-GB"/>
              </w:rPr>
            </w:pPr>
            <w:r w:rsidRPr="002D3397">
              <w:rPr>
                <w:szCs w:val="24"/>
                <w:lang w:eastAsia="en-GB"/>
              </w:rPr>
              <w:lastRenderedPageBreak/>
              <w:t>SS</w:t>
            </w:r>
            <w:r w:rsidR="00F73049" w:rsidRPr="002D3397">
              <w:rPr>
                <w:szCs w:val="24"/>
                <w:lang w:eastAsia="en-GB"/>
              </w:rPr>
              <w:t>G</w:t>
            </w:r>
            <w:r w:rsidRPr="002D3397">
              <w:rPr>
                <w:szCs w:val="24"/>
                <w:lang w:eastAsia="en-GB"/>
              </w:rPr>
              <w:t>-74:</w:t>
            </w:r>
            <w:r w:rsidR="00FA7F38" w:rsidRPr="002D3397">
              <w:rPr>
                <w:szCs w:val="24"/>
                <w:lang w:eastAsia="en-GB"/>
              </w:rPr>
              <w:t xml:space="preserve"> Maintenance, </w:t>
            </w:r>
            <w:r w:rsidR="0040433D" w:rsidRPr="002D3397">
              <w:rPr>
                <w:szCs w:val="24"/>
                <w:lang w:eastAsia="en-GB"/>
              </w:rPr>
              <w:t xml:space="preserve">Testing, </w:t>
            </w:r>
            <w:r w:rsidR="00FA7F38" w:rsidRPr="002D3397">
              <w:rPr>
                <w:szCs w:val="24"/>
                <w:lang w:eastAsia="en-GB"/>
              </w:rPr>
              <w:t>Surveillance and In-Service Inspection in Nuclear Power Plant</w:t>
            </w:r>
            <w:r w:rsidR="00F73049" w:rsidRPr="002D3397">
              <w:rPr>
                <w:szCs w:val="24"/>
                <w:lang w:eastAsia="en-GB"/>
              </w:rPr>
              <w:t>s</w:t>
            </w:r>
            <w:sdt>
              <w:sdtPr>
                <w:rPr>
                  <w:szCs w:val="24"/>
                  <w:lang w:eastAsia="en-GB"/>
                </w:rPr>
                <w:id w:val="174843836"/>
                <w:citation/>
              </w:sdtPr>
              <w:sdtContent>
                <w:r w:rsidR="00F73049" w:rsidRPr="002D3397">
                  <w:rPr>
                    <w:szCs w:val="24"/>
                    <w:lang w:eastAsia="en-GB"/>
                  </w:rPr>
                  <w:fldChar w:fldCharType="begin"/>
                </w:r>
                <w:r w:rsidR="0045054A">
                  <w:rPr>
                    <w:szCs w:val="24"/>
                    <w:lang w:eastAsia="en-GB"/>
                  </w:rPr>
                  <w:instrText xml:space="preserve">CITATION IAE2 \l 2057 </w:instrText>
                </w:r>
                <w:r w:rsidR="00F73049" w:rsidRPr="002D3397">
                  <w:rPr>
                    <w:szCs w:val="24"/>
                    <w:lang w:eastAsia="en-GB"/>
                  </w:rPr>
                  <w:fldChar w:fldCharType="separate"/>
                </w:r>
                <w:r w:rsidR="0045054A">
                  <w:rPr>
                    <w:szCs w:val="24"/>
                    <w:lang w:eastAsia="en-GB"/>
                  </w:rPr>
                  <w:t xml:space="preserve"> </w:t>
                </w:r>
                <w:r w:rsidR="0045054A" w:rsidRPr="0045054A">
                  <w:rPr>
                    <w:szCs w:val="24"/>
                    <w:lang w:eastAsia="en-GB"/>
                  </w:rPr>
                  <w:t>[12]</w:t>
                </w:r>
                <w:r w:rsidR="00F73049" w:rsidRPr="002D3397">
                  <w:rPr>
                    <w:szCs w:val="24"/>
                    <w:lang w:eastAsia="en-GB"/>
                  </w:rPr>
                  <w:fldChar w:fldCharType="end"/>
                </w:r>
              </w:sdtContent>
            </w:sdt>
          </w:p>
        </w:tc>
        <w:tc>
          <w:tcPr>
            <w:tcW w:w="6095" w:type="dxa"/>
          </w:tcPr>
          <w:p w14:paraId="2478D227" w14:textId="77777777" w:rsidR="005D15FF" w:rsidRPr="002D3397" w:rsidRDefault="005D15FF" w:rsidP="002D3397">
            <w:pPr>
              <w:pStyle w:val="Bulletlist1"/>
              <w:numPr>
                <w:ilvl w:val="0"/>
                <w:numId w:val="0"/>
              </w:numPr>
              <w:spacing w:before="60" w:after="60" w:line="259" w:lineRule="auto"/>
              <w:rPr>
                <w:szCs w:val="24"/>
              </w:rPr>
            </w:pPr>
            <w:r w:rsidRPr="002D3397">
              <w:rPr>
                <w:szCs w:val="24"/>
              </w:rPr>
              <w:t>This Safety Guide covers:</w:t>
            </w:r>
          </w:p>
          <w:p w14:paraId="5287ED47" w14:textId="77777777" w:rsidR="005D15FF" w:rsidRPr="002D3397" w:rsidRDefault="005D15FF" w:rsidP="0045054A">
            <w:pPr>
              <w:pStyle w:val="Bulletlist1"/>
              <w:spacing w:before="60" w:after="60" w:line="259" w:lineRule="auto"/>
              <w:ind w:left="462"/>
              <w:rPr>
                <w:szCs w:val="24"/>
              </w:rPr>
            </w:pPr>
            <w:r w:rsidRPr="002D3397">
              <w:rPr>
                <w:szCs w:val="24"/>
              </w:rPr>
              <w:t>the establishment and implementation of preventive and corrective maintenance programmes;</w:t>
            </w:r>
          </w:p>
          <w:p w14:paraId="4611721D" w14:textId="00DEB101" w:rsidR="005D15FF" w:rsidRPr="002D3397" w:rsidRDefault="005D15FF" w:rsidP="0045054A">
            <w:pPr>
              <w:pStyle w:val="Bulletlist1"/>
              <w:spacing w:before="60" w:after="60" w:line="259" w:lineRule="auto"/>
              <w:ind w:left="462"/>
              <w:rPr>
                <w:szCs w:val="24"/>
              </w:rPr>
            </w:pPr>
            <w:r w:rsidRPr="002D3397">
              <w:rPr>
                <w:szCs w:val="24"/>
              </w:rPr>
              <w:t>testing;</w:t>
            </w:r>
          </w:p>
          <w:p w14:paraId="0CE35368" w14:textId="2426BFD2" w:rsidR="005D15FF" w:rsidRPr="002D3397" w:rsidRDefault="005D15FF" w:rsidP="0045054A">
            <w:pPr>
              <w:pStyle w:val="Bulletlist1"/>
              <w:spacing w:before="60" w:after="60" w:line="259" w:lineRule="auto"/>
              <w:ind w:left="462"/>
              <w:rPr>
                <w:szCs w:val="24"/>
              </w:rPr>
            </w:pPr>
            <w:r w:rsidRPr="002D3397">
              <w:rPr>
                <w:szCs w:val="24"/>
              </w:rPr>
              <w:t>surveillance;</w:t>
            </w:r>
          </w:p>
          <w:p w14:paraId="4BD88A4F" w14:textId="77777777" w:rsidR="005D15FF" w:rsidRPr="002D3397" w:rsidRDefault="005D15FF" w:rsidP="0045054A">
            <w:pPr>
              <w:pStyle w:val="Bulletlist1"/>
              <w:spacing w:before="60" w:after="60" w:line="259" w:lineRule="auto"/>
              <w:ind w:left="462"/>
              <w:rPr>
                <w:szCs w:val="24"/>
              </w:rPr>
            </w:pPr>
            <w:r w:rsidRPr="002D3397">
              <w:rPr>
                <w:szCs w:val="24"/>
              </w:rPr>
              <w:t xml:space="preserve">inspection; </w:t>
            </w:r>
          </w:p>
          <w:p w14:paraId="2C66FE29" w14:textId="77777777" w:rsidR="005D15FF" w:rsidRPr="002D3397" w:rsidRDefault="005D15FF" w:rsidP="0045054A">
            <w:pPr>
              <w:pStyle w:val="Bulletlist1"/>
              <w:spacing w:before="60" w:after="60" w:line="259" w:lineRule="auto"/>
              <w:ind w:left="462"/>
              <w:rPr>
                <w:szCs w:val="24"/>
              </w:rPr>
            </w:pPr>
            <w:r w:rsidRPr="002D3397">
              <w:rPr>
                <w:szCs w:val="24"/>
              </w:rPr>
              <w:t>the repair of defective plant equipment;</w:t>
            </w:r>
          </w:p>
          <w:p w14:paraId="4CBEEE88" w14:textId="77777777" w:rsidR="005D15FF" w:rsidRPr="002D3397" w:rsidRDefault="005D15FF" w:rsidP="0045054A">
            <w:pPr>
              <w:pStyle w:val="Bulletlist1"/>
              <w:spacing w:before="60" w:after="60" w:line="259" w:lineRule="auto"/>
              <w:ind w:left="462"/>
              <w:rPr>
                <w:szCs w:val="24"/>
              </w:rPr>
            </w:pPr>
            <w:r w:rsidRPr="002D3397">
              <w:rPr>
                <w:szCs w:val="24"/>
              </w:rPr>
              <w:t>the provision of related facilities and equipment;</w:t>
            </w:r>
          </w:p>
          <w:p w14:paraId="12547986" w14:textId="77777777" w:rsidR="005D15FF" w:rsidRPr="002D3397" w:rsidRDefault="005D15FF" w:rsidP="0045054A">
            <w:pPr>
              <w:pStyle w:val="Bulletlist1"/>
              <w:spacing w:before="60" w:after="60" w:line="259" w:lineRule="auto"/>
              <w:ind w:left="462"/>
              <w:rPr>
                <w:szCs w:val="24"/>
              </w:rPr>
            </w:pPr>
            <w:r w:rsidRPr="002D3397">
              <w:rPr>
                <w:szCs w:val="24"/>
              </w:rPr>
              <w:t>procurement; and</w:t>
            </w:r>
          </w:p>
          <w:p w14:paraId="2B587EE2" w14:textId="04747B0A" w:rsidR="005D15FF" w:rsidRPr="002D3397" w:rsidRDefault="005D15FF" w:rsidP="0045054A">
            <w:pPr>
              <w:pStyle w:val="Bulletlist1"/>
              <w:spacing w:before="60" w:after="60" w:line="259" w:lineRule="auto"/>
              <w:ind w:left="462"/>
              <w:rPr>
                <w:szCs w:val="24"/>
              </w:rPr>
            </w:pPr>
            <w:r w:rsidRPr="002D3397">
              <w:rPr>
                <w:szCs w:val="24"/>
              </w:rPr>
              <w:t>generating and retaining records of maintenance activities</w:t>
            </w:r>
            <w:r w:rsidR="00596397" w:rsidRPr="002D3397">
              <w:rPr>
                <w:szCs w:val="24"/>
              </w:rPr>
              <w:t>.</w:t>
            </w:r>
          </w:p>
          <w:p w14:paraId="76845BB8" w14:textId="280683D5" w:rsidR="00FA7F38" w:rsidRPr="002D3397" w:rsidRDefault="00D935B5" w:rsidP="002D3397">
            <w:pPr>
              <w:pStyle w:val="Bulletlist1"/>
              <w:numPr>
                <w:ilvl w:val="0"/>
                <w:numId w:val="0"/>
              </w:numPr>
              <w:spacing w:before="60" w:after="60" w:line="259" w:lineRule="auto"/>
              <w:rPr>
                <w:szCs w:val="24"/>
                <w:lang w:eastAsia="en-GB"/>
              </w:rPr>
            </w:pPr>
            <w:r w:rsidRPr="002D3397">
              <w:rPr>
                <w:szCs w:val="24"/>
              </w:rPr>
              <w:t>The maintenance programme for a nuclear power plant should include all the administrative and technical measures that are necessary to detect and mitigate the degradation of a functioning SSC or to restore to an acceptable level the performance of design functions of a failed SSC</w:t>
            </w:r>
            <w:r w:rsidR="00596397" w:rsidRPr="002D3397">
              <w:rPr>
                <w:szCs w:val="24"/>
              </w:rPr>
              <w:t>.</w:t>
            </w:r>
          </w:p>
        </w:tc>
      </w:tr>
    </w:tbl>
    <w:p w14:paraId="601AAB61" w14:textId="1387207E" w:rsidR="00D92104" w:rsidRPr="005141CA" w:rsidRDefault="004B67E9" w:rsidP="005141CA">
      <w:pPr>
        <w:spacing w:after="0" w:line="240" w:lineRule="auto"/>
        <w:rPr>
          <w:rFonts w:eastAsia="Times New Roman"/>
          <w:szCs w:val="24"/>
          <w:lang w:bidi="ar-SA"/>
        </w:rPr>
      </w:pPr>
      <w:r>
        <w:br w:type="page"/>
      </w:r>
    </w:p>
    <w:p w14:paraId="5255232C" w14:textId="00460917" w:rsidR="00F7687C" w:rsidRDefault="00F7687C" w:rsidP="005B4063">
      <w:pPr>
        <w:pStyle w:val="Heading1"/>
      </w:pPr>
      <w:bookmarkStart w:id="379" w:name="_Toc131084146"/>
      <w:bookmarkStart w:id="380" w:name="_Toc133310814"/>
      <w:bookmarkStart w:id="381" w:name="_Toc133312425"/>
      <w:bookmarkStart w:id="382" w:name="_Toc133312439"/>
      <w:bookmarkStart w:id="383" w:name="_Toc133312487"/>
      <w:bookmarkStart w:id="384" w:name="_Toc133312517"/>
      <w:bookmarkStart w:id="385" w:name="_Toc149138074"/>
      <w:bookmarkStart w:id="386" w:name="_Toc149215810"/>
      <w:bookmarkStart w:id="387" w:name="_Toc149226786"/>
      <w:bookmarkStart w:id="388" w:name="_Ref133315313"/>
      <w:bookmarkStart w:id="389" w:name="_Ref133315325"/>
      <w:bookmarkStart w:id="390" w:name="_Ref133315333"/>
      <w:bookmarkStart w:id="391" w:name="_Ref133315348"/>
      <w:bookmarkStart w:id="392" w:name="_Ref133315352"/>
      <w:bookmarkStart w:id="393" w:name="_Ref133315356"/>
      <w:bookmarkStart w:id="394" w:name="_Toc224840103"/>
      <w:bookmarkEnd w:id="379"/>
      <w:bookmarkEnd w:id="380"/>
      <w:bookmarkEnd w:id="381"/>
      <w:bookmarkEnd w:id="382"/>
      <w:bookmarkEnd w:id="383"/>
      <w:bookmarkEnd w:id="384"/>
      <w:bookmarkEnd w:id="385"/>
      <w:bookmarkEnd w:id="386"/>
      <w:bookmarkEnd w:id="387"/>
      <w:r>
        <w:lastRenderedPageBreak/>
        <w:t xml:space="preserve">Advice to </w:t>
      </w:r>
      <w:r w:rsidR="002D3397">
        <w:t>i</w:t>
      </w:r>
      <w:r>
        <w:t>nspectors</w:t>
      </w:r>
      <w:bookmarkEnd w:id="388"/>
      <w:bookmarkEnd w:id="389"/>
      <w:bookmarkEnd w:id="390"/>
      <w:bookmarkEnd w:id="391"/>
      <w:bookmarkEnd w:id="392"/>
      <w:bookmarkEnd w:id="393"/>
      <w:bookmarkEnd w:id="394"/>
    </w:p>
    <w:p w14:paraId="44877866" w14:textId="6C8886C0" w:rsidR="005B4063" w:rsidRPr="005B4063" w:rsidRDefault="00584F6E" w:rsidP="005141CA">
      <w:pPr>
        <w:pStyle w:val="Heading2"/>
        <w:rPr>
          <w:lang w:eastAsia="en-GB"/>
        </w:rPr>
      </w:pPr>
      <w:r>
        <w:rPr>
          <w:lang w:eastAsia="en-GB"/>
        </w:rPr>
        <w:t xml:space="preserve">EIMT </w:t>
      </w:r>
      <w:r w:rsidR="002D3397">
        <w:rPr>
          <w:lang w:eastAsia="en-GB"/>
        </w:rPr>
        <w:t>f</w:t>
      </w:r>
      <w:r w:rsidR="005B4063" w:rsidRPr="005B4063">
        <w:rPr>
          <w:lang w:eastAsia="en-GB"/>
        </w:rPr>
        <w:t>undamentals</w:t>
      </w:r>
    </w:p>
    <w:p w14:paraId="78A8748C" w14:textId="7AC8863A" w:rsidR="005B4063" w:rsidRPr="00EA01BD" w:rsidRDefault="006B1237" w:rsidP="008B1C1E">
      <w:pPr>
        <w:pStyle w:val="F9-Paragraph"/>
        <w:rPr>
          <w:rFonts w:eastAsia="Calibri"/>
        </w:rPr>
      </w:pPr>
      <w:r w:rsidRPr="00EA01BD">
        <w:rPr>
          <w:rFonts w:eastAsia="Calibri"/>
        </w:rPr>
        <w:t>EIMT requirements and how often they are carried out should be clearly set out in the safety case, considering any reliability claims. These requirements must be traceable from the safety case, through the Plant Maintenance Schedule, to the Maintenance Instructions.</w:t>
      </w:r>
    </w:p>
    <w:p w14:paraId="718C0476" w14:textId="38D454B2" w:rsidR="005B4063" w:rsidRPr="005B4063" w:rsidRDefault="005B4063" w:rsidP="00F60D5D">
      <w:pPr>
        <w:pStyle w:val="Heading3"/>
        <w:rPr>
          <w:lang w:eastAsia="en-GB"/>
        </w:rPr>
      </w:pPr>
      <w:r w:rsidRPr="005B4063">
        <w:rPr>
          <w:lang w:eastAsia="en-GB"/>
        </w:rPr>
        <w:t xml:space="preserve">Background to </w:t>
      </w:r>
      <w:r w:rsidR="002D3397">
        <w:rPr>
          <w:lang w:eastAsia="en-GB"/>
        </w:rPr>
        <w:t>n</w:t>
      </w:r>
      <w:r w:rsidRPr="005B4063">
        <w:rPr>
          <w:lang w:eastAsia="en-GB"/>
        </w:rPr>
        <w:t xml:space="preserve">uclear </w:t>
      </w:r>
      <w:r w:rsidR="002D3397">
        <w:rPr>
          <w:lang w:eastAsia="en-GB"/>
        </w:rPr>
        <w:t>i</w:t>
      </w:r>
      <w:r w:rsidRPr="005B4063">
        <w:rPr>
          <w:lang w:eastAsia="en-GB"/>
        </w:rPr>
        <w:t xml:space="preserve">ndustry </w:t>
      </w:r>
      <w:r w:rsidR="005764C8">
        <w:rPr>
          <w:lang w:eastAsia="en-GB"/>
        </w:rPr>
        <w:t>EIMT</w:t>
      </w:r>
      <w:r w:rsidRPr="005B4063">
        <w:rPr>
          <w:lang w:eastAsia="en-GB"/>
        </w:rPr>
        <w:t xml:space="preserve"> </w:t>
      </w:r>
      <w:r w:rsidR="002D3397">
        <w:rPr>
          <w:lang w:eastAsia="en-GB"/>
        </w:rPr>
        <w:t>p</w:t>
      </w:r>
      <w:r w:rsidRPr="005B4063">
        <w:rPr>
          <w:lang w:eastAsia="en-GB"/>
        </w:rPr>
        <w:t xml:space="preserve">ractices and </w:t>
      </w:r>
      <w:r w:rsidR="002D3397">
        <w:rPr>
          <w:lang w:eastAsia="en-GB"/>
        </w:rPr>
        <w:t>o</w:t>
      </w:r>
      <w:r w:rsidRPr="005B4063">
        <w:rPr>
          <w:lang w:eastAsia="en-GB"/>
        </w:rPr>
        <w:t xml:space="preserve">perational </w:t>
      </w:r>
      <w:r w:rsidR="002D3397">
        <w:rPr>
          <w:lang w:eastAsia="en-GB"/>
        </w:rPr>
        <w:t>e</w:t>
      </w:r>
      <w:r w:rsidRPr="005B4063">
        <w:rPr>
          <w:lang w:eastAsia="en-GB"/>
        </w:rPr>
        <w:t>xperience</w:t>
      </w:r>
    </w:p>
    <w:p w14:paraId="56C1A4ED" w14:textId="1B34AA13" w:rsidR="006B1237" w:rsidRDefault="006B1237" w:rsidP="00EA01BD">
      <w:pPr>
        <w:pStyle w:val="F9-Paragraph"/>
      </w:pPr>
      <w:r w:rsidRPr="00EA01BD">
        <w:rPr>
          <w:rFonts w:eastAsia="Calibri"/>
        </w:rPr>
        <w:t xml:space="preserve">When assessing nuclear safety documents on EIMT submitted to ONR, it is important to understand how these processes have developed. </w:t>
      </w:r>
      <w:r w:rsidR="003F768C">
        <w:rPr>
          <w:rFonts w:eastAsia="Calibri"/>
        </w:rPr>
        <w:br/>
      </w:r>
      <w:r w:rsidRPr="00EA01BD">
        <w:rPr>
          <w:rFonts w:eastAsia="Calibri"/>
        </w:rPr>
        <w:t>EIMT practices in the nuclear industry have advanced over time, starting from a stage with no operational experience. Progress in facility development, research and development, pilot schemes, and operational experience have all improved both nuclear safety and EIMT practices.</w:t>
      </w:r>
    </w:p>
    <w:p w14:paraId="58F46BBF" w14:textId="344533C5" w:rsidR="00135E8E" w:rsidRPr="00EA01BD" w:rsidRDefault="006B1237" w:rsidP="008B1C1E">
      <w:pPr>
        <w:pStyle w:val="F9-Paragraph"/>
        <w:rPr>
          <w:rFonts w:eastAsia="Calibri"/>
        </w:rPr>
      </w:pPr>
      <w:r w:rsidRPr="006B1237">
        <w:t>New design features, changes to existing sites, and new facilities are likely to arise. These should be supported by R&amp;D and pilot testing before they are used in operations. Testing, inspection and examination must be carried out during installation, commissioning, and operation</w:t>
      </w:r>
      <w:r w:rsidR="002D3397">
        <w:t xml:space="preserve"> - </w:t>
      </w:r>
      <w:r w:rsidRPr="006B1237">
        <w:t>alongside maintenance</w:t>
      </w:r>
      <w:r w:rsidR="002D3397">
        <w:t xml:space="preserve"> -</w:t>
      </w:r>
      <w:r w:rsidRPr="006B1237">
        <w:t>to ensure safety. ONR typically expects sound engineering or new approaches to be supported by R&amp;D, tested before use, and monitored during service to confirm safety.</w:t>
      </w:r>
    </w:p>
    <w:p w14:paraId="4D8DFECD" w14:textId="60BAE679" w:rsidR="005B4063" w:rsidRPr="005B4063" w:rsidRDefault="002D3397" w:rsidP="005141CA">
      <w:pPr>
        <w:pStyle w:val="Heading2"/>
        <w:rPr>
          <w:lang w:eastAsia="en-GB"/>
        </w:rPr>
      </w:pPr>
      <w:r>
        <w:rPr>
          <w:lang w:eastAsia="en-GB"/>
        </w:rPr>
        <w:t>EIMT</w:t>
      </w:r>
      <w:r w:rsidR="005B4063" w:rsidRPr="005B4063">
        <w:rPr>
          <w:lang w:eastAsia="en-GB"/>
        </w:rPr>
        <w:t xml:space="preserve"> through </w:t>
      </w:r>
      <w:r>
        <w:rPr>
          <w:lang w:eastAsia="en-GB"/>
        </w:rPr>
        <w:t>f</w:t>
      </w:r>
      <w:r w:rsidR="005B4063" w:rsidRPr="005B4063">
        <w:rPr>
          <w:lang w:eastAsia="en-GB"/>
        </w:rPr>
        <w:t xml:space="preserve">acility </w:t>
      </w:r>
      <w:r>
        <w:rPr>
          <w:lang w:eastAsia="en-GB"/>
        </w:rPr>
        <w:t>l</w:t>
      </w:r>
      <w:r w:rsidR="005B4063" w:rsidRPr="005B4063">
        <w:rPr>
          <w:lang w:eastAsia="en-GB"/>
        </w:rPr>
        <w:t>ife</w:t>
      </w:r>
    </w:p>
    <w:p w14:paraId="63DC34F7" w14:textId="288B72F3" w:rsidR="00145BEC" w:rsidRDefault="00145BEC" w:rsidP="00EA01BD">
      <w:pPr>
        <w:pStyle w:val="F9-Paragraph"/>
      </w:pPr>
      <w:r w:rsidRPr="00EA01BD">
        <w:rPr>
          <w:rFonts w:eastAsia="Calibri"/>
        </w:rPr>
        <w:t>EIMT applies throughout a nuclear facility’s entire life cycle, from creation to decommissioning. The focus and regulatory requirements for EIMT vary at each stage.</w:t>
      </w:r>
    </w:p>
    <w:p w14:paraId="2D420AB3" w14:textId="0EEAE191" w:rsidR="005B4063" w:rsidRPr="00EA01BD" w:rsidRDefault="00145BEC" w:rsidP="000315E5">
      <w:pPr>
        <w:pStyle w:val="F9-Paragraph"/>
        <w:rPr>
          <w:rFonts w:eastAsia="Calibri"/>
        </w:rPr>
      </w:pPr>
      <w:r w:rsidRPr="00145BEC">
        <w:t>Inspectors should look at the following key areas when reviewing a Licensee’s EIMT arrangements.</w:t>
      </w:r>
    </w:p>
    <w:p w14:paraId="59A13D8F" w14:textId="413583D0" w:rsidR="005B4063" w:rsidRPr="005B4063" w:rsidRDefault="005B4063" w:rsidP="005141CA">
      <w:pPr>
        <w:pStyle w:val="Heading3"/>
        <w:rPr>
          <w:lang w:eastAsia="en-GB"/>
        </w:rPr>
      </w:pPr>
      <w:r w:rsidRPr="005B4063">
        <w:rPr>
          <w:lang w:eastAsia="en-GB"/>
        </w:rPr>
        <w:t xml:space="preserve">Design </w:t>
      </w:r>
      <w:r w:rsidR="002D3397">
        <w:rPr>
          <w:lang w:eastAsia="en-GB"/>
        </w:rPr>
        <w:t>and s</w:t>
      </w:r>
      <w:r w:rsidRPr="005B4063">
        <w:rPr>
          <w:lang w:eastAsia="en-GB"/>
        </w:rPr>
        <w:t xml:space="preserve">afety </w:t>
      </w:r>
      <w:r w:rsidR="002D3397">
        <w:rPr>
          <w:lang w:eastAsia="en-GB"/>
        </w:rPr>
        <w:t>c</w:t>
      </w:r>
      <w:r w:rsidRPr="005B4063">
        <w:rPr>
          <w:lang w:eastAsia="en-GB"/>
        </w:rPr>
        <w:t xml:space="preserve">ase </w:t>
      </w:r>
      <w:r w:rsidR="002D3397">
        <w:rPr>
          <w:lang w:eastAsia="en-GB"/>
        </w:rPr>
        <w:t>d</w:t>
      </w:r>
      <w:r w:rsidRPr="005B4063">
        <w:rPr>
          <w:lang w:eastAsia="en-GB"/>
        </w:rPr>
        <w:t>evelopment</w:t>
      </w:r>
    </w:p>
    <w:p w14:paraId="410B5015" w14:textId="4F6F42AD" w:rsidR="00145BEC" w:rsidRDefault="00145BEC" w:rsidP="00EA01BD">
      <w:pPr>
        <w:pStyle w:val="F9-Paragraph"/>
      </w:pPr>
      <w:r w:rsidRPr="00EA01BD">
        <w:rPr>
          <w:rFonts w:eastAsia="Calibri"/>
        </w:rPr>
        <w:t>Inspectors should ensure the safety case clearly sets out what EIMT is needed, how often it will be done, and explains any claims that equipment will work long-term without EIMT. If long-term reliability is claimed without maintenance, inspectors must check that extra design features or strong supporting arguments are in place</w:t>
      </w:r>
      <w:r w:rsidR="005764C8">
        <w:rPr>
          <w:rFonts w:eastAsia="Calibri"/>
        </w:rPr>
        <w:t xml:space="preserve"> with appropriate evidence</w:t>
      </w:r>
      <w:r w:rsidR="00513521">
        <w:rPr>
          <w:rFonts w:eastAsia="Calibri"/>
        </w:rPr>
        <w:t xml:space="preserve"> to justify the claim</w:t>
      </w:r>
      <w:r w:rsidRPr="00EA01BD">
        <w:rPr>
          <w:rFonts w:eastAsia="Calibri"/>
        </w:rPr>
        <w:t>.</w:t>
      </w:r>
    </w:p>
    <w:p w14:paraId="344D09C5" w14:textId="77777777" w:rsidR="003F768C" w:rsidRDefault="003F768C" w:rsidP="00EA01BD">
      <w:pPr>
        <w:pStyle w:val="F9-Paragraph"/>
        <w:sectPr w:rsidR="003F768C" w:rsidSect="000B2BCD">
          <w:pgSz w:w="11906" w:h="16838" w:code="9"/>
          <w:pgMar w:top="1440" w:right="1440" w:bottom="1440" w:left="1440" w:header="397" w:footer="397" w:gutter="0"/>
          <w:cols w:space="312"/>
          <w:docGrid w:linePitch="360"/>
        </w:sectPr>
      </w:pPr>
    </w:p>
    <w:p w14:paraId="3BC71719" w14:textId="5259B38D" w:rsidR="00145BEC" w:rsidRDefault="00145BEC" w:rsidP="00EA01BD">
      <w:pPr>
        <w:pStyle w:val="F9-Paragraph"/>
      </w:pPr>
      <w:r w:rsidRPr="00145BEC">
        <w:lastRenderedPageBreak/>
        <w:t>Inspectors should check that the chosen EIMT methods and standards for various SSCs match their safety significance (</w:t>
      </w:r>
      <w:r w:rsidR="002D3397">
        <w:t>refer to</w:t>
      </w:r>
      <w:r w:rsidRPr="00145BEC">
        <w:t xml:space="preserve"> SAPs EKP.5, ECS.2 </w:t>
      </w:r>
      <w:r w:rsidR="002D3397">
        <w:t>and</w:t>
      </w:r>
      <w:r w:rsidRPr="00145BEC">
        <w:t xml:space="preserve"> ECS.3). SSCs should be classified based on their importance to nuclear safety, as described in </w:t>
      </w:r>
      <w:r w:rsidR="003F768C">
        <w:t>ONRs TAG on the c</w:t>
      </w:r>
      <w:r w:rsidR="003F768C" w:rsidRPr="003F768C">
        <w:t xml:space="preserve">ategorisation of </w:t>
      </w:r>
      <w:r w:rsidR="003F768C">
        <w:t>s</w:t>
      </w:r>
      <w:r w:rsidR="003F768C" w:rsidRPr="003F768C">
        <w:t xml:space="preserve">afety </w:t>
      </w:r>
      <w:r w:rsidR="003F768C">
        <w:t>f</w:t>
      </w:r>
      <w:r w:rsidR="003F768C" w:rsidRPr="003F768C">
        <w:t xml:space="preserve">unctions and </w:t>
      </w:r>
      <w:r w:rsidR="003F768C">
        <w:t>c</w:t>
      </w:r>
      <w:r w:rsidR="003F768C" w:rsidRPr="003F768C">
        <w:t xml:space="preserve">lassification of </w:t>
      </w:r>
      <w:r w:rsidR="003F768C">
        <w:t>s</w:t>
      </w:r>
      <w:r w:rsidR="003F768C" w:rsidRPr="003F768C">
        <w:t>tructures</w:t>
      </w:r>
      <w:r w:rsidR="003F768C">
        <w:t xml:space="preserve"> </w:t>
      </w:r>
      <w:sdt>
        <w:sdtPr>
          <w:id w:val="2021577342"/>
          <w:citation/>
        </w:sdtPr>
        <w:sdtContent>
          <w:r w:rsidR="003F768C">
            <w:fldChar w:fldCharType="begin"/>
          </w:r>
          <w:r w:rsidR="003F768C">
            <w:instrText xml:space="preserve"> CITATION ONR126 \l 2057 </w:instrText>
          </w:r>
          <w:r w:rsidR="003F768C">
            <w:fldChar w:fldCharType="separate"/>
          </w:r>
          <w:r w:rsidR="003F768C">
            <w:rPr>
              <w:noProof/>
            </w:rPr>
            <w:t>[13]</w:t>
          </w:r>
          <w:r w:rsidR="003F768C">
            <w:fldChar w:fldCharType="end"/>
          </w:r>
        </w:sdtContent>
      </w:sdt>
      <w:r w:rsidRPr="00145BEC">
        <w:t>.</w:t>
      </w:r>
    </w:p>
    <w:p w14:paraId="7AFF8707" w14:textId="0308C318" w:rsidR="00145BEC" w:rsidRDefault="00145BEC" w:rsidP="00EA01BD">
      <w:pPr>
        <w:pStyle w:val="F9-Paragraph"/>
      </w:pPr>
      <w:r w:rsidRPr="00145BEC">
        <w:t xml:space="preserve">Inspectors should review how the Licensee lists all EIMT tasks for the facility, identifies which are routine, and which relate to nuclear safety, ensuring these are included in the Plant Maintenance Schedule in line with </w:t>
      </w:r>
      <w:r w:rsidR="003F768C">
        <w:t>LC</w:t>
      </w:r>
      <w:r w:rsidRPr="00145BEC">
        <w:t xml:space="preserve"> 28(4).</w:t>
      </w:r>
    </w:p>
    <w:p w14:paraId="03B3A1FA" w14:textId="77777777" w:rsidR="00145BEC" w:rsidRDefault="00145BEC" w:rsidP="00EA01BD">
      <w:pPr>
        <w:pStyle w:val="F9-Paragraph"/>
      </w:pPr>
      <w:r w:rsidRPr="00145BEC">
        <w:t>There should be clear links from each SSC in the safety case to the Plant Maintenance Schedule and maintenance instructions (job plans). It should be easy to trace SSC classification and safety function throughout all documents, using clear cross-references.</w:t>
      </w:r>
    </w:p>
    <w:p w14:paraId="0E7D4976" w14:textId="3E5E4BCE" w:rsidR="00145BEC" w:rsidRDefault="00145BEC" w:rsidP="00EA01BD">
      <w:pPr>
        <w:pStyle w:val="F9-Paragraph"/>
      </w:pPr>
      <w:r w:rsidRPr="00145BEC">
        <w:t xml:space="preserve">While </w:t>
      </w:r>
      <w:r w:rsidR="003F768C">
        <w:t>LC</w:t>
      </w:r>
      <w:r w:rsidRPr="00145BEC">
        <w:t xml:space="preserve"> 28(4) covers plant affecting nuclear safety, Licensees may include other equipment in the Plant Maintenance Schedule. Inspectors should check that items affecting nuclear safety are clearly marked. The Schedule may be split into sections such as:</w:t>
      </w:r>
    </w:p>
    <w:p w14:paraId="1DD12952" w14:textId="77777777" w:rsidR="00145BEC" w:rsidRDefault="00145BEC" w:rsidP="00EA01BD">
      <w:pPr>
        <w:pStyle w:val="Bulletlist1"/>
      </w:pPr>
      <w:r w:rsidRPr="00145BEC">
        <w:t>Plant (Nuclear Safety) Maintenance Schedule</w:t>
      </w:r>
    </w:p>
    <w:p w14:paraId="1E7C12CF" w14:textId="77777777" w:rsidR="00145BEC" w:rsidRDefault="00145BEC" w:rsidP="00EA01BD">
      <w:pPr>
        <w:pStyle w:val="Bulletlist1"/>
      </w:pPr>
      <w:r w:rsidRPr="00145BEC">
        <w:t>Statutory Maintenance Schedule</w:t>
      </w:r>
    </w:p>
    <w:p w14:paraId="774DA55F" w14:textId="77777777" w:rsidR="00145BEC" w:rsidRDefault="00145BEC" w:rsidP="00EA01BD">
      <w:pPr>
        <w:pStyle w:val="Bulletlist1"/>
      </w:pPr>
      <w:r w:rsidRPr="00145BEC">
        <w:t>Environmental Maintenance Schedule</w:t>
      </w:r>
    </w:p>
    <w:p w14:paraId="0E9E0F40" w14:textId="77777777" w:rsidR="00145BEC" w:rsidRDefault="00145BEC" w:rsidP="00EA01BD">
      <w:pPr>
        <w:pStyle w:val="Bulletlist1"/>
      </w:pPr>
      <w:r w:rsidRPr="00145BEC">
        <w:t>Residual Routine Maintenance Schedule</w:t>
      </w:r>
    </w:p>
    <w:p w14:paraId="688F203F" w14:textId="612A3889" w:rsidR="00145BEC" w:rsidRDefault="00145BEC" w:rsidP="00EA01BD">
      <w:pPr>
        <w:pStyle w:val="F9-Paragraph"/>
      </w:pPr>
      <w:r w:rsidRPr="00145BEC">
        <w:t xml:space="preserve">A project manual or similar should describe how </w:t>
      </w:r>
      <w:r w:rsidR="00B419F8">
        <w:t xml:space="preserve">Suitably Qualified and Experienced </w:t>
      </w:r>
      <w:r w:rsidR="00ED6B93">
        <w:t>Persons</w:t>
      </w:r>
      <w:r w:rsidR="00B419F8">
        <w:t xml:space="preserve"> (</w:t>
      </w:r>
      <w:r w:rsidRPr="00145BEC">
        <w:t>SQEP</w:t>
      </w:r>
      <w:r w:rsidR="00B419F8">
        <w:t>)</w:t>
      </w:r>
      <w:r w:rsidRPr="00145BEC">
        <w:t>, safety analysts, Responsible Engineers, and operations staff regularly meet during design, construction, and commissioning to:</w:t>
      </w:r>
    </w:p>
    <w:p w14:paraId="6059B295" w14:textId="77777777" w:rsidR="00145BEC" w:rsidRDefault="00145BEC" w:rsidP="00EA01BD">
      <w:pPr>
        <w:pStyle w:val="Bulletlist1"/>
      </w:pPr>
      <w:r w:rsidRPr="00145BEC">
        <w:t>Review all maintenance tasks and assign them to the correct schedule, based on safety, statutory, and environmental needs;</w:t>
      </w:r>
    </w:p>
    <w:p w14:paraId="51E9707D" w14:textId="77777777" w:rsidR="00145BEC" w:rsidRDefault="00145BEC" w:rsidP="00EA01BD">
      <w:pPr>
        <w:pStyle w:val="Bulletlist1"/>
      </w:pPr>
      <w:r w:rsidRPr="00145BEC">
        <w:t>Record reasons for using only condition monitoring or breakdown maintenance for some items;</w:t>
      </w:r>
    </w:p>
    <w:p w14:paraId="481039F8" w14:textId="77777777" w:rsidR="00145BEC" w:rsidRDefault="00145BEC" w:rsidP="00EA01BD">
      <w:pPr>
        <w:pStyle w:val="Bulletlist1"/>
      </w:pPr>
      <w:r w:rsidRPr="00145BEC">
        <w:t>Approve maintenance instructions for safety-critical equipment.</w:t>
      </w:r>
    </w:p>
    <w:p w14:paraId="590635D2" w14:textId="77714EB1" w:rsidR="00145BEC" w:rsidRDefault="00145BEC" w:rsidP="00EA01BD">
      <w:pPr>
        <w:pStyle w:val="F9-Paragraph"/>
      </w:pPr>
      <w:r w:rsidRPr="00145BEC">
        <w:t>Inspectors should check that operations staff review the Safety Case Design Basis and PSA so that worst-case plant states still allow for EIMT activities (</w:t>
      </w:r>
      <w:r w:rsidR="002D3397">
        <w:t>refer to</w:t>
      </w:r>
      <w:r w:rsidRPr="00145BEC">
        <w:t xml:space="preserve"> SAP FA.6 and ONR</w:t>
      </w:r>
      <w:r w:rsidR="003F768C">
        <w:t>s</w:t>
      </w:r>
      <w:r w:rsidRPr="00145BEC">
        <w:t xml:space="preserve"> TAG </w:t>
      </w:r>
      <w:r w:rsidR="003F768C">
        <w:t>on r</w:t>
      </w:r>
      <w:r w:rsidR="003F768C" w:rsidRPr="003F768C">
        <w:t>edundancy, diversity, segregation and layout of SSCs</w:t>
      </w:r>
      <w:r w:rsidR="003F768C">
        <w:t xml:space="preserve"> </w:t>
      </w:r>
      <w:sdt>
        <w:sdtPr>
          <w:id w:val="1730795874"/>
          <w:citation/>
        </w:sdtPr>
        <w:sdtContent>
          <w:r w:rsidR="003F768C">
            <w:fldChar w:fldCharType="begin"/>
          </w:r>
          <w:r w:rsidR="003F768C">
            <w:instrText xml:space="preserve"> CITATION NST2 \l 2057 </w:instrText>
          </w:r>
          <w:r w:rsidR="003F768C">
            <w:fldChar w:fldCharType="separate"/>
          </w:r>
          <w:r w:rsidR="003F768C">
            <w:rPr>
              <w:noProof/>
            </w:rPr>
            <w:t>[14]</w:t>
          </w:r>
          <w:r w:rsidR="003F768C">
            <w:fldChar w:fldCharType="end"/>
          </w:r>
        </w:sdtContent>
      </w:sdt>
      <w:r w:rsidRPr="00145BEC">
        <w:t>.</w:t>
      </w:r>
    </w:p>
    <w:p w14:paraId="3215376D" w14:textId="1CD0959C" w:rsidR="00145BEC" w:rsidRDefault="00145BEC" w:rsidP="00EA01BD">
      <w:pPr>
        <w:pStyle w:val="F9-Paragraph"/>
      </w:pPr>
      <w:r w:rsidRPr="00145BEC">
        <w:t xml:space="preserve">Inspectors should make sure the design allows for EIMT throughout the facility’s life, keeping radiation doses to workers </w:t>
      </w:r>
      <w:r w:rsidR="005764C8">
        <w:t>ALARP</w:t>
      </w:r>
      <w:r w:rsidRPr="00145BEC">
        <w:t xml:space="preserve"> and avoiding negative impacts on other SSCs </w:t>
      </w:r>
      <w:r w:rsidR="001F79CE">
        <w:t>(refer to</w:t>
      </w:r>
      <w:r w:rsidRPr="00145BEC">
        <w:t xml:space="preserve"> SAP ELO.1).</w:t>
      </w:r>
    </w:p>
    <w:p w14:paraId="53B719F9" w14:textId="715C9468" w:rsidR="00145BEC" w:rsidRDefault="00145BEC" w:rsidP="00EA01BD">
      <w:pPr>
        <w:pStyle w:val="F9-Paragraph"/>
      </w:pPr>
      <w:r w:rsidRPr="00145BEC">
        <w:lastRenderedPageBreak/>
        <w:t xml:space="preserve">Inspectors should look for evidence that EIMT is enough </w:t>
      </w:r>
      <w:r w:rsidR="002609C8">
        <w:t>for SSCs to</w:t>
      </w:r>
      <w:r w:rsidRPr="00145BEC">
        <w:t xml:space="preserve"> maintain nuclear safety functions as outlined in the safety analysis.</w:t>
      </w:r>
    </w:p>
    <w:p w14:paraId="699337AC" w14:textId="77777777" w:rsidR="00145BEC" w:rsidRDefault="00145BEC" w:rsidP="00EA01BD">
      <w:pPr>
        <w:pStyle w:val="F9-Paragraph"/>
      </w:pPr>
      <w:r w:rsidRPr="00145BEC">
        <w:t>Licensees must have a process to record EIMT-related project assumptions from design and safety analysis, with an audit trail showing where these are addressed in operational documents.</w:t>
      </w:r>
    </w:p>
    <w:p w14:paraId="32C22373" w14:textId="007F064F" w:rsidR="00145BEC" w:rsidRDefault="00145BEC" w:rsidP="00EA01BD">
      <w:pPr>
        <w:pStyle w:val="F9-Paragraph"/>
      </w:pPr>
      <w:r w:rsidRPr="00145BEC">
        <w:t>Where relevant, inspectors should confirm that PSA has been used to shape EIMT strategies, including when it is safe to release equipment for EIMT and whether proposed activities provide assurance that reliability claims are met (</w:t>
      </w:r>
      <w:r w:rsidR="002D3397">
        <w:t>refer to</w:t>
      </w:r>
      <w:r w:rsidRPr="00145BEC">
        <w:t xml:space="preserve"> SAP FA.14).</w:t>
      </w:r>
    </w:p>
    <w:p w14:paraId="2CAD4E02" w14:textId="77777777" w:rsidR="00145BEC" w:rsidRDefault="00145BEC" w:rsidP="00EA01BD">
      <w:pPr>
        <w:pStyle w:val="F9-Paragraph"/>
      </w:pPr>
      <w:r w:rsidRPr="00145BEC">
        <w:t>Evidence should show that enough development work is carried out on new systems or components between initial design and manufacturing, as this affects the EIMT tasks set out in maintenance schedules.</w:t>
      </w:r>
    </w:p>
    <w:p w14:paraId="0C0ED5F1" w14:textId="543C69A2" w:rsidR="005B4063" w:rsidRPr="00EA01BD" w:rsidRDefault="00145BEC" w:rsidP="000315E5">
      <w:pPr>
        <w:pStyle w:val="F9-Paragraph"/>
        <w:rPr>
          <w:rFonts w:eastAsia="Calibri"/>
        </w:rPr>
      </w:pPr>
      <w:r w:rsidRPr="00145BEC">
        <w:t>For design or plant modifications, maintenance and operations staff should be involved early to ensure EIMT requirements are met and help them understand the design, supporting the Licensee’s Design Authority and Intelligent Customer roles.</w:t>
      </w:r>
    </w:p>
    <w:p w14:paraId="303238FF" w14:textId="32867F10" w:rsidR="005B4063" w:rsidRPr="005B4063" w:rsidRDefault="005B4063" w:rsidP="005141CA">
      <w:pPr>
        <w:pStyle w:val="Heading3"/>
        <w:rPr>
          <w:lang w:eastAsia="en-GB"/>
        </w:rPr>
      </w:pPr>
      <w:r w:rsidRPr="005B4063">
        <w:rPr>
          <w:lang w:eastAsia="en-GB"/>
        </w:rPr>
        <w:t xml:space="preserve">Manufacture and </w:t>
      </w:r>
      <w:r w:rsidR="002D3397">
        <w:rPr>
          <w:lang w:eastAsia="en-GB"/>
        </w:rPr>
        <w:t>w</w:t>
      </w:r>
      <w:r w:rsidRPr="005B4063">
        <w:rPr>
          <w:lang w:eastAsia="en-GB"/>
        </w:rPr>
        <w:t xml:space="preserve">orks </w:t>
      </w:r>
      <w:r w:rsidR="002D3397">
        <w:rPr>
          <w:lang w:eastAsia="en-GB"/>
        </w:rPr>
        <w:t>t</w:t>
      </w:r>
      <w:r w:rsidRPr="005B4063">
        <w:rPr>
          <w:lang w:eastAsia="en-GB"/>
        </w:rPr>
        <w:t>ests (Factory Acceptance Tests)</w:t>
      </w:r>
    </w:p>
    <w:p w14:paraId="49FD2F54" w14:textId="1E2AE3E3" w:rsidR="00145BEC" w:rsidRDefault="00145BEC" w:rsidP="00EA01BD">
      <w:pPr>
        <w:pStyle w:val="F9-Paragraph"/>
      </w:pPr>
      <w:r w:rsidRPr="00EA01BD">
        <w:rPr>
          <w:rFonts w:eastAsia="Calibri"/>
        </w:rPr>
        <w:t>Inspectors should check that EIMT instructions are tested during manufacturer’s works tests or trial builds, especially for complex or large plant.</w:t>
      </w:r>
    </w:p>
    <w:p w14:paraId="41FA7734" w14:textId="5FAB4EDC" w:rsidR="005B4063" w:rsidRPr="00EA01BD" w:rsidRDefault="00145BEC" w:rsidP="000315E5">
      <w:pPr>
        <w:pStyle w:val="F9-Paragraph"/>
        <w:rPr>
          <w:rFonts w:eastAsia="Calibri"/>
        </w:rPr>
      </w:pPr>
      <w:r w:rsidRPr="00145BEC">
        <w:t>Results from these works tests must be formally recorded and included in the Licensee’s operational documents, forming the baseline to show the facility’s design intent is maintained.</w:t>
      </w:r>
    </w:p>
    <w:p w14:paraId="40BBD098" w14:textId="5C7A0A15" w:rsidR="005B4063" w:rsidRPr="005B4063" w:rsidRDefault="005B4063" w:rsidP="005141CA">
      <w:pPr>
        <w:pStyle w:val="Heading3"/>
        <w:rPr>
          <w:lang w:eastAsia="en-GB"/>
        </w:rPr>
      </w:pPr>
      <w:r w:rsidRPr="005B4063">
        <w:rPr>
          <w:lang w:eastAsia="en-GB"/>
        </w:rPr>
        <w:t>On</w:t>
      </w:r>
      <w:r w:rsidR="002D3397">
        <w:rPr>
          <w:lang w:eastAsia="en-GB"/>
        </w:rPr>
        <w:t>-s</w:t>
      </w:r>
      <w:r w:rsidRPr="005B4063">
        <w:rPr>
          <w:lang w:eastAsia="en-GB"/>
        </w:rPr>
        <w:t xml:space="preserve">ite </w:t>
      </w:r>
      <w:r w:rsidR="002D3397">
        <w:rPr>
          <w:lang w:eastAsia="en-GB"/>
        </w:rPr>
        <w:t>p</w:t>
      </w:r>
      <w:r w:rsidRPr="005B4063">
        <w:rPr>
          <w:lang w:eastAsia="en-GB"/>
        </w:rPr>
        <w:t xml:space="preserve">lant </w:t>
      </w:r>
      <w:r w:rsidR="002D3397">
        <w:rPr>
          <w:lang w:eastAsia="en-GB"/>
        </w:rPr>
        <w:t>i</w:t>
      </w:r>
      <w:r w:rsidRPr="005B4063">
        <w:rPr>
          <w:lang w:eastAsia="en-GB"/>
        </w:rPr>
        <w:t xml:space="preserve">nstallation, </w:t>
      </w:r>
      <w:r w:rsidR="002D3397">
        <w:rPr>
          <w:lang w:eastAsia="en-GB"/>
        </w:rPr>
        <w:t>s</w:t>
      </w:r>
      <w:r w:rsidR="000D35F6">
        <w:rPr>
          <w:lang w:eastAsia="en-GB"/>
        </w:rPr>
        <w:t>ite</w:t>
      </w:r>
      <w:r w:rsidR="000D35F6" w:rsidRPr="005B4063">
        <w:rPr>
          <w:lang w:eastAsia="en-GB"/>
        </w:rPr>
        <w:t xml:space="preserve"> </w:t>
      </w:r>
      <w:r w:rsidR="002D3397">
        <w:rPr>
          <w:lang w:eastAsia="en-GB"/>
        </w:rPr>
        <w:t>a</w:t>
      </w:r>
      <w:r w:rsidRPr="005B4063">
        <w:rPr>
          <w:lang w:eastAsia="en-GB"/>
        </w:rPr>
        <w:t xml:space="preserve">cceptance </w:t>
      </w:r>
      <w:r w:rsidR="002D3397">
        <w:rPr>
          <w:lang w:eastAsia="en-GB"/>
        </w:rPr>
        <w:t>t</w:t>
      </w:r>
      <w:r w:rsidRPr="005B4063">
        <w:rPr>
          <w:lang w:eastAsia="en-GB"/>
        </w:rPr>
        <w:t xml:space="preserve">ests and </w:t>
      </w:r>
      <w:r w:rsidR="002D3397">
        <w:rPr>
          <w:lang w:eastAsia="en-GB"/>
        </w:rPr>
        <w:t>c</w:t>
      </w:r>
      <w:r w:rsidRPr="005B4063">
        <w:rPr>
          <w:lang w:eastAsia="en-GB"/>
        </w:rPr>
        <w:t xml:space="preserve">ommissioning </w:t>
      </w:r>
    </w:p>
    <w:p w14:paraId="64D85D36" w14:textId="020D1DBB" w:rsidR="002209D5" w:rsidRPr="00EA01BD" w:rsidRDefault="002209D5" w:rsidP="002209D5">
      <w:pPr>
        <w:pStyle w:val="F9-Paragraph"/>
      </w:pPr>
      <w:r w:rsidRPr="002209D5">
        <w:rPr>
          <w:rFonts w:eastAsia="Calibri"/>
        </w:rPr>
        <w:t>Inspectors should ensure that any changes to the plant during installation and testing are properly reviewed for their impact on EIMT, with updates made to maintenance documents as needed. If tests do not fully demonstrate performance under the most challenging conditions, inspectors should use commissioning or rig test data to justify the component’s reliability, using type test results as a benchmark (</w:t>
      </w:r>
      <w:r w:rsidR="002D3397">
        <w:rPr>
          <w:rFonts w:eastAsia="Calibri"/>
        </w:rPr>
        <w:t>refer to</w:t>
      </w:r>
      <w:r w:rsidRPr="002209D5">
        <w:rPr>
          <w:rFonts w:eastAsia="Calibri"/>
        </w:rPr>
        <w:t xml:space="preserve"> SAPs EMT.3). </w:t>
      </w:r>
    </w:p>
    <w:p w14:paraId="45865242" w14:textId="747C6FC2" w:rsidR="002209D5" w:rsidRDefault="002209D5" w:rsidP="00EA01BD">
      <w:pPr>
        <w:pStyle w:val="F9-Paragraph"/>
      </w:pPr>
      <w:r w:rsidRPr="002209D5">
        <w:rPr>
          <w:rFonts w:eastAsia="Calibri"/>
        </w:rPr>
        <w:t>Maintenance instructions should be validated during inactive commissioning, especially if access will be limited later. Human factors must be considered to minimise errors and common failures in EIMT tasks during testing and commissioning.</w:t>
      </w:r>
    </w:p>
    <w:p w14:paraId="7326802F" w14:textId="77777777" w:rsidR="002209D5" w:rsidRDefault="002209D5" w:rsidP="002209D5">
      <w:pPr>
        <w:pStyle w:val="F9-Paragraph"/>
      </w:pPr>
      <w:r w:rsidRPr="002209D5">
        <w:t xml:space="preserve">Evidence should show that plant and equipment isolations for EIMT are effective during inactive commissioning, including clear demonstrations of return to service procedures. All updates to maintenance schedules and instructions must be well documented, with agreement from relevant teams. </w:t>
      </w:r>
    </w:p>
    <w:p w14:paraId="30861A34" w14:textId="3F6725EB" w:rsidR="002209D5" w:rsidRDefault="002209D5" w:rsidP="00EA01BD">
      <w:pPr>
        <w:pStyle w:val="F9-Paragraph"/>
      </w:pPr>
      <w:r w:rsidRPr="002209D5">
        <w:lastRenderedPageBreak/>
        <w:t>Inspectors should review how commissioning confirms the planned in-service testing for individual parts and the full system (SAPs EMT.5 and EMT.6), and ensure that any EIMT activity linked to safety requirements is clearly connected to its safety role.</w:t>
      </w:r>
    </w:p>
    <w:p w14:paraId="55A97E1F" w14:textId="4C6096CD" w:rsidR="008033F1" w:rsidRPr="00EA01BD" w:rsidRDefault="002209D5" w:rsidP="002209D5">
      <w:pPr>
        <w:pStyle w:val="F9-Paragraph"/>
        <w:rPr>
          <w:rFonts w:eastAsia="Calibri"/>
        </w:rPr>
      </w:pPr>
      <w:r w:rsidRPr="002209D5">
        <w:t>The Licensee must have clear arrangements for defining when each maintenance activity should start. Completion reports for commissioning should detail what has been tested and record any changes from earlier phases. Inspectors should check that an effective EIMT regime is in place throughout construction and commissioning, and confirm that EIMT roles and responsibilities are clearly defined as the plant transitions to operation.</w:t>
      </w:r>
    </w:p>
    <w:p w14:paraId="70136C57" w14:textId="1CE54299" w:rsidR="005B4063" w:rsidRPr="005141CA" w:rsidRDefault="005B4063" w:rsidP="005141CA">
      <w:pPr>
        <w:pStyle w:val="Heading3"/>
        <w:rPr>
          <w:color w:val="auto"/>
          <w:sz w:val="24"/>
          <w:szCs w:val="24"/>
          <w:lang w:eastAsia="en-GB" w:bidi="ar-SA"/>
        </w:rPr>
      </w:pPr>
      <w:r w:rsidRPr="005141CA">
        <w:rPr>
          <w:rStyle w:val="Heading3Char"/>
        </w:rPr>
        <w:t>Operations</w:t>
      </w:r>
      <w:r w:rsidR="00C65103">
        <w:rPr>
          <w:rStyle w:val="Heading3Char"/>
        </w:rPr>
        <w:t xml:space="preserve"> </w:t>
      </w:r>
    </w:p>
    <w:p w14:paraId="0AEAC58A" w14:textId="13737CA5" w:rsidR="00565AA6" w:rsidRDefault="001A0BEB" w:rsidP="000315E5">
      <w:pPr>
        <w:pStyle w:val="F9-Paragraph"/>
      </w:pPr>
      <w:r w:rsidRPr="001A0BEB">
        <w:t>Inspectors should check that EIMT requirements for SSCs are clearly specified, standards are chosen, and the work matches the safety classification (SAPs EKP.5, ECS.2, ECS.3).</w:t>
      </w:r>
    </w:p>
    <w:p w14:paraId="5731C4DD" w14:textId="7F7D747C" w:rsidR="001A0BEB" w:rsidRDefault="001A0BEB" w:rsidP="00EA01BD">
      <w:pPr>
        <w:pStyle w:val="F9-Paragraph"/>
      </w:pPr>
      <w:r w:rsidRPr="001A0BEB">
        <w:t xml:space="preserve"> The following safety case issues should be reviewed:</w:t>
      </w:r>
    </w:p>
    <w:p w14:paraId="1CEA5EC1" w14:textId="77777777" w:rsidR="001A0BEB" w:rsidRDefault="001A0BEB" w:rsidP="00EA01BD">
      <w:pPr>
        <w:pStyle w:val="Bulletlist1"/>
      </w:pPr>
      <w:r w:rsidRPr="001A0BEB">
        <w:t>Ensure that any safety case needs for staggered testing are included in the Maintenance Schedule.</w:t>
      </w:r>
    </w:p>
    <w:p w14:paraId="28651A26" w14:textId="67756D4A" w:rsidR="001A0BEB" w:rsidRDefault="001A0BEB" w:rsidP="00EA01BD">
      <w:pPr>
        <w:pStyle w:val="Bulletlist1"/>
      </w:pPr>
      <w:r w:rsidRPr="001A0BEB">
        <w:t>Confirm that the Maintenance Schedule keeps the minimum required safety system configurations, following any rules about plant availability and the Single Failure Criterion</w:t>
      </w:r>
      <w:r w:rsidR="00444438">
        <w:t xml:space="preserve"> </w:t>
      </w:r>
      <w:sdt>
        <w:sdtPr>
          <w:id w:val="-320117267"/>
          <w:citation/>
        </w:sdtPr>
        <w:sdtContent>
          <w:r w:rsidR="00444438">
            <w:fldChar w:fldCharType="begin"/>
          </w:r>
          <w:r w:rsidR="003F768C">
            <w:instrText xml:space="preserve">CITATION ONR22 \l 2057 </w:instrText>
          </w:r>
          <w:r w:rsidR="00444438">
            <w:fldChar w:fldCharType="separate"/>
          </w:r>
          <w:r w:rsidR="003F768C" w:rsidRPr="003F768C">
            <w:t>[15]</w:t>
          </w:r>
          <w:r w:rsidR="00444438">
            <w:fldChar w:fldCharType="end"/>
          </w:r>
        </w:sdtContent>
      </w:sdt>
      <w:r w:rsidRPr="001A0BEB">
        <w:t>.</w:t>
      </w:r>
    </w:p>
    <w:p w14:paraId="2EEBC3DB" w14:textId="77777777" w:rsidR="001A0BEB" w:rsidRDefault="001A0BEB" w:rsidP="00EA01BD">
      <w:pPr>
        <w:pStyle w:val="Bulletlist1"/>
      </w:pPr>
      <w:r w:rsidRPr="001A0BEB">
        <w:t>When safety-critical equipment is offline for EIMT, make sure the plant remains safe and any risks of faults caused by EIMT are justified.</w:t>
      </w:r>
    </w:p>
    <w:p w14:paraId="5B4F5C46" w14:textId="1E364A3E" w:rsidR="00113126" w:rsidRDefault="00F4216A">
      <w:pPr>
        <w:pStyle w:val="F9-Paragraph"/>
      </w:pPr>
      <w:r w:rsidRPr="00F4216A">
        <w:t xml:space="preserve">Inspectors should ensure that in-service testing of safety-important SSCs verifies both the complete system and its individual components, in accordance with SAP EMT.7. Reliability analysis must accurately reflect the actual tests conducted. </w:t>
      </w:r>
    </w:p>
    <w:p w14:paraId="0631FC57" w14:textId="12480B8A" w:rsidR="00F4216A" w:rsidRDefault="00F4216A" w:rsidP="00EA01BD">
      <w:pPr>
        <w:pStyle w:val="F9-Paragraph"/>
      </w:pPr>
      <w:r w:rsidRPr="00F4216A">
        <w:t xml:space="preserve">If </w:t>
      </w:r>
      <w:r w:rsidR="00920E8F">
        <w:t>end-to-end</w:t>
      </w:r>
      <w:r w:rsidRPr="00F4216A">
        <w:t xml:space="preserve"> testing is not feasible, inspectors should seek justification for partial testing and clear explanations of how the results demonstrate that the system continues to function as designed. Where the safety case restricts full in situ testing, it is necessary to assess whether alternatives</w:t>
      </w:r>
      <w:r w:rsidR="001F79CE">
        <w:t xml:space="preserve"> - </w:t>
      </w:r>
      <w:r w:rsidRPr="00F4216A">
        <w:t>such as off-site device testing</w:t>
      </w:r>
      <w:r w:rsidR="001F79CE">
        <w:t xml:space="preserve"> - </w:t>
      </w:r>
      <w:r w:rsidRPr="00F4216A">
        <w:t>are adequate, as per SAP EMT.7.</w:t>
      </w:r>
    </w:p>
    <w:p w14:paraId="6AD9AA21" w14:textId="718BDAFB" w:rsidR="00B419F8" w:rsidRDefault="00F4216A" w:rsidP="00EA01BD">
      <w:pPr>
        <w:pStyle w:val="F9-Paragraph"/>
      </w:pPr>
      <w:r w:rsidRPr="00F4216A">
        <w:t xml:space="preserve">There must be robust arrangements for restoring the correct plant configuration after EIMT. Inspectors should verify that assumptions about component reliability and performance are properly integrated into maintenance schedules and instructions. </w:t>
      </w:r>
    </w:p>
    <w:p w14:paraId="7222B005" w14:textId="120527EF" w:rsidR="00F4216A" w:rsidRDefault="00F4216A" w:rsidP="00EA01BD">
      <w:pPr>
        <w:pStyle w:val="F9-Paragraph"/>
      </w:pPr>
      <w:r w:rsidRPr="00F4216A">
        <w:t>EIMT instructions should enable comprehensive and accurate reporting, including the documentation of defects or parameters requiring ongoing monitoring for safe operation. Procedures should clearly define success criteria and specify how to manage non-conformances.</w:t>
      </w:r>
    </w:p>
    <w:p w14:paraId="2621BFA5" w14:textId="77777777" w:rsidR="002D3397" w:rsidRDefault="002D3397" w:rsidP="00EA01BD">
      <w:pPr>
        <w:pStyle w:val="F9-Paragraph"/>
        <w:sectPr w:rsidR="002D3397" w:rsidSect="000B2BCD">
          <w:pgSz w:w="11906" w:h="16838" w:code="9"/>
          <w:pgMar w:top="1440" w:right="1440" w:bottom="1440" w:left="1440" w:header="397" w:footer="397" w:gutter="0"/>
          <w:cols w:space="312"/>
          <w:docGrid w:linePitch="360"/>
        </w:sectPr>
      </w:pPr>
    </w:p>
    <w:p w14:paraId="03A37EF4" w14:textId="77C1D49C" w:rsidR="00B419F8" w:rsidRDefault="00F4216A" w:rsidP="00EA01BD">
      <w:pPr>
        <w:pStyle w:val="F9-Paragraph"/>
      </w:pPr>
      <w:r w:rsidRPr="00F4216A">
        <w:lastRenderedPageBreak/>
        <w:t xml:space="preserve">Arrangements should include the review of inspection data to identify trends in failures or gradual deterioration, as required by SAPs Paragraph 216. </w:t>
      </w:r>
      <w:r w:rsidR="002D3397">
        <w:br/>
      </w:r>
      <w:r w:rsidRPr="00F4216A">
        <w:t>All activities must be performed and supervised by competent personnel with suitable equipment, and, where necessary, validation of staff and tools may be required</w:t>
      </w:r>
      <w:r w:rsidR="00B419F8">
        <w:t>.</w:t>
      </w:r>
    </w:p>
    <w:p w14:paraId="2BFF1A9D" w14:textId="1F509309" w:rsidR="00F4216A" w:rsidRDefault="00F4216A" w:rsidP="00EA01BD">
      <w:pPr>
        <w:pStyle w:val="F9-Paragraph"/>
      </w:pPr>
      <w:r w:rsidRPr="00F4216A">
        <w:t>Maintenance instructions typically involve direct measurements or set acceptance criteria; inspectors should confirm that lifetime data is reviewed and analysed by</w:t>
      </w:r>
      <w:r w:rsidR="00ED6B93">
        <w:t xml:space="preserve"> a</w:t>
      </w:r>
      <w:r w:rsidRPr="00F4216A">
        <w:t xml:space="preserve"> SQEP from the Design Authority.</w:t>
      </w:r>
    </w:p>
    <w:p w14:paraId="300FC3C9" w14:textId="4A41FCB9" w:rsidR="00F4216A" w:rsidRDefault="00F4216A" w:rsidP="00EA01BD">
      <w:pPr>
        <w:pStyle w:val="F9-Paragraph"/>
      </w:pPr>
      <w:r w:rsidRPr="00F4216A">
        <w:t>Any changes to the safety case or plant must be properly assessed by SQEP to determine if EIMT arrangements require updating. Inspectors should also ensure that the Licensee maintains appropriate EIMT arrangements for emergency equipment and that relevant Operational Experience (OpE</w:t>
      </w:r>
      <w:r w:rsidR="003F768C">
        <w:t>X</w:t>
      </w:r>
      <w:r w:rsidRPr="00F4216A">
        <w:t>)</w:t>
      </w:r>
      <w:r w:rsidR="003F768C">
        <w:t xml:space="preserve"> - </w:t>
      </w:r>
      <w:r w:rsidRPr="00F4216A">
        <w:t>both internal and external</w:t>
      </w:r>
      <w:r w:rsidR="003F768C">
        <w:t xml:space="preserve"> - </w:t>
      </w:r>
      <w:r w:rsidRPr="00F4216A">
        <w:t>is identified and acted upon.</w:t>
      </w:r>
    </w:p>
    <w:p w14:paraId="2ED351F5" w14:textId="096D0A88" w:rsidR="00F4216A" w:rsidRDefault="00F4216A" w:rsidP="00EA01BD">
      <w:pPr>
        <w:pStyle w:val="F9-Paragraph"/>
      </w:pPr>
      <w:r w:rsidRPr="00F4216A">
        <w:t>Licensees must implement effective controls for Foreign Material Exclusion (FME) during EIMT, such as control points, covers, tool lanyards, and tool logging. Maintenance workshops for safety-important SSCs should be inspected to check housekeeping and FME</w:t>
      </w:r>
      <w:r w:rsidR="003F768C">
        <w:t xml:space="preserve"> </w:t>
      </w:r>
      <w:r w:rsidRPr="00F4216A">
        <w:t>/</w:t>
      </w:r>
      <w:r w:rsidR="003F768C">
        <w:t xml:space="preserve"> </w:t>
      </w:r>
      <w:r w:rsidRPr="00F4216A">
        <w:t>quality control practices, and overhauled safety equipment must be securely stored prior to re-installation.</w:t>
      </w:r>
    </w:p>
    <w:p w14:paraId="2AF97399" w14:textId="6920EA8F" w:rsidR="001A0BEB" w:rsidRPr="00F4216A" w:rsidRDefault="00F4216A" w:rsidP="00EA01BD">
      <w:pPr>
        <w:pStyle w:val="F9-Paragraph"/>
      </w:pPr>
      <w:r w:rsidRPr="00F4216A">
        <w:t>Finally, inspectors should confirm that a straightforward, formal process exists for EIMT operatives to report any procedural issues, thereby minimising the risk of human error. There should be evidence demonstrating that this reporting process is both utilised and effective.</w:t>
      </w:r>
    </w:p>
    <w:p w14:paraId="1C5A29A6" w14:textId="77777777" w:rsidR="001A0BEB" w:rsidRDefault="001A0BEB" w:rsidP="00EA01BD">
      <w:pPr>
        <w:pStyle w:val="F9-Paragraph"/>
      </w:pPr>
      <w:r w:rsidRPr="001A0BEB">
        <w:t>If the Licensee uses generic maintenance approaches, inspectors must check the safety case supports this. Approaches include:</w:t>
      </w:r>
    </w:p>
    <w:p w14:paraId="78FAC0A0" w14:textId="77777777" w:rsidR="001A0BEB" w:rsidRDefault="001A0BEB" w:rsidP="00EA01BD">
      <w:pPr>
        <w:pStyle w:val="Bulletlist1"/>
      </w:pPr>
      <w:r w:rsidRPr="001A0BEB">
        <w:t>Reliability Centred Maintenance</w:t>
      </w:r>
    </w:p>
    <w:p w14:paraId="2CA156D5" w14:textId="77777777" w:rsidR="001A0BEB" w:rsidRDefault="001A0BEB" w:rsidP="00EA01BD">
      <w:pPr>
        <w:pStyle w:val="Bulletlist1"/>
      </w:pPr>
      <w:r w:rsidRPr="001A0BEB">
        <w:t>Condition Monitoring</w:t>
      </w:r>
    </w:p>
    <w:p w14:paraId="2FA78D4A" w14:textId="77777777" w:rsidR="001A0BEB" w:rsidRDefault="001A0BEB" w:rsidP="00EA01BD">
      <w:pPr>
        <w:pStyle w:val="Bulletlist1"/>
      </w:pPr>
      <w:r w:rsidRPr="001A0BEB">
        <w:t>Planned Maintenance</w:t>
      </w:r>
    </w:p>
    <w:p w14:paraId="4E495F99" w14:textId="77777777" w:rsidR="001A0BEB" w:rsidRDefault="001A0BEB" w:rsidP="00EA01BD">
      <w:pPr>
        <w:pStyle w:val="Bulletlist1"/>
      </w:pPr>
      <w:r w:rsidRPr="001A0BEB">
        <w:t>Preventative Maintenance</w:t>
      </w:r>
    </w:p>
    <w:p w14:paraId="050D6076" w14:textId="77777777" w:rsidR="001A0BEB" w:rsidRDefault="001A0BEB" w:rsidP="00EA01BD">
      <w:pPr>
        <w:pStyle w:val="Bulletlist1"/>
      </w:pPr>
      <w:r w:rsidRPr="001A0BEB">
        <w:t>Risk Based Maintenance</w:t>
      </w:r>
    </w:p>
    <w:p w14:paraId="05AB7F31" w14:textId="77777777" w:rsidR="001A0BEB" w:rsidRDefault="001A0BEB" w:rsidP="00EA01BD">
      <w:pPr>
        <w:pStyle w:val="Bulletlist1"/>
      </w:pPr>
      <w:r w:rsidRPr="001A0BEB">
        <w:t>Run to Failure (Corrective) Maintenance</w:t>
      </w:r>
    </w:p>
    <w:p w14:paraId="2BA4810F" w14:textId="6915D579" w:rsidR="009A5331" w:rsidRPr="00EA01BD" w:rsidRDefault="001A0BEB" w:rsidP="00565AA6">
      <w:pPr>
        <w:pStyle w:val="Bulletlist1"/>
      </w:pPr>
      <w:r w:rsidRPr="001A0BEB">
        <w:t>Inspection Based Maintenance</w:t>
      </w:r>
    </w:p>
    <w:p w14:paraId="47B2BE52" w14:textId="77777777" w:rsidR="001F79CE" w:rsidRDefault="001F79CE" w:rsidP="005141CA">
      <w:pPr>
        <w:pStyle w:val="Heading3"/>
        <w:rPr>
          <w:lang w:eastAsia="en-GB" w:bidi="ar-SA"/>
        </w:rPr>
        <w:sectPr w:rsidR="001F79CE" w:rsidSect="000B2BCD">
          <w:pgSz w:w="11906" w:h="16838" w:code="9"/>
          <w:pgMar w:top="1440" w:right="1440" w:bottom="1440" w:left="1440" w:header="397" w:footer="397" w:gutter="0"/>
          <w:cols w:space="312"/>
          <w:docGrid w:linePitch="360"/>
        </w:sectPr>
      </w:pPr>
    </w:p>
    <w:p w14:paraId="05190413" w14:textId="15DF9875" w:rsidR="005B4063" w:rsidRPr="005B4063" w:rsidRDefault="005B4063" w:rsidP="005141CA">
      <w:pPr>
        <w:pStyle w:val="Heading3"/>
        <w:rPr>
          <w:lang w:eastAsia="en-GB" w:bidi="ar-SA"/>
        </w:rPr>
      </w:pPr>
      <w:r w:rsidRPr="005B4063">
        <w:rPr>
          <w:lang w:eastAsia="en-GB" w:bidi="ar-SA"/>
        </w:rPr>
        <w:lastRenderedPageBreak/>
        <w:t>Outages</w:t>
      </w:r>
    </w:p>
    <w:p w14:paraId="26EF1873" w14:textId="2331F3ED" w:rsidR="00D83036" w:rsidRDefault="00D83036" w:rsidP="00EA01BD">
      <w:pPr>
        <w:pStyle w:val="F9-Paragraph"/>
      </w:pPr>
      <w:r w:rsidRPr="00EA01BD">
        <w:rPr>
          <w:rFonts w:eastAsia="Calibri"/>
        </w:rPr>
        <w:t>Before any planned facility shutdowns (outages), inspectors should check that a maintenance plan is in place covering all Plant Maintenance Schedule items important for nuclear safety. This plan should ensure the facility is fully covered in line with long-term strategies, including any extra work highlighted by past inspections, operational issues, or general safety concerns.</w:t>
      </w:r>
    </w:p>
    <w:p w14:paraId="4187AAD6" w14:textId="77777777" w:rsidR="00D83036" w:rsidRDefault="00D83036" w:rsidP="00EA01BD">
      <w:pPr>
        <w:pStyle w:val="F9-Paragraph"/>
      </w:pPr>
      <w:r w:rsidRPr="00D83036">
        <w:t>The results of EIMT activities should be reviewed by suitably qualified personnel from the Licensee’s Operational and Design Authority teams.</w:t>
      </w:r>
    </w:p>
    <w:p w14:paraId="5644D270" w14:textId="77777777" w:rsidR="00D83036" w:rsidRDefault="00D83036" w:rsidP="00EA01BD">
      <w:pPr>
        <w:pStyle w:val="F9-Paragraph"/>
      </w:pPr>
      <w:r w:rsidRPr="00D83036">
        <w:t>Inspectors must confirm that all EIMT tasks follow written procedures, and that independent checks (by sampling) are arranged to ensure quality is maintained.</w:t>
      </w:r>
    </w:p>
    <w:p w14:paraId="5F54937A" w14:textId="77777777" w:rsidR="00D83036" w:rsidRDefault="00D83036" w:rsidP="00EA01BD">
      <w:pPr>
        <w:pStyle w:val="F9-Paragraph"/>
      </w:pPr>
      <w:r w:rsidRPr="00D83036">
        <w:t>Inspectors should also review how licensees report and assess EIMT results. This includes how defects are categorised, sentenced, and independently reviewed when needed.</w:t>
      </w:r>
    </w:p>
    <w:p w14:paraId="5152BE1E" w14:textId="77777777" w:rsidR="00D83036" w:rsidRDefault="00D83036" w:rsidP="00EA01BD">
      <w:pPr>
        <w:pStyle w:val="F9-Paragraph"/>
      </w:pPr>
      <w:r w:rsidRPr="00D83036">
        <w:t>If there are rules or procedures affecting restart, any findings relevant to restart safety must be made available to inspectors promptly.</w:t>
      </w:r>
    </w:p>
    <w:p w14:paraId="4A62D1EC" w14:textId="77777777" w:rsidR="00D83036" w:rsidRDefault="00D83036" w:rsidP="00EA01BD">
      <w:pPr>
        <w:pStyle w:val="F9-Paragraph"/>
      </w:pPr>
      <w:r w:rsidRPr="00D83036">
        <w:t>Inspectors should sample procedures to check they are clear and complete. Procedures must give straightforward reporting rules and clear ways to identify and record inspected items and any defects.</w:t>
      </w:r>
    </w:p>
    <w:p w14:paraId="287466C4" w14:textId="77777777" w:rsidR="00D83036" w:rsidRDefault="00D83036" w:rsidP="00EA01BD">
      <w:pPr>
        <w:pStyle w:val="F9-Paragraph"/>
      </w:pPr>
      <w:r w:rsidRPr="00D83036">
        <w:t>Final outage inspection reports (or similar) should be reviewed by inspectors to flag any new concerns that could affect restart. They should also check that the licensee has considered any trends in inspection results and addressed them appropriately.</w:t>
      </w:r>
    </w:p>
    <w:p w14:paraId="346716DC" w14:textId="3137102D" w:rsidR="005B4063" w:rsidRPr="00EA01BD" w:rsidRDefault="00D83036" w:rsidP="00DE4DCF">
      <w:pPr>
        <w:pStyle w:val="F9-Paragraph"/>
        <w:rPr>
          <w:rFonts w:eastAsia="Calibri"/>
        </w:rPr>
      </w:pPr>
      <w:r w:rsidRPr="00D83036">
        <w:t>The frequency of outages must match the requirements for design integrity, as set out in design reports or safety cases. If a licensee wants to change outage frequency, a multi-disciplinary review by ONR may be needed.</w:t>
      </w:r>
    </w:p>
    <w:p w14:paraId="71E4C591" w14:textId="7B483DCD" w:rsidR="005B4063" w:rsidRPr="005B4063" w:rsidRDefault="005B4063" w:rsidP="005141CA">
      <w:pPr>
        <w:pStyle w:val="Heading3"/>
        <w:rPr>
          <w:lang w:eastAsia="en-GB" w:bidi="ar-SA"/>
        </w:rPr>
      </w:pPr>
      <w:r w:rsidRPr="005B4063">
        <w:rPr>
          <w:lang w:eastAsia="en-GB" w:bidi="ar-SA"/>
        </w:rPr>
        <w:t xml:space="preserve">Plant </w:t>
      </w:r>
      <w:r w:rsidR="00ED6F53">
        <w:rPr>
          <w:lang w:eastAsia="en-GB" w:bidi="ar-SA"/>
        </w:rPr>
        <w:t>n</w:t>
      </w:r>
      <w:r w:rsidRPr="005B4063">
        <w:rPr>
          <w:lang w:eastAsia="en-GB" w:bidi="ar-SA"/>
        </w:rPr>
        <w:t xml:space="preserve">ot </w:t>
      </w:r>
      <w:r w:rsidR="00ED6F53">
        <w:rPr>
          <w:lang w:eastAsia="en-GB" w:bidi="ar-SA"/>
        </w:rPr>
        <w:t>u</w:t>
      </w:r>
      <w:r w:rsidRPr="005B4063">
        <w:rPr>
          <w:lang w:eastAsia="en-GB" w:bidi="ar-SA"/>
        </w:rPr>
        <w:t xml:space="preserve">sed </w:t>
      </w:r>
      <w:r w:rsidR="00ED6F53">
        <w:rPr>
          <w:lang w:eastAsia="en-GB" w:bidi="ar-SA"/>
        </w:rPr>
        <w:t>c</w:t>
      </w:r>
      <w:r w:rsidRPr="005B4063">
        <w:rPr>
          <w:lang w:eastAsia="en-GB" w:bidi="ar-SA"/>
        </w:rPr>
        <w:t>ontinuously</w:t>
      </w:r>
    </w:p>
    <w:p w14:paraId="18F69694" w14:textId="0F6DAD1C" w:rsidR="001708E3" w:rsidRDefault="001708E3" w:rsidP="00EA01BD">
      <w:pPr>
        <w:pStyle w:val="F9-Paragraph"/>
      </w:pPr>
      <w:r w:rsidRPr="00EA01BD">
        <w:rPr>
          <w:rFonts w:eastAsia="Calibri"/>
        </w:rPr>
        <w:t>Some Licensees only use certain plant and equipment as needed, such as for supporting submarine work in a dock, and do not set a regular schedule for EIMT. Instead, they require that suitable EIMT is done before the plant is used.</w:t>
      </w:r>
    </w:p>
    <w:p w14:paraId="6BF362FF" w14:textId="0CC5BD29" w:rsidR="005B4063" w:rsidRPr="00EA01BD" w:rsidRDefault="001708E3" w:rsidP="00DE4DCF">
      <w:pPr>
        <w:pStyle w:val="F9-Paragraph"/>
        <w:rPr>
          <w:rFonts w:eastAsia="Calibri"/>
        </w:rPr>
      </w:pPr>
      <w:r w:rsidRPr="001708E3">
        <w:t>Inspectors reviewing planned EIMT for this plant should check that the Licensee has properly considered how the plant may deteriorate between uses when deciding on EIMT needs. Inspectors should also check if there are any legal rules that require regular maintenance for these items.</w:t>
      </w:r>
    </w:p>
    <w:p w14:paraId="2400A262" w14:textId="77777777" w:rsidR="00ED6F53" w:rsidRDefault="00ED6F53" w:rsidP="00943003">
      <w:pPr>
        <w:pStyle w:val="Heading3"/>
        <w:rPr>
          <w:lang w:eastAsia="en-GB" w:bidi="ar-SA"/>
        </w:rPr>
        <w:sectPr w:rsidR="00ED6F53" w:rsidSect="000B2BCD">
          <w:pgSz w:w="11906" w:h="16838" w:code="9"/>
          <w:pgMar w:top="1440" w:right="1440" w:bottom="1440" w:left="1440" w:header="397" w:footer="397" w:gutter="0"/>
          <w:cols w:space="312"/>
          <w:docGrid w:linePitch="360"/>
        </w:sectPr>
      </w:pPr>
    </w:p>
    <w:p w14:paraId="4D000681" w14:textId="77777777" w:rsidR="00943003" w:rsidRDefault="005B4063" w:rsidP="00943003">
      <w:pPr>
        <w:pStyle w:val="Heading3"/>
        <w:rPr>
          <w:lang w:eastAsia="en-GB" w:bidi="ar-SA"/>
        </w:rPr>
      </w:pPr>
      <w:r w:rsidRPr="005B4063">
        <w:rPr>
          <w:lang w:eastAsia="en-GB" w:bidi="ar-SA"/>
        </w:rPr>
        <w:lastRenderedPageBreak/>
        <w:t>Verification of EIMT</w:t>
      </w:r>
    </w:p>
    <w:p w14:paraId="3F13710C" w14:textId="0DB2C6FC" w:rsidR="00943003" w:rsidRPr="00EA01BD" w:rsidRDefault="00193AA7" w:rsidP="00DE4DCF">
      <w:pPr>
        <w:pStyle w:val="F9-Paragraph"/>
        <w:rPr>
          <w:rFonts w:eastAsia="Calibri"/>
        </w:rPr>
      </w:pPr>
      <w:r w:rsidRPr="00EA01BD">
        <w:rPr>
          <w:rFonts w:eastAsia="Calibri"/>
        </w:rPr>
        <w:t>The Licensee should have a process to check that EIMT is properly carried out. The level of checking should match how important the equipment is to nuclear safety. This should include suitable physical checks of EIMT at the facility.</w:t>
      </w:r>
    </w:p>
    <w:p w14:paraId="0EDBDF80" w14:textId="706A74E5" w:rsidR="005B4063" w:rsidRPr="00943003" w:rsidRDefault="005B4063" w:rsidP="005141CA">
      <w:pPr>
        <w:pStyle w:val="Heading3"/>
        <w:rPr>
          <w:lang w:eastAsia="en-GB"/>
        </w:rPr>
      </w:pPr>
      <w:r w:rsidRPr="00943003">
        <w:rPr>
          <w:lang w:eastAsia="en-GB"/>
        </w:rPr>
        <w:t>Periodic Safety Reviews</w:t>
      </w:r>
    </w:p>
    <w:p w14:paraId="407495C1" w14:textId="185AAF90" w:rsidR="00193AA7" w:rsidRDefault="00193AA7" w:rsidP="00EA01BD">
      <w:pPr>
        <w:pStyle w:val="F9-Paragraph"/>
      </w:pPr>
      <w:r w:rsidRPr="00EA01BD">
        <w:rPr>
          <w:rFonts w:eastAsia="Calibri"/>
        </w:rPr>
        <w:t>The Periodic Safety Review (PSR) should check the EIMT arrangements by summarising any plant failures, issues and how they were fixed. The review should result in either suggestions to change EIMT or show that the current EIMT is suitable.</w:t>
      </w:r>
    </w:p>
    <w:p w14:paraId="31CBBB30" w14:textId="77777777" w:rsidR="00193AA7" w:rsidRDefault="00193AA7" w:rsidP="00EA01BD">
      <w:pPr>
        <w:pStyle w:val="F9-Paragraph"/>
      </w:pPr>
      <w:r w:rsidRPr="00193AA7">
        <w:t>It should be confirmed that data from EIMT still supports the reliability claims in the safety case.</w:t>
      </w:r>
    </w:p>
    <w:p w14:paraId="706F525A" w14:textId="77777777" w:rsidR="00193AA7" w:rsidRDefault="00193AA7" w:rsidP="00EA01BD">
      <w:pPr>
        <w:pStyle w:val="F9-Paragraph"/>
      </w:pPr>
      <w:r w:rsidRPr="00193AA7">
        <w:t>Inspectors should check that Licensees are using up-to-date good practices for EIMT.</w:t>
      </w:r>
    </w:p>
    <w:p w14:paraId="244B2283" w14:textId="51B4CDD4" w:rsidR="005B4063" w:rsidRPr="00EA01BD" w:rsidRDefault="00193AA7" w:rsidP="00DE4DCF">
      <w:pPr>
        <w:pStyle w:val="F9-Paragraph"/>
        <w:rPr>
          <w:rFonts w:eastAsia="Calibri"/>
        </w:rPr>
      </w:pPr>
      <w:r w:rsidRPr="00193AA7">
        <w:t xml:space="preserve">For more on PSRs, </w:t>
      </w:r>
      <w:r w:rsidR="00ED6F53">
        <w:t>refer to</w:t>
      </w:r>
      <w:r w:rsidRPr="00193AA7">
        <w:t xml:space="preserve"> </w:t>
      </w:r>
      <w:r w:rsidR="003F768C">
        <w:t xml:space="preserve">ONRs TAG on PSRs </w:t>
      </w:r>
      <w:sdt>
        <w:sdtPr>
          <w:id w:val="-1347562377"/>
          <w:citation/>
        </w:sdtPr>
        <w:sdtContent>
          <w:r w:rsidR="00ED6F53">
            <w:fldChar w:fldCharType="begin"/>
          </w:r>
          <w:r w:rsidR="00ED6F53">
            <w:instrText xml:space="preserve"> CITATION ONR4 \l 2057 </w:instrText>
          </w:r>
          <w:r w:rsidR="00ED6F53">
            <w:fldChar w:fldCharType="separate"/>
          </w:r>
          <w:r w:rsidR="0045054A">
            <w:rPr>
              <w:noProof/>
            </w:rPr>
            <w:t>[14]</w:t>
          </w:r>
          <w:r w:rsidR="00ED6F53">
            <w:fldChar w:fldCharType="end"/>
          </w:r>
        </w:sdtContent>
      </w:sdt>
      <w:r w:rsidRPr="00193AA7">
        <w:t>.</w:t>
      </w:r>
    </w:p>
    <w:p w14:paraId="7177CD8F" w14:textId="63EA735C" w:rsidR="005B4063" w:rsidRPr="005B4063" w:rsidRDefault="005B4063" w:rsidP="005141CA">
      <w:pPr>
        <w:pStyle w:val="Heading3"/>
        <w:rPr>
          <w:lang w:eastAsia="en-GB" w:bidi="ar-SA"/>
        </w:rPr>
      </w:pPr>
      <w:r w:rsidRPr="005B4063">
        <w:rPr>
          <w:lang w:eastAsia="en-GB" w:bidi="ar-SA"/>
        </w:rPr>
        <w:t xml:space="preserve">End of </w:t>
      </w:r>
      <w:r w:rsidR="00ED6F53">
        <w:rPr>
          <w:lang w:eastAsia="en-GB" w:bidi="ar-SA"/>
        </w:rPr>
        <w:t>r</w:t>
      </w:r>
      <w:r w:rsidRPr="005B4063">
        <w:rPr>
          <w:lang w:eastAsia="en-GB" w:bidi="ar-SA"/>
        </w:rPr>
        <w:t xml:space="preserve">outine </w:t>
      </w:r>
      <w:r w:rsidR="00ED6F53">
        <w:rPr>
          <w:lang w:eastAsia="en-GB" w:bidi="ar-SA"/>
        </w:rPr>
        <w:t>o</w:t>
      </w:r>
      <w:r w:rsidRPr="005B4063">
        <w:rPr>
          <w:lang w:eastAsia="en-GB" w:bidi="ar-SA"/>
        </w:rPr>
        <w:t>perations</w:t>
      </w:r>
    </w:p>
    <w:p w14:paraId="4247DFA4" w14:textId="2CDD6DC2" w:rsidR="001105C1" w:rsidRDefault="001105C1" w:rsidP="00EA01BD">
      <w:pPr>
        <w:pStyle w:val="F9-Paragraph"/>
      </w:pPr>
      <w:r w:rsidRPr="001105C1">
        <w:rPr>
          <w:rFonts w:eastAsia="Calibri"/>
        </w:rPr>
        <w:t>Inspectors should assess whether reductions in EIMT are justified by updated safety cases for each phase of decommissioning. They should also consider if extra or revised EIMT is needed due to changes in environmental conditions, usage frequency, or other relevant factors.</w:t>
      </w:r>
    </w:p>
    <w:p w14:paraId="7FEAF2D5" w14:textId="49984FD2" w:rsidR="007D2430" w:rsidRPr="00EA01BD" w:rsidRDefault="001105C1" w:rsidP="00DE4DCF">
      <w:pPr>
        <w:pStyle w:val="F9-Paragraph"/>
        <w:rPr>
          <w:rFonts w:eastAsia="Calibri"/>
        </w:rPr>
      </w:pPr>
      <w:r w:rsidRPr="001105C1">
        <w:t xml:space="preserve">For more on decommissioning, </w:t>
      </w:r>
      <w:r w:rsidR="00ED6F53">
        <w:t>refer to</w:t>
      </w:r>
      <w:r w:rsidRPr="001105C1">
        <w:t xml:space="preserve"> </w:t>
      </w:r>
      <w:r w:rsidR="003F768C">
        <w:t xml:space="preserve">ONRs TAG on decommissioning </w:t>
      </w:r>
      <w:sdt>
        <w:sdtPr>
          <w:id w:val="1875578478"/>
          <w:citation/>
        </w:sdtPr>
        <w:sdtContent>
          <w:r w:rsidR="00ED6F53">
            <w:fldChar w:fldCharType="begin"/>
          </w:r>
          <w:r w:rsidR="00ED6F53">
            <w:instrText xml:space="preserve">CITATION ONR156 \l 2057 </w:instrText>
          </w:r>
          <w:r w:rsidR="00ED6F53">
            <w:fldChar w:fldCharType="separate"/>
          </w:r>
          <w:r w:rsidR="0045054A">
            <w:rPr>
              <w:noProof/>
            </w:rPr>
            <w:t>[15]</w:t>
          </w:r>
          <w:r w:rsidR="00ED6F53">
            <w:fldChar w:fldCharType="end"/>
          </w:r>
        </w:sdtContent>
      </w:sdt>
      <w:r w:rsidRPr="001105C1">
        <w:t>.</w:t>
      </w:r>
    </w:p>
    <w:p w14:paraId="6D79B7C8" w14:textId="5234CB2F" w:rsidR="005B4063" w:rsidRDefault="00507019">
      <w:pPr>
        <w:spacing w:after="0" w:line="240" w:lineRule="auto"/>
        <w:rPr>
          <w:rFonts w:eastAsia="Times New Roman"/>
          <w:szCs w:val="24"/>
          <w:lang w:eastAsia="en-GB" w:bidi="ar-SA"/>
        </w:rPr>
      </w:pPr>
      <w:r>
        <w:rPr>
          <w:lang w:eastAsia="en-GB"/>
        </w:rPr>
        <w:br w:type="page"/>
      </w:r>
    </w:p>
    <w:p w14:paraId="111689B3" w14:textId="77777777" w:rsidR="00ED6F53" w:rsidRDefault="00ED6F53" w:rsidP="00ED6F53">
      <w:pPr>
        <w:pStyle w:val="Heading1"/>
        <w:numPr>
          <w:ilvl w:val="0"/>
          <w:numId w:val="0"/>
        </w:numPr>
        <w:ind w:left="851" w:hanging="851"/>
      </w:pPr>
      <w:bookmarkStart w:id="395" w:name="_Ref133312852"/>
      <w:bookmarkStart w:id="396" w:name="_Toc224840104"/>
      <w:r>
        <w:lastRenderedPageBreak/>
        <w:t>Appendix 1</w:t>
      </w:r>
      <w:bookmarkEnd w:id="395"/>
      <w:r>
        <w:t xml:space="preserve"> – Site Licence Conditions</w:t>
      </w:r>
      <w:bookmarkStart w:id="397" w:name="_Toc133312430"/>
      <w:bookmarkStart w:id="398" w:name="_Toc133312444"/>
      <w:bookmarkStart w:id="399" w:name="_Toc133312492"/>
      <w:bookmarkStart w:id="400" w:name="_Toc133312431"/>
      <w:bookmarkStart w:id="401" w:name="_Toc133312445"/>
      <w:bookmarkStart w:id="402" w:name="_Toc133312493"/>
      <w:bookmarkEnd w:id="396"/>
      <w:bookmarkEnd w:id="397"/>
      <w:bookmarkEnd w:id="398"/>
      <w:bookmarkEnd w:id="399"/>
      <w:bookmarkEnd w:id="400"/>
      <w:bookmarkEnd w:id="401"/>
      <w:bookmarkEnd w:id="402"/>
    </w:p>
    <w:p w14:paraId="28AD5805" w14:textId="70AECD0E" w:rsidR="00ED6F53" w:rsidRDefault="00ED6F53" w:rsidP="00ED6F53">
      <w:pPr>
        <w:pStyle w:val="Caption"/>
        <w:keepNext/>
      </w:pPr>
      <w:bookmarkStart w:id="403" w:name="_Ref133315945"/>
      <w:r>
        <w:t xml:space="preserve">Table </w:t>
      </w:r>
      <w:r>
        <w:fldChar w:fldCharType="begin"/>
      </w:r>
      <w:r>
        <w:instrText xml:space="preserve"> SEQ Table \* ARABIC </w:instrText>
      </w:r>
      <w:r>
        <w:fldChar w:fldCharType="separate"/>
      </w:r>
      <w:r>
        <w:rPr>
          <w:noProof/>
        </w:rPr>
        <w:t>3</w:t>
      </w:r>
      <w:r>
        <w:rPr>
          <w:noProof/>
        </w:rPr>
        <w:fldChar w:fldCharType="end"/>
      </w:r>
      <w:bookmarkEnd w:id="403"/>
      <w:r>
        <w:t xml:space="preserve"> - Relevant Site Licence Conditions relating to EIMT</w:t>
      </w:r>
    </w:p>
    <w:tbl>
      <w:tblPr>
        <w:tblStyle w:val="ONRTable1"/>
        <w:tblW w:w="5000" w:type="pct"/>
        <w:tblInd w:w="0" w:type="dxa"/>
        <w:tblLook w:val="04A0" w:firstRow="1" w:lastRow="0" w:firstColumn="1" w:lastColumn="0" w:noHBand="0" w:noVBand="1"/>
      </w:tblPr>
      <w:tblGrid>
        <w:gridCol w:w="2016"/>
        <w:gridCol w:w="7010"/>
      </w:tblGrid>
      <w:tr w:rsidR="00ED6F53" w:rsidRPr="00ED6F53" w14:paraId="72A7CEFB" w14:textId="77777777" w:rsidTr="00ED6F53">
        <w:trPr>
          <w:cnfStyle w:val="100000000000" w:firstRow="1" w:lastRow="0" w:firstColumn="0" w:lastColumn="0" w:oddVBand="0" w:evenVBand="0" w:oddHBand="0" w:evenHBand="0" w:firstRowFirstColumn="0" w:firstRowLastColumn="0" w:lastRowFirstColumn="0" w:lastRowLastColumn="0"/>
          <w:cantSplit/>
          <w:trHeight w:val="292"/>
          <w:tblHeader/>
        </w:trPr>
        <w:tc>
          <w:tcPr>
            <w:tcW w:w="1136" w:type="pct"/>
            <w:noWrap/>
            <w:hideMark/>
          </w:tcPr>
          <w:p w14:paraId="1D166FF1" w14:textId="77777777" w:rsidR="00ED6F53" w:rsidRPr="00ED6F53" w:rsidRDefault="00ED6F53" w:rsidP="00ED6F53">
            <w:pPr>
              <w:spacing w:before="60" w:after="60" w:line="259" w:lineRule="auto"/>
              <w:rPr>
                <w:rFonts w:eastAsia="Times New Roman" w:cs="Arial"/>
                <w:color w:val="000000"/>
                <w:szCs w:val="24"/>
                <w:lang w:eastAsia="en-GB" w:bidi="ar-SA"/>
              </w:rPr>
            </w:pPr>
            <w:r w:rsidRPr="00ED6F53">
              <w:rPr>
                <w:rFonts w:eastAsia="Times New Roman" w:cs="Arial"/>
                <w:color w:val="000000"/>
                <w:szCs w:val="24"/>
                <w:lang w:eastAsia="en-GB" w:bidi="ar-SA"/>
              </w:rPr>
              <w:t>Site Licence Conditions</w:t>
            </w:r>
          </w:p>
        </w:tc>
        <w:tc>
          <w:tcPr>
            <w:tcW w:w="3864" w:type="pct"/>
            <w:noWrap/>
            <w:hideMark/>
          </w:tcPr>
          <w:p w14:paraId="00D125E7" w14:textId="77777777" w:rsidR="00ED6F53" w:rsidRPr="00ED6F53" w:rsidRDefault="00ED6F53" w:rsidP="00ED6F53">
            <w:pPr>
              <w:spacing w:before="60" w:after="60" w:line="259" w:lineRule="auto"/>
              <w:rPr>
                <w:rFonts w:eastAsia="Times New Roman" w:cs="Arial"/>
                <w:color w:val="000000"/>
                <w:szCs w:val="24"/>
                <w:lang w:eastAsia="en-GB" w:bidi="ar-SA"/>
              </w:rPr>
            </w:pPr>
            <w:r w:rsidRPr="00ED6F53">
              <w:rPr>
                <w:rFonts w:eastAsia="Times New Roman" w:cs="Arial"/>
                <w:color w:val="000000"/>
                <w:szCs w:val="24"/>
                <w:lang w:eastAsia="en-GB" w:bidi="ar-SA"/>
              </w:rPr>
              <w:t>Notes:</w:t>
            </w:r>
          </w:p>
        </w:tc>
      </w:tr>
      <w:tr w:rsidR="00ED6F53" w:rsidRPr="00ED6F53" w14:paraId="44613DB9" w14:textId="77777777" w:rsidTr="00ED6F53">
        <w:trPr>
          <w:cantSplit/>
          <w:trHeight w:val="292"/>
        </w:trPr>
        <w:tc>
          <w:tcPr>
            <w:tcW w:w="1136" w:type="pct"/>
            <w:noWrap/>
          </w:tcPr>
          <w:p w14:paraId="2ABC58A4" w14:textId="77777777" w:rsidR="00ED6F53" w:rsidRPr="00ED6F53" w:rsidRDefault="00ED6F53" w:rsidP="00ED6F53">
            <w:pPr>
              <w:spacing w:before="60" w:after="60" w:line="259" w:lineRule="auto"/>
              <w:rPr>
                <w:rFonts w:eastAsia="Times New Roman" w:cs="Arial"/>
                <w:color w:val="000000"/>
                <w:szCs w:val="24"/>
                <w:lang w:eastAsia="en-GB" w:bidi="ar-SA"/>
              </w:rPr>
            </w:pPr>
            <w:r w:rsidRPr="00ED6F53">
              <w:rPr>
                <w:rFonts w:eastAsia="Times New Roman" w:cs="Arial"/>
                <w:color w:val="000000"/>
                <w:szCs w:val="24"/>
                <w:lang w:eastAsia="en-GB" w:bidi="ar-SA"/>
              </w:rPr>
              <w:t>LC 7: Incidents on the site</w:t>
            </w:r>
          </w:p>
        </w:tc>
        <w:tc>
          <w:tcPr>
            <w:tcW w:w="3864" w:type="pct"/>
            <w:noWrap/>
          </w:tcPr>
          <w:p w14:paraId="16A14859" w14:textId="77777777" w:rsidR="00ED6F53" w:rsidRPr="00ED6F53" w:rsidRDefault="00ED6F53" w:rsidP="00ED6F53">
            <w:pPr>
              <w:spacing w:before="60" w:after="60" w:line="259" w:lineRule="auto"/>
              <w:rPr>
                <w:rFonts w:eastAsia="Times New Roman" w:cs="Arial"/>
                <w:color w:val="000000"/>
                <w:szCs w:val="24"/>
                <w:lang w:eastAsia="en-GB" w:bidi="ar-SA"/>
              </w:rPr>
            </w:pPr>
            <w:r w:rsidRPr="00ED6F53">
              <w:rPr>
                <w:rFonts w:eastAsia="Times New Roman" w:cs="Arial"/>
                <w:color w:val="000000"/>
                <w:szCs w:val="24"/>
                <w:lang w:eastAsia="en-GB" w:bidi="ar-SA"/>
              </w:rPr>
              <w:t>Any incidents involving EIMT activities which had or may have had an effect on nuclear safety should be recorded, investigated and notified to ONR.</w:t>
            </w:r>
          </w:p>
        </w:tc>
      </w:tr>
      <w:tr w:rsidR="00ED6F53" w:rsidRPr="00ED6F53" w14:paraId="68FFBCE1" w14:textId="77777777" w:rsidTr="00ED6F53">
        <w:trPr>
          <w:cantSplit/>
          <w:trHeight w:val="292"/>
        </w:trPr>
        <w:tc>
          <w:tcPr>
            <w:tcW w:w="1136" w:type="pct"/>
            <w:noWrap/>
            <w:hideMark/>
          </w:tcPr>
          <w:p w14:paraId="6189AF4E" w14:textId="77777777" w:rsidR="00ED6F53" w:rsidRPr="00ED6F53" w:rsidRDefault="00ED6F53" w:rsidP="00ED6F53">
            <w:pPr>
              <w:spacing w:before="60" w:after="60" w:line="259" w:lineRule="auto"/>
              <w:rPr>
                <w:rFonts w:eastAsia="Times New Roman" w:cs="Arial"/>
                <w:color w:val="000000"/>
                <w:szCs w:val="24"/>
                <w:lang w:eastAsia="en-GB" w:bidi="ar-SA"/>
              </w:rPr>
            </w:pPr>
            <w:r w:rsidRPr="00ED6F53">
              <w:rPr>
                <w:rFonts w:eastAsia="Times New Roman" w:cs="Arial"/>
                <w:color w:val="000000"/>
                <w:szCs w:val="24"/>
                <w:lang w:eastAsia="en-GB" w:bidi="ar-SA"/>
              </w:rPr>
              <w:t>LC 10: Training</w:t>
            </w:r>
          </w:p>
        </w:tc>
        <w:tc>
          <w:tcPr>
            <w:tcW w:w="3864" w:type="pct"/>
            <w:noWrap/>
            <w:hideMark/>
          </w:tcPr>
          <w:p w14:paraId="7A174003" w14:textId="77777777" w:rsidR="00ED6F53" w:rsidRPr="00ED6F53" w:rsidRDefault="00ED6F53" w:rsidP="00ED6F53">
            <w:pPr>
              <w:spacing w:before="60" w:after="60" w:line="259" w:lineRule="auto"/>
              <w:rPr>
                <w:rFonts w:eastAsia="Times New Roman" w:cs="Arial"/>
                <w:color w:val="000000"/>
                <w:szCs w:val="24"/>
                <w:lang w:eastAsia="en-GB" w:bidi="ar-SA"/>
              </w:rPr>
            </w:pPr>
            <w:r w:rsidRPr="00ED6F53">
              <w:rPr>
                <w:rFonts w:eastAsia="Times New Roman" w:cs="Arial"/>
                <w:color w:val="000000"/>
                <w:szCs w:val="24"/>
                <w:lang w:eastAsia="en-GB" w:bidi="ar-SA"/>
              </w:rPr>
              <w:t>The Licensee shall make and implement adequate arrangements for suitable training for all those on site who have responsibility for any EIMT operations which may affect safety.</w:t>
            </w:r>
          </w:p>
        </w:tc>
      </w:tr>
      <w:tr w:rsidR="00ED6F53" w:rsidRPr="00ED6F53" w14:paraId="067DD7EA" w14:textId="77777777" w:rsidTr="00ED6F53">
        <w:trPr>
          <w:cantSplit/>
          <w:trHeight w:val="292"/>
        </w:trPr>
        <w:tc>
          <w:tcPr>
            <w:tcW w:w="1136" w:type="pct"/>
            <w:noWrap/>
            <w:hideMark/>
          </w:tcPr>
          <w:p w14:paraId="35FE0571" w14:textId="77777777" w:rsidR="00ED6F53" w:rsidRPr="00ED6F53" w:rsidRDefault="00ED6F53" w:rsidP="00ED6F53">
            <w:pPr>
              <w:spacing w:before="60" w:after="60" w:line="259" w:lineRule="auto"/>
              <w:rPr>
                <w:rFonts w:eastAsia="Times New Roman" w:cs="Arial"/>
                <w:color w:val="000000"/>
                <w:szCs w:val="24"/>
                <w:lang w:eastAsia="en-GB" w:bidi="ar-SA"/>
              </w:rPr>
            </w:pPr>
            <w:r w:rsidRPr="00ED6F53">
              <w:rPr>
                <w:rFonts w:eastAsia="Times New Roman" w:cs="Arial"/>
                <w:color w:val="000000"/>
                <w:szCs w:val="24"/>
                <w:lang w:eastAsia="en-GB" w:bidi="ar-SA"/>
              </w:rPr>
              <w:t>LC 12: Duly Authorised and other Suitably Qualified and Experienced Persons</w:t>
            </w:r>
          </w:p>
        </w:tc>
        <w:tc>
          <w:tcPr>
            <w:tcW w:w="3864" w:type="pct"/>
            <w:noWrap/>
            <w:hideMark/>
          </w:tcPr>
          <w:p w14:paraId="6D2383A2" w14:textId="77777777" w:rsidR="00ED6F53" w:rsidRPr="00ED6F53" w:rsidRDefault="00ED6F53" w:rsidP="00ED6F53">
            <w:pPr>
              <w:spacing w:before="60" w:after="60" w:line="259" w:lineRule="auto"/>
              <w:rPr>
                <w:rFonts w:eastAsia="Times New Roman" w:cs="Arial"/>
                <w:color w:val="000000"/>
                <w:szCs w:val="24"/>
                <w:lang w:eastAsia="en-GB" w:bidi="ar-SA"/>
              </w:rPr>
            </w:pPr>
            <w:r w:rsidRPr="00ED6F53">
              <w:rPr>
                <w:rFonts w:eastAsia="Times New Roman" w:cs="Arial"/>
                <w:color w:val="000000"/>
                <w:szCs w:val="24"/>
                <w:lang w:eastAsia="en-GB" w:bidi="ar-SA"/>
              </w:rPr>
              <w:t>Only Suitably Qualified and Experienced Persons shall perform EIMT activities which may affect nuclear safety.</w:t>
            </w:r>
          </w:p>
        </w:tc>
      </w:tr>
      <w:tr w:rsidR="00ED6F53" w:rsidRPr="00ED6F53" w14:paraId="597C3B23" w14:textId="77777777" w:rsidTr="00ED6F53">
        <w:trPr>
          <w:cantSplit/>
          <w:trHeight w:val="292"/>
        </w:trPr>
        <w:tc>
          <w:tcPr>
            <w:tcW w:w="1136" w:type="pct"/>
            <w:noWrap/>
            <w:hideMark/>
          </w:tcPr>
          <w:p w14:paraId="24D0DB70" w14:textId="77777777" w:rsidR="00ED6F53" w:rsidRPr="00ED6F53" w:rsidRDefault="00ED6F53" w:rsidP="00ED6F53">
            <w:pPr>
              <w:spacing w:before="60" w:after="60" w:line="259" w:lineRule="auto"/>
              <w:rPr>
                <w:rFonts w:eastAsia="Times New Roman" w:cs="Arial"/>
                <w:color w:val="000000"/>
                <w:szCs w:val="24"/>
                <w:lang w:eastAsia="en-GB" w:bidi="ar-SA"/>
              </w:rPr>
            </w:pPr>
            <w:r w:rsidRPr="00ED6F53">
              <w:rPr>
                <w:rFonts w:eastAsia="Times New Roman" w:cs="Arial"/>
                <w:color w:val="000000"/>
                <w:szCs w:val="24"/>
                <w:lang w:eastAsia="en-GB" w:bidi="ar-SA"/>
              </w:rPr>
              <w:t>LC 14: Safety documentation</w:t>
            </w:r>
          </w:p>
        </w:tc>
        <w:tc>
          <w:tcPr>
            <w:tcW w:w="3864" w:type="pct"/>
            <w:noWrap/>
            <w:hideMark/>
          </w:tcPr>
          <w:p w14:paraId="7B7F30B3" w14:textId="77777777" w:rsidR="00ED6F53" w:rsidRPr="00ED6F53" w:rsidRDefault="00ED6F53" w:rsidP="00ED6F53">
            <w:pPr>
              <w:spacing w:before="60" w:after="60" w:line="259" w:lineRule="auto"/>
              <w:rPr>
                <w:rFonts w:eastAsia="Times New Roman" w:cs="Arial"/>
                <w:color w:val="000000"/>
                <w:szCs w:val="24"/>
                <w:lang w:eastAsia="en-GB" w:bidi="ar-SA"/>
              </w:rPr>
            </w:pPr>
            <w:r w:rsidRPr="00ED6F53">
              <w:rPr>
                <w:rFonts w:eastAsia="Times New Roman" w:cs="Arial"/>
                <w:color w:val="000000"/>
                <w:szCs w:val="24"/>
                <w:lang w:eastAsia="en-GB" w:bidi="ar-SA"/>
              </w:rPr>
              <w:t>The safety case for the facility, including the identification of EIMT, is produced and assessed by the licensee under this condition, which also requires documentation to be submitted to ONR on request.</w:t>
            </w:r>
          </w:p>
        </w:tc>
      </w:tr>
      <w:tr w:rsidR="00ED6F53" w:rsidRPr="00ED6F53" w14:paraId="61D637BE" w14:textId="77777777" w:rsidTr="00ED6F53">
        <w:trPr>
          <w:cantSplit/>
          <w:trHeight w:val="292"/>
        </w:trPr>
        <w:tc>
          <w:tcPr>
            <w:tcW w:w="1136" w:type="pct"/>
            <w:noWrap/>
            <w:hideMark/>
          </w:tcPr>
          <w:p w14:paraId="0DF58E27" w14:textId="77777777" w:rsidR="00ED6F53" w:rsidRPr="00ED6F53" w:rsidRDefault="00ED6F53" w:rsidP="00ED6F53">
            <w:pPr>
              <w:spacing w:before="60" w:after="60" w:line="259" w:lineRule="auto"/>
              <w:rPr>
                <w:rFonts w:eastAsia="Times New Roman" w:cs="Arial"/>
                <w:color w:val="000000"/>
                <w:szCs w:val="24"/>
                <w:lang w:eastAsia="en-GB" w:bidi="ar-SA"/>
              </w:rPr>
            </w:pPr>
            <w:r w:rsidRPr="00ED6F53">
              <w:rPr>
                <w:rFonts w:eastAsia="Times New Roman" w:cs="Arial"/>
                <w:color w:val="000000"/>
                <w:szCs w:val="24"/>
                <w:lang w:eastAsia="en-GB" w:bidi="ar-SA"/>
              </w:rPr>
              <w:t>LC 15: Periodic review</w:t>
            </w:r>
          </w:p>
        </w:tc>
        <w:tc>
          <w:tcPr>
            <w:tcW w:w="3864" w:type="pct"/>
            <w:noWrap/>
            <w:hideMark/>
          </w:tcPr>
          <w:p w14:paraId="205B18E1" w14:textId="77777777" w:rsidR="00ED6F53" w:rsidRPr="00ED6F53" w:rsidRDefault="00ED6F53" w:rsidP="00ED6F53">
            <w:pPr>
              <w:spacing w:before="60" w:after="60" w:line="259" w:lineRule="auto"/>
              <w:rPr>
                <w:rFonts w:eastAsia="Times New Roman" w:cs="Arial"/>
                <w:color w:val="000000"/>
                <w:szCs w:val="24"/>
                <w:lang w:eastAsia="en-GB" w:bidi="ar-SA"/>
              </w:rPr>
            </w:pPr>
            <w:r w:rsidRPr="00ED6F53">
              <w:rPr>
                <w:rFonts w:eastAsia="Times New Roman" w:cs="Arial"/>
                <w:color w:val="000000"/>
                <w:szCs w:val="24"/>
                <w:lang w:eastAsia="en-GB" w:bidi="ar-SA"/>
              </w:rPr>
              <w:t>The adequacy of the Licensee’s safety case should be reviewed in terms of EIMT against the current operating conditions, Operating Experience (OpEX), statutory requirements and modern techniques to ensure that there have been no significant changes sufficient to invalidate the safety case.</w:t>
            </w:r>
          </w:p>
        </w:tc>
      </w:tr>
      <w:tr w:rsidR="00ED6F53" w:rsidRPr="00ED6F53" w14:paraId="2CE1BB4F" w14:textId="77777777" w:rsidTr="00ED6F53">
        <w:trPr>
          <w:cantSplit/>
          <w:trHeight w:val="292"/>
        </w:trPr>
        <w:tc>
          <w:tcPr>
            <w:tcW w:w="1136" w:type="pct"/>
            <w:noWrap/>
            <w:hideMark/>
          </w:tcPr>
          <w:p w14:paraId="72256337" w14:textId="77777777" w:rsidR="00ED6F53" w:rsidRPr="00ED6F53" w:rsidRDefault="00ED6F53" w:rsidP="00ED6F53">
            <w:pPr>
              <w:spacing w:before="60" w:after="60" w:line="259" w:lineRule="auto"/>
              <w:rPr>
                <w:rFonts w:eastAsia="Times New Roman" w:cs="Arial"/>
                <w:color w:val="000000"/>
                <w:szCs w:val="24"/>
                <w:lang w:eastAsia="en-GB" w:bidi="ar-SA"/>
              </w:rPr>
            </w:pPr>
            <w:r w:rsidRPr="00ED6F53">
              <w:rPr>
                <w:rFonts w:eastAsia="Times New Roman" w:cs="Arial"/>
                <w:color w:val="000000"/>
                <w:szCs w:val="24"/>
                <w:lang w:eastAsia="en-GB" w:bidi="ar-SA"/>
              </w:rPr>
              <w:t>LC 17: Management systems</w:t>
            </w:r>
          </w:p>
        </w:tc>
        <w:tc>
          <w:tcPr>
            <w:tcW w:w="3864" w:type="pct"/>
            <w:noWrap/>
            <w:hideMark/>
          </w:tcPr>
          <w:p w14:paraId="1F5C241A" w14:textId="77777777" w:rsidR="00ED6F53" w:rsidRPr="00ED6F53" w:rsidRDefault="00ED6F53" w:rsidP="00ED6F53">
            <w:pPr>
              <w:spacing w:before="60" w:after="60" w:line="259" w:lineRule="auto"/>
              <w:rPr>
                <w:rFonts w:eastAsia="Times New Roman" w:cs="Arial"/>
                <w:color w:val="000000"/>
                <w:szCs w:val="24"/>
                <w:lang w:eastAsia="en-GB" w:bidi="ar-SA"/>
              </w:rPr>
            </w:pPr>
            <w:r w:rsidRPr="00ED6F53">
              <w:rPr>
                <w:rFonts w:eastAsia="Times New Roman" w:cs="Arial"/>
                <w:color w:val="000000"/>
                <w:szCs w:val="24"/>
                <w:lang w:eastAsia="en-GB" w:bidi="ar-SA"/>
              </w:rPr>
              <w:t>Adequate quality assurance arrangements shall be implemented for all EIMT activities.</w:t>
            </w:r>
          </w:p>
        </w:tc>
      </w:tr>
      <w:tr w:rsidR="00ED6F53" w:rsidRPr="00ED6F53" w14:paraId="156E2338" w14:textId="77777777" w:rsidTr="00ED6F53">
        <w:trPr>
          <w:cantSplit/>
          <w:trHeight w:val="292"/>
        </w:trPr>
        <w:tc>
          <w:tcPr>
            <w:tcW w:w="1136" w:type="pct"/>
            <w:noWrap/>
            <w:hideMark/>
          </w:tcPr>
          <w:p w14:paraId="6ADB9293" w14:textId="77777777" w:rsidR="00ED6F53" w:rsidRPr="00ED6F53" w:rsidRDefault="00ED6F53" w:rsidP="00ED6F53">
            <w:pPr>
              <w:spacing w:before="60" w:after="60" w:line="259" w:lineRule="auto"/>
              <w:rPr>
                <w:rFonts w:eastAsia="Times New Roman" w:cs="Arial"/>
                <w:color w:val="000000"/>
                <w:szCs w:val="24"/>
                <w:lang w:eastAsia="en-GB" w:bidi="ar-SA"/>
              </w:rPr>
            </w:pPr>
            <w:r w:rsidRPr="00ED6F53">
              <w:rPr>
                <w:rFonts w:eastAsia="Times New Roman" w:cs="Arial"/>
                <w:color w:val="000000"/>
                <w:szCs w:val="24"/>
                <w:lang w:eastAsia="en-GB" w:bidi="ar-SA"/>
              </w:rPr>
              <w:t>LC 20: Modifications to design of plant under construction</w:t>
            </w:r>
          </w:p>
        </w:tc>
        <w:tc>
          <w:tcPr>
            <w:tcW w:w="3864" w:type="pct"/>
            <w:noWrap/>
            <w:hideMark/>
          </w:tcPr>
          <w:p w14:paraId="0492F92F" w14:textId="77777777" w:rsidR="00ED6F53" w:rsidRPr="00ED6F53" w:rsidRDefault="00ED6F53" w:rsidP="00ED6F53">
            <w:pPr>
              <w:spacing w:before="60" w:after="60" w:line="259" w:lineRule="auto"/>
              <w:rPr>
                <w:rFonts w:eastAsia="Times New Roman" w:cs="Arial"/>
                <w:color w:val="000000"/>
                <w:szCs w:val="24"/>
                <w:lang w:eastAsia="en-GB" w:bidi="ar-SA"/>
              </w:rPr>
            </w:pPr>
            <w:r w:rsidRPr="00ED6F53">
              <w:rPr>
                <w:rFonts w:eastAsia="Times New Roman" w:cs="Arial"/>
                <w:color w:val="000000"/>
                <w:szCs w:val="24"/>
                <w:lang w:eastAsia="en-GB" w:bidi="ar-SA"/>
              </w:rPr>
              <w:t>the licensee shall ensure that no modification to the design which may affect safety is made to any plant during the period of construction except in accordance with adequate arrangements made and implemented by the Licensee for that purpose.</w:t>
            </w:r>
          </w:p>
        </w:tc>
      </w:tr>
      <w:tr w:rsidR="00ED6F53" w:rsidRPr="00ED6F53" w14:paraId="23D51927" w14:textId="77777777" w:rsidTr="00ED6F53">
        <w:trPr>
          <w:cantSplit/>
          <w:trHeight w:val="292"/>
        </w:trPr>
        <w:tc>
          <w:tcPr>
            <w:tcW w:w="1136" w:type="pct"/>
            <w:noWrap/>
            <w:hideMark/>
          </w:tcPr>
          <w:p w14:paraId="3D49D617" w14:textId="77777777" w:rsidR="00ED6F53" w:rsidRPr="00ED6F53" w:rsidRDefault="00ED6F53" w:rsidP="00ED6F53">
            <w:pPr>
              <w:spacing w:before="60" w:after="60" w:line="259" w:lineRule="auto"/>
              <w:rPr>
                <w:rFonts w:eastAsia="Times New Roman" w:cs="Arial"/>
                <w:color w:val="000000"/>
                <w:szCs w:val="24"/>
                <w:lang w:eastAsia="en-GB" w:bidi="ar-SA"/>
              </w:rPr>
            </w:pPr>
            <w:r w:rsidRPr="00ED6F53">
              <w:rPr>
                <w:rFonts w:eastAsia="Times New Roman" w:cs="Arial"/>
                <w:color w:val="000000"/>
                <w:szCs w:val="24"/>
                <w:lang w:eastAsia="en-GB" w:bidi="ar-SA"/>
              </w:rPr>
              <w:t>LC 21: Commissioning</w:t>
            </w:r>
          </w:p>
        </w:tc>
        <w:tc>
          <w:tcPr>
            <w:tcW w:w="3864" w:type="pct"/>
            <w:noWrap/>
            <w:hideMark/>
          </w:tcPr>
          <w:p w14:paraId="54A6F36A" w14:textId="77777777" w:rsidR="00ED6F53" w:rsidRPr="00ED6F53" w:rsidRDefault="00ED6F53" w:rsidP="00ED6F53">
            <w:pPr>
              <w:spacing w:before="60" w:after="60" w:line="259" w:lineRule="auto"/>
              <w:rPr>
                <w:rFonts w:eastAsia="Times New Roman" w:cs="Arial"/>
                <w:color w:val="000000"/>
                <w:szCs w:val="24"/>
                <w:lang w:eastAsia="en-GB" w:bidi="ar-SA"/>
              </w:rPr>
            </w:pPr>
            <w:r w:rsidRPr="00ED6F53">
              <w:rPr>
                <w:rFonts w:eastAsia="Times New Roman" w:cs="Arial"/>
                <w:color w:val="000000"/>
                <w:szCs w:val="24"/>
                <w:lang w:eastAsia="en-GB" w:bidi="ar-SA"/>
              </w:rPr>
              <w:t>The Licensee should take the opportunity to both demonstrate the practicality of EIMT activities and gather baseline plant data during commissioning.</w:t>
            </w:r>
          </w:p>
        </w:tc>
      </w:tr>
      <w:tr w:rsidR="00ED6F53" w:rsidRPr="00ED6F53" w14:paraId="220DFF58" w14:textId="77777777" w:rsidTr="00ED6F53">
        <w:trPr>
          <w:cantSplit/>
          <w:trHeight w:val="292"/>
        </w:trPr>
        <w:tc>
          <w:tcPr>
            <w:tcW w:w="1136" w:type="pct"/>
            <w:noWrap/>
            <w:hideMark/>
          </w:tcPr>
          <w:p w14:paraId="4132B95F" w14:textId="77777777" w:rsidR="00ED6F53" w:rsidRPr="00ED6F53" w:rsidRDefault="00ED6F53" w:rsidP="00ED6F53">
            <w:pPr>
              <w:spacing w:before="60" w:after="60" w:line="259" w:lineRule="auto"/>
              <w:rPr>
                <w:rFonts w:eastAsia="Times New Roman" w:cs="Arial"/>
                <w:color w:val="000000"/>
                <w:szCs w:val="24"/>
                <w:lang w:eastAsia="en-GB" w:bidi="ar-SA"/>
              </w:rPr>
            </w:pPr>
            <w:r w:rsidRPr="00ED6F53">
              <w:rPr>
                <w:rFonts w:eastAsia="Times New Roman" w:cs="Arial"/>
                <w:color w:val="000000"/>
                <w:szCs w:val="24"/>
                <w:lang w:eastAsia="en-GB" w:bidi="ar-SA"/>
              </w:rPr>
              <w:lastRenderedPageBreak/>
              <w:t>LC 22: Modification or experiment on existing plant</w:t>
            </w:r>
          </w:p>
        </w:tc>
        <w:tc>
          <w:tcPr>
            <w:tcW w:w="3864" w:type="pct"/>
            <w:noWrap/>
            <w:hideMark/>
          </w:tcPr>
          <w:p w14:paraId="51FE40EF" w14:textId="77777777" w:rsidR="00ED6F53" w:rsidRPr="00ED6F53" w:rsidRDefault="00ED6F53" w:rsidP="00ED6F53">
            <w:pPr>
              <w:spacing w:before="60" w:after="60" w:line="259" w:lineRule="auto"/>
              <w:rPr>
                <w:rFonts w:eastAsia="Times New Roman" w:cs="Arial"/>
                <w:color w:val="000000"/>
                <w:szCs w:val="24"/>
                <w:lang w:eastAsia="en-GB" w:bidi="ar-SA"/>
              </w:rPr>
            </w:pPr>
            <w:r w:rsidRPr="00ED6F53">
              <w:rPr>
                <w:rFonts w:eastAsia="Times New Roman" w:cs="Arial"/>
                <w:color w:val="000000"/>
                <w:szCs w:val="24"/>
                <w:lang w:eastAsia="en-GB" w:bidi="ar-SA"/>
              </w:rPr>
              <w:t>Such modifications should be assessed to ensure that they do not impact adversely on EIMT and any additional EIMT for new equipment should be identified.</w:t>
            </w:r>
          </w:p>
        </w:tc>
      </w:tr>
      <w:tr w:rsidR="00ED6F53" w:rsidRPr="00ED6F53" w14:paraId="502C18E2" w14:textId="77777777" w:rsidTr="00ED6F53">
        <w:trPr>
          <w:cantSplit/>
          <w:trHeight w:val="292"/>
        </w:trPr>
        <w:tc>
          <w:tcPr>
            <w:tcW w:w="1136" w:type="pct"/>
            <w:noWrap/>
            <w:hideMark/>
          </w:tcPr>
          <w:p w14:paraId="0E09A9BD" w14:textId="77777777" w:rsidR="00ED6F53" w:rsidRPr="00ED6F53" w:rsidRDefault="00ED6F53" w:rsidP="00ED6F53">
            <w:pPr>
              <w:spacing w:before="60" w:after="60" w:line="259" w:lineRule="auto"/>
              <w:rPr>
                <w:rFonts w:eastAsia="Times New Roman" w:cs="Arial"/>
                <w:color w:val="000000"/>
                <w:szCs w:val="24"/>
                <w:lang w:eastAsia="en-GB" w:bidi="ar-SA"/>
              </w:rPr>
            </w:pPr>
            <w:r w:rsidRPr="00ED6F53">
              <w:rPr>
                <w:rFonts w:eastAsia="Times New Roman" w:cs="Arial"/>
                <w:color w:val="000000"/>
                <w:szCs w:val="24"/>
                <w:lang w:eastAsia="en-GB" w:bidi="ar-SA"/>
              </w:rPr>
              <w:t>LC 23: Operating rules</w:t>
            </w:r>
          </w:p>
        </w:tc>
        <w:tc>
          <w:tcPr>
            <w:tcW w:w="3864" w:type="pct"/>
            <w:noWrap/>
            <w:hideMark/>
          </w:tcPr>
          <w:p w14:paraId="23C1782D" w14:textId="77777777" w:rsidR="00ED6F53" w:rsidRPr="00ED6F53" w:rsidRDefault="00ED6F53" w:rsidP="00ED6F53">
            <w:pPr>
              <w:spacing w:before="60" w:after="60" w:line="259" w:lineRule="auto"/>
              <w:rPr>
                <w:rFonts w:eastAsia="Times New Roman" w:cs="Arial"/>
                <w:color w:val="000000"/>
                <w:szCs w:val="24"/>
                <w:lang w:eastAsia="en-GB" w:bidi="ar-SA"/>
              </w:rPr>
            </w:pPr>
            <w:r w:rsidRPr="00ED6F53">
              <w:rPr>
                <w:rFonts w:eastAsia="Times New Roman" w:cs="Arial"/>
                <w:color w:val="000000"/>
                <w:szCs w:val="24"/>
                <w:lang w:eastAsia="en-GB" w:bidi="ar-SA"/>
              </w:rPr>
              <w:t>The licensee shall in respect of any operation that may affect safety, produce an adequate safety case to demonstrate the safety of that operation and to identify the conditions and limits necessary in the interest of safety. Such conditions and limits shall hereinafter be referred to as operating rules.</w:t>
            </w:r>
          </w:p>
        </w:tc>
      </w:tr>
      <w:tr w:rsidR="00ED6F53" w:rsidRPr="00ED6F53" w14:paraId="628A3D7A" w14:textId="77777777" w:rsidTr="00ED6F53">
        <w:trPr>
          <w:cantSplit/>
          <w:trHeight w:val="292"/>
        </w:trPr>
        <w:tc>
          <w:tcPr>
            <w:tcW w:w="1136" w:type="pct"/>
            <w:noWrap/>
            <w:hideMark/>
          </w:tcPr>
          <w:p w14:paraId="46C37B54" w14:textId="77777777" w:rsidR="00ED6F53" w:rsidRPr="00ED6F53" w:rsidRDefault="00ED6F53" w:rsidP="00ED6F53">
            <w:pPr>
              <w:spacing w:before="60" w:after="60" w:line="259" w:lineRule="auto"/>
              <w:rPr>
                <w:rFonts w:eastAsia="Times New Roman" w:cs="Arial"/>
                <w:color w:val="000000"/>
                <w:szCs w:val="24"/>
                <w:lang w:eastAsia="en-GB" w:bidi="ar-SA"/>
              </w:rPr>
            </w:pPr>
            <w:r w:rsidRPr="00ED6F53">
              <w:rPr>
                <w:rFonts w:eastAsia="Times New Roman" w:cs="Arial"/>
                <w:color w:val="000000"/>
                <w:szCs w:val="24"/>
                <w:lang w:eastAsia="en-GB" w:bidi="ar-SA"/>
              </w:rPr>
              <w:t>LC 24: Operating instructions</w:t>
            </w:r>
          </w:p>
        </w:tc>
        <w:tc>
          <w:tcPr>
            <w:tcW w:w="3864" w:type="pct"/>
            <w:noWrap/>
            <w:hideMark/>
          </w:tcPr>
          <w:p w14:paraId="545F2E90" w14:textId="77777777" w:rsidR="00ED6F53" w:rsidRPr="00ED6F53" w:rsidRDefault="00ED6F53" w:rsidP="00ED6F53">
            <w:pPr>
              <w:spacing w:before="60" w:after="60" w:line="259" w:lineRule="auto"/>
              <w:rPr>
                <w:rFonts w:eastAsia="Times New Roman" w:cs="Arial"/>
                <w:color w:val="000000"/>
                <w:szCs w:val="24"/>
                <w:lang w:eastAsia="en-GB" w:bidi="ar-SA"/>
              </w:rPr>
            </w:pPr>
            <w:r w:rsidRPr="00ED6F53">
              <w:rPr>
                <w:rFonts w:eastAsia="Times New Roman" w:cs="Arial"/>
                <w:color w:val="000000"/>
                <w:szCs w:val="24"/>
                <w:lang w:eastAsia="en-GB" w:bidi="ar-SA"/>
              </w:rPr>
              <w:t>The licensee shall ensure that all operations which may affect safety are carried out in accordance with written instructions hereinafter referred to as operating instructions.</w:t>
            </w:r>
          </w:p>
        </w:tc>
      </w:tr>
      <w:tr w:rsidR="00ED6F53" w:rsidRPr="00ED6F53" w14:paraId="2A054CF9" w14:textId="77777777" w:rsidTr="00ED6F53">
        <w:trPr>
          <w:cantSplit/>
          <w:trHeight w:val="292"/>
        </w:trPr>
        <w:tc>
          <w:tcPr>
            <w:tcW w:w="1136" w:type="pct"/>
            <w:noWrap/>
            <w:hideMark/>
          </w:tcPr>
          <w:p w14:paraId="6C655220" w14:textId="77777777" w:rsidR="00ED6F53" w:rsidRPr="00ED6F53" w:rsidRDefault="00ED6F53" w:rsidP="00ED6F53">
            <w:pPr>
              <w:spacing w:before="60" w:after="60" w:line="259" w:lineRule="auto"/>
              <w:rPr>
                <w:rFonts w:eastAsia="Times New Roman" w:cs="Arial"/>
                <w:color w:val="000000"/>
                <w:szCs w:val="24"/>
                <w:lang w:eastAsia="en-GB" w:bidi="ar-SA"/>
              </w:rPr>
            </w:pPr>
            <w:r w:rsidRPr="00ED6F53">
              <w:rPr>
                <w:rFonts w:eastAsia="Times New Roman" w:cs="Arial"/>
                <w:color w:val="000000"/>
                <w:szCs w:val="24"/>
                <w:lang w:eastAsia="en-GB" w:bidi="ar-SA"/>
              </w:rPr>
              <w:t>LC 25: Operational records</w:t>
            </w:r>
          </w:p>
        </w:tc>
        <w:tc>
          <w:tcPr>
            <w:tcW w:w="3864" w:type="pct"/>
            <w:noWrap/>
            <w:hideMark/>
          </w:tcPr>
          <w:p w14:paraId="060C898B" w14:textId="77777777" w:rsidR="00ED6F53" w:rsidRPr="00ED6F53" w:rsidRDefault="00ED6F53" w:rsidP="00ED6F53">
            <w:pPr>
              <w:spacing w:before="60" w:after="60" w:line="259" w:lineRule="auto"/>
              <w:rPr>
                <w:rFonts w:eastAsia="Times New Roman" w:cs="Arial"/>
                <w:color w:val="000000"/>
                <w:szCs w:val="24"/>
                <w:lang w:eastAsia="en-GB" w:bidi="ar-SA"/>
              </w:rPr>
            </w:pPr>
            <w:r w:rsidRPr="00ED6F53">
              <w:rPr>
                <w:rFonts w:eastAsia="Times New Roman" w:cs="Arial"/>
                <w:color w:val="000000"/>
                <w:szCs w:val="24"/>
                <w:lang w:eastAsia="en-GB" w:bidi="ar-SA"/>
              </w:rPr>
              <w:t>The licensee shall ensure that adequate records are made of EIMT activities which may affect nuclear safety.</w:t>
            </w:r>
          </w:p>
        </w:tc>
      </w:tr>
      <w:tr w:rsidR="00ED6F53" w:rsidRPr="00ED6F53" w14:paraId="69A54476" w14:textId="77777777" w:rsidTr="00ED6F53">
        <w:trPr>
          <w:cantSplit/>
          <w:trHeight w:val="292"/>
        </w:trPr>
        <w:tc>
          <w:tcPr>
            <w:tcW w:w="1136" w:type="pct"/>
            <w:noWrap/>
            <w:hideMark/>
          </w:tcPr>
          <w:p w14:paraId="2866BE21" w14:textId="77777777" w:rsidR="00ED6F53" w:rsidRPr="00ED6F53" w:rsidRDefault="00ED6F53" w:rsidP="00ED6F53">
            <w:pPr>
              <w:spacing w:before="60" w:after="60" w:line="259" w:lineRule="auto"/>
              <w:rPr>
                <w:rFonts w:eastAsia="Times New Roman" w:cs="Arial"/>
                <w:color w:val="000000"/>
                <w:szCs w:val="24"/>
                <w:lang w:eastAsia="en-GB" w:bidi="ar-SA"/>
              </w:rPr>
            </w:pPr>
            <w:r w:rsidRPr="00ED6F53">
              <w:rPr>
                <w:rFonts w:eastAsia="Times New Roman" w:cs="Arial"/>
                <w:color w:val="000000"/>
                <w:szCs w:val="24"/>
                <w:lang w:eastAsia="en-GB" w:bidi="ar-SA"/>
              </w:rPr>
              <w:t>LC 26: Control and supervision of operations</w:t>
            </w:r>
          </w:p>
        </w:tc>
        <w:tc>
          <w:tcPr>
            <w:tcW w:w="3864" w:type="pct"/>
            <w:noWrap/>
            <w:hideMark/>
          </w:tcPr>
          <w:p w14:paraId="0898D162" w14:textId="77777777" w:rsidR="00ED6F53" w:rsidRPr="00ED6F53" w:rsidRDefault="00ED6F53" w:rsidP="00ED6F53">
            <w:pPr>
              <w:spacing w:before="60" w:after="60" w:line="259" w:lineRule="auto"/>
              <w:rPr>
                <w:rFonts w:eastAsia="Times New Roman" w:cs="Arial"/>
                <w:color w:val="000000"/>
                <w:szCs w:val="24"/>
                <w:lang w:eastAsia="en-GB" w:bidi="ar-SA"/>
              </w:rPr>
            </w:pPr>
            <w:r w:rsidRPr="00ED6F53">
              <w:rPr>
                <w:rFonts w:eastAsia="Times New Roman" w:cs="Arial"/>
                <w:color w:val="000000"/>
                <w:szCs w:val="24"/>
                <w:lang w:eastAsia="en-GB" w:bidi="ar-SA"/>
              </w:rPr>
              <w:t>EIMT activities which may affect nuclear safety shall be carried out under the control and supervision of suitably qualified and experienced persons appointed for that purpose by the licensee.</w:t>
            </w:r>
          </w:p>
        </w:tc>
      </w:tr>
      <w:tr w:rsidR="00ED6F53" w:rsidRPr="00ED6F53" w14:paraId="7E3EDC8F" w14:textId="77777777" w:rsidTr="00ED6F53">
        <w:trPr>
          <w:cantSplit/>
          <w:trHeight w:val="292"/>
        </w:trPr>
        <w:tc>
          <w:tcPr>
            <w:tcW w:w="1136" w:type="pct"/>
            <w:noWrap/>
            <w:hideMark/>
          </w:tcPr>
          <w:p w14:paraId="044054FD" w14:textId="77777777" w:rsidR="00ED6F53" w:rsidRPr="00ED6F53" w:rsidRDefault="00ED6F53" w:rsidP="00ED6F53">
            <w:pPr>
              <w:spacing w:before="60" w:after="60" w:line="259" w:lineRule="auto"/>
              <w:rPr>
                <w:rFonts w:eastAsia="Times New Roman" w:cs="Arial"/>
                <w:color w:val="000000"/>
                <w:szCs w:val="24"/>
                <w:lang w:eastAsia="en-GB" w:bidi="ar-SA"/>
              </w:rPr>
            </w:pPr>
            <w:r w:rsidRPr="00ED6F53">
              <w:rPr>
                <w:rFonts w:eastAsia="Times New Roman" w:cs="Arial"/>
                <w:color w:val="000000"/>
                <w:szCs w:val="24"/>
                <w:lang w:eastAsia="en-GB" w:bidi="ar-SA"/>
              </w:rPr>
              <w:t>LC 27: Safety mechanisms, devices and circuits</w:t>
            </w:r>
          </w:p>
        </w:tc>
        <w:tc>
          <w:tcPr>
            <w:tcW w:w="3864" w:type="pct"/>
            <w:noWrap/>
            <w:hideMark/>
          </w:tcPr>
          <w:p w14:paraId="33091386" w14:textId="77777777" w:rsidR="00ED6F53" w:rsidRPr="00ED6F53" w:rsidRDefault="00ED6F53" w:rsidP="00ED6F53">
            <w:pPr>
              <w:spacing w:before="60" w:after="60" w:line="259" w:lineRule="auto"/>
              <w:rPr>
                <w:rFonts w:eastAsia="Times New Roman" w:cs="Arial"/>
                <w:color w:val="000000"/>
                <w:szCs w:val="24"/>
                <w:lang w:eastAsia="en-GB" w:bidi="ar-SA"/>
              </w:rPr>
            </w:pPr>
            <w:r w:rsidRPr="00ED6F53">
              <w:rPr>
                <w:rFonts w:eastAsia="Times New Roman" w:cs="Arial"/>
                <w:color w:val="000000"/>
                <w:szCs w:val="24"/>
                <w:lang w:eastAsia="en-GB" w:bidi="ar-SA"/>
              </w:rPr>
              <w:t>EIMT activities shall not be carried out unless suitable and sufficient safety mechanisms, devices and circuits are properly connected and in good working order.</w:t>
            </w:r>
          </w:p>
        </w:tc>
      </w:tr>
      <w:tr w:rsidR="00ED6F53" w:rsidRPr="00ED6F53" w14:paraId="52DBC242" w14:textId="77777777" w:rsidTr="00ED6F53">
        <w:trPr>
          <w:cantSplit/>
          <w:trHeight w:val="292"/>
        </w:trPr>
        <w:tc>
          <w:tcPr>
            <w:tcW w:w="1136" w:type="pct"/>
            <w:noWrap/>
            <w:hideMark/>
          </w:tcPr>
          <w:p w14:paraId="4CA054D5" w14:textId="77777777" w:rsidR="00ED6F53" w:rsidRPr="00ED6F53" w:rsidRDefault="00ED6F53" w:rsidP="00ED6F53">
            <w:pPr>
              <w:spacing w:before="60" w:after="60" w:line="259" w:lineRule="auto"/>
              <w:rPr>
                <w:rFonts w:eastAsia="Times New Roman" w:cs="Arial"/>
                <w:color w:val="000000"/>
                <w:szCs w:val="24"/>
                <w:lang w:eastAsia="en-GB" w:bidi="ar-SA"/>
              </w:rPr>
            </w:pPr>
            <w:r w:rsidRPr="00ED6F53">
              <w:rPr>
                <w:rFonts w:eastAsia="Times New Roman" w:cs="Arial"/>
                <w:color w:val="000000"/>
                <w:szCs w:val="24"/>
                <w:lang w:eastAsia="en-GB" w:bidi="ar-SA"/>
              </w:rPr>
              <w:t>LC 29: Duty to carry out tests, inspections, and examinations</w:t>
            </w:r>
          </w:p>
        </w:tc>
        <w:tc>
          <w:tcPr>
            <w:tcW w:w="3864" w:type="pct"/>
            <w:noWrap/>
            <w:hideMark/>
          </w:tcPr>
          <w:p w14:paraId="3DE34506" w14:textId="77777777" w:rsidR="00ED6F53" w:rsidRPr="00ED6F53" w:rsidRDefault="00ED6F53" w:rsidP="00ED6F53">
            <w:pPr>
              <w:spacing w:before="60" w:after="60" w:line="259" w:lineRule="auto"/>
              <w:rPr>
                <w:rFonts w:eastAsia="Times New Roman" w:cs="Arial"/>
                <w:color w:val="000000"/>
                <w:szCs w:val="24"/>
                <w:lang w:eastAsia="en-GB" w:bidi="ar-SA"/>
              </w:rPr>
            </w:pPr>
            <w:r w:rsidRPr="00ED6F53">
              <w:rPr>
                <w:rFonts w:eastAsia="Times New Roman" w:cs="Arial"/>
                <w:color w:val="000000"/>
                <w:szCs w:val="24"/>
                <w:lang w:eastAsia="en-GB" w:bidi="ar-SA"/>
              </w:rPr>
              <w:t>The licensee shall carry out such tests, inspections and examinations in connection with any plant (in addition to any carried out under LC28) as ONR may specify.</w:t>
            </w:r>
          </w:p>
        </w:tc>
      </w:tr>
      <w:tr w:rsidR="00ED6F53" w:rsidRPr="00ED6F53" w14:paraId="292980C1" w14:textId="77777777" w:rsidTr="00ED6F53">
        <w:trPr>
          <w:cantSplit/>
          <w:trHeight w:val="292"/>
        </w:trPr>
        <w:tc>
          <w:tcPr>
            <w:tcW w:w="1136" w:type="pct"/>
            <w:noWrap/>
            <w:hideMark/>
          </w:tcPr>
          <w:p w14:paraId="53B837F7" w14:textId="77777777" w:rsidR="00ED6F53" w:rsidRPr="00ED6F53" w:rsidRDefault="00ED6F53" w:rsidP="00ED6F53">
            <w:pPr>
              <w:spacing w:before="60" w:after="60" w:line="259" w:lineRule="auto"/>
              <w:rPr>
                <w:rFonts w:eastAsia="Times New Roman" w:cs="Arial"/>
                <w:color w:val="000000"/>
                <w:szCs w:val="24"/>
                <w:lang w:eastAsia="en-GB" w:bidi="ar-SA"/>
              </w:rPr>
            </w:pPr>
            <w:r w:rsidRPr="00ED6F53">
              <w:rPr>
                <w:rFonts w:eastAsia="Times New Roman" w:cs="Arial"/>
                <w:color w:val="000000"/>
                <w:szCs w:val="24"/>
                <w:lang w:eastAsia="en-GB" w:bidi="ar-SA"/>
              </w:rPr>
              <w:t>LC 30: Periodic shutdown</w:t>
            </w:r>
          </w:p>
        </w:tc>
        <w:tc>
          <w:tcPr>
            <w:tcW w:w="3864" w:type="pct"/>
            <w:noWrap/>
            <w:hideMark/>
          </w:tcPr>
          <w:p w14:paraId="5D47DE56" w14:textId="77777777" w:rsidR="00ED6F53" w:rsidRPr="00ED6F53" w:rsidRDefault="00ED6F53" w:rsidP="00ED6F53">
            <w:pPr>
              <w:spacing w:before="60" w:after="60" w:line="259" w:lineRule="auto"/>
              <w:rPr>
                <w:rFonts w:eastAsia="Times New Roman" w:cs="Arial"/>
                <w:color w:val="000000"/>
                <w:szCs w:val="24"/>
                <w:lang w:eastAsia="en-GB" w:bidi="ar-SA"/>
              </w:rPr>
            </w:pPr>
            <w:r w:rsidRPr="00ED6F53">
              <w:rPr>
                <w:rFonts w:eastAsia="Times New Roman" w:cs="Arial"/>
                <w:color w:val="000000"/>
                <w:szCs w:val="24"/>
                <w:lang w:eastAsia="en-GB" w:bidi="ar-SA"/>
              </w:rPr>
              <w:t>When necessary for the purposes of enabling any EIMT of any plant or process to take place, the licensee shall ensure that any such plant or process shall be shut down in accordance with the requirements of its plant maintenance schedule referred to in LC28.</w:t>
            </w:r>
          </w:p>
        </w:tc>
      </w:tr>
      <w:tr w:rsidR="00ED6F53" w:rsidRPr="00ED6F53" w14:paraId="39BFA34E" w14:textId="77777777" w:rsidTr="00ED6F53">
        <w:trPr>
          <w:cantSplit/>
          <w:trHeight w:val="292"/>
        </w:trPr>
        <w:tc>
          <w:tcPr>
            <w:tcW w:w="1136" w:type="pct"/>
            <w:noWrap/>
            <w:hideMark/>
          </w:tcPr>
          <w:p w14:paraId="383D3B17" w14:textId="77777777" w:rsidR="00ED6F53" w:rsidRPr="00ED6F53" w:rsidRDefault="00ED6F53" w:rsidP="00ED6F53">
            <w:pPr>
              <w:spacing w:before="60" w:after="60" w:line="259" w:lineRule="auto"/>
              <w:rPr>
                <w:rFonts w:eastAsia="Times New Roman" w:cs="Arial"/>
                <w:color w:val="000000"/>
                <w:szCs w:val="24"/>
                <w:lang w:eastAsia="en-GB" w:bidi="ar-SA"/>
              </w:rPr>
            </w:pPr>
            <w:r w:rsidRPr="00ED6F53">
              <w:rPr>
                <w:rFonts w:eastAsia="Times New Roman" w:cs="Arial"/>
                <w:color w:val="000000"/>
                <w:szCs w:val="24"/>
                <w:lang w:eastAsia="en-GB" w:bidi="ar-SA"/>
              </w:rPr>
              <w:t>LC 31: Shutdown of specified operations</w:t>
            </w:r>
          </w:p>
        </w:tc>
        <w:tc>
          <w:tcPr>
            <w:tcW w:w="3864" w:type="pct"/>
            <w:noWrap/>
            <w:hideMark/>
          </w:tcPr>
          <w:p w14:paraId="2010A611" w14:textId="77777777" w:rsidR="00ED6F53" w:rsidRPr="00ED6F53" w:rsidRDefault="00ED6F53" w:rsidP="00ED6F53">
            <w:pPr>
              <w:spacing w:before="60" w:after="60" w:line="259" w:lineRule="auto"/>
              <w:rPr>
                <w:rFonts w:eastAsia="Times New Roman" w:cs="Arial"/>
                <w:color w:val="000000"/>
                <w:szCs w:val="24"/>
                <w:lang w:eastAsia="en-GB" w:bidi="ar-SA"/>
              </w:rPr>
            </w:pPr>
            <w:r w:rsidRPr="00ED6F53">
              <w:rPr>
                <w:rFonts w:eastAsia="Times New Roman" w:cs="Arial"/>
                <w:color w:val="000000"/>
                <w:szCs w:val="24"/>
                <w:lang w:eastAsia="en-GB" w:bidi="ar-SA"/>
              </w:rPr>
              <w:t>The licensee shall, if so directed by ONR, shut down any plant, operation or process on the site within such period as ONR may specify.</w:t>
            </w:r>
          </w:p>
        </w:tc>
      </w:tr>
    </w:tbl>
    <w:p w14:paraId="180AC7DA" w14:textId="77777777" w:rsidR="00ED6F53" w:rsidRDefault="00ED6F53" w:rsidP="00ED6F53">
      <w:pPr>
        <w:pStyle w:val="Heading1"/>
        <w:numPr>
          <w:ilvl w:val="0"/>
          <w:numId w:val="0"/>
        </w:numPr>
      </w:pPr>
      <w:bookmarkStart w:id="404" w:name="_Appendix_2_–"/>
      <w:bookmarkStart w:id="405" w:name="_Toc224840105"/>
      <w:bookmarkEnd w:id="404"/>
      <w:r>
        <w:lastRenderedPageBreak/>
        <w:t>Appendix 2 – Safety Assessment Principles</w:t>
      </w:r>
      <w:bookmarkEnd w:id="405"/>
      <w:r>
        <w:t xml:space="preserve"> </w:t>
      </w:r>
    </w:p>
    <w:p w14:paraId="70A1C47E" w14:textId="77777777" w:rsidR="00ED6F53" w:rsidRDefault="00ED6F53" w:rsidP="00ED6F53">
      <w:pPr>
        <w:pStyle w:val="Caption"/>
        <w:keepNext/>
      </w:pPr>
      <w:r>
        <w:t xml:space="preserve">Table </w:t>
      </w:r>
      <w:r>
        <w:fldChar w:fldCharType="begin"/>
      </w:r>
      <w:r>
        <w:instrText xml:space="preserve"> SEQ Table \* ARABIC </w:instrText>
      </w:r>
      <w:r>
        <w:fldChar w:fldCharType="separate"/>
      </w:r>
      <w:r>
        <w:rPr>
          <w:noProof/>
        </w:rPr>
        <w:t>4</w:t>
      </w:r>
      <w:r>
        <w:rPr>
          <w:noProof/>
        </w:rPr>
        <w:fldChar w:fldCharType="end"/>
      </w:r>
      <w:r>
        <w:t xml:space="preserve"> - SAPs applicable to EIMT activities</w:t>
      </w:r>
    </w:p>
    <w:tbl>
      <w:tblPr>
        <w:tblStyle w:val="ONRTable1"/>
        <w:tblW w:w="5000" w:type="pct"/>
        <w:tblInd w:w="0" w:type="dxa"/>
        <w:tblLook w:val="04A0" w:firstRow="1" w:lastRow="0" w:firstColumn="1" w:lastColumn="0" w:noHBand="0" w:noVBand="1"/>
      </w:tblPr>
      <w:tblGrid>
        <w:gridCol w:w="2036"/>
        <w:gridCol w:w="6990"/>
      </w:tblGrid>
      <w:tr w:rsidR="00ED6F53" w:rsidRPr="00ED6F53" w14:paraId="5B60148C" w14:textId="77777777" w:rsidTr="00ED6F53">
        <w:trPr>
          <w:cnfStyle w:val="100000000000" w:firstRow="1" w:lastRow="0" w:firstColumn="0" w:lastColumn="0" w:oddVBand="0" w:evenVBand="0" w:oddHBand="0" w:evenHBand="0" w:firstRowFirstColumn="0" w:firstRowLastColumn="0" w:lastRowFirstColumn="0" w:lastRowLastColumn="0"/>
          <w:cantSplit/>
          <w:tblHeader/>
        </w:trPr>
        <w:tc>
          <w:tcPr>
            <w:tcW w:w="1128" w:type="pct"/>
          </w:tcPr>
          <w:p w14:paraId="08FC0EDC" w14:textId="77777777" w:rsidR="00ED6F53" w:rsidRPr="00ED6F53" w:rsidRDefault="00ED6F53" w:rsidP="00ED6F53">
            <w:pPr>
              <w:pStyle w:val="Bulletlist1"/>
              <w:numPr>
                <w:ilvl w:val="0"/>
                <w:numId w:val="0"/>
              </w:numPr>
              <w:spacing w:before="60" w:after="60" w:line="259" w:lineRule="auto"/>
              <w:rPr>
                <w:szCs w:val="24"/>
                <w:lang w:eastAsia="en-GB"/>
              </w:rPr>
            </w:pPr>
            <w:r w:rsidRPr="00ED6F53">
              <w:rPr>
                <w:szCs w:val="24"/>
                <w:lang w:eastAsia="en-GB"/>
              </w:rPr>
              <w:t>SAP</w:t>
            </w:r>
          </w:p>
        </w:tc>
        <w:tc>
          <w:tcPr>
            <w:tcW w:w="3872" w:type="pct"/>
          </w:tcPr>
          <w:p w14:paraId="48D2D5C7" w14:textId="77777777" w:rsidR="00ED6F53" w:rsidRPr="00ED6F53" w:rsidRDefault="00ED6F53" w:rsidP="00ED6F53">
            <w:pPr>
              <w:pStyle w:val="Bulletlist1"/>
              <w:numPr>
                <w:ilvl w:val="0"/>
                <w:numId w:val="0"/>
              </w:numPr>
              <w:spacing w:before="60" w:after="60" w:line="259" w:lineRule="auto"/>
              <w:rPr>
                <w:szCs w:val="24"/>
                <w:lang w:eastAsia="en-GB"/>
              </w:rPr>
            </w:pPr>
            <w:r w:rsidRPr="00ED6F53">
              <w:rPr>
                <w:szCs w:val="24"/>
                <w:lang w:eastAsia="en-GB"/>
              </w:rPr>
              <w:t>Notes:</w:t>
            </w:r>
          </w:p>
        </w:tc>
      </w:tr>
      <w:tr w:rsidR="00ED6F53" w:rsidRPr="00ED6F53" w14:paraId="5AD91156" w14:textId="77777777" w:rsidTr="00ED6F53">
        <w:trPr>
          <w:cantSplit/>
        </w:trPr>
        <w:tc>
          <w:tcPr>
            <w:tcW w:w="1128" w:type="pct"/>
          </w:tcPr>
          <w:p w14:paraId="10013639" w14:textId="77777777" w:rsidR="00ED6F53" w:rsidRPr="00ED6F53" w:rsidRDefault="00ED6F53" w:rsidP="00ED6F53">
            <w:pPr>
              <w:pStyle w:val="Bulletlist1"/>
              <w:numPr>
                <w:ilvl w:val="0"/>
                <w:numId w:val="0"/>
              </w:numPr>
              <w:spacing w:before="60" w:after="60" w:line="259" w:lineRule="auto"/>
              <w:rPr>
                <w:szCs w:val="24"/>
                <w:lang w:eastAsia="en-GB"/>
              </w:rPr>
            </w:pPr>
            <w:r w:rsidRPr="00ED6F53">
              <w:rPr>
                <w:szCs w:val="24"/>
                <w:lang w:eastAsia="en-GB"/>
              </w:rPr>
              <w:t>MS.2: Capable organisation</w:t>
            </w:r>
          </w:p>
        </w:tc>
        <w:tc>
          <w:tcPr>
            <w:tcW w:w="3872" w:type="pct"/>
          </w:tcPr>
          <w:p w14:paraId="1989E9BF" w14:textId="77777777" w:rsidR="00ED6F53" w:rsidRPr="00ED6F53" w:rsidRDefault="00ED6F53" w:rsidP="00ED6F53">
            <w:pPr>
              <w:pStyle w:val="Bulletlist1"/>
              <w:numPr>
                <w:ilvl w:val="0"/>
                <w:numId w:val="0"/>
              </w:numPr>
              <w:spacing w:before="60" w:after="60" w:line="259" w:lineRule="auto"/>
              <w:rPr>
                <w:szCs w:val="24"/>
                <w:lang w:eastAsia="en-GB"/>
              </w:rPr>
            </w:pPr>
            <w:r w:rsidRPr="00ED6F53">
              <w:rPr>
                <w:szCs w:val="24"/>
                <w:lang w:eastAsia="en-GB"/>
              </w:rPr>
              <w:t>The organisation should have the capability to secure and maintain the safety of its undertakings.</w:t>
            </w:r>
          </w:p>
        </w:tc>
      </w:tr>
      <w:tr w:rsidR="00ED6F53" w:rsidRPr="00ED6F53" w14:paraId="26903FDC" w14:textId="77777777" w:rsidTr="00ED6F53">
        <w:trPr>
          <w:cantSplit/>
        </w:trPr>
        <w:tc>
          <w:tcPr>
            <w:tcW w:w="1128" w:type="pct"/>
          </w:tcPr>
          <w:p w14:paraId="547AFEFC" w14:textId="77777777" w:rsidR="00ED6F53" w:rsidRPr="00ED6F53" w:rsidRDefault="00ED6F53" w:rsidP="00ED6F53">
            <w:pPr>
              <w:pStyle w:val="Bulletlist1"/>
              <w:numPr>
                <w:ilvl w:val="0"/>
                <w:numId w:val="0"/>
              </w:numPr>
              <w:spacing w:before="60" w:after="60" w:line="259" w:lineRule="auto"/>
              <w:rPr>
                <w:szCs w:val="24"/>
                <w:lang w:eastAsia="en-GB"/>
              </w:rPr>
            </w:pPr>
            <w:r w:rsidRPr="00ED6F53">
              <w:rPr>
                <w:szCs w:val="24"/>
                <w:lang w:eastAsia="en-GB"/>
              </w:rPr>
              <w:t>SC.2: Safety case process outputs</w:t>
            </w:r>
          </w:p>
        </w:tc>
        <w:tc>
          <w:tcPr>
            <w:tcW w:w="3872" w:type="pct"/>
          </w:tcPr>
          <w:p w14:paraId="0D94F539" w14:textId="77777777" w:rsidR="00ED6F53" w:rsidRPr="00ED6F53" w:rsidRDefault="00ED6F53" w:rsidP="00ED6F53">
            <w:pPr>
              <w:pStyle w:val="Bulletlist1"/>
              <w:numPr>
                <w:ilvl w:val="0"/>
                <w:numId w:val="0"/>
              </w:numPr>
              <w:spacing w:before="60" w:after="60" w:line="259" w:lineRule="auto"/>
              <w:rPr>
                <w:szCs w:val="24"/>
                <w:lang w:eastAsia="en-GB"/>
              </w:rPr>
            </w:pPr>
            <w:r w:rsidRPr="00ED6F53">
              <w:rPr>
                <w:szCs w:val="24"/>
                <w:lang w:eastAsia="en-GB"/>
              </w:rPr>
              <w:t>The safety case process should produce safety cases that facilitate safe operation.  Safety case documentation should be clear and logicaly structured so that information is easily accessible to those who need to use it.  This includes maintenance staff.</w:t>
            </w:r>
          </w:p>
        </w:tc>
      </w:tr>
      <w:tr w:rsidR="00ED6F53" w:rsidRPr="00ED6F53" w14:paraId="2DC70158" w14:textId="77777777" w:rsidTr="00ED6F53">
        <w:trPr>
          <w:cantSplit/>
        </w:trPr>
        <w:tc>
          <w:tcPr>
            <w:tcW w:w="1128" w:type="pct"/>
          </w:tcPr>
          <w:p w14:paraId="06EE9E96" w14:textId="77777777" w:rsidR="00ED6F53" w:rsidRPr="00ED6F53" w:rsidRDefault="00ED6F53" w:rsidP="00ED6F53">
            <w:pPr>
              <w:pStyle w:val="Bulletlist1"/>
              <w:numPr>
                <w:ilvl w:val="0"/>
                <w:numId w:val="0"/>
              </w:numPr>
              <w:spacing w:before="60" w:after="60" w:line="259" w:lineRule="auto"/>
              <w:rPr>
                <w:szCs w:val="24"/>
                <w:lang w:eastAsia="en-GB"/>
              </w:rPr>
            </w:pPr>
            <w:r w:rsidRPr="00ED6F53">
              <w:rPr>
                <w:szCs w:val="24"/>
                <w:lang w:eastAsia="en-GB"/>
              </w:rPr>
              <w:t>SC.4: Safety case characteristics</w:t>
            </w:r>
          </w:p>
        </w:tc>
        <w:tc>
          <w:tcPr>
            <w:tcW w:w="3872" w:type="pct"/>
          </w:tcPr>
          <w:p w14:paraId="0B4694CC" w14:textId="77777777" w:rsidR="00ED6F53" w:rsidRPr="00ED6F53" w:rsidRDefault="00ED6F53" w:rsidP="00ED6F53">
            <w:pPr>
              <w:pStyle w:val="Bulletlist1"/>
              <w:numPr>
                <w:ilvl w:val="0"/>
                <w:numId w:val="0"/>
              </w:numPr>
              <w:spacing w:before="60" w:after="60" w:line="259" w:lineRule="auto"/>
              <w:rPr>
                <w:szCs w:val="24"/>
                <w:lang w:eastAsia="en-GB"/>
              </w:rPr>
            </w:pPr>
            <w:r w:rsidRPr="00ED6F53">
              <w:rPr>
                <w:szCs w:val="24"/>
                <w:lang w:eastAsia="en-GB"/>
              </w:rPr>
              <w:t>A safety case should be accurate, objective and demonstrably complete for its intended purpose.  A safety case should identify requirements such as surveilance, maintenance and inspection.</w:t>
            </w:r>
          </w:p>
        </w:tc>
      </w:tr>
      <w:tr w:rsidR="00ED6F53" w:rsidRPr="00ED6F53" w14:paraId="3E65253A" w14:textId="77777777" w:rsidTr="00ED6F53">
        <w:trPr>
          <w:cantSplit/>
        </w:trPr>
        <w:tc>
          <w:tcPr>
            <w:tcW w:w="1128" w:type="pct"/>
          </w:tcPr>
          <w:p w14:paraId="468B5F64" w14:textId="77777777" w:rsidR="00ED6F53" w:rsidRPr="00ED6F53" w:rsidRDefault="00ED6F53" w:rsidP="00ED6F53">
            <w:pPr>
              <w:pStyle w:val="Bulletlist1"/>
              <w:numPr>
                <w:ilvl w:val="0"/>
                <w:numId w:val="0"/>
              </w:numPr>
              <w:spacing w:before="60" w:after="60" w:line="259" w:lineRule="auto"/>
              <w:rPr>
                <w:szCs w:val="24"/>
                <w:lang w:eastAsia="en-GB"/>
              </w:rPr>
            </w:pPr>
            <w:r w:rsidRPr="00ED6F53">
              <w:rPr>
                <w:szCs w:val="24"/>
                <w:lang w:eastAsia="en-GB"/>
              </w:rPr>
              <w:t>SC.6: Safety case content and implementation</w:t>
            </w:r>
          </w:p>
        </w:tc>
        <w:tc>
          <w:tcPr>
            <w:tcW w:w="3872" w:type="pct"/>
          </w:tcPr>
          <w:p w14:paraId="6BD751AC" w14:textId="77777777" w:rsidR="00ED6F53" w:rsidRPr="00ED6F53" w:rsidRDefault="00ED6F53" w:rsidP="00ED6F53">
            <w:pPr>
              <w:pStyle w:val="Bulletlist1"/>
              <w:numPr>
                <w:ilvl w:val="0"/>
                <w:numId w:val="0"/>
              </w:numPr>
              <w:spacing w:before="60" w:after="60" w:line="259" w:lineRule="auto"/>
              <w:rPr>
                <w:szCs w:val="24"/>
                <w:lang w:eastAsia="en-GB"/>
              </w:rPr>
            </w:pPr>
            <w:r w:rsidRPr="00ED6F53">
              <w:rPr>
                <w:szCs w:val="24"/>
                <w:lang w:eastAsia="en-GB"/>
              </w:rPr>
              <w:t>The safety case for a facility or site should identify the important aspects of operation and management required for maintaining safety and how these will be implemented.  The means of implementation should include the required examination, inspection, maintanance and testing regimes justified in or assumed by the safety case.</w:t>
            </w:r>
          </w:p>
        </w:tc>
      </w:tr>
      <w:tr w:rsidR="00ED6F53" w:rsidRPr="00ED6F53" w14:paraId="589D1AAF" w14:textId="77777777" w:rsidTr="00ED6F53">
        <w:trPr>
          <w:cantSplit/>
        </w:trPr>
        <w:tc>
          <w:tcPr>
            <w:tcW w:w="1128" w:type="pct"/>
          </w:tcPr>
          <w:p w14:paraId="4951F1B8" w14:textId="77777777" w:rsidR="00ED6F53" w:rsidRPr="00ED6F53" w:rsidRDefault="00ED6F53" w:rsidP="00ED6F53">
            <w:pPr>
              <w:pStyle w:val="Bulletlist1"/>
              <w:numPr>
                <w:ilvl w:val="0"/>
                <w:numId w:val="0"/>
              </w:numPr>
              <w:spacing w:before="60" w:after="60" w:line="259" w:lineRule="auto"/>
              <w:rPr>
                <w:szCs w:val="24"/>
                <w:lang w:eastAsia="en-GB"/>
              </w:rPr>
            </w:pPr>
            <w:r w:rsidRPr="00ED6F53">
              <w:rPr>
                <w:szCs w:val="24"/>
                <w:lang w:eastAsia="en-GB"/>
              </w:rPr>
              <w:t>SC.7: Safety case maintenance</w:t>
            </w:r>
          </w:p>
        </w:tc>
        <w:tc>
          <w:tcPr>
            <w:tcW w:w="3872" w:type="pct"/>
          </w:tcPr>
          <w:p w14:paraId="67B2FCE7" w14:textId="77777777" w:rsidR="00ED6F53" w:rsidRPr="00ED6F53" w:rsidRDefault="00ED6F53" w:rsidP="00ED6F53">
            <w:pPr>
              <w:pStyle w:val="Bulletlist1"/>
              <w:numPr>
                <w:ilvl w:val="0"/>
                <w:numId w:val="0"/>
              </w:numPr>
              <w:spacing w:before="60" w:after="60" w:line="259" w:lineRule="auto"/>
              <w:rPr>
                <w:szCs w:val="24"/>
                <w:lang w:eastAsia="en-GB"/>
              </w:rPr>
            </w:pPr>
            <w:r w:rsidRPr="00ED6F53">
              <w:rPr>
                <w:szCs w:val="24"/>
                <w:lang w:eastAsia="en-GB"/>
              </w:rPr>
              <w:t>A safety case should be actively maintained throughout each of the lifecycle stages and reviewed regularly.</w:t>
            </w:r>
          </w:p>
        </w:tc>
      </w:tr>
      <w:tr w:rsidR="00ED6F53" w:rsidRPr="00ED6F53" w14:paraId="5E4BBC6F" w14:textId="77777777" w:rsidTr="00ED6F53">
        <w:trPr>
          <w:cantSplit/>
        </w:trPr>
        <w:tc>
          <w:tcPr>
            <w:tcW w:w="1128" w:type="pct"/>
          </w:tcPr>
          <w:p w14:paraId="1E159394" w14:textId="77777777" w:rsidR="00ED6F53" w:rsidRPr="00ED6F53" w:rsidRDefault="00ED6F53" w:rsidP="00ED6F53">
            <w:pPr>
              <w:pStyle w:val="Bulletlist1"/>
              <w:numPr>
                <w:ilvl w:val="0"/>
                <w:numId w:val="0"/>
              </w:numPr>
              <w:spacing w:before="60" w:after="60" w:line="259" w:lineRule="auto"/>
              <w:rPr>
                <w:szCs w:val="24"/>
                <w:lang w:eastAsia="en-GB"/>
              </w:rPr>
            </w:pPr>
            <w:r w:rsidRPr="00ED6F53">
              <w:rPr>
                <w:szCs w:val="24"/>
                <w:lang w:eastAsia="en-GB"/>
              </w:rPr>
              <w:t>EKP.3: Defence in depth</w:t>
            </w:r>
          </w:p>
        </w:tc>
        <w:tc>
          <w:tcPr>
            <w:tcW w:w="3872" w:type="pct"/>
          </w:tcPr>
          <w:p w14:paraId="3CCB4CBD" w14:textId="77777777" w:rsidR="00ED6F53" w:rsidRPr="00ED6F53" w:rsidRDefault="00ED6F53" w:rsidP="00ED6F53">
            <w:pPr>
              <w:pStyle w:val="Bulletlist1"/>
              <w:numPr>
                <w:ilvl w:val="0"/>
                <w:numId w:val="0"/>
              </w:numPr>
              <w:spacing w:before="60" w:after="60" w:line="259" w:lineRule="auto"/>
              <w:rPr>
                <w:szCs w:val="24"/>
                <w:lang w:eastAsia="en-GB"/>
              </w:rPr>
            </w:pPr>
            <w:r w:rsidRPr="00ED6F53">
              <w:rPr>
                <w:rFonts w:eastAsia="Times New Roman"/>
                <w:bCs w:val="0"/>
                <w:noProof w:val="0"/>
                <w:szCs w:val="24"/>
                <w:lang w:eastAsia="en-GB" w:bidi="ar-SA"/>
              </w:rPr>
              <w:t>Defence in Depth principles state that nuclear facilities should be designed and operated so that defence in depth against potentially significant faults or failures is achieved by the provision of multiple independent barriers to fault progression. This may include prevention of abnormal operation and failures by design, through conservative design, construction, maintenance and operation.</w:t>
            </w:r>
          </w:p>
        </w:tc>
      </w:tr>
      <w:tr w:rsidR="00ED6F53" w:rsidRPr="00ED6F53" w14:paraId="10CDB575" w14:textId="77777777" w:rsidTr="00ED6F53">
        <w:trPr>
          <w:cantSplit/>
        </w:trPr>
        <w:tc>
          <w:tcPr>
            <w:tcW w:w="1128" w:type="pct"/>
          </w:tcPr>
          <w:p w14:paraId="1A88DCFF" w14:textId="77777777" w:rsidR="00ED6F53" w:rsidRPr="00ED6F53" w:rsidRDefault="00ED6F53" w:rsidP="00ED6F53">
            <w:pPr>
              <w:pStyle w:val="Bulletlist1"/>
              <w:numPr>
                <w:ilvl w:val="0"/>
                <w:numId w:val="0"/>
              </w:numPr>
              <w:spacing w:before="60" w:after="60" w:line="259" w:lineRule="auto"/>
              <w:rPr>
                <w:szCs w:val="24"/>
                <w:lang w:eastAsia="en-GB"/>
              </w:rPr>
            </w:pPr>
            <w:r w:rsidRPr="00ED6F53">
              <w:rPr>
                <w:szCs w:val="24"/>
                <w:lang w:eastAsia="en-GB"/>
              </w:rPr>
              <w:t>ECS.2: Safety classification of structures, systems ad components</w:t>
            </w:r>
          </w:p>
        </w:tc>
        <w:tc>
          <w:tcPr>
            <w:tcW w:w="3872" w:type="pct"/>
          </w:tcPr>
          <w:p w14:paraId="0F92E0FB" w14:textId="77777777" w:rsidR="00ED6F53" w:rsidRPr="00ED6F53" w:rsidRDefault="00ED6F53" w:rsidP="00ED6F53">
            <w:pPr>
              <w:pStyle w:val="Bulletlist1"/>
              <w:numPr>
                <w:ilvl w:val="0"/>
                <w:numId w:val="0"/>
              </w:numPr>
              <w:spacing w:before="60" w:after="60" w:line="259" w:lineRule="auto"/>
              <w:rPr>
                <w:rFonts w:eastAsia="Times New Roman"/>
                <w:bCs w:val="0"/>
                <w:noProof w:val="0"/>
                <w:szCs w:val="24"/>
                <w:lang w:eastAsia="en-GB" w:bidi="ar-SA"/>
              </w:rPr>
            </w:pPr>
            <w:r w:rsidRPr="00ED6F53">
              <w:rPr>
                <w:rFonts w:eastAsia="Times New Roman"/>
                <w:bCs w:val="0"/>
                <w:noProof w:val="0"/>
                <w:szCs w:val="24"/>
                <w:lang w:eastAsia="en-GB" w:bidi="ar-SA"/>
              </w:rPr>
              <w:t>Structures, systems and components that have to deliver safety functions should be identified and classified on the basis of those functions and their significance to safety.</w:t>
            </w:r>
          </w:p>
        </w:tc>
      </w:tr>
      <w:tr w:rsidR="00ED6F53" w:rsidRPr="00ED6F53" w14:paraId="3694C3E1" w14:textId="77777777" w:rsidTr="00ED6F53">
        <w:trPr>
          <w:cantSplit/>
        </w:trPr>
        <w:tc>
          <w:tcPr>
            <w:tcW w:w="1128" w:type="pct"/>
          </w:tcPr>
          <w:p w14:paraId="3EB70CCA" w14:textId="77777777" w:rsidR="00ED6F53" w:rsidRPr="00ED6F53" w:rsidRDefault="00ED6F53" w:rsidP="00ED6F53">
            <w:pPr>
              <w:pStyle w:val="Bulletlist1"/>
              <w:numPr>
                <w:ilvl w:val="0"/>
                <w:numId w:val="0"/>
              </w:numPr>
              <w:spacing w:before="60" w:after="60" w:line="259" w:lineRule="auto"/>
              <w:rPr>
                <w:szCs w:val="24"/>
                <w:lang w:eastAsia="en-GB"/>
              </w:rPr>
            </w:pPr>
            <w:r w:rsidRPr="00ED6F53">
              <w:rPr>
                <w:szCs w:val="24"/>
                <w:lang w:eastAsia="en-GB"/>
              </w:rPr>
              <w:lastRenderedPageBreak/>
              <w:t>ECS.3: Codes and standards</w:t>
            </w:r>
          </w:p>
        </w:tc>
        <w:tc>
          <w:tcPr>
            <w:tcW w:w="3872" w:type="pct"/>
          </w:tcPr>
          <w:p w14:paraId="0F727F92" w14:textId="77777777" w:rsidR="00ED6F53" w:rsidRPr="00ED6F53" w:rsidRDefault="00ED6F53" w:rsidP="00ED6F53">
            <w:pPr>
              <w:pStyle w:val="Bulletlist1"/>
              <w:numPr>
                <w:ilvl w:val="0"/>
                <w:numId w:val="0"/>
              </w:numPr>
              <w:spacing w:before="60" w:after="60" w:line="259" w:lineRule="auto"/>
              <w:rPr>
                <w:rFonts w:eastAsia="Times New Roman"/>
                <w:bCs w:val="0"/>
                <w:noProof w:val="0"/>
                <w:szCs w:val="24"/>
                <w:lang w:eastAsia="en-GB" w:bidi="ar-SA"/>
              </w:rPr>
            </w:pPr>
            <w:r w:rsidRPr="00ED6F53">
              <w:rPr>
                <w:rFonts w:eastAsia="Times New Roman"/>
                <w:bCs w:val="0"/>
                <w:noProof w:val="0"/>
                <w:szCs w:val="24"/>
                <w:lang w:eastAsia="en-GB" w:bidi="ar-SA"/>
              </w:rPr>
              <w:t>Structures, systems and components that are important to safety should be designed, manufactured, constructed, installed, commissioned, quality assured, maintained, tested and inspected to the appropriate codes and standards.</w:t>
            </w:r>
          </w:p>
        </w:tc>
      </w:tr>
      <w:tr w:rsidR="00ED6F53" w:rsidRPr="00ED6F53" w14:paraId="286FA2A3" w14:textId="77777777" w:rsidTr="00ED6F53">
        <w:trPr>
          <w:cantSplit/>
        </w:trPr>
        <w:tc>
          <w:tcPr>
            <w:tcW w:w="1128" w:type="pct"/>
          </w:tcPr>
          <w:p w14:paraId="042B5F4A" w14:textId="77777777" w:rsidR="00ED6F53" w:rsidRPr="00ED6F53" w:rsidRDefault="00ED6F53" w:rsidP="00ED6F53">
            <w:pPr>
              <w:pStyle w:val="Bulletlist1"/>
              <w:numPr>
                <w:ilvl w:val="0"/>
                <w:numId w:val="0"/>
              </w:numPr>
              <w:spacing w:before="60" w:after="60" w:line="259" w:lineRule="auto"/>
              <w:rPr>
                <w:szCs w:val="24"/>
                <w:lang w:eastAsia="en-GB"/>
              </w:rPr>
            </w:pPr>
            <w:r w:rsidRPr="00ED6F53">
              <w:rPr>
                <w:szCs w:val="24"/>
                <w:lang w:eastAsia="en-GB"/>
              </w:rPr>
              <w:t>EQU.1: Qualification procedures</w:t>
            </w:r>
          </w:p>
        </w:tc>
        <w:tc>
          <w:tcPr>
            <w:tcW w:w="3872" w:type="pct"/>
          </w:tcPr>
          <w:p w14:paraId="0EF3577A" w14:textId="77777777" w:rsidR="00ED6F53" w:rsidRPr="00ED6F53" w:rsidRDefault="00ED6F53" w:rsidP="00ED6F53">
            <w:pPr>
              <w:pStyle w:val="Bulletlist1"/>
              <w:numPr>
                <w:ilvl w:val="0"/>
                <w:numId w:val="0"/>
              </w:numPr>
              <w:spacing w:before="60" w:after="60" w:line="259" w:lineRule="auto"/>
              <w:rPr>
                <w:szCs w:val="24"/>
                <w:lang w:eastAsia="en-GB"/>
              </w:rPr>
            </w:pPr>
            <w:r w:rsidRPr="00ED6F53">
              <w:rPr>
                <w:szCs w:val="24"/>
                <w:lang w:eastAsia="en-GB"/>
              </w:rPr>
              <w:t>Qualification procedures should be applied to confirm that structures, systems and components will perform their allocated safety function(s) in all normal operational, fault and accident conditions identified in the safety case and for the duration of their operational lives.</w:t>
            </w:r>
          </w:p>
        </w:tc>
      </w:tr>
      <w:tr w:rsidR="00ED6F53" w:rsidRPr="00ED6F53" w14:paraId="31680D9F" w14:textId="77777777" w:rsidTr="00ED6F53">
        <w:trPr>
          <w:cantSplit/>
        </w:trPr>
        <w:tc>
          <w:tcPr>
            <w:tcW w:w="1128" w:type="pct"/>
          </w:tcPr>
          <w:p w14:paraId="5DBF0D59" w14:textId="77777777" w:rsidR="00ED6F53" w:rsidRPr="00ED6F53" w:rsidRDefault="00ED6F53" w:rsidP="00ED6F53">
            <w:pPr>
              <w:pStyle w:val="Bulletlist1"/>
              <w:numPr>
                <w:ilvl w:val="0"/>
                <w:numId w:val="0"/>
              </w:numPr>
              <w:spacing w:before="60" w:after="60" w:line="259" w:lineRule="auto"/>
              <w:rPr>
                <w:szCs w:val="24"/>
                <w:lang w:eastAsia="en-GB"/>
              </w:rPr>
            </w:pPr>
            <w:r w:rsidRPr="00ED6F53">
              <w:rPr>
                <w:szCs w:val="24"/>
                <w:lang w:eastAsia="en-GB"/>
              </w:rPr>
              <w:t>ERL.2: Measures to achieve reliability</w:t>
            </w:r>
          </w:p>
        </w:tc>
        <w:tc>
          <w:tcPr>
            <w:tcW w:w="3872" w:type="pct"/>
          </w:tcPr>
          <w:p w14:paraId="056FE9C6" w14:textId="77777777" w:rsidR="00ED6F53" w:rsidRPr="00ED6F53" w:rsidRDefault="00ED6F53" w:rsidP="00ED6F53">
            <w:pPr>
              <w:pStyle w:val="Bulletlist1"/>
              <w:numPr>
                <w:ilvl w:val="0"/>
                <w:numId w:val="0"/>
              </w:numPr>
              <w:spacing w:before="60" w:after="60" w:line="259" w:lineRule="auto"/>
              <w:rPr>
                <w:szCs w:val="24"/>
                <w:lang w:eastAsia="en-GB"/>
              </w:rPr>
            </w:pPr>
            <w:r w:rsidRPr="00ED6F53">
              <w:rPr>
                <w:szCs w:val="24"/>
                <w:lang w:eastAsia="en-GB"/>
              </w:rPr>
              <w:t>The measures whereby the claimed reliability of systems and componenets will be achieved in practice should be stated.</w:t>
            </w:r>
          </w:p>
        </w:tc>
      </w:tr>
      <w:tr w:rsidR="00ED6F53" w:rsidRPr="00ED6F53" w14:paraId="28091A93" w14:textId="77777777" w:rsidTr="00ED6F53">
        <w:trPr>
          <w:cantSplit/>
        </w:trPr>
        <w:tc>
          <w:tcPr>
            <w:tcW w:w="1128" w:type="pct"/>
          </w:tcPr>
          <w:p w14:paraId="7FDF6B8B" w14:textId="77777777" w:rsidR="00ED6F53" w:rsidRPr="00ED6F53" w:rsidRDefault="00ED6F53" w:rsidP="00ED6F53">
            <w:pPr>
              <w:pStyle w:val="Bulletlist1"/>
              <w:numPr>
                <w:ilvl w:val="0"/>
                <w:numId w:val="0"/>
              </w:numPr>
              <w:spacing w:before="60" w:after="60" w:line="259" w:lineRule="auto"/>
              <w:rPr>
                <w:szCs w:val="24"/>
                <w:lang w:eastAsia="en-GB"/>
              </w:rPr>
            </w:pPr>
            <w:r w:rsidRPr="00ED6F53">
              <w:rPr>
                <w:szCs w:val="24"/>
                <w:lang w:eastAsia="en-GB"/>
              </w:rPr>
              <w:t>ECM.1: Commission testing</w:t>
            </w:r>
          </w:p>
        </w:tc>
        <w:tc>
          <w:tcPr>
            <w:tcW w:w="3872" w:type="pct"/>
          </w:tcPr>
          <w:p w14:paraId="392DAB15" w14:textId="77777777" w:rsidR="00ED6F53" w:rsidRPr="00ED6F53" w:rsidRDefault="00ED6F53" w:rsidP="00ED6F53">
            <w:pPr>
              <w:pStyle w:val="Bulletlist1"/>
              <w:numPr>
                <w:ilvl w:val="0"/>
                <w:numId w:val="0"/>
              </w:numPr>
              <w:spacing w:before="60" w:after="60" w:line="259" w:lineRule="auto"/>
              <w:rPr>
                <w:szCs w:val="24"/>
                <w:lang w:eastAsia="en-GB"/>
              </w:rPr>
            </w:pPr>
            <w:r w:rsidRPr="00ED6F53">
              <w:rPr>
                <w:szCs w:val="24"/>
                <w:lang w:eastAsia="en-GB"/>
              </w:rPr>
              <w:t>Before operating any facility or process that may affect safety it should be subject to comissioning tests defined in the safety case.</w:t>
            </w:r>
          </w:p>
        </w:tc>
      </w:tr>
      <w:tr w:rsidR="00ED6F53" w:rsidRPr="00ED6F53" w14:paraId="4F904967" w14:textId="77777777" w:rsidTr="00ED6F53">
        <w:trPr>
          <w:cantSplit/>
        </w:trPr>
        <w:tc>
          <w:tcPr>
            <w:tcW w:w="1128" w:type="pct"/>
          </w:tcPr>
          <w:p w14:paraId="004D39FF" w14:textId="77777777" w:rsidR="00ED6F53" w:rsidRPr="00ED6F53" w:rsidRDefault="00ED6F53" w:rsidP="00ED6F53">
            <w:pPr>
              <w:pStyle w:val="Bulletlist1"/>
              <w:numPr>
                <w:ilvl w:val="0"/>
                <w:numId w:val="0"/>
              </w:numPr>
              <w:spacing w:before="60" w:after="60" w:line="259" w:lineRule="auto"/>
              <w:rPr>
                <w:szCs w:val="24"/>
                <w:lang w:eastAsia="en-GB"/>
              </w:rPr>
            </w:pPr>
            <w:r w:rsidRPr="00ED6F53">
              <w:rPr>
                <w:szCs w:val="24"/>
                <w:lang w:eastAsia="en-GB"/>
              </w:rPr>
              <w:t>EAD.2: Lifetime margins</w:t>
            </w:r>
          </w:p>
        </w:tc>
        <w:tc>
          <w:tcPr>
            <w:tcW w:w="3872" w:type="pct"/>
          </w:tcPr>
          <w:p w14:paraId="2DB68EC8" w14:textId="77777777" w:rsidR="00ED6F53" w:rsidRPr="00ED6F53" w:rsidRDefault="00ED6F53" w:rsidP="00ED6F53">
            <w:pPr>
              <w:pStyle w:val="Bulletlist1"/>
              <w:numPr>
                <w:ilvl w:val="0"/>
                <w:numId w:val="0"/>
              </w:numPr>
              <w:spacing w:before="60" w:after="60" w:line="259" w:lineRule="auto"/>
              <w:rPr>
                <w:szCs w:val="24"/>
                <w:lang w:eastAsia="en-GB"/>
              </w:rPr>
            </w:pPr>
            <w:r w:rsidRPr="00ED6F53">
              <w:rPr>
                <w:szCs w:val="24"/>
                <w:lang w:eastAsia="en-GB"/>
              </w:rPr>
              <w:t>Adequate margins should exist throughout the life of the facility to allow for the effects of materials ageing and degradation processes on structures, systems and components.</w:t>
            </w:r>
          </w:p>
        </w:tc>
      </w:tr>
      <w:tr w:rsidR="00ED6F53" w:rsidRPr="00ED6F53" w14:paraId="2668E517" w14:textId="77777777" w:rsidTr="00ED6F53">
        <w:trPr>
          <w:cantSplit/>
        </w:trPr>
        <w:tc>
          <w:tcPr>
            <w:tcW w:w="1128" w:type="pct"/>
          </w:tcPr>
          <w:p w14:paraId="6D5CC5DD" w14:textId="77777777" w:rsidR="00ED6F53" w:rsidRPr="00ED6F53" w:rsidRDefault="00ED6F53" w:rsidP="00ED6F53">
            <w:pPr>
              <w:pStyle w:val="Bulletlist1"/>
              <w:numPr>
                <w:ilvl w:val="0"/>
                <w:numId w:val="0"/>
              </w:numPr>
              <w:spacing w:before="60" w:after="60" w:line="259" w:lineRule="auto"/>
              <w:rPr>
                <w:szCs w:val="24"/>
                <w:lang w:eastAsia="en-GB"/>
              </w:rPr>
            </w:pPr>
            <w:r w:rsidRPr="00ED6F53">
              <w:rPr>
                <w:szCs w:val="24"/>
                <w:lang w:eastAsia="en-GB"/>
              </w:rPr>
              <w:t>ELO.1: Access</w:t>
            </w:r>
          </w:p>
        </w:tc>
        <w:tc>
          <w:tcPr>
            <w:tcW w:w="3872" w:type="pct"/>
          </w:tcPr>
          <w:p w14:paraId="1B1F9A23" w14:textId="77777777" w:rsidR="00ED6F53" w:rsidRPr="00ED6F53" w:rsidRDefault="00ED6F53" w:rsidP="00ED6F53">
            <w:pPr>
              <w:pStyle w:val="Bulletlist1"/>
              <w:numPr>
                <w:ilvl w:val="0"/>
                <w:numId w:val="0"/>
              </w:numPr>
              <w:spacing w:before="60" w:after="60" w:line="259" w:lineRule="auto"/>
              <w:rPr>
                <w:szCs w:val="24"/>
                <w:lang w:eastAsia="en-GB"/>
              </w:rPr>
            </w:pPr>
            <w:r w:rsidRPr="00ED6F53">
              <w:rPr>
                <w:szCs w:val="24"/>
                <w:lang w:eastAsia="en-GB"/>
              </w:rPr>
              <w:t>The design and layout should facilitate access for necessary activities and minimise adverse interactions while not compromising security aspects.</w:t>
            </w:r>
          </w:p>
        </w:tc>
      </w:tr>
      <w:tr w:rsidR="00ED6F53" w:rsidRPr="00ED6F53" w14:paraId="1076BAFE" w14:textId="77777777" w:rsidTr="00ED6F53">
        <w:trPr>
          <w:cantSplit/>
        </w:trPr>
        <w:tc>
          <w:tcPr>
            <w:tcW w:w="1128" w:type="pct"/>
          </w:tcPr>
          <w:p w14:paraId="21297BEC" w14:textId="77777777" w:rsidR="00ED6F53" w:rsidRPr="00ED6F53" w:rsidRDefault="00ED6F53" w:rsidP="00ED6F53">
            <w:pPr>
              <w:pStyle w:val="Bulletlist1"/>
              <w:numPr>
                <w:ilvl w:val="0"/>
                <w:numId w:val="0"/>
              </w:numPr>
              <w:spacing w:before="60" w:after="60" w:line="259" w:lineRule="auto"/>
              <w:rPr>
                <w:szCs w:val="24"/>
                <w:lang w:eastAsia="en-GB"/>
              </w:rPr>
            </w:pPr>
            <w:r w:rsidRPr="00ED6F53">
              <w:rPr>
                <w:szCs w:val="24"/>
                <w:lang w:eastAsia="en-GB"/>
              </w:rPr>
              <w:t>FA.6: Fault sequences</w:t>
            </w:r>
          </w:p>
        </w:tc>
        <w:tc>
          <w:tcPr>
            <w:tcW w:w="3872" w:type="pct"/>
          </w:tcPr>
          <w:p w14:paraId="4F83DB09" w14:textId="77777777" w:rsidR="00ED6F53" w:rsidRPr="00ED6F53" w:rsidRDefault="00ED6F53" w:rsidP="00ED6F53">
            <w:pPr>
              <w:pStyle w:val="Bulletlist1"/>
              <w:numPr>
                <w:ilvl w:val="0"/>
                <w:numId w:val="0"/>
              </w:numPr>
              <w:spacing w:before="60" w:after="60" w:line="259" w:lineRule="auto"/>
              <w:rPr>
                <w:szCs w:val="24"/>
                <w:lang w:eastAsia="en-GB"/>
              </w:rPr>
            </w:pPr>
            <w:r w:rsidRPr="00ED6F53">
              <w:rPr>
                <w:szCs w:val="24"/>
                <w:lang w:eastAsia="en-GB"/>
              </w:rPr>
              <w:t>For each initiating fault within the design basis, the relevant design basis fault sequences should be identified.</w:t>
            </w:r>
          </w:p>
        </w:tc>
      </w:tr>
      <w:tr w:rsidR="00ED6F53" w:rsidRPr="00ED6F53" w14:paraId="03E722E3" w14:textId="77777777" w:rsidTr="00ED6F53">
        <w:trPr>
          <w:cantSplit/>
        </w:trPr>
        <w:tc>
          <w:tcPr>
            <w:tcW w:w="1128" w:type="pct"/>
          </w:tcPr>
          <w:p w14:paraId="35F06A21" w14:textId="77777777" w:rsidR="00ED6F53" w:rsidRPr="00ED6F53" w:rsidRDefault="00ED6F53" w:rsidP="00ED6F53">
            <w:pPr>
              <w:pStyle w:val="Bulletlist1"/>
              <w:numPr>
                <w:ilvl w:val="0"/>
                <w:numId w:val="0"/>
              </w:numPr>
              <w:spacing w:before="60" w:after="60" w:line="259" w:lineRule="auto"/>
              <w:rPr>
                <w:szCs w:val="24"/>
                <w:lang w:eastAsia="en-GB"/>
              </w:rPr>
            </w:pPr>
            <w:r w:rsidRPr="00ED6F53">
              <w:rPr>
                <w:szCs w:val="24"/>
                <w:lang w:eastAsia="en-GB"/>
              </w:rPr>
              <w:t>FA.14: Use of PSA</w:t>
            </w:r>
          </w:p>
        </w:tc>
        <w:tc>
          <w:tcPr>
            <w:tcW w:w="3872" w:type="pct"/>
          </w:tcPr>
          <w:p w14:paraId="6324553E" w14:textId="77777777" w:rsidR="00ED6F53" w:rsidRPr="00ED6F53" w:rsidRDefault="00ED6F53" w:rsidP="00ED6F53">
            <w:pPr>
              <w:pStyle w:val="Bulletlist1"/>
              <w:numPr>
                <w:ilvl w:val="0"/>
                <w:numId w:val="0"/>
              </w:numPr>
              <w:spacing w:before="60" w:after="60" w:line="259" w:lineRule="auto"/>
              <w:rPr>
                <w:szCs w:val="24"/>
                <w:lang w:eastAsia="en-GB"/>
              </w:rPr>
            </w:pPr>
            <w:r w:rsidRPr="00ED6F53">
              <w:rPr>
                <w:szCs w:val="24"/>
                <w:lang w:eastAsia="en-GB"/>
              </w:rPr>
              <w:t>PSA should inform the design process and help ensure the safe operation of the site and its facilities.</w:t>
            </w:r>
          </w:p>
        </w:tc>
      </w:tr>
    </w:tbl>
    <w:p w14:paraId="55321F80" w14:textId="77777777" w:rsidR="00ED6F53" w:rsidRPr="006D5BDB" w:rsidRDefault="00ED6F53" w:rsidP="00ED6F53"/>
    <w:p w14:paraId="315B01E3" w14:textId="77777777" w:rsidR="00ED6F53" w:rsidRDefault="00ED6F53" w:rsidP="00ED6F53">
      <w:pPr>
        <w:pStyle w:val="Heading1"/>
        <w:numPr>
          <w:ilvl w:val="0"/>
          <w:numId w:val="0"/>
        </w:numPr>
        <w:ind w:left="851" w:hanging="851"/>
        <w:sectPr w:rsidR="00ED6F53" w:rsidSect="00ED6F53">
          <w:pgSz w:w="11906" w:h="16838" w:code="9"/>
          <w:pgMar w:top="1440" w:right="1440" w:bottom="1440" w:left="1440" w:header="397" w:footer="397" w:gutter="0"/>
          <w:cols w:space="312"/>
          <w:docGrid w:linePitch="360"/>
        </w:sectPr>
      </w:pPr>
    </w:p>
    <w:p w14:paraId="5DD82179" w14:textId="77777777" w:rsidR="00ED6F53" w:rsidRPr="003B4701" w:rsidRDefault="00ED6F53" w:rsidP="00ED6F53">
      <w:pPr>
        <w:pStyle w:val="Heading1"/>
        <w:numPr>
          <w:ilvl w:val="0"/>
          <w:numId w:val="0"/>
        </w:numPr>
        <w:ind w:left="851" w:hanging="851"/>
      </w:pPr>
      <w:bookmarkStart w:id="406" w:name="_Toc224840106"/>
      <w:r>
        <w:lastRenderedPageBreak/>
        <w:t>List of acronyms and initialisms</w:t>
      </w:r>
      <w:bookmarkEnd w:id="406"/>
    </w:p>
    <w:p w14:paraId="47890622" w14:textId="77777777" w:rsidR="00ED6F53" w:rsidRPr="005141CA" w:rsidRDefault="00ED6F53" w:rsidP="00ED6F53">
      <w:pPr>
        <w:spacing w:after="120" w:line="240" w:lineRule="auto"/>
        <w:contextualSpacing/>
        <w:rPr>
          <w:rFonts w:asciiTheme="minorHAnsi" w:eastAsia="Times New Roman" w:hAnsiTheme="minorHAnsi" w:cstheme="minorHAnsi"/>
          <w:color w:val="000000"/>
          <w:szCs w:val="24"/>
          <w:lang w:eastAsia="en-GB" w:bidi="ar-SA"/>
        </w:rPr>
      </w:pPr>
      <w:r w:rsidRPr="005141CA">
        <w:rPr>
          <w:rFonts w:asciiTheme="minorHAnsi" w:eastAsia="Times New Roman" w:hAnsiTheme="minorHAnsi" w:cstheme="minorHAnsi"/>
          <w:color w:val="000000"/>
          <w:szCs w:val="24"/>
          <w:lang w:eastAsia="en-GB" w:bidi="ar-SA"/>
        </w:rPr>
        <w:t xml:space="preserve">ALARP </w:t>
      </w:r>
      <w:r>
        <w:rPr>
          <w:rFonts w:asciiTheme="minorHAnsi" w:eastAsia="Times New Roman" w:hAnsiTheme="minorHAnsi" w:cstheme="minorHAnsi"/>
          <w:color w:val="000000"/>
          <w:szCs w:val="24"/>
          <w:lang w:eastAsia="en-GB" w:bidi="ar-SA"/>
        </w:rPr>
        <w:tab/>
      </w:r>
      <w:r w:rsidRPr="005141CA">
        <w:rPr>
          <w:rFonts w:asciiTheme="minorHAnsi" w:eastAsia="Times New Roman" w:hAnsiTheme="minorHAnsi" w:cstheme="minorHAnsi"/>
          <w:color w:val="000000"/>
          <w:szCs w:val="24"/>
          <w:lang w:eastAsia="en-GB" w:bidi="ar-SA"/>
        </w:rPr>
        <w:t>As low as reasonably practicable</w:t>
      </w:r>
    </w:p>
    <w:p w14:paraId="6EBD24C2" w14:textId="77777777" w:rsidR="00ED6F53" w:rsidRPr="005141CA" w:rsidRDefault="00ED6F53" w:rsidP="00ED6F53">
      <w:pPr>
        <w:spacing w:after="120" w:line="240" w:lineRule="auto"/>
        <w:contextualSpacing/>
        <w:rPr>
          <w:rFonts w:asciiTheme="minorHAnsi" w:eastAsia="Times New Roman" w:hAnsiTheme="minorHAnsi" w:cstheme="minorHAnsi"/>
          <w:color w:val="000000"/>
          <w:szCs w:val="24"/>
          <w:lang w:eastAsia="en-GB" w:bidi="ar-SA"/>
        </w:rPr>
      </w:pPr>
      <w:r w:rsidRPr="005141CA">
        <w:rPr>
          <w:rFonts w:asciiTheme="minorHAnsi" w:eastAsia="Times New Roman" w:hAnsiTheme="minorHAnsi" w:cstheme="minorHAnsi"/>
          <w:color w:val="000000"/>
          <w:szCs w:val="24"/>
          <w:lang w:eastAsia="en-GB" w:bidi="ar-SA"/>
        </w:rPr>
        <w:t xml:space="preserve">EIMT </w:t>
      </w:r>
      <w:r>
        <w:rPr>
          <w:rFonts w:asciiTheme="minorHAnsi" w:eastAsia="Times New Roman" w:hAnsiTheme="minorHAnsi" w:cstheme="minorHAnsi"/>
          <w:color w:val="000000"/>
          <w:szCs w:val="24"/>
          <w:lang w:eastAsia="en-GB" w:bidi="ar-SA"/>
        </w:rPr>
        <w:tab/>
      </w:r>
      <w:r>
        <w:rPr>
          <w:rFonts w:asciiTheme="minorHAnsi" w:eastAsia="Times New Roman" w:hAnsiTheme="minorHAnsi" w:cstheme="minorHAnsi"/>
          <w:color w:val="000000"/>
          <w:szCs w:val="24"/>
          <w:lang w:eastAsia="en-GB" w:bidi="ar-SA"/>
        </w:rPr>
        <w:tab/>
      </w:r>
      <w:r w:rsidRPr="005141CA">
        <w:rPr>
          <w:rFonts w:asciiTheme="minorHAnsi" w:eastAsia="Times New Roman" w:hAnsiTheme="minorHAnsi" w:cstheme="minorHAnsi"/>
          <w:color w:val="000000"/>
          <w:szCs w:val="24"/>
          <w:lang w:eastAsia="en-GB" w:bidi="ar-SA"/>
        </w:rPr>
        <w:t>Examination, Inspection, Maintenance and Testing</w:t>
      </w:r>
    </w:p>
    <w:p w14:paraId="69382195" w14:textId="77777777" w:rsidR="00ED6F53" w:rsidRPr="005141CA" w:rsidRDefault="00ED6F53" w:rsidP="00ED6F53">
      <w:pPr>
        <w:spacing w:after="120" w:line="240" w:lineRule="auto"/>
        <w:contextualSpacing/>
        <w:rPr>
          <w:rFonts w:asciiTheme="minorHAnsi" w:eastAsia="Times New Roman" w:hAnsiTheme="minorHAnsi" w:cstheme="minorHAnsi"/>
          <w:color w:val="000000"/>
          <w:szCs w:val="24"/>
          <w:lang w:eastAsia="en-GB" w:bidi="ar-SA"/>
        </w:rPr>
      </w:pPr>
      <w:r w:rsidRPr="005141CA">
        <w:rPr>
          <w:rFonts w:asciiTheme="minorHAnsi" w:eastAsia="Times New Roman" w:hAnsiTheme="minorHAnsi" w:cstheme="minorHAnsi"/>
          <w:color w:val="000000"/>
          <w:szCs w:val="24"/>
          <w:lang w:eastAsia="en-GB" w:bidi="ar-SA"/>
        </w:rPr>
        <w:t xml:space="preserve">FME </w:t>
      </w:r>
      <w:r>
        <w:rPr>
          <w:rFonts w:asciiTheme="minorHAnsi" w:eastAsia="Times New Roman" w:hAnsiTheme="minorHAnsi" w:cstheme="minorHAnsi"/>
          <w:color w:val="000000"/>
          <w:szCs w:val="24"/>
          <w:lang w:eastAsia="en-GB" w:bidi="ar-SA"/>
        </w:rPr>
        <w:tab/>
      </w:r>
      <w:r>
        <w:rPr>
          <w:rFonts w:asciiTheme="minorHAnsi" w:eastAsia="Times New Roman" w:hAnsiTheme="minorHAnsi" w:cstheme="minorHAnsi"/>
          <w:color w:val="000000"/>
          <w:szCs w:val="24"/>
          <w:lang w:eastAsia="en-GB" w:bidi="ar-SA"/>
        </w:rPr>
        <w:tab/>
      </w:r>
      <w:r w:rsidRPr="005141CA">
        <w:rPr>
          <w:rFonts w:asciiTheme="minorHAnsi" w:eastAsia="Times New Roman" w:hAnsiTheme="minorHAnsi" w:cstheme="minorHAnsi"/>
          <w:color w:val="000000"/>
          <w:szCs w:val="24"/>
          <w:lang w:eastAsia="en-GB" w:bidi="ar-SA"/>
        </w:rPr>
        <w:t>Foreign Material Exclusion</w:t>
      </w:r>
    </w:p>
    <w:p w14:paraId="296D3BC1" w14:textId="77777777" w:rsidR="00ED6F53" w:rsidRPr="005141CA" w:rsidRDefault="00ED6F53" w:rsidP="00ED6F53">
      <w:pPr>
        <w:spacing w:after="120" w:line="240" w:lineRule="auto"/>
        <w:contextualSpacing/>
        <w:rPr>
          <w:rFonts w:asciiTheme="minorHAnsi" w:eastAsia="Times New Roman" w:hAnsiTheme="minorHAnsi" w:cstheme="minorHAnsi"/>
          <w:color w:val="000000"/>
          <w:szCs w:val="24"/>
          <w:lang w:eastAsia="en-GB" w:bidi="ar-SA"/>
        </w:rPr>
      </w:pPr>
      <w:r w:rsidRPr="005141CA">
        <w:rPr>
          <w:rFonts w:asciiTheme="minorHAnsi" w:eastAsia="Times New Roman" w:hAnsiTheme="minorHAnsi" w:cstheme="minorHAnsi"/>
          <w:color w:val="000000"/>
          <w:szCs w:val="24"/>
          <w:lang w:eastAsia="en-GB" w:bidi="ar-SA"/>
        </w:rPr>
        <w:t xml:space="preserve">HSE </w:t>
      </w:r>
      <w:r>
        <w:rPr>
          <w:rFonts w:asciiTheme="minorHAnsi" w:eastAsia="Times New Roman" w:hAnsiTheme="minorHAnsi" w:cstheme="minorHAnsi"/>
          <w:color w:val="000000"/>
          <w:szCs w:val="24"/>
          <w:lang w:eastAsia="en-GB" w:bidi="ar-SA"/>
        </w:rPr>
        <w:tab/>
      </w:r>
      <w:r>
        <w:rPr>
          <w:rFonts w:asciiTheme="minorHAnsi" w:eastAsia="Times New Roman" w:hAnsiTheme="minorHAnsi" w:cstheme="minorHAnsi"/>
          <w:color w:val="000000"/>
          <w:szCs w:val="24"/>
          <w:lang w:eastAsia="en-GB" w:bidi="ar-SA"/>
        </w:rPr>
        <w:tab/>
      </w:r>
      <w:r w:rsidRPr="005141CA">
        <w:rPr>
          <w:rFonts w:asciiTheme="minorHAnsi" w:eastAsia="Times New Roman" w:hAnsiTheme="minorHAnsi" w:cstheme="minorHAnsi"/>
          <w:color w:val="000000"/>
          <w:szCs w:val="24"/>
          <w:lang w:eastAsia="en-GB" w:bidi="ar-SA"/>
        </w:rPr>
        <w:t>Health &amp; Safety Executive</w:t>
      </w:r>
    </w:p>
    <w:p w14:paraId="5E9A20CC" w14:textId="77777777" w:rsidR="00ED6F53" w:rsidRPr="005141CA" w:rsidRDefault="00ED6F53" w:rsidP="00ED6F53">
      <w:pPr>
        <w:spacing w:after="120" w:line="240" w:lineRule="auto"/>
        <w:contextualSpacing/>
        <w:rPr>
          <w:rFonts w:asciiTheme="minorHAnsi" w:eastAsia="Times New Roman" w:hAnsiTheme="minorHAnsi" w:cstheme="minorHAnsi"/>
          <w:color w:val="000000"/>
          <w:szCs w:val="24"/>
          <w:lang w:eastAsia="en-GB" w:bidi="ar-SA"/>
        </w:rPr>
      </w:pPr>
      <w:r w:rsidRPr="005141CA">
        <w:rPr>
          <w:rFonts w:asciiTheme="minorHAnsi" w:eastAsia="Times New Roman" w:hAnsiTheme="minorHAnsi" w:cstheme="minorHAnsi"/>
          <w:color w:val="000000"/>
          <w:szCs w:val="24"/>
          <w:lang w:eastAsia="en-GB" w:bidi="ar-SA"/>
        </w:rPr>
        <w:t xml:space="preserve">IAEA </w:t>
      </w:r>
      <w:r>
        <w:rPr>
          <w:rFonts w:asciiTheme="minorHAnsi" w:eastAsia="Times New Roman" w:hAnsiTheme="minorHAnsi" w:cstheme="minorHAnsi"/>
          <w:color w:val="000000"/>
          <w:szCs w:val="24"/>
          <w:lang w:eastAsia="en-GB" w:bidi="ar-SA"/>
        </w:rPr>
        <w:tab/>
      </w:r>
      <w:r>
        <w:rPr>
          <w:rFonts w:asciiTheme="minorHAnsi" w:eastAsia="Times New Roman" w:hAnsiTheme="minorHAnsi" w:cstheme="minorHAnsi"/>
          <w:color w:val="000000"/>
          <w:szCs w:val="24"/>
          <w:lang w:eastAsia="en-GB" w:bidi="ar-SA"/>
        </w:rPr>
        <w:tab/>
      </w:r>
      <w:r w:rsidRPr="005141CA">
        <w:rPr>
          <w:rFonts w:asciiTheme="minorHAnsi" w:eastAsia="Times New Roman" w:hAnsiTheme="minorHAnsi" w:cstheme="minorHAnsi"/>
          <w:color w:val="000000"/>
          <w:szCs w:val="24"/>
          <w:lang w:eastAsia="en-GB" w:bidi="ar-SA"/>
        </w:rPr>
        <w:t>International Atomic Energy Agency</w:t>
      </w:r>
    </w:p>
    <w:p w14:paraId="59E9091A" w14:textId="018E0F84" w:rsidR="00ED6F53" w:rsidRPr="005141CA" w:rsidRDefault="00ED6F53" w:rsidP="00ED6F53">
      <w:pPr>
        <w:spacing w:after="120" w:line="240" w:lineRule="auto"/>
        <w:contextualSpacing/>
        <w:rPr>
          <w:rFonts w:asciiTheme="minorHAnsi" w:eastAsia="Times New Roman" w:hAnsiTheme="minorHAnsi" w:cstheme="minorHAnsi"/>
          <w:color w:val="000000"/>
          <w:szCs w:val="24"/>
          <w:lang w:eastAsia="en-GB" w:bidi="ar-SA"/>
        </w:rPr>
      </w:pPr>
      <w:r w:rsidRPr="005141CA">
        <w:rPr>
          <w:rFonts w:asciiTheme="minorHAnsi" w:eastAsia="Times New Roman" w:hAnsiTheme="minorHAnsi" w:cstheme="minorHAnsi"/>
          <w:color w:val="000000"/>
          <w:szCs w:val="24"/>
          <w:lang w:eastAsia="en-GB" w:bidi="ar-SA"/>
        </w:rPr>
        <w:t>LC</w:t>
      </w:r>
      <w:r w:rsidR="003F768C">
        <w:rPr>
          <w:rFonts w:asciiTheme="minorHAnsi" w:eastAsia="Times New Roman" w:hAnsiTheme="minorHAnsi" w:cstheme="minorHAnsi"/>
          <w:color w:val="000000"/>
          <w:szCs w:val="24"/>
          <w:lang w:eastAsia="en-GB" w:bidi="ar-SA"/>
        </w:rPr>
        <w:t>(s)</w:t>
      </w:r>
      <w:r w:rsidRPr="005141CA">
        <w:rPr>
          <w:rFonts w:asciiTheme="minorHAnsi" w:eastAsia="Times New Roman" w:hAnsiTheme="minorHAnsi" w:cstheme="minorHAnsi"/>
          <w:color w:val="000000"/>
          <w:szCs w:val="24"/>
          <w:lang w:eastAsia="en-GB" w:bidi="ar-SA"/>
        </w:rPr>
        <w:t xml:space="preserve"> </w:t>
      </w:r>
      <w:r>
        <w:rPr>
          <w:rFonts w:asciiTheme="minorHAnsi" w:eastAsia="Times New Roman" w:hAnsiTheme="minorHAnsi" w:cstheme="minorHAnsi"/>
          <w:color w:val="000000"/>
          <w:szCs w:val="24"/>
          <w:lang w:eastAsia="en-GB" w:bidi="ar-SA"/>
        </w:rPr>
        <w:tab/>
      </w:r>
      <w:r>
        <w:rPr>
          <w:rFonts w:asciiTheme="minorHAnsi" w:eastAsia="Times New Roman" w:hAnsiTheme="minorHAnsi" w:cstheme="minorHAnsi"/>
          <w:color w:val="000000"/>
          <w:szCs w:val="24"/>
          <w:lang w:eastAsia="en-GB" w:bidi="ar-SA"/>
        </w:rPr>
        <w:tab/>
      </w:r>
      <w:r w:rsidRPr="005141CA">
        <w:rPr>
          <w:rFonts w:asciiTheme="minorHAnsi" w:eastAsia="Times New Roman" w:hAnsiTheme="minorHAnsi" w:cstheme="minorHAnsi"/>
          <w:color w:val="000000"/>
          <w:szCs w:val="24"/>
          <w:lang w:eastAsia="en-GB" w:bidi="ar-SA"/>
        </w:rPr>
        <w:t>Licence Condition</w:t>
      </w:r>
      <w:r w:rsidR="003F768C">
        <w:rPr>
          <w:rFonts w:asciiTheme="minorHAnsi" w:eastAsia="Times New Roman" w:hAnsiTheme="minorHAnsi" w:cstheme="minorHAnsi"/>
          <w:color w:val="000000"/>
          <w:szCs w:val="24"/>
          <w:lang w:eastAsia="en-GB" w:bidi="ar-SA"/>
        </w:rPr>
        <w:t>(s)</w:t>
      </w:r>
    </w:p>
    <w:p w14:paraId="5C0EFFDD" w14:textId="77777777" w:rsidR="00ED6F53" w:rsidRPr="005141CA" w:rsidRDefault="00ED6F53" w:rsidP="00ED6F53">
      <w:pPr>
        <w:spacing w:after="120" w:line="240" w:lineRule="auto"/>
        <w:contextualSpacing/>
        <w:rPr>
          <w:rFonts w:asciiTheme="minorHAnsi" w:eastAsia="Times New Roman" w:hAnsiTheme="minorHAnsi" w:cstheme="minorHAnsi"/>
          <w:color w:val="000000"/>
          <w:szCs w:val="24"/>
          <w:lang w:eastAsia="en-GB" w:bidi="ar-SA"/>
        </w:rPr>
      </w:pPr>
      <w:r w:rsidRPr="005141CA">
        <w:rPr>
          <w:rFonts w:asciiTheme="minorHAnsi" w:eastAsia="Times New Roman" w:hAnsiTheme="minorHAnsi" w:cstheme="minorHAnsi"/>
          <w:color w:val="000000"/>
          <w:szCs w:val="24"/>
          <w:lang w:eastAsia="en-GB" w:bidi="ar-SA"/>
        </w:rPr>
        <w:t xml:space="preserve">ONR </w:t>
      </w:r>
      <w:r>
        <w:rPr>
          <w:rFonts w:asciiTheme="minorHAnsi" w:eastAsia="Times New Roman" w:hAnsiTheme="minorHAnsi" w:cstheme="minorHAnsi"/>
          <w:color w:val="000000"/>
          <w:szCs w:val="24"/>
          <w:lang w:eastAsia="en-GB" w:bidi="ar-SA"/>
        </w:rPr>
        <w:tab/>
      </w:r>
      <w:r>
        <w:rPr>
          <w:rFonts w:asciiTheme="minorHAnsi" w:eastAsia="Times New Roman" w:hAnsiTheme="minorHAnsi" w:cstheme="minorHAnsi"/>
          <w:color w:val="000000"/>
          <w:szCs w:val="24"/>
          <w:lang w:eastAsia="en-GB" w:bidi="ar-SA"/>
        </w:rPr>
        <w:tab/>
      </w:r>
      <w:r w:rsidRPr="005141CA">
        <w:rPr>
          <w:rFonts w:asciiTheme="minorHAnsi" w:eastAsia="Times New Roman" w:hAnsiTheme="minorHAnsi" w:cstheme="minorHAnsi"/>
          <w:color w:val="000000"/>
          <w:szCs w:val="24"/>
          <w:lang w:eastAsia="en-GB" w:bidi="ar-SA"/>
        </w:rPr>
        <w:t>Office for Nuclear Regulation</w:t>
      </w:r>
    </w:p>
    <w:p w14:paraId="467A9DD2" w14:textId="77777777" w:rsidR="00ED6F53" w:rsidRPr="005141CA" w:rsidRDefault="00ED6F53" w:rsidP="00ED6F53">
      <w:pPr>
        <w:spacing w:after="120" w:line="240" w:lineRule="auto"/>
        <w:contextualSpacing/>
        <w:rPr>
          <w:rFonts w:asciiTheme="minorHAnsi" w:eastAsia="Times New Roman" w:hAnsiTheme="minorHAnsi" w:cstheme="minorHAnsi"/>
          <w:color w:val="000000"/>
          <w:szCs w:val="24"/>
          <w:lang w:eastAsia="en-GB" w:bidi="ar-SA"/>
        </w:rPr>
      </w:pPr>
      <w:r w:rsidRPr="005141CA">
        <w:rPr>
          <w:rFonts w:asciiTheme="minorHAnsi" w:eastAsia="Times New Roman" w:hAnsiTheme="minorHAnsi" w:cstheme="minorHAnsi"/>
          <w:color w:val="000000"/>
          <w:szCs w:val="24"/>
          <w:lang w:eastAsia="en-GB" w:bidi="ar-SA"/>
        </w:rPr>
        <w:t xml:space="preserve">OpEX </w:t>
      </w:r>
      <w:r>
        <w:rPr>
          <w:rFonts w:asciiTheme="minorHAnsi" w:eastAsia="Times New Roman" w:hAnsiTheme="minorHAnsi" w:cstheme="minorHAnsi"/>
          <w:color w:val="000000"/>
          <w:szCs w:val="24"/>
          <w:lang w:eastAsia="en-GB" w:bidi="ar-SA"/>
        </w:rPr>
        <w:tab/>
      </w:r>
      <w:r>
        <w:rPr>
          <w:rFonts w:asciiTheme="minorHAnsi" w:eastAsia="Times New Roman" w:hAnsiTheme="minorHAnsi" w:cstheme="minorHAnsi"/>
          <w:color w:val="000000"/>
          <w:szCs w:val="24"/>
          <w:lang w:eastAsia="en-GB" w:bidi="ar-SA"/>
        </w:rPr>
        <w:tab/>
      </w:r>
      <w:r w:rsidRPr="005141CA">
        <w:rPr>
          <w:rFonts w:asciiTheme="minorHAnsi" w:eastAsia="Times New Roman" w:hAnsiTheme="minorHAnsi" w:cstheme="minorHAnsi"/>
          <w:color w:val="000000"/>
          <w:szCs w:val="24"/>
          <w:lang w:eastAsia="en-GB" w:bidi="ar-SA"/>
        </w:rPr>
        <w:t>Operational Experience</w:t>
      </w:r>
    </w:p>
    <w:p w14:paraId="690567A4" w14:textId="77777777" w:rsidR="00ED6F53" w:rsidRPr="005141CA" w:rsidRDefault="00ED6F53" w:rsidP="00ED6F53">
      <w:pPr>
        <w:spacing w:after="120" w:line="240" w:lineRule="auto"/>
        <w:contextualSpacing/>
        <w:rPr>
          <w:rFonts w:asciiTheme="minorHAnsi" w:eastAsia="Times New Roman" w:hAnsiTheme="minorHAnsi" w:cstheme="minorHAnsi"/>
          <w:color w:val="000000"/>
          <w:szCs w:val="24"/>
          <w:lang w:eastAsia="en-GB" w:bidi="ar-SA"/>
        </w:rPr>
      </w:pPr>
      <w:r w:rsidRPr="005141CA">
        <w:rPr>
          <w:rFonts w:asciiTheme="minorHAnsi" w:eastAsia="Times New Roman" w:hAnsiTheme="minorHAnsi" w:cstheme="minorHAnsi"/>
          <w:color w:val="000000"/>
          <w:szCs w:val="24"/>
          <w:lang w:eastAsia="en-GB" w:bidi="ar-SA"/>
        </w:rPr>
        <w:t xml:space="preserve">PSA </w:t>
      </w:r>
      <w:r>
        <w:rPr>
          <w:rFonts w:asciiTheme="minorHAnsi" w:eastAsia="Times New Roman" w:hAnsiTheme="minorHAnsi" w:cstheme="minorHAnsi"/>
          <w:color w:val="000000"/>
          <w:szCs w:val="24"/>
          <w:lang w:eastAsia="en-GB" w:bidi="ar-SA"/>
        </w:rPr>
        <w:tab/>
      </w:r>
      <w:r>
        <w:rPr>
          <w:rFonts w:asciiTheme="minorHAnsi" w:eastAsia="Times New Roman" w:hAnsiTheme="minorHAnsi" w:cstheme="minorHAnsi"/>
          <w:color w:val="000000"/>
          <w:szCs w:val="24"/>
          <w:lang w:eastAsia="en-GB" w:bidi="ar-SA"/>
        </w:rPr>
        <w:tab/>
      </w:r>
      <w:r w:rsidRPr="005141CA">
        <w:rPr>
          <w:rFonts w:asciiTheme="minorHAnsi" w:eastAsia="Times New Roman" w:hAnsiTheme="minorHAnsi" w:cstheme="minorHAnsi"/>
          <w:color w:val="000000"/>
          <w:szCs w:val="24"/>
          <w:lang w:eastAsia="en-GB" w:bidi="ar-SA"/>
        </w:rPr>
        <w:t>Probabilistic Safety Analysis</w:t>
      </w:r>
    </w:p>
    <w:p w14:paraId="0F65DD11" w14:textId="482C8657" w:rsidR="00ED6F53" w:rsidRPr="005141CA" w:rsidRDefault="00ED6F53" w:rsidP="00ED6F53">
      <w:pPr>
        <w:spacing w:after="120" w:line="240" w:lineRule="auto"/>
        <w:contextualSpacing/>
        <w:rPr>
          <w:rFonts w:asciiTheme="minorHAnsi" w:eastAsia="Times New Roman" w:hAnsiTheme="minorHAnsi" w:cstheme="minorHAnsi"/>
          <w:color w:val="000000"/>
          <w:szCs w:val="24"/>
          <w:lang w:eastAsia="en-GB" w:bidi="ar-SA"/>
        </w:rPr>
      </w:pPr>
      <w:r w:rsidRPr="005141CA">
        <w:rPr>
          <w:rFonts w:asciiTheme="minorHAnsi" w:eastAsia="Times New Roman" w:hAnsiTheme="minorHAnsi" w:cstheme="minorHAnsi"/>
          <w:color w:val="000000"/>
          <w:szCs w:val="24"/>
          <w:lang w:eastAsia="en-GB" w:bidi="ar-SA"/>
        </w:rPr>
        <w:t>PSR</w:t>
      </w:r>
      <w:r w:rsidR="003F768C">
        <w:rPr>
          <w:rFonts w:asciiTheme="minorHAnsi" w:eastAsia="Times New Roman" w:hAnsiTheme="minorHAnsi" w:cstheme="minorHAnsi"/>
          <w:color w:val="000000"/>
          <w:szCs w:val="24"/>
          <w:lang w:eastAsia="en-GB" w:bidi="ar-SA"/>
        </w:rPr>
        <w:t>(s)</w:t>
      </w:r>
      <w:r>
        <w:rPr>
          <w:rFonts w:asciiTheme="minorHAnsi" w:eastAsia="Times New Roman" w:hAnsiTheme="minorHAnsi" w:cstheme="minorHAnsi"/>
          <w:color w:val="000000"/>
          <w:szCs w:val="24"/>
          <w:lang w:eastAsia="en-GB" w:bidi="ar-SA"/>
        </w:rPr>
        <w:tab/>
      </w:r>
      <w:r w:rsidRPr="005141CA">
        <w:rPr>
          <w:rFonts w:asciiTheme="minorHAnsi" w:eastAsia="Times New Roman" w:hAnsiTheme="minorHAnsi" w:cstheme="minorHAnsi"/>
          <w:color w:val="000000"/>
          <w:szCs w:val="24"/>
          <w:lang w:eastAsia="en-GB" w:bidi="ar-SA"/>
        </w:rPr>
        <w:t>Periodic Safety Review</w:t>
      </w:r>
      <w:r w:rsidR="003F768C">
        <w:rPr>
          <w:rFonts w:asciiTheme="minorHAnsi" w:eastAsia="Times New Roman" w:hAnsiTheme="minorHAnsi" w:cstheme="minorHAnsi"/>
          <w:color w:val="000000"/>
          <w:szCs w:val="24"/>
          <w:lang w:eastAsia="en-GB" w:bidi="ar-SA"/>
        </w:rPr>
        <w:t>(s)</w:t>
      </w:r>
    </w:p>
    <w:p w14:paraId="51DE8A86" w14:textId="77777777" w:rsidR="00ED6F53" w:rsidRDefault="00ED6F53" w:rsidP="00ED6F53">
      <w:pPr>
        <w:spacing w:after="120" w:line="240" w:lineRule="auto"/>
        <w:contextualSpacing/>
        <w:rPr>
          <w:rFonts w:asciiTheme="minorHAnsi" w:eastAsia="Times New Roman" w:hAnsiTheme="minorHAnsi" w:cstheme="minorHAnsi"/>
          <w:color w:val="000000"/>
          <w:szCs w:val="24"/>
          <w:lang w:eastAsia="en-GB" w:bidi="ar-SA"/>
        </w:rPr>
      </w:pPr>
      <w:r w:rsidRPr="005141CA">
        <w:rPr>
          <w:rFonts w:asciiTheme="minorHAnsi" w:eastAsia="Times New Roman" w:hAnsiTheme="minorHAnsi" w:cstheme="minorHAnsi"/>
          <w:color w:val="000000"/>
          <w:szCs w:val="24"/>
          <w:lang w:eastAsia="en-GB" w:bidi="ar-SA"/>
        </w:rPr>
        <w:t xml:space="preserve">R&amp;D </w:t>
      </w:r>
      <w:r>
        <w:rPr>
          <w:rFonts w:asciiTheme="minorHAnsi" w:eastAsia="Times New Roman" w:hAnsiTheme="minorHAnsi" w:cstheme="minorHAnsi"/>
          <w:color w:val="000000"/>
          <w:szCs w:val="24"/>
          <w:lang w:eastAsia="en-GB" w:bidi="ar-SA"/>
        </w:rPr>
        <w:tab/>
      </w:r>
      <w:r>
        <w:rPr>
          <w:rFonts w:asciiTheme="minorHAnsi" w:eastAsia="Times New Roman" w:hAnsiTheme="minorHAnsi" w:cstheme="minorHAnsi"/>
          <w:color w:val="000000"/>
          <w:szCs w:val="24"/>
          <w:lang w:eastAsia="en-GB" w:bidi="ar-SA"/>
        </w:rPr>
        <w:tab/>
      </w:r>
      <w:r w:rsidRPr="005141CA">
        <w:rPr>
          <w:rFonts w:asciiTheme="minorHAnsi" w:eastAsia="Times New Roman" w:hAnsiTheme="minorHAnsi" w:cstheme="minorHAnsi"/>
          <w:color w:val="000000"/>
          <w:szCs w:val="24"/>
          <w:lang w:eastAsia="en-GB" w:bidi="ar-SA"/>
        </w:rPr>
        <w:t>Research and Development</w:t>
      </w:r>
    </w:p>
    <w:p w14:paraId="61751D1B" w14:textId="77777777" w:rsidR="00ED6F53" w:rsidRPr="005141CA" w:rsidRDefault="00ED6F53" w:rsidP="00ED6F53">
      <w:pPr>
        <w:spacing w:after="120" w:line="240" w:lineRule="auto"/>
        <w:contextualSpacing/>
        <w:rPr>
          <w:rFonts w:asciiTheme="minorHAnsi" w:eastAsia="Times New Roman" w:hAnsiTheme="minorHAnsi" w:cstheme="minorHAnsi"/>
          <w:color w:val="000000"/>
          <w:szCs w:val="24"/>
          <w:lang w:eastAsia="en-GB" w:bidi="ar-SA"/>
        </w:rPr>
      </w:pPr>
      <w:r>
        <w:rPr>
          <w:rFonts w:asciiTheme="minorHAnsi" w:eastAsia="Times New Roman" w:hAnsiTheme="minorHAnsi" w:cstheme="minorHAnsi"/>
          <w:color w:val="000000"/>
          <w:szCs w:val="24"/>
          <w:lang w:eastAsia="en-GB" w:bidi="ar-SA"/>
        </w:rPr>
        <w:t>RGP</w:t>
      </w:r>
      <w:r>
        <w:rPr>
          <w:rFonts w:asciiTheme="minorHAnsi" w:eastAsia="Times New Roman" w:hAnsiTheme="minorHAnsi" w:cstheme="minorHAnsi"/>
          <w:color w:val="000000"/>
          <w:szCs w:val="24"/>
          <w:lang w:eastAsia="en-GB" w:bidi="ar-SA"/>
        </w:rPr>
        <w:tab/>
      </w:r>
      <w:r>
        <w:rPr>
          <w:rFonts w:asciiTheme="minorHAnsi" w:eastAsia="Times New Roman" w:hAnsiTheme="minorHAnsi" w:cstheme="minorHAnsi"/>
          <w:color w:val="000000"/>
          <w:szCs w:val="24"/>
          <w:lang w:eastAsia="en-GB" w:bidi="ar-SA"/>
        </w:rPr>
        <w:tab/>
        <w:t>Relevant Good Practice</w:t>
      </w:r>
    </w:p>
    <w:p w14:paraId="64EA7A42" w14:textId="77777777" w:rsidR="00ED6F53" w:rsidRPr="005141CA" w:rsidRDefault="00ED6F53" w:rsidP="00ED6F53">
      <w:pPr>
        <w:spacing w:after="120" w:line="240" w:lineRule="auto"/>
        <w:contextualSpacing/>
        <w:rPr>
          <w:rFonts w:asciiTheme="minorHAnsi" w:eastAsia="Times New Roman" w:hAnsiTheme="minorHAnsi" w:cstheme="minorHAnsi"/>
          <w:color w:val="000000"/>
          <w:szCs w:val="24"/>
          <w:lang w:eastAsia="en-GB" w:bidi="ar-SA"/>
        </w:rPr>
      </w:pPr>
      <w:r w:rsidRPr="005141CA">
        <w:rPr>
          <w:rFonts w:asciiTheme="minorHAnsi" w:eastAsia="Times New Roman" w:hAnsiTheme="minorHAnsi" w:cstheme="minorHAnsi"/>
          <w:color w:val="000000"/>
          <w:szCs w:val="24"/>
          <w:lang w:eastAsia="en-GB" w:bidi="ar-SA"/>
        </w:rPr>
        <w:t xml:space="preserve">RL(s) </w:t>
      </w:r>
      <w:r>
        <w:rPr>
          <w:rFonts w:asciiTheme="minorHAnsi" w:eastAsia="Times New Roman" w:hAnsiTheme="minorHAnsi" w:cstheme="minorHAnsi"/>
          <w:color w:val="000000"/>
          <w:szCs w:val="24"/>
          <w:lang w:eastAsia="en-GB" w:bidi="ar-SA"/>
        </w:rPr>
        <w:tab/>
      </w:r>
      <w:r>
        <w:rPr>
          <w:rFonts w:asciiTheme="minorHAnsi" w:eastAsia="Times New Roman" w:hAnsiTheme="minorHAnsi" w:cstheme="minorHAnsi"/>
          <w:color w:val="000000"/>
          <w:szCs w:val="24"/>
          <w:lang w:eastAsia="en-GB" w:bidi="ar-SA"/>
        </w:rPr>
        <w:tab/>
      </w:r>
      <w:r w:rsidRPr="005141CA">
        <w:rPr>
          <w:rFonts w:asciiTheme="minorHAnsi" w:eastAsia="Times New Roman" w:hAnsiTheme="minorHAnsi" w:cstheme="minorHAnsi"/>
          <w:color w:val="000000"/>
          <w:szCs w:val="24"/>
          <w:lang w:eastAsia="en-GB" w:bidi="ar-SA"/>
        </w:rPr>
        <w:t>Reference Level(s)</w:t>
      </w:r>
    </w:p>
    <w:p w14:paraId="126133EF" w14:textId="77777777" w:rsidR="00ED6F53" w:rsidRPr="005141CA" w:rsidRDefault="00ED6F53" w:rsidP="00ED6F53">
      <w:pPr>
        <w:spacing w:after="120" w:line="240" w:lineRule="auto"/>
        <w:contextualSpacing/>
        <w:rPr>
          <w:rFonts w:asciiTheme="minorHAnsi" w:eastAsia="Times New Roman" w:hAnsiTheme="minorHAnsi" w:cstheme="minorHAnsi"/>
          <w:color w:val="000000"/>
          <w:szCs w:val="24"/>
          <w:lang w:eastAsia="en-GB" w:bidi="ar-SA"/>
        </w:rPr>
      </w:pPr>
      <w:r w:rsidRPr="005141CA">
        <w:rPr>
          <w:rFonts w:asciiTheme="minorHAnsi" w:eastAsia="Times New Roman" w:hAnsiTheme="minorHAnsi" w:cstheme="minorHAnsi"/>
          <w:color w:val="000000"/>
          <w:szCs w:val="24"/>
          <w:lang w:eastAsia="en-GB" w:bidi="ar-SA"/>
        </w:rPr>
        <w:t xml:space="preserve">SAP(s) </w:t>
      </w:r>
      <w:r>
        <w:rPr>
          <w:rFonts w:asciiTheme="minorHAnsi" w:eastAsia="Times New Roman" w:hAnsiTheme="minorHAnsi" w:cstheme="minorHAnsi"/>
          <w:color w:val="000000"/>
          <w:szCs w:val="24"/>
          <w:lang w:eastAsia="en-GB" w:bidi="ar-SA"/>
        </w:rPr>
        <w:tab/>
      </w:r>
      <w:r w:rsidRPr="005141CA">
        <w:rPr>
          <w:rFonts w:asciiTheme="minorHAnsi" w:eastAsia="Times New Roman" w:hAnsiTheme="minorHAnsi" w:cstheme="minorHAnsi"/>
          <w:color w:val="000000"/>
          <w:szCs w:val="24"/>
          <w:lang w:eastAsia="en-GB" w:bidi="ar-SA"/>
        </w:rPr>
        <w:t>Safety Assessment Principle(s)</w:t>
      </w:r>
    </w:p>
    <w:p w14:paraId="36121843" w14:textId="77777777" w:rsidR="00ED6F53" w:rsidRPr="005141CA" w:rsidRDefault="00ED6F53" w:rsidP="00ED6F53">
      <w:pPr>
        <w:spacing w:after="120" w:line="240" w:lineRule="auto"/>
        <w:contextualSpacing/>
        <w:rPr>
          <w:rFonts w:asciiTheme="minorHAnsi" w:eastAsia="Times New Roman" w:hAnsiTheme="minorHAnsi" w:cstheme="minorHAnsi"/>
          <w:color w:val="000000"/>
          <w:szCs w:val="24"/>
          <w:lang w:eastAsia="en-GB" w:bidi="ar-SA"/>
        </w:rPr>
      </w:pPr>
      <w:r w:rsidRPr="005141CA">
        <w:rPr>
          <w:rFonts w:asciiTheme="minorHAnsi" w:eastAsia="Times New Roman" w:hAnsiTheme="minorHAnsi" w:cstheme="minorHAnsi"/>
          <w:color w:val="000000"/>
          <w:szCs w:val="24"/>
          <w:lang w:eastAsia="en-GB" w:bidi="ar-SA"/>
        </w:rPr>
        <w:t xml:space="preserve">SQEP </w:t>
      </w:r>
      <w:r>
        <w:rPr>
          <w:rFonts w:asciiTheme="minorHAnsi" w:eastAsia="Times New Roman" w:hAnsiTheme="minorHAnsi" w:cstheme="minorHAnsi"/>
          <w:color w:val="000000"/>
          <w:szCs w:val="24"/>
          <w:lang w:eastAsia="en-GB" w:bidi="ar-SA"/>
        </w:rPr>
        <w:tab/>
      </w:r>
      <w:r w:rsidRPr="005141CA">
        <w:rPr>
          <w:rFonts w:asciiTheme="minorHAnsi" w:eastAsia="Times New Roman" w:hAnsiTheme="minorHAnsi" w:cstheme="minorHAnsi"/>
          <w:color w:val="000000"/>
          <w:szCs w:val="24"/>
          <w:lang w:eastAsia="en-GB" w:bidi="ar-SA"/>
        </w:rPr>
        <w:t xml:space="preserve">Suitably Qualified and Experienced </w:t>
      </w:r>
      <w:r>
        <w:rPr>
          <w:rFonts w:asciiTheme="minorHAnsi" w:eastAsia="Times New Roman" w:hAnsiTheme="minorHAnsi" w:cstheme="minorHAnsi"/>
          <w:color w:val="000000"/>
          <w:szCs w:val="24"/>
          <w:lang w:eastAsia="en-GB" w:bidi="ar-SA"/>
        </w:rPr>
        <w:t>Persons</w:t>
      </w:r>
    </w:p>
    <w:p w14:paraId="6F39A445" w14:textId="296B3292" w:rsidR="00ED6F53" w:rsidRPr="005141CA" w:rsidRDefault="00ED6F53" w:rsidP="00ED6F53">
      <w:pPr>
        <w:spacing w:after="120" w:line="240" w:lineRule="auto"/>
        <w:contextualSpacing/>
        <w:rPr>
          <w:rFonts w:asciiTheme="minorHAnsi" w:eastAsia="Times New Roman" w:hAnsiTheme="minorHAnsi" w:cstheme="minorHAnsi"/>
          <w:color w:val="000000"/>
          <w:szCs w:val="24"/>
          <w:lang w:eastAsia="en-GB" w:bidi="ar-SA"/>
        </w:rPr>
      </w:pPr>
      <w:r w:rsidRPr="005141CA">
        <w:rPr>
          <w:rFonts w:asciiTheme="minorHAnsi" w:eastAsia="Times New Roman" w:hAnsiTheme="minorHAnsi" w:cstheme="minorHAnsi"/>
          <w:color w:val="000000"/>
          <w:szCs w:val="24"/>
          <w:lang w:eastAsia="en-GB" w:bidi="ar-SA"/>
        </w:rPr>
        <w:t>SSC</w:t>
      </w:r>
      <w:r w:rsidR="003F768C">
        <w:rPr>
          <w:rFonts w:asciiTheme="minorHAnsi" w:eastAsia="Times New Roman" w:hAnsiTheme="minorHAnsi" w:cstheme="minorHAnsi"/>
          <w:color w:val="000000"/>
          <w:szCs w:val="24"/>
          <w:lang w:eastAsia="en-GB" w:bidi="ar-SA"/>
        </w:rPr>
        <w:t>(</w:t>
      </w:r>
      <w:r w:rsidRPr="005141CA">
        <w:rPr>
          <w:rFonts w:asciiTheme="minorHAnsi" w:eastAsia="Times New Roman" w:hAnsiTheme="minorHAnsi" w:cstheme="minorHAnsi"/>
          <w:color w:val="000000"/>
          <w:szCs w:val="24"/>
          <w:lang w:eastAsia="en-GB" w:bidi="ar-SA"/>
        </w:rPr>
        <w:t>s</w:t>
      </w:r>
      <w:r w:rsidR="003F768C">
        <w:rPr>
          <w:rFonts w:asciiTheme="minorHAnsi" w:eastAsia="Times New Roman" w:hAnsiTheme="minorHAnsi" w:cstheme="minorHAnsi"/>
          <w:color w:val="000000"/>
          <w:szCs w:val="24"/>
          <w:lang w:eastAsia="en-GB" w:bidi="ar-SA"/>
        </w:rPr>
        <w:t>)</w:t>
      </w:r>
      <w:r>
        <w:rPr>
          <w:rFonts w:asciiTheme="minorHAnsi" w:eastAsia="Times New Roman" w:hAnsiTheme="minorHAnsi" w:cstheme="minorHAnsi"/>
          <w:color w:val="000000"/>
          <w:szCs w:val="24"/>
          <w:lang w:eastAsia="en-GB" w:bidi="ar-SA"/>
        </w:rPr>
        <w:tab/>
      </w:r>
      <w:r w:rsidRPr="005141CA">
        <w:rPr>
          <w:rFonts w:asciiTheme="minorHAnsi" w:eastAsia="Times New Roman" w:hAnsiTheme="minorHAnsi" w:cstheme="minorHAnsi"/>
          <w:color w:val="000000"/>
          <w:szCs w:val="24"/>
          <w:lang w:eastAsia="en-GB" w:bidi="ar-SA"/>
        </w:rPr>
        <w:t>Structures, Systems and Component</w:t>
      </w:r>
      <w:r w:rsidR="003F768C">
        <w:rPr>
          <w:rFonts w:asciiTheme="minorHAnsi" w:eastAsia="Times New Roman" w:hAnsiTheme="minorHAnsi" w:cstheme="minorHAnsi"/>
          <w:color w:val="000000"/>
          <w:szCs w:val="24"/>
          <w:lang w:eastAsia="en-GB" w:bidi="ar-SA"/>
        </w:rPr>
        <w:t>(</w:t>
      </w:r>
      <w:r w:rsidRPr="005141CA">
        <w:rPr>
          <w:rFonts w:asciiTheme="minorHAnsi" w:eastAsia="Times New Roman" w:hAnsiTheme="minorHAnsi" w:cstheme="minorHAnsi"/>
          <w:color w:val="000000"/>
          <w:szCs w:val="24"/>
          <w:lang w:eastAsia="en-GB" w:bidi="ar-SA"/>
        </w:rPr>
        <w:t>s</w:t>
      </w:r>
      <w:r w:rsidR="003F768C">
        <w:rPr>
          <w:rFonts w:asciiTheme="minorHAnsi" w:eastAsia="Times New Roman" w:hAnsiTheme="minorHAnsi" w:cstheme="minorHAnsi"/>
          <w:color w:val="000000"/>
          <w:szCs w:val="24"/>
          <w:lang w:eastAsia="en-GB" w:bidi="ar-SA"/>
        </w:rPr>
        <w:t>)</w:t>
      </w:r>
    </w:p>
    <w:p w14:paraId="115FD46B" w14:textId="77777777" w:rsidR="00ED6F53" w:rsidRPr="005141CA" w:rsidRDefault="00ED6F53" w:rsidP="00ED6F53">
      <w:pPr>
        <w:spacing w:after="120" w:line="240" w:lineRule="auto"/>
        <w:contextualSpacing/>
        <w:rPr>
          <w:rFonts w:asciiTheme="minorHAnsi" w:eastAsia="Times New Roman" w:hAnsiTheme="minorHAnsi" w:cstheme="minorHAnsi"/>
          <w:color w:val="000000"/>
          <w:szCs w:val="24"/>
          <w:lang w:eastAsia="en-GB" w:bidi="ar-SA"/>
        </w:rPr>
      </w:pPr>
      <w:r w:rsidRPr="005141CA">
        <w:rPr>
          <w:rFonts w:asciiTheme="minorHAnsi" w:eastAsia="Times New Roman" w:hAnsiTheme="minorHAnsi" w:cstheme="minorHAnsi"/>
          <w:color w:val="000000"/>
          <w:szCs w:val="24"/>
          <w:lang w:eastAsia="en-GB" w:bidi="ar-SA"/>
        </w:rPr>
        <w:t xml:space="preserve">TAG(s) </w:t>
      </w:r>
      <w:r>
        <w:rPr>
          <w:rFonts w:asciiTheme="minorHAnsi" w:eastAsia="Times New Roman" w:hAnsiTheme="minorHAnsi" w:cstheme="minorHAnsi"/>
          <w:color w:val="000000"/>
          <w:szCs w:val="24"/>
          <w:lang w:eastAsia="en-GB" w:bidi="ar-SA"/>
        </w:rPr>
        <w:tab/>
      </w:r>
      <w:r w:rsidRPr="005141CA">
        <w:rPr>
          <w:rFonts w:asciiTheme="minorHAnsi" w:eastAsia="Times New Roman" w:hAnsiTheme="minorHAnsi" w:cstheme="minorHAnsi"/>
          <w:color w:val="000000"/>
          <w:szCs w:val="24"/>
          <w:lang w:eastAsia="en-GB" w:bidi="ar-SA"/>
        </w:rPr>
        <w:t>Technical Assessment Guide(s)</w:t>
      </w:r>
    </w:p>
    <w:p w14:paraId="2464CF56" w14:textId="77777777" w:rsidR="00ED6F53" w:rsidRDefault="00ED6F53" w:rsidP="00ED6F53">
      <w:pPr>
        <w:spacing w:after="120" w:line="240" w:lineRule="auto"/>
        <w:contextualSpacing/>
        <w:rPr>
          <w:rFonts w:asciiTheme="minorHAnsi" w:eastAsia="Times New Roman" w:hAnsiTheme="minorHAnsi" w:cstheme="minorHAnsi"/>
          <w:color w:val="000000"/>
          <w:szCs w:val="24"/>
          <w:lang w:eastAsia="en-GB" w:bidi="ar-SA"/>
        </w:rPr>
      </w:pPr>
      <w:r w:rsidRPr="005141CA">
        <w:rPr>
          <w:rFonts w:asciiTheme="minorHAnsi" w:eastAsia="Times New Roman" w:hAnsiTheme="minorHAnsi" w:cstheme="minorHAnsi"/>
          <w:color w:val="000000"/>
          <w:szCs w:val="24"/>
          <w:lang w:eastAsia="en-GB" w:bidi="ar-SA"/>
        </w:rPr>
        <w:t xml:space="preserve">WENRA </w:t>
      </w:r>
      <w:r>
        <w:rPr>
          <w:rFonts w:asciiTheme="minorHAnsi" w:eastAsia="Times New Roman" w:hAnsiTheme="minorHAnsi" w:cstheme="minorHAnsi"/>
          <w:color w:val="000000"/>
          <w:szCs w:val="24"/>
          <w:lang w:eastAsia="en-GB" w:bidi="ar-SA"/>
        </w:rPr>
        <w:tab/>
      </w:r>
      <w:r w:rsidRPr="005141CA">
        <w:rPr>
          <w:rFonts w:asciiTheme="minorHAnsi" w:eastAsia="Times New Roman" w:hAnsiTheme="minorHAnsi" w:cstheme="minorHAnsi"/>
          <w:color w:val="000000"/>
          <w:szCs w:val="24"/>
          <w:lang w:eastAsia="en-GB" w:bidi="ar-SA"/>
        </w:rPr>
        <w:t>Western European Nuclear Regulators’ Association</w:t>
      </w:r>
    </w:p>
    <w:p w14:paraId="4A72CE23" w14:textId="77777777" w:rsidR="00ED6F53" w:rsidRDefault="00ED6F53" w:rsidP="00ED6F53">
      <w:pPr>
        <w:spacing w:after="120" w:line="240" w:lineRule="auto"/>
        <w:contextualSpacing/>
        <w:rPr>
          <w:rFonts w:asciiTheme="minorHAnsi" w:eastAsia="Times New Roman" w:hAnsiTheme="minorHAnsi" w:cstheme="minorHAnsi"/>
          <w:color w:val="000000"/>
          <w:szCs w:val="24"/>
          <w:lang w:eastAsia="en-GB" w:bidi="ar-SA"/>
        </w:rPr>
        <w:sectPr w:rsidR="00ED6F53" w:rsidSect="00ED6F53">
          <w:pgSz w:w="11906" w:h="16838" w:code="9"/>
          <w:pgMar w:top="1440" w:right="1440" w:bottom="1440" w:left="1440" w:header="397" w:footer="397" w:gutter="0"/>
          <w:cols w:space="312"/>
          <w:docGrid w:linePitch="360"/>
        </w:sectPr>
      </w:pPr>
    </w:p>
    <w:bookmarkStart w:id="407" w:name="_Toc224840107" w:displacedByCustomXml="next"/>
    <w:sdt>
      <w:sdtPr>
        <w:rPr>
          <w:color w:val="auto"/>
          <w:sz w:val="24"/>
          <w:szCs w:val="24"/>
        </w:rPr>
        <w:id w:val="-2020227071"/>
        <w:docPartObj>
          <w:docPartGallery w:val="Bibliographies"/>
          <w:docPartUnique/>
        </w:docPartObj>
      </w:sdtPr>
      <w:sdtContent>
        <w:p w14:paraId="23520224" w14:textId="53D2F213" w:rsidR="00557C28" w:rsidRDefault="00557C28" w:rsidP="00CB16E5">
          <w:pPr>
            <w:pStyle w:val="Heading1"/>
            <w:numPr>
              <w:ilvl w:val="0"/>
              <w:numId w:val="0"/>
            </w:numPr>
            <w:ind w:left="851" w:hanging="851"/>
          </w:pPr>
          <w:r>
            <w:t>References</w:t>
          </w:r>
          <w:bookmarkEnd w:id="407"/>
        </w:p>
        <w:sdt>
          <w:sdtPr>
            <w:id w:val="-573587230"/>
            <w:bibliography/>
          </w:sdtPr>
          <w:sdtContent>
            <w:p w14:paraId="1AF1B6E7" w14:textId="77777777" w:rsidR="003F768C" w:rsidRDefault="00557C28" w:rsidP="00444438">
              <w:pPr>
                <w:rPr>
                  <w:rFonts w:ascii="Calibri" w:hAnsi="Calibri"/>
                  <w:noProof/>
                  <w:sz w:val="20"/>
                  <w:szCs w:val="20"/>
                  <w:lang w:eastAsia="en-GB" w:bidi="ar-SA"/>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3F768C" w14:paraId="5F97F4EF" w14:textId="77777777">
                <w:trPr>
                  <w:divId w:val="1266763688"/>
                  <w:tblCellSpacing w:w="15" w:type="dxa"/>
                </w:trPr>
                <w:tc>
                  <w:tcPr>
                    <w:tcW w:w="50" w:type="pct"/>
                    <w:hideMark/>
                  </w:tcPr>
                  <w:p w14:paraId="02B34547" w14:textId="678CADBA" w:rsidR="003F768C" w:rsidRDefault="003F768C" w:rsidP="003F768C">
                    <w:pPr>
                      <w:pStyle w:val="Bibliography"/>
                      <w:spacing w:after="0"/>
                      <w:rPr>
                        <w:noProof/>
                        <w:szCs w:val="24"/>
                      </w:rPr>
                    </w:pPr>
                    <w:r>
                      <w:rPr>
                        <w:noProof/>
                      </w:rPr>
                      <w:t xml:space="preserve">[1] </w:t>
                    </w:r>
                  </w:p>
                </w:tc>
                <w:tc>
                  <w:tcPr>
                    <w:tcW w:w="0" w:type="auto"/>
                    <w:hideMark/>
                  </w:tcPr>
                  <w:p w14:paraId="32757861" w14:textId="77777777" w:rsidR="003F768C" w:rsidRDefault="003F768C" w:rsidP="003F768C">
                    <w:pPr>
                      <w:pStyle w:val="Bibliography"/>
                      <w:spacing w:after="0"/>
                      <w:rPr>
                        <w:noProof/>
                      </w:rPr>
                    </w:pPr>
                    <w:r>
                      <w:rPr>
                        <w:noProof/>
                      </w:rPr>
                      <w:t>ONR, “Safety Assessment Principles (SAPs) for Nuclear Facilities - 2014 Edition (Revision 1),” 2020.</w:t>
                    </w:r>
                  </w:p>
                </w:tc>
              </w:tr>
              <w:tr w:rsidR="003F768C" w14:paraId="01C80ECD" w14:textId="77777777">
                <w:trPr>
                  <w:divId w:val="1266763688"/>
                  <w:tblCellSpacing w:w="15" w:type="dxa"/>
                </w:trPr>
                <w:tc>
                  <w:tcPr>
                    <w:tcW w:w="50" w:type="pct"/>
                    <w:hideMark/>
                  </w:tcPr>
                  <w:p w14:paraId="639C618B" w14:textId="77777777" w:rsidR="003F768C" w:rsidRDefault="003F768C" w:rsidP="003F768C">
                    <w:pPr>
                      <w:pStyle w:val="Bibliography"/>
                      <w:spacing w:after="0"/>
                      <w:rPr>
                        <w:noProof/>
                      </w:rPr>
                    </w:pPr>
                    <w:r>
                      <w:rPr>
                        <w:noProof/>
                      </w:rPr>
                      <w:t xml:space="preserve">[2] </w:t>
                    </w:r>
                  </w:p>
                </w:tc>
                <w:tc>
                  <w:tcPr>
                    <w:tcW w:w="0" w:type="auto"/>
                    <w:hideMark/>
                  </w:tcPr>
                  <w:p w14:paraId="015700D8" w14:textId="77777777" w:rsidR="003F768C" w:rsidRDefault="003F768C" w:rsidP="003F768C">
                    <w:pPr>
                      <w:pStyle w:val="Bibliography"/>
                      <w:spacing w:after="0"/>
                      <w:rPr>
                        <w:noProof/>
                      </w:rPr>
                    </w:pPr>
                    <w:r>
                      <w:rPr>
                        <w:noProof/>
                      </w:rPr>
                      <w:t>HSE, “L22: Safe use of work equipment - Provision and Use of Work Equipment Regulations 1998,” 2014. [Online]. Available: https://www.hse.gov.uk/pubns/books/l22.htm.</w:t>
                    </w:r>
                  </w:p>
                </w:tc>
              </w:tr>
              <w:tr w:rsidR="003F768C" w14:paraId="46C4A1FE" w14:textId="77777777">
                <w:trPr>
                  <w:divId w:val="1266763688"/>
                  <w:tblCellSpacing w:w="15" w:type="dxa"/>
                </w:trPr>
                <w:tc>
                  <w:tcPr>
                    <w:tcW w:w="50" w:type="pct"/>
                    <w:hideMark/>
                  </w:tcPr>
                  <w:p w14:paraId="72EC8804" w14:textId="77777777" w:rsidR="003F768C" w:rsidRDefault="003F768C" w:rsidP="003F768C">
                    <w:pPr>
                      <w:pStyle w:val="Bibliography"/>
                      <w:spacing w:after="0"/>
                      <w:rPr>
                        <w:noProof/>
                      </w:rPr>
                    </w:pPr>
                    <w:r>
                      <w:rPr>
                        <w:noProof/>
                      </w:rPr>
                      <w:t xml:space="preserve">[3] </w:t>
                    </w:r>
                  </w:p>
                </w:tc>
                <w:tc>
                  <w:tcPr>
                    <w:tcW w:w="0" w:type="auto"/>
                    <w:hideMark/>
                  </w:tcPr>
                  <w:p w14:paraId="772AF9F8" w14:textId="77777777" w:rsidR="003F768C" w:rsidRDefault="003F768C" w:rsidP="003F768C">
                    <w:pPr>
                      <w:pStyle w:val="Bibliography"/>
                      <w:spacing w:after="0"/>
                      <w:rPr>
                        <w:noProof/>
                      </w:rPr>
                    </w:pPr>
                    <w:r>
                      <w:rPr>
                        <w:noProof/>
                      </w:rPr>
                      <w:t>HSE, “L153 - Managing health and safety in construction - Construction (Design and Management) Regulations 2015,” 2015. [Online]. Available: https://www.hse.gov.uk/pubns/books/l153.htm.</w:t>
                    </w:r>
                  </w:p>
                </w:tc>
              </w:tr>
              <w:tr w:rsidR="003F768C" w14:paraId="151D6947" w14:textId="77777777">
                <w:trPr>
                  <w:divId w:val="1266763688"/>
                  <w:tblCellSpacing w:w="15" w:type="dxa"/>
                </w:trPr>
                <w:tc>
                  <w:tcPr>
                    <w:tcW w:w="50" w:type="pct"/>
                    <w:hideMark/>
                  </w:tcPr>
                  <w:p w14:paraId="008773B4" w14:textId="77777777" w:rsidR="003F768C" w:rsidRDefault="003F768C" w:rsidP="003F768C">
                    <w:pPr>
                      <w:pStyle w:val="Bibliography"/>
                      <w:spacing w:after="0"/>
                      <w:rPr>
                        <w:noProof/>
                      </w:rPr>
                    </w:pPr>
                    <w:r>
                      <w:rPr>
                        <w:noProof/>
                      </w:rPr>
                      <w:t xml:space="preserve">[4] </w:t>
                    </w:r>
                  </w:p>
                </w:tc>
                <w:tc>
                  <w:tcPr>
                    <w:tcW w:w="0" w:type="auto"/>
                    <w:hideMark/>
                  </w:tcPr>
                  <w:p w14:paraId="676E7F7A" w14:textId="77777777" w:rsidR="003F768C" w:rsidRDefault="003F768C" w:rsidP="003F768C">
                    <w:pPr>
                      <w:pStyle w:val="Bibliography"/>
                      <w:spacing w:after="0"/>
                      <w:rPr>
                        <w:noProof/>
                      </w:rPr>
                    </w:pPr>
                    <w:r>
                      <w:rPr>
                        <w:noProof/>
                      </w:rPr>
                      <w:t>HSE, “L111 - The Control of Major Accident Hazards Regulations 2015,” 2015. [Online]. Available: https://www.hse.gov.uk/pubns/priced/l111.pdf.</w:t>
                    </w:r>
                  </w:p>
                </w:tc>
              </w:tr>
              <w:tr w:rsidR="003F768C" w14:paraId="2856E868" w14:textId="77777777">
                <w:trPr>
                  <w:divId w:val="1266763688"/>
                  <w:tblCellSpacing w:w="15" w:type="dxa"/>
                </w:trPr>
                <w:tc>
                  <w:tcPr>
                    <w:tcW w:w="50" w:type="pct"/>
                    <w:hideMark/>
                  </w:tcPr>
                  <w:p w14:paraId="245C94B3" w14:textId="77777777" w:rsidR="003F768C" w:rsidRDefault="003F768C" w:rsidP="003F768C">
                    <w:pPr>
                      <w:pStyle w:val="Bibliography"/>
                      <w:spacing w:after="0"/>
                      <w:rPr>
                        <w:noProof/>
                      </w:rPr>
                    </w:pPr>
                    <w:r>
                      <w:rPr>
                        <w:noProof/>
                      </w:rPr>
                      <w:t xml:space="preserve">[5] </w:t>
                    </w:r>
                  </w:p>
                </w:tc>
                <w:tc>
                  <w:tcPr>
                    <w:tcW w:w="0" w:type="auto"/>
                    <w:hideMark/>
                  </w:tcPr>
                  <w:p w14:paraId="0EC14A95" w14:textId="77777777" w:rsidR="003F768C" w:rsidRDefault="003F768C" w:rsidP="003F768C">
                    <w:pPr>
                      <w:pStyle w:val="Bibliography"/>
                      <w:spacing w:after="0"/>
                      <w:rPr>
                        <w:noProof/>
                      </w:rPr>
                    </w:pPr>
                    <w:r>
                      <w:rPr>
                        <w:noProof/>
                      </w:rPr>
                      <w:t>HSE, “HSR25 - The Electricity at Work Regulations 1989,” 2015. [Online]. Available: https://www.hse.gov.uk/pubns/priced/hsr25.pdf.</w:t>
                    </w:r>
                  </w:p>
                </w:tc>
              </w:tr>
              <w:tr w:rsidR="003F768C" w14:paraId="205CE063" w14:textId="77777777">
                <w:trPr>
                  <w:divId w:val="1266763688"/>
                  <w:tblCellSpacing w:w="15" w:type="dxa"/>
                </w:trPr>
                <w:tc>
                  <w:tcPr>
                    <w:tcW w:w="50" w:type="pct"/>
                    <w:hideMark/>
                  </w:tcPr>
                  <w:p w14:paraId="291EB30D" w14:textId="77777777" w:rsidR="003F768C" w:rsidRDefault="003F768C" w:rsidP="003F768C">
                    <w:pPr>
                      <w:pStyle w:val="Bibliography"/>
                      <w:spacing w:after="0"/>
                      <w:rPr>
                        <w:noProof/>
                      </w:rPr>
                    </w:pPr>
                    <w:r>
                      <w:rPr>
                        <w:noProof/>
                      </w:rPr>
                      <w:t xml:space="preserve">[6] </w:t>
                    </w:r>
                  </w:p>
                </w:tc>
                <w:tc>
                  <w:tcPr>
                    <w:tcW w:w="0" w:type="auto"/>
                    <w:hideMark/>
                  </w:tcPr>
                  <w:p w14:paraId="19C7C853" w14:textId="77777777" w:rsidR="003F768C" w:rsidRDefault="003F768C" w:rsidP="003F768C">
                    <w:pPr>
                      <w:pStyle w:val="Bibliography"/>
                      <w:spacing w:after="0"/>
                      <w:rPr>
                        <w:noProof/>
                      </w:rPr>
                    </w:pPr>
                    <w:r>
                      <w:rPr>
                        <w:noProof/>
                      </w:rPr>
                      <w:t>HSE, “L113 - Safe use of lifting equipment - Lifting Operations and Lifting Equipment Regulations 1998. Approved Code of Practice and guidance,” 2014. [Online]. Available: https://www.hse.gov.uk/pubns/priced/l113.pdf.</w:t>
                    </w:r>
                  </w:p>
                </w:tc>
              </w:tr>
              <w:tr w:rsidR="003F768C" w14:paraId="6A58C5E9" w14:textId="77777777">
                <w:trPr>
                  <w:divId w:val="1266763688"/>
                  <w:tblCellSpacing w:w="15" w:type="dxa"/>
                </w:trPr>
                <w:tc>
                  <w:tcPr>
                    <w:tcW w:w="50" w:type="pct"/>
                    <w:hideMark/>
                  </w:tcPr>
                  <w:p w14:paraId="2618ED57" w14:textId="77777777" w:rsidR="003F768C" w:rsidRDefault="003F768C" w:rsidP="003F768C">
                    <w:pPr>
                      <w:pStyle w:val="Bibliography"/>
                      <w:spacing w:after="0"/>
                      <w:rPr>
                        <w:noProof/>
                      </w:rPr>
                    </w:pPr>
                    <w:r>
                      <w:rPr>
                        <w:noProof/>
                      </w:rPr>
                      <w:t xml:space="preserve">[7] </w:t>
                    </w:r>
                  </w:p>
                </w:tc>
                <w:tc>
                  <w:tcPr>
                    <w:tcW w:w="0" w:type="auto"/>
                    <w:hideMark/>
                  </w:tcPr>
                  <w:p w14:paraId="2555DF00" w14:textId="77777777" w:rsidR="003F768C" w:rsidRDefault="003F768C" w:rsidP="003F768C">
                    <w:pPr>
                      <w:pStyle w:val="Bibliography"/>
                      <w:spacing w:after="0"/>
                      <w:rPr>
                        <w:noProof/>
                      </w:rPr>
                    </w:pPr>
                    <w:r>
                      <w:rPr>
                        <w:noProof/>
                      </w:rPr>
                      <w:t>HSE, “L122 - Safety of pressure systems - Pressure Systems Safety Regulations 2000. Approved Code of Practice and guidance on Regulations,” 2014. [Online]. Available: https://www.hse.gov.uk/pubns/priced/l122.pdf.</w:t>
                    </w:r>
                  </w:p>
                </w:tc>
              </w:tr>
              <w:tr w:rsidR="003F768C" w14:paraId="7E6EA5C0" w14:textId="77777777">
                <w:trPr>
                  <w:divId w:val="1266763688"/>
                  <w:tblCellSpacing w:w="15" w:type="dxa"/>
                </w:trPr>
                <w:tc>
                  <w:tcPr>
                    <w:tcW w:w="50" w:type="pct"/>
                    <w:hideMark/>
                  </w:tcPr>
                  <w:p w14:paraId="6AAD5D59" w14:textId="77777777" w:rsidR="003F768C" w:rsidRDefault="003F768C" w:rsidP="003F768C">
                    <w:pPr>
                      <w:pStyle w:val="Bibliography"/>
                      <w:spacing w:after="0"/>
                      <w:rPr>
                        <w:noProof/>
                      </w:rPr>
                    </w:pPr>
                    <w:r>
                      <w:rPr>
                        <w:noProof/>
                      </w:rPr>
                      <w:t xml:space="preserve">[8] </w:t>
                    </w:r>
                  </w:p>
                </w:tc>
                <w:tc>
                  <w:tcPr>
                    <w:tcW w:w="0" w:type="auto"/>
                    <w:hideMark/>
                  </w:tcPr>
                  <w:p w14:paraId="17E31A24" w14:textId="77777777" w:rsidR="003F768C" w:rsidRDefault="003F768C" w:rsidP="003F768C">
                    <w:pPr>
                      <w:pStyle w:val="Bibliography"/>
                      <w:spacing w:after="0"/>
                      <w:rPr>
                        <w:noProof/>
                      </w:rPr>
                    </w:pPr>
                    <w:r>
                      <w:rPr>
                        <w:noProof/>
                      </w:rPr>
                      <w:t>ONR, “NS-TAST-GD-005 - Regulating duties to reduce risks to ALARP,” [Online]. Available: Available on ONR website..</w:t>
                    </w:r>
                  </w:p>
                </w:tc>
              </w:tr>
              <w:tr w:rsidR="003F768C" w14:paraId="32D779ED" w14:textId="77777777">
                <w:trPr>
                  <w:divId w:val="1266763688"/>
                  <w:tblCellSpacing w:w="15" w:type="dxa"/>
                </w:trPr>
                <w:tc>
                  <w:tcPr>
                    <w:tcW w:w="50" w:type="pct"/>
                    <w:hideMark/>
                  </w:tcPr>
                  <w:p w14:paraId="75D9AC4F" w14:textId="77777777" w:rsidR="003F768C" w:rsidRDefault="003F768C" w:rsidP="003F768C">
                    <w:pPr>
                      <w:pStyle w:val="Bibliography"/>
                      <w:spacing w:after="0"/>
                      <w:rPr>
                        <w:noProof/>
                      </w:rPr>
                    </w:pPr>
                    <w:r>
                      <w:rPr>
                        <w:noProof/>
                      </w:rPr>
                      <w:t xml:space="preserve">[9] </w:t>
                    </w:r>
                  </w:p>
                </w:tc>
                <w:tc>
                  <w:tcPr>
                    <w:tcW w:w="0" w:type="auto"/>
                    <w:hideMark/>
                  </w:tcPr>
                  <w:p w14:paraId="3AB452C1" w14:textId="77777777" w:rsidR="003F768C" w:rsidRDefault="003F768C" w:rsidP="003F768C">
                    <w:pPr>
                      <w:pStyle w:val="Bibliography"/>
                      <w:spacing w:after="0"/>
                      <w:rPr>
                        <w:noProof/>
                      </w:rPr>
                    </w:pPr>
                    <w:r>
                      <w:rPr>
                        <w:noProof/>
                      </w:rPr>
                      <w:t>IAEA, “Safety of Nuclear Power Plants: Design, Specific Safety Requirements No. SSR-2/1 (Rev. 1)”.</w:t>
                    </w:r>
                  </w:p>
                </w:tc>
              </w:tr>
              <w:tr w:rsidR="003F768C" w14:paraId="09518FC2" w14:textId="77777777">
                <w:trPr>
                  <w:divId w:val="1266763688"/>
                  <w:tblCellSpacing w:w="15" w:type="dxa"/>
                </w:trPr>
                <w:tc>
                  <w:tcPr>
                    <w:tcW w:w="50" w:type="pct"/>
                    <w:hideMark/>
                  </w:tcPr>
                  <w:p w14:paraId="0F6D3B56" w14:textId="77777777" w:rsidR="003F768C" w:rsidRDefault="003F768C" w:rsidP="003F768C">
                    <w:pPr>
                      <w:pStyle w:val="Bibliography"/>
                      <w:spacing w:after="0"/>
                      <w:rPr>
                        <w:noProof/>
                      </w:rPr>
                    </w:pPr>
                    <w:r>
                      <w:rPr>
                        <w:noProof/>
                      </w:rPr>
                      <w:t xml:space="preserve">[10] </w:t>
                    </w:r>
                  </w:p>
                </w:tc>
                <w:tc>
                  <w:tcPr>
                    <w:tcW w:w="0" w:type="auto"/>
                    <w:hideMark/>
                  </w:tcPr>
                  <w:p w14:paraId="6C8A1B98" w14:textId="77777777" w:rsidR="003F768C" w:rsidRDefault="003F768C" w:rsidP="003F768C">
                    <w:pPr>
                      <w:pStyle w:val="Bibliography"/>
                      <w:spacing w:after="0"/>
                      <w:rPr>
                        <w:noProof/>
                      </w:rPr>
                    </w:pPr>
                    <w:r>
                      <w:rPr>
                        <w:noProof/>
                      </w:rPr>
                      <w:t>IAEA, “Safety of Nuclear Power Plants: Commissionining and Operation, Specific Safety Requirements No SSR-2/2 (Rev. 1)”.</w:t>
                    </w:r>
                  </w:p>
                </w:tc>
              </w:tr>
              <w:tr w:rsidR="003F768C" w14:paraId="04527D73" w14:textId="77777777">
                <w:trPr>
                  <w:divId w:val="1266763688"/>
                  <w:tblCellSpacing w:w="15" w:type="dxa"/>
                </w:trPr>
                <w:tc>
                  <w:tcPr>
                    <w:tcW w:w="50" w:type="pct"/>
                    <w:hideMark/>
                  </w:tcPr>
                  <w:p w14:paraId="1904AA92" w14:textId="77777777" w:rsidR="003F768C" w:rsidRDefault="003F768C" w:rsidP="003F768C">
                    <w:pPr>
                      <w:pStyle w:val="Bibliography"/>
                      <w:spacing w:after="0"/>
                      <w:rPr>
                        <w:noProof/>
                      </w:rPr>
                    </w:pPr>
                    <w:r>
                      <w:rPr>
                        <w:noProof/>
                      </w:rPr>
                      <w:t xml:space="preserve">[11] </w:t>
                    </w:r>
                  </w:p>
                </w:tc>
                <w:tc>
                  <w:tcPr>
                    <w:tcW w:w="0" w:type="auto"/>
                    <w:hideMark/>
                  </w:tcPr>
                  <w:p w14:paraId="63105324" w14:textId="77777777" w:rsidR="003F768C" w:rsidRDefault="003F768C" w:rsidP="003F768C">
                    <w:pPr>
                      <w:pStyle w:val="Bibliography"/>
                      <w:spacing w:after="0"/>
                      <w:rPr>
                        <w:noProof/>
                      </w:rPr>
                    </w:pPr>
                    <w:r>
                      <w:rPr>
                        <w:noProof/>
                      </w:rPr>
                      <w:t>IAEA, “Commissioning for Nuclear Power Plants, Specific Safety Guide No. SSG-28”.</w:t>
                    </w:r>
                  </w:p>
                </w:tc>
              </w:tr>
              <w:tr w:rsidR="003F768C" w14:paraId="5BB430EF" w14:textId="77777777">
                <w:trPr>
                  <w:divId w:val="1266763688"/>
                  <w:tblCellSpacing w:w="15" w:type="dxa"/>
                </w:trPr>
                <w:tc>
                  <w:tcPr>
                    <w:tcW w:w="50" w:type="pct"/>
                    <w:hideMark/>
                  </w:tcPr>
                  <w:p w14:paraId="6BA3516F" w14:textId="77777777" w:rsidR="003F768C" w:rsidRDefault="003F768C" w:rsidP="003F768C">
                    <w:pPr>
                      <w:pStyle w:val="Bibliography"/>
                      <w:spacing w:after="0"/>
                      <w:rPr>
                        <w:noProof/>
                      </w:rPr>
                    </w:pPr>
                    <w:r>
                      <w:rPr>
                        <w:noProof/>
                      </w:rPr>
                      <w:t xml:space="preserve">[12] </w:t>
                    </w:r>
                  </w:p>
                </w:tc>
                <w:tc>
                  <w:tcPr>
                    <w:tcW w:w="0" w:type="auto"/>
                    <w:hideMark/>
                  </w:tcPr>
                  <w:p w14:paraId="7377F30D" w14:textId="77777777" w:rsidR="003F768C" w:rsidRDefault="003F768C" w:rsidP="003F768C">
                    <w:pPr>
                      <w:pStyle w:val="Bibliography"/>
                      <w:spacing w:after="0"/>
                      <w:rPr>
                        <w:noProof/>
                      </w:rPr>
                    </w:pPr>
                    <w:r>
                      <w:rPr>
                        <w:noProof/>
                      </w:rPr>
                      <w:t>IAEA, “Maintenance, Testing, Surveilance and Inspection in Nuclear Power Plants, Specific Safety Guide No SSG-74”.</w:t>
                    </w:r>
                  </w:p>
                </w:tc>
              </w:tr>
              <w:tr w:rsidR="003F768C" w14:paraId="2ACB56CA" w14:textId="77777777">
                <w:trPr>
                  <w:divId w:val="1266763688"/>
                  <w:tblCellSpacing w:w="15" w:type="dxa"/>
                </w:trPr>
                <w:tc>
                  <w:tcPr>
                    <w:tcW w:w="50" w:type="pct"/>
                    <w:hideMark/>
                  </w:tcPr>
                  <w:p w14:paraId="2AC61A5D" w14:textId="77777777" w:rsidR="003F768C" w:rsidRDefault="003F768C" w:rsidP="003F768C">
                    <w:pPr>
                      <w:pStyle w:val="Bibliography"/>
                      <w:spacing w:after="0"/>
                      <w:rPr>
                        <w:noProof/>
                      </w:rPr>
                    </w:pPr>
                    <w:r>
                      <w:rPr>
                        <w:noProof/>
                      </w:rPr>
                      <w:t xml:space="preserve">[13] </w:t>
                    </w:r>
                  </w:p>
                </w:tc>
                <w:tc>
                  <w:tcPr>
                    <w:tcW w:w="0" w:type="auto"/>
                    <w:hideMark/>
                  </w:tcPr>
                  <w:p w14:paraId="0CEE3DF3" w14:textId="77777777" w:rsidR="003F768C" w:rsidRDefault="003F768C" w:rsidP="003F768C">
                    <w:pPr>
                      <w:pStyle w:val="Bibliography"/>
                      <w:spacing w:after="0"/>
                      <w:rPr>
                        <w:noProof/>
                      </w:rPr>
                    </w:pPr>
                    <w:r>
                      <w:rPr>
                        <w:noProof/>
                      </w:rPr>
                      <w:t>ONR, “NS-TAST-GD-094 - Categorisation of Safety Functions and Classification of Structures,” [Online]. Available: Available on ONR website..</w:t>
                    </w:r>
                  </w:p>
                </w:tc>
              </w:tr>
              <w:tr w:rsidR="003F768C" w14:paraId="1A4A70C4" w14:textId="77777777">
                <w:trPr>
                  <w:divId w:val="1266763688"/>
                  <w:tblCellSpacing w:w="15" w:type="dxa"/>
                </w:trPr>
                <w:tc>
                  <w:tcPr>
                    <w:tcW w:w="50" w:type="pct"/>
                    <w:hideMark/>
                  </w:tcPr>
                  <w:p w14:paraId="55CD501C" w14:textId="77777777" w:rsidR="003F768C" w:rsidRDefault="003F768C" w:rsidP="003F768C">
                    <w:pPr>
                      <w:pStyle w:val="Bibliography"/>
                      <w:spacing w:after="0"/>
                      <w:rPr>
                        <w:noProof/>
                      </w:rPr>
                    </w:pPr>
                    <w:r>
                      <w:rPr>
                        <w:noProof/>
                      </w:rPr>
                      <w:t xml:space="preserve">[14] </w:t>
                    </w:r>
                  </w:p>
                </w:tc>
                <w:tc>
                  <w:tcPr>
                    <w:tcW w:w="0" w:type="auto"/>
                    <w:hideMark/>
                  </w:tcPr>
                  <w:p w14:paraId="40871C03" w14:textId="77777777" w:rsidR="003F768C" w:rsidRDefault="003F768C" w:rsidP="003F768C">
                    <w:pPr>
                      <w:pStyle w:val="Bibliography"/>
                      <w:spacing w:after="0"/>
                      <w:rPr>
                        <w:noProof/>
                      </w:rPr>
                    </w:pPr>
                    <w:r>
                      <w:rPr>
                        <w:noProof/>
                      </w:rPr>
                      <w:t>ONR, “NS-TAST-GD-036 - Redundancy, diversity, segregation and layout of SSCs,” [Online]. Available: Available on ONR website..</w:t>
                    </w:r>
                  </w:p>
                </w:tc>
              </w:tr>
              <w:tr w:rsidR="003F768C" w14:paraId="74C76225" w14:textId="77777777">
                <w:trPr>
                  <w:divId w:val="1266763688"/>
                  <w:tblCellSpacing w:w="15" w:type="dxa"/>
                </w:trPr>
                <w:tc>
                  <w:tcPr>
                    <w:tcW w:w="50" w:type="pct"/>
                    <w:hideMark/>
                  </w:tcPr>
                  <w:p w14:paraId="34D4C23B" w14:textId="77777777" w:rsidR="003F768C" w:rsidRDefault="003F768C" w:rsidP="003F768C">
                    <w:pPr>
                      <w:pStyle w:val="Bibliography"/>
                      <w:spacing w:after="0"/>
                      <w:rPr>
                        <w:noProof/>
                      </w:rPr>
                    </w:pPr>
                    <w:r>
                      <w:rPr>
                        <w:noProof/>
                      </w:rPr>
                      <w:t xml:space="preserve">[15] </w:t>
                    </w:r>
                  </w:p>
                </w:tc>
                <w:tc>
                  <w:tcPr>
                    <w:tcW w:w="0" w:type="auto"/>
                    <w:hideMark/>
                  </w:tcPr>
                  <w:p w14:paraId="612C1FA8" w14:textId="77777777" w:rsidR="003F768C" w:rsidRDefault="003F768C" w:rsidP="003F768C">
                    <w:pPr>
                      <w:pStyle w:val="Bibliography"/>
                      <w:spacing w:after="0"/>
                      <w:rPr>
                        <w:noProof/>
                      </w:rPr>
                    </w:pPr>
                    <w:r>
                      <w:rPr>
                        <w:noProof/>
                      </w:rPr>
                      <w:t>ONR, “NS-TAST-GD-006 - Design Basis Analysis,” [Online]. Available: Available on ONR website..</w:t>
                    </w:r>
                  </w:p>
                </w:tc>
              </w:tr>
              <w:tr w:rsidR="003F768C" w14:paraId="53302664" w14:textId="77777777">
                <w:trPr>
                  <w:divId w:val="1266763688"/>
                  <w:tblCellSpacing w:w="15" w:type="dxa"/>
                </w:trPr>
                <w:tc>
                  <w:tcPr>
                    <w:tcW w:w="50" w:type="pct"/>
                    <w:hideMark/>
                  </w:tcPr>
                  <w:p w14:paraId="200D17C9" w14:textId="77777777" w:rsidR="003F768C" w:rsidRDefault="003F768C" w:rsidP="003F768C">
                    <w:pPr>
                      <w:pStyle w:val="Bibliography"/>
                      <w:spacing w:after="0"/>
                      <w:rPr>
                        <w:noProof/>
                      </w:rPr>
                    </w:pPr>
                    <w:r>
                      <w:rPr>
                        <w:noProof/>
                      </w:rPr>
                      <w:t xml:space="preserve">[16] </w:t>
                    </w:r>
                  </w:p>
                </w:tc>
                <w:tc>
                  <w:tcPr>
                    <w:tcW w:w="0" w:type="auto"/>
                    <w:hideMark/>
                  </w:tcPr>
                  <w:p w14:paraId="315634B1" w14:textId="77777777" w:rsidR="003F768C" w:rsidRDefault="003F768C" w:rsidP="003F768C">
                    <w:pPr>
                      <w:pStyle w:val="Bibliography"/>
                      <w:spacing w:after="0"/>
                      <w:rPr>
                        <w:noProof/>
                      </w:rPr>
                    </w:pPr>
                    <w:r>
                      <w:rPr>
                        <w:noProof/>
                      </w:rPr>
                      <w:t>ONR, “NS-TAST-GD-050 - Periodic Safety Reviews (PSRs),” [Online]. Available: Available via the ONR website..</w:t>
                    </w:r>
                  </w:p>
                </w:tc>
              </w:tr>
              <w:tr w:rsidR="003F768C" w14:paraId="67AE4FCE" w14:textId="77777777">
                <w:trPr>
                  <w:divId w:val="1266763688"/>
                  <w:tblCellSpacing w:w="15" w:type="dxa"/>
                </w:trPr>
                <w:tc>
                  <w:tcPr>
                    <w:tcW w:w="50" w:type="pct"/>
                    <w:hideMark/>
                  </w:tcPr>
                  <w:p w14:paraId="793DBE17" w14:textId="77777777" w:rsidR="003F768C" w:rsidRDefault="003F768C" w:rsidP="003F768C">
                    <w:pPr>
                      <w:pStyle w:val="Bibliography"/>
                      <w:spacing w:after="0"/>
                      <w:rPr>
                        <w:noProof/>
                      </w:rPr>
                    </w:pPr>
                    <w:r>
                      <w:rPr>
                        <w:noProof/>
                      </w:rPr>
                      <w:t xml:space="preserve">[17] </w:t>
                    </w:r>
                  </w:p>
                </w:tc>
                <w:tc>
                  <w:tcPr>
                    <w:tcW w:w="0" w:type="auto"/>
                    <w:hideMark/>
                  </w:tcPr>
                  <w:p w14:paraId="50B26A8C" w14:textId="77777777" w:rsidR="003F768C" w:rsidRDefault="003F768C" w:rsidP="003F768C">
                    <w:pPr>
                      <w:pStyle w:val="Bibliography"/>
                      <w:spacing w:after="0"/>
                      <w:rPr>
                        <w:noProof/>
                      </w:rPr>
                    </w:pPr>
                    <w:r>
                      <w:rPr>
                        <w:noProof/>
                      </w:rPr>
                      <w:t>ONR, “NS-TAST-GD-026 - Decommissioning,” [Online]. Available: Available on the ONR website..</w:t>
                    </w:r>
                  </w:p>
                </w:tc>
              </w:tr>
              <w:tr w:rsidR="003F768C" w14:paraId="3A6CF271" w14:textId="77777777">
                <w:trPr>
                  <w:divId w:val="1266763688"/>
                  <w:tblCellSpacing w:w="15" w:type="dxa"/>
                </w:trPr>
                <w:tc>
                  <w:tcPr>
                    <w:tcW w:w="50" w:type="pct"/>
                    <w:hideMark/>
                  </w:tcPr>
                  <w:p w14:paraId="25386E99" w14:textId="77777777" w:rsidR="003F768C" w:rsidRDefault="003F768C" w:rsidP="003F768C">
                    <w:pPr>
                      <w:pStyle w:val="Bibliography"/>
                      <w:spacing w:after="0"/>
                      <w:rPr>
                        <w:noProof/>
                      </w:rPr>
                    </w:pPr>
                    <w:r>
                      <w:rPr>
                        <w:noProof/>
                      </w:rPr>
                      <w:t xml:space="preserve">[18] </w:t>
                    </w:r>
                  </w:p>
                </w:tc>
                <w:tc>
                  <w:tcPr>
                    <w:tcW w:w="0" w:type="auto"/>
                    <w:hideMark/>
                  </w:tcPr>
                  <w:p w14:paraId="00F7B87B" w14:textId="77777777" w:rsidR="003F768C" w:rsidRDefault="003F768C" w:rsidP="003F768C">
                    <w:pPr>
                      <w:pStyle w:val="Bibliography"/>
                      <w:spacing w:after="0"/>
                      <w:rPr>
                        <w:noProof/>
                      </w:rPr>
                    </w:pPr>
                    <w:r>
                      <w:rPr>
                        <w:noProof/>
                      </w:rPr>
                      <w:t>WENRA, “Safety Reference Levels for Existing Reactors,” 2020.</w:t>
                    </w:r>
                  </w:p>
                </w:tc>
              </w:tr>
            </w:tbl>
            <w:p w14:paraId="009DB5E4" w14:textId="77777777" w:rsidR="003F768C" w:rsidRDefault="003F768C">
              <w:pPr>
                <w:divId w:val="1266763688"/>
                <w:rPr>
                  <w:rFonts w:eastAsia="Times New Roman"/>
                  <w:noProof/>
                </w:rPr>
              </w:pPr>
            </w:p>
            <w:p w14:paraId="1C28D242" w14:textId="78D02316" w:rsidR="00557C28" w:rsidRDefault="00557C28" w:rsidP="00444438">
              <w:r>
                <w:rPr>
                  <w:b/>
                  <w:bCs/>
                </w:rPr>
                <w:fldChar w:fldCharType="end"/>
              </w:r>
            </w:p>
          </w:sdtContent>
        </w:sdt>
        <w:p w14:paraId="316D8711" w14:textId="3253022A" w:rsidR="00F7687C" w:rsidRDefault="00000000" w:rsidP="005141CA">
          <w:pPr>
            <w:pStyle w:val="Bibliography"/>
            <w:ind w:left="720" w:hanging="720"/>
          </w:pPr>
        </w:p>
      </w:sdtContent>
    </w:sdt>
    <w:p w14:paraId="5C4D4AF1" w14:textId="7825AA63" w:rsidR="003D45F3" w:rsidRPr="00136064" w:rsidRDefault="003D45F3" w:rsidP="003F768C">
      <w:pPr>
        <w:pStyle w:val="Heading1"/>
        <w:numPr>
          <w:ilvl w:val="0"/>
          <w:numId w:val="0"/>
        </w:numPr>
      </w:pPr>
      <w:bookmarkStart w:id="408" w:name="_Toc224840108"/>
      <w:r>
        <w:t>Document control information</w:t>
      </w:r>
      <w:bookmarkEnd w:id="408"/>
    </w:p>
    <w:p w14:paraId="1237666F" w14:textId="4D2DA8ED" w:rsidR="003D45F3" w:rsidRPr="003D45F3" w:rsidRDefault="003D45F3" w:rsidP="003D45F3">
      <w:pPr>
        <w:rPr>
          <w:szCs w:val="24"/>
        </w:rPr>
      </w:pPr>
      <w:r w:rsidRPr="003D45F3">
        <w:rPr>
          <w:b/>
          <w:bCs/>
          <w:szCs w:val="24"/>
        </w:rPr>
        <w:t>Authored by</w:t>
      </w:r>
      <w:r w:rsidRPr="003D45F3">
        <w:rPr>
          <w:szCs w:val="24"/>
        </w:rPr>
        <w:t>: Nuclear Safety Inspector</w:t>
      </w:r>
      <w:r w:rsidRPr="003D45F3">
        <w:rPr>
          <w:szCs w:val="24"/>
        </w:rPr>
        <w:tab/>
      </w:r>
      <w:r w:rsidRPr="003D45F3">
        <w:rPr>
          <w:szCs w:val="24"/>
        </w:rPr>
        <w:tab/>
      </w:r>
      <w:r w:rsidRPr="003D45F3">
        <w:rPr>
          <w:szCs w:val="24"/>
        </w:rPr>
        <w:tab/>
      </w:r>
    </w:p>
    <w:p w14:paraId="7261721C" w14:textId="23586084" w:rsidR="003D45F3" w:rsidRPr="003D45F3" w:rsidRDefault="003D45F3" w:rsidP="003D45F3">
      <w:pPr>
        <w:rPr>
          <w:szCs w:val="24"/>
        </w:rPr>
      </w:pPr>
      <w:r w:rsidRPr="003D45F3">
        <w:rPr>
          <w:b/>
          <w:bCs/>
          <w:szCs w:val="24"/>
        </w:rPr>
        <w:t>Approved by</w:t>
      </w:r>
      <w:r w:rsidRPr="003D45F3">
        <w:rPr>
          <w:szCs w:val="24"/>
        </w:rPr>
        <w:t>:</w:t>
      </w:r>
      <w:r>
        <w:rPr>
          <w:szCs w:val="24"/>
        </w:rPr>
        <w:t xml:space="preserve"> Head of Profession for the Mechanical E</w:t>
      </w:r>
      <w:r w:rsidR="00310BEE">
        <w:rPr>
          <w:szCs w:val="24"/>
        </w:rPr>
        <w:t>ngineering and Structural Integrity</w:t>
      </w:r>
    </w:p>
    <w:p w14:paraId="3A6429C4" w14:textId="32DF48BC" w:rsidR="003D45F3" w:rsidRPr="003D45F3" w:rsidRDefault="003D45F3" w:rsidP="003D45F3">
      <w:pPr>
        <w:rPr>
          <w:szCs w:val="24"/>
        </w:rPr>
      </w:pPr>
      <w:r w:rsidRPr="002D3397">
        <w:rPr>
          <w:b/>
          <w:bCs/>
          <w:szCs w:val="24"/>
        </w:rPr>
        <w:t>Issu</w:t>
      </w:r>
      <w:r w:rsidR="002D3397" w:rsidRPr="002D3397">
        <w:rPr>
          <w:b/>
          <w:bCs/>
          <w:szCs w:val="24"/>
        </w:rPr>
        <w:t>e</w:t>
      </w:r>
      <w:r w:rsidRPr="003D45F3">
        <w:rPr>
          <w:szCs w:val="24"/>
        </w:rPr>
        <w:t xml:space="preserve">: </w:t>
      </w:r>
      <w:sdt>
        <w:sdtPr>
          <w:rPr>
            <w:szCs w:val="24"/>
          </w:rPr>
          <w:alias w:val="Status"/>
          <w:tag w:val=""/>
          <w:id w:val="700133615"/>
          <w:placeholder>
            <w:docPart w:val="740CE0783C04422A965D71E2A68AB530"/>
          </w:placeholder>
          <w:dataBinding w:prefixMappings="xmlns:ns0='http://purl.org/dc/elements/1.1/' xmlns:ns1='http://schemas.openxmlformats.org/package/2006/metadata/core-properties' " w:xpath="/ns1:coreProperties[1]/ns1:contentStatus[1]" w:storeItemID="{6C3C8BC8-F283-45AE-878A-BAB7291924A1}"/>
          <w:text/>
        </w:sdtPr>
        <w:sdtContent>
          <w:r w:rsidR="002D3397">
            <w:rPr>
              <w:szCs w:val="24"/>
            </w:rPr>
            <w:t>7.1</w:t>
          </w:r>
        </w:sdtContent>
      </w:sdt>
    </w:p>
    <w:p w14:paraId="2FA321CA" w14:textId="467D4A06" w:rsidR="003D45F3" w:rsidRPr="003D45F3" w:rsidRDefault="002D3397" w:rsidP="003D45F3">
      <w:pPr>
        <w:rPr>
          <w:szCs w:val="24"/>
        </w:rPr>
      </w:pPr>
      <w:r w:rsidRPr="002D3397">
        <w:rPr>
          <w:b/>
          <w:bCs/>
          <w:szCs w:val="24"/>
        </w:rPr>
        <w:t>Published</w:t>
      </w:r>
      <w:r w:rsidR="003D45F3" w:rsidRPr="003D45F3">
        <w:rPr>
          <w:szCs w:val="24"/>
        </w:rPr>
        <w:t xml:space="preserve">: </w:t>
      </w:r>
      <w:r>
        <w:rPr>
          <w:szCs w:val="24"/>
        </w:rPr>
        <w:t>March 2026</w:t>
      </w:r>
    </w:p>
    <w:p w14:paraId="20541734" w14:textId="4FA05D41" w:rsidR="003D45F3" w:rsidRPr="003D45F3" w:rsidRDefault="003D45F3" w:rsidP="003D45F3">
      <w:pPr>
        <w:rPr>
          <w:szCs w:val="24"/>
        </w:rPr>
      </w:pPr>
      <w:r w:rsidRPr="002D3397">
        <w:rPr>
          <w:b/>
          <w:bCs/>
          <w:szCs w:val="24"/>
        </w:rPr>
        <w:t>Next</w:t>
      </w:r>
      <w:r w:rsidRPr="003D45F3">
        <w:rPr>
          <w:szCs w:val="24"/>
        </w:rPr>
        <w:t xml:space="preserve"> </w:t>
      </w:r>
      <w:r w:rsidR="002D3397" w:rsidRPr="002D3397">
        <w:rPr>
          <w:b/>
          <w:bCs/>
          <w:szCs w:val="24"/>
        </w:rPr>
        <w:t>scheduled review</w:t>
      </w:r>
      <w:r w:rsidR="002D3397">
        <w:rPr>
          <w:szCs w:val="24"/>
        </w:rPr>
        <w:t xml:space="preserve">: </w:t>
      </w:r>
      <w:r w:rsidRPr="003D45F3">
        <w:rPr>
          <w:szCs w:val="24"/>
        </w:rPr>
        <w:t>November 2028</w:t>
      </w:r>
    </w:p>
    <w:p w14:paraId="550AF10B" w14:textId="0C703C8B" w:rsidR="003D45F3" w:rsidRPr="003D45F3" w:rsidRDefault="003D45F3" w:rsidP="003D45F3">
      <w:pPr>
        <w:rPr>
          <w:szCs w:val="24"/>
        </w:rPr>
      </w:pPr>
      <w:r w:rsidRPr="002D3397">
        <w:rPr>
          <w:b/>
          <w:bCs/>
          <w:szCs w:val="24"/>
        </w:rPr>
        <w:t>Doc</w:t>
      </w:r>
      <w:r w:rsidR="002D3397" w:rsidRPr="002D3397">
        <w:rPr>
          <w:b/>
          <w:bCs/>
          <w:szCs w:val="24"/>
        </w:rPr>
        <w:t>ument reference</w:t>
      </w:r>
      <w:r w:rsidR="002D3397">
        <w:rPr>
          <w:szCs w:val="24"/>
        </w:rPr>
        <w:t>:</w:t>
      </w:r>
      <w:r w:rsidRPr="003D45F3">
        <w:rPr>
          <w:szCs w:val="24"/>
        </w:rPr>
        <w:t xml:space="preserve"> </w:t>
      </w:r>
      <w:r w:rsidRPr="003D45F3">
        <w:rPr>
          <w:color w:val="111111"/>
          <w:szCs w:val="24"/>
        </w:rPr>
        <w:t>NS-TAST-GD-009</w:t>
      </w:r>
      <w:r w:rsidRPr="003D45F3">
        <w:rPr>
          <w:szCs w:val="24"/>
        </w:rPr>
        <w:t xml:space="preserve"> </w:t>
      </w:r>
    </w:p>
    <w:p w14:paraId="4CC8D91E" w14:textId="77777777" w:rsidR="00611A8B" w:rsidRDefault="00611A8B" w:rsidP="003D45F3">
      <w:pPr>
        <w:pStyle w:val="Caption"/>
        <w:keepNext/>
      </w:pPr>
    </w:p>
    <w:p w14:paraId="1BE1EA83" w14:textId="015C4B7E" w:rsidR="003D45F3" w:rsidRDefault="003D45F3" w:rsidP="003D45F3">
      <w:pPr>
        <w:pStyle w:val="Caption"/>
        <w:keepNext/>
      </w:pPr>
      <w:r>
        <w:t>Revision commentary</w:t>
      </w:r>
    </w:p>
    <w:tbl>
      <w:tblPr>
        <w:tblStyle w:val="ONRTable1"/>
        <w:tblW w:w="0" w:type="auto"/>
        <w:tblInd w:w="10" w:type="dxa"/>
        <w:tblLook w:val="04A0" w:firstRow="1" w:lastRow="0" w:firstColumn="1" w:lastColumn="0" w:noHBand="0" w:noVBand="1"/>
      </w:tblPr>
      <w:tblGrid>
        <w:gridCol w:w="1124"/>
        <w:gridCol w:w="7892"/>
      </w:tblGrid>
      <w:tr w:rsidR="003D45F3" w:rsidRPr="00CE1DB2" w14:paraId="0DF1D33D" w14:textId="77777777" w:rsidTr="002D3397">
        <w:trPr>
          <w:cnfStyle w:val="100000000000" w:firstRow="1" w:lastRow="0" w:firstColumn="0" w:lastColumn="0" w:oddVBand="0" w:evenVBand="0" w:oddHBand="0" w:evenHBand="0" w:firstRowFirstColumn="0" w:firstRowLastColumn="0" w:lastRowFirstColumn="0" w:lastRowLastColumn="0"/>
        </w:trPr>
        <w:tc>
          <w:tcPr>
            <w:tcW w:w="1124" w:type="dxa"/>
          </w:tcPr>
          <w:p w14:paraId="44EE6F0B" w14:textId="2A090529" w:rsidR="003D45F3" w:rsidRPr="00CE1DB2" w:rsidRDefault="003D45F3" w:rsidP="00D8401C">
            <w:pPr>
              <w:spacing w:before="60" w:after="60"/>
              <w:rPr>
                <w:b w:val="0"/>
                <w:bCs/>
              </w:rPr>
            </w:pPr>
            <w:r w:rsidRPr="00CE1DB2">
              <w:rPr>
                <w:b w:val="0"/>
                <w:bCs/>
              </w:rPr>
              <w:t>Issue</w:t>
            </w:r>
          </w:p>
        </w:tc>
        <w:tc>
          <w:tcPr>
            <w:tcW w:w="7892" w:type="dxa"/>
          </w:tcPr>
          <w:p w14:paraId="0A26CF78" w14:textId="35EF131B" w:rsidR="003D45F3" w:rsidRPr="00CE1DB2" w:rsidRDefault="003D45F3" w:rsidP="00D8401C">
            <w:pPr>
              <w:spacing w:before="60" w:after="60"/>
              <w:rPr>
                <w:b w:val="0"/>
                <w:bCs/>
              </w:rPr>
            </w:pPr>
            <w:r w:rsidRPr="00CE1DB2">
              <w:rPr>
                <w:b w:val="0"/>
                <w:bCs/>
              </w:rPr>
              <w:t xml:space="preserve">Description of </w:t>
            </w:r>
            <w:r w:rsidR="002D3397">
              <w:rPr>
                <w:b w:val="0"/>
                <w:bCs/>
              </w:rPr>
              <w:t>u</w:t>
            </w:r>
            <w:r w:rsidRPr="00CE1DB2">
              <w:rPr>
                <w:b w:val="0"/>
                <w:bCs/>
              </w:rPr>
              <w:t>pdate(s)</w:t>
            </w:r>
          </w:p>
        </w:tc>
      </w:tr>
      <w:tr w:rsidR="003D45F3" w14:paraId="3454ADCE" w14:textId="77777777" w:rsidTr="002D3397">
        <w:tc>
          <w:tcPr>
            <w:tcW w:w="1124" w:type="dxa"/>
          </w:tcPr>
          <w:p w14:paraId="114177D2" w14:textId="71B3217C" w:rsidR="003D45F3" w:rsidRDefault="002D3397" w:rsidP="00D8401C">
            <w:pPr>
              <w:spacing w:before="60" w:after="60"/>
            </w:pPr>
            <w:r>
              <w:t>7.1</w:t>
            </w:r>
          </w:p>
        </w:tc>
        <w:tc>
          <w:tcPr>
            <w:tcW w:w="7892" w:type="dxa"/>
          </w:tcPr>
          <w:p w14:paraId="69A023DC" w14:textId="77777777" w:rsidR="002D3397" w:rsidRDefault="002D3397" w:rsidP="00D8401C">
            <w:pPr>
              <w:spacing w:before="60" w:after="60"/>
            </w:pPr>
            <w:r>
              <w:t xml:space="preserve">Minor updates to Section 5. </w:t>
            </w:r>
          </w:p>
          <w:p w14:paraId="179E70A8" w14:textId="7A249CCB" w:rsidR="003D45F3" w:rsidRDefault="003D45F3" w:rsidP="00D8401C">
            <w:pPr>
              <w:spacing w:before="60" w:after="60"/>
            </w:pPr>
            <w:r>
              <w:t xml:space="preserve">Review undertaken as part of ONRs wider TAG review project. </w:t>
            </w:r>
          </w:p>
        </w:tc>
      </w:tr>
    </w:tbl>
    <w:p w14:paraId="0274EC63" w14:textId="77777777" w:rsidR="003D45F3" w:rsidRPr="005141CA" w:rsidRDefault="003D45F3" w:rsidP="003D45F3">
      <w:pPr>
        <w:spacing w:after="120" w:line="240" w:lineRule="auto"/>
        <w:contextualSpacing/>
        <w:rPr>
          <w:rFonts w:asciiTheme="minorHAnsi" w:eastAsia="Times New Roman" w:hAnsiTheme="minorHAnsi" w:cstheme="minorHAnsi"/>
          <w:color w:val="000000"/>
          <w:szCs w:val="24"/>
          <w:lang w:eastAsia="en-GB" w:bidi="ar-SA"/>
        </w:rPr>
      </w:pPr>
    </w:p>
    <w:p w14:paraId="5DC4FE2A" w14:textId="0B642DE5" w:rsidR="00E12DBC" w:rsidRDefault="00E12DBC">
      <w:pPr>
        <w:spacing w:after="0" w:line="240" w:lineRule="auto"/>
      </w:pPr>
    </w:p>
    <w:sectPr w:rsidR="00E12DBC"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F555A7" w14:textId="77777777" w:rsidR="003D3479" w:rsidRDefault="003D3479" w:rsidP="007D199A">
      <w:pPr>
        <w:spacing w:after="0"/>
      </w:pPr>
      <w:r>
        <w:separator/>
      </w:r>
    </w:p>
    <w:p w14:paraId="1FE3BD63" w14:textId="77777777" w:rsidR="003D3479" w:rsidRDefault="003D3479"/>
    <w:p w14:paraId="7EE55102" w14:textId="77777777" w:rsidR="003D3479" w:rsidRDefault="003D3479"/>
  </w:endnote>
  <w:endnote w:type="continuationSeparator" w:id="0">
    <w:p w14:paraId="458E5823" w14:textId="77777777" w:rsidR="003D3479" w:rsidRDefault="003D3479" w:rsidP="007D199A">
      <w:pPr>
        <w:spacing w:after="0"/>
      </w:pPr>
      <w:r>
        <w:continuationSeparator/>
      </w:r>
    </w:p>
    <w:p w14:paraId="00D81248" w14:textId="77777777" w:rsidR="003D3479" w:rsidRDefault="003D3479"/>
    <w:p w14:paraId="7C420648" w14:textId="77777777" w:rsidR="003D3479" w:rsidRDefault="003D3479"/>
  </w:endnote>
  <w:endnote w:type="continuationNotice" w:id="1">
    <w:p w14:paraId="4039BE94" w14:textId="77777777" w:rsidR="003D3479" w:rsidRDefault="003D34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361B8932"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w:t>
    </w:r>
    <w:r w:rsidR="003C18C4">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E44202" w14:textId="77777777" w:rsidR="003D3479" w:rsidRPr="005E0344" w:rsidRDefault="003D3479" w:rsidP="005E0344">
      <w:pPr>
        <w:spacing w:after="120"/>
        <w:rPr>
          <w:color w:val="000000" w:themeColor="text2"/>
        </w:rPr>
      </w:pPr>
      <w:r w:rsidRPr="005E0344">
        <w:rPr>
          <w:color w:val="000000" w:themeColor="text2"/>
        </w:rPr>
        <w:separator/>
      </w:r>
    </w:p>
    <w:p w14:paraId="3CC53000" w14:textId="77777777" w:rsidR="003D3479" w:rsidRDefault="003D3479"/>
  </w:footnote>
  <w:footnote w:type="continuationSeparator" w:id="0">
    <w:p w14:paraId="737E6132" w14:textId="77777777" w:rsidR="003D3479" w:rsidRPr="005E0344" w:rsidRDefault="003D3479" w:rsidP="0090581D">
      <w:pPr>
        <w:spacing w:after="120"/>
        <w:rPr>
          <w:color w:val="000000" w:themeColor="text2"/>
        </w:rPr>
      </w:pPr>
      <w:r w:rsidRPr="005E0344">
        <w:rPr>
          <w:color w:val="000000" w:themeColor="text2"/>
        </w:rPr>
        <w:continuationSeparator/>
      </w:r>
    </w:p>
    <w:p w14:paraId="5263B047" w14:textId="77777777" w:rsidR="003D3479" w:rsidRDefault="003D3479"/>
    <w:p w14:paraId="556E6A09" w14:textId="77777777" w:rsidR="003D3479" w:rsidRDefault="003D3479"/>
  </w:footnote>
  <w:footnote w:type="continuationNotice" w:id="1">
    <w:p w14:paraId="39236051" w14:textId="77777777" w:rsidR="003D3479" w:rsidRDefault="003D3479">
      <w:pPr>
        <w:spacing w:after="0"/>
      </w:pPr>
    </w:p>
    <w:p w14:paraId="1D32E609" w14:textId="77777777" w:rsidR="003D3479" w:rsidRDefault="003D3479"/>
    <w:p w14:paraId="44AF9C3E" w14:textId="77777777" w:rsidR="003D3479" w:rsidRDefault="003D34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A65B1" w14:textId="72261EE7" w:rsidR="000B2BCD" w:rsidRPr="00046936" w:rsidRDefault="00B419F8" w:rsidP="009E0E52">
    <w:pPr>
      <w:pStyle w:val="Header"/>
      <w:rPr>
        <w:sz w:val="20"/>
        <w:szCs w:val="24"/>
      </w:rPr>
    </w:pPr>
    <w:r>
      <w:rPr>
        <w:sz w:val="20"/>
        <w:szCs w:val="24"/>
      </w:rPr>
      <w:t>Examination, Inspection, Maintenance and Testing of items important to Safety</w:t>
    </w:r>
    <w:r w:rsidR="000B2BCD" w:rsidRPr="00046936">
      <w:rPr>
        <w:sz w:val="20"/>
        <w:szCs w:val="24"/>
      </w:rPr>
      <w:t xml:space="preserve"> | Issue: </w:t>
    </w:r>
    <w:sdt>
      <w:sdtPr>
        <w:rPr>
          <w:sz w:val="20"/>
          <w:szCs w:val="24"/>
        </w:rPr>
        <w:alias w:val="Status"/>
        <w:tag w:val=""/>
        <w:id w:val="1691872430"/>
        <w:placeholder>
          <w:docPart w:val="4278BAE1BCA247128B80E19C829D70D9"/>
        </w:placeholder>
        <w:dataBinding w:prefixMappings="xmlns:ns0='http://purl.org/dc/elements/1.1/' xmlns:ns1='http://schemas.openxmlformats.org/package/2006/metadata/core-properties' " w:xpath="/ns1:coreProperties[1]/ns1:contentStatus[1]" w:storeItemID="{6C3C8BC8-F283-45AE-878A-BAB7291924A1}"/>
        <w:text/>
      </w:sdtPr>
      <w:sdtContent>
        <w:r w:rsidR="002D3397">
          <w:rPr>
            <w:sz w:val="20"/>
            <w:szCs w:val="24"/>
          </w:rPr>
          <w:t>7.1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05053320"/>
    <w:multiLevelType w:val="hybridMultilevel"/>
    <w:tmpl w:val="385EE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8E655B"/>
    <w:multiLevelType w:val="hybridMultilevel"/>
    <w:tmpl w:val="2FC85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4" w15:restartNumberingAfterBreak="0">
    <w:nsid w:val="17205BD1"/>
    <w:multiLevelType w:val="hybridMultilevel"/>
    <w:tmpl w:val="BEF8B57E"/>
    <w:lvl w:ilvl="0" w:tplc="08090013">
      <w:start w:val="1"/>
      <w:numFmt w:val="upp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0D193A"/>
    <w:multiLevelType w:val="hybridMultilevel"/>
    <w:tmpl w:val="702243D8"/>
    <w:lvl w:ilvl="0" w:tplc="BE5090A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58974AC"/>
    <w:multiLevelType w:val="hybridMultilevel"/>
    <w:tmpl w:val="83446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6669CC"/>
    <w:multiLevelType w:val="multilevel"/>
    <w:tmpl w:val="F470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403DD6"/>
    <w:multiLevelType w:val="hybridMultilevel"/>
    <w:tmpl w:val="DA520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736E19"/>
    <w:multiLevelType w:val="hybridMultilevel"/>
    <w:tmpl w:val="F23A1B82"/>
    <w:lvl w:ilvl="0" w:tplc="4492F35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522B7B2C"/>
    <w:multiLevelType w:val="hybridMultilevel"/>
    <w:tmpl w:val="2320F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3F0CAF"/>
    <w:multiLevelType w:val="multilevel"/>
    <w:tmpl w:val="8E4A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66723A"/>
    <w:multiLevelType w:val="hybridMultilevel"/>
    <w:tmpl w:val="DD78D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FF2D4E"/>
    <w:multiLevelType w:val="multilevel"/>
    <w:tmpl w:val="93ACB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E737338"/>
    <w:multiLevelType w:val="hybridMultilevel"/>
    <w:tmpl w:val="19784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F03092"/>
    <w:multiLevelType w:val="hybridMultilevel"/>
    <w:tmpl w:val="1BA88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33359F"/>
    <w:multiLevelType w:val="multilevel"/>
    <w:tmpl w:val="8058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9447535"/>
    <w:multiLevelType w:val="multilevel"/>
    <w:tmpl w:val="518A8C7A"/>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931938445">
    <w:abstractNumId w:val="9"/>
  </w:num>
  <w:num w:numId="2" w16cid:durableId="1073310459">
    <w:abstractNumId w:val="7"/>
  </w:num>
  <w:num w:numId="3" w16cid:durableId="1925340915">
    <w:abstractNumId w:val="6"/>
  </w:num>
  <w:num w:numId="4" w16cid:durableId="1726831122">
    <w:abstractNumId w:val="5"/>
  </w:num>
  <w:num w:numId="5" w16cid:durableId="129788488">
    <w:abstractNumId w:val="4"/>
  </w:num>
  <w:num w:numId="6" w16cid:durableId="1207571923">
    <w:abstractNumId w:val="8"/>
  </w:num>
  <w:num w:numId="7" w16cid:durableId="402533084">
    <w:abstractNumId w:val="3"/>
  </w:num>
  <w:num w:numId="8" w16cid:durableId="495001699">
    <w:abstractNumId w:val="2"/>
  </w:num>
  <w:num w:numId="9" w16cid:durableId="1780180898">
    <w:abstractNumId w:val="1"/>
  </w:num>
  <w:num w:numId="10" w16cid:durableId="1404913689">
    <w:abstractNumId w:val="0"/>
  </w:num>
  <w:num w:numId="11" w16cid:durableId="1778139601">
    <w:abstractNumId w:val="15"/>
  </w:num>
  <w:num w:numId="12" w16cid:durableId="783227120">
    <w:abstractNumId w:val="34"/>
  </w:num>
  <w:num w:numId="13" w16cid:durableId="1367565994">
    <w:abstractNumId w:val="21"/>
  </w:num>
  <w:num w:numId="14" w16cid:durableId="1174225926">
    <w:abstractNumId w:val="17"/>
  </w:num>
  <w:num w:numId="15" w16cid:durableId="150562503">
    <w:abstractNumId w:val="34"/>
    <w:lvlOverride w:ilvl="0">
      <w:startOverride w:val="1"/>
    </w:lvlOverride>
  </w:num>
  <w:num w:numId="16" w16cid:durableId="708191280">
    <w:abstractNumId w:val="21"/>
    <w:lvlOverride w:ilvl="0">
      <w:startOverride w:val="1"/>
    </w:lvlOverride>
  </w:num>
  <w:num w:numId="17" w16cid:durableId="735981639">
    <w:abstractNumId w:val="17"/>
    <w:lvlOverride w:ilvl="0">
      <w:startOverride w:val="1"/>
    </w:lvlOverride>
  </w:num>
  <w:num w:numId="18" w16cid:durableId="966933876">
    <w:abstractNumId w:val="33"/>
  </w:num>
  <w:num w:numId="19" w16cid:durableId="985626502">
    <w:abstractNumId w:val="28"/>
  </w:num>
  <w:num w:numId="20" w16cid:durableId="2086879214">
    <w:abstractNumId w:val="16"/>
  </w:num>
  <w:num w:numId="21" w16cid:durableId="399718409">
    <w:abstractNumId w:val="36"/>
  </w:num>
  <w:num w:numId="22" w16cid:durableId="999388671">
    <w:abstractNumId w:val="27"/>
  </w:num>
  <w:num w:numId="23" w16cid:durableId="149121498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8381196">
    <w:abstractNumId w:val="27"/>
  </w:num>
  <w:num w:numId="25" w16cid:durableId="209663157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3636562">
    <w:abstractNumId w:val="37"/>
  </w:num>
  <w:num w:numId="27" w16cid:durableId="561334936">
    <w:abstractNumId w:val="13"/>
  </w:num>
  <w:num w:numId="28" w16cid:durableId="391512796">
    <w:abstractNumId w:val="10"/>
  </w:num>
  <w:num w:numId="29" w16cid:durableId="196018815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9461313">
    <w:abstractNumId w:val="23"/>
  </w:num>
  <w:num w:numId="31" w16cid:durableId="20013520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5803963">
    <w:abstractNumId w:val="26"/>
  </w:num>
  <w:num w:numId="33" w16cid:durableId="7413421">
    <w:abstractNumId w:val="35"/>
  </w:num>
  <w:num w:numId="34" w16cid:durableId="377974685">
    <w:abstractNumId w:val="30"/>
  </w:num>
  <w:num w:numId="35" w16cid:durableId="922030000">
    <w:abstractNumId w:val="20"/>
  </w:num>
  <w:num w:numId="36" w16cid:durableId="1327366996">
    <w:abstractNumId w:val="18"/>
  </w:num>
  <w:num w:numId="37" w16cid:durableId="1858887943">
    <w:abstractNumId w:val="24"/>
  </w:num>
  <w:num w:numId="38" w16cid:durableId="853687385">
    <w:abstractNumId w:val="14"/>
  </w:num>
  <w:num w:numId="39" w16cid:durableId="1168717202">
    <w:abstractNumId w:val="31"/>
  </w:num>
  <w:num w:numId="40" w16cid:durableId="11383048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1120476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84949561">
    <w:abstractNumId w:val="32"/>
  </w:num>
  <w:num w:numId="43" w16cid:durableId="140050658">
    <w:abstractNumId w:val="11"/>
  </w:num>
  <w:num w:numId="44" w16cid:durableId="1247374893">
    <w:abstractNumId w:val="12"/>
  </w:num>
  <w:num w:numId="45" w16cid:durableId="1287279256">
    <w:abstractNumId w:val="25"/>
  </w:num>
  <w:num w:numId="46" w16cid:durableId="2058580748">
    <w:abstractNumId w:val="29"/>
  </w:num>
  <w:num w:numId="47" w16cid:durableId="1427577815">
    <w:abstractNumId w:val="19"/>
  </w:num>
  <w:num w:numId="48" w16cid:durableId="8038886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7FE"/>
    <w:rsid w:val="00002F03"/>
    <w:rsid w:val="000032C9"/>
    <w:rsid w:val="00004C16"/>
    <w:rsid w:val="000057F4"/>
    <w:rsid w:val="00006C90"/>
    <w:rsid w:val="00006D8B"/>
    <w:rsid w:val="00011177"/>
    <w:rsid w:val="0001418B"/>
    <w:rsid w:val="0001479C"/>
    <w:rsid w:val="00014814"/>
    <w:rsid w:val="00023186"/>
    <w:rsid w:val="0002366D"/>
    <w:rsid w:val="00024522"/>
    <w:rsid w:val="0002474E"/>
    <w:rsid w:val="00024B2E"/>
    <w:rsid w:val="0002605B"/>
    <w:rsid w:val="00027F4F"/>
    <w:rsid w:val="00030430"/>
    <w:rsid w:val="0003078E"/>
    <w:rsid w:val="000315E5"/>
    <w:rsid w:val="00031B70"/>
    <w:rsid w:val="00031B89"/>
    <w:rsid w:val="000333F0"/>
    <w:rsid w:val="00036286"/>
    <w:rsid w:val="0003693D"/>
    <w:rsid w:val="00037EE2"/>
    <w:rsid w:val="000433D7"/>
    <w:rsid w:val="0004440F"/>
    <w:rsid w:val="00046936"/>
    <w:rsid w:val="000502DF"/>
    <w:rsid w:val="00051D54"/>
    <w:rsid w:val="00052C8A"/>
    <w:rsid w:val="000534BA"/>
    <w:rsid w:val="000548C8"/>
    <w:rsid w:val="00055898"/>
    <w:rsid w:val="0005794E"/>
    <w:rsid w:val="0006669A"/>
    <w:rsid w:val="00066CC3"/>
    <w:rsid w:val="00071E5F"/>
    <w:rsid w:val="00071F33"/>
    <w:rsid w:val="00074413"/>
    <w:rsid w:val="0007450D"/>
    <w:rsid w:val="00075605"/>
    <w:rsid w:val="0007567E"/>
    <w:rsid w:val="00075C66"/>
    <w:rsid w:val="00077F36"/>
    <w:rsid w:val="00081114"/>
    <w:rsid w:val="000822C3"/>
    <w:rsid w:val="00082879"/>
    <w:rsid w:val="00086761"/>
    <w:rsid w:val="00091EEA"/>
    <w:rsid w:val="00093D67"/>
    <w:rsid w:val="000949F2"/>
    <w:rsid w:val="000950B3"/>
    <w:rsid w:val="000965B9"/>
    <w:rsid w:val="000A197B"/>
    <w:rsid w:val="000A4117"/>
    <w:rsid w:val="000A4143"/>
    <w:rsid w:val="000A4B2D"/>
    <w:rsid w:val="000A51C3"/>
    <w:rsid w:val="000A7452"/>
    <w:rsid w:val="000B2BCD"/>
    <w:rsid w:val="000B381F"/>
    <w:rsid w:val="000B540B"/>
    <w:rsid w:val="000B77F7"/>
    <w:rsid w:val="000C2DDC"/>
    <w:rsid w:val="000C3933"/>
    <w:rsid w:val="000D2FD4"/>
    <w:rsid w:val="000D35F6"/>
    <w:rsid w:val="000D3F35"/>
    <w:rsid w:val="000D59C5"/>
    <w:rsid w:val="000E7EF8"/>
    <w:rsid w:val="000F1B7B"/>
    <w:rsid w:val="000F2ED4"/>
    <w:rsid w:val="000F3932"/>
    <w:rsid w:val="000F599F"/>
    <w:rsid w:val="000F7507"/>
    <w:rsid w:val="000F7C6B"/>
    <w:rsid w:val="001028E8"/>
    <w:rsid w:val="0010328D"/>
    <w:rsid w:val="00103867"/>
    <w:rsid w:val="00103FC6"/>
    <w:rsid w:val="001058AB"/>
    <w:rsid w:val="00107FE7"/>
    <w:rsid w:val="001105C1"/>
    <w:rsid w:val="00113126"/>
    <w:rsid w:val="0011568F"/>
    <w:rsid w:val="001160D2"/>
    <w:rsid w:val="00121B6A"/>
    <w:rsid w:val="00122FCC"/>
    <w:rsid w:val="00123580"/>
    <w:rsid w:val="00126752"/>
    <w:rsid w:val="00130B30"/>
    <w:rsid w:val="00131E06"/>
    <w:rsid w:val="001321E2"/>
    <w:rsid w:val="00135E8E"/>
    <w:rsid w:val="00136064"/>
    <w:rsid w:val="00137272"/>
    <w:rsid w:val="00140E1C"/>
    <w:rsid w:val="00142793"/>
    <w:rsid w:val="00142977"/>
    <w:rsid w:val="001447A9"/>
    <w:rsid w:val="00145BEC"/>
    <w:rsid w:val="00147AE4"/>
    <w:rsid w:val="00150B84"/>
    <w:rsid w:val="001521D4"/>
    <w:rsid w:val="0015407B"/>
    <w:rsid w:val="001555DC"/>
    <w:rsid w:val="001571E5"/>
    <w:rsid w:val="001708E3"/>
    <w:rsid w:val="00177666"/>
    <w:rsid w:val="001849CA"/>
    <w:rsid w:val="00185410"/>
    <w:rsid w:val="00191006"/>
    <w:rsid w:val="00192352"/>
    <w:rsid w:val="00193AA7"/>
    <w:rsid w:val="00196531"/>
    <w:rsid w:val="001A0905"/>
    <w:rsid w:val="001A0BEB"/>
    <w:rsid w:val="001A27A4"/>
    <w:rsid w:val="001A3C28"/>
    <w:rsid w:val="001B0896"/>
    <w:rsid w:val="001B2356"/>
    <w:rsid w:val="001C4BB5"/>
    <w:rsid w:val="001C4D63"/>
    <w:rsid w:val="001C74F1"/>
    <w:rsid w:val="001D0DE0"/>
    <w:rsid w:val="001D206F"/>
    <w:rsid w:val="001D3EC9"/>
    <w:rsid w:val="001D4BCE"/>
    <w:rsid w:val="001D5AFF"/>
    <w:rsid w:val="001D74B4"/>
    <w:rsid w:val="001E03E1"/>
    <w:rsid w:val="001E1605"/>
    <w:rsid w:val="001F059F"/>
    <w:rsid w:val="001F3036"/>
    <w:rsid w:val="001F5301"/>
    <w:rsid w:val="001F79CE"/>
    <w:rsid w:val="00200811"/>
    <w:rsid w:val="00200CA1"/>
    <w:rsid w:val="00203AFA"/>
    <w:rsid w:val="002114E8"/>
    <w:rsid w:val="00212DC2"/>
    <w:rsid w:val="0021338D"/>
    <w:rsid w:val="00214D43"/>
    <w:rsid w:val="002209D5"/>
    <w:rsid w:val="00221ED0"/>
    <w:rsid w:val="002238B4"/>
    <w:rsid w:val="002241BB"/>
    <w:rsid w:val="00224D7C"/>
    <w:rsid w:val="002251FC"/>
    <w:rsid w:val="00225BF8"/>
    <w:rsid w:val="002319AB"/>
    <w:rsid w:val="002319AC"/>
    <w:rsid w:val="00234342"/>
    <w:rsid w:val="00235520"/>
    <w:rsid w:val="0023662B"/>
    <w:rsid w:val="002371BD"/>
    <w:rsid w:val="0024040D"/>
    <w:rsid w:val="0024592F"/>
    <w:rsid w:val="00245A0D"/>
    <w:rsid w:val="002500E3"/>
    <w:rsid w:val="00255FA3"/>
    <w:rsid w:val="00257288"/>
    <w:rsid w:val="002609C8"/>
    <w:rsid w:val="00261FB6"/>
    <w:rsid w:val="00262104"/>
    <w:rsid w:val="002629F8"/>
    <w:rsid w:val="00263396"/>
    <w:rsid w:val="00263418"/>
    <w:rsid w:val="00264F4A"/>
    <w:rsid w:val="002659FA"/>
    <w:rsid w:val="00267815"/>
    <w:rsid w:val="00272BDB"/>
    <w:rsid w:val="00272D81"/>
    <w:rsid w:val="00275BEC"/>
    <w:rsid w:val="00277364"/>
    <w:rsid w:val="00280DDF"/>
    <w:rsid w:val="00283FEB"/>
    <w:rsid w:val="00287475"/>
    <w:rsid w:val="00290B17"/>
    <w:rsid w:val="002917FF"/>
    <w:rsid w:val="00292ADF"/>
    <w:rsid w:val="002A0DEC"/>
    <w:rsid w:val="002A1D70"/>
    <w:rsid w:val="002A29BB"/>
    <w:rsid w:val="002A3887"/>
    <w:rsid w:val="002B1C53"/>
    <w:rsid w:val="002B20B7"/>
    <w:rsid w:val="002B4CF5"/>
    <w:rsid w:val="002B5DB0"/>
    <w:rsid w:val="002B638E"/>
    <w:rsid w:val="002C1B64"/>
    <w:rsid w:val="002C347E"/>
    <w:rsid w:val="002C58AE"/>
    <w:rsid w:val="002D3397"/>
    <w:rsid w:val="002D5711"/>
    <w:rsid w:val="002E0BE4"/>
    <w:rsid w:val="002E3B58"/>
    <w:rsid w:val="002E3E8A"/>
    <w:rsid w:val="002E69E9"/>
    <w:rsid w:val="002E6A6A"/>
    <w:rsid w:val="002F3397"/>
    <w:rsid w:val="002F4FE3"/>
    <w:rsid w:val="00300AC1"/>
    <w:rsid w:val="00302256"/>
    <w:rsid w:val="0030380D"/>
    <w:rsid w:val="003040C8"/>
    <w:rsid w:val="00304651"/>
    <w:rsid w:val="00307277"/>
    <w:rsid w:val="00307FBE"/>
    <w:rsid w:val="00310BEE"/>
    <w:rsid w:val="00312411"/>
    <w:rsid w:val="003124A4"/>
    <w:rsid w:val="00321C76"/>
    <w:rsid w:val="00323E71"/>
    <w:rsid w:val="00324725"/>
    <w:rsid w:val="0032787D"/>
    <w:rsid w:val="00330094"/>
    <w:rsid w:val="003337D2"/>
    <w:rsid w:val="00344F5F"/>
    <w:rsid w:val="00345706"/>
    <w:rsid w:val="003463BB"/>
    <w:rsid w:val="00346C8E"/>
    <w:rsid w:val="00347CA8"/>
    <w:rsid w:val="00355DC7"/>
    <w:rsid w:val="003560B3"/>
    <w:rsid w:val="00357A80"/>
    <w:rsid w:val="00360B21"/>
    <w:rsid w:val="003672F2"/>
    <w:rsid w:val="00367BD5"/>
    <w:rsid w:val="0037176F"/>
    <w:rsid w:val="0038761F"/>
    <w:rsid w:val="00390327"/>
    <w:rsid w:val="00393B78"/>
    <w:rsid w:val="003970B0"/>
    <w:rsid w:val="003A01E9"/>
    <w:rsid w:val="003A5B00"/>
    <w:rsid w:val="003A66CE"/>
    <w:rsid w:val="003A726C"/>
    <w:rsid w:val="003B265A"/>
    <w:rsid w:val="003B2E85"/>
    <w:rsid w:val="003C0306"/>
    <w:rsid w:val="003C0DD8"/>
    <w:rsid w:val="003C114C"/>
    <w:rsid w:val="003C18C4"/>
    <w:rsid w:val="003C465D"/>
    <w:rsid w:val="003D3479"/>
    <w:rsid w:val="003D45F3"/>
    <w:rsid w:val="003D495D"/>
    <w:rsid w:val="003D4DC7"/>
    <w:rsid w:val="003D665E"/>
    <w:rsid w:val="003E098E"/>
    <w:rsid w:val="003E2F1A"/>
    <w:rsid w:val="003E2FAE"/>
    <w:rsid w:val="003E6DCF"/>
    <w:rsid w:val="003F13CE"/>
    <w:rsid w:val="003F18AE"/>
    <w:rsid w:val="003F2448"/>
    <w:rsid w:val="003F6E26"/>
    <w:rsid w:val="003F768C"/>
    <w:rsid w:val="004034C8"/>
    <w:rsid w:val="0040433D"/>
    <w:rsid w:val="00404B0C"/>
    <w:rsid w:val="00404DE5"/>
    <w:rsid w:val="004054F1"/>
    <w:rsid w:val="00405963"/>
    <w:rsid w:val="00405E9C"/>
    <w:rsid w:val="004067EA"/>
    <w:rsid w:val="00406A22"/>
    <w:rsid w:val="00407047"/>
    <w:rsid w:val="00407CF7"/>
    <w:rsid w:val="0041031B"/>
    <w:rsid w:val="00415D9C"/>
    <w:rsid w:val="00415E50"/>
    <w:rsid w:val="00415ED6"/>
    <w:rsid w:val="00417CAF"/>
    <w:rsid w:val="00420A11"/>
    <w:rsid w:val="00422265"/>
    <w:rsid w:val="0042657E"/>
    <w:rsid w:val="004274FE"/>
    <w:rsid w:val="0043565D"/>
    <w:rsid w:val="004373A7"/>
    <w:rsid w:val="00437D94"/>
    <w:rsid w:val="0044030C"/>
    <w:rsid w:val="00442066"/>
    <w:rsid w:val="00442A35"/>
    <w:rsid w:val="00444438"/>
    <w:rsid w:val="004478E7"/>
    <w:rsid w:val="0045054A"/>
    <w:rsid w:val="00451145"/>
    <w:rsid w:val="004532F4"/>
    <w:rsid w:val="004553B9"/>
    <w:rsid w:val="004638C7"/>
    <w:rsid w:val="004648A4"/>
    <w:rsid w:val="004653B8"/>
    <w:rsid w:val="00471380"/>
    <w:rsid w:val="00480AF4"/>
    <w:rsid w:val="00482649"/>
    <w:rsid w:val="004833A1"/>
    <w:rsid w:val="00486D2C"/>
    <w:rsid w:val="00494F0D"/>
    <w:rsid w:val="00496582"/>
    <w:rsid w:val="00496BFD"/>
    <w:rsid w:val="004A0445"/>
    <w:rsid w:val="004A071D"/>
    <w:rsid w:val="004A24EA"/>
    <w:rsid w:val="004A3DF2"/>
    <w:rsid w:val="004A4656"/>
    <w:rsid w:val="004A5D7F"/>
    <w:rsid w:val="004A7913"/>
    <w:rsid w:val="004B67E9"/>
    <w:rsid w:val="004C0E34"/>
    <w:rsid w:val="004C215B"/>
    <w:rsid w:val="004C361D"/>
    <w:rsid w:val="004C4891"/>
    <w:rsid w:val="004C493D"/>
    <w:rsid w:val="004C523E"/>
    <w:rsid w:val="004C589F"/>
    <w:rsid w:val="004D0C8E"/>
    <w:rsid w:val="004D2C89"/>
    <w:rsid w:val="004D4046"/>
    <w:rsid w:val="004E3932"/>
    <w:rsid w:val="004E5132"/>
    <w:rsid w:val="004F014E"/>
    <w:rsid w:val="004F1E79"/>
    <w:rsid w:val="004F352E"/>
    <w:rsid w:val="004F5F33"/>
    <w:rsid w:val="004F6100"/>
    <w:rsid w:val="0050103A"/>
    <w:rsid w:val="00507019"/>
    <w:rsid w:val="00511B0F"/>
    <w:rsid w:val="0051252E"/>
    <w:rsid w:val="00513521"/>
    <w:rsid w:val="005141CA"/>
    <w:rsid w:val="00514C49"/>
    <w:rsid w:val="0052553D"/>
    <w:rsid w:val="00525BBC"/>
    <w:rsid w:val="00526A5C"/>
    <w:rsid w:val="00526CFA"/>
    <w:rsid w:val="00534307"/>
    <w:rsid w:val="00534C6B"/>
    <w:rsid w:val="00536721"/>
    <w:rsid w:val="00540ECF"/>
    <w:rsid w:val="005445BF"/>
    <w:rsid w:val="00544B58"/>
    <w:rsid w:val="00545E40"/>
    <w:rsid w:val="005504C2"/>
    <w:rsid w:val="005535BB"/>
    <w:rsid w:val="0055388E"/>
    <w:rsid w:val="00554AAD"/>
    <w:rsid w:val="005572E9"/>
    <w:rsid w:val="00557C28"/>
    <w:rsid w:val="00565AA6"/>
    <w:rsid w:val="005754AE"/>
    <w:rsid w:val="00575AA2"/>
    <w:rsid w:val="005763D7"/>
    <w:rsid w:val="005764C8"/>
    <w:rsid w:val="0057666E"/>
    <w:rsid w:val="00577769"/>
    <w:rsid w:val="00577FB5"/>
    <w:rsid w:val="005807AE"/>
    <w:rsid w:val="005825BA"/>
    <w:rsid w:val="00584F6E"/>
    <w:rsid w:val="005852D1"/>
    <w:rsid w:val="00587A22"/>
    <w:rsid w:val="00587E35"/>
    <w:rsid w:val="00590AC6"/>
    <w:rsid w:val="0059299D"/>
    <w:rsid w:val="00593DE1"/>
    <w:rsid w:val="00595056"/>
    <w:rsid w:val="00595C8C"/>
    <w:rsid w:val="00596397"/>
    <w:rsid w:val="00597747"/>
    <w:rsid w:val="005A18E6"/>
    <w:rsid w:val="005A4CDD"/>
    <w:rsid w:val="005B17D2"/>
    <w:rsid w:val="005B2D4A"/>
    <w:rsid w:val="005B360B"/>
    <w:rsid w:val="005B4063"/>
    <w:rsid w:val="005B4B7B"/>
    <w:rsid w:val="005B57E4"/>
    <w:rsid w:val="005B5ABD"/>
    <w:rsid w:val="005B5C1B"/>
    <w:rsid w:val="005B5DD1"/>
    <w:rsid w:val="005B7798"/>
    <w:rsid w:val="005B7FC8"/>
    <w:rsid w:val="005C140A"/>
    <w:rsid w:val="005C4353"/>
    <w:rsid w:val="005C5AD0"/>
    <w:rsid w:val="005C6763"/>
    <w:rsid w:val="005D1517"/>
    <w:rsid w:val="005D15FF"/>
    <w:rsid w:val="005D1C0E"/>
    <w:rsid w:val="005D3164"/>
    <w:rsid w:val="005D671F"/>
    <w:rsid w:val="005E0344"/>
    <w:rsid w:val="005E17B4"/>
    <w:rsid w:val="005E211F"/>
    <w:rsid w:val="005E2A08"/>
    <w:rsid w:val="005E2D4F"/>
    <w:rsid w:val="005E440B"/>
    <w:rsid w:val="005E4B41"/>
    <w:rsid w:val="005E667A"/>
    <w:rsid w:val="005F2C85"/>
    <w:rsid w:val="00601F3F"/>
    <w:rsid w:val="00605ADB"/>
    <w:rsid w:val="00611A8B"/>
    <w:rsid w:val="00611C9F"/>
    <w:rsid w:val="00613FC8"/>
    <w:rsid w:val="00616EF8"/>
    <w:rsid w:val="00621BF6"/>
    <w:rsid w:val="00626247"/>
    <w:rsid w:val="00627555"/>
    <w:rsid w:val="00627B76"/>
    <w:rsid w:val="00627CD6"/>
    <w:rsid w:val="006316C4"/>
    <w:rsid w:val="006322A0"/>
    <w:rsid w:val="0063359C"/>
    <w:rsid w:val="006361FD"/>
    <w:rsid w:val="00637B24"/>
    <w:rsid w:val="0064226F"/>
    <w:rsid w:val="00651D4C"/>
    <w:rsid w:val="00652A2F"/>
    <w:rsid w:val="00653298"/>
    <w:rsid w:val="00653CC7"/>
    <w:rsid w:val="006541ED"/>
    <w:rsid w:val="00655B4F"/>
    <w:rsid w:val="00663A7C"/>
    <w:rsid w:val="00667DF2"/>
    <w:rsid w:val="00670DF1"/>
    <w:rsid w:val="00671345"/>
    <w:rsid w:val="00672464"/>
    <w:rsid w:val="00672A9B"/>
    <w:rsid w:val="00673310"/>
    <w:rsid w:val="00674646"/>
    <w:rsid w:val="00675884"/>
    <w:rsid w:val="006849CF"/>
    <w:rsid w:val="0069144A"/>
    <w:rsid w:val="006966CA"/>
    <w:rsid w:val="00696D09"/>
    <w:rsid w:val="00696EE0"/>
    <w:rsid w:val="00697980"/>
    <w:rsid w:val="006A19EF"/>
    <w:rsid w:val="006A405E"/>
    <w:rsid w:val="006A43D5"/>
    <w:rsid w:val="006A525B"/>
    <w:rsid w:val="006A7FD1"/>
    <w:rsid w:val="006B1237"/>
    <w:rsid w:val="006B296C"/>
    <w:rsid w:val="006B69F8"/>
    <w:rsid w:val="006C045F"/>
    <w:rsid w:val="006C4196"/>
    <w:rsid w:val="006C63B0"/>
    <w:rsid w:val="006C76A2"/>
    <w:rsid w:val="006C792E"/>
    <w:rsid w:val="006D116C"/>
    <w:rsid w:val="006D1CC9"/>
    <w:rsid w:val="006D5123"/>
    <w:rsid w:val="006D5BDB"/>
    <w:rsid w:val="006D68B8"/>
    <w:rsid w:val="006D6F7A"/>
    <w:rsid w:val="006E200C"/>
    <w:rsid w:val="006E22C1"/>
    <w:rsid w:val="006E7C42"/>
    <w:rsid w:val="006F168A"/>
    <w:rsid w:val="006F5076"/>
    <w:rsid w:val="006F6009"/>
    <w:rsid w:val="0070011D"/>
    <w:rsid w:val="00701226"/>
    <w:rsid w:val="0070321D"/>
    <w:rsid w:val="0070577B"/>
    <w:rsid w:val="007068BA"/>
    <w:rsid w:val="00707259"/>
    <w:rsid w:val="007075FE"/>
    <w:rsid w:val="00707B98"/>
    <w:rsid w:val="007154C5"/>
    <w:rsid w:val="00716AB1"/>
    <w:rsid w:val="00721D63"/>
    <w:rsid w:val="007328E2"/>
    <w:rsid w:val="00732C7B"/>
    <w:rsid w:val="007335E8"/>
    <w:rsid w:val="00734D2B"/>
    <w:rsid w:val="00737705"/>
    <w:rsid w:val="007405B2"/>
    <w:rsid w:val="007408D4"/>
    <w:rsid w:val="007420AC"/>
    <w:rsid w:val="00742617"/>
    <w:rsid w:val="007450B5"/>
    <w:rsid w:val="00746B6E"/>
    <w:rsid w:val="00750510"/>
    <w:rsid w:val="007536E8"/>
    <w:rsid w:val="00766967"/>
    <w:rsid w:val="00767E5B"/>
    <w:rsid w:val="007720DC"/>
    <w:rsid w:val="00772F9B"/>
    <w:rsid w:val="00776FA1"/>
    <w:rsid w:val="00783AFA"/>
    <w:rsid w:val="00785427"/>
    <w:rsid w:val="00790540"/>
    <w:rsid w:val="00790D70"/>
    <w:rsid w:val="00791EC4"/>
    <w:rsid w:val="00795A65"/>
    <w:rsid w:val="007968CA"/>
    <w:rsid w:val="007A0E4F"/>
    <w:rsid w:val="007A2FFD"/>
    <w:rsid w:val="007A43FF"/>
    <w:rsid w:val="007A6C6D"/>
    <w:rsid w:val="007A737A"/>
    <w:rsid w:val="007B0689"/>
    <w:rsid w:val="007B2D52"/>
    <w:rsid w:val="007B3918"/>
    <w:rsid w:val="007B5400"/>
    <w:rsid w:val="007C09A9"/>
    <w:rsid w:val="007C0AD9"/>
    <w:rsid w:val="007C3130"/>
    <w:rsid w:val="007C3C1D"/>
    <w:rsid w:val="007C413A"/>
    <w:rsid w:val="007D199A"/>
    <w:rsid w:val="007D1F2D"/>
    <w:rsid w:val="007D223D"/>
    <w:rsid w:val="007D2430"/>
    <w:rsid w:val="007D2EBE"/>
    <w:rsid w:val="007D6E48"/>
    <w:rsid w:val="007E1A31"/>
    <w:rsid w:val="007E1C07"/>
    <w:rsid w:val="007F24B6"/>
    <w:rsid w:val="007F276E"/>
    <w:rsid w:val="007F2A70"/>
    <w:rsid w:val="007F4053"/>
    <w:rsid w:val="007F5EFE"/>
    <w:rsid w:val="007F6460"/>
    <w:rsid w:val="00802EA1"/>
    <w:rsid w:val="008033F1"/>
    <w:rsid w:val="00803D94"/>
    <w:rsid w:val="00806D68"/>
    <w:rsid w:val="008209F0"/>
    <w:rsid w:val="008229BA"/>
    <w:rsid w:val="008235AB"/>
    <w:rsid w:val="0082479D"/>
    <w:rsid w:val="00825642"/>
    <w:rsid w:val="00827129"/>
    <w:rsid w:val="00827174"/>
    <w:rsid w:val="0083211C"/>
    <w:rsid w:val="00834664"/>
    <w:rsid w:val="008360BF"/>
    <w:rsid w:val="00837299"/>
    <w:rsid w:val="00837A4E"/>
    <w:rsid w:val="00841718"/>
    <w:rsid w:val="00845390"/>
    <w:rsid w:val="0084601B"/>
    <w:rsid w:val="008548CA"/>
    <w:rsid w:val="00856D12"/>
    <w:rsid w:val="008606F0"/>
    <w:rsid w:val="00861E1D"/>
    <w:rsid w:val="00863EA7"/>
    <w:rsid w:val="00865489"/>
    <w:rsid w:val="0086553D"/>
    <w:rsid w:val="00871B4A"/>
    <w:rsid w:val="00874FEB"/>
    <w:rsid w:val="00881B6F"/>
    <w:rsid w:val="00882AA4"/>
    <w:rsid w:val="00883E22"/>
    <w:rsid w:val="00884E43"/>
    <w:rsid w:val="00887EC6"/>
    <w:rsid w:val="0089084C"/>
    <w:rsid w:val="00893409"/>
    <w:rsid w:val="00893D9F"/>
    <w:rsid w:val="008A0599"/>
    <w:rsid w:val="008A2379"/>
    <w:rsid w:val="008A4329"/>
    <w:rsid w:val="008A578E"/>
    <w:rsid w:val="008A643E"/>
    <w:rsid w:val="008A65B7"/>
    <w:rsid w:val="008B1519"/>
    <w:rsid w:val="008B1C1E"/>
    <w:rsid w:val="008B4987"/>
    <w:rsid w:val="008B69E3"/>
    <w:rsid w:val="008B767E"/>
    <w:rsid w:val="008B7BCC"/>
    <w:rsid w:val="008C407B"/>
    <w:rsid w:val="008C50C3"/>
    <w:rsid w:val="008C69B5"/>
    <w:rsid w:val="008C7094"/>
    <w:rsid w:val="008D0469"/>
    <w:rsid w:val="008D2B97"/>
    <w:rsid w:val="008D3C66"/>
    <w:rsid w:val="008D49A5"/>
    <w:rsid w:val="008D54BE"/>
    <w:rsid w:val="008D5990"/>
    <w:rsid w:val="008D6C81"/>
    <w:rsid w:val="008D752B"/>
    <w:rsid w:val="008E2CA5"/>
    <w:rsid w:val="008E619E"/>
    <w:rsid w:val="008E6CF0"/>
    <w:rsid w:val="008F0D1A"/>
    <w:rsid w:val="008F1439"/>
    <w:rsid w:val="008F1C68"/>
    <w:rsid w:val="008F3138"/>
    <w:rsid w:val="008F461C"/>
    <w:rsid w:val="008F660E"/>
    <w:rsid w:val="008F7051"/>
    <w:rsid w:val="008F7239"/>
    <w:rsid w:val="008F75EF"/>
    <w:rsid w:val="009033A9"/>
    <w:rsid w:val="00904152"/>
    <w:rsid w:val="00904203"/>
    <w:rsid w:val="009046F3"/>
    <w:rsid w:val="0090581D"/>
    <w:rsid w:val="00907049"/>
    <w:rsid w:val="00910738"/>
    <w:rsid w:val="00913C85"/>
    <w:rsid w:val="00914381"/>
    <w:rsid w:val="0091439C"/>
    <w:rsid w:val="00920572"/>
    <w:rsid w:val="00920BF2"/>
    <w:rsid w:val="00920E8F"/>
    <w:rsid w:val="00921C75"/>
    <w:rsid w:val="00924B88"/>
    <w:rsid w:val="00925BA2"/>
    <w:rsid w:val="00926CB2"/>
    <w:rsid w:val="00926DE4"/>
    <w:rsid w:val="00927C84"/>
    <w:rsid w:val="00930235"/>
    <w:rsid w:val="00934306"/>
    <w:rsid w:val="00934520"/>
    <w:rsid w:val="00934892"/>
    <w:rsid w:val="009349A9"/>
    <w:rsid w:val="00936C52"/>
    <w:rsid w:val="0094023E"/>
    <w:rsid w:val="009426F4"/>
    <w:rsid w:val="00943003"/>
    <w:rsid w:val="0094710B"/>
    <w:rsid w:val="00947548"/>
    <w:rsid w:val="0095007B"/>
    <w:rsid w:val="00953416"/>
    <w:rsid w:val="0095489B"/>
    <w:rsid w:val="00965849"/>
    <w:rsid w:val="00966FB9"/>
    <w:rsid w:val="009671CD"/>
    <w:rsid w:val="009715F9"/>
    <w:rsid w:val="00972B41"/>
    <w:rsid w:val="009749D1"/>
    <w:rsid w:val="00975007"/>
    <w:rsid w:val="009751A9"/>
    <w:rsid w:val="00980F9C"/>
    <w:rsid w:val="0098632B"/>
    <w:rsid w:val="00992366"/>
    <w:rsid w:val="00997BFB"/>
    <w:rsid w:val="00997FEF"/>
    <w:rsid w:val="009A5331"/>
    <w:rsid w:val="009A5891"/>
    <w:rsid w:val="009A597D"/>
    <w:rsid w:val="009A7348"/>
    <w:rsid w:val="009B068D"/>
    <w:rsid w:val="009B0B7F"/>
    <w:rsid w:val="009B18A7"/>
    <w:rsid w:val="009B2A78"/>
    <w:rsid w:val="009B462C"/>
    <w:rsid w:val="009B7B7F"/>
    <w:rsid w:val="009C026F"/>
    <w:rsid w:val="009C15F3"/>
    <w:rsid w:val="009D1632"/>
    <w:rsid w:val="009D3A2C"/>
    <w:rsid w:val="009D60AB"/>
    <w:rsid w:val="009E07C2"/>
    <w:rsid w:val="009E0E52"/>
    <w:rsid w:val="009E1FF3"/>
    <w:rsid w:val="009E5D1E"/>
    <w:rsid w:val="009E7E69"/>
    <w:rsid w:val="009F72F9"/>
    <w:rsid w:val="00A00205"/>
    <w:rsid w:val="00A00AF0"/>
    <w:rsid w:val="00A076DB"/>
    <w:rsid w:val="00A14B5A"/>
    <w:rsid w:val="00A17562"/>
    <w:rsid w:val="00A17E16"/>
    <w:rsid w:val="00A21C5A"/>
    <w:rsid w:val="00A22D06"/>
    <w:rsid w:val="00A243A4"/>
    <w:rsid w:val="00A3093B"/>
    <w:rsid w:val="00A326E7"/>
    <w:rsid w:val="00A329B4"/>
    <w:rsid w:val="00A3306A"/>
    <w:rsid w:val="00A3567F"/>
    <w:rsid w:val="00A37698"/>
    <w:rsid w:val="00A41ED3"/>
    <w:rsid w:val="00A5216E"/>
    <w:rsid w:val="00A56C01"/>
    <w:rsid w:val="00A61E67"/>
    <w:rsid w:val="00A64E17"/>
    <w:rsid w:val="00A70201"/>
    <w:rsid w:val="00A72B9F"/>
    <w:rsid w:val="00A81D82"/>
    <w:rsid w:val="00A8606E"/>
    <w:rsid w:val="00A93E33"/>
    <w:rsid w:val="00A95467"/>
    <w:rsid w:val="00AA01BA"/>
    <w:rsid w:val="00AA5445"/>
    <w:rsid w:val="00AA6D10"/>
    <w:rsid w:val="00AB3DD7"/>
    <w:rsid w:val="00AB4003"/>
    <w:rsid w:val="00AB4683"/>
    <w:rsid w:val="00AB5C2F"/>
    <w:rsid w:val="00AB60B1"/>
    <w:rsid w:val="00AB6839"/>
    <w:rsid w:val="00AB6970"/>
    <w:rsid w:val="00AB7456"/>
    <w:rsid w:val="00AC1939"/>
    <w:rsid w:val="00AC2672"/>
    <w:rsid w:val="00AC4514"/>
    <w:rsid w:val="00AC6ADD"/>
    <w:rsid w:val="00AC7C05"/>
    <w:rsid w:val="00AD167C"/>
    <w:rsid w:val="00AD17C7"/>
    <w:rsid w:val="00AD4041"/>
    <w:rsid w:val="00AD5E29"/>
    <w:rsid w:val="00AD6E9A"/>
    <w:rsid w:val="00AD78FC"/>
    <w:rsid w:val="00AE2A30"/>
    <w:rsid w:val="00AE2FDC"/>
    <w:rsid w:val="00AE302B"/>
    <w:rsid w:val="00AE3994"/>
    <w:rsid w:val="00AE4F54"/>
    <w:rsid w:val="00AE74B9"/>
    <w:rsid w:val="00AF03DF"/>
    <w:rsid w:val="00AF31F0"/>
    <w:rsid w:val="00AF6573"/>
    <w:rsid w:val="00B0060F"/>
    <w:rsid w:val="00B1161B"/>
    <w:rsid w:val="00B17BC6"/>
    <w:rsid w:val="00B209C7"/>
    <w:rsid w:val="00B259DF"/>
    <w:rsid w:val="00B27084"/>
    <w:rsid w:val="00B275BB"/>
    <w:rsid w:val="00B30853"/>
    <w:rsid w:val="00B33ABD"/>
    <w:rsid w:val="00B34393"/>
    <w:rsid w:val="00B368E1"/>
    <w:rsid w:val="00B407C6"/>
    <w:rsid w:val="00B419F8"/>
    <w:rsid w:val="00B41F04"/>
    <w:rsid w:val="00B44B1F"/>
    <w:rsid w:val="00B50450"/>
    <w:rsid w:val="00B57740"/>
    <w:rsid w:val="00B64141"/>
    <w:rsid w:val="00B64E72"/>
    <w:rsid w:val="00B65F01"/>
    <w:rsid w:val="00B704E3"/>
    <w:rsid w:val="00B73194"/>
    <w:rsid w:val="00B75DE2"/>
    <w:rsid w:val="00B77913"/>
    <w:rsid w:val="00B77A3F"/>
    <w:rsid w:val="00B824FB"/>
    <w:rsid w:val="00B82646"/>
    <w:rsid w:val="00B860F4"/>
    <w:rsid w:val="00B9059A"/>
    <w:rsid w:val="00B92E1A"/>
    <w:rsid w:val="00B93830"/>
    <w:rsid w:val="00B97359"/>
    <w:rsid w:val="00B97A8F"/>
    <w:rsid w:val="00BA4E58"/>
    <w:rsid w:val="00BA5ADC"/>
    <w:rsid w:val="00BA6712"/>
    <w:rsid w:val="00BA7074"/>
    <w:rsid w:val="00BB2441"/>
    <w:rsid w:val="00BB2A57"/>
    <w:rsid w:val="00BB3D20"/>
    <w:rsid w:val="00BB5EBA"/>
    <w:rsid w:val="00BB6886"/>
    <w:rsid w:val="00BB7829"/>
    <w:rsid w:val="00BD1457"/>
    <w:rsid w:val="00BD3825"/>
    <w:rsid w:val="00BD4C51"/>
    <w:rsid w:val="00BD7B74"/>
    <w:rsid w:val="00BE2AD9"/>
    <w:rsid w:val="00BE34B2"/>
    <w:rsid w:val="00BE42D2"/>
    <w:rsid w:val="00BE76FE"/>
    <w:rsid w:val="00BF091F"/>
    <w:rsid w:val="00BF0A7E"/>
    <w:rsid w:val="00BF1A50"/>
    <w:rsid w:val="00BF27FE"/>
    <w:rsid w:val="00BF4526"/>
    <w:rsid w:val="00BF5499"/>
    <w:rsid w:val="00C02E72"/>
    <w:rsid w:val="00C043B3"/>
    <w:rsid w:val="00C06E52"/>
    <w:rsid w:val="00C079AB"/>
    <w:rsid w:val="00C10E61"/>
    <w:rsid w:val="00C14787"/>
    <w:rsid w:val="00C1596D"/>
    <w:rsid w:val="00C15B8D"/>
    <w:rsid w:val="00C16D07"/>
    <w:rsid w:val="00C17010"/>
    <w:rsid w:val="00C20562"/>
    <w:rsid w:val="00C215C3"/>
    <w:rsid w:val="00C23A96"/>
    <w:rsid w:val="00C249C6"/>
    <w:rsid w:val="00C279C2"/>
    <w:rsid w:val="00C32CC1"/>
    <w:rsid w:val="00C35D86"/>
    <w:rsid w:val="00C426EC"/>
    <w:rsid w:val="00C45159"/>
    <w:rsid w:val="00C455BC"/>
    <w:rsid w:val="00C5340E"/>
    <w:rsid w:val="00C53B86"/>
    <w:rsid w:val="00C5416E"/>
    <w:rsid w:val="00C57EAC"/>
    <w:rsid w:val="00C63164"/>
    <w:rsid w:val="00C6483C"/>
    <w:rsid w:val="00C64AE9"/>
    <w:rsid w:val="00C65103"/>
    <w:rsid w:val="00C70CFF"/>
    <w:rsid w:val="00C718FE"/>
    <w:rsid w:val="00C762CA"/>
    <w:rsid w:val="00C8773D"/>
    <w:rsid w:val="00C87ABB"/>
    <w:rsid w:val="00C91831"/>
    <w:rsid w:val="00C92FE3"/>
    <w:rsid w:val="00C944B2"/>
    <w:rsid w:val="00C953DF"/>
    <w:rsid w:val="00CA2905"/>
    <w:rsid w:val="00CA3E6E"/>
    <w:rsid w:val="00CA58F5"/>
    <w:rsid w:val="00CA7B44"/>
    <w:rsid w:val="00CB0247"/>
    <w:rsid w:val="00CB03DD"/>
    <w:rsid w:val="00CB16E5"/>
    <w:rsid w:val="00CB1765"/>
    <w:rsid w:val="00CC037F"/>
    <w:rsid w:val="00CC2BA7"/>
    <w:rsid w:val="00CC4600"/>
    <w:rsid w:val="00CD48E3"/>
    <w:rsid w:val="00CE1DB2"/>
    <w:rsid w:val="00CE2709"/>
    <w:rsid w:val="00CE2D64"/>
    <w:rsid w:val="00CE6198"/>
    <w:rsid w:val="00CF125C"/>
    <w:rsid w:val="00CF15DB"/>
    <w:rsid w:val="00CF2DAE"/>
    <w:rsid w:val="00CF5AC0"/>
    <w:rsid w:val="00CF6230"/>
    <w:rsid w:val="00D017FC"/>
    <w:rsid w:val="00D0226A"/>
    <w:rsid w:val="00D02B13"/>
    <w:rsid w:val="00D04D1E"/>
    <w:rsid w:val="00D05A28"/>
    <w:rsid w:val="00D07C1D"/>
    <w:rsid w:val="00D10B96"/>
    <w:rsid w:val="00D1256B"/>
    <w:rsid w:val="00D13147"/>
    <w:rsid w:val="00D31481"/>
    <w:rsid w:val="00D328B8"/>
    <w:rsid w:val="00D43E0E"/>
    <w:rsid w:val="00D44DF1"/>
    <w:rsid w:val="00D5046B"/>
    <w:rsid w:val="00D5715A"/>
    <w:rsid w:val="00D611D4"/>
    <w:rsid w:val="00D625AD"/>
    <w:rsid w:val="00D6697A"/>
    <w:rsid w:val="00D70966"/>
    <w:rsid w:val="00D71687"/>
    <w:rsid w:val="00D727EA"/>
    <w:rsid w:val="00D74813"/>
    <w:rsid w:val="00D76BC7"/>
    <w:rsid w:val="00D80D43"/>
    <w:rsid w:val="00D83036"/>
    <w:rsid w:val="00D92104"/>
    <w:rsid w:val="00D935B5"/>
    <w:rsid w:val="00D95CB8"/>
    <w:rsid w:val="00DA0B6A"/>
    <w:rsid w:val="00DA30BC"/>
    <w:rsid w:val="00DA69C2"/>
    <w:rsid w:val="00DA6D70"/>
    <w:rsid w:val="00DB6050"/>
    <w:rsid w:val="00DB69B3"/>
    <w:rsid w:val="00DC2C34"/>
    <w:rsid w:val="00DC4909"/>
    <w:rsid w:val="00DD264B"/>
    <w:rsid w:val="00DD3C67"/>
    <w:rsid w:val="00DD4998"/>
    <w:rsid w:val="00DE0692"/>
    <w:rsid w:val="00DE2832"/>
    <w:rsid w:val="00DE2C87"/>
    <w:rsid w:val="00DE33AD"/>
    <w:rsid w:val="00DE459A"/>
    <w:rsid w:val="00DE4AF3"/>
    <w:rsid w:val="00DE4DCF"/>
    <w:rsid w:val="00DE7660"/>
    <w:rsid w:val="00DF234B"/>
    <w:rsid w:val="00DF27DA"/>
    <w:rsid w:val="00DF4DBE"/>
    <w:rsid w:val="00E01077"/>
    <w:rsid w:val="00E03ADB"/>
    <w:rsid w:val="00E043AB"/>
    <w:rsid w:val="00E06D48"/>
    <w:rsid w:val="00E077A0"/>
    <w:rsid w:val="00E12DBC"/>
    <w:rsid w:val="00E13226"/>
    <w:rsid w:val="00E14402"/>
    <w:rsid w:val="00E149E9"/>
    <w:rsid w:val="00E20B32"/>
    <w:rsid w:val="00E221DC"/>
    <w:rsid w:val="00E24CE1"/>
    <w:rsid w:val="00E25644"/>
    <w:rsid w:val="00E31C43"/>
    <w:rsid w:val="00E3361A"/>
    <w:rsid w:val="00E33C1C"/>
    <w:rsid w:val="00E34607"/>
    <w:rsid w:val="00E36C4C"/>
    <w:rsid w:val="00E4068B"/>
    <w:rsid w:val="00E40820"/>
    <w:rsid w:val="00E40E8A"/>
    <w:rsid w:val="00E414A9"/>
    <w:rsid w:val="00E4658F"/>
    <w:rsid w:val="00E52D43"/>
    <w:rsid w:val="00E54710"/>
    <w:rsid w:val="00E54A67"/>
    <w:rsid w:val="00E57DB9"/>
    <w:rsid w:val="00E6051C"/>
    <w:rsid w:val="00E61C0D"/>
    <w:rsid w:val="00E63EB4"/>
    <w:rsid w:val="00E64912"/>
    <w:rsid w:val="00E65D90"/>
    <w:rsid w:val="00E66160"/>
    <w:rsid w:val="00E67022"/>
    <w:rsid w:val="00E71329"/>
    <w:rsid w:val="00E770E0"/>
    <w:rsid w:val="00E82133"/>
    <w:rsid w:val="00E8363B"/>
    <w:rsid w:val="00E84966"/>
    <w:rsid w:val="00E86E79"/>
    <w:rsid w:val="00E90780"/>
    <w:rsid w:val="00E92162"/>
    <w:rsid w:val="00E92383"/>
    <w:rsid w:val="00E9489D"/>
    <w:rsid w:val="00EA01BD"/>
    <w:rsid w:val="00EA1605"/>
    <w:rsid w:val="00EA1A19"/>
    <w:rsid w:val="00EA1B3A"/>
    <w:rsid w:val="00EA2109"/>
    <w:rsid w:val="00EA727D"/>
    <w:rsid w:val="00EA7B72"/>
    <w:rsid w:val="00EB7D67"/>
    <w:rsid w:val="00EC34B2"/>
    <w:rsid w:val="00EC4C4B"/>
    <w:rsid w:val="00EC56CA"/>
    <w:rsid w:val="00EC5E46"/>
    <w:rsid w:val="00ED08EF"/>
    <w:rsid w:val="00ED4D4E"/>
    <w:rsid w:val="00ED505E"/>
    <w:rsid w:val="00ED6B93"/>
    <w:rsid w:val="00ED6F53"/>
    <w:rsid w:val="00EE0C77"/>
    <w:rsid w:val="00EE4E54"/>
    <w:rsid w:val="00EF5D57"/>
    <w:rsid w:val="00F03A05"/>
    <w:rsid w:val="00F10116"/>
    <w:rsid w:val="00F133F5"/>
    <w:rsid w:val="00F32091"/>
    <w:rsid w:val="00F3284E"/>
    <w:rsid w:val="00F33618"/>
    <w:rsid w:val="00F353C3"/>
    <w:rsid w:val="00F37740"/>
    <w:rsid w:val="00F4216A"/>
    <w:rsid w:val="00F436BB"/>
    <w:rsid w:val="00F44BEF"/>
    <w:rsid w:val="00F46B2E"/>
    <w:rsid w:val="00F47145"/>
    <w:rsid w:val="00F51764"/>
    <w:rsid w:val="00F545BF"/>
    <w:rsid w:val="00F56152"/>
    <w:rsid w:val="00F56687"/>
    <w:rsid w:val="00F573AF"/>
    <w:rsid w:val="00F57645"/>
    <w:rsid w:val="00F60D5D"/>
    <w:rsid w:val="00F61B86"/>
    <w:rsid w:val="00F636EB"/>
    <w:rsid w:val="00F63AA5"/>
    <w:rsid w:val="00F66C8C"/>
    <w:rsid w:val="00F71B56"/>
    <w:rsid w:val="00F73049"/>
    <w:rsid w:val="00F731AE"/>
    <w:rsid w:val="00F74DF3"/>
    <w:rsid w:val="00F7687C"/>
    <w:rsid w:val="00F8326A"/>
    <w:rsid w:val="00F832C8"/>
    <w:rsid w:val="00F84CF8"/>
    <w:rsid w:val="00F86187"/>
    <w:rsid w:val="00F86A7E"/>
    <w:rsid w:val="00F873B3"/>
    <w:rsid w:val="00F92174"/>
    <w:rsid w:val="00FA2AE9"/>
    <w:rsid w:val="00FA42B9"/>
    <w:rsid w:val="00FA4BE9"/>
    <w:rsid w:val="00FA5112"/>
    <w:rsid w:val="00FA5304"/>
    <w:rsid w:val="00FA755A"/>
    <w:rsid w:val="00FA7F38"/>
    <w:rsid w:val="00FB2B0F"/>
    <w:rsid w:val="00FB3F53"/>
    <w:rsid w:val="00FB4F6B"/>
    <w:rsid w:val="00FB5FE1"/>
    <w:rsid w:val="00FB6333"/>
    <w:rsid w:val="00FC0E8D"/>
    <w:rsid w:val="00FC298C"/>
    <w:rsid w:val="00FC46EF"/>
    <w:rsid w:val="00FD144B"/>
    <w:rsid w:val="00FD31B3"/>
    <w:rsid w:val="00FD418B"/>
    <w:rsid w:val="00FD4204"/>
    <w:rsid w:val="00FD5508"/>
    <w:rsid w:val="00FE1419"/>
    <w:rsid w:val="00FE5196"/>
    <w:rsid w:val="00FF09EE"/>
    <w:rsid w:val="00FF2C97"/>
    <w:rsid w:val="00FF3CCB"/>
    <w:rsid w:val="00FF57B5"/>
    <w:rsid w:val="00FF78EC"/>
    <w:rsid w:val="3B095840"/>
    <w:rsid w:val="666C9E0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2"/>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paragraph" w:styleId="Revision">
    <w:name w:val="Revision"/>
    <w:hidden/>
    <w:uiPriority w:val="99"/>
    <w:semiHidden/>
    <w:rsid w:val="00545E40"/>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496582"/>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496582"/>
    <w:rPr>
      <w:rFonts w:ascii="Arial" w:eastAsiaTheme="minorHAnsi" w:hAnsi="Arial" w:cstheme="minorBidi"/>
      <w:b/>
      <w:bCs/>
      <w:lang w:eastAsia="en-US" w:bidi="he-IL"/>
    </w:rPr>
  </w:style>
  <w:style w:type="character" w:customStyle="1" w:styleId="cf01">
    <w:name w:val="cf01"/>
    <w:basedOn w:val="DefaultParagraphFont"/>
    <w:rsid w:val="00225BF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1988">
      <w:bodyDiv w:val="1"/>
      <w:marLeft w:val="0"/>
      <w:marRight w:val="0"/>
      <w:marTop w:val="0"/>
      <w:marBottom w:val="0"/>
      <w:divBdr>
        <w:top w:val="none" w:sz="0" w:space="0" w:color="auto"/>
        <w:left w:val="none" w:sz="0" w:space="0" w:color="auto"/>
        <w:bottom w:val="none" w:sz="0" w:space="0" w:color="auto"/>
        <w:right w:val="none" w:sz="0" w:space="0" w:color="auto"/>
      </w:divBdr>
    </w:div>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7484014">
      <w:bodyDiv w:val="1"/>
      <w:marLeft w:val="0"/>
      <w:marRight w:val="0"/>
      <w:marTop w:val="0"/>
      <w:marBottom w:val="0"/>
      <w:divBdr>
        <w:top w:val="none" w:sz="0" w:space="0" w:color="auto"/>
        <w:left w:val="none" w:sz="0" w:space="0" w:color="auto"/>
        <w:bottom w:val="none" w:sz="0" w:space="0" w:color="auto"/>
        <w:right w:val="none" w:sz="0" w:space="0" w:color="auto"/>
      </w:divBdr>
    </w:div>
    <w:div w:id="11036297">
      <w:bodyDiv w:val="1"/>
      <w:marLeft w:val="0"/>
      <w:marRight w:val="0"/>
      <w:marTop w:val="0"/>
      <w:marBottom w:val="0"/>
      <w:divBdr>
        <w:top w:val="none" w:sz="0" w:space="0" w:color="auto"/>
        <w:left w:val="none" w:sz="0" w:space="0" w:color="auto"/>
        <w:bottom w:val="none" w:sz="0" w:space="0" w:color="auto"/>
        <w:right w:val="none" w:sz="0" w:space="0" w:color="auto"/>
      </w:divBdr>
    </w:div>
    <w:div w:id="17199419">
      <w:bodyDiv w:val="1"/>
      <w:marLeft w:val="0"/>
      <w:marRight w:val="0"/>
      <w:marTop w:val="0"/>
      <w:marBottom w:val="0"/>
      <w:divBdr>
        <w:top w:val="none" w:sz="0" w:space="0" w:color="auto"/>
        <w:left w:val="none" w:sz="0" w:space="0" w:color="auto"/>
        <w:bottom w:val="none" w:sz="0" w:space="0" w:color="auto"/>
        <w:right w:val="none" w:sz="0" w:space="0" w:color="auto"/>
      </w:divBdr>
    </w:div>
    <w:div w:id="34474668">
      <w:bodyDiv w:val="1"/>
      <w:marLeft w:val="0"/>
      <w:marRight w:val="0"/>
      <w:marTop w:val="0"/>
      <w:marBottom w:val="0"/>
      <w:divBdr>
        <w:top w:val="none" w:sz="0" w:space="0" w:color="auto"/>
        <w:left w:val="none" w:sz="0" w:space="0" w:color="auto"/>
        <w:bottom w:val="none" w:sz="0" w:space="0" w:color="auto"/>
        <w:right w:val="none" w:sz="0" w:space="0" w:color="auto"/>
      </w:divBdr>
    </w:div>
    <w:div w:id="42214214">
      <w:bodyDiv w:val="1"/>
      <w:marLeft w:val="0"/>
      <w:marRight w:val="0"/>
      <w:marTop w:val="0"/>
      <w:marBottom w:val="0"/>
      <w:divBdr>
        <w:top w:val="none" w:sz="0" w:space="0" w:color="auto"/>
        <w:left w:val="none" w:sz="0" w:space="0" w:color="auto"/>
        <w:bottom w:val="none" w:sz="0" w:space="0" w:color="auto"/>
        <w:right w:val="none" w:sz="0" w:space="0" w:color="auto"/>
      </w:divBdr>
    </w:div>
    <w:div w:id="43065142">
      <w:bodyDiv w:val="1"/>
      <w:marLeft w:val="0"/>
      <w:marRight w:val="0"/>
      <w:marTop w:val="0"/>
      <w:marBottom w:val="0"/>
      <w:divBdr>
        <w:top w:val="none" w:sz="0" w:space="0" w:color="auto"/>
        <w:left w:val="none" w:sz="0" w:space="0" w:color="auto"/>
        <w:bottom w:val="none" w:sz="0" w:space="0" w:color="auto"/>
        <w:right w:val="none" w:sz="0" w:space="0" w:color="auto"/>
      </w:divBdr>
    </w:div>
    <w:div w:id="63338478">
      <w:bodyDiv w:val="1"/>
      <w:marLeft w:val="0"/>
      <w:marRight w:val="0"/>
      <w:marTop w:val="0"/>
      <w:marBottom w:val="0"/>
      <w:divBdr>
        <w:top w:val="none" w:sz="0" w:space="0" w:color="auto"/>
        <w:left w:val="none" w:sz="0" w:space="0" w:color="auto"/>
        <w:bottom w:val="none" w:sz="0" w:space="0" w:color="auto"/>
        <w:right w:val="none" w:sz="0" w:space="0" w:color="auto"/>
      </w:divBdr>
    </w:div>
    <w:div w:id="65417705">
      <w:bodyDiv w:val="1"/>
      <w:marLeft w:val="0"/>
      <w:marRight w:val="0"/>
      <w:marTop w:val="0"/>
      <w:marBottom w:val="0"/>
      <w:divBdr>
        <w:top w:val="none" w:sz="0" w:space="0" w:color="auto"/>
        <w:left w:val="none" w:sz="0" w:space="0" w:color="auto"/>
        <w:bottom w:val="none" w:sz="0" w:space="0" w:color="auto"/>
        <w:right w:val="none" w:sz="0" w:space="0" w:color="auto"/>
      </w:divBdr>
    </w:div>
    <w:div w:id="72090977">
      <w:bodyDiv w:val="1"/>
      <w:marLeft w:val="0"/>
      <w:marRight w:val="0"/>
      <w:marTop w:val="0"/>
      <w:marBottom w:val="0"/>
      <w:divBdr>
        <w:top w:val="none" w:sz="0" w:space="0" w:color="auto"/>
        <w:left w:val="none" w:sz="0" w:space="0" w:color="auto"/>
        <w:bottom w:val="none" w:sz="0" w:space="0" w:color="auto"/>
        <w:right w:val="none" w:sz="0" w:space="0" w:color="auto"/>
      </w:divBdr>
    </w:div>
    <w:div w:id="86972050">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2265291">
      <w:bodyDiv w:val="1"/>
      <w:marLeft w:val="0"/>
      <w:marRight w:val="0"/>
      <w:marTop w:val="0"/>
      <w:marBottom w:val="0"/>
      <w:divBdr>
        <w:top w:val="none" w:sz="0" w:space="0" w:color="auto"/>
        <w:left w:val="none" w:sz="0" w:space="0" w:color="auto"/>
        <w:bottom w:val="none" w:sz="0" w:space="0" w:color="auto"/>
        <w:right w:val="none" w:sz="0" w:space="0" w:color="auto"/>
      </w:divBdr>
    </w:div>
    <w:div w:id="106855042">
      <w:bodyDiv w:val="1"/>
      <w:marLeft w:val="0"/>
      <w:marRight w:val="0"/>
      <w:marTop w:val="0"/>
      <w:marBottom w:val="0"/>
      <w:divBdr>
        <w:top w:val="none" w:sz="0" w:space="0" w:color="auto"/>
        <w:left w:val="none" w:sz="0" w:space="0" w:color="auto"/>
        <w:bottom w:val="none" w:sz="0" w:space="0" w:color="auto"/>
        <w:right w:val="none" w:sz="0" w:space="0" w:color="auto"/>
      </w:divBdr>
    </w:div>
    <w:div w:id="107435108">
      <w:bodyDiv w:val="1"/>
      <w:marLeft w:val="0"/>
      <w:marRight w:val="0"/>
      <w:marTop w:val="0"/>
      <w:marBottom w:val="0"/>
      <w:divBdr>
        <w:top w:val="none" w:sz="0" w:space="0" w:color="auto"/>
        <w:left w:val="none" w:sz="0" w:space="0" w:color="auto"/>
        <w:bottom w:val="none" w:sz="0" w:space="0" w:color="auto"/>
        <w:right w:val="none" w:sz="0" w:space="0" w:color="auto"/>
      </w:divBdr>
    </w:div>
    <w:div w:id="111750347">
      <w:bodyDiv w:val="1"/>
      <w:marLeft w:val="0"/>
      <w:marRight w:val="0"/>
      <w:marTop w:val="0"/>
      <w:marBottom w:val="0"/>
      <w:divBdr>
        <w:top w:val="none" w:sz="0" w:space="0" w:color="auto"/>
        <w:left w:val="none" w:sz="0" w:space="0" w:color="auto"/>
        <w:bottom w:val="none" w:sz="0" w:space="0" w:color="auto"/>
        <w:right w:val="none" w:sz="0" w:space="0" w:color="auto"/>
      </w:divBdr>
    </w:div>
    <w:div w:id="115760612">
      <w:bodyDiv w:val="1"/>
      <w:marLeft w:val="0"/>
      <w:marRight w:val="0"/>
      <w:marTop w:val="0"/>
      <w:marBottom w:val="0"/>
      <w:divBdr>
        <w:top w:val="none" w:sz="0" w:space="0" w:color="auto"/>
        <w:left w:val="none" w:sz="0" w:space="0" w:color="auto"/>
        <w:bottom w:val="none" w:sz="0" w:space="0" w:color="auto"/>
        <w:right w:val="none" w:sz="0" w:space="0" w:color="auto"/>
      </w:divBdr>
    </w:div>
    <w:div w:id="118649132">
      <w:bodyDiv w:val="1"/>
      <w:marLeft w:val="0"/>
      <w:marRight w:val="0"/>
      <w:marTop w:val="0"/>
      <w:marBottom w:val="0"/>
      <w:divBdr>
        <w:top w:val="none" w:sz="0" w:space="0" w:color="auto"/>
        <w:left w:val="none" w:sz="0" w:space="0" w:color="auto"/>
        <w:bottom w:val="none" w:sz="0" w:space="0" w:color="auto"/>
        <w:right w:val="none" w:sz="0" w:space="0" w:color="auto"/>
      </w:divBdr>
    </w:div>
    <w:div w:id="123431473">
      <w:bodyDiv w:val="1"/>
      <w:marLeft w:val="0"/>
      <w:marRight w:val="0"/>
      <w:marTop w:val="0"/>
      <w:marBottom w:val="0"/>
      <w:divBdr>
        <w:top w:val="none" w:sz="0" w:space="0" w:color="auto"/>
        <w:left w:val="none" w:sz="0" w:space="0" w:color="auto"/>
        <w:bottom w:val="none" w:sz="0" w:space="0" w:color="auto"/>
        <w:right w:val="none" w:sz="0" w:space="0" w:color="auto"/>
      </w:divBdr>
    </w:div>
    <w:div w:id="124661198">
      <w:bodyDiv w:val="1"/>
      <w:marLeft w:val="0"/>
      <w:marRight w:val="0"/>
      <w:marTop w:val="0"/>
      <w:marBottom w:val="0"/>
      <w:divBdr>
        <w:top w:val="none" w:sz="0" w:space="0" w:color="auto"/>
        <w:left w:val="none" w:sz="0" w:space="0" w:color="auto"/>
        <w:bottom w:val="none" w:sz="0" w:space="0" w:color="auto"/>
        <w:right w:val="none" w:sz="0" w:space="0" w:color="auto"/>
      </w:divBdr>
    </w:div>
    <w:div w:id="127284122">
      <w:bodyDiv w:val="1"/>
      <w:marLeft w:val="0"/>
      <w:marRight w:val="0"/>
      <w:marTop w:val="0"/>
      <w:marBottom w:val="0"/>
      <w:divBdr>
        <w:top w:val="none" w:sz="0" w:space="0" w:color="auto"/>
        <w:left w:val="none" w:sz="0" w:space="0" w:color="auto"/>
        <w:bottom w:val="none" w:sz="0" w:space="0" w:color="auto"/>
        <w:right w:val="none" w:sz="0" w:space="0" w:color="auto"/>
      </w:divBdr>
    </w:div>
    <w:div w:id="128016311">
      <w:bodyDiv w:val="1"/>
      <w:marLeft w:val="0"/>
      <w:marRight w:val="0"/>
      <w:marTop w:val="0"/>
      <w:marBottom w:val="0"/>
      <w:divBdr>
        <w:top w:val="none" w:sz="0" w:space="0" w:color="auto"/>
        <w:left w:val="none" w:sz="0" w:space="0" w:color="auto"/>
        <w:bottom w:val="none" w:sz="0" w:space="0" w:color="auto"/>
        <w:right w:val="none" w:sz="0" w:space="0" w:color="auto"/>
      </w:divBdr>
    </w:div>
    <w:div w:id="133911260">
      <w:bodyDiv w:val="1"/>
      <w:marLeft w:val="0"/>
      <w:marRight w:val="0"/>
      <w:marTop w:val="0"/>
      <w:marBottom w:val="0"/>
      <w:divBdr>
        <w:top w:val="none" w:sz="0" w:space="0" w:color="auto"/>
        <w:left w:val="none" w:sz="0" w:space="0" w:color="auto"/>
        <w:bottom w:val="none" w:sz="0" w:space="0" w:color="auto"/>
        <w:right w:val="none" w:sz="0" w:space="0" w:color="auto"/>
      </w:divBdr>
    </w:div>
    <w:div w:id="149031064">
      <w:bodyDiv w:val="1"/>
      <w:marLeft w:val="0"/>
      <w:marRight w:val="0"/>
      <w:marTop w:val="0"/>
      <w:marBottom w:val="0"/>
      <w:divBdr>
        <w:top w:val="none" w:sz="0" w:space="0" w:color="auto"/>
        <w:left w:val="none" w:sz="0" w:space="0" w:color="auto"/>
        <w:bottom w:val="none" w:sz="0" w:space="0" w:color="auto"/>
        <w:right w:val="none" w:sz="0" w:space="0" w:color="auto"/>
      </w:divBdr>
    </w:div>
    <w:div w:id="151921115">
      <w:bodyDiv w:val="1"/>
      <w:marLeft w:val="0"/>
      <w:marRight w:val="0"/>
      <w:marTop w:val="0"/>
      <w:marBottom w:val="0"/>
      <w:divBdr>
        <w:top w:val="none" w:sz="0" w:space="0" w:color="auto"/>
        <w:left w:val="none" w:sz="0" w:space="0" w:color="auto"/>
        <w:bottom w:val="none" w:sz="0" w:space="0" w:color="auto"/>
        <w:right w:val="none" w:sz="0" w:space="0" w:color="auto"/>
      </w:divBdr>
    </w:div>
    <w:div w:id="159077352">
      <w:bodyDiv w:val="1"/>
      <w:marLeft w:val="0"/>
      <w:marRight w:val="0"/>
      <w:marTop w:val="0"/>
      <w:marBottom w:val="0"/>
      <w:divBdr>
        <w:top w:val="none" w:sz="0" w:space="0" w:color="auto"/>
        <w:left w:val="none" w:sz="0" w:space="0" w:color="auto"/>
        <w:bottom w:val="none" w:sz="0" w:space="0" w:color="auto"/>
        <w:right w:val="none" w:sz="0" w:space="0" w:color="auto"/>
      </w:divBdr>
    </w:div>
    <w:div w:id="160974765">
      <w:bodyDiv w:val="1"/>
      <w:marLeft w:val="0"/>
      <w:marRight w:val="0"/>
      <w:marTop w:val="0"/>
      <w:marBottom w:val="0"/>
      <w:divBdr>
        <w:top w:val="none" w:sz="0" w:space="0" w:color="auto"/>
        <w:left w:val="none" w:sz="0" w:space="0" w:color="auto"/>
        <w:bottom w:val="none" w:sz="0" w:space="0" w:color="auto"/>
        <w:right w:val="none" w:sz="0" w:space="0" w:color="auto"/>
      </w:divBdr>
    </w:div>
    <w:div w:id="162740840">
      <w:bodyDiv w:val="1"/>
      <w:marLeft w:val="0"/>
      <w:marRight w:val="0"/>
      <w:marTop w:val="0"/>
      <w:marBottom w:val="0"/>
      <w:divBdr>
        <w:top w:val="none" w:sz="0" w:space="0" w:color="auto"/>
        <w:left w:val="none" w:sz="0" w:space="0" w:color="auto"/>
        <w:bottom w:val="none" w:sz="0" w:space="0" w:color="auto"/>
        <w:right w:val="none" w:sz="0" w:space="0" w:color="auto"/>
      </w:divBdr>
    </w:div>
    <w:div w:id="167058213">
      <w:bodyDiv w:val="1"/>
      <w:marLeft w:val="0"/>
      <w:marRight w:val="0"/>
      <w:marTop w:val="0"/>
      <w:marBottom w:val="0"/>
      <w:divBdr>
        <w:top w:val="none" w:sz="0" w:space="0" w:color="auto"/>
        <w:left w:val="none" w:sz="0" w:space="0" w:color="auto"/>
        <w:bottom w:val="none" w:sz="0" w:space="0" w:color="auto"/>
        <w:right w:val="none" w:sz="0" w:space="0" w:color="auto"/>
      </w:divBdr>
    </w:div>
    <w:div w:id="168839329">
      <w:bodyDiv w:val="1"/>
      <w:marLeft w:val="0"/>
      <w:marRight w:val="0"/>
      <w:marTop w:val="0"/>
      <w:marBottom w:val="0"/>
      <w:divBdr>
        <w:top w:val="none" w:sz="0" w:space="0" w:color="auto"/>
        <w:left w:val="none" w:sz="0" w:space="0" w:color="auto"/>
        <w:bottom w:val="none" w:sz="0" w:space="0" w:color="auto"/>
        <w:right w:val="none" w:sz="0" w:space="0" w:color="auto"/>
      </w:divBdr>
    </w:div>
    <w:div w:id="173611066">
      <w:bodyDiv w:val="1"/>
      <w:marLeft w:val="0"/>
      <w:marRight w:val="0"/>
      <w:marTop w:val="0"/>
      <w:marBottom w:val="0"/>
      <w:divBdr>
        <w:top w:val="none" w:sz="0" w:space="0" w:color="auto"/>
        <w:left w:val="none" w:sz="0" w:space="0" w:color="auto"/>
        <w:bottom w:val="none" w:sz="0" w:space="0" w:color="auto"/>
        <w:right w:val="none" w:sz="0" w:space="0" w:color="auto"/>
      </w:divBdr>
    </w:div>
    <w:div w:id="178279287">
      <w:bodyDiv w:val="1"/>
      <w:marLeft w:val="0"/>
      <w:marRight w:val="0"/>
      <w:marTop w:val="0"/>
      <w:marBottom w:val="0"/>
      <w:divBdr>
        <w:top w:val="none" w:sz="0" w:space="0" w:color="auto"/>
        <w:left w:val="none" w:sz="0" w:space="0" w:color="auto"/>
        <w:bottom w:val="none" w:sz="0" w:space="0" w:color="auto"/>
        <w:right w:val="none" w:sz="0" w:space="0" w:color="auto"/>
      </w:divBdr>
    </w:div>
    <w:div w:id="182018175">
      <w:bodyDiv w:val="1"/>
      <w:marLeft w:val="0"/>
      <w:marRight w:val="0"/>
      <w:marTop w:val="0"/>
      <w:marBottom w:val="0"/>
      <w:divBdr>
        <w:top w:val="none" w:sz="0" w:space="0" w:color="auto"/>
        <w:left w:val="none" w:sz="0" w:space="0" w:color="auto"/>
        <w:bottom w:val="none" w:sz="0" w:space="0" w:color="auto"/>
        <w:right w:val="none" w:sz="0" w:space="0" w:color="auto"/>
      </w:divBdr>
    </w:div>
    <w:div w:id="188496363">
      <w:bodyDiv w:val="1"/>
      <w:marLeft w:val="0"/>
      <w:marRight w:val="0"/>
      <w:marTop w:val="0"/>
      <w:marBottom w:val="0"/>
      <w:divBdr>
        <w:top w:val="none" w:sz="0" w:space="0" w:color="auto"/>
        <w:left w:val="none" w:sz="0" w:space="0" w:color="auto"/>
        <w:bottom w:val="none" w:sz="0" w:space="0" w:color="auto"/>
        <w:right w:val="none" w:sz="0" w:space="0" w:color="auto"/>
      </w:divBdr>
    </w:div>
    <w:div w:id="193155559">
      <w:bodyDiv w:val="1"/>
      <w:marLeft w:val="0"/>
      <w:marRight w:val="0"/>
      <w:marTop w:val="0"/>
      <w:marBottom w:val="0"/>
      <w:divBdr>
        <w:top w:val="none" w:sz="0" w:space="0" w:color="auto"/>
        <w:left w:val="none" w:sz="0" w:space="0" w:color="auto"/>
        <w:bottom w:val="none" w:sz="0" w:space="0" w:color="auto"/>
        <w:right w:val="none" w:sz="0" w:space="0" w:color="auto"/>
      </w:divBdr>
    </w:div>
    <w:div w:id="19519762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3056557">
      <w:bodyDiv w:val="1"/>
      <w:marLeft w:val="0"/>
      <w:marRight w:val="0"/>
      <w:marTop w:val="0"/>
      <w:marBottom w:val="0"/>
      <w:divBdr>
        <w:top w:val="none" w:sz="0" w:space="0" w:color="auto"/>
        <w:left w:val="none" w:sz="0" w:space="0" w:color="auto"/>
        <w:bottom w:val="none" w:sz="0" w:space="0" w:color="auto"/>
        <w:right w:val="none" w:sz="0" w:space="0" w:color="auto"/>
      </w:divBdr>
    </w:div>
    <w:div w:id="204761836">
      <w:bodyDiv w:val="1"/>
      <w:marLeft w:val="0"/>
      <w:marRight w:val="0"/>
      <w:marTop w:val="0"/>
      <w:marBottom w:val="0"/>
      <w:divBdr>
        <w:top w:val="none" w:sz="0" w:space="0" w:color="auto"/>
        <w:left w:val="none" w:sz="0" w:space="0" w:color="auto"/>
        <w:bottom w:val="none" w:sz="0" w:space="0" w:color="auto"/>
        <w:right w:val="none" w:sz="0" w:space="0" w:color="auto"/>
      </w:divBdr>
    </w:div>
    <w:div w:id="205145732">
      <w:bodyDiv w:val="1"/>
      <w:marLeft w:val="0"/>
      <w:marRight w:val="0"/>
      <w:marTop w:val="0"/>
      <w:marBottom w:val="0"/>
      <w:divBdr>
        <w:top w:val="none" w:sz="0" w:space="0" w:color="auto"/>
        <w:left w:val="none" w:sz="0" w:space="0" w:color="auto"/>
        <w:bottom w:val="none" w:sz="0" w:space="0" w:color="auto"/>
        <w:right w:val="none" w:sz="0" w:space="0" w:color="auto"/>
      </w:divBdr>
    </w:div>
    <w:div w:id="212011857">
      <w:bodyDiv w:val="1"/>
      <w:marLeft w:val="0"/>
      <w:marRight w:val="0"/>
      <w:marTop w:val="0"/>
      <w:marBottom w:val="0"/>
      <w:divBdr>
        <w:top w:val="none" w:sz="0" w:space="0" w:color="auto"/>
        <w:left w:val="none" w:sz="0" w:space="0" w:color="auto"/>
        <w:bottom w:val="none" w:sz="0" w:space="0" w:color="auto"/>
        <w:right w:val="none" w:sz="0" w:space="0" w:color="auto"/>
      </w:divBdr>
    </w:div>
    <w:div w:id="218174614">
      <w:bodyDiv w:val="1"/>
      <w:marLeft w:val="0"/>
      <w:marRight w:val="0"/>
      <w:marTop w:val="0"/>
      <w:marBottom w:val="0"/>
      <w:divBdr>
        <w:top w:val="none" w:sz="0" w:space="0" w:color="auto"/>
        <w:left w:val="none" w:sz="0" w:space="0" w:color="auto"/>
        <w:bottom w:val="none" w:sz="0" w:space="0" w:color="auto"/>
        <w:right w:val="none" w:sz="0" w:space="0" w:color="auto"/>
      </w:divBdr>
    </w:div>
    <w:div w:id="221260632">
      <w:bodyDiv w:val="1"/>
      <w:marLeft w:val="0"/>
      <w:marRight w:val="0"/>
      <w:marTop w:val="0"/>
      <w:marBottom w:val="0"/>
      <w:divBdr>
        <w:top w:val="none" w:sz="0" w:space="0" w:color="auto"/>
        <w:left w:val="none" w:sz="0" w:space="0" w:color="auto"/>
        <w:bottom w:val="none" w:sz="0" w:space="0" w:color="auto"/>
        <w:right w:val="none" w:sz="0" w:space="0" w:color="auto"/>
      </w:divBdr>
    </w:div>
    <w:div w:id="232545852">
      <w:bodyDiv w:val="1"/>
      <w:marLeft w:val="0"/>
      <w:marRight w:val="0"/>
      <w:marTop w:val="0"/>
      <w:marBottom w:val="0"/>
      <w:divBdr>
        <w:top w:val="none" w:sz="0" w:space="0" w:color="auto"/>
        <w:left w:val="none" w:sz="0" w:space="0" w:color="auto"/>
        <w:bottom w:val="none" w:sz="0" w:space="0" w:color="auto"/>
        <w:right w:val="none" w:sz="0" w:space="0" w:color="auto"/>
      </w:divBdr>
    </w:div>
    <w:div w:id="242179303">
      <w:bodyDiv w:val="1"/>
      <w:marLeft w:val="0"/>
      <w:marRight w:val="0"/>
      <w:marTop w:val="0"/>
      <w:marBottom w:val="0"/>
      <w:divBdr>
        <w:top w:val="none" w:sz="0" w:space="0" w:color="auto"/>
        <w:left w:val="none" w:sz="0" w:space="0" w:color="auto"/>
        <w:bottom w:val="none" w:sz="0" w:space="0" w:color="auto"/>
        <w:right w:val="none" w:sz="0" w:space="0" w:color="auto"/>
      </w:divBdr>
    </w:div>
    <w:div w:id="259334594">
      <w:bodyDiv w:val="1"/>
      <w:marLeft w:val="0"/>
      <w:marRight w:val="0"/>
      <w:marTop w:val="0"/>
      <w:marBottom w:val="0"/>
      <w:divBdr>
        <w:top w:val="none" w:sz="0" w:space="0" w:color="auto"/>
        <w:left w:val="none" w:sz="0" w:space="0" w:color="auto"/>
        <w:bottom w:val="none" w:sz="0" w:space="0" w:color="auto"/>
        <w:right w:val="none" w:sz="0" w:space="0" w:color="auto"/>
      </w:divBdr>
    </w:div>
    <w:div w:id="261569822">
      <w:bodyDiv w:val="1"/>
      <w:marLeft w:val="0"/>
      <w:marRight w:val="0"/>
      <w:marTop w:val="0"/>
      <w:marBottom w:val="0"/>
      <w:divBdr>
        <w:top w:val="none" w:sz="0" w:space="0" w:color="auto"/>
        <w:left w:val="none" w:sz="0" w:space="0" w:color="auto"/>
        <w:bottom w:val="none" w:sz="0" w:space="0" w:color="auto"/>
        <w:right w:val="none" w:sz="0" w:space="0" w:color="auto"/>
      </w:divBdr>
    </w:div>
    <w:div w:id="261645728">
      <w:bodyDiv w:val="1"/>
      <w:marLeft w:val="0"/>
      <w:marRight w:val="0"/>
      <w:marTop w:val="0"/>
      <w:marBottom w:val="0"/>
      <w:divBdr>
        <w:top w:val="none" w:sz="0" w:space="0" w:color="auto"/>
        <w:left w:val="none" w:sz="0" w:space="0" w:color="auto"/>
        <w:bottom w:val="none" w:sz="0" w:space="0" w:color="auto"/>
        <w:right w:val="none" w:sz="0" w:space="0" w:color="auto"/>
      </w:divBdr>
    </w:div>
    <w:div w:id="262765720">
      <w:bodyDiv w:val="1"/>
      <w:marLeft w:val="0"/>
      <w:marRight w:val="0"/>
      <w:marTop w:val="0"/>
      <w:marBottom w:val="0"/>
      <w:divBdr>
        <w:top w:val="none" w:sz="0" w:space="0" w:color="auto"/>
        <w:left w:val="none" w:sz="0" w:space="0" w:color="auto"/>
        <w:bottom w:val="none" w:sz="0" w:space="0" w:color="auto"/>
        <w:right w:val="none" w:sz="0" w:space="0" w:color="auto"/>
      </w:divBdr>
    </w:div>
    <w:div w:id="271861949">
      <w:bodyDiv w:val="1"/>
      <w:marLeft w:val="0"/>
      <w:marRight w:val="0"/>
      <w:marTop w:val="0"/>
      <w:marBottom w:val="0"/>
      <w:divBdr>
        <w:top w:val="none" w:sz="0" w:space="0" w:color="auto"/>
        <w:left w:val="none" w:sz="0" w:space="0" w:color="auto"/>
        <w:bottom w:val="none" w:sz="0" w:space="0" w:color="auto"/>
        <w:right w:val="none" w:sz="0" w:space="0" w:color="auto"/>
      </w:divBdr>
    </w:div>
    <w:div w:id="275604332">
      <w:bodyDiv w:val="1"/>
      <w:marLeft w:val="0"/>
      <w:marRight w:val="0"/>
      <w:marTop w:val="0"/>
      <w:marBottom w:val="0"/>
      <w:divBdr>
        <w:top w:val="none" w:sz="0" w:space="0" w:color="auto"/>
        <w:left w:val="none" w:sz="0" w:space="0" w:color="auto"/>
        <w:bottom w:val="none" w:sz="0" w:space="0" w:color="auto"/>
        <w:right w:val="none" w:sz="0" w:space="0" w:color="auto"/>
      </w:divBdr>
    </w:div>
    <w:div w:id="283582710">
      <w:bodyDiv w:val="1"/>
      <w:marLeft w:val="0"/>
      <w:marRight w:val="0"/>
      <w:marTop w:val="0"/>
      <w:marBottom w:val="0"/>
      <w:divBdr>
        <w:top w:val="none" w:sz="0" w:space="0" w:color="auto"/>
        <w:left w:val="none" w:sz="0" w:space="0" w:color="auto"/>
        <w:bottom w:val="none" w:sz="0" w:space="0" w:color="auto"/>
        <w:right w:val="none" w:sz="0" w:space="0" w:color="auto"/>
      </w:divBdr>
    </w:div>
    <w:div w:id="283848425">
      <w:bodyDiv w:val="1"/>
      <w:marLeft w:val="0"/>
      <w:marRight w:val="0"/>
      <w:marTop w:val="0"/>
      <w:marBottom w:val="0"/>
      <w:divBdr>
        <w:top w:val="none" w:sz="0" w:space="0" w:color="auto"/>
        <w:left w:val="none" w:sz="0" w:space="0" w:color="auto"/>
        <w:bottom w:val="none" w:sz="0" w:space="0" w:color="auto"/>
        <w:right w:val="none" w:sz="0" w:space="0" w:color="auto"/>
      </w:divBdr>
    </w:div>
    <w:div w:id="285698971">
      <w:bodyDiv w:val="1"/>
      <w:marLeft w:val="0"/>
      <w:marRight w:val="0"/>
      <w:marTop w:val="0"/>
      <w:marBottom w:val="0"/>
      <w:divBdr>
        <w:top w:val="none" w:sz="0" w:space="0" w:color="auto"/>
        <w:left w:val="none" w:sz="0" w:space="0" w:color="auto"/>
        <w:bottom w:val="none" w:sz="0" w:space="0" w:color="auto"/>
        <w:right w:val="none" w:sz="0" w:space="0" w:color="auto"/>
      </w:divBdr>
    </w:div>
    <w:div w:id="286470349">
      <w:bodyDiv w:val="1"/>
      <w:marLeft w:val="0"/>
      <w:marRight w:val="0"/>
      <w:marTop w:val="0"/>
      <w:marBottom w:val="0"/>
      <w:divBdr>
        <w:top w:val="none" w:sz="0" w:space="0" w:color="auto"/>
        <w:left w:val="none" w:sz="0" w:space="0" w:color="auto"/>
        <w:bottom w:val="none" w:sz="0" w:space="0" w:color="auto"/>
        <w:right w:val="none" w:sz="0" w:space="0" w:color="auto"/>
      </w:divBdr>
    </w:div>
    <w:div w:id="290206085">
      <w:bodyDiv w:val="1"/>
      <w:marLeft w:val="0"/>
      <w:marRight w:val="0"/>
      <w:marTop w:val="0"/>
      <w:marBottom w:val="0"/>
      <w:divBdr>
        <w:top w:val="none" w:sz="0" w:space="0" w:color="auto"/>
        <w:left w:val="none" w:sz="0" w:space="0" w:color="auto"/>
        <w:bottom w:val="none" w:sz="0" w:space="0" w:color="auto"/>
        <w:right w:val="none" w:sz="0" w:space="0" w:color="auto"/>
      </w:divBdr>
    </w:div>
    <w:div w:id="292446733">
      <w:bodyDiv w:val="1"/>
      <w:marLeft w:val="0"/>
      <w:marRight w:val="0"/>
      <w:marTop w:val="0"/>
      <w:marBottom w:val="0"/>
      <w:divBdr>
        <w:top w:val="none" w:sz="0" w:space="0" w:color="auto"/>
        <w:left w:val="none" w:sz="0" w:space="0" w:color="auto"/>
        <w:bottom w:val="none" w:sz="0" w:space="0" w:color="auto"/>
        <w:right w:val="none" w:sz="0" w:space="0" w:color="auto"/>
      </w:divBdr>
    </w:div>
    <w:div w:id="293025088">
      <w:bodyDiv w:val="1"/>
      <w:marLeft w:val="0"/>
      <w:marRight w:val="0"/>
      <w:marTop w:val="0"/>
      <w:marBottom w:val="0"/>
      <w:divBdr>
        <w:top w:val="none" w:sz="0" w:space="0" w:color="auto"/>
        <w:left w:val="none" w:sz="0" w:space="0" w:color="auto"/>
        <w:bottom w:val="none" w:sz="0" w:space="0" w:color="auto"/>
        <w:right w:val="none" w:sz="0" w:space="0" w:color="auto"/>
      </w:divBdr>
    </w:div>
    <w:div w:id="294406501">
      <w:bodyDiv w:val="1"/>
      <w:marLeft w:val="0"/>
      <w:marRight w:val="0"/>
      <w:marTop w:val="0"/>
      <w:marBottom w:val="0"/>
      <w:divBdr>
        <w:top w:val="none" w:sz="0" w:space="0" w:color="auto"/>
        <w:left w:val="none" w:sz="0" w:space="0" w:color="auto"/>
        <w:bottom w:val="none" w:sz="0" w:space="0" w:color="auto"/>
        <w:right w:val="none" w:sz="0" w:space="0" w:color="auto"/>
      </w:divBdr>
    </w:div>
    <w:div w:id="294919351">
      <w:bodyDiv w:val="1"/>
      <w:marLeft w:val="0"/>
      <w:marRight w:val="0"/>
      <w:marTop w:val="0"/>
      <w:marBottom w:val="0"/>
      <w:divBdr>
        <w:top w:val="none" w:sz="0" w:space="0" w:color="auto"/>
        <w:left w:val="none" w:sz="0" w:space="0" w:color="auto"/>
        <w:bottom w:val="none" w:sz="0" w:space="0" w:color="auto"/>
        <w:right w:val="none" w:sz="0" w:space="0" w:color="auto"/>
      </w:divBdr>
    </w:div>
    <w:div w:id="297806325">
      <w:bodyDiv w:val="1"/>
      <w:marLeft w:val="0"/>
      <w:marRight w:val="0"/>
      <w:marTop w:val="0"/>
      <w:marBottom w:val="0"/>
      <w:divBdr>
        <w:top w:val="none" w:sz="0" w:space="0" w:color="auto"/>
        <w:left w:val="none" w:sz="0" w:space="0" w:color="auto"/>
        <w:bottom w:val="none" w:sz="0" w:space="0" w:color="auto"/>
        <w:right w:val="none" w:sz="0" w:space="0" w:color="auto"/>
      </w:divBdr>
    </w:div>
    <w:div w:id="297885263">
      <w:bodyDiv w:val="1"/>
      <w:marLeft w:val="0"/>
      <w:marRight w:val="0"/>
      <w:marTop w:val="0"/>
      <w:marBottom w:val="0"/>
      <w:divBdr>
        <w:top w:val="none" w:sz="0" w:space="0" w:color="auto"/>
        <w:left w:val="none" w:sz="0" w:space="0" w:color="auto"/>
        <w:bottom w:val="none" w:sz="0" w:space="0" w:color="auto"/>
        <w:right w:val="none" w:sz="0" w:space="0" w:color="auto"/>
      </w:divBdr>
    </w:div>
    <w:div w:id="303240139">
      <w:bodyDiv w:val="1"/>
      <w:marLeft w:val="0"/>
      <w:marRight w:val="0"/>
      <w:marTop w:val="0"/>
      <w:marBottom w:val="0"/>
      <w:divBdr>
        <w:top w:val="none" w:sz="0" w:space="0" w:color="auto"/>
        <w:left w:val="none" w:sz="0" w:space="0" w:color="auto"/>
        <w:bottom w:val="none" w:sz="0" w:space="0" w:color="auto"/>
        <w:right w:val="none" w:sz="0" w:space="0" w:color="auto"/>
      </w:divBdr>
    </w:div>
    <w:div w:id="303628358">
      <w:bodyDiv w:val="1"/>
      <w:marLeft w:val="0"/>
      <w:marRight w:val="0"/>
      <w:marTop w:val="0"/>
      <w:marBottom w:val="0"/>
      <w:divBdr>
        <w:top w:val="none" w:sz="0" w:space="0" w:color="auto"/>
        <w:left w:val="none" w:sz="0" w:space="0" w:color="auto"/>
        <w:bottom w:val="none" w:sz="0" w:space="0" w:color="auto"/>
        <w:right w:val="none" w:sz="0" w:space="0" w:color="auto"/>
      </w:divBdr>
    </w:div>
    <w:div w:id="318118740">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5963090">
      <w:bodyDiv w:val="1"/>
      <w:marLeft w:val="0"/>
      <w:marRight w:val="0"/>
      <w:marTop w:val="0"/>
      <w:marBottom w:val="0"/>
      <w:divBdr>
        <w:top w:val="none" w:sz="0" w:space="0" w:color="auto"/>
        <w:left w:val="none" w:sz="0" w:space="0" w:color="auto"/>
        <w:bottom w:val="none" w:sz="0" w:space="0" w:color="auto"/>
        <w:right w:val="none" w:sz="0" w:space="0" w:color="auto"/>
      </w:divBdr>
    </w:div>
    <w:div w:id="339310498">
      <w:bodyDiv w:val="1"/>
      <w:marLeft w:val="0"/>
      <w:marRight w:val="0"/>
      <w:marTop w:val="0"/>
      <w:marBottom w:val="0"/>
      <w:divBdr>
        <w:top w:val="none" w:sz="0" w:space="0" w:color="auto"/>
        <w:left w:val="none" w:sz="0" w:space="0" w:color="auto"/>
        <w:bottom w:val="none" w:sz="0" w:space="0" w:color="auto"/>
        <w:right w:val="none" w:sz="0" w:space="0" w:color="auto"/>
      </w:divBdr>
    </w:div>
    <w:div w:id="342123808">
      <w:bodyDiv w:val="1"/>
      <w:marLeft w:val="0"/>
      <w:marRight w:val="0"/>
      <w:marTop w:val="0"/>
      <w:marBottom w:val="0"/>
      <w:divBdr>
        <w:top w:val="none" w:sz="0" w:space="0" w:color="auto"/>
        <w:left w:val="none" w:sz="0" w:space="0" w:color="auto"/>
        <w:bottom w:val="none" w:sz="0" w:space="0" w:color="auto"/>
        <w:right w:val="none" w:sz="0" w:space="0" w:color="auto"/>
      </w:divBdr>
    </w:div>
    <w:div w:id="342977685">
      <w:bodyDiv w:val="1"/>
      <w:marLeft w:val="0"/>
      <w:marRight w:val="0"/>
      <w:marTop w:val="0"/>
      <w:marBottom w:val="0"/>
      <w:divBdr>
        <w:top w:val="none" w:sz="0" w:space="0" w:color="auto"/>
        <w:left w:val="none" w:sz="0" w:space="0" w:color="auto"/>
        <w:bottom w:val="none" w:sz="0" w:space="0" w:color="auto"/>
        <w:right w:val="none" w:sz="0" w:space="0" w:color="auto"/>
      </w:divBdr>
    </w:div>
    <w:div w:id="343751043">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49649677">
      <w:bodyDiv w:val="1"/>
      <w:marLeft w:val="0"/>
      <w:marRight w:val="0"/>
      <w:marTop w:val="0"/>
      <w:marBottom w:val="0"/>
      <w:divBdr>
        <w:top w:val="none" w:sz="0" w:space="0" w:color="auto"/>
        <w:left w:val="none" w:sz="0" w:space="0" w:color="auto"/>
        <w:bottom w:val="none" w:sz="0" w:space="0" w:color="auto"/>
        <w:right w:val="none" w:sz="0" w:space="0" w:color="auto"/>
      </w:divBdr>
    </w:div>
    <w:div w:id="352531865">
      <w:bodyDiv w:val="1"/>
      <w:marLeft w:val="0"/>
      <w:marRight w:val="0"/>
      <w:marTop w:val="0"/>
      <w:marBottom w:val="0"/>
      <w:divBdr>
        <w:top w:val="none" w:sz="0" w:space="0" w:color="auto"/>
        <w:left w:val="none" w:sz="0" w:space="0" w:color="auto"/>
        <w:bottom w:val="none" w:sz="0" w:space="0" w:color="auto"/>
        <w:right w:val="none" w:sz="0" w:space="0" w:color="auto"/>
      </w:divBdr>
    </w:div>
    <w:div w:id="356584731">
      <w:bodyDiv w:val="1"/>
      <w:marLeft w:val="0"/>
      <w:marRight w:val="0"/>
      <w:marTop w:val="0"/>
      <w:marBottom w:val="0"/>
      <w:divBdr>
        <w:top w:val="none" w:sz="0" w:space="0" w:color="auto"/>
        <w:left w:val="none" w:sz="0" w:space="0" w:color="auto"/>
        <w:bottom w:val="none" w:sz="0" w:space="0" w:color="auto"/>
        <w:right w:val="none" w:sz="0" w:space="0" w:color="auto"/>
      </w:divBdr>
    </w:div>
    <w:div w:id="359405072">
      <w:bodyDiv w:val="1"/>
      <w:marLeft w:val="0"/>
      <w:marRight w:val="0"/>
      <w:marTop w:val="0"/>
      <w:marBottom w:val="0"/>
      <w:divBdr>
        <w:top w:val="none" w:sz="0" w:space="0" w:color="auto"/>
        <w:left w:val="none" w:sz="0" w:space="0" w:color="auto"/>
        <w:bottom w:val="none" w:sz="0" w:space="0" w:color="auto"/>
        <w:right w:val="none" w:sz="0" w:space="0" w:color="auto"/>
      </w:divBdr>
    </w:div>
    <w:div w:id="372920597">
      <w:bodyDiv w:val="1"/>
      <w:marLeft w:val="0"/>
      <w:marRight w:val="0"/>
      <w:marTop w:val="0"/>
      <w:marBottom w:val="0"/>
      <w:divBdr>
        <w:top w:val="none" w:sz="0" w:space="0" w:color="auto"/>
        <w:left w:val="none" w:sz="0" w:space="0" w:color="auto"/>
        <w:bottom w:val="none" w:sz="0" w:space="0" w:color="auto"/>
        <w:right w:val="none" w:sz="0" w:space="0" w:color="auto"/>
      </w:divBdr>
    </w:div>
    <w:div w:id="373115927">
      <w:bodyDiv w:val="1"/>
      <w:marLeft w:val="0"/>
      <w:marRight w:val="0"/>
      <w:marTop w:val="0"/>
      <w:marBottom w:val="0"/>
      <w:divBdr>
        <w:top w:val="none" w:sz="0" w:space="0" w:color="auto"/>
        <w:left w:val="none" w:sz="0" w:space="0" w:color="auto"/>
        <w:bottom w:val="none" w:sz="0" w:space="0" w:color="auto"/>
        <w:right w:val="none" w:sz="0" w:space="0" w:color="auto"/>
      </w:divBdr>
    </w:div>
    <w:div w:id="379592121">
      <w:bodyDiv w:val="1"/>
      <w:marLeft w:val="0"/>
      <w:marRight w:val="0"/>
      <w:marTop w:val="0"/>
      <w:marBottom w:val="0"/>
      <w:divBdr>
        <w:top w:val="none" w:sz="0" w:space="0" w:color="auto"/>
        <w:left w:val="none" w:sz="0" w:space="0" w:color="auto"/>
        <w:bottom w:val="none" w:sz="0" w:space="0" w:color="auto"/>
        <w:right w:val="none" w:sz="0" w:space="0" w:color="auto"/>
      </w:divBdr>
    </w:div>
    <w:div w:id="389573643">
      <w:bodyDiv w:val="1"/>
      <w:marLeft w:val="0"/>
      <w:marRight w:val="0"/>
      <w:marTop w:val="0"/>
      <w:marBottom w:val="0"/>
      <w:divBdr>
        <w:top w:val="none" w:sz="0" w:space="0" w:color="auto"/>
        <w:left w:val="none" w:sz="0" w:space="0" w:color="auto"/>
        <w:bottom w:val="none" w:sz="0" w:space="0" w:color="auto"/>
        <w:right w:val="none" w:sz="0" w:space="0" w:color="auto"/>
      </w:divBdr>
    </w:div>
    <w:div w:id="392318284">
      <w:bodyDiv w:val="1"/>
      <w:marLeft w:val="0"/>
      <w:marRight w:val="0"/>
      <w:marTop w:val="0"/>
      <w:marBottom w:val="0"/>
      <w:divBdr>
        <w:top w:val="none" w:sz="0" w:space="0" w:color="auto"/>
        <w:left w:val="none" w:sz="0" w:space="0" w:color="auto"/>
        <w:bottom w:val="none" w:sz="0" w:space="0" w:color="auto"/>
        <w:right w:val="none" w:sz="0" w:space="0" w:color="auto"/>
      </w:divBdr>
    </w:div>
    <w:div w:id="395318763">
      <w:bodyDiv w:val="1"/>
      <w:marLeft w:val="0"/>
      <w:marRight w:val="0"/>
      <w:marTop w:val="0"/>
      <w:marBottom w:val="0"/>
      <w:divBdr>
        <w:top w:val="none" w:sz="0" w:space="0" w:color="auto"/>
        <w:left w:val="none" w:sz="0" w:space="0" w:color="auto"/>
        <w:bottom w:val="none" w:sz="0" w:space="0" w:color="auto"/>
        <w:right w:val="none" w:sz="0" w:space="0" w:color="auto"/>
      </w:divBdr>
    </w:div>
    <w:div w:id="396515665">
      <w:bodyDiv w:val="1"/>
      <w:marLeft w:val="0"/>
      <w:marRight w:val="0"/>
      <w:marTop w:val="0"/>
      <w:marBottom w:val="0"/>
      <w:divBdr>
        <w:top w:val="none" w:sz="0" w:space="0" w:color="auto"/>
        <w:left w:val="none" w:sz="0" w:space="0" w:color="auto"/>
        <w:bottom w:val="none" w:sz="0" w:space="0" w:color="auto"/>
        <w:right w:val="none" w:sz="0" w:space="0" w:color="auto"/>
      </w:divBdr>
    </w:div>
    <w:div w:id="399328307">
      <w:bodyDiv w:val="1"/>
      <w:marLeft w:val="0"/>
      <w:marRight w:val="0"/>
      <w:marTop w:val="0"/>
      <w:marBottom w:val="0"/>
      <w:divBdr>
        <w:top w:val="none" w:sz="0" w:space="0" w:color="auto"/>
        <w:left w:val="none" w:sz="0" w:space="0" w:color="auto"/>
        <w:bottom w:val="none" w:sz="0" w:space="0" w:color="auto"/>
        <w:right w:val="none" w:sz="0" w:space="0" w:color="auto"/>
      </w:divBdr>
    </w:div>
    <w:div w:id="402265777">
      <w:bodyDiv w:val="1"/>
      <w:marLeft w:val="0"/>
      <w:marRight w:val="0"/>
      <w:marTop w:val="0"/>
      <w:marBottom w:val="0"/>
      <w:divBdr>
        <w:top w:val="none" w:sz="0" w:space="0" w:color="auto"/>
        <w:left w:val="none" w:sz="0" w:space="0" w:color="auto"/>
        <w:bottom w:val="none" w:sz="0" w:space="0" w:color="auto"/>
        <w:right w:val="none" w:sz="0" w:space="0" w:color="auto"/>
      </w:divBdr>
    </w:div>
    <w:div w:id="407969263">
      <w:bodyDiv w:val="1"/>
      <w:marLeft w:val="0"/>
      <w:marRight w:val="0"/>
      <w:marTop w:val="0"/>
      <w:marBottom w:val="0"/>
      <w:divBdr>
        <w:top w:val="none" w:sz="0" w:space="0" w:color="auto"/>
        <w:left w:val="none" w:sz="0" w:space="0" w:color="auto"/>
        <w:bottom w:val="none" w:sz="0" w:space="0" w:color="auto"/>
        <w:right w:val="none" w:sz="0" w:space="0" w:color="auto"/>
      </w:divBdr>
    </w:div>
    <w:div w:id="411774935">
      <w:bodyDiv w:val="1"/>
      <w:marLeft w:val="0"/>
      <w:marRight w:val="0"/>
      <w:marTop w:val="0"/>
      <w:marBottom w:val="0"/>
      <w:divBdr>
        <w:top w:val="none" w:sz="0" w:space="0" w:color="auto"/>
        <w:left w:val="none" w:sz="0" w:space="0" w:color="auto"/>
        <w:bottom w:val="none" w:sz="0" w:space="0" w:color="auto"/>
        <w:right w:val="none" w:sz="0" w:space="0" w:color="auto"/>
      </w:divBdr>
    </w:div>
    <w:div w:id="411925645">
      <w:bodyDiv w:val="1"/>
      <w:marLeft w:val="0"/>
      <w:marRight w:val="0"/>
      <w:marTop w:val="0"/>
      <w:marBottom w:val="0"/>
      <w:divBdr>
        <w:top w:val="none" w:sz="0" w:space="0" w:color="auto"/>
        <w:left w:val="none" w:sz="0" w:space="0" w:color="auto"/>
        <w:bottom w:val="none" w:sz="0" w:space="0" w:color="auto"/>
        <w:right w:val="none" w:sz="0" w:space="0" w:color="auto"/>
      </w:divBdr>
    </w:div>
    <w:div w:id="416708564">
      <w:bodyDiv w:val="1"/>
      <w:marLeft w:val="0"/>
      <w:marRight w:val="0"/>
      <w:marTop w:val="0"/>
      <w:marBottom w:val="0"/>
      <w:divBdr>
        <w:top w:val="none" w:sz="0" w:space="0" w:color="auto"/>
        <w:left w:val="none" w:sz="0" w:space="0" w:color="auto"/>
        <w:bottom w:val="none" w:sz="0" w:space="0" w:color="auto"/>
        <w:right w:val="none" w:sz="0" w:space="0" w:color="auto"/>
      </w:divBdr>
    </w:div>
    <w:div w:id="423578843">
      <w:bodyDiv w:val="1"/>
      <w:marLeft w:val="0"/>
      <w:marRight w:val="0"/>
      <w:marTop w:val="0"/>
      <w:marBottom w:val="0"/>
      <w:divBdr>
        <w:top w:val="none" w:sz="0" w:space="0" w:color="auto"/>
        <w:left w:val="none" w:sz="0" w:space="0" w:color="auto"/>
        <w:bottom w:val="none" w:sz="0" w:space="0" w:color="auto"/>
        <w:right w:val="none" w:sz="0" w:space="0" w:color="auto"/>
      </w:divBdr>
    </w:div>
    <w:div w:id="424347647">
      <w:bodyDiv w:val="1"/>
      <w:marLeft w:val="0"/>
      <w:marRight w:val="0"/>
      <w:marTop w:val="0"/>
      <w:marBottom w:val="0"/>
      <w:divBdr>
        <w:top w:val="none" w:sz="0" w:space="0" w:color="auto"/>
        <w:left w:val="none" w:sz="0" w:space="0" w:color="auto"/>
        <w:bottom w:val="none" w:sz="0" w:space="0" w:color="auto"/>
        <w:right w:val="none" w:sz="0" w:space="0" w:color="auto"/>
      </w:divBdr>
    </w:div>
    <w:div w:id="425345859">
      <w:bodyDiv w:val="1"/>
      <w:marLeft w:val="0"/>
      <w:marRight w:val="0"/>
      <w:marTop w:val="0"/>
      <w:marBottom w:val="0"/>
      <w:divBdr>
        <w:top w:val="none" w:sz="0" w:space="0" w:color="auto"/>
        <w:left w:val="none" w:sz="0" w:space="0" w:color="auto"/>
        <w:bottom w:val="none" w:sz="0" w:space="0" w:color="auto"/>
        <w:right w:val="none" w:sz="0" w:space="0" w:color="auto"/>
      </w:divBdr>
    </w:div>
    <w:div w:id="426388782">
      <w:bodyDiv w:val="1"/>
      <w:marLeft w:val="0"/>
      <w:marRight w:val="0"/>
      <w:marTop w:val="0"/>
      <w:marBottom w:val="0"/>
      <w:divBdr>
        <w:top w:val="none" w:sz="0" w:space="0" w:color="auto"/>
        <w:left w:val="none" w:sz="0" w:space="0" w:color="auto"/>
        <w:bottom w:val="none" w:sz="0" w:space="0" w:color="auto"/>
        <w:right w:val="none" w:sz="0" w:space="0" w:color="auto"/>
      </w:divBdr>
    </w:div>
    <w:div w:id="437414488">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39765797">
      <w:bodyDiv w:val="1"/>
      <w:marLeft w:val="0"/>
      <w:marRight w:val="0"/>
      <w:marTop w:val="0"/>
      <w:marBottom w:val="0"/>
      <w:divBdr>
        <w:top w:val="none" w:sz="0" w:space="0" w:color="auto"/>
        <w:left w:val="none" w:sz="0" w:space="0" w:color="auto"/>
        <w:bottom w:val="none" w:sz="0" w:space="0" w:color="auto"/>
        <w:right w:val="none" w:sz="0" w:space="0" w:color="auto"/>
      </w:divBdr>
    </w:div>
    <w:div w:id="440229219">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0005392">
      <w:bodyDiv w:val="1"/>
      <w:marLeft w:val="0"/>
      <w:marRight w:val="0"/>
      <w:marTop w:val="0"/>
      <w:marBottom w:val="0"/>
      <w:divBdr>
        <w:top w:val="none" w:sz="0" w:space="0" w:color="auto"/>
        <w:left w:val="none" w:sz="0" w:space="0" w:color="auto"/>
        <w:bottom w:val="none" w:sz="0" w:space="0" w:color="auto"/>
        <w:right w:val="none" w:sz="0" w:space="0" w:color="auto"/>
      </w:divBdr>
    </w:div>
    <w:div w:id="460880745">
      <w:bodyDiv w:val="1"/>
      <w:marLeft w:val="0"/>
      <w:marRight w:val="0"/>
      <w:marTop w:val="0"/>
      <w:marBottom w:val="0"/>
      <w:divBdr>
        <w:top w:val="none" w:sz="0" w:space="0" w:color="auto"/>
        <w:left w:val="none" w:sz="0" w:space="0" w:color="auto"/>
        <w:bottom w:val="none" w:sz="0" w:space="0" w:color="auto"/>
        <w:right w:val="none" w:sz="0" w:space="0" w:color="auto"/>
      </w:divBdr>
    </w:div>
    <w:div w:id="464589039">
      <w:bodyDiv w:val="1"/>
      <w:marLeft w:val="0"/>
      <w:marRight w:val="0"/>
      <w:marTop w:val="0"/>
      <w:marBottom w:val="0"/>
      <w:divBdr>
        <w:top w:val="none" w:sz="0" w:space="0" w:color="auto"/>
        <w:left w:val="none" w:sz="0" w:space="0" w:color="auto"/>
        <w:bottom w:val="none" w:sz="0" w:space="0" w:color="auto"/>
        <w:right w:val="none" w:sz="0" w:space="0" w:color="auto"/>
      </w:divBdr>
    </w:div>
    <w:div w:id="465779578">
      <w:bodyDiv w:val="1"/>
      <w:marLeft w:val="0"/>
      <w:marRight w:val="0"/>
      <w:marTop w:val="0"/>
      <w:marBottom w:val="0"/>
      <w:divBdr>
        <w:top w:val="none" w:sz="0" w:space="0" w:color="auto"/>
        <w:left w:val="none" w:sz="0" w:space="0" w:color="auto"/>
        <w:bottom w:val="none" w:sz="0" w:space="0" w:color="auto"/>
        <w:right w:val="none" w:sz="0" w:space="0" w:color="auto"/>
      </w:divBdr>
    </w:div>
    <w:div w:id="466050692">
      <w:bodyDiv w:val="1"/>
      <w:marLeft w:val="0"/>
      <w:marRight w:val="0"/>
      <w:marTop w:val="0"/>
      <w:marBottom w:val="0"/>
      <w:divBdr>
        <w:top w:val="none" w:sz="0" w:space="0" w:color="auto"/>
        <w:left w:val="none" w:sz="0" w:space="0" w:color="auto"/>
        <w:bottom w:val="none" w:sz="0" w:space="0" w:color="auto"/>
        <w:right w:val="none" w:sz="0" w:space="0" w:color="auto"/>
      </w:divBdr>
    </w:div>
    <w:div w:id="467630646">
      <w:bodyDiv w:val="1"/>
      <w:marLeft w:val="0"/>
      <w:marRight w:val="0"/>
      <w:marTop w:val="0"/>
      <w:marBottom w:val="0"/>
      <w:divBdr>
        <w:top w:val="none" w:sz="0" w:space="0" w:color="auto"/>
        <w:left w:val="none" w:sz="0" w:space="0" w:color="auto"/>
        <w:bottom w:val="none" w:sz="0" w:space="0" w:color="auto"/>
        <w:right w:val="none" w:sz="0" w:space="0" w:color="auto"/>
      </w:divBdr>
    </w:div>
    <w:div w:id="468666812">
      <w:bodyDiv w:val="1"/>
      <w:marLeft w:val="0"/>
      <w:marRight w:val="0"/>
      <w:marTop w:val="0"/>
      <w:marBottom w:val="0"/>
      <w:divBdr>
        <w:top w:val="none" w:sz="0" w:space="0" w:color="auto"/>
        <w:left w:val="none" w:sz="0" w:space="0" w:color="auto"/>
        <w:bottom w:val="none" w:sz="0" w:space="0" w:color="auto"/>
        <w:right w:val="none" w:sz="0" w:space="0" w:color="auto"/>
      </w:divBdr>
    </w:div>
    <w:div w:id="470439116">
      <w:bodyDiv w:val="1"/>
      <w:marLeft w:val="0"/>
      <w:marRight w:val="0"/>
      <w:marTop w:val="0"/>
      <w:marBottom w:val="0"/>
      <w:divBdr>
        <w:top w:val="none" w:sz="0" w:space="0" w:color="auto"/>
        <w:left w:val="none" w:sz="0" w:space="0" w:color="auto"/>
        <w:bottom w:val="none" w:sz="0" w:space="0" w:color="auto"/>
        <w:right w:val="none" w:sz="0" w:space="0" w:color="auto"/>
      </w:divBdr>
    </w:div>
    <w:div w:id="472872221">
      <w:bodyDiv w:val="1"/>
      <w:marLeft w:val="0"/>
      <w:marRight w:val="0"/>
      <w:marTop w:val="0"/>
      <w:marBottom w:val="0"/>
      <w:divBdr>
        <w:top w:val="none" w:sz="0" w:space="0" w:color="auto"/>
        <w:left w:val="none" w:sz="0" w:space="0" w:color="auto"/>
        <w:bottom w:val="none" w:sz="0" w:space="0" w:color="auto"/>
        <w:right w:val="none" w:sz="0" w:space="0" w:color="auto"/>
      </w:divBdr>
    </w:div>
    <w:div w:id="474951037">
      <w:bodyDiv w:val="1"/>
      <w:marLeft w:val="0"/>
      <w:marRight w:val="0"/>
      <w:marTop w:val="0"/>
      <w:marBottom w:val="0"/>
      <w:divBdr>
        <w:top w:val="none" w:sz="0" w:space="0" w:color="auto"/>
        <w:left w:val="none" w:sz="0" w:space="0" w:color="auto"/>
        <w:bottom w:val="none" w:sz="0" w:space="0" w:color="auto"/>
        <w:right w:val="none" w:sz="0" w:space="0" w:color="auto"/>
      </w:divBdr>
    </w:div>
    <w:div w:id="480466254">
      <w:bodyDiv w:val="1"/>
      <w:marLeft w:val="0"/>
      <w:marRight w:val="0"/>
      <w:marTop w:val="0"/>
      <w:marBottom w:val="0"/>
      <w:divBdr>
        <w:top w:val="none" w:sz="0" w:space="0" w:color="auto"/>
        <w:left w:val="none" w:sz="0" w:space="0" w:color="auto"/>
        <w:bottom w:val="none" w:sz="0" w:space="0" w:color="auto"/>
        <w:right w:val="none" w:sz="0" w:space="0" w:color="auto"/>
      </w:divBdr>
    </w:div>
    <w:div w:id="484706220">
      <w:bodyDiv w:val="1"/>
      <w:marLeft w:val="0"/>
      <w:marRight w:val="0"/>
      <w:marTop w:val="0"/>
      <w:marBottom w:val="0"/>
      <w:divBdr>
        <w:top w:val="none" w:sz="0" w:space="0" w:color="auto"/>
        <w:left w:val="none" w:sz="0" w:space="0" w:color="auto"/>
        <w:bottom w:val="none" w:sz="0" w:space="0" w:color="auto"/>
        <w:right w:val="none" w:sz="0" w:space="0" w:color="auto"/>
      </w:divBdr>
    </w:div>
    <w:div w:id="492838198">
      <w:bodyDiv w:val="1"/>
      <w:marLeft w:val="0"/>
      <w:marRight w:val="0"/>
      <w:marTop w:val="0"/>
      <w:marBottom w:val="0"/>
      <w:divBdr>
        <w:top w:val="none" w:sz="0" w:space="0" w:color="auto"/>
        <w:left w:val="none" w:sz="0" w:space="0" w:color="auto"/>
        <w:bottom w:val="none" w:sz="0" w:space="0" w:color="auto"/>
        <w:right w:val="none" w:sz="0" w:space="0" w:color="auto"/>
      </w:divBdr>
    </w:div>
    <w:div w:id="493297213">
      <w:bodyDiv w:val="1"/>
      <w:marLeft w:val="0"/>
      <w:marRight w:val="0"/>
      <w:marTop w:val="0"/>
      <w:marBottom w:val="0"/>
      <w:divBdr>
        <w:top w:val="none" w:sz="0" w:space="0" w:color="auto"/>
        <w:left w:val="none" w:sz="0" w:space="0" w:color="auto"/>
        <w:bottom w:val="none" w:sz="0" w:space="0" w:color="auto"/>
        <w:right w:val="none" w:sz="0" w:space="0" w:color="auto"/>
      </w:divBdr>
    </w:div>
    <w:div w:id="501509307">
      <w:bodyDiv w:val="1"/>
      <w:marLeft w:val="0"/>
      <w:marRight w:val="0"/>
      <w:marTop w:val="0"/>
      <w:marBottom w:val="0"/>
      <w:divBdr>
        <w:top w:val="none" w:sz="0" w:space="0" w:color="auto"/>
        <w:left w:val="none" w:sz="0" w:space="0" w:color="auto"/>
        <w:bottom w:val="none" w:sz="0" w:space="0" w:color="auto"/>
        <w:right w:val="none" w:sz="0" w:space="0" w:color="auto"/>
      </w:divBdr>
    </w:div>
    <w:div w:id="505435802">
      <w:bodyDiv w:val="1"/>
      <w:marLeft w:val="0"/>
      <w:marRight w:val="0"/>
      <w:marTop w:val="0"/>
      <w:marBottom w:val="0"/>
      <w:divBdr>
        <w:top w:val="none" w:sz="0" w:space="0" w:color="auto"/>
        <w:left w:val="none" w:sz="0" w:space="0" w:color="auto"/>
        <w:bottom w:val="none" w:sz="0" w:space="0" w:color="auto"/>
        <w:right w:val="none" w:sz="0" w:space="0" w:color="auto"/>
      </w:divBdr>
    </w:div>
    <w:div w:id="505707857">
      <w:bodyDiv w:val="1"/>
      <w:marLeft w:val="0"/>
      <w:marRight w:val="0"/>
      <w:marTop w:val="0"/>
      <w:marBottom w:val="0"/>
      <w:divBdr>
        <w:top w:val="none" w:sz="0" w:space="0" w:color="auto"/>
        <w:left w:val="none" w:sz="0" w:space="0" w:color="auto"/>
        <w:bottom w:val="none" w:sz="0" w:space="0" w:color="auto"/>
        <w:right w:val="none" w:sz="0" w:space="0" w:color="auto"/>
      </w:divBdr>
    </w:div>
    <w:div w:id="512766420">
      <w:bodyDiv w:val="1"/>
      <w:marLeft w:val="0"/>
      <w:marRight w:val="0"/>
      <w:marTop w:val="0"/>
      <w:marBottom w:val="0"/>
      <w:divBdr>
        <w:top w:val="none" w:sz="0" w:space="0" w:color="auto"/>
        <w:left w:val="none" w:sz="0" w:space="0" w:color="auto"/>
        <w:bottom w:val="none" w:sz="0" w:space="0" w:color="auto"/>
        <w:right w:val="none" w:sz="0" w:space="0" w:color="auto"/>
      </w:divBdr>
    </w:div>
    <w:div w:id="523833931">
      <w:bodyDiv w:val="1"/>
      <w:marLeft w:val="0"/>
      <w:marRight w:val="0"/>
      <w:marTop w:val="0"/>
      <w:marBottom w:val="0"/>
      <w:divBdr>
        <w:top w:val="none" w:sz="0" w:space="0" w:color="auto"/>
        <w:left w:val="none" w:sz="0" w:space="0" w:color="auto"/>
        <w:bottom w:val="none" w:sz="0" w:space="0" w:color="auto"/>
        <w:right w:val="none" w:sz="0" w:space="0" w:color="auto"/>
      </w:divBdr>
    </w:div>
    <w:div w:id="525676468">
      <w:bodyDiv w:val="1"/>
      <w:marLeft w:val="0"/>
      <w:marRight w:val="0"/>
      <w:marTop w:val="0"/>
      <w:marBottom w:val="0"/>
      <w:divBdr>
        <w:top w:val="none" w:sz="0" w:space="0" w:color="auto"/>
        <w:left w:val="none" w:sz="0" w:space="0" w:color="auto"/>
        <w:bottom w:val="none" w:sz="0" w:space="0" w:color="auto"/>
        <w:right w:val="none" w:sz="0" w:space="0" w:color="auto"/>
      </w:divBdr>
    </w:div>
    <w:div w:id="528761172">
      <w:bodyDiv w:val="1"/>
      <w:marLeft w:val="0"/>
      <w:marRight w:val="0"/>
      <w:marTop w:val="0"/>
      <w:marBottom w:val="0"/>
      <w:divBdr>
        <w:top w:val="none" w:sz="0" w:space="0" w:color="auto"/>
        <w:left w:val="none" w:sz="0" w:space="0" w:color="auto"/>
        <w:bottom w:val="none" w:sz="0" w:space="0" w:color="auto"/>
        <w:right w:val="none" w:sz="0" w:space="0" w:color="auto"/>
      </w:divBdr>
    </w:div>
    <w:div w:id="529952690">
      <w:bodyDiv w:val="1"/>
      <w:marLeft w:val="0"/>
      <w:marRight w:val="0"/>
      <w:marTop w:val="0"/>
      <w:marBottom w:val="0"/>
      <w:divBdr>
        <w:top w:val="none" w:sz="0" w:space="0" w:color="auto"/>
        <w:left w:val="none" w:sz="0" w:space="0" w:color="auto"/>
        <w:bottom w:val="none" w:sz="0" w:space="0" w:color="auto"/>
        <w:right w:val="none" w:sz="0" w:space="0" w:color="auto"/>
      </w:divBdr>
    </w:div>
    <w:div w:id="531112735">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6352294">
      <w:bodyDiv w:val="1"/>
      <w:marLeft w:val="0"/>
      <w:marRight w:val="0"/>
      <w:marTop w:val="0"/>
      <w:marBottom w:val="0"/>
      <w:divBdr>
        <w:top w:val="none" w:sz="0" w:space="0" w:color="auto"/>
        <w:left w:val="none" w:sz="0" w:space="0" w:color="auto"/>
        <w:bottom w:val="none" w:sz="0" w:space="0" w:color="auto"/>
        <w:right w:val="none" w:sz="0" w:space="0" w:color="auto"/>
      </w:divBdr>
    </w:div>
    <w:div w:id="536967953">
      <w:bodyDiv w:val="1"/>
      <w:marLeft w:val="0"/>
      <w:marRight w:val="0"/>
      <w:marTop w:val="0"/>
      <w:marBottom w:val="0"/>
      <w:divBdr>
        <w:top w:val="none" w:sz="0" w:space="0" w:color="auto"/>
        <w:left w:val="none" w:sz="0" w:space="0" w:color="auto"/>
        <w:bottom w:val="none" w:sz="0" w:space="0" w:color="auto"/>
        <w:right w:val="none" w:sz="0" w:space="0" w:color="auto"/>
      </w:divBdr>
    </w:div>
    <w:div w:id="540023478">
      <w:bodyDiv w:val="1"/>
      <w:marLeft w:val="0"/>
      <w:marRight w:val="0"/>
      <w:marTop w:val="0"/>
      <w:marBottom w:val="0"/>
      <w:divBdr>
        <w:top w:val="none" w:sz="0" w:space="0" w:color="auto"/>
        <w:left w:val="none" w:sz="0" w:space="0" w:color="auto"/>
        <w:bottom w:val="none" w:sz="0" w:space="0" w:color="auto"/>
        <w:right w:val="none" w:sz="0" w:space="0" w:color="auto"/>
      </w:divBdr>
    </w:div>
    <w:div w:id="541089038">
      <w:bodyDiv w:val="1"/>
      <w:marLeft w:val="0"/>
      <w:marRight w:val="0"/>
      <w:marTop w:val="0"/>
      <w:marBottom w:val="0"/>
      <w:divBdr>
        <w:top w:val="none" w:sz="0" w:space="0" w:color="auto"/>
        <w:left w:val="none" w:sz="0" w:space="0" w:color="auto"/>
        <w:bottom w:val="none" w:sz="0" w:space="0" w:color="auto"/>
        <w:right w:val="none" w:sz="0" w:space="0" w:color="auto"/>
      </w:divBdr>
    </w:div>
    <w:div w:id="541751484">
      <w:bodyDiv w:val="1"/>
      <w:marLeft w:val="0"/>
      <w:marRight w:val="0"/>
      <w:marTop w:val="0"/>
      <w:marBottom w:val="0"/>
      <w:divBdr>
        <w:top w:val="none" w:sz="0" w:space="0" w:color="auto"/>
        <w:left w:val="none" w:sz="0" w:space="0" w:color="auto"/>
        <w:bottom w:val="none" w:sz="0" w:space="0" w:color="auto"/>
        <w:right w:val="none" w:sz="0" w:space="0" w:color="auto"/>
      </w:divBdr>
    </w:div>
    <w:div w:id="544175099">
      <w:bodyDiv w:val="1"/>
      <w:marLeft w:val="0"/>
      <w:marRight w:val="0"/>
      <w:marTop w:val="0"/>
      <w:marBottom w:val="0"/>
      <w:divBdr>
        <w:top w:val="none" w:sz="0" w:space="0" w:color="auto"/>
        <w:left w:val="none" w:sz="0" w:space="0" w:color="auto"/>
        <w:bottom w:val="none" w:sz="0" w:space="0" w:color="auto"/>
        <w:right w:val="none" w:sz="0" w:space="0" w:color="auto"/>
      </w:divBdr>
    </w:div>
    <w:div w:id="545722125">
      <w:bodyDiv w:val="1"/>
      <w:marLeft w:val="0"/>
      <w:marRight w:val="0"/>
      <w:marTop w:val="0"/>
      <w:marBottom w:val="0"/>
      <w:divBdr>
        <w:top w:val="none" w:sz="0" w:space="0" w:color="auto"/>
        <w:left w:val="none" w:sz="0" w:space="0" w:color="auto"/>
        <w:bottom w:val="none" w:sz="0" w:space="0" w:color="auto"/>
        <w:right w:val="none" w:sz="0" w:space="0" w:color="auto"/>
      </w:divBdr>
    </w:div>
    <w:div w:id="565409223">
      <w:bodyDiv w:val="1"/>
      <w:marLeft w:val="0"/>
      <w:marRight w:val="0"/>
      <w:marTop w:val="0"/>
      <w:marBottom w:val="0"/>
      <w:divBdr>
        <w:top w:val="none" w:sz="0" w:space="0" w:color="auto"/>
        <w:left w:val="none" w:sz="0" w:space="0" w:color="auto"/>
        <w:bottom w:val="none" w:sz="0" w:space="0" w:color="auto"/>
        <w:right w:val="none" w:sz="0" w:space="0" w:color="auto"/>
      </w:divBdr>
    </w:div>
    <w:div w:id="568031311">
      <w:bodyDiv w:val="1"/>
      <w:marLeft w:val="0"/>
      <w:marRight w:val="0"/>
      <w:marTop w:val="0"/>
      <w:marBottom w:val="0"/>
      <w:divBdr>
        <w:top w:val="none" w:sz="0" w:space="0" w:color="auto"/>
        <w:left w:val="none" w:sz="0" w:space="0" w:color="auto"/>
        <w:bottom w:val="none" w:sz="0" w:space="0" w:color="auto"/>
        <w:right w:val="none" w:sz="0" w:space="0" w:color="auto"/>
      </w:divBdr>
    </w:div>
    <w:div w:id="571088376">
      <w:bodyDiv w:val="1"/>
      <w:marLeft w:val="0"/>
      <w:marRight w:val="0"/>
      <w:marTop w:val="0"/>
      <w:marBottom w:val="0"/>
      <w:divBdr>
        <w:top w:val="none" w:sz="0" w:space="0" w:color="auto"/>
        <w:left w:val="none" w:sz="0" w:space="0" w:color="auto"/>
        <w:bottom w:val="none" w:sz="0" w:space="0" w:color="auto"/>
        <w:right w:val="none" w:sz="0" w:space="0" w:color="auto"/>
      </w:divBdr>
    </w:div>
    <w:div w:id="575474996">
      <w:bodyDiv w:val="1"/>
      <w:marLeft w:val="0"/>
      <w:marRight w:val="0"/>
      <w:marTop w:val="0"/>
      <w:marBottom w:val="0"/>
      <w:divBdr>
        <w:top w:val="none" w:sz="0" w:space="0" w:color="auto"/>
        <w:left w:val="none" w:sz="0" w:space="0" w:color="auto"/>
        <w:bottom w:val="none" w:sz="0" w:space="0" w:color="auto"/>
        <w:right w:val="none" w:sz="0" w:space="0" w:color="auto"/>
      </w:divBdr>
    </w:div>
    <w:div w:id="578637356">
      <w:bodyDiv w:val="1"/>
      <w:marLeft w:val="0"/>
      <w:marRight w:val="0"/>
      <w:marTop w:val="0"/>
      <w:marBottom w:val="0"/>
      <w:divBdr>
        <w:top w:val="none" w:sz="0" w:space="0" w:color="auto"/>
        <w:left w:val="none" w:sz="0" w:space="0" w:color="auto"/>
        <w:bottom w:val="none" w:sz="0" w:space="0" w:color="auto"/>
        <w:right w:val="none" w:sz="0" w:space="0" w:color="auto"/>
      </w:divBdr>
    </w:div>
    <w:div w:id="586350697">
      <w:bodyDiv w:val="1"/>
      <w:marLeft w:val="0"/>
      <w:marRight w:val="0"/>
      <w:marTop w:val="0"/>
      <w:marBottom w:val="0"/>
      <w:divBdr>
        <w:top w:val="none" w:sz="0" w:space="0" w:color="auto"/>
        <w:left w:val="none" w:sz="0" w:space="0" w:color="auto"/>
        <w:bottom w:val="none" w:sz="0" w:space="0" w:color="auto"/>
        <w:right w:val="none" w:sz="0" w:space="0" w:color="auto"/>
      </w:divBdr>
    </w:div>
    <w:div w:id="605189019">
      <w:bodyDiv w:val="1"/>
      <w:marLeft w:val="0"/>
      <w:marRight w:val="0"/>
      <w:marTop w:val="0"/>
      <w:marBottom w:val="0"/>
      <w:divBdr>
        <w:top w:val="none" w:sz="0" w:space="0" w:color="auto"/>
        <w:left w:val="none" w:sz="0" w:space="0" w:color="auto"/>
        <w:bottom w:val="none" w:sz="0" w:space="0" w:color="auto"/>
        <w:right w:val="none" w:sz="0" w:space="0" w:color="auto"/>
      </w:divBdr>
    </w:div>
    <w:div w:id="613369726">
      <w:bodyDiv w:val="1"/>
      <w:marLeft w:val="0"/>
      <w:marRight w:val="0"/>
      <w:marTop w:val="0"/>
      <w:marBottom w:val="0"/>
      <w:divBdr>
        <w:top w:val="none" w:sz="0" w:space="0" w:color="auto"/>
        <w:left w:val="none" w:sz="0" w:space="0" w:color="auto"/>
        <w:bottom w:val="none" w:sz="0" w:space="0" w:color="auto"/>
        <w:right w:val="none" w:sz="0" w:space="0" w:color="auto"/>
      </w:divBdr>
    </w:div>
    <w:div w:id="613444832">
      <w:bodyDiv w:val="1"/>
      <w:marLeft w:val="0"/>
      <w:marRight w:val="0"/>
      <w:marTop w:val="0"/>
      <w:marBottom w:val="0"/>
      <w:divBdr>
        <w:top w:val="none" w:sz="0" w:space="0" w:color="auto"/>
        <w:left w:val="none" w:sz="0" w:space="0" w:color="auto"/>
        <w:bottom w:val="none" w:sz="0" w:space="0" w:color="auto"/>
        <w:right w:val="none" w:sz="0" w:space="0" w:color="auto"/>
      </w:divBdr>
    </w:div>
    <w:div w:id="620721616">
      <w:bodyDiv w:val="1"/>
      <w:marLeft w:val="0"/>
      <w:marRight w:val="0"/>
      <w:marTop w:val="0"/>
      <w:marBottom w:val="0"/>
      <w:divBdr>
        <w:top w:val="none" w:sz="0" w:space="0" w:color="auto"/>
        <w:left w:val="none" w:sz="0" w:space="0" w:color="auto"/>
        <w:bottom w:val="none" w:sz="0" w:space="0" w:color="auto"/>
        <w:right w:val="none" w:sz="0" w:space="0" w:color="auto"/>
      </w:divBdr>
    </w:div>
    <w:div w:id="627128056">
      <w:bodyDiv w:val="1"/>
      <w:marLeft w:val="0"/>
      <w:marRight w:val="0"/>
      <w:marTop w:val="0"/>
      <w:marBottom w:val="0"/>
      <w:divBdr>
        <w:top w:val="none" w:sz="0" w:space="0" w:color="auto"/>
        <w:left w:val="none" w:sz="0" w:space="0" w:color="auto"/>
        <w:bottom w:val="none" w:sz="0" w:space="0" w:color="auto"/>
        <w:right w:val="none" w:sz="0" w:space="0" w:color="auto"/>
      </w:divBdr>
    </w:div>
    <w:div w:id="628709692">
      <w:bodyDiv w:val="1"/>
      <w:marLeft w:val="0"/>
      <w:marRight w:val="0"/>
      <w:marTop w:val="0"/>
      <w:marBottom w:val="0"/>
      <w:divBdr>
        <w:top w:val="none" w:sz="0" w:space="0" w:color="auto"/>
        <w:left w:val="none" w:sz="0" w:space="0" w:color="auto"/>
        <w:bottom w:val="none" w:sz="0" w:space="0" w:color="auto"/>
        <w:right w:val="none" w:sz="0" w:space="0" w:color="auto"/>
      </w:divBdr>
    </w:div>
    <w:div w:id="632061203">
      <w:bodyDiv w:val="1"/>
      <w:marLeft w:val="0"/>
      <w:marRight w:val="0"/>
      <w:marTop w:val="0"/>
      <w:marBottom w:val="0"/>
      <w:divBdr>
        <w:top w:val="none" w:sz="0" w:space="0" w:color="auto"/>
        <w:left w:val="none" w:sz="0" w:space="0" w:color="auto"/>
        <w:bottom w:val="none" w:sz="0" w:space="0" w:color="auto"/>
        <w:right w:val="none" w:sz="0" w:space="0" w:color="auto"/>
      </w:divBdr>
    </w:div>
    <w:div w:id="637298233">
      <w:bodyDiv w:val="1"/>
      <w:marLeft w:val="0"/>
      <w:marRight w:val="0"/>
      <w:marTop w:val="0"/>
      <w:marBottom w:val="0"/>
      <w:divBdr>
        <w:top w:val="none" w:sz="0" w:space="0" w:color="auto"/>
        <w:left w:val="none" w:sz="0" w:space="0" w:color="auto"/>
        <w:bottom w:val="none" w:sz="0" w:space="0" w:color="auto"/>
        <w:right w:val="none" w:sz="0" w:space="0" w:color="auto"/>
      </w:divBdr>
    </w:div>
    <w:div w:id="651520560">
      <w:bodyDiv w:val="1"/>
      <w:marLeft w:val="0"/>
      <w:marRight w:val="0"/>
      <w:marTop w:val="0"/>
      <w:marBottom w:val="0"/>
      <w:divBdr>
        <w:top w:val="none" w:sz="0" w:space="0" w:color="auto"/>
        <w:left w:val="none" w:sz="0" w:space="0" w:color="auto"/>
        <w:bottom w:val="none" w:sz="0" w:space="0" w:color="auto"/>
        <w:right w:val="none" w:sz="0" w:space="0" w:color="auto"/>
      </w:divBdr>
    </w:div>
    <w:div w:id="668017964">
      <w:bodyDiv w:val="1"/>
      <w:marLeft w:val="0"/>
      <w:marRight w:val="0"/>
      <w:marTop w:val="0"/>
      <w:marBottom w:val="0"/>
      <w:divBdr>
        <w:top w:val="none" w:sz="0" w:space="0" w:color="auto"/>
        <w:left w:val="none" w:sz="0" w:space="0" w:color="auto"/>
        <w:bottom w:val="none" w:sz="0" w:space="0" w:color="auto"/>
        <w:right w:val="none" w:sz="0" w:space="0" w:color="auto"/>
      </w:divBdr>
    </w:div>
    <w:div w:id="669210365">
      <w:bodyDiv w:val="1"/>
      <w:marLeft w:val="0"/>
      <w:marRight w:val="0"/>
      <w:marTop w:val="0"/>
      <w:marBottom w:val="0"/>
      <w:divBdr>
        <w:top w:val="none" w:sz="0" w:space="0" w:color="auto"/>
        <w:left w:val="none" w:sz="0" w:space="0" w:color="auto"/>
        <w:bottom w:val="none" w:sz="0" w:space="0" w:color="auto"/>
        <w:right w:val="none" w:sz="0" w:space="0" w:color="auto"/>
      </w:divBdr>
    </w:div>
    <w:div w:id="673534893">
      <w:bodyDiv w:val="1"/>
      <w:marLeft w:val="0"/>
      <w:marRight w:val="0"/>
      <w:marTop w:val="0"/>
      <w:marBottom w:val="0"/>
      <w:divBdr>
        <w:top w:val="none" w:sz="0" w:space="0" w:color="auto"/>
        <w:left w:val="none" w:sz="0" w:space="0" w:color="auto"/>
        <w:bottom w:val="none" w:sz="0" w:space="0" w:color="auto"/>
        <w:right w:val="none" w:sz="0" w:space="0" w:color="auto"/>
      </w:divBdr>
    </w:div>
    <w:div w:id="674958345">
      <w:bodyDiv w:val="1"/>
      <w:marLeft w:val="0"/>
      <w:marRight w:val="0"/>
      <w:marTop w:val="0"/>
      <w:marBottom w:val="0"/>
      <w:divBdr>
        <w:top w:val="none" w:sz="0" w:space="0" w:color="auto"/>
        <w:left w:val="none" w:sz="0" w:space="0" w:color="auto"/>
        <w:bottom w:val="none" w:sz="0" w:space="0" w:color="auto"/>
        <w:right w:val="none" w:sz="0" w:space="0" w:color="auto"/>
      </w:divBdr>
    </w:div>
    <w:div w:id="685718563">
      <w:bodyDiv w:val="1"/>
      <w:marLeft w:val="0"/>
      <w:marRight w:val="0"/>
      <w:marTop w:val="0"/>
      <w:marBottom w:val="0"/>
      <w:divBdr>
        <w:top w:val="none" w:sz="0" w:space="0" w:color="auto"/>
        <w:left w:val="none" w:sz="0" w:space="0" w:color="auto"/>
        <w:bottom w:val="none" w:sz="0" w:space="0" w:color="auto"/>
        <w:right w:val="none" w:sz="0" w:space="0" w:color="auto"/>
      </w:divBdr>
    </w:div>
    <w:div w:id="694307559">
      <w:bodyDiv w:val="1"/>
      <w:marLeft w:val="0"/>
      <w:marRight w:val="0"/>
      <w:marTop w:val="0"/>
      <w:marBottom w:val="0"/>
      <w:divBdr>
        <w:top w:val="none" w:sz="0" w:space="0" w:color="auto"/>
        <w:left w:val="none" w:sz="0" w:space="0" w:color="auto"/>
        <w:bottom w:val="none" w:sz="0" w:space="0" w:color="auto"/>
        <w:right w:val="none" w:sz="0" w:space="0" w:color="auto"/>
      </w:divBdr>
    </w:div>
    <w:div w:id="695234450">
      <w:bodyDiv w:val="1"/>
      <w:marLeft w:val="0"/>
      <w:marRight w:val="0"/>
      <w:marTop w:val="0"/>
      <w:marBottom w:val="0"/>
      <w:divBdr>
        <w:top w:val="none" w:sz="0" w:space="0" w:color="auto"/>
        <w:left w:val="none" w:sz="0" w:space="0" w:color="auto"/>
        <w:bottom w:val="none" w:sz="0" w:space="0" w:color="auto"/>
        <w:right w:val="none" w:sz="0" w:space="0" w:color="auto"/>
      </w:divBdr>
    </w:div>
    <w:div w:id="705056769">
      <w:bodyDiv w:val="1"/>
      <w:marLeft w:val="0"/>
      <w:marRight w:val="0"/>
      <w:marTop w:val="0"/>
      <w:marBottom w:val="0"/>
      <w:divBdr>
        <w:top w:val="none" w:sz="0" w:space="0" w:color="auto"/>
        <w:left w:val="none" w:sz="0" w:space="0" w:color="auto"/>
        <w:bottom w:val="none" w:sz="0" w:space="0" w:color="auto"/>
        <w:right w:val="none" w:sz="0" w:space="0" w:color="auto"/>
      </w:divBdr>
    </w:div>
    <w:div w:id="706561074">
      <w:bodyDiv w:val="1"/>
      <w:marLeft w:val="0"/>
      <w:marRight w:val="0"/>
      <w:marTop w:val="0"/>
      <w:marBottom w:val="0"/>
      <w:divBdr>
        <w:top w:val="none" w:sz="0" w:space="0" w:color="auto"/>
        <w:left w:val="none" w:sz="0" w:space="0" w:color="auto"/>
        <w:bottom w:val="none" w:sz="0" w:space="0" w:color="auto"/>
        <w:right w:val="none" w:sz="0" w:space="0" w:color="auto"/>
      </w:divBdr>
    </w:div>
    <w:div w:id="711197820">
      <w:bodyDiv w:val="1"/>
      <w:marLeft w:val="0"/>
      <w:marRight w:val="0"/>
      <w:marTop w:val="0"/>
      <w:marBottom w:val="0"/>
      <w:divBdr>
        <w:top w:val="none" w:sz="0" w:space="0" w:color="auto"/>
        <w:left w:val="none" w:sz="0" w:space="0" w:color="auto"/>
        <w:bottom w:val="none" w:sz="0" w:space="0" w:color="auto"/>
        <w:right w:val="none" w:sz="0" w:space="0" w:color="auto"/>
      </w:divBdr>
    </w:div>
    <w:div w:id="712584438">
      <w:bodyDiv w:val="1"/>
      <w:marLeft w:val="0"/>
      <w:marRight w:val="0"/>
      <w:marTop w:val="0"/>
      <w:marBottom w:val="0"/>
      <w:divBdr>
        <w:top w:val="none" w:sz="0" w:space="0" w:color="auto"/>
        <w:left w:val="none" w:sz="0" w:space="0" w:color="auto"/>
        <w:bottom w:val="none" w:sz="0" w:space="0" w:color="auto"/>
        <w:right w:val="none" w:sz="0" w:space="0" w:color="auto"/>
      </w:divBdr>
    </w:div>
    <w:div w:id="713114588">
      <w:bodyDiv w:val="1"/>
      <w:marLeft w:val="0"/>
      <w:marRight w:val="0"/>
      <w:marTop w:val="0"/>
      <w:marBottom w:val="0"/>
      <w:divBdr>
        <w:top w:val="none" w:sz="0" w:space="0" w:color="auto"/>
        <w:left w:val="none" w:sz="0" w:space="0" w:color="auto"/>
        <w:bottom w:val="none" w:sz="0" w:space="0" w:color="auto"/>
        <w:right w:val="none" w:sz="0" w:space="0" w:color="auto"/>
      </w:divBdr>
    </w:div>
    <w:div w:id="721563416">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5836652">
      <w:bodyDiv w:val="1"/>
      <w:marLeft w:val="0"/>
      <w:marRight w:val="0"/>
      <w:marTop w:val="0"/>
      <w:marBottom w:val="0"/>
      <w:divBdr>
        <w:top w:val="none" w:sz="0" w:space="0" w:color="auto"/>
        <w:left w:val="none" w:sz="0" w:space="0" w:color="auto"/>
        <w:bottom w:val="none" w:sz="0" w:space="0" w:color="auto"/>
        <w:right w:val="none" w:sz="0" w:space="0" w:color="auto"/>
      </w:divBdr>
    </w:div>
    <w:div w:id="740519225">
      <w:bodyDiv w:val="1"/>
      <w:marLeft w:val="0"/>
      <w:marRight w:val="0"/>
      <w:marTop w:val="0"/>
      <w:marBottom w:val="0"/>
      <w:divBdr>
        <w:top w:val="none" w:sz="0" w:space="0" w:color="auto"/>
        <w:left w:val="none" w:sz="0" w:space="0" w:color="auto"/>
        <w:bottom w:val="none" w:sz="0" w:space="0" w:color="auto"/>
        <w:right w:val="none" w:sz="0" w:space="0" w:color="auto"/>
      </w:divBdr>
    </w:div>
    <w:div w:id="749621064">
      <w:bodyDiv w:val="1"/>
      <w:marLeft w:val="0"/>
      <w:marRight w:val="0"/>
      <w:marTop w:val="0"/>
      <w:marBottom w:val="0"/>
      <w:divBdr>
        <w:top w:val="none" w:sz="0" w:space="0" w:color="auto"/>
        <w:left w:val="none" w:sz="0" w:space="0" w:color="auto"/>
        <w:bottom w:val="none" w:sz="0" w:space="0" w:color="auto"/>
        <w:right w:val="none" w:sz="0" w:space="0" w:color="auto"/>
      </w:divBdr>
    </w:div>
    <w:div w:id="751779921">
      <w:bodyDiv w:val="1"/>
      <w:marLeft w:val="0"/>
      <w:marRight w:val="0"/>
      <w:marTop w:val="0"/>
      <w:marBottom w:val="0"/>
      <w:divBdr>
        <w:top w:val="none" w:sz="0" w:space="0" w:color="auto"/>
        <w:left w:val="none" w:sz="0" w:space="0" w:color="auto"/>
        <w:bottom w:val="none" w:sz="0" w:space="0" w:color="auto"/>
        <w:right w:val="none" w:sz="0" w:space="0" w:color="auto"/>
      </w:divBdr>
    </w:div>
    <w:div w:id="755515835">
      <w:bodyDiv w:val="1"/>
      <w:marLeft w:val="0"/>
      <w:marRight w:val="0"/>
      <w:marTop w:val="0"/>
      <w:marBottom w:val="0"/>
      <w:divBdr>
        <w:top w:val="none" w:sz="0" w:space="0" w:color="auto"/>
        <w:left w:val="none" w:sz="0" w:space="0" w:color="auto"/>
        <w:bottom w:val="none" w:sz="0" w:space="0" w:color="auto"/>
        <w:right w:val="none" w:sz="0" w:space="0" w:color="auto"/>
      </w:divBdr>
    </w:div>
    <w:div w:id="760223142">
      <w:bodyDiv w:val="1"/>
      <w:marLeft w:val="0"/>
      <w:marRight w:val="0"/>
      <w:marTop w:val="0"/>
      <w:marBottom w:val="0"/>
      <w:divBdr>
        <w:top w:val="none" w:sz="0" w:space="0" w:color="auto"/>
        <w:left w:val="none" w:sz="0" w:space="0" w:color="auto"/>
        <w:bottom w:val="none" w:sz="0" w:space="0" w:color="auto"/>
        <w:right w:val="none" w:sz="0" w:space="0" w:color="auto"/>
      </w:divBdr>
    </w:div>
    <w:div w:id="761797663">
      <w:bodyDiv w:val="1"/>
      <w:marLeft w:val="0"/>
      <w:marRight w:val="0"/>
      <w:marTop w:val="0"/>
      <w:marBottom w:val="0"/>
      <w:divBdr>
        <w:top w:val="none" w:sz="0" w:space="0" w:color="auto"/>
        <w:left w:val="none" w:sz="0" w:space="0" w:color="auto"/>
        <w:bottom w:val="none" w:sz="0" w:space="0" w:color="auto"/>
        <w:right w:val="none" w:sz="0" w:space="0" w:color="auto"/>
      </w:divBdr>
    </w:div>
    <w:div w:id="767506138">
      <w:bodyDiv w:val="1"/>
      <w:marLeft w:val="0"/>
      <w:marRight w:val="0"/>
      <w:marTop w:val="0"/>
      <w:marBottom w:val="0"/>
      <w:divBdr>
        <w:top w:val="none" w:sz="0" w:space="0" w:color="auto"/>
        <w:left w:val="none" w:sz="0" w:space="0" w:color="auto"/>
        <w:bottom w:val="none" w:sz="0" w:space="0" w:color="auto"/>
        <w:right w:val="none" w:sz="0" w:space="0" w:color="auto"/>
      </w:divBdr>
    </w:div>
    <w:div w:id="771246701">
      <w:bodyDiv w:val="1"/>
      <w:marLeft w:val="0"/>
      <w:marRight w:val="0"/>
      <w:marTop w:val="0"/>
      <w:marBottom w:val="0"/>
      <w:divBdr>
        <w:top w:val="none" w:sz="0" w:space="0" w:color="auto"/>
        <w:left w:val="none" w:sz="0" w:space="0" w:color="auto"/>
        <w:bottom w:val="none" w:sz="0" w:space="0" w:color="auto"/>
        <w:right w:val="none" w:sz="0" w:space="0" w:color="auto"/>
      </w:divBdr>
    </w:div>
    <w:div w:id="775833206">
      <w:bodyDiv w:val="1"/>
      <w:marLeft w:val="0"/>
      <w:marRight w:val="0"/>
      <w:marTop w:val="0"/>
      <w:marBottom w:val="0"/>
      <w:divBdr>
        <w:top w:val="none" w:sz="0" w:space="0" w:color="auto"/>
        <w:left w:val="none" w:sz="0" w:space="0" w:color="auto"/>
        <w:bottom w:val="none" w:sz="0" w:space="0" w:color="auto"/>
        <w:right w:val="none" w:sz="0" w:space="0" w:color="auto"/>
      </w:divBdr>
    </w:div>
    <w:div w:id="779420657">
      <w:bodyDiv w:val="1"/>
      <w:marLeft w:val="0"/>
      <w:marRight w:val="0"/>
      <w:marTop w:val="0"/>
      <w:marBottom w:val="0"/>
      <w:divBdr>
        <w:top w:val="none" w:sz="0" w:space="0" w:color="auto"/>
        <w:left w:val="none" w:sz="0" w:space="0" w:color="auto"/>
        <w:bottom w:val="none" w:sz="0" w:space="0" w:color="auto"/>
        <w:right w:val="none" w:sz="0" w:space="0" w:color="auto"/>
      </w:divBdr>
    </w:div>
    <w:div w:id="784274669">
      <w:bodyDiv w:val="1"/>
      <w:marLeft w:val="0"/>
      <w:marRight w:val="0"/>
      <w:marTop w:val="0"/>
      <w:marBottom w:val="0"/>
      <w:divBdr>
        <w:top w:val="none" w:sz="0" w:space="0" w:color="auto"/>
        <w:left w:val="none" w:sz="0" w:space="0" w:color="auto"/>
        <w:bottom w:val="none" w:sz="0" w:space="0" w:color="auto"/>
        <w:right w:val="none" w:sz="0" w:space="0" w:color="auto"/>
      </w:divBdr>
    </w:div>
    <w:div w:id="787622050">
      <w:bodyDiv w:val="1"/>
      <w:marLeft w:val="0"/>
      <w:marRight w:val="0"/>
      <w:marTop w:val="0"/>
      <w:marBottom w:val="0"/>
      <w:divBdr>
        <w:top w:val="none" w:sz="0" w:space="0" w:color="auto"/>
        <w:left w:val="none" w:sz="0" w:space="0" w:color="auto"/>
        <w:bottom w:val="none" w:sz="0" w:space="0" w:color="auto"/>
        <w:right w:val="none" w:sz="0" w:space="0" w:color="auto"/>
      </w:divBdr>
    </w:div>
    <w:div w:id="793254893">
      <w:bodyDiv w:val="1"/>
      <w:marLeft w:val="0"/>
      <w:marRight w:val="0"/>
      <w:marTop w:val="0"/>
      <w:marBottom w:val="0"/>
      <w:divBdr>
        <w:top w:val="none" w:sz="0" w:space="0" w:color="auto"/>
        <w:left w:val="none" w:sz="0" w:space="0" w:color="auto"/>
        <w:bottom w:val="none" w:sz="0" w:space="0" w:color="auto"/>
        <w:right w:val="none" w:sz="0" w:space="0" w:color="auto"/>
      </w:divBdr>
    </w:div>
    <w:div w:id="795176667">
      <w:bodyDiv w:val="1"/>
      <w:marLeft w:val="0"/>
      <w:marRight w:val="0"/>
      <w:marTop w:val="0"/>
      <w:marBottom w:val="0"/>
      <w:divBdr>
        <w:top w:val="none" w:sz="0" w:space="0" w:color="auto"/>
        <w:left w:val="none" w:sz="0" w:space="0" w:color="auto"/>
        <w:bottom w:val="none" w:sz="0" w:space="0" w:color="auto"/>
        <w:right w:val="none" w:sz="0" w:space="0" w:color="auto"/>
      </w:divBdr>
    </w:div>
    <w:div w:id="803737037">
      <w:bodyDiv w:val="1"/>
      <w:marLeft w:val="0"/>
      <w:marRight w:val="0"/>
      <w:marTop w:val="0"/>
      <w:marBottom w:val="0"/>
      <w:divBdr>
        <w:top w:val="none" w:sz="0" w:space="0" w:color="auto"/>
        <w:left w:val="none" w:sz="0" w:space="0" w:color="auto"/>
        <w:bottom w:val="none" w:sz="0" w:space="0" w:color="auto"/>
        <w:right w:val="none" w:sz="0" w:space="0" w:color="auto"/>
      </w:divBdr>
    </w:div>
    <w:div w:id="807430995">
      <w:bodyDiv w:val="1"/>
      <w:marLeft w:val="0"/>
      <w:marRight w:val="0"/>
      <w:marTop w:val="0"/>
      <w:marBottom w:val="0"/>
      <w:divBdr>
        <w:top w:val="none" w:sz="0" w:space="0" w:color="auto"/>
        <w:left w:val="none" w:sz="0" w:space="0" w:color="auto"/>
        <w:bottom w:val="none" w:sz="0" w:space="0" w:color="auto"/>
        <w:right w:val="none" w:sz="0" w:space="0" w:color="auto"/>
      </w:divBdr>
    </w:div>
    <w:div w:id="811405170">
      <w:bodyDiv w:val="1"/>
      <w:marLeft w:val="0"/>
      <w:marRight w:val="0"/>
      <w:marTop w:val="0"/>
      <w:marBottom w:val="0"/>
      <w:divBdr>
        <w:top w:val="none" w:sz="0" w:space="0" w:color="auto"/>
        <w:left w:val="none" w:sz="0" w:space="0" w:color="auto"/>
        <w:bottom w:val="none" w:sz="0" w:space="0" w:color="auto"/>
        <w:right w:val="none" w:sz="0" w:space="0" w:color="auto"/>
      </w:divBdr>
    </w:div>
    <w:div w:id="812333932">
      <w:bodyDiv w:val="1"/>
      <w:marLeft w:val="0"/>
      <w:marRight w:val="0"/>
      <w:marTop w:val="0"/>
      <w:marBottom w:val="0"/>
      <w:divBdr>
        <w:top w:val="none" w:sz="0" w:space="0" w:color="auto"/>
        <w:left w:val="none" w:sz="0" w:space="0" w:color="auto"/>
        <w:bottom w:val="none" w:sz="0" w:space="0" w:color="auto"/>
        <w:right w:val="none" w:sz="0" w:space="0" w:color="auto"/>
      </w:divBdr>
    </w:div>
    <w:div w:id="825974249">
      <w:bodyDiv w:val="1"/>
      <w:marLeft w:val="0"/>
      <w:marRight w:val="0"/>
      <w:marTop w:val="0"/>
      <w:marBottom w:val="0"/>
      <w:divBdr>
        <w:top w:val="none" w:sz="0" w:space="0" w:color="auto"/>
        <w:left w:val="none" w:sz="0" w:space="0" w:color="auto"/>
        <w:bottom w:val="none" w:sz="0" w:space="0" w:color="auto"/>
        <w:right w:val="none" w:sz="0" w:space="0" w:color="auto"/>
      </w:divBdr>
    </w:div>
    <w:div w:id="826938987">
      <w:bodyDiv w:val="1"/>
      <w:marLeft w:val="0"/>
      <w:marRight w:val="0"/>
      <w:marTop w:val="0"/>
      <w:marBottom w:val="0"/>
      <w:divBdr>
        <w:top w:val="none" w:sz="0" w:space="0" w:color="auto"/>
        <w:left w:val="none" w:sz="0" w:space="0" w:color="auto"/>
        <w:bottom w:val="none" w:sz="0" w:space="0" w:color="auto"/>
        <w:right w:val="none" w:sz="0" w:space="0" w:color="auto"/>
      </w:divBdr>
    </w:div>
    <w:div w:id="827206958">
      <w:bodyDiv w:val="1"/>
      <w:marLeft w:val="0"/>
      <w:marRight w:val="0"/>
      <w:marTop w:val="0"/>
      <w:marBottom w:val="0"/>
      <w:divBdr>
        <w:top w:val="none" w:sz="0" w:space="0" w:color="auto"/>
        <w:left w:val="none" w:sz="0" w:space="0" w:color="auto"/>
        <w:bottom w:val="none" w:sz="0" w:space="0" w:color="auto"/>
        <w:right w:val="none" w:sz="0" w:space="0" w:color="auto"/>
      </w:divBdr>
    </w:div>
    <w:div w:id="829633687">
      <w:bodyDiv w:val="1"/>
      <w:marLeft w:val="0"/>
      <w:marRight w:val="0"/>
      <w:marTop w:val="0"/>
      <w:marBottom w:val="0"/>
      <w:divBdr>
        <w:top w:val="none" w:sz="0" w:space="0" w:color="auto"/>
        <w:left w:val="none" w:sz="0" w:space="0" w:color="auto"/>
        <w:bottom w:val="none" w:sz="0" w:space="0" w:color="auto"/>
        <w:right w:val="none" w:sz="0" w:space="0" w:color="auto"/>
      </w:divBdr>
    </w:div>
    <w:div w:id="830025175">
      <w:bodyDiv w:val="1"/>
      <w:marLeft w:val="0"/>
      <w:marRight w:val="0"/>
      <w:marTop w:val="0"/>
      <w:marBottom w:val="0"/>
      <w:divBdr>
        <w:top w:val="none" w:sz="0" w:space="0" w:color="auto"/>
        <w:left w:val="none" w:sz="0" w:space="0" w:color="auto"/>
        <w:bottom w:val="none" w:sz="0" w:space="0" w:color="auto"/>
        <w:right w:val="none" w:sz="0" w:space="0" w:color="auto"/>
      </w:divBdr>
    </w:div>
    <w:div w:id="831264618">
      <w:bodyDiv w:val="1"/>
      <w:marLeft w:val="0"/>
      <w:marRight w:val="0"/>
      <w:marTop w:val="0"/>
      <w:marBottom w:val="0"/>
      <w:divBdr>
        <w:top w:val="none" w:sz="0" w:space="0" w:color="auto"/>
        <w:left w:val="none" w:sz="0" w:space="0" w:color="auto"/>
        <w:bottom w:val="none" w:sz="0" w:space="0" w:color="auto"/>
        <w:right w:val="none" w:sz="0" w:space="0" w:color="auto"/>
      </w:divBdr>
    </w:div>
    <w:div w:id="831993612">
      <w:bodyDiv w:val="1"/>
      <w:marLeft w:val="0"/>
      <w:marRight w:val="0"/>
      <w:marTop w:val="0"/>
      <w:marBottom w:val="0"/>
      <w:divBdr>
        <w:top w:val="none" w:sz="0" w:space="0" w:color="auto"/>
        <w:left w:val="none" w:sz="0" w:space="0" w:color="auto"/>
        <w:bottom w:val="none" w:sz="0" w:space="0" w:color="auto"/>
        <w:right w:val="none" w:sz="0" w:space="0" w:color="auto"/>
      </w:divBdr>
    </w:div>
    <w:div w:id="838468061">
      <w:bodyDiv w:val="1"/>
      <w:marLeft w:val="0"/>
      <w:marRight w:val="0"/>
      <w:marTop w:val="0"/>
      <w:marBottom w:val="0"/>
      <w:divBdr>
        <w:top w:val="none" w:sz="0" w:space="0" w:color="auto"/>
        <w:left w:val="none" w:sz="0" w:space="0" w:color="auto"/>
        <w:bottom w:val="none" w:sz="0" w:space="0" w:color="auto"/>
        <w:right w:val="none" w:sz="0" w:space="0" w:color="auto"/>
      </w:divBdr>
    </w:div>
    <w:div w:id="857235183">
      <w:bodyDiv w:val="1"/>
      <w:marLeft w:val="0"/>
      <w:marRight w:val="0"/>
      <w:marTop w:val="0"/>
      <w:marBottom w:val="0"/>
      <w:divBdr>
        <w:top w:val="none" w:sz="0" w:space="0" w:color="auto"/>
        <w:left w:val="none" w:sz="0" w:space="0" w:color="auto"/>
        <w:bottom w:val="none" w:sz="0" w:space="0" w:color="auto"/>
        <w:right w:val="none" w:sz="0" w:space="0" w:color="auto"/>
      </w:divBdr>
    </w:div>
    <w:div w:id="857355604">
      <w:bodyDiv w:val="1"/>
      <w:marLeft w:val="0"/>
      <w:marRight w:val="0"/>
      <w:marTop w:val="0"/>
      <w:marBottom w:val="0"/>
      <w:divBdr>
        <w:top w:val="none" w:sz="0" w:space="0" w:color="auto"/>
        <w:left w:val="none" w:sz="0" w:space="0" w:color="auto"/>
        <w:bottom w:val="none" w:sz="0" w:space="0" w:color="auto"/>
        <w:right w:val="none" w:sz="0" w:space="0" w:color="auto"/>
      </w:divBdr>
    </w:div>
    <w:div w:id="862598947">
      <w:bodyDiv w:val="1"/>
      <w:marLeft w:val="0"/>
      <w:marRight w:val="0"/>
      <w:marTop w:val="0"/>
      <w:marBottom w:val="0"/>
      <w:divBdr>
        <w:top w:val="none" w:sz="0" w:space="0" w:color="auto"/>
        <w:left w:val="none" w:sz="0" w:space="0" w:color="auto"/>
        <w:bottom w:val="none" w:sz="0" w:space="0" w:color="auto"/>
        <w:right w:val="none" w:sz="0" w:space="0" w:color="auto"/>
      </w:divBdr>
    </w:div>
    <w:div w:id="865796816">
      <w:bodyDiv w:val="1"/>
      <w:marLeft w:val="0"/>
      <w:marRight w:val="0"/>
      <w:marTop w:val="0"/>
      <w:marBottom w:val="0"/>
      <w:divBdr>
        <w:top w:val="none" w:sz="0" w:space="0" w:color="auto"/>
        <w:left w:val="none" w:sz="0" w:space="0" w:color="auto"/>
        <w:bottom w:val="none" w:sz="0" w:space="0" w:color="auto"/>
        <w:right w:val="none" w:sz="0" w:space="0" w:color="auto"/>
      </w:divBdr>
    </w:div>
    <w:div w:id="868030167">
      <w:bodyDiv w:val="1"/>
      <w:marLeft w:val="0"/>
      <w:marRight w:val="0"/>
      <w:marTop w:val="0"/>
      <w:marBottom w:val="0"/>
      <w:divBdr>
        <w:top w:val="none" w:sz="0" w:space="0" w:color="auto"/>
        <w:left w:val="none" w:sz="0" w:space="0" w:color="auto"/>
        <w:bottom w:val="none" w:sz="0" w:space="0" w:color="auto"/>
        <w:right w:val="none" w:sz="0" w:space="0" w:color="auto"/>
      </w:divBdr>
    </w:div>
    <w:div w:id="870413427">
      <w:bodyDiv w:val="1"/>
      <w:marLeft w:val="0"/>
      <w:marRight w:val="0"/>
      <w:marTop w:val="0"/>
      <w:marBottom w:val="0"/>
      <w:divBdr>
        <w:top w:val="none" w:sz="0" w:space="0" w:color="auto"/>
        <w:left w:val="none" w:sz="0" w:space="0" w:color="auto"/>
        <w:bottom w:val="none" w:sz="0" w:space="0" w:color="auto"/>
        <w:right w:val="none" w:sz="0" w:space="0" w:color="auto"/>
      </w:divBdr>
    </w:div>
    <w:div w:id="870799923">
      <w:bodyDiv w:val="1"/>
      <w:marLeft w:val="0"/>
      <w:marRight w:val="0"/>
      <w:marTop w:val="0"/>
      <w:marBottom w:val="0"/>
      <w:divBdr>
        <w:top w:val="none" w:sz="0" w:space="0" w:color="auto"/>
        <w:left w:val="none" w:sz="0" w:space="0" w:color="auto"/>
        <w:bottom w:val="none" w:sz="0" w:space="0" w:color="auto"/>
        <w:right w:val="none" w:sz="0" w:space="0" w:color="auto"/>
      </w:divBdr>
    </w:div>
    <w:div w:id="874201066">
      <w:bodyDiv w:val="1"/>
      <w:marLeft w:val="0"/>
      <w:marRight w:val="0"/>
      <w:marTop w:val="0"/>
      <w:marBottom w:val="0"/>
      <w:divBdr>
        <w:top w:val="none" w:sz="0" w:space="0" w:color="auto"/>
        <w:left w:val="none" w:sz="0" w:space="0" w:color="auto"/>
        <w:bottom w:val="none" w:sz="0" w:space="0" w:color="auto"/>
        <w:right w:val="none" w:sz="0" w:space="0" w:color="auto"/>
      </w:divBdr>
    </w:div>
    <w:div w:id="891112688">
      <w:bodyDiv w:val="1"/>
      <w:marLeft w:val="0"/>
      <w:marRight w:val="0"/>
      <w:marTop w:val="0"/>
      <w:marBottom w:val="0"/>
      <w:divBdr>
        <w:top w:val="none" w:sz="0" w:space="0" w:color="auto"/>
        <w:left w:val="none" w:sz="0" w:space="0" w:color="auto"/>
        <w:bottom w:val="none" w:sz="0" w:space="0" w:color="auto"/>
        <w:right w:val="none" w:sz="0" w:space="0" w:color="auto"/>
      </w:divBdr>
    </w:div>
    <w:div w:id="901528247">
      <w:bodyDiv w:val="1"/>
      <w:marLeft w:val="0"/>
      <w:marRight w:val="0"/>
      <w:marTop w:val="0"/>
      <w:marBottom w:val="0"/>
      <w:divBdr>
        <w:top w:val="none" w:sz="0" w:space="0" w:color="auto"/>
        <w:left w:val="none" w:sz="0" w:space="0" w:color="auto"/>
        <w:bottom w:val="none" w:sz="0" w:space="0" w:color="auto"/>
        <w:right w:val="none" w:sz="0" w:space="0" w:color="auto"/>
      </w:divBdr>
    </w:div>
    <w:div w:id="903839122">
      <w:bodyDiv w:val="1"/>
      <w:marLeft w:val="0"/>
      <w:marRight w:val="0"/>
      <w:marTop w:val="0"/>
      <w:marBottom w:val="0"/>
      <w:divBdr>
        <w:top w:val="none" w:sz="0" w:space="0" w:color="auto"/>
        <w:left w:val="none" w:sz="0" w:space="0" w:color="auto"/>
        <w:bottom w:val="none" w:sz="0" w:space="0" w:color="auto"/>
        <w:right w:val="none" w:sz="0" w:space="0" w:color="auto"/>
      </w:divBdr>
    </w:div>
    <w:div w:id="905073253">
      <w:bodyDiv w:val="1"/>
      <w:marLeft w:val="0"/>
      <w:marRight w:val="0"/>
      <w:marTop w:val="0"/>
      <w:marBottom w:val="0"/>
      <w:divBdr>
        <w:top w:val="none" w:sz="0" w:space="0" w:color="auto"/>
        <w:left w:val="none" w:sz="0" w:space="0" w:color="auto"/>
        <w:bottom w:val="none" w:sz="0" w:space="0" w:color="auto"/>
        <w:right w:val="none" w:sz="0" w:space="0" w:color="auto"/>
      </w:divBdr>
    </w:div>
    <w:div w:id="914319395">
      <w:bodyDiv w:val="1"/>
      <w:marLeft w:val="0"/>
      <w:marRight w:val="0"/>
      <w:marTop w:val="0"/>
      <w:marBottom w:val="0"/>
      <w:divBdr>
        <w:top w:val="none" w:sz="0" w:space="0" w:color="auto"/>
        <w:left w:val="none" w:sz="0" w:space="0" w:color="auto"/>
        <w:bottom w:val="none" w:sz="0" w:space="0" w:color="auto"/>
        <w:right w:val="none" w:sz="0" w:space="0" w:color="auto"/>
      </w:divBdr>
    </w:div>
    <w:div w:id="917520027">
      <w:bodyDiv w:val="1"/>
      <w:marLeft w:val="0"/>
      <w:marRight w:val="0"/>
      <w:marTop w:val="0"/>
      <w:marBottom w:val="0"/>
      <w:divBdr>
        <w:top w:val="none" w:sz="0" w:space="0" w:color="auto"/>
        <w:left w:val="none" w:sz="0" w:space="0" w:color="auto"/>
        <w:bottom w:val="none" w:sz="0" w:space="0" w:color="auto"/>
        <w:right w:val="none" w:sz="0" w:space="0" w:color="auto"/>
      </w:divBdr>
    </w:div>
    <w:div w:id="923956005">
      <w:bodyDiv w:val="1"/>
      <w:marLeft w:val="0"/>
      <w:marRight w:val="0"/>
      <w:marTop w:val="0"/>
      <w:marBottom w:val="0"/>
      <w:divBdr>
        <w:top w:val="none" w:sz="0" w:space="0" w:color="auto"/>
        <w:left w:val="none" w:sz="0" w:space="0" w:color="auto"/>
        <w:bottom w:val="none" w:sz="0" w:space="0" w:color="auto"/>
        <w:right w:val="none" w:sz="0" w:space="0" w:color="auto"/>
      </w:divBdr>
    </w:div>
    <w:div w:id="932862996">
      <w:bodyDiv w:val="1"/>
      <w:marLeft w:val="0"/>
      <w:marRight w:val="0"/>
      <w:marTop w:val="0"/>
      <w:marBottom w:val="0"/>
      <w:divBdr>
        <w:top w:val="none" w:sz="0" w:space="0" w:color="auto"/>
        <w:left w:val="none" w:sz="0" w:space="0" w:color="auto"/>
        <w:bottom w:val="none" w:sz="0" w:space="0" w:color="auto"/>
        <w:right w:val="none" w:sz="0" w:space="0" w:color="auto"/>
      </w:divBdr>
    </w:div>
    <w:div w:id="934091392">
      <w:bodyDiv w:val="1"/>
      <w:marLeft w:val="0"/>
      <w:marRight w:val="0"/>
      <w:marTop w:val="0"/>
      <w:marBottom w:val="0"/>
      <w:divBdr>
        <w:top w:val="none" w:sz="0" w:space="0" w:color="auto"/>
        <w:left w:val="none" w:sz="0" w:space="0" w:color="auto"/>
        <w:bottom w:val="none" w:sz="0" w:space="0" w:color="auto"/>
        <w:right w:val="none" w:sz="0" w:space="0" w:color="auto"/>
      </w:divBdr>
    </w:div>
    <w:div w:id="935406012">
      <w:bodyDiv w:val="1"/>
      <w:marLeft w:val="0"/>
      <w:marRight w:val="0"/>
      <w:marTop w:val="0"/>
      <w:marBottom w:val="0"/>
      <w:divBdr>
        <w:top w:val="none" w:sz="0" w:space="0" w:color="auto"/>
        <w:left w:val="none" w:sz="0" w:space="0" w:color="auto"/>
        <w:bottom w:val="none" w:sz="0" w:space="0" w:color="auto"/>
        <w:right w:val="none" w:sz="0" w:space="0" w:color="auto"/>
      </w:divBdr>
    </w:div>
    <w:div w:id="936717866">
      <w:bodyDiv w:val="1"/>
      <w:marLeft w:val="0"/>
      <w:marRight w:val="0"/>
      <w:marTop w:val="0"/>
      <w:marBottom w:val="0"/>
      <w:divBdr>
        <w:top w:val="none" w:sz="0" w:space="0" w:color="auto"/>
        <w:left w:val="none" w:sz="0" w:space="0" w:color="auto"/>
        <w:bottom w:val="none" w:sz="0" w:space="0" w:color="auto"/>
        <w:right w:val="none" w:sz="0" w:space="0" w:color="auto"/>
      </w:divBdr>
    </w:div>
    <w:div w:id="943070865">
      <w:bodyDiv w:val="1"/>
      <w:marLeft w:val="0"/>
      <w:marRight w:val="0"/>
      <w:marTop w:val="0"/>
      <w:marBottom w:val="0"/>
      <w:divBdr>
        <w:top w:val="none" w:sz="0" w:space="0" w:color="auto"/>
        <w:left w:val="none" w:sz="0" w:space="0" w:color="auto"/>
        <w:bottom w:val="none" w:sz="0" w:space="0" w:color="auto"/>
        <w:right w:val="none" w:sz="0" w:space="0" w:color="auto"/>
      </w:divBdr>
    </w:div>
    <w:div w:id="951977506">
      <w:bodyDiv w:val="1"/>
      <w:marLeft w:val="0"/>
      <w:marRight w:val="0"/>
      <w:marTop w:val="0"/>
      <w:marBottom w:val="0"/>
      <w:divBdr>
        <w:top w:val="none" w:sz="0" w:space="0" w:color="auto"/>
        <w:left w:val="none" w:sz="0" w:space="0" w:color="auto"/>
        <w:bottom w:val="none" w:sz="0" w:space="0" w:color="auto"/>
        <w:right w:val="none" w:sz="0" w:space="0" w:color="auto"/>
      </w:divBdr>
    </w:div>
    <w:div w:id="958876236">
      <w:bodyDiv w:val="1"/>
      <w:marLeft w:val="0"/>
      <w:marRight w:val="0"/>
      <w:marTop w:val="0"/>
      <w:marBottom w:val="0"/>
      <w:divBdr>
        <w:top w:val="none" w:sz="0" w:space="0" w:color="auto"/>
        <w:left w:val="none" w:sz="0" w:space="0" w:color="auto"/>
        <w:bottom w:val="none" w:sz="0" w:space="0" w:color="auto"/>
        <w:right w:val="none" w:sz="0" w:space="0" w:color="auto"/>
      </w:divBdr>
    </w:div>
    <w:div w:id="959259073">
      <w:bodyDiv w:val="1"/>
      <w:marLeft w:val="0"/>
      <w:marRight w:val="0"/>
      <w:marTop w:val="0"/>
      <w:marBottom w:val="0"/>
      <w:divBdr>
        <w:top w:val="none" w:sz="0" w:space="0" w:color="auto"/>
        <w:left w:val="none" w:sz="0" w:space="0" w:color="auto"/>
        <w:bottom w:val="none" w:sz="0" w:space="0" w:color="auto"/>
        <w:right w:val="none" w:sz="0" w:space="0" w:color="auto"/>
      </w:divBdr>
    </w:div>
    <w:div w:id="969359316">
      <w:bodyDiv w:val="1"/>
      <w:marLeft w:val="0"/>
      <w:marRight w:val="0"/>
      <w:marTop w:val="0"/>
      <w:marBottom w:val="0"/>
      <w:divBdr>
        <w:top w:val="none" w:sz="0" w:space="0" w:color="auto"/>
        <w:left w:val="none" w:sz="0" w:space="0" w:color="auto"/>
        <w:bottom w:val="none" w:sz="0" w:space="0" w:color="auto"/>
        <w:right w:val="none" w:sz="0" w:space="0" w:color="auto"/>
      </w:divBdr>
    </w:div>
    <w:div w:id="96982052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828491">
      <w:bodyDiv w:val="1"/>
      <w:marLeft w:val="0"/>
      <w:marRight w:val="0"/>
      <w:marTop w:val="0"/>
      <w:marBottom w:val="0"/>
      <w:divBdr>
        <w:top w:val="none" w:sz="0" w:space="0" w:color="auto"/>
        <w:left w:val="none" w:sz="0" w:space="0" w:color="auto"/>
        <w:bottom w:val="none" w:sz="0" w:space="0" w:color="auto"/>
        <w:right w:val="none" w:sz="0" w:space="0" w:color="auto"/>
      </w:divBdr>
    </w:div>
    <w:div w:id="973876759">
      <w:bodyDiv w:val="1"/>
      <w:marLeft w:val="0"/>
      <w:marRight w:val="0"/>
      <w:marTop w:val="0"/>
      <w:marBottom w:val="0"/>
      <w:divBdr>
        <w:top w:val="none" w:sz="0" w:space="0" w:color="auto"/>
        <w:left w:val="none" w:sz="0" w:space="0" w:color="auto"/>
        <w:bottom w:val="none" w:sz="0" w:space="0" w:color="auto"/>
        <w:right w:val="none" w:sz="0" w:space="0" w:color="auto"/>
      </w:divBdr>
    </w:div>
    <w:div w:id="979112024">
      <w:bodyDiv w:val="1"/>
      <w:marLeft w:val="0"/>
      <w:marRight w:val="0"/>
      <w:marTop w:val="0"/>
      <w:marBottom w:val="0"/>
      <w:divBdr>
        <w:top w:val="none" w:sz="0" w:space="0" w:color="auto"/>
        <w:left w:val="none" w:sz="0" w:space="0" w:color="auto"/>
        <w:bottom w:val="none" w:sz="0" w:space="0" w:color="auto"/>
        <w:right w:val="none" w:sz="0" w:space="0" w:color="auto"/>
      </w:divBdr>
    </w:div>
    <w:div w:id="983584019">
      <w:bodyDiv w:val="1"/>
      <w:marLeft w:val="0"/>
      <w:marRight w:val="0"/>
      <w:marTop w:val="0"/>
      <w:marBottom w:val="0"/>
      <w:divBdr>
        <w:top w:val="none" w:sz="0" w:space="0" w:color="auto"/>
        <w:left w:val="none" w:sz="0" w:space="0" w:color="auto"/>
        <w:bottom w:val="none" w:sz="0" w:space="0" w:color="auto"/>
        <w:right w:val="none" w:sz="0" w:space="0" w:color="auto"/>
      </w:divBdr>
    </w:div>
    <w:div w:id="985012354">
      <w:bodyDiv w:val="1"/>
      <w:marLeft w:val="0"/>
      <w:marRight w:val="0"/>
      <w:marTop w:val="0"/>
      <w:marBottom w:val="0"/>
      <w:divBdr>
        <w:top w:val="none" w:sz="0" w:space="0" w:color="auto"/>
        <w:left w:val="none" w:sz="0" w:space="0" w:color="auto"/>
        <w:bottom w:val="none" w:sz="0" w:space="0" w:color="auto"/>
        <w:right w:val="none" w:sz="0" w:space="0" w:color="auto"/>
      </w:divBdr>
    </w:div>
    <w:div w:id="993028552">
      <w:bodyDiv w:val="1"/>
      <w:marLeft w:val="0"/>
      <w:marRight w:val="0"/>
      <w:marTop w:val="0"/>
      <w:marBottom w:val="0"/>
      <w:divBdr>
        <w:top w:val="none" w:sz="0" w:space="0" w:color="auto"/>
        <w:left w:val="none" w:sz="0" w:space="0" w:color="auto"/>
        <w:bottom w:val="none" w:sz="0" w:space="0" w:color="auto"/>
        <w:right w:val="none" w:sz="0" w:space="0" w:color="auto"/>
      </w:divBdr>
    </w:div>
    <w:div w:id="996109974">
      <w:bodyDiv w:val="1"/>
      <w:marLeft w:val="0"/>
      <w:marRight w:val="0"/>
      <w:marTop w:val="0"/>
      <w:marBottom w:val="0"/>
      <w:divBdr>
        <w:top w:val="none" w:sz="0" w:space="0" w:color="auto"/>
        <w:left w:val="none" w:sz="0" w:space="0" w:color="auto"/>
        <w:bottom w:val="none" w:sz="0" w:space="0" w:color="auto"/>
        <w:right w:val="none" w:sz="0" w:space="0" w:color="auto"/>
      </w:divBdr>
    </w:div>
    <w:div w:id="996348654">
      <w:bodyDiv w:val="1"/>
      <w:marLeft w:val="0"/>
      <w:marRight w:val="0"/>
      <w:marTop w:val="0"/>
      <w:marBottom w:val="0"/>
      <w:divBdr>
        <w:top w:val="none" w:sz="0" w:space="0" w:color="auto"/>
        <w:left w:val="none" w:sz="0" w:space="0" w:color="auto"/>
        <w:bottom w:val="none" w:sz="0" w:space="0" w:color="auto"/>
        <w:right w:val="none" w:sz="0" w:space="0" w:color="auto"/>
      </w:divBdr>
    </w:div>
    <w:div w:id="997657393">
      <w:bodyDiv w:val="1"/>
      <w:marLeft w:val="0"/>
      <w:marRight w:val="0"/>
      <w:marTop w:val="0"/>
      <w:marBottom w:val="0"/>
      <w:divBdr>
        <w:top w:val="none" w:sz="0" w:space="0" w:color="auto"/>
        <w:left w:val="none" w:sz="0" w:space="0" w:color="auto"/>
        <w:bottom w:val="none" w:sz="0" w:space="0" w:color="auto"/>
        <w:right w:val="none" w:sz="0" w:space="0" w:color="auto"/>
      </w:divBdr>
    </w:div>
    <w:div w:id="998844757">
      <w:bodyDiv w:val="1"/>
      <w:marLeft w:val="0"/>
      <w:marRight w:val="0"/>
      <w:marTop w:val="0"/>
      <w:marBottom w:val="0"/>
      <w:divBdr>
        <w:top w:val="none" w:sz="0" w:space="0" w:color="auto"/>
        <w:left w:val="none" w:sz="0" w:space="0" w:color="auto"/>
        <w:bottom w:val="none" w:sz="0" w:space="0" w:color="auto"/>
        <w:right w:val="none" w:sz="0" w:space="0" w:color="auto"/>
      </w:divBdr>
    </w:div>
    <w:div w:id="1001348218">
      <w:bodyDiv w:val="1"/>
      <w:marLeft w:val="0"/>
      <w:marRight w:val="0"/>
      <w:marTop w:val="0"/>
      <w:marBottom w:val="0"/>
      <w:divBdr>
        <w:top w:val="none" w:sz="0" w:space="0" w:color="auto"/>
        <w:left w:val="none" w:sz="0" w:space="0" w:color="auto"/>
        <w:bottom w:val="none" w:sz="0" w:space="0" w:color="auto"/>
        <w:right w:val="none" w:sz="0" w:space="0" w:color="auto"/>
      </w:divBdr>
    </w:div>
    <w:div w:id="1001547701">
      <w:bodyDiv w:val="1"/>
      <w:marLeft w:val="0"/>
      <w:marRight w:val="0"/>
      <w:marTop w:val="0"/>
      <w:marBottom w:val="0"/>
      <w:divBdr>
        <w:top w:val="none" w:sz="0" w:space="0" w:color="auto"/>
        <w:left w:val="none" w:sz="0" w:space="0" w:color="auto"/>
        <w:bottom w:val="none" w:sz="0" w:space="0" w:color="auto"/>
        <w:right w:val="none" w:sz="0" w:space="0" w:color="auto"/>
      </w:divBdr>
    </w:div>
    <w:div w:id="1002121922">
      <w:bodyDiv w:val="1"/>
      <w:marLeft w:val="0"/>
      <w:marRight w:val="0"/>
      <w:marTop w:val="0"/>
      <w:marBottom w:val="0"/>
      <w:divBdr>
        <w:top w:val="none" w:sz="0" w:space="0" w:color="auto"/>
        <w:left w:val="none" w:sz="0" w:space="0" w:color="auto"/>
        <w:bottom w:val="none" w:sz="0" w:space="0" w:color="auto"/>
        <w:right w:val="none" w:sz="0" w:space="0" w:color="auto"/>
      </w:divBdr>
    </w:div>
    <w:div w:id="1009409584">
      <w:bodyDiv w:val="1"/>
      <w:marLeft w:val="0"/>
      <w:marRight w:val="0"/>
      <w:marTop w:val="0"/>
      <w:marBottom w:val="0"/>
      <w:divBdr>
        <w:top w:val="none" w:sz="0" w:space="0" w:color="auto"/>
        <w:left w:val="none" w:sz="0" w:space="0" w:color="auto"/>
        <w:bottom w:val="none" w:sz="0" w:space="0" w:color="auto"/>
        <w:right w:val="none" w:sz="0" w:space="0" w:color="auto"/>
      </w:divBdr>
    </w:div>
    <w:div w:id="1014651514">
      <w:bodyDiv w:val="1"/>
      <w:marLeft w:val="0"/>
      <w:marRight w:val="0"/>
      <w:marTop w:val="0"/>
      <w:marBottom w:val="0"/>
      <w:divBdr>
        <w:top w:val="none" w:sz="0" w:space="0" w:color="auto"/>
        <w:left w:val="none" w:sz="0" w:space="0" w:color="auto"/>
        <w:bottom w:val="none" w:sz="0" w:space="0" w:color="auto"/>
        <w:right w:val="none" w:sz="0" w:space="0" w:color="auto"/>
      </w:divBdr>
    </w:div>
    <w:div w:id="1016229327">
      <w:bodyDiv w:val="1"/>
      <w:marLeft w:val="0"/>
      <w:marRight w:val="0"/>
      <w:marTop w:val="0"/>
      <w:marBottom w:val="0"/>
      <w:divBdr>
        <w:top w:val="none" w:sz="0" w:space="0" w:color="auto"/>
        <w:left w:val="none" w:sz="0" w:space="0" w:color="auto"/>
        <w:bottom w:val="none" w:sz="0" w:space="0" w:color="auto"/>
        <w:right w:val="none" w:sz="0" w:space="0" w:color="auto"/>
      </w:divBdr>
    </w:div>
    <w:div w:id="1021056079">
      <w:bodyDiv w:val="1"/>
      <w:marLeft w:val="0"/>
      <w:marRight w:val="0"/>
      <w:marTop w:val="0"/>
      <w:marBottom w:val="0"/>
      <w:divBdr>
        <w:top w:val="none" w:sz="0" w:space="0" w:color="auto"/>
        <w:left w:val="none" w:sz="0" w:space="0" w:color="auto"/>
        <w:bottom w:val="none" w:sz="0" w:space="0" w:color="auto"/>
        <w:right w:val="none" w:sz="0" w:space="0" w:color="auto"/>
      </w:divBdr>
    </w:div>
    <w:div w:id="1024749282">
      <w:bodyDiv w:val="1"/>
      <w:marLeft w:val="0"/>
      <w:marRight w:val="0"/>
      <w:marTop w:val="0"/>
      <w:marBottom w:val="0"/>
      <w:divBdr>
        <w:top w:val="none" w:sz="0" w:space="0" w:color="auto"/>
        <w:left w:val="none" w:sz="0" w:space="0" w:color="auto"/>
        <w:bottom w:val="none" w:sz="0" w:space="0" w:color="auto"/>
        <w:right w:val="none" w:sz="0" w:space="0" w:color="auto"/>
      </w:divBdr>
    </w:div>
    <w:div w:id="1031303590">
      <w:bodyDiv w:val="1"/>
      <w:marLeft w:val="0"/>
      <w:marRight w:val="0"/>
      <w:marTop w:val="0"/>
      <w:marBottom w:val="0"/>
      <w:divBdr>
        <w:top w:val="none" w:sz="0" w:space="0" w:color="auto"/>
        <w:left w:val="none" w:sz="0" w:space="0" w:color="auto"/>
        <w:bottom w:val="none" w:sz="0" w:space="0" w:color="auto"/>
        <w:right w:val="none" w:sz="0" w:space="0" w:color="auto"/>
      </w:divBdr>
    </w:div>
    <w:div w:id="1031878663">
      <w:bodyDiv w:val="1"/>
      <w:marLeft w:val="0"/>
      <w:marRight w:val="0"/>
      <w:marTop w:val="0"/>
      <w:marBottom w:val="0"/>
      <w:divBdr>
        <w:top w:val="none" w:sz="0" w:space="0" w:color="auto"/>
        <w:left w:val="none" w:sz="0" w:space="0" w:color="auto"/>
        <w:bottom w:val="none" w:sz="0" w:space="0" w:color="auto"/>
        <w:right w:val="none" w:sz="0" w:space="0" w:color="auto"/>
      </w:divBdr>
    </w:div>
    <w:div w:id="1032269506">
      <w:bodyDiv w:val="1"/>
      <w:marLeft w:val="0"/>
      <w:marRight w:val="0"/>
      <w:marTop w:val="0"/>
      <w:marBottom w:val="0"/>
      <w:divBdr>
        <w:top w:val="none" w:sz="0" w:space="0" w:color="auto"/>
        <w:left w:val="none" w:sz="0" w:space="0" w:color="auto"/>
        <w:bottom w:val="none" w:sz="0" w:space="0" w:color="auto"/>
        <w:right w:val="none" w:sz="0" w:space="0" w:color="auto"/>
      </w:divBdr>
    </w:div>
    <w:div w:id="1039669228">
      <w:bodyDiv w:val="1"/>
      <w:marLeft w:val="0"/>
      <w:marRight w:val="0"/>
      <w:marTop w:val="0"/>
      <w:marBottom w:val="0"/>
      <w:divBdr>
        <w:top w:val="none" w:sz="0" w:space="0" w:color="auto"/>
        <w:left w:val="none" w:sz="0" w:space="0" w:color="auto"/>
        <w:bottom w:val="none" w:sz="0" w:space="0" w:color="auto"/>
        <w:right w:val="none" w:sz="0" w:space="0" w:color="auto"/>
      </w:divBdr>
    </w:div>
    <w:div w:id="1040976074">
      <w:bodyDiv w:val="1"/>
      <w:marLeft w:val="0"/>
      <w:marRight w:val="0"/>
      <w:marTop w:val="0"/>
      <w:marBottom w:val="0"/>
      <w:divBdr>
        <w:top w:val="none" w:sz="0" w:space="0" w:color="auto"/>
        <w:left w:val="none" w:sz="0" w:space="0" w:color="auto"/>
        <w:bottom w:val="none" w:sz="0" w:space="0" w:color="auto"/>
        <w:right w:val="none" w:sz="0" w:space="0" w:color="auto"/>
      </w:divBdr>
    </w:div>
    <w:div w:id="1045834385">
      <w:bodyDiv w:val="1"/>
      <w:marLeft w:val="0"/>
      <w:marRight w:val="0"/>
      <w:marTop w:val="0"/>
      <w:marBottom w:val="0"/>
      <w:divBdr>
        <w:top w:val="none" w:sz="0" w:space="0" w:color="auto"/>
        <w:left w:val="none" w:sz="0" w:space="0" w:color="auto"/>
        <w:bottom w:val="none" w:sz="0" w:space="0" w:color="auto"/>
        <w:right w:val="none" w:sz="0" w:space="0" w:color="auto"/>
      </w:divBdr>
    </w:div>
    <w:div w:id="1047068926">
      <w:bodyDiv w:val="1"/>
      <w:marLeft w:val="0"/>
      <w:marRight w:val="0"/>
      <w:marTop w:val="0"/>
      <w:marBottom w:val="0"/>
      <w:divBdr>
        <w:top w:val="none" w:sz="0" w:space="0" w:color="auto"/>
        <w:left w:val="none" w:sz="0" w:space="0" w:color="auto"/>
        <w:bottom w:val="none" w:sz="0" w:space="0" w:color="auto"/>
        <w:right w:val="none" w:sz="0" w:space="0" w:color="auto"/>
      </w:divBdr>
    </w:div>
    <w:div w:id="1052923996">
      <w:bodyDiv w:val="1"/>
      <w:marLeft w:val="0"/>
      <w:marRight w:val="0"/>
      <w:marTop w:val="0"/>
      <w:marBottom w:val="0"/>
      <w:divBdr>
        <w:top w:val="none" w:sz="0" w:space="0" w:color="auto"/>
        <w:left w:val="none" w:sz="0" w:space="0" w:color="auto"/>
        <w:bottom w:val="none" w:sz="0" w:space="0" w:color="auto"/>
        <w:right w:val="none" w:sz="0" w:space="0" w:color="auto"/>
      </w:divBdr>
    </w:div>
    <w:div w:id="1054281999">
      <w:bodyDiv w:val="1"/>
      <w:marLeft w:val="0"/>
      <w:marRight w:val="0"/>
      <w:marTop w:val="0"/>
      <w:marBottom w:val="0"/>
      <w:divBdr>
        <w:top w:val="none" w:sz="0" w:space="0" w:color="auto"/>
        <w:left w:val="none" w:sz="0" w:space="0" w:color="auto"/>
        <w:bottom w:val="none" w:sz="0" w:space="0" w:color="auto"/>
        <w:right w:val="none" w:sz="0" w:space="0" w:color="auto"/>
      </w:divBdr>
    </w:div>
    <w:div w:id="1059861331">
      <w:bodyDiv w:val="1"/>
      <w:marLeft w:val="0"/>
      <w:marRight w:val="0"/>
      <w:marTop w:val="0"/>
      <w:marBottom w:val="0"/>
      <w:divBdr>
        <w:top w:val="none" w:sz="0" w:space="0" w:color="auto"/>
        <w:left w:val="none" w:sz="0" w:space="0" w:color="auto"/>
        <w:bottom w:val="none" w:sz="0" w:space="0" w:color="auto"/>
        <w:right w:val="none" w:sz="0" w:space="0" w:color="auto"/>
      </w:divBdr>
    </w:div>
    <w:div w:id="1064329230">
      <w:bodyDiv w:val="1"/>
      <w:marLeft w:val="0"/>
      <w:marRight w:val="0"/>
      <w:marTop w:val="0"/>
      <w:marBottom w:val="0"/>
      <w:divBdr>
        <w:top w:val="none" w:sz="0" w:space="0" w:color="auto"/>
        <w:left w:val="none" w:sz="0" w:space="0" w:color="auto"/>
        <w:bottom w:val="none" w:sz="0" w:space="0" w:color="auto"/>
        <w:right w:val="none" w:sz="0" w:space="0" w:color="auto"/>
      </w:divBdr>
    </w:div>
    <w:div w:id="1069572856">
      <w:bodyDiv w:val="1"/>
      <w:marLeft w:val="0"/>
      <w:marRight w:val="0"/>
      <w:marTop w:val="0"/>
      <w:marBottom w:val="0"/>
      <w:divBdr>
        <w:top w:val="none" w:sz="0" w:space="0" w:color="auto"/>
        <w:left w:val="none" w:sz="0" w:space="0" w:color="auto"/>
        <w:bottom w:val="none" w:sz="0" w:space="0" w:color="auto"/>
        <w:right w:val="none" w:sz="0" w:space="0" w:color="auto"/>
      </w:divBdr>
    </w:div>
    <w:div w:id="1070734143">
      <w:bodyDiv w:val="1"/>
      <w:marLeft w:val="0"/>
      <w:marRight w:val="0"/>
      <w:marTop w:val="0"/>
      <w:marBottom w:val="0"/>
      <w:divBdr>
        <w:top w:val="none" w:sz="0" w:space="0" w:color="auto"/>
        <w:left w:val="none" w:sz="0" w:space="0" w:color="auto"/>
        <w:bottom w:val="none" w:sz="0" w:space="0" w:color="auto"/>
        <w:right w:val="none" w:sz="0" w:space="0" w:color="auto"/>
      </w:divBdr>
    </w:div>
    <w:div w:id="1070881888">
      <w:bodyDiv w:val="1"/>
      <w:marLeft w:val="0"/>
      <w:marRight w:val="0"/>
      <w:marTop w:val="0"/>
      <w:marBottom w:val="0"/>
      <w:divBdr>
        <w:top w:val="none" w:sz="0" w:space="0" w:color="auto"/>
        <w:left w:val="none" w:sz="0" w:space="0" w:color="auto"/>
        <w:bottom w:val="none" w:sz="0" w:space="0" w:color="auto"/>
        <w:right w:val="none" w:sz="0" w:space="0" w:color="auto"/>
      </w:divBdr>
    </w:div>
    <w:div w:id="1079598427">
      <w:bodyDiv w:val="1"/>
      <w:marLeft w:val="0"/>
      <w:marRight w:val="0"/>
      <w:marTop w:val="0"/>
      <w:marBottom w:val="0"/>
      <w:divBdr>
        <w:top w:val="none" w:sz="0" w:space="0" w:color="auto"/>
        <w:left w:val="none" w:sz="0" w:space="0" w:color="auto"/>
        <w:bottom w:val="none" w:sz="0" w:space="0" w:color="auto"/>
        <w:right w:val="none" w:sz="0" w:space="0" w:color="auto"/>
      </w:divBdr>
    </w:div>
    <w:div w:id="1084649500">
      <w:bodyDiv w:val="1"/>
      <w:marLeft w:val="0"/>
      <w:marRight w:val="0"/>
      <w:marTop w:val="0"/>
      <w:marBottom w:val="0"/>
      <w:divBdr>
        <w:top w:val="none" w:sz="0" w:space="0" w:color="auto"/>
        <w:left w:val="none" w:sz="0" w:space="0" w:color="auto"/>
        <w:bottom w:val="none" w:sz="0" w:space="0" w:color="auto"/>
        <w:right w:val="none" w:sz="0" w:space="0" w:color="auto"/>
      </w:divBdr>
    </w:div>
    <w:div w:id="1086341104">
      <w:bodyDiv w:val="1"/>
      <w:marLeft w:val="0"/>
      <w:marRight w:val="0"/>
      <w:marTop w:val="0"/>
      <w:marBottom w:val="0"/>
      <w:divBdr>
        <w:top w:val="none" w:sz="0" w:space="0" w:color="auto"/>
        <w:left w:val="none" w:sz="0" w:space="0" w:color="auto"/>
        <w:bottom w:val="none" w:sz="0" w:space="0" w:color="auto"/>
        <w:right w:val="none" w:sz="0" w:space="0" w:color="auto"/>
      </w:divBdr>
    </w:div>
    <w:div w:id="1092704795">
      <w:bodyDiv w:val="1"/>
      <w:marLeft w:val="0"/>
      <w:marRight w:val="0"/>
      <w:marTop w:val="0"/>
      <w:marBottom w:val="0"/>
      <w:divBdr>
        <w:top w:val="none" w:sz="0" w:space="0" w:color="auto"/>
        <w:left w:val="none" w:sz="0" w:space="0" w:color="auto"/>
        <w:bottom w:val="none" w:sz="0" w:space="0" w:color="auto"/>
        <w:right w:val="none" w:sz="0" w:space="0" w:color="auto"/>
      </w:divBdr>
    </w:div>
    <w:div w:id="1094397617">
      <w:bodyDiv w:val="1"/>
      <w:marLeft w:val="0"/>
      <w:marRight w:val="0"/>
      <w:marTop w:val="0"/>
      <w:marBottom w:val="0"/>
      <w:divBdr>
        <w:top w:val="none" w:sz="0" w:space="0" w:color="auto"/>
        <w:left w:val="none" w:sz="0" w:space="0" w:color="auto"/>
        <w:bottom w:val="none" w:sz="0" w:space="0" w:color="auto"/>
        <w:right w:val="none" w:sz="0" w:space="0" w:color="auto"/>
      </w:divBdr>
    </w:div>
    <w:div w:id="1101411165">
      <w:bodyDiv w:val="1"/>
      <w:marLeft w:val="0"/>
      <w:marRight w:val="0"/>
      <w:marTop w:val="0"/>
      <w:marBottom w:val="0"/>
      <w:divBdr>
        <w:top w:val="none" w:sz="0" w:space="0" w:color="auto"/>
        <w:left w:val="none" w:sz="0" w:space="0" w:color="auto"/>
        <w:bottom w:val="none" w:sz="0" w:space="0" w:color="auto"/>
        <w:right w:val="none" w:sz="0" w:space="0" w:color="auto"/>
      </w:divBdr>
    </w:div>
    <w:div w:id="1113939594">
      <w:bodyDiv w:val="1"/>
      <w:marLeft w:val="0"/>
      <w:marRight w:val="0"/>
      <w:marTop w:val="0"/>
      <w:marBottom w:val="0"/>
      <w:divBdr>
        <w:top w:val="none" w:sz="0" w:space="0" w:color="auto"/>
        <w:left w:val="none" w:sz="0" w:space="0" w:color="auto"/>
        <w:bottom w:val="none" w:sz="0" w:space="0" w:color="auto"/>
        <w:right w:val="none" w:sz="0" w:space="0" w:color="auto"/>
      </w:divBdr>
    </w:div>
    <w:div w:id="112508329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0802346">
      <w:bodyDiv w:val="1"/>
      <w:marLeft w:val="0"/>
      <w:marRight w:val="0"/>
      <w:marTop w:val="0"/>
      <w:marBottom w:val="0"/>
      <w:divBdr>
        <w:top w:val="none" w:sz="0" w:space="0" w:color="auto"/>
        <w:left w:val="none" w:sz="0" w:space="0" w:color="auto"/>
        <w:bottom w:val="none" w:sz="0" w:space="0" w:color="auto"/>
        <w:right w:val="none" w:sz="0" w:space="0" w:color="auto"/>
      </w:divBdr>
    </w:div>
    <w:div w:id="1143231402">
      <w:bodyDiv w:val="1"/>
      <w:marLeft w:val="0"/>
      <w:marRight w:val="0"/>
      <w:marTop w:val="0"/>
      <w:marBottom w:val="0"/>
      <w:divBdr>
        <w:top w:val="none" w:sz="0" w:space="0" w:color="auto"/>
        <w:left w:val="none" w:sz="0" w:space="0" w:color="auto"/>
        <w:bottom w:val="none" w:sz="0" w:space="0" w:color="auto"/>
        <w:right w:val="none" w:sz="0" w:space="0" w:color="auto"/>
      </w:divBdr>
    </w:div>
    <w:div w:id="1149861002">
      <w:bodyDiv w:val="1"/>
      <w:marLeft w:val="0"/>
      <w:marRight w:val="0"/>
      <w:marTop w:val="0"/>
      <w:marBottom w:val="0"/>
      <w:divBdr>
        <w:top w:val="none" w:sz="0" w:space="0" w:color="auto"/>
        <w:left w:val="none" w:sz="0" w:space="0" w:color="auto"/>
        <w:bottom w:val="none" w:sz="0" w:space="0" w:color="auto"/>
        <w:right w:val="none" w:sz="0" w:space="0" w:color="auto"/>
      </w:divBdr>
    </w:div>
    <w:div w:id="1155412305">
      <w:bodyDiv w:val="1"/>
      <w:marLeft w:val="0"/>
      <w:marRight w:val="0"/>
      <w:marTop w:val="0"/>
      <w:marBottom w:val="0"/>
      <w:divBdr>
        <w:top w:val="none" w:sz="0" w:space="0" w:color="auto"/>
        <w:left w:val="none" w:sz="0" w:space="0" w:color="auto"/>
        <w:bottom w:val="none" w:sz="0" w:space="0" w:color="auto"/>
        <w:right w:val="none" w:sz="0" w:space="0" w:color="auto"/>
      </w:divBdr>
    </w:div>
    <w:div w:id="1155956426">
      <w:bodyDiv w:val="1"/>
      <w:marLeft w:val="0"/>
      <w:marRight w:val="0"/>
      <w:marTop w:val="0"/>
      <w:marBottom w:val="0"/>
      <w:divBdr>
        <w:top w:val="none" w:sz="0" w:space="0" w:color="auto"/>
        <w:left w:val="none" w:sz="0" w:space="0" w:color="auto"/>
        <w:bottom w:val="none" w:sz="0" w:space="0" w:color="auto"/>
        <w:right w:val="none" w:sz="0" w:space="0" w:color="auto"/>
      </w:divBdr>
    </w:div>
    <w:div w:id="1166087940">
      <w:bodyDiv w:val="1"/>
      <w:marLeft w:val="0"/>
      <w:marRight w:val="0"/>
      <w:marTop w:val="0"/>
      <w:marBottom w:val="0"/>
      <w:divBdr>
        <w:top w:val="none" w:sz="0" w:space="0" w:color="auto"/>
        <w:left w:val="none" w:sz="0" w:space="0" w:color="auto"/>
        <w:bottom w:val="none" w:sz="0" w:space="0" w:color="auto"/>
        <w:right w:val="none" w:sz="0" w:space="0" w:color="auto"/>
      </w:divBdr>
    </w:div>
    <w:div w:id="1176530627">
      <w:bodyDiv w:val="1"/>
      <w:marLeft w:val="0"/>
      <w:marRight w:val="0"/>
      <w:marTop w:val="0"/>
      <w:marBottom w:val="0"/>
      <w:divBdr>
        <w:top w:val="none" w:sz="0" w:space="0" w:color="auto"/>
        <w:left w:val="none" w:sz="0" w:space="0" w:color="auto"/>
        <w:bottom w:val="none" w:sz="0" w:space="0" w:color="auto"/>
        <w:right w:val="none" w:sz="0" w:space="0" w:color="auto"/>
      </w:divBdr>
    </w:div>
    <w:div w:id="1176845082">
      <w:bodyDiv w:val="1"/>
      <w:marLeft w:val="0"/>
      <w:marRight w:val="0"/>
      <w:marTop w:val="0"/>
      <w:marBottom w:val="0"/>
      <w:divBdr>
        <w:top w:val="none" w:sz="0" w:space="0" w:color="auto"/>
        <w:left w:val="none" w:sz="0" w:space="0" w:color="auto"/>
        <w:bottom w:val="none" w:sz="0" w:space="0" w:color="auto"/>
        <w:right w:val="none" w:sz="0" w:space="0" w:color="auto"/>
      </w:divBdr>
    </w:div>
    <w:div w:id="1197739505">
      <w:bodyDiv w:val="1"/>
      <w:marLeft w:val="0"/>
      <w:marRight w:val="0"/>
      <w:marTop w:val="0"/>
      <w:marBottom w:val="0"/>
      <w:divBdr>
        <w:top w:val="none" w:sz="0" w:space="0" w:color="auto"/>
        <w:left w:val="none" w:sz="0" w:space="0" w:color="auto"/>
        <w:bottom w:val="none" w:sz="0" w:space="0" w:color="auto"/>
        <w:right w:val="none" w:sz="0" w:space="0" w:color="auto"/>
      </w:divBdr>
    </w:div>
    <w:div w:id="1201164462">
      <w:bodyDiv w:val="1"/>
      <w:marLeft w:val="0"/>
      <w:marRight w:val="0"/>
      <w:marTop w:val="0"/>
      <w:marBottom w:val="0"/>
      <w:divBdr>
        <w:top w:val="none" w:sz="0" w:space="0" w:color="auto"/>
        <w:left w:val="none" w:sz="0" w:space="0" w:color="auto"/>
        <w:bottom w:val="none" w:sz="0" w:space="0" w:color="auto"/>
        <w:right w:val="none" w:sz="0" w:space="0" w:color="auto"/>
      </w:divBdr>
    </w:div>
    <w:div w:id="1202093467">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02599148">
      <w:bodyDiv w:val="1"/>
      <w:marLeft w:val="0"/>
      <w:marRight w:val="0"/>
      <w:marTop w:val="0"/>
      <w:marBottom w:val="0"/>
      <w:divBdr>
        <w:top w:val="none" w:sz="0" w:space="0" w:color="auto"/>
        <w:left w:val="none" w:sz="0" w:space="0" w:color="auto"/>
        <w:bottom w:val="none" w:sz="0" w:space="0" w:color="auto"/>
        <w:right w:val="none" w:sz="0" w:space="0" w:color="auto"/>
      </w:divBdr>
    </w:div>
    <w:div w:id="1208681504">
      <w:bodyDiv w:val="1"/>
      <w:marLeft w:val="0"/>
      <w:marRight w:val="0"/>
      <w:marTop w:val="0"/>
      <w:marBottom w:val="0"/>
      <w:divBdr>
        <w:top w:val="none" w:sz="0" w:space="0" w:color="auto"/>
        <w:left w:val="none" w:sz="0" w:space="0" w:color="auto"/>
        <w:bottom w:val="none" w:sz="0" w:space="0" w:color="auto"/>
        <w:right w:val="none" w:sz="0" w:space="0" w:color="auto"/>
      </w:divBdr>
    </w:div>
    <w:div w:id="1212425010">
      <w:bodyDiv w:val="1"/>
      <w:marLeft w:val="0"/>
      <w:marRight w:val="0"/>
      <w:marTop w:val="0"/>
      <w:marBottom w:val="0"/>
      <w:divBdr>
        <w:top w:val="none" w:sz="0" w:space="0" w:color="auto"/>
        <w:left w:val="none" w:sz="0" w:space="0" w:color="auto"/>
        <w:bottom w:val="none" w:sz="0" w:space="0" w:color="auto"/>
        <w:right w:val="none" w:sz="0" w:space="0" w:color="auto"/>
      </w:divBdr>
    </w:div>
    <w:div w:id="1219249033">
      <w:bodyDiv w:val="1"/>
      <w:marLeft w:val="0"/>
      <w:marRight w:val="0"/>
      <w:marTop w:val="0"/>
      <w:marBottom w:val="0"/>
      <w:divBdr>
        <w:top w:val="none" w:sz="0" w:space="0" w:color="auto"/>
        <w:left w:val="none" w:sz="0" w:space="0" w:color="auto"/>
        <w:bottom w:val="none" w:sz="0" w:space="0" w:color="auto"/>
        <w:right w:val="none" w:sz="0" w:space="0" w:color="auto"/>
      </w:divBdr>
    </w:div>
    <w:div w:id="1219324325">
      <w:bodyDiv w:val="1"/>
      <w:marLeft w:val="0"/>
      <w:marRight w:val="0"/>
      <w:marTop w:val="0"/>
      <w:marBottom w:val="0"/>
      <w:divBdr>
        <w:top w:val="none" w:sz="0" w:space="0" w:color="auto"/>
        <w:left w:val="none" w:sz="0" w:space="0" w:color="auto"/>
        <w:bottom w:val="none" w:sz="0" w:space="0" w:color="auto"/>
        <w:right w:val="none" w:sz="0" w:space="0" w:color="auto"/>
      </w:divBdr>
    </w:div>
    <w:div w:id="1221136065">
      <w:bodyDiv w:val="1"/>
      <w:marLeft w:val="0"/>
      <w:marRight w:val="0"/>
      <w:marTop w:val="0"/>
      <w:marBottom w:val="0"/>
      <w:divBdr>
        <w:top w:val="none" w:sz="0" w:space="0" w:color="auto"/>
        <w:left w:val="none" w:sz="0" w:space="0" w:color="auto"/>
        <w:bottom w:val="none" w:sz="0" w:space="0" w:color="auto"/>
        <w:right w:val="none" w:sz="0" w:space="0" w:color="auto"/>
      </w:divBdr>
    </w:div>
    <w:div w:id="1227842592">
      <w:bodyDiv w:val="1"/>
      <w:marLeft w:val="0"/>
      <w:marRight w:val="0"/>
      <w:marTop w:val="0"/>
      <w:marBottom w:val="0"/>
      <w:divBdr>
        <w:top w:val="none" w:sz="0" w:space="0" w:color="auto"/>
        <w:left w:val="none" w:sz="0" w:space="0" w:color="auto"/>
        <w:bottom w:val="none" w:sz="0" w:space="0" w:color="auto"/>
        <w:right w:val="none" w:sz="0" w:space="0" w:color="auto"/>
      </w:divBdr>
    </w:div>
    <w:div w:id="1254122412">
      <w:bodyDiv w:val="1"/>
      <w:marLeft w:val="0"/>
      <w:marRight w:val="0"/>
      <w:marTop w:val="0"/>
      <w:marBottom w:val="0"/>
      <w:divBdr>
        <w:top w:val="none" w:sz="0" w:space="0" w:color="auto"/>
        <w:left w:val="none" w:sz="0" w:space="0" w:color="auto"/>
        <w:bottom w:val="none" w:sz="0" w:space="0" w:color="auto"/>
        <w:right w:val="none" w:sz="0" w:space="0" w:color="auto"/>
      </w:divBdr>
    </w:div>
    <w:div w:id="1255288086">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58711572">
      <w:bodyDiv w:val="1"/>
      <w:marLeft w:val="0"/>
      <w:marRight w:val="0"/>
      <w:marTop w:val="0"/>
      <w:marBottom w:val="0"/>
      <w:divBdr>
        <w:top w:val="none" w:sz="0" w:space="0" w:color="auto"/>
        <w:left w:val="none" w:sz="0" w:space="0" w:color="auto"/>
        <w:bottom w:val="none" w:sz="0" w:space="0" w:color="auto"/>
        <w:right w:val="none" w:sz="0" w:space="0" w:color="auto"/>
      </w:divBdr>
    </w:div>
    <w:div w:id="1259019897">
      <w:bodyDiv w:val="1"/>
      <w:marLeft w:val="0"/>
      <w:marRight w:val="0"/>
      <w:marTop w:val="0"/>
      <w:marBottom w:val="0"/>
      <w:divBdr>
        <w:top w:val="none" w:sz="0" w:space="0" w:color="auto"/>
        <w:left w:val="none" w:sz="0" w:space="0" w:color="auto"/>
        <w:bottom w:val="none" w:sz="0" w:space="0" w:color="auto"/>
        <w:right w:val="none" w:sz="0" w:space="0" w:color="auto"/>
      </w:divBdr>
    </w:div>
    <w:div w:id="1266763688">
      <w:bodyDiv w:val="1"/>
      <w:marLeft w:val="0"/>
      <w:marRight w:val="0"/>
      <w:marTop w:val="0"/>
      <w:marBottom w:val="0"/>
      <w:divBdr>
        <w:top w:val="none" w:sz="0" w:space="0" w:color="auto"/>
        <w:left w:val="none" w:sz="0" w:space="0" w:color="auto"/>
        <w:bottom w:val="none" w:sz="0" w:space="0" w:color="auto"/>
        <w:right w:val="none" w:sz="0" w:space="0" w:color="auto"/>
      </w:divBdr>
    </w:div>
    <w:div w:id="1277255099">
      <w:bodyDiv w:val="1"/>
      <w:marLeft w:val="0"/>
      <w:marRight w:val="0"/>
      <w:marTop w:val="0"/>
      <w:marBottom w:val="0"/>
      <w:divBdr>
        <w:top w:val="none" w:sz="0" w:space="0" w:color="auto"/>
        <w:left w:val="none" w:sz="0" w:space="0" w:color="auto"/>
        <w:bottom w:val="none" w:sz="0" w:space="0" w:color="auto"/>
        <w:right w:val="none" w:sz="0" w:space="0" w:color="auto"/>
      </w:divBdr>
    </w:div>
    <w:div w:id="1286156413">
      <w:bodyDiv w:val="1"/>
      <w:marLeft w:val="0"/>
      <w:marRight w:val="0"/>
      <w:marTop w:val="0"/>
      <w:marBottom w:val="0"/>
      <w:divBdr>
        <w:top w:val="none" w:sz="0" w:space="0" w:color="auto"/>
        <w:left w:val="none" w:sz="0" w:space="0" w:color="auto"/>
        <w:bottom w:val="none" w:sz="0" w:space="0" w:color="auto"/>
        <w:right w:val="none" w:sz="0" w:space="0" w:color="auto"/>
      </w:divBdr>
    </w:div>
    <w:div w:id="1290086623">
      <w:bodyDiv w:val="1"/>
      <w:marLeft w:val="0"/>
      <w:marRight w:val="0"/>
      <w:marTop w:val="0"/>
      <w:marBottom w:val="0"/>
      <w:divBdr>
        <w:top w:val="none" w:sz="0" w:space="0" w:color="auto"/>
        <w:left w:val="none" w:sz="0" w:space="0" w:color="auto"/>
        <w:bottom w:val="none" w:sz="0" w:space="0" w:color="auto"/>
        <w:right w:val="none" w:sz="0" w:space="0" w:color="auto"/>
      </w:divBdr>
    </w:div>
    <w:div w:id="1293948974">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07006809">
      <w:bodyDiv w:val="1"/>
      <w:marLeft w:val="0"/>
      <w:marRight w:val="0"/>
      <w:marTop w:val="0"/>
      <w:marBottom w:val="0"/>
      <w:divBdr>
        <w:top w:val="none" w:sz="0" w:space="0" w:color="auto"/>
        <w:left w:val="none" w:sz="0" w:space="0" w:color="auto"/>
        <w:bottom w:val="none" w:sz="0" w:space="0" w:color="auto"/>
        <w:right w:val="none" w:sz="0" w:space="0" w:color="auto"/>
      </w:divBdr>
    </w:div>
    <w:div w:id="1323000666">
      <w:bodyDiv w:val="1"/>
      <w:marLeft w:val="0"/>
      <w:marRight w:val="0"/>
      <w:marTop w:val="0"/>
      <w:marBottom w:val="0"/>
      <w:divBdr>
        <w:top w:val="none" w:sz="0" w:space="0" w:color="auto"/>
        <w:left w:val="none" w:sz="0" w:space="0" w:color="auto"/>
        <w:bottom w:val="none" w:sz="0" w:space="0" w:color="auto"/>
        <w:right w:val="none" w:sz="0" w:space="0" w:color="auto"/>
      </w:divBdr>
    </w:div>
    <w:div w:id="1324509438">
      <w:bodyDiv w:val="1"/>
      <w:marLeft w:val="0"/>
      <w:marRight w:val="0"/>
      <w:marTop w:val="0"/>
      <w:marBottom w:val="0"/>
      <w:divBdr>
        <w:top w:val="none" w:sz="0" w:space="0" w:color="auto"/>
        <w:left w:val="none" w:sz="0" w:space="0" w:color="auto"/>
        <w:bottom w:val="none" w:sz="0" w:space="0" w:color="auto"/>
        <w:right w:val="none" w:sz="0" w:space="0" w:color="auto"/>
      </w:divBdr>
    </w:div>
    <w:div w:id="1324895950">
      <w:bodyDiv w:val="1"/>
      <w:marLeft w:val="0"/>
      <w:marRight w:val="0"/>
      <w:marTop w:val="0"/>
      <w:marBottom w:val="0"/>
      <w:divBdr>
        <w:top w:val="none" w:sz="0" w:space="0" w:color="auto"/>
        <w:left w:val="none" w:sz="0" w:space="0" w:color="auto"/>
        <w:bottom w:val="none" w:sz="0" w:space="0" w:color="auto"/>
        <w:right w:val="none" w:sz="0" w:space="0" w:color="auto"/>
      </w:divBdr>
    </w:div>
    <w:div w:id="1337414743">
      <w:bodyDiv w:val="1"/>
      <w:marLeft w:val="0"/>
      <w:marRight w:val="0"/>
      <w:marTop w:val="0"/>
      <w:marBottom w:val="0"/>
      <w:divBdr>
        <w:top w:val="none" w:sz="0" w:space="0" w:color="auto"/>
        <w:left w:val="none" w:sz="0" w:space="0" w:color="auto"/>
        <w:bottom w:val="none" w:sz="0" w:space="0" w:color="auto"/>
        <w:right w:val="none" w:sz="0" w:space="0" w:color="auto"/>
      </w:divBdr>
    </w:div>
    <w:div w:id="1341083893">
      <w:bodyDiv w:val="1"/>
      <w:marLeft w:val="0"/>
      <w:marRight w:val="0"/>
      <w:marTop w:val="0"/>
      <w:marBottom w:val="0"/>
      <w:divBdr>
        <w:top w:val="none" w:sz="0" w:space="0" w:color="auto"/>
        <w:left w:val="none" w:sz="0" w:space="0" w:color="auto"/>
        <w:bottom w:val="none" w:sz="0" w:space="0" w:color="auto"/>
        <w:right w:val="none" w:sz="0" w:space="0" w:color="auto"/>
      </w:divBdr>
    </w:div>
    <w:div w:id="1342857347">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56998401">
      <w:bodyDiv w:val="1"/>
      <w:marLeft w:val="0"/>
      <w:marRight w:val="0"/>
      <w:marTop w:val="0"/>
      <w:marBottom w:val="0"/>
      <w:divBdr>
        <w:top w:val="none" w:sz="0" w:space="0" w:color="auto"/>
        <w:left w:val="none" w:sz="0" w:space="0" w:color="auto"/>
        <w:bottom w:val="none" w:sz="0" w:space="0" w:color="auto"/>
        <w:right w:val="none" w:sz="0" w:space="0" w:color="auto"/>
      </w:divBdr>
    </w:div>
    <w:div w:id="1361008581">
      <w:bodyDiv w:val="1"/>
      <w:marLeft w:val="0"/>
      <w:marRight w:val="0"/>
      <w:marTop w:val="0"/>
      <w:marBottom w:val="0"/>
      <w:divBdr>
        <w:top w:val="none" w:sz="0" w:space="0" w:color="auto"/>
        <w:left w:val="none" w:sz="0" w:space="0" w:color="auto"/>
        <w:bottom w:val="none" w:sz="0" w:space="0" w:color="auto"/>
        <w:right w:val="none" w:sz="0" w:space="0" w:color="auto"/>
      </w:divBdr>
    </w:div>
    <w:div w:id="1363363278">
      <w:bodyDiv w:val="1"/>
      <w:marLeft w:val="0"/>
      <w:marRight w:val="0"/>
      <w:marTop w:val="0"/>
      <w:marBottom w:val="0"/>
      <w:divBdr>
        <w:top w:val="none" w:sz="0" w:space="0" w:color="auto"/>
        <w:left w:val="none" w:sz="0" w:space="0" w:color="auto"/>
        <w:bottom w:val="none" w:sz="0" w:space="0" w:color="auto"/>
        <w:right w:val="none" w:sz="0" w:space="0" w:color="auto"/>
      </w:divBdr>
    </w:div>
    <w:div w:id="1365131881">
      <w:bodyDiv w:val="1"/>
      <w:marLeft w:val="0"/>
      <w:marRight w:val="0"/>
      <w:marTop w:val="0"/>
      <w:marBottom w:val="0"/>
      <w:divBdr>
        <w:top w:val="none" w:sz="0" w:space="0" w:color="auto"/>
        <w:left w:val="none" w:sz="0" w:space="0" w:color="auto"/>
        <w:bottom w:val="none" w:sz="0" w:space="0" w:color="auto"/>
        <w:right w:val="none" w:sz="0" w:space="0" w:color="auto"/>
      </w:divBdr>
    </w:div>
    <w:div w:id="1368338402">
      <w:bodyDiv w:val="1"/>
      <w:marLeft w:val="0"/>
      <w:marRight w:val="0"/>
      <w:marTop w:val="0"/>
      <w:marBottom w:val="0"/>
      <w:divBdr>
        <w:top w:val="none" w:sz="0" w:space="0" w:color="auto"/>
        <w:left w:val="none" w:sz="0" w:space="0" w:color="auto"/>
        <w:bottom w:val="none" w:sz="0" w:space="0" w:color="auto"/>
        <w:right w:val="none" w:sz="0" w:space="0" w:color="auto"/>
      </w:divBdr>
    </w:div>
    <w:div w:id="1369181912">
      <w:bodyDiv w:val="1"/>
      <w:marLeft w:val="0"/>
      <w:marRight w:val="0"/>
      <w:marTop w:val="0"/>
      <w:marBottom w:val="0"/>
      <w:divBdr>
        <w:top w:val="none" w:sz="0" w:space="0" w:color="auto"/>
        <w:left w:val="none" w:sz="0" w:space="0" w:color="auto"/>
        <w:bottom w:val="none" w:sz="0" w:space="0" w:color="auto"/>
        <w:right w:val="none" w:sz="0" w:space="0" w:color="auto"/>
      </w:divBdr>
    </w:div>
    <w:div w:id="1372798821">
      <w:bodyDiv w:val="1"/>
      <w:marLeft w:val="0"/>
      <w:marRight w:val="0"/>
      <w:marTop w:val="0"/>
      <w:marBottom w:val="0"/>
      <w:divBdr>
        <w:top w:val="none" w:sz="0" w:space="0" w:color="auto"/>
        <w:left w:val="none" w:sz="0" w:space="0" w:color="auto"/>
        <w:bottom w:val="none" w:sz="0" w:space="0" w:color="auto"/>
        <w:right w:val="none" w:sz="0" w:space="0" w:color="auto"/>
      </w:divBdr>
    </w:div>
    <w:div w:id="1374115499">
      <w:bodyDiv w:val="1"/>
      <w:marLeft w:val="0"/>
      <w:marRight w:val="0"/>
      <w:marTop w:val="0"/>
      <w:marBottom w:val="0"/>
      <w:divBdr>
        <w:top w:val="none" w:sz="0" w:space="0" w:color="auto"/>
        <w:left w:val="none" w:sz="0" w:space="0" w:color="auto"/>
        <w:bottom w:val="none" w:sz="0" w:space="0" w:color="auto"/>
        <w:right w:val="none" w:sz="0" w:space="0" w:color="auto"/>
      </w:divBdr>
    </w:div>
    <w:div w:id="1395005854">
      <w:bodyDiv w:val="1"/>
      <w:marLeft w:val="0"/>
      <w:marRight w:val="0"/>
      <w:marTop w:val="0"/>
      <w:marBottom w:val="0"/>
      <w:divBdr>
        <w:top w:val="none" w:sz="0" w:space="0" w:color="auto"/>
        <w:left w:val="none" w:sz="0" w:space="0" w:color="auto"/>
        <w:bottom w:val="none" w:sz="0" w:space="0" w:color="auto"/>
        <w:right w:val="none" w:sz="0" w:space="0" w:color="auto"/>
      </w:divBdr>
    </w:div>
    <w:div w:id="1397359665">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841496">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8360247">
      <w:bodyDiv w:val="1"/>
      <w:marLeft w:val="0"/>
      <w:marRight w:val="0"/>
      <w:marTop w:val="0"/>
      <w:marBottom w:val="0"/>
      <w:divBdr>
        <w:top w:val="none" w:sz="0" w:space="0" w:color="auto"/>
        <w:left w:val="none" w:sz="0" w:space="0" w:color="auto"/>
        <w:bottom w:val="none" w:sz="0" w:space="0" w:color="auto"/>
        <w:right w:val="none" w:sz="0" w:space="0" w:color="auto"/>
      </w:divBdr>
    </w:div>
    <w:div w:id="1422484426">
      <w:bodyDiv w:val="1"/>
      <w:marLeft w:val="0"/>
      <w:marRight w:val="0"/>
      <w:marTop w:val="0"/>
      <w:marBottom w:val="0"/>
      <w:divBdr>
        <w:top w:val="none" w:sz="0" w:space="0" w:color="auto"/>
        <w:left w:val="none" w:sz="0" w:space="0" w:color="auto"/>
        <w:bottom w:val="none" w:sz="0" w:space="0" w:color="auto"/>
        <w:right w:val="none" w:sz="0" w:space="0" w:color="auto"/>
      </w:divBdr>
    </w:div>
    <w:div w:id="1427076466">
      <w:bodyDiv w:val="1"/>
      <w:marLeft w:val="0"/>
      <w:marRight w:val="0"/>
      <w:marTop w:val="0"/>
      <w:marBottom w:val="0"/>
      <w:divBdr>
        <w:top w:val="none" w:sz="0" w:space="0" w:color="auto"/>
        <w:left w:val="none" w:sz="0" w:space="0" w:color="auto"/>
        <w:bottom w:val="none" w:sz="0" w:space="0" w:color="auto"/>
        <w:right w:val="none" w:sz="0" w:space="0" w:color="auto"/>
      </w:divBdr>
    </w:div>
    <w:div w:id="1430082605">
      <w:bodyDiv w:val="1"/>
      <w:marLeft w:val="0"/>
      <w:marRight w:val="0"/>
      <w:marTop w:val="0"/>
      <w:marBottom w:val="0"/>
      <w:divBdr>
        <w:top w:val="none" w:sz="0" w:space="0" w:color="auto"/>
        <w:left w:val="none" w:sz="0" w:space="0" w:color="auto"/>
        <w:bottom w:val="none" w:sz="0" w:space="0" w:color="auto"/>
        <w:right w:val="none" w:sz="0" w:space="0" w:color="auto"/>
      </w:divBdr>
    </w:div>
    <w:div w:id="1433934859">
      <w:bodyDiv w:val="1"/>
      <w:marLeft w:val="0"/>
      <w:marRight w:val="0"/>
      <w:marTop w:val="0"/>
      <w:marBottom w:val="0"/>
      <w:divBdr>
        <w:top w:val="none" w:sz="0" w:space="0" w:color="auto"/>
        <w:left w:val="none" w:sz="0" w:space="0" w:color="auto"/>
        <w:bottom w:val="none" w:sz="0" w:space="0" w:color="auto"/>
        <w:right w:val="none" w:sz="0" w:space="0" w:color="auto"/>
      </w:divBdr>
    </w:div>
    <w:div w:id="1437016199">
      <w:bodyDiv w:val="1"/>
      <w:marLeft w:val="0"/>
      <w:marRight w:val="0"/>
      <w:marTop w:val="0"/>
      <w:marBottom w:val="0"/>
      <w:divBdr>
        <w:top w:val="none" w:sz="0" w:space="0" w:color="auto"/>
        <w:left w:val="none" w:sz="0" w:space="0" w:color="auto"/>
        <w:bottom w:val="none" w:sz="0" w:space="0" w:color="auto"/>
        <w:right w:val="none" w:sz="0" w:space="0" w:color="auto"/>
      </w:divBdr>
    </w:div>
    <w:div w:id="143991004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2841021">
      <w:bodyDiv w:val="1"/>
      <w:marLeft w:val="0"/>
      <w:marRight w:val="0"/>
      <w:marTop w:val="0"/>
      <w:marBottom w:val="0"/>
      <w:divBdr>
        <w:top w:val="none" w:sz="0" w:space="0" w:color="auto"/>
        <w:left w:val="none" w:sz="0" w:space="0" w:color="auto"/>
        <w:bottom w:val="none" w:sz="0" w:space="0" w:color="auto"/>
        <w:right w:val="none" w:sz="0" w:space="0" w:color="auto"/>
      </w:divBdr>
    </w:div>
    <w:div w:id="1452439913">
      <w:bodyDiv w:val="1"/>
      <w:marLeft w:val="0"/>
      <w:marRight w:val="0"/>
      <w:marTop w:val="0"/>
      <w:marBottom w:val="0"/>
      <w:divBdr>
        <w:top w:val="none" w:sz="0" w:space="0" w:color="auto"/>
        <w:left w:val="none" w:sz="0" w:space="0" w:color="auto"/>
        <w:bottom w:val="none" w:sz="0" w:space="0" w:color="auto"/>
        <w:right w:val="none" w:sz="0" w:space="0" w:color="auto"/>
      </w:divBdr>
    </w:div>
    <w:div w:id="1456025165">
      <w:bodyDiv w:val="1"/>
      <w:marLeft w:val="0"/>
      <w:marRight w:val="0"/>
      <w:marTop w:val="0"/>
      <w:marBottom w:val="0"/>
      <w:divBdr>
        <w:top w:val="none" w:sz="0" w:space="0" w:color="auto"/>
        <w:left w:val="none" w:sz="0" w:space="0" w:color="auto"/>
        <w:bottom w:val="none" w:sz="0" w:space="0" w:color="auto"/>
        <w:right w:val="none" w:sz="0" w:space="0" w:color="auto"/>
      </w:divBdr>
    </w:div>
    <w:div w:id="1462192221">
      <w:bodyDiv w:val="1"/>
      <w:marLeft w:val="0"/>
      <w:marRight w:val="0"/>
      <w:marTop w:val="0"/>
      <w:marBottom w:val="0"/>
      <w:divBdr>
        <w:top w:val="none" w:sz="0" w:space="0" w:color="auto"/>
        <w:left w:val="none" w:sz="0" w:space="0" w:color="auto"/>
        <w:bottom w:val="none" w:sz="0" w:space="0" w:color="auto"/>
        <w:right w:val="none" w:sz="0" w:space="0" w:color="auto"/>
      </w:divBdr>
    </w:div>
    <w:div w:id="1462576893">
      <w:bodyDiv w:val="1"/>
      <w:marLeft w:val="0"/>
      <w:marRight w:val="0"/>
      <w:marTop w:val="0"/>
      <w:marBottom w:val="0"/>
      <w:divBdr>
        <w:top w:val="none" w:sz="0" w:space="0" w:color="auto"/>
        <w:left w:val="none" w:sz="0" w:space="0" w:color="auto"/>
        <w:bottom w:val="none" w:sz="0" w:space="0" w:color="auto"/>
        <w:right w:val="none" w:sz="0" w:space="0" w:color="auto"/>
      </w:divBdr>
    </w:div>
    <w:div w:id="1467626347">
      <w:bodyDiv w:val="1"/>
      <w:marLeft w:val="0"/>
      <w:marRight w:val="0"/>
      <w:marTop w:val="0"/>
      <w:marBottom w:val="0"/>
      <w:divBdr>
        <w:top w:val="none" w:sz="0" w:space="0" w:color="auto"/>
        <w:left w:val="none" w:sz="0" w:space="0" w:color="auto"/>
        <w:bottom w:val="none" w:sz="0" w:space="0" w:color="auto"/>
        <w:right w:val="none" w:sz="0" w:space="0" w:color="auto"/>
      </w:divBdr>
    </w:div>
    <w:div w:id="1479490303">
      <w:bodyDiv w:val="1"/>
      <w:marLeft w:val="0"/>
      <w:marRight w:val="0"/>
      <w:marTop w:val="0"/>
      <w:marBottom w:val="0"/>
      <w:divBdr>
        <w:top w:val="none" w:sz="0" w:space="0" w:color="auto"/>
        <w:left w:val="none" w:sz="0" w:space="0" w:color="auto"/>
        <w:bottom w:val="none" w:sz="0" w:space="0" w:color="auto"/>
        <w:right w:val="none" w:sz="0" w:space="0" w:color="auto"/>
      </w:divBdr>
    </w:div>
    <w:div w:id="1482578513">
      <w:bodyDiv w:val="1"/>
      <w:marLeft w:val="0"/>
      <w:marRight w:val="0"/>
      <w:marTop w:val="0"/>
      <w:marBottom w:val="0"/>
      <w:divBdr>
        <w:top w:val="none" w:sz="0" w:space="0" w:color="auto"/>
        <w:left w:val="none" w:sz="0" w:space="0" w:color="auto"/>
        <w:bottom w:val="none" w:sz="0" w:space="0" w:color="auto"/>
        <w:right w:val="none" w:sz="0" w:space="0" w:color="auto"/>
      </w:divBdr>
    </w:div>
    <w:div w:id="1489906849">
      <w:bodyDiv w:val="1"/>
      <w:marLeft w:val="0"/>
      <w:marRight w:val="0"/>
      <w:marTop w:val="0"/>
      <w:marBottom w:val="0"/>
      <w:divBdr>
        <w:top w:val="none" w:sz="0" w:space="0" w:color="auto"/>
        <w:left w:val="none" w:sz="0" w:space="0" w:color="auto"/>
        <w:bottom w:val="none" w:sz="0" w:space="0" w:color="auto"/>
        <w:right w:val="none" w:sz="0" w:space="0" w:color="auto"/>
      </w:divBdr>
    </w:div>
    <w:div w:id="1496409083">
      <w:bodyDiv w:val="1"/>
      <w:marLeft w:val="0"/>
      <w:marRight w:val="0"/>
      <w:marTop w:val="0"/>
      <w:marBottom w:val="0"/>
      <w:divBdr>
        <w:top w:val="none" w:sz="0" w:space="0" w:color="auto"/>
        <w:left w:val="none" w:sz="0" w:space="0" w:color="auto"/>
        <w:bottom w:val="none" w:sz="0" w:space="0" w:color="auto"/>
        <w:right w:val="none" w:sz="0" w:space="0" w:color="auto"/>
      </w:divBdr>
    </w:div>
    <w:div w:id="1504395568">
      <w:bodyDiv w:val="1"/>
      <w:marLeft w:val="0"/>
      <w:marRight w:val="0"/>
      <w:marTop w:val="0"/>
      <w:marBottom w:val="0"/>
      <w:divBdr>
        <w:top w:val="none" w:sz="0" w:space="0" w:color="auto"/>
        <w:left w:val="none" w:sz="0" w:space="0" w:color="auto"/>
        <w:bottom w:val="none" w:sz="0" w:space="0" w:color="auto"/>
        <w:right w:val="none" w:sz="0" w:space="0" w:color="auto"/>
      </w:divBdr>
    </w:div>
    <w:div w:id="1507550393">
      <w:bodyDiv w:val="1"/>
      <w:marLeft w:val="0"/>
      <w:marRight w:val="0"/>
      <w:marTop w:val="0"/>
      <w:marBottom w:val="0"/>
      <w:divBdr>
        <w:top w:val="none" w:sz="0" w:space="0" w:color="auto"/>
        <w:left w:val="none" w:sz="0" w:space="0" w:color="auto"/>
        <w:bottom w:val="none" w:sz="0" w:space="0" w:color="auto"/>
        <w:right w:val="none" w:sz="0" w:space="0" w:color="auto"/>
      </w:divBdr>
    </w:div>
    <w:div w:id="1508328138">
      <w:bodyDiv w:val="1"/>
      <w:marLeft w:val="0"/>
      <w:marRight w:val="0"/>
      <w:marTop w:val="0"/>
      <w:marBottom w:val="0"/>
      <w:divBdr>
        <w:top w:val="none" w:sz="0" w:space="0" w:color="auto"/>
        <w:left w:val="none" w:sz="0" w:space="0" w:color="auto"/>
        <w:bottom w:val="none" w:sz="0" w:space="0" w:color="auto"/>
        <w:right w:val="none" w:sz="0" w:space="0" w:color="auto"/>
      </w:divBdr>
    </w:div>
    <w:div w:id="1523126091">
      <w:bodyDiv w:val="1"/>
      <w:marLeft w:val="0"/>
      <w:marRight w:val="0"/>
      <w:marTop w:val="0"/>
      <w:marBottom w:val="0"/>
      <w:divBdr>
        <w:top w:val="none" w:sz="0" w:space="0" w:color="auto"/>
        <w:left w:val="none" w:sz="0" w:space="0" w:color="auto"/>
        <w:bottom w:val="none" w:sz="0" w:space="0" w:color="auto"/>
        <w:right w:val="none" w:sz="0" w:space="0" w:color="auto"/>
      </w:divBdr>
    </w:div>
    <w:div w:id="1528323746">
      <w:bodyDiv w:val="1"/>
      <w:marLeft w:val="0"/>
      <w:marRight w:val="0"/>
      <w:marTop w:val="0"/>
      <w:marBottom w:val="0"/>
      <w:divBdr>
        <w:top w:val="none" w:sz="0" w:space="0" w:color="auto"/>
        <w:left w:val="none" w:sz="0" w:space="0" w:color="auto"/>
        <w:bottom w:val="none" w:sz="0" w:space="0" w:color="auto"/>
        <w:right w:val="none" w:sz="0" w:space="0" w:color="auto"/>
      </w:divBdr>
    </w:div>
    <w:div w:id="1530020993">
      <w:bodyDiv w:val="1"/>
      <w:marLeft w:val="0"/>
      <w:marRight w:val="0"/>
      <w:marTop w:val="0"/>
      <w:marBottom w:val="0"/>
      <w:divBdr>
        <w:top w:val="none" w:sz="0" w:space="0" w:color="auto"/>
        <w:left w:val="none" w:sz="0" w:space="0" w:color="auto"/>
        <w:bottom w:val="none" w:sz="0" w:space="0" w:color="auto"/>
        <w:right w:val="none" w:sz="0" w:space="0" w:color="auto"/>
      </w:divBdr>
    </w:div>
    <w:div w:id="1530991811">
      <w:bodyDiv w:val="1"/>
      <w:marLeft w:val="0"/>
      <w:marRight w:val="0"/>
      <w:marTop w:val="0"/>
      <w:marBottom w:val="0"/>
      <w:divBdr>
        <w:top w:val="none" w:sz="0" w:space="0" w:color="auto"/>
        <w:left w:val="none" w:sz="0" w:space="0" w:color="auto"/>
        <w:bottom w:val="none" w:sz="0" w:space="0" w:color="auto"/>
        <w:right w:val="none" w:sz="0" w:space="0" w:color="auto"/>
      </w:divBdr>
    </w:div>
    <w:div w:id="1538658201">
      <w:bodyDiv w:val="1"/>
      <w:marLeft w:val="0"/>
      <w:marRight w:val="0"/>
      <w:marTop w:val="0"/>
      <w:marBottom w:val="0"/>
      <w:divBdr>
        <w:top w:val="none" w:sz="0" w:space="0" w:color="auto"/>
        <w:left w:val="none" w:sz="0" w:space="0" w:color="auto"/>
        <w:bottom w:val="none" w:sz="0" w:space="0" w:color="auto"/>
        <w:right w:val="none" w:sz="0" w:space="0" w:color="auto"/>
      </w:divBdr>
    </w:div>
    <w:div w:id="1539973500">
      <w:bodyDiv w:val="1"/>
      <w:marLeft w:val="0"/>
      <w:marRight w:val="0"/>
      <w:marTop w:val="0"/>
      <w:marBottom w:val="0"/>
      <w:divBdr>
        <w:top w:val="none" w:sz="0" w:space="0" w:color="auto"/>
        <w:left w:val="none" w:sz="0" w:space="0" w:color="auto"/>
        <w:bottom w:val="none" w:sz="0" w:space="0" w:color="auto"/>
        <w:right w:val="none" w:sz="0" w:space="0" w:color="auto"/>
      </w:divBdr>
    </w:div>
    <w:div w:id="1540586081">
      <w:bodyDiv w:val="1"/>
      <w:marLeft w:val="0"/>
      <w:marRight w:val="0"/>
      <w:marTop w:val="0"/>
      <w:marBottom w:val="0"/>
      <w:divBdr>
        <w:top w:val="none" w:sz="0" w:space="0" w:color="auto"/>
        <w:left w:val="none" w:sz="0" w:space="0" w:color="auto"/>
        <w:bottom w:val="none" w:sz="0" w:space="0" w:color="auto"/>
        <w:right w:val="none" w:sz="0" w:space="0" w:color="auto"/>
      </w:divBdr>
    </w:div>
    <w:div w:id="1547371544">
      <w:bodyDiv w:val="1"/>
      <w:marLeft w:val="0"/>
      <w:marRight w:val="0"/>
      <w:marTop w:val="0"/>
      <w:marBottom w:val="0"/>
      <w:divBdr>
        <w:top w:val="none" w:sz="0" w:space="0" w:color="auto"/>
        <w:left w:val="none" w:sz="0" w:space="0" w:color="auto"/>
        <w:bottom w:val="none" w:sz="0" w:space="0" w:color="auto"/>
        <w:right w:val="none" w:sz="0" w:space="0" w:color="auto"/>
      </w:divBdr>
    </w:div>
    <w:div w:id="1554270682">
      <w:bodyDiv w:val="1"/>
      <w:marLeft w:val="0"/>
      <w:marRight w:val="0"/>
      <w:marTop w:val="0"/>
      <w:marBottom w:val="0"/>
      <w:divBdr>
        <w:top w:val="none" w:sz="0" w:space="0" w:color="auto"/>
        <w:left w:val="none" w:sz="0" w:space="0" w:color="auto"/>
        <w:bottom w:val="none" w:sz="0" w:space="0" w:color="auto"/>
        <w:right w:val="none" w:sz="0" w:space="0" w:color="auto"/>
      </w:divBdr>
    </w:div>
    <w:div w:id="1562323518">
      <w:bodyDiv w:val="1"/>
      <w:marLeft w:val="0"/>
      <w:marRight w:val="0"/>
      <w:marTop w:val="0"/>
      <w:marBottom w:val="0"/>
      <w:divBdr>
        <w:top w:val="none" w:sz="0" w:space="0" w:color="auto"/>
        <w:left w:val="none" w:sz="0" w:space="0" w:color="auto"/>
        <w:bottom w:val="none" w:sz="0" w:space="0" w:color="auto"/>
        <w:right w:val="none" w:sz="0" w:space="0" w:color="auto"/>
      </w:divBdr>
    </w:div>
    <w:div w:id="1565330911">
      <w:bodyDiv w:val="1"/>
      <w:marLeft w:val="0"/>
      <w:marRight w:val="0"/>
      <w:marTop w:val="0"/>
      <w:marBottom w:val="0"/>
      <w:divBdr>
        <w:top w:val="none" w:sz="0" w:space="0" w:color="auto"/>
        <w:left w:val="none" w:sz="0" w:space="0" w:color="auto"/>
        <w:bottom w:val="none" w:sz="0" w:space="0" w:color="auto"/>
        <w:right w:val="none" w:sz="0" w:space="0" w:color="auto"/>
      </w:divBdr>
    </w:div>
    <w:div w:id="1566260849">
      <w:bodyDiv w:val="1"/>
      <w:marLeft w:val="0"/>
      <w:marRight w:val="0"/>
      <w:marTop w:val="0"/>
      <w:marBottom w:val="0"/>
      <w:divBdr>
        <w:top w:val="none" w:sz="0" w:space="0" w:color="auto"/>
        <w:left w:val="none" w:sz="0" w:space="0" w:color="auto"/>
        <w:bottom w:val="none" w:sz="0" w:space="0" w:color="auto"/>
        <w:right w:val="none" w:sz="0" w:space="0" w:color="auto"/>
      </w:divBdr>
    </w:div>
    <w:div w:id="1566448158">
      <w:bodyDiv w:val="1"/>
      <w:marLeft w:val="0"/>
      <w:marRight w:val="0"/>
      <w:marTop w:val="0"/>
      <w:marBottom w:val="0"/>
      <w:divBdr>
        <w:top w:val="none" w:sz="0" w:space="0" w:color="auto"/>
        <w:left w:val="none" w:sz="0" w:space="0" w:color="auto"/>
        <w:bottom w:val="none" w:sz="0" w:space="0" w:color="auto"/>
        <w:right w:val="none" w:sz="0" w:space="0" w:color="auto"/>
      </w:divBdr>
    </w:div>
    <w:div w:id="1569144906">
      <w:bodyDiv w:val="1"/>
      <w:marLeft w:val="0"/>
      <w:marRight w:val="0"/>
      <w:marTop w:val="0"/>
      <w:marBottom w:val="0"/>
      <w:divBdr>
        <w:top w:val="none" w:sz="0" w:space="0" w:color="auto"/>
        <w:left w:val="none" w:sz="0" w:space="0" w:color="auto"/>
        <w:bottom w:val="none" w:sz="0" w:space="0" w:color="auto"/>
        <w:right w:val="none" w:sz="0" w:space="0" w:color="auto"/>
      </w:divBdr>
    </w:div>
    <w:div w:id="1581478349">
      <w:bodyDiv w:val="1"/>
      <w:marLeft w:val="0"/>
      <w:marRight w:val="0"/>
      <w:marTop w:val="0"/>
      <w:marBottom w:val="0"/>
      <w:divBdr>
        <w:top w:val="none" w:sz="0" w:space="0" w:color="auto"/>
        <w:left w:val="none" w:sz="0" w:space="0" w:color="auto"/>
        <w:bottom w:val="none" w:sz="0" w:space="0" w:color="auto"/>
        <w:right w:val="none" w:sz="0" w:space="0" w:color="auto"/>
      </w:divBdr>
    </w:div>
    <w:div w:id="1590503355">
      <w:bodyDiv w:val="1"/>
      <w:marLeft w:val="0"/>
      <w:marRight w:val="0"/>
      <w:marTop w:val="0"/>
      <w:marBottom w:val="0"/>
      <w:divBdr>
        <w:top w:val="none" w:sz="0" w:space="0" w:color="auto"/>
        <w:left w:val="none" w:sz="0" w:space="0" w:color="auto"/>
        <w:bottom w:val="none" w:sz="0" w:space="0" w:color="auto"/>
        <w:right w:val="none" w:sz="0" w:space="0" w:color="auto"/>
      </w:divBdr>
    </w:div>
    <w:div w:id="1590698740">
      <w:bodyDiv w:val="1"/>
      <w:marLeft w:val="0"/>
      <w:marRight w:val="0"/>
      <w:marTop w:val="0"/>
      <w:marBottom w:val="0"/>
      <w:divBdr>
        <w:top w:val="none" w:sz="0" w:space="0" w:color="auto"/>
        <w:left w:val="none" w:sz="0" w:space="0" w:color="auto"/>
        <w:bottom w:val="none" w:sz="0" w:space="0" w:color="auto"/>
        <w:right w:val="none" w:sz="0" w:space="0" w:color="auto"/>
      </w:divBdr>
    </w:div>
    <w:div w:id="1591504829">
      <w:bodyDiv w:val="1"/>
      <w:marLeft w:val="0"/>
      <w:marRight w:val="0"/>
      <w:marTop w:val="0"/>
      <w:marBottom w:val="0"/>
      <w:divBdr>
        <w:top w:val="none" w:sz="0" w:space="0" w:color="auto"/>
        <w:left w:val="none" w:sz="0" w:space="0" w:color="auto"/>
        <w:bottom w:val="none" w:sz="0" w:space="0" w:color="auto"/>
        <w:right w:val="none" w:sz="0" w:space="0" w:color="auto"/>
      </w:divBdr>
    </w:div>
    <w:div w:id="1599291259">
      <w:bodyDiv w:val="1"/>
      <w:marLeft w:val="0"/>
      <w:marRight w:val="0"/>
      <w:marTop w:val="0"/>
      <w:marBottom w:val="0"/>
      <w:divBdr>
        <w:top w:val="none" w:sz="0" w:space="0" w:color="auto"/>
        <w:left w:val="none" w:sz="0" w:space="0" w:color="auto"/>
        <w:bottom w:val="none" w:sz="0" w:space="0" w:color="auto"/>
        <w:right w:val="none" w:sz="0" w:space="0" w:color="auto"/>
      </w:divBdr>
    </w:div>
    <w:div w:id="1599747973">
      <w:bodyDiv w:val="1"/>
      <w:marLeft w:val="0"/>
      <w:marRight w:val="0"/>
      <w:marTop w:val="0"/>
      <w:marBottom w:val="0"/>
      <w:divBdr>
        <w:top w:val="none" w:sz="0" w:space="0" w:color="auto"/>
        <w:left w:val="none" w:sz="0" w:space="0" w:color="auto"/>
        <w:bottom w:val="none" w:sz="0" w:space="0" w:color="auto"/>
        <w:right w:val="none" w:sz="0" w:space="0" w:color="auto"/>
      </w:divBdr>
    </w:div>
    <w:div w:id="1605771607">
      <w:bodyDiv w:val="1"/>
      <w:marLeft w:val="0"/>
      <w:marRight w:val="0"/>
      <w:marTop w:val="0"/>
      <w:marBottom w:val="0"/>
      <w:divBdr>
        <w:top w:val="none" w:sz="0" w:space="0" w:color="auto"/>
        <w:left w:val="none" w:sz="0" w:space="0" w:color="auto"/>
        <w:bottom w:val="none" w:sz="0" w:space="0" w:color="auto"/>
        <w:right w:val="none" w:sz="0" w:space="0" w:color="auto"/>
      </w:divBdr>
    </w:div>
    <w:div w:id="1621111783">
      <w:bodyDiv w:val="1"/>
      <w:marLeft w:val="0"/>
      <w:marRight w:val="0"/>
      <w:marTop w:val="0"/>
      <w:marBottom w:val="0"/>
      <w:divBdr>
        <w:top w:val="none" w:sz="0" w:space="0" w:color="auto"/>
        <w:left w:val="none" w:sz="0" w:space="0" w:color="auto"/>
        <w:bottom w:val="none" w:sz="0" w:space="0" w:color="auto"/>
        <w:right w:val="none" w:sz="0" w:space="0" w:color="auto"/>
      </w:divBdr>
    </w:div>
    <w:div w:id="1622541115">
      <w:bodyDiv w:val="1"/>
      <w:marLeft w:val="0"/>
      <w:marRight w:val="0"/>
      <w:marTop w:val="0"/>
      <w:marBottom w:val="0"/>
      <w:divBdr>
        <w:top w:val="none" w:sz="0" w:space="0" w:color="auto"/>
        <w:left w:val="none" w:sz="0" w:space="0" w:color="auto"/>
        <w:bottom w:val="none" w:sz="0" w:space="0" w:color="auto"/>
        <w:right w:val="none" w:sz="0" w:space="0" w:color="auto"/>
      </w:divBdr>
    </w:div>
    <w:div w:id="162458140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656645">
      <w:bodyDiv w:val="1"/>
      <w:marLeft w:val="0"/>
      <w:marRight w:val="0"/>
      <w:marTop w:val="0"/>
      <w:marBottom w:val="0"/>
      <w:divBdr>
        <w:top w:val="none" w:sz="0" w:space="0" w:color="auto"/>
        <w:left w:val="none" w:sz="0" w:space="0" w:color="auto"/>
        <w:bottom w:val="none" w:sz="0" w:space="0" w:color="auto"/>
        <w:right w:val="none" w:sz="0" w:space="0" w:color="auto"/>
      </w:divBdr>
    </w:div>
    <w:div w:id="1630163065">
      <w:bodyDiv w:val="1"/>
      <w:marLeft w:val="0"/>
      <w:marRight w:val="0"/>
      <w:marTop w:val="0"/>
      <w:marBottom w:val="0"/>
      <w:divBdr>
        <w:top w:val="none" w:sz="0" w:space="0" w:color="auto"/>
        <w:left w:val="none" w:sz="0" w:space="0" w:color="auto"/>
        <w:bottom w:val="none" w:sz="0" w:space="0" w:color="auto"/>
        <w:right w:val="none" w:sz="0" w:space="0" w:color="auto"/>
      </w:divBdr>
    </w:div>
    <w:div w:id="1634675390">
      <w:bodyDiv w:val="1"/>
      <w:marLeft w:val="0"/>
      <w:marRight w:val="0"/>
      <w:marTop w:val="0"/>
      <w:marBottom w:val="0"/>
      <w:divBdr>
        <w:top w:val="none" w:sz="0" w:space="0" w:color="auto"/>
        <w:left w:val="none" w:sz="0" w:space="0" w:color="auto"/>
        <w:bottom w:val="none" w:sz="0" w:space="0" w:color="auto"/>
        <w:right w:val="none" w:sz="0" w:space="0" w:color="auto"/>
      </w:divBdr>
    </w:div>
    <w:div w:id="1640845323">
      <w:bodyDiv w:val="1"/>
      <w:marLeft w:val="0"/>
      <w:marRight w:val="0"/>
      <w:marTop w:val="0"/>
      <w:marBottom w:val="0"/>
      <w:divBdr>
        <w:top w:val="none" w:sz="0" w:space="0" w:color="auto"/>
        <w:left w:val="none" w:sz="0" w:space="0" w:color="auto"/>
        <w:bottom w:val="none" w:sz="0" w:space="0" w:color="auto"/>
        <w:right w:val="none" w:sz="0" w:space="0" w:color="auto"/>
      </w:divBdr>
    </w:div>
    <w:div w:id="1649548371">
      <w:bodyDiv w:val="1"/>
      <w:marLeft w:val="0"/>
      <w:marRight w:val="0"/>
      <w:marTop w:val="0"/>
      <w:marBottom w:val="0"/>
      <w:divBdr>
        <w:top w:val="none" w:sz="0" w:space="0" w:color="auto"/>
        <w:left w:val="none" w:sz="0" w:space="0" w:color="auto"/>
        <w:bottom w:val="none" w:sz="0" w:space="0" w:color="auto"/>
        <w:right w:val="none" w:sz="0" w:space="0" w:color="auto"/>
      </w:divBdr>
    </w:div>
    <w:div w:id="1652634262">
      <w:bodyDiv w:val="1"/>
      <w:marLeft w:val="0"/>
      <w:marRight w:val="0"/>
      <w:marTop w:val="0"/>
      <w:marBottom w:val="0"/>
      <w:divBdr>
        <w:top w:val="none" w:sz="0" w:space="0" w:color="auto"/>
        <w:left w:val="none" w:sz="0" w:space="0" w:color="auto"/>
        <w:bottom w:val="none" w:sz="0" w:space="0" w:color="auto"/>
        <w:right w:val="none" w:sz="0" w:space="0" w:color="auto"/>
      </w:divBdr>
    </w:div>
    <w:div w:id="1674606356">
      <w:bodyDiv w:val="1"/>
      <w:marLeft w:val="0"/>
      <w:marRight w:val="0"/>
      <w:marTop w:val="0"/>
      <w:marBottom w:val="0"/>
      <w:divBdr>
        <w:top w:val="none" w:sz="0" w:space="0" w:color="auto"/>
        <w:left w:val="none" w:sz="0" w:space="0" w:color="auto"/>
        <w:bottom w:val="none" w:sz="0" w:space="0" w:color="auto"/>
        <w:right w:val="none" w:sz="0" w:space="0" w:color="auto"/>
      </w:divBdr>
    </w:div>
    <w:div w:id="1675374916">
      <w:bodyDiv w:val="1"/>
      <w:marLeft w:val="0"/>
      <w:marRight w:val="0"/>
      <w:marTop w:val="0"/>
      <w:marBottom w:val="0"/>
      <w:divBdr>
        <w:top w:val="none" w:sz="0" w:space="0" w:color="auto"/>
        <w:left w:val="none" w:sz="0" w:space="0" w:color="auto"/>
        <w:bottom w:val="none" w:sz="0" w:space="0" w:color="auto"/>
        <w:right w:val="none" w:sz="0" w:space="0" w:color="auto"/>
      </w:divBdr>
    </w:div>
    <w:div w:id="1681202010">
      <w:bodyDiv w:val="1"/>
      <w:marLeft w:val="0"/>
      <w:marRight w:val="0"/>
      <w:marTop w:val="0"/>
      <w:marBottom w:val="0"/>
      <w:divBdr>
        <w:top w:val="none" w:sz="0" w:space="0" w:color="auto"/>
        <w:left w:val="none" w:sz="0" w:space="0" w:color="auto"/>
        <w:bottom w:val="none" w:sz="0" w:space="0" w:color="auto"/>
        <w:right w:val="none" w:sz="0" w:space="0" w:color="auto"/>
      </w:divBdr>
    </w:div>
    <w:div w:id="1681465941">
      <w:bodyDiv w:val="1"/>
      <w:marLeft w:val="0"/>
      <w:marRight w:val="0"/>
      <w:marTop w:val="0"/>
      <w:marBottom w:val="0"/>
      <w:divBdr>
        <w:top w:val="none" w:sz="0" w:space="0" w:color="auto"/>
        <w:left w:val="none" w:sz="0" w:space="0" w:color="auto"/>
        <w:bottom w:val="none" w:sz="0" w:space="0" w:color="auto"/>
        <w:right w:val="none" w:sz="0" w:space="0" w:color="auto"/>
      </w:divBdr>
    </w:div>
    <w:div w:id="1684042182">
      <w:bodyDiv w:val="1"/>
      <w:marLeft w:val="0"/>
      <w:marRight w:val="0"/>
      <w:marTop w:val="0"/>
      <w:marBottom w:val="0"/>
      <w:divBdr>
        <w:top w:val="none" w:sz="0" w:space="0" w:color="auto"/>
        <w:left w:val="none" w:sz="0" w:space="0" w:color="auto"/>
        <w:bottom w:val="none" w:sz="0" w:space="0" w:color="auto"/>
        <w:right w:val="none" w:sz="0" w:space="0" w:color="auto"/>
      </w:divBdr>
    </w:div>
    <w:div w:id="1695763552">
      <w:bodyDiv w:val="1"/>
      <w:marLeft w:val="0"/>
      <w:marRight w:val="0"/>
      <w:marTop w:val="0"/>
      <w:marBottom w:val="0"/>
      <w:divBdr>
        <w:top w:val="none" w:sz="0" w:space="0" w:color="auto"/>
        <w:left w:val="none" w:sz="0" w:space="0" w:color="auto"/>
        <w:bottom w:val="none" w:sz="0" w:space="0" w:color="auto"/>
        <w:right w:val="none" w:sz="0" w:space="0" w:color="auto"/>
      </w:divBdr>
    </w:div>
    <w:div w:id="1704860925">
      <w:bodyDiv w:val="1"/>
      <w:marLeft w:val="0"/>
      <w:marRight w:val="0"/>
      <w:marTop w:val="0"/>
      <w:marBottom w:val="0"/>
      <w:divBdr>
        <w:top w:val="none" w:sz="0" w:space="0" w:color="auto"/>
        <w:left w:val="none" w:sz="0" w:space="0" w:color="auto"/>
        <w:bottom w:val="none" w:sz="0" w:space="0" w:color="auto"/>
        <w:right w:val="none" w:sz="0" w:space="0" w:color="auto"/>
      </w:divBdr>
    </w:div>
    <w:div w:id="1711877766">
      <w:bodyDiv w:val="1"/>
      <w:marLeft w:val="0"/>
      <w:marRight w:val="0"/>
      <w:marTop w:val="0"/>
      <w:marBottom w:val="0"/>
      <w:divBdr>
        <w:top w:val="none" w:sz="0" w:space="0" w:color="auto"/>
        <w:left w:val="none" w:sz="0" w:space="0" w:color="auto"/>
        <w:bottom w:val="none" w:sz="0" w:space="0" w:color="auto"/>
        <w:right w:val="none" w:sz="0" w:space="0" w:color="auto"/>
      </w:divBdr>
    </w:div>
    <w:div w:id="1715502894">
      <w:bodyDiv w:val="1"/>
      <w:marLeft w:val="0"/>
      <w:marRight w:val="0"/>
      <w:marTop w:val="0"/>
      <w:marBottom w:val="0"/>
      <w:divBdr>
        <w:top w:val="none" w:sz="0" w:space="0" w:color="auto"/>
        <w:left w:val="none" w:sz="0" w:space="0" w:color="auto"/>
        <w:bottom w:val="none" w:sz="0" w:space="0" w:color="auto"/>
        <w:right w:val="none" w:sz="0" w:space="0" w:color="auto"/>
      </w:divBdr>
    </w:div>
    <w:div w:id="1717319467">
      <w:bodyDiv w:val="1"/>
      <w:marLeft w:val="0"/>
      <w:marRight w:val="0"/>
      <w:marTop w:val="0"/>
      <w:marBottom w:val="0"/>
      <w:divBdr>
        <w:top w:val="none" w:sz="0" w:space="0" w:color="auto"/>
        <w:left w:val="none" w:sz="0" w:space="0" w:color="auto"/>
        <w:bottom w:val="none" w:sz="0" w:space="0" w:color="auto"/>
        <w:right w:val="none" w:sz="0" w:space="0" w:color="auto"/>
      </w:divBdr>
    </w:div>
    <w:div w:id="1720326539">
      <w:bodyDiv w:val="1"/>
      <w:marLeft w:val="0"/>
      <w:marRight w:val="0"/>
      <w:marTop w:val="0"/>
      <w:marBottom w:val="0"/>
      <w:divBdr>
        <w:top w:val="none" w:sz="0" w:space="0" w:color="auto"/>
        <w:left w:val="none" w:sz="0" w:space="0" w:color="auto"/>
        <w:bottom w:val="none" w:sz="0" w:space="0" w:color="auto"/>
        <w:right w:val="none" w:sz="0" w:space="0" w:color="auto"/>
      </w:divBdr>
    </w:div>
    <w:div w:id="1730693370">
      <w:bodyDiv w:val="1"/>
      <w:marLeft w:val="0"/>
      <w:marRight w:val="0"/>
      <w:marTop w:val="0"/>
      <w:marBottom w:val="0"/>
      <w:divBdr>
        <w:top w:val="none" w:sz="0" w:space="0" w:color="auto"/>
        <w:left w:val="none" w:sz="0" w:space="0" w:color="auto"/>
        <w:bottom w:val="none" w:sz="0" w:space="0" w:color="auto"/>
        <w:right w:val="none" w:sz="0" w:space="0" w:color="auto"/>
      </w:divBdr>
    </w:div>
    <w:div w:id="1741557764">
      <w:bodyDiv w:val="1"/>
      <w:marLeft w:val="0"/>
      <w:marRight w:val="0"/>
      <w:marTop w:val="0"/>
      <w:marBottom w:val="0"/>
      <w:divBdr>
        <w:top w:val="none" w:sz="0" w:space="0" w:color="auto"/>
        <w:left w:val="none" w:sz="0" w:space="0" w:color="auto"/>
        <w:bottom w:val="none" w:sz="0" w:space="0" w:color="auto"/>
        <w:right w:val="none" w:sz="0" w:space="0" w:color="auto"/>
      </w:divBdr>
    </w:div>
    <w:div w:id="1741899134">
      <w:bodyDiv w:val="1"/>
      <w:marLeft w:val="0"/>
      <w:marRight w:val="0"/>
      <w:marTop w:val="0"/>
      <w:marBottom w:val="0"/>
      <w:divBdr>
        <w:top w:val="none" w:sz="0" w:space="0" w:color="auto"/>
        <w:left w:val="none" w:sz="0" w:space="0" w:color="auto"/>
        <w:bottom w:val="none" w:sz="0" w:space="0" w:color="auto"/>
        <w:right w:val="none" w:sz="0" w:space="0" w:color="auto"/>
      </w:divBdr>
    </w:div>
    <w:div w:id="1743674990">
      <w:bodyDiv w:val="1"/>
      <w:marLeft w:val="0"/>
      <w:marRight w:val="0"/>
      <w:marTop w:val="0"/>
      <w:marBottom w:val="0"/>
      <w:divBdr>
        <w:top w:val="none" w:sz="0" w:space="0" w:color="auto"/>
        <w:left w:val="none" w:sz="0" w:space="0" w:color="auto"/>
        <w:bottom w:val="none" w:sz="0" w:space="0" w:color="auto"/>
        <w:right w:val="none" w:sz="0" w:space="0" w:color="auto"/>
      </w:divBdr>
    </w:div>
    <w:div w:id="1747220277">
      <w:bodyDiv w:val="1"/>
      <w:marLeft w:val="0"/>
      <w:marRight w:val="0"/>
      <w:marTop w:val="0"/>
      <w:marBottom w:val="0"/>
      <w:divBdr>
        <w:top w:val="none" w:sz="0" w:space="0" w:color="auto"/>
        <w:left w:val="none" w:sz="0" w:space="0" w:color="auto"/>
        <w:bottom w:val="none" w:sz="0" w:space="0" w:color="auto"/>
        <w:right w:val="none" w:sz="0" w:space="0" w:color="auto"/>
      </w:divBdr>
    </w:div>
    <w:div w:id="1748377145">
      <w:bodyDiv w:val="1"/>
      <w:marLeft w:val="0"/>
      <w:marRight w:val="0"/>
      <w:marTop w:val="0"/>
      <w:marBottom w:val="0"/>
      <w:divBdr>
        <w:top w:val="none" w:sz="0" w:space="0" w:color="auto"/>
        <w:left w:val="none" w:sz="0" w:space="0" w:color="auto"/>
        <w:bottom w:val="none" w:sz="0" w:space="0" w:color="auto"/>
        <w:right w:val="none" w:sz="0" w:space="0" w:color="auto"/>
      </w:divBdr>
    </w:div>
    <w:div w:id="1767577324">
      <w:bodyDiv w:val="1"/>
      <w:marLeft w:val="0"/>
      <w:marRight w:val="0"/>
      <w:marTop w:val="0"/>
      <w:marBottom w:val="0"/>
      <w:divBdr>
        <w:top w:val="none" w:sz="0" w:space="0" w:color="auto"/>
        <w:left w:val="none" w:sz="0" w:space="0" w:color="auto"/>
        <w:bottom w:val="none" w:sz="0" w:space="0" w:color="auto"/>
        <w:right w:val="none" w:sz="0" w:space="0" w:color="auto"/>
      </w:divBdr>
    </w:div>
    <w:div w:id="1769887947">
      <w:bodyDiv w:val="1"/>
      <w:marLeft w:val="0"/>
      <w:marRight w:val="0"/>
      <w:marTop w:val="0"/>
      <w:marBottom w:val="0"/>
      <w:divBdr>
        <w:top w:val="none" w:sz="0" w:space="0" w:color="auto"/>
        <w:left w:val="none" w:sz="0" w:space="0" w:color="auto"/>
        <w:bottom w:val="none" w:sz="0" w:space="0" w:color="auto"/>
        <w:right w:val="none" w:sz="0" w:space="0" w:color="auto"/>
      </w:divBdr>
    </w:div>
    <w:div w:id="1791170043">
      <w:bodyDiv w:val="1"/>
      <w:marLeft w:val="0"/>
      <w:marRight w:val="0"/>
      <w:marTop w:val="0"/>
      <w:marBottom w:val="0"/>
      <w:divBdr>
        <w:top w:val="none" w:sz="0" w:space="0" w:color="auto"/>
        <w:left w:val="none" w:sz="0" w:space="0" w:color="auto"/>
        <w:bottom w:val="none" w:sz="0" w:space="0" w:color="auto"/>
        <w:right w:val="none" w:sz="0" w:space="0" w:color="auto"/>
      </w:divBdr>
    </w:div>
    <w:div w:id="1793089830">
      <w:bodyDiv w:val="1"/>
      <w:marLeft w:val="0"/>
      <w:marRight w:val="0"/>
      <w:marTop w:val="0"/>
      <w:marBottom w:val="0"/>
      <w:divBdr>
        <w:top w:val="none" w:sz="0" w:space="0" w:color="auto"/>
        <w:left w:val="none" w:sz="0" w:space="0" w:color="auto"/>
        <w:bottom w:val="none" w:sz="0" w:space="0" w:color="auto"/>
        <w:right w:val="none" w:sz="0" w:space="0" w:color="auto"/>
      </w:divBdr>
    </w:div>
    <w:div w:id="179609802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7968504">
      <w:bodyDiv w:val="1"/>
      <w:marLeft w:val="0"/>
      <w:marRight w:val="0"/>
      <w:marTop w:val="0"/>
      <w:marBottom w:val="0"/>
      <w:divBdr>
        <w:top w:val="none" w:sz="0" w:space="0" w:color="auto"/>
        <w:left w:val="none" w:sz="0" w:space="0" w:color="auto"/>
        <w:bottom w:val="none" w:sz="0" w:space="0" w:color="auto"/>
        <w:right w:val="none" w:sz="0" w:space="0" w:color="auto"/>
      </w:divBdr>
    </w:div>
    <w:div w:id="1808544623">
      <w:bodyDiv w:val="1"/>
      <w:marLeft w:val="0"/>
      <w:marRight w:val="0"/>
      <w:marTop w:val="0"/>
      <w:marBottom w:val="0"/>
      <w:divBdr>
        <w:top w:val="none" w:sz="0" w:space="0" w:color="auto"/>
        <w:left w:val="none" w:sz="0" w:space="0" w:color="auto"/>
        <w:bottom w:val="none" w:sz="0" w:space="0" w:color="auto"/>
        <w:right w:val="none" w:sz="0" w:space="0" w:color="auto"/>
      </w:divBdr>
    </w:div>
    <w:div w:id="1814830159">
      <w:bodyDiv w:val="1"/>
      <w:marLeft w:val="0"/>
      <w:marRight w:val="0"/>
      <w:marTop w:val="0"/>
      <w:marBottom w:val="0"/>
      <w:divBdr>
        <w:top w:val="none" w:sz="0" w:space="0" w:color="auto"/>
        <w:left w:val="none" w:sz="0" w:space="0" w:color="auto"/>
        <w:bottom w:val="none" w:sz="0" w:space="0" w:color="auto"/>
        <w:right w:val="none" w:sz="0" w:space="0" w:color="auto"/>
      </w:divBdr>
    </w:div>
    <w:div w:id="1819960823">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4470191">
      <w:bodyDiv w:val="1"/>
      <w:marLeft w:val="0"/>
      <w:marRight w:val="0"/>
      <w:marTop w:val="0"/>
      <w:marBottom w:val="0"/>
      <w:divBdr>
        <w:top w:val="none" w:sz="0" w:space="0" w:color="auto"/>
        <w:left w:val="none" w:sz="0" w:space="0" w:color="auto"/>
        <w:bottom w:val="none" w:sz="0" w:space="0" w:color="auto"/>
        <w:right w:val="none" w:sz="0" w:space="0" w:color="auto"/>
      </w:divBdr>
    </w:div>
    <w:div w:id="1828083716">
      <w:bodyDiv w:val="1"/>
      <w:marLeft w:val="0"/>
      <w:marRight w:val="0"/>
      <w:marTop w:val="0"/>
      <w:marBottom w:val="0"/>
      <w:divBdr>
        <w:top w:val="none" w:sz="0" w:space="0" w:color="auto"/>
        <w:left w:val="none" w:sz="0" w:space="0" w:color="auto"/>
        <w:bottom w:val="none" w:sz="0" w:space="0" w:color="auto"/>
        <w:right w:val="none" w:sz="0" w:space="0" w:color="auto"/>
      </w:divBdr>
    </w:div>
    <w:div w:id="1832404489">
      <w:bodyDiv w:val="1"/>
      <w:marLeft w:val="0"/>
      <w:marRight w:val="0"/>
      <w:marTop w:val="0"/>
      <w:marBottom w:val="0"/>
      <w:divBdr>
        <w:top w:val="none" w:sz="0" w:space="0" w:color="auto"/>
        <w:left w:val="none" w:sz="0" w:space="0" w:color="auto"/>
        <w:bottom w:val="none" w:sz="0" w:space="0" w:color="auto"/>
        <w:right w:val="none" w:sz="0" w:space="0" w:color="auto"/>
      </w:divBdr>
    </w:div>
    <w:div w:id="1855800885">
      <w:bodyDiv w:val="1"/>
      <w:marLeft w:val="0"/>
      <w:marRight w:val="0"/>
      <w:marTop w:val="0"/>
      <w:marBottom w:val="0"/>
      <w:divBdr>
        <w:top w:val="none" w:sz="0" w:space="0" w:color="auto"/>
        <w:left w:val="none" w:sz="0" w:space="0" w:color="auto"/>
        <w:bottom w:val="none" w:sz="0" w:space="0" w:color="auto"/>
        <w:right w:val="none" w:sz="0" w:space="0" w:color="auto"/>
      </w:divBdr>
    </w:div>
    <w:div w:id="1861120632">
      <w:bodyDiv w:val="1"/>
      <w:marLeft w:val="0"/>
      <w:marRight w:val="0"/>
      <w:marTop w:val="0"/>
      <w:marBottom w:val="0"/>
      <w:divBdr>
        <w:top w:val="none" w:sz="0" w:space="0" w:color="auto"/>
        <w:left w:val="none" w:sz="0" w:space="0" w:color="auto"/>
        <w:bottom w:val="none" w:sz="0" w:space="0" w:color="auto"/>
        <w:right w:val="none" w:sz="0" w:space="0" w:color="auto"/>
      </w:divBdr>
    </w:div>
    <w:div w:id="1862669341">
      <w:bodyDiv w:val="1"/>
      <w:marLeft w:val="0"/>
      <w:marRight w:val="0"/>
      <w:marTop w:val="0"/>
      <w:marBottom w:val="0"/>
      <w:divBdr>
        <w:top w:val="none" w:sz="0" w:space="0" w:color="auto"/>
        <w:left w:val="none" w:sz="0" w:space="0" w:color="auto"/>
        <w:bottom w:val="none" w:sz="0" w:space="0" w:color="auto"/>
        <w:right w:val="none" w:sz="0" w:space="0" w:color="auto"/>
      </w:divBdr>
    </w:div>
    <w:div w:id="1865635531">
      <w:bodyDiv w:val="1"/>
      <w:marLeft w:val="0"/>
      <w:marRight w:val="0"/>
      <w:marTop w:val="0"/>
      <w:marBottom w:val="0"/>
      <w:divBdr>
        <w:top w:val="none" w:sz="0" w:space="0" w:color="auto"/>
        <w:left w:val="none" w:sz="0" w:space="0" w:color="auto"/>
        <w:bottom w:val="none" w:sz="0" w:space="0" w:color="auto"/>
        <w:right w:val="none" w:sz="0" w:space="0" w:color="auto"/>
      </w:divBdr>
    </w:div>
    <w:div w:id="1868715971">
      <w:bodyDiv w:val="1"/>
      <w:marLeft w:val="0"/>
      <w:marRight w:val="0"/>
      <w:marTop w:val="0"/>
      <w:marBottom w:val="0"/>
      <w:divBdr>
        <w:top w:val="none" w:sz="0" w:space="0" w:color="auto"/>
        <w:left w:val="none" w:sz="0" w:space="0" w:color="auto"/>
        <w:bottom w:val="none" w:sz="0" w:space="0" w:color="auto"/>
        <w:right w:val="none" w:sz="0" w:space="0" w:color="auto"/>
      </w:divBdr>
    </w:div>
    <w:div w:id="1869634168">
      <w:bodyDiv w:val="1"/>
      <w:marLeft w:val="0"/>
      <w:marRight w:val="0"/>
      <w:marTop w:val="0"/>
      <w:marBottom w:val="0"/>
      <w:divBdr>
        <w:top w:val="none" w:sz="0" w:space="0" w:color="auto"/>
        <w:left w:val="none" w:sz="0" w:space="0" w:color="auto"/>
        <w:bottom w:val="none" w:sz="0" w:space="0" w:color="auto"/>
        <w:right w:val="none" w:sz="0" w:space="0" w:color="auto"/>
      </w:divBdr>
    </w:div>
    <w:div w:id="1873567322">
      <w:bodyDiv w:val="1"/>
      <w:marLeft w:val="0"/>
      <w:marRight w:val="0"/>
      <w:marTop w:val="0"/>
      <w:marBottom w:val="0"/>
      <w:divBdr>
        <w:top w:val="none" w:sz="0" w:space="0" w:color="auto"/>
        <w:left w:val="none" w:sz="0" w:space="0" w:color="auto"/>
        <w:bottom w:val="none" w:sz="0" w:space="0" w:color="auto"/>
        <w:right w:val="none" w:sz="0" w:space="0" w:color="auto"/>
      </w:divBdr>
    </w:div>
    <w:div w:id="1879318311">
      <w:bodyDiv w:val="1"/>
      <w:marLeft w:val="0"/>
      <w:marRight w:val="0"/>
      <w:marTop w:val="0"/>
      <w:marBottom w:val="0"/>
      <w:divBdr>
        <w:top w:val="none" w:sz="0" w:space="0" w:color="auto"/>
        <w:left w:val="none" w:sz="0" w:space="0" w:color="auto"/>
        <w:bottom w:val="none" w:sz="0" w:space="0" w:color="auto"/>
        <w:right w:val="none" w:sz="0" w:space="0" w:color="auto"/>
      </w:divBdr>
    </w:div>
    <w:div w:id="1879930900">
      <w:bodyDiv w:val="1"/>
      <w:marLeft w:val="0"/>
      <w:marRight w:val="0"/>
      <w:marTop w:val="0"/>
      <w:marBottom w:val="0"/>
      <w:divBdr>
        <w:top w:val="none" w:sz="0" w:space="0" w:color="auto"/>
        <w:left w:val="none" w:sz="0" w:space="0" w:color="auto"/>
        <w:bottom w:val="none" w:sz="0" w:space="0" w:color="auto"/>
        <w:right w:val="none" w:sz="0" w:space="0" w:color="auto"/>
      </w:divBdr>
    </w:div>
    <w:div w:id="1915164707">
      <w:bodyDiv w:val="1"/>
      <w:marLeft w:val="0"/>
      <w:marRight w:val="0"/>
      <w:marTop w:val="0"/>
      <w:marBottom w:val="0"/>
      <w:divBdr>
        <w:top w:val="none" w:sz="0" w:space="0" w:color="auto"/>
        <w:left w:val="none" w:sz="0" w:space="0" w:color="auto"/>
        <w:bottom w:val="none" w:sz="0" w:space="0" w:color="auto"/>
        <w:right w:val="none" w:sz="0" w:space="0" w:color="auto"/>
      </w:divBdr>
    </w:div>
    <w:div w:id="1916276126">
      <w:bodyDiv w:val="1"/>
      <w:marLeft w:val="0"/>
      <w:marRight w:val="0"/>
      <w:marTop w:val="0"/>
      <w:marBottom w:val="0"/>
      <w:divBdr>
        <w:top w:val="none" w:sz="0" w:space="0" w:color="auto"/>
        <w:left w:val="none" w:sz="0" w:space="0" w:color="auto"/>
        <w:bottom w:val="none" w:sz="0" w:space="0" w:color="auto"/>
        <w:right w:val="none" w:sz="0" w:space="0" w:color="auto"/>
      </w:divBdr>
    </w:div>
    <w:div w:id="1930237386">
      <w:bodyDiv w:val="1"/>
      <w:marLeft w:val="0"/>
      <w:marRight w:val="0"/>
      <w:marTop w:val="0"/>
      <w:marBottom w:val="0"/>
      <w:divBdr>
        <w:top w:val="none" w:sz="0" w:space="0" w:color="auto"/>
        <w:left w:val="none" w:sz="0" w:space="0" w:color="auto"/>
        <w:bottom w:val="none" w:sz="0" w:space="0" w:color="auto"/>
        <w:right w:val="none" w:sz="0" w:space="0" w:color="auto"/>
      </w:divBdr>
    </w:div>
    <w:div w:id="1936476133">
      <w:bodyDiv w:val="1"/>
      <w:marLeft w:val="0"/>
      <w:marRight w:val="0"/>
      <w:marTop w:val="0"/>
      <w:marBottom w:val="0"/>
      <w:divBdr>
        <w:top w:val="none" w:sz="0" w:space="0" w:color="auto"/>
        <w:left w:val="none" w:sz="0" w:space="0" w:color="auto"/>
        <w:bottom w:val="none" w:sz="0" w:space="0" w:color="auto"/>
        <w:right w:val="none" w:sz="0" w:space="0" w:color="auto"/>
      </w:divBdr>
    </w:div>
    <w:div w:id="1938754343">
      <w:bodyDiv w:val="1"/>
      <w:marLeft w:val="0"/>
      <w:marRight w:val="0"/>
      <w:marTop w:val="0"/>
      <w:marBottom w:val="0"/>
      <w:divBdr>
        <w:top w:val="none" w:sz="0" w:space="0" w:color="auto"/>
        <w:left w:val="none" w:sz="0" w:space="0" w:color="auto"/>
        <w:bottom w:val="none" w:sz="0" w:space="0" w:color="auto"/>
        <w:right w:val="none" w:sz="0" w:space="0" w:color="auto"/>
      </w:divBdr>
    </w:div>
    <w:div w:id="1946040618">
      <w:bodyDiv w:val="1"/>
      <w:marLeft w:val="0"/>
      <w:marRight w:val="0"/>
      <w:marTop w:val="0"/>
      <w:marBottom w:val="0"/>
      <w:divBdr>
        <w:top w:val="none" w:sz="0" w:space="0" w:color="auto"/>
        <w:left w:val="none" w:sz="0" w:space="0" w:color="auto"/>
        <w:bottom w:val="none" w:sz="0" w:space="0" w:color="auto"/>
        <w:right w:val="none" w:sz="0" w:space="0" w:color="auto"/>
      </w:divBdr>
    </w:div>
    <w:div w:id="1946302141">
      <w:bodyDiv w:val="1"/>
      <w:marLeft w:val="0"/>
      <w:marRight w:val="0"/>
      <w:marTop w:val="0"/>
      <w:marBottom w:val="0"/>
      <w:divBdr>
        <w:top w:val="none" w:sz="0" w:space="0" w:color="auto"/>
        <w:left w:val="none" w:sz="0" w:space="0" w:color="auto"/>
        <w:bottom w:val="none" w:sz="0" w:space="0" w:color="auto"/>
        <w:right w:val="none" w:sz="0" w:space="0" w:color="auto"/>
      </w:divBdr>
    </w:div>
    <w:div w:id="1950550386">
      <w:bodyDiv w:val="1"/>
      <w:marLeft w:val="0"/>
      <w:marRight w:val="0"/>
      <w:marTop w:val="0"/>
      <w:marBottom w:val="0"/>
      <w:divBdr>
        <w:top w:val="none" w:sz="0" w:space="0" w:color="auto"/>
        <w:left w:val="none" w:sz="0" w:space="0" w:color="auto"/>
        <w:bottom w:val="none" w:sz="0" w:space="0" w:color="auto"/>
        <w:right w:val="none" w:sz="0" w:space="0" w:color="auto"/>
      </w:divBdr>
    </w:div>
    <w:div w:id="1965117347">
      <w:bodyDiv w:val="1"/>
      <w:marLeft w:val="0"/>
      <w:marRight w:val="0"/>
      <w:marTop w:val="0"/>
      <w:marBottom w:val="0"/>
      <w:divBdr>
        <w:top w:val="none" w:sz="0" w:space="0" w:color="auto"/>
        <w:left w:val="none" w:sz="0" w:space="0" w:color="auto"/>
        <w:bottom w:val="none" w:sz="0" w:space="0" w:color="auto"/>
        <w:right w:val="none" w:sz="0" w:space="0" w:color="auto"/>
      </w:divBdr>
    </w:div>
    <w:div w:id="1965695257">
      <w:bodyDiv w:val="1"/>
      <w:marLeft w:val="0"/>
      <w:marRight w:val="0"/>
      <w:marTop w:val="0"/>
      <w:marBottom w:val="0"/>
      <w:divBdr>
        <w:top w:val="none" w:sz="0" w:space="0" w:color="auto"/>
        <w:left w:val="none" w:sz="0" w:space="0" w:color="auto"/>
        <w:bottom w:val="none" w:sz="0" w:space="0" w:color="auto"/>
        <w:right w:val="none" w:sz="0" w:space="0" w:color="auto"/>
      </w:divBdr>
    </w:div>
    <w:div w:id="1974365096">
      <w:bodyDiv w:val="1"/>
      <w:marLeft w:val="0"/>
      <w:marRight w:val="0"/>
      <w:marTop w:val="0"/>
      <w:marBottom w:val="0"/>
      <w:divBdr>
        <w:top w:val="none" w:sz="0" w:space="0" w:color="auto"/>
        <w:left w:val="none" w:sz="0" w:space="0" w:color="auto"/>
        <w:bottom w:val="none" w:sz="0" w:space="0" w:color="auto"/>
        <w:right w:val="none" w:sz="0" w:space="0" w:color="auto"/>
      </w:divBdr>
    </w:div>
    <w:div w:id="1977878808">
      <w:bodyDiv w:val="1"/>
      <w:marLeft w:val="0"/>
      <w:marRight w:val="0"/>
      <w:marTop w:val="0"/>
      <w:marBottom w:val="0"/>
      <w:divBdr>
        <w:top w:val="none" w:sz="0" w:space="0" w:color="auto"/>
        <w:left w:val="none" w:sz="0" w:space="0" w:color="auto"/>
        <w:bottom w:val="none" w:sz="0" w:space="0" w:color="auto"/>
        <w:right w:val="none" w:sz="0" w:space="0" w:color="auto"/>
      </w:divBdr>
    </w:div>
    <w:div w:id="2002151291">
      <w:bodyDiv w:val="1"/>
      <w:marLeft w:val="0"/>
      <w:marRight w:val="0"/>
      <w:marTop w:val="0"/>
      <w:marBottom w:val="0"/>
      <w:divBdr>
        <w:top w:val="none" w:sz="0" w:space="0" w:color="auto"/>
        <w:left w:val="none" w:sz="0" w:space="0" w:color="auto"/>
        <w:bottom w:val="none" w:sz="0" w:space="0" w:color="auto"/>
        <w:right w:val="none" w:sz="0" w:space="0" w:color="auto"/>
      </w:divBdr>
    </w:div>
    <w:div w:id="2010087216">
      <w:bodyDiv w:val="1"/>
      <w:marLeft w:val="0"/>
      <w:marRight w:val="0"/>
      <w:marTop w:val="0"/>
      <w:marBottom w:val="0"/>
      <w:divBdr>
        <w:top w:val="none" w:sz="0" w:space="0" w:color="auto"/>
        <w:left w:val="none" w:sz="0" w:space="0" w:color="auto"/>
        <w:bottom w:val="none" w:sz="0" w:space="0" w:color="auto"/>
        <w:right w:val="none" w:sz="0" w:space="0" w:color="auto"/>
      </w:divBdr>
    </w:div>
    <w:div w:id="2011791030">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32604291">
      <w:bodyDiv w:val="1"/>
      <w:marLeft w:val="0"/>
      <w:marRight w:val="0"/>
      <w:marTop w:val="0"/>
      <w:marBottom w:val="0"/>
      <w:divBdr>
        <w:top w:val="none" w:sz="0" w:space="0" w:color="auto"/>
        <w:left w:val="none" w:sz="0" w:space="0" w:color="auto"/>
        <w:bottom w:val="none" w:sz="0" w:space="0" w:color="auto"/>
        <w:right w:val="none" w:sz="0" w:space="0" w:color="auto"/>
      </w:divBdr>
    </w:div>
    <w:div w:id="2034570524">
      <w:bodyDiv w:val="1"/>
      <w:marLeft w:val="0"/>
      <w:marRight w:val="0"/>
      <w:marTop w:val="0"/>
      <w:marBottom w:val="0"/>
      <w:divBdr>
        <w:top w:val="none" w:sz="0" w:space="0" w:color="auto"/>
        <w:left w:val="none" w:sz="0" w:space="0" w:color="auto"/>
        <w:bottom w:val="none" w:sz="0" w:space="0" w:color="auto"/>
        <w:right w:val="none" w:sz="0" w:space="0" w:color="auto"/>
      </w:divBdr>
    </w:div>
    <w:div w:id="2038197944">
      <w:bodyDiv w:val="1"/>
      <w:marLeft w:val="0"/>
      <w:marRight w:val="0"/>
      <w:marTop w:val="0"/>
      <w:marBottom w:val="0"/>
      <w:divBdr>
        <w:top w:val="none" w:sz="0" w:space="0" w:color="auto"/>
        <w:left w:val="none" w:sz="0" w:space="0" w:color="auto"/>
        <w:bottom w:val="none" w:sz="0" w:space="0" w:color="auto"/>
        <w:right w:val="none" w:sz="0" w:space="0" w:color="auto"/>
      </w:divBdr>
    </w:div>
    <w:div w:id="2050063086">
      <w:bodyDiv w:val="1"/>
      <w:marLeft w:val="0"/>
      <w:marRight w:val="0"/>
      <w:marTop w:val="0"/>
      <w:marBottom w:val="0"/>
      <w:divBdr>
        <w:top w:val="none" w:sz="0" w:space="0" w:color="auto"/>
        <w:left w:val="none" w:sz="0" w:space="0" w:color="auto"/>
        <w:bottom w:val="none" w:sz="0" w:space="0" w:color="auto"/>
        <w:right w:val="none" w:sz="0" w:space="0" w:color="auto"/>
      </w:divBdr>
    </w:div>
    <w:div w:id="2058815123">
      <w:bodyDiv w:val="1"/>
      <w:marLeft w:val="0"/>
      <w:marRight w:val="0"/>
      <w:marTop w:val="0"/>
      <w:marBottom w:val="0"/>
      <w:divBdr>
        <w:top w:val="none" w:sz="0" w:space="0" w:color="auto"/>
        <w:left w:val="none" w:sz="0" w:space="0" w:color="auto"/>
        <w:bottom w:val="none" w:sz="0" w:space="0" w:color="auto"/>
        <w:right w:val="none" w:sz="0" w:space="0" w:color="auto"/>
      </w:divBdr>
    </w:div>
    <w:div w:id="2059668851">
      <w:bodyDiv w:val="1"/>
      <w:marLeft w:val="0"/>
      <w:marRight w:val="0"/>
      <w:marTop w:val="0"/>
      <w:marBottom w:val="0"/>
      <w:divBdr>
        <w:top w:val="none" w:sz="0" w:space="0" w:color="auto"/>
        <w:left w:val="none" w:sz="0" w:space="0" w:color="auto"/>
        <w:bottom w:val="none" w:sz="0" w:space="0" w:color="auto"/>
        <w:right w:val="none" w:sz="0" w:space="0" w:color="auto"/>
      </w:divBdr>
    </w:div>
    <w:div w:id="206163570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4008401">
      <w:bodyDiv w:val="1"/>
      <w:marLeft w:val="0"/>
      <w:marRight w:val="0"/>
      <w:marTop w:val="0"/>
      <w:marBottom w:val="0"/>
      <w:divBdr>
        <w:top w:val="none" w:sz="0" w:space="0" w:color="auto"/>
        <w:left w:val="none" w:sz="0" w:space="0" w:color="auto"/>
        <w:bottom w:val="none" w:sz="0" w:space="0" w:color="auto"/>
        <w:right w:val="none" w:sz="0" w:space="0" w:color="auto"/>
      </w:divBdr>
    </w:div>
    <w:div w:id="2102791837">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623038">
      <w:bodyDiv w:val="1"/>
      <w:marLeft w:val="0"/>
      <w:marRight w:val="0"/>
      <w:marTop w:val="0"/>
      <w:marBottom w:val="0"/>
      <w:divBdr>
        <w:top w:val="none" w:sz="0" w:space="0" w:color="auto"/>
        <w:left w:val="none" w:sz="0" w:space="0" w:color="auto"/>
        <w:bottom w:val="none" w:sz="0" w:space="0" w:color="auto"/>
        <w:right w:val="none" w:sz="0" w:space="0" w:color="auto"/>
      </w:divBdr>
    </w:div>
    <w:div w:id="2126732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hyperlink" Target="https://www.hse.gov.uk/pubns/priced/l153.pdf" TargetMode="Externa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hyperlink" Target="https://www.hse.gov.uk/pubns/priced/l122.pdf" TargetMode="Externa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yperlink" Target="https://www.hse.gov.uk/pubns/priced/l22.pdf" TargetMode="Externa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hyperlink" Target="https://www.hse.gov.uk/pubns/priced/l113.pdf" TargetMode="Externa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hyperlink" Target="https://www.hse.gov.uk/pubns/priced/hsr25.pdf" TargetMode="External"/><Relationship Id="rId28" Type="http://schemas.openxmlformats.org/officeDocument/2006/relationships/theme" Target="theme/theme1.xml"/><Relationship Id="rId10" Type="http://schemas.openxmlformats.org/officeDocument/2006/relationships/styles" Target="styles.xml"/><Relationship Id="rId19" Type="http://schemas.openxmlformats.org/officeDocument/2006/relationships/footer" Target="footer2.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s://www.hse.gov.uk/pubns/priced/l111.pdf" TargetMode="Externa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40CE0783C04422A965D71E2A68AB530"/>
        <w:category>
          <w:name w:val="General"/>
          <w:gallery w:val="placeholder"/>
        </w:category>
        <w:types>
          <w:type w:val="bbPlcHdr"/>
        </w:types>
        <w:behaviors>
          <w:behavior w:val="content"/>
        </w:behaviors>
        <w:guid w:val="{500A9F40-2716-464D-9E3E-00536BBF999A}"/>
      </w:docPartPr>
      <w:docPartBody>
        <w:p w:rsidR="009363A1" w:rsidRDefault="009363A1">
          <w:r w:rsidRPr="00F96FE7">
            <w:rPr>
              <w:rStyle w:val="PlaceholderText"/>
            </w:rPr>
            <w:t>[Status]</w:t>
          </w:r>
        </w:p>
      </w:docPartBody>
    </w:docPart>
    <w:docPart>
      <w:docPartPr>
        <w:name w:val="4278BAE1BCA247128B80E19C829D70D9"/>
        <w:category>
          <w:name w:val="General"/>
          <w:gallery w:val="placeholder"/>
        </w:category>
        <w:types>
          <w:type w:val="bbPlcHdr"/>
        </w:types>
        <w:behaviors>
          <w:behavior w:val="content"/>
        </w:behaviors>
        <w:guid w:val="{435E9878-746E-40EA-B750-1C4A7CA956A4}"/>
      </w:docPartPr>
      <w:docPartBody>
        <w:p w:rsidR="009363A1" w:rsidRDefault="009363A1">
          <w:r w:rsidRPr="00F96FE7">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0814"/>
    <w:rsid w:val="000A0C3B"/>
    <w:rsid w:val="00164B5A"/>
    <w:rsid w:val="001A3C28"/>
    <w:rsid w:val="001D3697"/>
    <w:rsid w:val="001E1605"/>
    <w:rsid w:val="00252452"/>
    <w:rsid w:val="002550FD"/>
    <w:rsid w:val="002563B8"/>
    <w:rsid w:val="00350199"/>
    <w:rsid w:val="00387115"/>
    <w:rsid w:val="003A0C2F"/>
    <w:rsid w:val="004F71EC"/>
    <w:rsid w:val="00575AA2"/>
    <w:rsid w:val="00597B86"/>
    <w:rsid w:val="005C2B82"/>
    <w:rsid w:val="00650033"/>
    <w:rsid w:val="007154C5"/>
    <w:rsid w:val="00780C80"/>
    <w:rsid w:val="00791EC4"/>
    <w:rsid w:val="00835E07"/>
    <w:rsid w:val="00846B92"/>
    <w:rsid w:val="00877207"/>
    <w:rsid w:val="009363A1"/>
    <w:rsid w:val="00972B41"/>
    <w:rsid w:val="00AA5445"/>
    <w:rsid w:val="00AE4304"/>
    <w:rsid w:val="00B33ABD"/>
    <w:rsid w:val="00B860F4"/>
    <w:rsid w:val="00B938F1"/>
    <w:rsid w:val="00CA10A9"/>
    <w:rsid w:val="00CD10A9"/>
    <w:rsid w:val="00D75606"/>
    <w:rsid w:val="00DB4022"/>
    <w:rsid w:val="00DD6E09"/>
    <w:rsid w:val="00DD7BA4"/>
    <w:rsid w:val="00E13226"/>
    <w:rsid w:val="00E13613"/>
    <w:rsid w:val="00E24D23"/>
    <w:rsid w:val="00E318CE"/>
    <w:rsid w:val="00E646E1"/>
    <w:rsid w:val="00EE7894"/>
    <w:rsid w:val="00EF5916"/>
    <w:rsid w:val="00F46478"/>
    <w:rsid w:val="00F87A1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63A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TaxKeywordTaxHTField xmlns="05350e14-297a-489c-ad04-faf6563b232c">
      <Terms xmlns="http://schemas.microsoft.com/office/infopath/2007/PartnerControls"/>
    </TaxKeywordTaxHTField>
    <PolicyPortalDocRef xmlns="8c4e2855-9588-4bc9-9890-af639bd565eb" xsi:nil="true"/>
    <PolicyPortalDocType xmlns="8c4e2855-9588-4bc9-9890-af639bd565eb" xsi:nil="true"/>
    <PolicyPortalIssueDate xmlns="8c4e2855-9588-4bc9-9890-af639bd565eb" xsi:nil="true"/>
    <PolicyPortalIssueNo xmlns="8c4e2855-9588-4bc9-9890-af639bd565eb" xsi:nil="true"/>
    <PolicyPortalOldDocRef xmlns="8c4e2855-9588-4bc9-9890-af639bd565eb" xsi:nil="true"/>
    <PolicyPortalOldRecordRef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TaxCatchAll xmlns="05350e14-297a-489c-ad04-faf6563b232c"/>
    <dd2817321d504f1caee75a1112d299d4 xmlns="fbd4c4c3-96d4-4265-b68e-6a383a5dca66">
      <Terms xmlns="http://schemas.microsoft.com/office/infopath/2007/PartnerControls"/>
    </dd2817321d504f1caee75a1112d299d4>
    <PolicyPortalReviewDate xmlns="8c4e2855-9588-4bc9-9890-af639bd565eb" xsi:nil="true"/>
    <PCR_x003f_ xmlns="fbd4c4c3-96d4-4265-b68e-6a383a5dca66">false</PCR_x003f_>
    <PolicyPortalIssueHistoryComments xmlns="8c4e2855-9588-4bc9-9890-af639bd565e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66693000-3e12-4b44-a742-9a2ba35b7d28" ContentTypeId="0x0101000C70A82DFAAC384DB9F6EBA2C8B87C57" PreviousValue="false"/>
</file>

<file path=customXml/item6.xml><?xml version="1.0" encoding="utf-8"?>
<b:Sources xmlns:b="http://schemas.openxmlformats.org/officeDocument/2006/bibliography" xmlns="http://schemas.openxmlformats.org/officeDocument/2006/bibliography" SelectedStyle="\IEEE2006OfficeOnline.xsl" StyleName="IEEE" Version="2006">
  <b:Source>
    <b:Tag>WEN20</b:Tag>
    <b:SourceType>Report</b:SourceType>
    <b:Guid>{9ADA533C-7346-4EA8-AF27-8D86FE91FBAD}</b:Guid>
    <b:Title>Safety Reference Levels for Existing Reactors</b:Title>
    <b:Year>2020</b:Year>
    <b:Author>
      <b:Author>
        <b:Corporate>WENRA</b:Corporate>
      </b:Author>
    </b:Author>
    <b:RefOrder>18</b:RefOrder>
  </b:Source>
  <b:Source>
    <b:Tag>ONR2013</b:Tag>
    <b:SourceType>ElectronicSource</b:SourceType>
    <b:Guid>{2C058929-D291-4F99-BB3E-F3EC94A7F754}</b:Guid>
    <b:Author>
      <b:Author>
        <b:Corporate>ONR</b:Corporate>
      </b:Author>
    </b:Author>
    <b:Title>Safety Assessment Principles (SAPs) for Nuclear Facilities - 2014 Edition (Revision 1)</b:Title>
    <b:Year>2020</b:Year>
    <b:Month>January</b:Month>
    <b:RefOrder>1</b:RefOrder>
  </b:Source>
  <b:Source>
    <b:Tag>ONR4</b:Tag>
    <b:SourceType>DocumentFromInternetSite</b:SourceType>
    <b:Guid>{2ED42EFA-58E6-4197-BC4A-DA5F5033B84A}</b:Guid>
    <b:Author>
      <b:Author>
        <b:Corporate>ONR</b:Corporate>
      </b:Author>
    </b:Author>
    <b:Title>NS-TAST-GD-050 - Periodic Safety Reviews (PSRs)</b:Title>
    <b:URL>Available via the ONR website.</b:URL>
    <b:RefOrder>16</b:RefOrder>
  </b:Source>
  <b:Source>
    <b:Tag>ONR156</b:Tag>
    <b:SourceType>DocumentFromInternetSite</b:SourceType>
    <b:Guid>{708380A6-F070-4046-B50B-9D6C1BC5F770}</b:Guid>
    <b:Author>
      <b:Author>
        <b:Corporate>ONR</b:Corporate>
      </b:Author>
    </b:Author>
    <b:Title>NS-TAST-GD-026 - Decommissioning</b:Title>
    <b:URL>Available on the ONR website.</b:URL>
    <b:RefOrder>17</b:RefOrder>
  </b:Source>
  <b:Source>
    <b:Tag>HSE159</b:Tag>
    <b:SourceType>DocumentFromInternetSite</b:SourceType>
    <b:Guid>{718AE3B1-C69D-413D-B6B7-CC848664A276}</b:Guid>
    <b:Author>
      <b:Author>
        <b:Corporate>HSE</b:Corporate>
      </b:Author>
    </b:Author>
    <b:Title>L111 - The Control of Major Accident Hazards Regulations 2015</b:Title>
    <b:Year>2015</b:Year>
    <b:URL>https://www.hse.gov.uk/pubns/priced/l111.pdf</b:URL>
    <b:RefOrder>4</b:RefOrder>
  </b:Source>
  <b:Source>
    <b:Tag>HSE8</b:Tag>
    <b:SourceType>InternetSite</b:SourceType>
    <b:Guid>{A028AB13-EFE9-44C6-B1A8-840C4910FEDB}</b:Guid>
    <b:Author>
      <b:Author>
        <b:Corporate>HSE</b:Corporate>
      </b:Author>
    </b:Author>
    <b:Title>L153 - Managing health and safety in construction - Construction (Design and Management) Regulations 2015</b:Title>
    <b:Year>2015</b:Year>
    <b:URL>https://www.hse.gov.uk/pubns/books/l153.htm</b:URL>
    <b:RefOrder>3</b:RefOrder>
  </b:Source>
  <b:Source>
    <b:Tag>HSE147</b:Tag>
    <b:SourceType>DocumentFromInternetSite</b:SourceType>
    <b:Guid>{B709CA00-2D82-414C-8EB5-5003BCB997A5}</b:Guid>
    <b:Title>L22: Safe use of work equipment - Provision and Use of Work Equipment Regulations 1998</b:Title>
    <b:Year>2014</b:Year>
    <b:URL>https://www.hse.gov.uk/pubns/books/l22.htm</b:URL>
    <b:Author>
      <b:Author>
        <b:Corporate>HSE</b:Corporate>
      </b:Author>
    </b:Author>
    <b:RefOrder>2</b:RefOrder>
  </b:Source>
  <b:Source>
    <b:Tag>HSE158</b:Tag>
    <b:SourceType>DocumentFromInternetSite</b:SourceType>
    <b:Guid>{0F9334EC-A706-4C50-91A4-A93127188C1F}</b:Guid>
    <b:Title>HSR25 - The Electricity at Work Regulations 1989</b:Title>
    <b:Year>2015</b:Year>
    <b:URL>https://www.hse.gov.uk/pubns/priced/hsr25.pdf</b:URL>
    <b:Author>
      <b:Author>
        <b:Corporate>HSE</b:Corporate>
      </b:Author>
    </b:Author>
    <b:RefOrder>5</b:RefOrder>
  </b:Source>
  <b:Source>
    <b:Tag>HSE141</b:Tag>
    <b:SourceType>DocumentFromInternetSite</b:SourceType>
    <b:Guid>{1189A30D-42D7-4C75-85F0-88C1AEC36758}</b:Guid>
    <b:Title>L113 - Safe use of lifting equipment - Lifting Operations and Lifting Equipment Regulations 1998. Approved Code of Practice and guidance</b:Title>
    <b:Year>2014</b:Year>
    <b:URL>https://www.hse.gov.uk/pubns/priced/l113.pdf</b:URL>
    <b:Author>
      <b:Author>
        <b:Corporate>HSE</b:Corporate>
      </b:Author>
    </b:Author>
    <b:RefOrder>6</b:RefOrder>
  </b:Source>
  <b:Source>
    <b:Tag>HSE143</b:Tag>
    <b:SourceType>DocumentFromInternetSite</b:SourceType>
    <b:Guid>{648F4C29-495C-44D4-90F5-CE2E97720643}</b:Guid>
    <b:Title>L122 - Safety of pressure systems - Pressure Systems Safety Regulations 2000. Approved Code of Practice and guidance on Regulations</b:Title>
    <b:Year>2014</b:Year>
    <b:URL>https://www.hse.gov.uk/pubns/priced/l122.pdf</b:URL>
    <b:Author>
      <b:Author>
        <b:Corporate>HSE</b:Corporate>
      </b:Author>
    </b:Author>
    <b:RefOrder>7</b:RefOrder>
  </b:Source>
  <b:Source>
    <b:Tag>ONR100</b:Tag>
    <b:SourceType>InternetSite</b:SourceType>
    <b:Guid>{097C0BC4-E2B3-48F7-B8B5-372D66EF2A63}</b:Guid>
    <b:Author>
      <b:Author>
        <b:Corporate>ONR</b:Corporate>
      </b:Author>
    </b:Author>
    <b:Title>NS-TAST-GD-005 - Regulating duties to reduce risks to ALARP</b:Title>
    <b:URL>Available on ONR website.</b:URL>
    <b:RefOrder>8</b:RefOrder>
  </b:Source>
  <b:Source>
    <b:Tag>IAE1</b:Tag>
    <b:SourceType>ElectronicSource</b:SourceType>
    <b:Guid>{F6504610-063C-4DFF-8601-F882695AAE4E}</b:Guid>
    <b:Author>
      <b:Author>
        <b:Corporate>IAEA</b:Corporate>
      </b:Author>
    </b:Author>
    <b:Title>Safety of Nuclear Power Plants: Commissionining and Operation, Specific Safety Requirements No SSR-2/2 (Rev. 1)</b:Title>
    <b:RefOrder>10</b:RefOrder>
  </b:Source>
  <b:Source>
    <b:Tag>IAE</b:Tag>
    <b:SourceType>ElectronicSource</b:SourceType>
    <b:Guid>{3F43922A-DC01-4B85-94E8-F27A088F5287}</b:Guid>
    <b:Author>
      <b:Author>
        <b:Corporate>IAEA</b:Corporate>
      </b:Author>
    </b:Author>
    <b:Title>Safety of Nuclear Power Plants: Design, Specific Safety Requirements No. SSR-2/1 (Rev. 1)</b:Title>
    <b:RefOrder>9</b:RefOrder>
  </b:Source>
  <b:Source>
    <b:Tag>IAE3</b:Tag>
    <b:SourceType>ElectronicSource</b:SourceType>
    <b:Guid>{6A42B64D-6969-4F04-A82F-57CE85C57A67}</b:Guid>
    <b:Author>
      <b:Author>
        <b:Corporate>IAEA</b:Corporate>
      </b:Author>
    </b:Author>
    <b:Title>Commissioning for Nuclear Power Plants, Specific Safety Guide No. SSG-28</b:Title>
    <b:RefOrder>11</b:RefOrder>
  </b:Source>
  <b:Source>
    <b:Tag>IAE2</b:Tag>
    <b:SourceType>ElectronicSource</b:SourceType>
    <b:Guid>{11C585F1-5026-44EA-B983-2C8B08916E4B}</b:Guid>
    <b:Author>
      <b:Author>
        <b:Corporate>IAEA</b:Corporate>
      </b:Author>
    </b:Author>
    <b:Title>Maintenance, Testing, Surveilance and Inspection in Nuclear Power Plants, Specific Safety Guide No SSG-74</b:Title>
    <b:RefOrder>12</b:RefOrder>
  </b:Source>
  <b:Source>
    <b:Tag>ONR126</b:Tag>
    <b:SourceType>DocumentFromInternetSite</b:SourceType>
    <b:Guid>{5A8D28B0-4BAF-4FB6-8C2E-31BF048F006C}</b:Guid>
    <b:Author>
      <b:Author>
        <b:Corporate>ONR</b:Corporate>
      </b:Author>
    </b:Author>
    <b:Title>NS-TAST-GD-094 - Categorisation of Safety Functions and Classification of Structures</b:Title>
    <b:URL>Available on ONR website.</b:URL>
    <b:RefOrder>13</b:RefOrder>
  </b:Source>
  <b:Source>
    <b:Tag>NST2</b:Tag>
    <b:SourceType>DocumentFromInternetSite</b:SourceType>
    <b:Guid>{357B5701-FC48-47B0-A4A4-CE21C0F0225B}</b:Guid>
    <b:Title>NS-TAST-GD-036 - Redundancy, diversity, segregation and layout of SSCs</b:Title>
    <b:Author>
      <b:Author>
        <b:Corporate>ONR</b:Corporate>
      </b:Author>
    </b:Author>
    <b:URL>Available on ONR website.</b:URL>
    <b:RefOrder>14</b:RefOrder>
  </b:Source>
  <b:Source>
    <b:Tag>ONR22</b:Tag>
    <b:SourceType>DocumentFromInternetSite</b:SourceType>
    <b:Guid>{6760F0C6-BFA7-456A-A072-E777AF3EE86B}</b:Guid>
    <b:Author>
      <b:Author>
        <b:Corporate>ONR</b:Corporate>
      </b:Author>
    </b:Author>
    <b:Title>NS-TAST-GD-006 - Design Basis Analysis</b:Title>
    <b:URL>Available on ONR website.</b:URL>
    <b:RefOrder>15</b:RefOrder>
  </b:Source>
</b:Sources>
</file>

<file path=customXml/item7.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20" ma:contentTypeDescription="" ma:contentTypeScope="" ma:versionID="5b57e419ffb840abb95ac6618f3e3a8b">
  <xsd:schema xmlns:xsd="http://www.w3.org/2001/XMLSchema" xmlns:xs="http://www.w3.org/2001/XMLSchema" xmlns:p="http://schemas.microsoft.com/office/2006/metadata/properties" xmlns:ns2="8c4e2855-9588-4bc9-9890-af639bd565eb" xmlns:ns3="05350e14-297a-489c-ad04-faf6563b232c" xmlns:ns4="fbd4c4c3-96d4-4265-b68e-6a383a5dca66" targetNamespace="http://schemas.microsoft.com/office/2006/metadata/properties" ma:root="true" ma:fieldsID="f04dd8d70902c340475265b30303215b" ns2:_="" ns3:_="" ns4:_="">
    <xsd:import namespace="8c4e2855-9588-4bc9-9890-af639bd565eb"/>
    <xsd:import namespace="05350e14-297a-489c-ad04-faf6563b232c"/>
    <xsd:import namespace="fbd4c4c3-96d4-4265-b68e-6a383a5dca66"/>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element ref="ns3:TaxKeywordTaxHTField" minOccurs="0"/>
                <xsd:element ref="ns3:TaxCatchAll" minOccurs="0"/>
                <xsd:element ref="ns4:dd2817321d504f1caee75a1112d299d4" minOccurs="0"/>
                <xsd:element ref="ns4:PCR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Protocol"/>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union memberTypes="dms:Text">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un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union memberTypes="dms:Text">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Technical Director"/>
            </xsd:restriction>
          </xsd:simpleType>
        </xsd:un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rporate Security Manager"/>
              <xsd:enumeration value="Data Protection Compliance Lead"/>
              <xsd:enumeration value="Deputy Director of Regulation (TD)"/>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Privat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ory Policy and Standards"/>
              <xsd:enumeration value="Head of Risk and Assurance"/>
              <xsd:enumeration value="HoR - Advanced Nuclear Technologies (ANTs) and Holtec SMR-300 GDA"/>
              <xsd:enumeration value="HoR - Emergency Preparedness and Response"/>
              <xsd:enumeration value="HoR - Rolls-Royce SMR (GDA)"/>
              <xsd:enumeration value="HoR - Transport Competent Authority (TCA)"/>
              <xsd:enumeration value="HoR - Sellafield Compliance Intelligence and Enforcement"/>
              <xsd:enumeration value="HoR - Sellafield Project Delivery"/>
              <xsd:enumeration value="HoR - Sellafield Decommissioning"/>
              <xsd:enumeration value="HoP - Civil Engineering and External Hazards"/>
              <xsd:enumeration value="HoP - Cyber Security &amp; Information Assurance"/>
              <xsd:enumeration value="HoP - DDS"/>
              <xsd:enumeration value="HoP - Electrical, Control and Instrumentation Engineering"/>
              <xsd:enumeration value="HoP - Fault Analysis"/>
              <xsd:enumeration value="HoP - Human and Organisational Capability"/>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SW Manager"/>
              <xsd:enumeration value="Information Management Manager"/>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element name="TaxKeywordTaxHTField" ma:index="30" nillable="true" ma:taxonomy="true" ma:internalName="TaxKeywordTaxHTField" ma:taxonomyFieldName="TaxKeyword" ma:displayName="Enterprise Keywords" ma:fieldId="{23f27201-bee3-471e-b2e7-b64fd8b7ca38}" ma:taxonomyMulti="true" ma:sspId="66693000-3e12-4b44-a742-9a2ba35b7d28" ma:termSetId="00000000-0000-0000-0000-000000000000" ma:anchorId="00000000-0000-0000-0000-000000000000" ma:open="true" ma:isKeyword="true">
      <xsd:complexType>
        <xsd:sequence>
          <xsd:element ref="pc:Terms" minOccurs="0" maxOccurs="1"/>
        </xsd:sequence>
      </xsd:complexType>
    </xsd:element>
    <xsd:element name="TaxCatchAll" ma:index="31" nillable="true" ma:displayName="Taxonomy Catch All Column" ma:hidden="true" ma:list="{85a4ca9d-4aea-456d-868e-8e20a97dbaed}" ma:internalName="TaxCatchAll" ma:showField="CatchAllData" ma:web="05350e14-297a-489c-ad04-faf6563b23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bd4c4c3-96d4-4265-b68e-6a383a5dca66" elementFormDefault="qualified">
    <xsd:import namespace="http://schemas.microsoft.com/office/2006/documentManagement/types"/>
    <xsd:import namespace="http://schemas.microsoft.com/office/infopath/2007/PartnerControls"/>
    <xsd:element name="dd2817321d504f1caee75a1112d299d4" ma:index="33" nillable="true" ma:taxonomy="true" ma:internalName="dd2817321d504f1caee75a1112d299d4" ma:taxonomyFieldName="Topic" ma:displayName="Topic" ma:default="" ma:fieldId="{dd281732-1d50-4f1c-aee7-5a1112d299d4}" ma:taxonomyMulti="true" ma:sspId="66693000-3e12-4b44-a742-9a2ba35b7d28" ma:termSetId="7b4e1cbc-bd02-4183-9474-8a15f7a1216f" ma:anchorId="00000000-0000-0000-0000-000000000000" ma:open="false" ma:isKeyword="false">
      <xsd:complexType>
        <xsd:sequence>
          <xsd:element ref="pc:Terms" minOccurs="0" maxOccurs="1"/>
        </xsd:sequence>
      </xsd:complexType>
    </xsd:element>
    <xsd:element name="PCR_x003f_" ma:index="34" nillable="true" ma:displayName="PCR?" ma:default="0" ma:description="Document forms part of the Policy Compliance Report for ARAC." ma:format="Dropdown" ma:internalName="PCR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1F1805-A802-4CB9-A1A1-961B72BBC065}">
  <ds:schemaRefs>
    <ds:schemaRef ds:uri="http://schemas.microsoft.com/office/2006/metadata/properties"/>
    <ds:schemaRef ds:uri="http://schemas.microsoft.com/office/infopath/2007/PartnerControls"/>
    <ds:schemaRef ds:uri="8c4e2855-9588-4bc9-9890-af639bd565eb"/>
    <ds:schemaRef ds:uri="05350e14-297a-489c-ad04-faf6563b232c"/>
    <ds:schemaRef ds:uri="fbd4c4c3-96d4-4265-b68e-6a383a5dca66"/>
  </ds:schemaRefs>
</ds:datastoreItem>
</file>

<file path=customXml/itemProps3.xml><?xml version="1.0" encoding="utf-8"?>
<ds:datastoreItem xmlns:ds="http://schemas.openxmlformats.org/officeDocument/2006/customXml" ds:itemID="{7EAA3C87-7C0A-4E7B-B434-186BBF19DBE6}">
  <ds:schemaRefs>
    <ds:schemaRef ds:uri="http://schemas.microsoft.com/sharepoint/v3/contenttype/forms"/>
  </ds:schemaRefs>
</ds:datastoreItem>
</file>

<file path=customXml/itemProps4.xml><?xml version="1.0" encoding="utf-8"?>
<ds:datastoreItem xmlns:ds="http://schemas.openxmlformats.org/officeDocument/2006/customXml" ds:itemID="{AAD526B5-E7B4-48A6-9766-CEE77F995C38}">
  <ds:schemaRefs>
    <ds:schemaRef ds:uri="http://schemas.microsoft.com/sharepoint/events"/>
  </ds:schemaRefs>
</ds:datastoreItem>
</file>

<file path=customXml/itemProps5.xml><?xml version="1.0" encoding="utf-8"?>
<ds:datastoreItem xmlns:ds="http://schemas.openxmlformats.org/officeDocument/2006/customXml" ds:itemID="{9AE757F4-CFF4-4C05-AC76-484EE65DAC59}">
  <ds:schemaRefs>
    <ds:schemaRef ds:uri="Microsoft.SharePoint.Taxonomy.ContentTypeSync"/>
  </ds:schemaRefs>
</ds:datastoreItem>
</file>

<file path=customXml/itemProps6.xml><?xml version="1.0" encoding="utf-8"?>
<ds:datastoreItem xmlns:ds="http://schemas.openxmlformats.org/officeDocument/2006/customXml" ds:itemID="{57DE1DF6-9D59-498C-A0C4-28A3E8CEF10B}">
  <ds:schemaRefs>
    <ds:schemaRef ds:uri="http://schemas.openxmlformats.org/officeDocument/2006/bibliography"/>
  </ds:schemaRefs>
</ds:datastoreItem>
</file>

<file path=customXml/itemProps7.xml><?xml version="1.0" encoding="utf-8"?>
<ds:datastoreItem xmlns:ds="http://schemas.openxmlformats.org/officeDocument/2006/customXml" ds:itemID="{3B064630-BAC0-459D-A248-C6714FB929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fbd4c4c3-96d4-4265-b68e-6a383a5dc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5630</Words>
  <Characters>32097</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37652</CharactersWithSpaces>
  <SharedDoc>false</SharedDoc>
  <HLinks>
    <vt:vector size="90" baseType="variant">
      <vt:variant>
        <vt:i4>1572947</vt:i4>
      </vt:variant>
      <vt:variant>
        <vt:i4>72</vt:i4>
      </vt:variant>
      <vt:variant>
        <vt:i4>0</vt:i4>
      </vt:variant>
      <vt:variant>
        <vt:i4>5</vt:i4>
      </vt:variant>
      <vt:variant>
        <vt:lpwstr>https://www.hse.gov.uk/pubns/priced/l122.pdf</vt:lpwstr>
      </vt:variant>
      <vt:variant>
        <vt:lpwstr/>
      </vt:variant>
      <vt:variant>
        <vt:i4>1638480</vt:i4>
      </vt:variant>
      <vt:variant>
        <vt:i4>69</vt:i4>
      </vt:variant>
      <vt:variant>
        <vt:i4>0</vt:i4>
      </vt:variant>
      <vt:variant>
        <vt:i4>5</vt:i4>
      </vt:variant>
      <vt:variant>
        <vt:lpwstr>https://www.hse.gov.uk/pubns/priced/l113.pdf</vt:lpwstr>
      </vt:variant>
      <vt:variant>
        <vt:lpwstr/>
      </vt:variant>
      <vt:variant>
        <vt:i4>393240</vt:i4>
      </vt:variant>
      <vt:variant>
        <vt:i4>66</vt:i4>
      </vt:variant>
      <vt:variant>
        <vt:i4>0</vt:i4>
      </vt:variant>
      <vt:variant>
        <vt:i4>5</vt:i4>
      </vt:variant>
      <vt:variant>
        <vt:lpwstr>https://www.hse.gov.uk/pubns/priced/hsr25.pdf</vt:lpwstr>
      </vt:variant>
      <vt:variant>
        <vt:lpwstr/>
      </vt:variant>
      <vt:variant>
        <vt:i4>1769552</vt:i4>
      </vt:variant>
      <vt:variant>
        <vt:i4>63</vt:i4>
      </vt:variant>
      <vt:variant>
        <vt:i4>0</vt:i4>
      </vt:variant>
      <vt:variant>
        <vt:i4>5</vt:i4>
      </vt:variant>
      <vt:variant>
        <vt:lpwstr>https://www.hse.gov.uk/pubns/priced/l111.pdf</vt:lpwstr>
      </vt:variant>
      <vt:variant>
        <vt:lpwstr/>
      </vt:variant>
      <vt:variant>
        <vt:i4>1638484</vt:i4>
      </vt:variant>
      <vt:variant>
        <vt:i4>60</vt:i4>
      </vt:variant>
      <vt:variant>
        <vt:i4>0</vt:i4>
      </vt:variant>
      <vt:variant>
        <vt:i4>5</vt:i4>
      </vt:variant>
      <vt:variant>
        <vt:lpwstr>https://www.hse.gov.uk/pubns/priced/l153.pdf</vt:lpwstr>
      </vt:variant>
      <vt:variant>
        <vt:lpwstr/>
      </vt:variant>
      <vt:variant>
        <vt:i4>7667817</vt:i4>
      </vt:variant>
      <vt:variant>
        <vt:i4>57</vt:i4>
      </vt:variant>
      <vt:variant>
        <vt:i4>0</vt:i4>
      </vt:variant>
      <vt:variant>
        <vt:i4>5</vt:i4>
      </vt:variant>
      <vt:variant>
        <vt:lpwstr>https://www.hse.gov.uk/pubns/priced/l22.pdf</vt:lpwstr>
      </vt:variant>
      <vt:variant>
        <vt:lpwstr/>
      </vt:variant>
      <vt:variant>
        <vt:i4>2031671</vt:i4>
      </vt:variant>
      <vt:variant>
        <vt:i4>50</vt:i4>
      </vt:variant>
      <vt:variant>
        <vt:i4>0</vt:i4>
      </vt:variant>
      <vt:variant>
        <vt:i4>5</vt:i4>
      </vt:variant>
      <vt:variant>
        <vt:lpwstr/>
      </vt:variant>
      <vt:variant>
        <vt:lpwstr>_Toc224826347</vt:lpwstr>
      </vt:variant>
      <vt:variant>
        <vt:i4>2031671</vt:i4>
      </vt:variant>
      <vt:variant>
        <vt:i4>44</vt:i4>
      </vt:variant>
      <vt:variant>
        <vt:i4>0</vt:i4>
      </vt:variant>
      <vt:variant>
        <vt:i4>5</vt:i4>
      </vt:variant>
      <vt:variant>
        <vt:lpwstr/>
      </vt:variant>
      <vt:variant>
        <vt:lpwstr>_Toc224826346</vt:lpwstr>
      </vt:variant>
      <vt:variant>
        <vt:i4>2031671</vt:i4>
      </vt:variant>
      <vt:variant>
        <vt:i4>38</vt:i4>
      </vt:variant>
      <vt:variant>
        <vt:i4>0</vt:i4>
      </vt:variant>
      <vt:variant>
        <vt:i4>5</vt:i4>
      </vt:variant>
      <vt:variant>
        <vt:lpwstr/>
      </vt:variant>
      <vt:variant>
        <vt:lpwstr>_Toc224826345</vt:lpwstr>
      </vt:variant>
      <vt:variant>
        <vt:i4>2031671</vt:i4>
      </vt:variant>
      <vt:variant>
        <vt:i4>32</vt:i4>
      </vt:variant>
      <vt:variant>
        <vt:i4>0</vt:i4>
      </vt:variant>
      <vt:variant>
        <vt:i4>5</vt:i4>
      </vt:variant>
      <vt:variant>
        <vt:lpwstr/>
      </vt:variant>
      <vt:variant>
        <vt:lpwstr>_Toc224826344</vt:lpwstr>
      </vt:variant>
      <vt:variant>
        <vt:i4>2031671</vt:i4>
      </vt:variant>
      <vt:variant>
        <vt:i4>26</vt:i4>
      </vt:variant>
      <vt:variant>
        <vt:i4>0</vt:i4>
      </vt:variant>
      <vt:variant>
        <vt:i4>5</vt:i4>
      </vt:variant>
      <vt:variant>
        <vt:lpwstr/>
      </vt:variant>
      <vt:variant>
        <vt:lpwstr>_Toc224826343</vt:lpwstr>
      </vt:variant>
      <vt:variant>
        <vt:i4>2031671</vt:i4>
      </vt:variant>
      <vt:variant>
        <vt:i4>20</vt:i4>
      </vt:variant>
      <vt:variant>
        <vt:i4>0</vt:i4>
      </vt:variant>
      <vt:variant>
        <vt:i4>5</vt:i4>
      </vt:variant>
      <vt:variant>
        <vt:lpwstr/>
      </vt:variant>
      <vt:variant>
        <vt:lpwstr>_Toc224826342</vt:lpwstr>
      </vt:variant>
      <vt:variant>
        <vt:i4>2031671</vt:i4>
      </vt:variant>
      <vt:variant>
        <vt:i4>14</vt:i4>
      </vt:variant>
      <vt:variant>
        <vt:i4>0</vt:i4>
      </vt:variant>
      <vt:variant>
        <vt:i4>5</vt:i4>
      </vt:variant>
      <vt:variant>
        <vt:lpwstr/>
      </vt:variant>
      <vt:variant>
        <vt:lpwstr>_Toc224826341</vt:lpwstr>
      </vt:variant>
      <vt:variant>
        <vt:i4>2031671</vt:i4>
      </vt:variant>
      <vt:variant>
        <vt:i4>8</vt:i4>
      </vt:variant>
      <vt:variant>
        <vt:i4>0</vt:i4>
      </vt:variant>
      <vt:variant>
        <vt:i4>5</vt:i4>
      </vt:variant>
      <vt:variant>
        <vt:lpwstr/>
      </vt:variant>
      <vt:variant>
        <vt:lpwstr>_Toc224826340</vt:lpwstr>
      </vt:variant>
      <vt:variant>
        <vt:i4>1572919</vt:i4>
      </vt:variant>
      <vt:variant>
        <vt:i4>2</vt:i4>
      </vt:variant>
      <vt:variant>
        <vt:i4>0</vt:i4>
      </vt:variant>
      <vt:variant>
        <vt:i4>5</vt:i4>
      </vt:variant>
      <vt:variant>
        <vt:lpwstr/>
      </vt:variant>
      <vt:variant>
        <vt:lpwstr>_Toc224826339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2026-03-19T17:29:00Z</dcterms:created>
  <dcterms:modified xsi:type="dcterms:W3CDTF">2026-03-19T19:17:00Z</dcterms:modified>
  <cp:contentStatus>7.1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2026-03-19T15:53:01Z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4e351d7d-9673-4ee7-9f8f-102302d05b39</vt:lpwstr>
  </property>
  <property fmtid="{D5CDD505-2E9C-101B-9397-08002B2CF9AE}" pid="8" name="MSIP_Label_9e5e003a-90eb-47c9-a506-ad47e7a0b281_ContentBits">
    <vt:lpwstr>0</vt:lpwstr>
  </property>
  <property fmtid="{D5CDD505-2E9C-101B-9397-08002B2CF9AE}" pid="9" name="MSIP_Label_9e5e003a-90eb-47c9-a506-ad47e7a0b281_Tag">
    <vt:lpwstr>10, 0, 1, 1</vt:lpwstr>
  </property>
  <property fmtid="{D5CDD505-2E9C-101B-9397-08002B2CF9AE}" pid="10" name="ContentTypeId">
    <vt:lpwstr>0x0101000C70A82DFAAC384DB9F6EBA2C8B87C5700D27B61D2EA57AC4F87A5F2CF441D8227</vt:lpwstr>
  </property>
</Properties>
</file>